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 w:line="360" w:lineRule="auto"/>
        <w:rPr>
          <w:color w:val="auto"/>
          <w:sz w:val="10"/>
          <w:highlight w:val="none"/>
        </w:rPr>
      </w:pPr>
    </w:p>
    <w:p>
      <w:pPr>
        <w:spacing w:before="33" w:line="360" w:lineRule="auto"/>
        <w:ind w:left="687" w:leftChars="327" w:right="-470" w:rightChars="-224"/>
        <w:rPr>
          <w:b/>
          <w:color w:val="auto"/>
          <w:sz w:val="48"/>
          <w:highlight w:val="none"/>
        </w:rPr>
      </w:pPr>
      <w:r>
        <w:rPr>
          <w:color w:val="auto"/>
          <w:sz w:val="20"/>
          <w:highlight w:val="none"/>
        </w:rPr>
        <w:drawing>
          <wp:anchor distT="0" distB="0" distL="0" distR="0" simplePos="0" relativeHeight="251659264" behindDoc="0" locked="0" layoutInCell="1" allowOverlap="1">
            <wp:simplePos x="0" y="0"/>
            <wp:positionH relativeFrom="column">
              <wp:posOffset>183515</wp:posOffset>
            </wp:positionH>
            <wp:positionV relativeFrom="paragraph">
              <wp:posOffset>33020</wp:posOffset>
            </wp:positionV>
            <wp:extent cx="829310" cy="809625"/>
            <wp:effectExtent l="0" t="0" r="8890" b="9525"/>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4"/>
                    <a:stretch>
                      <a:fillRect/>
                    </a:stretch>
                  </pic:blipFill>
                  <pic:spPr>
                    <a:xfrm>
                      <a:off x="0" y="0"/>
                      <a:ext cx="829310" cy="809625"/>
                    </a:xfrm>
                    <a:prstGeom prst="rect">
                      <a:avLst/>
                    </a:prstGeom>
                    <a:noFill/>
                    <a:ln>
                      <a:noFill/>
                    </a:ln>
                  </pic:spPr>
                </pic:pic>
              </a:graphicData>
            </a:graphic>
          </wp:anchor>
        </w:drawing>
      </w:r>
      <w:r>
        <w:rPr>
          <w:b/>
          <w:color w:val="auto"/>
          <w:sz w:val="48"/>
          <w:highlight w:val="none"/>
        </w:rPr>
        <w:t>广西瑞真工程造价咨询有限责任公司</w:t>
      </w:r>
    </w:p>
    <w:p>
      <w:pPr>
        <w:spacing w:before="73" w:line="360" w:lineRule="auto"/>
        <w:ind w:right="84" w:rightChars="40"/>
        <w:jc w:val="distribute"/>
        <w:rPr>
          <w:b/>
          <w:color w:val="auto"/>
          <w:sz w:val="32"/>
          <w:highlight w:val="none"/>
          <w:u w:val="single"/>
        </w:rPr>
      </w:pPr>
      <w:r>
        <w:rPr>
          <w:b/>
          <w:color w:val="auto"/>
          <w:sz w:val="32"/>
          <w:highlight w:val="none"/>
          <w:u w:val="single"/>
        </w:rPr>
        <w:t>GuangxiRuizhen Construction Cost Consulting Co.,Ltd</w:t>
      </w:r>
    </w:p>
    <w:p>
      <w:pPr>
        <w:spacing w:before="73" w:line="360" w:lineRule="auto"/>
        <w:rPr>
          <w:b/>
          <w:color w:val="auto"/>
          <w:sz w:val="32"/>
          <w:highlight w:val="none"/>
          <w:u w:val="single"/>
        </w:rPr>
      </w:pPr>
    </w:p>
    <w:p>
      <w:pPr>
        <w:pStyle w:val="12"/>
        <w:spacing w:line="360" w:lineRule="auto"/>
        <w:rPr>
          <w:rFonts w:ascii="楷体" w:hAnsi="楷体" w:eastAsia="楷体" w:cs="宋体"/>
          <w:b/>
          <w:color w:val="auto"/>
          <w:spacing w:val="-20"/>
          <w:sz w:val="72"/>
          <w:szCs w:val="72"/>
          <w:highlight w:val="none"/>
        </w:rPr>
      </w:pPr>
    </w:p>
    <w:p>
      <w:pPr>
        <w:pStyle w:val="12"/>
        <w:spacing w:line="360" w:lineRule="auto"/>
        <w:ind w:firstLine="2048" w:firstLineChars="300"/>
        <w:outlineLvl w:val="0"/>
        <w:rPr>
          <w:color w:val="auto"/>
          <w:sz w:val="28"/>
          <w:highlight w:val="none"/>
        </w:rPr>
      </w:pPr>
      <w:bookmarkStart w:id="0" w:name="_Toc32714"/>
      <w:bookmarkStart w:id="1" w:name="_Toc24689"/>
      <w:r>
        <w:rPr>
          <w:rFonts w:hint="eastAsia" w:ascii="楷体" w:hAnsi="楷体" w:eastAsia="楷体" w:cs="宋体"/>
          <w:b/>
          <w:color w:val="auto"/>
          <w:spacing w:val="-20"/>
          <w:sz w:val="72"/>
          <w:szCs w:val="72"/>
          <w:highlight w:val="none"/>
        </w:rPr>
        <w:t>竞争性磋商采购文件</w:t>
      </w:r>
      <w:bookmarkEnd w:id="0"/>
      <w:bookmarkEnd w:id="1"/>
    </w:p>
    <w:p>
      <w:pPr>
        <w:pStyle w:val="12"/>
        <w:spacing w:line="360" w:lineRule="auto"/>
        <w:ind w:firstLine="840" w:firstLineChars="300"/>
        <w:rPr>
          <w:color w:val="auto"/>
          <w:sz w:val="28"/>
          <w:szCs w:val="22"/>
          <w:highlight w:val="none"/>
        </w:rPr>
      </w:pPr>
    </w:p>
    <w:p>
      <w:pPr>
        <w:pStyle w:val="12"/>
        <w:spacing w:line="360" w:lineRule="auto"/>
        <w:rPr>
          <w:color w:val="auto"/>
          <w:sz w:val="28"/>
          <w:szCs w:val="22"/>
          <w:highlight w:val="none"/>
        </w:rPr>
      </w:pPr>
    </w:p>
    <w:p>
      <w:pPr>
        <w:pStyle w:val="12"/>
        <w:spacing w:line="360" w:lineRule="auto"/>
        <w:ind w:left="559" w:leftChars="266" w:firstLine="280" w:firstLineChars="100"/>
        <w:rPr>
          <w:rFonts w:hint="default" w:eastAsia="宋体"/>
          <w:color w:val="auto"/>
          <w:sz w:val="28"/>
          <w:szCs w:val="22"/>
          <w:highlight w:val="none"/>
          <w:lang w:val="en-US" w:eastAsia="zh-CN"/>
        </w:rPr>
      </w:pPr>
      <w:r>
        <w:rPr>
          <w:rFonts w:hint="eastAsia"/>
          <w:color w:val="auto"/>
          <w:sz w:val="28"/>
          <w:szCs w:val="22"/>
          <w:highlight w:val="none"/>
        </w:rPr>
        <w:t>项目名称：</w:t>
      </w:r>
      <w:r>
        <w:rPr>
          <w:rFonts w:hint="eastAsia" w:hAnsi="宋体" w:cs="Courier New"/>
          <w:color w:val="auto"/>
          <w:sz w:val="28"/>
          <w:szCs w:val="22"/>
          <w:highlight w:val="none"/>
        </w:rPr>
        <w:t>G228线危旧桥梁改造工程（G228线K6734+566白沙头桥危旧桥梁改造工程、G228线K6744+568围初沟桥危旧桥梁改造工程）</w:t>
      </w:r>
    </w:p>
    <w:p>
      <w:pPr>
        <w:pStyle w:val="12"/>
        <w:spacing w:line="360" w:lineRule="auto"/>
        <w:ind w:firstLine="840" w:firstLineChars="300"/>
        <w:rPr>
          <w:rFonts w:hint="eastAsia" w:eastAsia="宋体"/>
          <w:color w:val="auto"/>
          <w:sz w:val="28"/>
          <w:szCs w:val="22"/>
          <w:highlight w:val="none"/>
          <w:lang w:val="en-US" w:eastAsia="zh-CN"/>
        </w:rPr>
      </w:pPr>
      <w:r>
        <w:rPr>
          <w:rFonts w:hint="eastAsia"/>
          <w:color w:val="auto"/>
          <w:sz w:val="28"/>
          <w:szCs w:val="22"/>
          <w:highlight w:val="none"/>
        </w:rPr>
        <w:t>项目编号：</w:t>
      </w:r>
      <w:r>
        <w:rPr>
          <w:rFonts w:hint="eastAsia" w:hAnsi="宋体" w:cs="Courier New"/>
          <w:color w:val="auto"/>
          <w:sz w:val="28"/>
          <w:szCs w:val="22"/>
          <w:highlight w:val="none"/>
        </w:rPr>
        <w:t>GXZC2024-C2-000002-RZBH</w:t>
      </w:r>
      <w:r>
        <w:rPr>
          <w:rFonts w:hint="eastAsia" w:hAnsi="宋体" w:cs="Courier New"/>
          <w:color w:val="auto"/>
          <w:sz w:val="28"/>
          <w:szCs w:val="22"/>
          <w:highlight w:val="none"/>
          <w:lang w:val="en-US" w:eastAsia="zh-CN"/>
        </w:rPr>
        <w:t>(重）</w:t>
      </w:r>
    </w:p>
    <w:p>
      <w:pPr>
        <w:pStyle w:val="12"/>
        <w:spacing w:line="360" w:lineRule="auto"/>
        <w:ind w:firstLine="840" w:firstLineChars="300"/>
        <w:rPr>
          <w:color w:val="auto"/>
          <w:sz w:val="28"/>
          <w:szCs w:val="22"/>
          <w:highlight w:val="none"/>
        </w:rPr>
      </w:pPr>
      <w:r>
        <w:rPr>
          <w:rFonts w:hint="eastAsia"/>
          <w:color w:val="auto"/>
          <w:sz w:val="28"/>
          <w:highlight w:val="none"/>
        </w:rPr>
        <w:t>采购单位：</w:t>
      </w:r>
      <w:r>
        <w:rPr>
          <w:rFonts w:hint="eastAsia" w:hAnsi="宋体" w:cs="Courier New"/>
          <w:color w:val="auto"/>
          <w:sz w:val="28"/>
          <w:szCs w:val="22"/>
          <w:highlight w:val="none"/>
        </w:rPr>
        <w:t>广西壮族自治区北海城区公路养护中心</w:t>
      </w:r>
    </w:p>
    <w:p>
      <w:pPr>
        <w:pStyle w:val="12"/>
        <w:spacing w:line="360" w:lineRule="auto"/>
        <w:rPr>
          <w:color w:val="auto"/>
          <w:sz w:val="28"/>
          <w:highlight w:val="none"/>
          <w:u w:val="single"/>
        </w:rPr>
      </w:pPr>
      <w:r>
        <w:rPr>
          <w:rFonts w:hint="eastAsia"/>
          <w:color w:val="auto"/>
          <w:sz w:val="28"/>
          <w:highlight w:val="none"/>
          <w:u w:val="single"/>
        </w:rPr>
        <w:t xml:space="preserve">　　　　　　　　　　　　　　　　　　　　　　　　　　　　　　　　    </w:t>
      </w:r>
    </w:p>
    <w:p>
      <w:pPr>
        <w:pStyle w:val="12"/>
        <w:spacing w:line="360" w:lineRule="auto"/>
        <w:ind w:firstLine="840" w:firstLineChars="300"/>
        <w:rPr>
          <w:color w:val="auto"/>
          <w:sz w:val="28"/>
          <w:szCs w:val="22"/>
          <w:highlight w:val="none"/>
        </w:rPr>
      </w:pPr>
    </w:p>
    <w:p>
      <w:pPr>
        <w:pStyle w:val="12"/>
        <w:spacing w:line="360" w:lineRule="auto"/>
        <w:ind w:firstLine="840" w:firstLineChars="300"/>
        <w:rPr>
          <w:b/>
          <w:color w:val="auto"/>
          <w:sz w:val="32"/>
          <w:highlight w:val="none"/>
        </w:rPr>
      </w:pPr>
      <w:r>
        <w:rPr>
          <w:rFonts w:hint="eastAsia"/>
          <w:color w:val="auto"/>
          <w:sz w:val="28"/>
          <w:highlight w:val="none"/>
        </w:rPr>
        <w:t>招标代理机构：广西瑞真工程造价咨询有限责任公司</w:t>
      </w:r>
    </w:p>
    <w:p>
      <w:pPr>
        <w:ind w:firstLine="3213" w:firstLineChars="1000"/>
        <w:rPr>
          <w:b/>
          <w:color w:val="auto"/>
          <w:sz w:val="32"/>
          <w:highlight w:val="none"/>
        </w:rPr>
      </w:pPr>
      <w:r>
        <w:rPr>
          <w:rFonts w:hint="eastAsia"/>
          <w:b/>
          <w:color w:val="auto"/>
          <w:sz w:val="32"/>
          <w:highlight w:val="none"/>
        </w:rPr>
        <w:t>2024 年3 月</w:t>
      </w:r>
    </w:p>
    <w:p>
      <w:pPr>
        <w:pStyle w:val="20"/>
        <w:ind w:firstLine="651"/>
        <w:rPr>
          <w:b/>
          <w:color w:val="auto"/>
          <w:sz w:val="32"/>
          <w:highlight w:val="none"/>
        </w:rPr>
      </w:pPr>
    </w:p>
    <w:p>
      <w:pPr>
        <w:rPr>
          <w:color w:val="auto"/>
          <w:highlight w:val="none"/>
        </w:rPr>
      </w:pPr>
      <w:r>
        <w:rPr>
          <w:color w:val="auto"/>
          <w:highlight w:val="none"/>
        </w:rPr>
        <w:br w:type="page"/>
      </w:r>
    </w:p>
    <w:sdt>
      <w:sdtPr>
        <w:rPr>
          <w:rFonts w:ascii="宋体" w:hAnsi="宋体"/>
          <w:b/>
          <w:bCs/>
          <w:color w:val="auto"/>
          <w:sz w:val="30"/>
          <w:szCs w:val="30"/>
          <w:highlight w:val="none"/>
        </w:rPr>
        <w:id w:val="147466299"/>
        <w:docPartObj>
          <w:docPartGallery w:val="Table of Contents"/>
          <w:docPartUnique/>
        </w:docPartObj>
      </w:sdtPr>
      <w:sdtEndPr>
        <w:rPr>
          <w:rFonts w:ascii="Times New Roman" w:hAnsi="Times New Roman"/>
          <w:b/>
          <w:bCs/>
          <w:color w:val="auto"/>
          <w:sz w:val="21"/>
          <w:szCs w:val="24"/>
          <w:highlight w:val="none"/>
        </w:rPr>
      </w:sdtEndPr>
      <w:sdtContent>
        <w:p>
          <w:pPr>
            <w:jc w:val="center"/>
            <w:rPr>
              <w:b/>
              <w:bCs/>
              <w:color w:val="auto"/>
              <w:sz w:val="30"/>
              <w:szCs w:val="30"/>
              <w:highlight w:val="none"/>
            </w:rPr>
          </w:pPr>
          <w:r>
            <w:rPr>
              <w:rFonts w:ascii="宋体" w:hAnsi="宋体"/>
              <w:b/>
              <w:bCs/>
              <w:color w:val="auto"/>
              <w:sz w:val="30"/>
              <w:szCs w:val="30"/>
              <w:highlight w:val="none"/>
            </w:rPr>
            <w:t>目录</w:t>
          </w:r>
        </w:p>
        <w:p>
          <w:pPr>
            <w:pStyle w:val="34"/>
            <w:tabs>
              <w:tab w:val="right" w:leader="dot" w:pos="966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"_Toc950" </w:instrText>
          </w:r>
          <w:r>
            <w:rPr>
              <w:color w:val="auto"/>
              <w:highlight w:val="none"/>
            </w:rPr>
            <w:fldChar w:fldCharType="separate"/>
          </w:r>
          <w:r>
            <w:rPr>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"_Toc20455" </w:instrText>
          </w:r>
          <w:r>
            <w:rPr>
              <w:color w:val="auto"/>
              <w:highlight w:val="none"/>
            </w:rPr>
            <w:fldChar w:fldCharType="separate"/>
          </w:r>
          <w:r>
            <w:rPr>
              <w:rFonts w:hint="eastAsia"/>
              <w:color w:val="auto"/>
              <w:sz w:val="28"/>
              <w:szCs w:val="28"/>
              <w:highlight w:val="none"/>
            </w:rPr>
            <w:t>第二章 磋商须知前附表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_Toc20455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"_Toc22228" </w:instrText>
          </w:r>
          <w:r>
            <w:rPr>
              <w:color w:val="auto"/>
              <w:highlight w:val="none"/>
            </w:rPr>
            <w:fldChar w:fldCharType="separate"/>
          </w:r>
          <w:r>
            <w:rPr>
              <w:rFonts w:hint="eastAsia"/>
              <w:color w:val="auto"/>
              <w:sz w:val="28"/>
              <w:szCs w:val="28"/>
              <w:highlight w:val="none"/>
            </w:rPr>
            <w:t>第三章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_Toc22228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"_Toc28596" </w:instrText>
          </w:r>
          <w:r>
            <w:rPr>
              <w:color w:val="auto"/>
              <w:highlight w:val="none"/>
            </w:rPr>
            <w:fldChar w:fldCharType="separate"/>
          </w:r>
          <w:r>
            <w:rPr>
              <w:rFonts w:hint="eastAsia"/>
              <w:color w:val="auto"/>
              <w:sz w:val="28"/>
              <w:szCs w:val="28"/>
              <w:highlight w:val="none"/>
            </w:rPr>
            <w:t>第四章合同格式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_Toc28596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"_Toc12661" </w:instrText>
          </w:r>
          <w:r>
            <w:rPr>
              <w:color w:val="auto"/>
              <w:highlight w:val="none"/>
            </w:rPr>
            <w:fldChar w:fldCharType="separate"/>
          </w:r>
          <w:r>
            <w:rPr>
              <w:rFonts w:hint="eastAsia" w:ascii="宋体" w:hAnsi="宋体" w:cs="Courier New"/>
              <w:bCs/>
              <w:color w:val="auto"/>
              <w:sz w:val="28"/>
              <w:szCs w:val="28"/>
              <w:highlight w:val="none"/>
            </w:rPr>
            <w:t>第五章工程量清单（另册）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_Toc12661 \h </w:instrText>
          </w:r>
          <w:r>
            <w:rPr>
              <w:color w:val="auto"/>
              <w:sz w:val="28"/>
              <w:szCs w:val="28"/>
              <w:highlight w:val="none"/>
            </w:rPr>
            <w:fldChar w:fldCharType="separate"/>
          </w:r>
          <w:r>
            <w:rPr>
              <w:color w:val="auto"/>
              <w:sz w:val="28"/>
              <w:szCs w:val="28"/>
              <w:highlight w:val="none"/>
            </w:rPr>
            <w:t>63</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"_Toc13375" </w:instrText>
          </w:r>
          <w:r>
            <w:rPr>
              <w:color w:val="auto"/>
              <w:highlight w:val="none"/>
            </w:rPr>
            <w:fldChar w:fldCharType="separate"/>
          </w:r>
          <w:r>
            <w:rPr>
              <w:rFonts w:hint="eastAsia" w:ascii="宋体" w:hAnsi="宋体" w:cs="Courier New"/>
              <w:color w:val="auto"/>
              <w:sz w:val="28"/>
              <w:szCs w:val="28"/>
              <w:highlight w:val="none"/>
            </w:rPr>
            <w:t>第六章 设计图纸（另册）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_Toc13375 \h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sz w:val="28"/>
              <w:szCs w:val="28"/>
              <w:highlight w:val="none"/>
            </w:rPr>
          </w:pPr>
          <w:r>
            <w:rPr>
              <w:color w:val="auto"/>
              <w:highlight w:val="none"/>
            </w:rPr>
            <w:fldChar w:fldCharType="begin"/>
          </w:r>
          <w:r>
            <w:rPr>
              <w:color w:val="auto"/>
              <w:highlight w:val="none"/>
            </w:rPr>
            <w:instrText xml:space="preserve"> HYPERLINK \l "_Toc27599" </w:instrText>
          </w:r>
          <w:r>
            <w:rPr>
              <w:color w:val="auto"/>
              <w:highlight w:val="none"/>
            </w:rPr>
            <w:fldChar w:fldCharType="separate"/>
          </w:r>
          <w:r>
            <w:rPr>
              <w:rFonts w:hint="eastAsia" w:ascii="宋体" w:hAnsi="宋体" w:cs="Courier New"/>
              <w:color w:val="auto"/>
              <w:sz w:val="28"/>
              <w:szCs w:val="28"/>
              <w:highlight w:val="none"/>
            </w:rPr>
            <w:t xml:space="preserve">第七章 </w:t>
          </w:r>
          <w:r>
            <w:rPr>
              <w:rFonts w:hint="eastAsia"/>
              <w:color w:val="auto"/>
              <w:sz w:val="28"/>
              <w:szCs w:val="28"/>
              <w:highlight w:val="none"/>
            </w:rPr>
            <w:t>评审程序、评审方法和评审标准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_Toc27599 \h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highlight w:val="none"/>
            </w:rPr>
          </w:pPr>
          <w:r>
            <w:rPr>
              <w:color w:val="auto"/>
              <w:highlight w:val="none"/>
            </w:rPr>
            <w:fldChar w:fldCharType="begin"/>
          </w:r>
          <w:r>
            <w:rPr>
              <w:color w:val="auto"/>
              <w:highlight w:val="none"/>
            </w:rPr>
            <w:instrText xml:space="preserve"> HYPERLINK \l "_Toc25089" </w:instrText>
          </w:r>
          <w:r>
            <w:rPr>
              <w:color w:val="auto"/>
              <w:highlight w:val="none"/>
            </w:rPr>
            <w:fldChar w:fldCharType="separate"/>
          </w:r>
          <w:r>
            <w:rPr>
              <w:color w:val="auto"/>
              <w:sz w:val="28"/>
              <w:szCs w:val="28"/>
              <w:highlight w:val="none"/>
            </w:rPr>
            <w:t>第</w:t>
          </w:r>
          <w:r>
            <w:rPr>
              <w:rFonts w:hint="eastAsia"/>
              <w:color w:val="auto"/>
              <w:sz w:val="28"/>
              <w:szCs w:val="28"/>
              <w:highlight w:val="none"/>
            </w:rPr>
            <w:t>八</w:t>
          </w:r>
          <w:r>
            <w:rPr>
              <w:color w:val="auto"/>
              <w:sz w:val="28"/>
              <w:szCs w:val="28"/>
              <w:highlight w:val="none"/>
            </w:rPr>
            <w:t>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_Toc25089 \h </w:instrText>
          </w:r>
          <w:r>
            <w:rPr>
              <w:color w:val="auto"/>
              <w:sz w:val="28"/>
              <w:szCs w:val="28"/>
              <w:highlight w:val="none"/>
            </w:rPr>
            <w:fldChar w:fldCharType="separate"/>
          </w:r>
          <w:r>
            <w:rPr>
              <w:color w:val="auto"/>
              <w:sz w:val="28"/>
              <w:szCs w:val="28"/>
              <w:highlight w:val="none"/>
            </w:rPr>
            <w:t>73</w:t>
          </w:r>
          <w:r>
            <w:rPr>
              <w:color w:val="auto"/>
              <w:sz w:val="28"/>
              <w:szCs w:val="28"/>
              <w:highlight w:val="none"/>
            </w:rPr>
            <w:fldChar w:fldCharType="end"/>
          </w:r>
          <w:r>
            <w:rPr>
              <w:color w:val="auto"/>
              <w:sz w:val="28"/>
              <w:szCs w:val="28"/>
              <w:highlight w:val="none"/>
            </w:rPr>
            <w:fldChar w:fldCharType="end"/>
          </w:r>
        </w:p>
        <w:p>
          <w:pPr>
            <w:pStyle w:val="34"/>
            <w:tabs>
              <w:tab w:val="right" w:leader="dot" w:pos="9660"/>
            </w:tabs>
            <w:rPr>
              <w:color w:val="auto"/>
              <w:highlight w:val="none"/>
            </w:rPr>
          </w:pPr>
        </w:p>
        <w:p>
          <w:pPr>
            <w:rPr>
              <w:color w:val="auto"/>
              <w:highlight w:val="none"/>
            </w:rPr>
          </w:pPr>
          <w:r>
            <w:rPr>
              <w:color w:val="auto"/>
              <w:highlight w:val="none"/>
            </w:rPr>
            <w:fldChar w:fldCharType="end"/>
          </w:r>
        </w:p>
      </w:sdtContent>
    </w:sdt>
    <w:p>
      <w:pPr>
        <w:rPr>
          <w:color w:val="auto"/>
          <w:highlight w:val="none"/>
        </w:rPr>
      </w:pPr>
    </w:p>
    <w:p>
      <w:pPr>
        <w:rPr>
          <w:color w:val="auto"/>
          <w:highlight w:val="none"/>
        </w:rPr>
      </w:pPr>
    </w:p>
    <w:p>
      <w:pPr>
        <w:rPr>
          <w:color w:val="auto"/>
          <w:highlight w:val="none"/>
        </w:rPr>
      </w:pPr>
      <w:r>
        <w:rPr>
          <w:color w:val="auto"/>
          <w:highlight w:val="none"/>
        </w:rPr>
        <w:br w:type="page"/>
      </w:r>
    </w:p>
    <w:p>
      <w:pPr>
        <w:pStyle w:val="2"/>
        <w:spacing w:line="240" w:lineRule="auto"/>
        <w:jc w:val="center"/>
        <w:rPr>
          <w:rFonts w:asciiTheme="majorEastAsia" w:hAnsiTheme="majorEastAsia" w:eastAsiaTheme="majorEastAsia" w:cstheme="majorEastAsia"/>
          <w:color w:val="auto"/>
          <w:sz w:val="24"/>
          <w:szCs w:val="24"/>
          <w:highlight w:val="none"/>
        </w:rPr>
      </w:pPr>
      <w:bookmarkStart w:id="2" w:name="_Toc950"/>
      <w:r>
        <w:rPr>
          <w:rFonts w:hint="eastAsia" w:asciiTheme="majorEastAsia" w:hAnsiTheme="majorEastAsia" w:eastAsiaTheme="majorEastAsia" w:cstheme="majorEastAsia"/>
          <w:color w:val="auto"/>
          <w:sz w:val="24"/>
          <w:szCs w:val="24"/>
          <w:highlight w:val="none"/>
        </w:rPr>
        <w:t>第一章  竞争性磋商公告</w:t>
      </w:r>
      <w:bookmarkEnd w:id="2"/>
    </w:p>
    <w:p>
      <w:pPr>
        <w:pStyle w:val="12"/>
        <w:jc w:val="center"/>
        <w:rPr>
          <w:rFonts w:hint="eastAsia" w:asciiTheme="majorEastAsia" w:hAnsiTheme="majorEastAsia" w:eastAsiaTheme="majorEastAsia" w:cstheme="majorEastAsia"/>
          <w:b/>
          <w:color w:val="auto"/>
          <w:sz w:val="24"/>
          <w:szCs w:val="24"/>
          <w:highlight w:val="none"/>
        </w:rPr>
      </w:pPr>
      <w:bookmarkStart w:id="3" w:name="_Toc28359018"/>
      <w:bookmarkStart w:id="4" w:name="_Toc44229885"/>
      <w:bookmarkStart w:id="5" w:name="_Toc35393636"/>
      <w:bookmarkStart w:id="6" w:name="_Toc35393805"/>
      <w:bookmarkStart w:id="7" w:name="_Toc28359095"/>
      <w:bookmarkStart w:id="8" w:name="_Hlk37430271"/>
      <w:r>
        <w:rPr>
          <w:rFonts w:hint="eastAsia" w:asciiTheme="majorEastAsia" w:hAnsiTheme="majorEastAsia" w:eastAsiaTheme="majorEastAsia" w:cstheme="majorEastAsia"/>
          <w:b/>
          <w:color w:val="auto"/>
          <w:sz w:val="24"/>
          <w:szCs w:val="24"/>
          <w:highlight w:val="none"/>
        </w:rPr>
        <w:t>广西瑞真工程造价咨询有限责任公司关于G228线危旧桥梁改造工程（G228线K6734+566白沙头桥危旧桥梁改造工程、G228线K6744+568围初沟桥危旧桥梁改造工</w:t>
      </w:r>
      <w:r>
        <w:rPr>
          <w:rFonts w:hint="eastAsia" w:asciiTheme="majorEastAsia" w:hAnsiTheme="majorEastAsia" w:eastAsiaTheme="majorEastAsia" w:cstheme="majorEastAsia"/>
          <w:b/>
          <w:color w:val="auto"/>
          <w:sz w:val="24"/>
          <w:szCs w:val="24"/>
          <w:highlight w:val="none"/>
          <w:lang w:eastAsia="zh-CN"/>
        </w:rPr>
        <w:t>程</w:t>
      </w:r>
      <w:r>
        <w:rPr>
          <w:rFonts w:hint="eastAsia" w:asciiTheme="majorEastAsia" w:hAnsiTheme="majorEastAsia" w:eastAsiaTheme="majorEastAsia" w:cstheme="majorEastAsia"/>
          <w:b/>
          <w:color w:val="auto"/>
          <w:sz w:val="24"/>
          <w:szCs w:val="24"/>
          <w:highlight w:val="none"/>
          <w:lang w:val="en-US" w:eastAsia="zh-CN"/>
        </w:rPr>
        <w:t xml:space="preserve"> </w:t>
      </w:r>
      <w:r>
        <w:rPr>
          <w:rFonts w:hint="eastAsia" w:asciiTheme="majorEastAsia" w:hAnsiTheme="majorEastAsia" w:eastAsiaTheme="majorEastAsia" w:cstheme="majorEastAsia"/>
          <w:b/>
          <w:color w:val="auto"/>
          <w:sz w:val="24"/>
          <w:szCs w:val="24"/>
          <w:highlight w:val="none"/>
        </w:rPr>
        <w:t>（GXZC2024-C2-000002-RZBH</w:t>
      </w:r>
      <w:r>
        <w:rPr>
          <w:rFonts w:hint="eastAsia" w:asciiTheme="majorEastAsia" w:hAnsiTheme="majorEastAsia" w:eastAsiaTheme="majorEastAsia" w:cstheme="majorEastAsia"/>
          <w:b/>
          <w:color w:val="auto"/>
          <w:sz w:val="24"/>
          <w:szCs w:val="24"/>
          <w:highlight w:val="none"/>
          <w:lang w:val="en-US" w:eastAsia="zh-CN"/>
        </w:rPr>
        <w:t>(重））</w:t>
      </w:r>
    </w:p>
    <w:p>
      <w:pPr>
        <w:pStyle w:val="12"/>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竞争性磋商公告</w:t>
      </w:r>
    </w:p>
    <w:tbl>
      <w:tblPr>
        <w:tblStyle w:val="21"/>
        <w:tblpPr w:leftFromText="180" w:rightFromText="180" w:vertAnchor="text" w:horzAnchor="page" w:tblpX="1151" w:tblpY="1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项目概况 </w:t>
            </w:r>
          </w:p>
          <w:p>
            <w:pPr>
              <w:spacing w:line="360" w:lineRule="auto"/>
              <w:ind w:firstLine="402"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pacing w:val="-20"/>
                <w:kern w:val="0"/>
                <w:sz w:val="24"/>
                <w:highlight w:val="none"/>
                <w:u w:val="single"/>
              </w:rPr>
              <w:t>G228线危旧桥梁改造工程（G228线K6734+566白沙头桥危旧桥梁改造工程、G228线K6744+568围初沟桥危旧桥梁改造工程）</w:t>
            </w:r>
            <w:r>
              <w:rPr>
                <w:rFonts w:hint="eastAsia" w:asciiTheme="majorEastAsia" w:hAnsiTheme="majorEastAsia" w:eastAsiaTheme="majorEastAsia" w:cstheme="majorEastAsia"/>
                <w:color w:val="auto"/>
                <w:sz w:val="24"/>
                <w:highlight w:val="none"/>
              </w:rPr>
              <w:t>的潜在供应商应在广西政府采购云平台（https://www.gcy.zfcg.gxzf.gov.cn/）获取采购文件，</w:t>
            </w:r>
            <w:r>
              <w:rPr>
                <w:rFonts w:hint="eastAsia" w:asciiTheme="majorEastAsia" w:hAnsiTheme="majorEastAsia" w:eastAsiaTheme="majorEastAsia" w:cstheme="majorEastAsia"/>
                <w:b/>
                <w:bCs/>
                <w:color w:val="auto"/>
                <w:sz w:val="24"/>
                <w:highlight w:val="none"/>
              </w:rPr>
              <w:t>并于2024年3 月2</w:t>
            </w:r>
            <w:r>
              <w:rPr>
                <w:rFonts w:hint="eastAsia" w:asciiTheme="majorEastAsia" w:hAnsiTheme="majorEastAsia" w:eastAsiaTheme="majorEastAsia" w:cstheme="majorEastAsia"/>
                <w:b/>
                <w:bCs/>
                <w:color w:val="auto"/>
                <w:sz w:val="24"/>
                <w:highlight w:val="none"/>
                <w:lang w:val="en-US" w:eastAsia="zh-CN"/>
              </w:rPr>
              <w:t>9</w:t>
            </w:r>
            <w:r>
              <w:rPr>
                <w:rFonts w:hint="eastAsia" w:asciiTheme="majorEastAsia" w:hAnsiTheme="majorEastAsia" w:eastAsiaTheme="majorEastAsia" w:cstheme="majorEastAsia"/>
                <w:b/>
                <w:bCs/>
                <w:color w:val="auto"/>
                <w:sz w:val="24"/>
                <w:highlight w:val="none"/>
              </w:rPr>
              <w:t>日9:00（北京时间）前提交响应文件。</w:t>
            </w:r>
          </w:p>
        </w:tc>
      </w:tr>
    </w:tbl>
    <w:p>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一、项目基本情况</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项目编号：GXZC2024-C2-000002-RZBH</w:t>
      </w:r>
      <w:r>
        <w:rPr>
          <w:rFonts w:hint="eastAsia" w:asciiTheme="majorEastAsia" w:hAnsiTheme="majorEastAsia" w:eastAsiaTheme="majorEastAsia" w:cstheme="majorEastAsia"/>
          <w:color w:val="auto"/>
          <w:sz w:val="24"/>
          <w:highlight w:val="none"/>
          <w:lang w:val="en-US" w:eastAsia="zh-CN"/>
        </w:rPr>
        <w:t>(重）</w:t>
      </w:r>
    </w:p>
    <w:p>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项目名称：G228线危旧桥梁改造工程（G228线K6734+566白沙头桥危旧桥梁改造工程、G228线K6744+568围初沟桥危旧桥梁改造工程）</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采购方式：竞争性磋商</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预算金额（元）：188.9362万元（其中白沙头桥99.915万元；围初沟桥89.0212万元）</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采购需求：</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标项名称：G228线危旧桥梁改造工程（G228线K6734+566白沙头桥危旧桥梁改造工程、G228线K6744+568围初沟桥危旧桥梁改造工程）</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数量：1项</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简要规格描述或项目基本概况介绍、用途：</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(1)G228线K6734+566白沙头桥危旧桥梁改造工程：拆除重建为简支实心板梁桥，桥梁全长 12米，桥面净宽 21米，全宽 22米，桥梁设计荷载等级为公路-Ι级，安全等级为一级，地震烈度为Ⅵ度，设计行车速度为 30公里/小时，设计洪水频率为1/25。上部结构采用预制安装 1×6米实心板，采用扩大基础薄壁桥台。如需进一步了解内容，请详见招标文件及工程量清单。</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(2)G228线K6744+568围初沟桥危旧桥梁改造工程：拆除重建为简支空心板梁桥，桥梁全长 14米，桥面净宽 9米，全宽 10米；桥梁设计荷载等级为公路-Ι级，安全等级为二级，地震烈度为Ⅵ级，设计行车速度为 30公里/小时，设计洪水频率为1/25。上部结构采用 1×8米钢筋混凝土空心板，采用重力式 U型桥台。桥头两侧设引道与新建桥梁连接。如需进一步了解内容，请详见招标文件及工程量清单。</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最高限价（如有）：188.9362万元（其中G228线K6734+566白沙头桥危旧桥梁改造工程99.915万元；G228线K6744+568围初沟桥危旧桥梁改造工程89.0212万元）</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合同履约期限：80日历天</w:t>
      </w:r>
    </w:p>
    <w:p>
      <w:pPr>
        <w:spacing w:line="360" w:lineRule="auto"/>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本标项（否）接受联合体投标</w:t>
      </w:r>
    </w:p>
    <w:p>
      <w:pPr>
        <w:spacing w:line="360" w:lineRule="auto"/>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备注：无</w:t>
      </w:r>
    </w:p>
    <w:p>
      <w:pPr>
        <w:spacing w:line="360" w:lineRule="auto"/>
        <w:rPr>
          <w:rFonts w:asciiTheme="majorEastAsia" w:hAnsiTheme="majorEastAsia" w:eastAsiaTheme="majorEastAsia" w:cstheme="majorEastAsia"/>
          <w:b/>
          <w:color w:val="auto"/>
          <w:kern w:val="1"/>
          <w:sz w:val="24"/>
          <w:highlight w:val="none"/>
        </w:rPr>
      </w:pPr>
      <w:r>
        <w:rPr>
          <w:rFonts w:hint="eastAsia" w:asciiTheme="majorEastAsia" w:hAnsiTheme="majorEastAsia" w:eastAsiaTheme="majorEastAsia" w:cstheme="majorEastAsia"/>
          <w:b/>
          <w:color w:val="auto"/>
          <w:kern w:val="1"/>
          <w:sz w:val="24"/>
          <w:highlight w:val="none"/>
        </w:rPr>
        <w:t>二、申请人的资格要求：</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1.满足《中华人民共和国政府采购法》第二十二条规定；</w:t>
      </w:r>
    </w:p>
    <w:p>
      <w:pPr>
        <w:spacing w:line="360" w:lineRule="auto"/>
        <w:ind w:firstLine="480" w:firstLineChars="20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2.落实政府采购政策需满足的资格要求：分标1：</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☑专门面向中小企业采购的项目（供应商应为中小微企业、监狱企业、残疾人福利性单位)</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sym w:font="Wingdings 2" w:char="00A3"/>
      </w:r>
      <w:r>
        <w:rPr>
          <w:rFonts w:hint="eastAsia" w:asciiTheme="majorEastAsia" w:hAnsiTheme="majorEastAsia" w:eastAsiaTheme="majorEastAsia" w:cstheme="majorEastAsia"/>
          <w:color w:val="auto"/>
          <w:sz w:val="24"/>
          <w:highlight w:val="none"/>
        </w:rPr>
        <w:t>非专门面向中小企业采购的项目</w:t>
      </w:r>
    </w:p>
    <w:p>
      <w:pPr>
        <w:spacing w:line="360" w:lineRule="auto"/>
        <w:ind w:firstLine="480" w:firstLineChars="2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1"/>
          <w:sz w:val="24"/>
          <w:highlight w:val="none"/>
        </w:rPr>
        <w:t>3.本项目的特定资格要求：【分标1】</w:t>
      </w:r>
      <w:r>
        <w:rPr>
          <w:rFonts w:hint="eastAsia" w:asciiTheme="majorEastAsia" w:hAnsiTheme="majorEastAsia" w:eastAsiaTheme="majorEastAsia" w:cstheme="majorEastAsia"/>
          <w:color w:val="auto"/>
          <w:kern w:val="1"/>
          <w:sz w:val="24"/>
          <w:highlight w:val="none"/>
          <w:lang w:val="en-US" w:eastAsia="zh-CN"/>
        </w:rPr>
        <w:t>供应商同时具备有桥梁养护乙级（含）以上资质及公路工程施工总承包三级(含)以上资质和安全生产许可证；拟投入的项目经理必须具备公路工程专业二级（含本级）以上注册建造师执业资格，具备交通行政主管部门颁发的有效安全生产考核合格证书（B类）；供应商拟投入安全管理人员需具备交通行政主管部门颁发的有效安全生产考核合格证书（C类），本项目不接受有在建、已中标未开工或已列为其他项目中标候选人第一名的建造师作为项目经理。</w:t>
      </w:r>
    </w:p>
    <w:p>
      <w:pPr>
        <w:spacing w:line="360" w:lineRule="auto"/>
        <w:rPr>
          <w:rFonts w:asciiTheme="majorEastAsia" w:hAnsiTheme="majorEastAsia" w:eastAsiaTheme="majorEastAsia" w:cstheme="majorEastAsia"/>
          <w:b/>
          <w:color w:val="auto"/>
          <w:kern w:val="1"/>
          <w:sz w:val="24"/>
          <w:highlight w:val="none"/>
        </w:rPr>
      </w:pPr>
      <w:r>
        <w:rPr>
          <w:rFonts w:hint="eastAsia" w:asciiTheme="majorEastAsia" w:hAnsiTheme="majorEastAsia" w:eastAsiaTheme="majorEastAsia" w:cstheme="majorEastAsia"/>
          <w:b/>
          <w:color w:val="auto"/>
          <w:kern w:val="1"/>
          <w:sz w:val="24"/>
          <w:highlight w:val="none"/>
        </w:rPr>
        <w:t>三、获取采购文件</w:t>
      </w:r>
    </w:p>
    <w:p>
      <w:pPr>
        <w:spacing w:line="360" w:lineRule="auto"/>
        <w:ind w:firstLine="420"/>
        <w:rPr>
          <w:rFonts w:asciiTheme="majorEastAsia" w:hAnsiTheme="majorEastAsia" w:eastAsiaTheme="majorEastAsia" w:cstheme="majorEastAsia"/>
          <w:b/>
          <w:bCs/>
          <w:color w:val="auto"/>
          <w:kern w:val="1"/>
          <w:sz w:val="24"/>
          <w:highlight w:val="none"/>
        </w:rPr>
      </w:pPr>
      <w:r>
        <w:rPr>
          <w:rFonts w:hint="eastAsia" w:asciiTheme="majorEastAsia" w:hAnsiTheme="majorEastAsia" w:eastAsiaTheme="majorEastAsia" w:cstheme="majorEastAsia"/>
          <w:b/>
          <w:bCs/>
          <w:color w:val="auto"/>
          <w:kern w:val="1"/>
          <w:sz w:val="24"/>
          <w:highlight w:val="none"/>
        </w:rPr>
        <w:t>时间：2024年3月1</w:t>
      </w:r>
      <w:r>
        <w:rPr>
          <w:rFonts w:hint="eastAsia" w:asciiTheme="majorEastAsia" w:hAnsiTheme="majorEastAsia" w:eastAsiaTheme="majorEastAsia" w:cstheme="majorEastAsia"/>
          <w:b/>
          <w:bCs/>
          <w:color w:val="auto"/>
          <w:kern w:val="1"/>
          <w:sz w:val="24"/>
          <w:highlight w:val="none"/>
          <w:lang w:val="en-US" w:eastAsia="zh-CN"/>
        </w:rPr>
        <w:t>8</w:t>
      </w:r>
      <w:r>
        <w:rPr>
          <w:rFonts w:hint="eastAsia" w:asciiTheme="majorEastAsia" w:hAnsiTheme="majorEastAsia" w:eastAsiaTheme="majorEastAsia" w:cstheme="majorEastAsia"/>
          <w:b/>
          <w:bCs/>
          <w:color w:val="auto"/>
          <w:kern w:val="1"/>
          <w:sz w:val="24"/>
          <w:highlight w:val="none"/>
        </w:rPr>
        <w:t>日至2024年3月</w:t>
      </w:r>
      <w:r>
        <w:rPr>
          <w:rFonts w:hint="eastAsia" w:asciiTheme="majorEastAsia" w:hAnsiTheme="majorEastAsia" w:eastAsiaTheme="majorEastAsia" w:cstheme="majorEastAsia"/>
          <w:b/>
          <w:bCs/>
          <w:color w:val="auto"/>
          <w:kern w:val="1"/>
          <w:sz w:val="24"/>
          <w:highlight w:val="none"/>
          <w:lang w:val="en-US" w:eastAsia="zh-CN"/>
        </w:rPr>
        <w:t>25</w:t>
      </w:r>
      <w:r>
        <w:rPr>
          <w:rFonts w:hint="eastAsia" w:asciiTheme="majorEastAsia" w:hAnsiTheme="majorEastAsia" w:eastAsiaTheme="majorEastAsia" w:cstheme="majorEastAsia"/>
          <w:b/>
          <w:bCs/>
          <w:color w:val="auto"/>
          <w:kern w:val="1"/>
          <w:sz w:val="24"/>
          <w:highlight w:val="none"/>
        </w:rPr>
        <w:t>日，每天上午00:00至12:00，下午12:00至23:59（北京时间，法定节假日除外）</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地点（网址）：广西政府采购云平台线上获取（https://www.gcy.zfcg.gxzf.gov.cn/）。</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售价（元）：0.00元。</w:t>
      </w:r>
    </w:p>
    <w:p>
      <w:pPr>
        <w:spacing w:line="360" w:lineRule="auto"/>
        <w:rPr>
          <w:rFonts w:asciiTheme="majorEastAsia" w:hAnsiTheme="majorEastAsia" w:eastAsiaTheme="majorEastAsia" w:cstheme="majorEastAsia"/>
          <w:b/>
          <w:color w:val="auto"/>
          <w:kern w:val="1"/>
          <w:sz w:val="24"/>
          <w:highlight w:val="none"/>
        </w:rPr>
      </w:pPr>
      <w:r>
        <w:rPr>
          <w:rFonts w:hint="eastAsia" w:asciiTheme="majorEastAsia" w:hAnsiTheme="majorEastAsia" w:eastAsiaTheme="majorEastAsia" w:cstheme="majorEastAsia"/>
          <w:b/>
          <w:color w:val="auto"/>
          <w:kern w:val="1"/>
          <w:sz w:val="24"/>
          <w:highlight w:val="none"/>
        </w:rPr>
        <w:t>四、响应文件提交</w:t>
      </w:r>
    </w:p>
    <w:p>
      <w:pPr>
        <w:spacing w:line="360" w:lineRule="auto"/>
        <w:ind w:firstLine="420"/>
        <w:rPr>
          <w:rFonts w:asciiTheme="majorEastAsia" w:hAnsiTheme="majorEastAsia" w:eastAsiaTheme="majorEastAsia" w:cstheme="majorEastAsia"/>
          <w:b/>
          <w:bCs/>
          <w:color w:val="auto"/>
          <w:kern w:val="1"/>
          <w:sz w:val="24"/>
          <w:highlight w:val="none"/>
        </w:rPr>
      </w:pPr>
      <w:r>
        <w:rPr>
          <w:rFonts w:hint="eastAsia" w:asciiTheme="majorEastAsia" w:hAnsiTheme="majorEastAsia" w:eastAsiaTheme="majorEastAsia" w:cstheme="majorEastAsia"/>
          <w:b/>
          <w:bCs/>
          <w:color w:val="auto"/>
          <w:kern w:val="1"/>
          <w:sz w:val="24"/>
          <w:highlight w:val="none"/>
        </w:rPr>
        <w:t>截止时间：2024年3 月 2</w:t>
      </w:r>
      <w:r>
        <w:rPr>
          <w:rFonts w:hint="eastAsia" w:asciiTheme="majorEastAsia" w:hAnsiTheme="majorEastAsia" w:eastAsiaTheme="majorEastAsia" w:cstheme="majorEastAsia"/>
          <w:b/>
          <w:bCs/>
          <w:color w:val="auto"/>
          <w:kern w:val="1"/>
          <w:sz w:val="24"/>
          <w:highlight w:val="none"/>
          <w:lang w:val="en-US" w:eastAsia="zh-CN"/>
        </w:rPr>
        <w:t>9</w:t>
      </w:r>
      <w:r>
        <w:rPr>
          <w:rFonts w:hint="eastAsia" w:asciiTheme="majorEastAsia" w:hAnsiTheme="majorEastAsia" w:eastAsiaTheme="majorEastAsia" w:cstheme="majorEastAsia"/>
          <w:b/>
          <w:bCs/>
          <w:color w:val="auto"/>
          <w:kern w:val="1"/>
          <w:sz w:val="24"/>
          <w:highlight w:val="none"/>
        </w:rPr>
        <w:t>日09:00（北京时间）</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地点：通过广西政府采购云平台在线提交 </w:t>
      </w:r>
    </w:p>
    <w:p>
      <w:pPr>
        <w:spacing w:line="360" w:lineRule="auto"/>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b/>
          <w:bCs/>
          <w:color w:val="auto"/>
          <w:kern w:val="1"/>
          <w:sz w:val="24"/>
          <w:highlight w:val="none"/>
        </w:rPr>
        <w:t>五、响应文件开启</w:t>
      </w:r>
    </w:p>
    <w:p>
      <w:pPr>
        <w:spacing w:line="360" w:lineRule="auto"/>
        <w:ind w:firstLine="420"/>
        <w:rPr>
          <w:rFonts w:asciiTheme="majorEastAsia" w:hAnsiTheme="majorEastAsia" w:eastAsiaTheme="majorEastAsia" w:cstheme="majorEastAsia"/>
          <w:b/>
          <w:bCs/>
          <w:color w:val="auto"/>
          <w:kern w:val="1"/>
          <w:sz w:val="24"/>
          <w:highlight w:val="none"/>
        </w:rPr>
      </w:pPr>
      <w:r>
        <w:rPr>
          <w:rFonts w:hint="eastAsia" w:asciiTheme="majorEastAsia" w:hAnsiTheme="majorEastAsia" w:eastAsiaTheme="majorEastAsia" w:cstheme="majorEastAsia"/>
          <w:b/>
          <w:bCs/>
          <w:color w:val="auto"/>
          <w:kern w:val="1"/>
          <w:sz w:val="24"/>
          <w:highlight w:val="none"/>
        </w:rPr>
        <w:t>开启时间：2024年3月2</w:t>
      </w:r>
      <w:r>
        <w:rPr>
          <w:rFonts w:hint="eastAsia" w:asciiTheme="majorEastAsia" w:hAnsiTheme="majorEastAsia" w:eastAsiaTheme="majorEastAsia" w:cstheme="majorEastAsia"/>
          <w:b/>
          <w:bCs/>
          <w:color w:val="auto"/>
          <w:kern w:val="1"/>
          <w:sz w:val="24"/>
          <w:highlight w:val="none"/>
          <w:lang w:val="en-US" w:eastAsia="zh-CN"/>
        </w:rPr>
        <w:t>9</w:t>
      </w:r>
      <w:r>
        <w:rPr>
          <w:rFonts w:hint="eastAsia" w:asciiTheme="majorEastAsia" w:hAnsiTheme="majorEastAsia" w:eastAsiaTheme="majorEastAsia" w:cstheme="majorEastAsia"/>
          <w:b/>
          <w:bCs/>
          <w:color w:val="auto"/>
          <w:kern w:val="1"/>
          <w:sz w:val="24"/>
          <w:highlight w:val="none"/>
        </w:rPr>
        <w:t>日09:00（北京时间）</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地点：通过广西政府采购云平台实行在线解密开启</w:t>
      </w:r>
    </w:p>
    <w:p>
      <w:pPr>
        <w:spacing w:line="360" w:lineRule="auto"/>
        <w:rPr>
          <w:rFonts w:asciiTheme="majorEastAsia" w:hAnsiTheme="majorEastAsia" w:eastAsiaTheme="majorEastAsia" w:cstheme="majorEastAsia"/>
          <w:b/>
          <w:color w:val="auto"/>
          <w:kern w:val="1"/>
          <w:sz w:val="24"/>
          <w:highlight w:val="none"/>
        </w:rPr>
      </w:pPr>
      <w:r>
        <w:rPr>
          <w:rFonts w:hint="eastAsia" w:asciiTheme="majorEastAsia" w:hAnsiTheme="majorEastAsia" w:eastAsiaTheme="majorEastAsia" w:cstheme="majorEastAsia"/>
          <w:b/>
          <w:color w:val="auto"/>
          <w:kern w:val="1"/>
          <w:sz w:val="24"/>
          <w:highlight w:val="none"/>
        </w:rPr>
        <w:t>六、公告期限</w:t>
      </w:r>
    </w:p>
    <w:p>
      <w:pPr>
        <w:spacing w:line="360" w:lineRule="auto"/>
        <w:ind w:firstLine="420"/>
        <w:rPr>
          <w:rFonts w:asciiTheme="majorEastAsia" w:hAnsiTheme="majorEastAsia" w:eastAsiaTheme="majorEastAsia" w:cstheme="majorEastAsia"/>
          <w:b/>
          <w:bCs/>
          <w:color w:val="auto"/>
          <w:kern w:val="1"/>
          <w:sz w:val="24"/>
          <w:highlight w:val="none"/>
        </w:rPr>
      </w:pPr>
      <w:r>
        <w:rPr>
          <w:rFonts w:hint="eastAsia" w:asciiTheme="majorEastAsia" w:hAnsiTheme="majorEastAsia" w:eastAsiaTheme="majorEastAsia" w:cstheme="majorEastAsia"/>
          <w:b/>
          <w:bCs/>
          <w:color w:val="auto"/>
          <w:kern w:val="1"/>
          <w:sz w:val="24"/>
          <w:highlight w:val="none"/>
        </w:rPr>
        <w:t>自本公告发布之日起3个工作日。</w:t>
      </w:r>
    </w:p>
    <w:p>
      <w:pPr>
        <w:spacing w:line="360" w:lineRule="auto"/>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b/>
          <w:bCs/>
          <w:color w:val="auto"/>
          <w:kern w:val="1"/>
          <w:sz w:val="24"/>
          <w:highlight w:val="none"/>
        </w:rPr>
        <w:t>七、其他补充事宜</w:t>
      </w:r>
      <w:r>
        <w:rPr>
          <w:rFonts w:hint="eastAsia" w:asciiTheme="majorEastAsia" w:hAnsiTheme="majorEastAsia" w:eastAsiaTheme="majorEastAsia" w:cstheme="majorEastAsia"/>
          <w:color w:val="auto"/>
          <w:kern w:val="1"/>
          <w:sz w:val="24"/>
          <w:highlight w:val="none"/>
        </w:rPr>
        <w:t> </w:t>
      </w:r>
    </w:p>
    <w:p>
      <w:pPr>
        <w:spacing w:line="360" w:lineRule="auto"/>
        <w:ind w:left="10" w:firstLine="468" w:firstLineChars="195"/>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1.磋商保证金：0元。</w:t>
      </w:r>
    </w:p>
    <w:p>
      <w:pPr>
        <w:spacing w:line="360" w:lineRule="auto"/>
        <w:ind w:left="10" w:firstLine="468" w:firstLineChars="195"/>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60" w:lineRule="auto"/>
        <w:ind w:left="10" w:firstLine="468" w:firstLineChars="195"/>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开户名称：广西瑞真工程造价咨询有限责任公司北海分公司</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开户银行：建设银行北海大道支行</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银行账号：4500  1655  1020  5050  1102</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采用支票、汇票、本票或者保函等方式的，在首次响应文件提交截止时间前，供应商必须提交单独密封的支票、汇票、本票或者保函等原件给采购代理机构。否则视为无效磋商保证金。</w:t>
      </w:r>
    </w:p>
    <w:p>
      <w:pPr>
        <w:spacing w:line="360" w:lineRule="auto"/>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2.网上查询地址</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广西壮族自治区政府采购网（http://zfcg.gxzf.gov.cn/）、中国政府采购网（http://www.ccgp.gov.cn/）、全国公共资源交易平台（广西·北海）（http://ggzy.jgswj.gxzf.gov.cn/bhggzy/）。</w:t>
      </w:r>
    </w:p>
    <w:p>
      <w:pPr>
        <w:numPr>
          <w:ilvl w:val="0"/>
          <w:numId w:val="2"/>
        </w:numPr>
        <w:spacing w:line="360" w:lineRule="auto"/>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本项目需要落实的政府采购政策</w:t>
      </w:r>
    </w:p>
    <w:p>
      <w:pPr>
        <w:numPr>
          <w:ilvl w:val="0"/>
          <w:numId w:val="0"/>
        </w:numPr>
        <w:spacing w:line="360" w:lineRule="auto"/>
        <w:ind w:firstLine="240" w:firstLineChars="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（1）政府采购促进中小企业发展。</w:t>
      </w:r>
    </w:p>
    <w:p>
      <w:pPr>
        <w:numPr>
          <w:ilvl w:val="0"/>
          <w:numId w:val="0"/>
        </w:numPr>
        <w:spacing w:line="360" w:lineRule="auto"/>
        <w:ind w:firstLine="240" w:firstLineChars="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（2）政府采购支持采用本国产品的政策。</w:t>
      </w:r>
    </w:p>
    <w:p>
      <w:pPr>
        <w:numPr>
          <w:ilvl w:val="0"/>
          <w:numId w:val="0"/>
        </w:numPr>
        <w:spacing w:line="360" w:lineRule="auto"/>
        <w:ind w:firstLine="240" w:firstLineChars="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（3）强制采购节能产品；优先采购节能产品、环境标志产品。</w:t>
      </w:r>
    </w:p>
    <w:p>
      <w:pPr>
        <w:numPr>
          <w:ilvl w:val="0"/>
          <w:numId w:val="0"/>
        </w:numPr>
        <w:spacing w:line="360" w:lineRule="auto"/>
        <w:ind w:firstLine="240" w:firstLineChars="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（4）政府采购促进残疾人就业政策。</w:t>
      </w:r>
    </w:p>
    <w:p>
      <w:pPr>
        <w:numPr>
          <w:ilvl w:val="0"/>
          <w:numId w:val="0"/>
        </w:numPr>
        <w:spacing w:line="360" w:lineRule="auto"/>
        <w:ind w:firstLine="240" w:firstLineChars="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（5）政府采购支持监狱企业发展。</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6.在线竞标的有关说明：</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（5）供应商需要在具备有摄像头及语音功能且互联网网络状况良好的电脑登录广西政府采购云平台远程开标大厅参与本次磋商，否则后果自负。</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rPr>
          <w:rFonts w:asciiTheme="majorEastAsia" w:hAnsiTheme="majorEastAsia" w:eastAsiaTheme="majorEastAsia" w:cstheme="majorEastAsia"/>
          <w:b/>
          <w:color w:val="auto"/>
          <w:kern w:val="1"/>
          <w:sz w:val="24"/>
          <w:highlight w:val="none"/>
        </w:rPr>
      </w:pPr>
      <w:r>
        <w:rPr>
          <w:rFonts w:hint="eastAsia" w:asciiTheme="majorEastAsia" w:hAnsiTheme="majorEastAsia" w:eastAsiaTheme="majorEastAsia" w:cstheme="majorEastAsia"/>
          <w:b/>
          <w:color w:val="auto"/>
          <w:kern w:val="1"/>
          <w:sz w:val="24"/>
          <w:highlight w:val="none"/>
        </w:rPr>
        <w:t>八、凡对本次招标提出询问，请按以下方式联系</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1.采购人信息</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1"/>
          <w:sz w:val="24"/>
          <w:highlight w:val="none"/>
        </w:rPr>
        <w:t>名    称：</w:t>
      </w:r>
      <w:r>
        <w:rPr>
          <w:rFonts w:hint="eastAsia" w:asciiTheme="majorEastAsia" w:hAnsiTheme="majorEastAsia" w:eastAsiaTheme="majorEastAsia" w:cstheme="majorEastAsia"/>
          <w:color w:val="auto"/>
          <w:sz w:val="24"/>
          <w:highlight w:val="none"/>
        </w:rPr>
        <w:t>广西壮族自治区北海城区公路养护中心</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1"/>
          <w:sz w:val="24"/>
          <w:highlight w:val="none"/>
        </w:rPr>
        <w:t>地    址：</w:t>
      </w:r>
      <w:r>
        <w:rPr>
          <w:rFonts w:hint="eastAsia" w:asciiTheme="majorEastAsia" w:hAnsiTheme="majorEastAsia" w:eastAsiaTheme="majorEastAsia" w:cstheme="majorEastAsia"/>
          <w:color w:val="auto"/>
          <w:sz w:val="24"/>
          <w:highlight w:val="none"/>
        </w:rPr>
        <w:t>北海大道62号</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项目联系人：刘必锦</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项目联系方式：0779- 20882332.</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采购代理机构信息</w:t>
      </w: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1"/>
          <w:sz w:val="24"/>
          <w:highlight w:val="none"/>
        </w:rPr>
        <w:t>名    称：</w:t>
      </w:r>
      <w:r>
        <w:rPr>
          <w:rFonts w:hint="eastAsia" w:asciiTheme="majorEastAsia" w:hAnsiTheme="majorEastAsia" w:eastAsiaTheme="majorEastAsia" w:cstheme="majorEastAsia"/>
          <w:color w:val="auto"/>
          <w:sz w:val="24"/>
          <w:highlight w:val="none"/>
        </w:rPr>
        <w:t>广西瑞真工程造价咨询有限责任公司</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地    址：</w:t>
      </w:r>
      <w:r>
        <w:rPr>
          <w:rFonts w:hint="eastAsia" w:asciiTheme="majorEastAsia" w:hAnsiTheme="majorEastAsia" w:eastAsiaTheme="majorEastAsia" w:cstheme="majorEastAsia"/>
          <w:color w:val="auto"/>
          <w:sz w:val="24"/>
          <w:highlight w:val="none"/>
        </w:rPr>
        <w:t>北海市重庆路发展大厦A座701室</w:t>
      </w:r>
    </w:p>
    <w:p>
      <w:pPr>
        <w:spacing w:line="360" w:lineRule="auto"/>
        <w:ind w:firstLine="42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项目联系人：</w:t>
      </w:r>
      <w:r>
        <w:rPr>
          <w:rFonts w:hint="eastAsia" w:asciiTheme="majorEastAsia" w:hAnsiTheme="majorEastAsia" w:eastAsiaTheme="majorEastAsia" w:cstheme="majorEastAsia"/>
          <w:color w:val="auto"/>
          <w:sz w:val="24"/>
          <w:highlight w:val="none"/>
        </w:rPr>
        <w:t>曾工</w:t>
      </w:r>
    </w:p>
    <w:p>
      <w:pPr>
        <w:spacing w:line="360" w:lineRule="auto"/>
        <w:ind w:firstLine="42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1"/>
          <w:sz w:val="24"/>
          <w:highlight w:val="none"/>
        </w:rPr>
        <w:t>项目联系方式：</w:t>
      </w:r>
      <w:r>
        <w:rPr>
          <w:rFonts w:hint="eastAsia" w:asciiTheme="majorEastAsia" w:hAnsiTheme="majorEastAsia" w:eastAsiaTheme="majorEastAsia" w:cstheme="majorEastAsia"/>
          <w:color w:val="auto"/>
          <w:sz w:val="24"/>
          <w:highlight w:val="none"/>
        </w:rPr>
        <w:t>0779-3219191,3211770</w:t>
      </w:r>
    </w:p>
    <w:p>
      <w:pPr>
        <w:adjustRightInd w:val="0"/>
        <w:snapToGrid w:val="0"/>
        <w:spacing w:line="360" w:lineRule="auto"/>
        <w:ind w:firstLine="4320" w:firstLineChars="1800"/>
        <w:rPr>
          <w:rFonts w:asciiTheme="majorEastAsia" w:hAnsiTheme="majorEastAsia" w:eastAsiaTheme="majorEastAsia" w:cstheme="majorEastAsia"/>
          <w:color w:val="auto"/>
          <w:kern w:val="1"/>
          <w:sz w:val="24"/>
          <w:highlight w:val="none"/>
        </w:rPr>
      </w:pPr>
    </w:p>
    <w:p>
      <w:pPr>
        <w:adjustRightInd w:val="0"/>
        <w:snapToGrid w:val="0"/>
        <w:spacing w:line="360" w:lineRule="auto"/>
        <w:ind w:firstLine="2640" w:firstLineChars="1100"/>
        <w:rPr>
          <w:rFonts w:asciiTheme="majorEastAsia" w:hAnsiTheme="majorEastAsia" w:eastAsiaTheme="majorEastAsia" w:cstheme="majorEastAsia"/>
          <w:color w:val="auto"/>
          <w:kern w:val="1"/>
          <w:sz w:val="24"/>
          <w:highlight w:val="none"/>
        </w:rPr>
      </w:pPr>
      <w:r>
        <w:rPr>
          <w:rFonts w:hint="eastAsia" w:asciiTheme="majorEastAsia" w:hAnsiTheme="majorEastAsia" w:eastAsiaTheme="majorEastAsia" w:cstheme="majorEastAsia"/>
          <w:color w:val="auto"/>
          <w:kern w:val="1"/>
          <w:sz w:val="24"/>
          <w:highlight w:val="none"/>
        </w:rPr>
        <w:t>采购人：</w:t>
      </w:r>
      <w:r>
        <w:rPr>
          <w:rFonts w:hint="eastAsia" w:asciiTheme="majorEastAsia" w:hAnsiTheme="majorEastAsia" w:eastAsiaTheme="majorEastAsia" w:cstheme="majorEastAsia"/>
          <w:color w:val="auto"/>
          <w:sz w:val="24"/>
          <w:highlight w:val="none"/>
        </w:rPr>
        <w:t>广西壮族自治区北海城区公路养护中心</w:t>
      </w:r>
    </w:p>
    <w:p>
      <w:pPr>
        <w:adjustRightInd w:val="0"/>
        <w:snapToGrid w:val="0"/>
        <w:spacing w:line="360" w:lineRule="auto"/>
        <w:ind w:firstLine="2640" w:firstLineChars="1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采购代理机构：广西瑞真工程造价咨询有限责任公司</w:t>
      </w:r>
    </w:p>
    <w:p>
      <w:pPr>
        <w:adjustRightInd w:val="0"/>
        <w:snapToGrid w:val="0"/>
        <w:spacing w:line="360" w:lineRule="auto"/>
        <w:ind w:firstLine="2640" w:firstLineChars="1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     期：2024年 </w:t>
      </w:r>
      <w:r>
        <w:rPr>
          <w:rFonts w:hint="eastAsia" w:asciiTheme="majorEastAsia" w:hAnsiTheme="majorEastAsia" w:eastAsiaTheme="majorEastAsia" w:cstheme="majorEastAsia"/>
          <w:color w:val="auto"/>
          <w:sz w:val="24"/>
          <w:highlight w:val="none"/>
          <w:lang w:val="en-US" w:eastAsia="zh-CN"/>
        </w:rPr>
        <w:t>03</w:t>
      </w:r>
      <w:r>
        <w:rPr>
          <w:rFonts w:hint="eastAsia" w:asciiTheme="majorEastAsia" w:hAnsiTheme="majorEastAsia" w:eastAsiaTheme="majorEastAsia" w:cstheme="majorEastAsia"/>
          <w:color w:val="auto"/>
          <w:sz w:val="24"/>
          <w:highlight w:val="none"/>
        </w:rPr>
        <w:t xml:space="preserve"> 月 </w:t>
      </w:r>
      <w:r>
        <w:rPr>
          <w:rFonts w:hint="eastAsia" w:asciiTheme="majorEastAsia" w:hAnsiTheme="majorEastAsia" w:eastAsiaTheme="majorEastAsia" w:cstheme="majorEastAsia"/>
          <w:color w:val="auto"/>
          <w:sz w:val="24"/>
          <w:highlight w:val="none"/>
          <w:lang w:val="en-US" w:eastAsia="zh-CN"/>
        </w:rPr>
        <w:t>18</w:t>
      </w:r>
      <w:r>
        <w:rPr>
          <w:rFonts w:hint="eastAsia" w:asciiTheme="majorEastAsia" w:hAnsiTheme="majorEastAsia" w:eastAsiaTheme="majorEastAsia" w:cstheme="majorEastAsia"/>
          <w:color w:val="auto"/>
          <w:sz w:val="24"/>
          <w:highlight w:val="none"/>
        </w:rPr>
        <w:t>日</w:t>
      </w:r>
    </w:p>
    <w:bookmarkEnd w:id="3"/>
    <w:bookmarkEnd w:id="4"/>
    <w:bookmarkEnd w:id="5"/>
    <w:bookmarkEnd w:id="6"/>
    <w:bookmarkEnd w:id="7"/>
    <w:bookmarkEnd w:id="8"/>
    <w:p>
      <w:pPr>
        <w:pStyle w:val="2"/>
        <w:spacing w:before="120" w:after="120" w:line="400" w:lineRule="exact"/>
        <w:jc w:val="center"/>
        <w:rPr>
          <w:rFonts w:ascii="宋体" w:hAnsi="宋体" w:cs="Courier New"/>
          <w:b w:val="0"/>
          <w:bCs w:val="0"/>
          <w:color w:val="auto"/>
          <w:sz w:val="36"/>
          <w:highlight w:val="none"/>
        </w:rPr>
      </w:pPr>
      <w:r>
        <w:rPr>
          <w:rFonts w:hint="eastAsia" w:asciiTheme="majorEastAsia" w:hAnsiTheme="majorEastAsia" w:eastAsiaTheme="majorEastAsia" w:cstheme="majorEastAsia"/>
          <w:color w:val="auto"/>
          <w:sz w:val="24"/>
          <w:szCs w:val="24"/>
          <w:highlight w:val="none"/>
        </w:rPr>
        <w:br w:type="page"/>
      </w:r>
      <w:bookmarkStart w:id="9" w:name="_Toc20455"/>
      <w:bookmarkStart w:id="10" w:name="_Toc17581"/>
      <w:r>
        <w:rPr>
          <w:rFonts w:hint="eastAsia"/>
          <w:color w:val="auto"/>
          <w:highlight w:val="none"/>
        </w:rPr>
        <w:t>第二章  磋商须知前附表</w:t>
      </w:r>
      <w:bookmarkEnd w:id="9"/>
      <w:bookmarkEnd w:id="10"/>
    </w:p>
    <w:tbl>
      <w:tblPr>
        <w:tblStyle w:val="21"/>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7606" w:type="dxa"/>
            <w:noWrap/>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433" w:type="dxa"/>
            <w:noWrap/>
            <w:vAlign w:val="center"/>
          </w:tcPr>
          <w:p>
            <w:pPr>
              <w:spacing w:line="340" w:lineRule="exact"/>
              <w:jc w:val="center"/>
              <w:rPr>
                <w:rFonts w:ascii="宋体" w:hAnsi="宋体"/>
                <w:color w:val="auto"/>
                <w:szCs w:val="21"/>
                <w:highlight w:val="none"/>
              </w:rPr>
            </w:pPr>
            <w:r>
              <w:rPr>
                <w:rFonts w:hint="eastAsia"/>
                <w:color w:val="auto"/>
                <w:szCs w:val="21"/>
                <w:highlight w:val="none"/>
              </w:rPr>
              <w:t>1</w:t>
            </w:r>
          </w:p>
        </w:tc>
        <w:tc>
          <w:tcPr>
            <w:tcW w:w="7606" w:type="dxa"/>
            <w:noWrap/>
            <w:vAlign w:val="center"/>
          </w:tcPr>
          <w:p>
            <w:pPr>
              <w:spacing w:line="360" w:lineRule="auto"/>
              <w:rPr>
                <w:color w:val="auto"/>
                <w:highlight w:val="none"/>
              </w:rPr>
            </w:pPr>
            <w:r>
              <w:rPr>
                <w:rFonts w:hint="eastAsia"/>
                <w:color w:val="auto"/>
                <w:highlight w:val="none"/>
              </w:rPr>
              <w:t>1．项目编号：GXZC2024-C2-000002-RZB</w:t>
            </w:r>
            <w:r>
              <w:rPr>
                <w:rFonts w:hint="eastAsia" w:ascii="Times New Roman" w:hAnsi="Times New Roman" w:cs="Times New Roman"/>
                <w:color w:val="auto"/>
                <w:highlight w:val="none"/>
              </w:rPr>
              <w:t>H</w:t>
            </w:r>
            <w:r>
              <w:rPr>
                <w:rFonts w:hint="eastAsia" w:ascii="Times New Roman" w:hAnsi="Times New Roman" w:cs="Times New Roman"/>
                <w:color w:val="auto"/>
                <w:highlight w:val="none"/>
                <w:lang w:val="en-US" w:eastAsia="zh-CN"/>
              </w:rPr>
              <w:t>(重）</w:t>
            </w:r>
          </w:p>
          <w:p>
            <w:pPr>
              <w:spacing w:line="320" w:lineRule="exact"/>
              <w:rPr>
                <w:color w:val="auto"/>
                <w:highlight w:val="none"/>
              </w:rPr>
            </w:pPr>
            <w:r>
              <w:rPr>
                <w:rFonts w:hint="eastAsia"/>
                <w:color w:val="auto"/>
                <w:highlight w:val="none"/>
              </w:rPr>
              <w:t>2．项目名称：G228线桥危旧桥梁改造工程（G228线K6734+566白沙头桥危旧桥梁改造工程、G228线K6744+568围初沟桥危旧桥梁改造工程）</w:t>
            </w:r>
          </w:p>
          <w:p>
            <w:pPr>
              <w:spacing w:line="360" w:lineRule="auto"/>
              <w:rPr>
                <w:color w:val="auto"/>
                <w:highlight w:val="none"/>
              </w:rPr>
            </w:pPr>
            <w:r>
              <w:rPr>
                <w:rFonts w:hint="eastAsia"/>
                <w:color w:val="auto"/>
                <w:highlight w:val="none"/>
              </w:rPr>
              <w:t>3. 项目概况：</w:t>
            </w:r>
          </w:p>
          <w:p>
            <w:pPr>
              <w:spacing w:line="360" w:lineRule="auto"/>
              <w:rPr>
                <w:color w:val="auto"/>
                <w:highlight w:val="none"/>
              </w:rPr>
            </w:pPr>
            <w:r>
              <w:rPr>
                <w:rFonts w:hint="eastAsia"/>
                <w:color w:val="auto"/>
                <w:highlight w:val="none"/>
              </w:rPr>
              <w:t>(1)G228线K6734+566白沙头桥危旧桥梁改造工程：拆除重建为简支实心板梁桥，桥梁全长 12米，桥面净宽 21米，全宽 22米，桥梁设计荷载等级为公路-Ι级，安全等级为一级，地震烈度为Ⅵ度，设计行车速度为 30公里/小时，设计洪水频率为1/25。上部结构采用预制安装 1×6米实心板，采用扩大基础薄壁桥台。如需进一步了解内容，请详见招标文件及工程量清单。</w:t>
            </w:r>
          </w:p>
          <w:p>
            <w:pPr>
              <w:spacing w:line="360" w:lineRule="auto"/>
              <w:rPr>
                <w:color w:val="auto"/>
                <w:highlight w:val="none"/>
              </w:rPr>
            </w:pPr>
            <w:r>
              <w:rPr>
                <w:rFonts w:hint="eastAsia"/>
                <w:color w:val="auto"/>
                <w:highlight w:val="none"/>
              </w:rPr>
              <w:t>(2)G228线K6744+568围初沟桥危旧桥梁改造工程：拆除重建为简支空心板梁桥，桥梁全长 14米，桥面净宽 9米，全宽 10米；桥梁设计荷载等级为公路-Ι级，安全等级为二级，地震烈度为Ⅵ级，设计行车速度为 30公里/小时，设计洪水频率为1/25。上部结构采用 1×8米钢筋混凝土空心板，采用重力式 U型桥台。桥头两侧设引道与新建桥梁连接。如需进一步了解内容，请详见招标文件及工程量清单。</w:t>
            </w:r>
          </w:p>
          <w:p>
            <w:pPr>
              <w:spacing w:line="360" w:lineRule="auto"/>
              <w:rPr>
                <w:color w:val="auto"/>
                <w:highlight w:val="none"/>
              </w:rPr>
            </w:pPr>
            <w:r>
              <w:rPr>
                <w:rFonts w:hint="eastAsia"/>
                <w:color w:val="auto"/>
                <w:highlight w:val="none"/>
              </w:rPr>
              <w:t>4. 质量要求：满足国家现行与本项目相应的施工竣工验收规范之“合格”标准。</w:t>
            </w:r>
          </w:p>
          <w:p>
            <w:pPr>
              <w:spacing w:line="360" w:lineRule="auto"/>
              <w:rPr>
                <w:color w:val="auto"/>
                <w:highlight w:val="none"/>
              </w:rPr>
            </w:pPr>
            <w:r>
              <w:rPr>
                <w:rFonts w:hint="eastAsia"/>
                <w:color w:val="auto"/>
                <w:highlight w:val="none"/>
              </w:rPr>
              <w:t xml:space="preserve">5. </w:t>
            </w:r>
            <w:r>
              <w:rPr>
                <w:color w:val="auto"/>
                <w:highlight w:val="none"/>
              </w:rPr>
              <w:t>合同履约期限</w:t>
            </w:r>
            <w:r>
              <w:rPr>
                <w:rFonts w:hint="eastAsia"/>
                <w:color w:val="auto"/>
                <w:highlight w:val="none"/>
              </w:rPr>
              <w:t>（工期）：80日历天</w:t>
            </w:r>
          </w:p>
          <w:p>
            <w:pPr>
              <w:pStyle w:val="15"/>
              <w:rPr>
                <w:color w:val="auto"/>
                <w:highlight w:val="none"/>
              </w:rPr>
            </w:pPr>
            <w:r>
              <w:rPr>
                <w:rFonts w:hint="eastAsia"/>
                <w:color w:val="auto"/>
                <w:sz w:val="21"/>
                <w:szCs w:val="24"/>
                <w:highlight w:val="none"/>
              </w:rPr>
              <w:t>6资金来源：一般公共预算拨款-经费拨款-政府还贷二级公路取消收费后补助资金。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3</w:t>
            </w:r>
          </w:p>
        </w:tc>
        <w:tc>
          <w:tcPr>
            <w:tcW w:w="7606" w:type="dxa"/>
            <w:noWrap/>
          </w:tcPr>
          <w:p>
            <w:pPr>
              <w:spacing w:line="360" w:lineRule="auto"/>
              <w:rPr>
                <w:color w:val="auto"/>
                <w:highlight w:val="none"/>
              </w:rPr>
            </w:pPr>
            <w:r>
              <w:rPr>
                <w:rFonts w:hint="eastAsia"/>
                <w:color w:val="auto"/>
                <w:highlight w:val="none"/>
              </w:rPr>
              <w:t>供应商的资格条件：</w:t>
            </w:r>
          </w:p>
          <w:p>
            <w:pPr>
              <w:spacing w:line="360" w:lineRule="auto"/>
              <w:rPr>
                <w:color w:val="auto"/>
                <w:highlight w:val="none"/>
              </w:rPr>
            </w:pPr>
            <w:r>
              <w:rPr>
                <w:rFonts w:hint="eastAsia"/>
                <w:color w:val="auto"/>
                <w:highlight w:val="none"/>
              </w:rPr>
              <w:t>1．满足《中华人民共和国政府采购法》第二十二条规定；</w:t>
            </w:r>
          </w:p>
          <w:p>
            <w:pPr>
              <w:spacing w:line="360" w:lineRule="auto"/>
              <w:rPr>
                <w:color w:val="auto"/>
                <w:highlight w:val="none"/>
              </w:rPr>
            </w:pPr>
            <w:r>
              <w:rPr>
                <w:rFonts w:hint="eastAsia"/>
                <w:color w:val="auto"/>
                <w:highlight w:val="none"/>
              </w:rPr>
              <w:t>2．本项目需要落实的政府采购政策：本项目属于专门面向中小企业采购的项目，供应商应为中小微企业或监狱企业或残疾人福利企业</w:t>
            </w:r>
          </w:p>
          <w:p>
            <w:pPr>
              <w:spacing w:line="360" w:lineRule="auto"/>
              <w:rPr>
                <w:rFonts w:hint="eastAsia" w:ascii="Times New Roman" w:hAnsi="Times New Roman" w:cs="Times New Roman"/>
                <w:color w:val="auto"/>
                <w:highlight w:val="none"/>
              </w:rPr>
            </w:pPr>
            <w:r>
              <w:rPr>
                <w:rFonts w:hint="eastAsia"/>
                <w:color w:val="auto"/>
                <w:highlight w:val="none"/>
              </w:rPr>
              <w:t>3．本项目的特定资格要求：</w:t>
            </w:r>
            <w:r>
              <w:rPr>
                <w:rFonts w:hint="eastAsia" w:cs="Times New Roman"/>
                <w:color w:val="auto"/>
                <w:highlight w:val="none"/>
                <w:lang w:val="en-US" w:eastAsia="zh-CN"/>
              </w:rPr>
              <w:t>供应商同时具备有桥梁养护乙级（含）以上资质及公路工程施工总承包三级(含)以上资质</w:t>
            </w:r>
            <w:r>
              <w:rPr>
                <w:rFonts w:hint="eastAsia" w:ascii="Times New Roman" w:hAnsi="Times New Roman" w:cs="Times New Roman"/>
                <w:color w:val="auto"/>
                <w:highlight w:val="none"/>
                <w:lang w:val="en-US" w:eastAsia="zh-CN"/>
              </w:rPr>
              <w:t>和安全生产许可证；拟投入的项目经理必须具备公路工程专业二级（含本级）以上注册建造师执业资格，具备交通行政主管部门颁发的有效安全生产考核合格证书（B类）；供应商拟投入安全管理人员需具备交通行政主管部门颁发的有效安全生产考核合格证书（C类），本项目不接受有在建、已中标未开工或已列为其他项目中标候选人第一名的建造师作为项目经理。</w:t>
            </w:r>
          </w:p>
          <w:p>
            <w:pPr>
              <w:spacing w:line="360" w:lineRule="auto"/>
              <w:rPr>
                <w:color w:val="auto"/>
                <w:highlight w:val="none"/>
              </w:rPr>
            </w:pPr>
            <w:r>
              <w:rPr>
                <w:rFonts w:hint="eastAsia"/>
                <w:color w:val="auto"/>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highlight w:val="none"/>
              </w:rPr>
            </w:pPr>
            <w:r>
              <w:rPr>
                <w:rFonts w:hint="eastAsia" w:ascii="宋体" w:hAnsi="宋体" w:cs="宋体"/>
                <w:color w:val="auto"/>
                <w:szCs w:val="21"/>
                <w:highlight w:val="none"/>
              </w:rPr>
              <w:t>5．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5.1</w:t>
            </w:r>
          </w:p>
        </w:tc>
        <w:tc>
          <w:tcPr>
            <w:tcW w:w="7606" w:type="dxa"/>
            <w:noWrap/>
            <w:vAlign w:val="center"/>
          </w:tcPr>
          <w:p>
            <w:pPr>
              <w:spacing w:line="340" w:lineRule="exact"/>
              <w:rPr>
                <w:rFonts w:ascii="宋体" w:hAnsi="宋体"/>
                <w:color w:val="auto"/>
                <w:szCs w:val="21"/>
                <w:highlight w:val="none"/>
              </w:rPr>
            </w:pPr>
            <w:r>
              <w:rPr>
                <w:color w:val="auto"/>
                <w:szCs w:val="21"/>
                <w:highlight w:val="none"/>
              </w:rPr>
              <w:t>是否接受联合体竞标</w:t>
            </w:r>
            <w:r>
              <w:rPr>
                <w:rFonts w:hint="eastAsia"/>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5.2</w:t>
            </w:r>
          </w:p>
        </w:tc>
        <w:tc>
          <w:tcPr>
            <w:tcW w:w="7606" w:type="dxa"/>
            <w:noWrap/>
            <w:vAlign w:val="center"/>
          </w:tcPr>
          <w:p>
            <w:pPr>
              <w:snapToGrid w:val="0"/>
              <w:spacing w:line="330" w:lineRule="exact"/>
              <w:jc w:val="left"/>
              <w:rPr>
                <w:color w:val="auto"/>
                <w:szCs w:val="21"/>
                <w:highlight w:val="none"/>
              </w:rPr>
            </w:pPr>
            <w:r>
              <w:rPr>
                <w:rFonts w:hint="eastAsia"/>
                <w:color w:val="auto"/>
                <w:szCs w:val="21"/>
                <w:highlight w:val="none"/>
              </w:rPr>
              <w:t>磋商前准备：</w:t>
            </w:r>
          </w:p>
          <w:p>
            <w:pPr>
              <w:snapToGrid w:val="0"/>
              <w:spacing w:line="33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本项目实行网上磋商，采用电子响应文件。若供应商参与磋商，自行承担磋商一切费用。</w:t>
            </w:r>
          </w:p>
          <w:p>
            <w:pPr>
              <w:snapToGrid w:val="0"/>
              <w:spacing w:line="330" w:lineRule="exact"/>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各供应商应在截标前应确保成为广西政府采购云平台（https://www.gcy.zfcg.gxzf.gov.cn/）正式注册入库供应商，并完成CA数字证书申领。因未注册入库、未办理CA数字证书等原因造成无法磋商或磋商失败等后果由供应商自行承担。</w:t>
            </w:r>
          </w:p>
          <w:p>
            <w:pPr>
              <w:snapToGrid w:val="0"/>
              <w:spacing w:line="330" w:lineRule="exact"/>
              <w:jc w:val="left"/>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供应商将广西政府采购云平台客户端下载、安装完成后，可通过账号密码或CA登录客户端进行电子响应文件制作。客户端下载路径：广西政府采购网（访问地址http://zfcg.gxzf.gov.cn/）—办事服务—下载专区。如有问题可拨打</w:t>
            </w:r>
            <w:r>
              <w:rPr>
                <w:rFonts w:ascii="Arial" w:hAnsi="Arial" w:eastAsia="Arial" w:cs="Arial"/>
                <w:color w:val="auto"/>
                <w:szCs w:val="21"/>
                <w:highlight w:val="none"/>
                <w:shd w:val="clear" w:color="auto" w:fill="FFFFFF"/>
              </w:rPr>
              <w:t>广西政府采购云平台</w:t>
            </w:r>
            <w:r>
              <w:rPr>
                <w:rFonts w:hint="eastAsia"/>
                <w:color w:val="auto"/>
                <w:szCs w:val="21"/>
                <w:highlight w:val="none"/>
              </w:rPr>
              <w:t>客户服务热线95763进行咨询。</w:t>
            </w:r>
          </w:p>
          <w:p>
            <w:pPr>
              <w:snapToGrid w:val="0"/>
              <w:spacing w:line="330" w:lineRule="exact"/>
              <w:jc w:val="left"/>
              <w:rPr>
                <w:color w:val="auto"/>
                <w:szCs w:val="21"/>
                <w:highlight w:val="none"/>
              </w:rPr>
            </w:pPr>
            <w:r>
              <w:rPr>
                <w:rFonts w:hint="eastAsia"/>
                <w:color w:val="auto"/>
                <w:szCs w:val="21"/>
                <w:highlight w:val="none"/>
              </w:rPr>
              <w:t>响应文件解密时间：</w:t>
            </w:r>
          </w:p>
          <w:p>
            <w:pPr>
              <w:snapToGrid w:val="0"/>
              <w:spacing w:line="330" w:lineRule="exact"/>
              <w:jc w:val="left"/>
              <w:rPr>
                <w:rFonts w:ascii="宋体" w:hAnsi="宋体"/>
                <w:color w:val="auto"/>
                <w:szCs w:val="21"/>
                <w:highlight w:val="none"/>
              </w:rPr>
            </w:pPr>
            <w:r>
              <w:rPr>
                <w:rFonts w:hint="eastAsia"/>
                <w:color w:val="auto"/>
                <w:szCs w:val="21"/>
                <w:highlight w:val="none"/>
              </w:rPr>
              <w:t>截标时间后30分钟内供应商可以登录广西政府采购云平台（https://www.gcy.zfcg.gxzf.gov.cn/），用“项目采购-开标评标”功能进行解密响应文件。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33" w:type="dxa"/>
            <w:noWrap/>
            <w:vAlign w:val="center"/>
          </w:tcPr>
          <w:p>
            <w:pPr>
              <w:spacing w:line="340" w:lineRule="exact"/>
              <w:jc w:val="center"/>
              <w:rPr>
                <w:rFonts w:ascii="宋体" w:hAnsi="宋体" w:cs="Courier New"/>
                <w:color w:val="auto"/>
                <w:szCs w:val="21"/>
                <w:highlight w:val="none"/>
              </w:rPr>
            </w:pPr>
            <w:r>
              <w:rPr>
                <w:color w:val="auto"/>
                <w:szCs w:val="21"/>
                <w:highlight w:val="none"/>
              </w:rPr>
              <w:t>6.2</w:t>
            </w:r>
          </w:p>
        </w:tc>
        <w:tc>
          <w:tcPr>
            <w:tcW w:w="7606" w:type="dxa"/>
            <w:noWrap/>
            <w:vAlign w:val="center"/>
          </w:tcPr>
          <w:p>
            <w:pPr>
              <w:pStyle w:val="7"/>
              <w:spacing w:line="340" w:lineRule="exact"/>
              <w:rPr>
                <w:color w:val="auto"/>
                <w:szCs w:val="21"/>
                <w:highlight w:val="none"/>
              </w:rPr>
            </w:pPr>
            <w:r>
              <w:rPr>
                <w:rFonts w:hint="eastAsia" w:ascii="宋体" w:hAnsi="宋体" w:cs="宋体"/>
                <w:color w:val="auto"/>
                <w:szCs w:val="21"/>
                <w:highlight w:val="none"/>
              </w:rPr>
              <w:t>☑</w:t>
            </w:r>
            <w:r>
              <w:rPr>
                <w:color w:val="auto"/>
                <w:szCs w:val="21"/>
                <w:highlight w:val="none"/>
              </w:rPr>
              <w:t>不允许分包</w:t>
            </w:r>
          </w:p>
          <w:p>
            <w:pPr>
              <w:pStyle w:val="7"/>
              <w:spacing w:line="340" w:lineRule="exact"/>
              <w:rPr>
                <w:rFonts w:ascii="宋体" w:hAnsi="宋体" w:cs="Courier New"/>
                <w:color w:val="auto"/>
                <w:szCs w:val="21"/>
                <w:highlight w:val="none"/>
              </w:rPr>
            </w:pPr>
            <w:r>
              <w:rPr>
                <w:rFonts w:hint="eastAsia" w:ascii="宋体" w:hAnsi="宋体" w:cs="宋体"/>
                <w:color w:val="auto"/>
                <w:szCs w:val="21"/>
                <w:highlight w:val="none"/>
              </w:rPr>
              <w:t>□</w:t>
            </w:r>
            <w:r>
              <w:rPr>
                <w:color w:val="auto"/>
                <w:szCs w:val="21"/>
                <w:highlight w:val="none"/>
              </w:rPr>
              <w:t>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33" w:type="dxa"/>
            <w:noWrap/>
            <w:vAlign w:val="center"/>
          </w:tcPr>
          <w:p>
            <w:pPr>
              <w:spacing w:line="340" w:lineRule="exact"/>
              <w:jc w:val="center"/>
              <w:rPr>
                <w:rFonts w:ascii="宋体" w:hAnsi="宋体" w:cs="宋体"/>
                <w:color w:val="auto"/>
                <w:szCs w:val="21"/>
                <w:highlight w:val="none"/>
              </w:rPr>
            </w:pPr>
            <w:r>
              <w:rPr>
                <w:color w:val="auto"/>
                <w:szCs w:val="21"/>
                <w:highlight w:val="none"/>
              </w:rPr>
              <w:t>12.1.1</w:t>
            </w:r>
          </w:p>
        </w:tc>
        <w:tc>
          <w:tcPr>
            <w:tcW w:w="7606" w:type="dxa"/>
            <w:noWrap/>
            <w:vAlign w:val="center"/>
          </w:tcPr>
          <w:p>
            <w:pPr>
              <w:snapToGrid w:val="0"/>
              <w:spacing w:line="330" w:lineRule="exact"/>
              <w:jc w:val="left"/>
              <w:rPr>
                <w:b/>
                <w:color w:val="auto"/>
                <w:szCs w:val="21"/>
                <w:highlight w:val="none"/>
              </w:rPr>
            </w:pPr>
            <w:r>
              <w:rPr>
                <w:b/>
                <w:color w:val="auto"/>
                <w:szCs w:val="21"/>
                <w:highlight w:val="none"/>
              </w:rPr>
              <w:t>资格证明文件</w:t>
            </w:r>
          </w:p>
          <w:p>
            <w:pPr>
              <w:pStyle w:val="7"/>
              <w:spacing w:line="330" w:lineRule="exact"/>
              <w:ind w:firstLine="420" w:firstLineChars="200"/>
              <w:rPr>
                <w:color w:val="auto"/>
                <w:szCs w:val="21"/>
                <w:highlight w:val="none"/>
              </w:rPr>
            </w:pPr>
            <w:r>
              <w:rPr>
                <w:color w:val="auto"/>
                <w:szCs w:val="21"/>
                <w:highlight w:val="none"/>
              </w:rPr>
              <w:t>1．供应商为法人或者其他组织的提供其营业执照等证明文件（如营业执照或者事业单位法人证书或者执业许可证等），供应商为自然人的提供其身份证；（</w:t>
            </w:r>
            <w:r>
              <w:rPr>
                <w:b/>
                <w:color w:val="auto"/>
                <w:szCs w:val="21"/>
                <w:highlight w:val="none"/>
              </w:rPr>
              <w:t>必须提供，否则响应文件按无效响应处理</w:t>
            </w:r>
            <w:r>
              <w:rPr>
                <w:color w:val="auto"/>
                <w:szCs w:val="21"/>
                <w:highlight w:val="none"/>
              </w:rPr>
              <w:t>）</w:t>
            </w:r>
          </w:p>
          <w:p>
            <w:pPr>
              <w:pStyle w:val="7"/>
              <w:spacing w:line="330" w:lineRule="exact"/>
              <w:ind w:firstLine="420" w:firstLineChars="200"/>
              <w:rPr>
                <w:color w:val="auto"/>
                <w:szCs w:val="21"/>
                <w:highlight w:val="none"/>
              </w:rPr>
            </w:pPr>
            <w:r>
              <w:rPr>
                <w:color w:val="auto"/>
                <w:szCs w:val="21"/>
                <w:highlight w:val="none"/>
              </w:rPr>
              <w:t>2．法定代表人身份证明书及法定代表人有效身份证正反面（格式后附）；（</w:t>
            </w:r>
            <w:r>
              <w:rPr>
                <w:b/>
                <w:bCs/>
                <w:color w:val="auto"/>
                <w:szCs w:val="21"/>
                <w:highlight w:val="none"/>
              </w:rPr>
              <w:t>除自然人竞标外</w:t>
            </w:r>
            <w:r>
              <w:rPr>
                <w:b/>
                <w:color w:val="auto"/>
                <w:szCs w:val="21"/>
                <w:highlight w:val="none"/>
              </w:rPr>
              <w:t>必须提供，否则响应文件按无效响应处理</w:t>
            </w:r>
            <w:r>
              <w:rPr>
                <w:color w:val="auto"/>
                <w:szCs w:val="21"/>
                <w:highlight w:val="none"/>
              </w:rPr>
              <w:t>）</w:t>
            </w:r>
          </w:p>
          <w:p>
            <w:pPr>
              <w:snapToGrid w:val="0"/>
              <w:spacing w:line="330" w:lineRule="exact"/>
              <w:ind w:firstLine="420" w:firstLineChars="200"/>
              <w:jc w:val="left"/>
              <w:rPr>
                <w:color w:val="auto"/>
                <w:szCs w:val="21"/>
                <w:highlight w:val="none"/>
              </w:rPr>
            </w:pPr>
            <w:r>
              <w:rPr>
                <w:color w:val="auto"/>
                <w:szCs w:val="21"/>
                <w:highlight w:val="none"/>
              </w:rPr>
              <w:t>3．法定代表人授权委托书及委托代理人有效身份证正反面（格式后附）；（</w:t>
            </w:r>
            <w:r>
              <w:rPr>
                <w:b/>
                <w:color w:val="auto"/>
                <w:szCs w:val="21"/>
                <w:highlight w:val="none"/>
              </w:rPr>
              <w:t>委托时必须提供，否则响应文件按无效响应处理</w:t>
            </w:r>
            <w:r>
              <w:rPr>
                <w:color w:val="auto"/>
                <w:szCs w:val="21"/>
                <w:highlight w:val="none"/>
              </w:rPr>
              <w:t>）</w:t>
            </w:r>
          </w:p>
          <w:p>
            <w:pPr>
              <w:snapToGrid w:val="0"/>
              <w:spacing w:line="330" w:lineRule="exact"/>
              <w:ind w:firstLine="420" w:firstLineChars="200"/>
              <w:jc w:val="left"/>
              <w:rPr>
                <w:color w:val="auto"/>
                <w:szCs w:val="21"/>
                <w:highlight w:val="none"/>
              </w:rPr>
            </w:pPr>
            <w:r>
              <w:rPr>
                <w:color w:val="auto"/>
                <w:szCs w:val="21"/>
                <w:highlight w:val="none"/>
              </w:rPr>
              <w:t>4．</w:t>
            </w:r>
            <w:bookmarkStart w:id="249" w:name="_GoBack"/>
            <w:r>
              <w:rPr>
                <w:rFonts w:hint="eastAsia"/>
                <w:color w:val="auto"/>
                <w:szCs w:val="21"/>
                <w:highlight w:val="none"/>
              </w:rPr>
              <w:t>提供</w:t>
            </w:r>
            <w:r>
              <w:rPr>
                <w:color w:val="auto"/>
                <w:szCs w:val="21"/>
                <w:highlight w:val="none"/>
              </w:rPr>
              <w:t>有效</w:t>
            </w:r>
            <w:r>
              <w:rPr>
                <w:rFonts w:hint="eastAsia"/>
                <w:color w:val="auto"/>
                <w:szCs w:val="21"/>
                <w:highlight w:val="none"/>
              </w:rPr>
              <w:t>的具备</w:t>
            </w:r>
            <w:r>
              <w:rPr>
                <w:rFonts w:hint="eastAsia" w:cs="Times New Roman"/>
                <w:color w:val="auto"/>
                <w:highlight w:val="none"/>
                <w:lang w:val="en-US" w:eastAsia="zh-CN"/>
              </w:rPr>
              <w:t>有桥梁养护乙级（含）以上资质及公路工程施工总承包三级(含)以上资质</w:t>
            </w:r>
            <w:r>
              <w:rPr>
                <w:color w:val="auto"/>
                <w:szCs w:val="21"/>
                <w:highlight w:val="none"/>
              </w:rPr>
              <w:t>的资质证书副本</w:t>
            </w:r>
            <w:bookmarkEnd w:id="249"/>
            <w:r>
              <w:rPr>
                <w:color w:val="auto"/>
                <w:szCs w:val="21"/>
                <w:highlight w:val="none"/>
              </w:rPr>
              <w:t>；</w:t>
            </w:r>
            <w:r>
              <w:rPr>
                <w:b/>
                <w:bCs/>
                <w:color w:val="auto"/>
                <w:szCs w:val="21"/>
                <w:highlight w:val="none"/>
              </w:rPr>
              <w:t>（必须提供，否则响应文件按无效响应处理）</w:t>
            </w:r>
          </w:p>
          <w:p>
            <w:pPr>
              <w:snapToGrid w:val="0"/>
              <w:spacing w:line="330" w:lineRule="exact"/>
              <w:ind w:firstLine="420" w:firstLineChars="200"/>
              <w:jc w:val="left"/>
              <w:rPr>
                <w:color w:val="auto"/>
                <w:szCs w:val="21"/>
                <w:highlight w:val="none"/>
              </w:rPr>
            </w:pPr>
            <w:r>
              <w:rPr>
                <w:color w:val="auto"/>
                <w:szCs w:val="21"/>
                <w:highlight w:val="none"/>
              </w:rPr>
              <w:t>5．</w:t>
            </w:r>
            <w:r>
              <w:rPr>
                <w:rFonts w:hAnsi="宋体" w:cs="宋体"/>
                <w:color w:val="auto"/>
                <w:highlight w:val="none"/>
              </w:rPr>
              <w:t>安全生产许可证副本</w:t>
            </w:r>
            <w:r>
              <w:rPr>
                <w:color w:val="auto"/>
                <w:szCs w:val="21"/>
                <w:highlight w:val="none"/>
              </w:rPr>
              <w:t>；</w:t>
            </w:r>
            <w:r>
              <w:rPr>
                <w:b/>
                <w:bCs/>
                <w:color w:val="auto"/>
                <w:szCs w:val="21"/>
                <w:highlight w:val="none"/>
              </w:rPr>
              <w:t>（必须提供，否则响应文件按无效响应处理）</w:t>
            </w:r>
          </w:p>
          <w:p>
            <w:pPr>
              <w:snapToGrid w:val="0"/>
              <w:spacing w:line="330" w:lineRule="exact"/>
              <w:ind w:firstLine="420" w:firstLineChars="200"/>
              <w:jc w:val="left"/>
              <w:rPr>
                <w:color w:val="auto"/>
                <w:szCs w:val="21"/>
                <w:highlight w:val="none"/>
              </w:rPr>
            </w:pPr>
            <w:r>
              <w:rPr>
                <w:color w:val="auto"/>
                <w:szCs w:val="21"/>
                <w:highlight w:val="none"/>
              </w:rPr>
              <w:t>6．供应商依法缴纳税收的相关材料（</w:t>
            </w:r>
            <w:r>
              <w:rPr>
                <w:rFonts w:hint="eastAsia"/>
                <w:color w:val="auto"/>
                <w:szCs w:val="21"/>
                <w:highlight w:val="none"/>
              </w:rPr>
              <w:t>近半年</w:t>
            </w:r>
            <w:r>
              <w:rPr>
                <w:color w:val="auto"/>
                <w:szCs w:val="21"/>
                <w:highlight w:val="none"/>
              </w:rPr>
              <w:t>内连续</w:t>
            </w:r>
            <w:r>
              <w:rPr>
                <w:color w:val="auto"/>
                <w:szCs w:val="21"/>
                <w:highlight w:val="none"/>
                <w:u w:val="single"/>
              </w:rPr>
              <w:t xml:space="preserve"> 3 </w:t>
            </w:r>
            <w:r>
              <w:rPr>
                <w:color w:val="auto"/>
                <w:szCs w:val="21"/>
                <w:highlight w:val="none"/>
              </w:rPr>
              <w:t>个月的依法缴纳税收的凭据；依法免税的供应商，必须提供相应文件证明其依法免税。从取得营业执照时间起到首次响应文件提交截止时间为止不足要求月数的，只需提供从取得营业执照起的依法缴纳税收相应证明文件）；</w:t>
            </w:r>
            <w:r>
              <w:rPr>
                <w:b/>
                <w:color w:val="auto"/>
                <w:szCs w:val="21"/>
                <w:highlight w:val="none"/>
              </w:rPr>
              <w:t>（必须提供，否则响应文件按无效响应处理</w:t>
            </w:r>
            <w:r>
              <w:rPr>
                <w:color w:val="auto"/>
                <w:szCs w:val="21"/>
                <w:highlight w:val="none"/>
              </w:rPr>
              <w:t>）</w:t>
            </w:r>
          </w:p>
          <w:p>
            <w:pPr>
              <w:snapToGrid w:val="0"/>
              <w:spacing w:line="33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7.</w:t>
            </w:r>
            <w:r>
              <w:rPr>
                <w:color w:val="auto"/>
                <w:szCs w:val="21"/>
                <w:highlight w:val="none"/>
              </w:rPr>
              <w:t>供应商</w:t>
            </w:r>
            <w:r>
              <w:rPr>
                <w:rFonts w:hint="eastAsia" w:ascii="宋体" w:hAnsi="宋体" w:cs="宋体"/>
                <w:color w:val="auto"/>
                <w:szCs w:val="21"/>
                <w:highlight w:val="none"/>
              </w:rPr>
              <w:t>依法缴纳社会保障资金的相关材料</w:t>
            </w:r>
            <w:r>
              <w:rPr>
                <w:color w:val="auto"/>
                <w:szCs w:val="21"/>
                <w:highlight w:val="none"/>
              </w:rPr>
              <w:t>（</w:t>
            </w:r>
            <w:r>
              <w:rPr>
                <w:rFonts w:hint="eastAsia"/>
                <w:color w:val="auto"/>
                <w:szCs w:val="21"/>
                <w:highlight w:val="none"/>
              </w:rPr>
              <w:t>近半年</w:t>
            </w:r>
            <w:r>
              <w:rPr>
                <w:color w:val="auto"/>
                <w:szCs w:val="21"/>
                <w:highlight w:val="none"/>
              </w:rPr>
              <w:t>内连续</w:t>
            </w:r>
            <w:r>
              <w:rPr>
                <w:color w:val="auto"/>
                <w:szCs w:val="21"/>
                <w:highlight w:val="none"/>
                <w:u w:val="single"/>
              </w:rPr>
              <w:t xml:space="preserve"> 3 </w:t>
            </w:r>
            <w:r>
              <w:rPr>
                <w:color w:val="auto"/>
                <w:szCs w:val="21"/>
                <w:highlight w:val="none"/>
              </w:rPr>
              <w:t>个月</w:t>
            </w:r>
            <w:r>
              <w:rPr>
                <w:rFonts w:hint="eastAsia" w:ascii="宋体" w:hAnsi="宋体" w:cs="宋体"/>
                <w:color w:val="auto"/>
                <w:szCs w:val="21"/>
                <w:highlight w:val="none"/>
              </w:rPr>
              <w:t>的依法缴纳社会保障资金的缴费凭证（专用收据或者社会保险缴纳清单）扫描件；依法不需要缴纳社会保障资金的供应商，必须提供相应文件证明不需要缴纳社会保障资金。从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之日起的依法缴纳社会保障资金的相应证明文件]；</w:t>
            </w:r>
            <w:r>
              <w:rPr>
                <w:rFonts w:hint="eastAsia" w:ascii="宋体" w:hAnsi="宋体" w:cs="宋体"/>
                <w:b/>
                <w:color w:val="auto"/>
                <w:szCs w:val="21"/>
                <w:highlight w:val="none"/>
              </w:rPr>
              <w:t>（必须提供，否则按无效投标处理）</w:t>
            </w:r>
          </w:p>
          <w:p>
            <w:pPr>
              <w:snapToGrid w:val="0"/>
              <w:spacing w:line="330" w:lineRule="exact"/>
              <w:ind w:firstLine="420" w:firstLineChars="200"/>
              <w:jc w:val="left"/>
              <w:rPr>
                <w:b/>
                <w:bCs/>
                <w:color w:val="auto"/>
                <w:szCs w:val="21"/>
                <w:highlight w:val="none"/>
              </w:rPr>
            </w:pPr>
            <w:r>
              <w:rPr>
                <w:rFonts w:hint="eastAsia"/>
                <w:color w:val="auto"/>
                <w:szCs w:val="21"/>
                <w:highlight w:val="none"/>
              </w:rPr>
              <w:t>8</w:t>
            </w:r>
            <w:r>
              <w:rPr>
                <w:color w:val="auto"/>
                <w:szCs w:val="21"/>
                <w:highlight w:val="none"/>
              </w:rPr>
              <w:t>．</w:t>
            </w:r>
            <w:r>
              <w:rPr>
                <w:rFonts w:hint="eastAsia"/>
                <w:color w:val="auto"/>
                <w:szCs w:val="21"/>
                <w:highlight w:val="none"/>
              </w:rPr>
              <w:t>项目经理简历表。供应商拟派项目经理须具备公路工程 专业 二 级（含本级）以上注册建造师执业资格且具备交通行政主管部门颁发的有效安全生产考核合格证书（B类），本项目不接受有在建、已中标未开工或已列为其他项目中标候选人第一名的建造师作为项目经理；（附项目经理注册建造师注册证书、身份证及交通行政主管部门颁发的有效安全生产考核合格证书（B证）。</w:t>
            </w:r>
            <w:r>
              <w:rPr>
                <w:rFonts w:hint="eastAsia"/>
                <w:b/>
                <w:bCs/>
                <w:color w:val="auto"/>
                <w:szCs w:val="21"/>
                <w:highlight w:val="none"/>
              </w:rPr>
              <w:t>（</w:t>
            </w:r>
            <w:r>
              <w:rPr>
                <w:b/>
                <w:bCs/>
                <w:color w:val="auto"/>
                <w:szCs w:val="21"/>
                <w:highlight w:val="none"/>
              </w:rPr>
              <w:t>必须提供，否则响应文件按无效响应处理</w:t>
            </w:r>
            <w:r>
              <w:rPr>
                <w:rFonts w:hint="eastAsia"/>
                <w:b/>
                <w:bCs/>
                <w:color w:val="auto"/>
                <w:szCs w:val="21"/>
                <w:highlight w:val="none"/>
              </w:rPr>
              <w:t>）</w:t>
            </w:r>
          </w:p>
          <w:p>
            <w:pPr>
              <w:snapToGrid w:val="0"/>
              <w:spacing w:line="330" w:lineRule="exact"/>
              <w:ind w:firstLine="420" w:firstLineChars="200"/>
              <w:jc w:val="left"/>
              <w:rPr>
                <w:color w:val="auto"/>
                <w:szCs w:val="21"/>
                <w:highlight w:val="none"/>
              </w:rPr>
            </w:pPr>
            <w:r>
              <w:rPr>
                <w:rFonts w:hint="eastAsia"/>
                <w:color w:val="auto"/>
                <w:szCs w:val="21"/>
                <w:highlight w:val="none"/>
              </w:rPr>
              <w:t>9</w:t>
            </w:r>
            <w:r>
              <w:rPr>
                <w:color w:val="auto"/>
                <w:szCs w:val="21"/>
                <w:highlight w:val="none"/>
              </w:rPr>
              <w:t>．</w:t>
            </w:r>
            <w:r>
              <w:rPr>
                <w:rFonts w:hAnsi="宋体" w:cs="宋体"/>
                <w:color w:val="auto"/>
                <w:highlight w:val="none"/>
              </w:rPr>
              <w:t>供应商拟投入</w:t>
            </w:r>
            <w:r>
              <w:rPr>
                <w:rFonts w:hint="eastAsia" w:hAnsi="宋体" w:cs="宋体"/>
                <w:color w:val="auto"/>
                <w:highlight w:val="none"/>
              </w:rPr>
              <w:t>安全管理人员需</w:t>
            </w:r>
            <w:r>
              <w:rPr>
                <w:rFonts w:hint="eastAsia" w:cs="宋体"/>
                <w:color w:val="auto"/>
                <w:highlight w:val="none"/>
              </w:rPr>
              <w:t>具备</w:t>
            </w:r>
            <w:r>
              <w:rPr>
                <w:rFonts w:hint="eastAsia" w:ascii="宋体" w:hAnsi="宋体" w:cs="宋体"/>
                <w:color w:val="auto"/>
                <w:szCs w:val="21"/>
                <w:highlight w:val="none"/>
                <w:shd w:val="clear" w:color="auto" w:fill="FFFFFF"/>
              </w:rPr>
              <w:t>交通行政主管部门颁发的</w:t>
            </w:r>
            <w:r>
              <w:rPr>
                <w:rFonts w:hint="eastAsia" w:cs="宋体"/>
                <w:color w:val="auto"/>
                <w:highlight w:val="none"/>
              </w:rPr>
              <w:t>有效安全生产考核合格证书（</w:t>
            </w:r>
            <w:r>
              <w:rPr>
                <w:color w:val="auto"/>
                <w:highlight w:val="none"/>
              </w:rPr>
              <w:t>C</w:t>
            </w:r>
            <w:r>
              <w:rPr>
                <w:rFonts w:hint="eastAsia" w:cs="宋体"/>
                <w:color w:val="auto"/>
                <w:highlight w:val="none"/>
              </w:rPr>
              <w:t>类）；</w:t>
            </w:r>
            <w:r>
              <w:rPr>
                <w:rFonts w:hint="eastAsia"/>
                <w:color w:val="auto"/>
                <w:szCs w:val="21"/>
                <w:highlight w:val="none"/>
              </w:rPr>
              <w:t>（附安全管理人员身份证及</w:t>
            </w:r>
            <w:r>
              <w:rPr>
                <w:color w:val="auto"/>
                <w:szCs w:val="21"/>
                <w:highlight w:val="none"/>
              </w:rPr>
              <w:t>交通行政主管部门</w:t>
            </w:r>
            <w:r>
              <w:rPr>
                <w:rFonts w:hint="eastAsia"/>
                <w:color w:val="auto"/>
                <w:szCs w:val="21"/>
                <w:highlight w:val="none"/>
              </w:rPr>
              <w:t>颁发的有效安全生产考核合格证书（C类）。</w:t>
            </w:r>
            <w:r>
              <w:rPr>
                <w:rFonts w:hint="eastAsia"/>
                <w:b/>
                <w:bCs/>
                <w:color w:val="auto"/>
                <w:szCs w:val="21"/>
                <w:highlight w:val="none"/>
              </w:rPr>
              <w:t>（</w:t>
            </w:r>
            <w:r>
              <w:rPr>
                <w:b/>
                <w:bCs/>
                <w:color w:val="auto"/>
                <w:szCs w:val="21"/>
                <w:highlight w:val="none"/>
              </w:rPr>
              <w:t>必须提供，否则响应文件按无效响应处理</w:t>
            </w:r>
            <w:r>
              <w:rPr>
                <w:rFonts w:hint="eastAsia"/>
                <w:b/>
                <w:bCs/>
                <w:color w:val="auto"/>
                <w:szCs w:val="21"/>
                <w:highlight w:val="none"/>
              </w:rPr>
              <w:t>）</w:t>
            </w:r>
          </w:p>
          <w:p>
            <w:pPr>
              <w:snapToGrid w:val="0"/>
              <w:spacing w:line="330" w:lineRule="exact"/>
              <w:ind w:firstLine="420" w:firstLineChars="200"/>
              <w:jc w:val="left"/>
              <w:rPr>
                <w:b/>
                <w:color w:val="auto"/>
                <w:szCs w:val="21"/>
                <w:highlight w:val="none"/>
              </w:rPr>
            </w:pPr>
            <w:r>
              <w:rPr>
                <w:rFonts w:hint="eastAsia"/>
                <w:color w:val="auto"/>
                <w:szCs w:val="21"/>
                <w:highlight w:val="none"/>
              </w:rPr>
              <w:t>10</w:t>
            </w:r>
            <w:r>
              <w:rPr>
                <w:color w:val="auto"/>
                <w:szCs w:val="21"/>
                <w:highlight w:val="none"/>
              </w:rPr>
              <w:t>．供应商财务状况报告[</w:t>
            </w:r>
            <w:r>
              <w:rPr>
                <w:color w:val="auto"/>
                <w:szCs w:val="21"/>
                <w:highlight w:val="none"/>
                <w:u w:val="single"/>
              </w:rPr>
              <w:t xml:space="preserve"> 202</w:t>
            </w:r>
            <w:r>
              <w:rPr>
                <w:rFonts w:hint="eastAsia"/>
                <w:color w:val="auto"/>
                <w:szCs w:val="21"/>
                <w:highlight w:val="none"/>
                <w:u w:val="single"/>
              </w:rPr>
              <w:t>2</w:t>
            </w:r>
            <w:r>
              <w:rPr>
                <w:color w:val="auto"/>
                <w:szCs w:val="21"/>
                <w:highlight w:val="none"/>
              </w:rPr>
              <w:t>年财务状况报告复印件；供应商是法人的，应提供经审计的财务报告或者其基本开户银行出具的资信证明（注明有效期的，应在有效期内；未注明有效期的，出具时间至竞标截止时间不超过一年）；供应商是其他组织或者自然人的，应提供经审计的财务报告或者银行出具的资信证明（注明有效期的，应在有效期内；未注明有效期的，出具时间至竞标截止时间不超过一年）]；</w:t>
            </w:r>
            <w:r>
              <w:rPr>
                <w:bCs/>
                <w:color w:val="auto"/>
                <w:szCs w:val="21"/>
                <w:highlight w:val="none"/>
              </w:rPr>
              <w:t>（</w:t>
            </w:r>
            <w:r>
              <w:rPr>
                <w:b/>
                <w:color w:val="auto"/>
                <w:szCs w:val="21"/>
                <w:highlight w:val="none"/>
              </w:rPr>
              <w:t>必须提供，否则响应文件按无效响应处理</w:t>
            </w:r>
            <w:r>
              <w:rPr>
                <w:bCs/>
                <w:color w:val="auto"/>
                <w:szCs w:val="21"/>
                <w:highlight w:val="none"/>
              </w:rPr>
              <w:t>）</w:t>
            </w:r>
          </w:p>
          <w:p>
            <w:pPr>
              <w:snapToGrid w:val="0"/>
              <w:spacing w:line="330" w:lineRule="exact"/>
              <w:ind w:firstLine="422" w:firstLineChars="200"/>
              <w:jc w:val="left"/>
              <w:rPr>
                <w:b/>
                <w:bCs/>
                <w:color w:val="auto"/>
                <w:szCs w:val="21"/>
                <w:highlight w:val="none"/>
              </w:rPr>
            </w:pPr>
            <w:r>
              <w:rPr>
                <w:b/>
                <w:bCs/>
                <w:color w:val="auto"/>
                <w:szCs w:val="21"/>
                <w:highlight w:val="none"/>
              </w:rPr>
              <w:t>1</w:t>
            </w:r>
            <w:r>
              <w:rPr>
                <w:rFonts w:hint="eastAsia"/>
                <w:b/>
                <w:bCs/>
                <w:color w:val="auto"/>
                <w:szCs w:val="21"/>
                <w:highlight w:val="none"/>
              </w:rPr>
              <w:t>1</w:t>
            </w:r>
            <w:r>
              <w:rPr>
                <w:b/>
                <w:bCs/>
                <w:color w:val="auto"/>
                <w:szCs w:val="21"/>
                <w:highlight w:val="none"/>
              </w:rPr>
              <w:t>．</w:t>
            </w:r>
            <w:r>
              <w:rPr>
                <w:rFonts w:hint="eastAsia"/>
                <w:color w:val="auto"/>
                <w:szCs w:val="21"/>
                <w:highlight w:val="none"/>
              </w:rPr>
              <w:t>供应商近三年无重大违法声明函；</w:t>
            </w:r>
            <w:r>
              <w:rPr>
                <w:rFonts w:hint="eastAsia"/>
                <w:b/>
                <w:bCs/>
                <w:color w:val="auto"/>
                <w:szCs w:val="21"/>
                <w:highlight w:val="none"/>
              </w:rPr>
              <w:t>（必须提供，否则响应文件按无效响应处理）</w:t>
            </w:r>
          </w:p>
          <w:p>
            <w:pPr>
              <w:snapToGrid w:val="0"/>
              <w:spacing w:line="330" w:lineRule="exact"/>
              <w:ind w:firstLine="420" w:firstLineChars="200"/>
              <w:jc w:val="lef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w:t>
            </w:r>
            <w:r>
              <w:rPr>
                <w:rFonts w:hint="eastAsia"/>
                <w:color w:val="auto"/>
                <w:szCs w:val="21"/>
                <w:highlight w:val="none"/>
              </w:rPr>
              <w:t>供应商直接控股、管理关系信息表；</w:t>
            </w:r>
            <w:r>
              <w:rPr>
                <w:rFonts w:hint="eastAsia"/>
                <w:b/>
                <w:bCs/>
                <w:color w:val="auto"/>
                <w:szCs w:val="21"/>
                <w:highlight w:val="none"/>
              </w:rPr>
              <w:t>（必须提供，否则响应文件按无效响应处理）</w:t>
            </w:r>
          </w:p>
          <w:p>
            <w:pPr>
              <w:snapToGrid w:val="0"/>
              <w:spacing w:line="330" w:lineRule="exact"/>
              <w:ind w:firstLine="420" w:firstLineChars="200"/>
              <w:jc w:val="left"/>
              <w:rPr>
                <w:color w:val="auto"/>
                <w:szCs w:val="21"/>
                <w:highlight w:val="none"/>
              </w:rPr>
            </w:pPr>
            <w:r>
              <w:rPr>
                <w:rFonts w:hint="eastAsia"/>
                <w:color w:val="auto"/>
                <w:szCs w:val="21"/>
                <w:highlight w:val="none"/>
              </w:rPr>
              <w:t>13</w:t>
            </w:r>
            <w:r>
              <w:rPr>
                <w:color w:val="auto"/>
                <w:szCs w:val="21"/>
                <w:highlight w:val="none"/>
              </w:rPr>
              <w:t>．竞标声明（格式后附）；（</w:t>
            </w:r>
            <w:r>
              <w:rPr>
                <w:b/>
                <w:color w:val="auto"/>
                <w:szCs w:val="21"/>
                <w:highlight w:val="none"/>
              </w:rPr>
              <w:t>必须提供，否则响应文件按无效响应处理</w:t>
            </w:r>
            <w:r>
              <w:rPr>
                <w:color w:val="auto"/>
                <w:szCs w:val="21"/>
                <w:highlight w:val="none"/>
              </w:rPr>
              <w:t>）</w:t>
            </w:r>
          </w:p>
          <w:p>
            <w:pPr>
              <w:snapToGrid w:val="0"/>
              <w:spacing w:line="330" w:lineRule="exact"/>
              <w:ind w:firstLine="420" w:firstLineChars="200"/>
              <w:jc w:val="left"/>
              <w:rPr>
                <w:color w:val="auto"/>
                <w:szCs w:val="21"/>
                <w:highlight w:val="none"/>
              </w:rPr>
            </w:pPr>
            <w:r>
              <w:rPr>
                <w:rFonts w:hint="eastAsia"/>
                <w:color w:val="auto"/>
                <w:szCs w:val="21"/>
                <w:highlight w:val="none"/>
              </w:rPr>
              <w:t>14</w:t>
            </w:r>
            <w:r>
              <w:rPr>
                <w:color w:val="auto"/>
                <w:szCs w:val="21"/>
                <w:highlight w:val="none"/>
              </w:rPr>
              <w:t>．无串通竞标行为的承诺函（格式后附）；（</w:t>
            </w:r>
            <w:r>
              <w:rPr>
                <w:b/>
                <w:color w:val="auto"/>
                <w:szCs w:val="21"/>
                <w:highlight w:val="none"/>
              </w:rPr>
              <w:t>必须提供，否则响应文件按无效响应处理</w:t>
            </w:r>
            <w:r>
              <w:rPr>
                <w:color w:val="auto"/>
                <w:szCs w:val="21"/>
                <w:highlight w:val="none"/>
              </w:rPr>
              <w:t>）</w:t>
            </w:r>
          </w:p>
          <w:p>
            <w:pPr>
              <w:snapToGrid w:val="0"/>
              <w:spacing w:line="330" w:lineRule="exact"/>
              <w:ind w:firstLine="420" w:firstLineChars="200"/>
              <w:jc w:val="left"/>
              <w:rPr>
                <w:color w:val="auto"/>
                <w:szCs w:val="21"/>
                <w:highlight w:val="none"/>
              </w:rPr>
            </w:pPr>
            <w:r>
              <w:rPr>
                <w:rFonts w:hint="eastAsia"/>
                <w:color w:val="auto"/>
                <w:szCs w:val="21"/>
                <w:highlight w:val="none"/>
              </w:rPr>
              <w:t>15.中小企业声明函或者残疾人福利性单位声明函或者供应商属于监狱企业的证明材料；（</w:t>
            </w:r>
            <w:r>
              <w:rPr>
                <w:b/>
                <w:color w:val="auto"/>
                <w:szCs w:val="21"/>
                <w:highlight w:val="none"/>
              </w:rPr>
              <w:t>本项目为专门面向中小企业（或者小型、微型企业）采购必须提供，否则响应文件作无效处理</w:t>
            </w:r>
            <w:r>
              <w:rPr>
                <w:rFonts w:hint="eastAsia"/>
                <w:color w:val="auto"/>
                <w:szCs w:val="21"/>
                <w:highlight w:val="none"/>
              </w:rPr>
              <w:t>）</w:t>
            </w:r>
          </w:p>
          <w:p>
            <w:pPr>
              <w:snapToGrid w:val="0"/>
              <w:spacing w:line="330" w:lineRule="exact"/>
              <w:ind w:firstLine="420" w:firstLineChars="200"/>
              <w:jc w:val="left"/>
              <w:rPr>
                <w:color w:val="auto"/>
                <w:szCs w:val="21"/>
                <w:highlight w:val="none"/>
              </w:rPr>
            </w:pPr>
            <w:r>
              <w:rPr>
                <w:rFonts w:hint="eastAsia"/>
                <w:color w:val="auto"/>
                <w:szCs w:val="21"/>
                <w:highlight w:val="none"/>
              </w:rPr>
              <w:t>16</w:t>
            </w:r>
            <w:r>
              <w:rPr>
                <w:color w:val="auto"/>
                <w:szCs w:val="21"/>
                <w:highlight w:val="none"/>
              </w:rPr>
              <w:t>．除磋商文件规定必须提供以外，供应商认为需要提供的其他证明材料。</w:t>
            </w:r>
          </w:p>
          <w:p>
            <w:pPr>
              <w:snapToGrid w:val="0"/>
              <w:spacing w:line="330" w:lineRule="exact"/>
              <w:ind w:firstLine="211" w:firstLineChars="100"/>
              <w:jc w:val="left"/>
              <w:rPr>
                <w:b/>
                <w:color w:val="auto"/>
                <w:szCs w:val="21"/>
                <w:highlight w:val="none"/>
              </w:rPr>
            </w:pPr>
            <w:r>
              <w:rPr>
                <w:b/>
                <w:color w:val="auto"/>
                <w:szCs w:val="21"/>
                <w:highlight w:val="none"/>
              </w:rPr>
              <w:t>注：</w:t>
            </w:r>
          </w:p>
          <w:p>
            <w:pPr>
              <w:spacing w:line="320" w:lineRule="exact"/>
              <w:ind w:firstLine="211" w:firstLineChars="100"/>
              <w:rPr>
                <w:b/>
                <w:color w:val="auto"/>
                <w:szCs w:val="21"/>
                <w:highlight w:val="none"/>
              </w:rPr>
            </w:pPr>
            <w:r>
              <w:rPr>
                <w:b/>
                <w:color w:val="auto"/>
                <w:szCs w:val="21"/>
                <w:highlight w:val="none"/>
              </w:rPr>
              <w:t>1</w:t>
            </w:r>
            <w:r>
              <w:rPr>
                <w:color w:val="auto"/>
                <w:szCs w:val="21"/>
                <w:highlight w:val="none"/>
              </w:rPr>
              <w:t>．</w:t>
            </w:r>
            <w:r>
              <w:rPr>
                <w:b/>
                <w:color w:val="auto"/>
                <w:szCs w:val="21"/>
                <w:highlight w:val="none"/>
              </w:rPr>
              <w:t>以上标明“必须提供”材料的，</w:t>
            </w:r>
            <w:r>
              <w:rPr>
                <w:rFonts w:hint="eastAsia"/>
                <w:b/>
                <w:color w:val="auto"/>
                <w:szCs w:val="21"/>
                <w:highlight w:val="none"/>
              </w:rPr>
              <w:t>可提供其原件的扫描件，</w:t>
            </w:r>
            <w:r>
              <w:rPr>
                <w:b/>
                <w:color w:val="auto"/>
                <w:szCs w:val="21"/>
                <w:highlight w:val="none"/>
              </w:rPr>
              <w:t>必须加盖供应商CA签章，否则电子响应文件作无效处理。</w:t>
            </w:r>
          </w:p>
          <w:p>
            <w:pPr>
              <w:pStyle w:val="26"/>
              <w:rPr>
                <w:color w:val="auto"/>
                <w:highlight w:val="none"/>
              </w:rPr>
            </w:pPr>
            <w:r>
              <w:rPr>
                <w:rFonts w:hint="eastAsia" w:ascii="宋体" w:hAnsi="宋体" w:eastAsia="宋体" w:cs="宋体"/>
                <w:b/>
                <w:color w:val="auto"/>
                <w:kern w:val="2"/>
                <w:sz w:val="21"/>
                <w:szCs w:val="21"/>
                <w:highlight w:val="none"/>
              </w:rPr>
              <w:t>2.分公司参加竞标的，应当取得总公司授权；</w:t>
            </w:r>
          </w:p>
          <w:p>
            <w:pPr>
              <w:spacing w:line="320" w:lineRule="exact"/>
              <w:ind w:firstLine="211" w:firstLineChars="100"/>
              <w:rPr>
                <w:b/>
                <w:color w:val="auto"/>
                <w:szCs w:val="21"/>
                <w:highlight w:val="none"/>
              </w:rPr>
            </w:pPr>
            <w:r>
              <w:rPr>
                <w:rFonts w:hint="eastAsia"/>
                <w:b/>
                <w:color w:val="auto"/>
                <w:szCs w:val="21"/>
                <w:highlight w:val="none"/>
              </w:rPr>
              <w:t>3.</w:t>
            </w:r>
            <w:r>
              <w:rPr>
                <w:b/>
                <w:color w:val="auto"/>
                <w:szCs w:val="21"/>
                <w:highlight w:val="none"/>
              </w:rPr>
              <w:t>电子响应文件中所须加盖公章部分均采用CA签章。若竞争性磋商文件中有专门标注的某关联点，并要求供应商在电子投标系统中作出磋商响应的，如供应商未对关联点进行响应或者在电子响应文件其它内容进行描述，造成电子评审不能查询的责任由供应商自行承担。</w:t>
            </w:r>
          </w:p>
          <w:p>
            <w:pPr>
              <w:snapToGrid w:val="0"/>
              <w:spacing w:line="320" w:lineRule="exact"/>
              <w:ind w:firstLine="211" w:firstLineChars="100"/>
              <w:jc w:val="left"/>
              <w:rPr>
                <w:rFonts w:ascii="宋体" w:hAnsi="宋体" w:cs="宋体"/>
                <w:color w:val="auto"/>
                <w:szCs w:val="21"/>
                <w:highlight w:val="none"/>
              </w:rPr>
            </w:pPr>
            <w:r>
              <w:rPr>
                <w:rFonts w:hint="eastAsia"/>
                <w:b/>
                <w:color w:val="auto"/>
                <w:szCs w:val="21"/>
                <w:highlight w:val="none"/>
              </w:rPr>
              <w:t>4</w:t>
            </w:r>
            <w:r>
              <w:rPr>
                <w:color w:val="auto"/>
                <w:szCs w:val="21"/>
                <w:highlight w:val="none"/>
              </w:rPr>
              <w:t>．</w:t>
            </w:r>
            <w:r>
              <w:rPr>
                <w:b/>
                <w:color w:val="auto"/>
                <w:szCs w:val="21"/>
                <w:highlight w:val="none"/>
              </w:rPr>
              <w:t>以上材料未附格式的，由供应商自行拟定。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12.1.2</w:t>
            </w:r>
          </w:p>
        </w:tc>
        <w:tc>
          <w:tcPr>
            <w:tcW w:w="7606" w:type="dxa"/>
            <w:noWrap/>
            <w:vAlign w:val="center"/>
          </w:tcPr>
          <w:p>
            <w:pPr>
              <w:spacing w:line="330" w:lineRule="exact"/>
              <w:rPr>
                <w:b/>
                <w:bCs/>
                <w:color w:val="auto"/>
                <w:szCs w:val="21"/>
                <w:highlight w:val="none"/>
              </w:rPr>
            </w:pPr>
            <w:r>
              <w:rPr>
                <w:rFonts w:hint="eastAsia"/>
                <w:b/>
                <w:bCs/>
                <w:color w:val="auto"/>
                <w:szCs w:val="21"/>
                <w:highlight w:val="none"/>
              </w:rPr>
              <w:t>报价</w:t>
            </w:r>
            <w:r>
              <w:rPr>
                <w:b/>
                <w:bCs/>
                <w:color w:val="auto"/>
                <w:szCs w:val="21"/>
                <w:highlight w:val="none"/>
              </w:rPr>
              <w:t>文件</w:t>
            </w:r>
            <w:r>
              <w:rPr>
                <w:rFonts w:hint="eastAsia"/>
                <w:b/>
                <w:bCs/>
                <w:color w:val="auto"/>
                <w:szCs w:val="21"/>
                <w:highlight w:val="none"/>
              </w:rPr>
              <w:t>的组成</w:t>
            </w:r>
          </w:p>
          <w:p>
            <w:pPr>
              <w:spacing w:line="330" w:lineRule="exact"/>
              <w:rPr>
                <w:color w:val="auto"/>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w:t>
            </w:r>
            <w:r>
              <w:rPr>
                <w:color w:val="auto"/>
                <w:szCs w:val="21"/>
                <w:highlight w:val="none"/>
              </w:rPr>
              <w:t>报价</w:t>
            </w:r>
            <w:r>
              <w:rPr>
                <w:rFonts w:hint="eastAsia"/>
                <w:color w:val="auto"/>
                <w:szCs w:val="21"/>
                <w:highlight w:val="none"/>
              </w:rPr>
              <w:t>函</w:t>
            </w:r>
            <w:r>
              <w:rPr>
                <w:color w:val="auto"/>
                <w:szCs w:val="21"/>
                <w:highlight w:val="none"/>
              </w:rPr>
              <w:t>（格式后附）；（</w:t>
            </w:r>
            <w:r>
              <w:rPr>
                <w:b/>
                <w:color w:val="auto"/>
                <w:szCs w:val="21"/>
                <w:highlight w:val="none"/>
              </w:rPr>
              <w:t>必须提供，否则响应文件按无效响应处理</w:t>
            </w:r>
            <w:r>
              <w:rPr>
                <w:color w:val="auto"/>
                <w:szCs w:val="21"/>
                <w:highlight w:val="none"/>
              </w:rPr>
              <w:t>）</w:t>
            </w:r>
          </w:p>
          <w:p>
            <w:pPr>
              <w:spacing w:line="330" w:lineRule="exac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报价函附录</w:t>
            </w:r>
            <w:r>
              <w:rPr>
                <w:color w:val="auto"/>
                <w:szCs w:val="21"/>
                <w:highlight w:val="none"/>
              </w:rPr>
              <w:t>（格式后附）</w:t>
            </w:r>
            <w:r>
              <w:rPr>
                <w:rFonts w:hint="eastAsia"/>
                <w:color w:val="auto"/>
                <w:szCs w:val="21"/>
                <w:highlight w:val="none"/>
              </w:rPr>
              <w:t>；</w:t>
            </w:r>
            <w:r>
              <w:rPr>
                <w:color w:val="auto"/>
                <w:szCs w:val="21"/>
                <w:highlight w:val="none"/>
              </w:rPr>
              <w:t>（</w:t>
            </w:r>
            <w:r>
              <w:rPr>
                <w:b/>
                <w:color w:val="auto"/>
                <w:szCs w:val="21"/>
                <w:highlight w:val="none"/>
              </w:rPr>
              <w:t>必须提供，否则响应文件按无效响应处理</w:t>
            </w:r>
            <w:r>
              <w:rPr>
                <w:color w:val="auto"/>
                <w:szCs w:val="21"/>
                <w:highlight w:val="none"/>
              </w:rPr>
              <w:t>）</w:t>
            </w:r>
          </w:p>
          <w:p>
            <w:pPr>
              <w:spacing w:line="330" w:lineRule="exact"/>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已标价的工程量清单</w:t>
            </w:r>
            <w:r>
              <w:rPr>
                <w:color w:val="auto"/>
                <w:szCs w:val="21"/>
                <w:highlight w:val="none"/>
              </w:rPr>
              <w:t>；（</w:t>
            </w:r>
            <w:r>
              <w:rPr>
                <w:b/>
                <w:color w:val="auto"/>
                <w:szCs w:val="21"/>
                <w:highlight w:val="none"/>
              </w:rPr>
              <w:t>必须提供，否则响应文件按无效响应处理</w:t>
            </w:r>
            <w:r>
              <w:rPr>
                <w:color w:val="auto"/>
                <w:szCs w:val="21"/>
                <w:highlight w:val="none"/>
              </w:rPr>
              <w:t>）</w:t>
            </w:r>
          </w:p>
          <w:p>
            <w:pPr>
              <w:spacing w:line="330" w:lineRule="exact"/>
              <w:rPr>
                <w:color w:val="auto"/>
                <w:szCs w:val="21"/>
                <w:highlight w:val="none"/>
              </w:rPr>
            </w:pPr>
            <w:r>
              <w:rPr>
                <w:rFonts w:hint="eastAsia"/>
                <w:color w:val="auto"/>
                <w:szCs w:val="21"/>
                <w:highlight w:val="none"/>
              </w:rPr>
              <w:t>4</w:t>
            </w:r>
            <w:r>
              <w:rPr>
                <w:color w:val="auto"/>
                <w:szCs w:val="21"/>
                <w:highlight w:val="none"/>
              </w:rPr>
              <w:t>．供应商认为需要提供的其他有关资料。</w:t>
            </w:r>
          </w:p>
          <w:p>
            <w:pPr>
              <w:snapToGrid w:val="0"/>
              <w:spacing w:line="330" w:lineRule="exact"/>
              <w:ind w:firstLine="211" w:firstLineChars="100"/>
              <w:jc w:val="left"/>
              <w:rPr>
                <w:b/>
                <w:color w:val="auto"/>
                <w:szCs w:val="21"/>
                <w:highlight w:val="none"/>
              </w:rPr>
            </w:pPr>
            <w:r>
              <w:rPr>
                <w:b/>
                <w:color w:val="auto"/>
                <w:szCs w:val="21"/>
                <w:highlight w:val="none"/>
              </w:rPr>
              <w:t>注：</w:t>
            </w:r>
          </w:p>
          <w:p>
            <w:pPr>
              <w:snapToGrid w:val="0"/>
              <w:spacing w:line="330" w:lineRule="exact"/>
              <w:ind w:firstLine="211" w:firstLineChars="100"/>
              <w:jc w:val="left"/>
              <w:rPr>
                <w:b/>
                <w:color w:val="auto"/>
                <w:szCs w:val="21"/>
                <w:highlight w:val="none"/>
              </w:rPr>
            </w:pPr>
            <w:r>
              <w:rPr>
                <w:rFonts w:hint="eastAsia"/>
                <w:b/>
                <w:color w:val="auto"/>
                <w:szCs w:val="21"/>
                <w:highlight w:val="none"/>
              </w:rPr>
              <w:t>1</w:t>
            </w:r>
            <w:r>
              <w:rPr>
                <w:color w:val="auto"/>
                <w:szCs w:val="21"/>
                <w:highlight w:val="none"/>
              </w:rPr>
              <w:t>．</w:t>
            </w:r>
            <w:r>
              <w:rPr>
                <w:rFonts w:hint="eastAsia"/>
                <w:b/>
                <w:color w:val="auto"/>
                <w:szCs w:val="21"/>
                <w:highlight w:val="none"/>
              </w:rPr>
              <w:t>以上标明“必须提供”材料的，必须加盖供应商CA签章，否则电子响应文件作无效处理。</w:t>
            </w:r>
          </w:p>
          <w:p>
            <w:pPr>
              <w:snapToGrid w:val="0"/>
              <w:spacing w:line="330" w:lineRule="exact"/>
              <w:ind w:firstLine="211" w:firstLineChars="100"/>
              <w:jc w:val="left"/>
              <w:rPr>
                <w:b/>
                <w:color w:val="auto"/>
                <w:szCs w:val="21"/>
                <w:highlight w:val="none"/>
              </w:rPr>
            </w:pPr>
            <w:r>
              <w:rPr>
                <w:rFonts w:hint="eastAsia"/>
                <w:b/>
                <w:color w:val="auto"/>
                <w:szCs w:val="21"/>
                <w:highlight w:val="none"/>
              </w:rPr>
              <w:t>2</w:t>
            </w:r>
            <w:r>
              <w:rPr>
                <w:color w:val="auto"/>
                <w:szCs w:val="21"/>
                <w:highlight w:val="none"/>
              </w:rPr>
              <w:t>．</w:t>
            </w:r>
            <w:r>
              <w:rPr>
                <w:rFonts w:hint="eastAsia"/>
                <w:b/>
                <w:color w:val="auto"/>
                <w:szCs w:val="21"/>
                <w:highlight w:val="none"/>
              </w:rPr>
              <w:t>电子响应文件中所须加盖公章部分均采用CA签章。若竞争性磋商文件中有专门标注的某关联点，并要求供应商在电子投标系统中作出磋商响应的，如供应商未对关联点进行响应或者在电子响应文件其它内容进行描述，造成电子评审不能查询的责任由供应商自行承担。</w:t>
            </w:r>
          </w:p>
          <w:p>
            <w:pPr>
              <w:snapToGrid w:val="0"/>
              <w:spacing w:line="330" w:lineRule="exact"/>
              <w:ind w:firstLine="211" w:firstLineChars="100"/>
              <w:jc w:val="left"/>
              <w:rPr>
                <w:rFonts w:ascii="宋体" w:hAnsi="宋体"/>
                <w:color w:val="auto"/>
                <w:szCs w:val="21"/>
                <w:highlight w:val="none"/>
              </w:rPr>
            </w:pPr>
            <w:r>
              <w:rPr>
                <w:rFonts w:hint="eastAsia"/>
                <w:b/>
                <w:color w:val="auto"/>
                <w:szCs w:val="21"/>
                <w:highlight w:val="none"/>
              </w:rPr>
              <w:t>3</w:t>
            </w:r>
            <w:r>
              <w:rPr>
                <w:color w:val="auto"/>
                <w:szCs w:val="21"/>
                <w:highlight w:val="none"/>
              </w:rPr>
              <w:t>．</w:t>
            </w:r>
            <w:r>
              <w:rPr>
                <w:rFonts w:hint="eastAsia"/>
                <w:b/>
                <w:color w:val="auto"/>
                <w:szCs w:val="21"/>
                <w:highlight w:val="none"/>
              </w:rPr>
              <w:t>以上材料未附格式的，由供应商自行拟定。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rFonts w:hint="eastAsia"/>
                <w:color w:val="auto"/>
                <w:szCs w:val="21"/>
                <w:highlight w:val="none"/>
              </w:rPr>
              <w:t>12.3</w:t>
            </w:r>
          </w:p>
        </w:tc>
        <w:tc>
          <w:tcPr>
            <w:tcW w:w="7606" w:type="dxa"/>
            <w:noWrap/>
            <w:vAlign w:val="center"/>
          </w:tcPr>
          <w:p>
            <w:pPr>
              <w:spacing w:line="330" w:lineRule="exact"/>
              <w:rPr>
                <w:b/>
                <w:bCs/>
                <w:color w:val="auto"/>
                <w:highlight w:val="none"/>
              </w:rPr>
            </w:pPr>
            <w:r>
              <w:rPr>
                <w:rFonts w:hint="eastAsia"/>
                <w:b/>
                <w:bCs/>
                <w:color w:val="auto"/>
                <w:highlight w:val="none"/>
              </w:rPr>
              <w:t>商务技术文件的组成</w:t>
            </w:r>
          </w:p>
          <w:p>
            <w:pPr>
              <w:spacing w:line="330" w:lineRule="exact"/>
              <w:rPr>
                <w:b/>
                <w:bCs/>
                <w:color w:val="auto"/>
                <w:highlight w:val="none"/>
              </w:rPr>
            </w:pPr>
            <w:r>
              <w:rPr>
                <w:rFonts w:hint="eastAsia"/>
                <w:color w:val="auto"/>
                <w:highlight w:val="none"/>
              </w:rPr>
              <w:t>1</w:t>
            </w:r>
            <w:r>
              <w:rPr>
                <w:color w:val="auto"/>
                <w:highlight w:val="none"/>
              </w:rPr>
              <w:t>．施工组织设计；</w:t>
            </w:r>
            <w:r>
              <w:rPr>
                <w:b/>
                <w:bCs/>
                <w:color w:val="auto"/>
                <w:highlight w:val="none"/>
              </w:rPr>
              <w:t>（必须提供，否则响应文件按无效响应处理）</w:t>
            </w:r>
            <w:r>
              <w:rPr>
                <w:rFonts w:hint="eastAsia"/>
                <w:b/>
                <w:bCs/>
                <w:color w:val="auto"/>
                <w:highlight w:val="none"/>
              </w:rPr>
              <w:t>;</w:t>
            </w:r>
          </w:p>
          <w:p>
            <w:pPr>
              <w:spacing w:line="330" w:lineRule="exact"/>
              <w:rPr>
                <w:b/>
                <w:bCs/>
                <w:color w:val="auto"/>
                <w:highlight w:val="none"/>
              </w:rPr>
            </w:pPr>
            <w:r>
              <w:rPr>
                <w:rFonts w:hint="eastAsia"/>
                <w:color w:val="auto"/>
                <w:highlight w:val="none"/>
              </w:rPr>
              <w:t>2</w:t>
            </w:r>
            <w:r>
              <w:rPr>
                <w:color w:val="auto"/>
                <w:highlight w:val="none"/>
              </w:rPr>
              <w:t>．</w:t>
            </w:r>
            <w:r>
              <w:rPr>
                <w:rFonts w:hint="eastAsia"/>
                <w:color w:val="auto"/>
                <w:highlight w:val="none"/>
              </w:rPr>
              <w:t>项目管理机构；</w:t>
            </w:r>
            <w:r>
              <w:rPr>
                <w:b/>
                <w:bCs/>
                <w:color w:val="auto"/>
                <w:highlight w:val="none"/>
              </w:rPr>
              <w:t>（必须提供，否则响应文件按无效响应处理）；</w:t>
            </w:r>
          </w:p>
          <w:p>
            <w:pPr>
              <w:snapToGrid w:val="0"/>
              <w:spacing w:line="330" w:lineRule="exact"/>
              <w:jc w:val="left"/>
              <w:rPr>
                <w:color w:val="auto"/>
                <w:highlight w:val="none"/>
              </w:rPr>
            </w:pPr>
            <w:r>
              <w:rPr>
                <w:rFonts w:hint="eastAsia" w:hAnsi="宋体" w:cs="宋体"/>
                <w:color w:val="auto"/>
                <w:highlight w:val="none"/>
              </w:rPr>
              <w:t>3.</w:t>
            </w:r>
            <w:r>
              <w:rPr>
                <w:rFonts w:hAnsi="宋体" w:cs="宋体"/>
                <w:color w:val="auto"/>
                <w:highlight w:val="none"/>
              </w:rPr>
              <w:t>供应商拟投入</w:t>
            </w:r>
            <w:r>
              <w:rPr>
                <w:rFonts w:hint="eastAsia" w:hAnsi="宋体" w:cs="宋体"/>
                <w:color w:val="auto"/>
                <w:highlight w:val="none"/>
              </w:rPr>
              <w:t>项目管理机构人员</w:t>
            </w:r>
            <w:r>
              <w:rPr>
                <w:rFonts w:hAnsi="宋体" w:cs="宋体"/>
                <w:bCs/>
                <w:color w:val="auto"/>
                <w:highlight w:val="none"/>
              </w:rPr>
              <w:t>在</w:t>
            </w:r>
            <w:r>
              <w:rPr>
                <w:rFonts w:hint="eastAsia"/>
                <w:color w:val="auto"/>
                <w:szCs w:val="21"/>
                <w:highlight w:val="none"/>
              </w:rPr>
              <w:t>近半年</w:t>
            </w:r>
            <w:r>
              <w:rPr>
                <w:color w:val="auto"/>
                <w:szCs w:val="21"/>
                <w:highlight w:val="none"/>
              </w:rPr>
              <w:t>内</w:t>
            </w:r>
            <w:r>
              <w:rPr>
                <w:rFonts w:hint="eastAsia"/>
                <w:color w:val="auto"/>
                <w:szCs w:val="21"/>
                <w:highlight w:val="none"/>
              </w:rPr>
              <w:t>至少</w:t>
            </w:r>
            <w:r>
              <w:rPr>
                <w:rFonts w:hint="eastAsia"/>
                <w:color w:val="auto"/>
                <w:szCs w:val="21"/>
                <w:highlight w:val="none"/>
                <w:u w:val="single"/>
              </w:rPr>
              <w:t>1</w:t>
            </w:r>
            <w:r>
              <w:rPr>
                <w:color w:val="auto"/>
                <w:szCs w:val="21"/>
                <w:highlight w:val="none"/>
              </w:rPr>
              <w:t>个月的</w:t>
            </w:r>
            <w:r>
              <w:rPr>
                <w:rFonts w:hAnsi="宋体" w:cs="宋体"/>
                <w:color w:val="auto"/>
                <w:highlight w:val="none"/>
              </w:rPr>
              <w:t>在现任职单位依法缴纳社会保险证明材料</w:t>
            </w:r>
            <w:r>
              <w:rPr>
                <w:rFonts w:hint="eastAsia" w:hAnsi="宋体" w:cs="宋体"/>
                <w:bCs/>
                <w:color w:val="auto"/>
                <w:highlight w:val="none"/>
              </w:rPr>
              <w:t>；</w:t>
            </w:r>
            <w:r>
              <w:rPr>
                <w:rFonts w:hAnsi="宋体" w:cs="宋体"/>
                <w:bCs/>
                <w:color w:val="auto"/>
                <w:highlight w:val="none"/>
              </w:rPr>
              <w:t>无缴费记录的，应提供由供应商所在地社保部门出具的《依法缴纳或依法免缴社保费证明》</w:t>
            </w:r>
            <w:r>
              <w:rPr>
                <w:color w:val="auto"/>
                <w:szCs w:val="21"/>
                <w:highlight w:val="none"/>
              </w:rPr>
              <w:t>；</w:t>
            </w:r>
            <w:r>
              <w:rPr>
                <w:b/>
                <w:color w:val="auto"/>
                <w:szCs w:val="21"/>
                <w:highlight w:val="none"/>
              </w:rPr>
              <w:t>（必须提供，否则响应文件按无效响应处理</w:t>
            </w:r>
            <w:r>
              <w:rPr>
                <w:color w:val="auto"/>
                <w:szCs w:val="21"/>
                <w:highlight w:val="none"/>
              </w:rPr>
              <w:t>）</w:t>
            </w:r>
          </w:p>
          <w:p>
            <w:pPr>
              <w:spacing w:line="330" w:lineRule="exact"/>
              <w:rPr>
                <w:b/>
                <w:bCs/>
                <w:color w:val="auto"/>
                <w:highlight w:val="none"/>
              </w:rPr>
            </w:pPr>
            <w:r>
              <w:rPr>
                <w:rFonts w:hint="eastAsia"/>
                <w:color w:val="auto"/>
                <w:highlight w:val="none"/>
              </w:rPr>
              <w:t>4</w:t>
            </w:r>
            <w:r>
              <w:rPr>
                <w:color w:val="auto"/>
                <w:highlight w:val="none"/>
              </w:rPr>
              <w:t>．</w:t>
            </w:r>
            <w:r>
              <w:rPr>
                <w:rFonts w:hint="eastAsia"/>
                <w:color w:val="auto"/>
                <w:highlight w:val="none"/>
              </w:rPr>
              <w:t>业绩证明材料；</w:t>
            </w:r>
            <w:r>
              <w:rPr>
                <w:rFonts w:hint="eastAsia"/>
                <w:b/>
                <w:bCs/>
                <w:color w:val="auto"/>
                <w:highlight w:val="none"/>
              </w:rPr>
              <w:t>（如有可提供，格式自拟）</w:t>
            </w:r>
          </w:p>
          <w:p>
            <w:pPr>
              <w:spacing w:line="330" w:lineRule="exact"/>
              <w:rPr>
                <w:color w:val="auto"/>
                <w:highlight w:val="none"/>
              </w:rPr>
            </w:pPr>
            <w:r>
              <w:rPr>
                <w:color w:val="auto"/>
                <w:highlight w:val="none"/>
              </w:rPr>
              <w:t>供应商认为需要提供的其他有关资料。</w:t>
            </w:r>
          </w:p>
          <w:p>
            <w:pPr>
              <w:snapToGrid w:val="0"/>
              <w:spacing w:line="330" w:lineRule="exact"/>
              <w:ind w:firstLine="211" w:firstLineChars="100"/>
              <w:jc w:val="left"/>
              <w:rPr>
                <w:b/>
                <w:bCs/>
                <w:color w:val="auto"/>
                <w:highlight w:val="none"/>
              </w:rPr>
            </w:pPr>
            <w:r>
              <w:rPr>
                <w:rFonts w:hint="eastAsia"/>
                <w:b/>
                <w:bCs/>
                <w:color w:val="auto"/>
                <w:highlight w:val="none"/>
              </w:rPr>
              <w:t>以上标明“必须提供”材料的，必须加盖供应商CA签章，否则电子响应文件作无效处理。</w:t>
            </w:r>
          </w:p>
          <w:p>
            <w:pPr>
              <w:snapToGrid w:val="0"/>
              <w:spacing w:line="330" w:lineRule="exact"/>
              <w:ind w:firstLine="211" w:firstLineChars="100"/>
              <w:jc w:val="left"/>
              <w:rPr>
                <w:rFonts w:ascii="宋体" w:hAnsi="宋体"/>
                <w:i/>
                <w:iCs/>
                <w:color w:val="auto"/>
                <w:szCs w:val="21"/>
                <w:highlight w:val="none"/>
                <w:u w:val="single"/>
              </w:rPr>
            </w:pPr>
            <w:r>
              <w:rPr>
                <w:rFonts w:hint="eastAsia"/>
                <w:b/>
                <w:bCs/>
                <w:color w:val="auto"/>
                <w:highlight w:val="none"/>
              </w:rPr>
              <w:t>以上材料未附格式的，由供应商自行拟定。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15.2</w:t>
            </w:r>
          </w:p>
        </w:tc>
        <w:tc>
          <w:tcPr>
            <w:tcW w:w="7606" w:type="dxa"/>
            <w:noWrap/>
            <w:vAlign w:val="center"/>
          </w:tcPr>
          <w:p>
            <w:pPr>
              <w:snapToGrid w:val="0"/>
              <w:spacing w:line="340" w:lineRule="exact"/>
              <w:jc w:val="left"/>
              <w:rPr>
                <w:b/>
                <w:bCs/>
                <w:color w:val="auto"/>
                <w:highlight w:val="none"/>
              </w:rPr>
            </w:pPr>
            <w:r>
              <w:rPr>
                <w:rFonts w:hint="eastAsia"/>
                <w:b/>
                <w:bCs/>
                <w:color w:val="auto"/>
                <w:highlight w:val="none"/>
              </w:rPr>
              <w:t>竞标报价构成</w:t>
            </w:r>
          </w:p>
          <w:p>
            <w:pPr>
              <w:numPr>
                <w:ilvl w:val="0"/>
                <w:numId w:val="3"/>
              </w:numPr>
              <w:snapToGrid w:val="0"/>
              <w:spacing w:line="340" w:lineRule="exact"/>
              <w:jc w:val="left"/>
              <w:rPr>
                <w:color w:val="auto"/>
                <w:highlight w:val="none"/>
              </w:rPr>
            </w:pPr>
            <w:r>
              <w:rPr>
                <w:color w:val="auto"/>
                <w:highlight w:val="none"/>
              </w:rPr>
              <w:t>竞标报价必须包含本次竞标</w:t>
            </w:r>
            <w:r>
              <w:rPr>
                <w:rFonts w:hint="eastAsia"/>
                <w:color w:val="auto"/>
                <w:highlight w:val="none"/>
              </w:rPr>
              <w:t>施工图纸及工程量清单所有内容</w:t>
            </w:r>
            <w:r>
              <w:rPr>
                <w:color w:val="auto"/>
                <w:highlight w:val="none"/>
              </w:rPr>
              <w:t>，</w:t>
            </w:r>
            <w:r>
              <w:rPr>
                <w:rFonts w:hint="eastAsia"/>
                <w:color w:val="auto"/>
                <w:highlight w:val="none"/>
              </w:rPr>
              <w:t>工程量清单中有标价的单价和总额价均已包括了为实施和完成合同工程所需的劳务、材料、机械、质检（自检）、安装、缺陷修复、管理、保险、税费、利润等费用，以及合同明示或暗示的所有责任、义务和一般风险。</w:t>
            </w:r>
          </w:p>
          <w:p>
            <w:pPr>
              <w:numPr>
                <w:ilvl w:val="0"/>
                <w:numId w:val="3"/>
              </w:numPr>
              <w:snapToGrid w:val="0"/>
              <w:spacing w:line="340" w:lineRule="exact"/>
              <w:jc w:val="left"/>
              <w:rPr>
                <w:color w:val="auto"/>
                <w:highlight w:val="none"/>
              </w:rPr>
            </w:pPr>
            <w:r>
              <w:rPr>
                <w:rFonts w:hint="eastAsia"/>
                <w:color w:val="auto"/>
                <w:highlight w:val="none"/>
              </w:rPr>
              <w:t>竞标人可自行前往工地勘察，充分了解工地位置、情况、道路及其他任何影响竞标报价的情况。</w:t>
            </w:r>
          </w:p>
          <w:p>
            <w:pPr>
              <w:numPr>
                <w:ilvl w:val="0"/>
                <w:numId w:val="3"/>
              </w:numPr>
              <w:snapToGrid w:val="0"/>
              <w:spacing w:line="340" w:lineRule="exact"/>
              <w:jc w:val="left"/>
              <w:rPr>
                <w:color w:val="auto"/>
                <w:highlight w:val="none"/>
              </w:rPr>
            </w:pPr>
            <w:r>
              <w:rPr>
                <w:rFonts w:hint="eastAsia"/>
                <w:color w:val="auto"/>
                <w:highlight w:val="none"/>
              </w:rPr>
              <w:t>竞标人应自行考虑主要材料涨跌的风险。</w:t>
            </w:r>
          </w:p>
          <w:p>
            <w:pPr>
              <w:numPr>
                <w:ilvl w:val="0"/>
                <w:numId w:val="3"/>
              </w:numPr>
              <w:snapToGrid w:val="0"/>
              <w:spacing w:line="340" w:lineRule="exact"/>
              <w:jc w:val="left"/>
              <w:rPr>
                <w:b/>
                <w:bCs/>
                <w:color w:val="auto"/>
                <w:highlight w:val="none"/>
              </w:rPr>
            </w:pPr>
            <w:r>
              <w:rPr>
                <w:rFonts w:hint="eastAsia"/>
                <w:b/>
                <w:bCs/>
                <w:color w:val="auto"/>
                <w:highlight w:val="none"/>
              </w:rPr>
              <w:t>竞标人不得采用总价优惠、总价百分比优惠以及报价调整函的方式进行竞标报价。</w:t>
            </w:r>
          </w:p>
          <w:p>
            <w:pPr>
              <w:numPr>
                <w:ilvl w:val="0"/>
                <w:numId w:val="3"/>
              </w:numPr>
              <w:snapToGrid w:val="0"/>
              <w:spacing w:line="340" w:lineRule="exact"/>
              <w:jc w:val="left"/>
              <w:rPr>
                <w:b/>
                <w:bCs/>
                <w:color w:val="auto"/>
                <w:highlight w:val="none"/>
              </w:rPr>
            </w:pPr>
            <w:r>
              <w:rPr>
                <w:rFonts w:hint="eastAsia"/>
                <w:b/>
                <w:bCs/>
                <w:color w:val="auto"/>
                <w:highlight w:val="none"/>
              </w:rPr>
              <w:t>本项目报价方式采用已标价工程量清单报价，供应商的报价应与已标价工程量清单报价一致，否则响应文件按无效响应处理。</w:t>
            </w:r>
          </w:p>
          <w:p>
            <w:pPr>
              <w:numPr>
                <w:ilvl w:val="0"/>
                <w:numId w:val="3"/>
              </w:numPr>
              <w:snapToGrid w:val="0"/>
              <w:spacing w:line="340" w:lineRule="exact"/>
              <w:jc w:val="left"/>
              <w:rPr>
                <w:rFonts w:ascii="宋体" w:hAnsi="宋体"/>
                <w:color w:val="auto"/>
                <w:szCs w:val="21"/>
                <w:highlight w:val="none"/>
              </w:rPr>
            </w:pPr>
            <w:r>
              <w:rPr>
                <w:rFonts w:hint="eastAsia"/>
                <w:b/>
                <w:bCs/>
                <w:color w:val="auto"/>
                <w:highlight w:val="none"/>
              </w:rPr>
              <w:t>在磋商过程中，供应商二次及以后报价应采用已标价工程量清单方式报价，磋商供应商应预先准备好调整后的已标价工程量清单并提供电子版作为应答文件的一部分一并上传递交，其编制依据及计算规则与首次报价的相同。否则，该竞标报价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16.2</w:t>
            </w:r>
          </w:p>
        </w:tc>
        <w:tc>
          <w:tcPr>
            <w:tcW w:w="7606" w:type="dxa"/>
            <w:noWrap/>
            <w:vAlign w:val="center"/>
          </w:tcPr>
          <w:p>
            <w:pPr>
              <w:pStyle w:val="5"/>
              <w:tabs>
                <w:tab w:val="left" w:pos="720"/>
                <w:tab w:val="left" w:pos="840"/>
              </w:tabs>
              <w:snapToGrid w:val="0"/>
              <w:spacing w:line="340" w:lineRule="exact"/>
              <w:ind w:left="283" w:hanging="283" w:hangingChars="135"/>
              <w:rPr>
                <w:rFonts w:ascii="宋体" w:hAnsi="宋体"/>
                <w:color w:val="auto"/>
                <w:szCs w:val="21"/>
                <w:highlight w:val="none"/>
              </w:rPr>
            </w:pPr>
            <w:r>
              <w:rPr>
                <w:rFonts w:hint="eastAsia"/>
                <w:color w:val="auto"/>
                <w:szCs w:val="21"/>
                <w:highlight w:val="none"/>
              </w:rPr>
              <w:t>磋商</w:t>
            </w:r>
            <w:r>
              <w:rPr>
                <w:color w:val="auto"/>
                <w:szCs w:val="21"/>
                <w:highlight w:val="none"/>
              </w:rPr>
              <w:t>有效期：自首次响应文件提交截止之日起</w:t>
            </w:r>
            <w:r>
              <w:rPr>
                <w:rFonts w:hint="eastAsia"/>
                <w:color w:val="auto"/>
                <w:szCs w:val="21"/>
                <w:highlight w:val="none"/>
                <w:u w:val="single"/>
              </w:rPr>
              <w:t>30</w:t>
            </w:r>
            <w:r>
              <w:rPr>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17.1</w:t>
            </w:r>
          </w:p>
        </w:tc>
        <w:tc>
          <w:tcPr>
            <w:tcW w:w="7606" w:type="dxa"/>
            <w:noWrap/>
            <w:vAlign w:val="center"/>
          </w:tcPr>
          <w:p>
            <w:pPr>
              <w:snapToGrid w:val="0"/>
              <w:spacing w:line="340" w:lineRule="exact"/>
              <w:rPr>
                <w:rFonts w:ascii="宋体" w:hAnsi="宋体"/>
                <w:color w:val="auto"/>
                <w:szCs w:val="21"/>
                <w:highlight w:val="none"/>
              </w:rPr>
            </w:pPr>
            <w:r>
              <w:rPr>
                <w:color w:val="auto"/>
                <w:kern w:val="0"/>
                <w:szCs w:val="21"/>
                <w:highlight w:val="none"/>
              </w:rPr>
              <w:t>磋商保证金：</w:t>
            </w:r>
            <w:r>
              <w:rPr>
                <w:color w:val="auto"/>
                <w:szCs w:val="21"/>
                <w:highlight w:val="none"/>
              </w:rPr>
              <w:t>本项目不要求缴纳</w:t>
            </w:r>
            <w:r>
              <w:rPr>
                <w:rFonts w:hint="eastAsia"/>
                <w:color w:val="auto"/>
                <w:szCs w:val="21"/>
                <w:highlight w:val="none"/>
              </w:rPr>
              <w:t>磋商</w:t>
            </w:r>
            <w:r>
              <w:rPr>
                <w:color w:val="auto"/>
                <w:szCs w:val="21"/>
                <w:highlight w:val="none"/>
              </w:rPr>
              <w:t>保证金</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20.1</w:t>
            </w:r>
          </w:p>
        </w:tc>
        <w:tc>
          <w:tcPr>
            <w:tcW w:w="7606" w:type="dxa"/>
            <w:noWrap/>
            <w:vAlign w:val="center"/>
          </w:tcPr>
          <w:p>
            <w:pPr>
              <w:tabs>
                <w:tab w:val="left" w:pos="2552"/>
              </w:tabs>
              <w:spacing w:line="300" w:lineRule="exact"/>
              <w:rPr>
                <w:rStyle w:val="27"/>
                <w:b/>
                <w:bCs/>
                <w:color w:val="auto"/>
                <w:szCs w:val="21"/>
                <w:highlight w:val="none"/>
              </w:rPr>
            </w:pPr>
            <w:r>
              <w:rPr>
                <w:rStyle w:val="27"/>
                <w:rFonts w:hint="eastAsia"/>
                <w:b/>
                <w:bCs/>
                <w:color w:val="auto"/>
                <w:szCs w:val="21"/>
                <w:highlight w:val="none"/>
              </w:rPr>
              <w:t>响应文件的递交</w:t>
            </w:r>
          </w:p>
          <w:p>
            <w:pPr>
              <w:tabs>
                <w:tab w:val="left" w:pos="2552"/>
              </w:tabs>
              <w:spacing w:line="300" w:lineRule="exact"/>
              <w:rPr>
                <w:rStyle w:val="27"/>
                <w:color w:val="auto"/>
                <w:szCs w:val="21"/>
                <w:highlight w:val="none"/>
              </w:rPr>
            </w:pPr>
            <w:r>
              <w:rPr>
                <w:rStyle w:val="27"/>
                <w:rFonts w:hint="eastAsia"/>
                <w:color w:val="auto"/>
                <w:szCs w:val="21"/>
                <w:highlight w:val="none"/>
              </w:rPr>
              <w:t>截标</w:t>
            </w:r>
            <w:r>
              <w:rPr>
                <w:rStyle w:val="27"/>
                <w:color w:val="auto"/>
                <w:szCs w:val="21"/>
                <w:highlight w:val="none"/>
              </w:rPr>
              <w:t>时间：</w:t>
            </w:r>
            <w:r>
              <w:rPr>
                <w:rStyle w:val="27"/>
                <w:rFonts w:hint="eastAsia"/>
                <w:color w:val="auto"/>
                <w:szCs w:val="21"/>
                <w:highlight w:val="none"/>
              </w:rPr>
              <w:t>同竞争性磋商公告公布时间；</w:t>
            </w:r>
          </w:p>
          <w:p>
            <w:pPr>
              <w:tabs>
                <w:tab w:val="left" w:pos="2552"/>
              </w:tabs>
              <w:spacing w:line="300" w:lineRule="exact"/>
              <w:rPr>
                <w:rStyle w:val="27"/>
                <w:bCs/>
                <w:color w:val="auto"/>
                <w:szCs w:val="21"/>
                <w:highlight w:val="none"/>
              </w:rPr>
            </w:pPr>
            <w:r>
              <w:rPr>
                <w:rStyle w:val="27"/>
                <w:color w:val="auto"/>
                <w:szCs w:val="21"/>
                <w:highlight w:val="none"/>
              </w:rPr>
              <w:t>地点：</w:t>
            </w:r>
            <w:r>
              <w:rPr>
                <w:rStyle w:val="27"/>
                <w:bCs/>
                <w:color w:val="auto"/>
                <w:szCs w:val="21"/>
                <w:highlight w:val="none"/>
              </w:rPr>
              <w:t>通过广西政府采购云平台实行在线截标</w:t>
            </w:r>
            <w:r>
              <w:rPr>
                <w:rStyle w:val="27"/>
                <w:rFonts w:hint="eastAsia"/>
                <w:bCs/>
                <w:color w:val="auto"/>
                <w:szCs w:val="21"/>
                <w:highlight w:val="none"/>
              </w:rPr>
              <w:t>；</w:t>
            </w:r>
          </w:p>
          <w:p>
            <w:pPr>
              <w:spacing w:line="340" w:lineRule="atLeast"/>
              <w:rPr>
                <w:rFonts w:ascii="宋体" w:hAnsi="宋体"/>
                <w:color w:val="auto"/>
                <w:szCs w:val="21"/>
                <w:highlight w:val="none"/>
              </w:rPr>
            </w:pPr>
            <w:r>
              <w:rPr>
                <w:rStyle w:val="27"/>
                <w:bCs/>
                <w:color w:val="auto"/>
                <w:szCs w:val="21"/>
                <w:highlight w:val="none"/>
              </w:rPr>
              <w:t>电子</w:t>
            </w:r>
            <w:r>
              <w:rPr>
                <w:rStyle w:val="27"/>
                <w:rFonts w:hint="eastAsia"/>
                <w:bCs/>
                <w:color w:val="auto"/>
                <w:szCs w:val="21"/>
                <w:highlight w:val="none"/>
              </w:rPr>
              <w:t>响应文件</w:t>
            </w:r>
            <w:r>
              <w:rPr>
                <w:rStyle w:val="27"/>
                <w:bCs/>
                <w:color w:val="auto"/>
                <w:szCs w:val="21"/>
                <w:highlight w:val="none"/>
              </w:rPr>
              <w:t>解密时间：截标时间后30分钟内，供应商必须在此时间段内登录广西政府采购云平台（https://www.gcy.zfcg.gxzf.gov.cn/），用“项目采购-开标评标”功能完成电子</w:t>
            </w:r>
            <w:r>
              <w:rPr>
                <w:rStyle w:val="27"/>
                <w:rFonts w:hint="eastAsia"/>
                <w:bCs/>
                <w:color w:val="auto"/>
                <w:szCs w:val="21"/>
                <w:highlight w:val="none"/>
              </w:rPr>
              <w:t>响应文件</w:t>
            </w:r>
            <w:r>
              <w:rPr>
                <w:rStyle w:val="27"/>
                <w:bCs/>
                <w:color w:val="auto"/>
                <w:szCs w:val="21"/>
                <w:highlight w:val="none"/>
              </w:rPr>
              <w:t>的解密。若</w:t>
            </w:r>
            <w:r>
              <w:rPr>
                <w:rStyle w:val="27"/>
                <w:rFonts w:hint="eastAsia"/>
                <w:bCs/>
                <w:color w:val="auto"/>
                <w:szCs w:val="21"/>
                <w:highlight w:val="none"/>
              </w:rPr>
              <w:t>竞</w:t>
            </w:r>
            <w:r>
              <w:rPr>
                <w:rStyle w:val="27"/>
                <w:bCs/>
                <w:color w:val="auto"/>
                <w:szCs w:val="21"/>
                <w:highlight w:val="none"/>
              </w:rPr>
              <w:t>标供应商在规定时间内未按时解密的，视为</w:t>
            </w:r>
            <w:r>
              <w:rPr>
                <w:rStyle w:val="27"/>
                <w:rFonts w:hint="eastAsia"/>
                <w:bCs/>
                <w:color w:val="auto"/>
                <w:szCs w:val="21"/>
                <w:highlight w:val="none"/>
              </w:rPr>
              <w:t>响应</w:t>
            </w:r>
            <w:r>
              <w:rPr>
                <w:rStyle w:val="27"/>
                <w:bCs/>
                <w:color w:val="auto"/>
                <w:szCs w:val="21"/>
                <w:highlight w:val="none"/>
              </w:rPr>
              <w:t>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24.1</w:t>
            </w:r>
          </w:p>
        </w:tc>
        <w:tc>
          <w:tcPr>
            <w:tcW w:w="7606" w:type="dxa"/>
            <w:noWrap/>
            <w:vAlign w:val="center"/>
          </w:tcPr>
          <w:p>
            <w:pPr>
              <w:snapToGrid w:val="0"/>
              <w:spacing w:line="340" w:lineRule="exact"/>
              <w:jc w:val="left"/>
              <w:rPr>
                <w:rFonts w:ascii="宋体" w:hAnsi="宋体"/>
                <w:color w:val="auto"/>
                <w:szCs w:val="21"/>
                <w:highlight w:val="none"/>
              </w:rPr>
            </w:pPr>
            <w:r>
              <w:rPr>
                <w:color w:val="auto"/>
                <w:szCs w:val="21"/>
                <w:highlight w:val="none"/>
              </w:rPr>
              <w:t>磋商小组的人数：</w:t>
            </w:r>
            <w:r>
              <w:rPr>
                <w:rFonts w:hint="eastAsia"/>
                <w:color w:val="auto"/>
                <w:szCs w:val="21"/>
                <w:highlight w:val="none"/>
                <w:u w:val="single"/>
              </w:rPr>
              <w:t>3</w:t>
            </w:r>
            <w:r>
              <w:rPr>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26.2</w:t>
            </w:r>
          </w:p>
        </w:tc>
        <w:tc>
          <w:tcPr>
            <w:tcW w:w="7606" w:type="dxa"/>
            <w:noWrap/>
            <w:vAlign w:val="center"/>
          </w:tcPr>
          <w:p>
            <w:pPr>
              <w:snapToGrid w:val="0"/>
              <w:spacing w:line="340" w:lineRule="exact"/>
              <w:rPr>
                <w:color w:val="auto"/>
                <w:szCs w:val="21"/>
                <w:highlight w:val="none"/>
              </w:rPr>
            </w:pPr>
            <w:r>
              <w:rPr>
                <w:color w:val="auto"/>
                <w:szCs w:val="21"/>
                <w:highlight w:val="none"/>
              </w:rPr>
              <w:t>磋商的顺序：</w:t>
            </w:r>
          </w:p>
          <w:p>
            <w:pPr>
              <w:pStyle w:val="7"/>
              <w:spacing w:line="340" w:lineRule="exact"/>
              <w:rPr>
                <w:color w:val="auto"/>
                <w:szCs w:val="21"/>
                <w:highlight w:val="none"/>
              </w:rPr>
            </w:pPr>
            <w:r>
              <w:rPr>
                <w:rFonts w:hint="eastAsia" w:ascii="宋体" w:hAnsi="宋体" w:cs="宋体"/>
                <w:color w:val="auto"/>
                <w:szCs w:val="21"/>
                <w:highlight w:val="none"/>
              </w:rPr>
              <w:t>□</w:t>
            </w:r>
            <w:r>
              <w:rPr>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340" w:lineRule="exact"/>
              <w:rPr>
                <w:rFonts w:ascii="宋体" w:hAnsi="宋体"/>
                <w:color w:val="auto"/>
                <w:szCs w:val="21"/>
                <w:highlight w:val="none"/>
              </w:rPr>
            </w:pPr>
            <w:r>
              <w:rPr>
                <w:rFonts w:hint="eastAsia" w:ascii="宋体" w:hAnsi="宋体" w:cs="宋体"/>
                <w:color w:val="auto"/>
                <w:szCs w:val="21"/>
                <w:highlight w:val="none"/>
              </w:rPr>
              <w:t>☑</w:t>
            </w:r>
            <w:r>
              <w:rPr>
                <w:color w:val="auto"/>
                <w:szCs w:val="21"/>
                <w:highlight w:val="none"/>
              </w:rPr>
              <w:t>随机排序。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28.1</w:t>
            </w:r>
          </w:p>
        </w:tc>
        <w:tc>
          <w:tcPr>
            <w:tcW w:w="7606" w:type="dxa"/>
            <w:noWrap/>
            <w:vAlign w:val="center"/>
          </w:tcPr>
          <w:p>
            <w:pPr>
              <w:pStyle w:val="26"/>
              <w:spacing w:line="340" w:lineRule="exact"/>
              <w:rPr>
                <w:rFonts w:ascii="Times New Roman" w:eastAsia="宋体"/>
                <w:color w:val="auto"/>
                <w:kern w:val="2"/>
                <w:sz w:val="21"/>
                <w:szCs w:val="24"/>
                <w:highlight w:val="none"/>
              </w:rPr>
            </w:pPr>
            <w:r>
              <w:rPr>
                <w:rFonts w:hint="eastAsia" w:ascii="Times New Roman" w:eastAsia="宋体"/>
                <w:color w:val="auto"/>
                <w:kern w:val="2"/>
                <w:sz w:val="21"/>
                <w:szCs w:val="24"/>
                <w:highlight w:val="none"/>
              </w:rPr>
              <w:t>本项目收取履约保证金，具体规定如下：</w:t>
            </w:r>
          </w:p>
          <w:p>
            <w:pPr>
              <w:pStyle w:val="26"/>
              <w:spacing w:line="340" w:lineRule="exact"/>
              <w:rPr>
                <w:rFonts w:ascii="Times New Roman" w:eastAsia="宋体"/>
                <w:color w:val="auto"/>
                <w:kern w:val="2"/>
                <w:sz w:val="21"/>
                <w:szCs w:val="24"/>
                <w:highlight w:val="none"/>
              </w:rPr>
            </w:pPr>
            <w:r>
              <w:rPr>
                <w:rFonts w:hint="eastAsia" w:ascii="Times New Roman" w:eastAsia="宋体"/>
                <w:color w:val="auto"/>
                <w:kern w:val="2"/>
                <w:sz w:val="21"/>
                <w:szCs w:val="24"/>
                <w:highlight w:val="none"/>
              </w:rPr>
              <w:t>履约保证金金额：</w:t>
            </w:r>
            <w:r>
              <w:rPr>
                <w:rFonts w:hint="eastAsia" w:ascii="Times New Roman" w:eastAsia="宋体"/>
                <w:color w:val="auto"/>
                <w:kern w:val="2"/>
                <w:sz w:val="21"/>
                <w:szCs w:val="24"/>
                <w:highlight w:val="none"/>
                <w:u w:val="single"/>
              </w:rPr>
              <w:t>按成交金额的 2 %收取</w:t>
            </w:r>
            <w:r>
              <w:rPr>
                <w:rFonts w:hint="eastAsia" w:ascii="Times New Roman" w:eastAsia="宋体"/>
                <w:color w:val="auto"/>
                <w:kern w:val="2"/>
                <w:sz w:val="21"/>
                <w:szCs w:val="24"/>
                <w:highlight w:val="none"/>
              </w:rPr>
              <w:t>，中标人在签订合同之前向采购人足额缴纳（如成交人不按时交足则取消成交资格）。履约保证金项目验收合格后退还。</w:t>
            </w:r>
          </w:p>
          <w:p>
            <w:pPr>
              <w:pStyle w:val="26"/>
              <w:spacing w:line="340" w:lineRule="exact"/>
              <w:rPr>
                <w:rFonts w:ascii="Times New Roman" w:eastAsia="宋体"/>
                <w:color w:val="auto"/>
                <w:kern w:val="2"/>
                <w:sz w:val="21"/>
                <w:szCs w:val="24"/>
                <w:highlight w:val="none"/>
              </w:rPr>
            </w:pPr>
            <w:r>
              <w:rPr>
                <w:rFonts w:hint="eastAsia" w:ascii="Times New Roman" w:eastAsia="宋体"/>
                <w:color w:val="auto"/>
                <w:kern w:val="2"/>
                <w:sz w:val="21"/>
                <w:szCs w:val="24"/>
                <w:highlight w:val="none"/>
              </w:rPr>
              <w:t>履约保证金递交方式：银行转账、支票、汇票、本票或者保函等非现金方式。</w:t>
            </w:r>
          </w:p>
          <w:p>
            <w:pPr>
              <w:pStyle w:val="26"/>
              <w:spacing w:line="340" w:lineRule="exact"/>
              <w:rPr>
                <w:rFonts w:ascii="Times New Roman" w:eastAsia="宋体"/>
                <w:color w:val="auto"/>
                <w:kern w:val="2"/>
                <w:sz w:val="21"/>
                <w:szCs w:val="24"/>
                <w:highlight w:val="none"/>
              </w:rPr>
            </w:pPr>
            <w:r>
              <w:rPr>
                <w:rFonts w:hint="eastAsia" w:ascii="宋体" w:hAnsi="宋体"/>
                <w:color w:val="auto"/>
                <w:szCs w:val="21"/>
                <w:highlight w:val="none"/>
              </w:rPr>
              <w:t>履约保证金指定账户：</w:t>
            </w:r>
            <w:r>
              <w:rPr>
                <w:rFonts w:hint="eastAsia" w:ascii="宋体" w:hAnsi="宋体" w:cs="宋体"/>
                <w:color w:val="auto"/>
                <w:spacing w:val="2"/>
                <w:szCs w:val="21"/>
                <w:highlight w:val="none"/>
              </w:rPr>
              <w:t>（供应商成交后须分别交到项目业主指定账户）</w:t>
            </w:r>
          </w:p>
          <w:p>
            <w:pPr>
              <w:pStyle w:val="26"/>
              <w:spacing w:line="340" w:lineRule="exact"/>
              <w:rPr>
                <w:rFonts w:ascii="Times New Roman" w:eastAsia="宋体"/>
                <w:color w:val="auto"/>
                <w:kern w:val="2"/>
                <w:sz w:val="21"/>
                <w:szCs w:val="24"/>
                <w:highlight w:val="none"/>
              </w:rPr>
            </w:pPr>
            <w:r>
              <w:rPr>
                <w:rFonts w:hint="eastAsia" w:ascii="Times New Roman" w:eastAsia="宋体"/>
                <w:color w:val="auto"/>
                <w:kern w:val="2"/>
                <w:sz w:val="21"/>
                <w:szCs w:val="24"/>
                <w:highlight w:val="none"/>
              </w:rPr>
              <w:t>备注：</w:t>
            </w:r>
          </w:p>
          <w:p>
            <w:pPr>
              <w:pStyle w:val="26"/>
              <w:spacing w:line="340" w:lineRule="exact"/>
              <w:rPr>
                <w:rFonts w:ascii="Times New Roman" w:eastAsia="宋体"/>
                <w:color w:val="auto"/>
                <w:kern w:val="2"/>
                <w:sz w:val="21"/>
                <w:szCs w:val="24"/>
                <w:highlight w:val="none"/>
              </w:rPr>
            </w:pPr>
            <w:r>
              <w:rPr>
                <w:rFonts w:hint="eastAsia" w:ascii="Times New Roman" w:eastAsia="宋体"/>
                <w:color w:val="auto"/>
                <w:kern w:val="2"/>
                <w:sz w:val="21"/>
                <w:szCs w:val="24"/>
                <w:highlight w:val="none"/>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p>
          <w:p>
            <w:pPr>
              <w:pStyle w:val="26"/>
              <w:spacing w:line="340" w:lineRule="exact"/>
              <w:rPr>
                <w:rFonts w:ascii="Times New Roman" w:eastAsia="宋体"/>
                <w:color w:val="auto"/>
                <w:kern w:val="2"/>
                <w:sz w:val="21"/>
                <w:szCs w:val="24"/>
                <w:highlight w:val="none"/>
              </w:rPr>
            </w:pPr>
            <w:r>
              <w:rPr>
                <w:rFonts w:hint="eastAsia" w:ascii="Times New Roman" w:eastAsia="宋体"/>
                <w:color w:val="auto"/>
                <w:kern w:val="2"/>
                <w:sz w:val="21"/>
                <w:szCs w:val="24"/>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pStyle w:val="26"/>
              <w:spacing w:line="340" w:lineRule="exact"/>
              <w:rPr>
                <w:rFonts w:ascii="宋体" w:hAnsi="宋体"/>
                <w:color w:val="auto"/>
                <w:szCs w:val="21"/>
                <w:highlight w:val="none"/>
              </w:rPr>
            </w:pPr>
            <w:r>
              <w:rPr>
                <w:rFonts w:hint="eastAsia" w:ascii="Times New Roman" w:eastAsia="宋体"/>
                <w:color w:val="auto"/>
                <w:kern w:val="2"/>
                <w:sz w:val="21"/>
                <w:szCs w:val="24"/>
                <w:highlight w:val="none"/>
              </w:rPr>
              <w:t>3、采用金融、担保机构出具的保函的，必须为无条件保函，否则不予签订合同。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29.1</w:t>
            </w:r>
          </w:p>
        </w:tc>
        <w:tc>
          <w:tcPr>
            <w:tcW w:w="7606" w:type="dxa"/>
            <w:noWrap/>
            <w:vAlign w:val="center"/>
          </w:tcPr>
          <w:p>
            <w:pPr>
              <w:autoSpaceDE w:val="0"/>
              <w:autoSpaceDN w:val="0"/>
              <w:snapToGrid w:val="0"/>
              <w:spacing w:line="340" w:lineRule="exact"/>
              <w:textAlignment w:val="bottom"/>
              <w:rPr>
                <w:color w:val="auto"/>
                <w:szCs w:val="21"/>
                <w:highlight w:val="none"/>
              </w:rPr>
            </w:pPr>
            <w:r>
              <w:rPr>
                <w:color w:val="auto"/>
                <w:szCs w:val="21"/>
                <w:highlight w:val="none"/>
              </w:rPr>
              <w:t xml:space="preserve">签订合同携带的证明材料： </w:t>
            </w:r>
          </w:p>
          <w:p>
            <w:pPr>
              <w:autoSpaceDE w:val="0"/>
              <w:autoSpaceDN w:val="0"/>
              <w:snapToGrid w:val="0"/>
              <w:spacing w:line="340" w:lineRule="exact"/>
              <w:textAlignment w:val="bottom"/>
              <w:rPr>
                <w:color w:val="auto"/>
                <w:szCs w:val="21"/>
                <w:highlight w:val="none"/>
              </w:rPr>
            </w:pPr>
            <w:r>
              <w:rPr>
                <w:color w:val="auto"/>
                <w:szCs w:val="21"/>
                <w:highlight w:val="none"/>
              </w:rPr>
              <w:t>委托代理人负责签订合同的，须携带授权委托书及委托代理人身份证原件等其他资格证件。</w:t>
            </w:r>
          </w:p>
          <w:p>
            <w:pPr>
              <w:snapToGrid w:val="0"/>
              <w:spacing w:line="340" w:lineRule="exact"/>
              <w:rPr>
                <w:rFonts w:ascii="宋体" w:hAnsi="宋体"/>
                <w:color w:val="auto"/>
                <w:szCs w:val="21"/>
                <w:highlight w:val="none"/>
              </w:rPr>
            </w:pPr>
            <w:r>
              <w:rPr>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33" w:type="dxa"/>
            <w:noWrap/>
            <w:vAlign w:val="center"/>
          </w:tcPr>
          <w:p>
            <w:pPr>
              <w:spacing w:line="340" w:lineRule="exact"/>
              <w:jc w:val="center"/>
              <w:rPr>
                <w:rFonts w:ascii="宋体" w:hAnsi="宋体"/>
                <w:color w:val="auto"/>
                <w:szCs w:val="21"/>
                <w:highlight w:val="none"/>
              </w:rPr>
            </w:pPr>
            <w:r>
              <w:rPr>
                <w:rFonts w:hint="eastAsia"/>
                <w:color w:val="auto"/>
                <w:szCs w:val="21"/>
                <w:highlight w:val="none"/>
              </w:rPr>
              <w:t>30</w:t>
            </w:r>
          </w:p>
        </w:tc>
        <w:tc>
          <w:tcPr>
            <w:tcW w:w="7606" w:type="dxa"/>
            <w:noWrap/>
            <w:vAlign w:val="center"/>
          </w:tcPr>
          <w:p>
            <w:pPr>
              <w:spacing w:line="360" w:lineRule="auto"/>
              <w:rPr>
                <w:rFonts w:ascii="宋体" w:hAnsi="宋体"/>
                <w:color w:val="auto"/>
                <w:szCs w:val="21"/>
                <w:highlight w:val="none"/>
              </w:rPr>
            </w:pPr>
            <w:r>
              <w:rPr>
                <w:rFonts w:hint="eastAsia"/>
                <w:color w:val="auto"/>
                <w:szCs w:val="21"/>
                <w:highlight w:val="none"/>
              </w:rPr>
              <w:t>本项目的招标控制价为：</w:t>
            </w:r>
            <w:r>
              <w:rPr>
                <w:rFonts w:hint="eastAsia" w:ascii="宋体" w:hAnsi="宋体" w:cs="宋体"/>
                <w:b/>
                <w:bCs/>
                <w:color w:val="auto"/>
                <w:szCs w:val="21"/>
                <w:highlight w:val="none"/>
              </w:rPr>
              <w:t>188.9362万元（其中G228线K6734+566白沙头桥危旧桥梁改造工程99.915万元；G228线K6744+568围初沟桥危旧桥梁改造工程89.0212万元）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31.2</w:t>
            </w:r>
          </w:p>
        </w:tc>
        <w:tc>
          <w:tcPr>
            <w:tcW w:w="7606" w:type="dxa"/>
            <w:noWrap/>
            <w:vAlign w:val="center"/>
          </w:tcPr>
          <w:p>
            <w:pPr>
              <w:snapToGrid w:val="0"/>
              <w:spacing w:line="360" w:lineRule="exact"/>
              <w:rPr>
                <w:color w:val="auto"/>
                <w:szCs w:val="21"/>
                <w:highlight w:val="none"/>
              </w:rPr>
            </w:pPr>
            <w:r>
              <w:rPr>
                <w:color w:val="auto"/>
                <w:szCs w:val="21"/>
                <w:highlight w:val="none"/>
              </w:rPr>
              <w:t>接收质疑函方式：以书面形式。</w:t>
            </w:r>
          </w:p>
          <w:p>
            <w:pPr>
              <w:snapToGrid w:val="0"/>
              <w:spacing w:line="360" w:lineRule="exact"/>
              <w:rPr>
                <w:color w:val="auto"/>
                <w:szCs w:val="21"/>
                <w:highlight w:val="none"/>
              </w:rPr>
            </w:pPr>
            <w:r>
              <w:rPr>
                <w:color w:val="auto"/>
                <w:szCs w:val="21"/>
                <w:highlight w:val="none"/>
              </w:rPr>
              <w:t>质疑联系部门及联系方式：</w:t>
            </w:r>
            <w:r>
              <w:rPr>
                <w:rFonts w:hint="eastAsia"/>
                <w:color w:val="auto"/>
                <w:szCs w:val="21"/>
                <w:highlight w:val="none"/>
              </w:rPr>
              <w:t>广西瑞真工程造价咨询有限责任公司</w:t>
            </w:r>
          </w:p>
          <w:p>
            <w:pPr>
              <w:spacing w:line="460" w:lineRule="exact"/>
              <w:rPr>
                <w:rFonts w:ascii="宋体" w:hAnsi="宋体" w:cs="宋体"/>
                <w:color w:val="auto"/>
                <w:szCs w:val="21"/>
                <w:highlight w:val="none"/>
              </w:rPr>
            </w:pPr>
            <w:r>
              <w:rPr>
                <w:color w:val="auto"/>
                <w:szCs w:val="21"/>
                <w:highlight w:val="none"/>
              </w:rPr>
              <w:t>联系电话：</w:t>
            </w:r>
            <w:r>
              <w:rPr>
                <w:rFonts w:hint="eastAsia" w:ascii="宋体" w:hAnsi="宋体" w:cs="宋体"/>
                <w:color w:val="auto"/>
                <w:szCs w:val="21"/>
                <w:highlight w:val="none"/>
              </w:rPr>
              <w:t>0779-3219191，3211770</w:t>
            </w:r>
          </w:p>
          <w:p>
            <w:pPr>
              <w:spacing w:line="460" w:lineRule="exact"/>
              <w:rPr>
                <w:rFonts w:ascii="宋体" w:hAnsi="宋体" w:cs="宋体"/>
                <w:color w:val="auto"/>
                <w:szCs w:val="21"/>
                <w:highlight w:val="none"/>
              </w:rPr>
            </w:pPr>
            <w:r>
              <w:rPr>
                <w:color w:val="auto"/>
                <w:szCs w:val="21"/>
                <w:highlight w:val="none"/>
              </w:rPr>
              <w:t>通讯地址：</w:t>
            </w:r>
            <w:r>
              <w:rPr>
                <w:rFonts w:hint="eastAsia" w:ascii="宋体" w:hAnsi="宋体" w:cs="宋体"/>
                <w:color w:val="auto"/>
                <w:szCs w:val="21"/>
                <w:highlight w:val="none"/>
              </w:rPr>
              <w:t>北海市重庆路发展大厦A701室</w:t>
            </w:r>
          </w:p>
          <w:p>
            <w:pPr>
              <w:snapToGrid w:val="0"/>
              <w:spacing w:line="360" w:lineRule="exact"/>
              <w:rPr>
                <w:rFonts w:ascii="宋体" w:hAnsi="宋体"/>
                <w:color w:val="auto"/>
                <w:szCs w:val="21"/>
                <w:highlight w:val="none"/>
              </w:rPr>
            </w:pPr>
            <w:r>
              <w:rPr>
                <w:color w:val="auto"/>
                <w:szCs w:val="21"/>
                <w:highlight w:val="none"/>
              </w:rPr>
              <w:t>业务时间：上午8时00分到12时00分，下午3时00分到6时00分，业务时间以外、双休日和法定节假日不办理业务。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32.1</w:t>
            </w:r>
          </w:p>
        </w:tc>
        <w:tc>
          <w:tcPr>
            <w:tcW w:w="7606" w:type="dxa"/>
            <w:noWrap/>
            <w:vAlign w:val="center"/>
          </w:tcPr>
          <w:p>
            <w:pPr>
              <w:pStyle w:val="12"/>
              <w:snapToGrid w:val="0"/>
              <w:spacing w:line="340" w:lineRule="atLeast"/>
              <w:rPr>
                <w:rFonts w:ascii="Times New Roman" w:hAnsi="Times New Roman"/>
                <w:color w:val="auto"/>
                <w:highlight w:val="none"/>
              </w:rPr>
            </w:pPr>
            <w:r>
              <w:rPr>
                <w:rFonts w:ascii="Times New Roman" w:hAnsi="Times New Roman"/>
                <w:color w:val="auto"/>
                <w:highlight w:val="none"/>
              </w:rPr>
              <w:t>1．采购代理费支付方式：</w:t>
            </w:r>
          </w:p>
          <w:p>
            <w:pPr>
              <w:pStyle w:val="12"/>
              <w:snapToGrid w:val="0"/>
              <w:spacing w:line="340" w:lineRule="atLeast"/>
              <w:rPr>
                <w:rFonts w:ascii="Times New Roman" w:hAnsi="Times New Roman"/>
                <w:color w:val="auto"/>
                <w:highlight w:val="none"/>
              </w:rPr>
            </w:pPr>
            <w:r>
              <w:rPr>
                <w:rFonts w:ascii="Times New Roman" w:hAnsi="Times New Roman"/>
                <w:color w:val="auto"/>
                <w:highlight w:val="none"/>
              </w:rPr>
              <w:t>☑本项目代理服务费由</w:t>
            </w:r>
            <w:r>
              <w:rPr>
                <w:rFonts w:ascii="Times New Roman" w:hAnsi="Times New Roman"/>
                <w:color w:val="auto"/>
                <w:highlight w:val="none"/>
                <w:u w:val="single"/>
              </w:rPr>
              <w:t>成交供应商</w:t>
            </w:r>
            <w:r>
              <w:rPr>
                <w:rFonts w:hint="eastAsia" w:ascii="Times New Roman" w:hAnsi="Times New Roman"/>
                <w:color w:val="auto"/>
                <w:highlight w:val="none"/>
                <w:u w:val="single"/>
              </w:rPr>
              <w:t>（中标人）</w:t>
            </w:r>
            <w:r>
              <w:rPr>
                <w:rFonts w:ascii="Times New Roman" w:hAnsi="Times New Roman"/>
                <w:color w:val="auto"/>
                <w:highlight w:val="none"/>
              </w:rPr>
              <w:t>领取成交通知书前，一次性向采购代理机构支付。</w:t>
            </w:r>
          </w:p>
          <w:p>
            <w:pPr>
              <w:pStyle w:val="12"/>
              <w:snapToGrid w:val="0"/>
              <w:spacing w:line="340" w:lineRule="atLeast"/>
              <w:rPr>
                <w:rFonts w:ascii="Times New Roman" w:hAnsi="Times New Roman"/>
                <w:color w:val="auto"/>
                <w:highlight w:val="none"/>
              </w:rPr>
            </w:pPr>
            <w:r>
              <w:rPr>
                <w:rFonts w:ascii="Times New Roman" w:hAnsi="Times New Roman"/>
                <w:color w:val="auto"/>
                <w:highlight w:val="none"/>
              </w:rPr>
              <w:t>2．采购代理费收取标准：</w:t>
            </w:r>
          </w:p>
          <w:p>
            <w:pPr>
              <w:pStyle w:val="12"/>
              <w:snapToGrid w:val="0"/>
              <w:spacing w:line="340" w:lineRule="atLeast"/>
              <w:rPr>
                <w:rFonts w:ascii="Times New Roman" w:hAnsi="Times New Roman"/>
                <w:color w:val="auto"/>
                <w:highlight w:val="none"/>
              </w:rPr>
            </w:pPr>
            <w:r>
              <w:rPr>
                <w:rFonts w:ascii="Times New Roman" w:hAnsi="Times New Roman"/>
                <w:color w:val="auto"/>
                <w:highlight w:val="none"/>
              </w:rPr>
              <w:t>以中标金额计算业务酬金，按桂价费〔2011〕55号规定按差额定率累进法计取，由成交供应商向采购代理机构支付。成交供应商在领取成交通知书前，一次性向采购代理机构付清全部代理服务费。</w:t>
            </w:r>
          </w:p>
          <w:p>
            <w:pPr>
              <w:pStyle w:val="12"/>
              <w:snapToGrid w:val="0"/>
              <w:spacing w:line="340" w:lineRule="atLeast"/>
              <w:rPr>
                <w:rFonts w:ascii="Times New Roman" w:hAnsi="Times New Roman"/>
                <w:color w:val="auto"/>
                <w:highlight w:val="none"/>
              </w:rPr>
            </w:pPr>
            <w:r>
              <w:rPr>
                <w:rFonts w:ascii="Times New Roman" w:hAnsi="Times New Roman"/>
                <w:color w:val="auto"/>
                <w:highlight w:val="none"/>
              </w:rPr>
              <w:t>3．采购代理费收取银行账户</w:t>
            </w:r>
            <w:r>
              <w:rPr>
                <w:rFonts w:hint="eastAsia" w:ascii="Times New Roman" w:hAnsi="Times New Roman"/>
                <w:color w:val="auto"/>
                <w:highlight w:val="none"/>
              </w:rPr>
              <w:t>：</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开户名称：</w:t>
            </w:r>
            <w:r>
              <w:rPr>
                <w:color w:val="auto"/>
                <w:szCs w:val="21"/>
                <w:highlight w:val="none"/>
              </w:rPr>
              <w:t>广西瑞真工程造价咨询有限责任公司北海分公司</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开户银行：</w:t>
            </w:r>
            <w:r>
              <w:rPr>
                <w:color w:val="auto"/>
                <w:szCs w:val="21"/>
                <w:highlight w:val="none"/>
              </w:rPr>
              <w:t>建设银行北海大道支行</w:t>
            </w:r>
          </w:p>
          <w:p>
            <w:pPr>
              <w:pStyle w:val="12"/>
              <w:snapToGrid w:val="0"/>
              <w:spacing w:line="340" w:lineRule="atLeast"/>
              <w:rPr>
                <w:rFonts w:hAnsi="宋体"/>
                <w:color w:val="auto"/>
                <w:highlight w:val="none"/>
              </w:rPr>
            </w:pPr>
            <w:r>
              <w:rPr>
                <w:rFonts w:hint="eastAsia" w:ascii="Times New Roman" w:hAnsi="Times New Roman"/>
                <w:color w:val="auto"/>
                <w:highlight w:val="none"/>
              </w:rPr>
              <w:t>银行账号：</w:t>
            </w:r>
            <w:r>
              <w:rPr>
                <w:color w:val="auto"/>
                <w:szCs w:val="21"/>
                <w:highlight w:val="none"/>
              </w:rPr>
              <w:t>4500  1655  1020  5050  1102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33.1</w:t>
            </w:r>
          </w:p>
        </w:tc>
        <w:tc>
          <w:tcPr>
            <w:tcW w:w="7606" w:type="dxa"/>
            <w:noWrap/>
            <w:vAlign w:val="center"/>
          </w:tcPr>
          <w:p>
            <w:pPr>
              <w:pStyle w:val="12"/>
              <w:snapToGrid w:val="0"/>
              <w:spacing w:line="340" w:lineRule="exact"/>
              <w:rPr>
                <w:rFonts w:hAnsi="宋体" w:cs="宋体"/>
                <w:color w:val="auto"/>
                <w:szCs w:val="21"/>
                <w:highlight w:val="none"/>
              </w:rPr>
            </w:pPr>
            <w:r>
              <w:rPr>
                <w:rFonts w:ascii="Times New Roman" w:hAnsi="Times New Roman"/>
                <w:color w:val="auto"/>
                <w:highlight w:val="none"/>
              </w:rPr>
              <w:t>解释：构成本磋商文件的各个组成文件应互为解释，互为说明；除磋商文件中有特别规定外，仅适用于竞标阶段的规定，按更正公告（澄清公告）、竞争性磋商公告、供应商须知、</w:t>
            </w:r>
            <w:r>
              <w:rPr>
                <w:rFonts w:hint="eastAsia" w:ascii="Times New Roman" w:hAnsi="Times New Roman"/>
                <w:color w:val="auto"/>
                <w:highlight w:val="none"/>
              </w:rPr>
              <w:t>工程量清单及图纸</w:t>
            </w:r>
            <w:r>
              <w:rPr>
                <w:rFonts w:ascii="Times New Roman" w:hAnsi="Times New Roman"/>
                <w:color w:val="auto"/>
                <w:highlight w:val="none"/>
              </w:rPr>
              <w:t>、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ign w:val="center"/>
          </w:tcPr>
          <w:p>
            <w:pPr>
              <w:spacing w:line="340" w:lineRule="exact"/>
              <w:jc w:val="center"/>
              <w:rPr>
                <w:rFonts w:ascii="宋体" w:hAnsi="宋体"/>
                <w:color w:val="auto"/>
                <w:szCs w:val="21"/>
                <w:highlight w:val="none"/>
              </w:rPr>
            </w:pPr>
            <w:r>
              <w:rPr>
                <w:color w:val="auto"/>
                <w:szCs w:val="21"/>
                <w:highlight w:val="none"/>
              </w:rPr>
              <w:t>33.2</w:t>
            </w:r>
          </w:p>
        </w:tc>
        <w:tc>
          <w:tcPr>
            <w:tcW w:w="7606" w:type="dxa"/>
            <w:noWrap/>
            <w:vAlign w:val="center"/>
          </w:tcPr>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响应文件编制的要求</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1 .电子响应文件中须加盖供应商公章部分必须加盖公章，并根据“政府采购项目电子交易管理操作指南-供应商”及本采购文件规定的格式和顺序编制电子投标响应文件并进行关联定位，以便评审小组在评审时，点击评分项可直接定位到该评分项内容。如对采购文件的某项要求，供应商的电子投标响应文件未能关联定位提供相应的内容与其对应，则评审小组在评审时如做出对供应商不利的评审由供应商自行承担。电子投标响应文件如内容不完整、编排混乱导致竞标响应文件被误读、漏读，或者在按采购文件规定的部位查找不到相关内容的，由供应商自行承担。</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 xml:space="preserve">2 .供应商法人（负责人）或授权代表持有政采云个人CA签章的，必须在竞标响应文件中涉及到签字的位置使用个人CA签章，没有办理政采云个人CA签章的可在竞标响应文件中涉及到签字的位置手写签字后扫描或者拍照做成 PDF 的格式上传即可（注：竞标人需保证扫描或者拍照的文件清晰可见）。 </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3 .响应文件不得涂改，若有修改错漏处，须法定代表人（负责人）或授权委托人签字（或个人CA签章）。竞标响应文件因字迹潦草或表达不清所引起的后果由供应商负责。</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 xml:space="preserve">4.评审前准备 </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 xml:space="preserve">4.1本项目实行网上评审，采用电子投标响应文件；若供应商参与投标，自行承担投标一切费用。 </w:t>
            </w:r>
          </w:p>
          <w:p>
            <w:pPr>
              <w:pStyle w:val="12"/>
              <w:snapToGrid w:val="0"/>
              <w:spacing w:line="340" w:lineRule="atLeast"/>
              <w:rPr>
                <w:rFonts w:ascii="Times New Roman" w:hAnsi="Times New Roman"/>
                <w:color w:val="auto"/>
                <w:highlight w:val="none"/>
              </w:rPr>
            </w:pPr>
            <w:r>
              <w:rPr>
                <w:rFonts w:hint="eastAsia" w:ascii="Times New Roman" w:hAnsi="Times New Roman"/>
                <w:color w:val="auto"/>
                <w:highlight w:val="none"/>
              </w:rPr>
              <w:t xml:space="preserve">4.2各供应商在截标前应确保成为广西政府采购云平台（https://www.gcy.zfcg.gxzf.gov.cn/）正式注册入库供应商，并完成 CA 数字证书申领。因未注册入库、未办理 CA 数字证书等原因造成无法投标或投标失败等后果由供应商自行承担。 </w:t>
            </w:r>
          </w:p>
          <w:p>
            <w:pPr>
              <w:pStyle w:val="12"/>
              <w:snapToGrid w:val="0"/>
              <w:spacing w:line="340" w:lineRule="atLeast"/>
              <w:rPr>
                <w:rFonts w:hAnsi="宋体" w:cs="宋体"/>
                <w:color w:val="auto"/>
                <w:szCs w:val="21"/>
                <w:highlight w:val="none"/>
              </w:rPr>
            </w:pPr>
            <w:r>
              <w:rPr>
                <w:rFonts w:hint="eastAsia" w:ascii="Times New Roman" w:hAnsi="Times New Roman"/>
                <w:color w:val="auto"/>
                <w:highlight w:val="none"/>
              </w:rPr>
              <w:t xml:space="preserve">4.3供应商将广西政府采购云客户端下载、安装完成后，可通过账号密码或 CA 登录客户端进行竞标响应文件制作。客户端请至网站下载专区查看，如有问题可拨打广西政府采购云平台客户服务热线 </w:t>
            </w:r>
            <w:r>
              <w:rPr>
                <w:rStyle w:val="24"/>
                <w:rFonts w:ascii="Arial" w:hAnsi="Arial" w:eastAsia="Arial" w:cs="Arial"/>
                <w:bCs/>
                <w:color w:val="auto"/>
                <w:szCs w:val="21"/>
                <w:highlight w:val="none"/>
                <w:shd w:val="clear" w:color="auto" w:fill="FFFFFF"/>
              </w:rPr>
              <w:t>95763</w:t>
            </w:r>
            <w:r>
              <w:rPr>
                <w:rFonts w:hint="eastAsia" w:ascii="Times New Roman" w:hAnsi="Times New Roman"/>
                <w:color w:val="auto"/>
                <w:highlight w:val="none"/>
              </w:rPr>
              <w:t>进行咨询。</w:t>
            </w:r>
          </w:p>
        </w:tc>
      </w:tr>
    </w:tbl>
    <w:p>
      <w:pPr>
        <w:spacing w:before="156" w:beforeLines="50" w:line="600" w:lineRule="exact"/>
        <w:jc w:val="center"/>
        <w:outlineLvl w:val="2"/>
        <w:rPr>
          <w:rFonts w:ascii="宋体" w:hAnsi="宋体"/>
          <w:b/>
          <w:color w:val="auto"/>
          <w:sz w:val="32"/>
          <w:szCs w:val="32"/>
          <w:highlight w:val="none"/>
        </w:rPr>
      </w:pPr>
      <w:bookmarkStart w:id="11" w:name="_Toc517286997"/>
      <w:bookmarkStart w:id="12" w:name="_Toc487722375"/>
      <w:bookmarkStart w:id="13" w:name="_Toc517286920"/>
      <w:r>
        <w:rPr>
          <w:rFonts w:ascii="宋体" w:hAnsi="宋体"/>
          <w:b/>
          <w:color w:val="auto"/>
          <w:sz w:val="32"/>
          <w:szCs w:val="32"/>
          <w:highlight w:val="none"/>
        </w:rPr>
        <w:br w:type="page"/>
      </w:r>
      <w:bookmarkStart w:id="14" w:name="_Toc198"/>
      <w:r>
        <w:rPr>
          <w:rFonts w:hint="eastAsia" w:ascii="宋体" w:hAnsi="宋体"/>
          <w:b/>
          <w:color w:val="auto"/>
          <w:sz w:val="32"/>
          <w:szCs w:val="32"/>
          <w:highlight w:val="none"/>
        </w:rPr>
        <w:t>磋商须知</w:t>
      </w:r>
      <w:bookmarkEnd w:id="11"/>
      <w:bookmarkEnd w:id="12"/>
      <w:bookmarkEnd w:id="13"/>
      <w:r>
        <w:rPr>
          <w:rFonts w:hint="eastAsia" w:ascii="宋体" w:hAnsi="宋体"/>
          <w:b/>
          <w:color w:val="auto"/>
          <w:sz w:val="32"/>
          <w:szCs w:val="32"/>
          <w:highlight w:val="none"/>
        </w:rPr>
        <w:t>正文</w:t>
      </w:r>
      <w:bookmarkEnd w:id="14"/>
    </w:p>
    <w:p>
      <w:pPr>
        <w:spacing w:line="340" w:lineRule="exact"/>
        <w:rPr>
          <w:rFonts w:ascii="宋体" w:hAnsi="宋体"/>
          <w:color w:val="auto"/>
          <w:szCs w:val="21"/>
          <w:highlight w:val="none"/>
        </w:rPr>
      </w:pPr>
    </w:p>
    <w:p>
      <w:pPr>
        <w:spacing w:before="240" w:line="400" w:lineRule="exact"/>
        <w:jc w:val="center"/>
        <w:outlineLvl w:val="2"/>
        <w:rPr>
          <w:b/>
          <w:color w:val="auto"/>
          <w:sz w:val="24"/>
          <w:highlight w:val="none"/>
        </w:rPr>
      </w:pPr>
      <w:bookmarkStart w:id="15" w:name="_Toc4510"/>
      <w:bookmarkStart w:id="16" w:name="_Toc15990"/>
      <w:r>
        <w:rPr>
          <w:b/>
          <w:color w:val="auto"/>
          <w:sz w:val="24"/>
          <w:highlight w:val="none"/>
        </w:rPr>
        <w:t>一、总则</w:t>
      </w:r>
      <w:bookmarkEnd w:id="15"/>
      <w:bookmarkEnd w:id="16"/>
    </w:p>
    <w:p>
      <w:pPr>
        <w:spacing w:line="400" w:lineRule="exact"/>
        <w:rPr>
          <w:color w:val="auto"/>
          <w:szCs w:val="21"/>
          <w:highlight w:val="none"/>
        </w:rPr>
      </w:pPr>
    </w:p>
    <w:p>
      <w:pPr>
        <w:spacing w:line="360" w:lineRule="auto"/>
        <w:ind w:firstLine="422" w:firstLineChars="200"/>
        <w:rPr>
          <w:b/>
          <w:bCs/>
          <w:color w:val="auto"/>
          <w:szCs w:val="21"/>
          <w:highlight w:val="none"/>
        </w:rPr>
      </w:pPr>
      <w:r>
        <w:rPr>
          <w:b/>
          <w:bCs/>
          <w:color w:val="auto"/>
          <w:szCs w:val="21"/>
          <w:highlight w:val="none"/>
        </w:rPr>
        <w:t>1</w:t>
      </w:r>
      <w:r>
        <w:rPr>
          <w:color w:val="auto"/>
          <w:szCs w:val="21"/>
          <w:highlight w:val="none"/>
        </w:rPr>
        <w:t>．</w:t>
      </w:r>
      <w:r>
        <w:rPr>
          <w:b/>
          <w:bCs/>
          <w:color w:val="auto"/>
          <w:szCs w:val="21"/>
          <w:highlight w:val="none"/>
        </w:rPr>
        <w:t>适用范围</w:t>
      </w:r>
    </w:p>
    <w:p>
      <w:pPr>
        <w:spacing w:line="360" w:lineRule="auto"/>
        <w:ind w:firstLine="420" w:firstLineChars="200"/>
        <w:rPr>
          <w:color w:val="auto"/>
          <w:szCs w:val="21"/>
          <w:highlight w:val="none"/>
        </w:rPr>
      </w:pPr>
      <w:r>
        <w:rPr>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color w:val="auto"/>
          <w:szCs w:val="21"/>
          <w:highlight w:val="none"/>
        </w:rPr>
      </w:pPr>
      <w:r>
        <w:rPr>
          <w:color w:val="auto"/>
          <w:szCs w:val="21"/>
          <w:highlight w:val="none"/>
        </w:rPr>
        <w:t>1.2</w:t>
      </w:r>
      <w:r>
        <w:rPr>
          <w:color w:val="auto"/>
          <w:spacing w:val="-6"/>
          <w:szCs w:val="21"/>
          <w:highlight w:val="none"/>
        </w:rPr>
        <w:t>本竞争性磋商文件（以下简称磋商文件）适用于本项目的所有采购程序和环节（法律、法规另有规定的，从其规定）。</w:t>
      </w:r>
    </w:p>
    <w:p>
      <w:pPr>
        <w:spacing w:line="360" w:lineRule="auto"/>
        <w:ind w:firstLine="422" w:firstLineChars="200"/>
        <w:rPr>
          <w:b/>
          <w:bCs/>
          <w:color w:val="auto"/>
          <w:szCs w:val="21"/>
          <w:highlight w:val="none"/>
        </w:rPr>
      </w:pPr>
      <w:r>
        <w:rPr>
          <w:b/>
          <w:bCs/>
          <w:color w:val="auto"/>
          <w:szCs w:val="21"/>
          <w:highlight w:val="none"/>
        </w:rPr>
        <w:t>2</w:t>
      </w:r>
      <w:r>
        <w:rPr>
          <w:color w:val="auto"/>
          <w:szCs w:val="21"/>
          <w:highlight w:val="none"/>
        </w:rPr>
        <w:t>．</w:t>
      </w:r>
      <w:r>
        <w:rPr>
          <w:b/>
          <w:bCs/>
          <w:color w:val="auto"/>
          <w:szCs w:val="21"/>
          <w:highlight w:val="none"/>
        </w:rPr>
        <w:t>定义</w:t>
      </w:r>
    </w:p>
    <w:p>
      <w:pPr>
        <w:spacing w:line="360" w:lineRule="auto"/>
        <w:ind w:firstLine="420" w:firstLineChars="200"/>
        <w:rPr>
          <w:color w:val="auto"/>
          <w:szCs w:val="21"/>
          <w:highlight w:val="none"/>
        </w:rPr>
      </w:pPr>
      <w:r>
        <w:rPr>
          <w:color w:val="auto"/>
          <w:szCs w:val="21"/>
          <w:highlight w:val="none"/>
        </w:rPr>
        <w:t>2.1“采购人”是指依法进行政府采购的国家机关、事业单位、团体组织。</w:t>
      </w:r>
    </w:p>
    <w:p>
      <w:pPr>
        <w:spacing w:line="360" w:lineRule="auto"/>
        <w:ind w:firstLine="420" w:firstLineChars="200"/>
        <w:rPr>
          <w:color w:val="auto"/>
          <w:szCs w:val="21"/>
          <w:highlight w:val="none"/>
          <w:u w:val="single"/>
        </w:rPr>
      </w:pPr>
      <w:r>
        <w:rPr>
          <w:color w:val="auto"/>
          <w:szCs w:val="21"/>
          <w:highlight w:val="none"/>
        </w:rPr>
        <w:t>2.2“采购代理机构”是指政府采购集中采购机构和集中采购机构以外的采购代理机构。</w:t>
      </w:r>
    </w:p>
    <w:p>
      <w:pPr>
        <w:spacing w:line="360" w:lineRule="auto"/>
        <w:ind w:firstLine="420" w:firstLineChars="200"/>
        <w:rPr>
          <w:color w:val="auto"/>
          <w:szCs w:val="21"/>
          <w:highlight w:val="none"/>
        </w:rPr>
      </w:pPr>
      <w:r>
        <w:rPr>
          <w:color w:val="auto"/>
          <w:szCs w:val="21"/>
          <w:highlight w:val="none"/>
        </w:rPr>
        <w:t>2.3“供应商”是指向采购人提供货物、工程或者服务的法人、其他组织或者自然人。</w:t>
      </w:r>
    </w:p>
    <w:p>
      <w:pPr>
        <w:spacing w:line="360" w:lineRule="auto"/>
        <w:ind w:firstLine="420" w:firstLineChars="200"/>
        <w:rPr>
          <w:color w:val="auto"/>
          <w:szCs w:val="21"/>
          <w:highlight w:val="none"/>
        </w:rPr>
      </w:pPr>
      <w:r>
        <w:rPr>
          <w:color w:val="auto"/>
          <w:szCs w:val="21"/>
          <w:highlight w:val="none"/>
        </w:rPr>
        <w:t>2.4“</w:t>
      </w:r>
      <w:r>
        <w:rPr>
          <w:rFonts w:hint="eastAsia"/>
          <w:color w:val="auto"/>
          <w:szCs w:val="21"/>
          <w:highlight w:val="none"/>
        </w:rPr>
        <w:t>工程</w:t>
      </w:r>
      <w:r>
        <w:rPr>
          <w:color w:val="auto"/>
          <w:szCs w:val="21"/>
          <w:highlight w:val="none"/>
        </w:rPr>
        <w:t>”是指除货物和</w:t>
      </w:r>
      <w:r>
        <w:rPr>
          <w:rFonts w:hint="eastAsia"/>
          <w:color w:val="auto"/>
          <w:szCs w:val="21"/>
          <w:highlight w:val="none"/>
        </w:rPr>
        <w:t>服务</w:t>
      </w:r>
      <w:r>
        <w:rPr>
          <w:color w:val="auto"/>
          <w:szCs w:val="21"/>
          <w:highlight w:val="none"/>
        </w:rPr>
        <w:t>以外的其他政府采购对象。</w:t>
      </w:r>
    </w:p>
    <w:p>
      <w:pPr>
        <w:spacing w:line="360" w:lineRule="auto"/>
        <w:ind w:firstLine="420" w:firstLineChars="200"/>
        <w:rPr>
          <w:color w:val="auto"/>
          <w:szCs w:val="21"/>
          <w:highlight w:val="none"/>
        </w:rPr>
      </w:pPr>
      <w:r>
        <w:rPr>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color w:val="auto"/>
          <w:szCs w:val="21"/>
          <w:highlight w:val="none"/>
        </w:rPr>
      </w:pPr>
      <w:r>
        <w:rPr>
          <w:color w:val="auto"/>
          <w:szCs w:val="21"/>
          <w:highlight w:val="none"/>
        </w:rPr>
        <w:t>2.6“响应文件”</w:t>
      </w:r>
      <w:r>
        <w:rPr>
          <w:color w:val="auto"/>
          <w:spacing w:val="-6"/>
          <w:szCs w:val="21"/>
          <w:highlight w:val="none"/>
        </w:rPr>
        <w:t>是指：供应商根据本磋商文件要求，编制包含资格证明、商务</w:t>
      </w:r>
      <w:r>
        <w:rPr>
          <w:rFonts w:hint="eastAsia"/>
          <w:color w:val="auto"/>
          <w:spacing w:val="-6"/>
          <w:szCs w:val="21"/>
          <w:highlight w:val="none"/>
        </w:rPr>
        <w:t>报价、</w:t>
      </w:r>
      <w:r>
        <w:rPr>
          <w:color w:val="auto"/>
          <w:spacing w:val="-6"/>
          <w:szCs w:val="21"/>
          <w:highlight w:val="none"/>
        </w:rPr>
        <w:t>技术等所有内容的文件。</w:t>
      </w:r>
    </w:p>
    <w:p>
      <w:pPr>
        <w:spacing w:line="360" w:lineRule="auto"/>
        <w:ind w:firstLine="420" w:firstLineChars="200"/>
        <w:rPr>
          <w:color w:val="auto"/>
          <w:szCs w:val="21"/>
          <w:highlight w:val="none"/>
        </w:rPr>
      </w:pPr>
      <w:r>
        <w:rPr>
          <w:color w:val="auto"/>
          <w:szCs w:val="21"/>
          <w:highlight w:val="none"/>
        </w:rPr>
        <w:t>2.7“实质性要求”是指磋商文件中已经指明不满足则响应文件按无效响应处理的条款。</w:t>
      </w:r>
    </w:p>
    <w:p>
      <w:pPr>
        <w:spacing w:line="360" w:lineRule="auto"/>
        <w:ind w:firstLine="420" w:firstLineChars="200"/>
        <w:rPr>
          <w:color w:val="auto"/>
          <w:szCs w:val="21"/>
          <w:highlight w:val="none"/>
        </w:rPr>
      </w:pPr>
      <w:r>
        <w:rPr>
          <w:color w:val="auto"/>
          <w:szCs w:val="21"/>
          <w:highlight w:val="none"/>
        </w:rPr>
        <w:t>2.8首次报价”是指供应商提交的首次响应文件中的报价。</w:t>
      </w:r>
    </w:p>
    <w:p>
      <w:pPr>
        <w:spacing w:line="360" w:lineRule="auto"/>
        <w:ind w:firstLine="420" w:firstLineChars="200"/>
        <w:rPr>
          <w:color w:val="auto"/>
          <w:highlight w:val="none"/>
        </w:rPr>
      </w:pPr>
      <w:r>
        <w:rPr>
          <w:color w:val="auto"/>
          <w:szCs w:val="21"/>
          <w:highlight w:val="none"/>
        </w:rPr>
        <w:t>2.</w:t>
      </w:r>
      <w:r>
        <w:rPr>
          <w:rFonts w:hint="eastAsia"/>
          <w:color w:val="auto"/>
          <w:szCs w:val="21"/>
          <w:highlight w:val="none"/>
        </w:rPr>
        <w:t>9</w:t>
      </w:r>
      <w:r>
        <w:rPr>
          <w:color w:val="auto"/>
          <w:szCs w:val="21"/>
          <w:highlight w:val="none"/>
        </w:rPr>
        <w:t>“评审报价”是指供应商提交的最后报价并经修正（如有）和政策功能价格扣除（如有）后的价格。</w:t>
      </w:r>
    </w:p>
    <w:p>
      <w:pPr>
        <w:spacing w:line="360" w:lineRule="auto"/>
        <w:ind w:firstLine="420" w:firstLineChars="200"/>
        <w:rPr>
          <w:rFonts w:cs="宋体"/>
          <w:color w:val="auto"/>
          <w:highlight w:val="none"/>
        </w:rPr>
      </w:pPr>
      <w:r>
        <w:rPr>
          <w:rFonts w:hint="eastAsia"/>
          <w:color w:val="auto"/>
          <w:szCs w:val="21"/>
          <w:highlight w:val="none"/>
        </w:rPr>
        <w:t>2.10在本项目“工程量清单”、“合同文本”等章节中出现的</w:t>
      </w:r>
      <w:r>
        <w:rPr>
          <w:rFonts w:hint="eastAsia" w:cs="宋体"/>
          <w:color w:val="auto"/>
          <w:highlight w:val="none"/>
        </w:rPr>
        <w:t>措辞</w:t>
      </w:r>
      <w:r>
        <w:rPr>
          <w:color w:val="auto"/>
          <w:highlight w:val="none"/>
        </w:rPr>
        <w:t>“</w:t>
      </w:r>
      <w:r>
        <w:rPr>
          <w:rFonts w:hint="eastAsia" w:cs="宋体"/>
          <w:color w:val="auto"/>
          <w:highlight w:val="none"/>
        </w:rPr>
        <w:t>发包人</w:t>
      </w:r>
      <w:r>
        <w:rPr>
          <w:color w:val="auto"/>
          <w:highlight w:val="none"/>
        </w:rPr>
        <w:t>”</w:t>
      </w:r>
      <w:r>
        <w:rPr>
          <w:rFonts w:hint="eastAsia" w:cs="宋体"/>
          <w:color w:val="auto"/>
          <w:highlight w:val="none"/>
        </w:rPr>
        <w:t>和</w:t>
      </w:r>
      <w:r>
        <w:rPr>
          <w:color w:val="auto"/>
          <w:highlight w:val="none"/>
        </w:rPr>
        <w:t>“</w:t>
      </w:r>
      <w:r>
        <w:rPr>
          <w:rFonts w:hint="eastAsia" w:cs="宋体"/>
          <w:color w:val="auto"/>
          <w:highlight w:val="none"/>
        </w:rPr>
        <w:t>承包人</w:t>
      </w:r>
      <w:r>
        <w:rPr>
          <w:color w:val="auto"/>
          <w:highlight w:val="none"/>
        </w:rPr>
        <w:t>”</w:t>
      </w:r>
      <w:r>
        <w:rPr>
          <w:rFonts w:hint="eastAsia" w:cs="宋体"/>
          <w:color w:val="auto"/>
          <w:highlight w:val="none"/>
        </w:rPr>
        <w:t>，在磋商阶段应当分别按</w:t>
      </w:r>
      <w:r>
        <w:rPr>
          <w:color w:val="auto"/>
          <w:highlight w:val="none"/>
        </w:rPr>
        <w:t>“</w:t>
      </w:r>
      <w:r>
        <w:rPr>
          <w:rFonts w:hint="eastAsia"/>
          <w:color w:val="auto"/>
          <w:highlight w:val="none"/>
        </w:rPr>
        <w:t>采购人</w:t>
      </w:r>
      <w:r>
        <w:rPr>
          <w:color w:val="auto"/>
          <w:highlight w:val="none"/>
        </w:rPr>
        <w:t>”</w:t>
      </w:r>
      <w:r>
        <w:rPr>
          <w:rFonts w:hint="eastAsia" w:cs="宋体"/>
          <w:color w:val="auto"/>
          <w:highlight w:val="none"/>
        </w:rPr>
        <w:t>和</w:t>
      </w:r>
      <w:r>
        <w:rPr>
          <w:color w:val="auto"/>
          <w:highlight w:val="none"/>
        </w:rPr>
        <w:t>“</w:t>
      </w:r>
      <w:r>
        <w:rPr>
          <w:rFonts w:hint="eastAsia"/>
          <w:color w:val="auto"/>
          <w:highlight w:val="none"/>
        </w:rPr>
        <w:t>供应商</w:t>
      </w:r>
      <w:r>
        <w:rPr>
          <w:color w:val="auto"/>
          <w:highlight w:val="none"/>
        </w:rPr>
        <w:t>”</w:t>
      </w:r>
      <w:r>
        <w:rPr>
          <w:rFonts w:hint="eastAsia" w:cs="宋体"/>
          <w:color w:val="auto"/>
          <w:highlight w:val="none"/>
        </w:rPr>
        <w:t>进行理解。</w:t>
      </w:r>
    </w:p>
    <w:p>
      <w:pPr>
        <w:pStyle w:val="26"/>
        <w:ind w:firstLine="420" w:firstLineChars="200"/>
        <w:rPr>
          <w:rFonts w:ascii="Times New Roman" w:eastAsia="宋体"/>
          <w:color w:val="auto"/>
          <w:kern w:val="2"/>
          <w:sz w:val="21"/>
          <w:szCs w:val="21"/>
          <w:highlight w:val="none"/>
        </w:rPr>
      </w:pPr>
      <w:r>
        <w:rPr>
          <w:rFonts w:hint="eastAsia" w:ascii="Times New Roman" w:eastAsia="宋体"/>
          <w:color w:val="auto"/>
          <w:kern w:val="2"/>
          <w:sz w:val="21"/>
          <w:szCs w:val="21"/>
          <w:highlight w:val="none"/>
        </w:rPr>
        <w:t>2.11 本竞争性磋商文件所称的“工期要求”等同于“工期”“施工工期”。</w:t>
      </w:r>
    </w:p>
    <w:p>
      <w:pPr>
        <w:spacing w:line="360" w:lineRule="auto"/>
        <w:ind w:firstLine="422" w:firstLineChars="200"/>
        <w:rPr>
          <w:b/>
          <w:bCs/>
          <w:color w:val="auto"/>
          <w:szCs w:val="21"/>
          <w:highlight w:val="none"/>
        </w:rPr>
      </w:pPr>
      <w:r>
        <w:rPr>
          <w:b/>
          <w:bCs/>
          <w:color w:val="auto"/>
          <w:szCs w:val="21"/>
          <w:highlight w:val="none"/>
        </w:rPr>
        <w:t>3</w:t>
      </w:r>
      <w:r>
        <w:rPr>
          <w:color w:val="auto"/>
          <w:szCs w:val="21"/>
          <w:highlight w:val="none"/>
        </w:rPr>
        <w:t>．</w:t>
      </w:r>
      <w:r>
        <w:rPr>
          <w:b/>
          <w:bCs/>
          <w:color w:val="auto"/>
          <w:szCs w:val="21"/>
          <w:highlight w:val="none"/>
        </w:rPr>
        <w:t>供应商的资格条件</w:t>
      </w:r>
    </w:p>
    <w:p>
      <w:pPr>
        <w:spacing w:line="360" w:lineRule="auto"/>
        <w:ind w:firstLine="420" w:firstLineChars="200"/>
        <w:rPr>
          <w:color w:val="auto"/>
          <w:szCs w:val="21"/>
          <w:highlight w:val="none"/>
        </w:rPr>
      </w:pPr>
      <w:r>
        <w:rPr>
          <w:color w:val="auto"/>
          <w:szCs w:val="21"/>
          <w:highlight w:val="none"/>
        </w:rPr>
        <w:t>供应商的资格条件详见“供应商须知前附表”。</w:t>
      </w:r>
    </w:p>
    <w:p>
      <w:pPr>
        <w:spacing w:line="360" w:lineRule="auto"/>
        <w:ind w:firstLine="422" w:firstLineChars="200"/>
        <w:rPr>
          <w:b/>
          <w:bCs/>
          <w:color w:val="auto"/>
          <w:szCs w:val="21"/>
          <w:highlight w:val="none"/>
        </w:rPr>
      </w:pPr>
      <w:r>
        <w:rPr>
          <w:b/>
          <w:bCs/>
          <w:color w:val="auto"/>
          <w:szCs w:val="21"/>
          <w:highlight w:val="none"/>
        </w:rPr>
        <w:t>4</w:t>
      </w:r>
      <w:r>
        <w:rPr>
          <w:color w:val="auto"/>
          <w:szCs w:val="21"/>
          <w:highlight w:val="none"/>
        </w:rPr>
        <w:t>．</w:t>
      </w:r>
      <w:r>
        <w:rPr>
          <w:b/>
          <w:bCs/>
          <w:color w:val="auto"/>
          <w:szCs w:val="21"/>
          <w:highlight w:val="none"/>
        </w:rPr>
        <w:t>竞标费用</w:t>
      </w:r>
    </w:p>
    <w:p>
      <w:pPr>
        <w:spacing w:line="360" w:lineRule="auto"/>
        <w:ind w:firstLine="420" w:firstLineChars="200"/>
        <w:rPr>
          <w:color w:val="auto"/>
          <w:szCs w:val="21"/>
          <w:highlight w:val="none"/>
        </w:rPr>
      </w:pPr>
      <w:r>
        <w:rPr>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22" w:firstLineChars="200"/>
        <w:rPr>
          <w:b/>
          <w:bCs/>
          <w:color w:val="auto"/>
          <w:szCs w:val="21"/>
          <w:highlight w:val="none"/>
        </w:rPr>
      </w:pPr>
      <w:r>
        <w:rPr>
          <w:b/>
          <w:bCs/>
          <w:color w:val="auto"/>
          <w:szCs w:val="21"/>
          <w:highlight w:val="none"/>
        </w:rPr>
        <w:t>5</w:t>
      </w:r>
      <w:r>
        <w:rPr>
          <w:color w:val="auto"/>
          <w:szCs w:val="21"/>
          <w:highlight w:val="none"/>
        </w:rPr>
        <w:t>．</w:t>
      </w:r>
      <w:r>
        <w:rPr>
          <w:b/>
          <w:bCs/>
          <w:color w:val="auto"/>
          <w:szCs w:val="21"/>
          <w:highlight w:val="none"/>
        </w:rPr>
        <w:t>联合体竞标</w:t>
      </w:r>
    </w:p>
    <w:p>
      <w:pPr>
        <w:spacing w:line="360" w:lineRule="auto"/>
        <w:ind w:firstLine="420" w:firstLineChars="200"/>
        <w:rPr>
          <w:color w:val="auto"/>
          <w:szCs w:val="21"/>
          <w:highlight w:val="none"/>
        </w:rPr>
      </w:pPr>
      <w:r>
        <w:rPr>
          <w:color w:val="auto"/>
          <w:szCs w:val="21"/>
          <w:highlight w:val="none"/>
        </w:rPr>
        <w:t>5.1本项目是否接受联合体竞标，详见“供应商须知前附表”。</w:t>
      </w:r>
    </w:p>
    <w:p>
      <w:pPr>
        <w:spacing w:line="360" w:lineRule="auto"/>
        <w:ind w:firstLine="420" w:firstLineChars="200"/>
        <w:rPr>
          <w:color w:val="auto"/>
          <w:szCs w:val="21"/>
          <w:highlight w:val="none"/>
        </w:rPr>
      </w:pPr>
      <w:r>
        <w:rPr>
          <w:color w:val="auto"/>
          <w:szCs w:val="21"/>
          <w:highlight w:val="none"/>
        </w:rPr>
        <w:t>5.2如接受联合体竞标，联合体竞标要求详见“供应商须知前附表”。</w:t>
      </w:r>
    </w:p>
    <w:p>
      <w:pPr>
        <w:spacing w:line="360" w:lineRule="auto"/>
        <w:ind w:firstLine="420" w:firstLineChars="200"/>
        <w:rPr>
          <w:color w:val="auto"/>
          <w:szCs w:val="21"/>
          <w:highlight w:val="none"/>
        </w:rPr>
      </w:pPr>
      <w:r>
        <w:rPr>
          <w:color w:val="auto"/>
          <w:szCs w:val="21"/>
          <w:highlight w:val="none"/>
        </w:rPr>
        <w:t>5.3</w:t>
      </w:r>
      <w:bookmarkStart w:id="17" w:name="_Hlk66782192"/>
      <w:r>
        <w:rPr>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olor w:val="auto"/>
          <w:szCs w:val="21"/>
          <w:highlight w:val="none"/>
        </w:rPr>
        <w:t>1</w:t>
      </w:r>
      <w:r>
        <w:rPr>
          <w:color w:val="auto"/>
          <w:szCs w:val="21"/>
          <w:highlight w:val="none"/>
        </w:rPr>
        <w:t>%~</w:t>
      </w:r>
      <w:r>
        <w:rPr>
          <w:rFonts w:hint="eastAsia"/>
          <w:color w:val="auto"/>
          <w:szCs w:val="21"/>
          <w:highlight w:val="none"/>
        </w:rPr>
        <w:t>2</w:t>
      </w:r>
      <w:r>
        <w:rPr>
          <w:color w:val="auto"/>
          <w:szCs w:val="21"/>
          <w:highlight w:val="none"/>
        </w:rPr>
        <w:t>%的扣除，用扣除后的价格参加评审。</w:t>
      </w:r>
      <w:bookmarkEnd w:id="17"/>
    </w:p>
    <w:p>
      <w:pPr>
        <w:spacing w:line="360" w:lineRule="auto"/>
        <w:ind w:firstLine="422" w:firstLineChars="200"/>
        <w:rPr>
          <w:b/>
          <w:bCs/>
          <w:color w:val="auto"/>
          <w:szCs w:val="21"/>
          <w:highlight w:val="none"/>
        </w:rPr>
      </w:pPr>
      <w:r>
        <w:rPr>
          <w:b/>
          <w:bCs/>
          <w:color w:val="auto"/>
          <w:szCs w:val="21"/>
          <w:highlight w:val="none"/>
        </w:rPr>
        <w:t>6</w:t>
      </w:r>
      <w:r>
        <w:rPr>
          <w:color w:val="auto"/>
          <w:szCs w:val="21"/>
          <w:highlight w:val="none"/>
        </w:rPr>
        <w:t>．</w:t>
      </w:r>
      <w:r>
        <w:rPr>
          <w:b/>
          <w:bCs/>
          <w:color w:val="auto"/>
          <w:szCs w:val="21"/>
          <w:highlight w:val="none"/>
        </w:rPr>
        <w:t xml:space="preserve">转包与分包             </w:t>
      </w:r>
    </w:p>
    <w:p>
      <w:pPr>
        <w:spacing w:line="360" w:lineRule="auto"/>
        <w:ind w:firstLine="420" w:firstLineChars="200"/>
        <w:rPr>
          <w:color w:val="auto"/>
          <w:szCs w:val="21"/>
          <w:highlight w:val="none"/>
        </w:rPr>
      </w:pPr>
      <w:r>
        <w:rPr>
          <w:color w:val="auto"/>
          <w:szCs w:val="21"/>
          <w:highlight w:val="none"/>
        </w:rPr>
        <w:t>6.1本项目不允许转包。</w:t>
      </w:r>
    </w:p>
    <w:p>
      <w:pPr>
        <w:spacing w:line="360" w:lineRule="auto"/>
        <w:ind w:firstLine="420" w:firstLineChars="200"/>
        <w:rPr>
          <w:color w:val="auto"/>
          <w:szCs w:val="21"/>
          <w:highlight w:val="none"/>
        </w:rPr>
      </w:pPr>
      <w:r>
        <w:rPr>
          <w:color w:val="auto"/>
          <w:szCs w:val="21"/>
          <w:highlight w:val="none"/>
        </w:rPr>
        <w:t>6.2本项目是否允许分包详见“供应商须知前附表”，本项目不允许违法分包。</w:t>
      </w:r>
    </w:p>
    <w:p>
      <w:pPr>
        <w:spacing w:line="360" w:lineRule="auto"/>
        <w:ind w:firstLine="422" w:firstLineChars="200"/>
        <w:rPr>
          <w:b/>
          <w:bCs/>
          <w:color w:val="auto"/>
          <w:szCs w:val="21"/>
          <w:highlight w:val="none"/>
        </w:rPr>
      </w:pPr>
      <w:bookmarkStart w:id="18" w:name="_Toc254970532"/>
      <w:bookmarkStart w:id="19" w:name="_Toc254970673"/>
      <w:r>
        <w:rPr>
          <w:b/>
          <w:bCs/>
          <w:color w:val="auto"/>
          <w:szCs w:val="21"/>
          <w:highlight w:val="none"/>
        </w:rPr>
        <w:t>7</w:t>
      </w:r>
      <w:r>
        <w:rPr>
          <w:color w:val="auto"/>
          <w:szCs w:val="21"/>
          <w:highlight w:val="none"/>
        </w:rPr>
        <w:t>．</w:t>
      </w:r>
      <w:r>
        <w:rPr>
          <w:b/>
          <w:bCs/>
          <w:color w:val="auto"/>
          <w:szCs w:val="21"/>
          <w:highlight w:val="none"/>
        </w:rPr>
        <w:t>特别说明</w:t>
      </w:r>
      <w:bookmarkEnd w:id="18"/>
      <w:bookmarkEnd w:id="19"/>
    </w:p>
    <w:p>
      <w:pPr>
        <w:spacing w:line="360" w:lineRule="auto"/>
        <w:ind w:firstLine="420" w:firstLineChars="200"/>
        <w:rPr>
          <w:color w:val="auto"/>
          <w:szCs w:val="21"/>
          <w:highlight w:val="none"/>
        </w:rPr>
      </w:pPr>
      <w:bookmarkStart w:id="20" w:name="_8.1提供相同品牌产品且通过资格审查、符合性审查的不同投标人参加同一合"/>
      <w:bookmarkEnd w:id="20"/>
      <w:r>
        <w:rPr>
          <w:color w:val="auto"/>
          <w:szCs w:val="21"/>
          <w:highlight w:val="none"/>
        </w:rPr>
        <w:t>7.1</w:t>
      </w:r>
      <w:bookmarkStart w:id="21" w:name="_Hlk65832145"/>
      <w:r>
        <w:rPr>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21"/>
    <w:p>
      <w:pPr>
        <w:spacing w:line="360" w:lineRule="auto"/>
        <w:ind w:firstLine="420" w:firstLineChars="200"/>
        <w:rPr>
          <w:color w:val="auto"/>
          <w:szCs w:val="21"/>
          <w:highlight w:val="none"/>
        </w:rPr>
      </w:pPr>
      <w:r>
        <w:rPr>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color w:val="auto"/>
          <w:szCs w:val="21"/>
          <w:highlight w:val="none"/>
        </w:rPr>
      </w:pPr>
      <w:r>
        <w:rPr>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color w:val="auto"/>
          <w:szCs w:val="21"/>
          <w:highlight w:val="none"/>
        </w:rPr>
      </w:pPr>
      <w:r>
        <w:rPr>
          <w:color w:val="auto"/>
          <w:szCs w:val="21"/>
          <w:highlight w:val="none"/>
        </w:rPr>
        <w:t>7.4在政府采购活动中，采购人员及相关人员与供应商有下列利害关系之一的，应当回避：</w:t>
      </w:r>
    </w:p>
    <w:p>
      <w:pPr>
        <w:spacing w:line="360" w:lineRule="auto"/>
        <w:ind w:firstLine="420" w:firstLineChars="200"/>
        <w:rPr>
          <w:color w:val="auto"/>
          <w:szCs w:val="21"/>
          <w:highlight w:val="none"/>
        </w:rPr>
      </w:pPr>
      <w:r>
        <w:rPr>
          <w:color w:val="auto"/>
          <w:szCs w:val="21"/>
          <w:highlight w:val="none"/>
        </w:rPr>
        <w:t>（1）参加采购活动前3年内与供应商存在劳动关系；</w:t>
      </w:r>
    </w:p>
    <w:p>
      <w:pPr>
        <w:spacing w:line="360" w:lineRule="auto"/>
        <w:ind w:firstLine="420" w:firstLineChars="200"/>
        <w:rPr>
          <w:color w:val="auto"/>
          <w:szCs w:val="21"/>
          <w:highlight w:val="none"/>
        </w:rPr>
      </w:pPr>
      <w:r>
        <w:rPr>
          <w:color w:val="auto"/>
          <w:szCs w:val="21"/>
          <w:highlight w:val="none"/>
        </w:rPr>
        <w:t>（2）参加采购活动前3年内担任供应商的董事、监事；</w:t>
      </w:r>
    </w:p>
    <w:p>
      <w:pPr>
        <w:spacing w:line="360" w:lineRule="auto"/>
        <w:ind w:firstLine="420" w:firstLineChars="200"/>
        <w:rPr>
          <w:color w:val="auto"/>
          <w:szCs w:val="21"/>
          <w:highlight w:val="none"/>
        </w:rPr>
      </w:pPr>
      <w:r>
        <w:rPr>
          <w:color w:val="auto"/>
          <w:szCs w:val="21"/>
          <w:highlight w:val="none"/>
        </w:rPr>
        <w:t>（3）参加采购活动前3年内是供应商的控股股东或者实际控制人；</w:t>
      </w:r>
    </w:p>
    <w:p>
      <w:pPr>
        <w:spacing w:line="360" w:lineRule="auto"/>
        <w:ind w:firstLine="420" w:firstLineChars="200"/>
        <w:rPr>
          <w:color w:val="auto"/>
          <w:szCs w:val="21"/>
          <w:highlight w:val="none"/>
        </w:rPr>
      </w:pPr>
      <w:r>
        <w:rPr>
          <w:color w:val="auto"/>
          <w:szCs w:val="21"/>
          <w:highlight w:val="none"/>
        </w:rPr>
        <w:t>（4）与供应商的法定代表人或者负责人有夫妻、直系血亲、三代以内旁系血亲或者近姻亲关系；</w:t>
      </w:r>
    </w:p>
    <w:p>
      <w:pPr>
        <w:spacing w:line="360" w:lineRule="auto"/>
        <w:ind w:firstLine="420" w:firstLineChars="200"/>
        <w:rPr>
          <w:color w:val="auto"/>
          <w:szCs w:val="21"/>
          <w:highlight w:val="none"/>
        </w:rPr>
      </w:pPr>
      <w:r>
        <w:rPr>
          <w:color w:val="auto"/>
          <w:szCs w:val="21"/>
          <w:highlight w:val="none"/>
        </w:rPr>
        <w:t>（5）与供应商有其他可能影响政府采购活动公平、公正进行的关系。</w:t>
      </w:r>
    </w:p>
    <w:p>
      <w:pPr>
        <w:spacing w:line="360" w:lineRule="auto"/>
        <w:ind w:firstLine="420" w:firstLineChars="200"/>
        <w:rPr>
          <w:color w:val="auto"/>
          <w:szCs w:val="21"/>
          <w:highlight w:val="none"/>
        </w:rPr>
      </w:pPr>
      <w:r>
        <w:rPr>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color w:val="auto"/>
          <w:szCs w:val="21"/>
          <w:highlight w:val="none"/>
        </w:rPr>
      </w:pPr>
      <w:r>
        <w:rPr>
          <w:color w:val="auto"/>
          <w:szCs w:val="21"/>
          <w:highlight w:val="none"/>
        </w:rPr>
        <w:t>7.5有下列情形之一的视为供应商相互串通竞标，响应文件将被视为无效：</w:t>
      </w:r>
    </w:p>
    <w:p>
      <w:pPr>
        <w:spacing w:line="360" w:lineRule="auto"/>
        <w:ind w:firstLine="420" w:firstLineChars="200"/>
        <w:rPr>
          <w:color w:val="auto"/>
          <w:szCs w:val="21"/>
          <w:highlight w:val="none"/>
        </w:rPr>
      </w:pPr>
      <w:r>
        <w:rPr>
          <w:color w:val="auto"/>
          <w:szCs w:val="21"/>
          <w:highlight w:val="none"/>
        </w:rPr>
        <w:t xml:space="preserve">（1）不同供应商的响应文件由同一单位或者个人编制； </w:t>
      </w:r>
    </w:p>
    <w:p>
      <w:pPr>
        <w:spacing w:line="360" w:lineRule="auto"/>
        <w:ind w:firstLine="420" w:firstLineChars="200"/>
        <w:rPr>
          <w:color w:val="auto"/>
          <w:szCs w:val="21"/>
          <w:highlight w:val="none"/>
        </w:rPr>
      </w:pPr>
      <w:r>
        <w:rPr>
          <w:color w:val="auto"/>
          <w:szCs w:val="21"/>
          <w:highlight w:val="none"/>
        </w:rPr>
        <w:t>（2）不同供应商委托同一单位或者个人办理竞标事宜；</w:t>
      </w:r>
    </w:p>
    <w:p>
      <w:pPr>
        <w:spacing w:line="360" w:lineRule="auto"/>
        <w:ind w:firstLine="420" w:firstLineChars="200"/>
        <w:rPr>
          <w:color w:val="auto"/>
          <w:szCs w:val="21"/>
          <w:highlight w:val="none"/>
        </w:rPr>
      </w:pPr>
      <w:r>
        <w:rPr>
          <w:color w:val="auto"/>
          <w:szCs w:val="21"/>
          <w:highlight w:val="none"/>
        </w:rPr>
        <w:t>（3）不同的供应商的响应文件载明的项目管理员为同一个人；</w:t>
      </w:r>
    </w:p>
    <w:p>
      <w:pPr>
        <w:spacing w:line="360" w:lineRule="auto"/>
        <w:ind w:firstLine="420" w:firstLineChars="200"/>
        <w:rPr>
          <w:color w:val="auto"/>
          <w:szCs w:val="21"/>
          <w:highlight w:val="none"/>
        </w:rPr>
      </w:pPr>
      <w:r>
        <w:rPr>
          <w:color w:val="auto"/>
          <w:szCs w:val="21"/>
          <w:highlight w:val="none"/>
        </w:rPr>
        <w:t>（4）不同供应商的响应文件异常一致或者报价呈规律性差异；</w:t>
      </w:r>
    </w:p>
    <w:p>
      <w:pPr>
        <w:spacing w:line="360" w:lineRule="auto"/>
        <w:ind w:firstLine="420" w:firstLineChars="200"/>
        <w:rPr>
          <w:color w:val="auto"/>
          <w:szCs w:val="21"/>
          <w:highlight w:val="none"/>
        </w:rPr>
      </w:pPr>
      <w:r>
        <w:rPr>
          <w:color w:val="auto"/>
          <w:szCs w:val="21"/>
          <w:highlight w:val="none"/>
        </w:rPr>
        <w:t>（5）不同供应商的响应文件相互混装；</w:t>
      </w:r>
    </w:p>
    <w:p>
      <w:pPr>
        <w:tabs>
          <w:tab w:val="left" w:pos="6931"/>
        </w:tabs>
        <w:spacing w:line="360" w:lineRule="auto"/>
        <w:ind w:firstLine="420" w:firstLineChars="200"/>
        <w:rPr>
          <w:color w:val="auto"/>
          <w:szCs w:val="21"/>
          <w:highlight w:val="none"/>
        </w:rPr>
      </w:pPr>
      <w:r>
        <w:rPr>
          <w:color w:val="auto"/>
          <w:szCs w:val="21"/>
          <w:highlight w:val="none"/>
        </w:rPr>
        <w:t>（6）不同供应商的磋商保证金从同一单位或者个人账户转出。</w:t>
      </w:r>
      <w:r>
        <w:rPr>
          <w:color w:val="auto"/>
          <w:szCs w:val="21"/>
          <w:highlight w:val="none"/>
        </w:rPr>
        <w:tab/>
      </w:r>
    </w:p>
    <w:p>
      <w:pPr>
        <w:spacing w:line="360" w:lineRule="auto"/>
        <w:ind w:firstLine="420" w:firstLineChars="200"/>
        <w:rPr>
          <w:color w:val="auto"/>
          <w:szCs w:val="21"/>
          <w:highlight w:val="none"/>
        </w:rPr>
      </w:pPr>
      <w:r>
        <w:rPr>
          <w:color w:val="auto"/>
          <w:szCs w:val="21"/>
          <w:highlight w:val="none"/>
        </w:rPr>
        <w:t>7.6供应商有下列情形之一的，属于恶意串通行为，将报同级监督管理部门：</w:t>
      </w:r>
    </w:p>
    <w:p>
      <w:pPr>
        <w:spacing w:line="360" w:lineRule="auto"/>
        <w:ind w:firstLine="420" w:firstLineChars="200"/>
        <w:rPr>
          <w:color w:val="auto"/>
          <w:szCs w:val="21"/>
          <w:highlight w:val="none"/>
        </w:rPr>
      </w:pPr>
      <w:r>
        <w:rPr>
          <w:color w:val="auto"/>
          <w:szCs w:val="21"/>
          <w:highlight w:val="none"/>
        </w:rPr>
        <w:t>（1）供应商直接或者间接从采购人或者采购代理机构处获得其他供应商的相关信息并修改其响应文件；</w:t>
      </w:r>
    </w:p>
    <w:p>
      <w:pPr>
        <w:spacing w:line="360" w:lineRule="auto"/>
        <w:ind w:firstLine="420" w:firstLineChars="200"/>
        <w:rPr>
          <w:color w:val="auto"/>
          <w:szCs w:val="21"/>
          <w:highlight w:val="none"/>
        </w:rPr>
      </w:pPr>
      <w:r>
        <w:rPr>
          <w:color w:val="auto"/>
          <w:szCs w:val="21"/>
          <w:highlight w:val="none"/>
        </w:rPr>
        <w:t>（2）供应商按照采购人或者采购代理机构的授意撤换、修改响应文件；</w:t>
      </w:r>
    </w:p>
    <w:p>
      <w:pPr>
        <w:spacing w:line="360" w:lineRule="auto"/>
        <w:ind w:firstLine="420" w:firstLineChars="200"/>
        <w:rPr>
          <w:color w:val="auto"/>
          <w:szCs w:val="21"/>
          <w:highlight w:val="none"/>
        </w:rPr>
      </w:pPr>
      <w:r>
        <w:rPr>
          <w:color w:val="auto"/>
          <w:szCs w:val="21"/>
          <w:highlight w:val="none"/>
        </w:rPr>
        <w:t>（3）供应商之间协商报价、技术方案等响应文件或者响应文件的实质性内容；</w:t>
      </w:r>
    </w:p>
    <w:p>
      <w:pPr>
        <w:spacing w:line="360" w:lineRule="auto"/>
        <w:ind w:firstLine="420" w:firstLineChars="200"/>
        <w:rPr>
          <w:color w:val="auto"/>
          <w:szCs w:val="21"/>
          <w:highlight w:val="none"/>
        </w:rPr>
      </w:pPr>
      <w:r>
        <w:rPr>
          <w:color w:val="auto"/>
          <w:szCs w:val="21"/>
          <w:highlight w:val="none"/>
        </w:rPr>
        <w:t>（4）属于同一集团、协会、商会等组织成员的供应商按照该组织要求协同参加政府采购活动；</w:t>
      </w:r>
    </w:p>
    <w:p>
      <w:pPr>
        <w:spacing w:line="360" w:lineRule="auto"/>
        <w:ind w:firstLine="420" w:firstLineChars="200"/>
        <w:rPr>
          <w:color w:val="auto"/>
          <w:szCs w:val="21"/>
          <w:highlight w:val="none"/>
        </w:rPr>
      </w:pPr>
      <w:r>
        <w:rPr>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color w:val="auto"/>
          <w:szCs w:val="21"/>
          <w:highlight w:val="none"/>
        </w:rPr>
      </w:pPr>
      <w:r>
        <w:rPr>
          <w:color w:val="auto"/>
          <w:szCs w:val="21"/>
          <w:highlight w:val="none"/>
        </w:rPr>
        <w:t>（6）供应商之间商定部分供应商放弃参加政府采购活动或者放弃成交；</w:t>
      </w:r>
    </w:p>
    <w:p>
      <w:pPr>
        <w:spacing w:line="360" w:lineRule="auto"/>
        <w:ind w:firstLine="420" w:firstLineChars="200"/>
        <w:rPr>
          <w:color w:val="auto"/>
          <w:szCs w:val="21"/>
          <w:highlight w:val="none"/>
        </w:rPr>
      </w:pPr>
      <w:r>
        <w:rPr>
          <w:color w:val="auto"/>
          <w:szCs w:val="21"/>
          <w:highlight w:val="none"/>
        </w:rPr>
        <w:t>（7）供应商与采购人或者采购代理机构之间、供应商相互之间，为谋求特定供应商成交或者排斥其他供应商的其他串通行为。</w:t>
      </w:r>
    </w:p>
    <w:p>
      <w:pPr>
        <w:spacing w:before="156" w:beforeLines="50" w:after="156" w:afterLines="50" w:line="360" w:lineRule="auto"/>
        <w:jc w:val="center"/>
        <w:outlineLvl w:val="2"/>
        <w:rPr>
          <w:b/>
          <w:bCs/>
          <w:color w:val="auto"/>
          <w:sz w:val="24"/>
          <w:highlight w:val="none"/>
        </w:rPr>
      </w:pPr>
      <w:bookmarkStart w:id="22" w:name="_Toc13466"/>
      <w:bookmarkStart w:id="23" w:name="_Toc254970675"/>
      <w:bookmarkStart w:id="24" w:name="_Toc18140"/>
      <w:bookmarkStart w:id="25" w:name="_Toc254970534"/>
      <w:r>
        <w:rPr>
          <w:b/>
          <w:bCs/>
          <w:color w:val="auto"/>
          <w:sz w:val="24"/>
          <w:highlight w:val="none"/>
        </w:rPr>
        <w:t>二、磋商文件</w:t>
      </w:r>
      <w:bookmarkEnd w:id="22"/>
      <w:bookmarkEnd w:id="23"/>
      <w:bookmarkEnd w:id="24"/>
      <w:bookmarkEnd w:id="25"/>
    </w:p>
    <w:p>
      <w:pPr>
        <w:spacing w:line="360" w:lineRule="auto"/>
        <w:ind w:firstLine="422" w:firstLineChars="200"/>
        <w:rPr>
          <w:b/>
          <w:bCs/>
          <w:color w:val="auto"/>
          <w:szCs w:val="21"/>
          <w:highlight w:val="none"/>
        </w:rPr>
      </w:pPr>
      <w:r>
        <w:rPr>
          <w:b/>
          <w:bCs/>
          <w:color w:val="auto"/>
          <w:szCs w:val="21"/>
          <w:highlight w:val="none"/>
        </w:rPr>
        <w:t>8</w:t>
      </w:r>
      <w:r>
        <w:rPr>
          <w:color w:val="auto"/>
          <w:szCs w:val="21"/>
          <w:highlight w:val="none"/>
        </w:rPr>
        <w:t>．</w:t>
      </w:r>
      <w:r>
        <w:rPr>
          <w:b/>
          <w:bCs/>
          <w:color w:val="auto"/>
          <w:szCs w:val="21"/>
          <w:highlight w:val="none"/>
        </w:rPr>
        <w:t>磋商文件的构成</w:t>
      </w:r>
    </w:p>
    <w:p>
      <w:pPr>
        <w:spacing w:line="360" w:lineRule="auto"/>
        <w:ind w:firstLine="420" w:firstLineChars="200"/>
        <w:jc w:val="left"/>
        <w:rPr>
          <w:color w:val="auto"/>
          <w:szCs w:val="21"/>
          <w:highlight w:val="none"/>
        </w:rPr>
      </w:pPr>
      <w:r>
        <w:rPr>
          <w:color w:val="auto"/>
          <w:szCs w:val="21"/>
          <w:highlight w:val="none"/>
        </w:rPr>
        <w:t>（1）竞争性磋商公告；</w:t>
      </w:r>
    </w:p>
    <w:p>
      <w:pPr>
        <w:spacing w:line="360" w:lineRule="auto"/>
        <w:ind w:firstLine="420" w:firstLineChars="200"/>
        <w:jc w:val="left"/>
        <w:rPr>
          <w:color w:val="auto"/>
          <w:szCs w:val="21"/>
          <w:highlight w:val="none"/>
        </w:rPr>
      </w:pPr>
      <w:r>
        <w:rPr>
          <w:color w:val="auto"/>
          <w:szCs w:val="21"/>
          <w:highlight w:val="none"/>
        </w:rPr>
        <w:t xml:space="preserve">（2）供应商须知； </w:t>
      </w:r>
    </w:p>
    <w:p>
      <w:pPr>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采购内容及要求</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（4）评审程序、评审方法和评审标准；</w:t>
      </w:r>
    </w:p>
    <w:p>
      <w:pPr>
        <w:spacing w:line="360" w:lineRule="auto"/>
        <w:ind w:firstLine="420" w:firstLineChars="200"/>
        <w:jc w:val="left"/>
        <w:rPr>
          <w:color w:val="auto"/>
          <w:szCs w:val="21"/>
          <w:highlight w:val="none"/>
        </w:rPr>
      </w:pPr>
      <w:r>
        <w:rPr>
          <w:color w:val="auto"/>
          <w:szCs w:val="21"/>
          <w:highlight w:val="none"/>
        </w:rPr>
        <w:t>（5）响应文件格式；</w:t>
      </w:r>
    </w:p>
    <w:p>
      <w:pPr>
        <w:spacing w:line="360" w:lineRule="auto"/>
        <w:ind w:firstLine="420" w:firstLineChars="200"/>
        <w:jc w:val="left"/>
        <w:rPr>
          <w:color w:val="auto"/>
          <w:szCs w:val="21"/>
          <w:highlight w:val="none"/>
        </w:rPr>
      </w:pPr>
      <w:r>
        <w:rPr>
          <w:color w:val="auto"/>
          <w:szCs w:val="21"/>
          <w:highlight w:val="none"/>
        </w:rPr>
        <w:t>（6）合同文本。</w:t>
      </w:r>
    </w:p>
    <w:p>
      <w:pPr>
        <w:spacing w:line="360" w:lineRule="auto"/>
        <w:ind w:firstLine="422" w:firstLineChars="200"/>
        <w:rPr>
          <w:b/>
          <w:bCs/>
          <w:color w:val="auto"/>
          <w:szCs w:val="21"/>
          <w:highlight w:val="none"/>
        </w:rPr>
      </w:pPr>
      <w:r>
        <w:rPr>
          <w:b/>
          <w:bCs/>
          <w:color w:val="auto"/>
          <w:szCs w:val="21"/>
          <w:highlight w:val="none"/>
        </w:rPr>
        <w:t>9</w:t>
      </w:r>
      <w:r>
        <w:rPr>
          <w:color w:val="auto"/>
          <w:szCs w:val="21"/>
          <w:highlight w:val="none"/>
        </w:rPr>
        <w:t>．</w:t>
      </w:r>
      <w:r>
        <w:rPr>
          <w:b/>
          <w:bCs/>
          <w:color w:val="auto"/>
          <w:szCs w:val="21"/>
          <w:highlight w:val="none"/>
        </w:rPr>
        <w:t>供应商的询问</w:t>
      </w:r>
    </w:p>
    <w:p>
      <w:pPr>
        <w:spacing w:line="360" w:lineRule="auto"/>
        <w:ind w:firstLine="420" w:firstLineChars="200"/>
        <w:rPr>
          <w:color w:val="auto"/>
          <w:szCs w:val="21"/>
          <w:highlight w:val="none"/>
        </w:rPr>
      </w:pPr>
      <w:r>
        <w:rPr>
          <w:color w:val="auto"/>
          <w:szCs w:val="21"/>
          <w:highlight w:val="none"/>
        </w:rPr>
        <w:t>供应商应认真阅读磋商文件的</w:t>
      </w:r>
      <w:r>
        <w:rPr>
          <w:rFonts w:hint="eastAsia"/>
          <w:color w:val="auto"/>
          <w:szCs w:val="21"/>
          <w:highlight w:val="none"/>
        </w:rPr>
        <w:t>条款（包括图纸、工程量清单）</w:t>
      </w:r>
      <w:r>
        <w:rPr>
          <w:color w:val="auto"/>
          <w:szCs w:val="21"/>
          <w:highlight w:val="none"/>
        </w:rPr>
        <w:t>，如供应商对磋商文件有疑问的，如要求采购人作出澄清或者修改的，供应商尽可能在提交首次响应文件截止之日前，以书面形式向采购人、采购代理机构提出。</w:t>
      </w:r>
    </w:p>
    <w:p>
      <w:pPr>
        <w:spacing w:line="360" w:lineRule="auto"/>
        <w:ind w:firstLine="422" w:firstLineChars="200"/>
        <w:rPr>
          <w:b/>
          <w:bCs/>
          <w:color w:val="auto"/>
          <w:szCs w:val="21"/>
          <w:highlight w:val="none"/>
        </w:rPr>
      </w:pPr>
      <w:r>
        <w:rPr>
          <w:b/>
          <w:bCs/>
          <w:color w:val="auto"/>
          <w:szCs w:val="21"/>
          <w:highlight w:val="none"/>
        </w:rPr>
        <w:t>10</w:t>
      </w:r>
      <w:r>
        <w:rPr>
          <w:color w:val="auto"/>
          <w:szCs w:val="21"/>
          <w:highlight w:val="none"/>
        </w:rPr>
        <w:t>．</w:t>
      </w:r>
      <w:r>
        <w:rPr>
          <w:b/>
          <w:bCs/>
          <w:color w:val="auto"/>
          <w:szCs w:val="21"/>
          <w:highlight w:val="none"/>
        </w:rPr>
        <w:t>磋商文件的澄清和修改</w:t>
      </w:r>
    </w:p>
    <w:p>
      <w:pPr>
        <w:spacing w:line="360" w:lineRule="auto"/>
        <w:ind w:firstLine="420" w:firstLineChars="200"/>
        <w:rPr>
          <w:color w:val="auto"/>
          <w:szCs w:val="21"/>
          <w:highlight w:val="none"/>
        </w:rPr>
      </w:pPr>
      <w:r>
        <w:rPr>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before="156" w:beforeLines="50" w:after="156" w:afterLines="50" w:line="360" w:lineRule="auto"/>
        <w:jc w:val="center"/>
        <w:outlineLvl w:val="2"/>
        <w:rPr>
          <w:b/>
          <w:bCs/>
          <w:color w:val="auto"/>
          <w:sz w:val="24"/>
          <w:highlight w:val="none"/>
        </w:rPr>
      </w:pPr>
      <w:bookmarkStart w:id="26" w:name="_Toc6504"/>
      <w:bookmarkStart w:id="27" w:name="_Toc7246"/>
      <w:r>
        <w:rPr>
          <w:b/>
          <w:bCs/>
          <w:color w:val="auto"/>
          <w:sz w:val="24"/>
          <w:highlight w:val="none"/>
        </w:rPr>
        <w:t>三、响应文件的编制</w:t>
      </w:r>
      <w:bookmarkEnd w:id="26"/>
      <w:bookmarkEnd w:id="27"/>
    </w:p>
    <w:p>
      <w:pPr>
        <w:spacing w:line="360" w:lineRule="auto"/>
        <w:ind w:firstLine="422" w:firstLineChars="200"/>
        <w:rPr>
          <w:b/>
          <w:bCs/>
          <w:color w:val="auto"/>
          <w:szCs w:val="21"/>
          <w:highlight w:val="none"/>
        </w:rPr>
      </w:pPr>
      <w:r>
        <w:rPr>
          <w:b/>
          <w:bCs/>
          <w:color w:val="auto"/>
          <w:szCs w:val="21"/>
          <w:highlight w:val="none"/>
        </w:rPr>
        <w:t>11</w:t>
      </w:r>
      <w:r>
        <w:rPr>
          <w:color w:val="auto"/>
          <w:szCs w:val="21"/>
          <w:highlight w:val="none"/>
        </w:rPr>
        <w:t>．</w:t>
      </w:r>
      <w:r>
        <w:rPr>
          <w:b/>
          <w:bCs/>
          <w:color w:val="auto"/>
          <w:szCs w:val="21"/>
          <w:highlight w:val="none"/>
        </w:rPr>
        <w:t>响应文件的编制原则</w:t>
      </w:r>
    </w:p>
    <w:p>
      <w:pPr>
        <w:spacing w:line="400" w:lineRule="exact"/>
        <w:ind w:firstLine="420" w:firstLineChars="200"/>
        <w:rPr>
          <w:color w:val="auto"/>
          <w:szCs w:val="21"/>
          <w:highlight w:val="none"/>
        </w:rPr>
      </w:pPr>
      <w:r>
        <w:rPr>
          <w:color w:val="auto"/>
          <w:szCs w:val="21"/>
          <w:highlight w:val="none"/>
        </w:rPr>
        <w:t>供应商应当按照竞争性磋商文件的要求编制响应文件，并对其提交的响应文件的真实性、合法性承担法律责任。响应文件应当对竞争性磋商文件作出实质性响应。</w:t>
      </w:r>
    </w:p>
    <w:p>
      <w:pPr>
        <w:spacing w:line="400" w:lineRule="exact"/>
        <w:ind w:firstLine="420" w:firstLineChars="200"/>
        <w:rPr>
          <w:color w:val="auto"/>
          <w:szCs w:val="21"/>
          <w:highlight w:val="none"/>
        </w:rPr>
      </w:pPr>
      <w:r>
        <w:rPr>
          <w:color w:val="auto"/>
          <w:szCs w:val="21"/>
          <w:highlight w:val="none"/>
        </w:rPr>
        <w:t>11.1本项目实行网上磋商，采用电子响应文件。若供应商参与磋商，自行承担磋商一切费用。</w:t>
      </w:r>
    </w:p>
    <w:p>
      <w:pPr>
        <w:spacing w:line="400" w:lineRule="exact"/>
        <w:ind w:firstLine="420" w:firstLineChars="200"/>
        <w:rPr>
          <w:color w:val="auto"/>
          <w:szCs w:val="21"/>
          <w:highlight w:val="none"/>
        </w:rPr>
      </w:pPr>
      <w:r>
        <w:rPr>
          <w:color w:val="auto"/>
          <w:szCs w:val="21"/>
          <w:highlight w:val="none"/>
        </w:rPr>
        <w:t>11.2各供应商应在截标前应确保成为广西政府采购云平台（https://www.gcy.zfcg.gxzf.gov.cn/）正式注册入库供应商，并完成CA数字证书申领。因未注册入库、未办理CA数字证书等原因造成无法磋商或磋商失败等后果由供应商自行承担。</w:t>
      </w:r>
    </w:p>
    <w:p>
      <w:pPr>
        <w:spacing w:line="400" w:lineRule="exact"/>
        <w:ind w:firstLine="420" w:firstLineChars="200"/>
        <w:rPr>
          <w:color w:val="auto"/>
          <w:szCs w:val="21"/>
          <w:highlight w:val="none"/>
        </w:rPr>
      </w:pPr>
      <w:r>
        <w:rPr>
          <w:color w:val="auto"/>
          <w:szCs w:val="21"/>
          <w:highlight w:val="none"/>
        </w:rPr>
        <w:t>11.3供应商将</w:t>
      </w:r>
      <w:r>
        <w:rPr>
          <w:rFonts w:hint="eastAsia"/>
          <w:color w:val="auto"/>
          <w:highlight w:val="none"/>
        </w:rPr>
        <w:t>广西政府采购云客户端</w:t>
      </w:r>
      <w:r>
        <w:rPr>
          <w:color w:val="auto"/>
          <w:szCs w:val="21"/>
          <w:highlight w:val="none"/>
        </w:rPr>
        <w:t>下载、安装完成后，可通过账号密码或CA登录客户端进行电子响应文件制作。客户端请至网站下载专区查看，如有问题可拨打</w:t>
      </w:r>
      <w:r>
        <w:rPr>
          <w:rFonts w:hint="eastAsia"/>
          <w:color w:val="auto"/>
          <w:highlight w:val="none"/>
        </w:rPr>
        <w:t xml:space="preserve">广西政府采购云平台客户服务热线 </w:t>
      </w:r>
      <w:r>
        <w:rPr>
          <w:rStyle w:val="24"/>
          <w:rFonts w:ascii="Arial" w:hAnsi="Arial" w:eastAsia="Arial" w:cs="Arial"/>
          <w:bCs/>
          <w:color w:val="auto"/>
          <w:szCs w:val="21"/>
          <w:highlight w:val="none"/>
          <w:shd w:val="clear" w:color="auto" w:fill="FFFFFF"/>
        </w:rPr>
        <w:t>95763</w:t>
      </w:r>
      <w:r>
        <w:rPr>
          <w:color w:val="auto"/>
          <w:szCs w:val="21"/>
          <w:highlight w:val="none"/>
        </w:rPr>
        <w:t>进行咨询。</w:t>
      </w:r>
    </w:p>
    <w:p>
      <w:pPr>
        <w:spacing w:line="400" w:lineRule="exact"/>
        <w:ind w:firstLine="420" w:firstLineChars="200"/>
        <w:rPr>
          <w:color w:val="auto"/>
          <w:szCs w:val="21"/>
          <w:highlight w:val="none"/>
        </w:rPr>
      </w:pPr>
      <w:r>
        <w:rPr>
          <w:color w:val="auto"/>
          <w:szCs w:val="21"/>
          <w:highlight w:val="none"/>
        </w:rPr>
        <w:t>11.4响应文件解密时间：</w:t>
      </w:r>
    </w:p>
    <w:p>
      <w:pPr>
        <w:spacing w:line="400" w:lineRule="exact"/>
        <w:ind w:firstLine="420" w:firstLineChars="200"/>
        <w:rPr>
          <w:color w:val="auto"/>
          <w:szCs w:val="21"/>
          <w:highlight w:val="none"/>
        </w:rPr>
      </w:pPr>
      <w:r>
        <w:rPr>
          <w:color w:val="auto"/>
          <w:szCs w:val="21"/>
          <w:highlight w:val="none"/>
        </w:rPr>
        <w:t>截标时间后30分钟内供应商可以登录广西政府采购云平台（https://www.gcy.zfcg.gxzf.gov.cn/），用“项目采购-开标评标”功能进行解密响应文件。无法按时解密，供应商递交了电子备份响应文件的，以电子备份响应文件为依据，否则视为响应文件撤回。通过广西政府采购云平台（https://www.gcy.zfcg.gxzf.gov.cn/）上传递交的电子加密响应文件已按时解密的，电子备份响应文件自动失效。供应商仅递交电子备份响应文件的，磋商无效。</w:t>
      </w:r>
    </w:p>
    <w:p>
      <w:pPr>
        <w:spacing w:line="360" w:lineRule="auto"/>
        <w:ind w:firstLine="422" w:firstLineChars="200"/>
        <w:rPr>
          <w:b/>
          <w:bCs/>
          <w:color w:val="auto"/>
          <w:szCs w:val="21"/>
          <w:highlight w:val="none"/>
        </w:rPr>
      </w:pPr>
      <w:r>
        <w:rPr>
          <w:b/>
          <w:bCs/>
          <w:color w:val="auto"/>
          <w:szCs w:val="21"/>
          <w:highlight w:val="none"/>
        </w:rPr>
        <w:t>12</w:t>
      </w:r>
      <w:r>
        <w:rPr>
          <w:color w:val="auto"/>
          <w:szCs w:val="21"/>
          <w:highlight w:val="none"/>
        </w:rPr>
        <w:t>．</w:t>
      </w:r>
      <w:r>
        <w:rPr>
          <w:b/>
          <w:bCs/>
          <w:color w:val="auto"/>
          <w:szCs w:val="21"/>
          <w:highlight w:val="none"/>
        </w:rPr>
        <w:t>响应文件的组成</w:t>
      </w:r>
    </w:p>
    <w:p>
      <w:pPr>
        <w:spacing w:line="360" w:lineRule="auto"/>
        <w:ind w:firstLine="420" w:firstLineChars="200"/>
        <w:rPr>
          <w:color w:val="auto"/>
          <w:szCs w:val="21"/>
          <w:highlight w:val="none"/>
        </w:rPr>
      </w:pPr>
      <w:r>
        <w:rPr>
          <w:color w:val="auto"/>
          <w:szCs w:val="21"/>
          <w:highlight w:val="none"/>
        </w:rPr>
        <w:t>12.1响应文件由资格证明文件、</w:t>
      </w:r>
      <w:r>
        <w:rPr>
          <w:rFonts w:hint="eastAsia"/>
          <w:color w:val="auto"/>
          <w:szCs w:val="21"/>
          <w:highlight w:val="none"/>
        </w:rPr>
        <w:t>报价文件、商务</w:t>
      </w:r>
      <w:r>
        <w:rPr>
          <w:color w:val="auto"/>
          <w:szCs w:val="21"/>
          <w:highlight w:val="none"/>
        </w:rPr>
        <w:t>技术文件</w:t>
      </w:r>
      <w:r>
        <w:rPr>
          <w:rFonts w:hint="eastAsia"/>
          <w:color w:val="auto"/>
          <w:szCs w:val="21"/>
          <w:highlight w:val="none"/>
        </w:rPr>
        <w:t>三</w:t>
      </w:r>
      <w:r>
        <w:rPr>
          <w:color w:val="auto"/>
          <w:szCs w:val="21"/>
          <w:highlight w:val="none"/>
        </w:rPr>
        <w:t>部分组成。</w:t>
      </w:r>
    </w:p>
    <w:p>
      <w:pPr>
        <w:spacing w:line="360" w:lineRule="auto"/>
        <w:ind w:left="840" w:leftChars="200" w:hanging="420" w:hangingChars="200"/>
        <w:rPr>
          <w:color w:val="auto"/>
          <w:szCs w:val="21"/>
          <w:highlight w:val="none"/>
        </w:rPr>
      </w:pPr>
      <w:r>
        <w:rPr>
          <w:color w:val="auto"/>
          <w:szCs w:val="21"/>
          <w:highlight w:val="none"/>
        </w:rPr>
        <w:t>12.1.1资格证明文件：详见须知前附表</w:t>
      </w:r>
    </w:p>
    <w:p>
      <w:pPr>
        <w:spacing w:line="360" w:lineRule="auto"/>
        <w:ind w:left="840" w:leftChars="200" w:hanging="420" w:hangingChars="200"/>
        <w:rPr>
          <w:color w:val="auto"/>
          <w:szCs w:val="21"/>
          <w:highlight w:val="none"/>
        </w:rPr>
      </w:pPr>
      <w:r>
        <w:rPr>
          <w:color w:val="auto"/>
          <w:szCs w:val="21"/>
          <w:highlight w:val="none"/>
        </w:rPr>
        <w:t>12.1.2</w:t>
      </w:r>
      <w:r>
        <w:rPr>
          <w:rFonts w:hint="eastAsia"/>
          <w:color w:val="auto"/>
          <w:szCs w:val="21"/>
          <w:highlight w:val="none"/>
        </w:rPr>
        <w:t>报价</w:t>
      </w:r>
      <w:r>
        <w:rPr>
          <w:color w:val="auto"/>
          <w:szCs w:val="21"/>
          <w:highlight w:val="none"/>
        </w:rPr>
        <w:t>文件：详见须知前附表</w:t>
      </w:r>
    </w:p>
    <w:p>
      <w:pPr>
        <w:spacing w:line="360" w:lineRule="auto"/>
        <w:ind w:left="840" w:leftChars="200" w:hanging="420" w:hangingChars="200"/>
        <w:rPr>
          <w:color w:val="auto"/>
          <w:szCs w:val="21"/>
          <w:highlight w:val="none"/>
        </w:rPr>
      </w:pPr>
      <w:r>
        <w:rPr>
          <w:color w:val="auto"/>
          <w:szCs w:val="21"/>
          <w:highlight w:val="none"/>
        </w:rPr>
        <w:t>12.1.</w:t>
      </w:r>
      <w:r>
        <w:rPr>
          <w:rFonts w:hint="eastAsia"/>
          <w:color w:val="auto"/>
          <w:szCs w:val="21"/>
          <w:highlight w:val="none"/>
        </w:rPr>
        <w:t>3商务</w:t>
      </w:r>
      <w:r>
        <w:rPr>
          <w:color w:val="auto"/>
          <w:szCs w:val="21"/>
          <w:highlight w:val="none"/>
        </w:rPr>
        <w:t>技术文件：详见须知前附表</w:t>
      </w:r>
    </w:p>
    <w:p>
      <w:pPr>
        <w:spacing w:line="360" w:lineRule="auto"/>
        <w:ind w:left="840" w:leftChars="200" w:hanging="420" w:hangingChars="200"/>
        <w:rPr>
          <w:color w:val="auto"/>
          <w:szCs w:val="21"/>
          <w:highlight w:val="none"/>
        </w:rPr>
      </w:pPr>
      <w:r>
        <w:rPr>
          <w:color w:val="auto"/>
          <w:szCs w:val="21"/>
          <w:highlight w:val="none"/>
        </w:rPr>
        <w:t>12.2</w:t>
      </w:r>
      <w:r>
        <w:rPr>
          <w:rFonts w:hint="eastAsia"/>
          <w:color w:val="auto"/>
          <w:szCs w:val="21"/>
          <w:highlight w:val="none"/>
        </w:rPr>
        <w:t>电子响应文件</w:t>
      </w:r>
      <w:r>
        <w:rPr>
          <w:color w:val="auto"/>
          <w:szCs w:val="21"/>
          <w:highlight w:val="none"/>
        </w:rPr>
        <w:t>：详见须知前附表</w:t>
      </w:r>
    </w:p>
    <w:p>
      <w:pPr>
        <w:spacing w:line="360" w:lineRule="auto"/>
        <w:ind w:firstLine="422" w:firstLineChars="200"/>
        <w:rPr>
          <w:b/>
          <w:bCs/>
          <w:color w:val="auto"/>
          <w:szCs w:val="21"/>
          <w:highlight w:val="none"/>
        </w:rPr>
      </w:pPr>
      <w:r>
        <w:rPr>
          <w:b/>
          <w:bCs/>
          <w:color w:val="auto"/>
          <w:szCs w:val="21"/>
          <w:highlight w:val="none"/>
        </w:rPr>
        <w:t>13</w:t>
      </w:r>
      <w:r>
        <w:rPr>
          <w:color w:val="auto"/>
          <w:szCs w:val="21"/>
          <w:highlight w:val="none"/>
        </w:rPr>
        <w:t>．</w:t>
      </w:r>
      <w:r>
        <w:rPr>
          <w:b/>
          <w:bCs/>
          <w:color w:val="auto"/>
          <w:szCs w:val="21"/>
          <w:highlight w:val="none"/>
        </w:rPr>
        <w:t>计量单位</w:t>
      </w:r>
    </w:p>
    <w:p>
      <w:pPr>
        <w:spacing w:line="360" w:lineRule="auto"/>
        <w:ind w:firstLine="420" w:firstLineChars="200"/>
        <w:rPr>
          <w:color w:val="auto"/>
          <w:szCs w:val="21"/>
          <w:highlight w:val="none"/>
        </w:rPr>
      </w:pPr>
      <w:r>
        <w:rPr>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22" w:firstLineChars="200"/>
        <w:rPr>
          <w:b/>
          <w:bCs/>
          <w:color w:val="auto"/>
          <w:szCs w:val="21"/>
          <w:highlight w:val="none"/>
        </w:rPr>
      </w:pPr>
      <w:r>
        <w:rPr>
          <w:b/>
          <w:bCs/>
          <w:color w:val="auto"/>
          <w:szCs w:val="21"/>
          <w:highlight w:val="none"/>
        </w:rPr>
        <w:t>14</w:t>
      </w:r>
      <w:r>
        <w:rPr>
          <w:color w:val="auto"/>
          <w:szCs w:val="21"/>
          <w:highlight w:val="none"/>
        </w:rPr>
        <w:t>．</w:t>
      </w:r>
      <w:r>
        <w:rPr>
          <w:b/>
          <w:bCs/>
          <w:color w:val="auto"/>
          <w:szCs w:val="21"/>
          <w:highlight w:val="none"/>
        </w:rPr>
        <w:t>竞标的风险</w:t>
      </w:r>
    </w:p>
    <w:p>
      <w:pPr>
        <w:spacing w:line="360" w:lineRule="auto"/>
        <w:ind w:firstLine="420" w:firstLineChars="200"/>
        <w:rPr>
          <w:color w:val="auto"/>
          <w:szCs w:val="21"/>
          <w:highlight w:val="none"/>
        </w:rPr>
      </w:pPr>
      <w:r>
        <w:rPr>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22" w:firstLineChars="200"/>
        <w:rPr>
          <w:b/>
          <w:bCs/>
          <w:color w:val="auto"/>
          <w:szCs w:val="21"/>
          <w:highlight w:val="none"/>
        </w:rPr>
      </w:pPr>
      <w:r>
        <w:rPr>
          <w:b/>
          <w:bCs/>
          <w:color w:val="auto"/>
          <w:szCs w:val="21"/>
          <w:highlight w:val="none"/>
        </w:rPr>
        <w:t>15</w:t>
      </w:r>
      <w:r>
        <w:rPr>
          <w:color w:val="auto"/>
          <w:szCs w:val="21"/>
          <w:highlight w:val="none"/>
        </w:rPr>
        <w:t>．</w:t>
      </w:r>
      <w:r>
        <w:rPr>
          <w:b/>
          <w:bCs/>
          <w:color w:val="auto"/>
          <w:szCs w:val="21"/>
          <w:highlight w:val="none"/>
        </w:rPr>
        <w:t>竞标报价要求和构成</w:t>
      </w:r>
    </w:p>
    <w:p>
      <w:pPr>
        <w:tabs>
          <w:tab w:val="left" w:pos="2492"/>
        </w:tabs>
        <w:spacing w:line="360" w:lineRule="auto"/>
        <w:ind w:firstLine="420" w:firstLineChars="200"/>
        <w:rPr>
          <w:color w:val="auto"/>
          <w:szCs w:val="21"/>
          <w:highlight w:val="none"/>
        </w:rPr>
      </w:pPr>
      <w:r>
        <w:rPr>
          <w:color w:val="auto"/>
          <w:szCs w:val="21"/>
          <w:highlight w:val="none"/>
        </w:rPr>
        <w:t>15.1竞标报价应按磋商文件中“</w:t>
      </w:r>
      <w:r>
        <w:rPr>
          <w:rFonts w:hint="eastAsia"/>
          <w:color w:val="auto"/>
          <w:szCs w:val="21"/>
          <w:highlight w:val="none"/>
        </w:rPr>
        <w:t>磋商报价函</w:t>
      </w:r>
      <w:r>
        <w:rPr>
          <w:color w:val="auto"/>
          <w:szCs w:val="21"/>
          <w:highlight w:val="none"/>
        </w:rPr>
        <w:t>”格式填写。</w:t>
      </w:r>
    </w:p>
    <w:p>
      <w:pPr>
        <w:tabs>
          <w:tab w:val="left" w:pos="2492"/>
        </w:tabs>
        <w:spacing w:line="360" w:lineRule="auto"/>
        <w:ind w:firstLine="420" w:firstLineChars="200"/>
        <w:rPr>
          <w:color w:val="auto"/>
          <w:szCs w:val="21"/>
          <w:highlight w:val="none"/>
        </w:rPr>
      </w:pPr>
      <w:r>
        <w:rPr>
          <w:color w:val="auto"/>
          <w:szCs w:val="21"/>
          <w:highlight w:val="none"/>
        </w:rPr>
        <w:t>15.2竞标报价的价格构成见“供应商须知前附表”。</w:t>
      </w:r>
    </w:p>
    <w:p>
      <w:pPr>
        <w:spacing w:line="360" w:lineRule="auto"/>
        <w:ind w:left="426" w:leftChars="203"/>
        <w:rPr>
          <w:color w:val="auto"/>
          <w:szCs w:val="21"/>
          <w:highlight w:val="none"/>
        </w:rPr>
      </w:pPr>
      <w:r>
        <w:rPr>
          <w:color w:val="auto"/>
          <w:szCs w:val="21"/>
          <w:highlight w:val="none"/>
        </w:rPr>
        <w:t>15.3竞标报价要求</w:t>
      </w:r>
    </w:p>
    <w:p>
      <w:pPr>
        <w:spacing w:line="360" w:lineRule="auto"/>
        <w:ind w:firstLine="420" w:firstLineChars="200"/>
        <w:rPr>
          <w:color w:val="auto"/>
          <w:szCs w:val="21"/>
          <w:highlight w:val="none"/>
        </w:rPr>
      </w:pPr>
      <w:r>
        <w:rPr>
          <w:color w:val="auto"/>
          <w:szCs w:val="21"/>
          <w:highlight w:val="none"/>
        </w:rPr>
        <w:t>15.3.1供应商的竞标报价应符合以下要求，否则响应文件按无效响应处理：</w:t>
      </w:r>
    </w:p>
    <w:p>
      <w:pPr>
        <w:spacing w:line="360" w:lineRule="auto"/>
        <w:ind w:firstLine="420" w:firstLineChars="200"/>
        <w:rPr>
          <w:color w:val="auto"/>
          <w:szCs w:val="21"/>
          <w:highlight w:val="none"/>
        </w:rPr>
      </w:pPr>
      <w:r>
        <w:rPr>
          <w:rFonts w:hint="eastAsia"/>
          <w:color w:val="auto"/>
          <w:szCs w:val="21"/>
          <w:highlight w:val="none"/>
        </w:rPr>
        <w:t>（1）</w:t>
      </w:r>
      <w:r>
        <w:rPr>
          <w:color w:val="auto"/>
          <w:szCs w:val="21"/>
          <w:highlight w:val="none"/>
        </w:rPr>
        <w:t>供应商必须</w:t>
      </w:r>
      <w:r>
        <w:rPr>
          <w:rFonts w:hint="eastAsia"/>
          <w:color w:val="auto"/>
          <w:szCs w:val="21"/>
          <w:highlight w:val="none"/>
        </w:rPr>
        <w:t>按要求编写已标价工程量清单；</w:t>
      </w:r>
    </w:p>
    <w:p>
      <w:pPr>
        <w:spacing w:line="360" w:lineRule="auto"/>
        <w:ind w:firstLine="420" w:firstLineChars="200"/>
        <w:rPr>
          <w:color w:val="auto"/>
          <w:szCs w:val="21"/>
          <w:highlight w:val="none"/>
        </w:rPr>
      </w:pPr>
      <w:r>
        <w:rPr>
          <w:rFonts w:hint="eastAsia"/>
          <w:color w:val="auto"/>
          <w:szCs w:val="21"/>
          <w:highlight w:val="none"/>
        </w:rPr>
        <w:t>（2）已标价清单</w:t>
      </w:r>
    </w:p>
    <w:p>
      <w:pPr>
        <w:spacing w:line="360" w:lineRule="auto"/>
        <w:ind w:firstLine="420" w:firstLineChars="200"/>
        <w:rPr>
          <w:color w:val="auto"/>
          <w:szCs w:val="21"/>
          <w:highlight w:val="none"/>
        </w:rPr>
      </w:pPr>
      <w:r>
        <w:rPr>
          <w:rFonts w:hint="eastAsia"/>
          <w:color w:val="auto"/>
          <w:szCs w:val="21"/>
          <w:highlight w:val="none"/>
        </w:rPr>
        <w:t>（3）已标价工程量清单报价与磋商报价函必须一致；</w:t>
      </w:r>
    </w:p>
    <w:p>
      <w:pPr>
        <w:spacing w:line="360" w:lineRule="auto"/>
        <w:ind w:firstLine="420" w:firstLineChars="200"/>
        <w:rPr>
          <w:color w:val="auto"/>
          <w:szCs w:val="21"/>
          <w:highlight w:val="none"/>
        </w:rPr>
      </w:pPr>
      <w:r>
        <w:rPr>
          <w:color w:val="auto"/>
          <w:szCs w:val="21"/>
          <w:highlight w:val="none"/>
        </w:rPr>
        <w:t>15.3.2竞标报价（包含首次报价、最后报价）超过所竞标分标规定的采购预算金额或者最高限价的，其响应文件将作无效处理。</w:t>
      </w:r>
    </w:p>
    <w:p>
      <w:pPr>
        <w:spacing w:line="360" w:lineRule="auto"/>
        <w:ind w:firstLine="420" w:firstLineChars="200"/>
        <w:rPr>
          <w:color w:val="auto"/>
          <w:szCs w:val="21"/>
          <w:highlight w:val="none"/>
        </w:rPr>
      </w:pPr>
      <w:r>
        <w:rPr>
          <w:color w:val="auto"/>
          <w:szCs w:val="21"/>
          <w:highlight w:val="none"/>
        </w:rPr>
        <w:t>15.3.3</w:t>
      </w:r>
      <w:bookmarkStart w:id="28" w:name="_Hlk42592874"/>
      <w:r>
        <w:rPr>
          <w:color w:val="auto"/>
          <w:szCs w:val="21"/>
          <w:highlight w:val="none"/>
        </w:rPr>
        <w:t>竞标报价（包含首次报价、最后报价）超过分项采购预算金额或者最高限价的，其响应文件将作无效处理。</w:t>
      </w:r>
    </w:p>
    <w:p>
      <w:pPr>
        <w:pStyle w:val="4"/>
        <w:spacing w:line="360" w:lineRule="auto"/>
        <w:ind w:firstLine="420" w:firstLineChars="200"/>
        <w:rPr>
          <w:rFonts w:ascii="Times New Roman" w:hAnsi="Times New Roman"/>
          <w:b w:val="0"/>
          <w:bCs w:val="0"/>
          <w:color w:val="auto"/>
          <w:sz w:val="21"/>
          <w:szCs w:val="21"/>
          <w:highlight w:val="none"/>
        </w:rPr>
      </w:pPr>
      <w:bookmarkStart w:id="29" w:name="_Toc16296"/>
      <w:r>
        <w:rPr>
          <w:rFonts w:hint="eastAsia" w:ascii="Times New Roman" w:hAnsi="Times New Roman"/>
          <w:b w:val="0"/>
          <w:bCs w:val="0"/>
          <w:color w:val="auto"/>
          <w:sz w:val="21"/>
          <w:szCs w:val="21"/>
          <w:highlight w:val="none"/>
        </w:rPr>
        <w:t>15.3.4在磋商过程中，供应商二次及以后报价应采用已标价工程量清单方式报价，磋商供应商应预先准备好调整后的已标价工程量清单并提供电子版作为应答文件的一部分一并上传递交，其编制依据及计算规则与首次报价的相同。否则，该竞标报价将被视为无效。</w:t>
      </w:r>
      <w:bookmarkEnd w:id="29"/>
    </w:p>
    <w:bookmarkEnd w:id="28"/>
    <w:p>
      <w:pPr>
        <w:spacing w:line="360" w:lineRule="auto"/>
        <w:ind w:firstLine="422" w:firstLineChars="200"/>
        <w:rPr>
          <w:b/>
          <w:bCs/>
          <w:color w:val="auto"/>
          <w:szCs w:val="21"/>
          <w:highlight w:val="none"/>
        </w:rPr>
      </w:pPr>
      <w:r>
        <w:rPr>
          <w:b/>
          <w:bCs/>
          <w:color w:val="auto"/>
          <w:szCs w:val="21"/>
          <w:highlight w:val="none"/>
        </w:rPr>
        <w:t>16</w:t>
      </w:r>
      <w:r>
        <w:rPr>
          <w:color w:val="auto"/>
          <w:szCs w:val="21"/>
          <w:highlight w:val="none"/>
        </w:rPr>
        <w:t>．</w:t>
      </w:r>
      <w:r>
        <w:rPr>
          <w:b/>
          <w:bCs/>
          <w:color w:val="auto"/>
          <w:szCs w:val="21"/>
          <w:highlight w:val="none"/>
        </w:rPr>
        <w:t>竞标有效期</w:t>
      </w:r>
    </w:p>
    <w:p>
      <w:pPr>
        <w:spacing w:line="360" w:lineRule="auto"/>
        <w:ind w:firstLine="420" w:firstLineChars="200"/>
        <w:rPr>
          <w:color w:val="auto"/>
          <w:szCs w:val="21"/>
          <w:highlight w:val="none"/>
        </w:rPr>
      </w:pPr>
      <w:r>
        <w:rPr>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color w:val="auto"/>
          <w:szCs w:val="21"/>
          <w:highlight w:val="none"/>
        </w:rPr>
      </w:pPr>
      <w:r>
        <w:rPr>
          <w:color w:val="auto"/>
          <w:szCs w:val="21"/>
          <w:highlight w:val="none"/>
        </w:rPr>
        <w:t>16.2 竞标有效期应由供应商按“供应商须知前附表”规定的期限作出响应。</w:t>
      </w:r>
    </w:p>
    <w:p>
      <w:pPr>
        <w:spacing w:line="360" w:lineRule="auto"/>
        <w:ind w:firstLine="420" w:firstLineChars="200"/>
        <w:rPr>
          <w:color w:val="auto"/>
          <w:szCs w:val="21"/>
          <w:highlight w:val="none"/>
        </w:rPr>
      </w:pPr>
      <w:r>
        <w:rPr>
          <w:color w:val="auto"/>
          <w:szCs w:val="21"/>
          <w:highlight w:val="none"/>
        </w:rPr>
        <w:t>16.3供应商的响应文件在竞标有效期内均保持有效。</w:t>
      </w:r>
    </w:p>
    <w:p>
      <w:pPr>
        <w:spacing w:line="360" w:lineRule="auto"/>
        <w:ind w:firstLine="422" w:firstLineChars="200"/>
        <w:rPr>
          <w:b/>
          <w:bCs/>
          <w:color w:val="auto"/>
          <w:szCs w:val="21"/>
          <w:highlight w:val="none"/>
        </w:rPr>
      </w:pPr>
      <w:r>
        <w:rPr>
          <w:b/>
          <w:bCs/>
          <w:color w:val="auto"/>
          <w:szCs w:val="21"/>
          <w:highlight w:val="none"/>
        </w:rPr>
        <w:t>17</w:t>
      </w:r>
      <w:r>
        <w:rPr>
          <w:color w:val="auto"/>
          <w:szCs w:val="21"/>
          <w:highlight w:val="none"/>
        </w:rPr>
        <w:t>．</w:t>
      </w:r>
      <w:r>
        <w:rPr>
          <w:b/>
          <w:bCs/>
          <w:color w:val="auto"/>
          <w:szCs w:val="21"/>
          <w:highlight w:val="none"/>
        </w:rPr>
        <w:t>磋商保证金</w:t>
      </w:r>
    </w:p>
    <w:p>
      <w:pPr>
        <w:spacing w:line="360" w:lineRule="auto"/>
        <w:ind w:firstLine="420" w:firstLineChars="200"/>
        <w:rPr>
          <w:color w:val="auto"/>
          <w:szCs w:val="21"/>
          <w:highlight w:val="none"/>
        </w:rPr>
      </w:pPr>
      <w:r>
        <w:rPr>
          <w:color w:val="auto"/>
          <w:szCs w:val="21"/>
          <w:highlight w:val="none"/>
        </w:rPr>
        <w:t>本项目不要求缴纳</w:t>
      </w:r>
      <w:r>
        <w:rPr>
          <w:rFonts w:hint="eastAsia"/>
          <w:color w:val="auto"/>
          <w:szCs w:val="21"/>
          <w:highlight w:val="none"/>
        </w:rPr>
        <w:t>磋商</w:t>
      </w:r>
      <w:r>
        <w:rPr>
          <w:color w:val="auto"/>
          <w:szCs w:val="21"/>
          <w:highlight w:val="none"/>
        </w:rPr>
        <w:t>保证金</w:t>
      </w:r>
      <w:r>
        <w:rPr>
          <w:rFonts w:hint="eastAsia"/>
          <w:color w:val="auto"/>
          <w:szCs w:val="21"/>
          <w:highlight w:val="none"/>
        </w:rPr>
        <w:t>。</w:t>
      </w:r>
    </w:p>
    <w:p>
      <w:pPr>
        <w:spacing w:line="360" w:lineRule="auto"/>
        <w:ind w:firstLine="422" w:firstLineChars="200"/>
        <w:rPr>
          <w:b/>
          <w:bCs/>
          <w:color w:val="auto"/>
          <w:szCs w:val="21"/>
          <w:highlight w:val="none"/>
        </w:rPr>
      </w:pPr>
      <w:r>
        <w:rPr>
          <w:b/>
          <w:bCs/>
          <w:color w:val="auto"/>
          <w:szCs w:val="21"/>
          <w:highlight w:val="none"/>
        </w:rPr>
        <w:t>18</w:t>
      </w:r>
      <w:r>
        <w:rPr>
          <w:color w:val="auto"/>
          <w:szCs w:val="21"/>
          <w:highlight w:val="none"/>
        </w:rPr>
        <w:t>．</w:t>
      </w:r>
      <w:r>
        <w:rPr>
          <w:b/>
          <w:bCs/>
          <w:color w:val="auto"/>
          <w:szCs w:val="21"/>
          <w:highlight w:val="none"/>
        </w:rPr>
        <w:t>响应文件编制的要求</w:t>
      </w:r>
    </w:p>
    <w:p>
      <w:pPr>
        <w:spacing w:line="360" w:lineRule="auto"/>
        <w:ind w:firstLine="420" w:firstLineChars="200"/>
        <w:rPr>
          <w:color w:val="auto"/>
          <w:szCs w:val="21"/>
          <w:highlight w:val="none"/>
        </w:rPr>
      </w:pPr>
      <w:r>
        <w:rPr>
          <w:rFonts w:hint="eastAsia"/>
          <w:color w:val="auto"/>
          <w:szCs w:val="21"/>
          <w:highlight w:val="none"/>
        </w:rPr>
        <w:t>18．1 .电子响应文件中须加盖供应商公章部分必须加盖公章，并根据“政府采购项目电子交易管理操作指南-供应商”及本采购文件规定的格式和顺序编制电子投标响应文件并进行关联定位，以便评审小组在评审时，点击评分项可直接定位到该评分项内容。如对采购文件的某项要求，供应商的电子投标响应文件未能关联定位提供相应的内容与其对应，则评审小组在评审时如做出对供应商不利的评审由供应商自行承担。电子投标响应文件如内容不完整、编排混乱导致竞标响应文件被误读、漏读，或者在按采购文件规定的部位查找不到相关内容的，由供应商自行承担。</w:t>
      </w:r>
    </w:p>
    <w:p>
      <w:pPr>
        <w:spacing w:line="360" w:lineRule="auto"/>
        <w:ind w:firstLine="420" w:firstLineChars="200"/>
        <w:rPr>
          <w:color w:val="auto"/>
          <w:szCs w:val="21"/>
          <w:highlight w:val="none"/>
        </w:rPr>
      </w:pPr>
      <w:r>
        <w:rPr>
          <w:rFonts w:hint="eastAsia"/>
          <w:color w:val="auto"/>
          <w:szCs w:val="21"/>
          <w:highlight w:val="none"/>
        </w:rPr>
        <w:t xml:space="preserve">18．2 .供应商法人（负责人）或授权代表持有政采云个人CA签章的，必须在竞标响应文件中涉及到签字的位置使用个人CA签章，没有办理政采云个人CA签章的可在竞标响应文件中涉及到签字的位置手写签字后扫描或者拍照做成 PDF 的格式上传即可（注：竞标人需保证扫描或者拍照的文件清晰可见）。 </w:t>
      </w:r>
    </w:p>
    <w:p>
      <w:pPr>
        <w:spacing w:line="360" w:lineRule="auto"/>
        <w:ind w:firstLine="420" w:firstLineChars="200"/>
        <w:rPr>
          <w:color w:val="auto"/>
          <w:szCs w:val="21"/>
          <w:highlight w:val="none"/>
        </w:rPr>
      </w:pPr>
      <w:r>
        <w:rPr>
          <w:rFonts w:hint="eastAsia"/>
          <w:color w:val="auto"/>
          <w:szCs w:val="21"/>
          <w:highlight w:val="none"/>
        </w:rPr>
        <w:t>18．3 .响应文件不得涂改，若有修改错漏处，须法定代表人（负责人）或授权委托人签字（或个人CA签章）。竞标响应文件因字迹潦草或表达不清所引起的后果由供应商负责。</w:t>
      </w:r>
    </w:p>
    <w:p>
      <w:pPr>
        <w:spacing w:line="360" w:lineRule="auto"/>
        <w:ind w:firstLine="420" w:firstLineChars="200"/>
        <w:rPr>
          <w:color w:val="auto"/>
          <w:szCs w:val="21"/>
          <w:highlight w:val="none"/>
        </w:rPr>
      </w:pPr>
      <w:r>
        <w:rPr>
          <w:rFonts w:hint="eastAsia"/>
          <w:color w:val="auto"/>
          <w:szCs w:val="21"/>
          <w:highlight w:val="none"/>
        </w:rPr>
        <w:t xml:space="preserve">18．4.评审前准备 </w:t>
      </w:r>
    </w:p>
    <w:p>
      <w:pPr>
        <w:spacing w:line="360" w:lineRule="auto"/>
        <w:ind w:firstLine="420" w:firstLineChars="200"/>
        <w:rPr>
          <w:color w:val="auto"/>
          <w:szCs w:val="21"/>
          <w:highlight w:val="none"/>
        </w:rPr>
      </w:pPr>
      <w:r>
        <w:rPr>
          <w:rFonts w:hint="eastAsia"/>
          <w:color w:val="auto"/>
          <w:szCs w:val="21"/>
          <w:highlight w:val="none"/>
        </w:rPr>
        <w:t xml:space="preserve">18．4.1本项目实行网上评审，采用电子投标响应文件；若供应商参与投标，自行承担投标一切费用。 </w:t>
      </w:r>
    </w:p>
    <w:p>
      <w:pPr>
        <w:spacing w:line="360" w:lineRule="auto"/>
        <w:ind w:firstLine="420" w:firstLineChars="200"/>
        <w:rPr>
          <w:color w:val="auto"/>
          <w:szCs w:val="21"/>
          <w:highlight w:val="none"/>
        </w:rPr>
      </w:pPr>
      <w:r>
        <w:rPr>
          <w:rFonts w:hint="eastAsia"/>
          <w:color w:val="auto"/>
          <w:szCs w:val="21"/>
          <w:highlight w:val="none"/>
        </w:rPr>
        <w:t xml:space="preserve">18．4.2各供应商在截标前应确保成为广西政府采购云平台（https://www.gcy.zfcg.gxzf.gov.cn/）正式注册入库供应商，并完成 CA 数字证书申领。因未注册入库、未办理 CA 数字证书等原因造成无法投标或投标失败等后果由供应商自行承担。 </w:t>
      </w:r>
    </w:p>
    <w:p>
      <w:pPr>
        <w:spacing w:line="360" w:lineRule="auto"/>
        <w:ind w:firstLine="420" w:firstLineChars="200"/>
        <w:rPr>
          <w:color w:val="auto"/>
          <w:szCs w:val="21"/>
          <w:highlight w:val="none"/>
        </w:rPr>
      </w:pPr>
      <w:r>
        <w:rPr>
          <w:rFonts w:hint="eastAsia"/>
          <w:color w:val="auto"/>
          <w:szCs w:val="21"/>
          <w:highlight w:val="none"/>
        </w:rPr>
        <w:t>18．4.3供应商将</w:t>
      </w:r>
      <w:r>
        <w:rPr>
          <w:rFonts w:hint="eastAsia"/>
          <w:color w:val="auto"/>
          <w:highlight w:val="none"/>
        </w:rPr>
        <w:t>广西政府采购云客户端</w:t>
      </w:r>
      <w:r>
        <w:rPr>
          <w:rFonts w:hint="eastAsia"/>
          <w:color w:val="auto"/>
          <w:szCs w:val="21"/>
          <w:highlight w:val="none"/>
        </w:rPr>
        <w:t>下载、安装完成后，可通过账号密码或 CA 登录客户端进行竞标响应文件制作。客户端请至网站下载专区查看，如有问题可拨打</w:t>
      </w:r>
      <w:r>
        <w:rPr>
          <w:rFonts w:hint="eastAsia"/>
          <w:color w:val="auto"/>
          <w:highlight w:val="none"/>
        </w:rPr>
        <w:t xml:space="preserve">广西政府采购云平台客户服务热线 </w:t>
      </w:r>
      <w:r>
        <w:rPr>
          <w:rStyle w:val="24"/>
          <w:rFonts w:ascii="Arial" w:hAnsi="Arial" w:eastAsia="Arial" w:cs="Arial"/>
          <w:bCs/>
          <w:color w:val="auto"/>
          <w:szCs w:val="21"/>
          <w:highlight w:val="none"/>
          <w:shd w:val="clear" w:color="auto" w:fill="FFFFFF"/>
        </w:rPr>
        <w:t>95763</w:t>
      </w:r>
      <w:r>
        <w:rPr>
          <w:rFonts w:hint="eastAsia"/>
          <w:color w:val="auto"/>
          <w:szCs w:val="21"/>
          <w:highlight w:val="none"/>
        </w:rPr>
        <w:t xml:space="preserve"> 进行咨询。</w:t>
      </w:r>
    </w:p>
    <w:p>
      <w:pPr>
        <w:spacing w:line="360" w:lineRule="auto"/>
        <w:ind w:firstLine="422" w:firstLineChars="200"/>
        <w:rPr>
          <w:b/>
          <w:bCs/>
          <w:color w:val="auto"/>
          <w:szCs w:val="21"/>
          <w:highlight w:val="none"/>
        </w:rPr>
      </w:pPr>
      <w:r>
        <w:rPr>
          <w:rFonts w:hint="eastAsia"/>
          <w:b/>
          <w:bCs/>
          <w:color w:val="auto"/>
          <w:szCs w:val="21"/>
          <w:highlight w:val="none"/>
        </w:rPr>
        <w:t>19</w:t>
      </w:r>
      <w:r>
        <w:rPr>
          <w:color w:val="auto"/>
          <w:szCs w:val="21"/>
          <w:highlight w:val="none"/>
        </w:rPr>
        <w:t>．</w:t>
      </w:r>
      <w:r>
        <w:rPr>
          <w:b/>
          <w:bCs/>
          <w:color w:val="auto"/>
          <w:szCs w:val="21"/>
          <w:highlight w:val="none"/>
        </w:rPr>
        <w:t>响应文件的提交</w:t>
      </w:r>
    </w:p>
    <w:p>
      <w:pPr>
        <w:spacing w:line="360" w:lineRule="auto"/>
        <w:ind w:firstLine="420" w:firstLineChars="200"/>
        <w:rPr>
          <w:color w:val="auto"/>
          <w:szCs w:val="21"/>
          <w:highlight w:val="none"/>
        </w:rPr>
      </w:pPr>
      <w:r>
        <w:rPr>
          <w:rFonts w:hint="eastAsia"/>
          <w:color w:val="auto"/>
          <w:szCs w:val="21"/>
          <w:highlight w:val="none"/>
        </w:rPr>
        <w:t>19</w:t>
      </w:r>
      <w:r>
        <w:rPr>
          <w:color w:val="auto"/>
          <w:szCs w:val="21"/>
          <w:highlight w:val="none"/>
        </w:rPr>
        <w:t>.1供应商必须在“供应商须知前附表”规定的时间和地点提交响应文件。</w:t>
      </w:r>
    </w:p>
    <w:p>
      <w:pPr>
        <w:spacing w:line="360" w:lineRule="auto"/>
        <w:ind w:firstLine="422" w:firstLineChars="200"/>
        <w:rPr>
          <w:b/>
          <w:bCs/>
          <w:color w:val="auto"/>
          <w:szCs w:val="21"/>
          <w:highlight w:val="none"/>
        </w:rPr>
      </w:pPr>
      <w:r>
        <w:rPr>
          <w:b/>
          <w:bCs/>
          <w:color w:val="auto"/>
          <w:szCs w:val="21"/>
          <w:highlight w:val="none"/>
        </w:rPr>
        <w:t>2</w:t>
      </w:r>
      <w:r>
        <w:rPr>
          <w:rFonts w:hint="eastAsia"/>
          <w:b/>
          <w:bCs/>
          <w:color w:val="auto"/>
          <w:szCs w:val="21"/>
          <w:highlight w:val="none"/>
        </w:rPr>
        <w:t>0</w:t>
      </w:r>
      <w:r>
        <w:rPr>
          <w:color w:val="auto"/>
          <w:szCs w:val="21"/>
          <w:highlight w:val="none"/>
        </w:rPr>
        <w:t>．</w:t>
      </w:r>
      <w:r>
        <w:rPr>
          <w:b/>
          <w:bCs/>
          <w:color w:val="auto"/>
          <w:szCs w:val="21"/>
          <w:highlight w:val="none"/>
        </w:rPr>
        <w:t>首次响应文件的补充、修改与撤回</w:t>
      </w:r>
    </w:p>
    <w:p>
      <w:pPr>
        <w:spacing w:line="360" w:lineRule="auto"/>
        <w:ind w:firstLine="420" w:firstLineChars="200"/>
        <w:rPr>
          <w:color w:val="auto"/>
          <w:szCs w:val="21"/>
          <w:highlight w:val="none"/>
        </w:rPr>
      </w:pPr>
      <w:bookmarkStart w:id="30" w:name="_Hlk45702405"/>
      <w:r>
        <w:rPr>
          <w:rFonts w:hint="eastAsia"/>
          <w:color w:val="auto"/>
          <w:szCs w:val="21"/>
          <w:highlight w:val="none"/>
        </w:rPr>
        <w:t>20.1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pPr>
        <w:spacing w:line="360" w:lineRule="auto"/>
        <w:ind w:firstLine="420" w:firstLineChars="200"/>
        <w:rPr>
          <w:color w:val="auto"/>
          <w:szCs w:val="21"/>
          <w:highlight w:val="none"/>
        </w:rPr>
      </w:pPr>
      <w:r>
        <w:rPr>
          <w:rFonts w:hint="eastAsia"/>
          <w:color w:val="auto"/>
          <w:szCs w:val="21"/>
          <w:highlight w:val="none"/>
        </w:rPr>
        <w:t>20.2如有特殊情况，采购代理机构延长截止时间和开标时间，采购代理机构和供应商的权利和义务将受到新的截止时间和开标时间的约束。</w:t>
      </w:r>
    </w:p>
    <w:bookmarkEnd w:id="30"/>
    <w:p>
      <w:pPr>
        <w:spacing w:line="360" w:lineRule="auto"/>
        <w:ind w:firstLine="422" w:firstLineChars="200"/>
        <w:rPr>
          <w:color w:val="auto"/>
          <w:szCs w:val="21"/>
          <w:highlight w:val="none"/>
        </w:rPr>
      </w:pPr>
      <w:r>
        <w:rPr>
          <w:rFonts w:hint="eastAsia"/>
          <w:b/>
          <w:bCs/>
          <w:color w:val="auto"/>
          <w:szCs w:val="21"/>
          <w:highlight w:val="none"/>
        </w:rPr>
        <w:t>21</w:t>
      </w:r>
      <w:r>
        <w:rPr>
          <w:color w:val="auto"/>
          <w:szCs w:val="21"/>
          <w:highlight w:val="none"/>
        </w:rPr>
        <w:t>．</w:t>
      </w:r>
      <w:r>
        <w:rPr>
          <w:rFonts w:hint="eastAsia"/>
          <w:color w:val="auto"/>
          <w:szCs w:val="21"/>
          <w:highlight w:val="none"/>
        </w:rPr>
        <w:t xml:space="preserve">采购人和采购代理机构对所接收的电子响应文件除“第四章 </w:t>
      </w:r>
      <w:r>
        <w:rPr>
          <w:color w:val="auto"/>
          <w:szCs w:val="21"/>
          <w:highlight w:val="none"/>
        </w:rPr>
        <w:t>评审程序、评审方法和评审标准</w:t>
      </w:r>
      <w:r>
        <w:rPr>
          <w:rFonts w:hint="eastAsia"/>
          <w:color w:val="auto"/>
          <w:szCs w:val="21"/>
          <w:highlight w:val="none"/>
        </w:rPr>
        <w:t>”8.6条规定的情形外，在首次电子响应文件提交截止时间止提交电子响应文件的供应商不足3家的，应当退回供应商电子响应文件。</w:t>
      </w:r>
    </w:p>
    <w:p>
      <w:pPr>
        <w:spacing w:line="360" w:lineRule="auto"/>
        <w:ind w:firstLine="422" w:firstLineChars="200"/>
        <w:rPr>
          <w:color w:val="auto"/>
          <w:szCs w:val="21"/>
          <w:highlight w:val="none"/>
        </w:rPr>
      </w:pPr>
      <w:r>
        <w:rPr>
          <w:rFonts w:hint="eastAsia"/>
          <w:b/>
          <w:bCs/>
          <w:color w:val="auto"/>
          <w:szCs w:val="21"/>
          <w:highlight w:val="none"/>
        </w:rPr>
        <w:t>22</w:t>
      </w:r>
      <w:r>
        <w:rPr>
          <w:color w:val="auto"/>
          <w:szCs w:val="21"/>
          <w:highlight w:val="none"/>
        </w:rPr>
        <w:t>．</w:t>
      </w:r>
      <w:r>
        <w:rPr>
          <w:rFonts w:hint="eastAsia"/>
          <w:color w:val="auto"/>
          <w:szCs w:val="21"/>
          <w:highlight w:val="none"/>
        </w:rPr>
        <w:t>供应商在首次电子响应文件提交截止时间后向采购人、采购代理机构书面申请撤回电子响应文件的，除此之外采购人和采购代理机构对已开启的电子响应文件概不退回。</w:t>
      </w:r>
    </w:p>
    <w:p>
      <w:pPr>
        <w:spacing w:line="360" w:lineRule="auto"/>
        <w:ind w:firstLine="422" w:firstLineChars="200"/>
        <w:rPr>
          <w:b/>
          <w:bCs/>
          <w:color w:val="auto"/>
          <w:szCs w:val="21"/>
          <w:highlight w:val="none"/>
        </w:rPr>
      </w:pPr>
      <w:r>
        <w:rPr>
          <w:rFonts w:hint="eastAsia"/>
          <w:b/>
          <w:bCs/>
          <w:color w:val="auto"/>
          <w:szCs w:val="21"/>
          <w:highlight w:val="none"/>
        </w:rPr>
        <w:t>23</w:t>
      </w:r>
      <w:r>
        <w:rPr>
          <w:color w:val="auto"/>
          <w:szCs w:val="21"/>
          <w:highlight w:val="none"/>
        </w:rPr>
        <w:t>．</w:t>
      </w:r>
      <w:r>
        <w:rPr>
          <w:rFonts w:hint="eastAsia"/>
          <w:b/>
          <w:bCs/>
          <w:color w:val="auto"/>
          <w:szCs w:val="21"/>
          <w:highlight w:val="none"/>
        </w:rPr>
        <w:t>网上开标、电子评标：</w:t>
      </w:r>
    </w:p>
    <w:p>
      <w:pPr>
        <w:spacing w:line="360" w:lineRule="auto"/>
        <w:ind w:firstLine="420" w:firstLineChars="200"/>
        <w:rPr>
          <w:color w:val="auto"/>
          <w:szCs w:val="21"/>
          <w:highlight w:val="none"/>
        </w:rPr>
      </w:pPr>
      <w:r>
        <w:rPr>
          <w:rFonts w:hint="eastAsia"/>
          <w:color w:val="auto"/>
          <w:szCs w:val="21"/>
          <w:highlight w:val="none"/>
        </w:rPr>
        <w:t>供应商根据竞争性磋商文件要求，登录“</w:t>
      </w:r>
      <w:r>
        <w:rPr>
          <w:rFonts w:hint="eastAsia" w:ascii="宋体" w:hAnsi="宋体"/>
          <w:color w:val="auto"/>
          <w:szCs w:val="21"/>
          <w:highlight w:val="none"/>
        </w:rPr>
        <w:t>广西政府采购云平台</w:t>
      </w:r>
      <w:r>
        <w:rPr>
          <w:rFonts w:hint="eastAsia"/>
          <w:color w:val="auto"/>
          <w:szCs w:val="21"/>
          <w:highlight w:val="none"/>
        </w:rPr>
        <w:t>”，在指定时间内将电子响应文件通过 CA 加密后上传完成投标。开标实行网上不见面开标。到达开标时间后，采购代理机构工作人员在“</w:t>
      </w:r>
      <w:r>
        <w:rPr>
          <w:rFonts w:hint="eastAsia" w:ascii="宋体" w:hAnsi="宋体"/>
          <w:color w:val="auto"/>
          <w:szCs w:val="21"/>
          <w:highlight w:val="none"/>
        </w:rPr>
        <w:t>广西政府采购云平台</w:t>
      </w:r>
      <w:r>
        <w:rPr>
          <w:rFonts w:hint="eastAsia"/>
          <w:color w:val="auto"/>
          <w:szCs w:val="21"/>
          <w:highlight w:val="none"/>
        </w:rPr>
        <w:t>”开始网上开标，供应商在竞争性磋商文件指定解密时间内各自远程登录“</w:t>
      </w:r>
      <w:r>
        <w:rPr>
          <w:rFonts w:hint="eastAsia" w:ascii="宋体" w:hAnsi="宋体"/>
          <w:color w:val="auto"/>
          <w:szCs w:val="21"/>
          <w:highlight w:val="none"/>
        </w:rPr>
        <w:t>广西政府采购云平台</w:t>
      </w:r>
      <w:r>
        <w:rPr>
          <w:rFonts w:hint="eastAsia"/>
          <w:color w:val="auto"/>
          <w:szCs w:val="21"/>
          <w:highlight w:val="none"/>
        </w:rPr>
        <w:t>”进行响应文件解密，供应商全部解密完成或解密时间结束后由采购代理机构工作人员开启唱标及评标程序，供应商可在个人电脑上查看到唱标信息，并等待专家评委评审，评审结束后系统中将显示评标结果。</w:t>
      </w:r>
    </w:p>
    <w:p>
      <w:pPr>
        <w:spacing w:before="156" w:beforeLines="50" w:after="156" w:afterLines="50" w:line="360" w:lineRule="auto"/>
        <w:jc w:val="center"/>
        <w:rPr>
          <w:b/>
          <w:bCs/>
          <w:color w:val="auto"/>
          <w:sz w:val="24"/>
          <w:highlight w:val="none"/>
        </w:rPr>
      </w:pPr>
    </w:p>
    <w:p>
      <w:pPr>
        <w:spacing w:before="156" w:beforeLines="50" w:after="156" w:afterLines="50" w:line="360" w:lineRule="auto"/>
        <w:jc w:val="center"/>
        <w:outlineLvl w:val="2"/>
        <w:rPr>
          <w:b/>
          <w:bCs/>
          <w:color w:val="auto"/>
          <w:sz w:val="24"/>
          <w:highlight w:val="none"/>
        </w:rPr>
      </w:pPr>
      <w:bookmarkStart w:id="31" w:name="_Toc12795"/>
      <w:bookmarkStart w:id="32" w:name="_Toc8423"/>
      <w:r>
        <w:rPr>
          <w:b/>
          <w:bCs/>
          <w:color w:val="auto"/>
          <w:sz w:val="24"/>
          <w:highlight w:val="none"/>
        </w:rPr>
        <w:t>四、评审及磋商</w:t>
      </w:r>
      <w:bookmarkEnd w:id="31"/>
      <w:bookmarkEnd w:id="32"/>
    </w:p>
    <w:p>
      <w:pPr>
        <w:spacing w:line="360" w:lineRule="auto"/>
        <w:ind w:firstLine="422" w:firstLineChars="200"/>
        <w:rPr>
          <w:b/>
          <w:bCs/>
          <w:color w:val="auto"/>
          <w:szCs w:val="21"/>
          <w:highlight w:val="none"/>
        </w:rPr>
      </w:pPr>
      <w:r>
        <w:rPr>
          <w:b/>
          <w:bCs/>
          <w:color w:val="auto"/>
          <w:szCs w:val="21"/>
          <w:highlight w:val="none"/>
        </w:rPr>
        <w:t>24</w:t>
      </w:r>
      <w:r>
        <w:rPr>
          <w:color w:val="auto"/>
          <w:szCs w:val="21"/>
          <w:highlight w:val="none"/>
        </w:rPr>
        <w:t>．</w:t>
      </w:r>
      <w:r>
        <w:rPr>
          <w:b/>
          <w:bCs/>
          <w:color w:val="auto"/>
          <w:szCs w:val="21"/>
          <w:highlight w:val="none"/>
        </w:rPr>
        <w:t>磋商小组成立</w:t>
      </w:r>
    </w:p>
    <w:p>
      <w:pPr>
        <w:spacing w:line="360" w:lineRule="auto"/>
        <w:ind w:firstLine="420" w:firstLineChars="200"/>
        <w:rPr>
          <w:color w:val="auto"/>
          <w:szCs w:val="21"/>
          <w:highlight w:val="none"/>
        </w:rPr>
      </w:pPr>
      <w:r>
        <w:rPr>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color w:val="auto"/>
          <w:szCs w:val="21"/>
          <w:highlight w:val="none"/>
        </w:rPr>
      </w:pPr>
      <w:r>
        <w:rPr>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2" w:firstLineChars="200"/>
        <w:rPr>
          <w:b/>
          <w:bCs/>
          <w:color w:val="auto"/>
          <w:szCs w:val="21"/>
          <w:highlight w:val="none"/>
        </w:rPr>
      </w:pPr>
      <w:r>
        <w:rPr>
          <w:b/>
          <w:bCs/>
          <w:color w:val="auto"/>
          <w:szCs w:val="21"/>
          <w:highlight w:val="none"/>
        </w:rPr>
        <w:t>25</w:t>
      </w:r>
      <w:r>
        <w:rPr>
          <w:color w:val="auto"/>
          <w:szCs w:val="21"/>
          <w:highlight w:val="none"/>
        </w:rPr>
        <w:t>．</w:t>
      </w:r>
      <w:r>
        <w:rPr>
          <w:b/>
          <w:bCs/>
          <w:color w:val="auto"/>
          <w:szCs w:val="21"/>
          <w:highlight w:val="none"/>
        </w:rPr>
        <w:t>首次响应文件的开启</w:t>
      </w:r>
    </w:p>
    <w:p>
      <w:pPr>
        <w:spacing w:line="360" w:lineRule="auto"/>
        <w:ind w:firstLine="420" w:firstLineChars="200"/>
        <w:rPr>
          <w:color w:val="auto"/>
          <w:szCs w:val="21"/>
          <w:highlight w:val="none"/>
        </w:rPr>
      </w:pPr>
      <w:r>
        <w:rPr>
          <w:color w:val="auto"/>
          <w:szCs w:val="21"/>
          <w:highlight w:val="none"/>
        </w:rPr>
        <w:t>首次响应文件由磋商小组在“供应商须知前附表”规定的时间开启。</w:t>
      </w:r>
    </w:p>
    <w:p>
      <w:pPr>
        <w:spacing w:line="360" w:lineRule="auto"/>
        <w:ind w:firstLine="422" w:firstLineChars="200"/>
        <w:rPr>
          <w:b/>
          <w:bCs/>
          <w:color w:val="auto"/>
          <w:szCs w:val="21"/>
          <w:highlight w:val="none"/>
        </w:rPr>
      </w:pPr>
      <w:r>
        <w:rPr>
          <w:b/>
          <w:bCs/>
          <w:color w:val="auto"/>
          <w:szCs w:val="21"/>
          <w:highlight w:val="none"/>
        </w:rPr>
        <w:t>26</w:t>
      </w:r>
      <w:r>
        <w:rPr>
          <w:color w:val="auto"/>
          <w:szCs w:val="21"/>
          <w:highlight w:val="none"/>
        </w:rPr>
        <w:t>．</w:t>
      </w:r>
      <w:r>
        <w:rPr>
          <w:b/>
          <w:bCs/>
          <w:color w:val="auto"/>
          <w:szCs w:val="21"/>
          <w:highlight w:val="none"/>
        </w:rPr>
        <w:t>评审程序、评审方法和评审标准</w:t>
      </w:r>
    </w:p>
    <w:p>
      <w:pPr>
        <w:spacing w:line="360" w:lineRule="auto"/>
        <w:ind w:firstLine="420" w:firstLineChars="200"/>
        <w:rPr>
          <w:color w:val="auto"/>
          <w:szCs w:val="21"/>
          <w:highlight w:val="none"/>
        </w:rPr>
      </w:pPr>
      <w:r>
        <w:rPr>
          <w:color w:val="auto"/>
          <w:szCs w:val="21"/>
          <w:highlight w:val="none"/>
        </w:rPr>
        <w:t>26.1本项目的评审方法为综合评分法。</w:t>
      </w:r>
    </w:p>
    <w:p>
      <w:pPr>
        <w:spacing w:line="360" w:lineRule="auto"/>
        <w:ind w:firstLine="420" w:firstLineChars="200"/>
        <w:rPr>
          <w:color w:val="auto"/>
          <w:szCs w:val="21"/>
          <w:highlight w:val="none"/>
        </w:rPr>
      </w:pPr>
      <w:r>
        <w:rPr>
          <w:color w:val="auto"/>
          <w:szCs w:val="21"/>
          <w:highlight w:val="none"/>
        </w:rPr>
        <w:t>26.2磋商小组按照“第四章 评审程序、评审方法和评审标准”规定的方法、评审因素、标准和程序对响应文件进行评审。</w:t>
      </w:r>
    </w:p>
    <w:p>
      <w:pPr>
        <w:spacing w:line="360" w:lineRule="auto"/>
        <w:ind w:firstLine="422" w:firstLineChars="200"/>
        <w:rPr>
          <w:b/>
          <w:bCs/>
          <w:color w:val="auto"/>
          <w:szCs w:val="21"/>
          <w:highlight w:val="none"/>
        </w:rPr>
      </w:pPr>
      <w:r>
        <w:rPr>
          <w:b/>
          <w:bCs/>
          <w:color w:val="auto"/>
          <w:szCs w:val="21"/>
          <w:highlight w:val="none"/>
        </w:rPr>
        <w:t>27</w:t>
      </w:r>
      <w:r>
        <w:rPr>
          <w:color w:val="auto"/>
          <w:szCs w:val="21"/>
          <w:highlight w:val="none"/>
        </w:rPr>
        <w:t>．</w:t>
      </w:r>
      <w:r>
        <w:rPr>
          <w:b/>
          <w:bCs/>
          <w:color w:val="auto"/>
          <w:szCs w:val="21"/>
          <w:highlight w:val="none"/>
        </w:rPr>
        <w:t>确定成交供应商及结果公告</w:t>
      </w:r>
    </w:p>
    <w:p>
      <w:pPr>
        <w:spacing w:line="360" w:lineRule="auto"/>
        <w:ind w:firstLine="420" w:firstLineChars="200"/>
        <w:rPr>
          <w:color w:val="auto"/>
          <w:szCs w:val="21"/>
          <w:highlight w:val="none"/>
        </w:rPr>
      </w:pPr>
      <w:r>
        <w:rPr>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color w:val="auto"/>
          <w:szCs w:val="21"/>
          <w:highlight w:val="none"/>
        </w:rPr>
      </w:pPr>
      <w:r>
        <w:rPr>
          <w:color w:val="auto"/>
          <w:szCs w:val="21"/>
          <w:highlight w:val="none"/>
        </w:rPr>
        <w:t>27.2采购代理机构应当在</w:t>
      </w:r>
      <w:r>
        <w:rPr>
          <w:color w:val="auto"/>
          <w:kern w:val="0"/>
          <w:szCs w:val="21"/>
          <w:highlight w:val="none"/>
        </w:rPr>
        <w:t>成交</w:t>
      </w:r>
      <w:r>
        <w:rPr>
          <w:color w:val="auto"/>
          <w:szCs w:val="21"/>
          <w:highlight w:val="none"/>
        </w:rPr>
        <w:t>供应商确定后2个工作日内，在</w:t>
      </w:r>
      <w:r>
        <w:rPr>
          <w:rFonts w:hint="eastAsia"/>
          <w:color w:val="auto"/>
          <w:szCs w:val="21"/>
          <w:highlight w:val="none"/>
        </w:rPr>
        <w:t>发布磋商公告网站</w:t>
      </w:r>
      <w:r>
        <w:rPr>
          <w:color w:val="auto"/>
          <w:szCs w:val="21"/>
          <w:highlight w:val="none"/>
        </w:rPr>
        <w:t>站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3"/>
    </w:p>
    <w:p>
      <w:pPr>
        <w:spacing w:line="360" w:lineRule="auto"/>
        <w:ind w:firstLine="420" w:firstLineChars="200"/>
        <w:rPr>
          <w:color w:val="auto"/>
          <w:szCs w:val="21"/>
          <w:highlight w:val="none"/>
        </w:rPr>
      </w:pPr>
      <w:r>
        <w:rPr>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color w:val="auto"/>
          <w:szCs w:val="21"/>
          <w:highlight w:val="none"/>
        </w:rPr>
      </w:pPr>
      <w:r>
        <w:rPr>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22" w:firstLineChars="200"/>
        <w:rPr>
          <w:b/>
          <w:bCs/>
          <w:color w:val="auto"/>
          <w:szCs w:val="21"/>
          <w:highlight w:val="none"/>
        </w:rPr>
      </w:pPr>
      <w:r>
        <w:rPr>
          <w:b/>
          <w:bCs/>
          <w:color w:val="auto"/>
          <w:szCs w:val="21"/>
          <w:highlight w:val="none"/>
        </w:rPr>
        <w:t>28</w:t>
      </w:r>
      <w:r>
        <w:rPr>
          <w:color w:val="auto"/>
          <w:szCs w:val="21"/>
          <w:highlight w:val="none"/>
        </w:rPr>
        <w:t>．</w:t>
      </w:r>
      <w:r>
        <w:rPr>
          <w:b/>
          <w:bCs/>
          <w:color w:val="auto"/>
          <w:szCs w:val="21"/>
          <w:highlight w:val="none"/>
        </w:rPr>
        <w:t>履约保证金</w:t>
      </w:r>
    </w:p>
    <w:p>
      <w:pPr>
        <w:spacing w:line="360" w:lineRule="auto"/>
        <w:ind w:firstLine="424" w:firstLineChars="202"/>
        <w:rPr>
          <w:color w:val="auto"/>
          <w:szCs w:val="21"/>
          <w:highlight w:val="none"/>
        </w:rPr>
      </w:pPr>
      <w:r>
        <w:rPr>
          <w:rFonts w:hint="eastAsia"/>
          <w:color w:val="auto"/>
          <w:szCs w:val="21"/>
          <w:highlight w:val="none"/>
        </w:rPr>
        <w:t>见</w:t>
      </w:r>
      <w:r>
        <w:rPr>
          <w:color w:val="auto"/>
          <w:szCs w:val="21"/>
          <w:highlight w:val="none"/>
        </w:rPr>
        <w:t>“</w:t>
      </w:r>
      <w:r>
        <w:rPr>
          <w:rFonts w:hint="eastAsia"/>
          <w:color w:val="auto"/>
          <w:szCs w:val="21"/>
          <w:highlight w:val="none"/>
        </w:rPr>
        <w:t>专用合同条款</w:t>
      </w:r>
      <w:r>
        <w:rPr>
          <w:color w:val="auto"/>
          <w:szCs w:val="21"/>
          <w:highlight w:val="none"/>
        </w:rPr>
        <w:t>”。</w:t>
      </w:r>
    </w:p>
    <w:p>
      <w:pPr>
        <w:spacing w:line="360" w:lineRule="auto"/>
        <w:ind w:firstLine="422" w:firstLineChars="200"/>
        <w:rPr>
          <w:b/>
          <w:bCs/>
          <w:color w:val="auto"/>
          <w:szCs w:val="21"/>
          <w:highlight w:val="none"/>
        </w:rPr>
      </w:pPr>
      <w:r>
        <w:rPr>
          <w:b/>
          <w:bCs/>
          <w:color w:val="auto"/>
          <w:szCs w:val="21"/>
          <w:highlight w:val="none"/>
        </w:rPr>
        <w:t>29</w:t>
      </w:r>
      <w:r>
        <w:rPr>
          <w:color w:val="auto"/>
          <w:szCs w:val="21"/>
          <w:highlight w:val="none"/>
        </w:rPr>
        <w:t>．</w:t>
      </w:r>
      <w:r>
        <w:rPr>
          <w:b/>
          <w:bCs/>
          <w:color w:val="auto"/>
          <w:szCs w:val="21"/>
          <w:highlight w:val="none"/>
        </w:rPr>
        <w:t>签订合同</w:t>
      </w:r>
    </w:p>
    <w:p>
      <w:pPr>
        <w:spacing w:line="360" w:lineRule="auto"/>
        <w:ind w:firstLine="424" w:firstLineChars="202"/>
        <w:rPr>
          <w:color w:val="auto"/>
          <w:szCs w:val="21"/>
          <w:highlight w:val="none"/>
        </w:rPr>
      </w:pPr>
      <w:r>
        <w:rPr>
          <w:color w:val="auto"/>
          <w:szCs w:val="21"/>
          <w:highlight w:val="none"/>
        </w:rPr>
        <w:t>29.1成交供应商在收到成交通知书后，应当在签订合同时向采购人出示相关证明材料，具体内容详见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color w:val="auto"/>
          <w:szCs w:val="21"/>
          <w:highlight w:val="none"/>
        </w:rPr>
      </w:pPr>
      <w:r>
        <w:rPr>
          <w:color w:val="auto"/>
          <w:szCs w:val="21"/>
          <w:highlight w:val="none"/>
        </w:rPr>
        <w:t>29.2 签订合同时间：按成交通知书规定的时间与采购人签订政府采购合同。</w:t>
      </w:r>
    </w:p>
    <w:p>
      <w:pPr>
        <w:spacing w:line="360" w:lineRule="auto"/>
        <w:ind w:firstLine="424" w:firstLineChars="202"/>
        <w:rPr>
          <w:color w:val="auto"/>
          <w:szCs w:val="21"/>
          <w:highlight w:val="none"/>
        </w:rPr>
      </w:pPr>
      <w:r>
        <w:rPr>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22" w:firstLineChars="200"/>
        <w:rPr>
          <w:b/>
          <w:bCs/>
          <w:color w:val="auto"/>
          <w:szCs w:val="21"/>
          <w:highlight w:val="none"/>
        </w:rPr>
      </w:pPr>
      <w:r>
        <w:rPr>
          <w:b/>
          <w:bCs/>
          <w:color w:val="auto"/>
          <w:szCs w:val="21"/>
          <w:highlight w:val="none"/>
        </w:rPr>
        <w:t>30</w:t>
      </w:r>
      <w:r>
        <w:rPr>
          <w:color w:val="auto"/>
          <w:szCs w:val="21"/>
          <w:highlight w:val="none"/>
        </w:rPr>
        <w:t>．</w:t>
      </w:r>
      <w:r>
        <w:rPr>
          <w:b/>
          <w:bCs/>
          <w:color w:val="auto"/>
          <w:szCs w:val="21"/>
          <w:highlight w:val="none"/>
        </w:rPr>
        <w:t>政府采购合同公告</w:t>
      </w:r>
    </w:p>
    <w:p>
      <w:pPr>
        <w:spacing w:line="360" w:lineRule="auto"/>
        <w:ind w:firstLine="420" w:firstLineChars="200"/>
        <w:rPr>
          <w:color w:val="auto"/>
          <w:szCs w:val="21"/>
          <w:highlight w:val="none"/>
        </w:rPr>
      </w:pPr>
      <w:r>
        <w:rPr>
          <w:color w:val="auto"/>
          <w:szCs w:val="21"/>
          <w:highlight w:val="none"/>
        </w:rPr>
        <w:t>根据《中华人民共和国政府采购法实施条例》第五十条规定，采购人应当自政府采购合同签订之日起</w:t>
      </w:r>
      <w:r>
        <w:rPr>
          <w:rFonts w:hint="eastAsia"/>
          <w:color w:val="auto"/>
          <w:szCs w:val="21"/>
          <w:highlight w:val="none"/>
        </w:rPr>
        <w:t>2</w:t>
      </w:r>
      <w:r>
        <w:rPr>
          <w:color w:val="auto"/>
          <w:szCs w:val="21"/>
          <w:highlight w:val="none"/>
        </w:rPr>
        <w:t>个工作日内，将政府采购合同在省级以上人民政府财政部门指定的媒体上公告，但政府采购合同中涉及国家秘密、商业秘密的内容除外。</w:t>
      </w:r>
    </w:p>
    <w:p>
      <w:pPr>
        <w:spacing w:line="360" w:lineRule="auto"/>
        <w:ind w:firstLine="422" w:firstLineChars="200"/>
        <w:rPr>
          <w:b/>
          <w:bCs/>
          <w:color w:val="auto"/>
          <w:szCs w:val="21"/>
          <w:highlight w:val="none"/>
        </w:rPr>
      </w:pPr>
      <w:r>
        <w:rPr>
          <w:b/>
          <w:bCs/>
          <w:color w:val="auto"/>
          <w:szCs w:val="21"/>
          <w:highlight w:val="none"/>
        </w:rPr>
        <w:t>31</w:t>
      </w:r>
      <w:r>
        <w:rPr>
          <w:color w:val="auto"/>
          <w:szCs w:val="21"/>
          <w:highlight w:val="none"/>
        </w:rPr>
        <w:t>．</w:t>
      </w:r>
      <w:r>
        <w:rPr>
          <w:b/>
          <w:bCs/>
          <w:color w:val="auto"/>
          <w:szCs w:val="21"/>
          <w:highlight w:val="none"/>
        </w:rPr>
        <w:t>询问、质疑和投诉</w:t>
      </w:r>
    </w:p>
    <w:p>
      <w:pPr>
        <w:spacing w:line="360" w:lineRule="auto"/>
        <w:ind w:firstLine="420" w:firstLineChars="200"/>
        <w:rPr>
          <w:color w:val="auto"/>
          <w:szCs w:val="21"/>
          <w:highlight w:val="none"/>
        </w:rPr>
      </w:pPr>
      <w:r>
        <w:rPr>
          <w:color w:val="auto"/>
          <w:szCs w:val="21"/>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color w:val="auto"/>
          <w:szCs w:val="21"/>
          <w:highlight w:val="none"/>
        </w:rPr>
      </w:pPr>
      <w:r>
        <w:rPr>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color w:val="auto"/>
          <w:szCs w:val="21"/>
          <w:highlight w:val="none"/>
          <w:shd w:val="clear" w:color="auto" w:fill="FFFFFF"/>
        </w:rPr>
        <w:t>接收质疑函的方式、联系部门、联系电话和通讯地址等信息详见</w:t>
      </w:r>
      <w:r>
        <w:rPr>
          <w:color w:val="auto"/>
          <w:szCs w:val="21"/>
          <w:highlight w:val="none"/>
        </w:rPr>
        <w:t>“供应商须知前附表”。具体质疑起算时间如下：</w:t>
      </w:r>
    </w:p>
    <w:p>
      <w:pPr>
        <w:spacing w:line="360" w:lineRule="auto"/>
        <w:ind w:firstLine="420" w:firstLineChars="200"/>
        <w:rPr>
          <w:color w:val="auto"/>
          <w:szCs w:val="21"/>
          <w:highlight w:val="none"/>
        </w:rPr>
      </w:pPr>
      <w:r>
        <w:rPr>
          <w:color w:val="auto"/>
          <w:szCs w:val="21"/>
          <w:highlight w:val="none"/>
        </w:rPr>
        <w:t>（1）对可以质疑的磋商文件提出质疑的，为收到磋商文件之日或者竞争性磋商公告期限届满之日；</w:t>
      </w:r>
    </w:p>
    <w:p>
      <w:pPr>
        <w:spacing w:line="360" w:lineRule="auto"/>
        <w:ind w:firstLine="420" w:firstLineChars="200"/>
        <w:rPr>
          <w:color w:val="auto"/>
          <w:szCs w:val="21"/>
          <w:highlight w:val="none"/>
        </w:rPr>
      </w:pPr>
      <w:r>
        <w:rPr>
          <w:color w:val="auto"/>
          <w:szCs w:val="21"/>
          <w:highlight w:val="none"/>
        </w:rPr>
        <w:t>（2）对采购过程提出质疑的，为各采购程序环节结束之日；</w:t>
      </w:r>
    </w:p>
    <w:p>
      <w:pPr>
        <w:spacing w:line="360" w:lineRule="auto"/>
        <w:ind w:firstLine="420" w:firstLineChars="200"/>
        <w:rPr>
          <w:color w:val="auto"/>
          <w:szCs w:val="21"/>
          <w:highlight w:val="none"/>
        </w:rPr>
      </w:pPr>
      <w:r>
        <w:rPr>
          <w:color w:val="auto"/>
          <w:szCs w:val="21"/>
          <w:highlight w:val="none"/>
        </w:rPr>
        <w:t>（3）对成交结果提出质疑的，为成交结果公告期限届满之日。</w:t>
      </w:r>
    </w:p>
    <w:p>
      <w:pPr>
        <w:spacing w:line="360" w:lineRule="auto"/>
        <w:ind w:firstLine="420" w:firstLineChars="200"/>
        <w:rPr>
          <w:color w:val="auto"/>
          <w:szCs w:val="21"/>
          <w:highlight w:val="none"/>
        </w:rPr>
      </w:pPr>
      <w:r>
        <w:rPr>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color w:val="auto"/>
          <w:szCs w:val="21"/>
          <w:highlight w:val="none"/>
        </w:rPr>
      </w:pPr>
      <w:r>
        <w:rPr>
          <w:color w:val="auto"/>
          <w:szCs w:val="21"/>
          <w:highlight w:val="none"/>
        </w:rPr>
        <w:t>31.4 供应商提出质疑应当提交质疑函和必要的证明材料，针对同一采购程序环节的质疑必须在法定质疑期内一次性提出。质疑函应当包括下列内容</w:t>
      </w:r>
      <w:r>
        <w:rPr>
          <w:bCs/>
          <w:color w:val="auto"/>
          <w:szCs w:val="21"/>
          <w:highlight w:val="none"/>
        </w:rPr>
        <w:t>（质疑函格式后附）</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（1）供应商的姓名或者名称、地址、邮编、联系人及联系电话；</w:t>
      </w:r>
    </w:p>
    <w:p>
      <w:pPr>
        <w:spacing w:line="360" w:lineRule="auto"/>
        <w:ind w:firstLine="420" w:firstLineChars="200"/>
        <w:rPr>
          <w:color w:val="auto"/>
          <w:szCs w:val="21"/>
          <w:highlight w:val="none"/>
        </w:rPr>
      </w:pPr>
      <w:r>
        <w:rPr>
          <w:color w:val="auto"/>
          <w:szCs w:val="21"/>
          <w:highlight w:val="none"/>
        </w:rPr>
        <w:t>（2）质疑项目的名称、编号；</w:t>
      </w:r>
    </w:p>
    <w:p>
      <w:pPr>
        <w:spacing w:line="360" w:lineRule="auto"/>
        <w:ind w:firstLine="420" w:firstLineChars="200"/>
        <w:rPr>
          <w:color w:val="auto"/>
          <w:szCs w:val="21"/>
          <w:highlight w:val="none"/>
        </w:rPr>
      </w:pPr>
      <w:r>
        <w:rPr>
          <w:color w:val="auto"/>
          <w:szCs w:val="21"/>
          <w:highlight w:val="none"/>
        </w:rPr>
        <w:t>（3）具体、明确的质疑事项和与质疑事项相关的请求；</w:t>
      </w:r>
    </w:p>
    <w:p>
      <w:pPr>
        <w:spacing w:line="360" w:lineRule="auto"/>
        <w:ind w:firstLine="420" w:firstLineChars="200"/>
        <w:rPr>
          <w:color w:val="auto"/>
          <w:szCs w:val="21"/>
          <w:highlight w:val="none"/>
        </w:rPr>
      </w:pPr>
      <w:r>
        <w:rPr>
          <w:color w:val="auto"/>
          <w:szCs w:val="21"/>
          <w:highlight w:val="none"/>
        </w:rPr>
        <w:t>（4）事实依据；</w:t>
      </w:r>
    </w:p>
    <w:p>
      <w:pPr>
        <w:spacing w:line="360" w:lineRule="auto"/>
        <w:ind w:firstLine="420" w:firstLineChars="200"/>
        <w:rPr>
          <w:color w:val="auto"/>
          <w:szCs w:val="21"/>
          <w:highlight w:val="none"/>
        </w:rPr>
      </w:pPr>
      <w:r>
        <w:rPr>
          <w:color w:val="auto"/>
          <w:szCs w:val="21"/>
          <w:highlight w:val="none"/>
        </w:rPr>
        <w:t>（5）必要的法律依据；</w:t>
      </w:r>
    </w:p>
    <w:p>
      <w:pPr>
        <w:spacing w:line="360" w:lineRule="auto"/>
        <w:ind w:firstLine="420" w:firstLineChars="200"/>
        <w:rPr>
          <w:color w:val="auto"/>
          <w:szCs w:val="21"/>
          <w:highlight w:val="none"/>
        </w:rPr>
      </w:pPr>
      <w:r>
        <w:rPr>
          <w:color w:val="auto"/>
          <w:szCs w:val="21"/>
          <w:highlight w:val="none"/>
        </w:rPr>
        <w:t>（6）提出质疑的日期。</w:t>
      </w:r>
    </w:p>
    <w:p>
      <w:pPr>
        <w:spacing w:line="360" w:lineRule="auto"/>
        <w:ind w:firstLine="420" w:firstLineChars="200"/>
        <w:rPr>
          <w:color w:val="auto"/>
          <w:szCs w:val="21"/>
          <w:highlight w:val="none"/>
        </w:rPr>
      </w:pPr>
      <w:r>
        <w:rPr>
          <w:color w:val="auto"/>
          <w:szCs w:val="21"/>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color w:val="auto"/>
          <w:szCs w:val="21"/>
          <w:highlight w:val="none"/>
        </w:rPr>
      </w:pPr>
      <w:r>
        <w:rPr>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color w:val="auto"/>
          <w:szCs w:val="21"/>
          <w:highlight w:val="none"/>
        </w:rPr>
      </w:pPr>
      <w:r>
        <w:rPr>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color w:val="auto"/>
          <w:szCs w:val="21"/>
          <w:highlight w:val="none"/>
        </w:rPr>
      </w:pPr>
      <w:r>
        <w:rPr>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color w:val="auto"/>
          <w:szCs w:val="21"/>
          <w:highlight w:val="none"/>
        </w:rPr>
      </w:pPr>
      <w:r>
        <w:rPr>
          <w:color w:val="auto"/>
          <w:szCs w:val="21"/>
          <w:highlight w:val="none"/>
        </w:rPr>
        <w:t>质疑答复导致成交结果改变的，采购人或者采购代理机构应当将有关情况书面报告本级财政部门。</w:t>
      </w:r>
    </w:p>
    <w:p>
      <w:pPr>
        <w:spacing w:line="360" w:lineRule="auto"/>
        <w:ind w:firstLine="420" w:firstLineChars="200"/>
        <w:rPr>
          <w:color w:val="auto"/>
          <w:szCs w:val="21"/>
          <w:highlight w:val="none"/>
        </w:rPr>
      </w:pPr>
      <w:r>
        <w:rPr>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22" w:firstLineChars="200"/>
        <w:rPr>
          <w:b/>
          <w:bCs/>
          <w:color w:val="auto"/>
          <w:szCs w:val="21"/>
          <w:highlight w:val="none"/>
        </w:rPr>
      </w:pPr>
      <w:r>
        <w:rPr>
          <w:b/>
          <w:bCs/>
          <w:color w:val="auto"/>
          <w:szCs w:val="21"/>
          <w:highlight w:val="none"/>
        </w:rPr>
        <w:t>32</w:t>
      </w:r>
      <w:r>
        <w:rPr>
          <w:color w:val="auto"/>
          <w:szCs w:val="21"/>
          <w:highlight w:val="none"/>
        </w:rPr>
        <w:t>．</w:t>
      </w:r>
      <w:r>
        <w:rPr>
          <w:b/>
          <w:bCs/>
          <w:color w:val="auto"/>
          <w:szCs w:val="21"/>
          <w:highlight w:val="none"/>
        </w:rPr>
        <w:t>其他内容</w:t>
      </w:r>
    </w:p>
    <w:p>
      <w:pPr>
        <w:tabs>
          <w:tab w:val="left" w:pos="2835"/>
        </w:tabs>
        <w:spacing w:line="360" w:lineRule="auto"/>
        <w:ind w:firstLine="420" w:firstLineChars="200"/>
        <w:rPr>
          <w:color w:val="auto"/>
          <w:szCs w:val="21"/>
          <w:highlight w:val="none"/>
        </w:rPr>
      </w:pPr>
      <w:r>
        <w:rPr>
          <w:color w:val="auto"/>
          <w:szCs w:val="21"/>
          <w:highlight w:val="none"/>
        </w:rPr>
        <w:t>32.1代理服务收费标准及缴费账户详见“供应商须知前附表”，供应商为联合体的，可以由联合体中的一方或者多方共同交纳代理服务费。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color w:val="auto"/>
          <w:szCs w:val="21"/>
          <w:highlight w:val="none"/>
        </w:rPr>
      </w:pPr>
      <w:r>
        <w:rPr>
          <w:color w:val="auto"/>
          <w:szCs w:val="21"/>
          <w:highlight w:val="none"/>
        </w:rPr>
        <w:t>32.2代理服务费收费计算标准：</w:t>
      </w:r>
    </w:p>
    <w:tbl>
      <w:tblPr>
        <w:tblStyle w:val="21"/>
        <w:tblW w:w="97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061"/>
        <w:gridCol w:w="210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72" w:type="dxa"/>
            <w:tcBorders>
              <w:tl2br w:val="single" w:color="auto" w:sz="4" w:space="0"/>
            </w:tcBorders>
            <w:noWrap/>
            <w:vAlign w:val="center"/>
          </w:tcPr>
          <w:p>
            <w:pPr>
              <w:spacing w:line="320" w:lineRule="exact"/>
              <w:rPr>
                <w:color w:val="auto"/>
                <w:szCs w:val="21"/>
                <w:highlight w:val="none"/>
              </w:rPr>
            </w:pPr>
            <w:r>
              <w:rPr>
                <w:color w:val="auto"/>
                <w:szCs w:val="21"/>
                <w:highlight w:val="none"/>
              </w:rPr>
              <w:t xml:space="preserve">                          费率</w:t>
            </w:r>
          </w:p>
          <w:p>
            <w:pPr>
              <w:spacing w:line="320" w:lineRule="exact"/>
              <w:rPr>
                <w:color w:val="auto"/>
                <w:szCs w:val="21"/>
                <w:highlight w:val="none"/>
              </w:rPr>
            </w:pPr>
            <w:r>
              <w:rPr>
                <w:color w:val="auto"/>
                <w:szCs w:val="21"/>
                <w:highlight w:val="none"/>
              </w:rPr>
              <w:t>金额</w:t>
            </w:r>
          </w:p>
        </w:tc>
        <w:tc>
          <w:tcPr>
            <w:tcW w:w="2061" w:type="dxa"/>
            <w:noWrap/>
            <w:vAlign w:val="center"/>
          </w:tcPr>
          <w:p>
            <w:pPr>
              <w:spacing w:line="320" w:lineRule="exact"/>
              <w:ind w:firstLine="105" w:firstLineChars="50"/>
              <w:rPr>
                <w:color w:val="auto"/>
                <w:szCs w:val="21"/>
                <w:highlight w:val="none"/>
              </w:rPr>
            </w:pPr>
            <w:r>
              <w:rPr>
                <w:color w:val="auto"/>
                <w:szCs w:val="21"/>
                <w:highlight w:val="none"/>
              </w:rPr>
              <w:t>货物类</w:t>
            </w:r>
          </w:p>
        </w:tc>
        <w:tc>
          <w:tcPr>
            <w:tcW w:w="2100" w:type="dxa"/>
            <w:noWrap/>
            <w:vAlign w:val="center"/>
          </w:tcPr>
          <w:p>
            <w:pPr>
              <w:spacing w:line="320" w:lineRule="exact"/>
              <w:rPr>
                <w:color w:val="auto"/>
                <w:szCs w:val="21"/>
                <w:highlight w:val="none"/>
              </w:rPr>
            </w:pPr>
            <w:r>
              <w:rPr>
                <w:color w:val="auto"/>
                <w:szCs w:val="21"/>
                <w:highlight w:val="none"/>
              </w:rPr>
              <w:t>服务类</w:t>
            </w:r>
          </w:p>
        </w:tc>
        <w:tc>
          <w:tcPr>
            <w:tcW w:w="2085" w:type="dxa"/>
            <w:noWrap/>
            <w:vAlign w:val="center"/>
          </w:tcPr>
          <w:p>
            <w:pPr>
              <w:spacing w:line="320" w:lineRule="exact"/>
              <w:rPr>
                <w:color w:val="auto"/>
                <w:szCs w:val="21"/>
                <w:highlight w:val="none"/>
              </w:rPr>
            </w:pPr>
            <w:r>
              <w:rPr>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100万元以下</w:t>
            </w:r>
          </w:p>
        </w:tc>
        <w:tc>
          <w:tcPr>
            <w:tcW w:w="2061" w:type="dxa"/>
            <w:noWrap/>
            <w:vAlign w:val="center"/>
          </w:tcPr>
          <w:p>
            <w:pPr>
              <w:spacing w:line="320" w:lineRule="exact"/>
              <w:rPr>
                <w:color w:val="auto"/>
                <w:szCs w:val="21"/>
                <w:highlight w:val="none"/>
              </w:rPr>
            </w:pPr>
            <w:r>
              <w:rPr>
                <w:color w:val="auto"/>
                <w:kern w:val="0"/>
                <w:szCs w:val="21"/>
                <w:highlight w:val="none"/>
              </w:rPr>
              <w:t xml:space="preserve">  1.5%                </w:t>
            </w:r>
          </w:p>
        </w:tc>
        <w:tc>
          <w:tcPr>
            <w:tcW w:w="2100" w:type="dxa"/>
            <w:noWrap/>
            <w:vAlign w:val="center"/>
          </w:tcPr>
          <w:p>
            <w:pPr>
              <w:spacing w:line="320" w:lineRule="exact"/>
              <w:ind w:firstLine="210" w:firstLineChars="100"/>
              <w:rPr>
                <w:color w:val="auto"/>
                <w:szCs w:val="21"/>
                <w:highlight w:val="none"/>
              </w:rPr>
            </w:pPr>
            <w:r>
              <w:rPr>
                <w:color w:val="auto"/>
                <w:kern w:val="0"/>
                <w:szCs w:val="21"/>
                <w:highlight w:val="none"/>
              </w:rPr>
              <w:t>1.5%</w:t>
            </w:r>
          </w:p>
        </w:tc>
        <w:tc>
          <w:tcPr>
            <w:tcW w:w="2085" w:type="dxa"/>
            <w:noWrap/>
            <w:vAlign w:val="center"/>
          </w:tcPr>
          <w:p>
            <w:pPr>
              <w:spacing w:line="320" w:lineRule="exact"/>
              <w:ind w:firstLine="210" w:firstLineChars="100"/>
              <w:rPr>
                <w:color w:val="auto"/>
                <w:szCs w:val="21"/>
                <w:highlight w:val="none"/>
              </w:rPr>
            </w:pPr>
            <w:r>
              <w:rPr>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100～500万元</w:t>
            </w:r>
          </w:p>
        </w:tc>
        <w:tc>
          <w:tcPr>
            <w:tcW w:w="2061" w:type="dxa"/>
            <w:noWrap/>
            <w:vAlign w:val="center"/>
          </w:tcPr>
          <w:p>
            <w:pPr>
              <w:spacing w:line="320" w:lineRule="exact"/>
              <w:ind w:firstLine="210" w:firstLineChars="100"/>
              <w:rPr>
                <w:color w:val="auto"/>
                <w:szCs w:val="21"/>
                <w:highlight w:val="none"/>
              </w:rPr>
            </w:pPr>
            <w:r>
              <w:rPr>
                <w:color w:val="auto"/>
                <w:kern w:val="0"/>
                <w:szCs w:val="21"/>
                <w:highlight w:val="none"/>
              </w:rPr>
              <w:t xml:space="preserve">1.1%                 </w:t>
            </w:r>
          </w:p>
        </w:tc>
        <w:tc>
          <w:tcPr>
            <w:tcW w:w="2100" w:type="dxa"/>
            <w:noWrap/>
            <w:vAlign w:val="center"/>
          </w:tcPr>
          <w:p>
            <w:pPr>
              <w:spacing w:line="320" w:lineRule="exact"/>
              <w:ind w:firstLine="210" w:firstLineChars="100"/>
              <w:rPr>
                <w:color w:val="auto"/>
                <w:szCs w:val="21"/>
                <w:highlight w:val="none"/>
              </w:rPr>
            </w:pPr>
            <w:r>
              <w:rPr>
                <w:color w:val="auto"/>
                <w:kern w:val="0"/>
                <w:szCs w:val="21"/>
                <w:highlight w:val="none"/>
              </w:rPr>
              <w:t>0.8%</w:t>
            </w:r>
          </w:p>
        </w:tc>
        <w:tc>
          <w:tcPr>
            <w:tcW w:w="2085" w:type="dxa"/>
            <w:noWrap/>
            <w:vAlign w:val="center"/>
          </w:tcPr>
          <w:p>
            <w:pPr>
              <w:spacing w:line="320" w:lineRule="exact"/>
              <w:ind w:firstLine="210" w:firstLineChars="100"/>
              <w:rPr>
                <w:color w:val="auto"/>
                <w:szCs w:val="21"/>
                <w:highlight w:val="none"/>
              </w:rPr>
            </w:pPr>
            <w:r>
              <w:rPr>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500～1000万元</w:t>
            </w:r>
          </w:p>
        </w:tc>
        <w:tc>
          <w:tcPr>
            <w:tcW w:w="2061" w:type="dxa"/>
            <w:noWrap/>
            <w:vAlign w:val="center"/>
          </w:tcPr>
          <w:p>
            <w:pPr>
              <w:spacing w:line="320" w:lineRule="exact"/>
              <w:rPr>
                <w:color w:val="auto"/>
                <w:szCs w:val="21"/>
                <w:highlight w:val="none"/>
              </w:rPr>
            </w:pPr>
            <w:r>
              <w:rPr>
                <w:color w:val="auto"/>
                <w:kern w:val="0"/>
                <w:szCs w:val="21"/>
                <w:highlight w:val="none"/>
              </w:rPr>
              <w:t xml:space="preserve">  0.8%                </w:t>
            </w:r>
          </w:p>
        </w:tc>
        <w:tc>
          <w:tcPr>
            <w:tcW w:w="2100" w:type="dxa"/>
            <w:noWrap/>
            <w:vAlign w:val="center"/>
          </w:tcPr>
          <w:p>
            <w:pPr>
              <w:spacing w:line="320" w:lineRule="exact"/>
              <w:ind w:firstLine="210" w:firstLineChars="100"/>
              <w:rPr>
                <w:color w:val="auto"/>
                <w:szCs w:val="21"/>
                <w:highlight w:val="none"/>
              </w:rPr>
            </w:pPr>
            <w:r>
              <w:rPr>
                <w:color w:val="auto"/>
                <w:kern w:val="0"/>
                <w:szCs w:val="21"/>
                <w:highlight w:val="none"/>
              </w:rPr>
              <w:t>0.45%</w:t>
            </w:r>
          </w:p>
        </w:tc>
        <w:tc>
          <w:tcPr>
            <w:tcW w:w="2085" w:type="dxa"/>
            <w:noWrap/>
            <w:vAlign w:val="center"/>
          </w:tcPr>
          <w:p>
            <w:pPr>
              <w:spacing w:line="320" w:lineRule="exact"/>
              <w:ind w:firstLine="210" w:firstLineChars="100"/>
              <w:rPr>
                <w:color w:val="auto"/>
                <w:szCs w:val="21"/>
                <w:highlight w:val="none"/>
              </w:rPr>
            </w:pPr>
            <w:r>
              <w:rPr>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1000～5000万元</w:t>
            </w:r>
          </w:p>
        </w:tc>
        <w:tc>
          <w:tcPr>
            <w:tcW w:w="2061" w:type="dxa"/>
            <w:noWrap/>
            <w:vAlign w:val="center"/>
          </w:tcPr>
          <w:p>
            <w:pPr>
              <w:spacing w:line="320" w:lineRule="exact"/>
              <w:ind w:firstLine="210" w:firstLineChars="100"/>
              <w:rPr>
                <w:color w:val="auto"/>
                <w:szCs w:val="21"/>
                <w:highlight w:val="none"/>
              </w:rPr>
            </w:pPr>
            <w:r>
              <w:rPr>
                <w:color w:val="auto"/>
                <w:kern w:val="0"/>
                <w:szCs w:val="21"/>
                <w:highlight w:val="none"/>
              </w:rPr>
              <w:t xml:space="preserve">0.5%                </w:t>
            </w:r>
          </w:p>
        </w:tc>
        <w:tc>
          <w:tcPr>
            <w:tcW w:w="2100" w:type="dxa"/>
            <w:noWrap/>
            <w:vAlign w:val="center"/>
          </w:tcPr>
          <w:p>
            <w:pPr>
              <w:spacing w:line="320" w:lineRule="exact"/>
              <w:ind w:firstLine="210" w:firstLineChars="100"/>
              <w:rPr>
                <w:color w:val="auto"/>
                <w:szCs w:val="21"/>
                <w:highlight w:val="none"/>
              </w:rPr>
            </w:pPr>
            <w:r>
              <w:rPr>
                <w:color w:val="auto"/>
                <w:kern w:val="0"/>
                <w:szCs w:val="21"/>
                <w:highlight w:val="none"/>
              </w:rPr>
              <w:t>0.25%</w:t>
            </w:r>
          </w:p>
        </w:tc>
        <w:tc>
          <w:tcPr>
            <w:tcW w:w="2085" w:type="dxa"/>
            <w:noWrap/>
            <w:vAlign w:val="center"/>
          </w:tcPr>
          <w:p>
            <w:pPr>
              <w:spacing w:line="320" w:lineRule="exact"/>
              <w:ind w:firstLine="210" w:firstLineChars="100"/>
              <w:rPr>
                <w:color w:val="auto"/>
                <w:szCs w:val="21"/>
                <w:highlight w:val="none"/>
              </w:rPr>
            </w:pPr>
            <w:r>
              <w:rPr>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5000万元～1亿元</w:t>
            </w:r>
          </w:p>
        </w:tc>
        <w:tc>
          <w:tcPr>
            <w:tcW w:w="2061" w:type="dxa"/>
            <w:noWrap/>
            <w:vAlign w:val="center"/>
          </w:tcPr>
          <w:p>
            <w:pPr>
              <w:spacing w:line="320" w:lineRule="exact"/>
              <w:ind w:firstLine="210" w:firstLineChars="100"/>
              <w:rPr>
                <w:color w:val="auto"/>
                <w:szCs w:val="21"/>
                <w:highlight w:val="none"/>
              </w:rPr>
            </w:pPr>
            <w:r>
              <w:rPr>
                <w:color w:val="auto"/>
                <w:kern w:val="0"/>
                <w:szCs w:val="21"/>
                <w:highlight w:val="none"/>
              </w:rPr>
              <w:t xml:space="preserve">0.25%                 </w:t>
            </w:r>
          </w:p>
        </w:tc>
        <w:tc>
          <w:tcPr>
            <w:tcW w:w="2100" w:type="dxa"/>
            <w:noWrap/>
            <w:vAlign w:val="center"/>
          </w:tcPr>
          <w:p>
            <w:pPr>
              <w:spacing w:line="320" w:lineRule="exact"/>
              <w:ind w:firstLine="210" w:firstLineChars="100"/>
              <w:rPr>
                <w:color w:val="auto"/>
                <w:szCs w:val="21"/>
                <w:highlight w:val="none"/>
              </w:rPr>
            </w:pPr>
            <w:r>
              <w:rPr>
                <w:color w:val="auto"/>
                <w:kern w:val="0"/>
                <w:szCs w:val="21"/>
                <w:highlight w:val="none"/>
              </w:rPr>
              <w:t>0.1%</w:t>
            </w:r>
          </w:p>
        </w:tc>
        <w:tc>
          <w:tcPr>
            <w:tcW w:w="2085" w:type="dxa"/>
            <w:noWrap/>
            <w:vAlign w:val="center"/>
          </w:tcPr>
          <w:p>
            <w:pPr>
              <w:spacing w:line="320" w:lineRule="exact"/>
              <w:ind w:firstLine="210" w:firstLineChars="100"/>
              <w:rPr>
                <w:color w:val="auto"/>
                <w:szCs w:val="21"/>
                <w:highlight w:val="none"/>
              </w:rPr>
            </w:pPr>
            <w:r>
              <w:rPr>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1～5亿元</w:t>
            </w:r>
          </w:p>
        </w:tc>
        <w:tc>
          <w:tcPr>
            <w:tcW w:w="2061" w:type="dxa"/>
            <w:noWrap/>
            <w:vAlign w:val="center"/>
          </w:tcPr>
          <w:p>
            <w:pPr>
              <w:spacing w:line="320" w:lineRule="exact"/>
              <w:ind w:firstLine="210" w:firstLineChars="100"/>
              <w:rPr>
                <w:color w:val="auto"/>
                <w:szCs w:val="21"/>
                <w:highlight w:val="none"/>
              </w:rPr>
            </w:pPr>
            <w:r>
              <w:rPr>
                <w:color w:val="auto"/>
                <w:szCs w:val="21"/>
                <w:highlight w:val="none"/>
              </w:rPr>
              <w:t>0.05%</w:t>
            </w:r>
          </w:p>
        </w:tc>
        <w:tc>
          <w:tcPr>
            <w:tcW w:w="2100" w:type="dxa"/>
            <w:noWrap/>
            <w:vAlign w:val="center"/>
          </w:tcPr>
          <w:p>
            <w:pPr>
              <w:spacing w:line="320" w:lineRule="exact"/>
              <w:rPr>
                <w:color w:val="auto"/>
                <w:szCs w:val="21"/>
                <w:highlight w:val="none"/>
              </w:rPr>
            </w:pPr>
            <w:r>
              <w:rPr>
                <w:color w:val="auto"/>
                <w:szCs w:val="21"/>
                <w:highlight w:val="none"/>
              </w:rPr>
              <w:t xml:space="preserve">  0.05%</w:t>
            </w:r>
          </w:p>
        </w:tc>
        <w:tc>
          <w:tcPr>
            <w:tcW w:w="2085" w:type="dxa"/>
            <w:noWrap/>
            <w:vAlign w:val="center"/>
          </w:tcPr>
          <w:p>
            <w:pPr>
              <w:spacing w:line="320" w:lineRule="exact"/>
              <w:rPr>
                <w:color w:val="auto"/>
                <w:szCs w:val="21"/>
                <w:highlight w:val="none"/>
              </w:rPr>
            </w:pPr>
            <w:r>
              <w:rPr>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5～10亿元</w:t>
            </w:r>
          </w:p>
        </w:tc>
        <w:tc>
          <w:tcPr>
            <w:tcW w:w="2061" w:type="dxa"/>
            <w:noWrap/>
            <w:vAlign w:val="center"/>
          </w:tcPr>
          <w:p>
            <w:pPr>
              <w:spacing w:line="320" w:lineRule="exact"/>
              <w:ind w:firstLine="105" w:firstLineChars="50"/>
              <w:rPr>
                <w:color w:val="auto"/>
                <w:szCs w:val="21"/>
                <w:highlight w:val="none"/>
              </w:rPr>
            </w:pPr>
            <w:r>
              <w:rPr>
                <w:color w:val="auto"/>
                <w:szCs w:val="21"/>
                <w:highlight w:val="none"/>
              </w:rPr>
              <w:t>0.035%</w:t>
            </w:r>
          </w:p>
        </w:tc>
        <w:tc>
          <w:tcPr>
            <w:tcW w:w="2100" w:type="dxa"/>
            <w:noWrap/>
            <w:vAlign w:val="center"/>
          </w:tcPr>
          <w:p>
            <w:pPr>
              <w:spacing w:line="320" w:lineRule="exact"/>
              <w:rPr>
                <w:color w:val="auto"/>
                <w:szCs w:val="21"/>
                <w:highlight w:val="none"/>
              </w:rPr>
            </w:pPr>
            <w:r>
              <w:rPr>
                <w:color w:val="auto"/>
                <w:szCs w:val="21"/>
                <w:highlight w:val="none"/>
              </w:rPr>
              <w:t xml:space="preserve">  0.035%</w:t>
            </w:r>
          </w:p>
        </w:tc>
        <w:tc>
          <w:tcPr>
            <w:tcW w:w="2085" w:type="dxa"/>
            <w:noWrap/>
            <w:vAlign w:val="center"/>
          </w:tcPr>
          <w:p>
            <w:pPr>
              <w:spacing w:line="320" w:lineRule="exact"/>
              <w:ind w:firstLine="105" w:firstLineChars="50"/>
              <w:rPr>
                <w:color w:val="auto"/>
                <w:szCs w:val="21"/>
                <w:highlight w:val="none"/>
              </w:rPr>
            </w:pPr>
            <w:r>
              <w:rPr>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10～50亿元</w:t>
            </w:r>
          </w:p>
        </w:tc>
        <w:tc>
          <w:tcPr>
            <w:tcW w:w="2061" w:type="dxa"/>
            <w:noWrap/>
            <w:vAlign w:val="center"/>
          </w:tcPr>
          <w:p>
            <w:pPr>
              <w:spacing w:line="320" w:lineRule="exact"/>
              <w:ind w:firstLine="105" w:firstLineChars="50"/>
              <w:rPr>
                <w:color w:val="auto"/>
                <w:szCs w:val="21"/>
                <w:highlight w:val="none"/>
              </w:rPr>
            </w:pPr>
            <w:r>
              <w:rPr>
                <w:color w:val="auto"/>
                <w:szCs w:val="21"/>
                <w:highlight w:val="none"/>
              </w:rPr>
              <w:t>0.008%</w:t>
            </w:r>
          </w:p>
        </w:tc>
        <w:tc>
          <w:tcPr>
            <w:tcW w:w="2100" w:type="dxa"/>
            <w:noWrap/>
            <w:vAlign w:val="center"/>
          </w:tcPr>
          <w:p>
            <w:pPr>
              <w:spacing w:line="320" w:lineRule="exact"/>
              <w:ind w:firstLine="210" w:firstLineChars="100"/>
              <w:rPr>
                <w:color w:val="auto"/>
                <w:szCs w:val="21"/>
                <w:highlight w:val="none"/>
              </w:rPr>
            </w:pPr>
            <w:r>
              <w:rPr>
                <w:color w:val="auto"/>
                <w:szCs w:val="21"/>
                <w:highlight w:val="none"/>
              </w:rPr>
              <w:t>0.008%</w:t>
            </w:r>
          </w:p>
        </w:tc>
        <w:tc>
          <w:tcPr>
            <w:tcW w:w="2085" w:type="dxa"/>
            <w:noWrap/>
            <w:vAlign w:val="center"/>
          </w:tcPr>
          <w:p>
            <w:pPr>
              <w:spacing w:line="320" w:lineRule="exact"/>
              <w:ind w:firstLine="105" w:firstLineChars="50"/>
              <w:rPr>
                <w:color w:val="auto"/>
                <w:szCs w:val="21"/>
                <w:highlight w:val="none"/>
              </w:rPr>
            </w:pPr>
            <w:r>
              <w:rPr>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50～100亿元</w:t>
            </w:r>
          </w:p>
        </w:tc>
        <w:tc>
          <w:tcPr>
            <w:tcW w:w="2061" w:type="dxa"/>
            <w:noWrap/>
            <w:vAlign w:val="center"/>
          </w:tcPr>
          <w:p>
            <w:pPr>
              <w:spacing w:line="320" w:lineRule="exact"/>
              <w:rPr>
                <w:color w:val="auto"/>
                <w:szCs w:val="21"/>
                <w:highlight w:val="none"/>
              </w:rPr>
            </w:pPr>
            <w:r>
              <w:rPr>
                <w:color w:val="auto"/>
                <w:szCs w:val="21"/>
                <w:highlight w:val="none"/>
              </w:rPr>
              <w:t xml:space="preserve"> 0.006%</w:t>
            </w:r>
          </w:p>
        </w:tc>
        <w:tc>
          <w:tcPr>
            <w:tcW w:w="2100" w:type="dxa"/>
            <w:noWrap/>
            <w:vAlign w:val="center"/>
          </w:tcPr>
          <w:p>
            <w:pPr>
              <w:spacing w:line="320" w:lineRule="exact"/>
              <w:ind w:firstLine="210" w:firstLineChars="100"/>
              <w:rPr>
                <w:color w:val="auto"/>
                <w:szCs w:val="21"/>
                <w:highlight w:val="none"/>
              </w:rPr>
            </w:pPr>
            <w:r>
              <w:rPr>
                <w:color w:val="auto"/>
                <w:szCs w:val="21"/>
                <w:highlight w:val="none"/>
              </w:rPr>
              <w:t>0.006%</w:t>
            </w:r>
          </w:p>
        </w:tc>
        <w:tc>
          <w:tcPr>
            <w:tcW w:w="2085" w:type="dxa"/>
            <w:noWrap/>
            <w:vAlign w:val="center"/>
          </w:tcPr>
          <w:p>
            <w:pPr>
              <w:spacing w:line="320" w:lineRule="exact"/>
              <w:ind w:firstLine="105" w:firstLineChars="50"/>
              <w:rPr>
                <w:color w:val="auto"/>
                <w:szCs w:val="21"/>
                <w:highlight w:val="none"/>
              </w:rPr>
            </w:pPr>
            <w:r>
              <w:rPr>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72" w:type="dxa"/>
            <w:noWrap/>
            <w:vAlign w:val="center"/>
          </w:tcPr>
          <w:p>
            <w:pPr>
              <w:spacing w:line="320" w:lineRule="exact"/>
              <w:rPr>
                <w:color w:val="auto"/>
                <w:szCs w:val="21"/>
                <w:highlight w:val="none"/>
              </w:rPr>
            </w:pPr>
            <w:r>
              <w:rPr>
                <w:color w:val="auto"/>
                <w:szCs w:val="21"/>
                <w:highlight w:val="none"/>
              </w:rPr>
              <w:t>100亿以上</w:t>
            </w:r>
          </w:p>
        </w:tc>
        <w:tc>
          <w:tcPr>
            <w:tcW w:w="2061" w:type="dxa"/>
            <w:noWrap/>
            <w:vAlign w:val="center"/>
          </w:tcPr>
          <w:p>
            <w:pPr>
              <w:spacing w:line="320" w:lineRule="exact"/>
              <w:rPr>
                <w:color w:val="auto"/>
                <w:szCs w:val="21"/>
                <w:highlight w:val="none"/>
              </w:rPr>
            </w:pPr>
            <w:r>
              <w:rPr>
                <w:color w:val="auto"/>
                <w:szCs w:val="21"/>
                <w:highlight w:val="none"/>
              </w:rPr>
              <w:t xml:space="preserve"> 0.004%</w:t>
            </w:r>
          </w:p>
        </w:tc>
        <w:tc>
          <w:tcPr>
            <w:tcW w:w="2100" w:type="dxa"/>
            <w:noWrap/>
            <w:vAlign w:val="center"/>
          </w:tcPr>
          <w:p>
            <w:pPr>
              <w:spacing w:line="320" w:lineRule="exact"/>
              <w:ind w:firstLine="210" w:firstLineChars="100"/>
              <w:rPr>
                <w:color w:val="auto"/>
                <w:szCs w:val="21"/>
                <w:highlight w:val="none"/>
              </w:rPr>
            </w:pPr>
            <w:r>
              <w:rPr>
                <w:color w:val="auto"/>
                <w:szCs w:val="21"/>
                <w:highlight w:val="none"/>
              </w:rPr>
              <w:t>0.004%</w:t>
            </w:r>
          </w:p>
        </w:tc>
        <w:tc>
          <w:tcPr>
            <w:tcW w:w="2085" w:type="dxa"/>
            <w:noWrap/>
            <w:vAlign w:val="center"/>
          </w:tcPr>
          <w:p>
            <w:pPr>
              <w:spacing w:line="320" w:lineRule="exact"/>
              <w:ind w:firstLine="105" w:firstLineChars="50"/>
              <w:rPr>
                <w:color w:val="auto"/>
                <w:szCs w:val="21"/>
                <w:highlight w:val="none"/>
              </w:rPr>
            </w:pPr>
            <w:r>
              <w:rPr>
                <w:color w:val="auto"/>
                <w:szCs w:val="21"/>
                <w:highlight w:val="none"/>
              </w:rPr>
              <w:t>0.004%</w:t>
            </w:r>
          </w:p>
        </w:tc>
      </w:tr>
    </w:tbl>
    <w:p>
      <w:pPr>
        <w:spacing w:before="60" w:line="360" w:lineRule="auto"/>
        <w:ind w:firstLine="420" w:firstLineChars="200"/>
        <w:rPr>
          <w:color w:val="auto"/>
          <w:szCs w:val="21"/>
          <w:highlight w:val="none"/>
        </w:rPr>
      </w:pPr>
      <w:r>
        <w:rPr>
          <w:color w:val="auto"/>
          <w:szCs w:val="21"/>
          <w:highlight w:val="none"/>
        </w:rPr>
        <w:t>注：</w:t>
      </w:r>
    </w:p>
    <w:p>
      <w:pPr>
        <w:spacing w:line="360" w:lineRule="auto"/>
        <w:ind w:firstLine="420" w:firstLineChars="200"/>
        <w:rPr>
          <w:color w:val="auto"/>
          <w:szCs w:val="21"/>
          <w:highlight w:val="none"/>
        </w:rPr>
      </w:pPr>
      <w:r>
        <w:rPr>
          <w:color w:val="auto"/>
          <w:szCs w:val="21"/>
          <w:highlight w:val="none"/>
        </w:rPr>
        <w:t>（1）按本表费率计算的收费为采购代理的收费基准价格；</w:t>
      </w:r>
    </w:p>
    <w:p>
      <w:pPr>
        <w:spacing w:line="360" w:lineRule="auto"/>
        <w:ind w:firstLine="420" w:firstLineChars="200"/>
        <w:rPr>
          <w:color w:val="auto"/>
          <w:szCs w:val="21"/>
          <w:highlight w:val="none"/>
        </w:rPr>
      </w:pPr>
      <w:r>
        <w:rPr>
          <w:color w:val="auto"/>
          <w:szCs w:val="21"/>
          <w:highlight w:val="none"/>
        </w:rPr>
        <w:t>（2）采购代理收费按差额定率累进法计算。</w:t>
      </w:r>
    </w:p>
    <w:p>
      <w:pPr>
        <w:spacing w:line="360" w:lineRule="auto"/>
        <w:ind w:firstLine="420" w:firstLineChars="200"/>
        <w:rPr>
          <w:color w:val="auto"/>
          <w:szCs w:val="21"/>
          <w:highlight w:val="none"/>
        </w:rPr>
      </w:pPr>
      <w:r>
        <w:rPr>
          <w:color w:val="auto"/>
          <w:szCs w:val="21"/>
          <w:highlight w:val="none"/>
        </w:rPr>
        <w:t>例如：某</w:t>
      </w:r>
      <w:r>
        <w:rPr>
          <w:rFonts w:hint="eastAsia"/>
          <w:color w:val="auto"/>
          <w:szCs w:val="21"/>
          <w:highlight w:val="none"/>
        </w:rPr>
        <w:t>工程类</w:t>
      </w:r>
      <w:r>
        <w:rPr>
          <w:color w:val="auto"/>
          <w:szCs w:val="21"/>
          <w:highlight w:val="none"/>
        </w:rPr>
        <w:t>采购代理业务成交金额或者暂定价为150万元，计算采购代理收费额如下：</w:t>
      </w:r>
    </w:p>
    <w:p>
      <w:pPr>
        <w:spacing w:line="360" w:lineRule="auto"/>
        <w:ind w:firstLine="420" w:firstLineChars="200"/>
        <w:rPr>
          <w:color w:val="auto"/>
          <w:szCs w:val="21"/>
          <w:highlight w:val="none"/>
        </w:rPr>
      </w:pPr>
      <w:r>
        <w:rPr>
          <w:color w:val="auto"/>
          <w:szCs w:val="21"/>
          <w:highlight w:val="none"/>
        </w:rPr>
        <w:t>100 万元 ×l.</w:t>
      </w:r>
      <w:r>
        <w:rPr>
          <w:rFonts w:hint="eastAsia"/>
          <w:color w:val="auto"/>
          <w:szCs w:val="21"/>
          <w:highlight w:val="none"/>
        </w:rPr>
        <w:t>0</w:t>
      </w:r>
      <w:r>
        <w:rPr>
          <w:color w:val="auto"/>
          <w:szCs w:val="21"/>
          <w:highlight w:val="none"/>
        </w:rPr>
        <w:t xml:space="preserve"> %＝ 1 万元</w:t>
      </w:r>
    </w:p>
    <w:p>
      <w:pPr>
        <w:spacing w:line="360" w:lineRule="auto"/>
        <w:ind w:firstLine="420" w:firstLineChars="200"/>
        <w:rPr>
          <w:color w:val="auto"/>
          <w:szCs w:val="21"/>
          <w:highlight w:val="none"/>
        </w:rPr>
      </w:pPr>
      <w:r>
        <w:rPr>
          <w:color w:val="auto"/>
          <w:szCs w:val="21"/>
          <w:highlight w:val="none"/>
        </w:rPr>
        <w:t>（ 150 － 100 ）万元 ×0.</w:t>
      </w:r>
      <w:r>
        <w:rPr>
          <w:rFonts w:hint="eastAsia"/>
          <w:color w:val="auto"/>
          <w:szCs w:val="21"/>
          <w:highlight w:val="none"/>
        </w:rPr>
        <w:t>7</w:t>
      </w:r>
      <w:r>
        <w:rPr>
          <w:color w:val="auto"/>
          <w:szCs w:val="21"/>
          <w:highlight w:val="none"/>
        </w:rPr>
        <w:t>%＝ 0.</w:t>
      </w:r>
      <w:r>
        <w:rPr>
          <w:rFonts w:hint="eastAsia"/>
          <w:color w:val="auto"/>
          <w:szCs w:val="21"/>
          <w:highlight w:val="none"/>
        </w:rPr>
        <w:t>35</w:t>
      </w:r>
      <w:r>
        <w:rPr>
          <w:color w:val="auto"/>
          <w:szCs w:val="21"/>
          <w:highlight w:val="none"/>
        </w:rPr>
        <w:t>万元</w:t>
      </w:r>
    </w:p>
    <w:p>
      <w:pPr>
        <w:spacing w:line="360" w:lineRule="auto"/>
        <w:ind w:firstLine="420" w:firstLineChars="200"/>
        <w:rPr>
          <w:color w:val="auto"/>
          <w:szCs w:val="21"/>
          <w:highlight w:val="none"/>
        </w:rPr>
      </w:pPr>
      <w:r>
        <w:rPr>
          <w:color w:val="auto"/>
          <w:szCs w:val="21"/>
          <w:highlight w:val="none"/>
        </w:rPr>
        <w:t>合计收费＝ 1 ＋ 0.</w:t>
      </w:r>
      <w:r>
        <w:rPr>
          <w:rFonts w:hint="eastAsia"/>
          <w:color w:val="auto"/>
          <w:szCs w:val="21"/>
          <w:highlight w:val="none"/>
        </w:rPr>
        <w:t>35</w:t>
      </w:r>
      <w:r>
        <w:rPr>
          <w:color w:val="auto"/>
          <w:szCs w:val="21"/>
          <w:highlight w:val="none"/>
        </w:rPr>
        <w:t>＝ 1.</w:t>
      </w:r>
      <w:r>
        <w:rPr>
          <w:rFonts w:hint="eastAsia"/>
          <w:color w:val="auto"/>
          <w:szCs w:val="21"/>
          <w:highlight w:val="none"/>
        </w:rPr>
        <w:t>35</w:t>
      </w:r>
      <w:r>
        <w:rPr>
          <w:color w:val="auto"/>
          <w:szCs w:val="21"/>
          <w:highlight w:val="none"/>
        </w:rPr>
        <w:t>万元</w:t>
      </w:r>
    </w:p>
    <w:p>
      <w:pPr>
        <w:spacing w:line="360" w:lineRule="auto"/>
        <w:ind w:firstLine="422" w:firstLineChars="200"/>
        <w:rPr>
          <w:b/>
          <w:bCs/>
          <w:color w:val="auto"/>
          <w:szCs w:val="21"/>
          <w:highlight w:val="none"/>
        </w:rPr>
      </w:pPr>
      <w:r>
        <w:rPr>
          <w:b/>
          <w:bCs/>
          <w:color w:val="auto"/>
          <w:szCs w:val="21"/>
          <w:highlight w:val="none"/>
        </w:rPr>
        <w:t>33</w:t>
      </w:r>
      <w:r>
        <w:rPr>
          <w:color w:val="auto"/>
          <w:szCs w:val="21"/>
          <w:highlight w:val="none"/>
        </w:rPr>
        <w:t>．</w:t>
      </w:r>
      <w:r>
        <w:rPr>
          <w:b/>
          <w:bCs/>
          <w:color w:val="auto"/>
          <w:szCs w:val="21"/>
          <w:highlight w:val="none"/>
        </w:rPr>
        <w:t>需要补充的其他内容</w:t>
      </w:r>
    </w:p>
    <w:p>
      <w:pPr>
        <w:pStyle w:val="12"/>
        <w:spacing w:line="360" w:lineRule="auto"/>
        <w:ind w:firstLine="420" w:firstLineChars="200"/>
        <w:textAlignment w:val="center"/>
        <w:rPr>
          <w:rFonts w:ascii="Times New Roman" w:hAnsi="Times New Roman"/>
          <w:color w:val="auto"/>
          <w:highlight w:val="none"/>
        </w:rPr>
      </w:pPr>
      <w:r>
        <w:rPr>
          <w:rFonts w:ascii="Times New Roman" w:hAnsi="Times New Roman"/>
          <w:color w:val="auto"/>
          <w:highlight w:val="none"/>
        </w:rPr>
        <w:t>33.1本磋商文件解释规则详见“供应商须知前附表”。</w:t>
      </w:r>
    </w:p>
    <w:p>
      <w:pPr>
        <w:pStyle w:val="12"/>
        <w:spacing w:line="360" w:lineRule="auto"/>
        <w:ind w:firstLine="420" w:firstLineChars="200"/>
        <w:textAlignment w:val="center"/>
        <w:rPr>
          <w:rFonts w:ascii="Times New Roman" w:hAnsi="Times New Roman"/>
          <w:color w:val="auto"/>
          <w:highlight w:val="none"/>
        </w:rPr>
      </w:pPr>
      <w:r>
        <w:rPr>
          <w:rFonts w:ascii="Times New Roman" w:hAnsi="Times New Roman"/>
          <w:color w:val="auto"/>
          <w:highlight w:val="none"/>
        </w:rPr>
        <w:t>33.2 其他事项详见“供应商须知前附表”。</w:t>
      </w:r>
    </w:p>
    <w:p>
      <w:pPr>
        <w:pStyle w:val="12"/>
        <w:spacing w:line="360" w:lineRule="auto"/>
        <w:ind w:firstLine="420" w:firstLineChars="200"/>
        <w:textAlignment w:val="center"/>
        <w:rPr>
          <w:rFonts w:ascii="Times New Roman" w:hAnsi="Times New Roman"/>
          <w:color w:val="auto"/>
          <w:highlight w:val="none"/>
        </w:rPr>
      </w:pPr>
      <w:r>
        <w:rPr>
          <w:rFonts w:ascii="Times New Roman" w:hAnsi="Times New Roman"/>
          <w:color w:val="auto"/>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Times New Roman" w:hAnsi="Times New Roman"/>
          <w:color w:val="auto"/>
          <w:highlight w:val="none"/>
        </w:rPr>
        <w:t>供应商提供的货物、工程或者服务符合下列情形的，享受本文件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pPr>
        <w:pStyle w:val="12"/>
        <w:spacing w:line="360" w:lineRule="auto"/>
        <w:ind w:firstLine="420" w:firstLineChars="200"/>
        <w:textAlignment w:val="center"/>
        <w:rPr>
          <w:rFonts w:ascii="Times New Roman" w:hAnsi="Times New Roman"/>
          <w:color w:val="auto"/>
          <w:highlight w:val="none"/>
        </w:rPr>
      </w:pPr>
      <w:r>
        <w:rPr>
          <w:rFonts w:ascii="Times New Roman" w:hAnsi="Times New Roman"/>
          <w:color w:val="auto"/>
          <w:highlight w:val="none"/>
        </w:rPr>
        <w:t>以联合体形式参加政府采购活动，联合体各方均为中小企业的，联合体视同中小企业。其中，联合体各方均为小微企业的，联合体视同小微企业。</w:t>
      </w:r>
    </w:p>
    <w:p>
      <w:pPr>
        <w:pStyle w:val="12"/>
        <w:spacing w:line="360" w:lineRule="auto"/>
        <w:ind w:firstLine="420" w:firstLineChars="200"/>
        <w:textAlignment w:val="center"/>
        <w:rPr>
          <w:rFonts w:ascii="Times New Roman" w:hAnsi="Times New Roman"/>
          <w:color w:val="auto"/>
          <w:highlight w:val="none"/>
        </w:rPr>
      </w:pPr>
      <w:r>
        <w:rPr>
          <w:rFonts w:ascii="Times New Roman" w:hAnsi="Times New Roman"/>
          <w:color w:val="auto"/>
          <w:highlight w:val="none"/>
        </w:rPr>
        <w:t>依据本文件规定享受扶持政策获得政府采购合同的，小微企业不得将合同分包给大中型企业，中型企业不得将合同分包给大型企业。</w:t>
      </w:r>
    </w:p>
    <w:p>
      <w:pPr>
        <w:spacing w:line="320" w:lineRule="exact"/>
        <w:ind w:firstLine="420"/>
        <w:rPr>
          <w:color w:val="auto"/>
          <w:szCs w:val="21"/>
          <w:highlight w:val="none"/>
        </w:rPr>
      </w:pPr>
      <w:r>
        <w:rPr>
          <w:rFonts w:hint="eastAsia"/>
          <w:color w:val="auto"/>
          <w:szCs w:val="21"/>
          <w:highlight w:val="none"/>
        </w:rPr>
        <w:t xml:space="preserve">33.4本竞争性磋商采购文件所称中小企业必须符合《政府采购促进中小企业发展管理办法》（财库〔2020〕46号）的规定； </w:t>
      </w:r>
    </w:p>
    <w:p>
      <w:pPr>
        <w:spacing w:line="320" w:lineRule="exact"/>
        <w:ind w:firstLine="420"/>
        <w:rPr>
          <w:color w:val="auto"/>
          <w:szCs w:val="21"/>
          <w:highlight w:val="none"/>
        </w:rPr>
      </w:pPr>
      <w:r>
        <w:rPr>
          <w:rFonts w:hint="eastAsia"/>
          <w:color w:val="auto"/>
          <w:szCs w:val="21"/>
          <w:highlight w:val="none"/>
        </w:rPr>
        <w:t>33.5 本项目中小企业划分标准所属行业名称（行业名称及划分见本章附件2）：建筑业</w:t>
      </w:r>
    </w:p>
    <w:p>
      <w:pPr>
        <w:spacing w:line="320" w:lineRule="exact"/>
        <w:ind w:firstLine="420"/>
        <w:rPr>
          <w:color w:val="auto"/>
          <w:szCs w:val="21"/>
          <w:highlight w:val="none"/>
        </w:rPr>
      </w:pPr>
      <w:r>
        <w:rPr>
          <w:rFonts w:hint="eastAsia"/>
          <w:color w:val="auto"/>
          <w:szCs w:val="21"/>
          <w:highlight w:val="none"/>
        </w:rPr>
        <w:br w:type="page"/>
      </w:r>
    </w:p>
    <w:p>
      <w:pPr>
        <w:spacing w:line="360" w:lineRule="auto"/>
        <w:ind w:firstLine="562" w:firstLineChars="200"/>
        <w:outlineLvl w:val="0"/>
        <w:rPr>
          <w:b/>
          <w:color w:val="auto"/>
          <w:sz w:val="28"/>
          <w:szCs w:val="28"/>
          <w:highlight w:val="none"/>
        </w:rPr>
      </w:pPr>
      <w:bookmarkStart w:id="34" w:name="_Toc14505"/>
      <w:bookmarkStart w:id="35" w:name="_Toc19257"/>
      <w:bookmarkStart w:id="36" w:name="_Toc32079"/>
      <w:r>
        <w:rPr>
          <w:b/>
          <w:color w:val="auto"/>
          <w:sz w:val="28"/>
          <w:szCs w:val="28"/>
          <w:highlight w:val="none"/>
        </w:rPr>
        <w:t>附件1</w:t>
      </w:r>
      <w:bookmarkEnd w:id="34"/>
      <w:bookmarkEnd w:id="35"/>
      <w:bookmarkEnd w:id="36"/>
    </w:p>
    <w:p>
      <w:pPr>
        <w:widowControl/>
        <w:shd w:val="clear" w:color="auto" w:fill="FFFFFF"/>
        <w:spacing w:after="156" w:afterLines="50" w:line="480" w:lineRule="atLeast"/>
        <w:jc w:val="center"/>
        <w:rPr>
          <w:color w:val="auto"/>
          <w:kern w:val="0"/>
          <w:sz w:val="28"/>
          <w:szCs w:val="28"/>
          <w:highlight w:val="none"/>
        </w:rPr>
      </w:pPr>
      <w:r>
        <w:rPr>
          <w:b/>
          <w:bCs/>
          <w:color w:val="auto"/>
          <w:kern w:val="0"/>
          <w:sz w:val="28"/>
          <w:szCs w:val="28"/>
          <w:highlight w:val="none"/>
        </w:rPr>
        <w:t>广西壮族自治区政府采购项目合同验收书（格式）</w:t>
      </w:r>
    </w:p>
    <w:p>
      <w:pPr>
        <w:widowControl/>
        <w:shd w:val="clear" w:color="auto" w:fill="FFFFFF"/>
        <w:snapToGrid w:val="0"/>
        <w:spacing w:line="320" w:lineRule="atLeast"/>
        <w:ind w:firstLine="48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 xml:space="preserve">采购合同编号：           </w:t>
      </w:r>
      <w:r>
        <w:rPr>
          <w:color w:val="auto"/>
          <w:kern w:val="0"/>
          <w:szCs w:val="21"/>
          <w:highlight w:val="none"/>
          <w:u w:val="single"/>
        </w:rPr>
        <w:softHyphen/>
      </w:r>
      <w:r>
        <w:rPr>
          <w:color w:val="auto"/>
          <w:kern w:val="0"/>
          <w:szCs w:val="21"/>
          <w:highlight w:val="none"/>
        </w:rPr>
        <w:t>）的约定，我单位对（</w:t>
      </w:r>
      <w:r>
        <w:rPr>
          <w:color w:val="auto"/>
          <w:kern w:val="0"/>
          <w:szCs w:val="21"/>
          <w:highlight w:val="none"/>
          <w:u w:val="single"/>
        </w:rPr>
        <w:t xml:space="preserve">     项目名称       </w:t>
      </w:r>
      <w:r>
        <w:rPr>
          <w:color w:val="auto"/>
          <w:kern w:val="0"/>
          <w:szCs w:val="21"/>
          <w:highlight w:val="none"/>
        </w:rPr>
        <w:t>）政府采购项目成交供应商（</w:t>
      </w:r>
      <w:r>
        <w:rPr>
          <w:color w:val="auto"/>
          <w:kern w:val="0"/>
          <w:szCs w:val="21"/>
          <w:highlight w:val="none"/>
          <w:u w:val="single"/>
        </w:rPr>
        <w:t xml:space="preserve">        公司名称           </w:t>
      </w:r>
      <w:r>
        <w:rPr>
          <w:color w:val="auto"/>
          <w:kern w:val="0"/>
          <w:szCs w:val="21"/>
          <w:highlight w:val="none"/>
        </w:rPr>
        <w:t>）提供的货物（或者工程、服务）进行了验收，验收情况如下：</w:t>
      </w:r>
    </w:p>
    <w:tbl>
      <w:tblPr>
        <w:tblStyle w:val="21"/>
        <w:tblW w:w="9480" w:type="dxa"/>
        <w:jc w:val="center"/>
        <w:tblLayout w:type="fixed"/>
        <w:tblCellMar>
          <w:top w:w="0" w:type="dxa"/>
          <w:left w:w="0" w:type="dxa"/>
          <w:bottom w:w="0" w:type="dxa"/>
          <w:right w:w="0" w:type="dxa"/>
        </w:tblCellMar>
      </w:tblPr>
      <w:tblGrid>
        <w:gridCol w:w="975"/>
        <w:gridCol w:w="984"/>
        <w:gridCol w:w="1476"/>
        <w:gridCol w:w="945"/>
        <w:gridCol w:w="102"/>
        <w:gridCol w:w="2002"/>
        <w:gridCol w:w="178"/>
        <w:gridCol w:w="685"/>
        <w:gridCol w:w="2133"/>
      </w:tblGrid>
      <w:tr>
        <w:tblPrEx>
          <w:tblCellMar>
            <w:top w:w="0" w:type="dxa"/>
            <w:left w:w="0" w:type="dxa"/>
            <w:bottom w:w="0" w:type="dxa"/>
            <w:right w:w="0" w:type="dxa"/>
          </w:tblCellMar>
        </w:tblPrEx>
        <w:trPr>
          <w:trHeight w:val="497" w:hRule="atLeast"/>
          <w:jc w:val="center"/>
        </w:trPr>
        <w:tc>
          <w:tcPr>
            <w:tcW w:w="3435" w:type="dxa"/>
            <w:gridSpan w:val="3"/>
            <w:tcBorders>
              <w:top w:val="single" w:color="auto" w:sz="8" w:space="0"/>
              <w:left w:val="single" w:color="auto" w:sz="8" w:space="0"/>
              <w:bottom w:val="single" w:color="auto" w:sz="8" w:space="0"/>
              <w:right w:val="single" w:color="auto" w:sz="8" w:space="0"/>
            </w:tcBorders>
            <w:noWrap/>
            <w:vAlign w:val="center"/>
          </w:tcPr>
          <w:p>
            <w:pPr>
              <w:widowControl/>
              <w:snapToGrid w:val="0"/>
              <w:spacing w:line="340" w:lineRule="exact"/>
              <w:ind w:firstLine="5"/>
              <w:jc w:val="center"/>
              <w:rPr>
                <w:color w:val="auto"/>
                <w:kern w:val="0"/>
                <w:szCs w:val="21"/>
                <w:highlight w:val="none"/>
              </w:rPr>
            </w:pPr>
            <w:r>
              <w:rPr>
                <w:color w:val="auto"/>
                <w:kern w:val="0"/>
                <w:szCs w:val="21"/>
                <w:highlight w:val="none"/>
              </w:rPr>
              <w:t>验收方式</w:t>
            </w:r>
          </w:p>
        </w:tc>
        <w:tc>
          <w:tcPr>
            <w:tcW w:w="6045" w:type="dxa"/>
            <w:gridSpan w:val="6"/>
            <w:tcBorders>
              <w:top w:val="single" w:color="auto" w:sz="8" w:space="0"/>
              <w:left w:val="nil"/>
              <w:bottom w:val="single" w:color="auto" w:sz="8" w:space="0"/>
              <w:right w:val="single" w:color="auto" w:sz="8" w:space="0"/>
            </w:tcBorders>
            <w:noWrap/>
            <w:vAlign w:val="center"/>
          </w:tcPr>
          <w:p>
            <w:pPr>
              <w:widowControl/>
              <w:snapToGrid w:val="0"/>
              <w:spacing w:line="340" w:lineRule="exact"/>
              <w:jc w:val="center"/>
              <w:rPr>
                <w:color w:val="auto"/>
                <w:kern w:val="0"/>
                <w:szCs w:val="21"/>
                <w:highlight w:val="none"/>
              </w:rPr>
            </w:pPr>
            <w:r>
              <w:rPr>
                <w:color w:val="auto"/>
                <w:kern w:val="0"/>
                <w:szCs w:val="21"/>
                <w:highlight w:val="none"/>
              </w:rPr>
              <w:sym w:font="Wingdings 2" w:char="00A3"/>
            </w:r>
            <w:r>
              <w:rPr>
                <w:color w:val="auto"/>
                <w:kern w:val="0"/>
                <w:szCs w:val="21"/>
                <w:highlight w:val="none"/>
              </w:rPr>
              <w:t xml:space="preserve">自行验收     </w:t>
            </w:r>
            <w:r>
              <w:rPr>
                <w:color w:val="auto"/>
                <w:kern w:val="0"/>
                <w:szCs w:val="21"/>
                <w:highlight w:val="none"/>
              </w:rPr>
              <w:sym w:font="Wingdings 2" w:char="00A3"/>
            </w:r>
            <w:r>
              <w:rPr>
                <w:color w:val="auto"/>
                <w:kern w:val="0"/>
                <w:szCs w:val="21"/>
                <w:highlight w:val="none"/>
              </w:rPr>
              <w:t>委托验收</w:t>
            </w:r>
          </w:p>
        </w:tc>
      </w:tr>
      <w:tr>
        <w:tblPrEx>
          <w:tblCellMar>
            <w:top w:w="0" w:type="dxa"/>
            <w:left w:w="0" w:type="dxa"/>
            <w:bottom w:w="0" w:type="dxa"/>
            <w:right w:w="0" w:type="dxa"/>
          </w:tblCellMar>
        </w:tblPrEx>
        <w:trPr>
          <w:trHeight w:val="725" w:hRule="atLeast"/>
          <w:jc w:val="center"/>
        </w:trPr>
        <w:tc>
          <w:tcPr>
            <w:tcW w:w="975" w:type="dxa"/>
            <w:tcBorders>
              <w:top w:val="nil"/>
              <w:left w:val="single" w:color="auto" w:sz="8" w:space="0"/>
              <w:bottom w:val="single" w:color="auto" w:sz="8" w:space="0"/>
              <w:right w:val="single" w:color="auto" w:sz="8" w:space="0"/>
            </w:tcBorders>
            <w:noWrap/>
            <w:vAlign w:val="center"/>
          </w:tcPr>
          <w:p>
            <w:pPr>
              <w:widowControl/>
              <w:snapToGrid w:val="0"/>
              <w:spacing w:line="340" w:lineRule="exact"/>
              <w:ind w:firstLine="2"/>
              <w:jc w:val="center"/>
              <w:rPr>
                <w:color w:val="auto"/>
                <w:kern w:val="0"/>
                <w:szCs w:val="21"/>
                <w:highlight w:val="none"/>
              </w:rPr>
            </w:pPr>
            <w:r>
              <w:rPr>
                <w:color w:val="auto"/>
                <w:kern w:val="0"/>
                <w:szCs w:val="21"/>
                <w:highlight w:val="none"/>
              </w:rPr>
              <w:t>序号</w:t>
            </w:r>
          </w:p>
        </w:tc>
        <w:tc>
          <w:tcPr>
            <w:tcW w:w="2460" w:type="dxa"/>
            <w:gridSpan w:val="2"/>
            <w:tcBorders>
              <w:top w:val="nil"/>
              <w:left w:val="nil"/>
              <w:bottom w:val="single" w:color="auto" w:sz="8" w:space="0"/>
              <w:right w:val="single" w:color="auto" w:sz="8" w:space="0"/>
            </w:tcBorders>
            <w:noWrap/>
            <w:vAlign w:val="center"/>
          </w:tcPr>
          <w:p>
            <w:pPr>
              <w:widowControl/>
              <w:snapToGrid w:val="0"/>
              <w:spacing w:line="340" w:lineRule="exact"/>
              <w:ind w:firstLine="2"/>
              <w:jc w:val="center"/>
              <w:rPr>
                <w:color w:val="auto"/>
                <w:kern w:val="0"/>
                <w:szCs w:val="21"/>
                <w:highlight w:val="none"/>
              </w:rPr>
            </w:pPr>
            <w:r>
              <w:rPr>
                <w:color w:val="auto"/>
                <w:kern w:val="0"/>
                <w:szCs w:val="21"/>
                <w:highlight w:val="none"/>
              </w:rPr>
              <w:t>名称</w:t>
            </w:r>
          </w:p>
        </w:tc>
        <w:tc>
          <w:tcPr>
            <w:tcW w:w="3049" w:type="dxa"/>
            <w:gridSpan w:val="3"/>
            <w:tcBorders>
              <w:top w:val="nil"/>
              <w:left w:val="nil"/>
              <w:bottom w:val="single" w:color="auto" w:sz="8" w:space="0"/>
              <w:right w:val="single" w:color="auto" w:sz="8" w:space="0"/>
            </w:tcBorders>
            <w:noWrap/>
            <w:vAlign w:val="center"/>
          </w:tcPr>
          <w:p>
            <w:pPr>
              <w:widowControl/>
              <w:snapToGrid w:val="0"/>
              <w:spacing w:line="340" w:lineRule="exact"/>
              <w:ind w:firstLine="2"/>
              <w:jc w:val="center"/>
              <w:rPr>
                <w:color w:val="auto"/>
                <w:kern w:val="0"/>
                <w:szCs w:val="21"/>
                <w:highlight w:val="none"/>
              </w:rPr>
            </w:pPr>
            <w:r>
              <w:rPr>
                <w:color w:val="auto"/>
                <w:kern w:val="0"/>
                <w:szCs w:val="21"/>
                <w:highlight w:val="none"/>
              </w:rPr>
              <w:t>货物型号规格、标准及配置等</w:t>
            </w:r>
          </w:p>
          <w:p>
            <w:pPr>
              <w:widowControl/>
              <w:snapToGrid w:val="0"/>
              <w:spacing w:line="340" w:lineRule="exact"/>
              <w:ind w:firstLine="2"/>
              <w:jc w:val="center"/>
              <w:rPr>
                <w:color w:val="auto"/>
                <w:kern w:val="0"/>
                <w:szCs w:val="21"/>
                <w:highlight w:val="none"/>
              </w:rPr>
            </w:pPr>
            <w:r>
              <w:rPr>
                <w:color w:val="auto"/>
                <w:kern w:val="0"/>
                <w:szCs w:val="21"/>
                <w:highlight w:val="none"/>
              </w:rPr>
              <w:t>（或者服务内容、标准）</w:t>
            </w:r>
          </w:p>
        </w:tc>
        <w:tc>
          <w:tcPr>
            <w:tcW w:w="863" w:type="dxa"/>
            <w:gridSpan w:val="2"/>
            <w:tcBorders>
              <w:top w:val="nil"/>
              <w:left w:val="nil"/>
              <w:bottom w:val="single" w:color="auto" w:sz="8" w:space="0"/>
              <w:right w:val="single" w:color="auto" w:sz="8" w:space="0"/>
            </w:tcBorders>
            <w:noWrap/>
            <w:vAlign w:val="center"/>
          </w:tcPr>
          <w:p>
            <w:pPr>
              <w:widowControl/>
              <w:snapToGrid w:val="0"/>
              <w:spacing w:line="340" w:lineRule="exact"/>
              <w:jc w:val="center"/>
              <w:rPr>
                <w:color w:val="auto"/>
                <w:kern w:val="0"/>
                <w:szCs w:val="21"/>
                <w:highlight w:val="none"/>
              </w:rPr>
            </w:pPr>
            <w:r>
              <w:rPr>
                <w:color w:val="auto"/>
                <w:kern w:val="0"/>
                <w:szCs w:val="21"/>
                <w:highlight w:val="none"/>
              </w:rPr>
              <w:t>数量</w:t>
            </w:r>
          </w:p>
        </w:tc>
        <w:tc>
          <w:tcPr>
            <w:tcW w:w="2133" w:type="dxa"/>
            <w:tcBorders>
              <w:top w:val="nil"/>
              <w:left w:val="nil"/>
              <w:bottom w:val="single" w:color="auto" w:sz="8" w:space="0"/>
              <w:right w:val="single" w:color="auto" w:sz="8" w:space="0"/>
            </w:tcBorders>
            <w:noWrap/>
            <w:vAlign w:val="center"/>
          </w:tcPr>
          <w:p>
            <w:pPr>
              <w:widowControl/>
              <w:snapToGrid w:val="0"/>
              <w:spacing w:line="340" w:lineRule="exact"/>
              <w:ind w:firstLine="2"/>
              <w:jc w:val="center"/>
              <w:rPr>
                <w:color w:val="auto"/>
                <w:kern w:val="0"/>
                <w:szCs w:val="21"/>
                <w:highlight w:val="none"/>
              </w:rPr>
            </w:pPr>
            <w:r>
              <w:rPr>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975" w:type="dxa"/>
            <w:tcBorders>
              <w:top w:val="nil"/>
              <w:left w:val="single" w:color="auto" w:sz="8" w:space="0"/>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460"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3049" w:type="dxa"/>
            <w:gridSpan w:val="3"/>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133" w:type="dxa"/>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975" w:type="dxa"/>
            <w:tcBorders>
              <w:top w:val="nil"/>
              <w:left w:val="single" w:color="auto" w:sz="8" w:space="0"/>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460"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3049" w:type="dxa"/>
            <w:gridSpan w:val="3"/>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133" w:type="dxa"/>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975" w:type="dxa"/>
            <w:tcBorders>
              <w:top w:val="nil"/>
              <w:left w:val="single" w:color="auto" w:sz="8" w:space="0"/>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460"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3049" w:type="dxa"/>
            <w:gridSpan w:val="3"/>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133" w:type="dxa"/>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484" w:type="dxa"/>
            <w:gridSpan w:val="6"/>
            <w:tcBorders>
              <w:top w:val="nil"/>
              <w:left w:val="single" w:color="auto" w:sz="8" w:space="0"/>
              <w:bottom w:val="single" w:color="auto" w:sz="8" w:space="0"/>
              <w:right w:val="single" w:color="auto" w:sz="8" w:space="0"/>
            </w:tcBorders>
            <w:noWrap/>
            <w:vAlign w:val="center"/>
          </w:tcPr>
          <w:p>
            <w:pPr>
              <w:widowControl/>
              <w:snapToGrid w:val="0"/>
              <w:spacing w:line="340" w:lineRule="exact"/>
              <w:ind w:firstLine="5"/>
              <w:jc w:val="center"/>
              <w:rPr>
                <w:color w:val="auto"/>
                <w:kern w:val="0"/>
                <w:szCs w:val="21"/>
                <w:highlight w:val="none"/>
              </w:rPr>
            </w:pPr>
            <w:r>
              <w:rPr>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133" w:type="dxa"/>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r>
      <w:tr>
        <w:tblPrEx>
          <w:tblCellMar>
            <w:top w:w="0" w:type="dxa"/>
            <w:left w:w="0" w:type="dxa"/>
            <w:bottom w:w="0" w:type="dxa"/>
            <w:right w:w="0" w:type="dxa"/>
          </w:tblCellMar>
        </w:tblPrEx>
        <w:trPr>
          <w:trHeight w:val="581" w:hRule="atLeast"/>
          <w:jc w:val="center"/>
        </w:trPr>
        <w:tc>
          <w:tcPr>
            <w:tcW w:w="9480" w:type="dxa"/>
            <w:gridSpan w:val="9"/>
            <w:tcBorders>
              <w:top w:val="nil"/>
              <w:left w:val="single" w:color="auto" w:sz="8" w:space="0"/>
              <w:bottom w:val="single" w:color="auto" w:sz="8" w:space="0"/>
              <w:right w:val="single" w:color="auto" w:sz="8" w:space="0"/>
            </w:tcBorders>
            <w:noWrap/>
            <w:vAlign w:val="center"/>
          </w:tcPr>
          <w:p>
            <w:pPr>
              <w:widowControl/>
              <w:snapToGrid w:val="0"/>
              <w:spacing w:line="340" w:lineRule="exact"/>
              <w:ind w:firstLine="210" w:firstLineChars="100"/>
              <w:jc w:val="left"/>
              <w:rPr>
                <w:color w:val="auto"/>
                <w:kern w:val="0"/>
                <w:szCs w:val="21"/>
                <w:highlight w:val="none"/>
              </w:rPr>
            </w:pPr>
            <w:r>
              <w:rPr>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536" w:hRule="atLeast"/>
          <w:jc w:val="center"/>
        </w:trPr>
        <w:tc>
          <w:tcPr>
            <w:tcW w:w="1959" w:type="dxa"/>
            <w:gridSpan w:val="2"/>
            <w:tcBorders>
              <w:top w:val="nil"/>
              <w:left w:val="single" w:color="auto" w:sz="8" w:space="0"/>
              <w:bottom w:val="single" w:color="auto" w:sz="8" w:space="0"/>
              <w:right w:val="single" w:color="auto" w:sz="8" w:space="0"/>
            </w:tcBorders>
            <w:noWrap/>
            <w:vAlign w:val="center"/>
          </w:tcPr>
          <w:p>
            <w:pPr>
              <w:widowControl/>
              <w:snapToGrid w:val="0"/>
              <w:spacing w:line="340" w:lineRule="exact"/>
              <w:ind w:firstLine="2"/>
              <w:jc w:val="center"/>
              <w:rPr>
                <w:color w:val="auto"/>
                <w:kern w:val="0"/>
                <w:szCs w:val="21"/>
                <w:highlight w:val="none"/>
              </w:rPr>
            </w:pPr>
            <w:r>
              <w:rPr>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pPr>
              <w:widowControl/>
              <w:snapToGrid w:val="0"/>
              <w:spacing w:line="340" w:lineRule="exact"/>
              <w:ind w:firstLine="46"/>
              <w:jc w:val="center"/>
              <w:rPr>
                <w:color w:val="auto"/>
                <w:kern w:val="0"/>
                <w:szCs w:val="21"/>
                <w:highlight w:val="none"/>
              </w:rPr>
            </w:pPr>
            <w:r>
              <w:rPr>
                <w:color w:val="auto"/>
                <w:kern w:val="0"/>
                <w:szCs w:val="21"/>
                <w:highlight w:val="none"/>
              </w:rPr>
              <w:t>合同交货验收日期</w:t>
            </w:r>
          </w:p>
        </w:tc>
        <w:tc>
          <w:tcPr>
            <w:tcW w:w="2818" w:type="dxa"/>
            <w:gridSpan w:val="2"/>
            <w:tcBorders>
              <w:top w:val="nil"/>
              <w:left w:val="nil"/>
              <w:bottom w:val="single" w:color="auto" w:sz="8" w:space="0"/>
              <w:right w:val="single" w:color="auto" w:sz="8" w:space="0"/>
            </w:tcBorders>
            <w:noWrap/>
            <w:vAlign w:val="center"/>
          </w:tcPr>
          <w:p>
            <w:pPr>
              <w:widowControl/>
              <w:spacing w:line="340" w:lineRule="exact"/>
              <w:jc w:val="center"/>
              <w:rPr>
                <w:color w:val="auto"/>
                <w:kern w:val="0"/>
                <w:szCs w:val="21"/>
                <w:highlight w:val="none"/>
              </w:rPr>
            </w:pPr>
          </w:p>
        </w:tc>
      </w:tr>
      <w:tr>
        <w:tblPrEx>
          <w:tblCellMar>
            <w:top w:w="0" w:type="dxa"/>
            <w:left w:w="0" w:type="dxa"/>
            <w:bottom w:w="0" w:type="dxa"/>
            <w:right w:w="0" w:type="dxa"/>
          </w:tblCellMar>
        </w:tblPrEx>
        <w:trPr>
          <w:trHeight w:val="1140" w:hRule="atLeast"/>
          <w:jc w:val="center"/>
        </w:trPr>
        <w:tc>
          <w:tcPr>
            <w:tcW w:w="195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line="340" w:lineRule="exact"/>
              <w:jc w:val="center"/>
              <w:rPr>
                <w:color w:val="auto"/>
                <w:kern w:val="0"/>
                <w:szCs w:val="21"/>
                <w:highlight w:val="none"/>
              </w:rPr>
            </w:pPr>
            <w:r>
              <w:rPr>
                <w:color w:val="auto"/>
                <w:kern w:val="0"/>
                <w:szCs w:val="21"/>
                <w:highlight w:val="none"/>
              </w:rPr>
              <w:t>验收具体内容</w:t>
            </w:r>
          </w:p>
        </w:tc>
        <w:tc>
          <w:tcPr>
            <w:tcW w:w="7521"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spacing w:line="340" w:lineRule="exact"/>
              <w:jc w:val="left"/>
              <w:rPr>
                <w:color w:val="auto"/>
                <w:kern w:val="0"/>
                <w:szCs w:val="21"/>
                <w:highlight w:val="none"/>
              </w:rPr>
            </w:pPr>
            <w:r>
              <w:rPr>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563" w:hRule="atLeast"/>
          <w:jc w:val="center"/>
        </w:trPr>
        <w:tc>
          <w:tcPr>
            <w:tcW w:w="195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40" w:lineRule="exact"/>
              <w:jc w:val="center"/>
              <w:rPr>
                <w:color w:val="auto"/>
                <w:kern w:val="0"/>
                <w:szCs w:val="21"/>
                <w:highlight w:val="none"/>
              </w:rPr>
            </w:pPr>
            <w:r>
              <w:rPr>
                <w:color w:val="auto"/>
                <w:kern w:val="0"/>
                <w:szCs w:val="21"/>
                <w:highlight w:val="none"/>
              </w:rPr>
              <w:t>验收小组意见</w:t>
            </w:r>
          </w:p>
        </w:tc>
        <w:tc>
          <w:tcPr>
            <w:tcW w:w="7521" w:type="dxa"/>
            <w:gridSpan w:val="7"/>
            <w:tcBorders>
              <w:top w:val="nil"/>
              <w:left w:val="nil"/>
              <w:bottom w:val="single" w:color="auto" w:sz="8" w:space="0"/>
              <w:right w:val="single" w:color="auto" w:sz="8" w:space="0"/>
            </w:tcBorders>
            <w:noWrap/>
          </w:tcPr>
          <w:p>
            <w:pPr>
              <w:widowControl/>
              <w:spacing w:line="340" w:lineRule="exact"/>
              <w:ind w:left="105" w:leftChars="50"/>
              <w:rPr>
                <w:color w:val="auto"/>
                <w:kern w:val="0"/>
                <w:szCs w:val="21"/>
                <w:highlight w:val="none"/>
              </w:rPr>
            </w:pPr>
            <w:r>
              <w:rPr>
                <w:color w:val="auto"/>
                <w:kern w:val="0"/>
                <w:szCs w:val="21"/>
                <w:highlight w:val="none"/>
              </w:rPr>
              <w:t>验收结论性意见：</w:t>
            </w:r>
          </w:p>
        </w:tc>
      </w:tr>
      <w:tr>
        <w:tblPrEx>
          <w:tblCellMar>
            <w:top w:w="0" w:type="dxa"/>
            <w:left w:w="0" w:type="dxa"/>
            <w:bottom w:w="0" w:type="dxa"/>
            <w:right w:w="0" w:type="dxa"/>
          </w:tblCellMar>
        </w:tblPrEx>
        <w:trPr>
          <w:trHeight w:val="1155" w:hRule="atLeast"/>
          <w:jc w:val="center"/>
        </w:trPr>
        <w:tc>
          <w:tcPr>
            <w:tcW w:w="1959" w:type="dxa"/>
            <w:gridSpan w:val="2"/>
            <w:vMerge w:val="continue"/>
            <w:tcBorders>
              <w:top w:val="nil"/>
              <w:left w:val="single" w:color="auto" w:sz="8" w:space="0"/>
              <w:bottom w:val="single" w:color="auto" w:sz="8" w:space="0"/>
              <w:right w:val="single" w:color="auto" w:sz="8" w:space="0"/>
            </w:tcBorders>
            <w:noWrap/>
            <w:vAlign w:val="center"/>
          </w:tcPr>
          <w:p>
            <w:pPr>
              <w:widowControl/>
              <w:spacing w:line="340" w:lineRule="exact"/>
              <w:jc w:val="left"/>
              <w:rPr>
                <w:color w:val="auto"/>
                <w:kern w:val="0"/>
                <w:szCs w:val="21"/>
                <w:highlight w:val="none"/>
              </w:rPr>
            </w:pPr>
          </w:p>
        </w:tc>
        <w:tc>
          <w:tcPr>
            <w:tcW w:w="7521" w:type="dxa"/>
            <w:gridSpan w:val="7"/>
            <w:tcBorders>
              <w:top w:val="nil"/>
              <w:left w:val="nil"/>
              <w:bottom w:val="single" w:color="auto" w:sz="8" w:space="0"/>
              <w:right w:val="single" w:color="auto" w:sz="8" w:space="0"/>
            </w:tcBorders>
            <w:noWrap/>
            <w:vAlign w:val="center"/>
          </w:tcPr>
          <w:p>
            <w:pPr>
              <w:widowControl/>
              <w:spacing w:after="312" w:afterLines="100" w:line="340" w:lineRule="exact"/>
              <w:ind w:left="105" w:leftChars="50"/>
              <w:jc w:val="left"/>
              <w:rPr>
                <w:color w:val="auto"/>
                <w:kern w:val="0"/>
                <w:szCs w:val="21"/>
                <w:highlight w:val="none"/>
              </w:rPr>
            </w:pPr>
            <w:r>
              <w:rPr>
                <w:color w:val="auto"/>
                <w:kern w:val="0"/>
                <w:szCs w:val="21"/>
                <w:highlight w:val="none"/>
              </w:rPr>
              <w:t>有异议的意见和说明理由：</w:t>
            </w:r>
          </w:p>
          <w:p>
            <w:pPr>
              <w:widowControl/>
              <w:spacing w:line="340" w:lineRule="exact"/>
              <w:ind w:left="105" w:leftChars="50"/>
              <w:jc w:val="left"/>
              <w:rPr>
                <w:color w:val="auto"/>
                <w:kern w:val="0"/>
                <w:szCs w:val="21"/>
                <w:highlight w:val="none"/>
              </w:rPr>
            </w:pPr>
            <w:r>
              <w:rPr>
                <w:color w:val="auto"/>
                <w:kern w:val="0"/>
                <w:szCs w:val="21"/>
                <w:highlight w:val="none"/>
              </w:rPr>
              <w:t>签字：</w:t>
            </w:r>
          </w:p>
        </w:tc>
      </w:tr>
      <w:tr>
        <w:tblPrEx>
          <w:tblCellMar>
            <w:top w:w="0" w:type="dxa"/>
            <w:left w:w="0" w:type="dxa"/>
            <w:bottom w:w="0" w:type="dxa"/>
            <w:right w:w="0" w:type="dxa"/>
          </w:tblCellMar>
        </w:tblPrEx>
        <w:trPr>
          <w:trHeight w:val="717" w:hRule="atLeast"/>
          <w:jc w:val="center"/>
        </w:trPr>
        <w:tc>
          <w:tcPr>
            <w:tcW w:w="9480"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40" w:lineRule="exact"/>
              <w:jc w:val="left"/>
              <w:rPr>
                <w:color w:val="auto"/>
                <w:kern w:val="0"/>
                <w:szCs w:val="21"/>
                <w:highlight w:val="none"/>
              </w:rPr>
            </w:pPr>
            <w:r>
              <w:rPr>
                <w:color w:val="auto"/>
                <w:kern w:val="0"/>
                <w:szCs w:val="21"/>
                <w:highlight w:val="none"/>
              </w:rPr>
              <w:t>验收小组成员签字：</w:t>
            </w:r>
          </w:p>
        </w:tc>
      </w:tr>
      <w:tr>
        <w:tblPrEx>
          <w:tblCellMar>
            <w:top w:w="0" w:type="dxa"/>
            <w:left w:w="0" w:type="dxa"/>
            <w:bottom w:w="0" w:type="dxa"/>
            <w:right w:w="0" w:type="dxa"/>
          </w:tblCellMar>
        </w:tblPrEx>
        <w:trPr>
          <w:trHeight w:val="1276" w:hRule="atLeast"/>
          <w:jc w:val="center"/>
        </w:trPr>
        <w:tc>
          <w:tcPr>
            <w:tcW w:w="9480"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40" w:lineRule="exact"/>
              <w:jc w:val="left"/>
              <w:rPr>
                <w:color w:val="auto"/>
                <w:highlight w:val="none"/>
              </w:rPr>
            </w:pPr>
            <w:r>
              <w:rPr>
                <w:color w:val="auto"/>
                <w:kern w:val="0"/>
                <w:szCs w:val="21"/>
                <w:highlight w:val="none"/>
              </w:rPr>
              <w:t>监督人员或者其他相关人员签字：</w:t>
            </w:r>
          </w:p>
          <w:p>
            <w:pPr>
              <w:widowControl/>
              <w:spacing w:line="340" w:lineRule="exact"/>
              <w:jc w:val="left"/>
              <w:rPr>
                <w:color w:val="auto"/>
                <w:kern w:val="0"/>
                <w:szCs w:val="21"/>
                <w:highlight w:val="none"/>
              </w:rPr>
            </w:pPr>
            <w:r>
              <w:rPr>
                <w:color w:val="auto"/>
                <w:kern w:val="0"/>
                <w:szCs w:val="21"/>
                <w:highlight w:val="none"/>
              </w:rPr>
              <w:t>或者受邀机构的意见（盖章）：</w:t>
            </w:r>
          </w:p>
        </w:tc>
      </w:tr>
      <w:tr>
        <w:tblPrEx>
          <w:tblCellMar>
            <w:top w:w="0" w:type="dxa"/>
            <w:left w:w="0" w:type="dxa"/>
            <w:bottom w:w="0" w:type="dxa"/>
            <w:right w:w="0" w:type="dxa"/>
          </w:tblCellMar>
        </w:tblPrEx>
        <w:trPr>
          <w:trHeight w:val="1589" w:hRule="atLeast"/>
          <w:jc w:val="center"/>
        </w:trPr>
        <w:tc>
          <w:tcPr>
            <w:tcW w:w="4482" w:type="dxa"/>
            <w:gridSpan w:val="5"/>
            <w:tcBorders>
              <w:top w:val="nil"/>
              <w:left w:val="single" w:color="auto" w:sz="8" w:space="0"/>
              <w:bottom w:val="single" w:color="auto" w:sz="8" w:space="0"/>
              <w:right w:val="nil"/>
            </w:tcBorders>
            <w:noWrap/>
            <w:tcMar>
              <w:top w:w="0" w:type="dxa"/>
              <w:left w:w="108" w:type="dxa"/>
              <w:bottom w:w="0" w:type="dxa"/>
              <w:right w:w="108" w:type="dxa"/>
            </w:tcMar>
            <w:vAlign w:val="center"/>
          </w:tcPr>
          <w:p>
            <w:pPr>
              <w:widowControl/>
              <w:spacing w:line="340" w:lineRule="exact"/>
              <w:jc w:val="left"/>
              <w:rPr>
                <w:color w:val="auto"/>
                <w:kern w:val="0"/>
                <w:szCs w:val="21"/>
                <w:highlight w:val="none"/>
              </w:rPr>
            </w:pPr>
            <w:r>
              <w:rPr>
                <w:color w:val="auto"/>
                <w:kern w:val="0"/>
                <w:szCs w:val="21"/>
                <w:highlight w:val="none"/>
              </w:rPr>
              <w:t>成交供应商负责人签字或者盖章：</w:t>
            </w:r>
          </w:p>
          <w:p>
            <w:pPr>
              <w:pStyle w:val="20"/>
              <w:ind w:firstLine="428"/>
              <w:rPr>
                <w:color w:val="auto"/>
                <w:sz w:val="21"/>
                <w:szCs w:val="21"/>
                <w:highlight w:val="none"/>
              </w:rPr>
            </w:pPr>
          </w:p>
          <w:p>
            <w:pPr>
              <w:pStyle w:val="20"/>
              <w:ind w:firstLine="428"/>
              <w:rPr>
                <w:color w:val="auto"/>
                <w:sz w:val="21"/>
                <w:szCs w:val="21"/>
                <w:highlight w:val="none"/>
              </w:rPr>
            </w:pPr>
          </w:p>
          <w:p>
            <w:pPr>
              <w:widowControl/>
              <w:spacing w:line="340" w:lineRule="exact"/>
              <w:jc w:val="left"/>
              <w:rPr>
                <w:color w:val="auto"/>
                <w:kern w:val="0"/>
                <w:szCs w:val="21"/>
                <w:highlight w:val="none"/>
              </w:rPr>
            </w:pPr>
            <w:r>
              <w:rPr>
                <w:color w:val="auto"/>
                <w:kern w:val="0"/>
                <w:szCs w:val="21"/>
                <w:highlight w:val="none"/>
              </w:rPr>
              <w:t xml:space="preserve">联系电话：              </w:t>
            </w:r>
          </w:p>
          <w:p>
            <w:pPr>
              <w:widowControl/>
              <w:spacing w:line="340" w:lineRule="exact"/>
              <w:jc w:val="left"/>
              <w:rPr>
                <w:color w:val="auto"/>
                <w:kern w:val="0"/>
                <w:szCs w:val="21"/>
                <w:highlight w:val="none"/>
              </w:rPr>
            </w:pPr>
            <w:r>
              <w:rPr>
                <w:color w:val="auto"/>
                <w:kern w:val="0"/>
                <w:szCs w:val="21"/>
                <w:highlight w:val="none"/>
              </w:rPr>
              <w:t xml:space="preserve">                   年     月     日</w:t>
            </w:r>
          </w:p>
        </w:tc>
        <w:tc>
          <w:tcPr>
            <w:tcW w:w="4998" w:type="dxa"/>
            <w:gridSpan w:val="4"/>
            <w:tcBorders>
              <w:top w:val="nil"/>
              <w:left w:val="nil"/>
              <w:bottom w:val="single" w:color="auto" w:sz="8" w:space="0"/>
              <w:right w:val="single" w:color="auto" w:sz="8" w:space="0"/>
            </w:tcBorders>
            <w:noWrap/>
            <w:vAlign w:val="center"/>
          </w:tcPr>
          <w:p>
            <w:pPr>
              <w:widowControl/>
              <w:spacing w:line="340" w:lineRule="exact"/>
              <w:ind w:firstLine="630" w:firstLineChars="300"/>
              <w:jc w:val="left"/>
              <w:rPr>
                <w:color w:val="auto"/>
                <w:kern w:val="0"/>
                <w:szCs w:val="21"/>
                <w:highlight w:val="none"/>
              </w:rPr>
            </w:pPr>
            <w:r>
              <w:rPr>
                <w:color w:val="auto"/>
                <w:kern w:val="0"/>
                <w:szCs w:val="21"/>
                <w:highlight w:val="none"/>
              </w:rPr>
              <w:t>采购人或者受托机构的意见（盖章）：</w:t>
            </w:r>
          </w:p>
          <w:p>
            <w:pPr>
              <w:pStyle w:val="20"/>
              <w:ind w:firstLine="428"/>
              <w:rPr>
                <w:color w:val="auto"/>
                <w:sz w:val="21"/>
                <w:szCs w:val="21"/>
                <w:highlight w:val="none"/>
              </w:rPr>
            </w:pPr>
          </w:p>
          <w:p>
            <w:pPr>
              <w:pStyle w:val="20"/>
              <w:ind w:firstLine="428"/>
              <w:rPr>
                <w:color w:val="auto"/>
                <w:sz w:val="21"/>
                <w:szCs w:val="21"/>
                <w:highlight w:val="none"/>
              </w:rPr>
            </w:pPr>
          </w:p>
          <w:p>
            <w:pPr>
              <w:pStyle w:val="20"/>
              <w:ind w:firstLine="428"/>
              <w:rPr>
                <w:rFonts w:ascii="Times New Roman"/>
                <w:color w:val="auto"/>
                <w:sz w:val="21"/>
                <w:szCs w:val="21"/>
                <w:highlight w:val="none"/>
              </w:rPr>
            </w:pPr>
            <w:r>
              <w:rPr>
                <w:rFonts w:ascii="Times New Roman"/>
                <w:color w:val="auto"/>
                <w:sz w:val="21"/>
                <w:szCs w:val="21"/>
                <w:highlight w:val="none"/>
              </w:rPr>
              <w:t xml:space="preserve">联系电话：               </w:t>
            </w:r>
          </w:p>
          <w:p>
            <w:pPr>
              <w:widowControl/>
              <w:spacing w:line="340" w:lineRule="exact"/>
              <w:ind w:firstLine="420" w:firstLineChars="200"/>
              <w:jc w:val="left"/>
              <w:rPr>
                <w:color w:val="auto"/>
                <w:kern w:val="0"/>
                <w:szCs w:val="21"/>
                <w:highlight w:val="none"/>
              </w:rPr>
            </w:pPr>
            <w:r>
              <w:rPr>
                <w:color w:val="auto"/>
                <w:kern w:val="0"/>
                <w:szCs w:val="21"/>
                <w:highlight w:val="none"/>
              </w:rPr>
              <w:t xml:space="preserve">                       年     月     日</w:t>
            </w:r>
          </w:p>
        </w:tc>
      </w:tr>
    </w:tbl>
    <w:p>
      <w:pPr>
        <w:pStyle w:val="12"/>
        <w:jc w:val="left"/>
        <w:outlineLvl w:val="1"/>
        <w:rPr>
          <w:rFonts w:ascii="Arial Unicode MS" w:hAnsi="Arial Unicode MS" w:eastAsia="Arial Unicode MS" w:cs="Arial Unicode MS"/>
          <w:color w:val="auto"/>
          <w:sz w:val="32"/>
          <w:szCs w:val="32"/>
          <w:highlight w:val="none"/>
        </w:rPr>
      </w:pPr>
      <w:r>
        <w:rPr>
          <w:rFonts w:hint="eastAsia"/>
          <w:color w:val="auto"/>
          <w:highlight w:val="none"/>
        </w:rPr>
        <w:br w:type="page"/>
      </w:r>
      <w:bookmarkStart w:id="37" w:name="_Toc19222"/>
      <w:bookmarkStart w:id="38" w:name="_Toc4679"/>
      <w:r>
        <w:rPr>
          <w:rFonts w:hint="eastAsia" w:ascii="Arial Unicode MS" w:hAnsi="Arial Unicode MS" w:eastAsia="Arial Unicode MS" w:cs="Arial Unicode MS"/>
          <w:color w:val="auto"/>
          <w:sz w:val="32"/>
          <w:szCs w:val="32"/>
          <w:highlight w:val="none"/>
        </w:rPr>
        <w:t>附件2：</w:t>
      </w:r>
      <w:bookmarkEnd w:id="37"/>
      <w:bookmarkEnd w:id="38"/>
    </w:p>
    <w:p>
      <w:pPr>
        <w:spacing w:line="528" w:lineRule="exact"/>
        <w:jc w:val="center"/>
        <w:outlineLvl w:val="1"/>
        <w:rPr>
          <w:rFonts w:ascii="Arial Unicode MS" w:hAnsi="Arial Unicode MS" w:eastAsia="Arial Unicode MS" w:cs="Arial Unicode MS"/>
          <w:color w:val="auto"/>
          <w:sz w:val="40"/>
          <w:szCs w:val="40"/>
          <w:highlight w:val="none"/>
        </w:rPr>
      </w:pPr>
      <w:bookmarkStart w:id="39" w:name="_Toc17833"/>
      <w:bookmarkStart w:id="40" w:name="_Toc6780"/>
      <w:r>
        <w:rPr>
          <w:rFonts w:hint="eastAsia" w:ascii="Arial Unicode MS" w:hAnsi="Arial Unicode MS" w:eastAsia="Arial Unicode MS" w:cs="Arial Unicode MS"/>
          <w:color w:val="auto"/>
          <w:sz w:val="40"/>
          <w:szCs w:val="40"/>
          <w:highlight w:val="none"/>
        </w:rPr>
        <w:t>中小微企业划型标准</w:t>
      </w:r>
      <w:bookmarkEnd w:id="39"/>
      <w:bookmarkEnd w:id="40"/>
    </w:p>
    <w:tbl>
      <w:tblPr>
        <w:tblStyle w:val="21"/>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rPr>
          <w:rFonts w:ascii="仿宋_GB2312" w:hAnsi="仿宋" w:eastAsia="仿宋_GB2312"/>
          <w:color w:val="auto"/>
          <w:szCs w:val="21"/>
          <w:highlight w:val="none"/>
        </w:rPr>
      </w:pPr>
      <w:r>
        <w:rPr>
          <w:rFonts w:hint="eastAsia" w:ascii="仿宋_GB2312" w:hAnsi="仿宋" w:eastAsia="仿宋_GB2312"/>
          <w:color w:val="auto"/>
          <w:szCs w:val="21"/>
          <w:highlight w:val="none"/>
        </w:rPr>
        <w:br w:type="page"/>
      </w:r>
    </w:p>
    <w:p>
      <w:pPr>
        <w:pStyle w:val="12"/>
        <w:spacing w:line="520" w:lineRule="exact"/>
        <w:ind w:firstLine="420"/>
        <w:rPr>
          <w:color w:val="auto"/>
          <w:sz w:val="24"/>
          <w:szCs w:val="24"/>
          <w:highlight w:val="none"/>
        </w:rPr>
      </w:pPr>
      <w:r>
        <w:rPr>
          <w:rFonts w:hint="eastAsia"/>
          <w:b/>
          <w:color w:val="auto"/>
          <w:sz w:val="28"/>
          <w:szCs w:val="28"/>
          <w:highlight w:val="none"/>
        </w:rPr>
        <w:t>附件3：</w:t>
      </w:r>
    </w:p>
    <w:p>
      <w:pPr>
        <w:pStyle w:val="12"/>
        <w:spacing w:line="520" w:lineRule="exact"/>
        <w:ind w:firstLine="420"/>
        <w:jc w:val="center"/>
        <w:rPr>
          <w:b/>
          <w:color w:val="auto"/>
          <w:sz w:val="32"/>
          <w:szCs w:val="32"/>
          <w:highlight w:val="none"/>
        </w:rPr>
      </w:pPr>
      <w:r>
        <w:rPr>
          <w:rFonts w:hint="eastAsia"/>
          <w:b/>
          <w:color w:val="auto"/>
          <w:sz w:val="32"/>
          <w:szCs w:val="32"/>
          <w:highlight w:val="none"/>
        </w:rPr>
        <w:t>政府采购项目履约保证金退付意见书</w:t>
      </w:r>
    </w:p>
    <w:tbl>
      <w:tblPr>
        <w:tblStyle w:val="22"/>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pStyle w:val="12"/>
              <w:spacing w:line="320" w:lineRule="exact"/>
              <w:ind w:left="113" w:right="113"/>
              <w:jc w:val="center"/>
              <w:rPr>
                <w:color w:val="auto"/>
                <w:sz w:val="30"/>
                <w:szCs w:val="30"/>
                <w:highlight w:val="none"/>
              </w:rPr>
            </w:pPr>
            <w:r>
              <w:rPr>
                <w:rFonts w:hint="eastAsia"/>
                <w:color w:val="auto"/>
                <w:sz w:val="30"/>
                <w:szCs w:val="30"/>
                <w:highlight w:val="none"/>
              </w:rPr>
              <w:t>供 应 商 申 请</w:t>
            </w:r>
          </w:p>
        </w:tc>
        <w:tc>
          <w:tcPr>
            <w:tcW w:w="8398" w:type="dxa"/>
            <w:tcBorders>
              <w:top w:val="single" w:color="auto" w:sz="4" w:space="0"/>
              <w:left w:val="single" w:color="auto" w:sz="4" w:space="0"/>
              <w:bottom w:val="single" w:color="auto" w:sz="4" w:space="0"/>
              <w:right w:val="single" w:color="auto" w:sz="4" w:space="0"/>
            </w:tcBorders>
            <w:noWrap/>
            <w:vAlign w:val="center"/>
          </w:tcPr>
          <w:p>
            <w:pPr>
              <w:pStyle w:val="12"/>
              <w:spacing w:line="320" w:lineRule="exact"/>
              <w:rPr>
                <w:color w:val="auto"/>
                <w:sz w:val="28"/>
                <w:szCs w:val="28"/>
                <w:highlight w:val="none"/>
              </w:rPr>
            </w:pPr>
            <w:r>
              <w:rPr>
                <w:rFonts w:hint="eastAsia"/>
                <w:color w:val="auto"/>
                <w:sz w:val="28"/>
                <w:szCs w:val="28"/>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Courier New"/>
                <w:color w:val="auto"/>
                <w:sz w:val="30"/>
                <w:szCs w:val="30"/>
                <w:highlight w:val="none"/>
              </w:rPr>
            </w:pPr>
          </w:p>
        </w:tc>
        <w:tc>
          <w:tcPr>
            <w:tcW w:w="8398" w:type="dxa"/>
            <w:tcBorders>
              <w:top w:val="single" w:color="auto" w:sz="4" w:space="0"/>
              <w:left w:val="single" w:color="auto" w:sz="4" w:space="0"/>
              <w:bottom w:val="single" w:color="auto" w:sz="4" w:space="0"/>
              <w:right w:val="single" w:color="auto" w:sz="4" w:space="0"/>
            </w:tcBorders>
            <w:noWrap/>
            <w:vAlign w:val="center"/>
          </w:tcPr>
          <w:p>
            <w:pPr>
              <w:pStyle w:val="12"/>
              <w:spacing w:line="320" w:lineRule="exact"/>
              <w:rPr>
                <w:color w:val="auto"/>
                <w:sz w:val="28"/>
                <w:szCs w:val="28"/>
                <w:highlight w:val="none"/>
              </w:rPr>
            </w:pPr>
            <w:r>
              <w:rPr>
                <w:rFonts w:hint="eastAsia"/>
                <w:color w:val="auto"/>
                <w:sz w:val="28"/>
                <w:szCs w:val="28"/>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trPr>
        <w:tc>
          <w:tcPr>
            <w:tcW w:w="8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Courier New"/>
                <w:color w:val="auto"/>
                <w:sz w:val="30"/>
                <w:szCs w:val="30"/>
                <w:highlight w:val="none"/>
              </w:rPr>
            </w:pPr>
          </w:p>
        </w:tc>
        <w:tc>
          <w:tcPr>
            <w:tcW w:w="8398" w:type="dxa"/>
            <w:tcBorders>
              <w:top w:val="single" w:color="auto" w:sz="4" w:space="0"/>
              <w:left w:val="single" w:color="auto" w:sz="4" w:space="0"/>
              <w:bottom w:val="single" w:color="auto" w:sz="4" w:space="0"/>
              <w:right w:val="single" w:color="auto" w:sz="4" w:space="0"/>
            </w:tcBorders>
            <w:noWrap/>
          </w:tcPr>
          <w:p>
            <w:pPr>
              <w:pStyle w:val="12"/>
              <w:spacing w:line="320" w:lineRule="exact"/>
              <w:rPr>
                <w:color w:val="auto"/>
                <w:sz w:val="28"/>
                <w:szCs w:val="28"/>
                <w:highlight w:val="none"/>
              </w:rPr>
            </w:pPr>
          </w:p>
          <w:p>
            <w:pPr>
              <w:pStyle w:val="12"/>
              <w:spacing w:line="520" w:lineRule="exact"/>
              <w:ind w:firstLine="560" w:firstLineChars="200"/>
              <w:rPr>
                <w:color w:val="auto"/>
                <w:sz w:val="28"/>
                <w:szCs w:val="28"/>
                <w:highlight w:val="none"/>
              </w:rPr>
            </w:pPr>
            <w:r>
              <w:rPr>
                <w:rFonts w:hint="eastAsia"/>
                <w:color w:val="auto"/>
                <w:sz w:val="28"/>
                <w:szCs w:val="28"/>
                <w:highlight w:val="none"/>
              </w:rPr>
              <w:t>该项目已于年月日验收并交付使用。根据合同规定，该项目的履约保证金期限于年月日已满，请将履约保证金（大写）人民币（￥）退付到以下帐户：</w:t>
            </w:r>
          </w:p>
          <w:p>
            <w:pPr>
              <w:pStyle w:val="12"/>
              <w:spacing w:line="520" w:lineRule="exact"/>
              <w:ind w:firstLine="560" w:firstLineChars="200"/>
              <w:rPr>
                <w:color w:val="auto"/>
                <w:sz w:val="28"/>
                <w:szCs w:val="28"/>
                <w:highlight w:val="none"/>
              </w:rPr>
            </w:pPr>
          </w:p>
          <w:p>
            <w:pPr>
              <w:pStyle w:val="12"/>
              <w:spacing w:line="520" w:lineRule="exact"/>
              <w:rPr>
                <w:color w:val="auto"/>
                <w:sz w:val="28"/>
                <w:szCs w:val="28"/>
                <w:highlight w:val="none"/>
              </w:rPr>
            </w:pPr>
            <w:r>
              <w:rPr>
                <w:rFonts w:hint="eastAsia"/>
                <w:color w:val="auto"/>
                <w:sz w:val="28"/>
                <w:szCs w:val="28"/>
                <w:highlight w:val="none"/>
              </w:rPr>
              <w:t>单位名称：</w:t>
            </w:r>
          </w:p>
          <w:p>
            <w:pPr>
              <w:pStyle w:val="12"/>
              <w:spacing w:line="520" w:lineRule="exact"/>
              <w:rPr>
                <w:color w:val="auto"/>
                <w:sz w:val="28"/>
                <w:szCs w:val="28"/>
                <w:highlight w:val="none"/>
              </w:rPr>
            </w:pPr>
            <w:r>
              <w:rPr>
                <w:rFonts w:hint="eastAsia"/>
                <w:color w:val="auto"/>
                <w:sz w:val="28"/>
                <w:szCs w:val="28"/>
                <w:highlight w:val="none"/>
              </w:rPr>
              <w:t>开户银行：</w:t>
            </w:r>
          </w:p>
          <w:p>
            <w:pPr>
              <w:pStyle w:val="12"/>
              <w:spacing w:line="520" w:lineRule="exact"/>
              <w:rPr>
                <w:color w:val="auto"/>
                <w:sz w:val="28"/>
                <w:szCs w:val="28"/>
                <w:highlight w:val="none"/>
              </w:rPr>
            </w:pPr>
            <w:r>
              <w:rPr>
                <w:rFonts w:hint="eastAsia"/>
                <w:color w:val="auto"/>
                <w:sz w:val="28"/>
                <w:szCs w:val="28"/>
                <w:highlight w:val="none"/>
              </w:rPr>
              <w:t>银行账号：</w:t>
            </w:r>
          </w:p>
          <w:p>
            <w:pPr>
              <w:pStyle w:val="12"/>
              <w:spacing w:line="520" w:lineRule="exact"/>
              <w:rPr>
                <w:color w:val="auto"/>
                <w:sz w:val="28"/>
                <w:szCs w:val="28"/>
                <w:highlight w:val="none"/>
              </w:rPr>
            </w:pPr>
          </w:p>
          <w:p>
            <w:pPr>
              <w:pStyle w:val="12"/>
              <w:spacing w:line="520" w:lineRule="exact"/>
              <w:rPr>
                <w:color w:val="auto"/>
                <w:sz w:val="28"/>
                <w:szCs w:val="28"/>
                <w:highlight w:val="none"/>
              </w:rPr>
            </w:pPr>
            <w:r>
              <w:rPr>
                <w:rFonts w:hint="eastAsia"/>
                <w:color w:val="auto"/>
                <w:sz w:val="28"/>
                <w:szCs w:val="28"/>
                <w:highlight w:val="none"/>
              </w:rPr>
              <w:t>联系人：</w:t>
            </w:r>
          </w:p>
          <w:p>
            <w:pPr>
              <w:pStyle w:val="12"/>
              <w:spacing w:line="520" w:lineRule="exact"/>
              <w:rPr>
                <w:color w:val="auto"/>
                <w:sz w:val="28"/>
                <w:szCs w:val="28"/>
                <w:highlight w:val="none"/>
              </w:rPr>
            </w:pPr>
            <w:r>
              <w:rPr>
                <w:rFonts w:hint="eastAsia"/>
                <w:color w:val="auto"/>
                <w:sz w:val="28"/>
                <w:szCs w:val="28"/>
                <w:highlight w:val="none"/>
              </w:rPr>
              <w:t xml:space="preserve">联系电话： </w:t>
            </w:r>
          </w:p>
          <w:p>
            <w:pPr>
              <w:pStyle w:val="12"/>
              <w:spacing w:line="520" w:lineRule="exact"/>
              <w:rPr>
                <w:color w:val="auto"/>
                <w:sz w:val="28"/>
                <w:szCs w:val="28"/>
                <w:highlight w:val="none"/>
              </w:rPr>
            </w:pPr>
            <w:r>
              <w:rPr>
                <w:rFonts w:hint="eastAsia"/>
                <w:color w:val="auto"/>
                <w:sz w:val="28"/>
                <w:szCs w:val="28"/>
                <w:highlight w:val="none"/>
              </w:rPr>
              <w:t xml:space="preserve">                                  供应商签章</w:t>
            </w:r>
          </w:p>
          <w:p>
            <w:pPr>
              <w:pStyle w:val="12"/>
              <w:spacing w:line="520" w:lineRule="exact"/>
              <w:rPr>
                <w:color w:val="auto"/>
                <w:sz w:val="28"/>
                <w:szCs w:val="28"/>
                <w:highlight w:val="none"/>
              </w:rPr>
            </w:pPr>
            <w:r>
              <w:rPr>
                <w:rFonts w:hint="eastAsia"/>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0" w:hRule="atLeast"/>
        </w:trPr>
        <w:tc>
          <w:tcPr>
            <w:tcW w:w="841" w:type="dxa"/>
            <w:tcBorders>
              <w:top w:val="single" w:color="auto" w:sz="4" w:space="0"/>
              <w:left w:val="single" w:color="auto" w:sz="4" w:space="0"/>
              <w:bottom w:val="single" w:color="auto" w:sz="4" w:space="0"/>
              <w:right w:val="single" w:color="auto" w:sz="4" w:space="0"/>
            </w:tcBorders>
            <w:noWrap/>
            <w:textDirection w:val="tbRlV"/>
            <w:vAlign w:val="center"/>
          </w:tcPr>
          <w:p>
            <w:pPr>
              <w:pStyle w:val="12"/>
              <w:spacing w:line="320" w:lineRule="exact"/>
              <w:ind w:left="113" w:right="113"/>
              <w:jc w:val="center"/>
              <w:rPr>
                <w:color w:val="auto"/>
                <w:sz w:val="30"/>
                <w:szCs w:val="30"/>
                <w:highlight w:val="none"/>
              </w:rPr>
            </w:pPr>
            <w:r>
              <w:rPr>
                <w:rFonts w:hint="eastAsia"/>
                <w:color w:val="auto"/>
                <w:sz w:val="30"/>
                <w:szCs w:val="30"/>
                <w:highlight w:val="none"/>
              </w:rPr>
              <w:t>采 购 单 位 意 见</w:t>
            </w:r>
          </w:p>
        </w:tc>
        <w:tc>
          <w:tcPr>
            <w:tcW w:w="8398" w:type="dxa"/>
            <w:tcBorders>
              <w:top w:val="single" w:color="auto" w:sz="4" w:space="0"/>
              <w:left w:val="single" w:color="auto" w:sz="4" w:space="0"/>
              <w:bottom w:val="single" w:color="auto" w:sz="4" w:space="0"/>
              <w:right w:val="single" w:color="auto" w:sz="4" w:space="0"/>
            </w:tcBorders>
            <w:noWrap/>
          </w:tcPr>
          <w:p>
            <w:pPr>
              <w:pStyle w:val="12"/>
              <w:spacing w:line="320" w:lineRule="exact"/>
              <w:rPr>
                <w:color w:val="auto"/>
                <w:sz w:val="28"/>
                <w:szCs w:val="28"/>
                <w:highlight w:val="none"/>
              </w:rPr>
            </w:pPr>
          </w:p>
          <w:p>
            <w:pPr>
              <w:pStyle w:val="12"/>
              <w:spacing w:line="320" w:lineRule="exact"/>
              <w:rPr>
                <w:color w:val="auto"/>
                <w:sz w:val="28"/>
                <w:szCs w:val="28"/>
                <w:highlight w:val="none"/>
              </w:rPr>
            </w:pPr>
            <w:r>
              <w:rPr>
                <w:rFonts w:hint="eastAsia"/>
                <w:color w:val="auto"/>
                <w:sz w:val="28"/>
                <w:szCs w:val="28"/>
                <w:highlight w:val="none"/>
              </w:rPr>
              <w:t>验收意见：</w:t>
            </w:r>
          </w:p>
          <w:p>
            <w:pPr>
              <w:pStyle w:val="12"/>
              <w:spacing w:line="320" w:lineRule="exact"/>
              <w:rPr>
                <w:color w:val="auto"/>
                <w:sz w:val="28"/>
                <w:szCs w:val="28"/>
                <w:highlight w:val="none"/>
              </w:rPr>
            </w:pPr>
          </w:p>
          <w:p>
            <w:pPr>
              <w:pStyle w:val="12"/>
              <w:spacing w:line="320" w:lineRule="exact"/>
              <w:rPr>
                <w:color w:val="auto"/>
                <w:sz w:val="28"/>
                <w:szCs w:val="28"/>
                <w:highlight w:val="none"/>
              </w:rPr>
            </w:pPr>
          </w:p>
          <w:p>
            <w:pPr>
              <w:pStyle w:val="12"/>
              <w:spacing w:line="320" w:lineRule="exact"/>
              <w:rPr>
                <w:color w:val="auto"/>
                <w:sz w:val="28"/>
                <w:szCs w:val="28"/>
                <w:highlight w:val="none"/>
              </w:rPr>
            </w:pPr>
          </w:p>
          <w:p>
            <w:pPr>
              <w:pStyle w:val="12"/>
              <w:spacing w:line="320" w:lineRule="exact"/>
              <w:rPr>
                <w:color w:val="auto"/>
                <w:sz w:val="28"/>
                <w:szCs w:val="28"/>
                <w:highlight w:val="none"/>
              </w:rPr>
            </w:pPr>
          </w:p>
          <w:p>
            <w:pPr>
              <w:pStyle w:val="12"/>
              <w:spacing w:line="320" w:lineRule="exact"/>
              <w:rPr>
                <w:color w:val="auto"/>
                <w:sz w:val="28"/>
                <w:szCs w:val="28"/>
                <w:highlight w:val="none"/>
              </w:rPr>
            </w:pPr>
          </w:p>
          <w:p>
            <w:pPr>
              <w:pStyle w:val="12"/>
              <w:spacing w:line="520" w:lineRule="exact"/>
              <w:rPr>
                <w:color w:val="auto"/>
                <w:sz w:val="28"/>
                <w:szCs w:val="28"/>
                <w:highlight w:val="none"/>
              </w:rPr>
            </w:pPr>
            <w:r>
              <w:rPr>
                <w:rFonts w:hint="eastAsia"/>
                <w:color w:val="auto"/>
                <w:sz w:val="28"/>
                <w:szCs w:val="28"/>
                <w:highlight w:val="none"/>
              </w:rPr>
              <w:t>联系人：</w:t>
            </w:r>
          </w:p>
          <w:p>
            <w:pPr>
              <w:pStyle w:val="12"/>
              <w:spacing w:line="520" w:lineRule="exact"/>
              <w:rPr>
                <w:color w:val="auto"/>
                <w:sz w:val="28"/>
                <w:szCs w:val="28"/>
                <w:highlight w:val="none"/>
              </w:rPr>
            </w:pPr>
            <w:r>
              <w:rPr>
                <w:rFonts w:hint="eastAsia"/>
                <w:color w:val="auto"/>
                <w:sz w:val="28"/>
                <w:szCs w:val="28"/>
                <w:highlight w:val="none"/>
              </w:rPr>
              <w:t xml:space="preserve">联系电话： </w:t>
            </w:r>
          </w:p>
          <w:p>
            <w:pPr>
              <w:pStyle w:val="12"/>
              <w:spacing w:line="520" w:lineRule="exact"/>
              <w:rPr>
                <w:color w:val="auto"/>
                <w:sz w:val="28"/>
                <w:szCs w:val="28"/>
                <w:highlight w:val="none"/>
              </w:rPr>
            </w:pPr>
          </w:p>
          <w:p>
            <w:pPr>
              <w:pStyle w:val="12"/>
              <w:spacing w:line="520" w:lineRule="exact"/>
              <w:rPr>
                <w:color w:val="auto"/>
                <w:sz w:val="28"/>
                <w:szCs w:val="28"/>
                <w:highlight w:val="none"/>
              </w:rPr>
            </w:pPr>
            <w:r>
              <w:rPr>
                <w:rFonts w:hint="eastAsia"/>
                <w:color w:val="auto"/>
                <w:sz w:val="28"/>
                <w:szCs w:val="28"/>
                <w:highlight w:val="none"/>
              </w:rPr>
              <w:t xml:space="preserve">                                    采购单位签章</w:t>
            </w:r>
          </w:p>
          <w:p>
            <w:pPr>
              <w:pStyle w:val="12"/>
              <w:spacing w:line="520" w:lineRule="exact"/>
              <w:rPr>
                <w:color w:val="auto"/>
                <w:sz w:val="28"/>
                <w:szCs w:val="28"/>
                <w:highlight w:val="none"/>
              </w:rPr>
            </w:pPr>
            <w:r>
              <w:rPr>
                <w:rFonts w:hint="eastAsia"/>
                <w:color w:val="auto"/>
                <w:sz w:val="28"/>
                <w:szCs w:val="28"/>
                <w:highlight w:val="none"/>
              </w:rPr>
              <w:t xml:space="preserve">                                    年   月   日</w:t>
            </w:r>
          </w:p>
        </w:tc>
      </w:tr>
    </w:tbl>
    <w:p>
      <w:pPr>
        <w:pStyle w:val="2"/>
        <w:spacing w:before="120" w:after="120" w:line="400" w:lineRule="exact"/>
        <w:jc w:val="center"/>
        <w:rPr>
          <w:rFonts w:ascii="宋体" w:hAnsi="宋体" w:cs="Courier New"/>
          <w:b w:val="0"/>
          <w:bCs w:val="0"/>
          <w:color w:val="auto"/>
          <w:sz w:val="36"/>
          <w:highlight w:val="none"/>
        </w:rPr>
      </w:pPr>
      <w:r>
        <w:rPr>
          <w:rFonts w:hint="eastAsia"/>
          <w:color w:val="auto"/>
          <w:highlight w:val="none"/>
        </w:rPr>
        <w:br w:type="page"/>
      </w:r>
      <w:bookmarkStart w:id="41" w:name="_Toc22228"/>
      <w:bookmarkStart w:id="42" w:name="_Toc7020"/>
      <w:r>
        <w:rPr>
          <w:rFonts w:hint="eastAsia"/>
          <w:color w:val="auto"/>
          <w:highlight w:val="none"/>
        </w:rPr>
        <w:t>第三章</w:t>
      </w:r>
      <w:bookmarkStart w:id="43" w:name="_Toc4268"/>
      <w:r>
        <w:rPr>
          <w:rFonts w:hint="eastAsia"/>
          <w:color w:val="auto"/>
          <w:highlight w:val="none"/>
        </w:rPr>
        <w:t xml:space="preserve"> 采购内容及要求</w:t>
      </w:r>
      <w:bookmarkEnd w:id="41"/>
      <w:bookmarkEnd w:id="42"/>
      <w:bookmarkEnd w:id="43"/>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r>
        <w:rPr>
          <w:rFonts w:hint="eastAsia" w:ascii="宋体" w:hAnsi="宋体" w:cs="宋体"/>
          <w:color w:val="auto"/>
          <w:szCs w:val="21"/>
          <w:highlight w:val="none"/>
        </w:rPr>
        <w:t>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3.投标人应根据自身实际情况如实响应招标文件，对招标文件提出的要求和条件作出明确响应，否则将作无效响应处理。</w:t>
      </w:r>
    </w:p>
    <w:p>
      <w:pPr>
        <w:spacing w:line="360" w:lineRule="auto"/>
        <w:ind w:firstLine="422" w:firstLineChars="200"/>
        <w:rPr>
          <w:rFonts w:ascii="宋体" w:hAnsi="宋体"/>
          <w:color w:val="auto"/>
          <w:szCs w:val="21"/>
          <w:highlight w:val="none"/>
          <w:u w:val="single"/>
        </w:rPr>
      </w:pPr>
      <w:r>
        <w:rPr>
          <w:rFonts w:hint="eastAsia" w:ascii="宋体" w:hAnsi="宋体"/>
          <w:b/>
          <w:color w:val="auto"/>
          <w:szCs w:val="21"/>
          <w:highlight w:val="none"/>
        </w:rPr>
        <w:t>4.采购预算：</w:t>
      </w:r>
      <w:r>
        <w:rPr>
          <w:rFonts w:hint="eastAsia" w:ascii="宋体" w:hAnsi="宋体" w:cs="宋体"/>
          <w:color w:val="auto"/>
          <w:szCs w:val="21"/>
          <w:highlight w:val="none"/>
        </w:rPr>
        <w:t>188.9362万元（其中白沙头桥99.915万元；围初沟桥89.0212万元）</w:t>
      </w:r>
    </w:p>
    <w:p>
      <w:pPr>
        <w:spacing w:line="93" w:lineRule="exact"/>
        <w:rPr>
          <w:color w:val="auto"/>
          <w:highlight w:val="none"/>
        </w:rPr>
      </w:pPr>
    </w:p>
    <w:tbl>
      <w:tblPr>
        <w:tblStyle w:val="29"/>
        <w:tblW w:w="9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128"/>
        <w:gridCol w:w="316"/>
        <w:gridCol w:w="652"/>
        <w:gridCol w:w="723"/>
        <w:gridCol w:w="6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59" w:type="dxa"/>
            <w:tcBorders>
              <w:top w:val="single" w:color="5D7C97" w:sz="2" w:space="0"/>
              <w:left w:val="single" w:color="F3F6F8" w:sz="2" w:space="0"/>
              <w:bottom w:val="single" w:color="F3F6F8" w:sz="4" w:space="0"/>
              <w:right w:val="single" w:color="F3F6F8" w:sz="2" w:space="0"/>
            </w:tcBorders>
            <w:shd w:val="clear" w:color="auto" w:fill="97ACBF"/>
            <w:noWrap/>
          </w:tcPr>
          <w:p>
            <w:pPr>
              <w:pStyle w:val="28"/>
              <w:spacing w:before="241" w:line="229" w:lineRule="auto"/>
              <w:ind w:left="123"/>
              <w:rPr>
                <w:color w:val="auto"/>
                <w:highlight w:val="none"/>
              </w:rPr>
            </w:pPr>
            <w:r>
              <w:rPr>
                <w:color w:val="auto"/>
                <w:spacing w:val="5"/>
                <w:highlight w:val="none"/>
              </w:rPr>
              <w:t>序号</w:t>
            </w:r>
          </w:p>
        </w:tc>
        <w:tc>
          <w:tcPr>
            <w:tcW w:w="1128" w:type="dxa"/>
            <w:tcBorders>
              <w:top w:val="single" w:color="5D7C97" w:sz="2" w:space="0"/>
              <w:left w:val="single" w:color="F3F6F8" w:sz="2" w:space="0"/>
              <w:bottom w:val="single" w:color="F3F6F8" w:sz="4" w:space="0"/>
              <w:right w:val="single" w:color="F3F6F8" w:sz="2" w:space="0"/>
            </w:tcBorders>
            <w:shd w:val="clear" w:color="auto" w:fill="97ACBF"/>
            <w:noWrap/>
          </w:tcPr>
          <w:p>
            <w:pPr>
              <w:pStyle w:val="28"/>
              <w:spacing w:before="80" w:line="258" w:lineRule="auto"/>
              <w:ind w:left="461" w:right="144" w:hanging="312"/>
              <w:rPr>
                <w:color w:val="auto"/>
                <w:highlight w:val="none"/>
              </w:rPr>
            </w:pPr>
            <w:r>
              <w:rPr>
                <w:color w:val="auto"/>
                <w:spacing w:val="7"/>
                <w:highlight w:val="none"/>
              </w:rPr>
              <w:t>标的名</w:t>
            </w:r>
            <w:r>
              <w:rPr>
                <w:color w:val="auto"/>
                <w:spacing w:val="1"/>
                <w:highlight w:val="none"/>
              </w:rPr>
              <w:t>称</w:t>
            </w:r>
          </w:p>
        </w:tc>
        <w:tc>
          <w:tcPr>
            <w:tcW w:w="968" w:type="dxa"/>
            <w:gridSpan w:val="2"/>
            <w:tcBorders>
              <w:top w:val="single" w:color="5D7C97" w:sz="2" w:space="0"/>
              <w:left w:val="single" w:color="F3F6F8" w:sz="2" w:space="0"/>
              <w:bottom w:val="single" w:color="F3F6F8" w:sz="4" w:space="0"/>
              <w:right w:val="single" w:color="F3F6F8" w:sz="2" w:space="0"/>
            </w:tcBorders>
            <w:shd w:val="clear" w:color="auto" w:fill="97ACBF"/>
            <w:noWrap/>
          </w:tcPr>
          <w:p>
            <w:pPr>
              <w:pStyle w:val="28"/>
              <w:spacing w:before="80" w:line="228" w:lineRule="auto"/>
              <w:ind w:left="174"/>
              <w:rPr>
                <w:color w:val="auto"/>
                <w:highlight w:val="none"/>
              </w:rPr>
            </w:pPr>
            <w:r>
              <w:rPr>
                <w:color w:val="auto"/>
                <w:spacing w:val="6"/>
                <w:highlight w:val="none"/>
              </w:rPr>
              <w:t>数量及</w:t>
            </w:r>
          </w:p>
          <w:p>
            <w:pPr>
              <w:pStyle w:val="28"/>
              <w:spacing w:before="74" w:line="219" w:lineRule="auto"/>
              <w:ind w:left="280"/>
              <w:rPr>
                <w:color w:val="auto"/>
                <w:highlight w:val="none"/>
              </w:rPr>
            </w:pPr>
            <w:r>
              <w:rPr>
                <w:color w:val="auto"/>
                <w:spacing w:val="3"/>
                <w:highlight w:val="none"/>
              </w:rPr>
              <w:t>单位</w:t>
            </w:r>
          </w:p>
        </w:tc>
        <w:tc>
          <w:tcPr>
            <w:tcW w:w="723" w:type="dxa"/>
            <w:tcBorders>
              <w:top w:val="single" w:color="5D7C97" w:sz="2" w:space="0"/>
              <w:left w:val="single" w:color="F3F6F8" w:sz="2" w:space="0"/>
              <w:bottom w:val="single" w:color="F3F6F8" w:sz="4" w:space="0"/>
              <w:right w:val="single" w:color="F3F6F8" w:sz="2" w:space="0"/>
            </w:tcBorders>
            <w:shd w:val="clear" w:color="auto" w:fill="97ACBF"/>
            <w:noWrap/>
          </w:tcPr>
          <w:p>
            <w:pPr>
              <w:pStyle w:val="28"/>
              <w:spacing w:before="80" w:line="322" w:lineRule="exact"/>
              <w:ind w:left="155"/>
              <w:rPr>
                <w:color w:val="auto"/>
                <w:highlight w:val="none"/>
              </w:rPr>
            </w:pPr>
            <w:r>
              <w:rPr>
                <w:color w:val="auto"/>
                <w:spacing w:val="4"/>
                <w:position w:val="8"/>
                <w:highlight w:val="none"/>
              </w:rPr>
              <w:t>所属</w:t>
            </w:r>
          </w:p>
          <w:p>
            <w:pPr>
              <w:pStyle w:val="28"/>
              <w:spacing w:line="218" w:lineRule="auto"/>
              <w:ind w:left="158"/>
              <w:rPr>
                <w:color w:val="auto"/>
                <w:highlight w:val="none"/>
              </w:rPr>
            </w:pPr>
            <w:r>
              <w:rPr>
                <w:color w:val="auto"/>
                <w:spacing w:val="3"/>
                <w:highlight w:val="none"/>
              </w:rPr>
              <w:t>行业</w:t>
            </w:r>
          </w:p>
        </w:tc>
        <w:tc>
          <w:tcPr>
            <w:tcW w:w="6240" w:type="dxa"/>
            <w:tcBorders>
              <w:top w:val="single" w:color="5D7C97" w:sz="2" w:space="0"/>
              <w:left w:val="single" w:color="F3F6F8" w:sz="2" w:space="0"/>
              <w:bottom w:val="single" w:color="F3F6F8" w:sz="4" w:space="0"/>
              <w:right w:val="single" w:color="F3F6F8" w:sz="2" w:space="0"/>
            </w:tcBorders>
            <w:shd w:val="clear" w:color="auto" w:fill="97ACBF"/>
            <w:noWrap/>
          </w:tcPr>
          <w:p>
            <w:pPr>
              <w:pStyle w:val="28"/>
              <w:spacing w:before="240" w:line="228" w:lineRule="auto"/>
              <w:ind w:left="2704"/>
              <w:rPr>
                <w:color w:val="auto"/>
                <w:highlight w:val="none"/>
              </w:rPr>
            </w:pPr>
            <w:r>
              <w:rPr>
                <w:rFonts w:hint="eastAsia"/>
                <w:b/>
                <w:color w:val="auto"/>
                <w:szCs w:val="21"/>
                <w:highlight w:val="none"/>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659" w:type="dxa"/>
            <w:tcBorders>
              <w:top w:val="single" w:color="F3F6F8" w:sz="2" w:space="0"/>
              <w:left w:val="single" w:color="F3F6F8" w:sz="2" w:space="0"/>
              <w:bottom w:val="single" w:color="F3F6F8" w:sz="2" w:space="0"/>
              <w:right w:val="single" w:color="F3F6F8" w:sz="2" w:space="0"/>
            </w:tcBorders>
            <w:shd w:val="clear" w:color="auto" w:fill="CED8E1"/>
            <w:noWrap/>
            <w:vAlign w:val="center"/>
          </w:tcPr>
          <w:p>
            <w:pPr>
              <w:pStyle w:val="28"/>
              <w:spacing w:before="129" w:line="228" w:lineRule="auto"/>
              <w:ind w:left="117"/>
              <w:jc w:val="center"/>
              <w:rPr>
                <w:color w:val="auto"/>
                <w:spacing w:val="9"/>
                <w:highlight w:val="none"/>
              </w:rPr>
            </w:pPr>
            <w:r>
              <w:rPr>
                <w:color w:val="auto"/>
                <w:spacing w:val="9"/>
                <w:highlight w:val="none"/>
              </w:rPr>
              <w:t>1</w:t>
            </w:r>
          </w:p>
        </w:tc>
        <w:tc>
          <w:tcPr>
            <w:tcW w:w="1128" w:type="dxa"/>
            <w:tcBorders>
              <w:top w:val="single" w:color="F3F6F8" w:sz="2" w:space="0"/>
              <w:left w:val="single" w:color="F3F6F8" w:sz="2" w:space="0"/>
              <w:bottom w:val="single" w:color="F3F6F8" w:sz="2" w:space="0"/>
              <w:right w:val="single" w:color="F3F6F8" w:sz="2" w:space="0"/>
            </w:tcBorders>
            <w:shd w:val="clear" w:color="auto" w:fill="EAEFF3"/>
            <w:noWrap/>
            <w:vAlign w:val="center"/>
          </w:tcPr>
          <w:p>
            <w:pPr>
              <w:pStyle w:val="28"/>
              <w:spacing w:before="129" w:line="228" w:lineRule="auto"/>
              <w:rPr>
                <w:color w:val="auto"/>
                <w:spacing w:val="9"/>
                <w:highlight w:val="none"/>
                <w:lang w:eastAsia="zh-CN"/>
              </w:rPr>
            </w:pPr>
            <w:r>
              <w:rPr>
                <w:rFonts w:hint="eastAsia"/>
                <w:color w:val="auto"/>
                <w:sz w:val="21"/>
                <w:szCs w:val="21"/>
                <w:highlight w:val="none"/>
                <w:lang w:eastAsia="zh-CN"/>
              </w:rPr>
              <w:t>G228线危旧桥梁改造工程（G228K6734+566白沙头桥危旧桥梁改造工程、G228K6744+568围初沟桥危旧桥梁改造工程）</w:t>
            </w:r>
          </w:p>
        </w:tc>
        <w:tc>
          <w:tcPr>
            <w:tcW w:w="968" w:type="dxa"/>
            <w:gridSpan w:val="2"/>
            <w:tcBorders>
              <w:top w:val="single" w:color="F3F6F8" w:sz="2" w:space="0"/>
              <w:left w:val="single" w:color="F3F6F8" w:sz="2" w:space="0"/>
              <w:bottom w:val="single" w:color="F3F6F8" w:sz="2" w:space="0"/>
              <w:right w:val="single" w:color="F3F6F8" w:sz="2" w:space="0"/>
            </w:tcBorders>
            <w:shd w:val="clear" w:color="auto" w:fill="CED8E1"/>
            <w:noWrap/>
            <w:vAlign w:val="center"/>
          </w:tcPr>
          <w:p>
            <w:pPr>
              <w:pStyle w:val="28"/>
              <w:spacing w:before="129" w:line="228" w:lineRule="auto"/>
              <w:ind w:left="117"/>
              <w:jc w:val="center"/>
              <w:rPr>
                <w:color w:val="auto"/>
                <w:spacing w:val="9"/>
                <w:highlight w:val="none"/>
              </w:rPr>
            </w:pPr>
            <w:r>
              <w:rPr>
                <w:color w:val="auto"/>
                <w:spacing w:val="9"/>
                <w:highlight w:val="none"/>
              </w:rPr>
              <w:t>1 项</w:t>
            </w:r>
          </w:p>
        </w:tc>
        <w:tc>
          <w:tcPr>
            <w:tcW w:w="723" w:type="dxa"/>
            <w:tcBorders>
              <w:top w:val="single" w:color="F3F6F8" w:sz="2" w:space="0"/>
              <w:left w:val="single" w:color="F3F6F8" w:sz="2" w:space="0"/>
              <w:bottom w:val="single" w:color="F3F6F8" w:sz="2" w:space="0"/>
              <w:right w:val="single" w:color="F3F6F8" w:sz="2" w:space="0"/>
            </w:tcBorders>
            <w:shd w:val="clear" w:color="auto" w:fill="EAEFF3"/>
            <w:noWrap/>
            <w:vAlign w:val="center"/>
          </w:tcPr>
          <w:p>
            <w:pPr>
              <w:pStyle w:val="28"/>
              <w:spacing w:before="129" w:line="228" w:lineRule="auto"/>
              <w:ind w:left="117"/>
              <w:jc w:val="center"/>
              <w:rPr>
                <w:color w:val="auto"/>
                <w:spacing w:val="9"/>
                <w:highlight w:val="none"/>
              </w:rPr>
            </w:pPr>
            <w:r>
              <w:rPr>
                <w:color w:val="auto"/>
                <w:spacing w:val="9"/>
                <w:highlight w:val="none"/>
              </w:rPr>
              <w:t>建筑</w:t>
            </w:r>
          </w:p>
          <w:p>
            <w:pPr>
              <w:pStyle w:val="28"/>
              <w:spacing w:before="129" w:line="228" w:lineRule="auto"/>
              <w:ind w:left="117"/>
              <w:jc w:val="center"/>
              <w:rPr>
                <w:color w:val="auto"/>
                <w:spacing w:val="9"/>
                <w:highlight w:val="none"/>
              </w:rPr>
            </w:pPr>
            <w:r>
              <w:rPr>
                <w:color w:val="auto"/>
                <w:spacing w:val="9"/>
                <w:highlight w:val="none"/>
              </w:rPr>
              <w:t>行业</w:t>
            </w:r>
          </w:p>
        </w:tc>
        <w:tc>
          <w:tcPr>
            <w:tcW w:w="6240" w:type="dxa"/>
            <w:tcBorders>
              <w:top w:val="single" w:color="F3F6F8" w:sz="2" w:space="0"/>
              <w:left w:val="single" w:color="F3F6F8" w:sz="2" w:space="0"/>
              <w:bottom w:val="single" w:color="F3F6F8" w:sz="2" w:space="0"/>
              <w:right w:val="single" w:color="F3F6F8" w:sz="2" w:space="0"/>
            </w:tcBorders>
            <w:shd w:val="clear" w:color="auto" w:fill="CED8E1"/>
            <w:noWrap/>
            <w:vAlign w:val="center"/>
          </w:tcPr>
          <w:p>
            <w:pPr>
              <w:pStyle w:val="28"/>
              <w:spacing w:before="1" w:line="360" w:lineRule="auto"/>
              <w:ind w:left="114"/>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1.工程名称∶G228线危旧桥梁改造工程（G228线K6734+566白沙头桥危旧桥梁改造工程、G228线K6744+568围初沟桥危旧桥梁改造工程）</w:t>
            </w:r>
          </w:p>
          <w:p>
            <w:pPr>
              <w:pStyle w:val="28"/>
              <w:spacing w:before="1" w:line="360" w:lineRule="auto"/>
              <w:ind w:left="114"/>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2.建设地点∶G228线K6744+568围初沟桥危桥及G228线K6734+566白沙头桥。</w:t>
            </w:r>
          </w:p>
          <w:p>
            <w:pPr>
              <w:spacing w:line="360" w:lineRule="auto"/>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3.项目规模：(1)G228线K6734+566白沙头桥危旧桥梁改造工程：拆除重建为简支实心板梁桥，桥梁全长 12米，桥面净宽 21米，全宽 22米，桥梁设计荷载等级为公路-Ι级，安全等级为一级，地震烈度为Ⅵ度，设计行车速度为 30公里/小时，设计洪水频率为1/25。上部结构采用预制安装 1×6米实心板，</w:t>
            </w:r>
            <w:r>
              <w:rPr>
                <w:rFonts w:hint="eastAsia" w:ascii="宋体" w:hAnsi="宋体" w:cs="宋体"/>
                <w:color w:val="auto"/>
                <w:sz w:val="21"/>
                <w:szCs w:val="21"/>
                <w:highlight w:val="none"/>
              </w:rPr>
              <w:t>采用扩大基础薄壁桥台。如需进一步了解内容，请详见招标文件及工程量清单。</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(2)G228线K6744+568围初沟桥危旧桥梁改造工程：拆除重建为简支空心板梁桥，桥梁全长 14米，桥面净宽 9米，全宽 10米；桥梁设计荷载等级为公路-Ι级，安全等级为二级，地震烈度为Ⅵ级，设计行车速度为 30公里/小时，设计洪水频率为1/25。上部结构采用 1×8米钢筋混凝土空心板，采用重力式 U型桥台。桥头两侧设引道与新建桥梁连接。如需进一步了解内容，请详见施工图及工程量清单。</w:t>
            </w:r>
          </w:p>
          <w:p>
            <w:pPr>
              <w:pStyle w:val="28"/>
              <w:spacing w:before="1" w:line="360" w:lineRule="auto"/>
              <w:ind w:left="114"/>
              <w:jc w:val="left"/>
              <w:rPr>
                <w:color w:val="auto"/>
                <w:spacing w:val="9"/>
                <w:sz w:val="21"/>
                <w:szCs w:val="21"/>
                <w:highlight w:val="none"/>
                <w:lang w:eastAsia="zh-CN"/>
              </w:rPr>
            </w:pPr>
            <w:r>
              <w:rPr>
                <w:rFonts w:hint="eastAsia"/>
                <w:color w:val="auto"/>
                <w:spacing w:val="9"/>
                <w:sz w:val="21"/>
                <w:szCs w:val="21"/>
                <w:highlight w:val="none"/>
                <w:lang w:eastAsia="zh-CN"/>
              </w:rPr>
              <w:t>4.主要工程量：(1)</w:t>
            </w:r>
            <w:r>
              <w:rPr>
                <w:rFonts w:hint="eastAsia"/>
                <w:color w:val="auto"/>
                <w:sz w:val="21"/>
                <w:szCs w:val="21"/>
                <w:highlight w:val="none"/>
                <w:lang w:eastAsia="zh-CN"/>
              </w:rPr>
              <w:t>G228</w:t>
            </w:r>
            <w:r>
              <w:rPr>
                <w:rFonts w:hint="eastAsia"/>
                <w:color w:val="auto"/>
                <w:sz w:val="21"/>
                <w:szCs w:val="21"/>
                <w:highlight w:val="none"/>
              </w:rPr>
              <w:t>线</w:t>
            </w:r>
            <w:r>
              <w:rPr>
                <w:rFonts w:hint="eastAsia"/>
                <w:color w:val="auto"/>
                <w:sz w:val="21"/>
                <w:szCs w:val="21"/>
                <w:highlight w:val="none"/>
                <w:lang w:eastAsia="zh-CN"/>
              </w:rPr>
              <w:t>K6734+566白沙头桥危旧桥梁改造工程：</w:t>
            </w:r>
            <w:r>
              <w:rPr>
                <w:rFonts w:hint="eastAsia"/>
                <w:color w:val="auto"/>
                <w:spacing w:val="9"/>
                <w:sz w:val="21"/>
                <w:szCs w:val="21"/>
                <w:highlight w:val="none"/>
                <w:lang w:eastAsia="zh-CN"/>
              </w:rPr>
              <w:t>浇筑 C35桥台基础量为 91.08立方米；浇筑 C35台身量为 65.66立方米；现浇台帽及背墙量为 29.98立方米；现浇耳墙量为 6.42立方米；预制安装 C45砼实心板量为 38.66立方米；新建 C35桥台搭板量为 66立方米；新建 C45防水砼量为 53.88立方米；新建 C35防撞墙量为 9.84立方米；安装泄水管数量为 8根；安装 C-40型异型钢长度为 43.5米；浆砌片石八字墙和水渠修复量为 10立方米；河床铺砌量为 31.38立方米；施画路面标线面积为 16.92平方米；预制场 C10砼硬化面积为 7.5平方米。</w:t>
            </w:r>
          </w:p>
          <w:p>
            <w:pPr>
              <w:pStyle w:val="28"/>
              <w:spacing w:before="1" w:line="360" w:lineRule="auto"/>
              <w:ind w:left="114"/>
              <w:jc w:val="left"/>
              <w:rPr>
                <w:color w:val="auto"/>
                <w:spacing w:val="9"/>
                <w:sz w:val="21"/>
                <w:szCs w:val="21"/>
                <w:highlight w:val="none"/>
                <w:lang w:eastAsia="zh-CN"/>
              </w:rPr>
            </w:pPr>
            <w:r>
              <w:rPr>
                <w:rFonts w:hint="eastAsia"/>
                <w:color w:val="auto"/>
                <w:spacing w:val="9"/>
                <w:sz w:val="21"/>
                <w:szCs w:val="21"/>
                <w:highlight w:val="none"/>
                <w:lang w:eastAsia="zh-CN"/>
              </w:rPr>
              <w:t>（2）</w:t>
            </w:r>
            <w:r>
              <w:rPr>
                <w:rFonts w:hint="eastAsia"/>
                <w:color w:val="auto"/>
                <w:sz w:val="21"/>
                <w:szCs w:val="21"/>
                <w:highlight w:val="none"/>
                <w:lang w:eastAsia="zh-CN"/>
              </w:rPr>
              <w:t>G228</w:t>
            </w:r>
            <w:r>
              <w:rPr>
                <w:rFonts w:hint="eastAsia"/>
                <w:color w:val="auto"/>
                <w:sz w:val="21"/>
                <w:szCs w:val="21"/>
                <w:highlight w:val="none"/>
              </w:rPr>
              <w:t>线</w:t>
            </w:r>
            <w:r>
              <w:rPr>
                <w:rFonts w:hint="eastAsia"/>
                <w:color w:val="auto"/>
                <w:sz w:val="21"/>
                <w:szCs w:val="21"/>
                <w:highlight w:val="none"/>
                <w:lang w:eastAsia="zh-CN"/>
              </w:rPr>
              <w:t>K6744+568围初沟桥危旧桥梁改造工程：</w:t>
            </w:r>
            <w:r>
              <w:rPr>
                <w:rFonts w:hint="eastAsia"/>
                <w:color w:val="auto"/>
                <w:spacing w:val="9"/>
                <w:sz w:val="21"/>
                <w:szCs w:val="21"/>
                <w:highlight w:val="none"/>
                <w:lang w:eastAsia="zh-CN"/>
              </w:rPr>
              <w:t>浇筑 C30桥台基础量为 117.16立方米；浇筑 C30台身及侧墙帽量为 62.38立方米；预制安装 C40预制空心板量为 27.6立方米；桥面铺筑 4厘米厚 AC-13沥青混凝土量为 154.4立方米；安装伸缩缝长度为 18米；现浇 C30防撞墙量为 11.48立方米；铺筑 C30桥台搭板量为 22.52立方米；现浇 C20桥台八字墙（基础 23.6+墙身29.94）总量为 53.54立方米；凿除砖石结构总量为 175.99立方米；凿除砼结构总量为 31.15立方米；凿除沥青砼结构总量为 26.78立方米；场地平整面积为 250平方米；场地硬化 C10砼量为 25立方米；预制 C15砼梁底座面积为 38.20平方米。</w:t>
            </w:r>
          </w:p>
          <w:p>
            <w:pPr>
              <w:pStyle w:val="28"/>
              <w:spacing w:before="1" w:line="360" w:lineRule="auto"/>
              <w:ind w:left="114"/>
              <w:jc w:val="left"/>
              <w:rPr>
                <w:color w:val="auto"/>
                <w:spacing w:val="9"/>
                <w:sz w:val="21"/>
                <w:szCs w:val="21"/>
                <w:highlight w:val="none"/>
                <w:lang w:eastAsia="zh-CN"/>
              </w:rPr>
            </w:pPr>
            <w:r>
              <w:rPr>
                <w:rFonts w:hint="eastAsia"/>
                <w:color w:val="auto"/>
                <w:spacing w:val="9"/>
                <w:sz w:val="21"/>
                <w:szCs w:val="21"/>
                <w:highlight w:val="none"/>
                <w:lang w:eastAsia="zh-CN"/>
              </w:rPr>
              <w:t>5.质量要求∶满足国家现行与本项目相应的施工竣工验收规范之“合格”标准。</w:t>
            </w:r>
          </w:p>
          <w:p>
            <w:pPr>
              <w:pStyle w:val="28"/>
              <w:spacing w:before="1" w:line="360" w:lineRule="auto"/>
              <w:ind w:left="114"/>
              <w:jc w:val="left"/>
              <w:rPr>
                <w:color w:val="auto"/>
                <w:spacing w:val="9"/>
                <w:sz w:val="21"/>
                <w:szCs w:val="21"/>
                <w:highlight w:val="none"/>
                <w:lang w:eastAsia="zh-CN"/>
              </w:rPr>
            </w:pPr>
            <w:r>
              <w:rPr>
                <w:rFonts w:hint="eastAsia"/>
                <w:color w:val="auto"/>
                <w:spacing w:val="9"/>
                <w:sz w:val="21"/>
                <w:szCs w:val="21"/>
                <w:highlight w:val="none"/>
                <w:lang w:eastAsia="zh-CN"/>
              </w:rPr>
              <w:t>6.工期要求∶80日历天</w:t>
            </w:r>
          </w:p>
          <w:p>
            <w:pPr>
              <w:pStyle w:val="28"/>
              <w:spacing w:before="1" w:line="360" w:lineRule="auto"/>
              <w:ind w:left="114"/>
              <w:jc w:val="left"/>
              <w:rPr>
                <w:color w:val="auto"/>
                <w:sz w:val="21"/>
                <w:szCs w:val="21"/>
                <w:highlight w:val="none"/>
                <w:lang w:eastAsia="zh-CN"/>
              </w:rPr>
            </w:pPr>
            <w:r>
              <w:rPr>
                <w:rFonts w:hint="eastAsia"/>
                <w:color w:val="auto"/>
                <w:sz w:val="21"/>
                <w:szCs w:val="21"/>
                <w:highlight w:val="none"/>
                <w:lang w:eastAsia="zh-CN"/>
              </w:rPr>
              <w:t>7、承包方式∶本合同价款采用综合单价固定，按实际工程量结算。</w:t>
            </w:r>
          </w:p>
          <w:p>
            <w:pPr>
              <w:pStyle w:val="28"/>
              <w:spacing w:before="1" w:line="360" w:lineRule="auto"/>
              <w:ind w:left="114"/>
              <w:jc w:val="left"/>
              <w:rPr>
                <w:color w:val="auto"/>
                <w:sz w:val="21"/>
                <w:szCs w:val="21"/>
                <w:highlight w:val="none"/>
                <w:lang w:eastAsia="zh-CN"/>
              </w:rPr>
            </w:pPr>
            <w:r>
              <w:rPr>
                <w:rFonts w:hint="eastAsia"/>
                <w:color w:val="auto"/>
                <w:sz w:val="21"/>
                <w:szCs w:val="21"/>
                <w:highlight w:val="none"/>
                <w:lang w:eastAsia="zh-CN"/>
              </w:rPr>
              <w:t>8、工程量清单编制说明与要求：（本项目工程量清单另册发放）</w:t>
            </w:r>
          </w:p>
          <w:p>
            <w:pPr>
              <w:pStyle w:val="28"/>
              <w:spacing w:before="1" w:line="360" w:lineRule="auto"/>
              <w:ind w:left="114"/>
              <w:jc w:val="left"/>
              <w:rPr>
                <w:color w:val="auto"/>
                <w:sz w:val="21"/>
                <w:szCs w:val="21"/>
                <w:highlight w:val="none"/>
                <w:lang w:eastAsia="zh-CN"/>
              </w:rPr>
            </w:pPr>
            <w:r>
              <w:rPr>
                <w:rFonts w:hint="eastAsia"/>
                <w:color w:val="auto"/>
                <w:sz w:val="21"/>
                <w:szCs w:val="21"/>
                <w:highlight w:val="none"/>
                <w:lang w:eastAsia="zh-CN"/>
              </w:rPr>
              <w:t>8.1.招标控制价编制说明：</w:t>
            </w:r>
          </w:p>
          <w:p>
            <w:pPr>
              <w:pStyle w:val="28"/>
              <w:spacing w:before="1" w:line="360" w:lineRule="auto"/>
              <w:ind w:left="114"/>
              <w:jc w:val="left"/>
              <w:rPr>
                <w:color w:val="auto"/>
                <w:sz w:val="21"/>
                <w:szCs w:val="21"/>
                <w:highlight w:val="none"/>
                <w:lang w:eastAsia="zh-CN"/>
              </w:rPr>
            </w:pPr>
            <w:r>
              <w:rPr>
                <w:rFonts w:hint="eastAsia"/>
                <w:color w:val="auto"/>
                <w:sz w:val="21"/>
                <w:szCs w:val="21"/>
                <w:highlight w:val="none"/>
                <w:lang w:eastAsia="zh-CN"/>
              </w:rPr>
              <w:t>8.1.1编制依据：根据已发出的工程量清单编制说明。</w:t>
            </w:r>
          </w:p>
          <w:p>
            <w:pPr>
              <w:pStyle w:val="28"/>
              <w:spacing w:before="1" w:line="360" w:lineRule="auto"/>
              <w:ind w:left="114"/>
              <w:jc w:val="left"/>
              <w:rPr>
                <w:b/>
                <w:bCs/>
                <w:color w:val="auto"/>
                <w:sz w:val="21"/>
                <w:szCs w:val="21"/>
                <w:highlight w:val="none"/>
                <w:lang w:eastAsia="zh-CN"/>
              </w:rPr>
            </w:pPr>
            <w:r>
              <w:rPr>
                <w:rFonts w:hint="eastAsia"/>
                <w:b/>
                <w:bCs/>
                <w:color w:val="auto"/>
                <w:sz w:val="21"/>
                <w:szCs w:val="21"/>
                <w:highlight w:val="none"/>
                <w:lang w:eastAsia="zh-CN"/>
              </w:rPr>
              <w:t>9.技术规范：技术规范采用中华人民共和国交通运输部的技术规范，增加技术规范专用条款。</w:t>
            </w:r>
          </w:p>
          <w:p>
            <w:pPr>
              <w:pStyle w:val="28"/>
              <w:spacing w:before="1" w:line="360" w:lineRule="auto"/>
              <w:ind w:left="114"/>
              <w:jc w:val="left"/>
              <w:rPr>
                <w:color w:val="auto"/>
                <w:sz w:val="21"/>
                <w:szCs w:val="21"/>
                <w:highlight w:val="none"/>
                <w:lang w:eastAsia="zh-CN"/>
              </w:rPr>
            </w:pPr>
            <w:r>
              <w:rPr>
                <w:rFonts w:hint="eastAsia"/>
                <w:b/>
                <w:bCs/>
                <w:color w:val="auto"/>
                <w:sz w:val="21"/>
                <w:szCs w:val="21"/>
                <w:highlight w:val="none"/>
                <w:lang w:eastAsia="zh-CN"/>
              </w:rPr>
              <w:t>10.工程量清单计量规则：工程量清单计量规则采用中华人民共和国交通运输部的工程量清单计量规则。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18" w:type="dxa"/>
            <w:gridSpan w:val="6"/>
            <w:tcBorders>
              <w:top w:val="single" w:color="F3F6F8" w:sz="2" w:space="0"/>
              <w:left w:val="single" w:color="F3F6F8" w:sz="2" w:space="0"/>
              <w:bottom w:val="single" w:color="F3F6F8" w:sz="4" w:space="0"/>
              <w:right w:val="single" w:color="F3F6F8" w:sz="2" w:space="0"/>
            </w:tcBorders>
            <w:shd w:val="clear" w:color="auto" w:fill="CED8E1"/>
            <w:noWrap/>
          </w:tcPr>
          <w:p>
            <w:pPr>
              <w:pStyle w:val="28"/>
              <w:spacing w:before="130" w:line="228" w:lineRule="auto"/>
              <w:ind w:left="120"/>
              <w:rPr>
                <w:color w:val="auto"/>
                <w:sz w:val="21"/>
                <w:szCs w:val="21"/>
                <w:highlight w:val="none"/>
              </w:rPr>
            </w:pPr>
            <w:r>
              <w:rPr>
                <w:rFonts w:hint="eastAsia"/>
                <w:b/>
                <w:color w:val="auto"/>
                <w:sz w:val="21"/>
                <w:szCs w:val="21"/>
                <w:highlight w:val="none"/>
              </w:rPr>
              <w:t>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03" w:type="dxa"/>
            <w:gridSpan w:val="3"/>
            <w:tcBorders>
              <w:top w:val="single" w:color="F3F6F8" w:sz="2" w:space="0"/>
              <w:left w:val="single" w:color="F3F6F8" w:sz="2" w:space="0"/>
              <w:bottom w:val="single" w:color="F3F6F8" w:sz="4" w:space="0"/>
              <w:right w:val="single" w:color="F3F6F8" w:sz="2" w:space="0"/>
            </w:tcBorders>
            <w:shd w:val="clear" w:color="auto" w:fill="CED8E1"/>
            <w:noWrap/>
          </w:tcPr>
          <w:p>
            <w:pPr>
              <w:pStyle w:val="28"/>
              <w:spacing w:before="133" w:line="230" w:lineRule="auto"/>
              <w:ind w:left="429"/>
              <w:rPr>
                <w:color w:val="auto"/>
                <w:sz w:val="21"/>
                <w:szCs w:val="21"/>
                <w:highlight w:val="none"/>
              </w:rPr>
            </w:pPr>
            <w:r>
              <w:rPr>
                <w:color w:val="auto"/>
                <w:spacing w:val="8"/>
                <w:sz w:val="21"/>
                <w:szCs w:val="21"/>
                <w:highlight w:val="none"/>
              </w:rPr>
              <w:t>合同签订时间</w:t>
            </w:r>
          </w:p>
        </w:tc>
        <w:tc>
          <w:tcPr>
            <w:tcW w:w="7615" w:type="dxa"/>
            <w:gridSpan w:val="3"/>
            <w:tcBorders>
              <w:top w:val="single" w:color="F3F6F8" w:sz="2" w:space="0"/>
              <w:left w:val="single" w:color="F3F6F8" w:sz="2" w:space="0"/>
              <w:bottom w:val="single" w:color="F3F6F8" w:sz="4" w:space="0"/>
              <w:right w:val="single" w:color="F3F6F8" w:sz="2" w:space="0"/>
            </w:tcBorders>
            <w:shd w:val="clear" w:color="auto" w:fill="EAEFF3"/>
            <w:noWrap/>
          </w:tcPr>
          <w:p>
            <w:pPr>
              <w:pStyle w:val="28"/>
              <w:spacing w:before="133" w:line="227" w:lineRule="auto"/>
              <w:ind w:left="148"/>
              <w:rPr>
                <w:color w:val="auto"/>
                <w:sz w:val="21"/>
                <w:szCs w:val="21"/>
                <w:highlight w:val="none"/>
                <w:lang w:eastAsia="zh-CN"/>
              </w:rPr>
            </w:pPr>
            <w:r>
              <w:rPr>
                <w:color w:val="auto"/>
                <w:spacing w:val="2"/>
                <w:sz w:val="21"/>
                <w:szCs w:val="21"/>
                <w:highlight w:val="none"/>
                <w:lang w:eastAsia="zh-CN"/>
              </w:rPr>
              <w:t xml:space="preserve">自成交通知书发出之日起 </w:t>
            </w:r>
            <w:r>
              <w:rPr>
                <w:rFonts w:hint="eastAsia"/>
                <w:color w:val="auto"/>
                <w:spacing w:val="2"/>
                <w:sz w:val="21"/>
                <w:szCs w:val="21"/>
                <w:highlight w:val="none"/>
                <w:lang w:eastAsia="zh-CN"/>
              </w:rPr>
              <w:t>25</w:t>
            </w:r>
            <w:r>
              <w:rPr>
                <w:color w:val="auto"/>
                <w:spacing w:val="2"/>
                <w:sz w:val="21"/>
                <w:szCs w:val="21"/>
                <w:highlight w:val="none"/>
                <w:lang w:eastAsia="zh-CN"/>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9" w:hRule="atLeast"/>
        </w:trPr>
        <w:tc>
          <w:tcPr>
            <w:tcW w:w="2103" w:type="dxa"/>
            <w:gridSpan w:val="3"/>
            <w:tcBorders>
              <w:top w:val="single" w:color="F3F6F8" w:sz="2" w:space="0"/>
              <w:left w:val="single" w:color="F3F6F8" w:sz="2" w:space="0"/>
              <w:bottom w:val="single" w:color="F3F6F8" w:sz="4" w:space="0"/>
              <w:right w:val="single" w:color="F3F6F8" w:sz="2" w:space="0"/>
            </w:tcBorders>
            <w:shd w:val="clear" w:color="auto" w:fill="CED8E1"/>
            <w:noWrap/>
          </w:tcPr>
          <w:p>
            <w:pPr>
              <w:pStyle w:val="28"/>
              <w:spacing w:before="65" w:line="468" w:lineRule="exact"/>
              <w:ind w:left="124"/>
              <w:rPr>
                <w:color w:val="auto"/>
                <w:sz w:val="21"/>
                <w:szCs w:val="21"/>
                <w:highlight w:val="none"/>
                <w:lang w:eastAsia="zh-CN"/>
              </w:rPr>
            </w:pPr>
            <w:r>
              <w:rPr>
                <w:color w:val="auto"/>
                <w:spacing w:val="7"/>
                <w:position w:val="20"/>
                <w:sz w:val="21"/>
                <w:szCs w:val="21"/>
                <w:highlight w:val="none"/>
                <w:lang w:eastAsia="zh-CN"/>
              </w:rPr>
              <w:t>▲付款条件（进度和</w:t>
            </w:r>
          </w:p>
          <w:p>
            <w:pPr>
              <w:pStyle w:val="28"/>
              <w:spacing w:line="229" w:lineRule="auto"/>
              <w:ind w:left="743"/>
              <w:rPr>
                <w:color w:val="auto"/>
                <w:sz w:val="21"/>
                <w:szCs w:val="21"/>
                <w:highlight w:val="none"/>
                <w:lang w:eastAsia="zh-CN"/>
              </w:rPr>
            </w:pPr>
            <w:r>
              <w:rPr>
                <w:color w:val="auto"/>
                <w:spacing w:val="2"/>
                <w:sz w:val="21"/>
                <w:szCs w:val="21"/>
                <w:highlight w:val="none"/>
                <w:lang w:eastAsia="zh-CN"/>
              </w:rPr>
              <w:t>方式）</w:t>
            </w:r>
          </w:p>
        </w:tc>
        <w:tc>
          <w:tcPr>
            <w:tcW w:w="7615" w:type="dxa"/>
            <w:gridSpan w:val="3"/>
            <w:tcBorders>
              <w:top w:val="single" w:color="F3F6F8" w:sz="2" w:space="0"/>
              <w:left w:val="single" w:color="F3F6F8" w:sz="2" w:space="0"/>
              <w:bottom w:val="single" w:color="F3F6F8" w:sz="4" w:space="0"/>
              <w:right w:val="single" w:color="F3F6F8" w:sz="2" w:space="0"/>
            </w:tcBorders>
            <w:shd w:val="clear" w:color="auto" w:fill="CED8E1"/>
            <w:noWrap/>
          </w:tcPr>
          <w:p>
            <w:pPr>
              <w:numPr>
                <w:ilvl w:val="0"/>
                <w:numId w:val="4"/>
              </w:num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工程预付款的总金额为签约合同价的30%（签合同时明确），一次性支付给承包人，付款时间应在合同协议书签订后 10个工作日内，由承包人向发包人提交了相应的预付款保函，并经监理人出具付款证书报送发包人批准。</w:t>
            </w:r>
          </w:p>
          <w:p>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（2）工程进度付款的支付</w:t>
            </w:r>
          </w:p>
          <w:p>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工程建设款按工程进度进行计量支付，计量结算时将扣除合同价2%作为质量保证金。</w:t>
            </w:r>
          </w:p>
          <w:p>
            <w:pPr>
              <w:pStyle w:val="19"/>
              <w:shd w:val="clear" w:color="auto" w:fill="FFFFFF"/>
              <w:spacing w:before="0" w:beforeAutospacing="0" w:after="0" w:afterAutospacing="0" w:line="375" w:lineRule="atLeast"/>
              <w:ind w:firstLine="480"/>
              <w:jc w:val="both"/>
              <w:rPr>
                <w:color w:val="auto"/>
                <w:sz w:val="21"/>
                <w:szCs w:val="21"/>
                <w:highlight w:val="none"/>
                <w:lang w:eastAsia="zh-CN"/>
              </w:rPr>
            </w:pPr>
            <w:r>
              <w:rPr>
                <w:rFonts w:hint="eastAsia" w:ascii="宋体" w:hAnsi="宋体" w:eastAsia="宋体" w:cs="宋体"/>
                <w:color w:val="auto"/>
                <w:kern w:val="2"/>
                <w:sz w:val="21"/>
                <w:szCs w:val="21"/>
                <w:highlight w:val="none"/>
              </w:rPr>
              <w:t>根据“住房城乡建设部 财政部关于印发建设工程质量保证金管理办法的通知建质[2017]138号”第六条“在工程项目竣工前，已缴纳履约保证金的，发包人不得同时预留工程质量保证金。”的规定。</w:t>
            </w:r>
            <w:r>
              <w:rPr>
                <w:rFonts w:hint="eastAsia" w:ascii="宋体" w:hAnsi="宋体" w:eastAsia="宋体" w:cs="宋体"/>
                <w:color w:val="auto"/>
                <w:sz w:val="21"/>
                <w:szCs w:val="21"/>
                <w:highlight w:val="none"/>
              </w:rPr>
              <w:t>计量结算时</w:t>
            </w:r>
            <w:r>
              <w:rPr>
                <w:rFonts w:hint="eastAsia" w:ascii="宋体" w:hAnsi="宋体" w:eastAsia="宋体" w:cs="宋体"/>
                <w:color w:val="auto"/>
                <w:kern w:val="2"/>
                <w:sz w:val="21"/>
                <w:szCs w:val="21"/>
                <w:highlight w:val="none"/>
              </w:rPr>
              <w:t>可将已经缴纳的履约保证金转换成</w:t>
            </w:r>
            <w:r>
              <w:rPr>
                <w:rFonts w:hint="eastAsia" w:ascii="宋体" w:hAnsi="宋体" w:eastAsia="宋体" w:cs="宋体"/>
                <w:color w:val="auto"/>
                <w:sz w:val="21"/>
                <w:szCs w:val="21"/>
                <w:highlight w:val="none"/>
              </w:rPr>
              <w:t>质量保证金，在</w:t>
            </w:r>
            <w:r>
              <w:rPr>
                <w:rFonts w:hint="eastAsia" w:ascii="宋体" w:hAnsi="宋体" w:eastAsia="宋体" w:cs="宋体"/>
                <w:color w:val="auto"/>
                <w:kern w:val="2"/>
                <w:sz w:val="21"/>
                <w:szCs w:val="21"/>
                <w:highlight w:val="none"/>
              </w:rPr>
              <w:t>缺陷责任期满后一次性退还。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103" w:type="dxa"/>
            <w:gridSpan w:val="3"/>
            <w:tcBorders>
              <w:top w:val="single" w:color="F3F6F8" w:sz="2" w:space="0"/>
              <w:left w:val="single" w:color="F3F6F8" w:sz="2" w:space="0"/>
              <w:bottom w:val="single" w:color="F3F6F8" w:sz="2" w:space="0"/>
              <w:right w:val="single" w:color="F3F6F8" w:sz="2" w:space="0"/>
            </w:tcBorders>
            <w:shd w:val="clear" w:color="auto" w:fill="CED8E1"/>
            <w:noWrap/>
            <w:vAlign w:val="center"/>
          </w:tcPr>
          <w:p>
            <w:pPr>
              <w:pStyle w:val="28"/>
              <w:spacing w:line="229" w:lineRule="auto"/>
              <w:ind w:left="745" w:hanging="782" w:hangingChars="371"/>
              <w:jc w:val="center"/>
              <w:rPr>
                <w:color w:val="auto"/>
                <w:spacing w:val="2"/>
                <w:sz w:val="21"/>
                <w:szCs w:val="21"/>
                <w:highlight w:val="none"/>
              </w:rPr>
            </w:pPr>
            <w:r>
              <w:rPr>
                <w:rFonts w:hint="eastAsia"/>
                <w:b/>
                <w:color w:val="auto"/>
                <w:sz w:val="21"/>
                <w:szCs w:val="21"/>
                <w:highlight w:val="none"/>
              </w:rPr>
              <w:t>▲保修期</w:t>
            </w:r>
          </w:p>
        </w:tc>
        <w:tc>
          <w:tcPr>
            <w:tcW w:w="7615" w:type="dxa"/>
            <w:gridSpan w:val="3"/>
            <w:tcBorders>
              <w:top w:val="single" w:color="F3F6F8" w:sz="2" w:space="0"/>
              <w:left w:val="single" w:color="F3F6F8" w:sz="2" w:space="0"/>
              <w:bottom w:val="single" w:color="F3F6F8" w:sz="2" w:space="0"/>
              <w:right w:val="single" w:color="F3F6F8" w:sz="2" w:space="0"/>
            </w:tcBorders>
            <w:shd w:val="clear" w:color="auto" w:fill="EAEFF3"/>
            <w:noWrap/>
          </w:tcPr>
          <w:p>
            <w:pPr>
              <w:pStyle w:val="28"/>
              <w:spacing w:before="222" w:line="228" w:lineRule="auto"/>
              <w:ind w:left="115"/>
              <w:outlineLvl w:val="0"/>
              <w:rPr>
                <w:color w:val="auto"/>
                <w:spacing w:val="8"/>
                <w:sz w:val="21"/>
                <w:szCs w:val="21"/>
                <w:highlight w:val="none"/>
                <w:lang w:eastAsia="zh-CN"/>
              </w:rPr>
            </w:pPr>
            <w:bookmarkStart w:id="44" w:name="_Toc29107"/>
            <w:bookmarkStart w:id="45" w:name="_Toc30434"/>
            <w:bookmarkStart w:id="46" w:name="_Toc3104"/>
            <w:r>
              <w:rPr>
                <w:rFonts w:hint="eastAsia"/>
                <w:b/>
                <w:color w:val="auto"/>
                <w:sz w:val="21"/>
                <w:szCs w:val="21"/>
                <w:highlight w:val="none"/>
                <w:lang w:eastAsia="zh-CN"/>
              </w:rPr>
              <w:t>按《工程质量保修书》执行。</w:t>
            </w:r>
            <w:bookmarkEnd w:id="44"/>
            <w:bookmarkEnd w:id="45"/>
            <w:bookmarkEnd w:id="4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718" w:type="dxa"/>
            <w:gridSpan w:val="6"/>
            <w:tcBorders>
              <w:top w:val="single" w:color="F3F6F8" w:sz="2" w:space="0"/>
              <w:left w:val="single" w:color="F3F6F8" w:sz="2" w:space="0"/>
              <w:bottom w:val="single" w:color="F3F6F8" w:sz="4" w:space="0"/>
              <w:right w:val="single" w:color="F3F6F8" w:sz="2" w:space="0"/>
            </w:tcBorders>
            <w:shd w:val="clear" w:color="auto" w:fill="CED8E1"/>
            <w:noWrap/>
            <w:vAlign w:val="center"/>
          </w:tcPr>
          <w:p>
            <w:pPr>
              <w:pStyle w:val="28"/>
              <w:spacing w:before="222" w:line="228" w:lineRule="auto"/>
              <w:ind w:left="115"/>
              <w:outlineLvl w:val="0"/>
              <w:rPr>
                <w:b/>
                <w:color w:val="auto"/>
                <w:sz w:val="21"/>
                <w:szCs w:val="21"/>
                <w:highlight w:val="none"/>
              </w:rPr>
            </w:pPr>
            <w:bookmarkStart w:id="47" w:name="_Toc2269"/>
            <w:bookmarkStart w:id="48" w:name="_Toc1253"/>
            <w:bookmarkStart w:id="49" w:name="_Toc7738"/>
            <w:r>
              <w:rPr>
                <w:rFonts w:hint="eastAsia"/>
                <w:b/>
                <w:color w:val="auto"/>
                <w:sz w:val="21"/>
                <w:szCs w:val="21"/>
                <w:highlight w:val="none"/>
              </w:rPr>
              <w:t>其他要求</w:t>
            </w:r>
            <w:bookmarkEnd w:id="47"/>
            <w:bookmarkEnd w:id="48"/>
            <w:bookmarkEnd w:id="4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718" w:type="dxa"/>
            <w:gridSpan w:val="6"/>
            <w:tcBorders>
              <w:top w:val="single" w:color="F3F6F8" w:sz="2" w:space="0"/>
              <w:left w:val="single" w:color="F3F6F8" w:sz="2" w:space="0"/>
              <w:bottom w:val="single" w:color="5D7C97" w:sz="2" w:space="0"/>
              <w:right w:val="single" w:color="F3F6F8" w:sz="2" w:space="0"/>
            </w:tcBorders>
            <w:shd w:val="clear" w:color="auto" w:fill="CED8E1"/>
            <w:noWrap/>
            <w:vAlign w:val="center"/>
          </w:tcPr>
          <w:p>
            <w:pPr>
              <w:pStyle w:val="28"/>
              <w:spacing w:before="222" w:line="228" w:lineRule="auto"/>
              <w:ind w:left="115"/>
              <w:outlineLvl w:val="0"/>
              <w:rPr>
                <w:b/>
                <w:color w:val="auto"/>
                <w:sz w:val="21"/>
                <w:szCs w:val="21"/>
                <w:highlight w:val="none"/>
                <w:lang w:eastAsia="zh-CN"/>
              </w:rPr>
            </w:pPr>
            <w:bookmarkStart w:id="50" w:name="_Toc26691"/>
            <w:bookmarkStart w:id="51" w:name="_Toc19640"/>
            <w:bookmarkStart w:id="52" w:name="_Toc5138"/>
            <w:r>
              <w:rPr>
                <w:rFonts w:hint="eastAsia"/>
                <w:color w:val="auto"/>
                <w:kern w:val="0"/>
                <w:sz w:val="21"/>
                <w:szCs w:val="21"/>
                <w:highlight w:val="none"/>
                <w:lang w:eastAsia="zh-CN"/>
              </w:rPr>
              <w:t>供应商在领取代理机构提供的本项目设计图纸及工程量清单后，必需认真核对图纸及工程量清单，有错漏及时在投标阶段提出，如到工程开工后再发现图纸工程量计算错误或标注错误导致需增加的费用，由成交供应商负责，采购人不另行追加费用。</w:t>
            </w:r>
            <w:bookmarkEnd w:id="50"/>
            <w:bookmarkEnd w:id="51"/>
            <w:bookmarkEnd w:id="52"/>
          </w:p>
        </w:tc>
      </w:tr>
    </w:tbl>
    <w:p>
      <w:pPr>
        <w:rPr>
          <w:color w:val="auto"/>
          <w:highlight w:val="none"/>
        </w:rPr>
      </w:pPr>
    </w:p>
    <w:p>
      <w:pPr>
        <w:rPr>
          <w:color w:val="auto"/>
          <w:highlight w:val="none"/>
        </w:rPr>
      </w:pPr>
      <w:r>
        <w:rPr>
          <w:rFonts w:hint="eastAsia"/>
          <w:color w:val="auto"/>
          <w:highlight w:val="none"/>
        </w:rPr>
        <w:br w:type="page"/>
      </w:r>
    </w:p>
    <w:p>
      <w:pPr>
        <w:pStyle w:val="20"/>
        <w:ind w:firstLine="488"/>
        <w:rPr>
          <w:color w:val="auto"/>
          <w:highlight w:val="none"/>
        </w:rPr>
      </w:pPr>
    </w:p>
    <w:p>
      <w:pPr>
        <w:pStyle w:val="2"/>
        <w:spacing w:line="240" w:lineRule="auto"/>
        <w:jc w:val="center"/>
        <w:rPr>
          <w:color w:val="auto"/>
          <w:highlight w:val="none"/>
        </w:rPr>
      </w:pPr>
      <w:bookmarkStart w:id="53" w:name="_Toc17085"/>
      <w:bookmarkStart w:id="54" w:name="_Toc28596"/>
      <w:r>
        <w:rPr>
          <w:rFonts w:hint="eastAsia"/>
          <w:color w:val="auto"/>
          <w:highlight w:val="none"/>
        </w:rPr>
        <w:t>第四章 合同格式</w:t>
      </w:r>
      <w:bookmarkEnd w:id="53"/>
      <w:bookmarkEnd w:id="54"/>
    </w:p>
    <w:p>
      <w:pPr>
        <w:adjustRightInd w:val="0"/>
        <w:snapToGrid w:val="0"/>
        <w:spacing w:line="360" w:lineRule="auto"/>
        <w:jc w:val="center"/>
        <w:rPr>
          <w:rFonts w:hAnsi="宋体"/>
          <w:color w:val="auto"/>
          <w:szCs w:val="21"/>
          <w:highlight w:val="none"/>
        </w:rPr>
      </w:pPr>
    </w:p>
    <w:p>
      <w:pPr>
        <w:keepNext/>
        <w:keepLines/>
        <w:spacing w:line="400" w:lineRule="exact"/>
        <w:jc w:val="center"/>
        <w:rPr>
          <w:rFonts w:ascii="宋体" w:hAnsi="宋体" w:cs="宋体"/>
          <w:b/>
          <w:bCs/>
          <w:color w:val="auto"/>
          <w:sz w:val="28"/>
          <w:szCs w:val="28"/>
          <w:highlight w:val="none"/>
        </w:rPr>
      </w:pPr>
    </w:p>
    <w:p>
      <w:pPr>
        <w:keepNext/>
        <w:keepLines/>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第一节 通用合同条款</w:t>
      </w:r>
    </w:p>
    <w:p>
      <w:pPr>
        <w:tabs>
          <w:tab w:val="left" w:pos="1080"/>
        </w:tabs>
        <w:spacing w:line="400" w:lineRule="exact"/>
        <w:ind w:firstLine="480"/>
        <w:rPr>
          <w:rFonts w:ascii="宋体" w:hAnsi="宋体" w:cs="宋体"/>
          <w:b/>
          <w:bCs/>
          <w:color w:val="auto"/>
          <w:szCs w:val="21"/>
          <w:highlight w:val="none"/>
        </w:rPr>
      </w:pPr>
    </w:p>
    <w:p>
      <w:pPr>
        <w:spacing w:after="3" w:line="259" w:lineRule="auto"/>
        <w:ind w:left="14" w:hanging="14" w:hangingChars="6"/>
        <w:jc w:val="center"/>
        <w:rPr>
          <w:rFonts w:ascii="宋体" w:hAnsi="宋体" w:cs="宋体"/>
          <w:b/>
          <w:bCs/>
          <w:color w:val="auto"/>
          <w:szCs w:val="21"/>
          <w:highlight w:val="none"/>
        </w:rPr>
      </w:pPr>
      <w:r>
        <w:rPr>
          <w:b/>
          <w:bCs/>
          <w:color w:val="auto"/>
          <w:sz w:val="24"/>
          <w:highlight w:val="none"/>
        </w:rPr>
        <w:t>“通用合同条款”采用《标准施工招标文件》（2018年版）的“通用合同条款”</w:t>
      </w:r>
      <w:r>
        <w:rPr>
          <w:rFonts w:hint="eastAsia" w:ascii="宋体" w:hAnsi="宋体" w:cs="宋体"/>
          <w:b/>
          <w:bCs/>
          <w:color w:val="auto"/>
          <w:szCs w:val="21"/>
          <w:highlight w:val="none"/>
        </w:rPr>
        <w:t>。</w:t>
      </w:r>
    </w:p>
    <w:p>
      <w:pPr>
        <w:pStyle w:val="26"/>
        <w:rPr>
          <w:rFonts w:hAnsi="宋体"/>
          <w:b/>
          <w:bCs/>
          <w:color w:val="auto"/>
          <w:sz w:val="21"/>
          <w:szCs w:val="21"/>
          <w:highlight w:val="none"/>
        </w:rPr>
      </w:pPr>
    </w:p>
    <w:p>
      <w:pPr>
        <w:pStyle w:val="26"/>
        <w:rPr>
          <w:rFonts w:hAnsi="宋体"/>
          <w:b/>
          <w:bCs/>
          <w:color w:val="auto"/>
          <w:sz w:val="21"/>
          <w:szCs w:val="21"/>
          <w:highlight w:val="none"/>
        </w:rPr>
      </w:pPr>
    </w:p>
    <w:p>
      <w:pPr>
        <w:pStyle w:val="26"/>
        <w:rPr>
          <w:rFonts w:hAnsi="宋体"/>
          <w:b/>
          <w:bCs/>
          <w:color w:val="auto"/>
          <w:sz w:val="21"/>
          <w:szCs w:val="21"/>
          <w:highlight w:val="none"/>
        </w:rPr>
      </w:pPr>
      <w:bookmarkStart w:id="55" w:name="_Toc3188"/>
      <w:bookmarkStart w:id="56" w:name="_Toc27133"/>
      <w:bookmarkStart w:id="57" w:name="_Toc394929412"/>
    </w:p>
    <w:p>
      <w:pPr>
        <w:pStyle w:val="26"/>
        <w:rPr>
          <w:rFonts w:hAnsi="宋体"/>
          <w:b/>
          <w:bCs/>
          <w:color w:val="auto"/>
          <w:sz w:val="21"/>
          <w:szCs w:val="21"/>
          <w:highlight w:val="none"/>
        </w:rPr>
      </w:pPr>
    </w:p>
    <w:p>
      <w:pPr>
        <w:pStyle w:val="26"/>
        <w:rPr>
          <w:rFonts w:hAnsi="宋体"/>
          <w:b/>
          <w:bCs/>
          <w:color w:val="auto"/>
          <w:sz w:val="21"/>
          <w:szCs w:val="21"/>
          <w:highlight w:val="none"/>
        </w:rPr>
      </w:pPr>
    </w:p>
    <w:p>
      <w:pPr>
        <w:pStyle w:val="26"/>
        <w:rPr>
          <w:rFonts w:hAnsi="宋体"/>
          <w:b/>
          <w:bCs/>
          <w:color w:val="auto"/>
          <w:sz w:val="21"/>
          <w:szCs w:val="21"/>
          <w:highlight w:val="none"/>
        </w:rPr>
      </w:pPr>
    </w:p>
    <w:p>
      <w:pPr>
        <w:pStyle w:val="26"/>
        <w:rPr>
          <w:rFonts w:hAnsi="宋体"/>
          <w:b/>
          <w:bCs/>
          <w:color w:val="auto"/>
          <w:sz w:val="21"/>
          <w:szCs w:val="21"/>
          <w:highlight w:val="none"/>
        </w:rPr>
      </w:pPr>
    </w:p>
    <w:p>
      <w:pPr>
        <w:pStyle w:val="26"/>
        <w:rPr>
          <w:rFonts w:hAnsi="宋体"/>
          <w:b/>
          <w:bCs/>
          <w:color w:val="auto"/>
          <w:sz w:val="21"/>
          <w:szCs w:val="21"/>
          <w:highlight w:val="none"/>
        </w:rPr>
      </w:pPr>
    </w:p>
    <w:p>
      <w:pPr>
        <w:pStyle w:val="26"/>
        <w:rPr>
          <w:rFonts w:hAnsi="宋体"/>
          <w:b/>
          <w:bCs/>
          <w:color w:val="auto"/>
          <w:sz w:val="21"/>
          <w:szCs w:val="21"/>
          <w:highlight w:val="none"/>
        </w:rPr>
      </w:pPr>
    </w:p>
    <w:p>
      <w:pPr>
        <w:keepNext/>
        <w:keepLines/>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第二节 专用合同条款</w:t>
      </w:r>
      <w:bookmarkEnd w:id="55"/>
      <w:bookmarkEnd w:id="56"/>
      <w:bookmarkEnd w:id="57"/>
    </w:p>
    <w:p>
      <w:pPr>
        <w:keepNext/>
        <w:keepLines/>
        <w:widowControl/>
        <w:spacing w:line="400" w:lineRule="exact"/>
        <w:jc w:val="center"/>
        <w:rPr>
          <w:rFonts w:ascii="宋体" w:hAnsi="宋体" w:cs="宋体"/>
          <w:color w:val="auto"/>
          <w:kern w:val="0"/>
          <w:szCs w:val="21"/>
          <w:highlight w:val="none"/>
        </w:rPr>
      </w:pPr>
      <w:bookmarkStart w:id="58" w:name="_Toc394929413"/>
      <w:bookmarkStart w:id="59" w:name="_Toc509826490"/>
      <w:bookmarkStart w:id="60" w:name="_Toc13705"/>
      <w:bookmarkStart w:id="61" w:name="_Toc12385"/>
    </w:p>
    <w:bookmarkEnd w:id="58"/>
    <w:bookmarkEnd w:id="59"/>
    <w:bookmarkEnd w:id="60"/>
    <w:bookmarkEnd w:id="61"/>
    <w:p>
      <w:pPr>
        <w:tabs>
          <w:tab w:val="left" w:pos="1080"/>
        </w:tabs>
        <w:spacing w:line="400" w:lineRule="exact"/>
        <w:ind w:firstLine="48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公路工程专用合同条款”采用交通运输部《公路工程标准施工招标文件》（2018年版）的“公路工程专用合同条款”</w:t>
      </w:r>
    </w:p>
    <w:p>
      <w:pPr>
        <w:tabs>
          <w:tab w:val="left" w:pos="1080"/>
        </w:tabs>
        <w:spacing w:line="400" w:lineRule="exact"/>
        <w:ind w:firstLine="602"/>
        <w:jc w:val="center"/>
        <w:rPr>
          <w:rFonts w:ascii="宋体" w:hAnsi="宋体" w:cs="宋体"/>
          <w:b/>
          <w:color w:val="auto"/>
          <w:szCs w:val="21"/>
          <w:highlight w:val="none"/>
        </w:rPr>
      </w:pPr>
    </w:p>
    <w:p>
      <w:pPr>
        <w:tabs>
          <w:tab w:val="left" w:pos="1080"/>
        </w:tabs>
        <w:spacing w:line="400" w:lineRule="exact"/>
        <w:ind w:firstLine="602"/>
        <w:jc w:val="center"/>
        <w:rPr>
          <w:rFonts w:ascii="宋体" w:hAnsi="宋体" w:cs="宋体"/>
          <w:b/>
          <w:color w:val="auto"/>
          <w:szCs w:val="21"/>
          <w:highlight w:val="none"/>
        </w:rPr>
      </w:pPr>
    </w:p>
    <w:p>
      <w:pPr>
        <w:tabs>
          <w:tab w:val="left" w:pos="1080"/>
        </w:tabs>
        <w:spacing w:line="400" w:lineRule="exact"/>
        <w:ind w:firstLine="480"/>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pPr>
        <w:tabs>
          <w:tab w:val="left" w:pos="1080"/>
        </w:tabs>
        <w:spacing w:line="400" w:lineRule="exact"/>
        <w:ind w:firstLine="482"/>
        <w:rPr>
          <w:rFonts w:ascii="宋体" w:hAnsi="宋体" w:cs="宋体"/>
          <w:b/>
          <w:color w:val="auto"/>
          <w:szCs w:val="21"/>
          <w:highlight w:val="none"/>
        </w:rPr>
      </w:pPr>
      <w:r>
        <w:rPr>
          <w:rFonts w:hint="eastAsia" w:ascii="宋体" w:hAnsi="宋体" w:cs="宋体"/>
          <w:b/>
          <w:color w:val="auto"/>
          <w:szCs w:val="21"/>
          <w:highlight w:val="none"/>
        </w:rPr>
        <w:t>说明：</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根据《公路工程标准施工招标文件》编制项目采购文件中的“项目专用合同条款”时，可根据采购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2.项目专用合同条款的编号应与通用合同条款和公路工程专用合同条款一致。</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3.项目专用合同条款可对下列内容进行补充和细化：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（3）其他需要补充、细化的内容。</w:t>
      </w:r>
    </w:p>
    <w:p>
      <w:pPr>
        <w:tabs>
          <w:tab w:val="left" w:pos="1080"/>
        </w:tabs>
        <w:spacing w:line="40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br w:type="page"/>
      </w:r>
      <w:bookmarkStart w:id="62" w:name="_Toc21728"/>
      <w:bookmarkStart w:id="63" w:name="_Toc31859"/>
      <w:bookmarkStart w:id="64" w:name="_Toc509826492"/>
      <w:r>
        <w:rPr>
          <w:rFonts w:hint="eastAsia" w:ascii="宋体" w:hAnsi="宋体" w:cs="宋体"/>
          <w:b/>
          <w:bCs/>
          <w:color w:val="auto"/>
          <w:kern w:val="0"/>
          <w:szCs w:val="21"/>
          <w:highlight w:val="none"/>
        </w:rPr>
        <w:t>项目专用合同条款数据表</w:t>
      </w:r>
      <w:bookmarkEnd w:id="62"/>
      <w:bookmarkEnd w:id="63"/>
      <w:bookmarkEnd w:id="64"/>
    </w:p>
    <w:p>
      <w:pPr>
        <w:tabs>
          <w:tab w:val="left" w:pos="1080"/>
        </w:tabs>
        <w:spacing w:line="400" w:lineRule="exact"/>
        <w:ind w:firstLine="422"/>
        <w:rPr>
          <w:rFonts w:ascii="宋体" w:hAnsi="宋体" w:cs="宋体"/>
          <w:color w:val="auto"/>
          <w:szCs w:val="21"/>
          <w:highlight w:val="none"/>
        </w:rPr>
      </w:pPr>
      <w:r>
        <w:rPr>
          <w:rFonts w:hint="eastAsia" w:ascii="宋体" w:hAnsi="宋体" w:cs="宋体"/>
          <w:b/>
          <w:color w:val="auto"/>
          <w:szCs w:val="21"/>
          <w:highlight w:val="none"/>
        </w:rPr>
        <w:t>说明：</w:t>
      </w:r>
      <w:r>
        <w:rPr>
          <w:rFonts w:hint="eastAsia" w:ascii="宋体" w:hAnsi="宋体" w:cs="宋体"/>
          <w:color w:val="auto"/>
          <w:szCs w:val="21"/>
          <w:highlight w:val="none"/>
        </w:rPr>
        <w:t>本数据表是项目专用合同条款中适用于本项目的信息和数据的归纳与提示，是项目专用合同条款的组成部分。</w:t>
      </w:r>
    </w:p>
    <w:tbl>
      <w:tblPr>
        <w:tblStyle w:val="21"/>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5"/>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9" w:type="dxa"/>
            <w:noWrap/>
            <w:vAlign w:val="center"/>
          </w:tcPr>
          <w:p>
            <w:pPr>
              <w:tabs>
                <w:tab w:val="left" w:pos="1080"/>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275" w:type="dxa"/>
            <w:noWrap/>
            <w:vAlign w:val="center"/>
          </w:tcPr>
          <w:p>
            <w:pPr>
              <w:tabs>
                <w:tab w:val="left" w:pos="1080"/>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条目号</w:t>
            </w:r>
          </w:p>
        </w:tc>
        <w:tc>
          <w:tcPr>
            <w:tcW w:w="7225" w:type="dxa"/>
            <w:noWrap/>
            <w:vAlign w:val="center"/>
          </w:tcPr>
          <w:p>
            <w:pPr>
              <w:tabs>
                <w:tab w:val="left" w:pos="1080"/>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1.1.2.2</w:t>
            </w:r>
          </w:p>
        </w:tc>
        <w:tc>
          <w:tcPr>
            <w:tcW w:w="7225" w:type="dxa"/>
            <w:noWrap/>
            <w:vAlign w:val="center"/>
          </w:tcPr>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发包人：广西壮族自治区北海城区公路养护中心</w:t>
            </w:r>
          </w:p>
          <w:p>
            <w:pPr>
              <w:tabs>
                <w:tab w:val="left" w:pos="1080"/>
              </w:tabs>
              <w:spacing w:line="400" w:lineRule="exact"/>
              <w:ind w:left="1050" w:leftChars="200" w:hanging="630" w:hangingChars="3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1.1.2.6</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监 理 人： </w:t>
            </w:r>
          </w:p>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地址：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1.1.4.5</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缺陷责任期：自实际交工日期起计算12个月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1.6.3</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w:t>
            </w:r>
            <w:r>
              <w:rPr>
                <w:rFonts w:hint="eastAsia" w:ascii="宋体" w:hAnsi="宋体" w:cs="宋体"/>
                <w:b/>
                <w:color w:val="auto"/>
                <w:szCs w:val="21"/>
                <w:highlight w:val="none"/>
                <w:u w:val="single"/>
              </w:rPr>
              <w:t xml:space="preserve">14 </w:t>
            </w:r>
            <w:r>
              <w:rPr>
                <w:rFonts w:hint="eastAsia" w:ascii="宋体" w:hAnsi="宋体" w:cs="宋体"/>
                <w:color w:val="auto"/>
                <w:szCs w:val="21"/>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225" w:type="dxa"/>
            <w:noWrap/>
            <w:vAlign w:val="center"/>
          </w:tcPr>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监理人在行使下列权力前需要经发包人事先批准：</w:t>
            </w:r>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（6）根据第15.3款发出的变更指示，其单项工程变更涉及的金额超过了该单项工程签约合同价的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%或累计变更超过了签约合同价的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%（即凡涉及费用调整的均应事先取得发包人的专门批准）。</w:t>
            </w:r>
            <w:r>
              <w:rPr>
                <w:rFonts w:hint="eastAsia"/>
                <w:color w:val="auto"/>
                <w:highlight w:val="none"/>
              </w:rPr>
              <w:t>仅因设计变更引起的工程数量增减，合同单价不作调整。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u w:val="single"/>
              </w:rPr>
            </w:pPr>
            <w:r>
              <w:rPr>
                <w:rFonts w:hint="eastAsia" w:ascii="宋体" w:hAnsi="宋体" w:cs="宋体"/>
                <w:color w:val="auto"/>
                <w:szCs w:val="21"/>
                <w:highlight w:val="none"/>
              </w:rPr>
              <w:t>发包人是否提供材料或施工设备：否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发包人是否提供施工设备和临时设施：否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7225" w:type="dxa"/>
            <w:noWrap/>
            <w:vAlign w:val="center"/>
          </w:tcPr>
          <w:p>
            <w:pPr>
              <w:tabs>
                <w:tab w:val="left" w:pos="1080"/>
              </w:tabs>
              <w:spacing w:line="400" w:lineRule="exact"/>
              <w:ind w:firstLine="420"/>
              <w:jc w:val="left"/>
              <w:rPr>
                <w:rFonts w:ascii="宋体" w:hAnsi="宋体" w:cs="宋体"/>
                <w:b/>
                <w:color w:val="auto"/>
                <w:szCs w:val="21"/>
                <w:highlight w:val="none"/>
                <w:u w:val="single"/>
              </w:rPr>
            </w:pPr>
            <w:r>
              <w:rPr>
                <w:rFonts w:hint="eastAsia" w:ascii="宋体" w:hAnsi="宋体" w:cs="宋体"/>
                <w:color w:val="auto"/>
                <w:szCs w:val="21"/>
                <w:highlight w:val="none"/>
              </w:rPr>
              <w:t>发包人提供测量基准点、基准线和水准点及其书面资料的期限：</w:t>
            </w:r>
            <w:r>
              <w:rPr>
                <w:rFonts w:hint="eastAsia" w:ascii="宋体" w:hAnsi="宋体" w:cs="宋体"/>
                <w:b/>
                <w:color w:val="auto"/>
                <w:szCs w:val="21"/>
                <w:highlight w:val="none"/>
                <w:u w:val="single"/>
              </w:rPr>
              <w:t>30天</w:t>
            </w:r>
          </w:p>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承包人将施工控制网资料报送监理人审批的期限：</w:t>
            </w:r>
            <w:r>
              <w:rPr>
                <w:rFonts w:hint="eastAsia" w:ascii="宋体" w:hAnsi="宋体" w:cs="宋体"/>
                <w:b/>
                <w:color w:val="auto"/>
                <w:szCs w:val="21"/>
                <w:highlight w:val="none"/>
                <w:u w:val="single"/>
              </w:rPr>
              <w:t>发出开工通知后7天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7225" w:type="dxa"/>
            <w:noWrap/>
            <w:vAlign w:val="center"/>
          </w:tcPr>
          <w:p>
            <w:pPr>
              <w:tabs>
                <w:tab w:val="left" w:pos="1080"/>
              </w:tabs>
              <w:spacing w:line="400" w:lineRule="exact"/>
              <w:ind w:firstLine="422"/>
              <w:jc w:val="left"/>
              <w:rPr>
                <w:rFonts w:ascii="宋体" w:hAnsi="宋体" w:cs="宋体"/>
                <w:b/>
                <w:color w:val="auto"/>
                <w:szCs w:val="21"/>
                <w:highlight w:val="none"/>
              </w:rPr>
            </w:pPr>
            <w:r>
              <w:rPr>
                <w:rFonts w:hint="eastAsia" w:ascii="宋体" w:hAnsi="宋体" w:cs="宋体"/>
                <w:b/>
                <w:color w:val="auto"/>
                <w:szCs w:val="21"/>
                <w:highlight w:val="none"/>
              </w:rPr>
              <w:t>承包人应在签订施工承包合同后的5个工作日内完成进场准备，包括主要管理人员、响应文件承诺进场的机械设备、试验检测设备、项目部的办公设备、项目部的选址及上墙图表等，并具备基本工作条件；承包人完成进场准备后的7天内开展实质性的施工工作。</w:t>
            </w:r>
            <w:r>
              <w:rPr>
                <w:rFonts w:hint="eastAsia" w:ascii="宋体" w:hAnsi="宋体" w:cs="宋体"/>
                <w:color w:val="auto"/>
                <w:szCs w:val="21"/>
                <w:highlight w:val="none"/>
              </w:rPr>
              <w:t>逾期开工违约金：5000元/天。违约金必须于发包人发出书面通知后5个工作日内以现金方式交付至发包人指定的账号。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逾期交工违约金：5000元/天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vertAlign w:val="superscript"/>
              </w:rPr>
            </w:pPr>
            <w:r>
              <w:rPr>
                <w:rFonts w:hint="eastAsia" w:ascii="宋体" w:hAnsi="宋体" w:cs="宋体"/>
                <w:color w:val="auto"/>
                <w:szCs w:val="21"/>
                <w:highlight w:val="none"/>
              </w:rPr>
              <w:t>逾期交工违约金限额：10%签约合同价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提前交工的奖金：</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提前交工的奖金限额：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15.5.2</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删除本条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7225"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819"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275"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17.2.1</w:t>
            </w:r>
          </w:p>
        </w:tc>
        <w:tc>
          <w:tcPr>
            <w:tcW w:w="7225" w:type="dxa"/>
            <w:noWrap/>
            <w:vAlign w:val="center"/>
          </w:tcPr>
          <w:p>
            <w:pPr>
              <w:keepNext/>
              <w:keepLines/>
              <w:widowControl/>
              <w:spacing w:line="400" w:lineRule="exact"/>
              <w:outlineLvl w:val="3"/>
              <w:rPr>
                <w:rFonts w:ascii="宋体" w:hAnsi="宋体" w:cs="宋体"/>
                <w:b/>
                <w:bCs/>
                <w:color w:val="auto"/>
                <w:kern w:val="0"/>
                <w:szCs w:val="21"/>
                <w:highlight w:val="none"/>
              </w:rPr>
            </w:pPr>
            <w:r>
              <w:rPr>
                <w:rFonts w:hint="eastAsia" w:ascii="宋体" w:hAnsi="宋体" w:cs="宋体"/>
                <w:color w:val="auto"/>
                <w:szCs w:val="21"/>
                <w:highlight w:val="none"/>
              </w:rPr>
              <w:t>预付款：</w:t>
            </w:r>
            <w:r>
              <w:rPr>
                <w:rFonts w:hint="eastAsia" w:ascii="宋体" w:hAnsi="宋体" w:cs="宋体"/>
                <w:b/>
                <w:bCs/>
                <w:color w:val="auto"/>
                <w:kern w:val="0"/>
                <w:szCs w:val="21"/>
                <w:highlight w:val="none"/>
              </w:rPr>
              <w:t>详见专用合同条款</w:t>
            </w:r>
          </w:p>
          <w:p>
            <w:pPr>
              <w:tabs>
                <w:tab w:val="left" w:pos="1080"/>
              </w:tabs>
              <w:spacing w:line="400" w:lineRule="exact"/>
              <w:ind w:firstLine="420"/>
              <w:jc w:val="left"/>
              <w:rPr>
                <w:rFonts w:ascii="宋体" w:hAnsi="宋体" w:cs="宋体"/>
                <w:color w:val="auto"/>
                <w:szCs w:val="21"/>
                <w:highlight w:val="none"/>
              </w:rPr>
            </w:pPr>
          </w:p>
        </w:tc>
      </w:tr>
    </w:tbl>
    <w:p>
      <w:pPr>
        <w:tabs>
          <w:tab w:val="left" w:pos="1080"/>
        </w:tabs>
        <w:spacing w:line="400" w:lineRule="exact"/>
        <w:ind w:firstLine="360"/>
        <w:jc w:val="righ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续上表</w:t>
      </w:r>
    </w:p>
    <w:tbl>
      <w:tblPr>
        <w:tblStyle w:val="2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noWrap/>
            <w:vAlign w:val="center"/>
          </w:tcPr>
          <w:p>
            <w:pPr>
              <w:tabs>
                <w:tab w:val="left" w:pos="1080"/>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260" w:type="dxa"/>
            <w:noWrap/>
            <w:vAlign w:val="center"/>
          </w:tcPr>
          <w:p>
            <w:pPr>
              <w:tabs>
                <w:tab w:val="left" w:pos="1080"/>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条目号</w:t>
            </w:r>
          </w:p>
        </w:tc>
        <w:tc>
          <w:tcPr>
            <w:tcW w:w="7215" w:type="dxa"/>
            <w:gridSpan w:val="2"/>
            <w:noWrap/>
            <w:vAlign w:val="center"/>
          </w:tcPr>
          <w:p>
            <w:pPr>
              <w:tabs>
                <w:tab w:val="left" w:pos="1080"/>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17.2.1</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材料、设备预付款比例：</w:t>
            </w:r>
            <w:r>
              <w:rPr>
                <w:rFonts w:hint="eastAsia" w:ascii="宋体" w:hAnsi="宋体" w:cs="宋体"/>
                <w:color w:val="auto"/>
                <w:szCs w:val="21"/>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17.3.2</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承包人在每个付款周期末向监理人提交进度付款申请单的份数：4份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17.3.3（1）</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进度付款证书最低限额：在申请支付工程款时，承包人必须提供增值税发票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17.3.3（2）</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逾期付款违约金的的利率：0.15‰/天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质量保证金百分比：无</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质量保证金限额：2%合同价格。</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质量保证金的利息计算方式：无利息。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17.5.1</w:t>
            </w:r>
          </w:p>
        </w:tc>
        <w:tc>
          <w:tcPr>
            <w:tcW w:w="7215" w:type="dxa"/>
            <w:gridSpan w:val="2"/>
            <w:noWrap/>
            <w:vAlign w:val="center"/>
          </w:tcPr>
          <w:p>
            <w:pPr>
              <w:tabs>
                <w:tab w:val="left" w:pos="108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承包人向监理人提交交工付款申请单（包括相关证明材料）的份数：5份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17.6.1</w:t>
            </w:r>
          </w:p>
        </w:tc>
        <w:tc>
          <w:tcPr>
            <w:tcW w:w="7215" w:type="dxa"/>
            <w:gridSpan w:val="2"/>
            <w:noWrap/>
            <w:vAlign w:val="center"/>
          </w:tcPr>
          <w:p>
            <w:pPr>
              <w:tabs>
                <w:tab w:val="left" w:pos="108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承包人向监理人提交最终结清申请单（包括相关证明材料）的份数：5份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18.2</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竣工资料的份数：</w:t>
            </w:r>
            <w:r>
              <w:rPr>
                <w:rFonts w:hint="eastAsia" w:ascii="宋体" w:hAnsi="宋体" w:cs="宋体"/>
                <w:b/>
                <w:color w:val="auto"/>
                <w:szCs w:val="21"/>
                <w:highlight w:val="none"/>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18.5.1</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单位工程或工程设备是否需投入施工期运行：是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18.6.1</w:t>
            </w:r>
          </w:p>
        </w:tc>
        <w:tc>
          <w:tcPr>
            <w:tcW w:w="7215" w:type="dxa"/>
            <w:gridSpan w:val="2"/>
            <w:noWrap/>
            <w:vAlign w:val="center"/>
          </w:tcPr>
          <w:p>
            <w:pPr>
              <w:tabs>
                <w:tab w:val="left" w:pos="1080"/>
              </w:tabs>
              <w:spacing w:line="400" w:lineRule="exact"/>
              <w:ind w:firstLine="420"/>
              <w:jc w:val="left"/>
              <w:rPr>
                <w:rFonts w:ascii="宋体" w:hAnsi="宋体" w:cs="宋体"/>
                <w:color w:val="auto"/>
                <w:szCs w:val="21"/>
                <w:highlight w:val="none"/>
                <w:u w:val="single"/>
              </w:rPr>
            </w:pPr>
            <w:r>
              <w:rPr>
                <w:rFonts w:hint="eastAsia" w:ascii="宋体" w:hAnsi="宋体" w:cs="宋体"/>
                <w:color w:val="auto"/>
                <w:szCs w:val="21"/>
                <w:highlight w:val="none"/>
              </w:rPr>
              <w:t>本工程及工程设备是否进行试运行：否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19.7</w:t>
            </w:r>
          </w:p>
        </w:tc>
        <w:tc>
          <w:tcPr>
            <w:tcW w:w="7207"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保修期：自实际交工日期起计算1年。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exac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207" w:type="dxa"/>
            <w:noWrap/>
            <w:vAlign w:val="center"/>
          </w:tcPr>
          <w:p>
            <w:pPr>
              <w:tabs>
                <w:tab w:val="left" w:pos="108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本项目取消建筑工程一切险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51" w:hRule="atLeas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20.4.2</w:t>
            </w:r>
          </w:p>
        </w:tc>
        <w:tc>
          <w:tcPr>
            <w:tcW w:w="7207" w:type="dxa"/>
            <w:noWrap/>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第三者责任险的保险费由承包人报价时列入工程量清单第 100 章内。发包人在接 到保险单后，将按照保险单的费用直接向承包人支付。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1260" w:type="dxa"/>
            <w:noWrap/>
            <w:vAlign w:val="center"/>
          </w:tcPr>
          <w:p>
            <w:pPr>
              <w:tabs>
                <w:tab w:val="left" w:pos="108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207" w:type="dxa"/>
            <w:noWrap/>
            <w:vAlign w:val="center"/>
          </w:tcPr>
          <w:p>
            <w:pPr>
              <w:tabs>
                <w:tab w:val="left" w:pos="1080"/>
              </w:tabs>
              <w:spacing w:line="400" w:lineRule="exact"/>
              <w:ind w:firstLine="420"/>
              <w:jc w:val="left"/>
              <w:rPr>
                <w:rFonts w:ascii="宋体" w:hAnsi="宋体" w:cs="宋体"/>
                <w:b/>
                <w:color w:val="auto"/>
                <w:szCs w:val="21"/>
                <w:highlight w:val="none"/>
              </w:rPr>
            </w:pPr>
            <w:r>
              <w:rPr>
                <w:rFonts w:hint="eastAsia" w:ascii="宋体" w:hAnsi="宋体" w:cs="宋体"/>
                <w:color w:val="auto"/>
                <w:szCs w:val="21"/>
                <w:highlight w:val="none"/>
              </w:rPr>
              <w:t>争议的最终解决方式：</w:t>
            </w:r>
            <w:r>
              <w:rPr>
                <w:rFonts w:hint="eastAsia" w:ascii="宋体" w:hAnsi="宋体" w:cs="宋体"/>
                <w:color w:val="auto"/>
                <w:szCs w:val="21"/>
                <w:highlight w:val="none"/>
                <w:u w:val="single"/>
              </w:rPr>
              <w:t>诉讼</w:t>
            </w:r>
          </w:p>
        </w:tc>
      </w:tr>
    </w:tbl>
    <w:p>
      <w:pPr>
        <w:tabs>
          <w:tab w:val="left" w:pos="1080"/>
        </w:tabs>
        <w:spacing w:line="400" w:lineRule="exact"/>
        <w:ind w:firstLine="420"/>
        <w:rPr>
          <w:rFonts w:ascii="宋体" w:hAnsi="宋体" w:cs="宋体"/>
          <w:color w:val="auto"/>
          <w:szCs w:val="21"/>
          <w:highlight w:val="none"/>
        </w:rPr>
      </w:pPr>
    </w:p>
    <w:p>
      <w:pPr>
        <w:spacing w:line="400" w:lineRule="exact"/>
        <w:ind w:firstLine="420"/>
        <w:jc w:val="center"/>
        <w:rPr>
          <w:rFonts w:ascii="宋体" w:hAnsi="宋体" w:cs="宋体"/>
          <w:b/>
          <w:color w:val="auto"/>
          <w:szCs w:val="21"/>
          <w:highlight w:val="none"/>
        </w:rPr>
      </w:pPr>
      <w:r>
        <w:rPr>
          <w:rFonts w:hint="eastAsia" w:ascii="宋体" w:hAnsi="宋体" w:cs="宋体"/>
          <w:color w:val="auto"/>
          <w:szCs w:val="21"/>
          <w:highlight w:val="none"/>
        </w:rPr>
        <w:br w:type="page"/>
      </w:r>
    </w:p>
    <w:p>
      <w:pPr>
        <w:keepNext/>
        <w:keepLines/>
        <w:widowControl/>
        <w:spacing w:line="400" w:lineRule="exact"/>
        <w:jc w:val="center"/>
        <w:outlineLvl w:val="3"/>
        <w:rPr>
          <w:rFonts w:ascii="宋体" w:hAnsi="宋体" w:cs="宋体"/>
          <w:b/>
          <w:bCs/>
          <w:color w:val="auto"/>
          <w:kern w:val="0"/>
          <w:szCs w:val="21"/>
          <w:highlight w:val="none"/>
        </w:rPr>
      </w:pPr>
      <w:bookmarkStart w:id="65" w:name="_Toc367270685"/>
      <w:bookmarkStart w:id="66" w:name="_Toc27486"/>
      <w:bookmarkStart w:id="67" w:name="_Toc17450"/>
      <w:bookmarkStart w:id="68" w:name="_Toc509826493"/>
      <w:bookmarkStart w:id="69" w:name="_Toc13272"/>
      <w:bookmarkStart w:id="70" w:name="_Toc367271713"/>
      <w:r>
        <w:rPr>
          <w:rFonts w:hint="eastAsia" w:ascii="宋体" w:hAnsi="宋体" w:cs="宋体"/>
          <w:b/>
          <w:bCs/>
          <w:color w:val="auto"/>
          <w:kern w:val="0"/>
          <w:szCs w:val="21"/>
          <w:highlight w:val="none"/>
        </w:rPr>
        <w:t>项目专用合同条款</w:t>
      </w:r>
      <w:bookmarkEnd w:id="65"/>
      <w:bookmarkEnd w:id="66"/>
      <w:bookmarkEnd w:id="67"/>
      <w:bookmarkEnd w:id="68"/>
      <w:bookmarkEnd w:id="69"/>
      <w:bookmarkEnd w:id="70"/>
    </w:p>
    <w:p>
      <w:pPr>
        <w:keepNext/>
        <w:keepLines/>
        <w:spacing w:line="400" w:lineRule="exact"/>
        <w:outlineLvl w:val="4"/>
        <w:rPr>
          <w:rFonts w:ascii="宋体" w:hAnsi="宋体" w:cs="宋体"/>
          <w:b/>
          <w:color w:val="auto"/>
          <w:szCs w:val="21"/>
          <w:highlight w:val="none"/>
        </w:rPr>
      </w:pPr>
      <w:bookmarkStart w:id="71" w:name="_Toc9035"/>
      <w:bookmarkStart w:id="72" w:name="_Toc17356"/>
      <w:r>
        <w:rPr>
          <w:rFonts w:hint="eastAsia" w:ascii="宋体" w:hAnsi="宋体" w:cs="宋体"/>
          <w:b/>
          <w:color w:val="auto"/>
          <w:szCs w:val="21"/>
          <w:highlight w:val="none"/>
        </w:rPr>
        <w:t>4.1承包人的一般义务</w:t>
      </w:r>
      <w:bookmarkEnd w:id="71"/>
      <w:bookmarkEnd w:id="72"/>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  其他义务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响应文件格式“农民工工资保证金承诺书”。</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（4）（增加）承包人应履行的其他义务：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a.与本工程项目相关的审计和稽查、检查、视察等活动，承包人应高度重视并有义务委派专人积极予以配合。</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b.发包人和监理有权监督检查承包人的供货合同。</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c.对项目使用的原有道路的维护和管理，以确保正常通行。</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d.维护社会稳定，避免发生因承包人原因引起施工队伍或施工引起周边群众等群体性上访事件</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e.承包人应自觉接受交通主管部门、质量监督单位、公路管理机构的监督，对指出的问题进行认真的整改，及时报告处理结果。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监理工程师有权要求承包人增加相应技术和管理人员以满足施工需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4.1.11（增加） 承包人响应“美丽广西·清洁乡村”行动</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4.1.12（增加）</w:t>
      </w:r>
      <w:r>
        <w:rPr>
          <w:rFonts w:hint="eastAsia" w:ascii="宋体" w:hAnsi="宋体"/>
          <w:color w:val="auto"/>
          <w:highlight w:val="none"/>
        </w:rPr>
        <w:t>农民工工资保障要求</w:t>
      </w:r>
    </w:p>
    <w:p>
      <w:pPr>
        <w:spacing w:line="400" w:lineRule="exact"/>
        <w:ind w:firstLine="420" w:firstLineChars="200"/>
        <w:rPr>
          <w:rFonts w:ascii="宋体" w:hAnsi="宋体"/>
          <w:color w:val="auto"/>
          <w:highlight w:val="none"/>
        </w:rPr>
      </w:pPr>
      <w:r>
        <w:rPr>
          <w:rFonts w:hint="eastAsia" w:ascii="宋体" w:hAnsi="宋体"/>
          <w:color w:val="auto"/>
          <w:highlight w:val="none"/>
        </w:rPr>
        <w:t>(一)在工程项目部配备劳资专管员，负责农民工工资发放及管理工作，并对分包单位劳动用工进行监督管理，掌握施工现场用工、考勤、工资支付等情况，审核分包单位编制的农民工工资支付表，做好用工管理台账及影像资料并配合发包人日常检查工作。</w:t>
      </w:r>
    </w:p>
    <w:p>
      <w:pPr>
        <w:spacing w:line="400" w:lineRule="exact"/>
        <w:ind w:firstLine="420" w:firstLineChars="200"/>
        <w:rPr>
          <w:rFonts w:ascii="宋体" w:hAnsi="宋体"/>
          <w:color w:val="auto"/>
          <w:highlight w:val="none"/>
        </w:rPr>
      </w:pPr>
      <w:r>
        <w:rPr>
          <w:rFonts w:hint="eastAsia" w:asciiTheme="majorEastAsia" w:hAnsiTheme="majorEastAsia" w:eastAsiaTheme="majorEastAsia" w:cstheme="majorEastAsia"/>
          <w:sz w:val="21"/>
          <w:szCs w:val="21"/>
          <w:highlight w:val="none"/>
        </w:rPr>
        <w:t>(二)自工程取得施工许可证(开工报告批复)之日起20个工作日内(依法不需要办理施工许可证或批准开工报告的工程.自签订施工合同之日起20个工作日之内),在银行设立账户并按照工程施工合同总额的</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rPr>
        <w:t>%比例存储农民工工资保证金(也可选择以银行保函替代现金存储工资保证金，保函担保金额不得低于按规定比例计算应存储的工资保证金数额)。</w:t>
      </w:r>
    </w:p>
    <w:p>
      <w:pPr>
        <w:spacing w:line="400" w:lineRule="exact"/>
        <w:ind w:firstLine="420" w:firstLineChars="200"/>
        <w:rPr>
          <w:rFonts w:ascii="宋体" w:hAnsi="宋体"/>
          <w:color w:val="auto"/>
          <w:highlight w:val="none"/>
        </w:rPr>
      </w:pPr>
      <w:r>
        <w:rPr>
          <w:rFonts w:hint="eastAsia" w:ascii="宋体" w:hAnsi="宋体"/>
          <w:color w:val="auto"/>
          <w:highlight w:val="none"/>
        </w:rPr>
        <w:t>(三)按照《工程建设领域农民工工资专用账户管理暂行办法》(人社部发[2021] 53号)有关规定开设农民工工资专用账户，专项用于支付该工程建设项目农民工工资，对农民工工资实行分账管理。</w:t>
      </w:r>
    </w:p>
    <w:p>
      <w:pPr>
        <w:spacing w:line="400" w:lineRule="exact"/>
        <w:ind w:firstLine="420" w:firstLineChars="200"/>
        <w:rPr>
          <w:rFonts w:ascii="宋体" w:hAnsi="宋体"/>
          <w:color w:val="auto"/>
          <w:highlight w:val="none"/>
        </w:rPr>
      </w:pPr>
      <w:r>
        <w:rPr>
          <w:rFonts w:hint="eastAsia" w:ascii="宋体" w:hAnsi="宋体"/>
          <w:color w:val="auto"/>
          <w:highlight w:val="none"/>
        </w:rPr>
        <w:t>(四)签订农民工工资支付承诺书，按照“总包负总责”原则，承诺按时足额支付农民工工资、不转包或违法分包等。如因劳资纠纷造成农民工上访，并引发群体突发事件，一切后果由总承包单位负责。</w:t>
      </w:r>
    </w:p>
    <w:p>
      <w:pPr>
        <w:spacing w:line="400" w:lineRule="exact"/>
        <w:ind w:firstLine="420" w:firstLineChars="200"/>
        <w:rPr>
          <w:rFonts w:ascii="宋体" w:hAnsi="宋体"/>
          <w:color w:val="auto"/>
          <w:highlight w:val="none"/>
        </w:rPr>
      </w:pPr>
      <w:r>
        <w:rPr>
          <w:rFonts w:hint="eastAsia" w:ascii="宋体" w:hAnsi="宋体"/>
          <w:color w:val="auto"/>
          <w:highlight w:val="none"/>
        </w:rPr>
        <w:t>(五)依法与所招用的农民工订立劳动合同并进行用工实名登记，并约定工资支付标准、支付时间、支付方式等。农民工工资标准应符合建筑市场用工标准且不得低于当地最低工资标准。</w:t>
      </w:r>
    </w:p>
    <w:p>
      <w:pPr>
        <w:spacing w:line="400" w:lineRule="exact"/>
        <w:ind w:firstLine="420" w:firstLineChars="200"/>
        <w:rPr>
          <w:rFonts w:ascii="宋体" w:hAnsi="宋体"/>
          <w:color w:val="auto"/>
          <w:highlight w:val="none"/>
        </w:rPr>
      </w:pPr>
      <w:r>
        <w:rPr>
          <w:rFonts w:hint="eastAsia" w:ascii="宋体" w:hAnsi="宋体"/>
          <w:color w:val="auto"/>
          <w:highlight w:val="none"/>
        </w:rPr>
        <w:t>(六)对农民工信息的真实性负责,须建立农民工管理档案,农民工管理档案包含农民工花名册、有效身份证复印件、进场时间、离场时间、家庭住址、联系电话等，并保存至工程完工且工资全部结清后至少3年。</w:t>
      </w:r>
    </w:p>
    <w:p>
      <w:pPr>
        <w:spacing w:line="400" w:lineRule="exact"/>
        <w:ind w:firstLine="420" w:firstLineChars="200"/>
        <w:rPr>
          <w:rFonts w:ascii="宋体" w:hAnsi="宋体"/>
          <w:color w:val="auto"/>
          <w:highlight w:val="none"/>
        </w:rPr>
      </w:pPr>
      <w:r>
        <w:rPr>
          <w:rFonts w:hint="eastAsia" w:ascii="宋体" w:hAnsi="宋体"/>
          <w:color w:val="auto"/>
          <w:highlight w:val="none"/>
        </w:rPr>
        <w:t>(七)未订立劳动合同并进行用工实名登记的人员，不得进入项目现场施工。</w:t>
      </w:r>
    </w:p>
    <w:p>
      <w:pPr>
        <w:spacing w:line="400" w:lineRule="exact"/>
        <w:ind w:firstLine="420" w:firstLineChars="200"/>
        <w:rPr>
          <w:rFonts w:ascii="宋体" w:hAnsi="宋体"/>
          <w:color w:val="auto"/>
          <w:highlight w:val="none"/>
        </w:rPr>
      </w:pPr>
      <w:r>
        <w:rPr>
          <w:rFonts w:hint="eastAsia" w:ascii="宋体" w:hAnsi="宋体"/>
          <w:color w:val="auto"/>
          <w:highlight w:val="none"/>
        </w:rPr>
        <w:t>(八)总承包单位应当在施工现场醒目位置设立维权信息告.示牌，明示下列事项:</w:t>
      </w:r>
    </w:p>
    <w:p>
      <w:pPr>
        <w:spacing w:line="400" w:lineRule="exact"/>
        <w:ind w:firstLine="420" w:firstLineChars="200"/>
        <w:rPr>
          <w:rFonts w:ascii="宋体" w:hAnsi="宋体"/>
          <w:color w:val="auto"/>
          <w:highlight w:val="none"/>
        </w:rPr>
      </w:pPr>
      <w:r>
        <w:rPr>
          <w:rFonts w:hint="eastAsia" w:ascii="宋体" w:hAnsi="宋体"/>
          <w:color w:val="auto"/>
          <w:highlight w:val="none"/>
        </w:rPr>
        <w:t>1.建设单位、施工总承包单位及所在项目部、分包单位、相关行业工程建设主管部门、劳资专管员等基本信息。</w:t>
      </w:r>
    </w:p>
    <w:p>
      <w:pPr>
        <w:spacing w:line="400" w:lineRule="exact"/>
        <w:ind w:firstLine="420" w:firstLineChars="200"/>
        <w:rPr>
          <w:rFonts w:ascii="宋体" w:hAnsi="宋体"/>
          <w:color w:val="auto"/>
          <w:highlight w:val="none"/>
        </w:rPr>
      </w:pPr>
      <w:r>
        <w:rPr>
          <w:rFonts w:hint="eastAsia" w:ascii="宋体" w:hAnsi="宋体"/>
          <w:color w:val="auto"/>
          <w:highlight w:val="none"/>
        </w:rPr>
        <w:t>2.当地最低工资标准、工资支付日期等基本信息。</w:t>
      </w:r>
    </w:p>
    <w:p>
      <w:pPr>
        <w:spacing w:line="400" w:lineRule="exact"/>
        <w:ind w:firstLine="420" w:firstLineChars="200"/>
        <w:rPr>
          <w:rFonts w:ascii="宋体" w:hAnsi="宋体"/>
          <w:color w:val="auto"/>
          <w:highlight w:val="none"/>
        </w:rPr>
      </w:pPr>
      <w:r>
        <w:rPr>
          <w:rFonts w:hint="eastAsia" w:ascii="宋体" w:hAnsi="宋体"/>
          <w:color w:val="auto"/>
          <w:highlight w:val="none"/>
        </w:rPr>
        <w:t>3.相关行业工程建设主管部门和劳动保障监察投诉举报电话、劳动争议调解仲裁申请渠道、法律援助申请渠道、公共法律服务热线等信息。</w:t>
      </w:r>
    </w:p>
    <w:p>
      <w:pPr>
        <w:spacing w:line="400" w:lineRule="exact"/>
        <w:ind w:firstLine="420" w:firstLineChars="200"/>
        <w:rPr>
          <w:rFonts w:ascii="宋体" w:hAnsi="宋体"/>
          <w:color w:val="auto"/>
          <w:highlight w:val="none"/>
        </w:rPr>
      </w:pPr>
      <w:r>
        <w:rPr>
          <w:rFonts w:hint="eastAsia" w:ascii="宋体" w:hAnsi="宋体" w:cs="宋体"/>
          <w:color w:val="auto"/>
          <w:szCs w:val="21"/>
          <w:highlight w:val="none"/>
        </w:rPr>
        <w:t>4.1.13</w:t>
      </w:r>
      <w:r>
        <w:rPr>
          <w:rFonts w:hint="eastAsia" w:ascii="宋体" w:hAnsi="宋体"/>
          <w:color w:val="auto"/>
          <w:highlight w:val="none"/>
        </w:rPr>
        <w:t>农民工工资支付管理</w:t>
      </w:r>
    </w:p>
    <w:p>
      <w:pPr>
        <w:spacing w:line="400" w:lineRule="exact"/>
        <w:ind w:firstLine="420" w:firstLineChars="200"/>
        <w:rPr>
          <w:rFonts w:ascii="宋体" w:hAnsi="宋体"/>
          <w:color w:val="auto"/>
          <w:highlight w:val="none"/>
        </w:rPr>
      </w:pPr>
      <w:r>
        <w:rPr>
          <w:rFonts w:hint="eastAsia" w:ascii="宋体" w:hAnsi="宋体"/>
          <w:color w:val="auto"/>
          <w:highlight w:val="none"/>
        </w:rPr>
        <w:t>(一)发包人(项目法人)与总承包单位要在施工合同约定工程款计量周期、工程款进度结算办法以及人工费用拨付周期，并按照保障农民工工资按时足额支付的要求约定人工费用。发包人每个计量周期按支付金额的8%，将人工费用汇至总承包单位开立的农民工工资专用账户，人工费用拨付周期不得超过1个月。总承包单位应与分包单位在分包合同约定工程款计量周期、工程款进度结算办法。</w:t>
      </w:r>
    </w:p>
    <w:p>
      <w:pPr>
        <w:spacing w:line="400" w:lineRule="exact"/>
        <w:ind w:firstLine="420" w:firstLineChars="200"/>
        <w:rPr>
          <w:rFonts w:ascii="宋体" w:hAnsi="宋体"/>
          <w:color w:val="auto"/>
          <w:highlight w:val="none"/>
        </w:rPr>
      </w:pPr>
      <w:r>
        <w:rPr>
          <w:rFonts w:hint="eastAsia" w:ascii="宋体" w:hAnsi="宋体"/>
          <w:color w:val="auto"/>
          <w:highlight w:val="none"/>
        </w:rPr>
        <w:t>(二)分包单位应当按月编制农民工工资支付表及农民工考勤表，并经农民工本人签字确认后，与当月工程进度等情况一并交总承包单位。</w:t>
      </w:r>
    </w:p>
    <w:p>
      <w:pPr>
        <w:spacing w:line="400" w:lineRule="exact"/>
        <w:ind w:firstLine="420" w:firstLineChars="200"/>
        <w:rPr>
          <w:rFonts w:ascii="宋体" w:hAnsi="宋体"/>
          <w:color w:val="auto"/>
          <w:highlight w:val="none"/>
        </w:rPr>
      </w:pPr>
      <w:r>
        <w:rPr>
          <w:rFonts w:hint="eastAsia" w:ascii="宋体" w:hAnsi="宋体"/>
          <w:color w:val="auto"/>
          <w:highlight w:val="none"/>
        </w:rPr>
        <w:t>(三)总承包单位接受分包单位委托根据分包单位交来的工资支付表及考勤表，将工资通过专用帐户支付至农民工本人的银行账户，并向分包单位提供代发工资凭证。</w:t>
      </w:r>
    </w:p>
    <w:p>
      <w:pPr>
        <w:spacing w:line="400" w:lineRule="exact"/>
        <w:ind w:firstLine="420" w:firstLineChars="200"/>
        <w:rPr>
          <w:rFonts w:ascii="宋体" w:hAnsi="宋体"/>
          <w:color w:val="auto"/>
          <w:highlight w:val="none"/>
        </w:rPr>
      </w:pPr>
      <w:r>
        <w:rPr>
          <w:rFonts w:hint="eastAsia" w:ascii="宋体" w:hAnsi="宋体"/>
          <w:color w:val="auto"/>
          <w:highlight w:val="none"/>
        </w:rPr>
        <w:t>(四)农民工凭本人身份证领取工资，并在签收栏签字。按手印，签字后的工资支付清单由总承包单位做好存档,以备检查。</w:t>
      </w:r>
    </w:p>
    <w:p>
      <w:pPr>
        <w:spacing w:line="400" w:lineRule="exact"/>
        <w:ind w:firstLine="420" w:firstLineChars="200"/>
        <w:rPr>
          <w:rFonts w:ascii="宋体" w:hAnsi="宋体"/>
          <w:color w:val="auto"/>
          <w:highlight w:val="none"/>
        </w:rPr>
      </w:pPr>
      <w:r>
        <w:rPr>
          <w:rFonts w:hint="eastAsia" w:ascii="宋体" w:hAnsi="宋体"/>
          <w:color w:val="auto"/>
          <w:highlight w:val="none"/>
        </w:rPr>
        <w:t>(五)发包人应定期或不定期检查农民工工资支付情况。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4.1.14（增加）</w:t>
      </w:r>
      <w:r>
        <w:rPr>
          <w:rFonts w:hint="eastAsia" w:ascii="宋体" w:hAnsi="宋体"/>
          <w:color w:val="auto"/>
          <w:highlight w:val="none"/>
        </w:rPr>
        <w:t>农民工工资支付其它规定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经发包人农民工工资管理办公室检查发现总承包单位未按规定与农民工签订劳动合同，未按时足额发放农民工工资，未及时编制农民工管理台账和农民工工资支付表等材料或材料不真实的，视为总承包单位违约，发包人可按合同约定对总承包单位违约处罚处罚违约金(签约合同总额的0.5%)。.</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(二)由于总承包单位原因不能按时足额发放农民工工资，导致农民工上访、投诉或发生群体事件等給发包人造成不良影响的，发包人可按合同约定对总承包单位进行违约处罚，处罚违约金(签约合同总额的2%)。</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(三)农民工工资专用账户由发包人。总承包单位。开户银行签订资金管理三方协议。专用账户名称为总包单位名称加工程.建设项目名称加“农民工工资专用账户”。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工程完工、总承包单位或者开户银行发生变更需要撇销专用账户的，总承包单位将本工程建设项目无拖欠农民工工资情况公示30日，并向项目所在地人力资源社会保障行政部门。相关行业工程建设主管部门出具无拖欠农民工工资承诺书。开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银行依据专用账户监管部门通知取消账户特殊标识，按程序办理专用账户撤销手续，专用账户余额归总承包单位所有。</w:t>
      </w:r>
    </w:p>
    <w:p>
      <w:pPr>
        <w:keepNext/>
        <w:keepLines/>
        <w:spacing w:line="400" w:lineRule="exact"/>
        <w:outlineLvl w:val="4"/>
        <w:rPr>
          <w:rFonts w:ascii="宋体" w:hAnsi="宋体" w:cs="宋体"/>
          <w:b/>
          <w:color w:val="auto"/>
          <w:szCs w:val="21"/>
          <w:highlight w:val="none"/>
        </w:rPr>
      </w:pPr>
      <w:bookmarkStart w:id="73" w:name="_Toc9277"/>
      <w:bookmarkStart w:id="74" w:name="_Toc22731"/>
      <w:r>
        <w:rPr>
          <w:rFonts w:hint="eastAsia" w:ascii="宋体" w:hAnsi="宋体" w:cs="宋体"/>
          <w:b/>
          <w:color w:val="auto"/>
          <w:szCs w:val="21"/>
          <w:highlight w:val="none"/>
        </w:rPr>
        <w:t>4.6承包人人员的管理</w:t>
      </w:r>
      <w:bookmarkEnd w:id="73"/>
      <w:bookmarkEnd w:id="74"/>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（增加）4.6.5  项目经理、总工及主要管理人员每月驻工地现场时间不应少于22天，项目经理、总工及主要管理人员，技术骨干离开工地必须向监理书面请假，并经项目建设管理机构相关负责人、监理工程师书面同意方能离开，否则视为违约并按22.1款执行。</w:t>
      </w:r>
    </w:p>
    <w:p>
      <w:pPr>
        <w:keepNext/>
        <w:keepLines/>
        <w:spacing w:line="400" w:lineRule="exact"/>
        <w:outlineLvl w:val="4"/>
        <w:rPr>
          <w:rFonts w:ascii="宋体" w:hAnsi="宋体" w:cs="宋体"/>
          <w:b/>
          <w:color w:val="auto"/>
          <w:szCs w:val="21"/>
          <w:highlight w:val="none"/>
        </w:rPr>
      </w:pPr>
      <w:bookmarkStart w:id="75" w:name="_Toc5224"/>
      <w:bookmarkStart w:id="76" w:name="_Toc10475"/>
      <w:r>
        <w:rPr>
          <w:rFonts w:hint="eastAsia" w:ascii="宋体" w:hAnsi="宋体" w:cs="宋体"/>
          <w:b/>
          <w:color w:val="auto"/>
          <w:szCs w:val="21"/>
          <w:highlight w:val="none"/>
        </w:rPr>
        <w:t>4.9工程价款应专款专用</w:t>
      </w:r>
      <w:bookmarkEnd w:id="75"/>
      <w:bookmarkEnd w:id="76"/>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在原条款末增加：项目法人向承包人支付的预付款、工程进度款等为本工程的专款专用资金，承包人违反下述规定的，项目法人将中止其任何款项的支付。</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（1）凡不在项目法人指定银行开户的承包人，项目法人将不对其支付任何款项。</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中国人民银行有关规定，每个承包人只能在一个银行开立一个结算帐户，不允许多头开户。项目法人按合同条款规定对承包人支付的款项，只对合同规定的法人或者法人代表的授权代理人支付，不对其内部独立核算单位或经批准的分包人直接支付（合同有专项规定者除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合同执行期间，为确保工程建设资金专款专用，承包人在收到业主支付的款项后，须向业主提供资金使用计划，详细说明资金使用流向，经业主批准并在业主的监督下使用，必须优先支付工人特别是农民工的工资，其次是材料价款以及工程建设直接的成本。</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Theme="majorEastAsia" w:hAnsiTheme="majorEastAsia" w:eastAsiaTheme="majorEastAsia" w:cstheme="majorEastAsia"/>
          <w:kern w:val="0"/>
          <w:sz w:val="21"/>
          <w:szCs w:val="21"/>
          <w:highlight w:val="none"/>
        </w:rPr>
        <w:t>广西壮族自治区人力资源和社会保障厅，广西壮族自治区住房和城乡建设厅，广西壮族自治区交通运输厅，广西壮族自治区水利厅，中国银行保险监督管理委员会广西监管局关于印发广西壮族自治区工程建设领域农民工工资保证金规定实施办法的通知（桂人社规〔2021〕16号）规定，工资保证金按工程建设项目施工合同额（或年度合同额）的比例存储，工资保证金存储比例为1%</w:t>
      </w:r>
      <w:r>
        <w:rPr>
          <w:rFonts w:hint="eastAsia" w:asciiTheme="majorEastAsia" w:hAnsiTheme="majorEastAsia" w:eastAsiaTheme="majorEastAsia" w:cstheme="majorEastAsia"/>
          <w:kern w:val="0"/>
          <w:sz w:val="21"/>
          <w:szCs w:val="21"/>
          <w:highlight w:val="none"/>
          <w:lang w:eastAsia="zh-CN"/>
        </w:rPr>
        <w:t>。</w:t>
      </w:r>
      <w:r>
        <w:rPr>
          <w:rFonts w:hint="eastAsia" w:ascii="宋体" w:hAnsi="宋体" w:cs="宋体"/>
          <w:color w:val="auto"/>
          <w:szCs w:val="21"/>
          <w:highlight w:val="none"/>
        </w:rPr>
        <w:t>有关要求如下：</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a.承包人应缴纳的农民工工资保证金额度为5000万元×2%+（A-5000万元）×1.5%，其中A为承包人的中标价（结算价）。当A小于5000万元时，按</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%存入。</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人力资源社会保障部门调查认定施工单位拖欠或克扣农民工工资的，责令施工单位支付被拖欠的农民工工资。逾期仍不支付或无力支付的，经有管辖权限的人力资源社会保障部门同意，从该施工单位缴存的农民工工资保证中支付。</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工程建设项目实行分包、转包的，发生拖欠农民工工资时，实施分包、转包的施工单位按照上述办法承担工资支付责任。</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c.已使用农民工工资保证金的施工单位，必须在使用农民工工资保证金之日起一个月内，向农民工工资保证金专用账户补缴存已使用的农民工工资保证金数额的2倍工资保证金。</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（7）根据《关于印发广西壮族自治区工程建设领域工人工资支付专用帐户管理办法》（桂薪联发[2016]1号），工程建设领域的工人工资支付实行专户管理，以银行转账方式支付工资。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含专业分包、劳务分包等）对建设项目中的工人工资和其他款项实行分开银行账户管理，在商业银行设立工人工资支付专用账户用于支付工资。工人工资支付专用账户内的资金除发放工人工资外，不得用于其他用途。工人工资支付专用账户开立后，应向人力资源社会保障部门和建设项目主管部门备案。工人工资支付专用账户的开立、使用和管理应按照人民银行相关规定执行。</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单位应在项目开工前，在项目所在地商业银行设立工人工资支付专用账户，并在用工之日起15个工作日内为每个工人开立有效工资个人账户。施工单位应当通过工人工资支付帐户，依法按时足额将工人工资直接支付到工人的个人账户，并按月及时将工人工资支付明细表报建设单位、施工总承包单位和当地劳动保障监察部门备案。</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施工单位应当建立劳动用工管理台账，真实、准确记录工人名册、劳动合同（集体合同）、劳务合同、工程进度、工时、劳务承包款和工人工资支付情况等信息，并保存两年以上备查。</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（8）工程通过交工验收后，由建设单位（项目现场管理机构）对承包人支付农民工工资等内容进行公示，公示期不少于15天。</w:t>
      </w:r>
    </w:p>
    <w:p>
      <w:pPr>
        <w:keepNext/>
        <w:keepLines/>
        <w:spacing w:line="400" w:lineRule="exact"/>
        <w:outlineLvl w:val="4"/>
        <w:rPr>
          <w:rFonts w:ascii="宋体" w:hAnsi="宋体" w:cs="宋体"/>
          <w:b/>
          <w:color w:val="auto"/>
          <w:szCs w:val="21"/>
          <w:highlight w:val="none"/>
        </w:rPr>
      </w:pPr>
      <w:bookmarkStart w:id="77" w:name="_Toc25421"/>
      <w:bookmarkStart w:id="78" w:name="_Toc12835"/>
      <w:r>
        <w:rPr>
          <w:rFonts w:hint="eastAsia" w:ascii="宋体" w:hAnsi="宋体" w:cs="宋体"/>
          <w:b/>
          <w:color w:val="auto"/>
          <w:szCs w:val="21"/>
          <w:highlight w:val="none"/>
        </w:rPr>
        <w:t>4.11不利物质条件</w:t>
      </w:r>
      <w:bookmarkEnd w:id="77"/>
      <w:bookmarkEnd w:id="78"/>
    </w:p>
    <w:p>
      <w:pPr>
        <w:tabs>
          <w:tab w:val="left" w:pos="1080"/>
        </w:tabs>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4.11.1 不利物质条件的范围：</w:t>
      </w:r>
      <w:r>
        <w:rPr>
          <w:rFonts w:hint="eastAsia" w:ascii="宋体" w:hAnsi="宋体" w:cs="宋体"/>
          <w:color w:val="auto"/>
          <w:szCs w:val="21"/>
          <w:highlight w:val="none"/>
          <w:u w:val="single"/>
        </w:rPr>
        <w:t xml:space="preserve">  / </w:t>
      </w:r>
    </w:p>
    <w:p>
      <w:pPr>
        <w:keepNext/>
        <w:keepLines/>
        <w:spacing w:line="400" w:lineRule="exact"/>
        <w:outlineLvl w:val="4"/>
        <w:rPr>
          <w:rFonts w:ascii="宋体" w:hAnsi="宋体" w:cs="宋体"/>
          <w:b/>
          <w:color w:val="auto"/>
          <w:szCs w:val="21"/>
          <w:highlight w:val="none"/>
        </w:rPr>
      </w:pPr>
      <w:bookmarkStart w:id="79" w:name="_Toc29922"/>
      <w:bookmarkStart w:id="80" w:name="_Toc28444"/>
      <w:r>
        <w:rPr>
          <w:rFonts w:hint="eastAsia" w:ascii="宋体" w:hAnsi="宋体" w:cs="宋体"/>
          <w:b/>
          <w:color w:val="auto"/>
          <w:szCs w:val="21"/>
          <w:highlight w:val="none"/>
        </w:rPr>
        <w:t>7.3场外交通</w:t>
      </w:r>
      <w:bookmarkEnd w:id="79"/>
      <w:bookmarkEnd w:id="80"/>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（增加）7.3.3为保证道路交通安全及运输畅通，承包人应采取以下措施：</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监理人可指令采取任何措施疏通，一切费用由承包人承担。</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7.3.4 承包人应加强文明施工，保障道路通畅的管理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（1）承包人在施工期内应按国家、交通主管部门与公路管理机构有关文明施工，保障畅通的规定组织施工，对出现的交通堵塞无条件地采取措施进行疏通。</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对于旧路改建工程项目：破坏旧路必须作出交通维持与恢复路面通行条件方案并必须取得监理工程师与项目建设办公室的书面批准，未经批准进行旧路开挖与填筑的，项目建设办公室和监理工程师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pPr>
        <w:keepNext/>
        <w:keepLines/>
        <w:spacing w:line="400" w:lineRule="exact"/>
        <w:outlineLvl w:val="4"/>
        <w:rPr>
          <w:rFonts w:ascii="宋体" w:hAnsi="宋体" w:cs="宋体"/>
          <w:b/>
          <w:color w:val="auto"/>
          <w:szCs w:val="21"/>
          <w:highlight w:val="none"/>
        </w:rPr>
      </w:pPr>
      <w:bookmarkStart w:id="81" w:name="_Toc7717"/>
      <w:bookmarkStart w:id="82" w:name="_Toc28646"/>
      <w:r>
        <w:rPr>
          <w:rFonts w:hint="eastAsia" w:ascii="宋体" w:hAnsi="宋体" w:cs="宋体"/>
          <w:b/>
          <w:color w:val="auto"/>
          <w:szCs w:val="21"/>
          <w:highlight w:val="none"/>
        </w:rPr>
        <w:t>9.2承包人的施工安全责任</w:t>
      </w:r>
      <w:bookmarkEnd w:id="81"/>
      <w:bookmarkEnd w:id="82"/>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9.2.5 条款末增加：安全生产费用应用于施工安全防护设施及用具（施工安全防护设施指施工、导向、限速等临时安全标志牌、安全隐患告知牌、锥桶、安全警示带）的采购和更新、安全施工措施的落实、安全生产条件的改善，不得挪作他用。如项目法人或监理在日常检查中发现承包人用于危险路段、有安全隐患路段施工安全防护的设施和用具不齐全或缺乏，并且承包人没有按规定及时添置安放的情况，则项目法人及监理工程师应按照合同有关规定指令承包人纠正和整改，承包人拒不整改或整改不彻底的，项目法人有权进行直接购置上述施工安全防护设施和用具并安排专人进行设置管理等安全管理工作，所发生的费用由承包人负责，并由项目法人在承包人合同价中计量扣除。</w:t>
      </w:r>
    </w:p>
    <w:p>
      <w:pPr>
        <w:keepNext/>
        <w:keepLines/>
        <w:spacing w:line="400" w:lineRule="exact"/>
        <w:outlineLvl w:val="4"/>
        <w:rPr>
          <w:rFonts w:ascii="宋体" w:hAnsi="宋体" w:cs="宋体"/>
          <w:b/>
          <w:color w:val="auto"/>
          <w:szCs w:val="21"/>
          <w:highlight w:val="none"/>
        </w:rPr>
      </w:pPr>
      <w:bookmarkStart w:id="83" w:name="_Toc9689"/>
      <w:r>
        <w:rPr>
          <w:rFonts w:hint="eastAsia" w:ascii="宋体" w:hAnsi="宋体" w:cs="宋体"/>
          <w:b/>
          <w:color w:val="auto"/>
          <w:szCs w:val="21"/>
          <w:highlight w:val="none"/>
        </w:rPr>
        <w:t>9.6运营中的公路道路施工安全</w:t>
      </w:r>
      <w:bookmarkEnd w:id="83"/>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9.6.1承包人进场施工前需到路政部门和安监部门办理上路施工许可证和安全监督等手续，签订路上施工安全协议书，并接受监督。</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锥桶、安全警示带），施工过程中承包人必须派专人维护各施工标志牌正常使用。路上作业施工人员应统一着桔红色反光标志服，采购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9.6.6破除的公路废弃材料应集中废弃到弃土场。</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9.6.7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9.6.8承包人不得在公路路面上拌和公路材料。</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9.6.9承包人须将拟施工点报监理人审批后，方可进行施工。</w:t>
      </w:r>
    </w:p>
    <w:p>
      <w:pPr>
        <w:keepNext/>
        <w:keepLines/>
        <w:spacing w:line="400" w:lineRule="exact"/>
        <w:outlineLvl w:val="4"/>
        <w:rPr>
          <w:rFonts w:ascii="宋体" w:hAnsi="宋体" w:cs="宋体"/>
          <w:b/>
          <w:color w:val="auto"/>
          <w:szCs w:val="21"/>
          <w:highlight w:val="none"/>
        </w:rPr>
      </w:pPr>
      <w:bookmarkStart w:id="84" w:name="_Toc22982"/>
      <w:bookmarkStart w:id="85" w:name="_Toc27581"/>
      <w:r>
        <w:rPr>
          <w:rFonts w:hint="eastAsia" w:ascii="宋体" w:hAnsi="宋体" w:cs="宋体"/>
          <w:b/>
          <w:color w:val="auto"/>
          <w:szCs w:val="21"/>
          <w:highlight w:val="none"/>
        </w:rPr>
        <w:t>10.1合同进度计划</w:t>
      </w:r>
      <w:bookmarkEnd w:id="84"/>
      <w:bookmarkEnd w:id="85"/>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pPr>
        <w:keepNext/>
        <w:keepLines/>
        <w:spacing w:line="400" w:lineRule="exact"/>
        <w:outlineLvl w:val="4"/>
        <w:rPr>
          <w:rFonts w:ascii="宋体" w:hAnsi="宋体" w:cs="宋体"/>
          <w:b/>
          <w:color w:val="auto"/>
          <w:szCs w:val="21"/>
          <w:highlight w:val="none"/>
        </w:rPr>
      </w:pPr>
      <w:bookmarkStart w:id="86" w:name="_Toc23891"/>
      <w:bookmarkStart w:id="87" w:name="_Toc28867"/>
      <w:r>
        <w:rPr>
          <w:rFonts w:hint="eastAsia" w:ascii="宋体" w:hAnsi="宋体" w:cs="宋体"/>
          <w:b/>
          <w:color w:val="auto"/>
          <w:szCs w:val="21"/>
          <w:highlight w:val="none"/>
        </w:rPr>
        <w:t>11.4异常恶劣的气候条件</w:t>
      </w:r>
      <w:bookmarkEnd w:id="86"/>
      <w:bookmarkEnd w:id="87"/>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异常恶劣的气候条件的范围：对本项目而言，指发生烈度7度（含7度）以上地震、龙卷风、施工场地受淹超过项目法人提供的设计图纸指明的设计洪水水位引起的延误的情况。</w:t>
      </w:r>
    </w:p>
    <w:p>
      <w:pPr>
        <w:tabs>
          <w:tab w:val="left" w:pos="1080"/>
        </w:tabs>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增加：异常恶劣的气候条件，政府及有关部门预先有预报的，由于承包人没有应急措施或没有采取应急措施的，造成的损失和工期延误，由承包人负责。</w:t>
      </w:r>
    </w:p>
    <w:p>
      <w:pPr>
        <w:keepNext/>
        <w:keepLines/>
        <w:spacing w:line="400" w:lineRule="exact"/>
        <w:outlineLvl w:val="4"/>
        <w:rPr>
          <w:rFonts w:ascii="宋体" w:hAnsi="宋体" w:cs="宋体"/>
          <w:b/>
          <w:color w:val="auto"/>
          <w:szCs w:val="21"/>
          <w:highlight w:val="none"/>
        </w:rPr>
      </w:pPr>
      <w:bookmarkStart w:id="88" w:name="_Toc21646"/>
      <w:bookmarkStart w:id="89" w:name="_Toc22869"/>
      <w:r>
        <w:rPr>
          <w:rFonts w:hint="eastAsia" w:ascii="宋体" w:hAnsi="宋体" w:cs="宋体"/>
          <w:b/>
          <w:color w:val="auto"/>
          <w:szCs w:val="21"/>
          <w:highlight w:val="none"/>
        </w:rPr>
        <w:t>11.8其它进度要求</w:t>
      </w:r>
      <w:bookmarkEnd w:id="88"/>
      <w:bookmarkEnd w:id="89"/>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（1）承包人应加强工程进度计划管理，努力实现均衡组织施工的目标。</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  路面碎石材料的采备应与路基施工进度同步，以保证路面施工进度。</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  桥梁、主要涵洞、高大支挡结构、旧路改建（破坏旧路路面）的路面等关键工程及分项应有独立详细的施工组织设计，并采取措施确保落实。</w:t>
      </w:r>
    </w:p>
    <w:p>
      <w:pPr>
        <w:keepNext/>
        <w:keepLines/>
        <w:spacing w:line="400" w:lineRule="exact"/>
        <w:outlineLvl w:val="4"/>
        <w:rPr>
          <w:rFonts w:ascii="宋体" w:hAnsi="宋体" w:cs="宋体"/>
          <w:b/>
          <w:color w:val="auto"/>
          <w:szCs w:val="21"/>
          <w:highlight w:val="none"/>
        </w:rPr>
      </w:pPr>
      <w:bookmarkStart w:id="90" w:name="_Toc12993"/>
      <w:bookmarkStart w:id="91" w:name="_Toc11207"/>
      <w:r>
        <w:rPr>
          <w:rFonts w:hint="eastAsia" w:ascii="宋体" w:hAnsi="宋体" w:cs="宋体"/>
          <w:b/>
          <w:color w:val="auto"/>
          <w:szCs w:val="21"/>
          <w:highlight w:val="none"/>
        </w:rPr>
        <w:t>12.暂停施工</w:t>
      </w:r>
      <w:bookmarkEnd w:id="90"/>
      <w:bookmarkEnd w:id="91"/>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1承包人暂停施工的责任</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公路工程专用合同条款12.1.（6）项约定：</w:t>
      </w:r>
    </w:p>
    <w:p>
      <w:pPr>
        <w:tabs>
          <w:tab w:val="left" w:pos="1080"/>
        </w:tabs>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（6）由承包人承担的其他暂停施工：</w:t>
      </w:r>
      <w:r>
        <w:rPr>
          <w:rFonts w:hint="eastAsia" w:ascii="宋体" w:hAnsi="宋体" w:cs="宋体"/>
          <w:color w:val="auto"/>
          <w:szCs w:val="21"/>
          <w:highlight w:val="none"/>
          <w:u w:val="single"/>
        </w:rPr>
        <w:t xml:space="preserve">   ／  </w:t>
      </w:r>
    </w:p>
    <w:p>
      <w:pPr>
        <w:keepNext/>
        <w:keepLines/>
        <w:spacing w:line="400" w:lineRule="exact"/>
        <w:outlineLvl w:val="4"/>
        <w:rPr>
          <w:rFonts w:ascii="宋体" w:hAnsi="宋体" w:cs="宋体"/>
          <w:b/>
          <w:color w:val="auto"/>
          <w:szCs w:val="21"/>
          <w:highlight w:val="none"/>
        </w:rPr>
      </w:pPr>
      <w:bookmarkStart w:id="92" w:name="_Toc22997"/>
      <w:bookmarkStart w:id="93" w:name="_Toc19650"/>
      <w:bookmarkStart w:id="94" w:name="_Toc144974714"/>
      <w:bookmarkStart w:id="95" w:name="_Toc152042522"/>
      <w:bookmarkStart w:id="96" w:name="_Toc152045743"/>
      <w:bookmarkStart w:id="97" w:name="_Toc179632761"/>
      <w:r>
        <w:rPr>
          <w:rFonts w:hint="eastAsia" w:ascii="宋体" w:hAnsi="宋体" w:cs="宋体"/>
          <w:b/>
          <w:color w:val="auto"/>
          <w:szCs w:val="21"/>
          <w:highlight w:val="none"/>
        </w:rPr>
        <w:t>13.3承包人的质量检查</w:t>
      </w:r>
      <w:bookmarkEnd w:id="92"/>
      <w:bookmarkEnd w:id="93"/>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增加内容：（1）落实质量责任制和质量保证体系</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分项工程施工现场应实行质量责任牌管理，写明作业内容、项目质量管理责任人（施工单位、监理单位、建设管理机构）和质量管理举报电话； </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（2）认真执行质量检查制度：</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施工作业管理的专业工程师在测量、试验工程师配合下完成施工自检并作施工记录（工艺及原材料使用等）；</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质检工程师在测量、试验工程师配合下加强中间质量检测，严格控制工序质量，及时完成工序、分项完工检验并提交质量检验记录，收集工序、分项资料与检验申请经项目总工签认后报送监理工程师。</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试验、测量工程师根据施工质检需要完成试验与测量作业并及时交检验结果报告专业工程师、质检工程师。</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（3）质量管理记录的原始记录包括作业记录、测量记录、试验记录、检验记录及验收记录，地基、基础、填挖交界碾压，墙台背回填等隐蔽工程应摄象或照相作为现场记录保存。</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承包人应加强文明施工，保障道路通畅的管理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  承包人在施工期内应按国家、交通主管部门与公路管理机构文明施工，保障畅通的有关规定组织施工，对出现的交通堵塞无条件地采取措施进行疏通。</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 旧路改建工程项目</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i）破坏旧路必须作出交通维持与恢复路面通行条件方案并必须取得监理工程师与业主的批准，未经批准进行旧路开挖与填筑的，业主和监理工程师有权责令停工，并由承包人恢复原良好的通车条件，并需承担一切费用。</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（ii）不得在道路上堆放材料或占道施工影响交通。</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路基、路面施工应避免出现晴天扬尘，雨天打滑影响安全与交通和影响群众生活、生产的现象。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维持交通的路基施工应保证表面平整，保证通畅。</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（5） 承包人应自觉接受交通主管部门、质量监督单位、公路管理机构的监督，对指出的问题进行认真的整改，及时报告处理结果。</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在整个施工过程中，监理工程师、业主对承包人履行责任有权进行监督，并向承包人提出整改要求。承包人应认真履行责任，执行业主、监理工程师的指令，否则将按第22.1款视为承包人违约。</w:t>
      </w:r>
    </w:p>
    <w:p>
      <w:pPr>
        <w:keepNext/>
        <w:keepLines/>
        <w:spacing w:line="400" w:lineRule="exact"/>
        <w:outlineLvl w:val="4"/>
        <w:rPr>
          <w:rFonts w:ascii="宋体" w:hAnsi="宋体" w:cs="宋体"/>
          <w:b/>
          <w:color w:val="auto"/>
          <w:szCs w:val="21"/>
          <w:highlight w:val="none"/>
        </w:rPr>
      </w:pPr>
      <w:bookmarkStart w:id="98" w:name="_Toc14214"/>
      <w:bookmarkStart w:id="99" w:name="_Toc10896"/>
      <w:r>
        <w:rPr>
          <w:rFonts w:hint="eastAsia" w:ascii="宋体" w:hAnsi="宋体" w:cs="宋体"/>
          <w:b/>
          <w:color w:val="auto"/>
          <w:szCs w:val="21"/>
          <w:highlight w:val="none"/>
        </w:rPr>
        <w:t>13.5工程隐蔽部位覆盖前的检查</w:t>
      </w:r>
      <w:bookmarkEnd w:id="98"/>
      <w:bookmarkEnd w:id="99"/>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（增加）13.5.1项补充：</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隐蔽部位覆盖前应经监理人检查确认,分阶段（工序）进行拍摄或照相,并向监理人提供相关影像相片等书面资料作为计量支付的依据，否则不应给予计量.</w:t>
      </w:r>
    </w:p>
    <w:p>
      <w:pPr>
        <w:keepNext/>
        <w:keepLines/>
        <w:spacing w:line="400" w:lineRule="exact"/>
        <w:outlineLvl w:val="4"/>
        <w:rPr>
          <w:rFonts w:ascii="宋体" w:hAnsi="宋体" w:cs="宋体"/>
          <w:b/>
          <w:color w:val="auto"/>
          <w:szCs w:val="21"/>
          <w:highlight w:val="none"/>
        </w:rPr>
      </w:pPr>
      <w:bookmarkStart w:id="100" w:name="_Toc28887"/>
      <w:bookmarkStart w:id="101" w:name="_Toc7901"/>
      <w:r>
        <w:rPr>
          <w:rFonts w:hint="eastAsia" w:ascii="宋体" w:hAnsi="宋体" w:cs="宋体"/>
          <w:b/>
          <w:color w:val="auto"/>
          <w:szCs w:val="21"/>
          <w:highlight w:val="none"/>
        </w:rPr>
        <w:t>15.3变更</w:t>
      </w:r>
      <w:bookmarkEnd w:id="100"/>
      <w:bookmarkEnd w:id="101"/>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加）15.3.5项补充：设计变更除遵守交通运输部、交通运输厅的现行设计变更管理办法外，还应执行广西壮族自治区桂东公路发展中心现行《桂东公路发展中心养护工程管理办法》、广西壮族自治区北海城区公路养护中心现行《苍梧公路养护中心养护工程管理办法》有关变更的规定。</w:t>
      </w:r>
    </w:p>
    <w:p>
      <w:pPr>
        <w:keepNext/>
        <w:keepLines/>
        <w:spacing w:line="400" w:lineRule="exact"/>
        <w:outlineLvl w:val="4"/>
        <w:rPr>
          <w:rFonts w:ascii="宋体" w:hAnsi="宋体" w:cs="宋体"/>
          <w:b/>
          <w:color w:val="auto"/>
          <w:szCs w:val="21"/>
          <w:highlight w:val="none"/>
        </w:rPr>
      </w:pPr>
      <w:bookmarkStart w:id="102" w:name="_Toc22814"/>
      <w:bookmarkStart w:id="103" w:name="_Toc15368"/>
      <w:r>
        <w:rPr>
          <w:rFonts w:hint="eastAsia" w:ascii="宋体" w:hAnsi="宋体" w:cs="宋体"/>
          <w:b/>
          <w:color w:val="auto"/>
          <w:szCs w:val="21"/>
          <w:highlight w:val="none"/>
        </w:rPr>
        <w:t>17.1计量</w:t>
      </w:r>
      <w:bookmarkEnd w:id="102"/>
      <w:bookmarkEnd w:id="103"/>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17.1.5  本项目工程量清单中总额价子目的支付原则和支付进度：</w:t>
      </w:r>
      <w:r>
        <w:rPr>
          <w:rFonts w:hint="eastAsia" w:ascii="宋体" w:hAnsi="宋体" w:cs="宋体"/>
          <w:color w:val="auto"/>
          <w:szCs w:val="21"/>
          <w:highlight w:val="none"/>
          <w:u w:val="single"/>
        </w:rPr>
        <w:t>见工程量清单计量与支付规则</w:t>
      </w:r>
    </w:p>
    <w:p>
      <w:pPr>
        <w:spacing w:line="500" w:lineRule="exact"/>
        <w:rPr>
          <w:rFonts w:ascii="宋体" w:hAnsi="宋体" w:cs="宋体"/>
          <w:color w:val="auto"/>
          <w:szCs w:val="21"/>
          <w:highlight w:val="none"/>
        </w:rPr>
      </w:pPr>
      <w:bookmarkStart w:id="104" w:name="_Toc8289"/>
      <w:bookmarkStart w:id="105" w:name="_Toc11685"/>
      <w:r>
        <w:rPr>
          <w:rFonts w:hint="eastAsia" w:ascii="宋体" w:hAnsi="宋体" w:cs="宋体"/>
          <w:b/>
          <w:color w:val="auto"/>
          <w:szCs w:val="21"/>
          <w:highlight w:val="none"/>
        </w:rPr>
        <w:t>17.2预付款</w:t>
      </w:r>
      <w:bookmarkEnd w:id="104"/>
      <w:bookmarkEnd w:id="105"/>
      <w:r>
        <w:rPr>
          <w:rFonts w:hint="eastAsia" w:ascii="宋体" w:hAnsi="宋体" w:cs="宋体"/>
          <w:b/>
          <w:color w:val="auto"/>
          <w:szCs w:val="21"/>
          <w:highlight w:val="none"/>
        </w:rPr>
        <w:t>：</w:t>
      </w:r>
      <w:r>
        <w:rPr>
          <w:rFonts w:hint="eastAsia" w:ascii="宋体" w:hAnsi="宋体" w:cs="宋体"/>
          <w:color w:val="auto"/>
          <w:szCs w:val="21"/>
          <w:highlight w:val="none"/>
        </w:rPr>
        <w:t>工程预付款的总金额为签约合同价的30%（签合同时明确），一次性支付给承包人，付款时间应在合同协议书签订后 1０个工作日内，由承包人向发包人提交了相应的预付款保函，并经监理人出具付款证书报送发包人批准。</w:t>
      </w:r>
    </w:p>
    <w:p>
      <w:pPr>
        <w:keepNext/>
        <w:keepLines/>
        <w:spacing w:line="400" w:lineRule="exact"/>
        <w:outlineLvl w:val="4"/>
        <w:rPr>
          <w:rFonts w:ascii="宋体" w:hAnsi="宋体" w:cs="宋体"/>
          <w:b/>
          <w:color w:val="auto"/>
          <w:szCs w:val="21"/>
          <w:highlight w:val="none"/>
        </w:rPr>
      </w:pPr>
    </w:p>
    <w:p>
      <w:pPr>
        <w:keepNext/>
        <w:keepLines/>
        <w:spacing w:line="400" w:lineRule="exact"/>
        <w:outlineLvl w:val="4"/>
        <w:rPr>
          <w:rFonts w:ascii="宋体" w:hAnsi="宋体" w:cs="宋体"/>
          <w:color w:val="auto"/>
          <w:szCs w:val="21"/>
          <w:highlight w:val="none"/>
        </w:rPr>
      </w:pPr>
      <w:bookmarkStart w:id="106" w:name="_Toc30212"/>
      <w:r>
        <w:rPr>
          <w:rFonts w:hint="eastAsia" w:ascii="宋体" w:hAnsi="宋体" w:cs="宋体"/>
          <w:b/>
          <w:color w:val="auto"/>
          <w:szCs w:val="21"/>
          <w:highlight w:val="none"/>
        </w:rPr>
        <w:t>17.3  工程进度付款</w:t>
      </w:r>
      <w:bookmarkEnd w:id="106"/>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17.3.1进度付款证书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17.3.1.1工程建设款按工程进度进行计量支付，计量结算时将扣除合同价2%作为质量保证金。</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17.3.1.2</w:t>
      </w:r>
    </w:p>
    <w:p>
      <w:pPr>
        <w:pStyle w:val="19"/>
        <w:shd w:val="clear" w:color="auto" w:fill="FFFFFF"/>
        <w:spacing w:before="0" w:beforeAutospacing="0" w:after="0" w:afterAutospacing="0" w:line="375" w:lineRule="atLeast"/>
        <w:ind w:firstLine="480"/>
        <w:jc w:val="both"/>
        <w:rPr>
          <w:rFonts w:ascii="宋体" w:hAnsi="宋体" w:eastAsia="宋体" w:cs="宋体"/>
          <w:color w:val="auto"/>
          <w:kern w:val="2"/>
          <w:highlight w:val="none"/>
        </w:rPr>
      </w:pPr>
      <w:r>
        <w:rPr>
          <w:rFonts w:hint="eastAsia" w:ascii="宋体" w:hAnsi="宋体" w:eastAsia="宋体" w:cs="宋体"/>
          <w:color w:val="auto"/>
          <w:kern w:val="2"/>
          <w:highlight w:val="none"/>
        </w:rPr>
        <w:t>根据“住房城乡建设部 财政部关于印发建设工程质量保证金管理办法的通知建质[2017]138号”第六条“在工程项目竣工前，已缴纳履约保证金的，发包人不得同时预留工程质量保证金。”的规定。</w:t>
      </w:r>
      <w:r>
        <w:rPr>
          <w:rFonts w:hint="eastAsia" w:ascii="宋体" w:hAnsi="宋体" w:eastAsia="宋体" w:cs="宋体"/>
          <w:color w:val="auto"/>
          <w:highlight w:val="none"/>
        </w:rPr>
        <w:t>计量结算时</w:t>
      </w:r>
      <w:r>
        <w:rPr>
          <w:rFonts w:hint="eastAsia" w:ascii="宋体" w:hAnsi="宋体" w:eastAsia="宋体" w:cs="宋体"/>
          <w:color w:val="auto"/>
          <w:kern w:val="2"/>
          <w:highlight w:val="none"/>
        </w:rPr>
        <w:t>可将已经缴纳的履约保证金转换成</w:t>
      </w:r>
      <w:r>
        <w:rPr>
          <w:rFonts w:hint="eastAsia" w:ascii="宋体" w:hAnsi="宋体" w:eastAsia="宋体" w:cs="宋体"/>
          <w:color w:val="auto"/>
          <w:highlight w:val="none"/>
        </w:rPr>
        <w:t>质量保证金，在</w:t>
      </w:r>
      <w:r>
        <w:rPr>
          <w:rFonts w:hint="eastAsia" w:ascii="宋体" w:hAnsi="宋体" w:eastAsia="宋体" w:cs="宋体"/>
          <w:color w:val="auto"/>
          <w:kern w:val="2"/>
          <w:highlight w:val="none"/>
        </w:rPr>
        <w:t>缺陷责任期满后一次性退还</w:t>
      </w:r>
    </w:p>
    <w:p>
      <w:pPr>
        <w:spacing w:line="500" w:lineRule="exact"/>
        <w:ind w:firstLine="480" w:firstLineChars="200"/>
        <w:rPr>
          <w:rFonts w:ascii="宋体" w:hAnsi="宋体" w:cs="宋体"/>
          <w:color w:val="auto"/>
          <w:sz w:val="24"/>
          <w:highlight w:val="none"/>
        </w:rPr>
      </w:pP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本项（2）目细化为：</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发包人应在监理人收到进度付款申请单且承包人提交了合格的增值税专用发票后的 28 天内，将进度应付款支付给承包人。</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发包人不按期支付的，按项目专用合同条款数据表中约定的利率向承包人支付逾期付款违约金。违约金计算基数为发包人的全部未付款额，时间从应付而未付该款额之日算起（不计复利）。</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本款补充第 17.3.2 项：</w:t>
      </w:r>
    </w:p>
    <w:p>
      <w:pPr>
        <w:tabs>
          <w:tab w:val="left" w:pos="1080"/>
        </w:tabs>
        <w:spacing w:line="400" w:lineRule="exact"/>
        <w:ind w:firstLine="420" w:firstLineChars="200"/>
        <w:rPr>
          <w:rFonts w:ascii="宋体" w:hAnsi="宋体"/>
          <w:color w:val="auto"/>
          <w:highlight w:val="none"/>
        </w:rPr>
      </w:pPr>
      <w:r>
        <w:rPr>
          <w:rFonts w:hint="eastAsia" w:ascii="宋体" w:hAnsi="宋体" w:cs="宋体"/>
          <w:color w:val="auto"/>
          <w:szCs w:val="21"/>
          <w:highlight w:val="none"/>
        </w:rPr>
        <w:t>17.3.2 农民工工资保证金</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农民工工资保证金的缴存时间：</w:t>
      </w:r>
      <w:r>
        <w:rPr>
          <w:rFonts w:hint="eastAsia" w:ascii="宋体" w:hAnsi="宋体" w:cs="宋体"/>
          <w:color w:val="auto"/>
          <w:szCs w:val="21"/>
          <w:highlight w:val="none"/>
          <w:u w:val="single"/>
        </w:rPr>
        <w:t>签订合同后28天内</w:t>
      </w:r>
    </w:p>
    <w:p>
      <w:pPr>
        <w:widowControl/>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农民工工资保证金的缴存金额：</w:t>
      </w:r>
      <w:r>
        <w:rPr>
          <w:rFonts w:hint="eastAsia" w:ascii="宋体" w:hAnsi="宋体" w:cs="宋体"/>
          <w:color w:val="auto"/>
          <w:szCs w:val="21"/>
          <w:highlight w:val="none"/>
          <w:u w:val="single"/>
        </w:rPr>
        <w:t>按《关于印发广西壮族自治区工程建设领域农民工工资保证金规定实施办法的通知》（桂人社规〔2021〕16号）</w:t>
      </w:r>
      <w:r>
        <w:rPr>
          <w:rFonts w:hint="eastAsia" w:ascii="宋体" w:hAnsi="宋体" w:cs="宋体"/>
          <w:bCs/>
          <w:color w:val="auto"/>
          <w:kern w:val="0"/>
          <w:szCs w:val="21"/>
          <w:highlight w:val="none"/>
          <w:u w:val="single"/>
        </w:rPr>
        <w:t>规定，详见4.9款</w:t>
      </w:r>
    </w:p>
    <w:p>
      <w:pPr>
        <w:widowControl/>
        <w:shd w:val="clear" w:color="auto" w:fill="FFFFFF"/>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农民工工资保证金的扣留条件：</w:t>
      </w:r>
      <w:r>
        <w:rPr>
          <w:rFonts w:hint="eastAsia" w:ascii="宋体" w:hAnsi="宋体" w:cs="宋体"/>
          <w:color w:val="auto"/>
          <w:szCs w:val="21"/>
          <w:highlight w:val="none"/>
          <w:u w:val="single"/>
        </w:rPr>
        <w:t>按《</w:t>
      </w:r>
      <w:r>
        <w:rPr>
          <w:rFonts w:hint="eastAsia" w:ascii="宋体" w:hAnsi="宋体" w:cs="宋体"/>
          <w:color w:val="auto"/>
          <w:kern w:val="0"/>
          <w:szCs w:val="21"/>
          <w:highlight w:val="none"/>
          <w:u w:val="single"/>
        </w:rPr>
        <w:t>关于明确农民工工资保证金制度有关问题的通知》（桂薪联发〔2016〕2号）规定</w:t>
      </w:r>
    </w:p>
    <w:p>
      <w:pPr>
        <w:tabs>
          <w:tab w:val="left" w:pos="1080"/>
        </w:tabs>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农民工资保证金的返还时间：</w:t>
      </w:r>
      <w:r>
        <w:rPr>
          <w:rFonts w:hint="eastAsia" w:ascii="宋体" w:hAnsi="宋体" w:cs="宋体"/>
          <w:color w:val="auto"/>
          <w:szCs w:val="21"/>
          <w:highlight w:val="none"/>
          <w:u w:val="single"/>
        </w:rPr>
        <w:t>按《</w:t>
      </w:r>
      <w:r>
        <w:rPr>
          <w:rFonts w:hint="eastAsia" w:ascii="宋体" w:hAnsi="宋体" w:cs="宋体"/>
          <w:color w:val="auto"/>
          <w:kern w:val="0"/>
          <w:szCs w:val="21"/>
          <w:highlight w:val="none"/>
          <w:u w:val="single"/>
        </w:rPr>
        <w:t>关于明确农民工工资保证金制度有关问题的通知》（桂薪联发〔2016〕2号）规定</w:t>
      </w:r>
    </w:p>
    <w:p>
      <w:pPr>
        <w:keepNext/>
        <w:keepLines/>
        <w:spacing w:line="400" w:lineRule="exact"/>
        <w:outlineLvl w:val="4"/>
        <w:rPr>
          <w:rFonts w:ascii="宋体" w:hAnsi="宋体" w:cs="宋体"/>
          <w:b/>
          <w:bCs/>
          <w:color w:val="auto"/>
          <w:szCs w:val="21"/>
          <w:highlight w:val="none"/>
        </w:rPr>
      </w:pPr>
      <w:bookmarkStart w:id="107" w:name="_Toc12235"/>
      <w:bookmarkStart w:id="108" w:name="_Toc30054"/>
      <w:r>
        <w:rPr>
          <w:rFonts w:hint="eastAsia" w:ascii="宋体" w:hAnsi="宋体" w:cs="宋体"/>
          <w:b/>
          <w:color w:val="auto"/>
          <w:szCs w:val="21"/>
          <w:highlight w:val="none"/>
        </w:rPr>
        <w:t>18.9竣工文件</w:t>
      </w:r>
      <w:bookmarkEnd w:id="107"/>
      <w:bookmarkEnd w:id="108"/>
    </w:p>
    <w:p>
      <w:pPr>
        <w:widowControl/>
        <w:shd w:val="clear" w:color="auto" w:fill="FFFFFF"/>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工程竣工文件的立卷归档按交通部《公路工程竣工文件材料立卷归档管理办法》（交办发[2010]382号）和广西壮族自治区公路管理局《广西公路网建设工程档案验收办法》执行。</w:t>
      </w:r>
    </w:p>
    <w:p>
      <w:pPr>
        <w:keepNext/>
        <w:keepLines/>
        <w:spacing w:line="400" w:lineRule="exact"/>
        <w:outlineLvl w:val="4"/>
        <w:rPr>
          <w:rFonts w:ascii="宋体" w:hAnsi="宋体" w:cs="宋体"/>
          <w:b/>
          <w:color w:val="auto"/>
          <w:szCs w:val="21"/>
          <w:highlight w:val="none"/>
        </w:rPr>
      </w:pPr>
      <w:bookmarkStart w:id="109" w:name="_Toc23443"/>
      <w:bookmarkStart w:id="110" w:name="_Toc8328"/>
      <w:r>
        <w:rPr>
          <w:rFonts w:hint="eastAsia" w:ascii="宋体" w:hAnsi="宋体" w:cs="宋体"/>
          <w:b/>
          <w:color w:val="auto"/>
          <w:szCs w:val="21"/>
          <w:highlight w:val="none"/>
        </w:rPr>
        <w:t>20.1工程保险</w:t>
      </w:r>
      <w:bookmarkEnd w:id="94"/>
      <w:bookmarkEnd w:id="95"/>
      <w:bookmarkEnd w:id="96"/>
      <w:bookmarkEnd w:id="97"/>
      <w:bookmarkEnd w:id="109"/>
      <w:bookmarkEnd w:id="110"/>
    </w:p>
    <w:p>
      <w:pPr>
        <w:widowControl/>
        <w:shd w:val="clear" w:color="auto" w:fill="FFFFFF"/>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本项目取消建筑工程一切险</w:t>
      </w:r>
    </w:p>
    <w:p>
      <w:pPr>
        <w:keepNext/>
        <w:keepLines/>
        <w:spacing w:line="400" w:lineRule="exact"/>
        <w:outlineLvl w:val="4"/>
        <w:rPr>
          <w:rFonts w:ascii="宋体" w:hAnsi="宋体" w:cs="宋体"/>
          <w:b/>
          <w:color w:val="auto"/>
          <w:szCs w:val="21"/>
          <w:highlight w:val="none"/>
        </w:rPr>
      </w:pPr>
      <w:bookmarkStart w:id="111" w:name="_Toc152045744"/>
      <w:bookmarkStart w:id="112" w:name="_Toc144974715"/>
      <w:bookmarkStart w:id="113" w:name="_Toc20318"/>
      <w:bookmarkStart w:id="114" w:name="_Toc29009"/>
      <w:bookmarkStart w:id="115" w:name="_Toc179632762"/>
      <w:bookmarkStart w:id="116" w:name="_Toc152042523"/>
      <w:r>
        <w:rPr>
          <w:rFonts w:hint="eastAsia" w:ascii="宋体" w:hAnsi="宋体" w:cs="宋体"/>
          <w:b/>
          <w:color w:val="auto"/>
          <w:szCs w:val="21"/>
          <w:highlight w:val="none"/>
        </w:rPr>
        <w:t>20.2人员工伤事故的保险</w:t>
      </w:r>
      <w:bookmarkEnd w:id="111"/>
      <w:bookmarkEnd w:id="112"/>
      <w:bookmarkEnd w:id="113"/>
      <w:bookmarkEnd w:id="114"/>
      <w:bookmarkEnd w:id="115"/>
      <w:bookmarkEnd w:id="116"/>
    </w:p>
    <w:p>
      <w:pPr>
        <w:widowControl/>
        <w:shd w:val="clear" w:color="auto" w:fill="FFFFFF"/>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20.2.1 承包人员工伤事故的保险</w:t>
      </w:r>
    </w:p>
    <w:p>
      <w:pPr>
        <w:widowControl/>
        <w:ind w:firstLine="600" w:firstLineChars="300"/>
        <w:jc w:val="left"/>
        <w:rPr>
          <w:color w:val="auto"/>
          <w:highlight w:val="none"/>
        </w:rPr>
      </w:pPr>
      <w:r>
        <w:rPr>
          <w:rFonts w:hint="eastAsia" w:ascii="宋体" w:hAnsi="宋体" w:cs="宋体"/>
          <w:color w:val="auto"/>
          <w:kern w:val="0"/>
          <w:sz w:val="20"/>
          <w:szCs w:val="20"/>
          <w:highlight w:val="none"/>
        </w:rPr>
        <w:t>第三者责任险的保险费由承包人报价时列入工程量清单第 100 章内。发包人在接 到保险单后，将按照保险单的费用直接向承包人支付</w:t>
      </w:r>
    </w:p>
    <w:p>
      <w:pPr>
        <w:widowControl/>
        <w:shd w:val="clear" w:color="auto" w:fill="FFFFFF"/>
        <w:spacing w:line="400" w:lineRule="exact"/>
        <w:ind w:firstLine="420" w:firstLineChars="200"/>
        <w:jc w:val="left"/>
        <w:rPr>
          <w:rFonts w:ascii="宋体" w:hAnsi="宋体" w:cs="宋体"/>
          <w:color w:val="auto"/>
          <w:kern w:val="0"/>
          <w:szCs w:val="21"/>
          <w:highlight w:val="none"/>
        </w:rPr>
      </w:pPr>
    </w:p>
    <w:p>
      <w:pPr>
        <w:keepNext/>
        <w:keepLines/>
        <w:spacing w:line="400" w:lineRule="exact"/>
        <w:outlineLvl w:val="4"/>
        <w:rPr>
          <w:rFonts w:ascii="宋体" w:hAnsi="宋体" w:cs="宋体"/>
          <w:b/>
          <w:color w:val="auto"/>
          <w:szCs w:val="21"/>
          <w:highlight w:val="none"/>
        </w:rPr>
      </w:pPr>
      <w:bookmarkStart w:id="117" w:name="_Toc14215"/>
      <w:bookmarkStart w:id="118" w:name="_Toc144974716"/>
      <w:bookmarkStart w:id="119" w:name="_Toc152045745"/>
      <w:bookmarkStart w:id="120" w:name="_Toc19420"/>
      <w:bookmarkStart w:id="121" w:name="_Toc179632763"/>
      <w:bookmarkStart w:id="122" w:name="_Toc152042524"/>
      <w:r>
        <w:rPr>
          <w:rFonts w:hint="eastAsia" w:ascii="宋体" w:hAnsi="宋体" w:cs="宋体"/>
          <w:b/>
          <w:color w:val="auto"/>
          <w:szCs w:val="21"/>
          <w:highlight w:val="none"/>
        </w:rPr>
        <w:t>20.3人身意外伤害险</w:t>
      </w:r>
      <w:bookmarkEnd w:id="117"/>
      <w:bookmarkEnd w:id="118"/>
      <w:bookmarkEnd w:id="119"/>
      <w:bookmarkEnd w:id="120"/>
      <w:bookmarkEnd w:id="121"/>
      <w:bookmarkEnd w:id="122"/>
    </w:p>
    <w:p>
      <w:pPr>
        <w:widowControl/>
        <w:ind w:firstLine="630" w:firstLineChars="300"/>
        <w:jc w:val="left"/>
        <w:rPr>
          <w:rFonts w:ascii="宋体" w:hAnsi="宋体" w:cs="宋体"/>
          <w:color w:val="auto"/>
          <w:kern w:val="0"/>
          <w:szCs w:val="21"/>
          <w:highlight w:val="none"/>
        </w:rPr>
      </w:pPr>
      <w:r>
        <w:rPr>
          <w:rFonts w:hint="eastAsia" w:ascii="宋体" w:hAnsi="宋体" w:cs="宋体"/>
          <w:color w:val="auto"/>
          <w:szCs w:val="21"/>
          <w:highlight w:val="none"/>
        </w:rPr>
        <w:t>20.3.2 承包人应在整个施工期间为其现场机构雇用的全部人员，投保人身意外伤害险，缴纳保险费，并要求其分包人也进行此项保险。</w:t>
      </w:r>
      <w:r>
        <w:rPr>
          <w:rFonts w:hint="eastAsia" w:ascii="宋体" w:hAnsi="宋体" w:cs="宋体"/>
          <w:color w:val="auto"/>
          <w:kern w:val="0"/>
          <w:sz w:val="20"/>
          <w:szCs w:val="20"/>
          <w:highlight w:val="none"/>
        </w:rPr>
        <w:t>保险费由承包人报价时列入工程量清单第 100 章内。发包人在接 到保险单后，将按照保险单的费用直接向承包人支付。</w:t>
      </w:r>
    </w:p>
    <w:p>
      <w:pPr>
        <w:autoSpaceDE w:val="0"/>
        <w:autoSpaceDN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其中：人身意外伤害险每位被保险人的最低保险金额为</w:t>
      </w:r>
      <w:r>
        <w:rPr>
          <w:rFonts w:hint="eastAsia" w:ascii="宋体" w:hAnsi="宋体" w:cs="宋体"/>
          <w:b/>
          <w:color w:val="auto"/>
          <w:kern w:val="0"/>
          <w:szCs w:val="21"/>
          <w:highlight w:val="none"/>
        </w:rPr>
        <w:t>100万元</w:t>
      </w:r>
      <w:r>
        <w:rPr>
          <w:rFonts w:hint="eastAsia" w:ascii="宋体" w:hAnsi="宋体" w:cs="宋体"/>
          <w:color w:val="auto"/>
          <w:kern w:val="0"/>
          <w:szCs w:val="21"/>
          <w:highlight w:val="none"/>
        </w:rPr>
        <w:t>人民币，附加意外伤害险医疗险的保险金额为</w:t>
      </w:r>
      <w:r>
        <w:rPr>
          <w:rFonts w:hint="eastAsia" w:ascii="宋体" w:hAnsi="宋体" w:cs="宋体"/>
          <w:b/>
          <w:color w:val="auto"/>
          <w:kern w:val="0"/>
          <w:szCs w:val="21"/>
          <w:highlight w:val="none"/>
        </w:rPr>
        <w:t>2万元</w:t>
      </w:r>
      <w:r>
        <w:rPr>
          <w:rFonts w:hint="eastAsia" w:ascii="宋体" w:hAnsi="宋体" w:cs="宋体"/>
          <w:color w:val="auto"/>
          <w:kern w:val="0"/>
          <w:szCs w:val="21"/>
          <w:highlight w:val="none"/>
        </w:rPr>
        <w:t>人民币，每合同段的人身意外伤害险和附加意外伤害医疗险保险费按合同价（不含该保险费）的</w:t>
      </w:r>
      <w:r>
        <w:rPr>
          <w:rFonts w:hint="eastAsia" w:ascii="宋体" w:hAnsi="宋体" w:cs="宋体"/>
          <w:b/>
          <w:color w:val="auto"/>
          <w:kern w:val="0"/>
          <w:szCs w:val="21"/>
          <w:highlight w:val="none"/>
        </w:rPr>
        <w:t>3‰</w:t>
      </w:r>
      <w:r>
        <w:rPr>
          <w:rFonts w:hint="eastAsia" w:ascii="宋体" w:hAnsi="宋体" w:cs="宋体"/>
          <w:color w:val="auto"/>
          <w:kern w:val="0"/>
          <w:szCs w:val="21"/>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pPr>
        <w:tabs>
          <w:tab w:val="left" w:pos="1080"/>
        </w:tabs>
        <w:spacing w:line="40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施工合同签订后工程开工前</w:t>
      </w:r>
      <w:r>
        <w:rPr>
          <w:rFonts w:hint="eastAsia" w:ascii="宋体" w:hAnsi="宋体" w:cs="宋体"/>
          <w:b/>
          <w:color w:val="auto"/>
          <w:kern w:val="0"/>
          <w:szCs w:val="21"/>
          <w:highlight w:val="none"/>
        </w:rPr>
        <w:t>15</w:t>
      </w:r>
      <w:r>
        <w:rPr>
          <w:rFonts w:hint="eastAsia" w:ascii="宋体" w:hAnsi="宋体" w:cs="宋体"/>
          <w:color w:val="auto"/>
          <w:kern w:val="0"/>
          <w:szCs w:val="21"/>
          <w:highlight w:val="none"/>
        </w:rPr>
        <w:t>日，承包人必须按有关规定与保险公司签订人身意外伤害险和附加意外伤害医疗险以及其他需要投保的保险合同。</w:t>
      </w:r>
    </w:p>
    <w:p>
      <w:pPr>
        <w:keepNext/>
        <w:keepLines/>
        <w:spacing w:line="400" w:lineRule="exact"/>
        <w:outlineLvl w:val="4"/>
        <w:rPr>
          <w:rFonts w:ascii="宋体" w:hAnsi="宋体" w:cs="宋体"/>
          <w:b/>
          <w:color w:val="auto"/>
          <w:szCs w:val="21"/>
          <w:highlight w:val="none"/>
        </w:rPr>
      </w:pPr>
      <w:bookmarkStart w:id="123" w:name="_Toc11857"/>
      <w:bookmarkStart w:id="124" w:name="_Toc5761"/>
      <w:r>
        <w:rPr>
          <w:rFonts w:hint="eastAsia" w:ascii="宋体" w:hAnsi="宋体" w:cs="宋体"/>
          <w:b/>
          <w:color w:val="auto"/>
          <w:szCs w:val="21"/>
          <w:highlight w:val="none"/>
        </w:rPr>
        <w:t>20.4第三者责任险</w:t>
      </w:r>
      <w:bookmarkEnd w:id="123"/>
      <w:bookmarkEnd w:id="124"/>
    </w:p>
    <w:p>
      <w:pPr>
        <w:tabs>
          <w:tab w:val="left" w:pos="1080"/>
        </w:tabs>
        <w:spacing w:line="400" w:lineRule="exact"/>
        <w:ind w:firstLine="400" w:firstLineChars="200"/>
        <w:rPr>
          <w:rFonts w:ascii="宋体" w:hAnsi="宋体" w:cs="宋体"/>
          <w:color w:val="auto"/>
          <w:szCs w:val="21"/>
          <w:highlight w:val="none"/>
        </w:rPr>
      </w:pPr>
      <w:bookmarkStart w:id="125" w:name="_Toc26194"/>
      <w:bookmarkStart w:id="126" w:name="_Toc19695"/>
      <w:r>
        <w:rPr>
          <w:rFonts w:hint="eastAsia" w:ascii="宋体" w:hAnsi="宋体" w:cs="宋体"/>
          <w:color w:val="auto"/>
          <w:kern w:val="0"/>
          <w:sz w:val="20"/>
          <w:szCs w:val="20"/>
          <w:highlight w:val="none"/>
        </w:rPr>
        <w:t>第三者责任险的保险费由承包人报价时列入工程量清单第 100 章内。发包人在接 到保险单后，将按照保险单的费用直接向承包人支付</w:t>
      </w:r>
    </w:p>
    <w:p>
      <w:pPr>
        <w:keepNext/>
        <w:keepLines/>
        <w:spacing w:line="400" w:lineRule="exact"/>
        <w:outlineLvl w:val="4"/>
        <w:rPr>
          <w:rFonts w:ascii="宋体" w:hAnsi="宋体" w:cs="宋体"/>
          <w:b/>
          <w:color w:val="auto"/>
          <w:szCs w:val="21"/>
          <w:highlight w:val="none"/>
        </w:rPr>
      </w:pPr>
      <w:r>
        <w:rPr>
          <w:rFonts w:hint="eastAsia" w:ascii="宋体" w:hAnsi="宋体" w:cs="宋体"/>
          <w:b/>
          <w:color w:val="auto"/>
          <w:szCs w:val="21"/>
          <w:highlight w:val="none"/>
        </w:rPr>
        <w:t>21.1不可抗力的确认</w:t>
      </w:r>
      <w:bookmarkEnd w:id="125"/>
      <w:bookmarkEnd w:id="126"/>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公路工程专用合同条款21. 1款</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（6）项目专用合同条款约定的其他情形：</w:t>
      </w:r>
      <w:r>
        <w:rPr>
          <w:rFonts w:hint="eastAsia" w:ascii="宋体" w:hAnsi="宋体" w:cs="宋体"/>
          <w:color w:val="auto"/>
          <w:szCs w:val="21"/>
          <w:highlight w:val="none"/>
          <w:u w:val="single"/>
        </w:rPr>
        <w:t xml:space="preserve">   /  </w:t>
      </w:r>
    </w:p>
    <w:p>
      <w:pPr>
        <w:keepNext/>
        <w:keepLines/>
        <w:spacing w:line="400" w:lineRule="exact"/>
        <w:outlineLvl w:val="4"/>
        <w:rPr>
          <w:rFonts w:ascii="宋体" w:hAnsi="宋体" w:cs="宋体"/>
          <w:b/>
          <w:color w:val="auto"/>
          <w:szCs w:val="21"/>
          <w:highlight w:val="none"/>
        </w:rPr>
      </w:pPr>
      <w:bookmarkStart w:id="127" w:name="_Toc10914"/>
      <w:bookmarkStart w:id="128" w:name="_Toc14082"/>
      <w:r>
        <w:rPr>
          <w:rFonts w:hint="eastAsia" w:ascii="宋体" w:hAnsi="宋体" w:cs="宋体"/>
          <w:b/>
          <w:color w:val="auto"/>
          <w:szCs w:val="21"/>
          <w:highlight w:val="none"/>
        </w:rPr>
        <w:t>22.1承包人违约</w:t>
      </w:r>
      <w:bookmarkEnd w:id="127"/>
      <w:bookmarkEnd w:id="128"/>
    </w:p>
    <w:p>
      <w:pPr>
        <w:spacing w:line="400" w:lineRule="exact"/>
        <w:ind w:firstLine="278" w:firstLineChars="132"/>
        <w:rPr>
          <w:rFonts w:ascii="宋体" w:hAnsi="宋体" w:cs="宋体"/>
          <w:color w:val="auto"/>
          <w:szCs w:val="21"/>
          <w:highlight w:val="none"/>
        </w:rPr>
      </w:pPr>
      <w:r>
        <w:rPr>
          <w:rFonts w:hint="eastAsia" w:ascii="宋体" w:hAnsi="宋体" w:cs="宋体"/>
          <w:b/>
          <w:color w:val="auto"/>
          <w:szCs w:val="21"/>
          <w:highlight w:val="none"/>
        </w:rPr>
        <w:t>22.1.1承包人违约的情形</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（1）承包人违反第1.8款或第4.3款的约定，私自将合同的全部或部分权利转让给其他人，或私自将合同的全部或部分义务转移给其他人；</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（2）承包人违反第5.3款或第6.4款的约定，未经监理人批准，私自将已按合同约定进入施工场地的施工设备、临时设施、材料或工程设备撤离施工场地；</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（3）承包人违反第5.4款的约定使用了不合格材料或工程设备，工程质量达不到标准要求，又拒绝清理不合格工程；</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（4）承包人未能按合同进度计划及时完成合同约定的工作，己造成或预期造成工期延误；</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（5）承包人在缺陷责任期内，未能对工程接受证书所列的缺陷清单的内容或缺陷责任期内发生的缺陷进行修复，而又拒绝按监理人指示再进行修补；</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（6）承包人无法继续履行或明确表示不履行或实质上己停止履行合同；</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（7）承包人未能按期开工；</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（8）承包人违反第4.6款或第6.3款的规定，未按承诺或未按监理人的要求及时配备称职的主要管理人员、技术骨干或关键施工设备；</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（9）经监理人和发包人检查，发现承包人有安全问题或有违反安全管理规章制度的情况；</w:t>
      </w:r>
    </w:p>
    <w:p>
      <w:pPr>
        <w:tabs>
          <w:tab w:val="left" w:pos="1080"/>
        </w:tabs>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（10）承包人不按合同约定履行义务的其他情况。</w:t>
      </w:r>
    </w:p>
    <w:p>
      <w:pPr>
        <w:spacing w:line="400" w:lineRule="exact"/>
        <w:ind w:firstLine="278" w:firstLineChars="132"/>
        <w:rPr>
          <w:rFonts w:ascii="宋体" w:hAnsi="宋体" w:cs="宋体"/>
          <w:b/>
          <w:color w:val="auto"/>
          <w:szCs w:val="21"/>
          <w:highlight w:val="none"/>
        </w:rPr>
      </w:pPr>
      <w:r>
        <w:rPr>
          <w:rFonts w:hint="eastAsia" w:ascii="宋体" w:hAnsi="宋体" w:cs="宋体"/>
          <w:b/>
          <w:color w:val="auto"/>
          <w:szCs w:val="21"/>
          <w:highlight w:val="none"/>
        </w:rPr>
        <w:t>22.1.2  对承包人违约的处理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（1）承包人发生第22.1.1⑹目约定的违约情形时，发包人可通知承包人立即解除合同，并按有关法律处理。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（2）承包人发生第22.1.1⑹目约定以外的违约情形时，监理人可向承包人发出整改通知，要求其在指定的期限内改正。承包人应承担其违约所引起的费用增加和（或）工期延误。</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（3）经检查证明承包人已采取了有效措施纠正违约行为，具备复工条件的可由监理人签发复工通知进行复工。</w:t>
      </w:r>
    </w:p>
    <w:p>
      <w:pPr>
        <w:tabs>
          <w:tab w:val="left" w:pos="1080"/>
        </w:tabs>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pPr>
        <w:tabs>
          <w:tab w:val="left" w:pos="1080"/>
        </w:tabs>
        <w:spacing w:line="400" w:lineRule="exact"/>
        <w:ind w:firstLine="562"/>
        <w:rPr>
          <w:rFonts w:ascii="宋体" w:hAnsi="宋体" w:cs="宋体"/>
          <w:color w:val="auto"/>
          <w:szCs w:val="21"/>
          <w:highlight w:val="none"/>
        </w:rPr>
      </w:pPr>
      <w:r>
        <w:rPr>
          <w:rFonts w:hint="eastAsia" w:ascii="宋体" w:hAnsi="宋体" w:cs="宋体"/>
          <w:b/>
          <w:color w:val="auto"/>
          <w:szCs w:val="21"/>
          <w:highlight w:val="none"/>
        </w:rPr>
        <w:t>（5）承包人发生第22.1.1项（5）目情形，按第19.2.4款规定处理；</w:t>
      </w:r>
    </w:p>
    <w:p>
      <w:pPr>
        <w:tabs>
          <w:tab w:val="left" w:pos="1080"/>
        </w:tabs>
        <w:spacing w:line="400" w:lineRule="exact"/>
        <w:ind w:firstLine="562"/>
        <w:rPr>
          <w:rFonts w:ascii="宋体" w:hAnsi="宋体" w:cs="宋体"/>
          <w:b/>
          <w:color w:val="auto"/>
          <w:szCs w:val="21"/>
          <w:highlight w:val="none"/>
        </w:rPr>
      </w:pPr>
      <w:r>
        <w:rPr>
          <w:rFonts w:hint="eastAsia" w:ascii="宋体" w:hAnsi="宋体" w:cs="宋体"/>
          <w:b/>
          <w:color w:val="auto"/>
          <w:szCs w:val="21"/>
          <w:highlight w:val="none"/>
        </w:rPr>
        <w:t>（6）有22.1.1.（8）款行为或以下行为的，视为承包人违约，可对承包人处以以下的违约金：</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未经项目法人同意，承包人更换主要人员的，项目经理处2万元/人次，总工（或技术负责人）处1万元/人次，其他主要人员（指结构专业工程师、路基路面专业工程师、测量工程师、计量工程师和试验工程师）处6000元/人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项目经理或项目技术负责人未经发包人同意擅自离开工地，每天课以违约金500元／人；若虽经批准离开工地但每月在工地天数不足22天（特殊情况经监理人批准报发包人同意例外）的，每少一天课以违约金500元／人。其它主要技术骨干人员每月在工地天数不足22天（特殊情况经监理人批准报发包人同意例外）的,每少一天课以违约金300元／人；</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C．主要设备没有按进度和合同规定承诺进场的处200元/日台。</w:t>
      </w:r>
    </w:p>
    <w:p>
      <w:pPr>
        <w:tabs>
          <w:tab w:val="left" w:pos="1080"/>
        </w:tabs>
        <w:spacing w:line="400" w:lineRule="exact"/>
        <w:ind w:firstLine="420" w:firstLineChars="200"/>
        <w:rPr>
          <w:rFonts w:ascii="宋体" w:hAnsi="宋体" w:cs="宋体"/>
          <w:color w:val="auto"/>
          <w:szCs w:val="21"/>
          <w:highlight w:val="none"/>
        </w:rPr>
      </w:pPr>
      <w:bookmarkStart w:id="129" w:name="_Hlk111432337"/>
      <w:r>
        <w:rPr>
          <w:rFonts w:hint="eastAsia" w:ascii="宋体" w:hAnsi="宋体" w:cs="宋体"/>
          <w:color w:val="auto"/>
          <w:szCs w:val="21"/>
          <w:highlight w:val="none"/>
        </w:rPr>
        <w:t xml:space="preserve"> D．承包人进度不满足发包人及进度计划要求的，需在发包人发函告知后5天内整改完毕，超过5天未达到进度要求的按800元/天课以违约金。</w:t>
      </w:r>
      <w:bookmarkEnd w:id="129"/>
    </w:p>
    <w:p>
      <w:pPr>
        <w:tabs>
          <w:tab w:val="left" w:pos="1080"/>
        </w:tabs>
        <w:spacing w:line="400" w:lineRule="exact"/>
        <w:ind w:firstLine="562"/>
        <w:rPr>
          <w:rFonts w:ascii="宋体" w:hAnsi="宋体" w:cs="宋体"/>
          <w:b/>
          <w:color w:val="auto"/>
          <w:szCs w:val="21"/>
          <w:highlight w:val="none"/>
        </w:rPr>
      </w:pPr>
      <w:r>
        <w:rPr>
          <w:rFonts w:hint="eastAsia" w:ascii="宋体" w:hAnsi="宋体" w:cs="宋体"/>
          <w:b/>
          <w:color w:val="auto"/>
          <w:szCs w:val="21"/>
          <w:highlight w:val="none"/>
        </w:rPr>
        <w:t>（7）承包存在以下情形的，可对承包人处以以下违约金：</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a.发生质量事故，未按有关规定和时间向有关部门报告的,处1000元/次；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b.出现二、三级一般质量事故，且承包人负有直接责任，或不能证明其履行其职责的,可处3000元/次；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c.发生一级一般质量事故或重大质量事故，且承包人负有直接责任，或不能证明其履行其职责的,可处8000元/次；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d.因质量问题被地市级及以上交通主管部门、质量监督单位、公路管理机构通报的，可对承包人处以8000元违约金/次，红牌警告8000元/次，黄牌警告5000元/次。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e．出现一般安全生事故负有责任的或发生重大安全事故不按规定报告的,可处1000元/处·次。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f.出现重大安全生产事故负有责任的，可处10000元/处·次。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g．由于施工原因造成污染、破坏被群众向政府、主管单位投诉或被环保、水利部门责令整改的，处1000元/次。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h.由于承包人原因违反7.3等条款造成交通堵塞，堵车30分钟至60分钟的处2000元/次，堵车60分钟至二小时的处5000元/次，堵车二小时至三小时的处6000元/次，堵车三小时以上的处每小时（不满1小时按1小时计）5000元，严重的建议上级主管单位进行通报。</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j．劳务人员未按规定签订聘用合同并向项目法人、监理工程师报备的,处500元/人次。</w:t>
      </w:r>
    </w:p>
    <w:p>
      <w:pPr>
        <w:tabs>
          <w:tab w:val="left" w:pos="1080"/>
        </w:tabs>
        <w:spacing w:line="400" w:lineRule="exact"/>
        <w:ind w:firstLine="482"/>
        <w:rPr>
          <w:rFonts w:ascii="宋体" w:hAnsi="宋体" w:cs="宋体"/>
          <w:b/>
          <w:color w:val="auto"/>
          <w:szCs w:val="21"/>
          <w:highlight w:val="none"/>
        </w:rPr>
      </w:pPr>
      <w:r>
        <w:rPr>
          <w:rFonts w:hint="eastAsia" w:ascii="宋体" w:hAnsi="宋体" w:cs="宋体"/>
          <w:b/>
          <w:color w:val="auto"/>
          <w:szCs w:val="21"/>
          <w:highlight w:val="none"/>
        </w:rPr>
        <w:t>（8）有以下情形的，可对承包人处以违约金。</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a.质量管理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（a）出现下列行为之一可处200元/（人）次。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Ⅰ分项工程施工现场无合格的施工责任牌；或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Ⅱ分项工程施工现场无其相关责任人；或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Ⅲ施工现场无基本的检测检验工具；或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Ⅳ施工现场相关责任人无检查检验记录表；或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Ⅴ现场已完成工作无检查记录。</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（b）出现以下行为之一，可处1000元/次。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Ⅰ未按工序申请检验进入下一道工序的；或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Ⅱ隐蔽工程记录文件不全；或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Ⅲ施工试验检验频率不符合施工规范规定；或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Ⅳ分项工程质量自检验收检验频率不符合质量评定标准规定的。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（c）出现以下行为之一，可处1000元/次。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Ⅰ出现质量问题，且承包人负有直接责任的，或不能证明其履行其职责的。或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Ⅱ发生质量事故，未按有关规定和时间向有关部门报告的；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Ⅲ已经施工完成的工程没有按竣工文件收集归档管理办法要求依分项工程、工序将施工作业记录、测量记录、试验检测记录及工序报验审批记录等收集归档。</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（d ）出现以下行为之一，可处3000元/次。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Ⅰ施工单位不接受质监机构监督；或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Ⅱ出现二、三级一般质量事故，且承包人负有直接责任，或不能证明其履行其职责的；或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Ⅲ未按规定建立合格的工地试验室的；或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Ⅳ路基土石方，路面各结构层一次单项单点实体抽查合格率为50%—70%的；或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Ⅴ使用主要材料（钢筋、水泥、沥青、碎石、砂、砂砾等）不合格的。或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Ⅷ已经施工完成的工程无法提供按竣工文件收集归档管理办法要求应收集的分项工程、工序的施工作业记录、测量记录、试验检测记录及工序报验审批记录等质量管理文件的。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（e）出现以下行为之一，可处8000元/次。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Ⅰ发生一级一般质量事故或重大质量事故，且承包人负有直接责任，或不能证明其履行其职责的；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Ⅱ路基土石方，路面各结构一次单项单点实体抽查合格率在50%以下的（单点合格率计算以设计值为准，达不到设计值的点为不合格点，下同）；或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Ⅲ砌筑、排水、小桥、涵洞等构造物，中小型预制构件，房建工程等一次单点实体抽查合格率小于50%的；或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Ⅳ 未按要求进行自检，弄虚作假、捏造数据、伪造试验报告的。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（f）因质量问题被地市级及以上交通主管部门、质量监督单位、公路管理机构通报的，可对承包人处以8000元违约金，红牌警告8000元，黄牌警告5000元。</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（g）因地市局以上交通主管部门、质量监督单位、公路管理机构对施工现场抽检不合格的，按每项对承包人处以8000元罚款。</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b．安全生产管理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（a）出现下列行为之一可处200元/（人）次。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Ⅰ需持证上岗人员无证上岗的；或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Ⅱ需配戴安全防护用具作业的；或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Ⅲ未经登记、安全培训教育上岗的。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（b）出现下列行为之一可处500元/处次。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Ⅰ无专职安全检查人员；或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Ⅱ无安全生产检查日志；或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Ⅲ作业点或危险施工路段安全标志不全；或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Ⅳ安全标志（牌）、线（绳）不符国家规定的；或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Ⅴ易燃易爆物品管理不符合管理要求。</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（c）出现下列行为之一可处1000元/处次。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Ⅰ　施工作业点或施工形成的危险路段无规定的安全标志；或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Ⅱ　需设安全防护设施的未按规定设置；或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Ⅲ　出现一般安全生事故负有责任的；或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Ⅳ　发生重大安全事故不按规定报告的。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（d）出现下列行为之一可处10000元/处次。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出现重大安全生产事故负有责任的。</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c．文明施工与环境保护，交通通畅</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（a）路基路面施工扬尘影响交通安全的处500元/处天；</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（b）由于施工原因造成污染、破坏被群众向政府、主管单位投诉或被环保、水利部门责令整改的，处1000元/次。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d．其他重要规定违约处理</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有下列行为之一的处500元/人次违约金并责令承包人进行整改。</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  劳务人员未按规定签订聘用合同并向业主、监理工程师报备；或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 ）　签订的劳务合同不符合劳动法等法规要求；或</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 ）　劳务人员未编入承包人施工班组，并持项目经理签发的劳务上岗证上岗。</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（11）上述被处的违约金在计量支付时从履约担保金中扣除，当扣除额达履约担保金总额30%时，承包人无条件进行足额补充。</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（12）业主（采购人）按合同进行违约处理后，并不解除承包人按照国家法规与合同应承担的责任与义务。</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  发包人违约</w:t>
      </w:r>
    </w:p>
    <w:p>
      <w:pPr>
        <w:tabs>
          <w:tab w:val="left" w:pos="108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22.2.2发包人无正当理由不按时返还履约保证金、质量保证金或农民工资保证金的，发包人应向承包人支付的违约金如下：</w:t>
      </w:r>
      <w:r>
        <w:rPr>
          <w:rFonts w:hint="eastAsia" w:ascii="宋体" w:hAnsi="宋体" w:cs="宋体"/>
          <w:color w:val="auto"/>
          <w:szCs w:val="21"/>
          <w:highlight w:val="none"/>
          <w:u w:val="single"/>
        </w:rPr>
        <w:t xml:space="preserve">   /   </w:t>
      </w:r>
    </w:p>
    <w:p>
      <w:pPr>
        <w:tabs>
          <w:tab w:val="left" w:pos="1080"/>
        </w:tabs>
        <w:spacing w:line="400" w:lineRule="exact"/>
        <w:rPr>
          <w:rFonts w:ascii="宋体" w:hAnsi="宋体" w:cs="宋体"/>
          <w:b/>
          <w:color w:val="auto"/>
          <w:szCs w:val="21"/>
          <w:highlight w:val="none"/>
        </w:rPr>
      </w:pPr>
    </w:p>
    <w:p>
      <w:pPr>
        <w:rPr>
          <w:color w:val="auto"/>
          <w:highlight w:val="none"/>
        </w:rPr>
      </w:pPr>
      <w:r>
        <w:rPr>
          <w:rFonts w:hint="eastAsia"/>
          <w:color w:val="auto"/>
          <w:highlight w:val="none"/>
        </w:rPr>
        <w:br w:type="page"/>
      </w:r>
    </w:p>
    <w:p>
      <w:pPr>
        <w:pStyle w:val="20"/>
        <w:ind w:firstLine="488"/>
        <w:rPr>
          <w:color w:val="auto"/>
          <w:highlight w:val="none"/>
        </w:rPr>
      </w:pPr>
    </w:p>
    <w:p>
      <w:pPr>
        <w:keepNext/>
        <w:keepLines/>
        <w:spacing w:line="400" w:lineRule="exact"/>
        <w:rPr>
          <w:rFonts w:ascii="宋体" w:hAnsi="宋体" w:cs="宋体"/>
          <w:b/>
          <w:bCs/>
          <w:color w:val="auto"/>
          <w:sz w:val="28"/>
          <w:szCs w:val="28"/>
          <w:highlight w:val="none"/>
        </w:rPr>
      </w:pPr>
    </w:p>
    <w:p>
      <w:pPr>
        <w:keepNext/>
        <w:keepLines/>
        <w:spacing w:line="400" w:lineRule="exact"/>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第三节 合同附件格式</w:t>
      </w:r>
    </w:p>
    <w:p>
      <w:pPr>
        <w:spacing w:line="400" w:lineRule="exact"/>
        <w:ind w:firstLine="482"/>
        <w:jc w:val="center"/>
        <w:rPr>
          <w:rFonts w:ascii="宋体" w:hAnsi="宋体" w:cs="宋体"/>
          <w:b/>
          <w:bCs/>
          <w:color w:val="auto"/>
          <w:szCs w:val="21"/>
          <w:highlight w:val="none"/>
        </w:rPr>
      </w:pPr>
      <w:r>
        <w:rPr>
          <w:rFonts w:hint="eastAsia" w:ascii="宋体" w:hAnsi="宋体" w:cs="宋体"/>
          <w:b/>
          <w:bCs/>
          <w:color w:val="auto"/>
          <w:szCs w:val="21"/>
          <w:highlight w:val="none"/>
        </w:rPr>
        <w:t>采用交通运输部《公路工程标准施工招标文件》（2018年版）的格式。</w:t>
      </w:r>
    </w:p>
    <w:p>
      <w:pPr>
        <w:keepNext/>
        <w:keepLines/>
        <w:widowControl/>
        <w:spacing w:line="400" w:lineRule="exact"/>
        <w:jc w:val="center"/>
        <w:outlineLvl w:val="3"/>
        <w:rPr>
          <w:rFonts w:ascii="宋体" w:hAnsi="宋体" w:cs="宋体"/>
          <w:color w:val="auto"/>
          <w:kern w:val="0"/>
          <w:szCs w:val="21"/>
          <w:highlight w:val="none"/>
        </w:rPr>
      </w:pPr>
      <w:bookmarkStart w:id="130" w:name="_Toc28288"/>
      <w:r>
        <w:rPr>
          <w:rFonts w:hint="eastAsia" w:ascii="宋体" w:hAnsi="宋体" w:cs="宋体"/>
          <w:color w:val="auto"/>
          <w:kern w:val="0"/>
          <w:szCs w:val="21"/>
          <w:highlight w:val="none"/>
        </w:rPr>
        <w:t>附件一 合同协议书</w:t>
      </w:r>
      <w:bookmarkEnd w:id="130"/>
    </w:p>
    <w:p>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合同协议书</w:t>
      </w:r>
    </w:p>
    <w:p>
      <w:pPr>
        <w:tabs>
          <w:tab w:val="left" w:leader="underscore" w:pos="1756"/>
          <w:tab w:val="left" w:leader="underscore" w:pos="8354"/>
        </w:tabs>
        <w:spacing w:line="400" w:lineRule="exact"/>
        <w:ind w:firstLine="422" w:firstLineChars="200"/>
        <w:rPr>
          <w:rFonts w:ascii="宋体" w:hAnsi="宋体" w:cs="宋体"/>
          <w:color w:val="auto"/>
          <w:kern w:val="0"/>
          <w:szCs w:val="21"/>
          <w:highlight w:val="none"/>
          <w:shd w:val="clear" w:color="auto" w:fill="FFFFFF"/>
          <w:lang w:val="zh-CN" w:bidi="zh-CN"/>
        </w:rPr>
      </w:pPr>
      <w:r>
        <w:rPr>
          <w:rFonts w:hint="eastAsia" w:ascii="宋体" w:hAnsi="宋体" w:cs="宋体"/>
          <w:b/>
          <w:color w:val="auto"/>
          <w:kern w:val="0"/>
          <w:szCs w:val="21"/>
          <w:highlight w:val="none"/>
          <w:u w:val="single"/>
          <w:shd w:val="clear" w:color="auto" w:fill="FFFFFF"/>
          <w:lang w:val="zh-CN" w:bidi="zh-CN"/>
        </w:rPr>
        <w:t>发包人名称（</w:t>
      </w:r>
      <w:r>
        <w:rPr>
          <w:rFonts w:hint="eastAsia" w:ascii="宋体" w:hAnsi="宋体" w:cs="宋体"/>
          <w:color w:val="auto"/>
          <w:kern w:val="0"/>
          <w:szCs w:val="21"/>
          <w:highlight w:val="none"/>
          <w:u w:val="single"/>
          <w:shd w:val="clear" w:color="auto" w:fill="FFFFFF"/>
          <w:lang w:val="zh-CN" w:bidi="zh-CN"/>
        </w:rPr>
        <w:t>发包人名称，以下简称“发包人”）</w:t>
      </w:r>
      <w:r>
        <w:rPr>
          <w:rFonts w:hint="eastAsia" w:ascii="宋体" w:hAnsi="宋体" w:cs="宋体"/>
          <w:color w:val="auto"/>
          <w:kern w:val="0"/>
          <w:szCs w:val="21"/>
          <w:highlight w:val="none"/>
          <w:shd w:val="clear" w:color="auto" w:fill="FFFFFF"/>
          <w:lang w:val="zh-CN" w:bidi="zh-CN"/>
        </w:rPr>
        <w:t>为实施</w:t>
      </w:r>
      <w:r>
        <w:rPr>
          <w:rFonts w:hint="eastAsia" w:ascii="宋体" w:hAnsi="宋体" w:cs="宋体"/>
          <w:color w:val="auto"/>
          <w:kern w:val="0"/>
          <w:szCs w:val="21"/>
          <w:highlight w:val="none"/>
          <w:u w:val="single"/>
          <w:shd w:val="clear" w:color="auto" w:fill="FFFFFF"/>
          <w:lang w:val="zh-CN" w:bidi="zh-CN"/>
        </w:rPr>
        <w:t xml:space="preserve">      （项目名称）</w:t>
      </w:r>
      <w:r>
        <w:rPr>
          <w:rFonts w:hint="eastAsia" w:ascii="宋体" w:hAnsi="宋体" w:cs="宋体"/>
          <w:color w:val="auto"/>
          <w:kern w:val="0"/>
          <w:szCs w:val="21"/>
          <w:highlight w:val="none"/>
          <w:shd w:val="clear" w:color="auto" w:fill="FFFFFF"/>
          <w:lang w:val="zh-CN" w:bidi="zh-CN"/>
        </w:rPr>
        <w:t>，己接受</w:t>
      </w:r>
      <w:r>
        <w:rPr>
          <w:rFonts w:hint="eastAsia" w:ascii="宋体" w:hAnsi="宋体" w:cs="宋体"/>
          <w:b/>
          <w:color w:val="auto"/>
          <w:kern w:val="0"/>
          <w:szCs w:val="21"/>
          <w:highlight w:val="none"/>
          <w:u w:val="single"/>
          <w:shd w:val="clear" w:color="auto" w:fill="FFFFFF"/>
          <w:lang w:val="zh-CN" w:bidi="zh-CN"/>
        </w:rPr>
        <w:t>承包人名称</w:t>
      </w:r>
      <w:r>
        <w:rPr>
          <w:rFonts w:hint="eastAsia" w:ascii="宋体" w:hAnsi="宋体" w:cs="宋体"/>
          <w:color w:val="auto"/>
          <w:kern w:val="0"/>
          <w:szCs w:val="21"/>
          <w:highlight w:val="none"/>
          <w:u w:val="single"/>
          <w:shd w:val="clear" w:color="auto" w:fill="FFFFFF"/>
          <w:lang w:val="zh-CN" w:bidi="zh-CN"/>
        </w:rPr>
        <w:t>（承包人名称，以下简称“承包人”）</w:t>
      </w:r>
      <w:r>
        <w:rPr>
          <w:rFonts w:hint="eastAsia" w:ascii="宋体" w:hAnsi="宋体" w:cs="宋体"/>
          <w:color w:val="auto"/>
          <w:kern w:val="0"/>
          <w:szCs w:val="21"/>
          <w:highlight w:val="none"/>
          <w:shd w:val="clear" w:color="auto" w:fill="FFFFFF"/>
          <w:lang w:val="zh-CN" w:bidi="zh-CN"/>
        </w:rPr>
        <w:t>对该项目标段施工的投标。发包人和承包人共同达成如下协议。</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1.由K</w:t>
      </w:r>
      <w:r>
        <w:rPr>
          <w:rFonts w:hint="eastAsia" w:hAnsi="宋体"/>
          <w:color w:val="auto"/>
          <w:sz w:val="21"/>
          <w:szCs w:val="21"/>
          <w:highlight w:val="none"/>
          <w:u w:val="single"/>
          <w:lang w:val="zh-CN" w:bidi="zh-CN"/>
        </w:rPr>
        <w:t xml:space="preserve">      +      至K      +      </w:t>
      </w:r>
      <w:r>
        <w:rPr>
          <w:rFonts w:hint="eastAsia" w:hAnsi="宋体"/>
          <w:color w:val="auto"/>
          <w:sz w:val="21"/>
          <w:szCs w:val="21"/>
          <w:highlight w:val="none"/>
          <w:lang w:val="zh-CN" w:bidi="zh-CN"/>
        </w:rPr>
        <w:t>，长约km，公路等级为，设计时速为，路面，有立交处；特大桥座，计长m；大中桥座，计长m；隧道座，计长m以及其他构造物工程等。</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2.下列文件应视为构成合同文件的组成部分：</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（1）本协议书及各种合同附件（含评标期间和合同谈判过程中的澄清文件和 补充资料）；</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（2）成交通知书；</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（3）响应文件；</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（4）项目专用合同条款；</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（5）公路工程专用合同条款；</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（6）通用合同条款；</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（7）工程量清单计量规则；</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（8）技术规范；</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（9）图纸；</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（10）己标价工程量清单；</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（11）承包人有关人员、设备投入的承诺及投标文件中的施工组织设计；</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（12）其他合同文件。</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上述合同文件互相补充和解释。如果合同文件之间存在矛盾或不一致之处，</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以上述文件的排列顺序在先者为准。</w:t>
      </w:r>
    </w:p>
    <w:p>
      <w:pPr>
        <w:tabs>
          <w:tab w:val="left" w:pos="1098"/>
        </w:tabs>
        <w:spacing w:line="400" w:lineRule="exact"/>
        <w:ind w:firstLine="420" w:firstLineChars="200"/>
        <w:rPr>
          <w:rFonts w:ascii="宋体" w:hAnsi="宋体" w:cs="宋体"/>
          <w:color w:val="auto"/>
          <w:szCs w:val="21"/>
          <w:highlight w:val="none"/>
          <w:u w:val="single"/>
          <w:shd w:val="clear" w:color="auto" w:fill="FFFFFF"/>
          <w:lang w:bidi="zh-CN"/>
        </w:rPr>
      </w:pPr>
      <w:r>
        <w:rPr>
          <w:rFonts w:hint="eastAsia" w:ascii="宋体" w:hAnsi="宋体" w:cs="宋体"/>
          <w:color w:val="auto"/>
          <w:kern w:val="0"/>
          <w:szCs w:val="21"/>
          <w:highlight w:val="none"/>
          <w:shd w:val="clear" w:color="auto" w:fill="FFFFFF"/>
          <w:lang w:val="zh-CN" w:bidi="zh-CN"/>
        </w:rPr>
        <w:t>3.根据工程量清单所列的预计数量和单价或总额价计算的签约合同价：人民</w:t>
      </w:r>
      <w:r>
        <w:rPr>
          <w:rFonts w:hint="eastAsia" w:ascii="宋体" w:hAnsi="宋体" w:cs="宋体"/>
          <w:color w:val="auto"/>
          <w:szCs w:val="21"/>
          <w:highlight w:val="none"/>
          <w:shd w:val="clear" w:color="auto" w:fill="FFFFFF"/>
          <w:lang w:val="zh-CN" w:bidi="zh-CN"/>
        </w:rPr>
        <w:t>币</w:t>
      </w:r>
      <w:r>
        <w:rPr>
          <w:rFonts w:hint="eastAsia" w:ascii="宋体" w:hAnsi="宋体" w:cs="宋体"/>
          <w:color w:val="auto"/>
          <w:szCs w:val="21"/>
          <w:highlight w:val="none"/>
          <w:shd w:val="clear" w:color="auto" w:fill="FFFFFF"/>
          <w:lang w:bidi="zh-CN"/>
        </w:rPr>
        <w:t>（大写）</w:t>
      </w:r>
      <w:r>
        <w:rPr>
          <w:rFonts w:hint="eastAsia" w:ascii="宋体" w:hAnsi="宋体" w:cs="宋体"/>
          <w:color w:val="auto"/>
          <w:szCs w:val="21"/>
          <w:highlight w:val="none"/>
          <w:u w:val="single"/>
          <w:shd w:val="clear" w:color="auto" w:fill="FFFFFF"/>
          <w:lang w:bidi="zh-CN"/>
        </w:rPr>
        <w:t xml:space="preserve">元（¥）。 </w:t>
      </w:r>
    </w:p>
    <w:p>
      <w:pPr>
        <w:tabs>
          <w:tab w:val="left" w:pos="1506"/>
        </w:tabs>
        <w:spacing w:line="400" w:lineRule="exact"/>
        <w:ind w:firstLine="420" w:firstLineChars="200"/>
        <w:rPr>
          <w:rFonts w:ascii="宋体" w:hAnsi="宋体" w:cs="宋体"/>
          <w:color w:val="auto"/>
          <w:kern w:val="0"/>
          <w:szCs w:val="21"/>
          <w:highlight w:val="none"/>
          <w:u w:val="single"/>
          <w:shd w:val="clear" w:color="auto" w:fill="FFFFFF"/>
          <w:lang w:bidi="zh-CN"/>
        </w:rPr>
      </w:pPr>
      <w:r>
        <w:rPr>
          <w:rFonts w:hint="eastAsia" w:ascii="宋体" w:hAnsi="宋体" w:cs="宋体"/>
          <w:color w:val="auto"/>
          <w:kern w:val="0"/>
          <w:szCs w:val="21"/>
          <w:highlight w:val="none"/>
          <w:shd w:val="clear" w:color="auto" w:fill="FFFFFF"/>
          <w:lang w:bidi="zh-CN"/>
        </w:rPr>
        <w:t>4.承包人项目经理：</w:t>
      </w:r>
      <w:r>
        <w:rPr>
          <w:rFonts w:hint="eastAsia" w:ascii="宋体" w:hAnsi="宋体" w:cs="宋体"/>
          <w:color w:val="auto"/>
          <w:kern w:val="0"/>
          <w:szCs w:val="21"/>
          <w:highlight w:val="none"/>
          <w:u w:val="single"/>
          <w:shd w:val="clear" w:color="auto" w:fill="FFFFFF"/>
          <w:lang w:bidi="zh-CN"/>
        </w:rPr>
        <w:t xml:space="preserve">              ；承包人项目总工：           。</w:t>
      </w:r>
    </w:p>
    <w:p>
      <w:pPr>
        <w:tabs>
          <w:tab w:val="left" w:pos="1506"/>
        </w:tabs>
        <w:spacing w:line="400" w:lineRule="exact"/>
        <w:ind w:firstLine="420" w:firstLineChars="200"/>
        <w:rPr>
          <w:rFonts w:ascii="宋体" w:hAnsi="宋体" w:cs="宋体"/>
          <w:color w:val="auto"/>
          <w:kern w:val="0"/>
          <w:szCs w:val="21"/>
          <w:highlight w:val="none"/>
          <w:u w:val="single"/>
          <w:shd w:val="clear" w:color="auto" w:fill="FFFFFF"/>
          <w:lang w:bidi="zh-CN"/>
        </w:rPr>
      </w:pPr>
      <w:r>
        <w:rPr>
          <w:rFonts w:hint="eastAsia" w:ascii="宋体" w:hAnsi="宋体" w:cs="宋体"/>
          <w:color w:val="auto"/>
          <w:kern w:val="0"/>
          <w:szCs w:val="21"/>
          <w:highlight w:val="none"/>
          <w:shd w:val="clear" w:color="auto" w:fill="FFFFFF"/>
          <w:lang w:bidi="zh-CN"/>
        </w:rPr>
        <w:t>5.工程质量符合标准；工程安全目标：</w:t>
      </w:r>
      <w:r>
        <w:rPr>
          <w:rFonts w:hint="eastAsia" w:ascii="宋体" w:hAnsi="宋体" w:cs="宋体"/>
          <w:color w:val="auto"/>
          <w:kern w:val="0"/>
          <w:szCs w:val="21"/>
          <w:highlight w:val="none"/>
          <w:u w:val="single"/>
          <w:shd w:val="clear" w:color="auto" w:fill="FFFFFF"/>
          <w:lang w:bidi="zh-CN"/>
        </w:rPr>
        <w:t xml:space="preserve">               。</w:t>
      </w:r>
    </w:p>
    <w:p>
      <w:pPr>
        <w:tabs>
          <w:tab w:val="left" w:pos="1101"/>
        </w:tabs>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bidi="zh-CN"/>
        </w:rPr>
        <w:t>6.</w:t>
      </w:r>
      <w:r>
        <w:rPr>
          <w:rFonts w:hint="eastAsia" w:ascii="宋体" w:hAnsi="宋体" w:cs="宋体"/>
          <w:color w:val="auto"/>
          <w:kern w:val="0"/>
          <w:szCs w:val="21"/>
          <w:highlight w:val="none"/>
          <w:shd w:val="clear" w:color="auto" w:fill="FFFFFF"/>
          <w:lang w:val="zh-CN" w:bidi="zh-CN"/>
        </w:rPr>
        <w:t>承包人承诺按合同约定承担工程的实施、完成及缺陷修复。</w:t>
      </w:r>
    </w:p>
    <w:p>
      <w:pPr>
        <w:tabs>
          <w:tab w:val="left" w:pos="1101"/>
        </w:tabs>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bidi="zh-CN"/>
        </w:rPr>
        <w:t>7.</w:t>
      </w:r>
      <w:r>
        <w:rPr>
          <w:rFonts w:hint="eastAsia" w:ascii="宋体" w:hAnsi="宋体" w:cs="宋体"/>
          <w:color w:val="auto"/>
          <w:kern w:val="0"/>
          <w:szCs w:val="21"/>
          <w:highlight w:val="none"/>
          <w:shd w:val="clear" w:color="auto" w:fill="FFFFFF"/>
          <w:lang w:val="zh-CN" w:bidi="zh-CN"/>
        </w:rPr>
        <w:t>发包人承诺按合同约定的条件、时间和方式向承包人支付合同价款。</w:t>
      </w:r>
    </w:p>
    <w:p>
      <w:pPr>
        <w:tabs>
          <w:tab w:val="left" w:pos="1109"/>
        </w:tabs>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8.承包人应按照监理人指示开工，工期为_日历天。</w:t>
      </w:r>
      <w:r>
        <w:rPr>
          <w:rFonts w:hint="eastAsia" w:ascii="宋体" w:hAnsi="宋体" w:cs="宋体"/>
          <w:color w:val="auto"/>
          <w:kern w:val="0"/>
          <w:szCs w:val="21"/>
          <w:highlight w:val="none"/>
        </w:rPr>
        <w:t>承包人应在签订施工承包合同协议书后的5个工作日内完成进场准备，包括主要管理人员、响应文件承诺进场的机械设备、试验检测设备、项目部的办公设备、项目部的选址及上墙图表等，并具备基本的工作条件。承包人完成进场准备后的7天内开展施工工作。逾期开工违约金：5000元/天。</w:t>
      </w:r>
    </w:p>
    <w:p>
      <w:pPr>
        <w:tabs>
          <w:tab w:val="left" w:pos="1043"/>
        </w:tabs>
        <w:spacing w:line="400" w:lineRule="exact"/>
        <w:ind w:firstLine="420" w:firstLineChars="200"/>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9.本协议书在承包人提供履约保证金后，由双方法定代表人或其委托代理人 签署</w:t>
      </w:r>
    </w:p>
    <w:p>
      <w:pPr>
        <w:tabs>
          <w:tab w:val="left" w:pos="1043"/>
        </w:tabs>
        <w:spacing w:line="400" w:lineRule="exact"/>
        <w:ind w:firstLine="420" w:firstLineChars="200"/>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并加盖单位章后生效。全部工程完工后经交工验收合格、缺陷责任期满签发缺陷责任终止证书后失效。</w:t>
      </w:r>
    </w:p>
    <w:p>
      <w:pPr>
        <w:tabs>
          <w:tab w:val="left" w:leader="underscore" w:pos="4168"/>
          <w:tab w:val="left" w:leader="underscore" w:pos="8283"/>
        </w:tabs>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10.本协议书正本二份、副本份，合同双方各执正本一份，副本份，当正本与副本的内容不一致时，以正本为准。</w:t>
      </w:r>
    </w:p>
    <w:p>
      <w:pPr>
        <w:tabs>
          <w:tab w:val="left" w:pos="1214"/>
        </w:tabs>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11.合同未尽事宜，双方另行签订补充协议。补充协议是合同的组成部分。</w:t>
      </w:r>
    </w:p>
    <w:tbl>
      <w:tblPr>
        <w:tblStyle w:val="21"/>
        <w:tblW w:w="8960" w:type="dxa"/>
        <w:jc w:val="center"/>
        <w:tblLayout w:type="fixed"/>
        <w:tblCellMar>
          <w:top w:w="0" w:type="dxa"/>
          <w:left w:w="108" w:type="dxa"/>
          <w:bottom w:w="0" w:type="dxa"/>
          <w:right w:w="108" w:type="dxa"/>
        </w:tblCellMar>
      </w:tblPr>
      <w:tblGrid>
        <w:gridCol w:w="4480"/>
        <w:gridCol w:w="4480"/>
      </w:tblGrid>
      <w:tr>
        <w:tblPrEx>
          <w:tblCellMar>
            <w:top w:w="0" w:type="dxa"/>
            <w:left w:w="108" w:type="dxa"/>
            <w:bottom w:w="0" w:type="dxa"/>
            <w:right w:w="108" w:type="dxa"/>
          </w:tblCellMar>
        </w:tblPrEx>
        <w:trPr>
          <w:trHeight w:val="738" w:hRule="atLeast"/>
          <w:jc w:val="center"/>
        </w:trPr>
        <w:tc>
          <w:tcPr>
            <w:tcW w:w="4480" w:type="dxa"/>
            <w:noWrap/>
            <w:vAlign w:val="center"/>
          </w:tcPr>
          <w:p>
            <w:pPr>
              <w:tabs>
                <w:tab w:val="left" w:leader="underscore" w:pos="2738"/>
              </w:tabs>
              <w:spacing w:line="400" w:lineRule="exact"/>
              <w:rPr>
                <w:rFonts w:ascii="宋体" w:hAnsi="宋体" w:cs="宋体"/>
                <w:color w:val="auto"/>
                <w:kern w:val="0"/>
                <w:szCs w:val="21"/>
                <w:highlight w:val="none"/>
                <w:u w:val="single"/>
                <w:shd w:val="clear" w:color="auto" w:fill="FFFFFF"/>
              </w:rPr>
            </w:pPr>
            <w:r>
              <w:rPr>
                <w:rFonts w:hint="eastAsia" w:ascii="宋体" w:hAnsi="宋体" w:cs="宋体"/>
                <w:iCs/>
                <w:color w:val="auto"/>
                <w:kern w:val="0"/>
                <w:szCs w:val="21"/>
                <w:highlight w:val="none"/>
                <w:shd w:val="clear" w:color="auto" w:fill="FFFFFF"/>
                <w:lang w:val="zh-CN"/>
              </w:rPr>
              <w:t>发包人：</w:t>
            </w:r>
            <w:r>
              <w:rPr>
                <w:rFonts w:hint="eastAsia" w:ascii="宋体" w:hAnsi="宋体" w:cs="宋体"/>
                <w:color w:val="auto"/>
                <w:kern w:val="0"/>
                <w:szCs w:val="21"/>
                <w:highlight w:val="none"/>
                <w:shd w:val="clear" w:color="auto" w:fill="FFFFFF"/>
                <w:lang w:val="zh-CN"/>
              </w:rPr>
              <w:tab/>
            </w:r>
            <w:r>
              <w:rPr>
                <w:rFonts w:hint="eastAsia" w:ascii="宋体" w:hAnsi="宋体" w:cs="宋体"/>
                <w:color w:val="auto"/>
                <w:kern w:val="0"/>
                <w:szCs w:val="21"/>
                <w:highlight w:val="none"/>
                <w:shd w:val="clear" w:color="auto" w:fill="FFFFFF"/>
                <w:lang w:val="zh-CN"/>
              </w:rPr>
              <w:t xml:space="preserve"> （盖单位章）</w:t>
            </w:r>
          </w:p>
        </w:tc>
        <w:tc>
          <w:tcPr>
            <w:tcW w:w="4480" w:type="dxa"/>
            <w:noWrap/>
            <w:vAlign w:val="center"/>
          </w:tcPr>
          <w:p>
            <w:pPr>
              <w:tabs>
                <w:tab w:val="left" w:leader="underscore" w:pos="2738"/>
              </w:tabs>
              <w:spacing w:line="400" w:lineRule="exact"/>
              <w:rPr>
                <w:rFonts w:ascii="宋体" w:hAnsi="宋体" w:cs="宋体"/>
                <w:color w:val="auto"/>
                <w:kern w:val="0"/>
                <w:szCs w:val="21"/>
                <w:highlight w:val="none"/>
                <w:u w:val="single"/>
                <w:shd w:val="clear" w:color="auto" w:fill="FFFFFF"/>
                <w:lang w:val="zh-CN"/>
              </w:rPr>
            </w:pPr>
            <w:r>
              <w:rPr>
                <w:rFonts w:hint="eastAsia" w:ascii="宋体" w:hAnsi="宋体" w:cs="宋体"/>
                <w:iCs/>
                <w:color w:val="auto"/>
                <w:kern w:val="0"/>
                <w:szCs w:val="21"/>
                <w:highlight w:val="none"/>
                <w:shd w:val="clear" w:color="auto" w:fill="FFFFFF"/>
              </w:rPr>
              <w:t>承包人</w:t>
            </w:r>
            <w:r>
              <w:rPr>
                <w:rFonts w:hint="eastAsia" w:ascii="宋体" w:hAnsi="宋体" w:cs="宋体"/>
                <w:iCs/>
                <w:color w:val="auto"/>
                <w:kern w:val="0"/>
                <w:szCs w:val="21"/>
                <w:highlight w:val="none"/>
                <w:shd w:val="clear" w:color="auto" w:fill="FFFFFF"/>
                <w:lang w:val="zh-CN"/>
              </w:rPr>
              <w:t>：</w:t>
            </w:r>
            <w:r>
              <w:rPr>
                <w:rFonts w:hint="eastAsia" w:ascii="宋体" w:hAnsi="宋体" w:cs="宋体"/>
                <w:color w:val="auto"/>
                <w:kern w:val="0"/>
                <w:szCs w:val="21"/>
                <w:highlight w:val="none"/>
                <w:shd w:val="clear" w:color="auto" w:fill="FFFFFF"/>
                <w:lang w:val="zh-CN"/>
              </w:rPr>
              <w:tab/>
            </w:r>
            <w:r>
              <w:rPr>
                <w:rFonts w:hint="eastAsia" w:ascii="宋体" w:hAnsi="宋体" w:cs="宋体"/>
                <w:color w:val="auto"/>
                <w:kern w:val="0"/>
                <w:szCs w:val="21"/>
                <w:highlight w:val="none"/>
                <w:shd w:val="clear" w:color="auto" w:fill="FFFFFF"/>
                <w:lang w:val="zh-CN"/>
              </w:rPr>
              <w:t xml:space="preserve"> （盖单位章）</w:t>
            </w:r>
          </w:p>
        </w:tc>
      </w:tr>
      <w:tr>
        <w:tblPrEx>
          <w:tblCellMar>
            <w:top w:w="0" w:type="dxa"/>
            <w:left w:w="108" w:type="dxa"/>
            <w:bottom w:w="0" w:type="dxa"/>
            <w:right w:w="108" w:type="dxa"/>
          </w:tblCellMar>
        </w:tblPrEx>
        <w:trPr>
          <w:trHeight w:val="565" w:hRule="atLeast"/>
          <w:jc w:val="center"/>
        </w:trPr>
        <w:tc>
          <w:tcPr>
            <w:tcW w:w="4480" w:type="dxa"/>
            <w:noWrap/>
            <w:vAlign w:val="center"/>
          </w:tcPr>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rPr>
              <w:t>法定代表人或其委托代理人：</w:t>
            </w:r>
            <w:r>
              <w:rPr>
                <w:rFonts w:hint="eastAsia" w:ascii="宋体" w:hAnsi="宋体" w:cs="宋体"/>
                <w:color w:val="auto"/>
                <w:szCs w:val="21"/>
                <w:highlight w:val="none"/>
                <w:u w:val="single"/>
                <w:shd w:val="clear" w:color="auto" w:fill="FFFFFF"/>
                <w:lang w:val="zh-CN"/>
              </w:rPr>
              <w:t xml:space="preserve"> （签字）</w:t>
            </w:r>
          </w:p>
        </w:tc>
        <w:tc>
          <w:tcPr>
            <w:tcW w:w="4480" w:type="dxa"/>
            <w:noWrap/>
            <w:vAlign w:val="center"/>
          </w:tcPr>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rPr>
              <w:t>法定代表人或其委托代理人：</w:t>
            </w:r>
            <w:r>
              <w:rPr>
                <w:rFonts w:hint="eastAsia" w:ascii="宋体" w:hAnsi="宋体" w:cs="宋体"/>
                <w:color w:val="auto"/>
                <w:szCs w:val="21"/>
                <w:highlight w:val="none"/>
                <w:u w:val="single"/>
                <w:shd w:val="clear" w:color="auto" w:fill="FFFFFF"/>
                <w:lang w:val="zh-CN"/>
              </w:rPr>
              <w:t xml:space="preserve"> （签字）</w:t>
            </w:r>
          </w:p>
        </w:tc>
      </w:tr>
      <w:tr>
        <w:tblPrEx>
          <w:tblCellMar>
            <w:top w:w="0" w:type="dxa"/>
            <w:left w:w="108" w:type="dxa"/>
            <w:bottom w:w="0" w:type="dxa"/>
            <w:right w:w="108" w:type="dxa"/>
          </w:tblCellMar>
        </w:tblPrEx>
        <w:trPr>
          <w:trHeight w:val="593" w:hRule="atLeast"/>
          <w:jc w:val="center"/>
        </w:trPr>
        <w:tc>
          <w:tcPr>
            <w:tcW w:w="4480" w:type="dxa"/>
            <w:noWrap/>
            <w:vAlign w:val="center"/>
          </w:tcPr>
          <w:p>
            <w:pPr>
              <w:spacing w:line="400" w:lineRule="exact"/>
              <w:jc w:val="righ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年月日</w:t>
            </w:r>
          </w:p>
        </w:tc>
        <w:tc>
          <w:tcPr>
            <w:tcW w:w="4480" w:type="dxa"/>
            <w:noWrap/>
            <w:vAlign w:val="center"/>
          </w:tcPr>
          <w:p>
            <w:pPr>
              <w:spacing w:line="400" w:lineRule="exact"/>
              <w:jc w:val="righ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rPr>
              <w:t>年月日</w:t>
            </w:r>
          </w:p>
        </w:tc>
      </w:tr>
    </w:tbl>
    <w:p>
      <w:pPr>
        <w:pStyle w:val="20"/>
        <w:ind w:firstLine="488"/>
        <w:rPr>
          <w:color w:val="auto"/>
          <w:highlight w:val="none"/>
        </w:rPr>
      </w:pPr>
      <w:r>
        <w:rPr>
          <w:rFonts w:hint="eastAsia" w:cs="宋体"/>
          <w:color w:val="auto"/>
          <w:kern w:val="0"/>
          <w:szCs w:val="21"/>
          <w:highlight w:val="none"/>
        </w:rPr>
        <w:br w:type="page"/>
      </w:r>
    </w:p>
    <w:p>
      <w:pPr>
        <w:keepNext/>
        <w:keepLines/>
        <w:widowControl/>
        <w:spacing w:line="400" w:lineRule="exact"/>
        <w:jc w:val="center"/>
        <w:outlineLvl w:val="3"/>
        <w:rPr>
          <w:rFonts w:ascii="宋体" w:hAnsi="宋体" w:cs="宋体"/>
          <w:color w:val="auto"/>
          <w:kern w:val="0"/>
          <w:szCs w:val="21"/>
          <w:highlight w:val="none"/>
        </w:rPr>
      </w:pPr>
      <w:bookmarkStart w:id="131" w:name="_Toc20139"/>
      <w:r>
        <w:rPr>
          <w:rFonts w:hint="eastAsia" w:ascii="宋体" w:hAnsi="宋体" w:cs="宋体"/>
          <w:color w:val="auto"/>
          <w:kern w:val="0"/>
          <w:szCs w:val="21"/>
          <w:highlight w:val="none"/>
        </w:rPr>
        <w:t>附件二 廉政合同</w:t>
      </w:r>
      <w:bookmarkEnd w:id="131"/>
    </w:p>
    <w:p>
      <w:pPr>
        <w:spacing w:line="400" w:lineRule="exact"/>
        <w:ind w:firstLine="420" w:firstLineChars="200"/>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szCs w:val="21"/>
          <w:highlight w:val="none"/>
          <w:u w:val="single"/>
          <w:shd w:val="clear" w:color="auto" w:fill="FFFFFF"/>
          <w:lang w:val="zh-CN" w:bidi="zh-CN"/>
        </w:rPr>
        <w:tab/>
      </w:r>
      <w:r>
        <w:rPr>
          <w:rFonts w:hint="eastAsia" w:ascii="宋体" w:hAnsi="宋体" w:cs="宋体"/>
          <w:color w:val="auto"/>
          <w:kern w:val="0"/>
          <w:szCs w:val="21"/>
          <w:highlight w:val="none"/>
          <w:u w:val="single"/>
          <w:shd w:val="clear" w:color="auto" w:fill="FFFFFF"/>
          <w:lang w:val="zh-CN" w:bidi="zh-CN"/>
        </w:rPr>
        <w:t>（项目名称）</w:t>
      </w:r>
      <w:r>
        <w:rPr>
          <w:rFonts w:hint="eastAsia" w:ascii="宋体" w:hAnsi="宋体" w:cs="宋体"/>
          <w:color w:val="auto"/>
          <w:kern w:val="0"/>
          <w:szCs w:val="21"/>
          <w:highlight w:val="none"/>
          <w:shd w:val="clear" w:color="auto" w:fill="FFFFFF"/>
          <w:lang w:val="zh-CN" w:bidi="zh-CN"/>
        </w:rPr>
        <w:t>的项目法人</w:t>
      </w:r>
      <w:r>
        <w:rPr>
          <w:rFonts w:hint="eastAsia" w:ascii="宋体" w:hAnsi="宋体" w:cs="宋体"/>
          <w:color w:val="auto"/>
          <w:kern w:val="0"/>
          <w:szCs w:val="21"/>
          <w:highlight w:val="none"/>
          <w:u w:val="single"/>
          <w:shd w:val="clear" w:color="auto" w:fill="FFFFFF"/>
          <w:lang w:val="zh-CN" w:bidi="zh-CN"/>
        </w:rPr>
        <w:tab/>
      </w:r>
      <w:r>
        <w:rPr>
          <w:rFonts w:hint="eastAsia" w:ascii="宋体" w:hAnsi="宋体" w:cs="宋体"/>
          <w:color w:val="auto"/>
          <w:kern w:val="0"/>
          <w:szCs w:val="21"/>
          <w:highlight w:val="none"/>
          <w:u w:val="single"/>
          <w:shd w:val="clear" w:color="auto" w:fill="FFFFFF"/>
          <w:lang w:val="zh-CN" w:bidi="zh-CN"/>
        </w:rPr>
        <w:t>（项目法人名称，以下简称“发包人”）</w:t>
      </w:r>
      <w:r>
        <w:rPr>
          <w:rFonts w:hint="eastAsia" w:ascii="宋体" w:hAnsi="宋体" w:cs="宋体"/>
          <w:color w:val="auto"/>
          <w:kern w:val="0"/>
          <w:szCs w:val="21"/>
          <w:highlight w:val="none"/>
          <w:shd w:val="clear" w:color="auto" w:fill="FFFFFF"/>
          <w:lang w:val="zh-CN" w:bidi="zh-CN"/>
        </w:rPr>
        <w:t>与该项目</w:t>
      </w:r>
      <w:r>
        <w:rPr>
          <w:rFonts w:hint="eastAsia" w:ascii="宋体" w:hAnsi="宋体" w:cs="宋体"/>
          <w:color w:val="auto"/>
          <w:kern w:val="0"/>
          <w:szCs w:val="21"/>
          <w:highlight w:val="none"/>
          <w:u w:val="single"/>
          <w:shd w:val="clear" w:color="auto" w:fill="FFFFFF"/>
          <w:lang w:val="zh-CN" w:bidi="zh-CN"/>
        </w:rPr>
        <w:tab/>
      </w:r>
      <w:r>
        <w:rPr>
          <w:rFonts w:hint="eastAsia" w:ascii="宋体" w:hAnsi="宋体" w:cs="宋体"/>
          <w:color w:val="auto"/>
          <w:kern w:val="0"/>
          <w:szCs w:val="21"/>
          <w:highlight w:val="none"/>
          <w:shd w:val="clear" w:color="auto" w:fill="FFFFFF"/>
          <w:lang w:val="zh-CN" w:bidi="zh-CN"/>
        </w:rPr>
        <w:t>的施工单位</w:t>
      </w:r>
      <w:r>
        <w:rPr>
          <w:rFonts w:hint="eastAsia" w:ascii="宋体" w:hAnsi="宋体" w:cs="宋体"/>
          <w:color w:val="auto"/>
          <w:kern w:val="0"/>
          <w:szCs w:val="21"/>
          <w:highlight w:val="none"/>
          <w:u w:val="single"/>
          <w:shd w:val="clear" w:color="auto" w:fill="FFFFFF"/>
          <w:lang w:val="zh-CN" w:bidi="zh-CN"/>
        </w:rPr>
        <w:tab/>
      </w:r>
      <w:r>
        <w:rPr>
          <w:rFonts w:hint="eastAsia" w:ascii="宋体" w:hAnsi="宋体" w:cs="宋体"/>
          <w:color w:val="auto"/>
          <w:kern w:val="0"/>
          <w:szCs w:val="21"/>
          <w:highlight w:val="none"/>
          <w:u w:val="single"/>
          <w:shd w:val="clear" w:color="auto" w:fill="FFFFFF"/>
          <w:lang w:val="zh-CN" w:bidi="zh-CN"/>
        </w:rPr>
        <w:t>（施工单位名称，以下简称“承包人”）</w:t>
      </w:r>
      <w:r>
        <w:rPr>
          <w:rFonts w:hint="eastAsia" w:ascii="宋体" w:hAnsi="宋体" w:cs="宋体"/>
          <w:color w:val="auto"/>
          <w:kern w:val="0"/>
          <w:szCs w:val="21"/>
          <w:highlight w:val="none"/>
          <w:shd w:val="clear" w:color="auto" w:fill="FFFFFF"/>
          <w:lang w:val="zh-CN" w:bidi="zh-CN"/>
        </w:rPr>
        <w:t>，特订立如下合同。</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1.发包人和承包人双方的权利和义务</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（1）严格遵守党的政策规定和国家有关法律法规及交通运输部的有关规定。</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（2）严格执行</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 xml:space="preserve"> （项目名称）</w:t>
      </w:r>
      <w:r>
        <w:rPr>
          <w:rFonts w:hint="eastAsia" w:hAnsi="宋体"/>
          <w:color w:val="auto"/>
          <w:sz w:val="21"/>
          <w:szCs w:val="21"/>
          <w:highlight w:val="none"/>
          <w:u w:val="single"/>
          <w:lang w:val="zh-CN" w:bidi="zh-CN"/>
        </w:rPr>
        <w:tab/>
      </w:r>
      <w:r>
        <w:rPr>
          <w:rFonts w:hint="eastAsia" w:hAnsi="宋体"/>
          <w:color w:val="auto"/>
          <w:sz w:val="21"/>
          <w:szCs w:val="21"/>
          <w:highlight w:val="none"/>
          <w:lang w:val="zh-CN" w:bidi="zh-CN"/>
        </w:rPr>
        <w:t>施工合同文件，自觉按合同办事。</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（3）双方的业务活动坚持公开、公正、诚信、透明的原则（法律认定的商业秘密和合同文件另有规定除外），不得损害国家和集体利益，不得违反工程建设管理规章制度。</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（4）建立健全廉政制度，开展廉政教育，设立廉政告示牌，公布举报电话，监督并认真查处违法违纪行为。</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（5）发现对方在业务活动中有违反廉政规定的行为，有及时提醒对方纠正的权利和义务。</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（6）发现对方严重违反本合同义务条款的行为，有向其上级有关部门举报、建议给予处理并要求告知处理结果的权利。</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2.发包人的义务</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（1）发包人及其工作人员不得索要或接受承包人的礼金、有价证券和贵重物品，不得让承包人报销任何应由发包人或发包人工作人员个人支付的费用等。</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（2）发包人工作人员不得参加承包人安排的超标准宴请和娱乐活动；不得接受承包人提供的通讯工具、交通工具和高档办公用品等。</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（3）发包人及其工作人员不得要求或者接受承包人为其住房装修、婚丧嫁娶活动、配偶子女的工作安排以及出国出境、旅游等提供方便等。</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（4）发包人工作人员及其配偶、子女不得从事与发包人工程有关的材料设备供应、工程分包、劳务等经济活动等。</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（5）发包人及其工作人员不得以任何理由向承包人推荐分包单位或推销材料， 不得要求承包人购买合同规定外的材料和设备。</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（6）发包人工作人员要秉公办事，不准营私舞弊，不准利用职权从事各种个人有偿中介活动和安排个人施工队伍。</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3.承包人的义务</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（1）承包人不得以任何理由向发包人及其工作人员行贿或馈赠礼金、有价证券、贵重礼品。</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（2）承包人不得以任何名义为发包人及其工作人员报销应由发包人单位或个人支付的任何费用。</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（3）承包人不得以任何理由安排发包人工作人员参加超标准宴请及娱乐活动。</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（4）承包人不得为发包人单位和个人购置或提供通信工具、交通工具和高档办公用品等。</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4.违约责任</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（1）发包人及其工作人员违反本合同第1、2条，按管理权限，依据有关规定给予党纪、政纪或组织处理；涉嫌犯罪的，移交司法机关追究刑事责任；给承包人单位造成经济损失的，应予以赔偿。</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 建设市场的处罚。</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5.双方约定：本合同由双方或双方上级单位的纪检监察部门负责监督执行。 由发包人或发包人上级单位的纪检监察部门约请承包人或承包人上级单位纪检监察部门对本合同执行情况进行检查，提出在本合同规定范围内的裁定意见。</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6.本合同有效期为发包人和承包人签署之日起至该工程项目竣工验收后止。</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7.本合同作为</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 xml:space="preserve"> （项目名称）</w:t>
      </w:r>
      <w:r>
        <w:rPr>
          <w:rFonts w:hint="eastAsia" w:hAnsi="宋体"/>
          <w:color w:val="auto"/>
          <w:sz w:val="21"/>
          <w:szCs w:val="21"/>
          <w:highlight w:val="none"/>
          <w:u w:val="single"/>
          <w:lang w:val="zh-CN" w:bidi="zh-CN"/>
        </w:rPr>
        <w:tab/>
      </w:r>
      <w:r>
        <w:rPr>
          <w:rFonts w:hint="eastAsia" w:hAnsi="宋体"/>
          <w:color w:val="auto"/>
          <w:sz w:val="21"/>
          <w:szCs w:val="21"/>
          <w:highlight w:val="none"/>
          <w:lang w:val="zh-CN" w:bidi="zh-CN"/>
        </w:rPr>
        <w:t>项目施工合同的附件，工程施工合同具有同等的法律效力，经合同双方签署后立即生效。</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8.本合同一式四份，由发包人和承包人各执一份，送交发包人和承包人的监督单位各一份。</w:t>
      </w:r>
    </w:p>
    <w:p>
      <w:pPr>
        <w:tabs>
          <w:tab w:val="left" w:pos="4550"/>
        </w:tabs>
        <w:spacing w:line="400" w:lineRule="exact"/>
        <w:rPr>
          <w:rFonts w:ascii="宋体" w:hAnsi="宋体" w:cs="宋体"/>
          <w:color w:val="auto"/>
          <w:kern w:val="0"/>
          <w:szCs w:val="21"/>
          <w:highlight w:val="none"/>
          <w:u w:val="single"/>
          <w:shd w:val="clear" w:color="auto" w:fill="FFFFFF"/>
          <w:lang w:val="zh-CN"/>
        </w:rPr>
      </w:pPr>
      <w:r>
        <w:rPr>
          <w:rFonts w:hint="eastAsia" w:ascii="宋体" w:hAnsi="宋体" w:cs="宋体"/>
          <w:color w:val="auto"/>
          <w:kern w:val="0"/>
          <w:szCs w:val="21"/>
          <w:highlight w:val="none"/>
          <w:shd w:val="clear" w:color="auto" w:fill="FFFFFF"/>
          <w:lang w:val="zh-CN" w:bidi="zh-CN"/>
        </w:rPr>
        <w:t>发包人监督单位：</w:t>
      </w:r>
      <w:r>
        <w:rPr>
          <w:rFonts w:hint="eastAsia" w:ascii="宋体" w:hAnsi="宋体" w:cs="宋体"/>
          <w:color w:val="auto"/>
          <w:kern w:val="0"/>
          <w:szCs w:val="21"/>
          <w:highlight w:val="none"/>
          <w:u w:val="single"/>
          <w:shd w:val="clear" w:color="auto" w:fill="FFFFFF"/>
          <w:lang w:val="zh-CN"/>
        </w:rPr>
        <w:t>（全称）（盖单位章）</w:t>
      </w:r>
      <w:r>
        <w:rPr>
          <w:rFonts w:hint="eastAsia" w:ascii="宋体" w:hAnsi="宋体" w:cs="宋体"/>
          <w:color w:val="auto"/>
          <w:kern w:val="0"/>
          <w:szCs w:val="21"/>
          <w:highlight w:val="none"/>
          <w:shd w:val="clear" w:color="auto" w:fill="FFFFFF"/>
          <w:lang w:val="zh-CN" w:bidi="zh-CN"/>
        </w:rPr>
        <w:tab/>
      </w:r>
      <w:r>
        <w:rPr>
          <w:rFonts w:hint="eastAsia" w:ascii="宋体" w:hAnsi="宋体" w:cs="宋体"/>
          <w:color w:val="auto"/>
          <w:kern w:val="0"/>
          <w:szCs w:val="21"/>
          <w:highlight w:val="none"/>
          <w:shd w:val="clear" w:color="auto" w:fill="FFFFFF"/>
          <w:lang w:val="zh-CN" w:bidi="zh-CN"/>
        </w:rPr>
        <w:t>承包人监督单位：</w:t>
      </w:r>
      <w:r>
        <w:rPr>
          <w:rFonts w:hint="eastAsia" w:ascii="宋体" w:hAnsi="宋体" w:cs="宋体"/>
          <w:color w:val="auto"/>
          <w:kern w:val="0"/>
          <w:szCs w:val="21"/>
          <w:highlight w:val="none"/>
          <w:u w:val="single"/>
          <w:shd w:val="clear" w:color="auto" w:fill="FFFFFF"/>
          <w:lang w:val="zh-CN"/>
        </w:rPr>
        <w:t>（全称）（盖单位章）</w:t>
      </w:r>
    </w:p>
    <w:tbl>
      <w:tblPr>
        <w:tblStyle w:val="21"/>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729" w:hRule="atLeast"/>
        </w:trPr>
        <w:tc>
          <w:tcPr>
            <w:tcW w:w="4530" w:type="dxa"/>
            <w:noWrap/>
            <w:vAlign w:val="center"/>
          </w:tcPr>
          <w:p>
            <w:pPr>
              <w:tabs>
                <w:tab w:val="left" w:leader="underscore" w:pos="2738"/>
              </w:tabs>
              <w:spacing w:line="400" w:lineRule="exact"/>
              <w:rPr>
                <w:rFonts w:ascii="宋体" w:hAnsi="宋体" w:cs="宋体"/>
                <w:color w:val="auto"/>
                <w:kern w:val="0"/>
                <w:szCs w:val="21"/>
                <w:highlight w:val="none"/>
                <w:u w:val="single"/>
                <w:shd w:val="clear" w:color="auto" w:fill="FFFFFF"/>
              </w:rPr>
            </w:pPr>
            <w:r>
              <w:rPr>
                <w:rFonts w:hint="eastAsia" w:ascii="宋体" w:hAnsi="宋体" w:cs="宋体"/>
                <w:iCs/>
                <w:color w:val="auto"/>
                <w:kern w:val="0"/>
                <w:szCs w:val="21"/>
                <w:highlight w:val="none"/>
                <w:shd w:val="clear" w:color="auto" w:fill="FFFFFF"/>
                <w:lang w:val="zh-CN"/>
              </w:rPr>
              <w:t>发包人：</w:t>
            </w:r>
            <w:r>
              <w:rPr>
                <w:rFonts w:hint="eastAsia" w:ascii="宋体" w:hAnsi="宋体" w:cs="宋体"/>
                <w:color w:val="auto"/>
                <w:kern w:val="0"/>
                <w:szCs w:val="21"/>
                <w:highlight w:val="none"/>
                <w:shd w:val="clear" w:color="auto" w:fill="FFFFFF"/>
                <w:lang w:val="zh-CN"/>
              </w:rPr>
              <w:tab/>
            </w:r>
            <w:r>
              <w:rPr>
                <w:rFonts w:hint="eastAsia" w:ascii="宋体" w:hAnsi="宋体" w:cs="宋体"/>
                <w:color w:val="auto"/>
                <w:kern w:val="0"/>
                <w:szCs w:val="21"/>
                <w:highlight w:val="none"/>
                <w:shd w:val="clear" w:color="auto" w:fill="FFFFFF"/>
                <w:lang w:val="zh-CN"/>
              </w:rPr>
              <w:t xml:space="preserve"> （盖单位章）</w:t>
            </w:r>
          </w:p>
        </w:tc>
        <w:tc>
          <w:tcPr>
            <w:tcW w:w="4530" w:type="dxa"/>
            <w:noWrap/>
            <w:vAlign w:val="center"/>
          </w:tcPr>
          <w:p>
            <w:pPr>
              <w:tabs>
                <w:tab w:val="left" w:leader="underscore" w:pos="2738"/>
              </w:tabs>
              <w:spacing w:line="400" w:lineRule="exact"/>
              <w:rPr>
                <w:rFonts w:ascii="宋体" w:hAnsi="宋体" w:cs="宋体"/>
                <w:color w:val="auto"/>
                <w:kern w:val="0"/>
                <w:szCs w:val="21"/>
                <w:highlight w:val="none"/>
                <w:u w:val="single"/>
                <w:shd w:val="clear" w:color="auto" w:fill="FFFFFF"/>
                <w:lang w:val="zh-CN"/>
              </w:rPr>
            </w:pPr>
            <w:r>
              <w:rPr>
                <w:rFonts w:hint="eastAsia" w:ascii="宋体" w:hAnsi="宋体" w:cs="宋体"/>
                <w:iCs/>
                <w:color w:val="auto"/>
                <w:kern w:val="0"/>
                <w:szCs w:val="21"/>
                <w:highlight w:val="none"/>
                <w:shd w:val="clear" w:color="auto" w:fill="FFFFFF"/>
              </w:rPr>
              <w:t>承包</w:t>
            </w:r>
            <w:r>
              <w:rPr>
                <w:rFonts w:hint="eastAsia" w:ascii="宋体" w:hAnsi="宋体" w:cs="宋体"/>
                <w:iCs/>
                <w:color w:val="auto"/>
                <w:kern w:val="0"/>
                <w:szCs w:val="21"/>
                <w:highlight w:val="none"/>
                <w:shd w:val="clear" w:color="auto" w:fill="FFFFFF"/>
                <w:lang w:val="zh-CN"/>
              </w:rPr>
              <w:t>人：</w:t>
            </w:r>
            <w:r>
              <w:rPr>
                <w:rFonts w:hint="eastAsia" w:ascii="宋体" w:hAnsi="宋体" w:cs="宋体"/>
                <w:color w:val="auto"/>
                <w:kern w:val="0"/>
                <w:szCs w:val="21"/>
                <w:highlight w:val="none"/>
                <w:shd w:val="clear" w:color="auto" w:fill="FFFFFF"/>
                <w:lang w:val="zh-CN"/>
              </w:rPr>
              <w:tab/>
            </w:r>
            <w:r>
              <w:rPr>
                <w:rFonts w:hint="eastAsia" w:ascii="宋体" w:hAnsi="宋体" w:cs="宋体"/>
                <w:color w:val="auto"/>
                <w:kern w:val="0"/>
                <w:szCs w:val="21"/>
                <w:highlight w:val="none"/>
                <w:shd w:val="clear" w:color="auto" w:fill="FFFFFF"/>
                <w:lang w:val="zh-CN"/>
              </w:rPr>
              <w:t xml:space="preserve"> （盖单位章）</w:t>
            </w:r>
          </w:p>
        </w:tc>
      </w:tr>
      <w:tr>
        <w:tblPrEx>
          <w:tblCellMar>
            <w:top w:w="0" w:type="dxa"/>
            <w:left w:w="108" w:type="dxa"/>
            <w:bottom w:w="0" w:type="dxa"/>
            <w:right w:w="108" w:type="dxa"/>
          </w:tblCellMar>
        </w:tblPrEx>
        <w:trPr>
          <w:trHeight w:val="558" w:hRule="atLeast"/>
        </w:trPr>
        <w:tc>
          <w:tcPr>
            <w:tcW w:w="4530" w:type="dxa"/>
            <w:noWrap/>
            <w:vAlign w:val="center"/>
          </w:tcPr>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rPr>
              <w:t>法定代表人或其委托代理人：</w:t>
            </w:r>
            <w:r>
              <w:rPr>
                <w:rFonts w:hint="eastAsia" w:ascii="宋体" w:hAnsi="宋体" w:cs="宋体"/>
                <w:color w:val="auto"/>
                <w:szCs w:val="21"/>
                <w:highlight w:val="none"/>
                <w:u w:val="single"/>
                <w:shd w:val="clear" w:color="auto" w:fill="FFFFFF"/>
                <w:lang w:val="zh-CN"/>
              </w:rPr>
              <w:t xml:space="preserve"> （签字）</w:t>
            </w:r>
          </w:p>
        </w:tc>
        <w:tc>
          <w:tcPr>
            <w:tcW w:w="4530" w:type="dxa"/>
            <w:noWrap/>
            <w:vAlign w:val="center"/>
          </w:tcPr>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rPr>
              <w:t>法定代表人或其委托代理人：</w:t>
            </w:r>
            <w:r>
              <w:rPr>
                <w:rFonts w:hint="eastAsia" w:ascii="宋体" w:hAnsi="宋体" w:cs="宋体"/>
                <w:color w:val="auto"/>
                <w:szCs w:val="21"/>
                <w:highlight w:val="none"/>
                <w:u w:val="single"/>
                <w:shd w:val="clear" w:color="auto" w:fill="FFFFFF"/>
                <w:lang w:val="zh-CN"/>
              </w:rPr>
              <w:t xml:space="preserve"> （签字）</w:t>
            </w:r>
          </w:p>
        </w:tc>
      </w:tr>
      <w:tr>
        <w:tblPrEx>
          <w:tblCellMar>
            <w:top w:w="0" w:type="dxa"/>
            <w:left w:w="108" w:type="dxa"/>
            <w:bottom w:w="0" w:type="dxa"/>
            <w:right w:w="108" w:type="dxa"/>
          </w:tblCellMar>
        </w:tblPrEx>
        <w:trPr>
          <w:trHeight w:val="586" w:hRule="atLeast"/>
        </w:trPr>
        <w:tc>
          <w:tcPr>
            <w:tcW w:w="4530" w:type="dxa"/>
            <w:noWrap/>
            <w:vAlign w:val="center"/>
          </w:tcPr>
          <w:p>
            <w:pPr>
              <w:spacing w:line="400" w:lineRule="exact"/>
              <w:jc w:val="righ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年 月 日</w:t>
            </w:r>
          </w:p>
        </w:tc>
        <w:tc>
          <w:tcPr>
            <w:tcW w:w="4530" w:type="dxa"/>
            <w:noWrap/>
            <w:vAlign w:val="center"/>
          </w:tcPr>
          <w:p>
            <w:pPr>
              <w:spacing w:line="400" w:lineRule="exact"/>
              <w:jc w:val="righ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rPr>
              <w:t>年 月 日</w:t>
            </w:r>
          </w:p>
        </w:tc>
      </w:tr>
    </w:tbl>
    <w:p>
      <w:pPr>
        <w:spacing w:line="400" w:lineRule="exac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br w:type="page"/>
      </w:r>
    </w:p>
    <w:p>
      <w:pPr>
        <w:keepNext/>
        <w:keepLines/>
        <w:widowControl/>
        <w:spacing w:line="400" w:lineRule="exact"/>
        <w:jc w:val="center"/>
        <w:outlineLvl w:val="3"/>
        <w:rPr>
          <w:rFonts w:ascii="宋体" w:hAnsi="宋体" w:cs="宋体"/>
          <w:color w:val="auto"/>
          <w:kern w:val="0"/>
          <w:szCs w:val="21"/>
          <w:highlight w:val="none"/>
        </w:rPr>
      </w:pPr>
      <w:bookmarkStart w:id="132" w:name="_Toc8380"/>
      <w:bookmarkStart w:id="133" w:name="_Toc509826497"/>
      <w:bookmarkStart w:id="134" w:name="_Toc21215"/>
      <w:bookmarkStart w:id="135" w:name="_Toc31856"/>
      <w:r>
        <w:rPr>
          <w:rFonts w:hint="eastAsia" w:ascii="宋体" w:hAnsi="宋体" w:cs="宋体"/>
          <w:color w:val="auto"/>
          <w:kern w:val="0"/>
          <w:szCs w:val="21"/>
          <w:highlight w:val="none"/>
        </w:rPr>
        <w:t>附件三 安全生产合同</w:t>
      </w:r>
      <w:bookmarkEnd w:id="132"/>
      <w:bookmarkEnd w:id="133"/>
      <w:bookmarkEnd w:id="134"/>
      <w:bookmarkEnd w:id="135"/>
    </w:p>
    <w:p>
      <w:pPr>
        <w:tabs>
          <w:tab w:val="left" w:leader="underscore" w:pos="2726"/>
          <w:tab w:val="left" w:leader="underscore" w:pos="4730"/>
        </w:tabs>
        <w:spacing w:line="400" w:lineRule="exact"/>
        <w:ind w:firstLine="420" w:firstLineChars="200"/>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为在</w:t>
      </w:r>
      <w:r>
        <w:rPr>
          <w:rFonts w:hint="eastAsia" w:ascii="宋体" w:hAnsi="宋体" w:cs="宋体"/>
          <w:color w:val="auto"/>
          <w:kern w:val="0"/>
          <w:szCs w:val="21"/>
          <w:highlight w:val="none"/>
          <w:u w:val="single"/>
          <w:shd w:val="clear" w:color="auto" w:fill="FFFFFF"/>
          <w:lang w:val="zh-CN" w:bidi="zh-CN"/>
        </w:rPr>
        <w:t xml:space="preserve">         （项目名称）          </w:t>
      </w:r>
      <w:r>
        <w:rPr>
          <w:rFonts w:hint="eastAsia" w:ascii="宋体" w:hAnsi="宋体" w:cs="宋体"/>
          <w:color w:val="auto"/>
          <w:kern w:val="0"/>
          <w:szCs w:val="21"/>
          <w:highlight w:val="none"/>
          <w:shd w:val="clear" w:color="auto" w:fill="FFFFFF"/>
          <w:lang w:val="zh-CN" w:bidi="zh-CN"/>
        </w:rPr>
        <w:t>施工合同的实施过程中创造安全、高效的施工环境，切实搞好本项目的安全管理工作，本项目发包人</w:t>
      </w:r>
      <w:r>
        <w:rPr>
          <w:rFonts w:hint="eastAsia" w:ascii="宋体" w:hAnsi="宋体" w:cs="宋体"/>
          <w:color w:val="auto"/>
          <w:kern w:val="0"/>
          <w:szCs w:val="21"/>
          <w:highlight w:val="none"/>
          <w:u w:val="single"/>
          <w:shd w:val="clear" w:color="auto" w:fill="FFFFFF"/>
          <w:lang w:val="zh-CN" w:bidi="zh-CN"/>
        </w:rPr>
        <w:tab/>
      </w:r>
      <w:r>
        <w:rPr>
          <w:rFonts w:hint="eastAsia" w:ascii="宋体" w:hAnsi="宋体" w:cs="宋体"/>
          <w:color w:val="auto"/>
          <w:kern w:val="0"/>
          <w:szCs w:val="21"/>
          <w:highlight w:val="none"/>
          <w:u w:val="single"/>
          <w:shd w:val="clear" w:color="auto" w:fill="FFFFFF"/>
          <w:lang w:val="zh-CN" w:bidi="zh-CN"/>
        </w:rPr>
        <w:t>（发包人名称，以下简称“发包人”）</w:t>
      </w:r>
      <w:r>
        <w:rPr>
          <w:rFonts w:hint="eastAsia" w:ascii="宋体" w:hAnsi="宋体" w:cs="宋体"/>
          <w:color w:val="auto"/>
          <w:kern w:val="0"/>
          <w:szCs w:val="21"/>
          <w:highlight w:val="none"/>
          <w:shd w:val="clear" w:color="auto" w:fill="FFFFFF"/>
          <w:lang w:val="zh-CN" w:bidi="zh-CN"/>
        </w:rPr>
        <w:t>与承包人</w:t>
      </w:r>
      <w:r>
        <w:rPr>
          <w:rFonts w:hint="eastAsia" w:ascii="宋体" w:hAnsi="宋体" w:cs="宋体"/>
          <w:color w:val="auto"/>
          <w:kern w:val="0"/>
          <w:szCs w:val="21"/>
          <w:highlight w:val="none"/>
          <w:u w:val="single"/>
          <w:shd w:val="clear" w:color="auto" w:fill="FFFFFF"/>
          <w:lang w:val="zh-CN" w:bidi="zh-CN"/>
        </w:rPr>
        <w:tab/>
      </w:r>
      <w:r>
        <w:rPr>
          <w:rFonts w:hint="eastAsia" w:ascii="宋体" w:hAnsi="宋体" w:cs="宋体"/>
          <w:color w:val="auto"/>
          <w:kern w:val="0"/>
          <w:szCs w:val="21"/>
          <w:highlight w:val="none"/>
          <w:u w:val="single"/>
          <w:shd w:val="clear" w:color="auto" w:fill="FFFFFF"/>
          <w:lang w:val="zh-CN" w:bidi="zh-CN"/>
        </w:rPr>
        <w:t>（承包人名称，以下简称“承包人”）</w:t>
      </w:r>
      <w:r>
        <w:rPr>
          <w:rFonts w:hint="eastAsia" w:ascii="宋体" w:hAnsi="宋体" w:cs="宋体"/>
          <w:color w:val="auto"/>
          <w:kern w:val="0"/>
          <w:szCs w:val="21"/>
          <w:highlight w:val="none"/>
          <w:shd w:val="clear" w:color="auto" w:fill="FFFFFF"/>
          <w:lang w:val="zh-CN" w:bidi="zh-CN"/>
        </w:rPr>
        <w:t>特此签订安全生产合同：</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w:t>
      </w:r>
      <w:r>
        <w:rPr>
          <w:rFonts w:hint="eastAsia" w:hAnsi="宋体"/>
          <w:color w:val="auto"/>
          <w:sz w:val="21"/>
          <w:szCs w:val="21"/>
          <w:highlight w:val="none"/>
          <w:lang w:val="zh-CN" w:bidi="zh-CN"/>
        </w:rPr>
        <w:tab/>
      </w:r>
      <w:r>
        <w:rPr>
          <w:rFonts w:hint="eastAsia" w:hAnsi="宋体"/>
          <w:color w:val="auto"/>
          <w:sz w:val="21"/>
          <w:szCs w:val="21"/>
          <w:highlight w:val="none"/>
          <w:lang w:val="zh-CN" w:bidi="zh-CN"/>
        </w:rPr>
        <w:t>发包人职责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（1）严格遵守国家有关安全生产的法律法规，认真执行工程承包合同中的有关安全要求。</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（2）按照“安全第一、预防为主”和坚持“管生产必须管安全”的原则进行安全生产管理，做到生产与安全工作同时计划、布置、检查、总结和评比。</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（3）重要的安全设施必须坚持与主体工程“三同时”的原则：同时设计、审批，同时施工，同时验收，投入使用。</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（4）定期召开安全生产调度会，及时传达中央及地方有关安全生产的精神。</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（5）组织对承包人施工现场进行安全生产检查，监督承包人及时处理发现的各种安全隐患。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2.承包人职责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（1）严格遵守《中华人民共和国安全生产法》、《建设工程安全生产管理条例》 等国家有关安全生产的法律法规、《公路水运工程安全生产监督管理办法》和《公路 工程施工安全技术规范》等有关安全生产的规定。认真执行工程承包合同中的有关 安全要求。</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 各级领导、工程技术人员、生产管理人员和具体操作人员，必须熟悉和遵守本合同 的各项规定，做到生产与安全工作同时计划、布置、检查、总结和评比。</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 的最低数量和资质条件配备专职安全生产管理人员，专职负责所有员工的安全和治安保卫工作及预防事故的发生。安全机构人员有权按有关规定发布指令，并采取保护性措施防止事故发生。</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（4）承包人在任何时候都应采取各种合理的预防措施，防止其员工发生任何 违法、违禁、暴力或妨碍治安的行为。</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（5）承包人必须具有劳动安全管理部门颁发的安全生产考核合格证书，参加 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（7）操作人员上岗，必须按规定穿戴防护用品。施工负责人和安全检查员应随时检查劳动防护用品的穿戴情况，不按规定穿戴防护用品的人员不得上岗。</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（8）所有施工机具设备和高空作业的设备均应定期检查，并有安全员的签字记录，保证其经常处于完好状态；不合格的机具、设备和劳动保护用品严禁使用。</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（9）施工中采用新技术、新工艺、新设备、新材料时，必须制定相应的安全技术措施，施工现场必须具有相关的安全标志牌。</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（10）承包人必须按照本工程项目特点，组织制定本工程实施中的生产安全事故应急救援预案；如果发生安全事故，应按照《国务院关于特大安全事故行政责任 追究的规定》以及其他有关规定，及时上报有关部门，并坚持“四不放过”的原则， 严肃处理相关责任人。</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（11）安全生产费用按照《公路水运工程安全生产监督管理办法》的相关规定使用和管理。</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3.违约责任</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如因发包人或承包人违约造成安全事故，将依法追究责任。</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4.本合同由双方法定代表人或其授权的代理人签署并加盖单位章后生效，全部工程竣工验收后失效。</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5.本合同正本二份、副本份，合同双方各执正本一份，副本份，当正本与副本的内容不一致时，以正本为准。</w:t>
      </w:r>
    </w:p>
    <w:tbl>
      <w:tblPr>
        <w:tblStyle w:val="21"/>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729" w:hRule="atLeast"/>
        </w:trPr>
        <w:tc>
          <w:tcPr>
            <w:tcW w:w="4530" w:type="dxa"/>
            <w:noWrap/>
            <w:vAlign w:val="center"/>
          </w:tcPr>
          <w:p>
            <w:pPr>
              <w:tabs>
                <w:tab w:val="left" w:leader="underscore" w:pos="2738"/>
              </w:tabs>
              <w:spacing w:line="400" w:lineRule="exact"/>
              <w:rPr>
                <w:rFonts w:ascii="宋体" w:hAnsi="宋体" w:cs="宋体"/>
                <w:color w:val="auto"/>
                <w:kern w:val="0"/>
                <w:szCs w:val="21"/>
                <w:highlight w:val="none"/>
                <w:u w:val="single"/>
                <w:shd w:val="clear" w:color="auto" w:fill="FFFFFF"/>
              </w:rPr>
            </w:pPr>
            <w:r>
              <w:rPr>
                <w:rFonts w:hint="eastAsia" w:ascii="宋体" w:hAnsi="宋体" w:cs="宋体"/>
                <w:iCs/>
                <w:color w:val="auto"/>
                <w:kern w:val="0"/>
                <w:szCs w:val="21"/>
                <w:highlight w:val="none"/>
                <w:shd w:val="clear" w:color="auto" w:fill="FFFFFF"/>
                <w:lang w:val="zh-CN"/>
              </w:rPr>
              <w:t>发包人：</w:t>
            </w:r>
            <w:r>
              <w:rPr>
                <w:rFonts w:hint="eastAsia" w:ascii="宋体" w:hAnsi="宋体" w:cs="宋体"/>
                <w:color w:val="auto"/>
                <w:kern w:val="0"/>
                <w:szCs w:val="21"/>
                <w:highlight w:val="none"/>
                <w:shd w:val="clear" w:color="auto" w:fill="FFFFFF"/>
                <w:lang w:val="zh-CN"/>
              </w:rPr>
              <w:tab/>
            </w:r>
            <w:r>
              <w:rPr>
                <w:rFonts w:hint="eastAsia" w:ascii="宋体" w:hAnsi="宋体" w:cs="宋体"/>
                <w:color w:val="auto"/>
                <w:kern w:val="0"/>
                <w:szCs w:val="21"/>
                <w:highlight w:val="none"/>
                <w:shd w:val="clear" w:color="auto" w:fill="FFFFFF"/>
                <w:lang w:val="zh-CN"/>
              </w:rPr>
              <w:t xml:space="preserve"> （盖单位章）</w:t>
            </w:r>
          </w:p>
        </w:tc>
        <w:tc>
          <w:tcPr>
            <w:tcW w:w="4530" w:type="dxa"/>
            <w:noWrap/>
            <w:vAlign w:val="center"/>
          </w:tcPr>
          <w:p>
            <w:pPr>
              <w:tabs>
                <w:tab w:val="left" w:leader="underscore" w:pos="2738"/>
              </w:tabs>
              <w:spacing w:line="400" w:lineRule="exact"/>
              <w:rPr>
                <w:rFonts w:ascii="宋体" w:hAnsi="宋体" w:cs="宋体"/>
                <w:color w:val="auto"/>
                <w:kern w:val="0"/>
                <w:szCs w:val="21"/>
                <w:highlight w:val="none"/>
                <w:u w:val="single"/>
                <w:shd w:val="clear" w:color="auto" w:fill="FFFFFF"/>
                <w:lang w:val="zh-CN"/>
              </w:rPr>
            </w:pPr>
            <w:r>
              <w:rPr>
                <w:rFonts w:hint="eastAsia" w:ascii="宋体" w:hAnsi="宋体" w:cs="宋体"/>
                <w:iCs/>
                <w:color w:val="auto"/>
                <w:kern w:val="0"/>
                <w:szCs w:val="21"/>
                <w:highlight w:val="none"/>
                <w:shd w:val="clear" w:color="auto" w:fill="FFFFFF"/>
                <w:lang w:val="zh-CN"/>
              </w:rPr>
              <w:t>发包人：</w:t>
            </w:r>
            <w:r>
              <w:rPr>
                <w:rFonts w:hint="eastAsia" w:ascii="宋体" w:hAnsi="宋体" w:cs="宋体"/>
                <w:color w:val="auto"/>
                <w:kern w:val="0"/>
                <w:szCs w:val="21"/>
                <w:highlight w:val="none"/>
                <w:shd w:val="clear" w:color="auto" w:fill="FFFFFF"/>
                <w:lang w:val="zh-CN"/>
              </w:rPr>
              <w:tab/>
            </w:r>
            <w:r>
              <w:rPr>
                <w:rFonts w:hint="eastAsia" w:ascii="宋体" w:hAnsi="宋体" w:cs="宋体"/>
                <w:color w:val="auto"/>
                <w:kern w:val="0"/>
                <w:szCs w:val="21"/>
                <w:highlight w:val="none"/>
                <w:shd w:val="clear" w:color="auto" w:fill="FFFFFF"/>
                <w:lang w:val="zh-CN"/>
              </w:rPr>
              <w:t xml:space="preserve"> （盖单位章）</w:t>
            </w:r>
          </w:p>
        </w:tc>
      </w:tr>
      <w:tr>
        <w:tblPrEx>
          <w:tblCellMar>
            <w:top w:w="0" w:type="dxa"/>
            <w:left w:w="108" w:type="dxa"/>
            <w:bottom w:w="0" w:type="dxa"/>
            <w:right w:w="108" w:type="dxa"/>
          </w:tblCellMar>
        </w:tblPrEx>
        <w:trPr>
          <w:trHeight w:val="558" w:hRule="atLeast"/>
        </w:trPr>
        <w:tc>
          <w:tcPr>
            <w:tcW w:w="4530" w:type="dxa"/>
            <w:noWrap/>
            <w:vAlign w:val="center"/>
          </w:tcPr>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rPr>
              <w:t>法定代表人或其委托代理人：</w:t>
            </w:r>
            <w:r>
              <w:rPr>
                <w:rFonts w:hint="eastAsia" w:ascii="宋体" w:hAnsi="宋体" w:cs="宋体"/>
                <w:color w:val="auto"/>
                <w:szCs w:val="21"/>
                <w:highlight w:val="none"/>
                <w:u w:val="single"/>
                <w:shd w:val="clear" w:color="auto" w:fill="FFFFFF"/>
                <w:lang w:val="zh-CN"/>
              </w:rPr>
              <w:t xml:space="preserve"> （签字）</w:t>
            </w:r>
          </w:p>
        </w:tc>
        <w:tc>
          <w:tcPr>
            <w:tcW w:w="4530" w:type="dxa"/>
            <w:noWrap/>
            <w:vAlign w:val="center"/>
          </w:tcPr>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rPr>
              <w:t>法定代表人或其委托代理人：</w:t>
            </w:r>
            <w:r>
              <w:rPr>
                <w:rFonts w:hint="eastAsia" w:ascii="宋体" w:hAnsi="宋体" w:cs="宋体"/>
                <w:color w:val="auto"/>
                <w:szCs w:val="21"/>
                <w:highlight w:val="none"/>
                <w:u w:val="single"/>
                <w:shd w:val="clear" w:color="auto" w:fill="FFFFFF"/>
                <w:lang w:val="zh-CN"/>
              </w:rPr>
              <w:t xml:space="preserve"> （签字）</w:t>
            </w:r>
          </w:p>
        </w:tc>
      </w:tr>
      <w:tr>
        <w:tblPrEx>
          <w:tblCellMar>
            <w:top w:w="0" w:type="dxa"/>
            <w:left w:w="108" w:type="dxa"/>
            <w:bottom w:w="0" w:type="dxa"/>
            <w:right w:w="108" w:type="dxa"/>
          </w:tblCellMar>
        </w:tblPrEx>
        <w:trPr>
          <w:trHeight w:val="586" w:hRule="atLeast"/>
        </w:trPr>
        <w:tc>
          <w:tcPr>
            <w:tcW w:w="4530" w:type="dxa"/>
            <w:noWrap/>
            <w:vAlign w:val="center"/>
          </w:tcPr>
          <w:p>
            <w:pPr>
              <w:spacing w:line="400" w:lineRule="exact"/>
              <w:jc w:val="righ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年 月 日</w:t>
            </w:r>
          </w:p>
        </w:tc>
        <w:tc>
          <w:tcPr>
            <w:tcW w:w="4530" w:type="dxa"/>
            <w:noWrap/>
            <w:vAlign w:val="center"/>
          </w:tcPr>
          <w:p>
            <w:pPr>
              <w:spacing w:line="400" w:lineRule="exact"/>
              <w:jc w:val="righ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rPr>
              <w:t>年 月 日</w:t>
            </w:r>
          </w:p>
        </w:tc>
      </w:tr>
    </w:tbl>
    <w:p>
      <w:pPr>
        <w:spacing w:line="400" w:lineRule="exact"/>
        <w:ind w:firstLine="482"/>
        <w:rPr>
          <w:rFonts w:ascii="宋体" w:hAnsi="宋体" w:cs="宋体"/>
          <w:b/>
          <w:bCs/>
          <w:color w:val="auto"/>
          <w:szCs w:val="21"/>
          <w:highlight w:val="none"/>
        </w:rPr>
      </w:pPr>
    </w:p>
    <w:p>
      <w:pPr>
        <w:tabs>
          <w:tab w:val="left" w:pos="1080"/>
        </w:tabs>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br w:type="page"/>
      </w:r>
    </w:p>
    <w:p>
      <w:pPr>
        <w:keepNext/>
        <w:keepLines/>
        <w:widowControl/>
        <w:spacing w:line="400" w:lineRule="exact"/>
        <w:jc w:val="center"/>
        <w:outlineLvl w:val="3"/>
        <w:rPr>
          <w:rFonts w:ascii="宋体" w:hAnsi="宋体" w:cs="宋体"/>
          <w:color w:val="auto"/>
          <w:kern w:val="0"/>
          <w:szCs w:val="21"/>
          <w:highlight w:val="none"/>
        </w:rPr>
      </w:pPr>
      <w:bookmarkStart w:id="136" w:name="_Toc509826498"/>
      <w:bookmarkStart w:id="137" w:name="_Toc29694"/>
      <w:bookmarkStart w:id="138" w:name="_Toc13848"/>
      <w:bookmarkStart w:id="139" w:name="_Toc2263"/>
      <w:r>
        <w:rPr>
          <w:rFonts w:hint="eastAsia" w:ascii="宋体" w:hAnsi="宋体" w:cs="宋体"/>
          <w:color w:val="auto"/>
          <w:kern w:val="0"/>
          <w:szCs w:val="21"/>
          <w:highlight w:val="none"/>
        </w:rPr>
        <w:t>附件四 其他主要管理人员和技术人员最低要求</w:t>
      </w:r>
      <w:bookmarkEnd w:id="136"/>
      <w:bookmarkEnd w:id="137"/>
      <w:bookmarkEnd w:id="138"/>
      <w:bookmarkEnd w:id="139"/>
    </w:p>
    <w:tbl>
      <w:tblPr>
        <w:tblStyle w:val="21"/>
        <w:tblW w:w="7914" w:type="dxa"/>
        <w:jc w:val="center"/>
        <w:tblLayout w:type="fixed"/>
        <w:tblCellMar>
          <w:top w:w="0" w:type="dxa"/>
          <w:left w:w="108" w:type="dxa"/>
          <w:bottom w:w="0" w:type="dxa"/>
          <w:right w:w="108" w:type="dxa"/>
        </w:tblCellMar>
      </w:tblPr>
      <w:tblGrid>
        <w:gridCol w:w="2127"/>
        <w:gridCol w:w="851"/>
        <w:gridCol w:w="4936"/>
      </w:tblGrid>
      <w:tr>
        <w:tblPrEx>
          <w:tblCellMar>
            <w:top w:w="0" w:type="dxa"/>
            <w:left w:w="108" w:type="dxa"/>
            <w:bottom w:w="0" w:type="dxa"/>
            <w:right w:w="108" w:type="dxa"/>
          </w:tblCellMar>
        </w:tblPrEx>
        <w:trPr>
          <w:trHeight w:val="567" w:hRule="atLeast"/>
          <w:jc w:val="center"/>
        </w:trPr>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85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493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要求</w:t>
            </w:r>
          </w:p>
        </w:tc>
      </w:tr>
      <w:tr>
        <w:tblPrEx>
          <w:tblCellMar>
            <w:top w:w="0" w:type="dxa"/>
            <w:left w:w="108" w:type="dxa"/>
            <w:bottom w:w="0" w:type="dxa"/>
            <w:right w:w="108" w:type="dxa"/>
          </w:tblCellMar>
        </w:tblPrEx>
        <w:trPr>
          <w:trHeight w:val="567"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49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7"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kern w:val="0"/>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kern w:val="0"/>
                <w:szCs w:val="21"/>
                <w:highlight w:val="none"/>
              </w:rPr>
            </w:pPr>
          </w:p>
        </w:tc>
        <w:tc>
          <w:tcPr>
            <w:tcW w:w="49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7"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49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7"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49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7"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kern w:val="0"/>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kern w:val="0"/>
                <w:szCs w:val="21"/>
                <w:highlight w:val="none"/>
              </w:rPr>
            </w:pPr>
          </w:p>
        </w:tc>
        <w:tc>
          <w:tcPr>
            <w:tcW w:w="49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7"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kern w:val="0"/>
                <w:szCs w:val="21"/>
                <w:highlight w:val="none"/>
              </w:rPr>
            </w:pPr>
          </w:p>
        </w:tc>
        <w:tc>
          <w:tcPr>
            <w:tcW w:w="85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kern w:val="0"/>
                <w:szCs w:val="21"/>
                <w:highlight w:val="none"/>
              </w:rPr>
            </w:pPr>
          </w:p>
        </w:tc>
        <w:tc>
          <w:tcPr>
            <w:tcW w:w="4936" w:type="dxa"/>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宋体" w:hAnsi="宋体" w:cs="宋体"/>
                <w:color w:val="auto"/>
                <w:kern w:val="0"/>
                <w:szCs w:val="21"/>
                <w:highlight w:val="none"/>
              </w:rPr>
            </w:pPr>
          </w:p>
        </w:tc>
      </w:tr>
    </w:tbl>
    <w:p>
      <w:pPr>
        <w:spacing w:line="400" w:lineRule="exact"/>
        <w:ind w:firstLine="420"/>
        <w:rPr>
          <w:rFonts w:ascii="宋体" w:hAnsi="宋体" w:cs="宋体"/>
          <w:color w:val="auto"/>
          <w:szCs w:val="21"/>
          <w:highlight w:val="none"/>
        </w:rPr>
      </w:pP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注：采购人将在发出成交通知书之前要求成交供应商按照本表的最低要求填报派驻的其他主要管理人员和技术人员，在经采购人审批后，除特殊情况且经采购人批准外，作为派驻本项目管理机构主要人员且不允许更换。</w:t>
      </w:r>
    </w:p>
    <w:p>
      <w:pPr>
        <w:keepNext/>
        <w:keepLines/>
        <w:widowControl/>
        <w:spacing w:line="400" w:lineRule="exact"/>
        <w:jc w:val="center"/>
        <w:rPr>
          <w:rFonts w:ascii="宋体" w:hAnsi="宋体" w:cs="宋体"/>
          <w:color w:val="auto"/>
          <w:kern w:val="0"/>
          <w:szCs w:val="21"/>
          <w:highlight w:val="none"/>
        </w:rPr>
      </w:pPr>
      <w:bookmarkStart w:id="140" w:name="_Toc19751"/>
      <w:bookmarkStart w:id="141" w:name="_Toc4037"/>
      <w:bookmarkStart w:id="142" w:name="_Toc21476"/>
      <w:bookmarkStart w:id="143" w:name="_Toc509826499"/>
    </w:p>
    <w:p>
      <w:pPr>
        <w:keepNext/>
        <w:keepLines/>
        <w:widowControl/>
        <w:spacing w:line="400" w:lineRule="exact"/>
        <w:jc w:val="center"/>
        <w:rPr>
          <w:rFonts w:ascii="宋体" w:hAnsi="宋体" w:cs="宋体"/>
          <w:color w:val="auto"/>
          <w:kern w:val="0"/>
          <w:szCs w:val="21"/>
          <w:highlight w:val="none"/>
        </w:rPr>
      </w:pPr>
    </w:p>
    <w:p>
      <w:pPr>
        <w:keepNext/>
        <w:keepLines/>
        <w:widowControl/>
        <w:spacing w:line="400" w:lineRule="exact"/>
        <w:jc w:val="center"/>
        <w:rPr>
          <w:rFonts w:ascii="宋体" w:hAnsi="宋体" w:cs="宋体"/>
          <w:color w:val="auto"/>
          <w:kern w:val="0"/>
          <w:szCs w:val="21"/>
          <w:highlight w:val="none"/>
        </w:rPr>
      </w:pPr>
    </w:p>
    <w:p>
      <w:pPr>
        <w:keepNext/>
        <w:keepLines/>
        <w:widowControl/>
        <w:spacing w:line="400" w:lineRule="exact"/>
        <w:jc w:val="center"/>
        <w:rPr>
          <w:rFonts w:ascii="宋体" w:hAnsi="宋体" w:cs="宋体"/>
          <w:color w:val="auto"/>
          <w:kern w:val="0"/>
          <w:szCs w:val="21"/>
          <w:highlight w:val="none"/>
        </w:rPr>
      </w:pPr>
    </w:p>
    <w:p>
      <w:pPr>
        <w:keepNext/>
        <w:keepLines/>
        <w:widowControl/>
        <w:spacing w:line="400" w:lineRule="exact"/>
        <w:jc w:val="center"/>
        <w:rPr>
          <w:rFonts w:ascii="宋体" w:hAnsi="宋体" w:cs="宋体"/>
          <w:color w:val="auto"/>
          <w:kern w:val="0"/>
          <w:szCs w:val="21"/>
          <w:highlight w:val="none"/>
        </w:rPr>
      </w:pPr>
    </w:p>
    <w:p>
      <w:pPr>
        <w:keepNext/>
        <w:keepLines/>
        <w:widowControl/>
        <w:spacing w:line="400" w:lineRule="exact"/>
        <w:jc w:val="center"/>
        <w:rPr>
          <w:rFonts w:ascii="宋体" w:hAnsi="宋体" w:cs="宋体"/>
          <w:color w:val="auto"/>
          <w:kern w:val="0"/>
          <w:szCs w:val="21"/>
          <w:highlight w:val="none"/>
        </w:rPr>
      </w:pPr>
    </w:p>
    <w:p>
      <w:pPr>
        <w:keepNext/>
        <w:keepLines/>
        <w:widowControl/>
        <w:spacing w:line="400" w:lineRule="exact"/>
        <w:jc w:val="center"/>
        <w:rPr>
          <w:rFonts w:ascii="宋体" w:hAnsi="宋体" w:cs="宋体"/>
          <w:color w:val="auto"/>
          <w:kern w:val="0"/>
          <w:szCs w:val="21"/>
          <w:highlight w:val="none"/>
        </w:rPr>
      </w:pPr>
    </w:p>
    <w:p>
      <w:pPr>
        <w:keepNext/>
        <w:keepLines/>
        <w:widowControl/>
        <w:spacing w:line="400" w:lineRule="exact"/>
        <w:jc w:val="cente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color w:val="auto"/>
          <w:highlight w:val="none"/>
        </w:rPr>
      </w:pPr>
    </w:p>
    <w:p>
      <w:pPr>
        <w:rPr>
          <w:rFonts w:ascii="宋体" w:hAnsi="宋体" w:cs="宋体"/>
          <w:color w:val="auto"/>
          <w:kern w:val="0"/>
          <w:szCs w:val="21"/>
          <w:highlight w:val="none"/>
        </w:rPr>
      </w:pPr>
    </w:p>
    <w:p>
      <w:pPr>
        <w:keepNext/>
        <w:keepLines/>
        <w:widowControl/>
        <w:spacing w:line="400" w:lineRule="exact"/>
        <w:rPr>
          <w:rFonts w:ascii="宋体" w:hAnsi="宋体" w:cs="宋体"/>
          <w:color w:val="auto"/>
          <w:kern w:val="0"/>
          <w:szCs w:val="21"/>
          <w:highlight w:val="none"/>
        </w:rPr>
      </w:pPr>
    </w:p>
    <w:p>
      <w:pPr>
        <w:pStyle w:val="20"/>
        <w:ind w:firstLine="488"/>
        <w:rPr>
          <w:color w:val="auto"/>
          <w:highlight w:val="none"/>
        </w:rPr>
      </w:pPr>
    </w:p>
    <w:p>
      <w:pPr>
        <w:keepNext/>
        <w:keepLines/>
        <w:widowControl/>
        <w:spacing w:line="400" w:lineRule="exact"/>
        <w:rPr>
          <w:rFonts w:ascii="宋体" w:hAnsi="宋体" w:cs="宋体"/>
          <w:color w:val="auto"/>
          <w:kern w:val="0"/>
          <w:szCs w:val="21"/>
          <w:highlight w:val="none"/>
        </w:rPr>
      </w:pPr>
    </w:p>
    <w:p>
      <w:pPr>
        <w:keepNext/>
        <w:keepLines/>
        <w:widowControl/>
        <w:spacing w:line="400" w:lineRule="exact"/>
        <w:jc w:val="center"/>
        <w:outlineLvl w:val="3"/>
        <w:rPr>
          <w:rFonts w:ascii="宋体" w:hAnsi="宋体" w:cs="宋体"/>
          <w:color w:val="auto"/>
          <w:kern w:val="0"/>
          <w:szCs w:val="21"/>
          <w:highlight w:val="none"/>
        </w:rPr>
      </w:pPr>
      <w:r>
        <w:rPr>
          <w:rFonts w:hint="eastAsia" w:ascii="宋体" w:hAnsi="宋体" w:cs="宋体"/>
          <w:color w:val="auto"/>
          <w:kern w:val="0"/>
          <w:szCs w:val="21"/>
          <w:highlight w:val="none"/>
        </w:rPr>
        <w:t>附件五 主要机械设备和试验检测设备最低要求</w:t>
      </w:r>
      <w:bookmarkEnd w:id="140"/>
      <w:bookmarkEnd w:id="141"/>
      <w:bookmarkEnd w:id="142"/>
      <w:bookmarkEnd w:id="143"/>
    </w:p>
    <w:tbl>
      <w:tblPr>
        <w:tblStyle w:val="21"/>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076"/>
        <w:gridCol w:w="2375"/>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96" w:type="dxa"/>
            <w:noWrap/>
            <w:vAlign w:val="center"/>
          </w:tcPr>
          <w:p>
            <w:pPr>
              <w:tabs>
                <w:tab w:val="left" w:pos="1080"/>
              </w:tabs>
              <w:spacing w:line="280" w:lineRule="exact"/>
              <w:ind w:firstLine="480"/>
              <w:jc w:val="center"/>
              <w:rPr>
                <w:rFonts w:ascii="宋体" w:hAnsi="宋体"/>
                <w:color w:val="auto"/>
                <w:sz w:val="24"/>
                <w:highlight w:val="none"/>
              </w:rPr>
            </w:pPr>
            <w:r>
              <w:rPr>
                <w:rFonts w:hint="eastAsia" w:ascii="宋体" w:hAnsi="宋体"/>
                <w:color w:val="auto"/>
                <w:sz w:val="24"/>
                <w:highlight w:val="none"/>
              </w:rPr>
              <w:t>设备名称</w:t>
            </w:r>
          </w:p>
        </w:tc>
        <w:tc>
          <w:tcPr>
            <w:tcW w:w="2076" w:type="dxa"/>
            <w:noWrap/>
            <w:vAlign w:val="center"/>
          </w:tcPr>
          <w:p>
            <w:pPr>
              <w:tabs>
                <w:tab w:val="left" w:pos="1080"/>
              </w:tabs>
              <w:spacing w:line="280" w:lineRule="exact"/>
              <w:ind w:firstLine="480"/>
              <w:jc w:val="center"/>
              <w:rPr>
                <w:rFonts w:ascii="宋体" w:hAnsi="宋体"/>
                <w:color w:val="auto"/>
                <w:sz w:val="24"/>
                <w:highlight w:val="none"/>
              </w:rPr>
            </w:pPr>
            <w:r>
              <w:rPr>
                <w:rFonts w:hint="eastAsia" w:ascii="宋体" w:hAnsi="宋体"/>
                <w:color w:val="auto"/>
                <w:sz w:val="24"/>
                <w:highlight w:val="none"/>
              </w:rPr>
              <w:t>规格、功率及容量</w:t>
            </w:r>
          </w:p>
        </w:tc>
        <w:tc>
          <w:tcPr>
            <w:tcW w:w="2375" w:type="dxa"/>
            <w:noWrap/>
            <w:vAlign w:val="center"/>
          </w:tcPr>
          <w:p>
            <w:pPr>
              <w:tabs>
                <w:tab w:val="left" w:pos="1080"/>
              </w:tabs>
              <w:spacing w:line="280" w:lineRule="exact"/>
              <w:ind w:firstLine="480"/>
              <w:jc w:val="center"/>
              <w:rPr>
                <w:rFonts w:ascii="宋体" w:hAnsi="宋体"/>
                <w:color w:val="auto"/>
                <w:sz w:val="24"/>
                <w:highlight w:val="none"/>
              </w:rPr>
            </w:pPr>
            <w:r>
              <w:rPr>
                <w:rFonts w:hint="eastAsia" w:ascii="宋体" w:hAnsi="宋体"/>
                <w:color w:val="auto"/>
                <w:sz w:val="24"/>
                <w:highlight w:val="none"/>
              </w:rPr>
              <w:t>单  位</w:t>
            </w:r>
          </w:p>
        </w:tc>
        <w:tc>
          <w:tcPr>
            <w:tcW w:w="2181" w:type="dxa"/>
            <w:noWrap/>
            <w:vAlign w:val="center"/>
          </w:tcPr>
          <w:p>
            <w:pPr>
              <w:tabs>
                <w:tab w:val="left" w:pos="1080"/>
              </w:tabs>
              <w:spacing w:line="280" w:lineRule="exact"/>
              <w:ind w:firstLine="480"/>
              <w:jc w:val="center"/>
              <w:rPr>
                <w:rFonts w:ascii="宋体" w:hAnsi="宋体"/>
                <w:color w:val="auto"/>
                <w:sz w:val="24"/>
                <w:highlight w:val="none"/>
              </w:rPr>
            </w:pPr>
            <w:r>
              <w:rPr>
                <w:rFonts w:hint="eastAsia" w:ascii="宋体" w:hAnsi="宋体"/>
                <w:color w:val="auto"/>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0"/>
              <w:jc w:val="center"/>
              <w:rPr>
                <w:rFonts w:ascii="宋体" w:hAnsi="宋体"/>
                <w:color w:val="auto"/>
                <w:sz w:val="24"/>
                <w:highlight w:val="none"/>
              </w:rPr>
            </w:pPr>
            <w:r>
              <w:rPr>
                <w:rFonts w:hint="eastAsia" w:ascii="楷体_GB2312" w:hAnsi="宋体" w:eastAsia="楷体_GB2312"/>
                <w:color w:val="auto"/>
                <w:sz w:val="24"/>
                <w:highlight w:val="none"/>
              </w:rPr>
              <w:t>发电机</w:t>
            </w:r>
          </w:p>
        </w:tc>
        <w:tc>
          <w:tcPr>
            <w:tcW w:w="2076" w:type="dxa"/>
            <w:noWrap/>
            <w:vAlign w:val="center"/>
          </w:tcPr>
          <w:p>
            <w:pPr>
              <w:tabs>
                <w:tab w:val="left" w:pos="1080"/>
              </w:tabs>
              <w:spacing w:line="280" w:lineRule="exact"/>
              <w:ind w:firstLine="480"/>
              <w:jc w:val="center"/>
              <w:rPr>
                <w:rFonts w:ascii="宋体" w:hAnsi="宋体"/>
                <w:b/>
                <w:color w:val="auto"/>
                <w:sz w:val="24"/>
                <w:highlight w:val="none"/>
              </w:rPr>
            </w:pPr>
            <w:r>
              <w:rPr>
                <w:rFonts w:hint="eastAsia" w:ascii="楷体_GB2312" w:hAnsi="宋体" w:eastAsia="楷体_GB2312"/>
                <w:color w:val="auto"/>
                <w:sz w:val="24"/>
                <w:highlight w:val="none"/>
              </w:rPr>
              <w:t>90KW</w:t>
            </w:r>
          </w:p>
        </w:tc>
        <w:tc>
          <w:tcPr>
            <w:tcW w:w="2375" w:type="dxa"/>
            <w:noWrap/>
            <w:vAlign w:val="center"/>
          </w:tcPr>
          <w:p>
            <w:pPr>
              <w:ind w:firstLine="480"/>
              <w:jc w:val="center"/>
              <w:rPr>
                <w:rFonts w:ascii="宋体" w:hAnsi="宋体"/>
                <w:color w:val="auto"/>
                <w:sz w:val="24"/>
                <w:highlight w:val="none"/>
              </w:rPr>
            </w:pPr>
            <w:r>
              <w:rPr>
                <w:rFonts w:hint="eastAsia"/>
                <w:color w:val="auto"/>
                <w:sz w:val="24"/>
                <w:highlight w:val="none"/>
              </w:rPr>
              <w:t>台</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snapToGrid w:val="0"/>
              <w:ind w:firstLine="480"/>
              <w:jc w:val="center"/>
              <w:rPr>
                <w:rFonts w:ascii="楷体_GB2312" w:hAnsi="宋体" w:eastAsia="楷体_GB2312"/>
                <w:color w:val="auto"/>
                <w:sz w:val="24"/>
                <w:highlight w:val="none"/>
              </w:rPr>
            </w:pPr>
            <w:r>
              <w:rPr>
                <w:rFonts w:hint="eastAsia" w:ascii="楷体_GB2312" w:hAnsi="宋体" w:eastAsia="楷体_GB2312"/>
                <w:color w:val="auto"/>
                <w:sz w:val="24"/>
                <w:highlight w:val="none"/>
              </w:rPr>
              <w:t>电焊机</w:t>
            </w:r>
          </w:p>
        </w:tc>
        <w:tc>
          <w:tcPr>
            <w:tcW w:w="2076" w:type="dxa"/>
            <w:noWrap/>
            <w:vAlign w:val="center"/>
          </w:tcPr>
          <w:p>
            <w:pPr>
              <w:tabs>
                <w:tab w:val="left" w:pos="1080"/>
              </w:tabs>
              <w:spacing w:line="280" w:lineRule="exact"/>
              <w:ind w:firstLine="496"/>
              <w:jc w:val="center"/>
              <w:rPr>
                <w:rFonts w:ascii="宋体" w:hAnsi="宋体"/>
                <w:b/>
                <w:color w:val="auto"/>
                <w:sz w:val="24"/>
                <w:highlight w:val="none"/>
              </w:rPr>
            </w:pPr>
            <w:r>
              <w:rPr>
                <w:rFonts w:hint="eastAsia" w:ascii="楷体_GB2312" w:hAnsi="宋体" w:eastAsia="楷体_GB2312"/>
                <w:color w:val="auto"/>
                <w:spacing w:val="4"/>
                <w:sz w:val="24"/>
                <w:highlight w:val="none"/>
              </w:rPr>
              <w:t>350A</w:t>
            </w:r>
          </w:p>
        </w:tc>
        <w:tc>
          <w:tcPr>
            <w:tcW w:w="2375" w:type="dxa"/>
            <w:noWrap/>
            <w:vAlign w:val="center"/>
          </w:tcPr>
          <w:p>
            <w:pPr>
              <w:ind w:firstLine="480"/>
              <w:jc w:val="center"/>
              <w:rPr>
                <w:rFonts w:ascii="宋体" w:hAnsi="宋体"/>
                <w:color w:val="auto"/>
                <w:sz w:val="24"/>
                <w:highlight w:val="none"/>
              </w:rPr>
            </w:pPr>
            <w:r>
              <w:rPr>
                <w:rFonts w:hint="eastAsia"/>
                <w:color w:val="auto"/>
                <w:sz w:val="24"/>
                <w:highlight w:val="none"/>
              </w:rPr>
              <w:t>台</w:t>
            </w:r>
          </w:p>
        </w:tc>
        <w:tc>
          <w:tcPr>
            <w:tcW w:w="2181" w:type="dxa"/>
            <w:noWrap/>
            <w:vAlign w:val="center"/>
          </w:tcPr>
          <w:p>
            <w:pPr>
              <w:ind w:firstLine="480"/>
              <w:jc w:val="center"/>
              <w:rPr>
                <w:color w:val="auto"/>
                <w:sz w:val="24"/>
                <w:highlight w:val="none"/>
              </w:rPr>
            </w:pPr>
            <w:r>
              <w:rPr>
                <w:rFonts w:hint="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snapToGrid w:val="0"/>
              <w:ind w:firstLine="480"/>
              <w:jc w:val="center"/>
              <w:rPr>
                <w:rFonts w:ascii="楷体_GB2312" w:hAnsi="宋体" w:eastAsia="楷体_GB2312"/>
                <w:color w:val="auto"/>
                <w:sz w:val="24"/>
                <w:highlight w:val="none"/>
              </w:rPr>
            </w:pPr>
            <w:r>
              <w:rPr>
                <w:rFonts w:hint="eastAsia" w:ascii="楷体_GB2312" w:hAnsi="宋体" w:eastAsia="楷体_GB2312"/>
                <w:color w:val="auto"/>
                <w:sz w:val="24"/>
                <w:highlight w:val="none"/>
              </w:rPr>
              <w:t>强制式混凝土拌和机</w:t>
            </w:r>
          </w:p>
        </w:tc>
        <w:tc>
          <w:tcPr>
            <w:tcW w:w="2076" w:type="dxa"/>
            <w:noWrap/>
            <w:vAlign w:val="center"/>
          </w:tcPr>
          <w:p>
            <w:pPr>
              <w:tabs>
                <w:tab w:val="left" w:pos="1080"/>
              </w:tabs>
              <w:spacing w:line="280" w:lineRule="exact"/>
              <w:ind w:firstLine="480"/>
              <w:jc w:val="center"/>
              <w:rPr>
                <w:rFonts w:ascii="宋体" w:hAnsi="宋体"/>
                <w:b/>
                <w:color w:val="auto"/>
                <w:sz w:val="24"/>
                <w:highlight w:val="none"/>
              </w:rPr>
            </w:pPr>
            <w:r>
              <w:rPr>
                <w:rFonts w:hint="eastAsia" w:ascii="楷体_GB2312" w:hAnsi="宋体" w:eastAsia="楷体_GB2312"/>
                <w:color w:val="auto"/>
                <w:sz w:val="24"/>
                <w:highlight w:val="none"/>
              </w:rPr>
              <w:t>1000型50m</w:t>
            </w:r>
            <w:r>
              <w:rPr>
                <w:rFonts w:hint="eastAsia" w:ascii="楷体_GB2312" w:hAnsi="宋体" w:eastAsia="楷体_GB2312"/>
                <w:color w:val="auto"/>
                <w:sz w:val="24"/>
                <w:highlight w:val="none"/>
                <w:vertAlign w:val="superscript"/>
              </w:rPr>
              <w:t>3</w:t>
            </w:r>
            <w:r>
              <w:rPr>
                <w:rFonts w:hint="eastAsia" w:ascii="楷体_GB2312" w:hAnsi="宋体" w:eastAsia="楷体_GB2312"/>
                <w:color w:val="auto"/>
                <w:sz w:val="24"/>
                <w:highlight w:val="none"/>
              </w:rPr>
              <w:t>/h</w:t>
            </w:r>
          </w:p>
        </w:tc>
        <w:tc>
          <w:tcPr>
            <w:tcW w:w="2375" w:type="dxa"/>
            <w:noWrap/>
            <w:vAlign w:val="center"/>
          </w:tcPr>
          <w:p>
            <w:pPr>
              <w:ind w:firstLine="480"/>
              <w:jc w:val="center"/>
              <w:rPr>
                <w:rFonts w:ascii="宋体" w:hAnsi="宋体"/>
                <w:color w:val="auto"/>
                <w:sz w:val="24"/>
                <w:highlight w:val="none"/>
              </w:rPr>
            </w:pPr>
            <w:r>
              <w:rPr>
                <w:rFonts w:hint="eastAsia"/>
                <w:color w:val="auto"/>
                <w:sz w:val="24"/>
                <w:highlight w:val="none"/>
              </w:rPr>
              <w:t>台</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snapToGrid w:val="0"/>
              <w:ind w:firstLine="480"/>
              <w:jc w:val="center"/>
              <w:rPr>
                <w:rFonts w:ascii="楷体_GB2312" w:hAnsi="宋体" w:eastAsia="楷体_GB2312"/>
                <w:color w:val="auto"/>
                <w:sz w:val="24"/>
                <w:highlight w:val="none"/>
              </w:rPr>
            </w:pPr>
            <w:r>
              <w:rPr>
                <w:rFonts w:hint="eastAsia" w:ascii="楷体_GB2312" w:hAnsi="宋体" w:eastAsia="楷体_GB2312"/>
                <w:color w:val="auto"/>
                <w:sz w:val="24"/>
                <w:highlight w:val="none"/>
              </w:rPr>
              <w:t>挖掘机</w:t>
            </w:r>
          </w:p>
        </w:tc>
        <w:tc>
          <w:tcPr>
            <w:tcW w:w="2076" w:type="dxa"/>
            <w:noWrap/>
            <w:vAlign w:val="center"/>
          </w:tcPr>
          <w:p>
            <w:pPr>
              <w:tabs>
                <w:tab w:val="left" w:pos="1080"/>
              </w:tabs>
              <w:spacing w:line="280" w:lineRule="exact"/>
              <w:ind w:firstLine="480"/>
              <w:jc w:val="center"/>
              <w:rPr>
                <w:rFonts w:ascii="宋体" w:hAnsi="宋体"/>
                <w:b/>
                <w:color w:val="auto"/>
                <w:sz w:val="24"/>
                <w:highlight w:val="none"/>
              </w:rPr>
            </w:pPr>
            <w:r>
              <w:rPr>
                <w:rFonts w:hint="eastAsia" w:ascii="楷体_GB2312" w:hAnsi="宋体" w:eastAsia="楷体_GB2312"/>
                <w:color w:val="auto"/>
                <w:sz w:val="24"/>
                <w:highlight w:val="none"/>
              </w:rPr>
              <w:t>1m</w:t>
            </w:r>
            <w:r>
              <w:rPr>
                <w:rFonts w:hint="eastAsia" w:ascii="楷体_GB2312" w:hAnsi="宋体" w:eastAsia="楷体_GB2312"/>
                <w:color w:val="auto"/>
                <w:sz w:val="24"/>
                <w:highlight w:val="none"/>
                <w:vertAlign w:val="superscript"/>
              </w:rPr>
              <w:t>3</w:t>
            </w:r>
          </w:p>
        </w:tc>
        <w:tc>
          <w:tcPr>
            <w:tcW w:w="2375" w:type="dxa"/>
            <w:noWrap/>
            <w:vAlign w:val="center"/>
          </w:tcPr>
          <w:p>
            <w:pPr>
              <w:ind w:firstLine="480"/>
              <w:jc w:val="center"/>
              <w:rPr>
                <w:color w:val="auto"/>
                <w:sz w:val="24"/>
                <w:highlight w:val="none"/>
              </w:rPr>
            </w:pPr>
            <w:r>
              <w:rPr>
                <w:rFonts w:hint="eastAsia"/>
                <w:color w:val="auto"/>
                <w:sz w:val="24"/>
                <w:highlight w:val="none"/>
              </w:rPr>
              <w:t>台</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0"/>
              <w:jc w:val="center"/>
              <w:rPr>
                <w:color w:val="auto"/>
                <w:sz w:val="24"/>
                <w:highlight w:val="none"/>
              </w:rPr>
            </w:pPr>
            <w:r>
              <w:rPr>
                <w:rFonts w:hint="eastAsia"/>
                <w:color w:val="auto"/>
                <w:sz w:val="24"/>
                <w:highlight w:val="none"/>
              </w:rPr>
              <w:t>装载机</w:t>
            </w:r>
          </w:p>
        </w:tc>
        <w:tc>
          <w:tcPr>
            <w:tcW w:w="2076" w:type="dxa"/>
            <w:noWrap/>
            <w:vAlign w:val="center"/>
          </w:tcPr>
          <w:p>
            <w:pPr>
              <w:tabs>
                <w:tab w:val="left" w:pos="1080"/>
              </w:tabs>
              <w:spacing w:line="280" w:lineRule="exact"/>
              <w:ind w:firstLine="480"/>
              <w:jc w:val="center"/>
              <w:rPr>
                <w:rFonts w:ascii="宋体" w:hAnsi="宋体"/>
                <w:color w:val="auto"/>
                <w:sz w:val="24"/>
                <w:highlight w:val="none"/>
              </w:rPr>
            </w:pPr>
            <w:r>
              <w:rPr>
                <w:rFonts w:hint="eastAsia" w:ascii="宋体" w:hAnsi="宋体"/>
                <w:color w:val="auto"/>
                <w:sz w:val="24"/>
                <w:highlight w:val="none"/>
              </w:rPr>
              <w:t>50L</w:t>
            </w:r>
          </w:p>
        </w:tc>
        <w:tc>
          <w:tcPr>
            <w:tcW w:w="2375" w:type="dxa"/>
            <w:noWrap/>
            <w:vAlign w:val="center"/>
          </w:tcPr>
          <w:p>
            <w:pPr>
              <w:ind w:firstLine="480"/>
              <w:jc w:val="center"/>
              <w:rPr>
                <w:color w:val="auto"/>
                <w:sz w:val="24"/>
                <w:highlight w:val="none"/>
              </w:rPr>
            </w:pPr>
            <w:r>
              <w:rPr>
                <w:rFonts w:hint="eastAsia"/>
                <w:color w:val="auto"/>
                <w:sz w:val="24"/>
                <w:highlight w:val="none"/>
              </w:rPr>
              <w:t>台</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snapToGrid w:val="0"/>
              <w:ind w:firstLine="480"/>
              <w:jc w:val="center"/>
              <w:rPr>
                <w:rFonts w:ascii="楷体_GB2312" w:hAnsi="宋体" w:eastAsia="楷体_GB2312"/>
                <w:color w:val="auto"/>
                <w:sz w:val="24"/>
                <w:highlight w:val="none"/>
              </w:rPr>
            </w:pPr>
            <w:r>
              <w:rPr>
                <w:rFonts w:hint="eastAsia" w:ascii="楷体_GB2312" w:hAnsi="宋体" w:eastAsia="楷体_GB2312"/>
                <w:color w:val="auto"/>
                <w:sz w:val="24"/>
                <w:highlight w:val="none"/>
              </w:rPr>
              <w:t>架桥机</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snapToGrid w:val="0"/>
              <w:ind w:firstLine="480"/>
              <w:jc w:val="center"/>
              <w:rPr>
                <w:rFonts w:ascii="楷体_GB2312" w:hAnsi="宋体" w:eastAsia="楷体_GB2312"/>
                <w:color w:val="auto"/>
                <w:sz w:val="24"/>
                <w:highlight w:val="none"/>
              </w:rPr>
            </w:pPr>
            <w:r>
              <w:rPr>
                <w:rFonts w:hint="eastAsia" w:ascii="楷体_GB2312" w:hAnsi="宋体" w:eastAsia="楷体_GB2312"/>
                <w:color w:val="auto"/>
                <w:sz w:val="24"/>
                <w:highlight w:val="none"/>
              </w:rPr>
              <w:t>箱梁预制组合钢模板</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ascii="楷体_GB2312" w:hAnsi="宋体" w:eastAsia="楷体_GB2312"/>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中梁2、边梁1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snapToGrid w:val="0"/>
              <w:ind w:firstLine="480"/>
              <w:jc w:val="center"/>
              <w:rPr>
                <w:rFonts w:ascii="楷体_GB2312" w:hAnsi="宋体" w:eastAsia="楷体_GB2312"/>
                <w:color w:val="auto"/>
                <w:sz w:val="24"/>
                <w:highlight w:val="none"/>
              </w:rPr>
            </w:pPr>
            <w:r>
              <w:rPr>
                <w:rFonts w:hint="eastAsia" w:ascii="楷体_GB2312" w:hAnsi="宋体" w:eastAsia="楷体_GB2312"/>
                <w:color w:val="auto"/>
                <w:sz w:val="24"/>
                <w:highlight w:val="none"/>
              </w:rPr>
              <w:t>真空灌浆设备</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rFonts w:ascii="宋体" w:hAnsi="宋体"/>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0"/>
              <w:jc w:val="center"/>
              <w:rPr>
                <w:rFonts w:ascii="楷体_GB2312" w:eastAsia="楷体_GB2312"/>
                <w:color w:val="auto"/>
                <w:sz w:val="24"/>
                <w:highlight w:val="none"/>
              </w:rPr>
            </w:pPr>
            <w:r>
              <w:rPr>
                <w:rFonts w:hint="eastAsia" w:ascii="楷体_GB2312" w:eastAsia="楷体_GB2312"/>
                <w:color w:val="auto"/>
                <w:sz w:val="24"/>
                <w:highlight w:val="none"/>
              </w:rPr>
              <w:t>预应力张拉设备</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rFonts w:ascii="宋体" w:hAnsi="宋体"/>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rFonts w:ascii="楷体_GB2312" w:eastAsia="楷体_GB2312"/>
                <w:color w:val="auto"/>
                <w:sz w:val="24"/>
                <w:highlight w:val="none"/>
              </w:rPr>
            </w:pPr>
            <w:r>
              <w:rPr>
                <w:rFonts w:hint="eastAsia"/>
                <w:b/>
                <w:color w:val="auto"/>
                <w:sz w:val="24"/>
                <w:highlight w:val="none"/>
              </w:rPr>
              <w:t>数控钢筋加工设备</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rFonts w:ascii="宋体" w:hAnsi="宋体"/>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b/>
                <w:color w:val="auto"/>
                <w:sz w:val="24"/>
                <w:highlight w:val="none"/>
              </w:rPr>
            </w:pPr>
            <w:r>
              <w:rPr>
                <w:rFonts w:hint="eastAsia"/>
                <w:b/>
                <w:color w:val="auto"/>
                <w:sz w:val="24"/>
                <w:highlight w:val="none"/>
              </w:rPr>
              <w:t>吊车</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color w:val="auto"/>
                <w:sz w:val="24"/>
                <w:highlight w:val="none"/>
              </w:rPr>
              <w:t>台</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b/>
                <w:color w:val="auto"/>
                <w:sz w:val="24"/>
                <w:highlight w:val="none"/>
              </w:rPr>
            </w:pPr>
            <w:r>
              <w:rPr>
                <w:rFonts w:hint="eastAsia"/>
                <w:b/>
                <w:color w:val="auto"/>
                <w:sz w:val="24"/>
                <w:highlight w:val="none"/>
              </w:rPr>
              <w:t>龙门吊</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b/>
                <w:color w:val="auto"/>
                <w:sz w:val="24"/>
                <w:highlight w:val="none"/>
              </w:rPr>
            </w:pPr>
            <w:r>
              <w:rPr>
                <w:rFonts w:hint="eastAsia"/>
                <w:b/>
                <w:color w:val="auto"/>
                <w:sz w:val="24"/>
                <w:highlight w:val="none"/>
              </w:rPr>
              <w:t>工作船</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ascii="宋体" w:hAnsi="宋体"/>
                <w:color w:val="auto"/>
                <w:sz w:val="24"/>
                <w:highlight w:val="none"/>
              </w:rPr>
              <w:t>艘</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b/>
                <w:color w:val="auto"/>
                <w:sz w:val="24"/>
                <w:highlight w:val="none"/>
              </w:rPr>
            </w:pPr>
            <w:r>
              <w:rPr>
                <w:rFonts w:hint="eastAsia"/>
                <w:b/>
                <w:color w:val="auto"/>
                <w:sz w:val="24"/>
                <w:highlight w:val="none"/>
              </w:rPr>
              <w:t>钻孔设备</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b/>
                <w:color w:val="auto"/>
                <w:sz w:val="24"/>
                <w:highlight w:val="none"/>
              </w:rPr>
            </w:pPr>
            <w:r>
              <w:rPr>
                <w:rFonts w:hint="eastAsia"/>
                <w:b/>
                <w:color w:val="auto"/>
                <w:sz w:val="24"/>
                <w:highlight w:val="none"/>
              </w:rPr>
              <w:t>混凝土输送泵</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6" w:type="dxa"/>
            <w:noWrap/>
            <w:vAlign w:val="center"/>
          </w:tcPr>
          <w:p>
            <w:pPr>
              <w:ind w:firstLine="482"/>
              <w:jc w:val="center"/>
              <w:rPr>
                <w:b/>
                <w:color w:val="auto"/>
                <w:sz w:val="24"/>
                <w:highlight w:val="none"/>
              </w:rPr>
            </w:pPr>
            <w:r>
              <w:rPr>
                <w:rFonts w:hint="eastAsia"/>
                <w:b/>
                <w:color w:val="auto"/>
                <w:sz w:val="24"/>
                <w:highlight w:val="none"/>
              </w:rPr>
              <w:t>试验设备</w:t>
            </w:r>
          </w:p>
        </w:tc>
        <w:tc>
          <w:tcPr>
            <w:tcW w:w="2076" w:type="dxa"/>
            <w:noWrap/>
            <w:vAlign w:val="center"/>
          </w:tcPr>
          <w:p>
            <w:pPr>
              <w:tabs>
                <w:tab w:val="left" w:pos="1080"/>
              </w:tabs>
              <w:spacing w:line="280" w:lineRule="exact"/>
              <w:ind w:firstLine="482"/>
              <w:jc w:val="center"/>
              <w:rPr>
                <w:rFonts w:ascii="宋体" w:hAnsi="宋体"/>
                <w:b/>
                <w:color w:val="auto"/>
                <w:sz w:val="24"/>
                <w:highlight w:val="none"/>
              </w:rPr>
            </w:pPr>
          </w:p>
        </w:tc>
        <w:tc>
          <w:tcPr>
            <w:tcW w:w="2375" w:type="dxa"/>
            <w:noWrap/>
            <w:vAlign w:val="center"/>
          </w:tcPr>
          <w:p>
            <w:pPr>
              <w:ind w:firstLine="480"/>
              <w:jc w:val="center"/>
              <w:rPr>
                <w:color w:val="auto"/>
                <w:sz w:val="24"/>
                <w:highlight w:val="none"/>
              </w:rPr>
            </w:pPr>
            <w:r>
              <w:rPr>
                <w:rFonts w:hint="eastAsia"/>
                <w:color w:val="auto"/>
                <w:sz w:val="24"/>
                <w:highlight w:val="none"/>
              </w:rPr>
              <w:t>套</w:t>
            </w:r>
          </w:p>
        </w:tc>
        <w:tc>
          <w:tcPr>
            <w:tcW w:w="2181" w:type="dxa"/>
            <w:noWrap/>
            <w:vAlign w:val="center"/>
          </w:tcPr>
          <w:p>
            <w:pPr>
              <w:ind w:firstLine="480"/>
              <w:jc w:val="center"/>
              <w:rPr>
                <w:color w:val="auto"/>
                <w:sz w:val="24"/>
                <w:highlight w:val="none"/>
              </w:rPr>
            </w:pPr>
            <w:r>
              <w:rPr>
                <w:rFonts w:hint="eastAsia"/>
                <w:color w:val="auto"/>
                <w:sz w:val="24"/>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vMerge w:val="restart"/>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2076"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规格、功率</w:t>
            </w:r>
          </w:p>
        </w:tc>
        <w:tc>
          <w:tcPr>
            <w:tcW w:w="2375" w:type="dxa"/>
            <w:vMerge w:val="restart"/>
            <w:tcBorders>
              <w:top w:val="single" w:color="auto" w:sz="8" w:space="0"/>
              <w:left w:val="single" w:color="auto" w:sz="8" w:space="0"/>
              <w:bottom w:val="single" w:color="auto" w:sz="8"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2181"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要求数量（单个标段）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及容量</w:t>
            </w:r>
          </w:p>
        </w:tc>
        <w:tc>
          <w:tcPr>
            <w:tcW w:w="2375" w:type="dxa"/>
            <w:vMerge w:val="continue"/>
            <w:tcBorders>
              <w:top w:val="single" w:color="auto" w:sz="8" w:space="0"/>
              <w:left w:val="single" w:color="auto" w:sz="8" w:space="0"/>
              <w:bottom w:val="single" w:color="auto" w:sz="8" w:space="0"/>
              <w:right w:val="single" w:color="auto" w:sz="4" w:space="0"/>
            </w:tcBorders>
            <w:noWrap/>
            <w:vAlign w:val="center"/>
          </w:tcPr>
          <w:p>
            <w:pPr>
              <w:widowControl/>
              <w:spacing w:line="400" w:lineRule="exact"/>
              <w:jc w:val="center"/>
              <w:rPr>
                <w:rFonts w:ascii="宋体" w:hAnsi="宋体" w:cs="宋体"/>
                <w:color w:val="auto"/>
                <w:kern w:val="0"/>
                <w:szCs w:val="21"/>
                <w:highlight w:val="none"/>
              </w:rPr>
            </w:pPr>
          </w:p>
        </w:tc>
        <w:tc>
          <w:tcPr>
            <w:tcW w:w="2181" w:type="dxa"/>
            <w:vMerge w:val="continue"/>
            <w:tcBorders>
              <w:left w:val="single" w:color="auto" w:sz="4" w:space="0"/>
              <w:bottom w:val="single" w:color="auto" w:sz="8" w:space="0"/>
              <w:right w:val="single" w:color="auto" w:sz="4" w:space="0"/>
            </w:tcBorders>
            <w:noWrap/>
          </w:tcPr>
          <w:p>
            <w:pPr>
              <w:widowControl/>
              <w:spacing w:line="400" w:lineRule="exact"/>
              <w:jc w:val="center"/>
              <w:rPr>
                <w:rFonts w:ascii="宋体" w:hAnsi="宋体" w:cs="宋体"/>
                <w:color w:val="auto"/>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装载机</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LZ50以上</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光轮振动压路机</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25T以上</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级配碎石拌和设备</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200t/h</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洒水车</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6000L以上</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电焊机</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5KW</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混凝土拌和机</w:t>
            </w:r>
          </w:p>
        </w:tc>
        <w:tc>
          <w:tcPr>
            <w:tcW w:w="2076" w:type="dxa"/>
            <w:tcBorders>
              <w:top w:val="nil"/>
              <w:left w:val="nil"/>
              <w:bottom w:val="single" w:color="auto" w:sz="8" w:space="0"/>
              <w:right w:val="single" w:color="auto" w:sz="8" w:space="0"/>
            </w:tcBorders>
            <w:noWrap/>
            <w:vAlign w:val="center"/>
          </w:tcPr>
          <w:p>
            <w:pPr>
              <w:tabs>
                <w:tab w:val="left" w:pos="1080"/>
              </w:tabs>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5m3</w:t>
            </w:r>
          </w:p>
        </w:tc>
        <w:tc>
          <w:tcPr>
            <w:tcW w:w="2375" w:type="dxa"/>
            <w:tcBorders>
              <w:top w:val="nil"/>
              <w:left w:val="nil"/>
              <w:bottom w:val="single" w:color="auto" w:sz="8" w:space="0"/>
              <w:right w:val="single" w:color="auto" w:sz="8"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混凝土振捣器</w:t>
            </w:r>
          </w:p>
        </w:tc>
        <w:tc>
          <w:tcPr>
            <w:tcW w:w="2076" w:type="dxa"/>
            <w:tcBorders>
              <w:top w:val="nil"/>
              <w:left w:val="nil"/>
              <w:bottom w:val="single" w:color="auto" w:sz="8" w:space="0"/>
              <w:right w:val="single" w:color="auto" w:sz="8" w:space="0"/>
            </w:tcBorders>
            <w:noWrap/>
            <w:vAlign w:val="center"/>
          </w:tcPr>
          <w:p>
            <w:pPr>
              <w:tabs>
                <w:tab w:val="left" w:pos="1080"/>
              </w:tabs>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220V2.2KE</w:t>
            </w:r>
          </w:p>
        </w:tc>
        <w:tc>
          <w:tcPr>
            <w:tcW w:w="2375" w:type="dxa"/>
            <w:tcBorders>
              <w:top w:val="nil"/>
              <w:left w:val="nil"/>
              <w:bottom w:val="single" w:color="auto" w:sz="8" w:space="0"/>
              <w:right w:val="single" w:color="auto" w:sz="8"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混凝土电动刻纹机</w:t>
            </w:r>
          </w:p>
        </w:tc>
        <w:tc>
          <w:tcPr>
            <w:tcW w:w="2076" w:type="dxa"/>
            <w:tcBorders>
              <w:top w:val="nil"/>
              <w:left w:val="single" w:color="auto" w:sz="8" w:space="0"/>
              <w:bottom w:val="single" w:color="auto" w:sz="8" w:space="0"/>
              <w:right w:val="single" w:color="auto" w:sz="8" w:space="0"/>
            </w:tcBorders>
            <w:noWrap/>
            <w:vAlign w:val="center"/>
          </w:tcPr>
          <w:p>
            <w:pPr>
              <w:tabs>
                <w:tab w:val="left" w:pos="1080"/>
              </w:tabs>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HLQ-18</w:t>
            </w:r>
          </w:p>
        </w:tc>
        <w:tc>
          <w:tcPr>
            <w:tcW w:w="2375"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台</w:t>
            </w:r>
          </w:p>
        </w:tc>
        <w:tc>
          <w:tcPr>
            <w:tcW w:w="2181" w:type="dxa"/>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全站仪</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332R10</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光学水准仪</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GOL32X</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坍落度检测仪</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提升质量20t以内汽车式起重机</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460-20T</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沥青混凝土摊铺机</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133KW</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496" w:type="dxa"/>
            <w:tcBorders>
              <w:top w:val="nil"/>
              <w:left w:val="single" w:color="auto" w:sz="8" w:space="0"/>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胶轮压路机</w:t>
            </w:r>
          </w:p>
        </w:tc>
        <w:tc>
          <w:tcPr>
            <w:tcW w:w="2076"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XP302</w:t>
            </w:r>
          </w:p>
        </w:tc>
        <w:tc>
          <w:tcPr>
            <w:tcW w:w="2375" w:type="dxa"/>
            <w:tcBorders>
              <w:top w:val="nil"/>
              <w:left w:val="nil"/>
              <w:bottom w:val="single" w:color="auto" w:sz="8" w:space="0"/>
              <w:right w:val="single" w:color="auto" w:sz="8"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2181" w:type="dxa"/>
            <w:tcBorders>
              <w:top w:val="single" w:color="auto" w:sz="8" w:space="0"/>
              <w:left w:val="nil"/>
              <w:bottom w:val="single" w:color="auto" w:sz="8" w:space="0"/>
              <w:right w:val="single" w:color="auto" w:sz="8" w:space="0"/>
            </w:tcBorders>
            <w:noWrap/>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r>
    </w:tbl>
    <w:p>
      <w:pPr>
        <w:spacing w:line="400" w:lineRule="exact"/>
        <w:ind w:firstLine="411" w:firstLineChars="196"/>
        <w:rPr>
          <w:rFonts w:ascii="宋体" w:hAnsi="宋体" w:cs="宋体"/>
          <w:color w:val="auto"/>
          <w:szCs w:val="21"/>
          <w:highlight w:val="none"/>
        </w:rPr>
      </w:pPr>
    </w:p>
    <w:p>
      <w:pPr>
        <w:keepNext/>
        <w:keepLines/>
        <w:widowControl/>
        <w:spacing w:line="400" w:lineRule="exact"/>
        <w:jc w:val="center"/>
        <w:outlineLvl w:val="3"/>
        <w:rPr>
          <w:rFonts w:ascii="宋体" w:hAnsi="宋体" w:cs="宋体"/>
          <w:color w:val="auto"/>
          <w:kern w:val="0"/>
          <w:szCs w:val="21"/>
          <w:highlight w:val="none"/>
        </w:rPr>
      </w:pPr>
      <w:r>
        <w:rPr>
          <w:rFonts w:hint="eastAsia" w:ascii="宋体" w:hAnsi="宋体" w:cs="宋体"/>
          <w:color w:val="auto"/>
          <w:szCs w:val="21"/>
          <w:highlight w:val="none"/>
        </w:rPr>
        <w:t>注：采购人将在发出成交通知书之前要求成交供应商按照本表的最低要求填报为本项目配备的主要设备，在经传给他审批后作为投入本项目的主要设备且不允许更换。</w:t>
      </w:r>
      <w:bookmarkStart w:id="144" w:name="_Toc927"/>
      <w:bookmarkStart w:id="145" w:name="_Toc1026"/>
      <w:bookmarkStart w:id="146" w:name="_Toc509826500"/>
      <w:bookmarkStart w:id="147" w:name="_Toc958"/>
      <w:r>
        <w:rPr>
          <w:rFonts w:hint="eastAsia" w:ascii="宋体" w:hAnsi="宋体" w:cs="宋体"/>
          <w:color w:val="auto"/>
          <w:kern w:val="0"/>
          <w:szCs w:val="21"/>
          <w:highlight w:val="none"/>
        </w:rPr>
        <w:t>附件六 项目经理委任书</w:t>
      </w:r>
      <w:bookmarkEnd w:id="144"/>
      <w:bookmarkEnd w:id="145"/>
      <w:bookmarkEnd w:id="146"/>
      <w:bookmarkEnd w:id="147"/>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ascii="宋体" w:hAnsi="宋体" w:cs="宋体"/>
          <w:color w:val="auto"/>
          <w:kern w:val="0"/>
          <w:szCs w:val="21"/>
          <w:highlight w:val="none"/>
        </w:rPr>
      </w:pPr>
    </w:p>
    <w:p>
      <w:pPr>
        <w:pStyle w:val="20"/>
        <w:ind w:firstLine="488"/>
        <w:rPr>
          <w:rFonts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ascii="宋体" w:hAnsi="宋体" w:cs="宋体"/>
          <w:color w:val="auto"/>
          <w:kern w:val="0"/>
          <w:szCs w:val="21"/>
          <w:highlight w:val="none"/>
        </w:rPr>
      </w:pPr>
    </w:p>
    <w:p>
      <w:pPr>
        <w:pStyle w:val="20"/>
        <w:ind w:firstLine="488"/>
        <w:rPr>
          <w:color w:val="auto"/>
          <w:highlight w:val="none"/>
        </w:rPr>
      </w:pPr>
    </w:p>
    <w:p>
      <w:pPr>
        <w:spacing w:line="400" w:lineRule="exact"/>
        <w:jc w:val="center"/>
        <w:rPr>
          <w:rFonts w:ascii="宋体" w:hAnsi="宋体" w:cs="宋体"/>
          <w:b/>
          <w:color w:val="auto"/>
          <w:kern w:val="0"/>
          <w:szCs w:val="21"/>
          <w:highlight w:val="none"/>
          <w:u w:val="single"/>
          <w:lang w:val="zh-CN"/>
        </w:rPr>
      </w:pPr>
      <w:r>
        <w:rPr>
          <w:rFonts w:hint="eastAsia" w:ascii="宋体" w:hAnsi="宋体" w:cs="宋体"/>
          <w:b/>
          <w:color w:val="auto"/>
          <w:kern w:val="0"/>
          <w:szCs w:val="21"/>
          <w:highlight w:val="none"/>
          <w:u w:val="single"/>
          <w:lang w:val="zh-CN"/>
        </w:rPr>
        <w:t>（承包人全称）</w:t>
      </w:r>
    </w:p>
    <w:p>
      <w:pPr>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u w:val="single"/>
          <w:lang w:val="zh-CN"/>
        </w:rPr>
        <w:t>（合同工程名称）</w:t>
      </w:r>
      <w:r>
        <w:rPr>
          <w:rFonts w:hint="eastAsia" w:ascii="宋体" w:hAnsi="宋体" w:cs="宋体"/>
          <w:b/>
          <w:color w:val="auto"/>
          <w:kern w:val="0"/>
          <w:szCs w:val="21"/>
          <w:highlight w:val="none"/>
          <w:lang w:val="zh-CN"/>
        </w:rPr>
        <w:t>项目经理委任书</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致：</w:t>
      </w:r>
      <w:r>
        <w:rPr>
          <w:rFonts w:hint="eastAsia" w:ascii="宋体" w:hAnsi="宋体" w:cs="宋体"/>
          <w:color w:val="auto"/>
          <w:kern w:val="0"/>
          <w:szCs w:val="21"/>
          <w:highlight w:val="none"/>
          <w:u w:val="single"/>
          <w:shd w:val="clear" w:color="auto" w:fill="FFFFFF"/>
          <w:lang w:val="zh-CN"/>
        </w:rPr>
        <w:t>（发包人全称）</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shd w:val="clear" w:color="auto" w:fill="FFFFFF"/>
          <w:lang w:val="zh-CN"/>
        </w:rPr>
        <w:t>（承包人全称）</w:t>
      </w:r>
      <w:r>
        <w:rPr>
          <w:rFonts w:hint="eastAsia" w:ascii="宋体" w:hAnsi="宋体" w:cs="宋体"/>
          <w:color w:val="auto"/>
          <w:kern w:val="0"/>
          <w:szCs w:val="21"/>
          <w:highlight w:val="none"/>
          <w:shd w:val="clear" w:color="auto" w:fill="FFFFFF"/>
          <w:lang w:val="zh-CN" w:bidi="zh-CN"/>
        </w:rPr>
        <w:t>法定代表人</w:t>
      </w:r>
      <w:r>
        <w:rPr>
          <w:rFonts w:hint="eastAsia" w:ascii="宋体" w:hAnsi="宋体" w:cs="宋体"/>
          <w:color w:val="auto"/>
          <w:kern w:val="0"/>
          <w:szCs w:val="21"/>
          <w:highlight w:val="none"/>
          <w:u w:val="single"/>
          <w:shd w:val="clear" w:color="auto" w:fill="FFFFFF"/>
          <w:lang w:val="zh-CN"/>
        </w:rPr>
        <w:t>（职务、姓名）</w:t>
      </w:r>
      <w:r>
        <w:rPr>
          <w:rFonts w:hint="eastAsia" w:ascii="宋体" w:hAnsi="宋体" w:cs="宋体"/>
          <w:color w:val="auto"/>
          <w:kern w:val="0"/>
          <w:szCs w:val="21"/>
          <w:highlight w:val="none"/>
          <w:shd w:val="clear" w:color="auto" w:fill="FFFFFF"/>
          <w:lang w:val="zh-CN" w:bidi="zh-CN"/>
        </w:rPr>
        <w:t>代表本单位委任</w:t>
      </w:r>
      <w:r>
        <w:rPr>
          <w:rFonts w:hint="eastAsia" w:ascii="宋体" w:hAnsi="宋体" w:cs="宋体"/>
          <w:color w:val="auto"/>
          <w:kern w:val="0"/>
          <w:szCs w:val="21"/>
          <w:highlight w:val="none"/>
          <w:u w:val="single"/>
          <w:shd w:val="clear" w:color="auto" w:fill="FFFFFF"/>
          <w:lang w:val="zh-CN"/>
        </w:rPr>
        <w:t>（职务、姓名）</w:t>
      </w:r>
      <w:r>
        <w:rPr>
          <w:rFonts w:hint="eastAsia" w:ascii="宋体" w:hAnsi="宋体" w:cs="宋体"/>
          <w:color w:val="auto"/>
          <w:kern w:val="0"/>
          <w:szCs w:val="21"/>
          <w:highlight w:val="none"/>
          <w:shd w:val="clear" w:color="auto" w:fill="FFFFFF"/>
          <w:lang w:val="zh-CN" w:bidi="zh-CN"/>
        </w:rPr>
        <w:t>为</w:t>
      </w:r>
      <w:r>
        <w:rPr>
          <w:rFonts w:hint="eastAsia" w:ascii="宋体" w:hAnsi="宋体" w:cs="宋体"/>
          <w:color w:val="auto"/>
          <w:kern w:val="0"/>
          <w:szCs w:val="21"/>
          <w:highlight w:val="none"/>
          <w:u w:val="single"/>
          <w:shd w:val="clear" w:color="auto" w:fill="FFFFFF"/>
          <w:lang w:val="zh-CN"/>
        </w:rPr>
        <w:t>（合同工程名称）</w:t>
      </w:r>
      <w:r>
        <w:rPr>
          <w:rFonts w:hint="eastAsia" w:ascii="宋体" w:hAnsi="宋体" w:cs="宋体"/>
          <w:color w:val="auto"/>
          <w:kern w:val="0"/>
          <w:szCs w:val="21"/>
          <w:highlight w:val="none"/>
          <w:shd w:val="clear" w:color="auto" w:fill="FFFFFF"/>
          <w:lang w:val="zh-CN" w:bidi="zh-CN"/>
        </w:rPr>
        <w:t>的项目经理。凡本合同执行中的有关技术、工程进度、现场管理、质量检验、结算与支付等方面工作，由</w:t>
      </w:r>
      <w:r>
        <w:rPr>
          <w:rFonts w:hint="eastAsia" w:ascii="宋体" w:hAnsi="宋体" w:cs="宋体"/>
          <w:color w:val="auto"/>
          <w:kern w:val="0"/>
          <w:szCs w:val="21"/>
          <w:highlight w:val="none"/>
          <w:u w:val="single"/>
          <w:shd w:val="clear" w:color="auto" w:fill="FFFFFF"/>
          <w:lang w:val="zh-CN"/>
        </w:rPr>
        <w:t>（姓名）</w:t>
      </w:r>
      <w:r>
        <w:rPr>
          <w:rFonts w:hint="eastAsia" w:ascii="宋体" w:hAnsi="宋体" w:cs="宋体"/>
          <w:color w:val="auto"/>
          <w:kern w:val="0"/>
          <w:szCs w:val="21"/>
          <w:highlight w:val="none"/>
          <w:shd w:val="clear" w:color="auto" w:fill="FFFFFF"/>
          <w:lang w:val="zh-CN" w:bidi="zh-CN"/>
        </w:rPr>
        <w:t>代表本单位全面负责。</w:t>
      </w:r>
    </w:p>
    <w:p>
      <w:pPr>
        <w:tabs>
          <w:tab w:val="left" w:leader="underscore" w:pos="7348"/>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承包人：（盖单位章）</w:t>
      </w:r>
    </w:p>
    <w:p>
      <w:pPr>
        <w:tabs>
          <w:tab w:val="center" w:pos="7411"/>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法定代表人：</w:t>
      </w:r>
      <w:r>
        <w:rPr>
          <w:rFonts w:hint="eastAsia" w:ascii="宋体" w:hAnsi="宋体" w:cs="宋体"/>
          <w:color w:val="auto"/>
          <w:kern w:val="0"/>
          <w:szCs w:val="21"/>
          <w:highlight w:val="none"/>
          <w:u w:val="single"/>
          <w:shd w:val="clear" w:color="auto" w:fill="FFFFFF"/>
          <w:lang w:val="zh-CN"/>
        </w:rPr>
        <w:t>（职务）</w:t>
      </w:r>
    </w:p>
    <w:p>
      <w:pPr>
        <w:tabs>
          <w:tab w:val="center" w:leader="underscore" w:pos="7411"/>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u w:val="single"/>
          <w:shd w:val="clear" w:color="auto" w:fill="FFFFFF"/>
          <w:lang w:val="zh-CN"/>
        </w:rPr>
        <w:t>（姓名）</w:t>
      </w:r>
    </w:p>
    <w:p>
      <w:pPr>
        <w:tabs>
          <w:tab w:val="center" w:leader="underscore" w:pos="7411"/>
          <w:tab w:val="left" w:leader="underscore" w:pos="8698"/>
        </w:tabs>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u w:val="single"/>
          <w:lang w:val="zh-CN"/>
        </w:rPr>
        <w:t>（签字</w:t>
      </w:r>
      <w:r>
        <w:rPr>
          <w:rFonts w:hint="eastAsia" w:ascii="宋体" w:hAnsi="宋体" w:cs="宋体"/>
          <w:color w:val="auto"/>
          <w:kern w:val="0"/>
          <w:szCs w:val="21"/>
          <w:highlight w:val="none"/>
          <w:u w:val="single"/>
        </w:rPr>
        <w:t>）</w:t>
      </w:r>
    </w:p>
    <w:p>
      <w:pPr>
        <w:tabs>
          <w:tab w:val="left" w:leader="underscore" w:pos="6502"/>
          <w:tab w:val="left" w:leader="underscore" w:pos="7348"/>
          <w:tab w:val="left" w:leader="underscore" w:pos="8182"/>
        </w:tabs>
        <w:spacing w:line="400" w:lineRule="exact"/>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年月日</w:t>
      </w:r>
    </w:p>
    <w:p>
      <w:pPr>
        <w:spacing w:line="400" w:lineRule="exact"/>
        <w:rPr>
          <w:rFonts w:ascii="宋体" w:hAnsi="宋体" w:cs="宋体"/>
          <w:color w:val="auto"/>
          <w:szCs w:val="21"/>
          <w:highlight w:val="none"/>
          <w:u w:val="single"/>
          <w:shd w:val="clear" w:color="auto" w:fill="FFFFFF"/>
          <w:lang w:val="zh-CN"/>
        </w:rPr>
      </w:pPr>
      <w:r>
        <w:rPr>
          <w:rFonts w:hint="eastAsia" w:ascii="宋体" w:hAnsi="宋体" w:cs="宋体"/>
          <w:color w:val="auto"/>
          <w:szCs w:val="21"/>
          <w:highlight w:val="none"/>
          <w:shd w:val="clear" w:color="auto" w:fill="FFFFFF"/>
          <w:lang w:val="zh-CN" w:bidi="zh-CN"/>
        </w:rPr>
        <w:t>抄送：</w:t>
      </w:r>
      <w:r>
        <w:rPr>
          <w:rFonts w:hint="eastAsia" w:ascii="宋体" w:hAnsi="宋体" w:cs="宋体"/>
          <w:color w:val="auto"/>
          <w:szCs w:val="21"/>
          <w:highlight w:val="none"/>
          <w:u w:val="single"/>
          <w:shd w:val="clear" w:color="auto" w:fill="FFFFFF"/>
          <w:lang w:val="zh-CN"/>
        </w:rPr>
        <w:t>（监理人）</w:t>
      </w:r>
    </w:p>
    <w:p>
      <w:pPr>
        <w:spacing w:line="400" w:lineRule="exact"/>
        <w:ind w:firstLine="440"/>
        <w:rPr>
          <w:rFonts w:ascii="宋体" w:hAnsi="宋体" w:cs="宋体"/>
          <w:color w:val="auto"/>
          <w:szCs w:val="21"/>
          <w:highlight w:val="none"/>
        </w:rPr>
      </w:pPr>
      <w:r>
        <w:rPr>
          <w:rFonts w:hint="eastAsia" w:ascii="宋体" w:hAnsi="宋体" w:cs="宋体"/>
          <w:color w:val="auto"/>
          <w:szCs w:val="21"/>
          <w:highlight w:val="none"/>
          <w:shd w:val="clear" w:color="auto" w:fill="FFFFFF"/>
          <w:lang w:val="zh-CN"/>
        </w:rPr>
        <w:br w:type="page"/>
      </w:r>
    </w:p>
    <w:p>
      <w:pPr>
        <w:keepNext/>
        <w:keepLines/>
        <w:widowControl/>
        <w:spacing w:line="400" w:lineRule="exact"/>
        <w:jc w:val="center"/>
        <w:outlineLvl w:val="3"/>
        <w:rPr>
          <w:rFonts w:ascii="宋体" w:hAnsi="宋体" w:cs="宋体"/>
          <w:color w:val="auto"/>
          <w:kern w:val="0"/>
          <w:szCs w:val="21"/>
          <w:highlight w:val="none"/>
        </w:rPr>
      </w:pPr>
      <w:bookmarkStart w:id="148" w:name="_Toc12508"/>
      <w:bookmarkStart w:id="149" w:name="_Toc29393"/>
      <w:bookmarkStart w:id="150" w:name="_Toc9195"/>
      <w:bookmarkStart w:id="151" w:name="_Toc509826501"/>
      <w:r>
        <w:rPr>
          <w:rFonts w:hint="eastAsia" w:ascii="宋体" w:hAnsi="宋体" w:cs="宋体"/>
          <w:color w:val="auto"/>
          <w:kern w:val="0"/>
          <w:szCs w:val="21"/>
          <w:highlight w:val="none"/>
        </w:rPr>
        <w:t>附件七 履约担保格式</w:t>
      </w:r>
      <w:bookmarkEnd w:id="148"/>
      <w:bookmarkEnd w:id="149"/>
      <w:bookmarkEnd w:id="150"/>
      <w:bookmarkEnd w:id="151"/>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如采用银行保函，格式如下。</w:t>
      </w:r>
    </w:p>
    <w:p>
      <w:pPr>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lang w:val="zh-CN"/>
        </w:rPr>
        <w:t>履约保证金</w:t>
      </w:r>
    </w:p>
    <w:p>
      <w:pPr>
        <w:tabs>
          <w:tab w:val="left" w:leader="underscore" w:pos="2222"/>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u w:val="single"/>
          <w:shd w:val="clear" w:color="auto" w:fill="FFFFFF"/>
          <w:lang w:val="zh-CN" w:bidi="zh-CN"/>
        </w:rPr>
        <w:t>（发包人名称）</w:t>
      </w:r>
      <w:r>
        <w:rPr>
          <w:rFonts w:hint="eastAsia" w:ascii="宋体" w:hAnsi="宋体" w:cs="宋体"/>
          <w:color w:val="auto"/>
          <w:kern w:val="0"/>
          <w:szCs w:val="21"/>
          <w:highlight w:val="none"/>
          <w:shd w:val="clear" w:color="auto" w:fill="FFFFFF"/>
          <w:lang w:val="zh-CN" w:bidi="zh-CN"/>
        </w:rPr>
        <w:t>：</w:t>
      </w:r>
    </w:p>
    <w:p>
      <w:pPr>
        <w:tabs>
          <w:tab w:val="left" w:leader="underscore" w:pos="2964"/>
          <w:tab w:val="left" w:leader="underscore" w:pos="8141"/>
        </w:tabs>
        <w:spacing w:line="400" w:lineRule="exact"/>
        <w:ind w:firstLine="420" w:firstLineChars="200"/>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鉴于</w:t>
      </w:r>
      <w:r>
        <w:rPr>
          <w:rFonts w:hint="eastAsia" w:ascii="宋体" w:hAnsi="宋体" w:cs="宋体"/>
          <w:color w:val="auto"/>
          <w:kern w:val="0"/>
          <w:szCs w:val="21"/>
          <w:highlight w:val="none"/>
          <w:u w:val="single"/>
          <w:shd w:val="clear" w:color="auto" w:fill="FFFFFF"/>
          <w:lang w:val="zh-CN" w:bidi="zh-CN"/>
        </w:rPr>
        <w:t xml:space="preserve">        （发包人名称，以下简称“发包人”）</w:t>
      </w:r>
      <w:r>
        <w:rPr>
          <w:rFonts w:hint="eastAsia" w:ascii="宋体" w:hAnsi="宋体" w:cs="宋体"/>
          <w:color w:val="auto"/>
          <w:kern w:val="0"/>
          <w:szCs w:val="21"/>
          <w:highlight w:val="none"/>
          <w:shd w:val="clear" w:color="auto" w:fill="FFFFFF"/>
          <w:lang w:val="zh-CN" w:bidi="zh-CN"/>
        </w:rPr>
        <w:t xml:space="preserve">接受 </w:t>
      </w:r>
      <w:r>
        <w:rPr>
          <w:rFonts w:hint="eastAsia" w:ascii="宋体" w:hAnsi="宋体" w:cs="宋体"/>
          <w:color w:val="auto"/>
          <w:kern w:val="0"/>
          <w:szCs w:val="21"/>
          <w:highlight w:val="none"/>
          <w:u w:val="single"/>
          <w:shd w:val="clear" w:color="auto" w:fill="FFFFFF"/>
          <w:lang w:val="zh-CN" w:bidi="zh-CN"/>
        </w:rPr>
        <w:t xml:space="preserve">          （承包人名称，以下简称“承包人”）</w:t>
      </w:r>
      <w:r>
        <w:rPr>
          <w:rFonts w:hint="eastAsia" w:ascii="宋体" w:hAnsi="宋体" w:cs="宋体"/>
          <w:color w:val="auto"/>
          <w:kern w:val="0"/>
          <w:szCs w:val="21"/>
          <w:highlight w:val="none"/>
          <w:shd w:val="clear" w:color="auto" w:fill="FFFFFF"/>
          <w:lang w:val="zh-CN" w:bidi="zh-CN"/>
        </w:rPr>
        <w:t>于年月日参加（项目名称编号）施工的</w:t>
      </w:r>
      <w:r>
        <w:rPr>
          <w:rFonts w:hint="eastAsia" w:ascii="宋体" w:hAnsi="宋体" w:cs="宋体"/>
          <w:color w:val="auto"/>
          <w:kern w:val="0"/>
          <w:szCs w:val="21"/>
          <w:highlight w:val="none"/>
          <w:shd w:val="clear" w:color="auto" w:fill="FFFFFF"/>
          <w:lang w:bidi="zh-CN"/>
        </w:rPr>
        <w:t>竞标</w:t>
      </w:r>
      <w:r>
        <w:rPr>
          <w:rFonts w:hint="eastAsia" w:ascii="宋体" w:hAnsi="宋体" w:cs="宋体"/>
          <w:color w:val="auto"/>
          <w:kern w:val="0"/>
          <w:szCs w:val="21"/>
          <w:highlight w:val="none"/>
          <w:shd w:val="clear" w:color="auto" w:fill="FFFFFF"/>
          <w:lang w:val="zh-CN" w:bidi="zh-CN"/>
        </w:rPr>
        <w:t>。我方愿意无条件地、不可撤销地就承包人履行与你方订立的合同，向你方提供担保。</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1.担保金额人民币</w:t>
      </w:r>
      <w:r>
        <w:rPr>
          <w:rFonts w:hint="eastAsia" w:hAnsi="宋体"/>
          <w:color w:val="auto"/>
          <w:sz w:val="21"/>
          <w:szCs w:val="21"/>
          <w:highlight w:val="none"/>
          <w:u w:val="single"/>
          <w:lang w:val="zh-CN" w:bidi="zh-CN"/>
        </w:rPr>
        <w:t xml:space="preserve">（大写）    </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元（¥    ）</w:t>
      </w:r>
      <w:r>
        <w:rPr>
          <w:rFonts w:hint="eastAsia" w:hAnsi="宋体"/>
          <w:color w:val="auto"/>
          <w:sz w:val="21"/>
          <w:szCs w:val="21"/>
          <w:highlight w:val="none"/>
          <w:lang w:val="zh-CN" w:bidi="zh-CN"/>
        </w:rPr>
        <w:t>。</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2.担保有效期自发包人与承包人签订的合同生效之日起至发包人签发交工验收证书且承包人按照合同约定缴纳质量保证金之日止。®</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3.在本担保有效期内，因承包人违反合同约定的义务给你方造成经济损失时，我方在收到你方以书面形式提出的在担保金额内的赔偿要求后，在7日内无条件支付，无须你方出具证明或陈述理由。</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4.发包人和承包人按合同条款第15条变更合同时，无论我方是否收到该变更，我方承担本担保规定的义务不变。</w:t>
      </w:r>
    </w:p>
    <w:p>
      <w:pPr>
        <w:tabs>
          <w:tab w:val="left" w:leader="underscore" w:pos="6557"/>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担保人名称：</w:t>
      </w:r>
      <w:r>
        <w:rPr>
          <w:rFonts w:hint="eastAsia" w:ascii="宋体" w:hAnsi="宋体" w:cs="宋体"/>
          <w:color w:val="auto"/>
          <w:kern w:val="0"/>
          <w:szCs w:val="21"/>
          <w:highlight w:val="none"/>
          <w:u w:val="single"/>
          <w:shd w:val="clear" w:color="auto" w:fill="FFFFFF"/>
          <w:lang w:val="zh-CN" w:bidi="zh-CN"/>
        </w:rPr>
        <w:t xml:space="preserve">            （单位盖章）</w:t>
      </w:r>
    </w:p>
    <w:p>
      <w:pPr>
        <w:spacing w:line="400" w:lineRule="exact"/>
        <w:rPr>
          <w:rFonts w:ascii="宋体" w:hAnsi="宋体" w:cs="宋体"/>
          <w:color w:val="auto"/>
          <w:kern w:val="0"/>
          <w:szCs w:val="21"/>
          <w:highlight w:val="none"/>
          <w:shd w:val="clear" w:color="auto" w:fill="FFFFFF"/>
          <w:lang w:bidi="zh-CN"/>
        </w:rPr>
      </w:pPr>
      <w:r>
        <w:rPr>
          <w:rFonts w:hint="eastAsia" w:ascii="宋体" w:hAnsi="宋体" w:cs="宋体"/>
          <w:color w:val="auto"/>
          <w:kern w:val="0"/>
          <w:szCs w:val="21"/>
          <w:highlight w:val="none"/>
          <w:shd w:val="clear" w:color="auto" w:fill="FFFFFF"/>
          <w:lang w:val="zh-CN" w:bidi="zh-CN"/>
        </w:rPr>
        <w:t>法定代表人或其委托代理人</w:t>
      </w:r>
      <w:r>
        <w:rPr>
          <w:rFonts w:hint="eastAsia" w:ascii="宋体" w:hAnsi="宋体" w:cs="宋体"/>
          <w:color w:val="auto"/>
          <w:kern w:val="0"/>
          <w:szCs w:val="21"/>
          <w:highlight w:val="none"/>
          <w:shd w:val="clear" w:color="auto" w:fill="FFFFFF"/>
          <w:lang w:bidi="zh-CN"/>
        </w:rPr>
        <w:t>：</w:t>
      </w:r>
      <w:r>
        <w:rPr>
          <w:rFonts w:hint="eastAsia" w:ascii="宋体" w:hAnsi="宋体" w:cs="宋体"/>
          <w:color w:val="auto"/>
          <w:kern w:val="0"/>
          <w:szCs w:val="21"/>
          <w:highlight w:val="none"/>
          <w:u w:val="single"/>
          <w:shd w:val="clear" w:color="auto" w:fill="FFFFFF"/>
          <w:lang w:bidi="zh-CN"/>
        </w:rPr>
        <w:t xml:space="preserve">    （签字）</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地址</w:t>
      </w:r>
      <w:r>
        <w:rPr>
          <w:rFonts w:hint="eastAsia" w:ascii="宋体" w:hAnsi="宋体" w:cs="宋体"/>
          <w:color w:val="auto"/>
          <w:kern w:val="0"/>
          <w:szCs w:val="21"/>
          <w:highlight w:val="none"/>
          <w:shd w:val="clear" w:color="auto" w:fill="FFFFFF"/>
          <w:lang w:bidi="zh-CN"/>
        </w:rPr>
        <w:t>：</w:t>
      </w:r>
    </w:p>
    <w:p>
      <w:pPr>
        <w:spacing w:line="400" w:lineRule="exact"/>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邮政编码</w:t>
      </w:r>
    </w:p>
    <w:p>
      <w:pPr>
        <w:pStyle w:val="26"/>
        <w:adjustRightInd/>
        <w:spacing w:line="400" w:lineRule="exact"/>
        <w:rPr>
          <w:rFonts w:hAnsi="宋体"/>
          <w:color w:val="auto"/>
          <w:sz w:val="21"/>
          <w:szCs w:val="21"/>
          <w:highlight w:val="none"/>
          <w:lang w:val="zh-CN" w:bidi="zh-CN"/>
        </w:rPr>
      </w:pPr>
      <w:r>
        <w:rPr>
          <w:rFonts w:hint="eastAsia" w:hAnsi="宋体"/>
          <w:color w:val="auto"/>
          <w:sz w:val="21"/>
          <w:szCs w:val="21"/>
          <w:highlight w:val="none"/>
          <w:lang w:val="zh-CN" w:bidi="zh-CN"/>
        </w:rPr>
        <w:t>电话：</w:t>
      </w:r>
    </w:p>
    <w:p>
      <w:pPr>
        <w:pStyle w:val="26"/>
        <w:adjustRightInd/>
        <w:spacing w:line="400" w:lineRule="exact"/>
        <w:rPr>
          <w:rFonts w:hAnsi="宋体"/>
          <w:color w:val="auto"/>
          <w:sz w:val="21"/>
          <w:szCs w:val="21"/>
          <w:highlight w:val="none"/>
          <w:lang w:val="zh-CN" w:bidi="zh-CN"/>
        </w:rPr>
      </w:pPr>
      <w:r>
        <w:rPr>
          <w:rFonts w:hint="eastAsia" w:hAnsi="宋体"/>
          <w:color w:val="auto"/>
          <w:sz w:val="21"/>
          <w:szCs w:val="21"/>
          <w:highlight w:val="none"/>
          <w:lang w:val="zh-CN" w:bidi="zh-CN"/>
        </w:rPr>
        <w:t>传真：</w:t>
      </w:r>
    </w:p>
    <w:p>
      <w:pPr>
        <w:pStyle w:val="26"/>
        <w:adjustRightInd/>
        <w:spacing w:line="400" w:lineRule="exact"/>
        <w:jc w:val="right"/>
        <w:rPr>
          <w:rFonts w:hAnsi="宋体"/>
          <w:color w:val="auto"/>
          <w:sz w:val="21"/>
          <w:szCs w:val="21"/>
          <w:highlight w:val="none"/>
          <w:lang w:val="zh-CN" w:bidi="zh-CN"/>
        </w:rPr>
      </w:pPr>
      <w:r>
        <w:rPr>
          <w:rFonts w:hint="eastAsia" w:hAnsi="宋体"/>
          <w:color w:val="auto"/>
          <w:sz w:val="21"/>
          <w:szCs w:val="21"/>
          <w:highlight w:val="none"/>
          <w:lang w:val="zh-CN" w:bidi="zh-CN"/>
        </w:rPr>
        <w:t>年  月  日</w:t>
      </w:r>
    </w:p>
    <w:p>
      <w:pPr>
        <w:pStyle w:val="26"/>
        <w:adjustRightInd/>
        <w:spacing w:line="400" w:lineRule="exact"/>
        <w:jc w:val="right"/>
        <w:rPr>
          <w:rFonts w:hAnsi="宋体"/>
          <w:color w:val="auto"/>
          <w:sz w:val="21"/>
          <w:szCs w:val="21"/>
          <w:highlight w:val="none"/>
          <w:lang w:val="zh-CN" w:bidi="zh-CN"/>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tabs>
          <w:tab w:val="left" w:leader="underscore" w:pos="3434"/>
          <w:tab w:val="left" w:leader="underscore" w:pos="6547"/>
        </w:tabs>
        <w:spacing w:line="400" w:lineRule="exact"/>
        <w:rPr>
          <w:rFonts w:ascii="宋体" w:hAnsi="宋体" w:cs="宋体"/>
          <w:color w:val="auto"/>
          <w:kern w:val="0"/>
          <w:szCs w:val="21"/>
          <w:highlight w:val="none"/>
        </w:rPr>
      </w:pPr>
    </w:p>
    <w:p>
      <w:pPr>
        <w:tabs>
          <w:tab w:val="left" w:leader="underscore" w:pos="3434"/>
          <w:tab w:val="left" w:leader="underscore" w:pos="6547"/>
        </w:tabs>
        <w:spacing w:line="400" w:lineRule="exact"/>
        <w:rPr>
          <w:rFonts w:ascii="宋体" w:hAnsi="宋体" w:cs="宋体"/>
          <w:color w:val="auto"/>
          <w:kern w:val="0"/>
          <w:szCs w:val="21"/>
          <w:highlight w:val="none"/>
        </w:rPr>
      </w:pPr>
    </w:p>
    <w:p>
      <w:pPr>
        <w:tabs>
          <w:tab w:val="left" w:leader="underscore" w:pos="3434"/>
          <w:tab w:val="left" w:leader="underscore" w:pos="6547"/>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本条内容可修改为：“本担保自</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（生效日期）之日起生效，至</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（失效日期）之日失效。”</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br w:type="page"/>
      </w:r>
    </w:p>
    <w:p>
      <w:pPr>
        <w:keepNext/>
        <w:keepLines/>
        <w:widowControl/>
        <w:spacing w:line="400" w:lineRule="exact"/>
        <w:jc w:val="center"/>
        <w:outlineLvl w:val="3"/>
        <w:rPr>
          <w:rFonts w:ascii="宋体" w:hAnsi="宋体" w:cs="宋体"/>
          <w:color w:val="auto"/>
          <w:kern w:val="0"/>
          <w:szCs w:val="21"/>
          <w:highlight w:val="none"/>
        </w:rPr>
      </w:pPr>
      <w:bookmarkStart w:id="152" w:name="_Toc394929423"/>
      <w:bookmarkStart w:id="153" w:name="_Toc3328"/>
      <w:bookmarkStart w:id="154" w:name="_Toc21702"/>
      <w:bookmarkStart w:id="155" w:name="_Toc13256"/>
      <w:bookmarkStart w:id="156" w:name="_Toc509826502"/>
      <w:r>
        <w:rPr>
          <w:rFonts w:hint="eastAsia" w:ascii="宋体" w:hAnsi="宋体" w:cs="宋体"/>
          <w:color w:val="auto"/>
          <w:kern w:val="0"/>
          <w:szCs w:val="21"/>
          <w:highlight w:val="none"/>
        </w:rPr>
        <w:t>附件八</w:t>
      </w:r>
      <w:bookmarkEnd w:id="152"/>
      <w:bookmarkStart w:id="157" w:name="_Toc394929424"/>
      <w:r>
        <w:rPr>
          <w:rFonts w:hint="eastAsia" w:ascii="宋体" w:hAnsi="宋体" w:cs="宋体"/>
          <w:color w:val="auto"/>
          <w:kern w:val="0"/>
          <w:szCs w:val="21"/>
          <w:highlight w:val="none"/>
        </w:rPr>
        <w:t xml:space="preserve"> 工程资金监管协议格式</w:t>
      </w:r>
      <w:bookmarkEnd w:id="153"/>
      <w:bookmarkEnd w:id="154"/>
      <w:bookmarkEnd w:id="155"/>
      <w:bookmarkEnd w:id="156"/>
      <w:bookmarkEnd w:id="157"/>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（发包人与承包人签订合同协议书时应与发包人指定的银行签署工程资金监管 协议，工程资金监管协议内容在保证本项目资金有效监管的前提下由三方共同商定）</w:t>
      </w:r>
    </w:p>
    <w:p>
      <w:pPr>
        <w:spacing w:line="400" w:lineRule="exact"/>
        <w:jc w:val="center"/>
        <w:rPr>
          <w:rFonts w:ascii="宋体" w:hAnsi="宋体" w:cs="宋体"/>
          <w:color w:val="auto"/>
          <w:kern w:val="0"/>
          <w:szCs w:val="21"/>
          <w:highlight w:val="none"/>
        </w:rPr>
      </w:pPr>
      <w:bookmarkStart w:id="158" w:name="bookmark202"/>
      <w:r>
        <w:rPr>
          <w:rFonts w:hint="eastAsia" w:ascii="宋体" w:hAnsi="宋体" w:cs="宋体"/>
          <w:b/>
          <w:color w:val="auto"/>
          <w:kern w:val="0"/>
          <w:szCs w:val="21"/>
          <w:highlight w:val="none"/>
          <w:lang w:val="zh-CN"/>
        </w:rPr>
        <w:t>工程资金监管协议</w:t>
      </w:r>
      <w:bookmarkEnd w:id="158"/>
    </w:p>
    <w:p>
      <w:pPr>
        <w:tabs>
          <w:tab w:val="left" w:leader="underscore" w:pos="2930"/>
        </w:tabs>
        <w:spacing w:line="400" w:lineRule="exact"/>
        <w:rPr>
          <w:rFonts w:ascii="宋体" w:hAnsi="宋体" w:cs="宋体"/>
          <w:iCs/>
          <w:color w:val="auto"/>
          <w:kern w:val="0"/>
          <w:szCs w:val="21"/>
          <w:highlight w:val="none"/>
          <w:shd w:val="clear" w:color="auto" w:fill="FFFFFF"/>
          <w:lang w:val="zh-CN"/>
        </w:rPr>
      </w:pPr>
    </w:p>
    <w:p>
      <w:pPr>
        <w:tabs>
          <w:tab w:val="left" w:leader="underscore" w:pos="2930"/>
        </w:tabs>
        <w:spacing w:line="400" w:lineRule="exact"/>
        <w:rPr>
          <w:rFonts w:ascii="宋体" w:hAnsi="宋体" w:cs="宋体"/>
          <w:color w:val="auto"/>
          <w:kern w:val="0"/>
          <w:szCs w:val="21"/>
          <w:highlight w:val="none"/>
        </w:rPr>
      </w:pPr>
      <w:r>
        <w:rPr>
          <w:rFonts w:hint="eastAsia" w:ascii="宋体" w:hAnsi="宋体" w:cs="宋体"/>
          <w:iCs/>
          <w:color w:val="auto"/>
          <w:kern w:val="0"/>
          <w:szCs w:val="21"/>
          <w:highlight w:val="none"/>
          <w:shd w:val="clear" w:color="auto" w:fill="FFFFFF"/>
          <w:lang w:val="zh-CN"/>
        </w:rPr>
        <w:t>发包人：</w:t>
      </w:r>
      <w:r>
        <w:rPr>
          <w:rFonts w:hint="eastAsia" w:ascii="宋体" w:hAnsi="宋体" w:cs="宋体"/>
          <w:color w:val="auto"/>
          <w:kern w:val="0"/>
          <w:szCs w:val="21"/>
          <w:highlight w:val="none"/>
          <w:shd w:val="clear" w:color="auto" w:fill="FFFFFF"/>
          <w:lang w:val="zh-CN" w:bidi="zh-CN"/>
        </w:rPr>
        <w:t>（以下简称“甲方”）</w:t>
      </w:r>
    </w:p>
    <w:p>
      <w:pPr>
        <w:tabs>
          <w:tab w:val="left" w:leader="underscore" w:pos="2930"/>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承包人：（以下简称“乙方”）</w:t>
      </w:r>
    </w:p>
    <w:p>
      <w:pPr>
        <w:tabs>
          <w:tab w:val="left" w:leader="underscore" w:pos="2930"/>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经办银行：（以下简称“丙方”）</w:t>
      </w:r>
    </w:p>
    <w:p>
      <w:pPr>
        <w:tabs>
          <w:tab w:val="left" w:leader="underscore" w:pos="2482"/>
        </w:tabs>
        <w:spacing w:line="400" w:lineRule="exact"/>
        <w:ind w:firstLine="420" w:firstLineChars="200"/>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为了促进</w:t>
      </w:r>
      <w:r>
        <w:rPr>
          <w:rFonts w:hint="eastAsia" w:ascii="宋体" w:hAnsi="宋体" w:cs="宋体"/>
          <w:color w:val="auto"/>
          <w:kern w:val="0"/>
          <w:szCs w:val="21"/>
          <w:highlight w:val="none"/>
          <w:u w:val="single"/>
          <w:shd w:val="clear" w:color="auto" w:fill="FFFFFF"/>
          <w:lang w:val="zh-CN" w:bidi="zh-CN"/>
        </w:rPr>
        <w:t xml:space="preserve">           （项目名称）</w:t>
      </w:r>
      <w:r>
        <w:rPr>
          <w:rFonts w:hint="eastAsia" w:ascii="宋体" w:hAnsi="宋体" w:cs="宋体"/>
          <w:color w:val="auto"/>
          <w:kern w:val="0"/>
          <w:szCs w:val="21"/>
          <w:highlight w:val="none"/>
          <w:shd w:val="clear" w:color="auto" w:fill="FFFFFF"/>
          <w:lang w:val="zh-CN" w:bidi="zh-CN"/>
        </w:rPr>
        <w:t>的顺利实施，管好用好建设资金，确保工程资金专款专用，同时为承包人提供便捷有效的银行业务服务，根据</w:t>
      </w:r>
      <w:r>
        <w:rPr>
          <w:rFonts w:hint="eastAsia" w:ascii="宋体" w:hAnsi="宋体" w:cs="宋体"/>
          <w:color w:val="auto"/>
          <w:kern w:val="0"/>
          <w:szCs w:val="21"/>
          <w:highlight w:val="none"/>
          <w:u w:val="single"/>
          <w:shd w:val="clear" w:color="auto" w:fill="FFFFFF"/>
          <w:lang w:val="zh-CN" w:bidi="zh-CN"/>
        </w:rPr>
        <w:t xml:space="preserve">           （项目名称）</w:t>
      </w:r>
      <w:r>
        <w:rPr>
          <w:rFonts w:hint="eastAsia" w:ascii="宋体" w:hAnsi="宋体" w:cs="宋体"/>
          <w:color w:val="auto"/>
          <w:kern w:val="0"/>
          <w:szCs w:val="21"/>
          <w:highlight w:val="none"/>
          <w:shd w:val="clear" w:color="auto" w:fill="FFFFFF"/>
          <w:lang w:val="zh-CN" w:bidi="zh-CN"/>
        </w:rPr>
        <w:t>合同条款有关规定，经甲、乙、丙三方协商，达成协议如下：</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1.资金管理的内容</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（1）乙方为完成</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（项目名称）</w:t>
      </w:r>
      <w:r>
        <w:rPr>
          <w:rFonts w:hint="eastAsia" w:hAnsi="宋体"/>
          <w:color w:val="auto"/>
          <w:sz w:val="21"/>
          <w:szCs w:val="21"/>
          <w:highlight w:val="none"/>
          <w:lang w:val="zh-CN" w:bidi="zh-CN"/>
        </w:rPr>
        <w:t>工程成立的项目经理部在丙方开设基本结算户；</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（2）甲方应按合同规定将工程款汇入乙方在丙方开设的账户；</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（3）乙方应将流动资金及甲方所拨付资金专项用于</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（项目名称）</w:t>
      </w:r>
      <w:r>
        <w:rPr>
          <w:rFonts w:hint="eastAsia" w:hAnsi="宋体"/>
          <w:color w:val="auto"/>
          <w:sz w:val="21"/>
          <w:szCs w:val="21"/>
          <w:highlight w:val="none"/>
          <w:lang w:val="zh-CN" w:bidi="zh-CN"/>
        </w:rPr>
        <w:t>；</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（4）丙方应为乙方提供便捷有效的银行业务服务，并接受甲方委托对乙方在丙方开设的基本结算户资金使用情况进行监督。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2.甲方的权责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（1）按照</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 xml:space="preserve"> （项目名称）</w:t>
      </w:r>
      <w:r>
        <w:rPr>
          <w:rFonts w:hint="eastAsia" w:hAnsi="宋体"/>
          <w:color w:val="auto"/>
          <w:sz w:val="21"/>
          <w:szCs w:val="21"/>
          <w:highlight w:val="none"/>
          <w:lang w:val="zh-CN" w:bidi="zh-CN"/>
        </w:rPr>
        <w:t>合同有关条款规定的时间和方式，向乙方支付工程款；</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（2）在发现乙方将本项目资金挪用、转移时，甲方有权中止工程支付，直至乙方改正为止；</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（3）不定期审查丙方对乙方的资金使用监督情况，如丙方不能履行其责任，甲方有权随时终止本协议；</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（4）在乙、丙双方发生争议时，甲方应负责协调、解决。</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3.乙方的权责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（1）项目经理部成立以后，乙方应尽快在丙方开设基本结算户；</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（2）确保本项目资金专款专用，不发生挪用、转移资金的现象；保证不通过权益转让、抵押、担保承担债务等任何其他方式使用基本结算户的资金；</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办理材料、设备等采购业务金额在万元以上的，应出示购货合同、协议和发票；在办理总额超过万元以上的釆购业务时，应将合同、协议和发票复印件送丙方备案；购买应急材料、设备时可先办理支付手续，但事后必须补备有关资料；</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（4）用银行转账支票办理支付款项时，必须将转账支票送交丙方，由丙方负责办理支票转付手续；</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（5）向分包单位支付工程进度款时，应附甲方批准分包的文件；</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（6）向上级单位缴纳管理费、机械设备及周转材料租赁摊销费等款项时，应附上级单位出具的转账通知等有关资料，以确保资金专款专用。</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4.丙方的权责</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（1）成立</w:t>
      </w:r>
      <w:r>
        <w:rPr>
          <w:rFonts w:hint="eastAsia" w:hAnsi="宋体"/>
          <w:color w:val="auto"/>
          <w:sz w:val="21"/>
          <w:szCs w:val="21"/>
          <w:highlight w:val="none"/>
          <w:u w:val="single"/>
          <w:lang w:val="zh-CN" w:bidi="zh-CN"/>
        </w:rPr>
        <w:tab/>
      </w:r>
      <w:r>
        <w:rPr>
          <w:rFonts w:hint="eastAsia" w:hAnsi="宋体"/>
          <w:color w:val="auto"/>
          <w:sz w:val="21"/>
          <w:szCs w:val="21"/>
          <w:highlight w:val="none"/>
          <w:u w:val="single"/>
          <w:lang w:val="zh-CN" w:bidi="zh-CN"/>
        </w:rPr>
        <w:t xml:space="preserve"> （项目名称）</w:t>
      </w:r>
      <w:r>
        <w:rPr>
          <w:rFonts w:hint="eastAsia" w:hAnsi="宋体"/>
          <w:color w:val="auto"/>
          <w:sz w:val="21"/>
          <w:szCs w:val="21"/>
          <w:highlight w:val="none"/>
          <w:lang w:val="zh-CN" w:bidi="zh-CN"/>
        </w:rPr>
        <w:t>工程资金管理服务小组，明确业务流程，提高工作效率，杜绝“压票”现象；</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（2）根据乙方提供的购货合同、协议和发票，检查其所购材料、设备是否用于</w:t>
      </w:r>
      <w:r>
        <w:rPr>
          <w:rFonts w:hint="eastAsia" w:hAnsi="宋体"/>
          <w:color w:val="auto"/>
          <w:sz w:val="21"/>
          <w:szCs w:val="21"/>
          <w:highlight w:val="none"/>
          <w:u w:val="single"/>
          <w:lang w:val="zh-CN" w:bidi="zh-CN"/>
        </w:rPr>
        <w:t xml:space="preserve"> （项目名称）</w:t>
      </w:r>
      <w:r>
        <w:rPr>
          <w:rFonts w:hint="eastAsia" w:hAnsi="宋体"/>
          <w:color w:val="auto"/>
          <w:sz w:val="21"/>
          <w:szCs w:val="21"/>
          <w:highlight w:val="none"/>
          <w:lang w:val="zh-CN" w:bidi="zh-CN"/>
        </w:rPr>
        <w:t>工程建设，对本项目以外的购货款项，有权拒绝办理，并及时报告甲方；</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（3）根据乙方与分包单位签订的合同及支付文件，检查其支付款项是否符合有关条件，向分包单位以外单位的支付有权拒绝办理，并及时报告甲方；</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（4）根据乙方提供的上级单位出具的转账通知等有关资料，办理管理费、机械设备及周转材料租赁摊销费等款项的支付；对超出转账通知等有关资料以外的支付，有权拒绝办理，并及时报告甲方；</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（5）定期将乙方前一个周期的支付情况，整理后书面报送甲方；乙方复印备案的材料一并送甲方。</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5.甲、乙、丙三方都应履行保密责任，不得将其他两方的业务情况透露给三方以外的其他单位或个人。</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6.本协议有效期自乙方在丙方开户起，至工程交工验收甲方向乙方颁发交工验收证书后结束。</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7.本协议未尽事宜，由甲方牵头，三方协商解决。</w:t>
      </w:r>
    </w:p>
    <w:p>
      <w:pPr>
        <w:pStyle w:val="26"/>
        <w:adjustRightInd/>
        <w:spacing w:line="400" w:lineRule="exact"/>
        <w:ind w:firstLine="420" w:firstLineChars="200"/>
        <w:rPr>
          <w:rFonts w:hAnsi="宋体"/>
          <w:color w:val="auto"/>
          <w:sz w:val="21"/>
          <w:szCs w:val="21"/>
          <w:highlight w:val="none"/>
          <w:lang w:val="zh-CN" w:bidi="zh-CN"/>
        </w:rPr>
      </w:pPr>
      <w:r>
        <w:rPr>
          <w:rFonts w:hint="eastAsia" w:hAnsi="宋体"/>
          <w:color w:val="auto"/>
          <w:sz w:val="21"/>
          <w:szCs w:val="21"/>
          <w:highlight w:val="none"/>
          <w:lang w:val="zh-CN" w:bidi="zh-CN"/>
        </w:rPr>
        <w:t>8.本协议正本三份、副本份。合同三方各执正本一份、副本份，当正本与副本内容不一致时，以正本为准。</w:t>
      </w:r>
    </w:p>
    <w:p>
      <w:pPr>
        <w:tabs>
          <w:tab w:val="left" w:leader="underscore" w:pos="4086"/>
        </w:tabs>
        <w:spacing w:line="400" w:lineRule="exact"/>
        <w:rPr>
          <w:rFonts w:ascii="宋体" w:hAnsi="宋体" w:cs="宋体"/>
          <w:color w:val="auto"/>
          <w:kern w:val="0"/>
          <w:szCs w:val="21"/>
          <w:highlight w:val="none"/>
        </w:rPr>
      </w:pPr>
      <w:r>
        <w:rPr>
          <w:rFonts w:hint="eastAsia" w:ascii="宋体" w:hAnsi="宋体" w:cs="宋体"/>
          <w:iCs/>
          <w:color w:val="auto"/>
          <w:kern w:val="0"/>
          <w:szCs w:val="21"/>
          <w:highlight w:val="none"/>
          <w:shd w:val="clear" w:color="auto" w:fill="FFFFFF"/>
          <w:lang w:val="zh-CN"/>
        </w:rPr>
        <w:t>发包人：</w:t>
      </w:r>
      <w:r>
        <w:rPr>
          <w:rFonts w:hint="eastAsia" w:ascii="宋体" w:hAnsi="宋体" w:cs="宋体"/>
          <w:color w:val="auto"/>
          <w:kern w:val="0"/>
          <w:szCs w:val="21"/>
          <w:highlight w:val="none"/>
          <w:shd w:val="clear" w:color="auto" w:fill="FFFFFF"/>
          <w:lang w:val="zh-CN" w:bidi="zh-CN"/>
        </w:rPr>
        <w:t>（盖单位章）</w:t>
      </w:r>
    </w:p>
    <w:p>
      <w:pPr>
        <w:tabs>
          <w:tab w:val="left" w:leader="underscore" w:pos="4689"/>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法定代表人或其委托代理人：（签字）</w:t>
      </w:r>
    </w:p>
    <w:p>
      <w:pPr>
        <w:tabs>
          <w:tab w:val="left" w:leader="underscore" w:pos="3022"/>
          <w:tab w:val="left" w:leader="underscore" w:pos="4086"/>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年月日</w:t>
      </w:r>
    </w:p>
    <w:p>
      <w:pPr>
        <w:tabs>
          <w:tab w:val="left" w:leader="underscore" w:pos="4086"/>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承包人：（盖单位章）</w:t>
      </w:r>
    </w:p>
    <w:p>
      <w:pPr>
        <w:tabs>
          <w:tab w:val="left" w:leader="underscore" w:pos="4689"/>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法定代表人或其委托代理人：（签字）</w:t>
      </w:r>
    </w:p>
    <w:p>
      <w:pPr>
        <w:tabs>
          <w:tab w:val="left" w:leader="underscore" w:pos="3022"/>
          <w:tab w:val="left" w:leader="underscore" w:pos="4086"/>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年月日</w:t>
      </w:r>
    </w:p>
    <w:p>
      <w:pPr>
        <w:tabs>
          <w:tab w:val="left" w:leader="underscore" w:pos="4086"/>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经办银行：（盖单位章）</w:t>
      </w:r>
    </w:p>
    <w:p>
      <w:pPr>
        <w:tabs>
          <w:tab w:val="left" w:leader="underscore" w:pos="4689"/>
        </w:tab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lang w:val="zh-CN" w:bidi="zh-CN"/>
        </w:rPr>
        <w:t>法定代表人或其委托代理人：（签字）</w:t>
      </w:r>
    </w:p>
    <w:p>
      <w:pPr>
        <w:spacing w:line="400" w:lineRule="exact"/>
        <w:rPr>
          <w:rFonts w:ascii="宋体" w:hAnsi="宋体" w:cs="宋体"/>
          <w:color w:val="auto"/>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年月日</w:t>
      </w:r>
    </w:p>
    <w:p>
      <w:pPr>
        <w:spacing w:line="400" w:lineRule="exact"/>
        <w:ind w:firstLine="440"/>
        <w:rPr>
          <w:rFonts w:ascii="宋体" w:hAnsi="宋体" w:cs="宋体"/>
          <w:color w:val="auto"/>
          <w:szCs w:val="21"/>
          <w:highlight w:val="none"/>
          <w:shd w:val="clear" w:color="auto" w:fill="FFFFFF"/>
          <w:lang w:val="zh-CN" w:bidi="zh-CN"/>
        </w:rPr>
      </w:pPr>
      <w:r>
        <w:rPr>
          <w:rFonts w:hint="eastAsia" w:ascii="宋体" w:hAnsi="宋体" w:cs="宋体"/>
          <w:color w:val="auto"/>
          <w:szCs w:val="21"/>
          <w:highlight w:val="none"/>
          <w:shd w:val="clear" w:color="auto" w:fill="FFFFFF"/>
          <w:lang w:val="zh-CN" w:bidi="zh-CN"/>
        </w:rPr>
        <w:br w:type="page"/>
      </w:r>
    </w:p>
    <w:p>
      <w:pPr>
        <w:keepNext/>
        <w:keepLines/>
        <w:widowControl/>
        <w:spacing w:line="400" w:lineRule="exact"/>
        <w:jc w:val="center"/>
        <w:outlineLvl w:val="0"/>
        <w:rPr>
          <w:rFonts w:ascii="宋体" w:hAnsi="宋体" w:cs="宋体"/>
          <w:b/>
          <w:bCs/>
          <w:color w:val="auto"/>
          <w:szCs w:val="21"/>
          <w:highlight w:val="none"/>
        </w:rPr>
      </w:pPr>
      <w:bookmarkStart w:id="159" w:name="_Toc22271"/>
      <w:bookmarkStart w:id="160" w:name="_Toc10829"/>
      <w:r>
        <w:rPr>
          <w:rFonts w:hint="eastAsia" w:ascii="宋体" w:hAnsi="宋体" w:cs="宋体"/>
          <w:color w:val="auto"/>
          <w:kern w:val="0"/>
          <w:szCs w:val="21"/>
          <w:highlight w:val="none"/>
        </w:rPr>
        <w:t>附件九 承诺书</w:t>
      </w:r>
      <w:bookmarkEnd w:id="159"/>
      <w:bookmarkEnd w:id="160"/>
    </w:p>
    <w:p>
      <w:pPr>
        <w:spacing w:line="400" w:lineRule="exact"/>
        <w:jc w:val="center"/>
        <w:rPr>
          <w:rFonts w:ascii="宋体" w:hAnsi="宋体" w:cs="宋体"/>
          <w:b/>
          <w:bCs/>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现承诺我单位、单位法定代表人、我单位投入本项目的项目经理在最近三年（本次采购项目截标之日前三年）内没有犯罪、行贿记录。如我单位有不符合上述要求的，采购人可取消我单位竞标资格或成交资格，没收谈判保证金。对行政监督部门按弄虚作假、骗取中标等违法行为对我单位进行处罚和记入不良记录不持异议。</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供应商：（盖单位公章）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法定代表人（或授权委托代理人）：（签名）</w:t>
      </w:r>
    </w:p>
    <w:p>
      <w:pPr>
        <w:spacing w:after="95" w:line="259" w:lineRule="auto"/>
        <w:ind w:left="-5"/>
        <w:rPr>
          <w:rFonts w:ascii="宋体" w:hAnsi="宋体" w:cs="宋体"/>
          <w:color w:val="auto"/>
          <w:kern w:val="0"/>
          <w:szCs w:val="21"/>
          <w:highlight w:val="none"/>
          <w:shd w:val="clear" w:color="auto" w:fill="FFFFFF"/>
          <w:lang w:val="zh-CN" w:bidi="zh-CN"/>
        </w:rPr>
      </w:pPr>
      <w:r>
        <w:rPr>
          <w:rFonts w:hint="eastAsia" w:ascii="宋体" w:hAnsi="宋体" w:cs="宋体"/>
          <w:color w:val="auto"/>
          <w:kern w:val="0"/>
          <w:szCs w:val="21"/>
          <w:highlight w:val="none"/>
          <w:shd w:val="clear" w:color="auto" w:fill="FFFFFF"/>
          <w:lang w:val="zh-CN" w:bidi="zh-CN"/>
        </w:rPr>
        <w:t>年月日</w:t>
      </w:r>
    </w:p>
    <w:p>
      <w:pPr>
        <w:spacing w:after="95" w:line="259" w:lineRule="auto"/>
        <w:ind w:left="-5"/>
        <w:rPr>
          <w:color w:val="auto"/>
          <w:sz w:val="22"/>
          <w:szCs w:val="22"/>
          <w:highlight w:val="none"/>
        </w:rPr>
      </w:pPr>
      <w:r>
        <w:rPr>
          <w:rFonts w:hint="eastAsia" w:ascii="宋体" w:hAnsi="宋体" w:cs="宋体"/>
          <w:color w:val="auto"/>
          <w:kern w:val="0"/>
          <w:szCs w:val="21"/>
          <w:highlight w:val="none"/>
          <w:shd w:val="clear" w:color="auto" w:fill="FFFFFF"/>
          <w:lang w:val="zh-CN" w:bidi="zh-CN"/>
        </w:rPr>
        <w:br w:type="page"/>
      </w:r>
    </w:p>
    <w:p>
      <w:pPr>
        <w:spacing w:line="440" w:lineRule="exact"/>
        <w:jc w:val="center"/>
        <w:outlineLvl w:val="0"/>
        <w:rPr>
          <w:rFonts w:ascii="宋体" w:hAnsi="宋体" w:cs="Courier New"/>
          <w:b/>
          <w:bCs/>
          <w:color w:val="auto"/>
          <w:sz w:val="36"/>
          <w:highlight w:val="none"/>
        </w:rPr>
      </w:pPr>
      <w:bookmarkStart w:id="161" w:name="_Toc12661"/>
      <w:r>
        <w:rPr>
          <w:rFonts w:hint="eastAsia" w:ascii="宋体" w:hAnsi="宋体" w:cs="Courier New"/>
          <w:b/>
          <w:bCs/>
          <w:color w:val="auto"/>
          <w:sz w:val="36"/>
          <w:highlight w:val="none"/>
        </w:rPr>
        <w:t>第五章</w:t>
      </w:r>
      <w:bookmarkStart w:id="162" w:name="_Toc47626604"/>
      <w:bookmarkStart w:id="163" w:name="_Toc23731"/>
      <w:r>
        <w:rPr>
          <w:rFonts w:hint="eastAsia" w:ascii="宋体" w:hAnsi="宋体" w:cs="Courier New"/>
          <w:b/>
          <w:bCs/>
          <w:color w:val="auto"/>
          <w:sz w:val="36"/>
          <w:highlight w:val="none"/>
        </w:rPr>
        <w:t>工程量清单</w:t>
      </w:r>
      <w:bookmarkEnd w:id="162"/>
      <w:r>
        <w:rPr>
          <w:rFonts w:hint="eastAsia" w:ascii="宋体" w:hAnsi="宋体" w:cs="Courier New"/>
          <w:b/>
          <w:bCs/>
          <w:color w:val="auto"/>
          <w:sz w:val="36"/>
          <w:highlight w:val="none"/>
        </w:rPr>
        <w:t>（另册）</w:t>
      </w:r>
      <w:bookmarkEnd w:id="161"/>
      <w:bookmarkEnd w:id="16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spacing w:line="440" w:lineRule="exact"/>
        <w:jc w:val="center"/>
        <w:outlineLvl w:val="0"/>
        <w:rPr>
          <w:rFonts w:ascii="宋体" w:hAnsi="宋体" w:cs="Courier New"/>
          <w:b/>
          <w:color w:val="auto"/>
          <w:sz w:val="36"/>
          <w:szCs w:val="36"/>
          <w:highlight w:val="none"/>
        </w:rPr>
      </w:pPr>
      <w:bookmarkStart w:id="164" w:name="_Toc13375"/>
      <w:bookmarkStart w:id="165" w:name="_Toc32004"/>
      <w:r>
        <w:rPr>
          <w:rFonts w:hint="eastAsia" w:ascii="宋体" w:hAnsi="宋体" w:cs="Courier New"/>
          <w:b/>
          <w:color w:val="auto"/>
          <w:sz w:val="36"/>
          <w:szCs w:val="36"/>
          <w:highlight w:val="none"/>
        </w:rPr>
        <w:t>第六章  设计图纸（另册）</w:t>
      </w:r>
      <w:bookmarkEnd w:id="164"/>
      <w:bookmarkEnd w:id="165"/>
    </w:p>
    <w:p>
      <w:pPr>
        <w:rPr>
          <w:color w:val="auto"/>
          <w:highlight w:val="none"/>
        </w:rPr>
      </w:pPr>
      <w:r>
        <w:rPr>
          <w:rFonts w:hint="eastAsia"/>
          <w:color w:val="auto"/>
          <w:highlight w:val="none"/>
        </w:rPr>
        <w:br w:type="page"/>
      </w:r>
    </w:p>
    <w:p>
      <w:pPr>
        <w:spacing w:line="440" w:lineRule="exact"/>
        <w:jc w:val="center"/>
        <w:outlineLvl w:val="0"/>
        <w:rPr>
          <w:rFonts w:ascii="宋体" w:hAnsi="宋体" w:cs="Courier New"/>
          <w:b/>
          <w:color w:val="auto"/>
          <w:sz w:val="44"/>
          <w:highlight w:val="none"/>
        </w:rPr>
      </w:pPr>
      <w:bookmarkStart w:id="166" w:name="_Toc517287012"/>
      <w:bookmarkStart w:id="167" w:name="_Toc27599"/>
      <w:bookmarkStart w:id="168" w:name="_Toc17461"/>
      <w:r>
        <w:rPr>
          <w:rFonts w:hint="eastAsia" w:ascii="宋体" w:hAnsi="宋体" w:cs="Courier New"/>
          <w:b/>
          <w:color w:val="auto"/>
          <w:sz w:val="44"/>
          <w:highlight w:val="none"/>
        </w:rPr>
        <w:t xml:space="preserve">第七章  </w:t>
      </w:r>
      <w:bookmarkEnd w:id="166"/>
      <w:r>
        <w:rPr>
          <w:rStyle w:val="30"/>
          <w:rFonts w:hint="eastAsia"/>
          <w:color w:val="auto"/>
          <w:highlight w:val="none"/>
        </w:rPr>
        <w:t>评审程序、评审方法和评审标准</w:t>
      </w:r>
      <w:bookmarkEnd w:id="167"/>
      <w:bookmarkEnd w:id="168"/>
    </w:p>
    <w:p>
      <w:pPr>
        <w:rPr>
          <w:color w:val="auto"/>
          <w:highlight w:val="none"/>
        </w:rPr>
      </w:pPr>
    </w:p>
    <w:p>
      <w:pPr>
        <w:spacing w:line="300" w:lineRule="auto"/>
        <w:jc w:val="center"/>
        <w:rPr>
          <w:rFonts w:ascii="宋体" w:hAnsi="宋体"/>
          <w:b/>
          <w:color w:val="auto"/>
          <w:spacing w:val="20"/>
          <w:sz w:val="24"/>
          <w:highlight w:val="none"/>
        </w:rPr>
      </w:pPr>
    </w:p>
    <w:p>
      <w:pPr>
        <w:spacing w:line="360" w:lineRule="auto"/>
        <w:jc w:val="center"/>
        <w:outlineLvl w:val="1"/>
        <w:rPr>
          <w:rFonts w:ascii="宋体" w:hAnsi="宋体"/>
          <w:b/>
          <w:color w:val="auto"/>
          <w:sz w:val="32"/>
          <w:szCs w:val="32"/>
          <w:highlight w:val="none"/>
        </w:rPr>
      </w:pPr>
      <w:bookmarkStart w:id="169" w:name="_Toc16405"/>
      <w:bookmarkStart w:id="170" w:name="_Toc18980"/>
      <w:r>
        <w:rPr>
          <w:rFonts w:hint="eastAsia" w:ascii="宋体" w:hAnsi="宋体"/>
          <w:b/>
          <w:color w:val="auto"/>
          <w:sz w:val="28"/>
          <w:szCs w:val="28"/>
          <w:highlight w:val="none"/>
        </w:rPr>
        <w:t>一、评审程序和评审方法</w:t>
      </w:r>
      <w:bookmarkEnd w:id="169"/>
      <w:bookmarkEnd w:id="170"/>
    </w:p>
    <w:p>
      <w:pPr>
        <w:spacing w:line="360" w:lineRule="auto"/>
        <w:ind w:firstLine="482" w:firstLineChars="200"/>
        <w:rPr>
          <w:b/>
          <w:bCs/>
          <w:color w:val="auto"/>
          <w:sz w:val="24"/>
          <w:highlight w:val="none"/>
        </w:rPr>
      </w:pPr>
    </w:p>
    <w:p>
      <w:pPr>
        <w:spacing w:line="360" w:lineRule="auto"/>
        <w:ind w:firstLine="422" w:firstLineChars="200"/>
        <w:rPr>
          <w:b/>
          <w:bCs/>
          <w:color w:val="auto"/>
          <w:szCs w:val="21"/>
          <w:highlight w:val="none"/>
        </w:rPr>
      </w:pPr>
      <w:r>
        <w:rPr>
          <w:b/>
          <w:bCs/>
          <w:color w:val="auto"/>
          <w:szCs w:val="21"/>
          <w:highlight w:val="none"/>
        </w:rPr>
        <w:t>1</w:t>
      </w:r>
      <w:r>
        <w:rPr>
          <w:color w:val="auto"/>
          <w:sz w:val="24"/>
          <w:highlight w:val="none"/>
        </w:rPr>
        <w:t>．</w:t>
      </w:r>
      <w:r>
        <w:rPr>
          <w:b/>
          <w:bCs/>
          <w:color w:val="auto"/>
          <w:szCs w:val="21"/>
          <w:highlight w:val="none"/>
        </w:rPr>
        <w:t>资格审查</w:t>
      </w:r>
    </w:p>
    <w:p>
      <w:pPr>
        <w:snapToGrid w:val="0"/>
        <w:spacing w:line="360" w:lineRule="auto"/>
        <w:ind w:firstLine="420" w:firstLineChars="200"/>
        <w:rPr>
          <w:color w:val="auto"/>
          <w:szCs w:val="21"/>
          <w:highlight w:val="none"/>
        </w:rPr>
      </w:pPr>
      <w:r>
        <w:rPr>
          <w:color w:val="auto"/>
          <w:szCs w:val="21"/>
          <w:highlight w:val="none"/>
        </w:rPr>
        <w:t>1.1响应文件开启后，磋商小组依法对供应商的资格证明文件进行审查。</w:t>
      </w:r>
    </w:p>
    <w:p>
      <w:pPr>
        <w:snapToGrid w:val="0"/>
        <w:spacing w:line="360" w:lineRule="auto"/>
        <w:ind w:firstLine="420" w:firstLineChars="200"/>
        <w:rPr>
          <w:color w:val="auto"/>
          <w:szCs w:val="21"/>
          <w:highlight w:val="none"/>
        </w:rPr>
      </w:pPr>
      <w:r>
        <w:rPr>
          <w:color w:val="auto"/>
          <w:szCs w:val="21"/>
          <w:highlight w:val="none"/>
        </w:rPr>
        <w:t>注：采购人或者采购代理机构在资格审查结束前，对供应商进行信用查询。</w:t>
      </w:r>
    </w:p>
    <w:p>
      <w:pPr>
        <w:snapToGrid w:val="0"/>
        <w:spacing w:line="360" w:lineRule="auto"/>
        <w:ind w:firstLine="420" w:firstLineChars="200"/>
        <w:jc w:val="left"/>
        <w:rPr>
          <w:color w:val="auto"/>
          <w:szCs w:val="21"/>
          <w:highlight w:val="none"/>
        </w:rPr>
      </w:pPr>
      <w:r>
        <w:rPr>
          <w:color w:val="auto"/>
          <w:szCs w:val="21"/>
          <w:highlight w:val="none"/>
        </w:rPr>
        <w:t>（1）查询渠道：“信用中国”网站(www.creditchina.gov.cn) 、中国政府采购网(www.ccgp.gov.cn)。</w:t>
      </w:r>
    </w:p>
    <w:p>
      <w:pPr>
        <w:snapToGrid w:val="0"/>
        <w:spacing w:line="360" w:lineRule="auto"/>
        <w:ind w:firstLine="420" w:firstLineChars="200"/>
        <w:rPr>
          <w:color w:val="auto"/>
          <w:szCs w:val="21"/>
          <w:highlight w:val="none"/>
        </w:rPr>
      </w:pPr>
      <w:r>
        <w:rPr>
          <w:color w:val="auto"/>
          <w:szCs w:val="21"/>
          <w:highlight w:val="none"/>
        </w:rPr>
        <w:t>（2）信用查询截止时点：资格审查结束前。</w:t>
      </w:r>
    </w:p>
    <w:p>
      <w:pPr>
        <w:snapToGrid w:val="0"/>
        <w:spacing w:line="360" w:lineRule="auto"/>
        <w:ind w:firstLine="420" w:firstLineChars="200"/>
        <w:rPr>
          <w:color w:val="auto"/>
          <w:szCs w:val="21"/>
          <w:highlight w:val="none"/>
        </w:rPr>
      </w:pPr>
      <w:r>
        <w:rPr>
          <w:color w:val="auto"/>
          <w:szCs w:val="21"/>
          <w:highlight w:val="none"/>
        </w:rPr>
        <w:t>查询记录和证据留存方式：在查询网站中直接打印查询记录，打印材料作为评审资料保存。</w:t>
      </w:r>
    </w:p>
    <w:p>
      <w:pPr>
        <w:spacing w:line="360" w:lineRule="auto"/>
        <w:ind w:firstLine="420" w:firstLineChars="200"/>
        <w:rPr>
          <w:color w:val="auto"/>
          <w:szCs w:val="21"/>
          <w:highlight w:val="none"/>
        </w:rPr>
      </w:pPr>
      <w:r>
        <w:rPr>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color w:val="auto"/>
          <w:szCs w:val="21"/>
          <w:highlight w:val="none"/>
        </w:rPr>
      </w:pPr>
      <w:r>
        <w:rPr>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color w:val="auto"/>
          <w:szCs w:val="21"/>
          <w:highlight w:val="none"/>
        </w:rPr>
      </w:pPr>
      <w:r>
        <w:rPr>
          <w:color w:val="auto"/>
          <w:szCs w:val="21"/>
          <w:highlight w:val="none"/>
        </w:rPr>
        <w:t>1.3供应商有下列情形之一的，资格审查不通过，其响应文件按无效响应处理：</w:t>
      </w:r>
    </w:p>
    <w:p>
      <w:pPr>
        <w:snapToGrid w:val="0"/>
        <w:spacing w:line="360" w:lineRule="auto"/>
        <w:ind w:firstLine="420" w:firstLineChars="200"/>
        <w:rPr>
          <w:color w:val="auto"/>
          <w:szCs w:val="21"/>
          <w:highlight w:val="none"/>
        </w:rPr>
      </w:pPr>
      <w:r>
        <w:rPr>
          <w:color w:val="auto"/>
          <w:szCs w:val="21"/>
          <w:highlight w:val="none"/>
        </w:rPr>
        <w:t>（1）不具备磋商文件中规定的资格要求的；</w:t>
      </w:r>
    </w:p>
    <w:p>
      <w:pPr>
        <w:spacing w:line="360" w:lineRule="auto"/>
        <w:ind w:firstLine="420" w:firstLineChars="200"/>
        <w:rPr>
          <w:color w:val="auto"/>
          <w:szCs w:val="21"/>
          <w:highlight w:val="none"/>
        </w:rPr>
      </w:pPr>
      <w:r>
        <w:rPr>
          <w:color w:val="auto"/>
          <w:szCs w:val="21"/>
          <w:highlight w:val="none"/>
        </w:rPr>
        <w:t>（2）响应文件未提供任一项“供应商须知前附表”资格证明文件规定的“必须提供”的文件资料的；</w:t>
      </w:r>
    </w:p>
    <w:p>
      <w:pPr>
        <w:spacing w:line="360" w:lineRule="auto"/>
        <w:ind w:firstLine="420" w:firstLineChars="200"/>
        <w:rPr>
          <w:color w:val="auto"/>
          <w:szCs w:val="21"/>
          <w:highlight w:val="none"/>
        </w:rPr>
      </w:pPr>
      <w:r>
        <w:rPr>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color w:val="auto"/>
          <w:szCs w:val="21"/>
          <w:highlight w:val="none"/>
        </w:rPr>
      </w:pPr>
      <w:r>
        <w:rPr>
          <w:color w:val="auto"/>
          <w:szCs w:val="21"/>
          <w:highlight w:val="none"/>
        </w:rPr>
        <w:t>1.4通过资格审查的合格供应商不足3家的，不得进入符合性审查环节，采购人或者采购代理机构应当重新开展采购活动。</w:t>
      </w:r>
    </w:p>
    <w:p>
      <w:pPr>
        <w:spacing w:line="360" w:lineRule="auto"/>
        <w:ind w:firstLine="422" w:firstLineChars="200"/>
        <w:rPr>
          <w:b/>
          <w:bCs/>
          <w:color w:val="auto"/>
          <w:szCs w:val="21"/>
          <w:highlight w:val="none"/>
        </w:rPr>
      </w:pPr>
      <w:r>
        <w:rPr>
          <w:b/>
          <w:bCs/>
          <w:color w:val="auto"/>
          <w:szCs w:val="21"/>
          <w:highlight w:val="none"/>
        </w:rPr>
        <w:t>2</w:t>
      </w:r>
      <w:r>
        <w:rPr>
          <w:color w:val="auto"/>
          <w:sz w:val="24"/>
          <w:highlight w:val="none"/>
        </w:rPr>
        <w:t>．</w:t>
      </w:r>
      <w:r>
        <w:rPr>
          <w:b/>
          <w:bCs/>
          <w:color w:val="auto"/>
          <w:szCs w:val="21"/>
          <w:highlight w:val="none"/>
        </w:rPr>
        <w:t>符合性审查</w:t>
      </w:r>
    </w:p>
    <w:p>
      <w:pPr>
        <w:spacing w:line="360" w:lineRule="auto"/>
        <w:ind w:firstLine="420" w:firstLineChars="200"/>
        <w:rPr>
          <w:color w:val="auto"/>
          <w:szCs w:val="21"/>
          <w:highlight w:val="none"/>
        </w:rPr>
      </w:pPr>
      <w:bookmarkStart w:id="171" w:name="_Hlk42528882"/>
      <w:r>
        <w:rPr>
          <w:color w:val="auto"/>
          <w:szCs w:val="21"/>
          <w:highlight w:val="none"/>
        </w:rPr>
        <w:t>2.1由磋商小组对通过资格审查的合格供应商的响应文件的竞标报价、商务、技术等实质性要求进行符合性审查，以确定其是否满足磋商文件的实质性要求。</w:t>
      </w:r>
    </w:p>
    <w:bookmarkEnd w:id="171"/>
    <w:p>
      <w:pPr>
        <w:spacing w:line="360" w:lineRule="auto"/>
        <w:ind w:firstLine="420" w:firstLineChars="200"/>
        <w:rPr>
          <w:color w:val="auto"/>
          <w:szCs w:val="21"/>
          <w:highlight w:val="none"/>
        </w:rPr>
      </w:pPr>
      <w:r>
        <w:rPr>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color w:val="auto"/>
          <w:spacing w:val="-6"/>
          <w:szCs w:val="21"/>
          <w:highlight w:val="none"/>
        </w:rPr>
      </w:pPr>
      <w:r>
        <w:rPr>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bCs/>
          <w:color w:val="auto"/>
          <w:szCs w:val="21"/>
          <w:highlight w:val="none"/>
        </w:rPr>
        <w:t>若委托代理人不是响应文件中授权的委托代理人时，必须同时出示有效的法定代表人授权委托书原件</w:t>
      </w:r>
      <w:r>
        <w:rPr>
          <w:color w:val="auto"/>
          <w:spacing w:val="-6"/>
          <w:szCs w:val="21"/>
          <w:highlight w:val="none"/>
        </w:rPr>
        <w:t>。供应商为自然人的，必须由本人签字并附身份证明。</w:t>
      </w:r>
    </w:p>
    <w:p>
      <w:pPr>
        <w:spacing w:line="360" w:lineRule="auto"/>
        <w:ind w:firstLine="396" w:firstLineChars="200"/>
        <w:rPr>
          <w:color w:val="auto"/>
          <w:highlight w:val="none"/>
        </w:rPr>
      </w:pPr>
      <w:r>
        <w:rPr>
          <w:color w:val="auto"/>
          <w:spacing w:val="-6"/>
          <w:szCs w:val="21"/>
          <w:highlight w:val="none"/>
        </w:rPr>
        <w:t>2.4</w:t>
      </w:r>
      <w:r>
        <w:rPr>
          <w:color w:val="auto"/>
          <w:szCs w:val="21"/>
          <w:highlight w:val="none"/>
        </w:rPr>
        <w:t>首次响应文件</w:t>
      </w:r>
      <w:r>
        <w:rPr>
          <w:rFonts w:hint="eastAsia" w:cs="宋体"/>
          <w:color w:val="auto"/>
          <w:highlight w:val="none"/>
        </w:rPr>
        <w:t>竞标报价有算术错误的，评标委员会按以下原则对竞标报价进行修正，修正的价格经投标人书面确认后具有约束力。投标人不接受修正价格的，其投标作否决投标处理。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）响应文件中的大写金额与小写金额不一致的，以大写金额为准；</w:t>
      </w:r>
    </w:p>
    <w:p>
      <w:pPr>
        <w:spacing w:line="360" w:lineRule="auto"/>
        <w:ind w:firstLine="420" w:firstLineChars="200"/>
        <w:rPr>
          <w:color w:val="auto"/>
          <w:szCs w:val="21"/>
          <w:highlight w:val="none"/>
        </w:rPr>
      </w:pPr>
      <w:r>
        <w:rPr>
          <w:rFonts w:hint="eastAsia" w:cs="宋体"/>
          <w:color w:val="auto"/>
          <w:highlight w:val="none"/>
        </w:rPr>
        <w:t>（</w:t>
      </w:r>
      <w:r>
        <w:rPr>
          <w:color w:val="auto"/>
          <w:highlight w:val="none"/>
        </w:rPr>
        <w:t>2</w:t>
      </w:r>
      <w:r>
        <w:rPr>
          <w:rFonts w:hint="eastAsia" w:cs="宋体"/>
          <w:color w:val="auto"/>
          <w:highlight w:val="none"/>
        </w:rPr>
        <w:t>）总价金额与依据单价计算出的结果不一致的，以单价金额为准修正总价，但单价金额小数点有明显错误的除外。</w:t>
      </w:r>
    </w:p>
    <w:p>
      <w:pPr>
        <w:spacing w:line="360" w:lineRule="auto"/>
        <w:ind w:firstLine="420" w:firstLineChars="200"/>
        <w:rPr>
          <w:color w:val="auto"/>
          <w:szCs w:val="21"/>
          <w:highlight w:val="none"/>
        </w:rPr>
      </w:pPr>
      <w:r>
        <w:rPr>
          <w:color w:val="auto"/>
          <w:szCs w:val="21"/>
          <w:highlight w:val="none"/>
        </w:rPr>
        <w:t>2.5</w:t>
      </w:r>
      <w:r>
        <w:rPr>
          <w:rFonts w:hint="eastAsia"/>
          <w:color w:val="auto"/>
          <w:szCs w:val="21"/>
          <w:highlight w:val="none"/>
        </w:rPr>
        <w:t>报价、</w:t>
      </w:r>
      <w:r>
        <w:rPr>
          <w:color w:val="auto"/>
          <w:szCs w:val="21"/>
          <w:highlight w:val="none"/>
        </w:rPr>
        <w:t>商务技术评审</w:t>
      </w:r>
    </w:p>
    <w:p>
      <w:pPr>
        <w:spacing w:line="360" w:lineRule="auto"/>
        <w:ind w:firstLine="420" w:firstLineChars="200"/>
        <w:rPr>
          <w:color w:val="auto"/>
          <w:szCs w:val="21"/>
          <w:highlight w:val="none"/>
        </w:rPr>
      </w:pPr>
      <w:r>
        <w:rPr>
          <w:color w:val="auto"/>
          <w:szCs w:val="21"/>
          <w:highlight w:val="none"/>
        </w:rPr>
        <w:t>在评审时，如发现下列情形之一的，将被视为响应文件无效处理：</w:t>
      </w:r>
    </w:p>
    <w:p>
      <w:pPr>
        <w:numPr>
          <w:ilvl w:val="0"/>
          <w:numId w:val="5"/>
        </w:numPr>
        <w:spacing w:line="360" w:lineRule="auto"/>
        <w:ind w:left="0" w:firstLine="420" w:firstLineChars="200"/>
        <w:rPr>
          <w:color w:val="auto"/>
          <w:szCs w:val="21"/>
          <w:highlight w:val="none"/>
        </w:rPr>
      </w:pPr>
      <w:r>
        <w:rPr>
          <w:color w:val="auto"/>
          <w:szCs w:val="21"/>
          <w:highlight w:val="none"/>
        </w:rPr>
        <w:t>响应文件未提供“供应商须知前附表” 商务文件中规定的“</w:t>
      </w:r>
      <w:r>
        <w:rPr>
          <w:rFonts w:hint="eastAsia"/>
          <w:color w:val="auto"/>
          <w:szCs w:val="21"/>
          <w:highlight w:val="none"/>
        </w:rPr>
        <w:t>磋商</w:t>
      </w:r>
      <w:r>
        <w:rPr>
          <w:color w:val="auto"/>
          <w:szCs w:val="21"/>
          <w:highlight w:val="none"/>
        </w:rPr>
        <w:t>报价</w:t>
      </w:r>
      <w:r>
        <w:rPr>
          <w:rFonts w:hint="eastAsia"/>
          <w:color w:val="auto"/>
          <w:szCs w:val="21"/>
          <w:highlight w:val="none"/>
        </w:rPr>
        <w:t>函</w:t>
      </w:r>
      <w:r>
        <w:rPr>
          <w:color w:val="auto"/>
          <w:szCs w:val="21"/>
          <w:highlight w:val="none"/>
        </w:rPr>
        <w:t>”；</w:t>
      </w:r>
    </w:p>
    <w:p>
      <w:pPr>
        <w:numPr>
          <w:ilvl w:val="0"/>
          <w:numId w:val="5"/>
        </w:numPr>
        <w:spacing w:line="360" w:lineRule="auto"/>
        <w:ind w:left="0" w:firstLine="420" w:firstLineChars="200"/>
        <w:rPr>
          <w:color w:val="auto"/>
          <w:szCs w:val="21"/>
          <w:highlight w:val="none"/>
        </w:rPr>
      </w:pPr>
      <w:r>
        <w:rPr>
          <w:color w:val="auto"/>
          <w:szCs w:val="21"/>
          <w:highlight w:val="none"/>
        </w:rPr>
        <w:t>未采用人民币报价或者未按照磋商文件标明的币种报价；</w:t>
      </w:r>
    </w:p>
    <w:p>
      <w:pPr>
        <w:numPr>
          <w:ilvl w:val="0"/>
          <w:numId w:val="5"/>
        </w:numPr>
        <w:spacing w:line="360" w:lineRule="auto"/>
        <w:ind w:left="0" w:firstLine="420" w:firstLineChars="200"/>
        <w:rPr>
          <w:color w:val="auto"/>
          <w:szCs w:val="21"/>
          <w:highlight w:val="none"/>
        </w:rPr>
      </w:pPr>
      <w:r>
        <w:rPr>
          <w:rFonts w:hint="eastAsia"/>
          <w:color w:val="auto"/>
          <w:szCs w:val="21"/>
          <w:highlight w:val="none"/>
        </w:rPr>
        <w:t>磋商报价函中报价与已标价工程量清单报价不一致的；</w:t>
      </w:r>
    </w:p>
    <w:p>
      <w:pPr>
        <w:numPr>
          <w:ilvl w:val="0"/>
          <w:numId w:val="5"/>
        </w:numPr>
        <w:spacing w:line="360" w:lineRule="auto"/>
        <w:ind w:left="0" w:firstLine="420" w:firstLineChars="200"/>
        <w:rPr>
          <w:color w:val="auto"/>
          <w:szCs w:val="21"/>
          <w:highlight w:val="none"/>
        </w:rPr>
      </w:pPr>
      <w:r>
        <w:rPr>
          <w:color w:val="auto"/>
          <w:szCs w:val="21"/>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numPr>
          <w:ilvl w:val="0"/>
          <w:numId w:val="5"/>
        </w:numPr>
        <w:spacing w:line="360" w:lineRule="auto"/>
        <w:ind w:left="0" w:firstLine="420" w:firstLineChars="200"/>
        <w:rPr>
          <w:color w:val="auto"/>
          <w:szCs w:val="21"/>
          <w:highlight w:val="none"/>
        </w:rPr>
      </w:pPr>
      <w:r>
        <w:rPr>
          <w:color w:val="auto"/>
          <w:szCs w:val="21"/>
          <w:highlight w:val="none"/>
        </w:rPr>
        <w:t>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pPr>
        <w:numPr>
          <w:ilvl w:val="0"/>
          <w:numId w:val="5"/>
        </w:numPr>
        <w:spacing w:line="360" w:lineRule="auto"/>
        <w:ind w:left="0" w:firstLine="420" w:firstLineChars="200"/>
        <w:rPr>
          <w:color w:val="auto"/>
          <w:szCs w:val="21"/>
          <w:highlight w:val="none"/>
        </w:rPr>
      </w:pPr>
      <w:r>
        <w:rPr>
          <w:color w:val="auto"/>
          <w:szCs w:val="21"/>
          <w:highlight w:val="none"/>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numPr>
          <w:ilvl w:val="0"/>
          <w:numId w:val="5"/>
        </w:numPr>
        <w:spacing w:line="360" w:lineRule="auto"/>
        <w:ind w:left="0" w:firstLine="420" w:firstLineChars="200"/>
        <w:rPr>
          <w:color w:val="auto"/>
          <w:szCs w:val="21"/>
          <w:highlight w:val="none"/>
        </w:rPr>
      </w:pPr>
      <w:r>
        <w:rPr>
          <w:color w:val="auto"/>
          <w:szCs w:val="21"/>
          <w:highlight w:val="none"/>
        </w:rPr>
        <w:t>响应文件响应的标的数量及单位与竞争性磋商采购文件要求实质性不一致的</w:t>
      </w:r>
      <w:r>
        <w:rPr>
          <w:rFonts w:hint="eastAsia"/>
          <w:color w:val="auto"/>
          <w:szCs w:val="21"/>
          <w:highlight w:val="none"/>
        </w:rPr>
        <w:t>；</w:t>
      </w:r>
    </w:p>
    <w:p>
      <w:pPr>
        <w:numPr>
          <w:ilvl w:val="0"/>
          <w:numId w:val="5"/>
        </w:numPr>
        <w:spacing w:line="360" w:lineRule="auto"/>
        <w:ind w:left="0" w:firstLine="420" w:firstLineChars="200"/>
        <w:rPr>
          <w:color w:val="auto"/>
          <w:szCs w:val="21"/>
          <w:highlight w:val="none"/>
        </w:rPr>
      </w:pPr>
      <w:r>
        <w:rPr>
          <w:color w:val="auto"/>
          <w:szCs w:val="21"/>
          <w:highlight w:val="none"/>
        </w:rPr>
        <w:t>响应文件未按磋商文件要求签署、盖章；</w:t>
      </w:r>
    </w:p>
    <w:p>
      <w:pPr>
        <w:numPr>
          <w:ilvl w:val="0"/>
          <w:numId w:val="5"/>
        </w:numPr>
        <w:spacing w:line="360" w:lineRule="auto"/>
        <w:ind w:left="0" w:firstLine="420" w:firstLineChars="200"/>
        <w:rPr>
          <w:color w:val="auto"/>
          <w:szCs w:val="21"/>
          <w:highlight w:val="none"/>
        </w:rPr>
      </w:pPr>
      <w:r>
        <w:rPr>
          <w:color w:val="auto"/>
          <w:szCs w:val="21"/>
          <w:highlight w:val="none"/>
        </w:rPr>
        <w:t xml:space="preserve">委托代理人未能出具有效身份证明或者出具的身份证明与授权委托书中的信息不符； </w:t>
      </w:r>
    </w:p>
    <w:p>
      <w:pPr>
        <w:numPr>
          <w:ilvl w:val="0"/>
          <w:numId w:val="5"/>
        </w:numPr>
        <w:spacing w:line="360" w:lineRule="auto"/>
        <w:ind w:left="0" w:firstLine="420" w:firstLineChars="200"/>
        <w:rPr>
          <w:color w:val="auto"/>
          <w:szCs w:val="21"/>
          <w:highlight w:val="none"/>
        </w:rPr>
      </w:pPr>
      <w:r>
        <w:rPr>
          <w:color w:val="auto"/>
          <w:szCs w:val="21"/>
          <w:highlight w:val="none"/>
        </w:rPr>
        <w:t>提交的磋商保证金无效的或者未按照磋商文件的规定提交磋商保证金；</w:t>
      </w:r>
    </w:p>
    <w:p>
      <w:pPr>
        <w:numPr>
          <w:ilvl w:val="0"/>
          <w:numId w:val="5"/>
        </w:numPr>
        <w:spacing w:line="360" w:lineRule="auto"/>
        <w:ind w:left="0" w:firstLine="420" w:firstLineChars="200"/>
        <w:rPr>
          <w:color w:val="auto"/>
          <w:szCs w:val="21"/>
          <w:highlight w:val="none"/>
        </w:rPr>
      </w:pPr>
      <w:r>
        <w:rPr>
          <w:color w:val="auto"/>
          <w:szCs w:val="21"/>
          <w:highlight w:val="none"/>
        </w:rPr>
        <w:t>响应文件未提供任一项“供应商须知前附表” 报价</w:t>
      </w:r>
      <w:r>
        <w:rPr>
          <w:rFonts w:hint="eastAsia"/>
          <w:color w:val="auto"/>
          <w:szCs w:val="21"/>
          <w:highlight w:val="none"/>
        </w:rPr>
        <w:t>、</w:t>
      </w:r>
      <w:r>
        <w:rPr>
          <w:color w:val="auto"/>
          <w:szCs w:val="21"/>
          <w:highlight w:val="none"/>
        </w:rPr>
        <w:t>商务技术文件中 “必须提供”或者“委托时必须提供”的文件资料；响应文件提供的报价</w:t>
      </w:r>
      <w:r>
        <w:rPr>
          <w:rFonts w:hint="eastAsia"/>
          <w:color w:val="auto"/>
          <w:szCs w:val="21"/>
          <w:highlight w:val="none"/>
        </w:rPr>
        <w:t>、</w:t>
      </w:r>
      <w:r>
        <w:rPr>
          <w:color w:val="auto"/>
          <w:szCs w:val="21"/>
          <w:highlight w:val="none"/>
        </w:rPr>
        <w:t xml:space="preserve">商务技术文件出现任一项不符合“供应商须知前附表” </w:t>
      </w:r>
      <w:r>
        <w:rPr>
          <w:rFonts w:hint="eastAsia"/>
          <w:color w:val="auto"/>
          <w:szCs w:val="21"/>
          <w:highlight w:val="none"/>
        </w:rPr>
        <w:t>报价、商务</w:t>
      </w:r>
      <w:r>
        <w:rPr>
          <w:color w:val="auto"/>
          <w:szCs w:val="21"/>
          <w:highlight w:val="none"/>
        </w:rPr>
        <w:t>技术文件中 “必须提供”或者“委托时必须提供”文件资料要求的规定或者提供的</w:t>
      </w:r>
      <w:r>
        <w:rPr>
          <w:rFonts w:hint="eastAsia"/>
          <w:color w:val="auto"/>
          <w:szCs w:val="21"/>
          <w:highlight w:val="none"/>
        </w:rPr>
        <w:t>，报价、商务</w:t>
      </w:r>
      <w:r>
        <w:rPr>
          <w:color w:val="auto"/>
          <w:szCs w:val="21"/>
          <w:highlight w:val="none"/>
        </w:rPr>
        <w:t>技术文件无效。</w:t>
      </w:r>
    </w:p>
    <w:p>
      <w:pPr>
        <w:numPr>
          <w:ilvl w:val="0"/>
          <w:numId w:val="5"/>
        </w:numPr>
        <w:spacing w:line="360" w:lineRule="auto"/>
        <w:ind w:left="0" w:firstLine="420" w:firstLineChars="200"/>
        <w:rPr>
          <w:color w:val="auto"/>
          <w:szCs w:val="21"/>
          <w:highlight w:val="none"/>
        </w:rPr>
      </w:pPr>
      <w:r>
        <w:rPr>
          <w:color w:val="auto"/>
          <w:szCs w:val="21"/>
          <w:highlight w:val="none"/>
        </w:rPr>
        <w:t>未对竞标有效期作出响应或者响应文件承诺的竞标有效期不满足磋商文件要求；</w:t>
      </w:r>
    </w:p>
    <w:p>
      <w:pPr>
        <w:numPr>
          <w:ilvl w:val="0"/>
          <w:numId w:val="5"/>
        </w:numPr>
        <w:spacing w:line="360" w:lineRule="auto"/>
        <w:ind w:left="0" w:firstLine="420" w:firstLineChars="200"/>
        <w:rPr>
          <w:color w:val="auto"/>
          <w:szCs w:val="21"/>
          <w:highlight w:val="none"/>
        </w:rPr>
      </w:pPr>
      <w:r>
        <w:rPr>
          <w:color w:val="auto"/>
          <w:szCs w:val="21"/>
          <w:highlight w:val="none"/>
        </w:rPr>
        <w:t>响应文件的实质性内容未使用中文表述、使用计量单位不符合磋商文件要求；</w:t>
      </w:r>
    </w:p>
    <w:p>
      <w:pPr>
        <w:numPr>
          <w:ilvl w:val="0"/>
          <w:numId w:val="5"/>
        </w:numPr>
        <w:spacing w:line="360" w:lineRule="auto"/>
        <w:ind w:left="0" w:firstLine="420" w:firstLineChars="200"/>
        <w:rPr>
          <w:color w:val="auto"/>
          <w:szCs w:val="21"/>
          <w:highlight w:val="none"/>
        </w:rPr>
      </w:pPr>
      <w:r>
        <w:rPr>
          <w:color w:val="auto"/>
          <w:szCs w:val="21"/>
          <w:highlight w:val="none"/>
        </w:rPr>
        <w:t>响应文件中的文件资料因填写不齐全或者内容虚假或者出现其他情形而导致被磋商小组认定无效；</w:t>
      </w:r>
    </w:p>
    <w:p>
      <w:pPr>
        <w:numPr>
          <w:ilvl w:val="0"/>
          <w:numId w:val="5"/>
        </w:numPr>
        <w:spacing w:line="360" w:lineRule="auto"/>
        <w:ind w:left="0" w:firstLine="420" w:firstLineChars="200"/>
        <w:rPr>
          <w:color w:val="auto"/>
          <w:szCs w:val="21"/>
          <w:highlight w:val="none"/>
        </w:rPr>
      </w:pPr>
      <w:r>
        <w:rPr>
          <w:color w:val="auto"/>
          <w:szCs w:val="21"/>
          <w:highlight w:val="none"/>
        </w:rPr>
        <w:t>响应文件含有采购人不能接受的附加条件；</w:t>
      </w:r>
    </w:p>
    <w:p>
      <w:pPr>
        <w:numPr>
          <w:ilvl w:val="0"/>
          <w:numId w:val="5"/>
        </w:numPr>
        <w:spacing w:line="360" w:lineRule="auto"/>
        <w:ind w:left="0" w:firstLine="420" w:firstLineChars="200"/>
        <w:rPr>
          <w:color w:val="auto"/>
          <w:szCs w:val="21"/>
          <w:highlight w:val="none"/>
        </w:rPr>
      </w:pPr>
      <w:r>
        <w:rPr>
          <w:color w:val="auto"/>
          <w:szCs w:val="21"/>
          <w:highlight w:val="none"/>
        </w:rPr>
        <w:t>属于“供应商须知正文”第7.5条情形；</w:t>
      </w:r>
    </w:p>
    <w:p>
      <w:pPr>
        <w:numPr>
          <w:ilvl w:val="0"/>
          <w:numId w:val="5"/>
        </w:numPr>
        <w:spacing w:line="360" w:lineRule="auto"/>
        <w:ind w:left="0" w:firstLine="420" w:firstLineChars="200"/>
        <w:rPr>
          <w:color w:val="auto"/>
          <w:szCs w:val="21"/>
          <w:highlight w:val="none"/>
        </w:rPr>
      </w:pPr>
      <w:r>
        <w:rPr>
          <w:color w:val="auto"/>
          <w:szCs w:val="21"/>
          <w:highlight w:val="none"/>
        </w:rPr>
        <w:t>虚假竞标，或者出现其他情形而导致被磋商小组认定无效；</w:t>
      </w:r>
    </w:p>
    <w:p>
      <w:pPr>
        <w:numPr>
          <w:ilvl w:val="0"/>
          <w:numId w:val="5"/>
        </w:numPr>
        <w:spacing w:line="360" w:lineRule="auto"/>
        <w:ind w:left="0" w:firstLine="420" w:firstLineChars="200"/>
        <w:rPr>
          <w:color w:val="auto"/>
          <w:szCs w:val="21"/>
          <w:highlight w:val="none"/>
        </w:rPr>
      </w:pPr>
      <w:r>
        <w:rPr>
          <w:color w:val="auto"/>
          <w:szCs w:val="21"/>
          <w:highlight w:val="none"/>
        </w:rPr>
        <w:t>竞标技术方案不明确，磋商文件未允许但响应文件中存在一个或者一个以上备选（替代）竞标方案；</w:t>
      </w:r>
    </w:p>
    <w:p>
      <w:pPr>
        <w:numPr>
          <w:ilvl w:val="0"/>
          <w:numId w:val="5"/>
        </w:numPr>
        <w:spacing w:line="360" w:lineRule="auto"/>
        <w:ind w:left="0" w:firstLine="420" w:firstLineChars="200"/>
        <w:rPr>
          <w:color w:val="auto"/>
          <w:szCs w:val="21"/>
          <w:highlight w:val="none"/>
        </w:rPr>
      </w:pPr>
      <w:r>
        <w:rPr>
          <w:color w:val="auto"/>
          <w:szCs w:val="21"/>
          <w:highlight w:val="none"/>
        </w:rPr>
        <w:t>响应文件标注的项目名称或者项目编号与竞争性磋商文件标注的项目名称或者项目编号不一致的；</w:t>
      </w:r>
    </w:p>
    <w:p>
      <w:pPr>
        <w:numPr>
          <w:ilvl w:val="0"/>
          <w:numId w:val="5"/>
        </w:numPr>
        <w:spacing w:line="360" w:lineRule="auto"/>
        <w:ind w:left="0" w:firstLine="420" w:firstLineChars="200"/>
        <w:rPr>
          <w:color w:val="auto"/>
          <w:szCs w:val="21"/>
          <w:highlight w:val="none"/>
        </w:rPr>
      </w:pPr>
      <w:r>
        <w:rPr>
          <w:color w:val="auto"/>
          <w:szCs w:val="21"/>
          <w:highlight w:val="none"/>
        </w:rPr>
        <w:t>未响应磋商文件实质性要求；</w:t>
      </w:r>
    </w:p>
    <w:p>
      <w:pPr>
        <w:numPr>
          <w:ilvl w:val="0"/>
          <w:numId w:val="5"/>
        </w:numPr>
        <w:spacing w:line="360" w:lineRule="auto"/>
        <w:ind w:left="0" w:firstLine="420" w:firstLineChars="200"/>
        <w:rPr>
          <w:color w:val="auto"/>
          <w:szCs w:val="21"/>
          <w:highlight w:val="none"/>
        </w:rPr>
      </w:pPr>
      <w:r>
        <w:rPr>
          <w:rFonts w:hint="eastAsia"/>
          <w:color w:val="auto"/>
          <w:szCs w:val="21"/>
          <w:highlight w:val="none"/>
        </w:rPr>
        <w:t>安全生产费和规费、增值税不按我区费用定额及造价管理相关文件规定报价的；</w:t>
      </w:r>
    </w:p>
    <w:p>
      <w:pPr>
        <w:numPr>
          <w:ilvl w:val="0"/>
          <w:numId w:val="5"/>
        </w:numPr>
        <w:spacing w:line="360" w:lineRule="auto"/>
        <w:ind w:left="0" w:firstLine="420" w:firstLineChars="200"/>
        <w:rPr>
          <w:color w:val="auto"/>
          <w:szCs w:val="21"/>
          <w:highlight w:val="none"/>
        </w:rPr>
      </w:pPr>
      <w:r>
        <w:rPr>
          <w:rFonts w:hint="eastAsia"/>
          <w:color w:val="auto"/>
          <w:szCs w:val="21"/>
          <w:highlight w:val="none"/>
        </w:rPr>
        <w:t>供应商已标价工程量清单的子目号、</w:t>
      </w:r>
      <w:r>
        <w:rPr>
          <w:rFonts w:hint="eastAsia"/>
          <w:color w:val="auto"/>
          <w:highlight w:val="none"/>
        </w:rPr>
        <w:t>子目名称、</w:t>
      </w:r>
      <w:r>
        <w:rPr>
          <w:rFonts w:hint="eastAsia"/>
          <w:color w:val="auto"/>
          <w:szCs w:val="21"/>
          <w:highlight w:val="none"/>
        </w:rPr>
        <w:t>单位、数量任何一处与招标工程量清单不一致的；</w:t>
      </w:r>
    </w:p>
    <w:p>
      <w:pPr>
        <w:numPr>
          <w:ilvl w:val="0"/>
          <w:numId w:val="5"/>
        </w:numPr>
        <w:spacing w:line="360" w:lineRule="auto"/>
        <w:ind w:left="0" w:firstLine="420" w:firstLineChars="200"/>
        <w:rPr>
          <w:color w:val="auto"/>
          <w:szCs w:val="21"/>
          <w:highlight w:val="none"/>
        </w:rPr>
      </w:pPr>
      <w:r>
        <w:rPr>
          <w:rFonts w:hint="eastAsia"/>
          <w:color w:val="auto"/>
          <w:szCs w:val="21"/>
          <w:highlight w:val="none"/>
        </w:rPr>
        <w:t>供应商已标价工程量清单的项目（子目）名称与招标工程量清单不一致，评标委员会要求澄清、说明或补正，但供应商拒绝澄清、说明或补正的；</w:t>
      </w:r>
    </w:p>
    <w:p>
      <w:pPr>
        <w:numPr>
          <w:ilvl w:val="0"/>
          <w:numId w:val="5"/>
        </w:numPr>
        <w:spacing w:line="360" w:lineRule="auto"/>
        <w:ind w:left="0" w:firstLine="420" w:firstLineChars="200"/>
        <w:rPr>
          <w:color w:val="auto"/>
          <w:highlight w:val="none"/>
        </w:rPr>
      </w:pPr>
      <w:r>
        <w:rPr>
          <w:rFonts w:hint="eastAsia"/>
          <w:color w:val="auto"/>
          <w:szCs w:val="21"/>
          <w:highlight w:val="none"/>
        </w:rPr>
        <w:t>供应商对招标工程量清单内容进行增减或对磋商范围进行调整的。</w:t>
      </w:r>
    </w:p>
    <w:p>
      <w:pPr>
        <w:numPr>
          <w:ilvl w:val="0"/>
          <w:numId w:val="5"/>
        </w:numPr>
        <w:spacing w:line="360" w:lineRule="auto"/>
        <w:ind w:left="0" w:firstLine="420" w:firstLineChars="200"/>
        <w:rPr>
          <w:color w:val="auto"/>
          <w:szCs w:val="21"/>
          <w:highlight w:val="none"/>
        </w:rPr>
      </w:pPr>
      <w:r>
        <w:rPr>
          <w:color w:val="auto"/>
          <w:szCs w:val="21"/>
          <w:highlight w:val="none"/>
        </w:rPr>
        <w:t>法律、法规和磋商文件规定的其他无效情形。</w:t>
      </w:r>
    </w:p>
    <w:p>
      <w:pPr>
        <w:spacing w:line="360" w:lineRule="auto"/>
        <w:ind w:firstLine="420" w:firstLineChars="200"/>
        <w:rPr>
          <w:color w:val="auto"/>
          <w:szCs w:val="21"/>
          <w:highlight w:val="none"/>
        </w:rPr>
      </w:pPr>
      <w:r>
        <w:rPr>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color w:val="auto"/>
          <w:szCs w:val="21"/>
          <w:highlight w:val="none"/>
        </w:rPr>
      </w:pPr>
      <w:r>
        <w:rPr>
          <w:color w:val="auto"/>
          <w:szCs w:val="21"/>
          <w:highlight w:val="none"/>
        </w:rPr>
        <w:t>2.7通过符合性审查的合格供应商不足3家的，不得进入磋商环节，采购人或者采购代理机构应当重新开展采购活动。</w:t>
      </w:r>
    </w:p>
    <w:p>
      <w:pPr>
        <w:spacing w:line="360" w:lineRule="auto"/>
        <w:ind w:firstLine="422" w:firstLineChars="200"/>
        <w:rPr>
          <w:b/>
          <w:bCs/>
          <w:color w:val="auto"/>
          <w:szCs w:val="21"/>
          <w:highlight w:val="none"/>
        </w:rPr>
      </w:pPr>
      <w:r>
        <w:rPr>
          <w:b/>
          <w:bCs/>
          <w:color w:val="auto"/>
          <w:szCs w:val="21"/>
          <w:highlight w:val="none"/>
        </w:rPr>
        <w:t>3</w:t>
      </w:r>
      <w:r>
        <w:rPr>
          <w:color w:val="auto"/>
          <w:sz w:val="24"/>
          <w:highlight w:val="none"/>
        </w:rPr>
        <w:t>．</w:t>
      </w:r>
      <w:r>
        <w:rPr>
          <w:b/>
          <w:bCs/>
          <w:color w:val="auto"/>
          <w:szCs w:val="21"/>
          <w:highlight w:val="none"/>
        </w:rPr>
        <w:t>磋商程序</w:t>
      </w:r>
    </w:p>
    <w:p>
      <w:pPr>
        <w:spacing w:line="360" w:lineRule="auto"/>
        <w:ind w:firstLine="420" w:firstLineChars="200"/>
        <w:rPr>
          <w:color w:val="auto"/>
          <w:kern w:val="0"/>
          <w:szCs w:val="21"/>
          <w:highlight w:val="none"/>
        </w:rPr>
      </w:pPr>
      <w:r>
        <w:rPr>
          <w:color w:val="auto"/>
          <w:kern w:val="0"/>
          <w:szCs w:val="21"/>
          <w:highlight w:val="none"/>
        </w:rPr>
        <w:t>3.1磋商小组按照“供应商须知前附表”确定的</w:t>
      </w:r>
      <w:r>
        <w:rPr>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color w:val="auto"/>
          <w:szCs w:val="21"/>
          <w:highlight w:val="none"/>
        </w:rPr>
      </w:pPr>
      <w:r>
        <w:rPr>
          <w:color w:val="auto"/>
          <w:szCs w:val="21"/>
          <w:highlight w:val="none"/>
        </w:rPr>
        <w:t>3.2在磋商过程中，磋商小组可以根据磋商文件和磋商情况实质性变动合同草案条款，但不得变动磋商文件中的其他内容。实质性变动的内容，须经采购人代表确认。可能实质性变动的内容为合同草案条款。</w:t>
      </w:r>
    </w:p>
    <w:p>
      <w:pPr>
        <w:spacing w:line="360" w:lineRule="auto"/>
        <w:ind w:firstLine="420" w:firstLineChars="200"/>
        <w:rPr>
          <w:color w:val="auto"/>
          <w:szCs w:val="21"/>
          <w:highlight w:val="none"/>
        </w:rPr>
      </w:pPr>
      <w:r>
        <w:rPr>
          <w:color w:val="auto"/>
          <w:szCs w:val="21"/>
          <w:highlight w:val="none"/>
        </w:rPr>
        <w:t>3.3对磋商文件作出的实质性变动是磋商文件的有效组成部分，由磋商小组及时以书面形式同时通知所有参加磋商的供应商。</w:t>
      </w:r>
    </w:p>
    <w:p>
      <w:pPr>
        <w:spacing w:line="360" w:lineRule="auto"/>
        <w:ind w:firstLine="420" w:firstLineChars="200"/>
        <w:rPr>
          <w:color w:val="auto"/>
          <w:szCs w:val="21"/>
          <w:highlight w:val="none"/>
        </w:rPr>
      </w:pPr>
      <w:r>
        <w:rPr>
          <w:color w:val="auto"/>
          <w:szCs w:val="21"/>
          <w:highlight w:val="none"/>
        </w:rPr>
        <w:t>3.4供应商必须按照磋商文件的变动情况和磋商小组的要求重新提交响应文件，并由其法定代表人或者授权代表签字或者加盖公章。由委托代理人签字的，</w:t>
      </w:r>
      <w:r>
        <w:rPr>
          <w:bCs/>
          <w:color w:val="auto"/>
          <w:szCs w:val="21"/>
          <w:highlight w:val="none"/>
        </w:rPr>
        <w:t>若委托代理人不是响应文件中授权的委托代理人时，必须同时出示有效的法定代表人授权委托书原件</w:t>
      </w:r>
      <w:r>
        <w:rPr>
          <w:color w:val="auto"/>
          <w:szCs w:val="21"/>
          <w:highlight w:val="none"/>
        </w:rPr>
        <w:t>。供应商为自然人的，必须由本人签字并附身份证明。参加磋商的供应商未在规定时间内重新提交响应文件的，视同退出磋商。</w:t>
      </w:r>
    </w:p>
    <w:p>
      <w:pPr>
        <w:spacing w:line="360" w:lineRule="auto"/>
        <w:ind w:firstLine="420" w:firstLineChars="200"/>
        <w:rPr>
          <w:color w:val="auto"/>
          <w:szCs w:val="21"/>
          <w:highlight w:val="none"/>
        </w:rPr>
      </w:pPr>
      <w:r>
        <w:rPr>
          <w:color w:val="auto"/>
          <w:szCs w:val="21"/>
          <w:highlight w:val="none"/>
        </w:rPr>
        <w:t>3.5磋商中，</w:t>
      </w:r>
      <w:r>
        <w:rPr>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color w:val="auto"/>
          <w:szCs w:val="21"/>
          <w:highlight w:val="none"/>
        </w:rPr>
      </w:pPr>
      <w:r>
        <w:rPr>
          <w:color w:val="auto"/>
          <w:szCs w:val="21"/>
          <w:highlight w:val="none"/>
        </w:rPr>
        <w:t>3.6采购代理机构对磋商过程和重要磋商内容进行记录，磋商双方在记录上签字确认。</w:t>
      </w:r>
    </w:p>
    <w:p>
      <w:pPr>
        <w:widowControl/>
        <w:tabs>
          <w:tab w:val="left" w:pos="540"/>
        </w:tabs>
        <w:spacing w:line="360" w:lineRule="auto"/>
        <w:ind w:firstLine="420" w:firstLineChars="200"/>
        <w:jc w:val="left"/>
        <w:rPr>
          <w:color w:val="auto"/>
          <w:szCs w:val="21"/>
          <w:highlight w:val="none"/>
        </w:rPr>
      </w:pPr>
      <w:r>
        <w:rPr>
          <w:color w:val="auto"/>
          <w:szCs w:val="21"/>
          <w:highlight w:val="none"/>
        </w:rPr>
        <w:t>3.7磋商过程中重新提交的响应文件，供应商可以在开启前补充、修改。</w:t>
      </w:r>
    </w:p>
    <w:p>
      <w:pPr>
        <w:tabs>
          <w:tab w:val="left" w:pos="2835"/>
        </w:tabs>
        <w:spacing w:line="360" w:lineRule="auto"/>
        <w:ind w:firstLine="420" w:firstLineChars="200"/>
        <w:rPr>
          <w:color w:val="auto"/>
          <w:szCs w:val="21"/>
          <w:highlight w:val="none"/>
        </w:rPr>
      </w:pPr>
      <w:r>
        <w:rPr>
          <w:color w:val="auto"/>
          <w:szCs w:val="21"/>
          <w:highlight w:val="none"/>
        </w:rPr>
        <w:t>3.8对磋商过程提交的响应文件进行有效性、完整性和响应程度审查，通过审查的合格供应商不足3家的，采购人或者采购代理机构应当重新开展采购活动。</w:t>
      </w:r>
    </w:p>
    <w:p>
      <w:pPr>
        <w:spacing w:line="360" w:lineRule="auto"/>
        <w:ind w:firstLine="422" w:firstLineChars="200"/>
        <w:rPr>
          <w:color w:val="auto"/>
          <w:szCs w:val="21"/>
          <w:highlight w:val="none"/>
        </w:rPr>
      </w:pPr>
      <w:r>
        <w:rPr>
          <w:b/>
          <w:bCs/>
          <w:color w:val="auto"/>
          <w:szCs w:val="21"/>
          <w:highlight w:val="none"/>
        </w:rPr>
        <w:t>4</w:t>
      </w:r>
      <w:r>
        <w:rPr>
          <w:color w:val="auto"/>
          <w:sz w:val="24"/>
          <w:highlight w:val="none"/>
        </w:rPr>
        <w:t>．</w:t>
      </w:r>
      <w:r>
        <w:rPr>
          <w:b/>
          <w:bCs/>
          <w:color w:val="auto"/>
          <w:szCs w:val="21"/>
          <w:highlight w:val="none"/>
        </w:rPr>
        <w:t>最后报价</w:t>
      </w:r>
    </w:p>
    <w:p>
      <w:pPr>
        <w:spacing w:line="360" w:lineRule="auto"/>
        <w:ind w:firstLine="420" w:firstLineChars="200"/>
        <w:rPr>
          <w:color w:val="auto"/>
          <w:szCs w:val="21"/>
          <w:highlight w:val="none"/>
        </w:rPr>
      </w:pPr>
      <w:r>
        <w:rPr>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4.1磋商文件能够详细列明采购标的的技术、服务要求的，磋商结束后，由磋商小组要求所有继续参加磋商的供应商在规定时间内密封提交最后报价，提交最后报价的供应商不得少于3家，否则必须重新采购。</w:t>
      </w:r>
    </w:p>
    <w:p>
      <w:pPr>
        <w:spacing w:line="360" w:lineRule="auto"/>
        <w:ind w:firstLine="420" w:firstLineChars="200"/>
        <w:rPr>
          <w:color w:val="auto"/>
          <w:szCs w:val="21"/>
          <w:highlight w:val="none"/>
        </w:rPr>
      </w:pPr>
      <w:r>
        <w:rPr>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3</w:t>
      </w:r>
      <w:r>
        <w:rPr>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4</w:t>
      </w:r>
      <w:r>
        <w:rPr>
          <w:color w:val="auto"/>
          <w:szCs w:val="21"/>
          <w:highlight w:val="none"/>
        </w:rPr>
        <w:t>供应商未在规定时间内提交最后报价的，视同退出磋商。</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5</w:t>
      </w:r>
      <w:r>
        <w:rPr>
          <w:color w:val="auto"/>
          <w:szCs w:val="21"/>
          <w:highlight w:val="none"/>
        </w:rPr>
        <w:t>磋商小组收齐某一分标最后报价后统一开启，磋商小组对最后报价进行有效性、完整性和响应程度的审查。</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6</w:t>
      </w:r>
      <w:r>
        <w:rPr>
          <w:color w:val="auto"/>
          <w:szCs w:val="21"/>
          <w:highlight w:val="none"/>
        </w:rPr>
        <w:t>响应文件最后报价</w:t>
      </w:r>
      <w:r>
        <w:rPr>
          <w:rFonts w:hint="eastAsia"/>
          <w:color w:val="auto"/>
          <w:szCs w:val="21"/>
          <w:highlight w:val="none"/>
        </w:rPr>
        <w:t>的报价函与最后工程量清单报价</w:t>
      </w:r>
      <w:r>
        <w:rPr>
          <w:color w:val="auto"/>
          <w:szCs w:val="21"/>
          <w:highlight w:val="none"/>
        </w:rPr>
        <w:t xml:space="preserve">不一致的，按照本章第2.4条的规定修正。 </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7</w:t>
      </w:r>
      <w:r>
        <w:rPr>
          <w:color w:val="auto"/>
          <w:szCs w:val="21"/>
          <w:highlight w:val="none"/>
        </w:rPr>
        <w:t>修正后的报价出现下列情形的，按无效响应处理：</w:t>
      </w:r>
    </w:p>
    <w:p>
      <w:pPr>
        <w:spacing w:line="360" w:lineRule="auto"/>
        <w:ind w:firstLine="420" w:firstLineChars="200"/>
        <w:rPr>
          <w:color w:val="auto"/>
          <w:szCs w:val="21"/>
          <w:highlight w:val="none"/>
        </w:rPr>
      </w:pPr>
      <w:r>
        <w:rPr>
          <w:color w:val="auto"/>
          <w:szCs w:val="21"/>
          <w:highlight w:val="none"/>
        </w:rPr>
        <w:t>（1）供应商不确认的；</w:t>
      </w:r>
    </w:p>
    <w:p>
      <w:pPr>
        <w:spacing w:line="360" w:lineRule="auto"/>
        <w:ind w:firstLine="420" w:firstLineChars="200"/>
        <w:rPr>
          <w:color w:val="auto"/>
          <w:szCs w:val="21"/>
          <w:highlight w:val="none"/>
        </w:rPr>
      </w:pPr>
      <w:r>
        <w:rPr>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color w:val="auto"/>
          <w:szCs w:val="21"/>
          <w:highlight w:val="none"/>
        </w:rPr>
      </w:pPr>
      <w:r>
        <w:rPr>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8</w:t>
      </w:r>
      <w:r>
        <w:rPr>
          <w:color w:val="auto"/>
          <w:szCs w:val="21"/>
          <w:highlight w:val="none"/>
        </w:rPr>
        <w:t>经供应商确认修正后的最后报价作为评审及签订合同的依据。</w:t>
      </w:r>
    </w:p>
    <w:p>
      <w:pPr>
        <w:spacing w:line="360" w:lineRule="auto"/>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9</w:t>
      </w:r>
      <w:r>
        <w:rPr>
          <w:color w:val="auto"/>
          <w:szCs w:val="21"/>
          <w:highlight w:val="none"/>
        </w:rPr>
        <w:t>供应商出现最后报价按无效响应处理或者响应文件按无效处理时，磋商小组应当告知有关供应商。</w:t>
      </w:r>
    </w:p>
    <w:p>
      <w:pPr>
        <w:spacing w:line="360" w:lineRule="auto"/>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10</w:t>
      </w:r>
      <w:r>
        <w:rPr>
          <w:color w:val="auto"/>
          <w:szCs w:val="21"/>
          <w:highlight w:val="none"/>
        </w:rPr>
        <w:t>最后报价结束后，磋商小组不得再与供应商进行任何形式的商谈。</w:t>
      </w:r>
    </w:p>
    <w:p>
      <w:pPr>
        <w:pStyle w:val="12"/>
        <w:spacing w:line="400" w:lineRule="exact"/>
        <w:ind w:left="2" w:leftChars="1" w:firstLine="420" w:firstLineChars="200"/>
        <w:rPr>
          <w:rFonts w:ascii="Times New Roman" w:hAnsi="Times New Roman"/>
          <w:color w:val="auto"/>
          <w:highlight w:val="none"/>
        </w:rPr>
      </w:pPr>
      <w:r>
        <w:rPr>
          <w:rFonts w:hint="eastAsia" w:ascii="Times New Roman" w:hAnsi="Times New Roman"/>
          <w:color w:val="auto"/>
          <w:highlight w:val="none"/>
        </w:rPr>
        <w:t>4.11</w:t>
      </w:r>
      <w:r>
        <w:rPr>
          <w:rFonts w:ascii="Times New Roman" w:hAnsi="Times New Roman"/>
          <w:color w:val="auto"/>
          <w:highlight w:val="none"/>
        </w:rPr>
        <w:t>本工程的磋商报价不准使用报价调整函</w:t>
      </w:r>
      <w:r>
        <w:rPr>
          <w:rFonts w:hint="eastAsia" w:ascii="Times New Roman" w:hAnsi="Times New Roman"/>
          <w:color w:val="auto"/>
          <w:highlight w:val="none"/>
        </w:rPr>
        <w:t>，</w:t>
      </w:r>
      <w:r>
        <w:rPr>
          <w:rFonts w:ascii="Times New Roman" w:hAnsi="Times New Roman"/>
          <w:color w:val="auto"/>
          <w:highlight w:val="none"/>
        </w:rPr>
        <w:t>磋商函中的报价必须与</w:t>
      </w:r>
      <w:r>
        <w:rPr>
          <w:rFonts w:hint="eastAsia" w:ascii="Times New Roman" w:hAnsi="Times New Roman"/>
          <w:color w:val="auto"/>
          <w:highlight w:val="none"/>
        </w:rPr>
        <w:t>已标价工程量清单</w:t>
      </w:r>
      <w:r>
        <w:rPr>
          <w:rFonts w:ascii="Times New Roman" w:hAnsi="Times New Roman"/>
          <w:color w:val="auto"/>
          <w:highlight w:val="none"/>
        </w:rPr>
        <w:t>一致，否则作无效磋商处理。</w:t>
      </w:r>
      <w:r>
        <w:rPr>
          <w:rFonts w:hint="eastAsia" w:ascii="Times New Roman" w:hAnsi="Times New Roman"/>
          <w:color w:val="auto"/>
          <w:highlight w:val="none"/>
        </w:rPr>
        <w:t>磋商小组应当要求所有继续参加磋商的供应商在规定时间内密封提交最后报价，提交最后报价的供应商不得少于 3 家。供应商应采用已标价工程量清单方式报价，磋商供应商应预先准备好调整后的已标价工程量清单并提供电子版作为应答文件的一部分一并上传递交，其编制依据及计算规则与首次报价的相同。否则，该竞标报价将被视为无效。</w:t>
      </w:r>
    </w:p>
    <w:p>
      <w:pPr>
        <w:spacing w:line="360" w:lineRule="auto"/>
        <w:ind w:firstLine="422" w:firstLineChars="200"/>
        <w:rPr>
          <w:b/>
          <w:bCs/>
          <w:color w:val="auto"/>
          <w:szCs w:val="21"/>
          <w:highlight w:val="none"/>
        </w:rPr>
      </w:pPr>
      <w:r>
        <w:rPr>
          <w:b/>
          <w:bCs/>
          <w:color w:val="auto"/>
          <w:szCs w:val="21"/>
          <w:highlight w:val="none"/>
        </w:rPr>
        <w:t>5</w:t>
      </w:r>
      <w:r>
        <w:rPr>
          <w:color w:val="auto"/>
          <w:sz w:val="24"/>
          <w:highlight w:val="none"/>
        </w:rPr>
        <w:t>．</w:t>
      </w:r>
      <w:r>
        <w:rPr>
          <w:b/>
          <w:bCs/>
          <w:color w:val="auto"/>
          <w:szCs w:val="21"/>
          <w:highlight w:val="none"/>
        </w:rPr>
        <w:t>比较与评价</w:t>
      </w:r>
    </w:p>
    <w:p>
      <w:pPr>
        <w:spacing w:line="360" w:lineRule="auto"/>
        <w:ind w:firstLine="420" w:firstLineChars="200"/>
        <w:rPr>
          <w:color w:val="auto"/>
          <w:szCs w:val="21"/>
          <w:highlight w:val="none"/>
        </w:rPr>
      </w:pPr>
      <w:r>
        <w:rPr>
          <w:color w:val="auto"/>
          <w:szCs w:val="21"/>
          <w:highlight w:val="none"/>
        </w:rPr>
        <w:t>5.1评审方法：综合评分法。</w:t>
      </w:r>
    </w:p>
    <w:p>
      <w:pPr>
        <w:spacing w:line="360" w:lineRule="auto"/>
        <w:ind w:firstLine="420" w:firstLineChars="200"/>
        <w:rPr>
          <w:color w:val="auto"/>
          <w:szCs w:val="21"/>
          <w:highlight w:val="none"/>
        </w:rPr>
      </w:pPr>
      <w:r>
        <w:rPr>
          <w:color w:val="auto"/>
          <w:szCs w:val="21"/>
          <w:highlight w:val="none"/>
        </w:rPr>
        <w:t>5.2经磋商确定</w:t>
      </w:r>
      <w:r>
        <w:rPr>
          <w:rFonts w:hint="eastAsia"/>
          <w:color w:val="auto"/>
          <w:szCs w:val="21"/>
          <w:highlight w:val="none"/>
        </w:rPr>
        <w:t>并</w:t>
      </w:r>
      <w:r>
        <w:rPr>
          <w:color w:val="auto"/>
          <w:szCs w:val="21"/>
          <w:highlight w:val="none"/>
        </w:rPr>
        <w:t>提交最后报价的供应商后，由磋商小组采用综合评分法对提交最后报价的供应商的响应文件和最后报价进行综合评分。</w:t>
      </w:r>
    </w:p>
    <w:p>
      <w:pPr>
        <w:spacing w:line="360" w:lineRule="auto"/>
        <w:ind w:firstLine="420" w:firstLineChars="200"/>
        <w:rPr>
          <w:color w:val="auto"/>
          <w:szCs w:val="21"/>
          <w:highlight w:val="none"/>
        </w:rPr>
      </w:pPr>
      <w:r>
        <w:rPr>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color w:val="auto"/>
          <w:szCs w:val="21"/>
          <w:highlight w:val="none"/>
        </w:rPr>
      </w:pPr>
      <w:r>
        <w:rPr>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color w:val="auto"/>
          <w:szCs w:val="21"/>
          <w:highlight w:val="none"/>
        </w:rPr>
      </w:pPr>
      <w:r>
        <w:rPr>
          <w:color w:val="auto"/>
          <w:szCs w:val="21"/>
          <w:highlight w:val="none"/>
        </w:rPr>
        <w:t>（2）各供应商的得分为磋商小组所有成员的有效评分的算术平均数。</w:t>
      </w:r>
    </w:p>
    <w:p>
      <w:pPr>
        <w:spacing w:line="360" w:lineRule="auto"/>
        <w:ind w:firstLine="420" w:firstLineChars="200"/>
        <w:rPr>
          <w:color w:val="auto"/>
          <w:szCs w:val="21"/>
          <w:highlight w:val="none"/>
        </w:rPr>
      </w:pPr>
      <w:r>
        <w:rPr>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color w:val="auto"/>
          <w:kern w:val="0"/>
          <w:szCs w:val="21"/>
          <w:highlight w:val="none"/>
        </w:rPr>
      </w:pPr>
      <w:r>
        <w:rPr>
          <w:color w:val="auto"/>
          <w:szCs w:val="21"/>
          <w:highlight w:val="none"/>
        </w:rPr>
        <w:t>5.5由磋商小组根据综合评分情况，按照评审</w:t>
      </w:r>
      <w:r>
        <w:rPr>
          <w:rFonts w:hint="eastAsia"/>
          <w:color w:val="auto"/>
          <w:szCs w:val="21"/>
          <w:highlight w:val="none"/>
        </w:rPr>
        <w:t>总</w:t>
      </w:r>
      <w:r>
        <w:rPr>
          <w:color w:val="auto"/>
          <w:szCs w:val="21"/>
          <w:highlight w:val="none"/>
        </w:rPr>
        <w:t>得分由高到低顺序推荐3名以上成交候选供应商，并编写评</w:t>
      </w:r>
      <w:r>
        <w:rPr>
          <w:color w:val="auto"/>
          <w:kern w:val="0"/>
          <w:szCs w:val="21"/>
          <w:highlight w:val="none"/>
        </w:rPr>
        <w:t>审报告。评审</w:t>
      </w:r>
      <w:r>
        <w:rPr>
          <w:rFonts w:hint="eastAsia"/>
          <w:color w:val="auto"/>
          <w:kern w:val="0"/>
          <w:szCs w:val="21"/>
          <w:highlight w:val="none"/>
        </w:rPr>
        <w:t>总</w:t>
      </w:r>
      <w:r>
        <w:rPr>
          <w:color w:val="auto"/>
          <w:kern w:val="0"/>
          <w:szCs w:val="21"/>
          <w:highlight w:val="none"/>
        </w:rPr>
        <w:t>得分相同的，按照最后报价由低到高的顺序推荐。评审</w:t>
      </w:r>
      <w:r>
        <w:rPr>
          <w:rFonts w:hint="eastAsia"/>
          <w:color w:val="auto"/>
          <w:kern w:val="0"/>
          <w:szCs w:val="21"/>
          <w:highlight w:val="none"/>
        </w:rPr>
        <w:t>总</w:t>
      </w:r>
      <w:r>
        <w:rPr>
          <w:color w:val="auto"/>
          <w:kern w:val="0"/>
          <w:szCs w:val="21"/>
          <w:highlight w:val="none"/>
        </w:rPr>
        <w:t>得分且最后报价相同的，按照技术指标优劣顺序推荐。</w:t>
      </w:r>
    </w:p>
    <w:p>
      <w:pPr>
        <w:spacing w:line="360" w:lineRule="auto"/>
        <w:ind w:firstLine="420" w:firstLineChars="200"/>
        <w:rPr>
          <w:color w:val="auto"/>
          <w:kern w:val="0"/>
          <w:szCs w:val="21"/>
          <w:highlight w:val="none"/>
        </w:rPr>
      </w:pPr>
      <w:r>
        <w:rPr>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exact"/>
        <w:jc w:val="center"/>
        <w:outlineLvl w:val="1"/>
        <w:rPr>
          <w:rFonts w:ascii="宋体" w:hAnsi="宋体"/>
          <w:b/>
          <w:color w:val="auto"/>
          <w:sz w:val="28"/>
          <w:szCs w:val="28"/>
          <w:highlight w:val="none"/>
        </w:rPr>
      </w:pPr>
      <w:r>
        <w:rPr>
          <w:rFonts w:ascii="宋体" w:hAnsi="宋体"/>
          <w:b/>
          <w:color w:val="auto"/>
          <w:sz w:val="28"/>
          <w:szCs w:val="28"/>
          <w:highlight w:val="none"/>
        </w:rPr>
        <w:br w:type="page"/>
      </w:r>
      <w:bookmarkStart w:id="172" w:name="_Toc27134"/>
      <w:bookmarkStart w:id="173" w:name="_Toc12821"/>
      <w:r>
        <w:rPr>
          <w:rFonts w:ascii="宋体" w:hAnsi="宋体"/>
          <w:b/>
          <w:color w:val="auto"/>
          <w:sz w:val="28"/>
          <w:szCs w:val="28"/>
          <w:highlight w:val="none"/>
        </w:rPr>
        <w:t>二、评审标准</w:t>
      </w:r>
      <w:bookmarkEnd w:id="172"/>
      <w:bookmarkEnd w:id="173"/>
    </w:p>
    <w:p>
      <w:pPr>
        <w:spacing w:line="360" w:lineRule="auto"/>
        <w:ind w:firstLine="420" w:firstLineChars="200"/>
        <w:rPr>
          <w:bCs/>
          <w:color w:val="auto"/>
          <w:szCs w:val="21"/>
          <w:highlight w:val="none"/>
        </w:rPr>
      </w:pPr>
    </w:p>
    <w:p>
      <w:pPr>
        <w:spacing w:line="420" w:lineRule="exact"/>
        <w:rPr>
          <w:bCs/>
          <w:color w:val="auto"/>
          <w:szCs w:val="21"/>
          <w:highlight w:val="none"/>
        </w:rPr>
      </w:pPr>
      <w:r>
        <w:rPr>
          <w:bCs/>
          <w:color w:val="auto"/>
          <w:szCs w:val="21"/>
          <w:highlight w:val="none"/>
        </w:rPr>
        <w:t>评审依据：磋商小组将以磋商响应文件为评审依据，对供应商的报价、技术、商务等方面内容按百分制打分。（计分方法按四舍五入取至百分位）</w:t>
      </w:r>
    </w:p>
    <w:tbl>
      <w:tblPr>
        <w:tblStyle w:val="21"/>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noWrap/>
            <w:vAlign w:val="center"/>
          </w:tcPr>
          <w:p>
            <w:pPr>
              <w:adjustRightInd w:val="0"/>
              <w:spacing w:line="410" w:lineRule="exact"/>
              <w:ind w:firstLine="422"/>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701" w:type="dxa"/>
            <w:noWrap/>
            <w:vAlign w:val="center"/>
          </w:tcPr>
          <w:p>
            <w:pPr>
              <w:adjustRightInd w:val="0"/>
              <w:spacing w:line="410" w:lineRule="exact"/>
              <w:ind w:firstLine="422"/>
              <w:jc w:val="center"/>
              <w:textAlignment w:val="baseline"/>
              <w:rPr>
                <w:rFonts w:ascii="宋体" w:hAnsi="宋体"/>
                <w:b/>
                <w:color w:val="auto"/>
                <w:szCs w:val="21"/>
                <w:highlight w:val="none"/>
              </w:rPr>
            </w:pPr>
            <w:r>
              <w:rPr>
                <w:rFonts w:hint="eastAsia" w:ascii="宋体" w:hAnsi="宋体"/>
                <w:b/>
                <w:color w:val="auto"/>
                <w:szCs w:val="21"/>
                <w:highlight w:val="none"/>
              </w:rPr>
              <w:t>评审因素</w:t>
            </w:r>
          </w:p>
        </w:tc>
        <w:tc>
          <w:tcPr>
            <w:tcW w:w="5660" w:type="dxa"/>
            <w:noWrap/>
            <w:vAlign w:val="center"/>
          </w:tcPr>
          <w:p>
            <w:pPr>
              <w:adjustRightInd w:val="0"/>
              <w:spacing w:line="410" w:lineRule="exact"/>
              <w:ind w:firstLine="422"/>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562" w:type="dxa"/>
            <w:noWrap/>
            <w:vAlign w:val="center"/>
          </w:tcPr>
          <w:p>
            <w:pPr>
              <w:adjustRightInd w:val="0"/>
              <w:spacing w:line="360" w:lineRule="exact"/>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1585" w:type="dxa"/>
            <w:noWrap/>
            <w:vAlign w:val="center"/>
          </w:tcPr>
          <w:p>
            <w:pPr>
              <w:adjustRightInd w:val="0"/>
              <w:spacing w:line="360" w:lineRule="exact"/>
              <w:textAlignment w:val="baseline"/>
              <w:rPr>
                <w:rFonts w:ascii="宋体" w:hAnsi="宋体"/>
                <w:b/>
                <w:bCs/>
                <w:color w:val="auto"/>
                <w:szCs w:val="21"/>
                <w:highlight w:val="none"/>
              </w:rPr>
            </w:pPr>
            <w:r>
              <w:rPr>
                <w:rFonts w:hint="eastAsia" w:ascii="宋体" w:hAnsi="宋体"/>
                <w:b/>
                <w:bCs/>
                <w:color w:val="auto"/>
                <w:szCs w:val="21"/>
                <w:highlight w:val="none"/>
              </w:rPr>
              <w:t>价格分</w:t>
            </w:r>
          </w:p>
          <w:p>
            <w:pPr>
              <w:adjustRightInd w:val="0"/>
              <w:spacing w:line="360" w:lineRule="exact"/>
              <w:textAlignment w:val="baseline"/>
              <w:rPr>
                <w:rFonts w:ascii="宋体" w:hAnsi="宋体"/>
                <w:b/>
                <w:bCs/>
                <w:color w:val="auto"/>
                <w:szCs w:val="21"/>
                <w:highlight w:val="none"/>
              </w:rPr>
            </w:pPr>
            <w:r>
              <w:rPr>
                <w:rFonts w:hint="eastAsia" w:ascii="宋体" w:hAnsi="宋体"/>
                <w:b/>
                <w:bCs/>
                <w:color w:val="auto"/>
                <w:szCs w:val="21"/>
                <w:highlight w:val="none"/>
              </w:rPr>
              <w:t>（满分</w:t>
            </w:r>
            <w:r>
              <w:rPr>
                <w:rFonts w:hint="eastAsia" w:ascii="宋体" w:hAnsi="宋体"/>
                <w:b/>
                <w:bCs/>
                <w:color w:val="auto"/>
                <w:szCs w:val="21"/>
                <w:highlight w:val="none"/>
                <w:u w:val="single"/>
              </w:rPr>
              <w:t>10</w:t>
            </w:r>
            <w:r>
              <w:rPr>
                <w:rFonts w:hint="eastAsia" w:ascii="宋体" w:hAnsi="宋体"/>
                <w:b/>
                <w:bCs/>
                <w:color w:val="auto"/>
                <w:szCs w:val="21"/>
                <w:highlight w:val="none"/>
              </w:rPr>
              <w:t>分）</w:t>
            </w:r>
          </w:p>
        </w:tc>
        <w:tc>
          <w:tcPr>
            <w:tcW w:w="1701" w:type="dxa"/>
            <w:noWrap/>
            <w:vAlign w:val="center"/>
          </w:tcPr>
          <w:p>
            <w:pPr>
              <w:adjustRightInd w:val="0"/>
              <w:spacing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投标报价</w:t>
            </w:r>
          </w:p>
        </w:tc>
        <w:tc>
          <w:tcPr>
            <w:tcW w:w="5660" w:type="dxa"/>
            <w:noWrap/>
            <w:vAlign w:val="center"/>
          </w:tcPr>
          <w:p>
            <w:pPr>
              <w:pStyle w:val="8"/>
              <w:spacing w:before="235" w:line="360" w:lineRule="auto"/>
              <w:ind w:left="2" w:right="56" w:firstLine="428"/>
              <w:jc w:val="both"/>
              <w:rPr>
                <w:rFonts w:ascii="宋体" w:hAnsi="宋体" w:cs="宋体"/>
                <w:b/>
                <w:bCs/>
                <w:color w:val="auto"/>
                <w:spacing w:val="9"/>
                <w:sz w:val="21"/>
                <w:szCs w:val="21"/>
                <w:highlight w:val="none"/>
              </w:rPr>
            </w:pPr>
            <w:r>
              <w:rPr>
                <w:rFonts w:hint="eastAsia" w:ascii="宋体" w:hAnsi="宋体" w:cs="宋体"/>
                <w:b/>
                <w:bCs/>
                <w:color w:val="auto"/>
                <w:spacing w:val="9"/>
                <w:sz w:val="21"/>
                <w:szCs w:val="21"/>
                <w:highlight w:val="none"/>
              </w:rPr>
              <w:t>1、</w:t>
            </w:r>
            <w:r>
              <w:rPr>
                <w:rFonts w:ascii="宋体" w:hAnsi="宋体" w:cs="宋体"/>
                <w:b/>
                <w:bCs/>
                <w:color w:val="auto"/>
                <w:spacing w:val="9"/>
                <w:sz w:val="21"/>
                <w:szCs w:val="21"/>
                <w:highlight w:val="none"/>
              </w:rPr>
              <w:t>因本项属于专门面向中小企业采购，故小型和微型企业不享受价格扣除优惠政策。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2、满足招标文件要求且评标报价最低的评标报价为评标基准价，其价格分为满分。</w:t>
            </w:r>
          </w:p>
          <w:p>
            <w:pPr>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3、价格分计算公式：</w:t>
            </w:r>
          </w:p>
          <w:p>
            <w:pPr>
              <w:spacing w:line="240" w:lineRule="exact"/>
              <w:rPr>
                <w:rFonts w:ascii="宋体" w:hAnsi="宋体" w:cs="Courier New"/>
                <w:bCs/>
                <w:color w:val="auto"/>
                <w:szCs w:val="21"/>
                <w:highlight w:val="none"/>
              </w:rPr>
            </w:pPr>
            <w:r>
              <w:rPr>
                <w:rFonts w:hint="eastAsia" w:ascii="宋体" w:hAnsi="宋体"/>
                <w:bCs/>
                <w:color w:val="auto"/>
                <w:szCs w:val="21"/>
                <w:highlight w:val="none"/>
              </w:rPr>
              <w:t>价格分</w:t>
            </w:r>
            <w:r>
              <w:rPr>
                <w:rFonts w:hint="eastAsia" w:ascii="宋体" w:hAnsi="宋体" w:cs="Courier New"/>
                <w:bCs/>
                <w:color w:val="auto"/>
                <w:szCs w:val="21"/>
                <w:highlight w:val="none"/>
              </w:rPr>
              <w:t>=（评标基准价／评标报价）×</w:t>
            </w:r>
            <w:r>
              <w:rPr>
                <w:rFonts w:hint="eastAsia" w:ascii="宋体" w:hAnsi="宋体"/>
                <w:bCs/>
                <w:color w:val="auto"/>
                <w:szCs w:val="21"/>
                <w:highlight w:val="none"/>
                <w:u w:val="single"/>
              </w:rPr>
              <w:t>10</w:t>
            </w:r>
            <w:r>
              <w:rPr>
                <w:rFonts w:hint="eastAsia" w:ascii="宋体" w:hAnsi="宋体" w:cs="Courier New"/>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562" w:type="dxa"/>
            <w:vMerge w:val="restart"/>
            <w:noWrap/>
            <w:vAlign w:val="center"/>
          </w:tcPr>
          <w:p>
            <w:pPr>
              <w:adjustRightInd w:val="0"/>
              <w:spacing w:line="36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1585" w:type="dxa"/>
            <w:vMerge w:val="restart"/>
            <w:noWrap/>
            <w:vAlign w:val="center"/>
          </w:tcPr>
          <w:p>
            <w:pPr>
              <w:adjustRightInd w:val="0"/>
              <w:spacing w:line="360" w:lineRule="exact"/>
              <w:ind w:firstLine="422"/>
              <w:jc w:val="center"/>
              <w:textAlignment w:val="baseline"/>
              <w:rPr>
                <w:rFonts w:ascii="宋体" w:hAnsi="宋体"/>
                <w:b/>
                <w:bCs/>
                <w:color w:val="auto"/>
                <w:szCs w:val="21"/>
                <w:highlight w:val="none"/>
              </w:rPr>
            </w:pPr>
            <w:r>
              <w:rPr>
                <w:rFonts w:hint="eastAsia" w:ascii="宋体" w:hAnsi="宋体"/>
                <w:b/>
                <w:bCs/>
                <w:color w:val="auto"/>
                <w:szCs w:val="21"/>
                <w:highlight w:val="none"/>
              </w:rPr>
              <w:t>企业实力分（满分</w:t>
            </w:r>
            <w:r>
              <w:rPr>
                <w:rFonts w:hint="eastAsia" w:ascii="宋体" w:hAnsi="宋体"/>
                <w:b/>
                <w:bCs/>
                <w:color w:val="auto"/>
                <w:szCs w:val="21"/>
                <w:highlight w:val="none"/>
                <w:u w:val="single"/>
              </w:rPr>
              <w:t>20</w:t>
            </w:r>
            <w:r>
              <w:rPr>
                <w:rFonts w:hint="eastAsia" w:ascii="宋体" w:hAnsi="宋体"/>
                <w:b/>
                <w:bCs/>
                <w:color w:val="auto"/>
                <w:szCs w:val="21"/>
                <w:highlight w:val="none"/>
              </w:rPr>
              <w:t>分）</w:t>
            </w:r>
          </w:p>
        </w:tc>
        <w:tc>
          <w:tcPr>
            <w:tcW w:w="1701" w:type="dxa"/>
            <w:noWrap/>
            <w:vAlign w:val="center"/>
          </w:tcPr>
          <w:p>
            <w:pPr>
              <w:adjustRightInd w:val="0"/>
              <w:spacing w:line="360" w:lineRule="exact"/>
              <w:jc w:val="center"/>
              <w:textAlignment w:val="baseline"/>
              <w:rPr>
                <w:rFonts w:ascii="宋体" w:hAnsi="宋体"/>
                <w:b/>
                <w:bCs/>
                <w:color w:val="auto"/>
                <w:szCs w:val="21"/>
                <w:highlight w:val="none"/>
              </w:rPr>
            </w:pPr>
            <w:r>
              <w:rPr>
                <w:rFonts w:hint="eastAsia" w:ascii="宋体" w:hAnsi="宋体"/>
                <w:b/>
                <w:color w:val="auto"/>
                <w:szCs w:val="21"/>
                <w:highlight w:val="none"/>
              </w:rPr>
              <w:t>业绩</w:t>
            </w:r>
            <w:r>
              <w:rPr>
                <w:rFonts w:hint="eastAsia" w:ascii="宋体" w:hAnsi="宋体"/>
                <w:b/>
                <w:bCs/>
                <w:color w:val="auto"/>
                <w:szCs w:val="21"/>
                <w:highlight w:val="none"/>
              </w:rPr>
              <w:t>（满分</w:t>
            </w:r>
            <w:r>
              <w:rPr>
                <w:rFonts w:hint="eastAsia" w:ascii="宋体" w:hAnsi="宋体"/>
                <w:b/>
                <w:bCs/>
                <w:color w:val="auto"/>
                <w:szCs w:val="21"/>
                <w:highlight w:val="none"/>
                <w:u w:val="single"/>
              </w:rPr>
              <w:t>10</w:t>
            </w:r>
            <w:r>
              <w:rPr>
                <w:rFonts w:hint="eastAsia" w:ascii="宋体" w:hAnsi="宋体"/>
                <w:b/>
                <w:bCs/>
                <w:color w:val="auto"/>
                <w:szCs w:val="21"/>
                <w:highlight w:val="none"/>
              </w:rPr>
              <w:t>分）</w:t>
            </w:r>
          </w:p>
        </w:tc>
        <w:tc>
          <w:tcPr>
            <w:tcW w:w="5660" w:type="dxa"/>
            <w:noWrap/>
            <w:vAlign w:val="center"/>
          </w:tcPr>
          <w:p>
            <w:pPr>
              <w:spacing w:line="360" w:lineRule="auto"/>
              <w:ind w:left="10" w:leftChars="5" w:firstLine="420" w:firstLineChars="200"/>
              <w:rPr>
                <w:rFonts w:ascii="宋体" w:hAnsi="宋体"/>
                <w:bCs/>
                <w:color w:val="auto"/>
                <w:szCs w:val="21"/>
                <w:highlight w:val="none"/>
              </w:rPr>
            </w:pPr>
            <w:r>
              <w:rPr>
                <w:rFonts w:hint="eastAsia" w:ascii="宋体" w:hAnsi="宋体"/>
                <w:color w:val="auto"/>
                <w:szCs w:val="21"/>
                <w:highlight w:val="none"/>
              </w:rPr>
              <w:t>供应商自 2020 年 1 月以来至今完成过类似路桥改造项目业绩的每个得5分，满分</w:t>
            </w:r>
            <w:r>
              <w:rPr>
                <w:rFonts w:ascii="宋体" w:hAnsi="宋体"/>
                <w:color w:val="auto"/>
                <w:szCs w:val="21"/>
                <w:highlight w:val="none"/>
              </w:rPr>
              <w:t>1</w:t>
            </w:r>
            <w:r>
              <w:rPr>
                <w:rFonts w:hint="eastAsia" w:ascii="宋体" w:hAnsi="宋体"/>
                <w:color w:val="auto"/>
                <w:szCs w:val="21"/>
                <w:highlight w:val="none"/>
              </w:rPr>
              <w:t>0分。</w:t>
            </w:r>
            <w:r>
              <w:rPr>
                <w:rFonts w:hint="eastAsia" w:ascii="宋体" w:hAnsi="宋体"/>
                <w:b/>
                <w:color w:val="auto"/>
                <w:szCs w:val="21"/>
                <w:highlight w:val="none"/>
              </w:rPr>
              <w:t>（供应商须在响应文件中提供合同或中标（成交）通知书复印件并加盖公章，否则不得分）。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562" w:type="dxa"/>
            <w:vMerge w:val="continue"/>
            <w:noWrap/>
            <w:vAlign w:val="center"/>
          </w:tcPr>
          <w:p>
            <w:pPr>
              <w:adjustRightInd w:val="0"/>
              <w:spacing w:line="360" w:lineRule="exact"/>
              <w:jc w:val="center"/>
              <w:textAlignment w:val="baseline"/>
              <w:rPr>
                <w:rFonts w:ascii="宋体" w:hAnsi="宋体"/>
                <w:color w:val="auto"/>
                <w:szCs w:val="21"/>
                <w:highlight w:val="none"/>
              </w:rPr>
            </w:pPr>
          </w:p>
        </w:tc>
        <w:tc>
          <w:tcPr>
            <w:tcW w:w="1585" w:type="dxa"/>
            <w:vMerge w:val="continue"/>
            <w:noWrap/>
            <w:vAlign w:val="center"/>
          </w:tcPr>
          <w:p>
            <w:pPr>
              <w:adjustRightInd w:val="0"/>
              <w:spacing w:line="360" w:lineRule="exact"/>
              <w:ind w:firstLine="422"/>
              <w:jc w:val="center"/>
              <w:textAlignment w:val="baseline"/>
              <w:rPr>
                <w:rFonts w:ascii="宋体" w:hAnsi="宋体"/>
                <w:b/>
                <w:color w:val="auto"/>
                <w:szCs w:val="21"/>
                <w:highlight w:val="none"/>
              </w:rPr>
            </w:pPr>
          </w:p>
        </w:tc>
        <w:tc>
          <w:tcPr>
            <w:tcW w:w="1701" w:type="dxa"/>
            <w:noWrap/>
            <w:vAlign w:val="center"/>
          </w:tcPr>
          <w:p>
            <w:pPr>
              <w:adjustRightInd w:val="0"/>
              <w:spacing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项目经理任职资格与业绩、工作经历等（5分）</w:t>
            </w:r>
          </w:p>
        </w:tc>
        <w:tc>
          <w:tcPr>
            <w:tcW w:w="5660" w:type="dxa"/>
            <w:noWrap/>
            <w:vAlign w:val="center"/>
          </w:tcPr>
          <w:p>
            <w:pPr>
              <w:spacing w:line="400" w:lineRule="exact"/>
              <w:rPr>
                <w:color w:val="auto"/>
                <w:highlight w:val="none"/>
              </w:rPr>
            </w:pPr>
            <w:r>
              <w:rPr>
                <w:rFonts w:hint="eastAsia"/>
                <w:color w:val="auto"/>
                <w:highlight w:val="none"/>
              </w:rPr>
              <w:t>拟派任项目经理（或注册建造师）必须与资格审查合格通过的项目经理（或注册建造师）在名称、专业、资格等级等方面一致。</w:t>
            </w:r>
          </w:p>
          <w:p>
            <w:pPr>
              <w:numPr>
                <w:ilvl w:val="0"/>
                <w:numId w:val="6"/>
              </w:numPr>
              <w:spacing w:line="400" w:lineRule="exact"/>
              <w:rPr>
                <w:color w:val="auto"/>
                <w:highlight w:val="none"/>
              </w:rPr>
            </w:pPr>
            <w:r>
              <w:rPr>
                <w:rFonts w:hint="eastAsia"/>
                <w:color w:val="auto"/>
                <w:highlight w:val="none"/>
              </w:rPr>
              <w:t>项目经理资质：路桥类中级及以上技术职称的；得3分；具有路桥类初级技术职称的，得2分。</w:t>
            </w:r>
          </w:p>
          <w:p>
            <w:pPr>
              <w:pStyle w:val="20"/>
              <w:ind w:firstLine="0" w:firstLineChars="0"/>
              <w:rPr>
                <w:color w:val="auto"/>
                <w:highlight w:val="none"/>
              </w:rPr>
            </w:pPr>
            <w:r>
              <w:rPr>
                <w:rFonts w:hint="eastAsia" w:ascii="Times New Roman"/>
                <w:color w:val="auto"/>
                <w:sz w:val="21"/>
                <w:szCs w:val="21"/>
                <w:highlight w:val="none"/>
              </w:rPr>
              <w:t>（2）技术负责人：1人，具备工程师（含）以上职称（建筑类）及省级或以上交通运输行政主管部门颁发的安全生产考核合格证（“三类人员”B类证书）得2分。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noWrap/>
            <w:vAlign w:val="center"/>
          </w:tcPr>
          <w:p>
            <w:pPr>
              <w:adjustRightInd w:val="0"/>
              <w:spacing w:line="360" w:lineRule="exact"/>
              <w:jc w:val="center"/>
              <w:textAlignment w:val="baseline"/>
              <w:rPr>
                <w:rFonts w:ascii="宋体" w:hAnsi="宋体"/>
                <w:color w:val="auto"/>
                <w:szCs w:val="21"/>
                <w:highlight w:val="none"/>
              </w:rPr>
            </w:pPr>
          </w:p>
        </w:tc>
        <w:tc>
          <w:tcPr>
            <w:tcW w:w="1585" w:type="dxa"/>
            <w:vMerge w:val="continue"/>
            <w:noWrap/>
            <w:vAlign w:val="center"/>
          </w:tcPr>
          <w:p>
            <w:pPr>
              <w:adjustRightInd w:val="0"/>
              <w:spacing w:line="360" w:lineRule="exact"/>
              <w:ind w:firstLine="422"/>
              <w:jc w:val="center"/>
              <w:textAlignment w:val="baseline"/>
              <w:rPr>
                <w:rFonts w:ascii="宋体" w:hAnsi="宋体"/>
                <w:b/>
                <w:color w:val="auto"/>
                <w:szCs w:val="21"/>
                <w:highlight w:val="none"/>
              </w:rPr>
            </w:pPr>
          </w:p>
        </w:tc>
        <w:tc>
          <w:tcPr>
            <w:tcW w:w="1701" w:type="dxa"/>
            <w:noWrap/>
            <w:vAlign w:val="center"/>
          </w:tcPr>
          <w:p>
            <w:pPr>
              <w:adjustRightInd w:val="0"/>
              <w:spacing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其他主要人员（满分5分）</w:t>
            </w:r>
          </w:p>
        </w:tc>
        <w:tc>
          <w:tcPr>
            <w:tcW w:w="5660" w:type="dxa"/>
            <w:noWrap/>
            <w:vAlign w:val="center"/>
          </w:tcPr>
          <w:p>
            <w:pPr>
              <w:widowControl/>
              <w:jc w:val="left"/>
              <w:rPr>
                <w:rFonts w:cs="宋体"/>
                <w:b/>
                <w:bCs/>
                <w:color w:val="auto"/>
                <w:szCs w:val="21"/>
                <w:highlight w:val="none"/>
              </w:rPr>
            </w:pPr>
            <w:r>
              <w:rPr>
                <w:rFonts w:hint="eastAsia" w:ascii="宋体" w:hAnsi="宋体" w:cs="宋体"/>
                <w:color w:val="auto"/>
                <w:kern w:val="0"/>
                <w:sz w:val="22"/>
                <w:szCs w:val="22"/>
                <w:highlight w:val="none"/>
              </w:rPr>
              <w:t xml:space="preserve">拟投入本工程的其他主要管理人员具有中级职称及以上的，每人得 </w:t>
            </w:r>
            <w:r>
              <w:rPr>
                <w:color w:val="auto"/>
                <w:kern w:val="0"/>
                <w:sz w:val="22"/>
                <w:szCs w:val="22"/>
                <w:highlight w:val="none"/>
              </w:rPr>
              <w:t xml:space="preserve">1 </w:t>
            </w:r>
            <w:r>
              <w:rPr>
                <w:rFonts w:hint="eastAsia" w:ascii="宋体" w:hAnsi="宋体" w:cs="宋体"/>
                <w:color w:val="auto"/>
                <w:kern w:val="0"/>
                <w:sz w:val="22"/>
                <w:szCs w:val="22"/>
                <w:highlight w:val="none"/>
              </w:rPr>
              <w:t xml:space="preserve">分，此项满分 </w:t>
            </w:r>
            <w:r>
              <w:rPr>
                <w:rFonts w:hint="eastAsia"/>
                <w:color w:val="auto"/>
                <w:kern w:val="0"/>
                <w:sz w:val="22"/>
                <w:szCs w:val="22"/>
                <w:highlight w:val="none"/>
              </w:rPr>
              <w:t>5</w:t>
            </w:r>
            <w:r>
              <w:rPr>
                <w:rFonts w:hint="eastAsia" w:ascii="宋体" w:hAnsi="宋体" w:cs="宋体"/>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ign w:val="center"/>
          </w:tcPr>
          <w:p>
            <w:pPr>
              <w:adjustRightInd w:val="0"/>
              <w:snapToGrid w:val="0"/>
              <w:spacing w:line="360" w:lineRule="atLeast"/>
              <w:jc w:val="center"/>
              <w:textAlignment w:val="baseline"/>
              <w:rPr>
                <w:rFonts w:ascii="宋体" w:hAnsi="宋体"/>
                <w:color w:val="auto"/>
                <w:szCs w:val="21"/>
                <w:highlight w:val="none"/>
              </w:rPr>
            </w:pPr>
            <w:r>
              <w:rPr>
                <w:rFonts w:hint="eastAsia" w:ascii="宋体" w:hAnsi="宋体"/>
                <w:color w:val="auto"/>
                <w:szCs w:val="21"/>
                <w:highlight w:val="none"/>
              </w:rPr>
              <w:t>3</w:t>
            </w:r>
          </w:p>
        </w:tc>
        <w:tc>
          <w:tcPr>
            <w:tcW w:w="1585" w:type="dxa"/>
            <w:vMerge w:val="restart"/>
            <w:noWrap/>
            <w:vAlign w:val="center"/>
          </w:tcPr>
          <w:p>
            <w:pPr>
              <w:adjustRightInd w:val="0"/>
              <w:snapToGrid w:val="0"/>
              <w:spacing w:line="360" w:lineRule="atLeast"/>
              <w:ind w:left="-105" w:leftChars="-50" w:right="-105" w:rightChars="-50"/>
              <w:jc w:val="center"/>
              <w:textAlignment w:val="baseline"/>
              <w:rPr>
                <w:rFonts w:ascii="宋体" w:hAnsi="宋体"/>
                <w:color w:val="auto"/>
                <w:spacing w:val="-18"/>
                <w:szCs w:val="21"/>
                <w:highlight w:val="none"/>
              </w:rPr>
            </w:pPr>
            <w:r>
              <w:rPr>
                <w:rFonts w:hint="eastAsia" w:ascii="宋体" w:hAnsi="宋体"/>
                <w:b/>
                <w:color w:val="auto"/>
                <w:szCs w:val="21"/>
                <w:highlight w:val="none"/>
              </w:rPr>
              <w:t>技术部分</w:t>
            </w:r>
            <w:r>
              <w:rPr>
                <w:rFonts w:hint="eastAsia" w:ascii="宋体" w:hAnsi="宋体"/>
                <w:b/>
                <w:bCs/>
                <w:color w:val="auto"/>
                <w:szCs w:val="21"/>
                <w:highlight w:val="none"/>
              </w:rPr>
              <w:t>（满分</w:t>
            </w:r>
            <w:r>
              <w:rPr>
                <w:rFonts w:hint="eastAsia" w:ascii="宋体" w:hAnsi="宋体"/>
                <w:b/>
                <w:bCs/>
                <w:color w:val="auto"/>
                <w:szCs w:val="21"/>
                <w:highlight w:val="none"/>
                <w:u w:val="single"/>
              </w:rPr>
              <w:t>70</w:t>
            </w:r>
            <w:r>
              <w:rPr>
                <w:rFonts w:hint="eastAsia" w:ascii="宋体" w:hAnsi="宋体"/>
                <w:b/>
                <w:bCs/>
                <w:color w:val="auto"/>
                <w:szCs w:val="21"/>
                <w:highlight w:val="none"/>
              </w:rPr>
              <w:t>分）</w:t>
            </w:r>
          </w:p>
        </w:tc>
        <w:tc>
          <w:tcPr>
            <w:tcW w:w="1701" w:type="dxa"/>
            <w:noWrap/>
            <w:vAlign w:val="center"/>
          </w:tcPr>
          <w:p>
            <w:pPr>
              <w:rPr>
                <w:rFonts w:ascii="宋体" w:hAnsi="宋体" w:cs="宋体"/>
                <w:b/>
                <w:bCs/>
                <w:color w:val="auto"/>
                <w:kern w:val="0"/>
                <w:highlight w:val="none"/>
              </w:rPr>
            </w:pPr>
            <w:r>
              <w:rPr>
                <w:rFonts w:hint="eastAsia" w:ascii="宋体" w:hAnsi="宋体" w:cs="宋体"/>
                <w:b/>
                <w:bCs/>
                <w:color w:val="auto"/>
                <w:kern w:val="0"/>
                <w:highlight w:val="none"/>
              </w:rPr>
              <w:t>主要工程项目的施工方案、方法与技术措施</w:t>
            </w:r>
          </w:p>
          <w:p>
            <w:pPr>
              <w:pStyle w:val="31"/>
              <w:jc w:val="center"/>
              <w:rPr>
                <w:rFonts w:ascii="宋体" w:hAnsi="宋体" w:eastAsia="宋体" w:cs="宋体"/>
                <w:color w:val="auto"/>
                <w:sz w:val="21"/>
                <w:highlight w:val="none"/>
              </w:rPr>
            </w:pPr>
            <w:r>
              <w:rPr>
                <w:rFonts w:hint="eastAsia" w:ascii="宋体" w:hAnsi="宋体" w:eastAsia="宋体"/>
                <w:b/>
                <w:color w:val="auto"/>
                <w:kern w:val="2"/>
                <w:sz w:val="21"/>
                <w:szCs w:val="21"/>
                <w:highlight w:val="none"/>
              </w:rPr>
              <w:t>（满分10分）</w:t>
            </w:r>
          </w:p>
        </w:tc>
        <w:tc>
          <w:tcPr>
            <w:tcW w:w="5660" w:type="dxa"/>
            <w:noWrap/>
            <w:vAlign w:val="center"/>
          </w:tcPr>
          <w:p>
            <w:pPr>
              <w:rPr>
                <w:rFonts w:ascii="宋体" w:hAnsi="宋体" w:cs="宋体"/>
                <w:color w:val="auto"/>
                <w:kern w:val="0"/>
                <w:highlight w:val="none"/>
              </w:rPr>
            </w:pPr>
            <w:r>
              <w:rPr>
                <w:rFonts w:hint="eastAsia" w:ascii="宋体" w:hAnsi="宋体" w:cs="宋体"/>
                <w:b/>
                <w:bCs/>
                <w:color w:val="auto"/>
                <w:kern w:val="0"/>
                <w:highlight w:val="none"/>
              </w:rPr>
              <w:t>一档（10分）：</w:t>
            </w:r>
            <w:r>
              <w:rPr>
                <w:rFonts w:hint="eastAsia" w:ascii="宋体" w:hAnsi="宋体" w:cs="宋体"/>
                <w:color w:val="auto"/>
                <w:kern w:val="0"/>
                <w:highlight w:val="none"/>
              </w:rPr>
              <w:t>完全符合项目实际，方案详尽，对项目特点的针对性强，工艺先进、方法科学合理、可行，完全满足具体施工要求并确保安全。</w:t>
            </w:r>
          </w:p>
          <w:p>
            <w:pPr>
              <w:rPr>
                <w:rFonts w:ascii="宋体" w:hAnsi="宋体" w:cs="宋体"/>
                <w:color w:val="auto"/>
                <w:kern w:val="0"/>
                <w:highlight w:val="none"/>
              </w:rPr>
            </w:pPr>
            <w:r>
              <w:rPr>
                <w:rFonts w:hint="eastAsia" w:ascii="宋体" w:hAnsi="宋体" w:cs="宋体"/>
                <w:b/>
                <w:bCs/>
                <w:color w:val="auto"/>
                <w:kern w:val="0"/>
                <w:highlight w:val="none"/>
              </w:rPr>
              <w:t>二档（7分）：</w:t>
            </w:r>
            <w:r>
              <w:rPr>
                <w:rFonts w:hint="eastAsia" w:ascii="宋体" w:hAnsi="宋体" w:cs="宋体"/>
                <w:color w:val="auto"/>
                <w:kern w:val="0"/>
                <w:highlight w:val="none"/>
              </w:rPr>
              <w:t>符合项目实际，方案相对详尽，对项目特点有一定的针对性，满足具体施工要求并确保安全。</w:t>
            </w:r>
          </w:p>
          <w:p>
            <w:pPr>
              <w:rPr>
                <w:rFonts w:ascii="宋体" w:hAnsi="宋体" w:cs="宋体"/>
                <w:color w:val="auto"/>
                <w:kern w:val="0"/>
                <w:highlight w:val="none"/>
              </w:rPr>
            </w:pPr>
            <w:r>
              <w:rPr>
                <w:rFonts w:hint="eastAsia" w:ascii="宋体" w:hAnsi="宋体" w:cs="宋体"/>
                <w:b/>
                <w:bCs/>
                <w:color w:val="auto"/>
                <w:kern w:val="0"/>
                <w:highlight w:val="none"/>
              </w:rPr>
              <w:t>三档（3分）：</w:t>
            </w:r>
            <w:r>
              <w:rPr>
                <w:rFonts w:hint="eastAsia" w:ascii="宋体" w:hAnsi="宋体" w:cs="宋体"/>
                <w:color w:val="auto"/>
                <w:kern w:val="0"/>
                <w:highlight w:val="none"/>
              </w:rPr>
              <w:t>基本符合项目实际，方案简单，对项目特点没有针对性，基本能满足具体施工要求。</w:t>
            </w:r>
          </w:p>
          <w:p>
            <w:pPr>
              <w:rPr>
                <w:rFonts w:ascii="宋体" w:hAnsi="宋体" w:cs="宋体"/>
                <w:color w:val="auto"/>
                <w:kern w:val="0"/>
                <w:highlight w:val="none"/>
              </w:rPr>
            </w:pPr>
            <w:r>
              <w:rPr>
                <w:rFonts w:hint="eastAsia" w:ascii="宋体" w:hAnsi="宋体" w:cs="宋体"/>
                <w:b/>
                <w:bCs/>
                <w:color w:val="auto"/>
                <w:kern w:val="0"/>
                <w:highlight w:val="none"/>
              </w:rPr>
              <w:t>四档（1分）：</w:t>
            </w:r>
            <w:r>
              <w:rPr>
                <w:rFonts w:hint="eastAsia" w:ascii="宋体" w:hAnsi="宋体" w:cs="宋体"/>
                <w:color w:val="auto"/>
                <w:kern w:val="0"/>
                <w:highlight w:val="none"/>
              </w:rPr>
              <w:t>不符合项目实际，方案简单，对项目特点没有针对性，不能满足具体施工要求。</w:t>
            </w:r>
          </w:p>
          <w:p>
            <w:pPr>
              <w:spacing w:line="360" w:lineRule="auto"/>
              <w:rPr>
                <w:rFonts w:ascii="宋体" w:hAnsi="宋体" w:cs="宋体"/>
                <w:color w:val="auto"/>
                <w:kern w:val="0"/>
                <w:highlight w:val="none"/>
              </w:rPr>
            </w:pPr>
            <w:r>
              <w:rPr>
                <w:rFonts w:hint="eastAsia" w:ascii="宋体" w:hAnsi="宋体" w:cs="宋体"/>
                <w:b/>
                <w:bCs/>
                <w:color w:val="auto"/>
                <w:kern w:val="0"/>
                <w:highlight w:val="none"/>
              </w:rPr>
              <w:t>五档（0分）：</w:t>
            </w:r>
            <w:r>
              <w:rPr>
                <w:rFonts w:hint="eastAsia" w:ascii="宋体" w:hAnsi="宋体" w:cs="宋体"/>
                <w:color w:val="auto"/>
                <w:kern w:val="0"/>
                <w:highlight w:val="none"/>
              </w:rPr>
              <w:t>无施工方案、方法与技术措施。</w:t>
            </w:r>
          </w:p>
          <w:p>
            <w:pPr>
              <w:spacing w:line="360" w:lineRule="auto"/>
              <w:rPr>
                <w:color w:val="auto"/>
                <w:highlight w:val="none"/>
              </w:rPr>
            </w:pPr>
            <w:r>
              <w:rPr>
                <w:rFonts w:hint="eastAsia" w:ascii="宋体" w:hAnsi="宋体" w:cs="宋体"/>
                <w:b/>
                <w:bCs/>
                <w:color w:val="auto"/>
                <w:highlight w:val="none"/>
              </w:rPr>
              <w:t>注：本项不提供不得分。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tcPr>
          <w:p>
            <w:pPr>
              <w:adjustRightInd w:val="0"/>
              <w:snapToGrid w:val="0"/>
              <w:spacing w:line="360" w:lineRule="atLeast"/>
              <w:jc w:val="center"/>
              <w:textAlignment w:val="baseline"/>
              <w:rPr>
                <w:rFonts w:ascii="宋体" w:hAnsi="宋体"/>
                <w:color w:val="auto"/>
                <w:szCs w:val="21"/>
                <w:highlight w:val="none"/>
              </w:rPr>
            </w:pPr>
          </w:p>
        </w:tc>
        <w:tc>
          <w:tcPr>
            <w:tcW w:w="1585" w:type="dxa"/>
            <w:vMerge w:val="continue"/>
            <w:noWrap/>
          </w:tcPr>
          <w:p>
            <w:pPr>
              <w:adjustRightInd w:val="0"/>
              <w:snapToGrid w:val="0"/>
              <w:spacing w:line="360" w:lineRule="atLeast"/>
              <w:jc w:val="center"/>
              <w:textAlignment w:val="baseline"/>
              <w:rPr>
                <w:rFonts w:ascii="宋体" w:hAnsi="宋体"/>
                <w:color w:val="auto"/>
                <w:szCs w:val="21"/>
                <w:highlight w:val="none"/>
              </w:rPr>
            </w:pPr>
          </w:p>
        </w:tc>
        <w:tc>
          <w:tcPr>
            <w:tcW w:w="1701" w:type="dxa"/>
            <w:noWrap/>
            <w:tcMar>
              <w:left w:w="57" w:type="dxa"/>
              <w:right w:w="57" w:type="dxa"/>
            </w:tcMar>
            <w:vAlign w:val="center"/>
          </w:tcPr>
          <w:p>
            <w:pPr>
              <w:pStyle w:val="31"/>
              <w:jc w:val="center"/>
              <w:rPr>
                <w:rFonts w:ascii="宋体" w:hAnsi="宋体" w:eastAsia="宋体" w:cs="宋体"/>
                <w:color w:val="auto"/>
                <w:sz w:val="21"/>
                <w:highlight w:val="none"/>
              </w:rPr>
            </w:pPr>
            <w:r>
              <w:rPr>
                <w:rFonts w:hint="eastAsia" w:ascii="宋体" w:hAnsi="宋体" w:eastAsia="宋体"/>
                <w:b/>
                <w:color w:val="auto"/>
                <w:kern w:val="2"/>
                <w:sz w:val="21"/>
                <w:szCs w:val="21"/>
                <w:highlight w:val="none"/>
              </w:rPr>
              <w:t>拟投入的主要施工机械、设备计划（满分10分）</w:t>
            </w:r>
          </w:p>
        </w:tc>
        <w:tc>
          <w:tcPr>
            <w:tcW w:w="5660" w:type="dxa"/>
            <w:noWrap/>
            <w:vAlign w:val="center"/>
          </w:tcPr>
          <w:p>
            <w:pPr>
              <w:pStyle w:val="12"/>
              <w:spacing w:line="300" w:lineRule="exact"/>
              <w:rPr>
                <w:rFonts w:hAnsi="宋体" w:cs="宋体"/>
                <w:color w:val="auto"/>
                <w:highlight w:val="none"/>
              </w:rPr>
            </w:pPr>
            <w:r>
              <w:rPr>
                <w:rFonts w:hint="eastAsia" w:hAnsi="宋体" w:cs="宋体"/>
                <w:b/>
                <w:bCs/>
                <w:color w:val="auto"/>
                <w:kern w:val="0"/>
                <w:szCs w:val="24"/>
                <w:highlight w:val="none"/>
              </w:rPr>
              <w:t>一档（10分）</w:t>
            </w:r>
            <w:r>
              <w:rPr>
                <w:rFonts w:hint="eastAsia" w:hAnsi="宋体" w:cs="宋体"/>
                <w:color w:val="auto"/>
                <w:highlight w:val="none"/>
              </w:rPr>
              <w:t>投入的施工机械、设备、机具有详细的组织计划且计划周密，设备数量、选型配置、进场时间安排合理，满足施工需要。</w:t>
            </w:r>
          </w:p>
          <w:p>
            <w:pPr>
              <w:pStyle w:val="12"/>
              <w:spacing w:line="300" w:lineRule="exact"/>
              <w:rPr>
                <w:rFonts w:hAnsi="宋体" w:cs="宋体"/>
                <w:color w:val="auto"/>
                <w:highlight w:val="none"/>
              </w:rPr>
            </w:pPr>
            <w:r>
              <w:rPr>
                <w:rFonts w:hint="eastAsia" w:hAnsi="宋体" w:cs="宋体"/>
                <w:b/>
                <w:bCs/>
                <w:color w:val="auto"/>
                <w:kern w:val="0"/>
                <w:szCs w:val="24"/>
                <w:highlight w:val="none"/>
              </w:rPr>
              <w:t>二档（7分）</w:t>
            </w:r>
            <w:r>
              <w:rPr>
                <w:rFonts w:hint="eastAsia" w:hAnsi="宋体" w:cs="宋体"/>
                <w:color w:val="auto"/>
                <w:highlight w:val="none"/>
              </w:rPr>
              <w:t>投入的施工机械、设备、机具有详细的组织计划但计划一般，设备数量、选型配置、进场时间安排合理，满足施工需要。</w:t>
            </w:r>
          </w:p>
          <w:p>
            <w:pPr>
              <w:pStyle w:val="12"/>
              <w:spacing w:line="300" w:lineRule="exact"/>
              <w:rPr>
                <w:rFonts w:hAnsi="宋体" w:cs="宋体"/>
                <w:color w:val="auto"/>
                <w:highlight w:val="none"/>
              </w:rPr>
            </w:pPr>
            <w:r>
              <w:rPr>
                <w:rFonts w:hint="eastAsia" w:hAnsi="宋体" w:cs="宋体"/>
                <w:b/>
                <w:bCs/>
                <w:color w:val="auto"/>
                <w:kern w:val="0"/>
                <w:szCs w:val="24"/>
                <w:highlight w:val="none"/>
              </w:rPr>
              <w:t>三档（3 分）</w:t>
            </w:r>
            <w:r>
              <w:rPr>
                <w:rFonts w:hint="eastAsia" w:hAnsi="宋体" w:cs="宋体"/>
                <w:color w:val="auto"/>
                <w:highlight w:val="none"/>
              </w:rPr>
              <w:t>投入的施工机械、设备、机具有组织计划但计划一般，设备数量、选型配置、进场时间安排合理，基本满足施工需要。</w:t>
            </w:r>
          </w:p>
          <w:p>
            <w:pPr>
              <w:spacing w:line="360" w:lineRule="auto"/>
              <w:rPr>
                <w:rFonts w:ascii="宋体" w:hAnsi="宋体" w:cs="宋体"/>
                <w:color w:val="auto"/>
                <w:highlight w:val="none"/>
              </w:rPr>
            </w:pPr>
            <w:r>
              <w:rPr>
                <w:rFonts w:hint="eastAsia" w:ascii="宋体" w:hAnsi="宋体" w:cs="宋体"/>
                <w:b/>
                <w:bCs/>
                <w:color w:val="auto"/>
                <w:kern w:val="0"/>
                <w:highlight w:val="none"/>
              </w:rPr>
              <w:t>四档（1 分）</w:t>
            </w:r>
            <w:r>
              <w:rPr>
                <w:rFonts w:hint="eastAsia" w:hAnsi="宋体" w:cs="宋体"/>
                <w:color w:val="auto"/>
                <w:highlight w:val="none"/>
              </w:rPr>
              <w:t>投入的施工机械、设备、机具无组织计划，设备数量、选型配置、进场时间安排不合理，不满足施工需要。</w:t>
            </w:r>
            <w:r>
              <w:rPr>
                <w:rFonts w:hint="eastAsia" w:ascii="宋体" w:hAnsi="宋体" w:cs="宋体"/>
                <w:b/>
                <w:bCs/>
                <w:color w:val="auto"/>
                <w:highlight w:val="none"/>
              </w:rPr>
              <w:t>注：本项不提供不得分。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2" w:type="dxa"/>
            <w:vMerge w:val="continue"/>
            <w:noWrap/>
          </w:tcPr>
          <w:p>
            <w:pPr>
              <w:adjustRightInd w:val="0"/>
              <w:snapToGrid w:val="0"/>
              <w:spacing w:line="360" w:lineRule="atLeast"/>
              <w:jc w:val="center"/>
              <w:textAlignment w:val="baseline"/>
              <w:rPr>
                <w:rFonts w:ascii="宋体" w:hAnsi="宋体"/>
                <w:color w:val="auto"/>
                <w:szCs w:val="21"/>
                <w:highlight w:val="none"/>
              </w:rPr>
            </w:pPr>
          </w:p>
        </w:tc>
        <w:tc>
          <w:tcPr>
            <w:tcW w:w="1585" w:type="dxa"/>
            <w:vMerge w:val="continue"/>
            <w:noWrap/>
          </w:tcPr>
          <w:p>
            <w:pPr>
              <w:adjustRightInd w:val="0"/>
              <w:snapToGrid w:val="0"/>
              <w:spacing w:line="360" w:lineRule="atLeast"/>
              <w:jc w:val="center"/>
              <w:textAlignment w:val="baseline"/>
              <w:rPr>
                <w:rFonts w:ascii="宋体" w:hAnsi="宋体"/>
                <w:color w:val="auto"/>
                <w:szCs w:val="21"/>
                <w:highlight w:val="none"/>
              </w:rPr>
            </w:pPr>
          </w:p>
        </w:tc>
        <w:tc>
          <w:tcPr>
            <w:tcW w:w="1701" w:type="dxa"/>
            <w:noWrap/>
            <w:tcMar>
              <w:left w:w="57" w:type="dxa"/>
              <w:right w:w="57" w:type="dxa"/>
            </w:tcMar>
            <w:vAlign w:val="center"/>
          </w:tcPr>
          <w:p>
            <w:pPr>
              <w:rPr>
                <w:rFonts w:ascii="宋体" w:hAnsi="宋体"/>
                <w:b/>
                <w:bCs/>
                <w:color w:val="auto"/>
                <w:highlight w:val="none"/>
              </w:rPr>
            </w:pPr>
            <w:r>
              <w:rPr>
                <w:rFonts w:hint="eastAsia" w:ascii="宋体" w:hAnsi="宋体" w:cs="宋体"/>
                <w:b/>
                <w:bCs/>
                <w:color w:val="auto"/>
                <w:kern w:val="0"/>
                <w:highlight w:val="none"/>
              </w:rPr>
              <w:t>工期保证体系及保证措施</w:t>
            </w:r>
          </w:p>
          <w:p>
            <w:pPr>
              <w:pStyle w:val="31"/>
              <w:jc w:val="center"/>
              <w:rPr>
                <w:rFonts w:ascii="宋体" w:hAnsi="宋体" w:eastAsia="宋体" w:cs="宋体"/>
                <w:color w:val="auto"/>
                <w:sz w:val="21"/>
                <w:highlight w:val="none"/>
              </w:rPr>
            </w:pPr>
            <w:r>
              <w:rPr>
                <w:rFonts w:hint="eastAsia" w:ascii="宋体" w:hAnsi="宋体" w:eastAsia="宋体"/>
                <w:b/>
                <w:color w:val="auto"/>
                <w:kern w:val="2"/>
                <w:sz w:val="21"/>
                <w:szCs w:val="21"/>
                <w:highlight w:val="none"/>
              </w:rPr>
              <w:t>（满分10分）</w:t>
            </w:r>
          </w:p>
        </w:tc>
        <w:tc>
          <w:tcPr>
            <w:tcW w:w="5660" w:type="dxa"/>
            <w:noWrap/>
            <w:vAlign w:val="center"/>
          </w:tcPr>
          <w:p>
            <w:pPr>
              <w:rPr>
                <w:rFonts w:ascii="宋体" w:hAnsi="宋体" w:cs="宋体"/>
                <w:color w:val="auto"/>
                <w:kern w:val="0"/>
                <w:highlight w:val="none"/>
              </w:rPr>
            </w:pPr>
            <w:r>
              <w:rPr>
                <w:rFonts w:hint="eastAsia" w:ascii="宋体" w:hAnsi="宋体" w:cs="宋体"/>
                <w:b/>
                <w:bCs/>
                <w:color w:val="auto"/>
                <w:kern w:val="0"/>
                <w:highlight w:val="none"/>
              </w:rPr>
              <w:t>一档（10分）：</w:t>
            </w:r>
            <w:r>
              <w:rPr>
                <w:rFonts w:hint="eastAsia" w:ascii="宋体" w:hAnsi="宋体" w:cs="宋体"/>
                <w:color w:val="auto"/>
                <w:kern w:val="0"/>
                <w:highlight w:val="none"/>
              </w:rPr>
              <w:t>有施工总进度表或施工网络图，且关键线路清晰、准确、完整，计划编制，合理、可行，关键节点的控制措施有力、合理、可行，进度违约责任承诺具体。</w:t>
            </w:r>
          </w:p>
          <w:p>
            <w:pPr>
              <w:rPr>
                <w:rFonts w:ascii="宋体" w:hAnsi="宋体" w:cs="宋体"/>
                <w:color w:val="auto"/>
                <w:kern w:val="0"/>
                <w:highlight w:val="none"/>
              </w:rPr>
            </w:pPr>
            <w:r>
              <w:rPr>
                <w:rFonts w:hint="eastAsia" w:ascii="宋体" w:hAnsi="宋体" w:cs="宋体"/>
                <w:b/>
                <w:bCs/>
                <w:color w:val="auto"/>
                <w:kern w:val="0"/>
                <w:highlight w:val="none"/>
              </w:rPr>
              <w:t>二档（7分）：</w:t>
            </w:r>
            <w:r>
              <w:rPr>
                <w:rFonts w:hint="eastAsia" w:ascii="宋体" w:hAnsi="宋体" w:cs="宋体"/>
                <w:color w:val="auto"/>
                <w:kern w:val="0"/>
                <w:highlight w:val="none"/>
              </w:rPr>
              <w:t>有施工总进度表或施工网络图，且关键线路清晰、准确、完整，计划编制可行，关键节点的控制措施合理、可行，进度违约责任承诺具体。</w:t>
            </w:r>
          </w:p>
          <w:p>
            <w:pPr>
              <w:rPr>
                <w:rFonts w:ascii="宋体" w:hAnsi="宋体" w:cs="宋体"/>
                <w:color w:val="auto"/>
                <w:kern w:val="0"/>
                <w:highlight w:val="none"/>
              </w:rPr>
            </w:pPr>
            <w:r>
              <w:rPr>
                <w:rFonts w:hint="eastAsia" w:ascii="宋体" w:hAnsi="宋体" w:cs="宋体"/>
                <w:b/>
                <w:bCs/>
                <w:color w:val="auto"/>
                <w:kern w:val="0"/>
                <w:highlight w:val="none"/>
              </w:rPr>
              <w:t>三档（3分）：</w:t>
            </w:r>
            <w:r>
              <w:rPr>
                <w:rFonts w:hint="eastAsia" w:ascii="宋体" w:hAnsi="宋体" w:cs="宋体"/>
                <w:color w:val="auto"/>
                <w:kern w:val="0"/>
                <w:highlight w:val="none"/>
              </w:rPr>
              <w:t>有施工总进度表或施工网络图，关键线路基本准确，计划编制基本合理，关键节点的控制措施基本可行，进度违约责任承诺具体。</w:t>
            </w:r>
          </w:p>
          <w:p>
            <w:pPr>
              <w:rPr>
                <w:rFonts w:ascii="宋体" w:hAnsi="宋体" w:cs="宋体"/>
                <w:color w:val="auto"/>
                <w:kern w:val="0"/>
                <w:highlight w:val="none"/>
              </w:rPr>
            </w:pPr>
            <w:r>
              <w:rPr>
                <w:rFonts w:hint="eastAsia" w:ascii="宋体" w:hAnsi="宋体" w:cs="宋体"/>
                <w:b/>
                <w:bCs/>
                <w:color w:val="auto"/>
                <w:kern w:val="0"/>
                <w:highlight w:val="none"/>
              </w:rPr>
              <w:t>四档（1分）：</w:t>
            </w:r>
            <w:r>
              <w:rPr>
                <w:rFonts w:hint="eastAsia" w:ascii="宋体" w:hAnsi="宋体" w:cs="宋体"/>
                <w:color w:val="auto"/>
                <w:kern w:val="0"/>
                <w:highlight w:val="none"/>
              </w:rPr>
              <w:t>有施工总进度表或施工网络图，但关键线路不准确，计划编制不合理，关键节点的控制不可行，没有违约责任承诺。</w:t>
            </w:r>
          </w:p>
          <w:p>
            <w:pPr>
              <w:pStyle w:val="31"/>
              <w:rPr>
                <w:rFonts w:ascii="宋体" w:hAnsi="宋体" w:cs="宋体"/>
                <w:color w:val="auto"/>
                <w:highlight w:val="none"/>
              </w:rPr>
            </w:pPr>
            <w:r>
              <w:rPr>
                <w:rFonts w:hint="eastAsia" w:ascii="宋体" w:hAnsi="宋体" w:eastAsia="宋体" w:cs="宋体"/>
                <w:b/>
                <w:bCs/>
                <w:color w:val="auto"/>
                <w:sz w:val="21"/>
                <w:highlight w:val="none"/>
              </w:rPr>
              <w:t>五档（0分）：</w:t>
            </w:r>
            <w:r>
              <w:rPr>
                <w:rFonts w:hint="eastAsia" w:ascii="宋体" w:hAnsi="宋体" w:eastAsia="宋体" w:cs="宋体"/>
                <w:color w:val="auto"/>
                <w:sz w:val="21"/>
                <w:highlight w:val="none"/>
              </w:rPr>
              <w:t>无确保工期的技术组织措施。</w:t>
            </w:r>
          </w:p>
          <w:p>
            <w:pPr>
              <w:pStyle w:val="31"/>
              <w:rPr>
                <w:rFonts w:ascii="宋体" w:hAnsi="宋体" w:eastAsia="宋体" w:cs="宋体"/>
                <w:color w:val="auto"/>
                <w:sz w:val="21"/>
                <w:highlight w:val="none"/>
              </w:rPr>
            </w:pPr>
            <w:r>
              <w:rPr>
                <w:rFonts w:hint="eastAsia" w:ascii="宋体" w:hAnsi="宋体" w:eastAsia="宋体" w:cs="宋体"/>
                <w:b/>
                <w:bCs/>
                <w:color w:val="auto"/>
                <w:kern w:val="2"/>
                <w:sz w:val="21"/>
                <w:highlight w:val="none"/>
              </w:rPr>
              <w:t>注：本项不提供不得分。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jc w:val="center"/>
        </w:trPr>
        <w:tc>
          <w:tcPr>
            <w:tcW w:w="562" w:type="dxa"/>
            <w:vMerge w:val="continue"/>
            <w:noWrap/>
          </w:tcPr>
          <w:p>
            <w:pPr>
              <w:adjustRightInd w:val="0"/>
              <w:snapToGrid w:val="0"/>
              <w:spacing w:line="360" w:lineRule="atLeast"/>
              <w:jc w:val="center"/>
              <w:textAlignment w:val="baseline"/>
              <w:rPr>
                <w:rFonts w:ascii="宋体" w:hAnsi="宋体"/>
                <w:color w:val="auto"/>
                <w:szCs w:val="21"/>
                <w:highlight w:val="none"/>
              </w:rPr>
            </w:pPr>
          </w:p>
        </w:tc>
        <w:tc>
          <w:tcPr>
            <w:tcW w:w="1585" w:type="dxa"/>
            <w:vMerge w:val="continue"/>
            <w:noWrap/>
          </w:tcPr>
          <w:p>
            <w:pPr>
              <w:adjustRightInd w:val="0"/>
              <w:snapToGrid w:val="0"/>
              <w:spacing w:line="360" w:lineRule="atLeast"/>
              <w:jc w:val="center"/>
              <w:textAlignment w:val="baseline"/>
              <w:rPr>
                <w:rFonts w:ascii="宋体" w:hAnsi="宋体"/>
                <w:color w:val="auto"/>
                <w:szCs w:val="21"/>
                <w:highlight w:val="none"/>
              </w:rPr>
            </w:pPr>
          </w:p>
        </w:tc>
        <w:tc>
          <w:tcPr>
            <w:tcW w:w="1701" w:type="dxa"/>
            <w:noWrap/>
            <w:tcMar>
              <w:left w:w="57" w:type="dxa"/>
              <w:right w:w="57" w:type="dxa"/>
            </w:tcMar>
            <w:vAlign w:val="center"/>
          </w:tcPr>
          <w:p>
            <w:pPr>
              <w:widowControl/>
              <w:jc w:val="left"/>
              <w:rPr>
                <w:rFonts w:ascii="宋体" w:hAnsi="宋体"/>
                <w:b/>
                <w:bCs/>
                <w:color w:val="auto"/>
                <w:highlight w:val="none"/>
              </w:rPr>
            </w:pPr>
            <w:r>
              <w:rPr>
                <w:rFonts w:hint="eastAsia" w:ascii="宋体" w:hAnsi="宋体" w:cs="宋体"/>
                <w:b/>
                <w:bCs/>
                <w:color w:val="auto"/>
                <w:kern w:val="0"/>
                <w:szCs w:val="21"/>
                <w:highlight w:val="none"/>
              </w:rPr>
              <w:t>工程质量管理体系及保证措施</w:t>
            </w:r>
          </w:p>
          <w:p>
            <w:pPr>
              <w:pStyle w:val="31"/>
              <w:jc w:val="center"/>
              <w:rPr>
                <w:rFonts w:ascii="宋体" w:hAnsi="宋体" w:eastAsia="宋体" w:cs="宋体"/>
                <w:color w:val="auto"/>
                <w:sz w:val="21"/>
                <w:highlight w:val="none"/>
              </w:rPr>
            </w:pPr>
            <w:r>
              <w:rPr>
                <w:rFonts w:hint="eastAsia" w:ascii="宋体" w:hAnsi="宋体" w:eastAsia="宋体"/>
                <w:b/>
                <w:color w:val="auto"/>
                <w:kern w:val="2"/>
                <w:sz w:val="21"/>
                <w:szCs w:val="21"/>
                <w:highlight w:val="none"/>
              </w:rPr>
              <w:t>（满分10分）</w:t>
            </w:r>
          </w:p>
        </w:tc>
        <w:tc>
          <w:tcPr>
            <w:tcW w:w="5660" w:type="dxa"/>
            <w:noWrap/>
            <w:vAlign w:val="center"/>
          </w:tcPr>
          <w:p>
            <w:pPr>
              <w:rPr>
                <w:rFonts w:ascii="宋体" w:hAnsi="宋体" w:cs="宋体"/>
                <w:color w:val="auto"/>
                <w:kern w:val="0"/>
                <w:highlight w:val="none"/>
              </w:rPr>
            </w:pPr>
            <w:r>
              <w:rPr>
                <w:rFonts w:hint="eastAsia" w:ascii="宋体" w:hAnsi="宋体" w:cs="宋体"/>
                <w:b/>
                <w:bCs/>
                <w:color w:val="auto"/>
                <w:kern w:val="0"/>
                <w:highlight w:val="none"/>
              </w:rPr>
              <w:t>一档（10分）：</w:t>
            </w:r>
            <w:r>
              <w:rPr>
                <w:rFonts w:hint="eastAsia" w:ascii="宋体" w:hAnsi="宋体"/>
                <w:color w:val="auto"/>
                <w:highlight w:val="none"/>
              </w:rPr>
              <w:t>完全符合项目实际，人员配备合理，制度健全，保证措施和自控体系完整，且具备针对性，科学可行。</w:t>
            </w:r>
          </w:p>
          <w:p>
            <w:pPr>
              <w:rPr>
                <w:rFonts w:ascii="宋体" w:hAnsi="宋体"/>
                <w:color w:val="auto"/>
                <w:highlight w:val="none"/>
              </w:rPr>
            </w:pPr>
            <w:r>
              <w:rPr>
                <w:rFonts w:hint="eastAsia" w:ascii="宋体" w:hAnsi="宋体" w:cs="宋体"/>
                <w:b/>
                <w:bCs/>
                <w:color w:val="auto"/>
                <w:kern w:val="0"/>
                <w:highlight w:val="none"/>
              </w:rPr>
              <w:t>二档（7分）：</w:t>
            </w:r>
            <w:r>
              <w:rPr>
                <w:rFonts w:hint="eastAsia" w:ascii="宋体" w:hAnsi="宋体"/>
                <w:color w:val="auto"/>
                <w:highlight w:val="none"/>
              </w:rPr>
              <w:t>符合项目需求，人员配备合理，制度健全，保证</w:t>
            </w:r>
          </w:p>
          <w:p>
            <w:pPr>
              <w:rPr>
                <w:rFonts w:ascii="宋体" w:hAnsi="宋体" w:cs="宋体"/>
                <w:color w:val="auto"/>
                <w:kern w:val="0"/>
                <w:highlight w:val="none"/>
              </w:rPr>
            </w:pPr>
            <w:r>
              <w:rPr>
                <w:rFonts w:hint="eastAsia" w:ascii="宋体" w:hAnsi="宋体"/>
                <w:color w:val="auto"/>
                <w:highlight w:val="none"/>
              </w:rPr>
              <w:t>措施和自控体系一般。</w:t>
            </w:r>
          </w:p>
          <w:p>
            <w:pPr>
              <w:rPr>
                <w:rFonts w:ascii="宋体" w:hAnsi="宋体" w:cs="宋体"/>
                <w:color w:val="auto"/>
                <w:kern w:val="0"/>
                <w:highlight w:val="none"/>
              </w:rPr>
            </w:pPr>
            <w:r>
              <w:rPr>
                <w:rFonts w:hint="eastAsia" w:ascii="宋体" w:hAnsi="宋体" w:cs="宋体"/>
                <w:b/>
                <w:bCs/>
                <w:color w:val="auto"/>
                <w:kern w:val="0"/>
                <w:highlight w:val="none"/>
              </w:rPr>
              <w:t>三档（3分）：</w:t>
            </w:r>
            <w:r>
              <w:rPr>
                <w:rFonts w:hint="eastAsia" w:ascii="宋体" w:hAnsi="宋体" w:cs="宋体"/>
                <w:color w:val="auto"/>
                <w:kern w:val="0"/>
                <w:highlight w:val="none"/>
              </w:rPr>
              <w:t>基本符合项目需求，人员配备合理，制度健全，保证措施和自控体系完整，但缺乏针对性、科学性。</w:t>
            </w:r>
          </w:p>
          <w:p>
            <w:pPr>
              <w:rPr>
                <w:rFonts w:ascii="宋体" w:hAnsi="宋体" w:cs="宋体"/>
                <w:color w:val="auto"/>
                <w:kern w:val="0"/>
                <w:highlight w:val="none"/>
              </w:rPr>
            </w:pPr>
            <w:r>
              <w:rPr>
                <w:rFonts w:hint="eastAsia" w:ascii="宋体" w:hAnsi="宋体" w:cs="宋体"/>
                <w:b/>
                <w:bCs/>
                <w:color w:val="auto"/>
                <w:kern w:val="0"/>
                <w:highlight w:val="none"/>
              </w:rPr>
              <w:t>四档（1分）：</w:t>
            </w:r>
            <w:r>
              <w:rPr>
                <w:rFonts w:hint="eastAsia" w:ascii="宋体" w:hAnsi="宋体" w:cs="宋体"/>
                <w:color w:val="auto"/>
                <w:kern w:val="0"/>
                <w:highlight w:val="none"/>
              </w:rPr>
              <w:t>应表述的内容存在较多欠缺、不符合实际、不可行。</w:t>
            </w:r>
          </w:p>
          <w:p>
            <w:pPr>
              <w:pStyle w:val="31"/>
              <w:rPr>
                <w:rFonts w:ascii="宋体" w:hAnsi="宋体" w:eastAsia="宋体" w:cs="宋体"/>
                <w:color w:val="auto"/>
                <w:sz w:val="21"/>
                <w:highlight w:val="none"/>
              </w:rPr>
            </w:pPr>
            <w:r>
              <w:rPr>
                <w:rFonts w:hint="eastAsia" w:ascii="宋体" w:hAnsi="宋体" w:eastAsia="宋体" w:cs="宋体"/>
                <w:b/>
                <w:bCs/>
                <w:color w:val="auto"/>
                <w:sz w:val="21"/>
                <w:highlight w:val="none"/>
              </w:rPr>
              <w:t>五档（0分）：</w:t>
            </w:r>
            <w:r>
              <w:rPr>
                <w:rFonts w:hint="eastAsia" w:ascii="宋体" w:hAnsi="宋体" w:eastAsia="宋体" w:cs="宋体"/>
                <w:color w:val="auto"/>
                <w:sz w:val="21"/>
                <w:highlight w:val="none"/>
              </w:rPr>
              <w:t>无工程质量管理体系及保证措施。</w:t>
            </w:r>
          </w:p>
          <w:p>
            <w:pPr>
              <w:pStyle w:val="31"/>
              <w:rPr>
                <w:rFonts w:ascii="宋体" w:hAnsi="宋体" w:eastAsia="宋体" w:cs="宋体"/>
                <w:color w:val="auto"/>
                <w:sz w:val="21"/>
                <w:highlight w:val="none"/>
              </w:rPr>
            </w:pPr>
            <w:r>
              <w:rPr>
                <w:rFonts w:hint="eastAsia" w:ascii="宋体" w:hAnsi="宋体" w:eastAsia="宋体" w:cs="宋体"/>
                <w:b/>
                <w:bCs/>
                <w:color w:val="auto"/>
                <w:kern w:val="2"/>
                <w:sz w:val="21"/>
                <w:highlight w:val="none"/>
              </w:rPr>
              <w:t>注：本项不提供不得分。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pPr>
              <w:adjustRightInd w:val="0"/>
              <w:snapToGrid w:val="0"/>
              <w:spacing w:line="360" w:lineRule="atLeast"/>
              <w:jc w:val="center"/>
              <w:textAlignment w:val="baseline"/>
              <w:rPr>
                <w:rFonts w:ascii="宋体" w:hAnsi="宋体"/>
                <w:color w:val="auto"/>
                <w:szCs w:val="21"/>
                <w:highlight w:val="none"/>
              </w:rPr>
            </w:pPr>
          </w:p>
        </w:tc>
        <w:tc>
          <w:tcPr>
            <w:tcW w:w="1585" w:type="dxa"/>
            <w:vMerge w:val="continue"/>
            <w:noWrap/>
            <w:vAlign w:val="center"/>
          </w:tcPr>
          <w:p>
            <w:pPr>
              <w:adjustRightInd w:val="0"/>
              <w:snapToGrid w:val="0"/>
              <w:spacing w:line="360" w:lineRule="atLeast"/>
              <w:jc w:val="center"/>
              <w:textAlignment w:val="baseline"/>
              <w:rPr>
                <w:rFonts w:ascii="宋体" w:hAnsi="宋体"/>
                <w:color w:val="auto"/>
                <w:szCs w:val="21"/>
                <w:highlight w:val="none"/>
              </w:rPr>
            </w:pPr>
          </w:p>
        </w:tc>
        <w:tc>
          <w:tcPr>
            <w:tcW w:w="1701" w:type="dxa"/>
            <w:noWrap/>
            <w:vAlign w:val="center"/>
          </w:tcPr>
          <w:p>
            <w:pPr>
              <w:widowControl/>
              <w:jc w:val="left"/>
              <w:rPr>
                <w:rFonts w:ascii="宋体" w:hAnsi="宋体"/>
                <w:b/>
                <w:bCs/>
                <w:color w:val="auto"/>
                <w:highlight w:val="none"/>
              </w:rPr>
            </w:pPr>
            <w:r>
              <w:rPr>
                <w:rFonts w:hint="eastAsia" w:ascii="宋体" w:hAnsi="宋体"/>
                <w:b/>
                <w:bCs/>
                <w:color w:val="auto"/>
                <w:highlight w:val="none"/>
              </w:rPr>
              <w:t>安全生产管理体系及保证措施</w:t>
            </w:r>
          </w:p>
          <w:p>
            <w:pPr>
              <w:pStyle w:val="31"/>
              <w:jc w:val="center"/>
              <w:rPr>
                <w:rFonts w:ascii="宋体" w:hAnsi="宋体" w:eastAsia="宋体" w:cs="宋体"/>
                <w:color w:val="auto"/>
                <w:sz w:val="21"/>
                <w:highlight w:val="none"/>
              </w:rPr>
            </w:pPr>
            <w:r>
              <w:rPr>
                <w:rFonts w:hint="eastAsia" w:ascii="宋体" w:hAnsi="宋体" w:eastAsia="宋体"/>
                <w:b/>
                <w:color w:val="auto"/>
                <w:kern w:val="2"/>
                <w:sz w:val="21"/>
                <w:szCs w:val="21"/>
                <w:highlight w:val="none"/>
              </w:rPr>
              <w:t>（满分10分）</w:t>
            </w:r>
          </w:p>
        </w:tc>
        <w:tc>
          <w:tcPr>
            <w:tcW w:w="5660" w:type="dxa"/>
            <w:noWrap/>
            <w:vAlign w:val="center"/>
          </w:tcPr>
          <w:p>
            <w:pPr>
              <w:rPr>
                <w:rFonts w:ascii="宋体" w:hAnsi="宋体" w:cs="宋体"/>
                <w:b/>
                <w:bCs/>
                <w:color w:val="auto"/>
                <w:kern w:val="0"/>
                <w:highlight w:val="none"/>
              </w:rPr>
            </w:pPr>
            <w:r>
              <w:rPr>
                <w:rFonts w:hint="eastAsia" w:ascii="宋体" w:hAnsi="宋体" w:cs="宋体"/>
                <w:b/>
                <w:bCs/>
                <w:color w:val="auto"/>
                <w:kern w:val="0"/>
                <w:highlight w:val="none"/>
              </w:rPr>
              <w:t>一档（10分）：</w:t>
            </w:r>
            <w:r>
              <w:rPr>
                <w:rFonts w:hint="eastAsia" w:ascii="宋体" w:hAnsi="宋体" w:cs="宋体"/>
                <w:color w:val="auto"/>
                <w:kern w:val="0"/>
                <w:highlight w:val="none"/>
              </w:rPr>
              <w:t>针对项目实际情况，有先进、具体、完整、可行的实施措施，采用规范正确、清晰。</w:t>
            </w:r>
          </w:p>
          <w:p>
            <w:pPr>
              <w:rPr>
                <w:rFonts w:ascii="宋体" w:hAnsi="宋体" w:cs="宋体"/>
                <w:color w:val="auto"/>
                <w:kern w:val="0"/>
                <w:highlight w:val="none"/>
              </w:rPr>
            </w:pPr>
            <w:r>
              <w:rPr>
                <w:rFonts w:hint="eastAsia" w:ascii="宋体" w:hAnsi="宋体" w:cs="宋体"/>
                <w:b/>
                <w:bCs/>
                <w:color w:val="auto"/>
                <w:kern w:val="0"/>
                <w:highlight w:val="none"/>
              </w:rPr>
              <w:t>二档（7分）：</w:t>
            </w:r>
            <w:r>
              <w:rPr>
                <w:rFonts w:hint="eastAsia" w:ascii="宋体" w:hAnsi="宋体" w:cs="宋体"/>
                <w:color w:val="auto"/>
                <w:kern w:val="0"/>
                <w:highlight w:val="none"/>
              </w:rPr>
              <w:t>针对项目实际情况，有合理的措施且具体、完整，</w:t>
            </w:r>
          </w:p>
          <w:p>
            <w:pPr>
              <w:rPr>
                <w:rFonts w:ascii="宋体" w:hAnsi="宋体" w:cs="宋体"/>
                <w:b/>
                <w:bCs/>
                <w:color w:val="auto"/>
                <w:kern w:val="0"/>
                <w:highlight w:val="none"/>
              </w:rPr>
            </w:pPr>
            <w:r>
              <w:rPr>
                <w:rFonts w:hint="eastAsia" w:ascii="宋体" w:hAnsi="宋体" w:cs="宋体"/>
                <w:color w:val="auto"/>
                <w:kern w:val="0"/>
                <w:highlight w:val="none"/>
              </w:rPr>
              <w:t>采用规范正确。</w:t>
            </w:r>
          </w:p>
          <w:p>
            <w:pPr>
              <w:rPr>
                <w:rFonts w:ascii="宋体" w:hAnsi="宋体" w:cs="宋体"/>
                <w:b/>
                <w:bCs/>
                <w:color w:val="auto"/>
                <w:kern w:val="0"/>
                <w:highlight w:val="none"/>
              </w:rPr>
            </w:pPr>
            <w:r>
              <w:rPr>
                <w:rFonts w:hint="eastAsia" w:ascii="宋体" w:hAnsi="宋体" w:cs="宋体"/>
                <w:b/>
                <w:bCs/>
                <w:color w:val="auto"/>
                <w:kern w:val="0"/>
                <w:highlight w:val="none"/>
              </w:rPr>
              <w:t>三档（3分）：</w:t>
            </w:r>
            <w:r>
              <w:rPr>
                <w:rFonts w:hint="eastAsia" w:ascii="宋体" w:hAnsi="宋体" w:cs="宋体"/>
                <w:color w:val="auto"/>
                <w:kern w:val="0"/>
                <w:highlight w:val="none"/>
              </w:rPr>
              <w:t>有基本合理的措施，采用规范正确。</w:t>
            </w:r>
          </w:p>
          <w:p>
            <w:pPr>
              <w:rPr>
                <w:rFonts w:ascii="宋体" w:hAnsi="宋体" w:cs="宋体"/>
                <w:b/>
                <w:bCs/>
                <w:color w:val="auto"/>
                <w:kern w:val="0"/>
                <w:highlight w:val="none"/>
              </w:rPr>
            </w:pPr>
            <w:r>
              <w:rPr>
                <w:rFonts w:hint="eastAsia" w:ascii="宋体" w:hAnsi="宋体" w:cs="宋体"/>
                <w:b/>
                <w:bCs/>
                <w:color w:val="auto"/>
                <w:kern w:val="0"/>
                <w:highlight w:val="none"/>
              </w:rPr>
              <w:t>四档（1分）：</w:t>
            </w:r>
            <w:r>
              <w:rPr>
                <w:rFonts w:hint="eastAsia" w:ascii="宋体" w:hAnsi="宋体" w:cs="宋体"/>
                <w:color w:val="auto"/>
                <w:kern w:val="0"/>
                <w:highlight w:val="none"/>
              </w:rPr>
              <w:t>措施不得力，采用规范不正确。</w:t>
            </w:r>
          </w:p>
          <w:p>
            <w:pPr>
              <w:pStyle w:val="31"/>
              <w:rPr>
                <w:rFonts w:ascii="宋体" w:hAnsi="宋体"/>
                <w:color w:val="auto"/>
                <w:highlight w:val="none"/>
              </w:rPr>
            </w:pPr>
            <w:r>
              <w:rPr>
                <w:rFonts w:hint="eastAsia" w:ascii="宋体" w:hAnsi="宋体" w:eastAsia="宋体" w:cs="宋体"/>
                <w:b/>
                <w:bCs/>
                <w:color w:val="auto"/>
                <w:sz w:val="21"/>
                <w:highlight w:val="none"/>
              </w:rPr>
              <w:t>五档（0分）</w:t>
            </w:r>
            <w:r>
              <w:rPr>
                <w:rFonts w:hint="eastAsia" w:ascii="宋体" w:hAnsi="宋体" w:eastAsia="宋体" w:cs="宋体"/>
                <w:color w:val="auto"/>
                <w:sz w:val="21"/>
                <w:highlight w:val="none"/>
              </w:rPr>
              <w:t>：无安全生产管理体系及保证措施。</w:t>
            </w:r>
          </w:p>
          <w:p>
            <w:pPr>
              <w:pStyle w:val="31"/>
              <w:rPr>
                <w:rFonts w:ascii="宋体" w:hAnsi="宋体" w:eastAsia="宋体" w:cs="宋体"/>
                <w:color w:val="auto"/>
                <w:sz w:val="21"/>
                <w:highlight w:val="none"/>
              </w:rPr>
            </w:pPr>
            <w:r>
              <w:rPr>
                <w:rFonts w:hint="eastAsia" w:ascii="宋体" w:hAnsi="宋体" w:eastAsia="宋体" w:cs="宋体"/>
                <w:b/>
                <w:bCs/>
                <w:color w:val="auto"/>
                <w:kern w:val="2"/>
                <w:sz w:val="21"/>
                <w:highlight w:val="none"/>
              </w:rPr>
              <w:t>注：本项不提供不得分。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ign w:val="center"/>
          </w:tcPr>
          <w:p>
            <w:pPr>
              <w:adjustRightInd w:val="0"/>
              <w:snapToGrid w:val="0"/>
              <w:spacing w:line="360" w:lineRule="atLeast"/>
              <w:jc w:val="center"/>
              <w:textAlignment w:val="baseline"/>
              <w:rPr>
                <w:rFonts w:ascii="宋体" w:hAnsi="宋体"/>
                <w:color w:val="auto"/>
                <w:szCs w:val="21"/>
                <w:highlight w:val="none"/>
              </w:rPr>
            </w:pPr>
          </w:p>
        </w:tc>
        <w:tc>
          <w:tcPr>
            <w:tcW w:w="1585" w:type="dxa"/>
            <w:vMerge w:val="restart"/>
            <w:noWrap/>
            <w:vAlign w:val="center"/>
          </w:tcPr>
          <w:p>
            <w:pPr>
              <w:adjustRightInd w:val="0"/>
              <w:snapToGrid w:val="0"/>
              <w:spacing w:line="360" w:lineRule="atLeast"/>
              <w:jc w:val="center"/>
              <w:textAlignment w:val="baseline"/>
              <w:rPr>
                <w:rFonts w:ascii="宋体" w:hAnsi="宋体"/>
                <w:color w:val="auto"/>
                <w:szCs w:val="21"/>
                <w:highlight w:val="none"/>
              </w:rPr>
            </w:pPr>
          </w:p>
        </w:tc>
        <w:tc>
          <w:tcPr>
            <w:tcW w:w="1701" w:type="dxa"/>
            <w:noWrap/>
            <w:vAlign w:val="center"/>
          </w:tcPr>
          <w:p>
            <w:pPr>
              <w:rPr>
                <w:rFonts w:ascii="宋体" w:hAnsi="宋体"/>
                <w:b/>
                <w:bCs/>
                <w:color w:val="auto"/>
                <w:highlight w:val="none"/>
              </w:rPr>
            </w:pPr>
            <w:r>
              <w:rPr>
                <w:rFonts w:hint="eastAsia" w:ascii="宋体" w:hAnsi="宋体" w:cs="宋体"/>
                <w:b/>
                <w:bCs/>
                <w:color w:val="auto"/>
                <w:kern w:val="0"/>
                <w:highlight w:val="none"/>
              </w:rPr>
              <w:t>文明施工、文物保护保证体系及保证措施</w:t>
            </w:r>
            <w:r>
              <w:rPr>
                <w:rFonts w:hint="eastAsia" w:ascii="宋体" w:hAnsi="宋体"/>
                <w:b/>
                <w:color w:val="auto"/>
                <w:szCs w:val="21"/>
                <w:highlight w:val="none"/>
              </w:rPr>
              <w:t>（满分10分</w:t>
            </w:r>
          </w:p>
          <w:p>
            <w:pPr>
              <w:pStyle w:val="31"/>
              <w:jc w:val="center"/>
              <w:rPr>
                <w:rFonts w:ascii="宋体" w:hAnsi="宋体" w:eastAsia="宋体"/>
                <w:b/>
                <w:color w:val="auto"/>
                <w:kern w:val="2"/>
                <w:sz w:val="21"/>
                <w:szCs w:val="21"/>
                <w:highlight w:val="none"/>
              </w:rPr>
            </w:pPr>
          </w:p>
        </w:tc>
        <w:tc>
          <w:tcPr>
            <w:tcW w:w="5660" w:type="dxa"/>
            <w:noWrap/>
            <w:vAlign w:val="center"/>
          </w:tcPr>
          <w:p>
            <w:pPr>
              <w:rPr>
                <w:rFonts w:ascii="宋体" w:hAnsi="宋体" w:cs="宋体"/>
                <w:b/>
                <w:bCs/>
                <w:color w:val="auto"/>
                <w:kern w:val="0"/>
                <w:highlight w:val="none"/>
              </w:rPr>
            </w:pPr>
            <w:r>
              <w:rPr>
                <w:rFonts w:hint="eastAsia" w:ascii="宋体" w:hAnsi="宋体" w:cs="宋体"/>
                <w:b/>
                <w:bCs/>
                <w:color w:val="auto"/>
                <w:kern w:val="0"/>
                <w:highlight w:val="none"/>
              </w:rPr>
              <w:t>一档（10分）：</w:t>
            </w:r>
            <w:r>
              <w:rPr>
                <w:rFonts w:hint="eastAsia" w:ascii="宋体" w:hAnsi="宋体"/>
                <w:color w:val="auto"/>
                <w:highlight w:val="none"/>
              </w:rPr>
              <w:t>针对项目实际情况，有先进、具体、完整、可行的实施措施，采用规范正确、清晰。各项措施周全、具体、有效。</w:t>
            </w:r>
          </w:p>
          <w:p>
            <w:pPr>
              <w:rPr>
                <w:rFonts w:ascii="宋体" w:hAnsi="宋体" w:cs="宋体"/>
                <w:b/>
                <w:bCs/>
                <w:color w:val="auto"/>
                <w:kern w:val="0"/>
                <w:highlight w:val="none"/>
              </w:rPr>
            </w:pPr>
            <w:r>
              <w:rPr>
                <w:rFonts w:hint="eastAsia" w:ascii="宋体" w:hAnsi="宋体" w:cs="宋体"/>
                <w:b/>
                <w:bCs/>
                <w:color w:val="auto"/>
                <w:kern w:val="0"/>
                <w:highlight w:val="none"/>
              </w:rPr>
              <w:t>二档（7分）：</w:t>
            </w:r>
            <w:r>
              <w:rPr>
                <w:rFonts w:hint="eastAsia" w:ascii="宋体" w:hAnsi="宋体"/>
                <w:color w:val="auto"/>
                <w:highlight w:val="none"/>
              </w:rPr>
              <w:t>针对项目实际情况，有具体、可行的实施措施，采用规范正确、清晰。各项措施周全。</w:t>
            </w:r>
          </w:p>
          <w:p>
            <w:pPr>
              <w:rPr>
                <w:rFonts w:ascii="宋体" w:hAnsi="宋体"/>
                <w:color w:val="auto"/>
                <w:highlight w:val="none"/>
              </w:rPr>
            </w:pPr>
            <w:r>
              <w:rPr>
                <w:rFonts w:hint="eastAsia" w:ascii="宋体" w:hAnsi="宋体" w:cs="宋体"/>
                <w:b/>
                <w:bCs/>
                <w:color w:val="auto"/>
                <w:kern w:val="0"/>
                <w:highlight w:val="none"/>
              </w:rPr>
              <w:t>三档（3分）：</w:t>
            </w:r>
            <w:r>
              <w:rPr>
                <w:rFonts w:hint="eastAsia" w:ascii="宋体" w:hAnsi="宋体"/>
                <w:color w:val="auto"/>
                <w:highlight w:val="none"/>
              </w:rPr>
              <w:t xml:space="preserve">针对项目实际情况，有实施措施，采用规范正确。 </w:t>
            </w:r>
          </w:p>
          <w:p>
            <w:pPr>
              <w:widowControl/>
              <w:jc w:val="left"/>
              <w:rPr>
                <w:rFonts w:ascii="宋体" w:hAnsi="宋体" w:cs="宋体"/>
                <w:b/>
                <w:bCs/>
                <w:color w:val="auto"/>
                <w:kern w:val="0"/>
                <w:highlight w:val="none"/>
              </w:rPr>
            </w:pPr>
            <w:r>
              <w:rPr>
                <w:rFonts w:hint="eastAsia" w:ascii="宋体" w:hAnsi="宋体" w:cs="宋体"/>
                <w:b/>
                <w:bCs/>
                <w:color w:val="auto"/>
                <w:kern w:val="0"/>
                <w:highlight w:val="none"/>
              </w:rPr>
              <w:t>四档（1分）：</w:t>
            </w:r>
            <w:r>
              <w:rPr>
                <w:rFonts w:hint="eastAsia" w:ascii="宋体" w:hAnsi="宋体" w:cs="宋体"/>
                <w:color w:val="auto"/>
                <w:kern w:val="0"/>
                <w:highlight w:val="none"/>
              </w:rPr>
              <w:t>文明施工、文物保护保证体系及保证措施</w:t>
            </w:r>
            <w:r>
              <w:rPr>
                <w:rFonts w:hint="eastAsia" w:ascii="宋体" w:hAnsi="宋体" w:cs="宋体"/>
                <w:color w:val="auto"/>
                <w:kern w:val="0"/>
                <w:szCs w:val="21"/>
                <w:highlight w:val="none"/>
              </w:rPr>
              <w:t>不得力，用规范不正确。</w:t>
            </w:r>
          </w:p>
          <w:p>
            <w:pPr>
              <w:pStyle w:val="31"/>
              <w:rPr>
                <w:rFonts w:ascii="宋体" w:hAnsi="宋体" w:eastAsia="宋体" w:cs="宋体"/>
                <w:color w:val="auto"/>
                <w:sz w:val="21"/>
                <w:highlight w:val="none"/>
              </w:rPr>
            </w:pPr>
            <w:r>
              <w:rPr>
                <w:rFonts w:hint="eastAsia" w:ascii="宋体" w:hAnsi="宋体" w:eastAsia="宋体" w:cs="宋体"/>
                <w:b/>
                <w:bCs/>
                <w:color w:val="auto"/>
                <w:sz w:val="21"/>
                <w:highlight w:val="none"/>
              </w:rPr>
              <w:t>五档（0分）：</w:t>
            </w:r>
            <w:r>
              <w:rPr>
                <w:rFonts w:hint="eastAsia" w:ascii="宋体" w:hAnsi="宋体" w:eastAsia="宋体" w:cs="宋体"/>
                <w:color w:val="auto"/>
                <w:sz w:val="21"/>
                <w:highlight w:val="none"/>
              </w:rPr>
              <w:t>无文明施工、文物保护保证体系及保证措施。</w:t>
            </w:r>
          </w:p>
          <w:p>
            <w:pPr>
              <w:pStyle w:val="31"/>
              <w:rPr>
                <w:rFonts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注：本项不提供不得分。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pPr>
              <w:adjustRightInd w:val="0"/>
              <w:snapToGrid w:val="0"/>
              <w:spacing w:line="360" w:lineRule="atLeast"/>
              <w:jc w:val="center"/>
              <w:textAlignment w:val="baseline"/>
              <w:rPr>
                <w:rFonts w:ascii="宋体" w:hAnsi="宋体"/>
                <w:color w:val="auto"/>
                <w:szCs w:val="21"/>
                <w:highlight w:val="none"/>
              </w:rPr>
            </w:pPr>
          </w:p>
        </w:tc>
        <w:tc>
          <w:tcPr>
            <w:tcW w:w="1585" w:type="dxa"/>
            <w:vMerge w:val="continue"/>
            <w:noWrap/>
            <w:vAlign w:val="center"/>
          </w:tcPr>
          <w:p>
            <w:pPr>
              <w:adjustRightInd w:val="0"/>
              <w:snapToGrid w:val="0"/>
              <w:spacing w:line="360" w:lineRule="atLeast"/>
              <w:jc w:val="center"/>
              <w:textAlignment w:val="baseline"/>
              <w:rPr>
                <w:rFonts w:ascii="宋体" w:hAnsi="宋体"/>
                <w:color w:val="auto"/>
                <w:szCs w:val="21"/>
                <w:highlight w:val="none"/>
              </w:rPr>
            </w:pPr>
          </w:p>
        </w:tc>
        <w:tc>
          <w:tcPr>
            <w:tcW w:w="1701" w:type="dxa"/>
            <w:noWrap/>
            <w:vAlign w:val="center"/>
          </w:tcPr>
          <w:p>
            <w:pPr>
              <w:rPr>
                <w:rFonts w:ascii="宋体" w:hAnsi="宋体"/>
                <w:b/>
                <w:bCs/>
                <w:color w:val="auto"/>
                <w:highlight w:val="none"/>
              </w:rPr>
            </w:pPr>
            <w:r>
              <w:rPr>
                <w:rFonts w:hint="eastAsia" w:ascii="宋体" w:hAnsi="宋体"/>
                <w:b/>
                <w:bCs/>
                <w:color w:val="auto"/>
                <w:highlight w:val="none"/>
              </w:rPr>
              <w:t>项目风险预测与防范，事故应急预案</w:t>
            </w:r>
            <w:r>
              <w:rPr>
                <w:rFonts w:hint="eastAsia" w:ascii="宋体" w:hAnsi="宋体"/>
                <w:b/>
                <w:color w:val="auto"/>
                <w:szCs w:val="21"/>
                <w:highlight w:val="none"/>
              </w:rPr>
              <w:t>（满分10分</w:t>
            </w:r>
          </w:p>
          <w:p>
            <w:pPr>
              <w:rPr>
                <w:rFonts w:ascii="宋体" w:hAnsi="宋体"/>
                <w:b/>
                <w:bCs/>
                <w:color w:val="auto"/>
                <w:highlight w:val="none"/>
              </w:rPr>
            </w:pPr>
          </w:p>
          <w:p>
            <w:pPr>
              <w:pStyle w:val="31"/>
              <w:jc w:val="center"/>
              <w:rPr>
                <w:rFonts w:ascii="宋体" w:hAnsi="宋体" w:eastAsia="宋体"/>
                <w:b/>
                <w:color w:val="auto"/>
                <w:kern w:val="2"/>
                <w:sz w:val="21"/>
                <w:szCs w:val="21"/>
                <w:highlight w:val="none"/>
              </w:rPr>
            </w:pPr>
          </w:p>
        </w:tc>
        <w:tc>
          <w:tcPr>
            <w:tcW w:w="5660" w:type="dxa"/>
            <w:noWrap/>
            <w:vAlign w:val="center"/>
          </w:tcPr>
          <w:p>
            <w:pPr>
              <w:rPr>
                <w:rFonts w:ascii="宋体" w:hAnsi="宋体" w:cs="宋体"/>
                <w:b/>
                <w:bCs/>
                <w:color w:val="auto"/>
                <w:kern w:val="0"/>
                <w:highlight w:val="none"/>
              </w:rPr>
            </w:pPr>
            <w:r>
              <w:rPr>
                <w:rFonts w:hint="eastAsia" w:ascii="宋体" w:hAnsi="宋体" w:cs="宋体"/>
                <w:b/>
                <w:bCs/>
                <w:color w:val="auto"/>
                <w:kern w:val="0"/>
                <w:highlight w:val="none"/>
              </w:rPr>
              <w:t>一档（10分）：</w:t>
            </w:r>
            <w:r>
              <w:rPr>
                <w:rFonts w:hint="eastAsia" w:ascii="宋体" w:hAnsi="宋体" w:cs="宋体"/>
                <w:color w:val="auto"/>
                <w:kern w:val="0"/>
                <w:highlight w:val="none"/>
              </w:rPr>
              <w:t>针对项目实际情况，有先进、具体、完整、可行的项目风险预测与防范，事故应急预案，采用规范正确、清晰。</w:t>
            </w:r>
          </w:p>
          <w:p>
            <w:pPr>
              <w:widowControl/>
              <w:jc w:val="left"/>
              <w:rPr>
                <w:rFonts w:ascii="宋体" w:hAnsi="宋体"/>
                <w:color w:val="auto"/>
                <w:highlight w:val="none"/>
              </w:rPr>
            </w:pPr>
            <w:r>
              <w:rPr>
                <w:rFonts w:hint="eastAsia" w:ascii="宋体" w:hAnsi="宋体" w:cs="宋体"/>
                <w:b/>
                <w:bCs/>
                <w:color w:val="auto"/>
                <w:kern w:val="0"/>
                <w:highlight w:val="none"/>
              </w:rPr>
              <w:t>二档（7分）：</w:t>
            </w:r>
            <w:r>
              <w:rPr>
                <w:rFonts w:hint="eastAsia" w:ascii="宋体" w:hAnsi="宋体" w:cs="宋体"/>
                <w:color w:val="auto"/>
                <w:kern w:val="0"/>
                <w:szCs w:val="21"/>
                <w:highlight w:val="none"/>
              </w:rPr>
              <w:t xml:space="preserve">针对项目实际情况，有合理的预案且具体、完整， </w:t>
            </w:r>
          </w:p>
          <w:p>
            <w:pPr>
              <w:widowControl/>
              <w:jc w:val="left"/>
              <w:rPr>
                <w:rFonts w:ascii="宋体" w:hAnsi="宋体" w:cs="宋体"/>
                <w:b/>
                <w:bCs/>
                <w:color w:val="auto"/>
                <w:kern w:val="0"/>
                <w:highlight w:val="none"/>
              </w:rPr>
            </w:pPr>
            <w:r>
              <w:rPr>
                <w:rFonts w:hint="eastAsia" w:ascii="宋体" w:hAnsi="宋体" w:cs="宋体"/>
                <w:color w:val="auto"/>
                <w:kern w:val="0"/>
                <w:szCs w:val="21"/>
                <w:highlight w:val="none"/>
              </w:rPr>
              <w:t>采用规范正确。</w:t>
            </w:r>
          </w:p>
          <w:p>
            <w:pPr>
              <w:rPr>
                <w:rFonts w:ascii="宋体" w:hAnsi="宋体" w:cs="宋体"/>
                <w:color w:val="auto"/>
                <w:kern w:val="0"/>
                <w:highlight w:val="none"/>
              </w:rPr>
            </w:pPr>
            <w:r>
              <w:rPr>
                <w:rFonts w:hint="eastAsia" w:ascii="宋体" w:hAnsi="宋体" w:cs="宋体"/>
                <w:b/>
                <w:bCs/>
                <w:color w:val="auto"/>
                <w:kern w:val="0"/>
                <w:highlight w:val="none"/>
              </w:rPr>
              <w:t>三档（3分）：</w:t>
            </w:r>
            <w:r>
              <w:rPr>
                <w:rFonts w:hint="eastAsia" w:ascii="宋体" w:hAnsi="宋体" w:cs="宋体"/>
                <w:color w:val="auto"/>
                <w:kern w:val="0"/>
                <w:highlight w:val="none"/>
              </w:rPr>
              <w:t>基本符合项目需求，预案体系完整，但缺乏针对性、科学性。</w:t>
            </w:r>
          </w:p>
          <w:p>
            <w:pPr>
              <w:rPr>
                <w:rFonts w:ascii="宋体" w:hAnsi="宋体" w:cs="宋体"/>
                <w:color w:val="auto"/>
                <w:kern w:val="0"/>
                <w:highlight w:val="none"/>
              </w:rPr>
            </w:pPr>
            <w:r>
              <w:rPr>
                <w:rFonts w:hint="eastAsia" w:ascii="宋体" w:hAnsi="宋体" w:cs="宋体"/>
                <w:b/>
                <w:bCs/>
                <w:color w:val="auto"/>
                <w:kern w:val="0"/>
                <w:highlight w:val="none"/>
              </w:rPr>
              <w:t>四档（1分）：</w:t>
            </w:r>
            <w:r>
              <w:rPr>
                <w:rFonts w:hint="eastAsia" w:ascii="宋体" w:hAnsi="宋体" w:cs="宋体"/>
                <w:color w:val="auto"/>
                <w:kern w:val="0"/>
                <w:highlight w:val="none"/>
              </w:rPr>
              <w:t xml:space="preserve">应表述的内容存在较多欠缺、不符合实际、不 </w:t>
            </w:r>
          </w:p>
          <w:p>
            <w:pPr>
              <w:rPr>
                <w:rFonts w:ascii="宋体" w:hAnsi="宋体" w:cs="宋体"/>
                <w:color w:val="auto"/>
                <w:kern w:val="0"/>
                <w:highlight w:val="none"/>
              </w:rPr>
            </w:pPr>
            <w:r>
              <w:rPr>
                <w:rFonts w:hint="eastAsia" w:ascii="宋体" w:hAnsi="宋体" w:cs="宋体"/>
                <w:color w:val="auto"/>
                <w:kern w:val="0"/>
                <w:highlight w:val="none"/>
              </w:rPr>
              <w:t>可行。</w:t>
            </w:r>
          </w:p>
          <w:p>
            <w:pPr>
              <w:pStyle w:val="31"/>
              <w:rPr>
                <w:rFonts w:ascii="宋体" w:hAnsi="宋体" w:eastAsia="宋体" w:cs="宋体"/>
                <w:b/>
                <w:bCs/>
                <w:color w:val="auto"/>
                <w:kern w:val="2"/>
                <w:sz w:val="21"/>
                <w:highlight w:val="none"/>
              </w:rPr>
            </w:pPr>
            <w:r>
              <w:rPr>
                <w:rFonts w:hint="eastAsia" w:ascii="宋体" w:hAnsi="宋体" w:eastAsia="宋体" w:cs="宋体"/>
                <w:b/>
                <w:bCs/>
                <w:color w:val="auto"/>
                <w:sz w:val="21"/>
                <w:highlight w:val="none"/>
              </w:rPr>
              <w:t>五档（0分）：</w:t>
            </w:r>
            <w:r>
              <w:rPr>
                <w:rFonts w:hint="eastAsia" w:ascii="宋体" w:hAnsi="宋体" w:eastAsia="宋体" w:cs="宋体"/>
                <w:color w:val="auto"/>
                <w:sz w:val="21"/>
                <w:highlight w:val="none"/>
              </w:rPr>
              <w:t>无项目风险预测与防范，事故应急预案。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noWrap/>
            <w:vAlign w:val="center"/>
          </w:tcPr>
          <w:p>
            <w:pPr>
              <w:pStyle w:val="12"/>
              <w:snapToGrid w:val="0"/>
              <w:spacing w:line="360" w:lineRule="atLeast"/>
              <w:ind w:firstLine="422"/>
              <w:rPr>
                <w:rFonts w:hAnsi="宋体"/>
                <w:b/>
                <w:bCs/>
                <w:color w:val="auto"/>
                <w:highlight w:val="none"/>
              </w:rPr>
            </w:pPr>
            <w:r>
              <w:rPr>
                <w:rFonts w:hint="eastAsia" w:hAnsi="宋体"/>
                <w:b/>
                <w:bCs/>
                <w:color w:val="auto"/>
                <w:highlight w:val="none"/>
              </w:rPr>
              <w:t>总得分=1+2+3</w:t>
            </w:r>
          </w:p>
        </w:tc>
      </w:tr>
    </w:tbl>
    <w:p>
      <w:pPr>
        <w:spacing w:line="420" w:lineRule="exact"/>
        <w:rPr>
          <w:bCs/>
          <w:color w:val="auto"/>
          <w:szCs w:val="21"/>
          <w:highlight w:val="none"/>
        </w:rPr>
      </w:pPr>
    </w:p>
    <w:p>
      <w:pPr>
        <w:spacing w:line="360" w:lineRule="auto"/>
        <w:ind w:firstLine="420" w:firstLineChars="200"/>
        <w:rPr>
          <w:color w:val="auto"/>
          <w:szCs w:val="21"/>
          <w:highlight w:val="none"/>
        </w:rPr>
      </w:pPr>
      <w:r>
        <w:rPr>
          <w:bCs/>
          <w:color w:val="auto"/>
          <w:szCs w:val="21"/>
          <w:highlight w:val="none"/>
        </w:rPr>
        <w:t>由磋商小组根据综合评分情况，按照评审</w:t>
      </w:r>
      <w:r>
        <w:rPr>
          <w:rFonts w:hint="eastAsia"/>
          <w:bCs/>
          <w:color w:val="auto"/>
          <w:szCs w:val="21"/>
          <w:highlight w:val="none"/>
        </w:rPr>
        <w:t>总</w:t>
      </w:r>
      <w:r>
        <w:rPr>
          <w:bCs/>
          <w:color w:val="auto"/>
          <w:szCs w:val="21"/>
          <w:highlight w:val="none"/>
        </w:rPr>
        <w:t>得分由高到低顺序推荐3名以上成交候选供应商，并编写评审报告。评审</w:t>
      </w:r>
      <w:r>
        <w:rPr>
          <w:rFonts w:hint="eastAsia"/>
          <w:bCs/>
          <w:color w:val="auto"/>
          <w:szCs w:val="21"/>
          <w:highlight w:val="none"/>
        </w:rPr>
        <w:t>总</w:t>
      </w:r>
      <w:r>
        <w:rPr>
          <w:bCs/>
          <w:color w:val="auto"/>
          <w:szCs w:val="21"/>
          <w:highlight w:val="none"/>
        </w:rPr>
        <w:t>得分相同的，按照最后报价由低到高的顺序推荐。评审</w:t>
      </w:r>
      <w:r>
        <w:rPr>
          <w:rFonts w:hint="eastAsia"/>
          <w:bCs/>
          <w:color w:val="auto"/>
          <w:szCs w:val="21"/>
          <w:highlight w:val="none"/>
        </w:rPr>
        <w:t>总</w:t>
      </w:r>
      <w:r>
        <w:rPr>
          <w:bCs/>
          <w:color w:val="auto"/>
          <w:szCs w:val="21"/>
          <w:highlight w:val="none"/>
        </w:rPr>
        <w:t>得分且最后报价相同的，按照技术指标优劣顺序推荐（按技术得分由高到低排序）。评审得分、最后报价、</w:t>
      </w:r>
      <w:r>
        <w:rPr>
          <w:rFonts w:hint="eastAsia"/>
          <w:bCs/>
          <w:color w:val="auto"/>
          <w:szCs w:val="21"/>
          <w:highlight w:val="none"/>
        </w:rPr>
        <w:t>技术分</w:t>
      </w:r>
      <w:r>
        <w:rPr>
          <w:bCs/>
          <w:color w:val="auto"/>
          <w:szCs w:val="21"/>
          <w:highlight w:val="none"/>
        </w:rPr>
        <w:t>均相同的，由磋商小组随机抽取推荐。</w:t>
      </w:r>
    </w:p>
    <w:p>
      <w:pPr>
        <w:pStyle w:val="2"/>
        <w:jc w:val="center"/>
        <w:rPr>
          <w:color w:val="auto"/>
          <w:highlight w:val="none"/>
        </w:rPr>
      </w:pPr>
      <w:r>
        <w:rPr>
          <w:rFonts w:hint="eastAsia"/>
          <w:color w:val="auto"/>
          <w:highlight w:val="none"/>
        </w:rPr>
        <w:br w:type="page"/>
      </w:r>
      <w:bookmarkStart w:id="174" w:name="_Toc17728"/>
      <w:bookmarkStart w:id="175" w:name="_Toc25089"/>
      <w:bookmarkStart w:id="176" w:name="_Toc26861"/>
      <w:r>
        <w:rPr>
          <w:color w:val="auto"/>
          <w:highlight w:val="none"/>
        </w:rPr>
        <w:t>第</w:t>
      </w:r>
      <w:r>
        <w:rPr>
          <w:rFonts w:hint="eastAsia"/>
          <w:color w:val="auto"/>
          <w:highlight w:val="none"/>
        </w:rPr>
        <w:t>八</w:t>
      </w:r>
      <w:r>
        <w:rPr>
          <w:color w:val="auto"/>
          <w:highlight w:val="none"/>
        </w:rPr>
        <w:t>章 响应文件格式</w:t>
      </w:r>
      <w:bookmarkEnd w:id="174"/>
      <w:bookmarkEnd w:id="175"/>
      <w:bookmarkEnd w:id="176"/>
    </w:p>
    <w:p>
      <w:pPr>
        <w:spacing w:line="240" w:lineRule="atLeast"/>
        <w:rPr>
          <w:b/>
          <w:color w:val="auto"/>
          <w:sz w:val="32"/>
          <w:szCs w:val="32"/>
          <w:highlight w:val="none"/>
        </w:rPr>
      </w:pPr>
    </w:p>
    <w:p>
      <w:pPr>
        <w:snapToGrid w:val="0"/>
        <w:spacing w:before="50" w:after="50"/>
        <w:rPr>
          <w:b/>
          <w:bCs/>
          <w:color w:val="auto"/>
          <w:sz w:val="24"/>
          <w:highlight w:val="none"/>
        </w:rPr>
      </w:pPr>
    </w:p>
    <w:p>
      <w:pPr>
        <w:spacing w:line="240" w:lineRule="atLeast"/>
        <w:rPr>
          <w:bCs/>
          <w:color w:val="auto"/>
          <w:sz w:val="24"/>
          <w:highlight w:val="none"/>
        </w:rPr>
      </w:pPr>
    </w:p>
    <w:p>
      <w:pPr>
        <w:spacing w:line="240" w:lineRule="atLeast"/>
        <w:jc w:val="left"/>
        <w:outlineLvl w:val="1"/>
        <w:rPr>
          <w:bCs/>
          <w:color w:val="auto"/>
          <w:sz w:val="32"/>
          <w:szCs w:val="32"/>
          <w:highlight w:val="none"/>
        </w:rPr>
      </w:pPr>
      <w:bookmarkStart w:id="177" w:name="_Toc13912"/>
      <w:bookmarkStart w:id="178" w:name="_Toc11433"/>
      <w:r>
        <w:rPr>
          <w:b/>
          <w:bCs/>
          <w:color w:val="auto"/>
          <w:sz w:val="32"/>
          <w:szCs w:val="32"/>
          <w:highlight w:val="none"/>
        </w:rPr>
        <w:t>（响应文件封面格式）</w:t>
      </w:r>
      <w:bookmarkEnd w:id="177"/>
      <w:bookmarkEnd w:id="178"/>
    </w:p>
    <w:p>
      <w:pPr>
        <w:spacing w:line="240" w:lineRule="atLeast"/>
        <w:jc w:val="center"/>
        <w:rPr>
          <w:bCs/>
          <w:color w:val="auto"/>
          <w:sz w:val="24"/>
          <w:highlight w:val="none"/>
        </w:rPr>
      </w:pPr>
    </w:p>
    <w:p>
      <w:pPr>
        <w:spacing w:line="240" w:lineRule="atLeast"/>
        <w:jc w:val="center"/>
        <w:rPr>
          <w:bCs/>
          <w:color w:val="auto"/>
          <w:sz w:val="24"/>
          <w:highlight w:val="none"/>
        </w:rPr>
      </w:pPr>
    </w:p>
    <w:p>
      <w:pPr>
        <w:spacing w:line="240" w:lineRule="atLeast"/>
        <w:jc w:val="center"/>
        <w:rPr>
          <w:bCs/>
          <w:color w:val="auto"/>
          <w:sz w:val="24"/>
          <w:highlight w:val="none"/>
        </w:rPr>
      </w:pPr>
    </w:p>
    <w:p>
      <w:pPr>
        <w:pStyle w:val="20"/>
        <w:ind w:firstLine="888"/>
        <w:rPr>
          <w:rFonts w:ascii="Times New Roman"/>
          <w:bCs/>
          <w:color w:val="auto"/>
          <w:sz w:val="44"/>
          <w:szCs w:val="44"/>
          <w:highlight w:val="none"/>
        </w:rPr>
      </w:pPr>
    </w:p>
    <w:p>
      <w:pPr>
        <w:pStyle w:val="20"/>
        <w:ind w:firstLine="888"/>
        <w:rPr>
          <w:rFonts w:ascii="Times New Roman"/>
          <w:bCs/>
          <w:color w:val="auto"/>
          <w:sz w:val="44"/>
          <w:szCs w:val="44"/>
          <w:highlight w:val="none"/>
        </w:rPr>
      </w:pPr>
    </w:p>
    <w:p>
      <w:pPr>
        <w:spacing w:line="240" w:lineRule="atLeast"/>
        <w:jc w:val="center"/>
        <w:rPr>
          <w:bCs/>
          <w:color w:val="auto"/>
          <w:sz w:val="44"/>
          <w:szCs w:val="44"/>
          <w:highlight w:val="none"/>
        </w:rPr>
      </w:pPr>
    </w:p>
    <w:p>
      <w:pPr>
        <w:spacing w:line="240" w:lineRule="atLeast"/>
        <w:jc w:val="center"/>
        <w:outlineLvl w:val="1"/>
        <w:rPr>
          <w:b/>
          <w:color w:val="auto"/>
          <w:sz w:val="32"/>
          <w:szCs w:val="32"/>
          <w:highlight w:val="none"/>
        </w:rPr>
      </w:pPr>
      <w:bookmarkStart w:id="179" w:name="_Toc15967"/>
      <w:bookmarkStart w:id="180" w:name="_Toc32355"/>
      <w:r>
        <w:rPr>
          <w:b/>
          <w:color w:val="auto"/>
          <w:sz w:val="44"/>
          <w:szCs w:val="44"/>
          <w:highlight w:val="none"/>
        </w:rPr>
        <w:t>响 应 文 件</w:t>
      </w:r>
      <w:r>
        <w:rPr>
          <w:rFonts w:hint="eastAsia"/>
          <w:color w:val="auto"/>
          <w:szCs w:val="21"/>
          <w:highlight w:val="none"/>
        </w:rPr>
        <w:t>（</w:t>
      </w:r>
      <w:r>
        <w:rPr>
          <w:color w:val="auto"/>
          <w:szCs w:val="21"/>
          <w:highlight w:val="none"/>
        </w:rPr>
        <w:t>封面</w:t>
      </w:r>
      <w:r>
        <w:rPr>
          <w:rFonts w:hint="eastAsia"/>
          <w:color w:val="auto"/>
          <w:szCs w:val="21"/>
          <w:highlight w:val="none"/>
        </w:rPr>
        <w:t>）</w:t>
      </w:r>
      <w:bookmarkEnd w:id="179"/>
      <w:bookmarkEnd w:id="180"/>
    </w:p>
    <w:p>
      <w:pPr>
        <w:spacing w:line="360" w:lineRule="auto"/>
        <w:rPr>
          <w:color w:val="auto"/>
          <w:szCs w:val="21"/>
          <w:highlight w:val="none"/>
        </w:rPr>
      </w:pPr>
    </w:p>
    <w:p>
      <w:pPr>
        <w:spacing w:line="360" w:lineRule="auto"/>
        <w:jc w:val="center"/>
        <w:rPr>
          <w:color w:val="auto"/>
          <w:szCs w:val="21"/>
          <w:highlight w:val="none"/>
        </w:rPr>
      </w:pPr>
    </w:p>
    <w:p>
      <w:pPr>
        <w:pStyle w:val="20"/>
        <w:ind w:firstLine="488"/>
        <w:rPr>
          <w:color w:val="auto"/>
          <w:highlight w:val="none"/>
        </w:rPr>
      </w:pPr>
    </w:p>
    <w:p>
      <w:pPr>
        <w:spacing w:line="360" w:lineRule="auto"/>
        <w:jc w:val="left"/>
        <w:rPr>
          <w:color w:val="auto"/>
          <w:sz w:val="32"/>
          <w:szCs w:val="32"/>
          <w:highlight w:val="none"/>
        </w:rPr>
      </w:pPr>
    </w:p>
    <w:p>
      <w:pPr>
        <w:spacing w:line="360" w:lineRule="auto"/>
        <w:ind w:firstLine="640" w:firstLineChars="200"/>
        <w:jc w:val="left"/>
        <w:rPr>
          <w:color w:val="auto"/>
          <w:sz w:val="32"/>
          <w:szCs w:val="32"/>
          <w:highlight w:val="none"/>
        </w:rPr>
      </w:pPr>
      <w:r>
        <w:rPr>
          <w:color w:val="auto"/>
          <w:sz w:val="32"/>
          <w:szCs w:val="32"/>
          <w:highlight w:val="none"/>
        </w:rPr>
        <w:t>项目编号：</w:t>
      </w:r>
    </w:p>
    <w:p>
      <w:pPr>
        <w:spacing w:line="360" w:lineRule="auto"/>
        <w:ind w:firstLine="640" w:firstLineChars="200"/>
        <w:jc w:val="left"/>
        <w:rPr>
          <w:color w:val="auto"/>
          <w:sz w:val="32"/>
          <w:szCs w:val="32"/>
          <w:highlight w:val="none"/>
          <w:u w:val="single"/>
        </w:rPr>
      </w:pPr>
    </w:p>
    <w:p>
      <w:pPr>
        <w:tabs>
          <w:tab w:val="left" w:pos="3240"/>
        </w:tabs>
        <w:spacing w:line="360" w:lineRule="auto"/>
        <w:ind w:firstLine="640" w:firstLineChars="200"/>
        <w:jc w:val="left"/>
        <w:rPr>
          <w:color w:val="auto"/>
          <w:sz w:val="32"/>
          <w:szCs w:val="32"/>
          <w:highlight w:val="none"/>
        </w:rPr>
      </w:pPr>
      <w:r>
        <w:rPr>
          <w:color w:val="auto"/>
          <w:sz w:val="32"/>
          <w:szCs w:val="32"/>
          <w:highlight w:val="none"/>
        </w:rPr>
        <w:t>项目名称：</w:t>
      </w:r>
    </w:p>
    <w:p>
      <w:pPr>
        <w:tabs>
          <w:tab w:val="left" w:pos="3240"/>
        </w:tabs>
        <w:spacing w:line="360" w:lineRule="auto"/>
        <w:ind w:firstLine="640" w:firstLineChars="200"/>
        <w:jc w:val="left"/>
        <w:rPr>
          <w:color w:val="auto"/>
          <w:sz w:val="32"/>
          <w:szCs w:val="32"/>
          <w:highlight w:val="none"/>
          <w:u w:val="single"/>
        </w:rPr>
      </w:pPr>
    </w:p>
    <w:p>
      <w:pPr>
        <w:spacing w:line="360" w:lineRule="auto"/>
        <w:ind w:firstLine="640" w:firstLineChars="200"/>
        <w:jc w:val="left"/>
        <w:rPr>
          <w:color w:val="auto"/>
          <w:sz w:val="32"/>
          <w:szCs w:val="32"/>
          <w:highlight w:val="none"/>
          <w:u w:val="single"/>
        </w:rPr>
      </w:pPr>
    </w:p>
    <w:p>
      <w:pPr>
        <w:spacing w:line="360" w:lineRule="auto"/>
        <w:ind w:firstLine="640" w:firstLineChars="200"/>
        <w:jc w:val="left"/>
        <w:rPr>
          <w:color w:val="auto"/>
          <w:sz w:val="32"/>
          <w:szCs w:val="32"/>
          <w:highlight w:val="none"/>
          <w:u w:val="single"/>
        </w:rPr>
      </w:pPr>
      <w:r>
        <w:rPr>
          <w:color w:val="auto"/>
          <w:sz w:val="32"/>
          <w:szCs w:val="32"/>
          <w:highlight w:val="none"/>
        </w:rPr>
        <w:t>供应商名称：</w:t>
      </w:r>
    </w:p>
    <w:p>
      <w:pPr>
        <w:snapToGrid w:val="0"/>
        <w:spacing w:before="156" w:beforeLines="50" w:after="50"/>
        <w:rPr>
          <w:color w:val="auto"/>
          <w:sz w:val="32"/>
          <w:szCs w:val="32"/>
          <w:highlight w:val="none"/>
        </w:rPr>
      </w:pPr>
    </w:p>
    <w:p>
      <w:pPr>
        <w:snapToGrid w:val="0"/>
        <w:spacing w:before="156" w:beforeLines="50" w:after="50"/>
        <w:rPr>
          <w:color w:val="auto"/>
          <w:sz w:val="32"/>
          <w:szCs w:val="32"/>
          <w:highlight w:val="none"/>
        </w:rPr>
      </w:pPr>
    </w:p>
    <w:p>
      <w:pPr>
        <w:snapToGrid w:val="0"/>
        <w:spacing w:before="156" w:beforeLines="50" w:after="50"/>
        <w:jc w:val="center"/>
        <w:rPr>
          <w:color w:val="auto"/>
          <w:sz w:val="32"/>
          <w:szCs w:val="32"/>
          <w:highlight w:val="none"/>
        </w:rPr>
      </w:pPr>
      <w:r>
        <w:rPr>
          <w:color w:val="auto"/>
          <w:sz w:val="32"/>
          <w:szCs w:val="32"/>
          <w:highlight w:val="none"/>
        </w:rPr>
        <w:t>年    月    日</w:t>
      </w:r>
    </w:p>
    <w:p>
      <w:pPr>
        <w:snapToGrid w:val="0"/>
        <w:spacing w:before="156" w:beforeLines="50" w:after="50"/>
        <w:jc w:val="center"/>
        <w:rPr>
          <w:color w:val="auto"/>
          <w:sz w:val="32"/>
          <w:szCs w:val="32"/>
          <w:highlight w:val="none"/>
        </w:rPr>
      </w:pPr>
      <w:r>
        <w:rPr>
          <w:color w:val="auto"/>
          <w:sz w:val="32"/>
          <w:szCs w:val="32"/>
          <w:highlight w:val="none"/>
        </w:rPr>
        <w:br w:type="page"/>
      </w:r>
      <w:bookmarkStart w:id="181" w:name="_Toc35611516"/>
      <w:bookmarkStart w:id="182" w:name="_Toc31723070"/>
      <w:bookmarkStart w:id="183" w:name="_Toc31728084"/>
      <w:bookmarkStart w:id="184" w:name="_Toc44229899"/>
      <w:bookmarkStart w:id="185" w:name="_Toc35611438"/>
    </w:p>
    <w:p>
      <w:pPr>
        <w:snapToGrid w:val="0"/>
        <w:spacing w:before="156" w:beforeLines="50" w:after="50"/>
        <w:jc w:val="center"/>
        <w:outlineLvl w:val="1"/>
        <w:rPr>
          <w:b/>
          <w:bCs/>
          <w:color w:val="auto"/>
          <w:sz w:val="32"/>
          <w:szCs w:val="32"/>
          <w:highlight w:val="none"/>
        </w:rPr>
      </w:pPr>
      <w:bookmarkStart w:id="186" w:name="_Toc29023"/>
      <w:bookmarkStart w:id="187" w:name="_Toc10384"/>
      <w:r>
        <w:rPr>
          <w:b/>
          <w:bCs/>
          <w:color w:val="auto"/>
          <w:sz w:val="32"/>
          <w:szCs w:val="32"/>
          <w:highlight w:val="none"/>
        </w:rPr>
        <w:t>一、资格证明文件格式</w:t>
      </w:r>
      <w:bookmarkEnd w:id="181"/>
      <w:bookmarkEnd w:id="182"/>
      <w:bookmarkEnd w:id="183"/>
      <w:bookmarkEnd w:id="184"/>
      <w:bookmarkEnd w:id="185"/>
      <w:bookmarkEnd w:id="186"/>
      <w:bookmarkEnd w:id="187"/>
    </w:p>
    <w:p>
      <w:pPr>
        <w:snapToGrid w:val="0"/>
        <w:spacing w:before="156" w:beforeLines="50" w:after="50" w:line="360" w:lineRule="auto"/>
        <w:jc w:val="left"/>
        <w:rPr>
          <w:b/>
          <w:color w:val="auto"/>
          <w:sz w:val="28"/>
          <w:szCs w:val="28"/>
          <w:highlight w:val="none"/>
        </w:rPr>
      </w:pPr>
    </w:p>
    <w:p>
      <w:pPr>
        <w:snapToGrid w:val="0"/>
        <w:spacing w:before="156" w:beforeLines="50" w:after="50" w:line="360" w:lineRule="auto"/>
        <w:jc w:val="left"/>
        <w:rPr>
          <w:b/>
          <w:color w:val="auto"/>
          <w:sz w:val="28"/>
          <w:szCs w:val="28"/>
          <w:highlight w:val="none"/>
        </w:rPr>
      </w:pPr>
      <w:r>
        <w:rPr>
          <w:b/>
          <w:color w:val="auto"/>
          <w:sz w:val="28"/>
          <w:szCs w:val="28"/>
          <w:highlight w:val="none"/>
        </w:rPr>
        <w:t>1</w:t>
      </w:r>
      <w:r>
        <w:rPr>
          <w:b/>
          <w:bCs/>
          <w:color w:val="auto"/>
          <w:sz w:val="28"/>
          <w:szCs w:val="28"/>
          <w:highlight w:val="none"/>
        </w:rPr>
        <w:t>．</w:t>
      </w:r>
      <w:r>
        <w:rPr>
          <w:b/>
          <w:color w:val="auto"/>
          <w:sz w:val="28"/>
          <w:szCs w:val="28"/>
          <w:highlight w:val="none"/>
        </w:rPr>
        <w:t xml:space="preserve">资格证明文件封面格式 </w:t>
      </w:r>
    </w:p>
    <w:p>
      <w:pPr>
        <w:pStyle w:val="20"/>
        <w:ind w:firstLine="488"/>
        <w:rPr>
          <w:color w:val="auto"/>
          <w:highlight w:val="none"/>
        </w:rPr>
      </w:pPr>
    </w:p>
    <w:p>
      <w:pPr>
        <w:snapToGrid w:val="0"/>
        <w:spacing w:before="156" w:beforeLines="50" w:after="50"/>
        <w:rPr>
          <w:bCs/>
          <w:color w:val="auto"/>
          <w:sz w:val="32"/>
          <w:szCs w:val="20"/>
          <w:highlight w:val="none"/>
        </w:rPr>
      </w:pPr>
      <w:r>
        <w:rPr>
          <w:rFonts w:hint="eastAsia"/>
          <w:bCs/>
          <w:color w:val="auto"/>
          <w:highlight w:val="none"/>
        </w:rPr>
        <w:t>电子响应文件</w:t>
      </w:r>
    </w:p>
    <w:p>
      <w:pPr>
        <w:snapToGrid w:val="0"/>
        <w:spacing w:before="156" w:beforeLines="50" w:after="50"/>
        <w:rPr>
          <w:color w:val="auto"/>
          <w:sz w:val="24"/>
          <w:szCs w:val="20"/>
          <w:highlight w:val="none"/>
        </w:rPr>
      </w:pPr>
    </w:p>
    <w:p>
      <w:pPr>
        <w:pStyle w:val="20"/>
        <w:ind w:firstLine="488"/>
        <w:rPr>
          <w:rFonts w:ascii="Times New Roman"/>
          <w:color w:val="auto"/>
          <w:highlight w:val="none"/>
        </w:rPr>
      </w:pPr>
    </w:p>
    <w:p>
      <w:pPr>
        <w:pStyle w:val="20"/>
        <w:ind w:firstLine="488"/>
        <w:rPr>
          <w:rFonts w:ascii="Times New Roman"/>
          <w:color w:val="auto"/>
          <w:highlight w:val="none"/>
        </w:rPr>
      </w:pPr>
    </w:p>
    <w:p>
      <w:pPr>
        <w:pStyle w:val="20"/>
        <w:ind w:firstLine="488"/>
        <w:rPr>
          <w:rFonts w:ascii="Times New Roman"/>
          <w:color w:val="auto"/>
          <w:highlight w:val="none"/>
        </w:rPr>
      </w:pPr>
    </w:p>
    <w:p>
      <w:pPr>
        <w:pStyle w:val="20"/>
        <w:ind w:firstLine="488"/>
        <w:rPr>
          <w:rFonts w:ascii="Times New Roman"/>
          <w:color w:val="auto"/>
          <w:highlight w:val="none"/>
        </w:rPr>
      </w:pPr>
    </w:p>
    <w:p>
      <w:pPr>
        <w:snapToGrid w:val="0"/>
        <w:spacing w:before="156" w:beforeLines="50" w:after="50"/>
        <w:rPr>
          <w:color w:val="auto"/>
          <w:sz w:val="24"/>
          <w:szCs w:val="20"/>
          <w:highlight w:val="none"/>
        </w:rPr>
      </w:pPr>
    </w:p>
    <w:p>
      <w:pPr>
        <w:snapToGrid w:val="0"/>
        <w:spacing w:before="156" w:beforeLines="50" w:after="50"/>
        <w:jc w:val="center"/>
        <w:rPr>
          <w:b/>
          <w:color w:val="auto"/>
          <w:sz w:val="44"/>
          <w:szCs w:val="44"/>
          <w:highlight w:val="none"/>
        </w:rPr>
      </w:pPr>
      <w:r>
        <w:rPr>
          <w:b/>
          <w:color w:val="auto"/>
          <w:sz w:val="44"/>
          <w:szCs w:val="44"/>
          <w:highlight w:val="none"/>
        </w:rPr>
        <w:t>资 格 证 明 文 件</w:t>
      </w:r>
    </w:p>
    <w:p>
      <w:pPr>
        <w:snapToGrid w:val="0"/>
        <w:spacing w:before="156" w:beforeLines="50" w:after="50"/>
        <w:rPr>
          <w:bCs/>
          <w:color w:val="auto"/>
          <w:sz w:val="24"/>
          <w:szCs w:val="20"/>
          <w:highlight w:val="none"/>
        </w:rPr>
      </w:pPr>
    </w:p>
    <w:p>
      <w:pPr>
        <w:snapToGrid w:val="0"/>
        <w:spacing w:before="156" w:beforeLines="50" w:after="50"/>
        <w:rPr>
          <w:bCs/>
          <w:color w:val="auto"/>
          <w:sz w:val="24"/>
          <w:szCs w:val="20"/>
          <w:highlight w:val="none"/>
        </w:rPr>
      </w:pPr>
    </w:p>
    <w:p>
      <w:pPr>
        <w:snapToGrid w:val="0"/>
        <w:spacing w:before="156" w:beforeLines="50" w:after="50"/>
        <w:rPr>
          <w:bCs/>
          <w:color w:val="auto"/>
          <w:sz w:val="24"/>
          <w:szCs w:val="20"/>
          <w:highlight w:val="none"/>
        </w:rPr>
      </w:pPr>
    </w:p>
    <w:p>
      <w:pPr>
        <w:snapToGrid w:val="0"/>
        <w:spacing w:before="156" w:beforeLines="50" w:after="50"/>
        <w:rPr>
          <w:bCs/>
          <w:color w:val="auto"/>
          <w:sz w:val="24"/>
          <w:szCs w:val="20"/>
          <w:highlight w:val="none"/>
        </w:rPr>
      </w:pPr>
    </w:p>
    <w:p>
      <w:pPr>
        <w:snapToGrid w:val="0"/>
        <w:spacing w:before="156" w:beforeLines="50" w:after="50"/>
        <w:rPr>
          <w:bCs/>
          <w:color w:val="auto"/>
          <w:sz w:val="24"/>
          <w:szCs w:val="20"/>
          <w:highlight w:val="none"/>
        </w:rPr>
      </w:pPr>
    </w:p>
    <w:p>
      <w:pPr>
        <w:snapToGrid w:val="0"/>
        <w:spacing w:before="156" w:beforeLines="50" w:after="50"/>
        <w:ind w:firstLine="640" w:firstLineChars="200"/>
        <w:rPr>
          <w:bCs/>
          <w:color w:val="auto"/>
          <w:sz w:val="32"/>
          <w:szCs w:val="32"/>
          <w:highlight w:val="none"/>
        </w:rPr>
      </w:pPr>
      <w:r>
        <w:rPr>
          <w:bCs/>
          <w:color w:val="auto"/>
          <w:sz w:val="32"/>
          <w:szCs w:val="32"/>
          <w:highlight w:val="none"/>
        </w:rPr>
        <w:t>项目名称：</w:t>
      </w:r>
    </w:p>
    <w:p>
      <w:pPr>
        <w:snapToGrid w:val="0"/>
        <w:spacing w:before="156" w:beforeLines="50" w:after="50"/>
        <w:ind w:firstLine="720" w:firstLineChars="225"/>
        <w:rPr>
          <w:bCs/>
          <w:color w:val="auto"/>
          <w:sz w:val="32"/>
          <w:szCs w:val="32"/>
          <w:highlight w:val="none"/>
        </w:rPr>
      </w:pPr>
    </w:p>
    <w:p>
      <w:pPr>
        <w:snapToGrid w:val="0"/>
        <w:spacing w:before="156" w:beforeLines="50" w:after="50"/>
        <w:ind w:firstLine="720" w:firstLineChars="225"/>
        <w:rPr>
          <w:bCs/>
          <w:color w:val="auto"/>
          <w:sz w:val="32"/>
          <w:szCs w:val="32"/>
          <w:highlight w:val="none"/>
        </w:rPr>
      </w:pPr>
      <w:r>
        <w:rPr>
          <w:bCs/>
          <w:color w:val="auto"/>
          <w:sz w:val="32"/>
          <w:szCs w:val="32"/>
          <w:highlight w:val="none"/>
        </w:rPr>
        <w:t>项目编号：</w:t>
      </w:r>
    </w:p>
    <w:p>
      <w:pPr>
        <w:snapToGrid w:val="0"/>
        <w:spacing w:before="156" w:beforeLines="50" w:after="50"/>
        <w:ind w:firstLine="720" w:firstLineChars="225"/>
        <w:rPr>
          <w:bCs/>
          <w:color w:val="auto"/>
          <w:sz w:val="32"/>
          <w:szCs w:val="32"/>
          <w:highlight w:val="none"/>
        </w:rPr>
      </w:pPr>
    </w:p>
    <w:p>
      <w:pPr>
        <w:pStyle w:val="6"/>
        <w:snapToGrid w:val="0"/>
        <w:spacing w:before="50" w:after="50"/>
        <w:ind w:firstLine="720" w:firstLineChars="225"/>
        <w:rPr>
          <w:bCs/>
          <w:color w:val="auto"/>
          <w:sz w:val="32"/>
          <w:szCs w:val="32"/>
          <w:highlight w:val="none"/>
        </w:rPr>
      </w:pPr>
      <w:r>
        <w:rPr>
          <w:bCs/>
          <w:color w:val="auto"/>
          <w:sz w:val="32"/>
          <w:szCs w:val="32"/>
          <w:highlight w:val="none"/>
        </w:rPr>
        <w:t>供应商名称：</w:t>
      </w:r>
    </w:p>
    <w:p>
      <w:pPr>
        <w:pStyle w:val="6"/>
        <w:snapToGrid w:val="0"/>
        <w:spacing w:before="50" w:after="50"/>
        <w:ind w:firstLine="720" w:firstLineChars="225"/>
        <w:rPr>
          <w:bCs/>
          <w:color w:val="auto"/>
          <w:sz w:val="32"/>
          <w:szCs w:val="32"/>
          <w:highlight w:val="none"/>
        </w:rPr>
      </w:pPr>
    </w:p>
    <w:p>
      <w:pPr>
        <w:pStyle w:val="6"/>
        <w:snapToGrid w:val="0"/>
        <w:spacing w:before="50" w:after="50"/>
        <w:ind w:firstLine="720" w:firstLineChars="225"/>
        <w:rPr>
          <w:bCs/>
          <w:color w:val="auto"/>
          <w:sz w:val="32"/>
          <w:szCs w:val="32"/>
          <w:highlight w:val="none"/>
        </w:rPr>
      </w:pPr>
    </w:p>
    <w:p>
      <w:pPr>
        <w:pStyle w:val="6"/>
        <w:snapToGrid w:val="0"/>
        <w:spacing w:before="50" w:after="50"/>
        <w:ind w:firstLine="720" w:firstLineChars="225"/>
        <w:rPr>
          <w:bCs/>
          <w:color w:val="auto"/>
          <w:sz w:val="32"/>
          <w:szCs w:val="32"/>
          <w:highlight w:val="none"/>
        </w:rPr>
      </w:pPr>
    </w:p>
    <w:p>
      <w:pPr>
        <w:pStyle w:val="6"/>
        <w:snapToGrid w:val="0"/>
        <w:spacing w:before="50" w:after="50"/>
        <w:ind w:firstLine="1280" w:firstLineChars="400"/>
        <w:rPr>
          <w:bCs/>
          <w:color w:val="auto"/>
          <w:sz w:val="32"/>
          <w:szCs w:val="32"/>
          <w:highlight w:val="none"/>
        </w:rPr>
      </w:pPr>
    </w:p>
    <w:p>
      <w:pPr>
        <w:snapToGrid w:val="0"/>
        <w:spacing w:before="156" w:beforeLines="50" w:after="50"/>
        <w:jc w:val="center"/>
        <w:rPr>
          <w:color w:val="auto"/>
          <w:sz w:val="32"/>
          <w:szCs w:val="32"/>
          <w:highlight w:val="none"/>
        </w:rPr>
      </w:pPr>
      <w:r>
        <w:rPr>
          <w:color w:val="auto"/>
          <w:sz w:val="32"/>
          <w:szCs w:val="32"/>
          <w:highlight w:val="none"/>
        </w:rPr>
        <w:t>年    月    日</w:t>
      </w:r>
    </w:p>
    <w:p>
      <w:pPr>
        <w:snapToGrid w:val="0"/>
        <w:spacing w:before="156" w:beforeLines="50" w:after="50" w:line="360" w:lineRule="auto"/>
        <w:ind w:left="142"/>
        <w:jc w:val="left"/>
        <w:rPr>
          <w:b/>
          <w:bCs/>
          <w:color w:val="auto"/>
          <w:sz w:val="28"/>
          <w:szCs w:val="28"/>
          <w:highlight w:val="none"/>
        </w:rPr>
      </w:pPr>
      <w:r>
        <w:rPr>
          <w:color w:val="auto"/>
          <w:sz w:val="24"/>
          <w:highlight w:val="none"/>
        </w:rPr>
        <w:br w:type="page"/>
      </w:r>
      <w:r>
        <w:rPr>
          <w:b/>
          <w:bCs/>
          <w:color w:val="auto"/>
          <w:sz w:val="28"/>
          <w:szCs w:val="28"/>
          <w:highlight w:val="none"/>
        </w:rPr>
        <w:t>2．资格证明文件目录</w:t>
      </w:r>
    </w:p>
    <w:p>
      <w:pPr>
        <w:snapToGrid w:val="0"/>
        <w:spacing w:before="156" w:beforeLines="50" w:after="50" w:line="360" w:lineRule="auto"/>
        <w:jc w:val="center"/>
        <w:rPr>
          <w:color w:val="auto"/>
          <w:sz w:val="28"/>
          <w:szCs w:val="28"/>
          <w:highlight w:val="none"/>
        </w:rPr>
      </w:pPr>
      <w:r>
        <w:rPr>
          <w:color w:val="auto"/>
          <w:sz w:val="28"/>
          <w:szCs w:val="28"/>
          <w:highlight w:val="none"/>
        </w:rPr>
        <w:t>根据磋商文件规定及供应商提供的材料自行编写目录（部分格式后附）</w:t>
      </w:r>
    </w:p>
    <w:p>
      <w:pPr>
        <w:snapToGrid w:val="0"/>
        <w:spacing w:before="156" w:beforeLines="50" w:after="50"/>
        <w:rPr>
          <w:color w:val="auto"/>
          <w:sz w:val="24"/>
          <w:szCs w:val="20"/>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before="312" w:beforeLines="100" w:after="156" w:afterLines="50" w:line="520" w:lineRule="exact"/>
        <w:ind w:left="540"/>
        <w:jc w:val="center"/>
        <w:outlineLvl w:val="2"/>
        <w:rPr>
          <w:rFonts w:ascii="宋体" w:hAnsi="宋体" w:cs="宋体"/>
          <w:b/>
          <w:color w:val="auto"/>
          <w:sz w:val="30"/>
          <w:szCs w:val="30"/>
          <w:highlight w:val="none"/>
        </w:rPr>
      </w:pPr>
      <w:r>
        <w:rPr>
          <w:color w:val="auto"/>
          <w:szCs w:val="21"/>
          <w:highlight w:val="none"/>
        </w:rPr>
        <w:br w:type="page"/>
      </w:r>
      <w:bookmarkStart w:id="188" w:name="_Toc10636"/>
      <w:bookmarkStart w:id="189" w:name="_Toc8232"/>
      <w:bookmarkStart w:id="190" w:name="_Toc153274948"/>
      <w:bookmarkStart w:id="191" w:name="_Toc172364026"/>
      <w:bookmarkStart w:id="192" w:name="_Toc173579006"/>
      <w:bookmarkStart w:id="193" w:name="_Toc389065364"/>
      <w:bookmarkStart w:id="194" w:name="_Toc251052200"/>
      <w:r>
        <w:rPr>
          <w:rFonts w:ascii="宋体" w:hAnsi="宋体" w:cs="宋体"/>
          <w:b/>
          <w:color w:val="auto"/>
          <w:sz w:val="30"/>
          <w:szCs w:val="30"/>
          <w:highlight w:val="none"/>
        </w:rPr>
        <w:t>法定代表人证明书</w:t>
      </w:r>
      <w:bookmarkEnd w:id="188"/>
      <w:bookmarkEnd w:id="189"/>
    </w:p>
    <w:p>
      <w:pPr>
        <w:spacing w:line="360" w:lineRule="auto"/>
        <w:ind w:left="540"/>
        <w:contextualSpacing/>
        <w:rPr>
          <w:color w:val="auto"/>
          <w:sz w:val="32"/>
          <w:szCs w:val="32"/>
          <w:highlight w:val="none"/>
        </w:rPr>
      </w:pPr>
    </w:p>
    <w:p>
      <w:pPr>
        <w:spacing w:line="480" w:lineRule="auto"/>
        <w:ind w:firstLine="420" w:firstLineChars="200"/>
        <w:contextualSpacing/>
        <w:rPr>
          <w:color w:val="auto"/>
          <w:szCs w:val="21"/>
          <w:highlight w:val="none"/>
        </w:rPr>
      </w:pPr>
      <w:r>
        <w:rPr>
          <w:color w:val="auto"/>
          <w:szCs w:val="21"/>
          <w:highlight w:val="none"/>
        </w:rPr>
        <w:t>供应商名称：</w:t>
      </w:r>
    </w:p>
    <w:p>
      <w:pPr>
        <w:spacing w:line="480" w:lineRule="auto"/>
        <w:ind w:firstLine="420" w:firstLineChars="200"/>
        <w:contextualSpacing/>
        <w:rPr>
          <w:color w:val="auto"/>
          <w:szCs w:val="21"/>
          <w:highlight w:val="none"/>
        </w:rPr>
      </w:pPr>
      <w:r>
        <w:rPr>
          <w:color w:val="auto"/>
          <w:szCs w:val="21"/>
          <w:highlight w:val="none"/>
        </w:rPr>
        <w:t>地    址：</w:t>
      </w:r>
    </w:p>
    <w:p>
      <w:pPr>
        <w:spacing w:line="480" w:lineRule="auto"/>
        <w:ind w:firstLine="420" w:firstLineChars="200"/>
        <w:contextualSpacing/>
        <w:rPr>
          <w:color w:val="auto"/>
          <w:szCs w:val="21"/>
          <w:highlight w:val="none"/>
        </w:rPr>
      </w:pPr>
      <w:r>
        <w:rPr>
          <w:color w:val="auto"/>
          <w:szCs w:val="21"/>
          <w:highlight w:val="none"/>
        </w:rPr>
        <w:t>姓    名：性     别：</w:t>
      </w:r>
    </w:p>
    <w:p>
      <w:pPr>
        <w:spacing w:line="480" w:lineRule="auto"/>
        <w:ind w:firstLine="420" w:firstLineChars="200"/>
        <w:contextualSpacing/>
        <w:rPr>
          <w:color w:val="auto"/>
          <w:szCs w:val="21"/>
          <w:highlight w:val="none"/>
          <w:u w:val="single"/>
        </w:rPr>
      </w:pPr>
      <w:r>
        <w:rPr>
          <w:color w:val="auto"/>
          <w:szCs w:val="21"/>
          <w:highlight w:val="none"/>
        </w:rPr>
        <w:t>年    龄：职     务：</w:t>
      </w:r>
    </w:p>
    <w:p>
      <w:pPr>
        <w:spacing w:line="480" w:lineRule="auto"/>
        <w:ind w:firstLine="420" w:firstLineChars="200"/>
        <w:contextualSpacing/>
        <w:rPr>
          <w:color w:val="auto"/>
          <w:szCs w:val="21"/>
          <w:highlight w:val="none"/>
        </w:rPr>
      </w:pPr>
      <w:r>
        <w:rPr>
          <w:color w:val="auto"/>
          <w:szCs w:val="21"/>
          <w:highlight w:val="none"/>
        </w:rPr>
        <w:t>身份证号码：</w:t>
      </w:r>
    </w:p>
    <w:p>
      <w:pPr>
        <w:spacing w:line="480" w:lineRule="auto"/>
        <w:ind w:firstLine="420" w:firstLineChars="200"/>
        <w:contextualSpacing/>
        <w:rPr>
          <w:color w:val="auto"/>
          <w:szCs w:val="21"/>
          <w:highlight w:val="none"/>
        </w:rPr>
      </w:pPr>
      <w:r>
        <w:rPr>
          <w:color w:val="auto"/>
          <w:szCs w:val="21"/>
          <w:highlight w:val="none"/>
        </w:rPr>
        <w:t>系</w:t>
      </w:r>
      <w:r>
        <w:rPr>
          <w:color w:val="auto"/>
          <w:szCs w:val="21"/>
          <w:highlight w:val="none"/>
          <w:u w:val="single"/>
        </w:rPr>
        <w:t>（供应商名称）</w:t>
      </w:r>
      <w:r>
        <w:rPr>
          <w:color w:val="auto"/>
          <w:szCs w:val="21"/>
          <w:highlight w:val="none"/>
        </w:rPr>
        <w:t>的法定代表人。</w:t>
      </w:r>
    </w:p>
    <w:p>
      <w:pPr>
        <w:spacing w:line="480" w:lineRule="auto"/>
        <w:ind w:firstLine="420" w:firstLineChars="200"/>
        <w:contextualSpacing/>
        <w:rPr>
          <w:color w:val="auto"/>
          <w:szCs w:val="21"/>
          <w:highlight w:val="none"/>
        </w:rPr>
      </w:pPr>
      <w:r>
        <w:rPr>
          <w:color w:val="auto"/>
          <w:szCs w:val="21"/>
          <w:highlight w:val="none"/>
        </w:rPr>
        <w:t>特此证明。</w:t>
      </w:r>
    </w:p>
    <w:p>
      <w:pPr>
        <w:spacing w:line="360" w:lineRule="auto"/>
        <w:ind w:left="540"/>
        <w:contextualSpacing/>
        <w:rPr>
          <w:color w:val="auto"/>
          <w:szCs w:val="21"/>
          <w:highlight w:val="none"/>
        </w:rPr>
      </w:pPr>
    </w:p>
    <w:p>
      <w:pPr>
        <w:spacing w:line="360" w:lineRule="auto"/>
        <w:ind w:left="540"/>
        <w:contextualSpacing/>
        <w:rPr>
          <w:color w:val="auto"/>
          <w:szCs w:val="21"/>
          <w:highlight w:val="none"/>
        </w:rPr>
      </w:pPr>
      <w:r>
        <w:rPr>
          <w:color w:val="auto"/>
          <w:szCs w:val="21"/>
          <w:highlight w:val="none"/>
        </w:rPr>
        <w:t>附件：法定代表人有效身份证正反面复印件</w:t>
      </w:r>
    </w:p>
    <w:p>
      <w:pPr>
        <w:spacing w:line="360" w:lineRule="auto"/>
        <w:ind w:left="540"/>
        <w:contextualSpacing/>
        <w:rPr>
          <w:color w:val="auto"/>
          <w:szCs w:val="21"/>
          <w:highlight w:val="none"/>
        </w:rPr>
      </w:pPr>
    </w:p>
    <w:p>
      <w:pPr>
        <w:pStyle w:val="20"/>
        <w:ind w:firstLine="428"/>
        <w:rPr>
          <w:rFonts w:ascii="Times New Roman"/>
          <w:color w:val="auto"/>
          <w:sz w:val="21"/>
          <w:szCs w:val="21"/>
          <w:highlight w:val="none"/>
        </w:rPr>
      </w:pPr>
    </w:p>
    <w:p>
      <w:pPr>
        <w:pStyle w:val="20"/>
        <w:ind w:firstLine="428"/>
        <w:rPr>
          <w:rFonts w:ascii="Times New Roman"/>
          <w:color w:val="auto"/>
          <w:sz w:val="21"/>
          <w:szCs w:val="21"/>
          <w:highlight w:val="none"/>
        </w:rPr>
      </w:pPr>
    </w:p>
    <w:p>
      <w:pPr>
        <w:pStyle w:val="20"/>
        <w:ind w:firstLine="428"/>
        <w:rPr>
          <w:rFonts w:ascii="Times New Roman"/>
          <w:color w:val="auto"/>
          <w:sz w:val="21"/>
          <w:szCs w:val="21"/>
          <w:highlight w:val="none"/>
        </w:rPr>
      </w:pPr>
    </w:p>
    <w:p>
      <w:pPr>
        <w:spacing w:line="360" w:lineRule="auto"/>
        <w:ind w:left="540"/>
        <w:contextualSpacing/>
        <w:jc w:val="center"/>
        <w:rPr>
          <w:color w:val="auto"/>
          <w:szCs w:val="21"/>
          <w:highlight w:val="none"/>
        </w:rPr>
      </w:pPr>
      <w:r>
        <w:rPr>
          <w:color w:val="auto"/>
          <w:szCs w:val="21"/>
          <w:highlight w:val="none"/>
        </w:rPr>
        <w:t>供应商（盖公章）：</w:t>
      </w:r>
    </w:p>
    <w:p>
      <w:pPr>
        <w:spacing w:line="360" w:lineRule="auto"/>
        <w:ind w:firstLine="5250" w:firstLineChars="2500"/>
        <w:contextualSpacing/>
        <w:rPr>
          <w:color w:val="auto"/>
          <w:szCs w:val="21"/>
          <w:highlight w:val="none"/>
        </w:rPr>
      </w:pPr>
      <w:r>
        <w:rPr>
          <w:color w:val="auto"/>
          <w:szCs w:val="21"/>
          <w:highlight w:val="none"/>
        </w:rPr>
        <w:t>年月日</w:t>
      </w:r>
    </w:p>
    <w:p>
      <w:pPr>
        <w:spacing w:line="360" w:lineRule="auto"/>
        <w:contextualSpacing/>
        <w:jc w:val="center"/>
        <w:rPr>
          <w:b/>
          <w:color w:val="auto"/>
          <w:szCs w:val="21"/>
          <w:highlight w:val="none"/>
        </w:rPr>
      </w:pPr>
    </w:p>
    <w:p>
      <w:pPr>
        <w:spacing w:line="360" w:lineRule="auto"/>
        <w:contextualSpacing/>
        <w:jc w:val="left"/>
        <w:rPr>
          <w:color w:val="auto"/>
          <w:szCs w:val="21"/>
          <w:highlight w:val="none"/>
        </w:rPr>
      </w:pPr>
    </w:p>
    <w:p>
      <w:pPr>
        <w:spacing w:line="360" w:lineRule="auto"/>
        <w:ind w:firstLine="420" w:firstLineChars="200"/>
        <w:contextualSpacing/>
        <w:jc w:val="left"/>
        <w:rPr>
          <w:color w:val="auto"/>
          <w:szCs w:val="21"/>
          <w:highlight w:val="none"/>
        </w:rPr>
      </w:pPr>
    </w:p>
    <w:p>
      <w:pPr>
        <w:spacing w:line="360" w:lineRule="auto"/>
        <w:ind w:firstLine="420" w:firstLineChars="200"/>
        <w:contextualSpacing/>
        <w:jc w:val="left"/>
        <w:rPr>
          <w:b/>
          <w:color w:val="auto"/>
          <w:szCs w:val="21"/>
          <w:highlight w:val="none"/>
        </w:rPr>
      </w:pPr>
      <w:r>
        <w:rPr>
          <w:color w:val="auto"/>
          <w:szCs w:val="21"/>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60" w:lineRule="auto"/>
        <w:jc w:val="left"/>
        <w:rPr>
          <w:b/>
          <w:color w:val="auto"/>
          <w:szCs w:val="21"/>
          <w:highlight w:val="none"/>
        </w:rPr>
      </w:pPr>
    </w:p>
    <w:p>
      <w:pPr>
        <w:spacing w:before="312" w:beforeLines="100" w:after="156" w:afterLines="50" w:line="520" w:lineRule="exact"/>
        <w:ind w:left="540"/>
        <w:jc w:val="center"/>
        <w:outlineLvl w:val="2"/>
        <w:rPr>
          <w:b/>
          <w:bCs/>
          <w:color w:val="auto"/>
          <w:sz w:val="28"/>
          <w:szCs w:val="28"/>
          <w:highlight w:val="none"/>
        </w:rPr>
      </w:pPr>
      <w:r>
        <w:rPr>
          <w:color w:val="auto"/>
          <w:sz w:val="44"/>
          <w:szCs w:val="44"/>
          <w:highlight w:val="none"/>
        </w:rPr>
        <w:br w:type="page"/>
      </w:r>
      <w:bookmarkStart w:id="195" w:name="_Toc21695"/>
      <w:bookmarkStart w:id="196" w:name="_Toc31712"/>
      <w:r>
        <w:rPr>
          <w:b/>
          <w:bCs/>
          <w:color w:val="auto"/>
          <w:sz w:val="28"/>
          <w:szCs w:val="28"/>
          <w:highlight w:val="none"/>
        </w:rPr>
        <w:t>授权委托书（如有委托时）</w:t>
      </w:r>
      <w:bookmarkEnd w:id="195"/>
      <w:bookmarkEnd w:id="196"/>
    </w:p>
    <w:p>
      <w:pPr>
        <w:spacing w:line="360" w:lineRule="auto"/>
        <w:rPr>
          <w:color w:val="auto"/>
          <w:sz w:val="24"/>
          <w:highlight w:val="none"/>
        </w:rPr>
      </w:pPr>
    </w:p>
    <w:p>
      <w:pPr>
        <w:spacing w:after="156" w:afterLines="50" w:line="360" w:lineRule="auto"/>
        <w:rPr>
          <w:color w:val="auto"/>
          <w:szCs w:val="21"/>
          <w:highlight w:val="none"/>
        </w:rPr>
      </w:pPr>
      <w:r>
        <w:rPr>
          <w:color w:val="auto"/>
          <w:szCs w:val="21"/>
          <w:highlight w:val="none"/>
        </w:rPr>
        <w:t>致：</w:t>
      </w:r>
      <w:r>
        <w:rPr>
          <w:color w:val="auto"/>
          <w:szCs w:val="21"/>
          <w:highlight w:val="none"/>
          <w:u w:val="single"/>
        </w:rPr>
        <w:t>（采购人名称）</w:t>
      </w:r>
    </w:p>
    <w:p>
      <w:pPr>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（姓名）</w:t>
      </w:r>
      <w:r>
        <w:rPr>
          <w:color w:val="auto"/>
          <w:szCs w:val="21"/>
          <w:highlight w:val="none"/>
        </w:rPr>
        <w:t>系</w:t>
      </w:r>
      <w:r>
        <w:rPr>
          <w:color w:val="auto"/>
          <w:szCs w:val="21"/>
          <w:highlight w:val="none"/>
          <w:u w:val="single"/>
        </w:rPr>
        <w:t xml:space="preserve"> （供应商名称）  </w:t>
      </w:r>
      <w:r>
        <w:rPr>
          <w:color w:val="auto"/>
          <w:szCs w:val="21"/>
          <w:highlight w:val="none"/>
        </w:rPr>
        <w:t>的（</w:t>
      </w:r>
      <w:r>
        <w:rPr>
          <w:color w:val="auto"/>
          <w:szCs w:val="21"/>
          <w:highlight w:val="none"/>
          <w:u w:val="single"/>
        </w:rPr>
        <w:sym w:font="Wingdings" w:char="00A8"/>
      </w:r>
      <w:r>
        <w:rPr>
          <w:color w:val="auto"/>
          <w:szCs w:val="21"/>
          <w:highlight w:val="none"/>
          <w:u w:val="single"/>
        </w:rPr>
        <w:t>法定代表人/</w:t>
      </w:r>
      <w:r>
        <w:rPr>
          <w:color w:val="auto"/>
          <w:szCs w:val="21"/>
          <w:highlight w:val="none"/>
          <w:u w:val="single"/>
        </w:rPr>
        <w:sym w:font="Wingdings" w:char="00A8"/>
      </w:r>
      <w:r>
        <w:rPr>
          <w:color w:val="auto"/>
          <w:szCs w:val="21"/>
          <w:highlight w:val="none"/>
          <w:u w:val="single"/>
        </w:rPr>
        <w:t>负责人/</w:t>
      </w:r>
      <w:r>
        <w:rPr>
          <w:color w:val="auto"/>
          <w:szCs w:val="21"/>
          <w:highlight w:val="none"/>
          <w:u w:val="single"/>
        </w:rPr>
        <w:sym w:font="Wingdings" w:char="00A8"/>
      </w:r>
      <w:r>
        <w:rPr>
          <w:color w:val="auto"/>
          <w:szCs w:val="21"/>
          <w:highlight w:val="none"/>
          <w:u w:val="single"/>
        </w:rPr>
        <w:t>自然人本人</w:t>
      </w:r>
      <w:r>
        <w:rPr>
          <w:color w:val="auto"/>
          <w:szCs w:val="21"/>
          <w:highlight w:val="none"/>
        </w:rPr>
        <w:t>），现授权</w:t>
      </w:r>
      <w:r>
        <w:rPr>
          <w:color w:val="auto"/>
          <w:szCs w:val="21"/>
          <w:highlight w:val="none"/>
          <w:u w:val="single"/>
        </w:rPr>
        <w:t xml:space="preserve">（姓名） </w:t>
      </w:r>
      <w:r>
        <w:rPr>
          <w:color w:val="auto"/>
          <w:szCs w:val="21"/>
          <w:highlight w:val="none"/>
        </w:rPr>
        <w:t>以我方的名义参加项目的竞标活动，并代表我方全权办理针对上述项目的所有采购程序和环节的具体事务和签署相关文件。</w:t>
      </w:r>
    </w:p>
    <w:p>
      <w:pPr>
        <w:spacing w:line="360" w:lineRule="auto"/>
        <w:rPr>
          <w:color w:val="auto"/>
          <w:szCs w:val="21"/>
          <w:highlight w:val="none"/>
        </w:rPr>
      </w:pPr>
      <w:r>
        <w:rPr>
          <w:color w:val="auto"/>
          <w:szCs w:val="21"/>
          <w:highlight w:val="none"/>
        </w:rPr>
        <w:t xml:space="preserve">    我方对委托代理人的签字事项负全部责任。</w:t>
      </w:r>
    </w:p>
    <w:p>
      <w:pPr>
        <w:spacing w:line="360" w:lineRule="auto"/>
        <w:ind w:firstLine="420" w:firstLineChars="200"/>
        <w:rPr>
          <w:color w:val="auto"/>
          <w:szCs w:val="21"/>
          <w:highlight w:val="none"/>
        </w:rPr>
      </w:pPr>
      <w:r>
        <w:rPr>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color w:val="auto"/>
          <w:szCs w:val="21"/>
          <w:highlight w:val="none"/>
        </w:rPr>
      </w:pPr>
      <w:r>
        <w:rPr>
          <w:color w:val="auto"/>
          <w:szCs w:val="21"/>
          <w:highlight w:val="none"/>
        </w:rPr>
        <w:t>委托代理人无转委托权，特此委托。</w:t>
      </w:r>
    </w:p>
    <w:p>
      <w:pPr>
        <w:spacing w:line="360" w:lineRule="auto"/>
        <w:ind w:firstLine="420" w:firstLineChars="200"/>
        <w:rPr>
          <w:color w:val="auto"/>
          <w:szCs w:val="21"/>
          <w:highlight w:val="none"/>
        </w:rPr>
      </w:pPr>
      <w:r>
        <w:rPr>
          <w:color w:val="auto"/>
          <w:szCs w:val="21"/>
          <w:highlight w:val="none"/>
        </w:rPr>
        <w:t>附：法定代表人身份证明书及委托代理人有效身份证正反面复印件</w:t>
      </w:r>
    </w:p>
    <w:p>
      <w:pPr>
        <w:spacing w:line="360" w:lineRule="auto"/>
        <w:rPr>
          <w:color w:val="auto"/>
          <w:szCs w:val="21"/>
          <w:highlight w:val="none"/>
        </w:rPr>
      </w:pPr>
    </w:p>
    <w:p>
      <w:pPr>
        <w:spacing w:line="360" w:lineRule="auto"/>
        <w:ind w:firstLine="420" w:firstLineChars="200"/>
        <w:rPr>
          <w:color w:val="auto"/>
          <w:szCs w:val="21"/>
          <w:highlight w:val="none"/>
        </w:rPr>
      </w:pPr>
      <w:r>
        <w:rPr>
          <w:color w:val="auto"/>
          <w:szCs w:val="21"/>
          <w:highlight w:val="none"/>
        </w:rPr>
        <w:t xml:space="preserve">委托代理人（签字）：         法定代表人（签字或盖章）：                    </w:t>
      </w:r>
    </w:p>
    <w:p>
      <w:pPr>
        <w:spacing w:line="360" w:lineRule="auto"/>
        <w:ind w:firstLine="420" w:firstLineChars="200"/>
        <w:rPr>
          <w:color w:val="auto"/>
          <w:szCs w:val="21"/>
          <w:highlight w:val="none"/>
        </w:rPr>
      </w:pPr>
      <w:r>
        <w:rPr>
          <w:color w:val="auto"/>
          <w:szCs w:val="21"/>
          <w:highlight w:val="none"/>
        </w:rPr>
        <w:t xml:space="preserve">委托代理人身份证号码：                              </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供应商（盖公章）：</w:t>
      </w:r>
    </w:p>
    <w:p>
      <w:pPr>
        <w:spacing w:line="360" w:lineRule="auto"/>
        <w:rPr>
          <w:color w:val="auto"/>
          <w:szCs w:val="21"/>
          <w:highlight w:val="none"/>
        </w:rPr>
      </w:pPr>
      <w:r>
        <w:rPr>
          <w:color w:val="auto"/>
          <w:szCs w:val="21"/>
          <w:highlight w:val="none"/>
        </w:rPr>
        <w:t xml:space="preserve">    年    月    日</w:t>
      </w:r>
    </w:p>
    <w:p>
      <w:pPr>
        <w:spacing w:line="360" w:lineRule="auto"/>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注：</w:t>
      </w:r>
    </w:p>
    <w:p>
      <w:pPr>
        <w:spacing w:line="400" w:lineRule="exact"/>
        <w:ind w:firstLine="420" w:firstLineChars="200"/>
        <w:rPr>
          <w:color w:val="auto"/>
          <w:szCs w:val="21"/>
          <w:highlight w:val="none"/>
        </w:rPr>
      </w:pPr>
      <w:r>
        <w:rPr>
          <w:color w:val="auto"/>
          <w:szCs w:val="21"/>
          <w:highlight w:val="none"/>
        </w:rPr>
        <w:t>1．法定代表人必须在授权委托书上亲笔签字或盖章，委托代理人必须在授权委托书上亲笔签字，</w:t>
      </w:r>
      <w:r>
        <w:rPr>
          <w:b/>
          <w:color w:val="auto"/>
          <w:szCs w:val="21"/>
          <w:highlight w:val="none"/>
        </w:rPr>
        <w:t>否则其响应文件按无效响应处理。</w:t>
      </w:r>
    </w:p>
    <w:p>
      <w:pPr>
        <w:spacing w:line="400" w:lineRule="exact"/>
        <w:ind w:firstLine="420" w:firstLineChars="200"/>
        <w:jc w:val="left"/>
        <w:rPr>
          <w:color w:val="auto"/>
          <w:szCs w:val="21"/>
          <w:highlight w:val="none"/>
        </w:r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400" w:lineRule="exact"/>
        <w:ind w:firstLine="420" w:firstLineChars="200"/>
        <w:jc w:val="left"/>
        <w:rPr>
          <w:color w:val="auto"/>
          <w:szCs w:val="21"/>
          <w:highlight w:val="none"/>
        </w:rPr>
      </w:pPr>
      <w:r>
        <w:rPr>
          <w:color w:val="auto"/>
          <w:szCs w:val="21"/>
          <w:highlight w:val="none"/>
        </w:rPr>
        <w:t>3</w:t>
      </w:r>
      <w:bookmarkStart w:id="197" w:name="_Hlk65853109"/>
      <w:r>
        <w:rPr>
          <w:color w:val="auto"/>
          <w:szCs w:val="21"/>
          <w:highlight w:val="none"/>
        </w:rPr>
        <w:t>．法人、其他组织竞标时“我方”是指“我单位”，自然人竞标时“我方”是指“本人”。</w:t>
      </w:r>
      <w:bookmarkEnd w:id="197"/>
    </w:p>
    <w:p>
      <w:pPr>
        <w:pStyle w:val="32"/>
        <w:jc w:val="center"/>
        <w:rPr>
          <w:b/>
          <w:color w:val="auto"/>
          <w:sz w:val="24"/>
          <w:highlight w:val="none"/>
        </w:rPr>
      </w:pPr>
    </w:p>
    <w:p>
      <w:pPr>
        <w:pStyle w:val="32"/>
        <w:jc w:val="center"/>
        <w:rPr>
          <w:b/>
          <w:color w:val="auto"/>
          <w:sz w:val="24"/>
          <w:highlight w:val="none"/>
        </w:rPr>
      </w:pPr>
      <w:r>
        <w:rPr>
          <w:b/>
          <w:color w:val="auto"/>
          <w:sz w:val="24"/>
          <w:highlight w:val="none"/>
        </w:rPr>
        <w:br w:type="page"/>
      </w:r>
    </w:p>
    <w:p>
      <w:pPr>
        <w:pStyle w:val="32"/>
        <w:jc w:val="center"/>
        <w:rPr>
          <w:b/>
          <w:color w:val="auto"/>
          <w:sz w:val="24"/>
          <w:highlight w:val="none"/>
        </w:rPr>
      </w:pPr>
    </w:p>
    <w:p>
      <w:pPr>
        <w:pStyle w:val="32"/>
        <w:jc w:val="center"/>
        <w:outlineLvl w:val="2"/>
        <w:rPr>
          <w:color w:val="auto"/>
          <w:highlight w:val="none"/>
          <w:u w:val="single"/>
        </w:rPr>
      </w:pPr>
      <w:bookmarkStart w:id="198" w:name="_Toc12844"/>
      <w:bookmarkStart w:id="199" w:name="_Toc676"/>
      <w:r>
        <w:rPr>
          <w:b/>
          <w:color w:val="auto"/>
          <w:sz w:val="24"/>
          <w:highlight w:val="none"/>
        </w:rPr>
        <w:t>项目经理（注册建造师）简历表</w:t>
      </w:r>
      <w:bookmarkEnd w:id="190"/>
      <w:bookmarkEnd w:id="191"/>
      <w:bookmarkEnd w:id="192"/>
      <w:bookmarkEnd w:id="193"/>
      <w:bookmarkEnd w:id="194"/>
      <w:bookmarkEnd w:id="198"/>
      <w:bookmarkEnd w:id="199"/>
    </w:p>
    <w:p>
      <w:pPr>
        <w:pStyle w:val="32"/>
        <w:rPr>
          <w:color w:val="auto"/>
          <w:highlight w:val="none"/>
          <w:u w:val="single"/>
        </w:rPr>
      </w:pPr>
    </w:p>
    <w:p>
      <w:pPr>
        <w:pStyle w:val="32"/>
        <w:rPr>
          <w:color w:val="auto"/>
          <w:highlight w:val="none"/>
          <w:u w:val="single"/>
        </w:rPr>
      </w:pPr>
    </w:p>
    <w:p>
      <w:pPr>
        <w:pStyle w:val="32"/>
        <w:rPr>
          <w:color w:val="auto"/>
          <w:highlight w:val="none"/>
        </w:rPr>
      </w:pPr>
      <w:r>
        <w:rPr>
          <w:rFonts w:hint="eastAsia"/>
          <w:color w:val="auto"/>
          <w:highlight w:val="none"/>
          <w:u w:val="single"/>
        </w:rPr>
        <w:t>（</w:t>
      </w:r>
      <w:r>
        <w:rPr>
          <w:color w:val="auto"/>
          <w:highlight w:val="none"/>
          <w:u w:val="single"/>
        </w:rPr>
        <w:t>招标工程项目名称</w:t>
      </w:r>
      <w:r>
        <w:rPr>
          <w:rFonts w:hint="eastAsia"/>
          <w:color w:val="auto"/>
          <w:highlight w:val="none"/>
          <w:u w:val="single"/>
        </w:rPr>
        <w:t>）</w:t>
      </w:r>
      <w:r>
        <w:rPr>
          <w:color w:val="auto"/>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ign w:val="center"/>
          </w:tcPr>
          <w:p>
            <w:pPr>
              <w:jc w:val="center"/>
              <w:rPr>
                <w:color w:val="auto"/>
                <w:highlight w:val="none"/>
              </w:rPr>
            </w:pPr>
            <w:r>
              <w:rPr>
                <w:color w:val="auto"/>
                <w:highlight w:val="none"/>
              </w:rPr>
              <w:t>姓名</w:t>
            </w:r>
          </w:p>
        </w:tc>
        <w:tc>
          <w:tcPr>
            <w:tcW w:w="2340" w:type="dxa"/>
            <w:gridSpan w:val="3"/>
            <w:noWrap/>
            <w:vAlign w:val="center"/>
          </w:tcPr>
          <w:p>
            <w:pPr>
              <w:jc w:val="center"/>
              <w:rPr>
                <w:color w:val="auto"/>
                <w:highlight w:val="none"/>
              </w:rPr>
            </w:pPr>
          </w:p>
        </w:tc>
        <w:tc>
          <w:tcPr>
            <w:tcW w:w="1893" w:type="dxa"/>
            <w:gridSpan w:val="2"/>
            <w:noWrap/>
            <w:vAlign w:val="center"/>
          </w:tcPr>
          <w:p>
            <w:pPr>
              <w:jc w:val="center"/>
              <w:rPr>
                <w:color w:val="auto"/>
                <w:highlight w:val="none"/>
              </w:rPr>
            </w:pPr>
            <w:r>
              <w:rPr>
                <w:color w:val="auto"/>
                <w:highlight w:val="none"/>
              </w:rPr>
              <w:t>性别</w:t>
            </w:r>
          </w:p>
        </w:tc>
        <w:tc>
          <w:tcPr>
            <w:tcW w:w="1585" w:type="dxa"/>
            <w:gridSpan w:val="2"/>
            <w:noWrap/>
            <w:vAlign w:val="center"/>
          </w:tcPr>
          <w:p>
            <w:pPr>
              <w:jc w:val="center"/>
              <w:rPr>
                <w:color w:val="auto"/>
                <w:highlight w:val="none"/>
              </w:rPr>
            </w:pPr>
          </w:p>
        </w:tc>
        <w:tc>
          <w:tcPr>
            <w:tcW w:w="1108" w:type="dxa"/>
            <w:gridSpan w:val="2"/>
            <w:noWrap/>
            <w:vAlign w:val="center"/>
          </w:tcPr>
          <w:p>
            <w:pPr>
              <w:jc w:val="center"/>
              <w:rPr>
                <w:color w:val="auto"/>
                <w:highlight w:val="none"/>
              </w:rPr>
            </w:pPr>
            <w:r>
              <w:rPr>
                <w:color w:val="auto"/>
                <w:highlight w:val="none"/>
              </w:rPr>
              <w:t>年龄</w:t>
            </w:r>
          </w:p>
        </w:tc>
        <w:tc>
          <w:tcPr>
            <w:tcW w:w="1276"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ign w:val="center"/>
          </w:tcPr>
          <w:p>
            <w:pPr>
              <w:jc w:val="center"/>
              <w:rPr>
                <w:color w:val="auto"/>
                <w:highlight w:val="none"/>
              </w:rPr>
            </w:pPr>
            <w:r>
              <w:rPr>
                <w:color w:val="auto"/>
                <w:highlight w:val="none"/>
              </w:rPr>
              <w:t>职务</w:t>
            </w:r>
          </w:p>
        </w:tc>
        <w:tc>
          <w:tcPr>
            <w:tcW w:w="2340" w:type="dxa"/>
            <w:gridSpan w:val="3"/>
            <w:noWrap/>
            <w:vAlign w:val="center"/>
          </w:tcPr>
          <w:p>
            <w:pPr>
              <w:jc w:val="center"/>
              <w:rPr>
                <w:color w:val="auto"/>
                <w:highlight w:val="none"/>
              </w:rPr>
            </w:pPr>
          </w:p>
        </w:tc>
        <w:tc>
          <w:tcPr>
            <w:tcW w:w="1893" w:type="dxa"/>
            <w:gridSpan w:val="2"/>
            <w:noWrap/>
            <w:vAlign w:val="center"/>
          </w:tcPr>
          <w:p>
            <w:pPr>
              <w:jc w:val="center"/>
              <w:rPr>
                <w:color w:val="auto"/>
                <w:highlight w:val="none"/>
              </w:rPr>
            </w:pPr>
            <w:r>
              <w:rPr>
                <w:color w:val="auto"/>
                <w:highlight w:val="none"/>
              </w:rPr>
              <w:t>职称</w:t>
            </w:r>
          </w:p>
        </w:tc>
        <w:tc>
          <w:tcPr>
            <w:tcW w:w="1585" w:type="dxa"/>
            <w:gridSpan w:val="2"/>
            <w:noWrap/>
            <w:vAlign w:val="center"/>
          </w:tcPr>
          <w:p>
            <w:pPr>
              <w:jc w:val="center"/>
              <w:rPr>
                <w:color w:val="auto"/>
                <w:highlight w:val="none"/>
              </w:rPr>
            </w:pPr>
          </w:p>
        </w:tc>
        <w:tc>
          <w:tcPr>
            <w:tcW w:w="1108" w:type="dxa"/>
            <w:gridSpan w:val="2"/>
            <w:noWrap/>
            <w:vAlign w:val="center"/>
          </w:tcPr>
          <w:p>
            <w:pPr>
              <w:jc w:val="center"/>
              <w:rPr>
                <w:color w:val="auto"/>
                <w:highlight w:val="none"/>
              </w:rPr>
            </w:pPr>
            <w:r>
              <w:rPr>
                <w:color w:val="auto"/>
                <w:highlight w:val="none"/>
              </w:rPr>
              <w:t>学历</w:t>
            </w:r>
          </w:p>
        </w:tc>
        <w:tc>
          <w:tcPr>
            <w:tcW w:w="1276"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ign w:val="center"/>
          </w:tcPr>
          <w:p>
            <w:pPr>
              <w:jc w:val="center"/>
              <w:rPr>
                <w:color w:val="auto"/>
                <w:highlight w:val="none"/>
              </w:rPr>
            </w:pPr>
            <w:r>
              <w:rPr>
                <w:color w:val="auto"/>
                <w:highlight w:val="none"/>
              </w:rPr>
              <w:t>参加工作时间</w:t>
            </w:r>
          </w:p>
        </w:tc>
        <w:tc>
          <w:tcPr>
            <w:tcW w:w="1893" w:type="dxa"/>
            <w:gridSpan w:val="2"/>
            <w:noWrap/>
            <w:vAlign w:val="center"/>
          </w:tcPr>
          <w:p>
            <w:pPr>
              <w:jc w:val="center"/>
              <w:rPr>
                <w:color w:val="auto"/>
                <w:highlight w:val="none"/>
              </w:rPr>
            </w:pPr>
          </w:p>
        </w:tc>
        <w:tc>
          <w:tcPr>
            <w:tcW w:w="2693" w:type="dxa"/>
            <w:gridSpan w:val="4"/>
            <w:noWrap/>
            <w:vAlign w:val="center"/>
          </w:tcPr>
          <w:p>
            <w:pPr>
              <w:jc w:val="center"/>
              <w:rPr>
                <w:color w:val="auto"/>
                <w:highlight w:val="none"/>
              </w:rPr>
            </w:pPr>
            <w:r>
              <w:rPr>
                <w:color w:val="auto"/>
                <w:highlight w:val="none"/>
              </w:rPr>
              <w:t>担任项目经理年限</w:t>
            </w:r>
          </w:p>
        </w:tc>
        <w:tc>
          <w:tcPr>
            <w:tcW w:w="1276"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ign w:val="center"/>
          </w:tcPr>
          <w:p>
            <w:pPr>
              <w:jc w:val="center"/>
              <w:rPr>
                <w:color w:val="auto"/>
                <w:highlight w:val="none"/>
              </w:rPr>
            </w:pPr>
            <w:r>
              <w:rPr>
                <w:rFonts w:hint="eastAsia"/>
                <w:color w:val="auto"/>
                <w:highlight w:val="none"/>
              </w:rPr>
              <w:t>建造师注册</w:t>
            </w:r>
            <w:r>
              <w:rPr>
                <w:color w:val="auto"/>
                <w:highlight w:val="none"/>
              </w:rPr>
              <w:t>编号</w:t>
            </w:r>
          </w:p>
        </w:tc>
        <w:tc>
          <w:tcPr>
            <w:tcW w:w="5862" w:type="dxa"/>
            <w:gridSpan w:val="7"/>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ign w:val="center"/>
          </w:tcPr>
          <w:p>
            <w:pPr>
              <w:jc w:val="center"/>
              <w:rPr>
                <w:color w:val="auto"/>
                <w:highlight w:val="none"/>
              </w:rPr>
            </w:pPr>
            <w:r>
              <w:rPr>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ign w:val="center"/>
          </w:tcPr>
          <w:p>
            <w:pPr>
              <w:jc w:val="center"/>
              <w:rPr>
                <w:color w:val="auto"/>
                <w:highlight w:val="none"/>
              </w:rPr>
            </w:pPr>
            <w:r>
              <w:rPr>
                <w:color w:val="auto"/>
                <w:highlight w:val="none"/>
              </w:rPr>
              <w:t>建设单位</w:t>
            </w:r>
          </w:p>
        </w:tc>
        <w:tc>
          <w:tcPr>
            <w:tcW w:w="1548" w:type="dxa"/>
            <w:noWrap/>
            <w:vAlign w:val="center"/>
          </w:tcPr>
          <w:p>
            <w:pPr>
              <w:jc w:val="center"/>
              <w:rPr>
                <w:color w:val="auto"/>
                <w:highlight w:val="none"/>
              </w:rPr>
            </w:pPr>
            <w:r>
              <w:rPr>
                <w:color w:val="auto"/>
                <w:highlight w:val="none"/>
              </w:rPr>
              <w:t>项目名称</w:t>
            </w:r>
          </w:p>
        </w:tc>
        <w:tc>
          <w:tcPr>
            <w:tcW w:w="1547" w:type="dxa"/>
            <w:gridSpan w:val="2"/>
            <w:noWrap/>
            <w:vAlign w:val="center"/>
          </w:tcPr>
          <w:p>
            <w:pPr>
              <w:jc w:val="center"/>
              <w:rPr>
                <w:color w:val="auto"/>
                <w:highlight w:val="none"/>
              </w:rPr>
            </w:pPr>
            <w:r>
              <w:rPr>
                <w:color w:val="auto"/>
                <w:highlight w:val="none"/>
              </w:rPr>
              <w:t>建设规模</w:t>
            </w:r>
          </w:p>
        </w:tc>
        <w:tc>
          <w:tcPr>
            <w:tcW w:w="1548" w:type="dxa"/>
            <w:gridSpan w:val="2"/>
            <w:noWrap/>
            <w:vAlign w:val="center"/>
          </w:tcPr>
          <w:p>
            <w:pPr>
              <w:jc w:val="center"/>
              <w:rPr>
                <w:color w:val="auto"/>
                <w:highlight w:val="none"/>
              </w:rPr>
            </w:pPr>
            <w:r>
              <w:rPr>
                <w:color w:val="auto"/>
                <w:highlight w:val="none"/>
              </w:rPr>
              <w:t>开、竣工日期</w:t>
            </w:r>
          </w:p>
        </w:tc>
        <w:tc>
          <w:tcPr>
            <w:tcW w:w="1547" w:type="dxa"/>
            <w:gridSpan w:val="2"/>
            <w:noWrap/>
            <w:vAlign w:val="center"/>
          </w:tcPr>
          <w:p>
            <w:pPr>
              <w:jc w:val="center"/>
              <w:rPr>
                <w:color w:val="auto"/>
                <w:highlight w:val="none"/>
              </w:rPr>
            </w:pPr>
            <w:r>
              <w:rPr>
                <w:color w:val="auto"/>
                <w:highlight w:val="none"/>
              </w:rPr>
              <w:t>在建或已完</w:t>
            </w:r>
          </w:p>
        </w:tc>
        <w:tc>
          <w:tcPr>
            <w:tcW w:w="1548" w:type="dxa"/>
            <w:gridSpan w:val="2"/>
            <w:noWrap/>
            <w:vAlign w:val="center"/>
          </w:tcPr>
          <w:p>
            <w:pPr>
              <w:jc w:val="center"/>
              <w:rPr>
                <w:color w:val="auto"/>
                <w:highlight w:val="none"/>
              </w:rPr>
            </w:pPr>
            <w:r>
              <w:rPr>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ign w:val="center"/>
          </w:tcPr>
          <w:p>
            <w:pPr>
              <w:jc w:val="center"/>
              <w:rPr>
                <w:color w:val="auto"/>
                <w:highlight w:val="none"/>
              </w:rPr>
            </w:pPr>
          </w:p>
        </w:tc>
        <w:tc>
          <w:tcPr>
            <w:tcW w:w="1548" w:type="dxa"/>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ign w:val="center"/>
          </w:tcPr>
          <w:p>
            <w:pPr>
              <w:jc w:val="center"/>
              <w:rPr>
                <w:color w:val="auto"/>
                <w:highlight w:val="none"/>
              </w:rPr>
            </w:pPr>
          </w:p>
        </w:tc>
        <w:tc>
          <w:tcPr>
            <w:tcW w:w="1548" w:type="dxa"/>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ign w:val="center"/>
          </w:tcPr>
          <w:p>
            <w:pPr>
              <w:jc w:val="center"/>
              <w:rPr>
                <w:color w:val="auto"/>
                <w:highlight w:val="none"/>
              </w:rPr>
            </w:pPr>
          </w:p>
        </w:tc>
        <w:tc>
          <w:tcPr>
            <w:tcW w:w="1548" w:type="dxa"/>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ign w:val="center"/>
          </w:tcPr>
          <w:p>
            <w:pPr>
              <w:jc w:val="center"/>
              <w:rPr>
                <w:color w:val="auto"/>
                <w:highlight w:val="none"/>
              </w:rPr>
            </w:pPr>
          </w:p>
        </w:tc>
        <w:tc>
          <w:tcPr>
            <w:tcW w:w="1548" w:type="dxa"/>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c>
          <w:tcPr>
            <w:tcW w:w="1547" w:type="dxa"/>
            <w:gridSpan w:val="2"/>
            <w:noWrap/>
            <w:vAlign w:val="center"/>
          </w:tcPr>
          <w:p>
            <w:pPr>
              <w:jc w:val="center"/>
              <w:rPr>
                <w:color w:val="auto"/>
                <w:highlight w:val="none"/>
              </w:rPr>
            </w:pPr>
          </w:p>
        </w:tc>
        <w:tc>
          <w:tcPr>
            <w:tcW w:w="1548" w:type="dxa"/>
            <w:gridSpan w:val="2"/>
            <w:noWrap/>
            <w:vAlign w:val="center"/>
          </w:tcPr>
          <w:p>
            <w:pPr>
              <w:jc w:val="center"/>
              <w:rPr>
                <w:color w:val="auto"/>
                <w:highlight w:val="none"/>
              </w:rPr>
            </w:pPr>
          </w:p>
        </w:tc>
      </w:tr>
    </w:tbl>
    <w:p>
      <w:pPr>
        <w:pStyle w:val="32"/>
        <w:jc w:val="center"/>
        <w:rPr>
          <w:b/>
          <w:color w:val="auto"/>
          <w:sz w:val="24"/>
          <w:highlight w:val="none"/>
        </w:rPr>
      </w:pPr>
      <w:r>
        <w:rPr>
          <w:color w:val="auto"/>
          <w:szCs w:val="21"/>
          <w:highlight w:val="none"/>
        </w:rPr>
        <w:br w:type="page"/>
      </w:r>
    </w:p>
    <w:p>
      <w:pPr>
        <w:jc w:val="center"/>
        <w:rPr>
          <w:rFonts w:ascii="宋体" w:hAnsi="宋体" w:cs="宋体"/>
          <w:b/>
          <w:bCs/>
          <w:color w:val="auto"/>
          <w:sz w:val="24"/>
          <w:highlight w:val="none"/>
        </w:rPr>
      </w:pPr>
      <w:r>
        <w:rPr>
          <w:rFonts w:hint="eastAsia" w:ascii="宋体" w:hAnsi="宋体" w:cs="宋体"/>
          <w:b/>
          <w:bCs/>
          <w:color w:val="auto"/>
          <w:sz w:val="24"/>
          <w:highlight w:val="none"/>
        </w:rPr>
        <w:t>参加本政府采购活动前3年内在经营活动中没有重大违法记录的书面声明</w:t>
      </w:r>
    </w:p>
    <w:p>
      <w:pPr>
        <w:jc w:val="left"/>
        <w:rPr>
          <w:rFonts w:ascii="宋体" w:hAnsi="宋体" w:cs="宋体"/>
          <w:color w:val="auto"/>
          <w:sz w:val="24"/>
          <w:highlight w:val="none"/>
        </w:rPr>
      </w:pPr>
    </w:p>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广西瑞真工程造价咨询有限公司：</w:t>
      </w:r>
    </w:p>
    <w:p>
      <w:pPr>
        <w:spacing w:line="560" w:lineRule="exact"/>
        <w:ind w:firstLine="420"/>
        <w:jc w:val="left"/>
        <w:rPr>
          <w:rFonts w:ascii="宋体" w:hAnsi="宋体" w:cs="宋体"/>
          <w:color w:val="auto"/>
          <w:sz w:val="24"/>
          <w:highlight w:val="none"/>
        </w:rPr>
      </w:pPr>
      <w:r>
        <w:rPr>
          <w:rFonts w:hint="eastAsia" w:ascii="宋体" w:hAnsi="宋体" w:cs="宋体"/>
          <w:color w:val="auto"/>
          <w:sz w:val="24"/>
          <w:highlight w:val="none"/>
        </w:rPr>
        <w:t>我公司参加贵公司组织</w:t>
      </w:r>
      <w:r>
        <w:rPr>
          <w:rFonts w:hint="eastAsia" w:ascii="宋体" w:hAnsi="宋体" w:cs="宋体"/>
          <w:color w:val="auto"/>
          <w:sz w:val="24"/>
          <w:highlight w:val="none"/>
          <w:u w:val="single"/>
        </w:rPr>
        <w:t xml:space="preserve">                   项目（项目编号：                   ）</w:t>
      </w:r>
      <w:r>
        <w:rPr>
          <w:rFonts w:hint="eastAsia" w:ascii="宋体" w:hAnsi="宋体" w:cs="宋体"/>
          <w:color w:val="auto"/>
          <w:sz w:val="24"/>
          <w:highlight w:val="none"/>
        </w:rPr>
        <w:t>的政府采购活动。我公司在此郑重声明，我公司参加本项目的政府采购活动前三年内在经营活动中没有重大违法记录（重大违法记录是指磋商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磋商人资格条件，我方对此声明负全部法律责任。</w:t>
      </w:r>
    </w:p>
    <w:p>
      <w:pPr>
        <w:spacing w:line="560" w:lineRule="exact"/>
        <w:ind w:firstLine="420"/>
        <w:jc w:val="left"/>
        <w:rPr>
          <w:rFonts w:ascii="宋体" w:hAnsi="宋体" w:cs="宋体"/>
          <w:color w:val="auto"/>
          <w:sz w:val="24"/>
          <w:highlight w:val="none"/>
        </w:rPr>
      </w:pPr>
      <w:r>
        <w:rPr>
          <w:rFonts w:hint="eastAsia" w:ascii="宋体" w:hAnsi="宋体" w:cs="宋体"/>
          <w:color w:val="auto"/>
          <w:sz w:val="24"/>
          <w:highlight w:val="none"/>
        </w:rPr>
        <w:t xml:space="preserve">   特此承诺。 </w:t>
      </w:r>
    </w:p>
    <w:p>
      <w:pPr>
        <w:ind w:firstLine="420"/>
        <w:jc w:val="left"/>
        <w:rPr>
          <w:rFonts w:ascii="宋体" w:hAnsi="宋体" w:cs="宋体"/>
          <w:color w:val="auto"/>
          <w:sz w:val="24"/>
          <w:highlight w:val="none"/>
        </w:rPr>
      </w:pPr>
    </w:p>
    <w:p>
      <w:pPr>
        <w:ind w:firstLine="420"/>
        <w:jc w:val="left"/>
        <w:rPr>
          <w:rFonts w:ascii="宋体" w:hAnsi="宋体" w:cs="宋体"/>
          <w:color w:val="auto"/>
          <w:sz w:val="24"/>
          <w:highlight w:val="none"/>
        </w:rPr>
      </w:pPr>
    </w:p>
    <w:p>
      <w:pPr>
        <w:ind w:firstLine="420"/>
        <w:jc w:val="left"/>
        <w:rPr>
          <w:rFonts w:ascii="宋体" w:hAnsi="宋体" w:cs="宋体"/>
          <w:color w:val="auto"/>
          <w:sz w:val="24"/>
          <w:highlight w:val="none"/>
        </w:rPr>
      </w:pPr>
    </w:p>
    <w:p>
      <w:pPr>
        <w:ind w:firstLine="420"/>
        <w:jc w:val="left"/>
        <w:rPr>
          <w:rFonts w:ascii="宋体" w:hAnsi="宋体" w:cs="宋体"/>
          <w:color w:val="auto"/>
          <w:sz w:val="24"/>
          <w:highlight w:val="none"/>
        </w:rPr>
      </w:pPr>
    </w:p>
    <w:p>
      <w:pPr>
        <w:ind w:firstLine="2880" w:firstLineChars="1200"/>
        <w:rPr>
          <w:rFonts w:ascii="宋体" w:hAnsi="宋体" w:cs="宋体"/>
          <w:color w:val="auto"/>
          <w:sz w:val="24"/>
          <w:highlight w:val="none"/>
        </w:rPr>
      </w:pPr>
      <w:r>
        <w:rPr>
          <w:rFonts w:hint="eastAsia" w:ascii="宋体" w:hAnsi="宋体" w:cs="宋体"/>
          <w:color w:val="auto"/>
          <w:sz w:val="24"/>
          <w:highlight w:val="none"/>
        </w:rPr>
        <w:t xml:space="preserve">   法定代表人或被授权人签字：</w:t>
      </w:r>
    </w:p>
    <w:p>
      <w:pPr>
        <w:ind w:firstLine="420"/>
        <w:jc w:val="center"/>
        <w:rPr>
          <w:rFonts w:ascii="宋体" w:hAnsi="宋体" w:cs="宋体"/>
          <w:color w:val="auto"/>
          <w:sz w:val="24"/>
          <w:highlight w:val="none"/>
        </w:rPr>
      </w:pPr>
    </w:p>
    <w:p>
      <w:pPr>
        <w:ind w:firstLine="420"/>
        <w:jc w:val="center"/>
        <w:rPr>
          <w:rFonts w:ascii="宋体" w:hAnsi="宋体" w:cs="宋体"/>
          <w:color w:val="auto"/>
          <w:sz w:val="24"/>
          <w:highlight w:val="none"/>
        </w:rPr>
      </w:pPr>
      <w:r>
        <w:rPr>
          <w:rFonts w:hint="eastAsia" w:ascii="宋体" w:hAnsi="宋体" w:cs="宋体"/>
          <w:color w:val="auto"/>
          <w:sz w:val="24"/>
          <w:highlight w:val="none"/>
        </w:rPr>
        <w:t xml:space="preserve">          供应商（盖公章 ）：                              </w:t>
      </w:r>
    </w:p>
    <w:p>
      <w:pPr>
        <w:ind w:firstLine="420"/>
        <w:jc w:val="center"/>
        <w:rPr>
          <w:rFonts w:ascii="宋体" w:hAnsi="宋体" w:cs="宋体"/>
          <w:color w:val="auto"/>
          <w:sz w:val="24"/>
          <w:highlight w:val="none"/>
        </w:rPr>
      </w:pPr>
    </w:p>
    <w:p>
      <w:pPr>
        <w:pStyle w:val="32"/>
        <w:jc w:val="center"/>
        <w:outlineLvl w:val="2"/>
        <w:rPr>
          <w:b/>
          <w:color w:val="auto"/>
          <w:sz w:val="24"/>
          <w:highlight w:val="none"/>
        </w:rPr>
      </w:pPr>
      <w:bookmarkStart w:id="200" w:name="_Toc31913"/>
      <w:bookmarkStart w:id="201" w:name="_Toc28130"/>
      <w:r>
        <w:rPr>
          <w:rFonts w:hint="eastAsia" w:ascii="宋体" w:hAnsi="宋体" w:cs="宋体"/>
          <w:color w:val="auto"/>
          <w:sz w:val="24"/>
          <w:highlight w:val="none"/>
        </w:rPr>
        <w:t>年       月       日</w:t>
      </w:r>
      <w:bookmarkEnd w:id="200"/>
      <w:bookmarkEnd w:id="201"/>
    </w:p>
    <w:p>
      <w:pPr>
        <w:spacing w:line="320" w:lineRule="exact"/>
        <w:jc w:val="left"/>
        <w:rPr>
          <w:rFonts w:ascii="宋体" w:hAnsi="宋体"/>
          <w:color w:val="auto"/>
          <w:szCs w:val="21"/>
          <w:highlight w:val="none"/>
        </w:rPr>
      </w:pPr>
    </w:p>
    <w:p>
      <w:pPr>
        <w:wordWrap w:val="0"/>
        <w:spacing w:before="156" w:beforeLines="50" w:after="50" w:line="320" w:lineRule="exact"/>
        <w:ind w:right="482" w:firstLine="280" w:firstLineChars="100"/>
        <w:contextualSpacing/>
        <w:jc w:val="center"/>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pStyle w:val="26"/>
        <w:rPr>
          <w:color w:val="auto"/>
          <w:sz w:val="28"/>
          <w:szCs w:val="28"/>
          <w:highlight w:val="none"/>
        </w:rPr>
      </w:pPr>
    </w:p>
    <w:p>
      <w:pPr>
        <w:spacing w:line="320" w:lineRule="exact"/>
        <w:jc w:val="center"/>
        <w:outlineLvl w:val="2"/>
        <w:rPr>
          <w:b/>
          <w:color w:val="auto"/>
          <w:sz w:val="28"/>
          <w:szCs w:val="28"/>
          <w:highlight w:val="none"/>
        </w:rPr>
      </w:pPr>
      <w:bookmarkStart w:id="202" w:name="_Toc3310"/>
      <w:bookmarkStart w:id="203" w:name="_Toc11809"/>
      <w:r>
        <w:rPr>
          <w:b/>
          <w:color w:val="auto"/>
          <w:sz w:val="28"/>
          <w:szCs w:val="28"/>
          <w:highlight w:val="none"/>
        </w:rPr>
        <w:t>供应商直接控股、管理关系信息表</w:t>
      </w:r>
      <w:bookmarkEnd w:id="202"/>
      <w:bookmarkEnd w:id="203"/>
    </w:p>
    <w:p>
      <w:pPr>
        <w:snapToGrid w:val="0"/>
        <w:spacing w:before="156" w:beforeLines="50" w:after="50" w:line="360" w:lineRule="auto"/>
        <w:jc w:val="center"/>
        <w:rPr>
          <w:b/>
          <w:color w:val="auto"/>
          <w:sz w:val="28"/>
          <w:szCs w:val="28"/>
          <w:highlight w:val="none"/>
        </w:rPr>
      </w:pPr>
    </w:p>
    <w:p>
      <w:pPr>
        <w:spacing w:line="360" w:lineRule="auto"/>
        <w:contextualSpacing/>
        <w:jc w:val="center"/>
        <w:rPr>
          <w:b/>
          <w:color w:val="auto"/>
          <w:sz w:val="28"/>
          <w:szCs w:val="28"/>
          <w:highlight w:val="none"/>
        </w:rPr>
      </w:pPr>
      <w:r>
        <w:rPr>
          <w:b/>
          <w:color w:val="auto"/>
          <w:sz w:val="28"/>
          <w:szCs w:val="28"/>
          <w:highlight w:val="none"/>
        </w:rPr>
        <w:t>供应商直接控股股东信息表</w:t>
      </w:r>
    </w:p>
    <w:tbl>
      <w:tblPr>
        <w:tblStyle w:val="21"/>
        <w:tblW w:w="9349" w:type="dxa"/>
        <w:jc w:val="center"/>
        <w:shd w:val="clear" w:color="auto" w:fill="FBFBFB"/>
        <w:tblLayout w:type="fixed"/>
        <w:tblCellMar>
          <w:top w:w="0" w:type="dxa"/>
          <w:left w:w="0" w:type="dxa"/>
          <w:bottom w:w="0" w:type="dxa"/>
          <w:right w:w="0" w:type="dxa"/>
        </w:tblCellMar>
      </w:tblPr>
      <w:tblGrid>
        <w:gridCol w:w="855"/>
        <w:gridCol w:w="2089"/>
        <w:gridCol w:w="1620"/>
        <w:gridCol w:w="3630"/>
        <w:gridCol w:w="1155"/>
      </w:tblGrid>
      <w:tr>
        <w:tblPrEx>
          <w:shd w:val="clear" w:color="auto" w:fill="FBFBFB"/>
          <w:tblCellMar>
            <w:top w:w="0" w:type="dxa"/>
            <w:left w:w="0" w:type="dxa"/>
            <w:bottom w:w="0" w:type="dxa"/>
            <w:right w:w="0" w:type="dxa"/>
          </w:tblCellMar>
        </w:tblPrEx>
        <w:trPr>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b/>
                <w:bCs/>
                <w:color w:val="auto"/>
                <w:kern w:val="0"/>
                <w:szCs w:val="21"/>
                <w:highlight w:val="none"/>
              </w:rPr>
            </w:pPr>
            <w:r>
              <w:rPr>
                <w:b/>
                <w:bCs/>
                <w:color w:val="auto"/>
                <w:kern w:val="0"/>
                <w:szCs w:val="21"/>
                <w:highlight w:val="none"/>
              </w:rPr>
              <w:t>序号</w:t>
            </w:r>
          </w:p>
        </w:tc>
        <w:tc>
          <w:tcPr>
            <w:tcW w:w="20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b/>
                <w:bCs/>
                <w:color w:val="auto"/>
                <w:kern w:val="0"/>
                <w:szCs w:val="21"/>
                <w:highlight w:val="none"/>
              </w:rPr>
            </w:pPr>
            <w:r>
              <w:rPr>
                <w:b/>
                <w:bCs/>
                <w:color w:val="auto"/>
                <w:kern w:val="0"/>
                <w:szCs w:val="21"/>
                <w:highlight w:val="none"/>
              </w:rPr>
              <w:t>直接控股股东名称</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b/>
                <w:bCs/>
                <w:color w:val="auto"/>
                <w:kern w:val="0"/>
                <w:szCs w:val="21"/>
                <w:highlight w:val="none"/>
              </w:rPr>
            </w:pPr>
            <w:r>
              <w:rPr>
                <w:b/>
                <w:bCs/>
                <w:color w:val="auto"/>
                <w:kern w:val="0"/>
                <w:szCs w:val="21"/>
                <w:highlight w:val="none"/>
              </w:rPr>
              <w:t>出资比例</w:t>
            </w:r>
          </w:p>
        </w:tc>
        <w:tc>
          <w:tcPr>
            <w:tcW w:w="363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b/>
                <w:bCs/>
                <w:color w:val="auto"/>
                <w:kern w:val="0"/>
                <w:szCs w:val="21"/>
                <w:highlight w:val="none"/>
              </w:rPr>
            </w:pPr>
            <w:r>
              <w:rPr>
                <w:b/>
                <w:bCs/>
                <w:color w:val="auto"/>
                <w:kern w:val="0"/>
                <w:szCs w:val="21"/>
                <w:highlight w:val="none"/>
              </w:rPr>
              <w:t>身份证号码或者统一社会信用代码</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b/>
                <w:bCs/>
                <w:color w:val="auto"/>
                <w:kern w:val="0"/>
                <w:szCs w:val="21"/>
                <w:highlight w:val="none"/>
              </w:rPr>
            </w:pPr>
            <w:r>
              <w:rPr>
                <w:b/>
                <w:bCs/>
                <w:color w:val="auto"/>
                <w:kern w:val="0"/>
                <w:szCs w:val="21"/>
                <w:highlight w:val="none"/>
              </w:rPr>
              <w:t>备注</w:t>
            </w:r>
          </w:p>
        </w:tc>
      </w:tr>
      <w:tr>
        <w:tblPrEx>
          <w:tblCellMar>
            <w:top w:w="0" w:type="dxa"/>
            <w:left w:w="0" w:type="dxa"/>
            <w:bottom w:w="0" w:type="dxa"/>
            <w:right w:w="0" w:type="dxa"/>
          </w:tblCellMar>
        </w:tblPrEx>
        <w:trP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r>
              <w:rPr>
                <w:color w:val="auto"/>
                <w:kern w:val="0"/>
                <w:szCs w:val="21"/>
                <w:highlight w:val="none"/>
              </w:rPr>
              <w:t>1</w:t>
            </w:r>
          </w:p>
        </w:tc>
        <w:tc>
          <w:tcPr>
            <w:tcW w:w="20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r>
      <w:tr>
        <w:tblPrEx>
          <w:tblCellMar>
            <w:top w:w="0" w:type="dxa"/>
            <w:left w:w="0" w:type="dxa"/>
            <w:bottom w:w="0" w:type="dxa"/>
            <w:right w:w="0" w:type="dxa"/>
          </w:tblCellMar>
        </w:tblPrEx>
        <w:trP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r>
              <w:rPr>
                <w:color w:val="auto"/>
                <w:kern w:val="0"/>
                <w:szCs w:val="21"/>
                <w:highlight w:val="none"/>
              </w:rPr>
              <w:t>2</w:t>
            </w:r>
          </w:p>
        </w:tc>
        <w:tc>
          <w:tcPr>
            <w:tcW w:w="20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r>
      <w:tr>
        <w:tblPrEx>
          <w:tblCellMar>
            <w:top w:w="0" w:type="dxa"/>
            <w:left w:w="0" w:type="dxa"/>
            <w:bottom w:w="0" w:type="dxa"/>
            <w:right w:w="0" w:type="dxa"/>
          </w:tblCellMar>
        </w:tblPrEx>
        <w:trP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r>
              <w:rPr>
                <w:color w:val="auto"/>
                <w:kern w:val="0"/>
                <w:szCs w:val="21"/>
                <w:highlight w:val="none"/>
              </w:rPr>
              <w:t>3</w:t>
            </w:r>
          </w:p>
        </w:tc>
        <w:tc>
          <w:tcPr>
            <w:tcW w:w="20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r>
      <w:tr>
        <w:tblPrEx>
          <w:tblCellMar>
            <w:top w:w="0" w:type="dxa"/>
            <w:left w:w="0" w:type="dxa"/>
            <w:bottom w:w="0" w:type="dxa"/>
            <w:right w:w="0" w:type="dxa"/>
          </w:tblCellMar>
        </w:tblPrEx>
        <w:trP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r>
              <w:rPr>
                <w:color w:val="auto"/>
                <w:kern w:val="0"/>
                <w:szCs w:val="21"/>
                <w:highlight w:val="none"/>
              </w:rPr>
              <w:t>……</w:t>
            </w:r>
          </w:p>
        </w:tc>
        <w:tc>
          <w:tcPr>
            <w:tcW w:w="20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exact"/>
              <w:contextualSpacing/>
              <w:jc w:val="center"/>
              <w:rPr>
                <w:color w:val="auto"/>
                <w:kern w:val="0"/>
                <w:szCs w:val="21"/>
                <w:highlight w:val="none"/>
              </w:rPr>
            </w:pPr>
          </w:p>
        </w:tc>
      </w:tr>
    </w:tbl>
    <w:p>
      <w:pPr>
        <w:spacing w:line="360" w:lineRule="auto"/>
        <w:contextualSpacing/>
        <w:jc w:val="center"/>
        <w:rPr>
          <w:b/>
          <w:color w:val="auto"/>
          <w:sz w:val="24"/>
          <w:highlight w:val="none"/>
        </w:rPr>
      </w:pPr>
    </w:p>
    <w:p>
      <w:pPr>
        <w:spacing w:line="360" w:lineRule="auto"/>
        <w:contextualSpacing/>
        <w:jc w:val="left"/>
        <w:rPr>
          <w:color w:val="auto"/>
          <w:szCs w:val="21"/>
          <w:highlight w:val="none"/>
        </w:rPr>
      </w:pPr>
    </w:p>
    <w:p>
      <w:pPr>
        <w:spacing w:line="360" w:lineRule="auto"/>
        <w:contextualSpacing/>
        <w:jc w:val="left"/>
        <w:rPr>
          <w:color w:val="auto"/>
          <w:szCs w:val="21"/>
          <w:highlight w:val="none"/>
        </w:rPr>
      </w:pPr>
      <w:r>
        <w:rPr>
          <w:color w:val="auto"/>
          <w:szCs w:val="21"/>
          <w:highlight w:val="none"/>
        </w:rPr>
        <w:t>注：</w:t>
      </w:r>
    </w:p>
    <w:p>
      <w:pPr>
        <w:spacing w:line="360" w:lineRule="auto"/>
        <w:ind w:firstLine="420" w:firstLineChars="200"/>
        <w:contextualSpacing/>
        <w:jc w:val="left"/>
        <w:rPr>
          <w:color w:val="auto"/>
          <w:szCs w:val="21"/>
          <w:highlight w:val="none"/>
        </w:rPr>
      </w:pPr>
      <w:r>
        <w:rPr>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contextualSpacing/>
        <w:jc w:val="left"/>
        <w:rPr>
          <w:color w:val="auto"/>
          <w:szCs w:val="21"/>
          <w:highlight w:val="none"/>
        </w:rPr>
      </w:pPr>
      <w:r>
        <w:rPr>
          <w:color w:val="auto"/>
          <w:szCs w:val="21"/>
          <w:highlight w:val="none"/>
        </w:rPr>
        <w:t>2．本表所指的控股关系仅限于直接控股关系，不包括间接的控股关系。公司实际控制人与公司之间的关系不属于本表所指的直接控股关系。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color w:val="auto"/>
          <w:szCs w:val="21"/>
          <w:highlight w:val="none"/>
        </w:rPr>
      </w:pPr>
      <w:r>
        <w:rPr>
          <w:color w:val="auto"/>
          <w:szCs w:val="21"/>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before="156" w:beforeLines="50" w:line="360" w:lineRule="auto"/>
        <w:ind w:right="480"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p>
    <w:p>
      <w:pPr>
        <w:snapToGrid w:val="0"/>
        <w:spacing w:before="156" w:beforeLines="50" w:after="50" w:line="360" w:lineRule="auto"/>
        <w:ind w:right="480" w:firstLine="3045" w:firstLineChars="1450"/>
        <w:rPr>
          <w:rFonts w:ascii="宋体" w:hAnsi="宋体" w:cs="宋体"/>
          <w:color w:val="auto"/>
          <w:szCs w:val="21"/>
          <w:highlight w:val="none"/>
          <w:u w:val="single"/>
        </w:rPr>
      </w:pPr>
      <w:r>
        <w:rPr>
          <w:rFonts w:hint="eastAsia" w:ascii="宋体" w:hAnsi="宋体" w:cs="宋体"/>
          <w:color w:val="auto"/>
          <w:szCs w:val="21"/>
          <w:highlight w:val="none"/>
        </w:rPr>
        <w:t>供应商（盖公章 ）：</w:t>
      </w:r>
    </w:p>
    <w:p>
      <w:pPr>
        <w:snapToGrid w:val="0"/>
        <w:spacing w:before="156" w:beforeLines="50" w:after="50" w:line="360" w:lineRule="auto"/>
        <w:ind w:right="480" w:firstLine="5040" w:firstLineChars="2400"/>
        <w:rPr>
          <w:rFonts w:ascii="宋体" w:hAnsi="宋体" w:cs="宋体"/>
          <w:color w:val="auto"/>
          <w:szCs w:val="21"/>
          <w:highlight w:val="none"/>
        </w:rPr>
      </w:pPr>
      <w:r>
        <w:rPr>
          <w:rFonts w:hint="eastAsia" w:ascii="宋体" w:hAnsi="宋体" w:cs="宋体"/>
          <w:color w:val="auto"/>
          <w:szCs w:val="21"/>
          <w:highlight w:val="none"/>
        </w:rPr>
        <w:t>年     月     日</w:t>
      </w:r>
    </w:p>
    <w:p>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pacing w:line="320" w:lineRule="exact"/>
        <w:jc w:val="center"/>
        <w:outlineLvl w:val="2"/>
        <w:rPr>
          <w:rFonts w:ascii="宋体" w:hAnsi="宋体"/>
          <w:b/>
          <w:color w:val="auto"/>
          <w:sz w:val="28"/>
          <w:szCs w:val="28"/>
          <w:highlight w:val="none"/>
        </w:rPr>
      </w:pPr>
      <w:bookmarkStart w:id="204" w:name="_Toc1231"/>
      <w:bookmarkStart w:id="205" w:name="_Toc9647"/>
      <w:r>
        <w:rPr>
          <w:rFonts w:hint="eastAsia" w:ascii="宋体" w:hAnsi="宋体"/>
          <w:b/>
          <w:color w:val="auto"/>
          <w:sz w:val="28"/>
          <w:szCs w:val="28"/>
          <w:highlight w:val="none"/>
        </w:rPr>
        <w:t>供应商直接管理关系信息表</w:t>
      </w:r>
      <w:bookmarkEnd w:id="204"/>
      <w:bookmarkEnd w:id="205"/>
    </w:p>
    <w:p>
      <w:pPr>
        <w:snapToGrid w:val="0"/>
        <w:spacing w:line="360" w:lineRule="auto"/>
        <w:jc w:val="center"/>
        <w:rPr>
          <w:rFonts w:ascii="宋体" w:hAnsi="宋体"/>
          <w:b/>
          <w:color w:val="auto"/>
          <w:sz w:val="24"/>
          <w:highlight w:val="none"/>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Cs w:val="21"/>
                <w:highlight w:val="none"/>
              </w:rPr>
            </w:pPr>
          </w:p>
        </w:tc>
      </w:tr>
    </w:tbl>
    <w:p>
      <w:pPr>
        <w:spacing w:line="360" w:lineRule="auto"/>
        <w:contextualSpacing/>
        <w:jc w:val="left"/>
        <w:rPr>
          <w:color w:val="auto"/>
          <w:szCs w:val="21"/>
          <w:highlight w:val="none"/>
        </w:rPr>
      </w:pPr>
    </w:p>
    <w:p>
      <w:pPr>
        <w:spacing w:line="360" w:lineRule="auto"/>
        <w:contextualSpacing/>
        <w:jc w:val="left"/>
        <w:rPr>
          <w:color w:val="auto"/>
          <w:szCs w:val="21"/>
          <w:highlight w:val="none"/>
        </w:rPr>
      </w:pPr>
      <w:r>
        <w:rPr>
          <w:rFonts w:hint="eastAsia"/>
          <w:color w:val="auto"/>
          <w:szCs w:val="21"/>
          <w:highlight w:val="none"/>
        </w:rPr>
        <w:t>注：</w:t>
      </w:r>
    </w:p>
    <w:p>
      <w:pPr>
        <w:spacing w:line="360" w:lineRule="auto"/>
        <w:ind w:firstLine="420" w:firstLineChars="200"/>
        <w:contextualSpacing/>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管理关系：是指不具有出资持股关系的其他单位之间存在的管理与被管理关系，如一些上下级关系的事业单位和团体组织。</w:t>
      </w:r>
    </w:p>
    <w:p>
      <w:pPr>
        <w:spacing w:line="360" w:lineRule="auto"/>
        <w:ind w:firstLine="420" w:firstLineChars="200"/>
        <w:contextualSpacing/>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本表所指的管理关系仅限于直接管理关系，不包括间接的管理关系。</w:t>
      </w:r>
    </w:p>
    <w:p>
      <w:pPr>
        <w:spacing w:line="360" w:lineRule="auto"/>
        <w:ind w:firstLine="420" w:firstLineChars="200"/>
        <w:contextualSpacing/>
        <w:jc w:val="left"/>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供应商不存在直接管理关系的，则填“无”。</w:t>
      </w:r>
    </w:p>
    <w:p>
      <w:pPr>
        <w:spacing w:line="360" w:lineRule="auto"/>
        <w:contextualSpacing/>
        <w:jc w:val="left"/>
        <w:rPr>
          <w:rFonts w:ascii="宋体" w:hAnsi="宋体"/>
          <w:color w:val="auto"/>
          <w:sz w:val="24"/>
          <w:highlight w:val="none"/>
        </w:rPr>
      </w:pPr>
    </w:p>
    <w:p>
      <w:pPr>
        <w:spacing w:line="360" w:lineRule="auto"/>
        <w:contextualSpacing/>
        <w:jc w:val="left"/>
        <w:rPr>
          <w:rFonts w:ascii="宋体" w:hAnsi="宋体"/>
          <w:color w:val="auto"/>
          <w:sz w:val="24"/>
          <w:highlight w:val="none"/>
        </w:rPr>
      </w:pPr>
    </w:p>
    <w:p>
      <w:pPr>
        <w:spacing w:line="360" w:lineRule="auto"/>
        <w:contextualSpacing/>
        <w:jc w:val="left"/>
        <w:rPr>
          <w:color w:val="auto"/>
          <w:sz w:val="24"/>
          <w:highlight w:val="none"/>
        </w:rPr>
      </w:pPr>
    </w:p>
    <w:p>
      <w:pPr>
        <w:snapToGrid w:val="0"/>
        <w:spacing w:before="156" w:beforeLines="50" w:line="360" w:lineRule="auto"/>
        <w:ind w:right="480"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p>
    <w:p>
      <w:pPr>
        <w:snapToGrid w:val="0"/>
        <w:spacing w:before="156" w:beforeLines="50" w:after="50" w:line="360" w:lineRule="auto"/>
        <w:ind w:right="480" w:firstLine="3045" w:firstLineChars="1450"/>
        <w:rPr>
          <w:rFonts w:ascii="宋体" w:hAnsi="宋体" w:cs="宋体"/>
          <w:color w:val="auto"/>
          <w:szCs w:val="21"/>
          <w:highlight w:val="none"/>
          <w:u w:val="single"/>
        </w:rPr>
      </w:pPr>
      <w:r>
        <w:rPr>
          <w:rFonts w:hint="eastAsia" w:ascii="宋体" w:hAnsi="宋体" w:cs="宋体"/>
          <w:color w:val="auto"/>
          <w:szCs w:val="21"/>
          <w:highlight w:val="none"/>
        </w:rPr>
        <w:t>供应商（盖公章 ）：</w:t>
      </w:r>
    </w:p>
    <w:p>
      <w:pPr>
        <w:snapToGrid w:val="0"/>
        <w:spacing w:before="156" w:beforeLines="50" w:after="50" w:line="360" w:lineRule="auto"/>
        <w:ind w:right="480" w:firstLine="5040" w:firstLineChars="2400"/>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contextualSpacing/>
        <w:jc w:val="left"/>
        <w:rPr>
          <w:color w:val="auto"/>
          <w:sz w:val="24"/>
          <w:highlight w:val="none"/>
        </w:rPr>
      </w:pPr>
    </w:p>
    <w:p>
      <w:pPr>
        <w:spacing w:line="360" w:lineRule="auto"/>
        <w:contextualSpacing/>
        <w:jc w:val="left"/>
        <w:rPr>
          <w:color w:val="auto"/>
          <w:sz w:val="24"/>
          <w:highlight w:val="none"/>
        </w:rPr>
      </w:pPr>
    </w:p>
    <w:p>
      <w:pPr>
        <w:spacing w:line="360" w:lineRule="auto"/>
        <w:contextualSpacing/>
        <w:jc w:val="left"/>
        <w:rPr>
          <w:rFonts w:ascii="宋体" w:hAnsi="宋体"/>
          <w:color w:val="auto"/>
          <w:sz w:val="24"/>
          <w:highlight w:val="none"/>
        </w:rPr>
      </w:pPr>
    </w:p>
    <w:p>
      <w:pPr>
        <w:spacing w:before="312" w:beforeLines="100" w:after="312" w:afterLines="100" w:line="320" w:lineRule="exact"/>
        <w:jc w:val="center"/>
        <w:outlineLvl w:val="2"/>
        <w:rPr>
          <w:rFonts w:ascii="宋体" w:hAnsi="宋体"/>
          <w:b/>
          <w:color w:val="auto"/>
          <w:sz w:val="28"/>
          <w:szCs w:val="28"/>
          <w:highlight w:val="none"/>
        </w:rPr>
      </w:pPr>
      <w:r>
        <w:rPr>
          <w:rFonts w:hint="eastAsia" w:ascii="宋体" w:hAnsi="宋体"/>
          <w:b/>
          <w:color w:val="auto"/>
          <w:sz w:val="32"/>
          <w:szCs w:val="32"/>
          <w:highlight w:val="none"/>
        </w:rPr>
        <w:br w:type="page"/>
      </w:r>
      <w:bookmarkStart w:id="206" w:name="_Toc7894"/>
      <w:bookmarkStart w:id="207" w:name="_Toc30730"/>
      <w:r>
        <w:rPr>
          <w:rFonts w:hint="eastAsia" w:ascii="宋体" w:hAnsi="宋体"/>
          <w:b/>
          <w:color w:val="auto"/>
          <w:sz w:val="28"/>
          <w:szCs w:val="28"/>
          <w:highlight w:val="none"/>
        </w:rPr>
        <w:t>竞 标 声 明</w:t>
      </w:r>
      <w:bookmarkEnd w:id="206"/>
      <w:bookmarkEnd w:id="207"/>
    </w:p>
    <w:p>
      <w:pPr>
        <w:spacing w:before="312" w:beforeLines="100" w:after="312" w:afterLines="100" w:line="360" w:lineRule="auto"/>
        <w:contextualSpacing/>
        <w:rPr>
          <w:color w:val="auto"/>
          <w:szCs w:val="21"/>
          <w:highlight w:val="none"/>
        </w:rPr>
      </w:pPr>
      <w:r>
        <w:rPr>
          <w:color w:val="auto"/>
          <w:szCs w:val="21"/>
          <w:highlight w:val="none"/>
        </w:rPr>
        <w:t>致：</w:t>
      </w:r>
      <w:r>
        <w:rPr>
          <w:color w:val="auto"/>
          <w:szCs w:val="21"/>
          <w:highlight w:val="none"/>
          <w:u w:val="single"/>
        </w:rPr>
        <w:t>（采购人名称）</w:t>
      </w:r>
    </w:p>
    <w:p>
      <w:pPr>
        <w:spacing w:line="360" w:lineRule="auto"/>
        <w:ind w:firstLine="420" w:firstLineChars="200"/>
        <w:contextualSpacing/>
        <w:rPr>
          <w:color w:val="auto"/>
          <w:szCs w:val="21"/>
          <w:highlight w:val="none"/>
        </w:rPr>
      </w:pPr>
      <w:r>
        <w:rPr>
          <w:color w:val="auto"/>
          <w:szCs w:val="21"/>
          <w:highlight w:val="none"/>
          <w:u w:val="single"/>
        </w:rPr>
        <w:t>（供应商名称）</w:t>
      </w:r>
      <w:r>
        <w:rPr>
          <w:color w:val="auto"/>
          <w:szCs w:val="21"/>
          <w:highlight w:val="none"/>
        </w:rPr>
        <w:t>系中华人民共和国合法供应商，经营地址。</w:t>
      </w:r>
    </w:p>
    <w:p>
      <w:pPr>
        <w:spacing w:line="360" w:lineRule="auto"/>
        <w:ind w:firstLine="420" w:firstLineChars="200"/>
        <w:contextualSpacing/>
        <w:rPr>
          <w:color w:val="auto"/>
          <w:szCs w:val="21"/>
          <w:highlight w:val="none"/>
        </w:rPr>
      </w:pPr>
      <w:r>
        <w:rPr>
          <w:color w:val="auto"/>
          <w:szCs w:val="21"/>
          <w:highlight w:val="none"/>
        </w:rPr>
        <w:t>我方愿意参加贵方组织的</w:t>
      </w:r>
      <w:r>
        <w:rPr>
          <w:color w:val="auto"/>
          <w:szCs w:val="21"/>
          <w:highlight w:val="none"/>
          <w:u w:val="single"/>
        </w:rPr>
        <w:t>（项目名称）</w:t>
      </w:r>
      <w:r>
        <w:rPr>
          <w:color w:val="auto"/>
          <w:szCs w:val="21"/>
          <w:highlight w:val="none"/>
        </w:rPr>
        <w:t>项目的竞标，为便于贵方公正、择优地确定成交供应商及其竞标产品和服务，我方就本次竞标有关事项郑重声明如下：</w:t>
      </w:r>
    </w:p>
    <w:p>
      <w:pPr>
        <w:spacing w:line="360" w:lineRule="auto"/>
        <w:ind w:firstLine="420" w:firstLineChars="200"/>
        <w:contextualSpacing/>
        <w:rPr>
          <w:color w:val="auto"/>
          <w:szCs w:val="21"/>
          <w:highlight w:val="none"/>
        </w:rPr>
      </w:pPr>
      <w:r>
        <w:rPr>
          <w:color w:val="auto"/>
          <w:szCs w:val="21"/>
          <w:highlight w:val="none"/>
        </w:rPr>
        <w:t>1．我方向贵方提交的所有响应文件、资料都是准确的和真实的。</w:t>
      </w:r>
    </w:p>
    <w:p>
      <w:pPr>
        <w:spacing w:line="360" w:lineRule="auto"/>
        <w:ind w:firstLine="420" w:firstLineChars="200"/>
        <w:contextualSpacing/>
        <w:rPr>
          <w:color w:val="auto"/>
          <w:szCs w:val="21"/>
          <w:highlight w:val="none"/>
        </w:rPr>
      </w:pPr>
      <w:r>
        <w:rPr>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color w:val="auto"/>
          <w:szCs w:val="21"/>
          <w:highlight w:val="none"/>
        </w:rPr>
      </w:pPr>
      <w:r>
        <w:rPr>
          <w:color w:val="auto"/>
          <w:szCs w:val="21"/>
          <w:highlight w:val="none"/>
        </w:rPr>
        <w:t>3．在此，我方宣布同意如下：</w:t>
      </w:r>
    </w:p>
    <w:p>
      <w:pPr>
        <w:spacing w:line="360" w:lineRule="auto"/>
        <w:ind w:firstLine="420" w:firstLineChars="200"/>
        <w:contextualSpacing/>
        <w:rPr>
          <w:color w:val="auto"/>
          <w:szCs w:val="21"/>
          <w:highlight w:val="none"/>
        </w:rPr>
      </w:pPr>
      <w:r>
        <w:rPr>
          <w:color w:val="auto"/>
          <w:szCs w:val="21"/>
          <w:highlight w:val="none"/>
        </w:rPr>
        <w:t>（1）将按磋商文件的约定履行合同责任和义务；</w:t>
      </w:r>
    </w:p>
    <w:p>
      <w:pPr>
        <w:spacing w:line="360" w:lineRule="auto"/>
        <w:ind w:firstLine="420" w:firstLineChars="200"/>
        <w:contextualSpacing/>
        <w:rPr>
          <w:color w:val="auto"/>
          <w:szCs w:val="21"/>
          <w:highlight w:val="none"/>
        </w:rPr>
      </w:pPr>
      <w:r>
        <w:rPr>
          <w:color w:val="auto"/>
          <w:szCs w:val="21"/>
          <w:highlight w:val="none"/>
        </w:rPr>
        <w:t>（2）已详细审查全部磋商文件，包括澄清或者更正公告（如有）；</w:t>
      </w:r>
    </w:p>
    <w:p>
      <w:pPr>
        <w:spacing w:line="360" w:lineRule="auto"/>
        <w:ind w:firstLine="420" w:firstLineChars="200"/>
        <w:contextualSpacing/>
        <w:rPr>
          <w:color w:val="auto"/>
          <w:szCs w:val="21"/>
          <w:highlight w:val="none"/>
        </w:rPr>
      </w:pPr>
      <w:r>
        <w:rPr>
          <w:color w:val="auto"/>
          <w:szCs w:val="21"/>
          <w:highlight w:val="none"/>
        </w:rPr>
        <w:t>（3）同意提供按照贵方可能要求的与磋商有关的一切数据或者资料；</w:t>
      </w:r>
    </w:p>
    <w:p>
      <w:pPr>
        <w:spacing w:line="360" w:lineRule="auto"/>
        <w:ind w:firstLine="420" w:firstLineChars="200"/>
        <w:contextualSpacing/>
        <w:rPr>
          <w:color w:val="auto"/>
          <w:szCs w:val="21"/>
          <w:highlight w:val="none"/>
        </w:rPr>
      </w:pPr>
      <w:r>
        <w:rPr>
          <w:color w:val="auto"/>
          <w:szCs w:val="21"/>
          <w:highlight w:val="none"/>
        </w:rPr>
        <w:t>（4）响应磋商文件规定的竞标有效期。</w:t>
      </w:r>
    </w:p>
    <w:p>
      <w:pPr>
        <w:spacing w:line="360" w:lineRule="auto"/>
        <w:ind w:firstLine="420" w:firstLineChars="200"/>
        <w:contextualSpacing/>
        <w:rPr>
          <w:color w:val="auto"/>
          <w:szCs w:val="21"/>
          <w:highlight w:val="none"/>
        </w:rPr>
      </w:pPr>
      <w:r>
        <w:rPr>
          <w:color w:val="auto"/>
          <w:szCs w:val="21"/>
          <w:highlight w:val="none"/>
        </w:rPr>
        <w:t>4．我方承诺符合《中华人民共和国政府采购法》第二十二条规定：</w:t>
      </w:r>
    </w:p>
    <w:p>
      <w:pPr>
        <w:spacing w:line="360" w:lineRule="auto"/>
        <w:ind w:firstLine="420" w:firstLineChars="200"/>
        <w:contextualSpacing/>
        <w:rPr>
          <w:color w:val="auto"/>
          <w:szCs w:val="21"/>
          <w:highlight w:val="none"/>
        </w:rPr>
      </w:pPr>
      <w:r>
        <w:rPr>
          <w:color w:val="auto"/>
          <w:szCs w:val="21"/>
          <w:highlight w:val="none"/>
        </w:rPr>
        <w:t>（1）具有独立承担民事责任的能力；</w:t>
      </w:r>
    </w:p>
    <w:p>
      <w:pPr>
        <w:spacing w:line="360" w:lineRule="auto"/>
        <w:ind w:firstLine="420" w:firstLineChars="200"/>
        <w:contextualSpacing/>
        <w:rPr>
          <w:color w:val="auto"/>
          <w:szCs w:val="21"/>
          <w:highlight w:val="none"/>
        </w:rPr>
      </w:pPr>
      <w:r>
        <w:rPr>
          <w:color w:val="auto"/>
          <w:szCs w:val="21"/>
          <w:highlight w:val="none"/>
        </w:rPr>
        <w:t>（2）具有良好的商业信誉和健全的财务会计制度；</w:t>
      </w:r>
    </w:p>
    <w:p>
      <w:pPr>
        <w:spacing w:line="360" w:lineRule="auto"/>
        <w:ind w:firstLine="420" w:firstLineChars="200"/>
        <w:contextualSpacing/>
        <w:rPr>
          <w:color w:val="auto"/>
          <w:szCs w:val="21"/>
          <w:highlight w:val="none"/>
        </w:rPr>
      </w:pPr>
      <w:r>
        <w:rPr>
          <w:color w:val="auto"/>
          <w:szCs w:val="21"/>
          <w:highlight w:val="none"/>
        </w:rPr>
        <w:t>（3）具有履行合同所必需的设备和专业技术能力；</w:t>
      </w:r>
    </w:p>
    <w:p>
      <w:pPr>
        <w:spacing w:line="360" w:lineRule="auto"/>
        <w:ind w:firstLine="420" w:firstLineChars="200"/>
        <w:contextualSpacing/>
        <w:rPr>
          <w:color w:val="auto"/>
          <w:szCs w:val="21"/>
          <w:highlight w:val="none"/>
        </w:rPr>
      </w:pPr>
      <w:r>
        <w:rPr>
          <w:color w:val="auto"/>
          <w:szCs w:val="21"/>
          <w:highlight w:val="none"/>
        </w:rPr>
        <w:t>（4）有依法缴纳税收和社会保障资金的良好记录；</w:t>
      </w:r>
    </w:p>
    <w:p>
      <w:pPr>
        <w:spacing w:line="360" w:lineRule="auto"/>
        <w:ind w:firstLine="420" w:firstLineChars="200"/>
        <w:contextualSpacing/>
        <w:rPr>
          <w:color w:val="auto"/>
          <w:szCs w:val="21"/>
          <w:highlight w:val="none"/>
        </w:rPr>
      </w:pPr>
      <w:r>
        <w:rPr>
          <w:color w:val="auto"/>
          <w:szCs w:val="21"/>
          <w:highlight w:val="none"/>
        </w:rPr>
        <w:t>（5）参加政府采购活动前三年内，在经营活动中没有重大违法记录；</w:t>
      </w:r>
    </w:p>
    <w:p>
      <w:pPr>
        <w:spacing w:line="360" w:lineRule="auto"/>
        <w:ind w:firstLine="420" w:firstLineChars="200"/>
        <w:contextualSpacing/>
        <w:rPr>
          <w:color w:val="auto"/>
          <w:szCs w:val="21"/>
          <w:highlight w:val="none"/>
        </w:rPr>
      </w:pPr>
      <w:r>
        <w:rPr>
          <w:color w:val="auto"/>
          <w:szCs w:val="21"/>
          <w:highlight w:val="none"/>
        </w:rPr>
        <w:t>（6）法律、行政法规规定的其他条件。</w:t>
      </w:r>
    </w:p>
    <w:p>
      <w:pPr>
        <w:spacing w:line="360" w:lineRule="auto"/>
        <w:ind w:firstLine="420" w:firstLineChars="200"/>
        <w:contextualSpacing/>
        <w:rPr>
          <w:color w:val="auto"/>
          <w:szCs w:val="21"/>
          <w:highlight w:val="none"/>
        </w:rPr>
      </w:pPr>
      <w:r>
        <w:rPr>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color w:val="auto"/>
          <w:szCs w:val="21"/>
          <w:highlight w:val="none"/>
        </w:rPr>
      </w:pPr>
      <w:r>
        <w:rPr>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color w:val="auto"/>
          <w:szCs w:val="21"/>
          <w:highlight w:val="none"/>
        </w:rPr>
      </w:pPr>
      <w:r>
        <w:rPr>
          <w:color w:val="auto"/>
          <w:szCs w:val="21"/>
          <w:highlight w:val="none"/>
        </w:rPr>
        <w:t>□我方本次响应文件</w:t>
      </w:r>
      <w:r>
        <w:rPr>
          <w:color w:val="auto"/>
          <w:kern w:val="0"/>
          <w:szCs w:val="21"/>
          <w:highlight w:val="none"/>
        </w:rPr>
        <w:t>内容中</w:t>
      </w:r>
      <w:r>
        <w:rPr>
          <w:color w:val="auto"/>
          <w:szCs w:val="21"/>
          <w:highlight w:val="none"/>
        </w:rPr>
        <w:t>未</w:t>
      </w:r>
      <w:r>
        <w:rPr>
          <w:color w:val="auto"/>
          <w:kern w:val="0"/>
          <w:szCs w:val="21"/>
          <w:highlight w:val="none"/>
        </w:rPr>
        <w:t>涉及商业秘密；</w:t>
      </w:r>
    </w:p>
    <w:p>
      <w:pPr>
        <w:spacing w:line="360" w:lineRule="auto"/>
        <w:ind w:firstLine="420" w:firstLineChars="200"/>
        <w:contextualSpacing/>
        <w:rPr>
          <w:color w:val="auto"/>
          <w:szCs w:val="21"/>
          <w:highlight w:val="none"/>
        </w:rPr>
      </w:pPr>
      <w:r>
        <w:rPr>
          <w:color w:val="auto"/>
          <w:szCs w:val="21"/>
          <w:highlight w:val="none"/>
        </w:rPr>
        <w:t>□我方本次响应文件</w:t>
      </w:r>
      <w:r>
        <w:rPr>
          <w:color w:val="auto"/>
          <w:kern w:val="0"/>
          <w:szCs w:val="21"/>
          <w:highlight w:val="none"/>
        </w:rPr>
        <w:t>涉及商业秘密的内容有：；</w:t>
      </w:r>
    </w:p>
    <w:p>
      <w:pPr>
        <w:pStyle w:val="12"/>
        <w:spacing w:line="360" w:lineRule="auto"/>
        <w:ind w:firstLine="420" w:firstLineChars="200"/>
        <w:contextualSpacing/>
        <w:rPr>
          <w:rFonts w:ascii="Times New Roman" w:hAnsi="Times New Roman"/>
          <w:color w:val="auto"/>
          <w:highlight w:val="none"/>
          <w:u w:val="single"/>
        </w:rPr>
      </w:pPr>
      <w:r>
        <w:rPr>
          <w:rFonts w:ascii="Times New Roman" w:hAnsi="Times New Roman"/>
          <w:color w:val="auto"/>
          <w:highlight w:val="none"/>
        </w:rPr>
        <w:t>7．与本磋商有关的一切正式往来信函请寄：邮政编号：</w:t>
      </w:r>
    </w:p>
    <w:p>
      <w:pPr>
        <w:pStyle w:val="12"/>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电话/传真：电子函件：</w:t>
      </w:r>
    </w:p>
    <w:p>
      <w:pPr>
        <w:pStyle w:val="11"/>
        <w:tabs>
          <w:tab w:val="left" w:pos="939"/>
        </w:tabs>
        <w:spacing w:line="360" w:lineRule="auto"/>
        <w:ind w:left="0" w:leftChars="0" w:firstLine="420" w:firstLineChars="200"/>
        <w:rPr>
          <w:color w:val="auto"/>
          <w:szCs w:val="21"/>
          <w:highlight w:val="none"/>
        </w:rPr>
      </w:pPr>
      <w:r>
        <w:rPr>
          <w:color w:val="auto"/>
          <w:szCs w:val="21"/>
          <w:highlight w:val="none"/>
        </w:rPr>
        <w:t>开户银行： 帐号：</w:t>
      </w:r>
    </w:p>
    <w:p>
      <w:pPr>
        <w:pStyle w:val="11"/>
        <w:tabs>
          <w:tab w:val="left" w:pos="939"/>
        </w:tabs>
        <w:spacing w:line="360" w:lineRule="auto"/>
        <w:ind w:left="0" w:leftChars="0" w:firstLine="420" w:firstLineChars="200"/>
        <w:rPr>
          <w:color w:val="auto"/>
          <w:szCs w:val="21"/>
          <w:highlight w:val="none"/>
        </w:rPr>
      </w:pPr>
      <w:r>
        <w:rPr>
          <w:color w:val="auto"/>
          <w:szCs w:val="21"/>
          <w:highlight w:val="none"/>
        </w:rPr>
        <w:t>8．以上事项如有虚假或者隐瞒，我方愿意承担一切后果，并不再寻求任何旨在减轻或者免除法律责任的辩解。</w:t>
      </w:r>
    </w:p>
    <w:p>
      <w:pPr>
        <w:pStyle w:val="11"/>
        <w:tabs>
          <w:tab w:val="left" w:pos="939"/>
        </w:tabs>
        <w:spacing w:line="360" w:lineRule="auto"/>
        <w:ind w:left="141" w:leftChars="67" w:firstLine="315" w:firstLineChars="150"/>
        <w:rPr>
          <w:color w:val="auto"/>
          <w:szCs w:val="21"/>
          <w:highlight w:val="none"/>
        </w:rPr>
      </w:pPr>
      <w:r>
        <w:rPr>
          <w:color w:val="auto"/>
          <w:szCs w:val="21"/>
          <w:highlight w:val="none"/>
        </w:rPr>
        <w:t>特此承诺。</w:t>
      </w:r>
    </w:p>
    <w:p>
      <w:pPr>
        <w:pStyle w:val="11"/>
        <w:tabs>
          <w:tab w:val="left" w:pos="939"/>
        </w:tabs>
        <w:spacing w:line="360" w:lineRule="auto"/>
        <w:ind w:left="0" w:leftChars="0" w:firstLine="420" w:firstLineChars="200"/>
        <w:rPr>
          <w:color w:val="auto"/>
          <w:szCs w:val="21"/>
          <w:highlight w:val="none"/>
        </w:rPr>
      </w:pPr>
      <w:r>
        <w:rPr>
          <w:color w:val="auto"/>
          <w:szCs w:val="21"/>
          <w:highlight w:val="none"/>
        </w:rPr>
        <w:t>注：如为联合体竞标，盖章处须加盖联合体各方公章并由联合体各方法定代表人签署，否则其响应文件按无效响应处理。</w:t>
      </w:r>
    </w:p>
    <w:p>
      <w:pPr>
        <w:pStyle w:val="11"/>
        <w:tabs>
          <w:tab w:val="left" w:pos="939"/>
        </w:tabs>
        <w:spacing w:line="360" w:lineRule="auto"/>
        <w:ind w:left="0" w:leftChars="0" w:firstLine="420" w:firstLineChars="200"/>
        <w:rPr>
          <w:color w:val="auto"/>
          <w:szCs w:val="21"/>
          <w:highlight w:val="none"/>
        </w:rPr>
      </w:pPr>
    </w:p>
    <w:p>
      <w:pPr>
        <w:spacing w:line="360" w:lineRule="auto"/>
        <w:ind w:firstLine="3780" w:firstLineChars="1800"/>
        <w:contextualSpacing/>
        <w:rPr>
          <w:color w:val="auto"/>
          <w:szCs w:val="21"/>
          <w:highlight w:val="none"/>
        </w:rPr>
      </w:pPr>
    </w:p>
    <w:p>
      <w:pPr>
        <w:spacing w:line="360" w:lineRule="auto"/>
        <w:ind w:firstLine="3780" w:firstLineChars="1800"/>
        <w:contextualSpacing/>
        <w:rPr>
          <w:color w:val="auto"/>
          <w:szCs w:val="21"/>
          <w:highlight w:val="none"/>
        </w:rPr>
      </w:pPr>
    </w:p>
    <w:p>
      <w:pPr>
        <w:spacing w:line="360" w:lineRule="auto"/>
        <w:ind w:firstLine="3990" w:firstLineChars="1900"/>
        <w:contextualSpacing/>
        <w:rPr>
          <w:color w:val="auto"/>
          <w:szCs w:val="21"/>
          <w:highlight w:val="none"/>
        </w:rPr>
      </w:pPr>
      <w:r>
        <w:rPr>
          <w:color w:val="auto"/>
          <w:szCs w:val="21"/>
          <w:highlight w:val="none"/>
        </w:rPr>
        <w:t>法定代表人（签字）：</w:t>
      </w:r>
    </w:p>
    <w:p>
      <w:pPr>
        <w:spacing w:line="360" w:lineRule="auto"/>
        <w:ind w:firstLine="4200" w:firstLineChars="2000"/>
        <w:contextualSpacing/>
        <w:rPr>
          <w:color w:val="auto"/>
          <w:szCs w:val="21"/>
          <w:highlight w:val="none"/>
          <w:u w:val="single"/>
        </w:rPr>
      </w:pPr>
      <w:r>
        <w:rPr>
          <w:color w:val="auto"/>
          <w:szCs w:val="21"/>
          <w:highlight w:val="none"/>
        </w:rPr>
        <w:t>供应商（盖公章）：</w:t>
      </w:r>
    </w:p>
    <w:p>
      <w:pPr>
        <w:spacing w:line="360" w:lineRule="auto"/>
        <w:ind w:right="480" w:firstLine="210" w:firstLineChars="100"/>
        <w:contextualSpacing/>
        <w:jc w:val="center"/>
        <w:rPr>
          <w:color w:val="auto"/>
          <w:szCs w:val="21"/>
          <w:highlight w:val="none"/>
        </w:rPr>
      </w:pPr>
      <w:r>
        <w:rPr>
          <w:color w:val="auto"/>
          <w:szCs w:val="21"/>
          <w:highlight w:val="none"/>
        </w:rPr>
        <w:t xml:space="preserve">                                                   年    月    日</w:t>
      </w:r>
    </w:p>
    <w:p>
      <w:pPr>
        <w:pStyle w:val="6"/>
        <w:overflowPunct w:val="0"/>
        <w:spacing w:line="520" w:lineRule="exact"/>
        <w:ind w:firstLine="0"/>
        <w:rPr>
          <w:rFonts w:ascii="宋体" w:hAnsi="宋体"/>
          <w:b/>
          <w:bCs/>
          <w:color w:val="auto"/>
          <w:sz w:val="32"/>
          <w:szCs w:val="32"/>
          <w:highlight w:val="none"/>
        </w:rPr>
      </w:pPr>
    </w:p>
    <w:p>
      <w:pPr>
        <w:spacing w:line="520" w:lineRule="exact"/>
        <w:jc w:val="center"/>
        <w:outlineLvl w:val="2"/>
        <w:rPr>
          <w:color w:val="auto"/>
          <w:sz w:val="32"/>
          <w:szCs w:val="32"/>
          <w:highlight w:val="none"/>
        </w:rPr>
      </w:pPr>
      <w:r>
        <w:rPr>
          <w:rFonts w:ascii="宋体" w:hAnsi="宋体"/>
          <w:b/>
          <w:bCs/>
          <w:color w:val="auto"/>
          <w:sz w:val="32"/>
          <w:szCs w:val="32"/>
          <w:highlight w:val="none"/>
        </w:rPr>
        <w:br w:type="page"/>
      </w:r>
      <w:bookmarkStart w:id="208" w:name="_Toc14815"/>
      <w:bookmarkStart w:id="209" w:name="_Toc20206"/>
      <w:r>
        <w:rPr>
          <w:b/>
          <w:bCs/>
          <w:color w:val="auto"/>
          <w:sz w:val="28"/>
          <w:szCs w:val="28"/>
          <w:highlight w:val="none"/>
        </w:rPr>
        <w:t>无串通竞标行为的承诺函</w:t>
      </w:r>
      <w:bookmarkEnd w:id="208"/>
      <w:bookmarkEnd w:id="209"/>
    </w:p>
    <w:p>
      <w:pPr>
        <w:spacing w:line="360" w:lineRule="auto"/>
        <w:ind w:firstLine="640" w:firstLineChars="200"/>
        <w:contextualSpacing/>
        <w:rPr>
          <w:color w:val="auto"/>
          <w:sz w:val="32"/>
          <w:szCs w:val="32"/>
          <w:highlight w:val="none"/>
        </w:rPr>
      </w:pPr>
    </w:p>
    <w:p>
      <w:pPr>
        <w:spacing w:line="360" w:lineRule="auto"/>
        <w:ind w:firstLine="422" w:firstLineChars="200"/>
        <w:contextualSpacing/>
        <w:rPr>
          <w:b/>
          <w:bCs/>
          <w:color w:val="auto"/>
          <w:szCs w:val="21"/>
          <w:highlight w:val="none"/>
        </w:rPr>
      </w:pPr>
      <w:r>
        <w:rPr>
          <w:b/>
          <w:bCs/>
          <w:color w:val="auto"/>
          <w:szCs w:val="21"/>
          <w:highlight w:val="none"/>
        </w:rPr>
        <w:t>一、我方承诺无下列相互串通竞标的情形：</w:t>
      </w:r>
    </w:p>
    <w:p>
      <w:pPr>
        <w:spacing w:line="360" w:lineRule="auto"/>
        <w:ind w:firstLine="420" w:firstLineChars="200"/>
        <w:contextualSpacing/>
        <w:rPr>
          <w:color w:val="auto"/>
          <w:szCs w:val="21"/>
          <w:highlight w:val="none"/>
        </w:rPr>
      </w:pPr>
      <w:r>
        <w:rPr>
          <w:color w:val="auto"/>
          <w:szCs w:val="21"/>
          <w:highlight w:val="none"/>
        </w:rPr>
        <w:t xml:space="preserve">1．不同供应商的响应文件由同一单位或者个人编制； </w:t>
      </w:r>
    </w:p>
    <w:p>
      <w:pPr>
        <w:spacing w:line="360" w:lineRule="auto"/>
        <w:ind w:firstLine="420" w:firstLineChars="200"/>
        <w:contextualSpacing/>
        <w:rPr>
          <w:color w:val="auto"/>
          <w:szCs w:val="21"/>
          <w:highlight w:val="none"/>
        </w:rPr>
      </w:pPr>
      <w:r>
        <w:rPr>
          <w:color w:val="auto"/>
          <w:szCs w:val="21"/>
          <w:highlight w:val="none"/>
        </w:rPr>
        <w:t>2．不同供应商委托同一单位或者个人办理竞标事宜；</w:t>
      </w:r>
    </w:p>
    <w:p>
      <w:pPr>
        <w:spacing w:line="360" w:lineRule="auto"/>
        <w:ind w:firstLine="420" w:firstLineChars="200"/>
        <w:contextualSpacing/>
        <w:rPr>
          <w:color w:val="auto"/>
          <w:szCs w:val="21"/>
          <w:highlight w:val="none"/>
        </w:rPr>
      </w:pPr>
      <w:r>
        <w:rPr>
          <w:color w:val="auto"/>
          <w:szCs w:val="21"/>
          <w:highlight w:val="none"/>
        </w:rPr>
        <w:t>3．不同供应商的响应文件载明的项目管理员为同一个人；</w:t>
      </w:r>
    </w:p>
    <w:p>
      <w:pPr>
        <w:spacing w:line="360" w:lineRule="auto"/>
        <w:ind w:firstLine="420" w:firstLineChars="200"/>
        <w:contextualSpacing/>
        <w:rPr>
          <w:color w:val="auto"/>
          <w:szCs w:val="21"/>
          <w:highlight w:val="none"/>
        </w:rPr>
      </w:pPr>
      <w:r>
        <w:rPr>
          <w:color w:val="auto"/>
          <w:szCs w:val="21"/>
          <w:highlight w:val="none"/>
        </w:rPr>
        <w:t>4．不</w:t>
      </w:r>
      <w:r>
        <w:rPr>
          <w:color w:val="auto"/>
          <w:spacing w:val="-6"/>
          <w:szCs w:val="21"/>
          <w:highlight w:val="none"/>
        </w:rPr>
        <w:t>同供应商的响应文件异常一致或者竞标报价呈规律性差异；</w:t>
      </w:r>
    </w:p>
    <w:p>
      <w:pPr>
        <w:spacing w:line="360" w:lineRule="auto"/>
        <w:ind w:firstLine="420" w:firstLineChars="200"/>
        <w:contextualSpacing/>
        <w:rPr>
          <w:color w:val="auto"/>
          <w:szCs w:val="21"/>
          <w:highlight w:val="none"/>
        </w:rPr>
      </w:pPr>
      <w:r>
        <w:rPr>
          <w:color w:val="auto"/>
          <w:szCs w:val="21"/>
          <w:highlight w:val="none"/>
        </w:rPr>
        <w:t>5．不同供应商的响应文件相互混装；</w:t>
      </w:r>
    </w:p>
    <w:p>
      <w:pPr>
        <w:spacing w:line="360" w:lineRule="auto"/>
        <w:ind w:firstLine="420" w:firstLineChars="200"/>
        <w:contextualSpacing/>
        <w:rPr>
          <w:color w:val="auto"/>
          <w:szCs w:val="21"/>
          <w:highlight w:val="none"/>
        </w:rPr>
      </w:pPr>
      <w:r>
        <w:rPr>
          <w:color w:val="auto"/>
          <w:szCs w:val="21"/>
          <w:highlight w:val="none"/>
        </w:rPr>
        <w:t>6．不同供应商的磋商保证金从同一单位或者个人账户转出。</w:t>
      </w:r>
    </w:p>
    <w:p>
      <w:pPr>
        <w:spacing w:line="360" w:lineRule="auto"/>
        <w:ind w:firstLine="422" w:firstLineChars="200"/>
        <w:contextualSpacing/>
        <w:rPr>
          <w:b/>
          <w:bCs/>
          <w:color w:val="auto"/>
          <w:szCs w:val="21"/>
          <w:highlight w:val="none"/>
        </w:rPr>
      </w:pPr>
      <w:r>
        <w:rPr>
          <w:b/>
          <w:bCs/>
          <w:color w:val="auto"/>
          <w:szCs w:val="21"/>
          <w:highlight w:val="none"/>
        </w:rPr>
        <w:t>二、我方承诺无下列恶意串通的情形：</w:t>
      </w:r>
    </w:p>
    <w:p>
      <w:pPr>
        <w:spacing w:line="360" w:lineRule="auto"/>
        <w:ind w:firstLine="420" w:firstLineChars="200"/>
        <w:contextualSpacing/>
        <w:rPr>
          <w:color w:val="auto"/>
          <w:szCs w:val="21"/>
          <w:highlight w:val="none"/>
        </w:rPr>
      </w:pPr>
      <w:r>
        <w:rPr>
          <w:color w:val="auto"/>
          <w:szCs w:val="21"/>
          <w:highlight w:val="none"/>
        </w:rPr>
        <w:t>1．供应商直接或者间接从采购人或者采购代理机构处获得其他供应商的相关信息并修改其响应文件；</w:t>
      </w:r>
    </w:p>
    <w:p>
      <w:pPr>
        <w:spacing w:line="360" w:lineRule="auto"/>
        <w:ind w:firstLine="420" w:firstLineChars="200"/>
        <w:contextualSpacing/>
        <w:rPr>
          <w:color w:val="auto"/>
          <w:szCs w:val="21"/>
          <w:highlight w:val="none"/>
        </w:rPr>
      </w:pPr>
      <w:r>
        <w:rPr>
          <w:color w:val="auto"/>
          <w:szCs w:val="21"/>
          <w:highlight w:val="none"/>
        </w:rPr>
        <w:t>2．供应商按照采购人或者采购代理机构的授意撤换、修改响应文件；</w:t>
      </w:r>
    </w:p>
    <w:p>
      <w:pPr>
        <w:spacing w:line="360" w:lineRule="auto"/>
        <w:ind w:firstLine="420" w:firstLineChars="200"/>
        <w:contextualSpacing/>
        <w:rPr>
          <w:color w:val="auto"/>
          <w:szCs w:val="21"/>
          <w:highlight w:val="none"/>
        </w:rPr>
      </w:pPr>
      <w:r>
        <w:rPr>
          <w:color w:val="auto"/>
          <w:szCs w:val="21"/>
          <w:highlight w:val="none"/>
        </w:rPr>
        <w:t>3．供</w:t>
      </w:r>
      <w:r>
        <w:rPr>
          <w:color w:val="auto"/>
          <w:spacing w:val="-6"/>
          <w:szCs w:val="21"/>
          <w:highlight w:val="none"/>
        </w:rPr>
        <w:t>应商之间协商报价、技术方案等响应文件的实质性内容；</w:t>
      </w:r>
    </w:p>
    <w:p>
      <w:pPr>
        <w:spacing w:line="360" w:lineRule="auto"/>
        <w:ind w:firstLine="420" w:firstLineChars="200"/>
        <w:contextualSpacing/>
        <w:rPr>
          <w:color w:val="auto"/>
          <w:szCs w:val="21"/>
          <w:highlight w:val="none"/>
        </w:rPr>
      </w:pPr>
      <w:r>
        <w:rPr>
          <w:color w:val="auto"/>
          <w:szCs w:val="21"/>
          <w:highlight w:val="none"/>
        </w:rPr>
        <w:t>4．属于同一集团、协会、商会等组织成员的供应商按照该组织要求协同参加政府采购活动；</w:t>
      </w:r>
    </w:p>
    <w:p>
      <w:pPr>
        <w:spacing w:line="360" w:lineRule="auto"/>
        <w:ind w:firstLine="420" w:firstLineChars="200"/>
        <w:contextualSpacing/>
        <w:rPr>
          <w:color w:val="auto"/>
          <w:szCs w:val="21"/>
          <w:highlight w:val="none"/>
        </w:rPr>
      </w:pPr>
      <w:r>
        <w:rPr>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firstLineChars="200"/>
        <w:contextualSpacing/>
        <w:rPr>
          <w:color w:val="auto"/>
          <w:szCs w:val="21"/>
          <w:highlight w:val="none"/>
        </w:rPr>
      </w:pPr>
      <w:r>
        <w:rPr>
          <w:color w:val="auto"/>
          <w:szCs w:val="21"/>
          <w:highlight w:val="none"/>
        </w:rPr>
        <w:t>6．供应商之间商定部分供应商放弃参加政府采购活动或者放弃成交；</w:t>
      </w:r>
    </w:p>
    <w:p>
      <w:pPr>
        <w:spacing w:line="360" w:lineRule="auto"/>
        <w:ind w:firstLine="420" w:firstLineChars="200"/>
        <w:contextualSpacing/>
        <w:rPr>
          <w:color w:val="auto"/>
          <w:szCs w:val="21"/>
          <w:highlight w:val="none"/>
        </w:rPr>
      </w:pPr>
      <w:r>
        <w:rPr>
          <w:color w:val="auto"/>
          <w:szCs w:val="21"/>
          <w:highlight w:val="none"/>
        </w:rPr>
        <w:t>7．供应商与采购人或者采购代理机构之间、供应商相互之间，为</w:t>
      </w:r>
      <w:r>
        <w:rPr>
          <w:color w:val="auto"/>
          <w:spacing w:val="-6"/>
          <w:szCs w:val="21"/>
          <w:highlight w:val="none"/>
        </w:rPr>
        <w:t>谋求特定供应商成交或者排斥其他供应商的其他串通行为。</w:t>
      </w:r>
    </w:p>
    <w:p>
      <w:pPr>
        <w:spacing w:line="360" w:lineRule="auto"/>
        <w:ind w:firstLine="420" w:firstLineChars="200"/>
        <w:contextualSpacing/>
        <w:rPr>
          <w:color w:val="auto"/>
          <w:szCs w:val="21"/>
          <w:highlight w:val="none"/>
        </w:rPr>
      </w:pPr>
    </w:p>
    <w:p>
      <w:pPr>
        <w:spacing w:line="360" w:lineRule="auto"/>
        <w:ind w:right="42" w:rightChars="20" w:firstLine="422" w:firstLineChars="200"/>
        <w:contextualSpacing/>
        <w:rPr>
          <w:b/>
          <w:bCs/>
          <w:color w:val="auto"/>
          <w:szCs w:val="21"/>
          <w:highlight w:val="none"/>
        </w:rPr>
      </w:pPr>
      <w:r>
        <w:rPr>
          <w:b/>
          <w:bCs/>
          <w:color w:val="auto"/>
          <w:szCs w:val="21"/>
          <w:highlight w:val="none"/>
        </w:rPr>
        <w:t>以上情形一经核查属实，我方愿意承担一切后果，并不再寻求任何旨在减轻或者免除法律责任的辩解。</w:t>
      </w:r>
    </w:p>
    <w:p>
      <w:pPr>
        <w:spacing w:line="360" w:lineRule="auto"/>
        <w:contextualSpacing/>
        <w:rPr>
          <w:color w:val="auto"/>
          <w:szCs w:val="21"/>
          <w:highlight w:val="none"/>
        </w:rPr>
      </w:pPr>
    </w:p>
    <w:p>
      <w:pPr>
        <w:pStyle w:val="20"/>
        <w:spacing w:line="360" w:lineRule="auto"/>
        <w:ind w:firstLine="428"/>
        <w:rPr>
          <w:rFonts w:ascii="Times New Roman"/>
          <w:color w:val="auto"/>
          <w:sz w:val="21"/>
          <w:szCs w:val="21"/>
          <w:highlight w:val="none"/>
        </w:rPr>
      </w:pPr>
    </w:p>
    <w:p>
      <w:pPr>
        <w:pStyle w:val="20"/>
        <w:spacing w:line="360" w:lineRule="auto"/>
        <w:ind w:firstLine="428"/>
        <w:rPr>
          <w:rFonts w:ascii="Times New Roman"/>
          <w:color w:val="auto"/>
          <w:sz w:val="21"/>
          <w:szCs w:val="21"/>
          <w:highlight w:val="none"/>
        </w:rPr>
      </w:pPr>
    </w:p>
    <w:p>
      <w:pPr>
        <w:pStyle w:val="20"/>
        <w:spacing w:line="360" w:lineRule="auto"/>
        <w:ind w:firstLine="428"/>
        <w:rPr>
          <w:rFonts w:ascii="Times New Roman"/>
          <w:color w:val="auto"/>
          <w:sz w:val="21"/>
          <w:szCs w:val="21"/>
          <w:highlight w:val="none"/>
        </w:rPr>
      </w:pPr>
    </w:p>
    <w:p>
      <w:pPr>
        <w:pStyle w:val="20"/>
        <w:spacing w:line="360" w:lineRule="auto"/>
        <w:ind w:firstLine="428"/>
        <w:rPr>
          <w:rFonts w:ascii="Times New Roman"/>
          <w:color w:val="auto"/>
          <w:sz w:val="21"/>
          <w:szCs w:val="21"/>
          <w:highlight w:val="none"/>
        </w:rPr>
      </w:pPr>
    </w:p>
    <w:p>
      <w:pPr>
        <w:spacing w:line="360" w:lineRule="auto"/>
        <w:ind w:firstLine="4200" w:firstLineChars="2000"/>
        <w:contextualSpacing/>
        <w:rPr>
          <w:color w:val="auto"/>
          <w:szCs w:val="21"/>
          <w:highlight w:val="none"/>
          <w:u w:val="single"/>
        </w:rPr>
      </w:pPr>
      <w:r>
        <w:rPr>
          <w:color w:val="auto"/>
          <w:szCs w:val="21"/>
          <w:highlight w:val="none"/>
        </w:rPr>
        <w:t>供应商（盖公章）：</w:t>
      </w:r>
    </w:p>
    <w:p>
      <w:pPr>
        <w:spacing w:line="360" w:lineRule="auto"/>
        <w:ind w:firstLine="420" w:firstLineChars="200"/>
        <w:contextualSpacing/>
        <w:jc w:val="center"/>
        <w:rPr>
          <w:color w:val="auto"/>
          <w:szCs w:val="21"/>
          <w:highlight w:val="none"/>
        </w:rPr>
      </w:pPr>
      <w:r>
        <w:rPr>
          <w:color w:val="auto"/>
          <w:szCs w:val="21"/>
          <w:highlight w:val="none"/>
        </w:rPr>
        <w:t xml:space="preserve">          年   月   日</w:t>
      </w:r>
    </w:p>
    <w:p>
      <w:pPr>
        <w:spacing w:line="360" w:lineRule="auto"/>
        <w:jc w:val="left"/>
        <w:rPr>
          <w:color w:val="auto"/>
          <w:szCs w:val="21"/>
          <w:highlight w:val="none"/>
        </w:rPr>
      </w:pPr>
    </w:p>
    <w:p>
      <w:pPr>
        <w:pStyle w:val="3"/>
        <w:spacing w:before="386" w:after="450" w:line="500" w:lineRule="exact"/>
        <w:ind w:right="142"/>
        <w:jc w:val="center"/>
        <w:rPr>
          <w:bCs w:val="0"/>
          <w:color w:val="auto"/>
          <w:sz w:val="32"/>
          <w:highlight w:val="none"/>
        </w:rPr>
      </w:pPr>
      <w:bookmarkStart w:id="210" w:name="_Toc13559"/>
      <w:bookmarkStart w:id="211" w:name="_Toc9083"/>
      <w:r>
        <w:rPr>
          <w:bCs w:val="0"/>
          <w:color w:val="auto"/>
          <w:sz w:val="32"/>
          <w:highlight w:val="none"/>
        </w:rPr>
        <w:t>中小企业声明函（</w:t>
      </w:r>
      <w:r>
        <w:rPr>
          <w:rFonts w:hint="eastAsia"/>
          <w:bCs w:val="0"/>
          <w:color w:val="auto"/>
          <w:sz w:val="32"/>
          <w:highlight w:val="none"/>
        </w:rPr>
        <w:t>工程</w:t>
      </w:r>
      <w:r>
        <w:rPr>
          <w:bCs w:val="0"/>
          <w:color w:val="auto"/>
          <w:sz w:val="32"/>
          <w:highlight w:val="none"/>
        </w:rPr>
        <w:t>）</w:t>
      </w:r>
      <w:bookmarkEnd w:id="210"/>
      <w:bookmarkEnd w:id="211"/>
    </w:p>
    <w:p>
      <w:pPr>
        <w:spacing w:line="360" w:lineRule="auto"/>
        <w:jc w:val="left"/>
        <w:rPr>
          <w:color w:val="auto"/>
          <w:szCs w:val="21"/>
          <w:highlight w:val="none"/>
        </w:rPr>
      </w:pPr>
      <w:r>
        <w:rPr>
          <w:color w:val="auto"/>
          <w:szCs w:val="21"/>
          <w:highlight w:val="none"/>
        </w:rPr>
        <w:t>本公司（联合体）郑重声明，根据《政府采购促进中小企业发展管理办法》（财库﹝2020﹞46号）的规定，本公司（联合体）参加的采购活动，</w:t>
      </w:r>
      <w:r>
        <w:rPr>
          <w:rFonts w:hint="eastAsia"/>
          <w:color w:val="auto"/>
          <w:szCs w:val="21"/>
          <w:highlight w:val="none"/>
        </w:rPr>
        <w:t>全部工程</w:t>
      </w:r>
      <w:r>
        <w:rPr>
          <w:color w:val="auto"/>
          <w:szCs w:val="21"/>
          <w:highlight w:val="none"/>
        </w:rPr>
        <w:t>由符合政策要求的中小企业承接。相关企业（含联合体中的中小企业、签订分包意向协议的中小企业）的具体情况如下：</w:t>
      </w:r>
    </w:p>
    <w:p>
      <w:pPr>
        <w:numPr>
          <w:ilvl w:val="0"/>
          <w:numId w:val="7"/>
        </w:numPr>
        <w:tabs>
          <w:tab w:val="left" w:pos="1384"/>
          <w:tab w:val="left" w:pos="4562"/>
          <w:tab w:val="left" w:pos="6803"/>
        </w:tabs>
        <w:spacing w:line="360" w:lineRule="auto"/>
        <w:ind w:right="142" w:firstLine="676" w:firstLineChars="322"/>
        <w:rPr>
          <w:color w:val="auto"/>
          <w:szCs w:val="21"/>
          <w:highlight w:val="none"/>
          <w:u w:val="single"/>
        </w:rPr>
      </w:pPr>
      <w:r>
        <w:rPr>
          <w:color w:val="auto"/>
          <w:szCs w:val="21"/>
          <w:highlight w:val="none"/>
        </w:rPr>
        <w:t>，属于；承接企业为</w:t>
      </w:r>
      <w:r>
        <w:rPr>
          <w:color w:val="auto"/>
          <w:szCs w:val="21"/>
          <w:highlight w:val="none"/>
          <w:u w:val="single"/>
        </w:rPr>
        <w:t>（企业名称）</w:t>
      </w:r>
      <w:r>
        <w:rPr>
          <w:color w:val="auto"/>
          <w:szCs w:val="21"/>
          <w:highlight w:val="none"/>
        </w:rPr>
        <w:t>，从业人员人，营业收入为万元，资产总额为万元，属于</w:t>
      </w:r>
      <w:r>
        <w:rPr>
          <w:color w:val="auto"/>
          <w:szCs w:val="21"/>
          <w:highlight w:val="none"/>
          <w:u w:val="single"/>
        </w:rPr>
        <w:t>（中型企业、小型企业、微型企业）</w:t>
      </w:r>
    </w:p>
    <w:p>
      <w:pPr>
        <w:pStyle w:val="20"/>
        <w:ind w:firstLine="642" w:firstLineChars="30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w:t>
      </w:r>
    </w:p>
    <w:p>
      <w:pPr>
        <w:spacing w:line="360" w:lineRule="auto"/>
        <w:ind w:firstLine="630" w:firstLineChars="300"/>
        <w:jc w:val="left"/>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pPr>
        <w:pStyle w:val="8"/>
        <w:spacing w:line="360" w:lineRule="auto"/>
        <w:ind w:right="142" w:firstLine="617" w:firstLineChars="294"/>
        <w:jc w:val="both"/>
        <w:rPr>
          <w:color w:val="auto"/>
          <w:szCs w:val="21"/>
          <w:highlight w:val="none"/>
        </w:rPr>
      </w:pPr>
      <w:r>
        <w:rPr>
          <w:color w:val="auto"/>
          <w:sz w:val="21"/>
          <w:szCs w:val="21"/>
          <w:highlight w:val="none"/>
        </w:rPr>
        <w:t>本企业对上述声明内容的真实性负责。如有虚假，将依法承担相应责任。</w:t>
      </w:r>
    </w:p>
    <w:p>
      <w:pPr>
        <w:pStyle w:val="8"/>
        <w:spacing w:line="360" w:lineRule="auto"/>
        <w:ind w:right="142" w:firstLine="617" w:firstLineChars="294"/>
        <w:jc w:val="both"/>
        <w:rPr>
          <w:color w:val="auto"/>
          <w:sz w:val="21"/>
          <w:szCs w:val="21"/>
          <w:highlight w:val="none"/>
        </w:rPr>
      </w:pPr>
    </w:p>
    <w:p>
      <w:pPr>
        <w:pStyle w:val="8"/>
        <w:spacing w:line="360" w:lineRule="auto"/>
        <w:ind w:right="142" w:firstLine="617" w:firstLineChars="294"/>
        <w:jc w:val="both"/>
        <w:rPr>
          <w:color w:val="auto"/>
          <w:sz w:val="21"/>
          <w:szCs w:val="21"/>
          <w:highlight w:val="none"/>
        </w:rPr>
      </w:pPr>
    </w:p>
    <w:p>
      <w:pPr>
        <w:pStyle w:val="8"/>
        <w:spacing w:line="360" w:lineRule="auto"/>
        <w:ind w:right="142" w:firstLine="6495" w:firstLineChars="3093"/>
        <w:jc w:val="both"/>
        <w:rPr>
          <w:color w:val="auto"/>
          <w:sz w:val="21"/>
          <w:szCs w:val="21"/>
          <w:highlight w:val="none"/>
        </w:rPr>
      </w:pPr>
      <w:r>
        <w:rPr>
          <w:color w:val="auto"/>
          <w:sz w:val="21"/>
          <w:szCs w:val="21"/>
          <w:highlight w:val="none"/>
        </w:rPr>
        <w:t xml:space="preserve">企业名称（章）： </w:t>
      </w:r>
    </w:p>
    <w:p>
      <w:pPr>
        <w:pStyle w:val="8"/>
        <w:spacing w:line="360" w:lineRule="auto"/>
        <w:ind w:right="142" w:firstLine="6705" w:firstLineChars="3193"/>
        <w:jc w:val="both"/>
        <w:rPr>
          <w:color w:val="auto"/>
          <w:sz w:val="21"/>
          <w:szCs w:val="21"/>
          <w:highlight w:val="none"/>
        </w:rPr>
      </w:pPr>
      <w:r>
        <w:rPr>
          <w:color w:val="auto"/>
          <w:sz w:val="21"/>
          <w:szCs w:val="21"/>
          <w:highlight w:val="none"/>
        </w:rPr>
        <w:t>日期：</w:t>
      </w:r>
    </w:p>
    <w:p>
      <w:pPr>
        <w:pStyle w:val="8"/>
        <w:spacing w:line="360" w:lineRule="auto"/>
        <w:ind w:right="142" w:firstLine="617" w:firstLineChars="294"/>
        <w:jc w:val="both"/>
        <w:rPr>
          <w:color w:val="auto"/>
          <w:sz w:val="21"/>
          <w:szCs w:val="21"/>
          <w:highlight w:val="none"/>
        </w:rPr>
      </w:pPr>
    </w:p>
    <w:p>
      <w:pPr>
        <w:rPr>
          <w:color w:val="auto"/>
          <w:highlight w:val="none"/>
        </w:rPr>
      </w:pPr>
    </w:p>
    <w:p>
      <w:pPr>
        <w:snapToGrid w:val="0"/>
        <w:spacing w:before="156" w:beforeLines="50" w:after="50" w:line="360" w:lineRule="auto"/>
        <w:ind w:right="480" w:firstLine="210" w:firstLineChars="100"/>
        <w:jc w:val="center"/>
        <w:outlineLvl w:val="1"/>
        <w:rPr>
          <w:color w:val="auto"/>
          <w:szCs w:val="21"/>
          <w:highlight w:val="none"/>
        </w:rPr>
      </w:pPr>
      <w:bookmarkStart w:id="212" w:name="_Toc3443"/>
      <w:bookmarkStart w:id="213" w:name="_Toc3057"/>
      <w:r>
        <w:rPr>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bookmarkEnd w:id="212"/>
      <w:bookmarkEnd w:id="213"/>
    </w:p>
    <w:p>
      <w:pPr>
        <w:spacing w:line="300" w:lineRule="auto"/>
        <w:rPr>
          <w:color w:val="auto"/>
          <w:sz w:val="24"/>
          <w:highlight w:val="none"/>
        </w:rPr>
      </w:pPr>
      <w:r>
        <w:rPr>
          <w:color w:val="auto"/>
          <w:szCs w:val="21"/>
          <w:highlight w:val="none"/>
        </w:rPr>
        <w:br w:type="page"/>
      </w:r>
      <w:r>
        <w:rPr>
          <w:b/>
          <w:bCs/>
          <w:color w:val="auto"/>
          <w:sz w:val="24"/>
          <w:highlight w:val="none"/>
        </w:rPr>
        <w:t>其他文书、文件格式</w:t>
      </w:r>
    </w:p>
    <w:p>
      <w:pPr>
        <w:spacing w:line="520" w:lineRule="exact"/>
        <w:jc w:val="center"/>
        <w:rPr>
          <w:b/>
          <w:color w:val="auto"/>
          <w:sz w:val="32"/>
          <w:szCs w:val="32"/>
          <w:highlight w:val="none"/>
        </w:rPr>
      </w:pPr>
      <w:r>
        <w:rPr>
          <w:b/>
          <w:color w:val="auto"/>
          <w:sz w:val="32"/>
          <w:szCs w:val="32"/>
          <w:highlight w:val="none"/>
        </w:rPr>
        <w:t>残疾人福利性单位声明函</w:t>
      </w:r>
    </w:p>
    <w:p>
      <w:pPr>
        <w:spacing w:line="360" w:lineRule="auto"/>
        <w:contextualSpacing/>
        <w:rPr>
          <w:color w:val="auto"/>
          <w:sz w:val="32"/>
          <w:szCs w:val="32"/>
          <w:highlight w:val="none"/>
        </w:rPr>
      </w:pPr>
    </w:p>
    <w:p>
      <w:pPr>
        <w:spacing w:line="420" w:lineRule="auto"/>
        <w:ind w:firstLine="420" w:firstLineChars="200"/>
        <w:contextualSpacing/>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20" w:lineRule="auto"/>
        <w:ind w:firstLine="420" w:firstLineChars="200"/>
        <w:contextualSpacing/>
        <w:rPr>
          <w:color w:val="auto"/>
          <w:szCs w:val="21"/>
          <w:highlight w:val="none"/>
        </w:rPr>
      </w:pPr>
      <w:r>
        <w:rPr>
          <w:color w:val="auto"/>
          <w:szCs w:val="21"/>
          <w:highlight w:val="none"/>
        </w:rPr>
        <w:t>本单位对上述声明的真实性负责。如有虚假，将依法承担相应责任。</w:t>
      </w:r>
    </w:p>
    <w:p>
      <w:pPr>
        <w:spacing w:line="360" w:lineRule="auto"/>
        <w:contextualSpacing/>
        <w:rPr>
          <w:color w:val="auto"/>
          <w:szCs w:val="21"/>
          <w:highlight w:val="none"/>
        </w:rPr>
      </w:pPr>
    </w:p>
    <w:p>
      <w:pPr>
        <w:pStyle w:val="20"/>
        <w:ind w:firstLine="0" w:firstLineChars="0"/>
        <w:rPr>
          <w:color w:val="auto"/>
          <w:highlight w:val="none"/>
        </w:rPr>
      </w:pPr>
    </w:p>
    <w:p>
      <w:pPr>
        <w:spacing w:line="360" w:lineRule="auto"/>
        <w:contextualSpacing/>
        <w:rPr>
          <w:color w:val="auto"/>
          <w:szCs w:val="21"/>
          <w:highlight w:val="none"/>
        </w:rPr>
      </w:pPr>
    </w:p>
    <w:p>
      <w:pPr>
        <w:spacing w:line="360" w:lineRule="auto"/>
        <w:ind w:firstLine="5040" w:firstLineChars="2400"/>
        <w:contextualSpacing/>
        <w:rPr>
          <w:color w:val="auto"/>
          <w:szCs w:val="21"/>
          <w:highlight w:val="none"/>
        </w:rPr>
      </w:pPr>
      <w:r>
        <w:rPr>
          <w:color w:val="auto"/>
          <w:szCs w:val="21"/>
          <w:highlight w:val="none"/>
        </w:rPr>
        <w:t>单位名称（盖章）：</w:t>
      </w:r>
    </w:p>
    <w:p>
      <w:pPr>
        <w:spacing w:line="360" w:lineRule="auto"/>
        <w:ind w:firstLine="5460" w:firstLineChars="2600"/>
        <w:contextualSpacing/>
        <w:rPr>
          <w:color w:val="auto"/>
          <w:szCs w:val="21"/>
          <w:highlight w:val="none"/>
        </w:rPr>
      </w:pPr>
      <w:r>
        <w:rPr>
          <w:color w:val="auto"/>
          <w:szCs w:val="21"/>
          <w:highlight w:val="none"/>
        </w:rPr>
        <w:t>日  期：</w:t>
      </w:r>
    </w:p>
    <w:p>
      <w:pPr>
        <w:spacing w:line="360" w:lineRule="auto"/>
        <w:contextualSpacing/>
        <w:rPr>
          <w:color w:val="auto"/>
          <w:szCs w:val="21"/>
          <w:highlight w:val="none"/>
        </w:rPr>
      </w:pPr>
    </w:p>
    <w:p>
      <w:pPr>
        <w:spacing w:line="360" w:lineRule="auto"/>
        <w:contextualSpacing/>
        <w:rPr>
          <w:color w:val="auto"/>
          <w:szCs w:val="21"/>
          <w:highlight w:val="none"/>
        </w:rPr>
      </w:pPr>
    </w:p>
    <w:p>
      <w:pPr>
        <w:spacing w:line="360" w:lineRule="auto"/>
        <w:contextualSpacing/>
        <w:rPr>
          <w:color w:val="auto"/>
          <w:szCs w:val="21"/>
          <w:highlight w:val="none"/>
        </w:rPr>
      </w:pPr>
    </w:p>
    <w:p>
      <w:pPr>
        <w:spacing w:line="360" w:lineRule="auto"/>
        <w:contextualSpacing/>
        <w:rPr>
          <w:color w:val="auto"/>
          <w:szCs w:val="21"/>
          <w:highlight w:val="none"/>
        </w:rPr>
      </w:pPr>
      <w:r>
        <w:rPr>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napToGrid w:val="0"/>
        <w:spacing w:before="156" w:beforeLines="50" w:after="50" w:line="360" w:lineRule="auto"/>
        <w:ind w:right="480" w:firstLine="321" w:firstLineChars="100"/>
        <w:jc w:val="center"/>
        <w:outlineLvl w:val="1"/>
        <w:rPr>
          <w:rFonts w:ascii="宋体" w:hAnsi="宋体"/>
          <w:b/>
          <w:color w:val="auto"/>
          <w:sz w:val="32"/>
          <w:szCs w:val="32"/>
          <w:highlight w:val="none"/>
        </w:rPr>
      </w:pPr>
      <w:r>
        <w:rPr>
          <w:rFonts w:hint="eastAsia" w:ascii="宋体" w:hAnsi="宋体"/>
          <w:b/>
          <w:bCs/>
          <w:color w:val="auto"/>
          <w:sz w:val="32"/>
          <w:szCs w:val="32"/>
          <w:highlight w:val="none"/>
        </w:rPr>
        <w:br w:type="page"/>
      </w:r>
      <w:bookmarkStart w:id="214" w:name="_Toc17448"/>
      <w:bookmarkStart w:id="215" w:name="_Toc8794"/>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bookmarkEnd w:id="214"/>
      <w:bookmarkEnd w:id="215"/>
    </w:p>
    <w:p>
      <w:pPr>
        <w:snapToGrid w:val="0"/>
        <w:spacing w:before="156" w:beforeLines="50" w:after="50" w:line="360" w:lineRule="auto"/>
        <w:jc w:val="left"/>
        <w:rPr>
          <w:rFonts w:ascii="宋体" w:hAnsi="宋体"/>
          <w:b/>
          <w:color w:val="auto"/>
          <w:sz w:val="28"/>
          <w:szCs w:val="28"/>
          <w:highlight w:val="none"/>
        </w:rPr>
      </w:pPr>
    </w:p>
    <w:p>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w:t>
      </w:r>
      <w:r>
        <w:rPr>
          <w:rFonts w:ascii="宋体" w:hAnsi="宋体"/>
          <w:b/>
          <w:color w:val="auto"/>
          <w:sz w:val="28"/>
          <w:szCs w:val="28"/>
          <w:highlight w:val="none"/>
        </w:rPr>
        <w:t>．</w:t>
      </w:r>
      <w:r>
        <w:rPr>
          <w:rFonts w:hint="eastAsia" w:ascii="宋体" w:hAnsi="宋体"/>
          <w:b/>
          <w:color w:val="auto"/>
          <w:sz w:val="28"/>
          <w:szCs w:val="28"/>
          <w:highlight w:val="none"/>
        </w:rPr>
        <w:t>报价文件封面格式</w:t>
      </w:r>
    </w:p>
    <w:p>
      <w:pPr>
        <w:pStyle w:val="20"/>
        <w:ind w:firstLine="488"/>
        <w:rPr>
          <w:color w:val="auto"/>
          <w:highlight w:val="none"/>
        </w:rPr>
      </w:pPr>
    </w:p>
    <w:p>
      <w:pPr>
        <w:snapToGrid w:val="0"/>
        <w:spacing w:before="156" w:beforeLines="50" w:after="50"/>
        <w:rPr>
          <w:rFonts w:ascii="宋体" w:hAnsi="宋体"/>
          <w:bCs/>
          <w:color w:val="auto"/>
          <w:sz w:val="32"/>
          <w:szCs w:val="20"/>
          <w:highlight w:val="none"/>
        </w:rPr>
      </w:pPr>
      <w:r>
        <w:rPr>
          <w:rFonts w:hint="eastAsia" w:ascii="宋体" w:hAnsi="宋体"/>
          <w:bCs/>
          <w:color w:val="auto"/>
          <w:highlight w:val="none"/>
        </w:rPr>
        <w:t>电子响应文件</w:t>
      </w:r>
    </w:p>
    <w:p>
      <w:pPr>
        <w:snapToGrid w:val="0"/>
        <w:spacing w:before="156" w:beforeLines="50" w:after="50"/>
        <w:rPr>
          <w:rFonts w:ascii="宋体" w:hAnsi="宋体"/>
          <w:color w:val="auto"/>
          <w:sz w:val="24"/>
          <w:szCs w:val="20"/>
          <w:highlight w:val="none"/>
        </w:rPr>
      </w:pPr>
    </w:p>
    <w:p>
      <w:pPr>
        <w:pStyle w:val="20"/>
        <w:ind w:firstLine="488"/>
        <w:rPr>
          <w:color w:val="auto"/>
          <w:highlight w:val="none"/>
        </w:rPr>
      </w:pPr>
    </w:p>
    <w:p>
      <w:pPr>
        <w:snapToGrid w:val="0"/>
        <w:spacing w:before="156" w:beforeLines="50" w:after="50"/>
        <w:rPr>
          <w:rFonts w:ascii="宋体" w:hAnsi="宋体"/>
          <w:color w:val="auto"/>
          <w:sz w:val="24"/>
          <w:szCs w:val="20"/>
          <w:highlight w:val="none"/>
        </w:rPr>
      </w:pPr>
    </w:p>
    <w:p>
      <w:pPr>
        <w:snapToGrid w:val="0"/>
        <w:spacing w:before="156" w:beforeLines="50" w:after="50"/>
        <w:rPr>
          <w:rFonts w:ascii="宋体" w:hAnsi="宋体"/>
          <w:color w:val="auto"/>
          <w:sz w:val="24"/>
          <w:szCs w:val="20"/>
          <w:highlight w:val="none"/>
        </w:rPr>
      </w:pPr>
    </w:p>
    <w:p>
      <w:pPr>
        <w:snapToGrid w:val="0"/>
        <w:spacing w:before="156" w:beforeLines="50" w:after="50"/>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报 价 文 件</w:t>
      </w: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ascii="宋体" w:hAnsi="宋体" w:cs="仿宋_GB2312"/>
          <w:bCs/>
          <w:color w:val="auto"/>
          <w:sz w:val="32"/>
          <w:szCs w:val="32"/>
          <w:highlight w:val="none"/>
        </w:rPr>
      </w:pPr>
    </w:p>
    <w:p>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b/>
          <w:bCs/>
          <w:color w:val="auto"/>
          <w:sz w:val="28"/>
          <w:szCs w:val="28"/>
          <w:highlight w:val="none"/>
        </w:rPr>
      </w:pPr>
      <w:r>
        <w:rPr>
          <w:rFonts w:ascii="宋体" w:hAnsi="宋体"/>
          <w:color w:val="auto"/>
          <w:sz w:val="24"/>
          <w:highlight w:val="none"/>
        </w:rPr>
        <w:br w:type="page"/>
      </w:r>
      <w:r>
        <w:rPr>
          <w:b/>
          <w:bCs/>
          <w:color w:val="auto"/>
          <w:sz w:val="28"/>
          <w:szCs w:val="28"/>
          <w:highlight w:val="none"/>
        </w:rPr>
        <w:t>2</w:t>
      </w:r>
      <w:r>
        <w:rPr>
          <w:b/>
          <w:color w:val="auto"/>
          <w:sz w:val="28"/>
          <w:szCs w:val="28"/>
          <w:highlight w:val="none"/>
        </w:rPr>
        <w:t>．</w:t>
      </w:r>
      <w:r>
        <w:rPr>
          <w:rFonts w:hint="eastAsia"/>
          <w:b/>
          <w:bCs/>
          <w:color w:val="auto"/>
          <w:sz w:val="28"/>
          <w:szCs w:val="28"/>
          <w:highlight w:val="none"/>
        </w:rPr>
        <w:t>报价</w:t>
      </w:r>
      <w:r>
        <w:rPr>
          <w:b/>
          <w:bCs/>
          <w:color w:val="auto"/>
          <w:sz w:val="28"/>
          <w:szCs w:val="28"/>
          <w:highlight w:val="none"/>
        </w:rPr>
        <w:t>文件目录</w:t>
      </w:r>
    </w:p>
    <w:p>
      <w:pPr>
        <w:snapToGrid w:val="0"/>
        <w:spacing w:before="156" w:beforeLines="50" w:after="50" w:line="360" w:lineRule="auto"/>
        <w:ind w:firstLine="560" w:firstLineChars="200"/>
        <w:rPr>
          <w:color w:val="auto"/>
          <w:sz w:val="28"/>
          <w:szCs w:val="28"/>
          <w:highlight w:val="none"/>
        </w:rPr>
      </w:pPr>
      <w:r>
        <w:rPr>
          <w:color w:val="auto"/>
          <w:sz w:val="28"/>
          <w:szCs w:val="28"/>
          <w:highlight w:val="none"/>
        </w:rPr>
        <w:t>根据磋商文件规定及供应商提供的材料自行编写目录（部分格式后附）</w:t>
      </w:r>
    </w:p>
    <w:p>
      <w:pPr>
        <w:spacing w:line="400" w:lineRule="exact"/>
        <w:rPr>
          <w:rFonts w:ascii="仿宋_GB2312" w:hAnsi="仿宋_GB2312" w:eastAsia="仿宋_GB2312" w:cs="仿宋_GB2312"/>
          <w:color w:val="auto"/>
          <w:sz w:val="32"/>
          <w:szCs w:val="32"/>
          <w:highlight w:val="none"/>
        </w:rPr>
      </w:pPr>
    </w:p>
    <w:p>
      <w:pPr>
        <w:spacing w:line="520" w:lineRule="exact"/>
        <w:rPr>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pPr>
        <w:spacing w:line="520" w:lineRule="exact"/>
        <w:jc w:val="center"/>
        <w:outlineLvl w:val="2"/>
        <w:rPr>
          <w:b/>
          <w:bCs/>
          <w:color w:val="auto"/>
          <w:sz w:val="28"/>
          <w:szCs w:val="28"/>
          <w:highlight w:val="none"/>
        </w:rPr>
      </w:pPr>
      <w:bookmarkStart w:id="216" w:name="_Toc28845"/>
      <w:bookmarkStart w:id="217" w:name="_Toc32699"/>
      <w:r>
        <w:rPr>
          <w:rFonts w:hint="eastAsia"/>
          <w:b/>
          <w:bCs/>
          <w:color w:val="auto"/>
          <w:sz w:val="28"/>
          <w:szCs w:val="28"/>
          <w:highlight w:val="none"/>
        </w:rPr>
        <w:t>磋 商</w:t>
      </w:r>
      <w:r>
        <w:rPr>
          <w:b/>
          <w:bCs/>
          <w:color w:val="auto"/>
          <w:sz w:val="28"/>
          <w:szCs w:val="28"/>
          <w:highlight w:val="none"/>
        </w:rPr>
        <w:t xml:space="preserve"> 报 价 </w:t>
      </w:r>
      <w:r>
        <w:rPr>
          <w:rFonts w:hint="eastAsia"/>
          <w:b/>
          <w:bCs/>
          <w:color w:val="auto"/>
          <w:sz w:val="28"/>
          <w:szCs w:val="28"/>
          <w:highlight w:val="none"/>
        </w:rPr>
        <w:t>函</w:t>
      </w:r>
      <w:bookmarkEnd w:id="216"/>
      <w:bookmarkEnd w:id="217"/>
    </w:p>
    <w:p>
      <w:pPr>
        <w:spacing w:line="440" w:lineRule="exact"/>
        <w:jc w:val="center"/>
        <w:rPr>
          <w:bCs/>
          <w:color w:val="auto"/>
          <w:sz w:val="32"/>
          <w:szCs w:val="32"/>
          <w:highlight w:val="none"/>
        </w:rPr>
      </w:pPr>
    </w:p>
    <w:p>
      <w:pPr>
        <w:spacing w:line="360" w:lineRule="auto"/>
        <w:contextualSpacing/>
        <w:rPr>
          <w:color w:val="auto"/>
          <w:szCs w:val="21"/>
          <w:highlight w:val="none"/>
        </w:rPr>
      </w:pPr>
    </w:p>
    <w:p>
      <w:pPr>
        <w:spacing w:line="360" w:lineRule="auto"/>
        <w:contextualSpacing/>
        <w:rPr>
          <w:color w:val="auto"/>
          <w:szCs w:val="21"/>
          <w:highlight w:val="none"/>
        </w:rPr>
      </w:pPr>
      <w:r>
        <w:rPr>
          <w:color w:val="auto"/>
          <w:szCs w:val="21"/>
          <w:highlight w:val="none"/>
        </w:rPr>
        <w:t>项目名称：项目编号：</w:t>
      </w:r>
    </w:p>
    <w:p>
      <w:pPr>
        <w:spacing w:line="360" w:lineRule="auto"/>
        <w:contextualSpacing/>
        <w:rPr>
          <w:color w:val="auto"/>
          <w:szCs w:val="21"/>
          <w:highlight w:val="none"/>
        </w:rPr>
      </w:pPr>
      <w:r>
        <w:rPr>
          <w:color w:val="auto"/>
          <w:szCs w:val="21"/>
          <w:highlight w:val="none"/>
        </w:rPr>
        <w:t>供应商名称：</w:t>
      </w:r>
    </w:p>
    <w:p>
      <w:pPr>
        <w:tabs>
          <w:tab w:val="left" w:pos="7560"/>
        </w:tabs>
        <w:spacing w:line="460" w:lineRule="exact"/>
        <w:ind w:firstLine="420" w:firstLineChars="200"/>
        <w:rPr>
          <w:color w:val="auto"/>
          <w:highlight w:val="none"/>
        </w:rPr>
      </w:pPr>
      <w:r>
        <w:rPr>
          <w:color w:val="auto"/>
          <w:highlight w:val="none"/>
        </w:rPr>
        <w:t>1、根据你方项目</w:t>
      </w:r>
      <w:r>
        <w:rPr>
          <w:rFonts w:hint="eastAsia"/>
          <w:color w:val="auto"/>
          <w:highlight w:val="none"/>
        </w:rPr>
        <w:t>招标</w:t>
      </w:r>
      <w:r>
        <w:rPr>
          <w:color w:val="auto"/>
          <w:highlight w:val="none"/>
        </w:rPr>
        <w:t>编号为</w:t>
      </w:r>
      <w:r>
        <w:rPr>
          <w:color w:val="auto"/>
          <w:highlight w:val="none"/>
          <w:u w:val="single"/>
        </w:rPr>
        <w:t xml:space="preserve">  （项目</w:t>
      </w:r>
      <w:r>
        <w:rPr>
          <w:rFonts w:hint="eastAsia"/>
          <w:color w:val="auto"/>
          <w:highlight w:val="none"/>
          <w:u w:val="single"/>
        </w:rPr>
        <w:t>招标</w:t>
      </w:r>
      <w:r>
        <w:rPr>
          <w:color w:val="auto"/>
          <w:highlight w:val="none"/>
          <w:u w:val="single"/>
        </w:rPr>
        <w:t xml:space="preserve">编号）  </w:t>
      </w:r>
      <w:r>
        <w:rPr>
          <w:color w:val="auto"/>
          <w:highlight w:val="none"/>
        </w:rPr>
        <w:t>的</w:t>
      </w:r>
      <w:r>
        <w:rPr>
          <w:color w:val="auto"/>
          <w:highlight w:val="none"/>
          <w:u w:val="single"/>
        </w:rPr>
        <w:t xml:space="preserve">  （项目名称）  </w:t>
      </w:r>
      <w:r>
        <w:rPr>
          <w:rFonts w:hint="eastAsia"/>
          <w:color w:val="auto"/>
          <w:highlight w:val="none"/>
        </w:rPr>
        <w:t>竞争性磋商</w:t>
      </w:r>
      <w:r>
        <w:rPr>
          <w:color w:val="auto"/>
          <w:highlight w:val="none"/>
        </w:rPr>
        <w:t>文件，遵照《中华人民共和国</w:t>
      </w:r>
      <w:r>
        <w:rPr>
          <w:rFonts w:hint="eastAsia"/>
          <w:color w:val="auto"/>
          <w:highlight w:val="none"/>
        </w:rPr>
        <w:t>政府采购法</w:t>
      </w:r>
      <w:r>
        <w:rPr>
          <w:color w:val="auto"/>
          <w:highlight w:val="none"/>
        </w:rPr>
        <w:t>》等有关规定，经踏勘项目现场和研究上述</w:t>
      </w:r>
      <w:r>
        <w:rPr>
          <w:rFonts w:hint="eastAsia"/>
          <w:color w:val="auto"/>
          <w:highlight w:val="none"/>
        </w:rPr>
        <w:t>竞争性磋商</w:t>
      </w:r>
      <w:r>
        <w:rPr>
          <w:color w:val="auto"/>
          <w:highlight w:val="none"/>
        </w:rPr>
        <w:t>文件的投标须知、合同条款、图纸、工程量清单及其他有关文件后，我方</w:t>
      </w:r>
      <w:r>
        <w:rPr>
          <w:rFonts w:hint="eastAsia"/>
          <w:color w:val="auto"/>
          <w:highlight w:val="none"/>
        </w:rPr>
        <w:t>报价如下：</w:t>
      </w:r>
    </w:p>
    <w:p>
      <w:pPr>
        <w:spacing w:line="460" w:lineRule="exact"/>
        <w:ind w:firstLine="422" w:firstLineChars="200"/>
        <w:rPr>
          <w:b/>
          <w:bCs/>
          <w:color w:val="auto"/>
          <w:highlight w:val="none"/>
        </w:rPr>
      </w:pPr>
      <w:r>
        <w:rPr>
          <w:rFonts w:hint="eastAsia"/>
          <w:b/>
          <w:bCs/>
          <w:color w:val="auto"/>
          <w:highlight w:val="none"/>
        </w:rPr>
        <w:t>报价（大写） 元（¥）的总价，承包上述工程的施工、竣工和保修，施工工期，质量承诺;</w:t>
      </w:r>
    </w:p>
    <w:p>
      <w:pPr>
        <w:tabs>
          <w:tab w:val="left" w:pos="7560"/>
        </w:tabs>
        <w:spacing w:line="460" w:lineRule="exact"/>
        <w:ind w:firstLine="420" w:firstLineChars="200"/>
        <w:rPr>
          <w:color w:val="auto"/>
          <w:highlight w:val="none"/>
        </w:rPr>
      </w:pPr>
      <w:r>
        <w:rPr>
          <w:color w:val="auto"/>
          <w:highlight w:val="none"/>
        </w:rPr>
        <w:t>2、我方已详细审核全部</w:t>
      </w:r>
      <w:r>
        <w:rPr>
          <w:rFonts w:hint="eastAsia"/>
          <w:color w:val="auto"/>
          <w:highlight w:val="none"/>
        </w:rPr>
        <w:t>竞争性磋商</w:t>
      </w:r>
      <w:r>
        <w:rPr>
          <w:color w:val="auto"/>
          <w:highlight w:val="none"/>
        </w:rPr>
        <w:t>文件，包括修改文件（如有时）及有关附件。</w:t>
      </w:r>
    </w:p>
    <w:p>
      <w:pPr>
        <w:tabs>
          <w:tab w:val="left" w:pos="7560"/>
        </w:tabs>
        <w:spacing w:line="460" w:lineRule="exact"/>
        <w:ind w:firstLine="420" w:firstLineChars="200"/>
        <w:rPr>
          <w:color w:val="auto"/>
          <w:highlight w:val="none"/>
        </w:rPr>
      </w:pPr>
      <w:r>
        <w:rPr>
          <w:color w:val="auto"/>
          <w:highlight w:val="none"/>
        </w:rPr>
        <w:t>3、我方承认</w:t>
      </w:r>
      <w:r>
        <w:rPr>
          <w:rFonts w:hint="eastAsia"/>
          <w:color w:val="auto"/>
          <w:highlight w:val="none"/>
        </w:rPr>
        <w:t>报价函</w:t>
      </w:r>
      <w:r>
        <w:rPr>
          <w:color w:val="auto"/>
          <w:highlight w:val="none"/>
        </w:rPr>
        <w:t>附录是我方</w:t>
      </w:r>
      <w:r>
        <w:rPr>
          <w:rFonts w:hint="eastAsia"/>
          <w:color w:val="auto"/>
          <w:highlight w:val="none"/>
        </w:rPr>
        <w:t>磋商报价</w:t>
      </w:r>
      <w:r>
        <w:rPr>
          <w:color w:val="auto"/>
          <w:highlight w:val="none"/>
        </w:rPr>
        <w:t>函的组成部分。</w:t>
      </w:r>
    </w:p>
    <w:p>
      <w:pPr>
        <w:tabs>
          <w:tab w:val="left" w:pos="7560"/>
        </w:tabs>
        <w:spacing w:line="460" w:lineRule="exact"/>
        <w:ind w:firstLine="420" w:firstLineChars="200"/>
        <w:rPr>
          <w:color w:val="auto"/>
          <w:highlight w:val="none"/>
        </w:rPr>
      </w:pPr>
      <w:r>
        <w:rPr>
          <w:rFonts w:hint="eastAsia"/>
          <w:color w:val="auto"/>
          <w:highlight w:val="none"/>
        </w:rPr>
        <w:t>4</w:t>
      </w:r>
      <w:r>
        <w:rPr>
          <w:color w:val="auto"/>
          <w:highlight w:val="none"/>
        </w:rPr>
        <w:t>、如果我方中标，我方将按照文件规定提交履约保证金作为履约担保。</w:t>
      </w:r>
    </w:p>
    <w:p>
      <w:pPr>
        <w:tabs>
          <w:tab w:val="left" w:pos="7560"/>
        </w:tabs>
        <w:spacing w:line="460" w:lineRule="exact"/>
        <w:ind w:firstLine="420" w:firstLineChars="200"/>
        <w:rPr>
          <w:color w:val="auto"/>
          <w:highlight w:val="none"/>
        </w:rPr>
      </w:pPr>
      <w:r>
        <w:rPr>
          <w:rFonts w:hint="eastAsia"/>
          <w:color w:val="auto"/>
          <w:highlight w:val="none"/>
        </w:rPr>
        <w:t>5</w:t>
      </w:r>
      <w:r>
        <w:rPr>
          <w:color w:val="auto"/>
          <w:highlight w:val="none"/>
        </w:rPr>
        <w:t>、我方同意所提交的</w:t>
      </w:r>
      <w:r>
        <w:rPr>
          <w:rFonts w:hint="eastAsia"/>
          <w:color w:val="auto"/>
          <w:highlight w:val="none"/>
        </w:rPr>
        <w:t>响应文件</w:t>
      </w:r>
      <w:r>
        <w:rPr>
          <w:color w:val="auto"/>
          <w:highlight w:val="none"/>
        </w:rPr>
        <w:t>在</w:t>
      </w:r>
      <w:r>
        <w:rPr>
          <w:rFonts w:hint="eastAsia"/>
          <w:color w:val="auto"/>
          <w:highlight w:val="none"/>
        </w:rPr>
        <w:t>竞争性磋商文件</w:t>
      </w:r>
      <w:r>
        <w:rPr>
          <w:color w:val="auto"/>
          <w:highlight w:val="none"/>
        </w:rPr>
        <w:t>的</w:t>
      </w:r>
      <w:r>
        <w:rPr>
          <w:rFonts w:hint="eastAsia"/>
          <w:color w:val="auto"/>
          <w:highlight w:val="none"/>
        </w:rPr>
        <w:t>“供应商</w:t>
      </w:r>
      <w:r>
        <w:rPr>
          <w:color w:val="auto"/>
          <w:highlight w:val="none"/>
        </w:rPr>
        <w:t>须知</w:t>
      </w:r>
      <w:r>
        <w:rPr>
          <w:rFonts w:hint="eastAsia"/>
          <w:color w:val="auto"/>
          <w:highlight w:val="none"/>
        </w:rPr>
        <w:t>前附表”</w:t>
      </w:r>
      <w:r>
        <w:rPr>
          <w:color w:val="auto"/>
          <w:highlight w:val="none"/>
        </w:rPr>
        <w:t>中第</w:t>
      </w:r>
      <w:r>
        <w:rPr>
          <w:rFonts w:hint="eastAsia"/>
          <w:color w:val="auto"/>
          <w:highlight w:val="none"/>
        </w:rPr>
        <w:t>16.2</w:t>
      </w:r>
      <w:r>
        <w:rPr>
          <w:color w:val="auto"/>
          <w:highlight w:val="none"/>
        </w:rPr>
        <w:t>条规定的</w:t>
      </w:r>
      <w:r>
        <w:rPr>
          <w:rFonts w:hint="eastAsia"/>
          <w:color w:val="auto"/>
          <w:highlight w:val="none"/>
        </w:rPr>
        <w:t>竞标</w:t>
      </w:r>
      <w:r>
        <w:rPr>
          <w:color w:val="auto"/>
          <w:highlight w:val="none"/>
        </w:rPr>
        <w:t>有效期内有效，在此期间内如果</w:t>
      </w:r>
      <w:r>
        <w:rPr>
          <w:rFonts w:hint="eastAsia"/>
          <w:color w:val="auto"/>
          <w:highlight w:val="none"/>
        </w:rPr>
        <w:t>成交</w:t>
      </w:r>
      <w:r>
        <w:rPr>
          <w:color w:val="auto"/>
          <w:highlight w:val="none"/>
        </w:rPr>
        <w:t>，我方将受此约束。</w:t>
      </w:r>
    </w:p>
    <w:p>
      <w:pPr>
        <w:tabs>
          <w:tab w:val="left" w:pos="7560"/>
        </w:tabs>
        <w:spacing w:line="460" w:lineRule="exact"/>
        <w:ind w:firstLine="420" w:firstLineChars="200"/>
        <w:rPr>
          <w:color w:val="auto"/>
          <w:highlight w:val="none"/>
        </w:rPr>
      </w:pPr>
      <w:r>
        <w:rPr>
          <w:color w:val="auto"/>
          <w:highlight w:val="none"/>
        </w:rPr>
        <w:t>7、除非另外达成协议并生效，你方的</w:t>
      </w:r>
      <w:r>
        <w:rPr>
          <w:rFonts w:hint="eastAsia"/>
          <w:color w:val="auto"/>
          <w:highlight w:val="none"/>
        </w:rPr>
        <w:t>成交</w:t>
      </w:r>
      <w:r>
        <w:rPr>
          <w:color w:val="auto"/>
          <w:highlight w:val="none"/>
        </w:rPr>
        <w:t>通知书和本</w:t>
      </w:r>
      <w:r>
        <w:rPr>
          <w:rFonts w:hint="eastAsia"/>
          <w:color w:val="auto"/>
          <w:highlight w:val="none"/>
        </w:rPr>
        <w:t>响应文件</w:t>
      </w:r>
      <w:r>
        <w:rPr>
          <w:color w:val="auto"/>
          <w:highlight w:val="none"/>
        </w:rPr>
        <w:t>将成为约束双方的合同文件的组成部分。</w:t>
      </w:r>
    </w:p>
    <w:p>
      <w:pPr>
        <w:spacing w:line="360" w:lineRule="auto"/>
        <w:contextualSpacing/>
        <w:jc w:val="left"/>
        <w:rPr>
          <w:color w:val="auto"/>
          <w:szCs w:val="21"/>
          <w:highlight w:val="none"/>
        </w:rPr>
      </w:pPr>
      <w:r>
        <w:rPr>
          <w:color w:val="auto"/>
          <w:szCs w:val="21"/>
          <w:highlight w:val="none"/>
        </w:rPr>
        <w:t>注</w:t>
      </w:r>
      <w:r>
        <w:rPr>
          <w:rFonts w:hint="eastAsia"/>
          <w:color w:val="auto"/>
          <w:szCs w:val="21"/>
          <w:highlight w:val="none"/>
        </w:rPr>
        <w:t>：</w:t>
      </w:r>
    </w:p>
    <w:p>
      <w:pPr>
        <w:spacing w:line="360" w:lineRule="auto"/>
        <w:ind w:firstLine="420" w:firstLineChars="200"/>
        <w:contextualSpacing/>
        <w:jc w:val="left"/>
        <w:rPr>
          <w:color w:val="auto"/>
          <w:szCs w:val="21"/>
          <w:highlight w:val="none"/>
        </w:rPr>
      </w:pPr>
      <w:r>
        <w:rPr>
          <w:color w:val="auto"/>
          <w:szCs w:val="21"/>
          <w:highlight w:val="none"/>
        </w:rPr>
        <w:t>1．供应商的报价</w:t>
      </w:r>
      <w:r>
        <w:rPr>
          <w:rFonts w:hint="eastAsia"/>
          <w:color w:val="auto"/>
          <w:szCs w:val="21"/>
          <w:highlight w:val="none"/>
        </w:rPr>
        <w:t>函</w:t>
      </w:r>
      <w:r>
        <w:rPr>
          <w:color w:val="auto"/>
          <w:szCs w:val="21"/>
          <w:highlight w:val="none"/>
        </w:rPr>
        <w:t>必须加盖供应商公章并由法定代表人或者委托代理人签字，</w:t>
      </w:r>
      <w:r>
        <w:rPr>
          <w:b/>
          <w:color w:val="auto"/>
          <w:szCs w:val="21"/>
          <w:highlight w:val="none"/>
        </w:rPr>
        <w:t>否则其响应文件按无效响应处理</w:t>
      </w:r>
      <w:r>
        <w:rPr>
          <w:color w:val="auto"/>
          <w:szCs w:val="21"/>
          <w:highlight w:val="none"/>
        </w:rPr>
        <w:t>。</w:t>
      </w:r>
    </w:p>
    <w:p>
      <w:pPr>
        <w:spacing w:line="360" w:lineRule="auto"/>
        <w:ind w:firstLine="420" w:firstLineChars="200"/>
        <w:contextualSpacing/>
        <w:jc w:val="left"/>
        <w:rPr>
          <w:b/>
          <w:color w:val="auto"/>
          <w:szCs w:val="21"/>
          <w:highlight w:val="none"/>
        </w:rPr>
      </w:pPr>
      <w:r>
        <w:rPr>
          <w:bCs/>
          <w:color w:val="auto"/>
          <w:szCs w:val="21"/>
          <w:highlight w:val="none"/>
        </w:rPr>
        <w:t>2</w:t>
      </w:r>
      <w:r>
        <w:rPr>
          <w:color w:val="auto"/>
          <w:szCs w:val="21"/>
          <w:highlight w:val="none"/>
        </w:rPr>
        <w:t>．报价一经涂改，应在涂改处加盖供应商公章或者由法定代表人或者委托代理人签字或者盖章，</w:t>
      </w:r>
      <w:r>
        <w:rPr>
          <w:b/>
          <w:color w:val="auto"/>
          <w:szCs w:val="21"/>
          <w:highlight w:val="none"/>
        </w:rPr>
        <w:t>否则其响应文件按无效响应处理。</w:t>
      </w:r>
    </w:p>
    <w:p>
      <w:pPr>
        <w:spacing w:line="360" w:lineRule="auto"/>
        <w:ind w:right="-817" w:rightChars="-389"/>
        <w:contextualSpacing/>
        <w:rPr>
          <w:color w:val="auto"/>
          <w:szCs w:val="21"/>
          <w:highlight w:val="none"/>
        </w:rPr>
      </w:pPr>
    </w:p>
    <w:p>
      <w:pPr>
        <w:snapToGrid w:val="0"/>
        <w:spacing w:before="156" w:beforeLines="50" w:line="360" w:lineRule="auto"/>
        <w:ind w:right="480" w:firstLine="2940" w:firstLineChars="1400"/>
        <w:rPr>
          <w:rFonts w:ascii="宋体" w:hAnsi="宋体" w:cs="宋体"/>
          <w:color w:val="auto"/>
          <w:szCs w:val="21"/>
          <w:highlight w:val="none"/>
        </w:rPr>
      </w:pPr>
    </w:p>
    <w:p>
      <w:pPr>
        <w:snapToGrid w:val="0"/>
        <w:spacing w:before="156" w:beforeLines="50" w:line="360" w:lineRule="auto"/>
        <w:ind w:right="480" w:firstLine="2940" w:firstLineChars="1400"/>
        <w:rPr>
          <w:rFonts w:ascii="宋体" w:hAnsi="宋体" w:cs="宋体"/>
          <w:color w:val="auto"/>
          <w:szCs w:val="21"/>
          <w:highlight w:val="none"/>
        </w:rPr>
      </w:pPr>
    </w:p>
    <w:p>
      <w:pPr>
        <w:snapToGrid w:val="0"/>
        <w:spacing w:before="156" w:beforeLines="50" w:line="360" w:lineRule="auto"/>
        <w:ind w:right="480" w:firstLine="3570" w:firstLineChars="17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p>
    <w:p>
      <w:pPr>
        <w:snapToGrid w:val="0"/>
        <w:spacing w:before="156" w:beforeLines="50" w:after="50" w:line="360" w:lineRule="auto"/>
        <w:ind w:right="480" w:firstLine="3675" w:firstLineChars="1750"/>
        <w:rPr>
          <w:rFonts w:ascii="宋体" w:hAnsi="宋体" w:cs="宋体"/>
          <w:color w:val="auto"/>
          <w:szCs w:val="21"/>
          <w:highlight w:val="none"/>
          <w:u w:val="single"/>
        </w:rPr>
      </w:pPr>
      <w:r>
        <w:rPr>
          <w:rFonts w:hint="eastAsia" w:ascii="宋体" w:hAnsi="宋体" w:cs="宋体"/>
          <w:color w:val="auto"/>
          <w:szCs w:val="21"/>
          <w:highlight w:val="none"/>
        </w:rPr>
        <w:t>供应商（盖公章 ）：</w:t>
      </w:r>
    </w:p>
    <w:p>
      <w:pPr>
        <w:snapToGrid w:val="0"/>
        <w:spacing w:before="156" w:beforeLines="50" w:after="50" w:line="360" w:lineRule="auto"/>
        <w:ind w:right="480" w:firstLine="5985" w:firstLineChars="2850"/>
        <w:rPr>
          <w:rFonts w:ascii="宋体" w:hAnsi="宋体" w:cs="宋体"/>
          <w:color w:val="auto"/>
          <w:szCs w:val="21"/>
          <w:highlight w:val="none"/>
        </w:rPr>
      </w:pPr>
      <w:r>
        <w:rPr>
          <w:rFonts w:hint="eastAsia" w:ascii="宋体" w:hAnsi="宋体" w:cs="宋体"/>
          <w:color w:val="auto"/>
          <w:szCs w:val="21"/>
          <w:highlight w:val="none"/>
        </w:rPr>
        <w:t>年     月     日</w:t>
      </w:r>
    </w:p>
    <w:p>
      <w:pPr>
        <w:snapToGrid w:val="0"/>
        <w:spacing w:before="156" w:beforeLines="50" w:after="50" w:line="360" w:lineRule="auto"/>
        <w:ind w:right="480" w:firstLine="5985" w:firstLineChars="2850"/>
        <w:rPr>
          <w:rFonts w:ascii="宋体" w:hAnsi="宋体" w:cs="宋体"/>
          <w:color w:val="auto"/>
          <w:szCs w:val="21"/>
          <w:highlight w:val="none"/>
        </w:rPr>
      </w:pPr>
      <w:r>
        <w:rPr>
          <w:rFonts w:hint="eastAsia" w:ascii="宋体" w:hAnsi="宋体" w:cs="宋体"/>
          <w:color w:val="auto"/>
          <w:szCs w:val="21"/>
          <w:highlight w:val="none"/>
        </w:rPr>
        <w:br w:type="page"/>
      </w:r>
    </w:p>
    <w:p>
      <w:pPr>
        <w:pStyle w:val="33"/>
        <w:jc w:val="center"/>
        <w:outlineLvl w:val="2"/>
        <w:rPr>
          <w:rFonts w:ascii="宋体" w:hAnsi="宋体" w:cs="宋体"/>
          <w:b/>
          <w:bCs/>
          <w:color w:val="auto"/>
          <w:highlight w:val="none"/>
        </w:rPr>
      </w:pPr>
      <w:bookmarkStart w:id="218" w:name="_Toc3645"/>
      <w:bookmarkStart w:id="219" w:name="_Toc3422"/>
      <w:r>
        <w:rPr>
          <w:rFonts w:hint="eastAsia" w:ascii="宋体" w:hAnsi="宋体" w:cs="宋体"/>
          <w:b/>
          <w:color w:val="auto"/>
          <w:sz w:val="30"/>
          <w:szCs w:val="30"/>
          <w:highlight w:val="none"/>
        </w:rPr>
        <w:t>报价函附录</w:t>
      </w:r>
      <w:bookmarkEnd w:id="218"/>
      <w:bookmarkEnd w:id="219"/>
    </w:p>
    <w:p>
      <w:pPr>
        <w:pStyle w:val="33"/>
        <w:jc w:val="center"/>
        <w:rPr>
          <w:rFonts w:ascii="宋体" w:hAnsi="宋体" w:cs="宋体"/>
          <w:color w:val="auto"/>
          <w:sz w:val="28"/>
          <w:szCs w:val="28"/>
          <w:highlight w:val="none"/>
        </w:rPr>
      </w:pPr>
    </w:p>
    <w:p>
      <w:pPr>
        <w:ind w:firstLine="514" w:firstLineChars="245"/>
        <w:rPr>
          <w:rFonts w:ascii="宋体" w:hAnsi="宋体" w:cs="宋体"/>
          <w:color w:val="auto"/>
          <w:highlight w:val="none"/>
          <w:u w:val="single"/>
        </w:rPr>
      </w:pPr>
      <w:r>
        <w:rPr>
          <w:rFonts w:hint="eastAsia" w:ascii="宋体" w:hAnsi="宋体" w:cs="宋体"/>
          <w:color w:val="auto"/>
          <w:highlight w:val="none"/>
        </w:rPr>
        <w:t>项目名称：</w:t>
      </w:r>
    </w:p>
    <w:p>
      <w:pPr>
        <w:ind w:firstLine="514" w:firstLineChars="245"/>
        <w:rPr>
          <w:rFonts w:ascii="宋体" w:hAnsi="宋体" w:cs="宋体"/>
          <w:color w:val="auto"/>
          <w:highlight w:val="none"/>
          <w:u w:val="single"/>
        </w:rPr>
      </w:pPr>
    </w:p>
    <w:p>
      <w:pPr>
        <w:ind w:firstLine="514" w:firstLineChars="245"/>
        <w:rPr>
          <w:rFonts w:ascii="宋体" w:hAnsi="宋体" w:cs="宋体"/>
          <w:color w:val="auto"/>
          <w:highlight w:val="none"/>
          <w:u w:val="single"/>
        </w:rPr>
      </w:pPr>
      <w:r>
        <w:rPr>
          <w:rFonts w:hint="eastAsia" w:ascii="宋体" w:hAnsi="宋体" w:cs="宋体"/>
          <w:color w:val="auto"/>
          <w:highlight w:val="none"/>
        </w:rPr>
        <w:t>项目编号：</w:t>
      </w:r>
    </w:p>
    <w:p>
      <w:pPr>
        <w:rPr>
          <w:color w:val="auto"/>
          <w:highlight w:val="none"/>
        </w:rPr>
      </w:pPr>
    </w:p>
    <w:tbl>
      <w:tblPr>
        <w:tblStyle w:val="21"/>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516"/>
        <w:gridCol w:w="287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序 号</w:t>
            </w:r>
          </w:p>
        </w:tc>
        <w:tc>
          <w:tcPr>
            <w:tcW w:w="2516" w:type="dxa"/>
            <w:noWrap/>
            <w:vAlign w:val="center"/>
          </w:tcPr>
          <w:p>
            <w:pPr>
              <w:jc w:val="center"/>
              <w:rPr>
                <w:rFonts w:ascii="宋体" w:hAnsi="宋体" w:cs="宋体"/>
                <w:color w:val="auto"/>
                <w:highlight w:val="none"/>
              </w:rPr>
            </w:pPr>
            <w:r>
              <w:rPr>
                <w:rFonts w:hint="eastAsia" w:ascii="宋体" w:hAnsi="宋体" w:cs="宋体"/>
                <w:color w:val="auto"/>
                <w:highlight w:val="none"/>
              </w:rPr>
              <w:t>条款内容</w:t>
            </w:r>
          </w:p>
        </w:tc>
        <w:tc>
          <w:tcPr>
            <w:tcW w:w="2876" w:type="dxa"/>
            <w:noWrap/>
            <w:vAlign w:val="center"/>
          </w:tcPr>
          <w:p>
            <w:pPr>
              <w:jc w:val="center"/>
              <w:rPr>
                <w:rFonts w:ascii="宋体" w:hAnsi="宋体" w:cs="宋体"/>
                <w:color w:val="auto"/>
                <w:highlight w:val="none"/>
              </w:rPr>
            </w:pPr>
            <w:r>
              <w:rPr>
                <w:rFonts w:hint="eastAsia" w:ascii="宋体" w:hAnsi="宋体" w:cs="宋体"/>
                <w:color w:val="auto"/>
                <w:highlight w:val="none"/>
              </w:rPr>
              <w:t>约定内容</w:t>
            </w:r>
          </w:p>
        </w:tc>
        <w:tc>
          <w:tcPr>
            <w:tcW w:w="1597" w:type="dxa"/>
            <w:noWrap/>
            <w:vAlign w:val="center"/>
          </w:tcPr>
          <w:p>
            <w:pPr>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2516" w:type="dxa"/>
            <w:noWrap/>
            <w:vAlign w:val="center"/>
          </w:tcPr>
          <w:p>
            <w:pPr>
              <w:rPr>
                <w:rFonts w:ascii="宋体" w:hAnsi="宋体" w:cs="宋体"/>
                <w:color w:val="auto"/>
                <w:highlight w:val="none"/>
              </w:rPr>
            </w:pPr>
            <w:r>
              <w:rPr>
                <w:rFonts w:hint="eastAsia" w:ascii="宋体" w:hAnsi="宋体" w:cs="宋体"/>
                <w:color w:val="auto"/>
                <w:highlight w:val="none"/>
              </w:rPr>
              <w:t xml:space="preserve">磋商总报价  </w:t>
            </w:r>
          </w:p>
        </w:tc>
        <w:tc>
          <w:tcPr>
            <w:tcW w:w="2876" w:type="dxa"/>
            <w:noWrap/>
            <w:vAlign w:val="center"/>
          </w:tcPr>
          <w:p>
            <w:pPr>
              <w:jc w:val="left"/>
              <w:rPr>
                <w:rFonts w:ascii="宋体" w:hAnsi="宋体" w:cs="宋体"/>
                <w:color w:val="auto"/>
                <w:highlight w:val="none"/>
              </w:rPr>
            </w:pPr>
            <w:r>
              <w:rPr>
                <w:rFonts w:hint="eastAsia" w:ascii="宋体" w:hAnsi="宋体" w:cs="宋体"/>
                <w:color w:val="auto"/>
                <w:highlight w:val="none"/>
              </w:rPr>
              <w:t>（大写人民币）：</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小写人民币：元</w:t>
            </w:r>
          </w:p>
          <w:p>
            <w:pPr>
              <w:rPr>
                <w:rFonts w:ascii="宋体" w:hAnsi="宋体" w:cs="宋体"/>
                <w:color w:val="auto"/>
                <w:highlight w:val="none"/>
              </w:rPr>
            </w:pPr>
          </w:p>
        </w:tc>
        <w:tc>
          <w:tcPr>
            <w:tcW w:w="1597" w:type="dxa"/>
            <w:noWrap/>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2516" w:type="dxa"/>
            <w:noWrap/>
            <w:vAlign w:val="center"/>
          </w:tcPr>
          <w:p>
            <w:pPr>
              <w:rPr>
                <w:rFonts w:ascii="宋体" w:hAnsi="宋体" w:cs="宋体"/>
                <w:color w:val="auto"/>
                <w:highlight w:val="none"/>
              </w:rPr>
            </w:pPr>
            <w:r>
              <w:rPr>
                <w:rFonts w:hint="eastAsia" w:ascii="宋体" w:hAnsi="宋体" w:cs="宋体"/>
                <w:color w:val="auto"/>
                <w:highlight w:val="none"/>
              </w:rPr>
              <w:t>项目经理</w:t>
            </w:r>
          </w:p>
        </w:tc>
        <w:tc>
          <w:tcPr>
            <w:tcW w:w="2876" w:type="dxa"/>
            <w:noWrap/>
            <w:vAlign w:val="center"/>
          </w:tcPr>
          <w:p>
            <w:pPr>
              <w:rPr>
                <w:rFonts w:ascii="宋体" w:hAnsi="宋体" w:cs="宋体"/>
                <w:color w:val="auto"/>
                <w:highlight w:val="none"/>
              </w:rPr>
            </w:pPr>
            <w:r>
              <w:rPr>
                <w:rFonts w:hint="eastAsia" w:ascii="宋体" w:hAnsi="宋体" w:cs="宋体"/>
                <w:color w:val="auto"/>
                <w:highlight w:val="none"/>
              </w:rPr>
              <w:t>姓名：</w:t>
            </w:r>
          </w:p>
        </w:tc>
        <w:tc>
          <w:tcPr>
            <w:tcW w:w="1597" w:type="dxa"/>
            <w:noWrap/>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2516" w:type="dxa"/>
            <w:noWrap/>
            <w:vAlign w:val="center"/>
          </w:tcPr>
          <w:p>
            <w:pPr>
              <w:rPr>
                <w:rFonts w:ascii="宋体" w:hAnsi="宋体" w:cs="宋体"/>
                <w:color w:val="auto"/>
                <w:highlight w:val="none"/>
              </w:rPr>
            </w:pPr>
            <w:r>
              <w:rPr>
                <w:rFonts w:hint="eastAsia" w:ascii="宋体" w:hAnsi="宋体" w:cs="宋体"/>
                <w:color w:val="auto"/>
                <w:highlight w:val="none"/>
              </w:rPr>
              <w:t>磋商有效期</w:t>
            </w:r>
          </w:p>
        </w:tc>
        <w:tc>
          <w:tcPr>
            <w:tcW w:w="2876" w:type="dxa"/>
            <w:noWrap/>
            <w:vAlign w:val="center"/>
          </w:tcPr>
          <w:p>
            <w:pPr>
              <w:jc w:val="center"/>
              <w:rPr>
                <w:rFonts w:ascii="宋体" w:hAnsi="宋体" w:cs="宋体"/>
                <w:color w:val="auto"/>
                <w:highlight w:val="none"/>
                <w:u w:val="single"/>
              </w:rPr>
            </w:pPr>
            <w:r>
              <w:rPr>
                <w:rFonts w:hint="eastAsia" w:ascii="宋体" w:hAnsi="宋体" w:cs="宋体"/>
                <w:color w:val="auto"/>
                <w:highlight w:val="none"/>
              </w:rPr>
              <w:t>日历天</w:t>
            </w:r>
          </w:p>
        </w:tc>
        <w:tc>
          <w:tcPr>
            <w:tcW w:w="1597" w:type="dxa"/>
            <w:noWrap/>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2516" w:type="dxa"/>
            <w:noWrap/>
            <w:vAlign w:val="center"/>
          </w:tcPr>
          <w:p>
            <w:pPr>
              <w:rPr>
                <w:rFonts w:ascii="宋体" w:hAnsi="宋体" w:cs="宋体"/>
                <w:color w:val="auto"/>
                <w:highlight w:val="none"/>
              </w:rPr>
            </w:pPr>
            <w:r>
              <w:rPr>
                <w:rFonts w:hint="eastAsia" w:ascii="宋体" w:hAnsi="宋体" w:cs="宋体"/>
                <w:color w:val="auto"/>
                <w:highlight w:val="none"/>
              </w:rPr>
              <w:t>工期</w:t>
            </w:r>
          </w:p>
        </w:tc>
        <w:tc>
          <w:tcPr>
            <w:tcW w:w="2876" w:type="dxa"/>
            <w:noWrap/>
            <w:vAlign w:val="center"/>
          </w:tcPr>
          <w:p>
            <w:pPr>
              <w:jc w:val="center"/>
              <w:rPr>
                <w:rFonts w:ascii="宋体" w:hAnsi="宋体" w:cs="宋体"/>
                <w:color w:val="auto"/>
                <w:highlight w:val="none"/>
              </w:rPr>
            </w:pPr>
            <w:r>
              <w:rPr>
                <w:rFonts w:hint="eastAsia" w:ascii="宋体" w:hAnsi="宋体" w:cs="宋体"/>
                <w:color w:val="auto"/>
                <w:highlight w:val="none"/>
              </w:rPr>
              <w:t>日历天</w:t>
            </w:r>
          </w:p>
        </w:tc>
        <w:tc>
          <w:tcPr>
            <w:tcW w:w="1597" w:type="dxa"/>
            <w:noWrap/>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2516" w:type="dxa"/>
            <w:noWrap/>
            <w:vAlign w:val="center"/>
          </w:tcPr>
          <w:p>
            <w:pPr>
              <w:rPr>
                <w:rFonts w:ascii="宋体" w:hAnsi="宋体" w:cs="宋体"/>
                <w:color w:val="auto"/>
                <w:highlight w:val="none"/>
              </w:rPr>
            </w:pPr>
            <w:r>
              <w:rPr>
                <w:rFonts w:hint="eastAsia" w:ascii="宋体" w:hAnsi="宋体" w:cs="宋体"/>
                <w:color w:val="auto"/>
                <w:highlight w:val="none"/>
              </w:rPr>
              <w:t>缺陷责任期</w:t>
            </w:r>
          </w:p>
        </w:tc>
        <w:tc>
          <w:tcPr>
            <w:tcW w:w="2876" w:type="dxa"/>
            <w:noWrap/>
            <w:vAlign w:val="center"/>
          </w:tcPr>
          <w:p>
            <w:pPr>
              <w:jc w:val="center"/>
              <w:rPr>
                <w:rFonts w:ascii="宋体" w:hAnsi="宋体" w:cs="宋体"/>
                <w:color w:val="auto"/>
                <w:highlight w:val="none"/>
              </w:rPr>
            </w:pPr>
            <w:r>
              <w:rPr>
                <w:rFonts w:hint="eastAsia" w:ascii="宋体" w:hAnsi="宋体" w:cs="宋体"/>
                <w:color w:val="auto"/>
                <w:highlight w:val="none"/>
              </w:rPr>
              <w:t>一年</w:t>
            </w:r>
          </w:p>
        </w:tc>
        <w:tc>
          <w:tcPr>
            <w:tcW w:w="1597" w:type="dxa"/>
            <w:noWrap/>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6</w:t>
            </w:r>
          </w:p>
        </w:tc>
        <w:tc>
          <w:tcPr>
            <w:tcW w:w="2516" w:type="dxa"/>
            <w:noWrap/>
            <w:vAlign w:val="center"/>
          </w:tcPr>
          <w:p>
            <w:pPr>
              <w:rPr>
                <w:rFonts w:ascii="宋体" w:hAnsi="宋体" w:cs="宋体"/>
                <w:color w:val="auto"/>
                <w:highlight w:val="none"/>
              </w:rPr>
            </w:pPr>
            <w:r>
              <w:rPr>
                <w:rFonts w:hint="eastAsia" w:ascii="宋体" w:hAnsi="宋体" w:cs="宋体"/>
                <w:color w:val="auto"/>
                <w:highlight w:val="none"/>
              </w:rPr>
              <w:t>质量保证金额度</w:t>
            </w:r>
          </w:p>
        </w:tc>
        <w:tc>
          <w:tcPr>
            <w:tcW w:w="2876" w:type="dxa"/>
            <w:noWrap/>
            <w:vAlign w:val="center"/>
          </w:tcPr>
          <w:p>
            <w:pPr>
              <w:rPr>
                <w:rFonts w:ascii="宋体" w:hAnsi="宋体" w:cs="宋体"/>
                <w:color w:val="auto"/>
                <w:highlight w:val="none"/>
              </w:rPr>
            </w:pPr>
            <w:r>
              <w:rPr>
                <w:rFonts w:hint="eastAsia" w:ascii="宋体" w:hAnsi="宋体" w:cs="宋体"/>
                <w:color w:val="auto"/>
                <w:highlight w:val="none"/>
              </w:rPr>
              <w:t xml:space="preserve">工程价款结算总额的% </w:t>
            </w:r>
          </w:p>
        </w:tc>
        <w:tc>
          <w:tcPr>
            <w:tcW w:w="1597" w:type="dxa"/>
            <w:noWrap/>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noWrap/>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516" w:type="dxa"/>
            <w:noWrap/>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876" w:type="dxa"/>
            <w:noWrap/>
            <w:vAlign w:val="center"/>
          </w:tcPr>
          <w:p>
            <w:pPr>
              <w:jc w:val="center"/>
              <w:rPr>
                <w:rFonts w:ascii="宋体" w:hAnsi="宋体" w:cs="宋体"/>
                <w:color w:val="auto"/>
                <w:highlight w:val="none"/>
              </w:rPr>
            </w:pPr>
          </w:p>
        </w:tc>
        <w:tc>
          <w:tcPr>
            <w:tcW w:w="1597" w:type="dxa"/>
            <w:noWrap/>
            <w:vAlign w:val="center"/>
          </w:tcPr>
          <w:p>
            <w:pPr>
              <w:jc w:val="center"/>
              <w:rPr>
                <w:rFonts w:ascii="宋体" w:hAnsi="宋体" w:cs="宋体"/>
                <w:color w:val="auto"/>
                <w:highlight w:val="none"/>
              </w:rPr>
            </w:pPr>
          </w:p>
        </w:tc>
      </w:tr>
    </w:tbl>
    <w:p>
      <w:pPr>
        <w:snapToGrid w:val="0"/>
        <w:spacing w:before="156" w:beforeLines="50" w:after="50" w:line="360" w:lineRule="auto"/>
        <w:ind w:right="480" w:firstLine="6008" w:firstLineChars="2850"/>
        <w:rPr>
          <w:b/>
          <w:color w:val="auto"/>
          <w:szCs w:val="21"/>
          <w:highlight w:val="none"/>
        </w:rPr>
      </w:pPr>
    </w:p>
    <w:p>
      <w:pPr>
        <w:jc w:val="center"/>
        <w:outlineLvl w:val="2"/>
        <w:rPr>
          <w:b/>
          <w:bCs/>
          <w:color w:val="auto"/>
          <w:sz w:val="30"/>
          <w:szCs w:val="30"/>
          <w:highlight w:val="none"/>
        </w:rPr>
      </w:pPr>
      <w:bookmarkStart w:id="220" w:name="_Hlk65853643"/>
      <w:r>
        <w:rPr>
          <w:color w:val="auto"/>
          <w:szCs w:val="21"/>
          <w:highlight w:val="none"/>
        </w:rPr>
        <w:br w:type="page"/>
      </w:r>
      <w:bookmarkEnd w:id="220"/>
      <w:bookmarkStart w:id="221" w:name="_Toc17679"/>
      <w:bookmarkStart w:id="222" w:name="_Toc9318"/>
      <w:r>
        <w:rPr>
          <w:rFonts w:hint="eastAsia"/>
          <w:b/>
          <w:bCs/>
          <w:color w:val="auto"/>
          <w:sz w:val="30"/>
          <w:szCs w:val="30"/>
          <w:highlight w:val="none"/>
        </w:rPr>
        <w:t>已标价的工程量清单</w:t>
      </w:r>
      <w:bookmarkEnd w:id="221"/>
      <w:bookmarkEnd w:id="222"/>
    </w:p>
    <w:p>
      <w:pPr>
        <w:pStyle w:val="4"/>
        <w:rPr>
          <w:color w:val="auto"/>
          <w:highlight w:val="none"/>
        </w:rPr>
      </w:pPr>
    </w:p>
    <w:p>
      <w:pPr>
        <w:spacing w:line="360" w:lineRule="auto"/>
        <w:ind w:firstLine="630" w:firstLineChars="300"/>
        <w:rPr>
          <w:color w:val="auto"/>
          <w:szCs w:val="21"/>
          <w:highlight w:val="none"/>
        </w:rPr>
      </w:pPr>
      <w:r>
        <w:rPr>
          <w:rFonts w:hint="eastAsia"/>
          <w:color w:val="auto"/>
          <w:szCs w:val="21"/>
          <w:highlight w:val="none"/>
        </w:rPr>
        <w:t>已标价工程量清单应按另册发放的“工程量清单”中的相关表格及竞标报价说明填写。构成合同文件的已标价工程量清单包括第三章中“工程量清单编制说明与要求”有关工程量清单、竞标报价以及其他说明的内容。</w:t>
      </w:r>
    </w:p>
    <w:p>
      <w:pPr>
        <w:adjustRightInd w:val="0"/>
        <w:snapToGrid w:val="0"/>
        <w:spacing w:line="520" w:lineRule="exact"/>
        <w:ind w:firstLine="7040" w:firstLineChars="1600"/>
        <w:jc w:val="center"/>
        <w:rPr>
          <w:bCs/>
          <w:color w:val="auto"/>
          <w:sz w:val="44"/>
          <w:szCs w:val="44"/>
          <w:highlight w:val="none"/>
        </w:rPr>
      </w:pPr>
    </w:p>
    <w:p>
      <w:pPr>
        <w:adjustRightInd w:val="0"/>
        <w:snapToGrid w:val="0"/>
        <w:spacing w:line="520" w:lineRule="exact"/>
        <w:ind w:firstLine="7040" w:firstLineChars="1600"/>
        <w:jc w:val="center"/>
        <w:rPr>
          <w:bCs/>
          <w:color w:val="auto"/>
          <w:sz w:val="44"/>
          <w:szCs w:val="44"/>
          <w:highlight w:val="none"/>
        </w:rPr>
      </w:pPr>
    </w:p>
    <w:p>
      <w:pPr>
        <w:adjustRightInd w:val="0"/>
        <w:snapToGrid w:val="0"/>
        <w:spacing w:line="520" w:lineRule="exact"/>
        <w:rPr>
          <w:color w:val="auto"/>
          <w:szCs w:val="21"/>
          <w:highlight w:val="none"/>
        </w:rPr>
      </w:pPr>
      <w:r>
        <w:rPr>
          <w:rFonts w:hint="eastAsia"/>
          <w:color w:val="auto"/>
          <w:szCs w:val="21"/>
          <w:highlight w:val="none"/>
        </w:rPr>
        <w:t>备注：已标价工程量清单应严格按照另册发放的“工程量清单”给出的表格和内容填报。</w:t>
      </w:r>
    </w:p>
    <w:p>
      <w:pPr>
        <w:spacing w:line="360" w:lineRule="auto"/>
        <w:jc w:val="left"/>
        <w:rPr>
          <w:color w:val="auto"/>
          <w:szCs w:val="21"/>
          <w:highlight w:val="none"/>
        </w:rPr>
      </w:pPr>
      <w:r>
        <w:rPr>
          <w:bCs/>
          <w:color w:val="auto"/>
          <w:sz w:val="44"/>
          <w:szCs w:val="44"/>
          <w:highlight w:val="none"/>
        </w:rPr>
        <w:br w:type="page"/>
      </w:r>
    </w:p>
    <w:p>
      <w:pPr>
        <w:snapToGrid w:val="0"/>
        <w:spacing w:before="156" w:beforeLines="50" w:after="50" w:line="360" w:lineRule="auto"/>
        <w:ind w:right="480" w:firstLine="321" w:firstLineChars="100"/>
        <w:jc w:val="center"/>
        <w:outlineLvl w:val="1"/>
        <w:rPr>
          <w:rFonts w:ascii="宋体" w:hAnsi="宋体"/>
          <w:b/>
          <w:color w:val="auto"/>
          <w:sz w:val="32"/>
          <w:szCs w:val="32"/>
          <w:highlight w:val="none"/>
        </w:rPr>
      </w:pPr>
      <w:bookmarkStart w:id="223" w:name="_Toc15373"/>
      <w:bookmarkStart w:id="224" w:name="_Toc22302"/>
      <w:r>
        <w:rPr>
          <w:rFonts w:hint="eastAsia" w:ascii="宋体" w:hAnsi="宋体"/>
          <w:b/>
          <w:color w:val="auto"/>
          <w:sz w:val="32"/>
          <w:szCs w:val="32"/>
          <w:highlight w:val="none"/>
        </w:rPr>
        <w:t>三、商务技术文件格式</w:t>
      </w:r>
      <w:bookmarkEnd w:id="223"/>
      <w:bookmarkEnd w:id="224"/>
    </w:p>
    <w:p>
      <w:pPr>
        <w:snapToGrid w:val="0"/>
        <w:spacing w:before="156" w:beforeLines="50" w:after="50" w:line="360" w:lineRule="auto"/>
        <w:jc w:val="left"/>
        <w:rPr>
          <w:rFonts w:ascii="宋体" w:hAnsi="宋体"/>
          <w:b/>
          <w:color w:val="auto"/>
          <w:sz w:val="28"/>
          <w:szCs w:val="28"/>
          <w:highlight w:val="none"/>
        </w:rPr>
      </w:pPr>
    </w:p>
    <w:p>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w:t>
      </w:r>
      <w:r>
        <w:rPr>
          <w:rFonts w:ascii="宋体" w:hAnsi="宋体"/>
          <w:b/>
          <w:color w:val="auto"/>
          <w:sz w:val="28"/>
          <w:szCs w:val="28"/>
          <w:highlight w:val="none"/>
        </w:rPr>
        <w:t>．</w:t>
      </w:r>
      <w:r>
        <w:rPr>
          <w:rFonts w:hint="eastAsia" w:ascii="宋体" w:hAnsi="宋体"/>
          <w:b/>
          <w:color w:val="auto"/>
          <w:sz w:val="28"/>
          <w:szCs w:val="28"/>
          <w:highlight w:val="none"/>
        </w:rPr>
        <w:t>商务技术文件封面格式</w:t>
      </w:r>
    </w:p>
    <w:p>
      <w:pPr>
        <w:pStyle w:val="20"/>
        <w:ind w:firstLine="488"/>
        <w:rPr>
          <w:color w:val="auto"/>
          <w:highlight w:val="none"/>
        </w:rPr>
      </w:pPr>
    </w:p>
    <w:p>
      <w:pPr>
        <w:snapToGrid w:val="0"/>
        <w:spacing w:before="156" w:beforeLines="50" w:after="50"/>
        <w:rPr>
          <w:rFonts w:ascii="宋体" w:hAnsi="宋体"/>
          <w:bCs/>
          <w:color w:val="auto"/>
          <w:sz w:val="32"/>
          <w:szCs w:val="20"/>
          <w:highlight w:val="none"/>
        </w:rPr>
      </w:pPr>
      <w:r>
        <w:rPr>
          <w:rFonts w:hint="eastAsia" w:ascii="宋体" w:hAnsi="宋体"/>
          <w:bCs/>
          <w:color w:val="auto"/>
          <w:highlight w:val="none"/>
        </w:rPr>
        <w:t>电子响应文件</w:t>
      </w:r>
    </w:p>
    <w:p>
      <w:pPr>
        <w:snapToGrid w:val="0"/>
        <w:spacing w:before="156" w:beforeLines="50" w:after="50"/>
        <w:rPr>
          <w:rFonts w:ascii="宋体" w:hAnsi="宋体"/>
          <w:color w:val="auto"/>
          <w:sz w:val="24"/>
          <w:szCs w:val="20"/>
          <w:highlight w:val="none"/>
        </w:rPr>
      </w:pPr>
    </w:p>
    <w:p>
      <w:pPr>
        <w:pStyle w:val="20"/>
        <w:ind w:firstLine="488"/>
        <w:rPr>
          <w:color w:val="auto"/>
          <w:highlight w:val="none"/>
        </w:rPr>
      </w:pPr>
    </w:p>
    <w:p>
      <w:pPr>
        <w:snapToGrid w:val="0"/>
        <w:spacing w:before="156" w:beforeLines="50" w:after="50"/>
        <w:rPr>
          <w:rFonts w:ascii="宋体" w:hAnsi="宋体"/>
          <w:color w:val="auto"/>
          <w:sz w:val="24"/>
          <w:szCs w:val="20"/>
          <w:highlight w:val="none"/>
        </w:rPr>
      </w:pPr>
    </w:p>
    <w:p>
      <w:pPr>
        <w:snapToGrid w:val="0"/>
        <w:spacing w:before="156" w:beforeLines="50" w:after="50"/>
        <w:rPr>
          <w:rFonts w:ascii="宋体" w:hAnsi="宋体"/>
          <w:color w:val="auto"/>
          <w:sz w:val="24"/>
          <w:szCs w:val="20"/>
          <w:highlight w:val="none"/>
        </w:rPr>
      </w:pPr>
    </w:p>
    <w:p>
      <w:pPr>
        <w:snapToGrid w:val="0"/>
        <w:spacing w:before="156" w:beforeLines="50" w:after="50"/>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商 务 技 术 文 件</w:t>
      </w: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rPr>
          <w:rFonts w:ascii="宋体" w:hAnsi="宋体"/>
          <w:bCs/>
          <w:color w:val="auto"/>
          <w:sz w:val="24"/>
          <w:szCs w:val="20"/>
          <w:highlight w:val="none"/>
        </w:rPr>
      </w:pPr>
    </w:p>
    <w:p>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ascii="宋体" w:hAnsi="宋体" w:cs="仿宋_GB2312"/>
          <w:bCs/>
          <w:color w:val="auto"/>
          <w:sz w:val="32"/>
          <w:szCs w:val="32"/>
          <w:highlight w:val="none"/>
        </w:rPr>
      </w:pPr>
    </w:p>
    <w:p>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b/>
          <w:bCs/>
          <w:color w:val="auto"/>
          <w:sz w:val="28"/>
          <w:szCs w:val="28"/>
          <w:highlight w:val="none"/>
        </w:rPr>
      </w:pPr>
      <w:r>
        <w:rPr>
          <w:rFonts w:ascii="宋体" w:hAnsi="宋体"/>
          <w:color w:val="auto"/>
          <w:sz w:val="24"/>
          <w:highlight w:val="none"/>
        </w:rPr>
        <w:br w:type="page"/>
      </w:r>
      <w:r>
        <w:rPr>
          <w:b/>
          <w:bCs/>
          <w:color w:val="auto"/>
          <w:sz w:val="28"/>
          <w:szCs w:val="28"/>
          <w:highlight w:val="none"/>
        </w:rPr>
        <w:t>2</w:t>
      </w:r>
      <w:r>
        <w:rPr>
          <w:b/>
          <w:color w:val="auto"/>
          <w:sz w:val="28"/>
          <w:szCs w:val="28"/>
          <w:highlight w:val="none"/>
        </w:rPr>
        <w:t>．</w:t>
      </w:r>
      <w:r>
        <w:rPr>
          <w:rFonts w:hint="eastAsia"/>
          <w:b/>
          <w:color w:val="auto"/>
          <w:sz w:val="28"/>
          <w:szCs w:val="28"/>
          <w:highlight w:val="none"/>
        </w:rPr>
        <w:t>商务</w:t>
      </w:r>
      <w:r>
        <w:rPr>
          <w:b/>
          <w:bCs/>
          <w:color w:val="auto"/>
          <w:sz w:val="28"/>
          <w:szCs w:val="28"/>
          <w:highlight w:val="none"/>
        </w:rPr>
        <w:t>技术文件目录</w:t>
      </w:r>
    </w:p>
    <w:p>
      <w:pPr>
        <w:snapToGrid w:val="0"/>
        <w:spacing w:before="156" w:beforeLines="50" w:after="50" w:line="360" w:lineRule="auto"/>
        <w:ind w:firstLine="560" w:firstLineChars="200"/>
        <w:rPr>
          <w:color w:val="auto"/>
          <w:sz w:val="28"/>
          <w:szCs w:val="28"/>
          <w:highlight w:val="none"/>
        </w:rPr>
      </w:pPr>
      <w:r>
        <w:rPr>
          <w:color w:val="auto"/>
          <w:sz w:val="28"/>
          <w:szCs w:val="28"/>
          <w:highlight w:val="none"/>
        </w:rPr>
        <w:t>根据磋商文件规定及供应商提供的材料自行编写目录（部分格式后附）</w:t>
      </w:r>
    </w:p>
    <w:p>
      <w:pPr>
        <w:spacing w:line="360" w:lineRule="auto"/>
        <w:contextualSpacing/>
        <w:jc w:val="center"/>
        <w:outlineLvl w:val="0"/>
        <w:rPr>
          <w:b/>
          <w:color w:val="auto"/>
          <w:sz w:val="30"/>
          <w:szCs w:val="30"/>
          <w:highlight w:val="none"/>
        </w:rPr>
      </w:pPr>
      <w:r>
        <w:rPr>
          <w:bCs/>
          <w:color w:val="auto"/>
          <w:sz w:val="44"/>
          <w:szCs w:val="44"/>
          <w:highlight w:val="none"/>
        </w:rPr>
        <w:br w:type="page"/>
      </w:r>
      <w:bookmarkStart w:id="225" w:name="_Toc21174"/>
      <w:r>
        <w:rPr>
          <w:b/>
          <w:color w:val="auto"/>
          <w:sz w:val="30"/>
          <w:szCs w:val="30"/>
          <w:highlight w:val="none"/>
        </w:rPr>
        <w:t>施工组织设计</w:t>
      </w:r>
      <w:bookmarkEnd w:id="225"/>
    </w:p>
    <w:p>
      <w:pPr>
        <w:adjustRightInd w:val="0"/>
        <w:spacing w:line="400" w:lineRule="exact"/>
        <w:ind w:left="528" w:right="417"/>
        <w:rPr>
          <w:b/>
          <w:color w:val="auto"/>
          <w:sz w:val="30"/>
          <w:szCs w:val="30"/>
          <w:highlight w:val="none"/>
        </w:rPr>
      </w:pPr>
    </w:p>
    <w:p>
      <w:pPr>
        <w:autoSpaceDE w:val="0"/>
        <w:autoSpaceDN w:val="0"/>
        <w:adjustRightInd w:val="0"/>
        <w:spacing w:line="480" w:lineRule="auto"/>
        <w:ind w:firstLine="1050" w:firstLineChars="500"/>
        <w:jc w:val="left"/>
        <w:rPr>
          <w:rFonts w:ascii="宋体" w:hAnsi="宋体" w:cs="宋体"/>
          <w:color w:val="auto"/>
          <w:kern w:val="0"/>
          <w:szCs w:val="21"/>
          <w:highlight w:val="none"/>
        </w:rPr>
      </w:pPr>
      <w:r>
        <w:rPr>
          <w:rFonts w:hint="eastAsia" w:ascii="宋体" w:hAnsi="宋体" w:cs="宋体"/>
          <w:color w:val="auto"/>
          <w:kern w:val="0"/>
          <w:szCs w:val="21"/>
          <w:highlight w:val="none"/>
        </w:rPr>
        <w:t>投标人应按项目需求编制施工组织设计（文字宜精炼、内容具有针对性）</w:t>
      </w:r>
    </w:p>
    <w:p>
      <w:pPr>
        <w:autoSpaceDE w:val="0"/>
        <w:autoSpaceDN w:val="0"/>
        <w:adjustRightInd w:val="0"/>
        <w:spacing w:line="480" w:lineRule="auto"/>
        <w:ind w:firstLine="1050" w:firstLineChars="50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snapToGrid w:val="0"/>
        <w:spacing w:before="156" w:beforeLines="50" w:after="50"/>
        <w:ind w:left="142"/>
        <w:jc w:val="center"/>
        <w:outlineLvl w:val="0"/>
        <w:rPr>
          <w:b/>
          <w:color w:val="auto"/>
          <w:sz w:val="28"/>
          <w:szCs w:val="28"/>
          <w:highlight w:val="none"/>
        </w:rPr>
      </w:pPr>
      <w:bookmarkStart w:id="226" w:name="_Toc18662"/>
      <w:bookmarkStart w:id="227" w:name="_Toc9402"/>
      <w:bookmarkStart w:id="228" w:name="_Toc12963"/>
      <w:r>
        <w:rPr>
          <w:b/>
          <w:bCs/>
          <w:color w:val="auto"/>
          <w:sz w:val="28"/>
          <w:szCs w:val="28"/>
          <w:highlight w:val="none"/>
        </w:rPr>
        <w:t>项目管理机构</w:t>
      </w:r>
      <w:bookmarkEnd w:id="226"/>
      <w:bookmarkEnd w:id="227"/>
      <w:bookmarkEnd w:id="228"/>
    </w:p>
    <w:p>
      <w:pPr>
        <w:spacing w:line="360" w:lineRule="auto"/>
        <w:contextualSpacing/>
        <w:rPr>
          <w:color w:val="auto"/>
          <w:szCs w:val="21"/>
          <w:highlight w:val="none"/>
        </w:rPr>
      </w:pPr>
    </w:p>
    <w:p>
      <w:pPr>
        <w:spacing w:after="128" w:line="260" w:lineRule="auto"/>
        <w:jc w:val="center"/>
        <w:outlineLvl w:val="0"/>
        <w:rPr>
          <w:b/>
          <w:color w:val="auto"/>
          <w:sz w:val="24"/>
          <w:highlight w:val="none"/>
        </w:rPr>
      </w:pPr>
      <w:bookmarkStart w:id="229" w:name="bookmark2273"/>
      <w:bookmarkStart w:id="230" w:name="_Toc1752"/>
      <w:bookmarkStart w:id="231" w:name="_Toc891"/>
      <w:bookmarkStart w:id="232" w:name="_Toc22936"/>
      <w:bookmarkStart w:id="233" w:name="bookmark2274"/>
      <w:bookmarkStart w:id="234" w:name="_Toc91"/>
      <w:bookmarkStart w:id="235" w:name="bookmark2272"/>
      <w:bookmarkStart w:id="236" w:name="_Toc30881"/>
      <w:bookmarkStart w:id="237" w:name="_Toc14710496"/>
      <w:r>
        <w:rPr>
          <w:color w:val="auto"/>
          <w:sz w:val="24"/>
          <w:highlight w:val="none"/>
        </w:rPr>
        <w:t>拟投入本工程的项目管理机构组成表</w:t>
      </w:r>
      <w:bookmarkEnd w:id="229"/>
      <w:bookmarkEnd w:id="230"/>
      <w:bookmarkEnd w:id="231"/>
      <w:bookmarkEnd w:id="232"/>
      <w:bookmarkEnd w:id="233"/>
      <w:bookmarkEnd w:id="234"/>
      <w:bookmarkEnd w:id="235"/>
      <w:bookmarkEnd w:id="236"/>
      <w:bookmarkEnd w:id="237"/>
    </w:p>
    <w:tbl>
      <w:tblPr>
        <w:tblStyle w:val="21"/>
        <w:tblW w:w="9605" w:type="dxa"/>
        <w:jc w:val="center"/>
        <w:tblLayout w:type="fixed"/>
        <w:tblCellMar>
          <w:top w:w="0" w:type="dxa"/>
          <w:left w:w="130" w:type="dxa"/>
          <w:bottom w:w="190" w:type="dxa"/>
          <w:right w:w="79" w:type="dxa"/>
        </w:tblCellMar>
      </w:tblPr>
      <w:tblGrid>
        <w:gridCol w:w="934"/>
        <w:gridCol w:w="926"/>
        <w:gridCol w:w="2681"/>
        <w:gridCol w:w="1102"/>
        <w:gridCol w:w="1306"/>
        <w:gridCol w:w="2656"/>
      </w:tblGrid>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127"/>
              <w:rPr>
                <w:color w:val="auto"/>
                <w:highlight w:val="none"/>
              </w:rPr>
            </w:pPr>
            <w:r>
              <w:rPr>
                <w:color w:val="auto"/>
                <w:highlight w:val="none"/>
              </w:rPr>
              <w:t>姓名</w:t>
            </w: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122"/>
              <w:rPr>
                <w:color w:val="auto"/>
                <w:highlight w:val="none"/>
              </w:rPr>
            </w:pPr>
            <w:r>
              <w:rPr>
                <w:color w:val="auto"/>
                <w:highlight w:val="none"/>
              </w:rPr>
              <w:t>年龄</w:t>
            </w: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46"/>
              <w:jc w:val="center"/>
              <w:rPr>
                <w:color w:val="auto"/>
                <w:highlight w:val="none"/>
              </w:rPr>
            </w:pPr>
            <w:r>
              <w:rPr>
                <w:color w:val="auto"/>
                <w:highlight w:val="none"/>
              </w:rPr>
              <w:t>拟在本工程任职</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rPr>
                <w:color w:val="auto"/>
                <w:highlight w:val="none"/>
              </w:rPr>
            </w:pPr>
            <w:r>
              <w:rPr>
                <w:color w:val="auto"/>
                <w:highlight w:val="none"/>
              </w:rPr>
              <w:t>技术职称</w:t>
            </w: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103"/>
              <w:rPr>
                <w:color w:val="auto"/>
                <w:highlight w:val="none"/>
              </w:rPr>
            </w:pPr>
            <w:r>
              <w:rPr>
                <w:color w:val="auto"/>
                <w:highlight w:val="none"/>
              </w:rPr>
              <w:t>工作年限</w:t>
            </w: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rPr>
                <w:color w:val="auto"/>
                <w:highlight w:val="none"/>
              </w:rPr>
            </w:pPr>
            <w:r>
              <w:rPr>
                <w:color w:val="auto"/>
                <w:highlight w:val="none"/>
              </w:rPr>
              <w:t>类似施工经验年限</w:t>
            </w: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r>
              <w:rPr>
                <w:color w:val="auto"/>
                <w:szCs w:val="21"/>
                <w:highlight w:val="none"/>
              </w:rPr>
              <w:t>项目经理</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r>
              <w:rPr>
                <w:color w:val="auto"/>
                <w:szCs w:val="21"/>
                <w:highlight w:val="none"/>
              </w:rPr>
              <w:t>项目技术负责人</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r>
              <w:rPr>
                <w:rFonts w:hint="eastAsia"/>
                <w:color w:val="auto"/>
                <w:highlight w:val="none"/>
              </w:rPr>
              <w:t>安全生产管理人员</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r>
              <w:rPr>
                <w:color w:val="auto"/>
                <w:szCs w:val="21"/>
                <w:highlight w:val="none"/>
              </w:rPr>
              <w:t>质量员</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r>
              <w:rPr>
                <w:color w:val="auto"/>
                <w:szCs w:val="21"/>
                <w:highlight w:val="none"/>
              </w:rPr>
              <w:t>施工员</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r>
              <w:rPr>
                <w:color w:val="auto"/>
                <w:szCs w:val="21"/>
                <w:highlight w:val="none"/>
              </w:rPr>
              <w:t>材料员</w:t>
            </w: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r>
        <w:tblPrEx>
          <w:tblCellMar>
            <w:top w:w="0" w:type="dxa"/>
            <w:left w:w="130" w:type="dxa"/>
            <w:bottom w:w="190" w:type="dxa"/>
            <w:right w:w="79" w:type="dxa"/>
          </w:tblCellMar>
        </w:tblPrEx>
        <w:trPr>
          <w:trHeight w:val="567" w:hRule="exact"/>
          <w:jc w:val="center"/>
        </w:trPr>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92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81"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5"/>
              <w:jc w:val="center"/>
              <w:rPr>
                <w:color w:val="auto"/>
                <w:highlight w:val="none"/>
              </w:rPr>
            </w:pPr>
          </w:p>
        </w:tc>
        <w:tc>
          <w:tcPr>
            <w:tcW w:w="1102"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jc w:val="cente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left="2"/>
              <w:jc w:val="center"/>
              <w:rPr>
                <w:color w:val="auto"/>
                <w:highlight w:val="none"/>
              </w:rPr>
            </w:pPr>
          </w:p>
        </w:tc>
        <w:tc>
          <w:tcPr>
            <w:tcW w:w="2656" w:type="dxa"/>
            <w:tcBorders>
              <w:top w:val="single" w:color="000000" w:sz="4" w:space="0"/>
              <w:left w:val="single" w:color="000000" w:sz="4" w:space="0"/>
              <w:bottom w:val="single" w:color="000000" w:sz="4" w:space="0"/>
              <w:right w:val="single" w:color="000000" w:sz="4" w:space="0"/>
            </w:tcBorders>
            <w:noWrap/>
            <w:vAlign w:val="bottom"/>
          </w:tcPr>
          <w:p>
            <w:pPr>
              <w:spacing w:line="259" w:lineRule="auto"/>
              <w:ind w:right="2"/>
              <w:jc w:val="center"/>
              <w:rPr>
                <w:color w:val="auto"/>
                <w:highlight w:val="none"/>
              </w:rPr>
            </w:pPr>
          </w:p>
        </w:tc>
      </w:tr>
    </w:tbl>
    <w:p>
      <w:pPr>
        <w:jc w:val="center"/>
        <w:rPr>
          <w:color w:val="auto"/>
          <w:highlight w:val="none"/>
        </w:rPr>
      </w:pPr>
    </w:p>
    <w:p>
      <w:pPr>
        <w:rPr>
          <w:color w:val="auto"/>
          <w:highlight w:val="none"/>
        </w:rPr>
      </w:pPr>
    </w:p>
    <w:p>
      <w:pPr>
        <w:rPr>
          <w:color w:val="auto"/>
          <w:highlight w:val="none"/>
        </w:rPr>
      </w:pPr>
    </w:p>
    <w:p>
      <w:pPr>
        <w:pStyle w:val="20"/>
        <w:ind w:firstLine="488"/>
        <w:rPr>
          <w:color w:val="auto"/>
          <w:highlight w:val="none"/>
        </w:rPr>
      </w:pPr>
    </w:p>
    <w:p>
      <w:pPr>
        <w:rPr>
          <w:color w:val="auto"/>
          <w:highlight w:val="none"/>
        </w:rPr>
      </w:pPr>
    </w:p>
    <w:p>
      <w:pPr>
        <w:pStyle w:val="20"/>
        <w:ind w:firstLine="488"/>
        <w:rPr>
          <w:color w:val="auto"/>
          <w:highlight w:val="none"/>
        </w:rPr>
      </w:pPr>
    </w:p>
    <w:p>
      <w:pPr>
        <w:rPr>
          <w:color w:val="auto"/>
          <w:highlight w:val="none"/>
        </w:rPr>
      </w:pPr>
    </w:p>
    <w:p>
      <w:pPr>
        <w:rPr>
          <w:color w:val="auto"/>
          <w:highlight w:val="none"/>
        </w:rPr>
      </w:pPr>
      <w:r>
        <w:rPr>
          <w:color w:val="auto"/>
          <w:highlight w:val="none"/>
        </w:rPr>
        <w:br w:type="page"/>
      </w:r>
    </w:p>
    <w:p>
      <w:pPr>
        <w:snapToGrid w:val="0"/>
        <w:spacing w:before="156" w:beforeLines="50" w:after="50" w:line="360" w:lineRule="auto"/>
        <w:ind w:right="480" w:firstLine="321" w:firstLineChars="100"/>
        <w:jc w:val="center"/>
        <w:outlineLvl w:val="1"/>
        <w:rPr>
          <w:rFonts w:ascii="宋体" w:hAnsi="宋体"/>
          <w:b/>
          <w:color w:val="auto"/>
          <w:sz w:val="32"/>
          <w:szCs w:val="32"/>
          <w:highlight w:val="none"/>
        </w:rPr>
      </w:pPr>
      <w:r>
        <w:rPr>
          <w:rFonts w:hint="eastAsia" w:ascii="宋体" w:hAnsi="宋体"/>
          <w:b/>
          <w:color w:val="auto"/>
          <w:sz w:val="32"/>
          <w:szCs w:val="32"/>
          <w:highlight w:val="none"/>
        </w:rPr>
        <w:t>四、其他文书格式</w:t>
      </w:r>
    </w:p>
    <w:p>
      <w:pPr>
        <w:jc w:val="center"/>
        <w:outlineLvl w:val="2"/>
        <w:rPr>
          <w:rFonts w:ascii="宋体" w:hAnsi="宋体" w:cs="宋体"/>
          <w:b/>
          <w:bCs/>
          <w:color w:val="auto"/>
          <w:sz w:val="44"/>
          <w:szCs w:val="44"/>
          <w:highlight w:val="none"/>
        </w:rPr>
      </w:pPr>
      <w:bookmarkStart w:id="238" w:name="_Toc1252"/>
      <w:r>
        <w:rPr>
          <w:rFonts w:hint="eastAsia" w:ascii="宋体" w:hAnsi="宋体" w:cs="宋体"/>
          <w:b/>
          <w:bCs/>
          <w:color w:val="auto"/>
          <w:sz w:val="44"/>
          <w:szCs w:val="44"/>
          <w:highlight w:val="none"/>
        </w:rPr>
        <w:t>质疑函范本</w:t>
      </w:r>
      <w:bookmarkEnd w:id="238"/>
    </w:p>
    <w:p>
      <w:pPr>
        <w:adjustRightInd w:val="0"/>
        <w:snapToGrid w:val="0"/>
        <w:spacing w:before="312" w:beforeLines="100" w:line="360" w:lineRule="auto"/>
        <w:outlineLvl w:val="2"/>
        <w:rPr>
          <w:rFonts w:ascii="宋体" w:hAnsi="宋体" w:cs="宋体"/>
          <w:bCs/>
          <w:color w:val="auto"/>
          <w:sz w:val="24"/>
          <w:highlight w:val="none"/>
        </w:rPr>
      </w:pPr>
      <w:bookmarkStart w:id="239" w:name="_Toc16359"/>
      <w:r>
        <w:rPr>
          <w:rFonts w:hint="eastAsia" w:ascii="宋体" w:hAnsi="宋体" w:cs="宋体"/>
          <w:bCs/>
          <w:color w:val="auto"/>
          <w:sz w:val="24"/>
          <w:highlight w:val="none"/>
        </w:rPr>
        <w:t>一、质疑供应商基本信息</w:t>
      </w:r>
      <w:bookmarkEnd w:id="239"/>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adjustRightInd w:val="0"/>
        <w:snapToGrid w:val="0"/>
        <w:spacing w:line="360" w:lineRule="auto"/>
        <w:outlineLvl w:val="2"/>
        <w:rPr>
          <w:rFonts w:ascii="宋体" w:hAnsi="宋体" w:cs="宋体"/>
          <w:bCs/>
          <w:color w:val="auto"/>
          <w:sz w:val="24"/>
          <w:highlight w:val="none"/>
        </w:rPr>
      </w:pPr>
      <w:bookmarkStart w:id="240" w:name="_Toc14494"/>
      <w:r>
        <w:rPr>
          <w:rFonts w:hint="eastAsia" w:ascii="宋体" w:hAnsi="宋体" w:cs="宋体"/>
          <w:bCs/>
          <w:color w:val="auto"/>
          <w:sz w:val="24"/>
          <w:highlight w:val="none"/>
        </w:rPr>
        <w:t>二、质疑项目基本情况</w:t>
      </w:r>
      <w:bookmarkEnd w:id="240"/>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adjustRightInd w:val="0"/>
        <w:snapToGrid w:val="0"/>
        <w:spacing w:line="360" w:lineRule="auto"/>
        <w:outlineLvl w:val="2"/>
        <w:rPr>
          <w:rFonts w:ascii="宋体" w:hAnsi="宋体" w:cs="宋体"/>
          <w:bCs/>
          <w:color w:val="auto"/>
          <w:sz w:val="24"/>
          <w:highlight w:val="none"/>
        </w:rPr>
      </w:pPr>
      <w:bookmarkStart w:id="241" w:name="_Toc10089"/>
      <w:r>
        <w:rPr>
          <w:rFonts w:hint="eastAsia" w:ascii="宋体" w:hAnsi="宋体" w:cs="宋体"/>
          <w:bCs/>
          <w:color w:val="auto"/>
          <w:sz w:val="24"/>
          <w:highlight w:val="none"/>
        </w:rPr>
        <w:t>三、质疑事项具体内容</w:t>
      </w:r>
      <w:bookmarkEnd w:id="241"/>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adjustRightInd w:val="0"/>
        <w:snapToGrid w:val="0"/>
        <w:spacing w:line="360" w:lineRule="auto"/>
        <w:rPr>
          <w:rFonts w:ascii="宋体" w:hAnsi="宋体" w:cs="宋体"/>
          <w:color w:val="auto"/>
          <w:sz w:val="24"/>
          <w:highlight w:val="none"/>
          <w:u w:val="dotted"/>
        </w:rPr>
      </w:pP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adjustRightInd w:val="0"/>
        <w:snapToGrid w:val="0"/>
        <w:spacing w:line="360" w:lineRule="auto"/>
        <w:outlineLvl w:val="2"/>
        <w:rPr>
          <w:rFonts w:ascii="宋体" w:hAnsi="宋体" w:cs="宋体"/>
          <w:bCs/>
          <w:color w:val="auto"/>
          <w:sz w:val="24"/>
          <w:highlight w:val="none"/>
        </w:rPr>
      </w:pPr>
      <w:bookmarkStart w:id="242" w:name="_Toc3492"/>
      <w:r>
        <w:rPr>
          <w:rFonts w:hint="eastAsia" w:ascii="宋体" w:hAnsi="宋体" w:cs="宋体"/>
          <w:bCs/>
          <w:color w:val="auto"/>
          <w:sz w:val="24"/>
          <w:highlight w:val="none"/>
        </w:rPr>
        <w:t>四、与质疑事项相关的质疑请求</w:t>
      </w:r>
      <w:bookmarkEnd w:id="242"/>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rPr>
          <w:rFonts w:ascii="宋体" w:hAnsi="宋体" w:cs="宋体"/>
          <w:color w:val="auto"/>
          <w:sz w:val="24"/>
          <w:highlight w:val="none"/>
        </w:rPr>
      </w:pPr>
      <w:r>
        <w:rPr>
          <w:rFonts w:hint="eastAsia" w:ascii="宋体" w:hAnsi="宋体" w:cs="宋体"/>
          <w:color w:val="auto"/>
          <w:sz w:val="24"/>
          <w:highlight w:val="none"/>
        </w:rPr>
        <w:t xml:space="preserve">日期：    </w:t>
      </w:r>
    </w:p>
    <w:p>
      <w:pPr>
        <w:adjustRightInd w:val="0"/>
        <w:snapToGrid w:val="0"/>
        <w:spacing w:line="360" w:lineRule="auto"/>
        <w:rPr>
          <w:rFonts w:ascii="宋体" w:hAnsi="宋体" w:cs="宋体"/>
          <w:color w:val="auto"/>
          <w:sz w:val="24"/>
          <w:highlight w:val="none"/>
        </w:rPr>
      </w:pPr>
    </w:p>
    <w:p>
      <w:pPr>
        <w:rPr>
          <w:color w:val="auto"/>
          <w:sz w:val="24"/>
          <w:highlight w:val="none"/>
          <w:u w:val="single"/>
        </w:rPr>
      </w:pPr>
      <w:r>
        <w:rPr>
          <w:color w:val="auto"/>
          <w:sz w:val="24"/>
          <w:highlight w:val="none"/>
          <w:u w:val="single"/>
        </w:rPr>
        <w:br w:type="page"/>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color w:val="auto"/>
          <w:highlight w:val="none"/>
        </w:rPr>
      </w:pPr>
      <w:r>
        <w:rPr>
          <w:color w:val="auto"/>
          <w:highlight w:val="none"/>
        </w:rPr>
        <w:br w:type="page"/>
      </w:r>
    </w:p>
    <w:p>
      <w:pPr>
        <w:jc w:val="center"/>
        <w:outlineLvl w:val="2"/>
        <w:rPr>
          <w:rFonts w:ascii="宋体" w:hAnsi="宋体" w:cs="宋体"/>
          <w:b/>
          <w:color w:val="auto"/>
          <w:sz w:val="44"/>
          <w:szCs w:val="44"/>
          <w:highlight w:val="none"/>
        </w:rPr>
      </w:pPr>
      <w:bookmarkStart w:id="243" w:name="_Toc27848"/>
      <w:r>
        <w:rPr>
          <w:rFonts w:hint="eastAsia" w:ascii="宋体" w:hAnsi="宋体" w:cs="宋体"/>
          <w:b/>
          <w:color w:val="auto"/>
          <w:sz w:val="44"/>
          <w:szCs w:val="44"/>
          <w:highlight w:val="none"/>
        </w:rPr>
        <w:t>投诉书范本</w:t>
      </w:r>
      <w:bookmarkEnd w:id="243"/>
    </w:p>
    <w:p>
      <w:pPr>
        <w:outlineLvl w:val="2"/>
        <w:rPr>
          <w:rFonts w:ascii="宋体" w:hAnsi="宋体" w:cs="宋体"/>
          <w:color w:val="auto"/>
          <w:sz w:val="24"/>
          <w:highlight w:val="none"/>
        </w:rPr>
      </w:pPr>
      <w:bookmarkStart w:id="244" w:name="_Toc16302"/>
      <w:r>
        <w:rPr>
          <w:rFonts w:hint="eastAsia" w:ascii="宋体" w:hAnsi="宋体" w:cs="宋体"/>
          <w:color w:val="auto"/>
          <w:sz w:val="24"/>
          <w:highlight w:val="none"/>
        </w:rPr>
        <w:t>一、投诉相关主体基本情况</w:t>
      </w:r>
      <w:bookmarkEnd w:id="244"/>
    </w:p>
    <w:p>
      <w:pPr>
        <w:rPr>
          <w:rFonts w:ascii="宋体" w:hAnsi="宋体" w:cs="宋体"/>
          <w:color w:val="auto"/>
          <w:sz w:val="24"/>
          <w:highlight w:val="none"/>
          <w:u w:val="dotted"/>
        </w:rPr>
      </w:pPr>
      <w:r>
        <w:rPr>
          <w:rFonts w:hint="eastAsia" w:ascii="宋体" w:hAnsi="宋体" w:cs="宋体"/>
          <w:color w:val="auto"/>
          <w:sz w:val="24"/>
          <w:highlight w:val="none"/>
        </w:rPr>
        <w:t>投诉人：</w:t>
      </w:r>
    </w:p>
    <w:p>
      <w:pPr>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rPr>
          <w:rFonts w:ascii="宋体" w:hAnsi="宋体" w:cs="宋体"/>
          <w:color w:val="auto"/>
          <w:sz w:val="24"/>
          <w:highlight w:val="none"/>
          <w:u w:val="dotted"/>
        </w:rPr>
      </w:pPr>
      <w:r>
        <w:rPr>
          <w:rFonts w:hint="eastAsia" w:ascii="宋体" w:hAnsi="宋体" w:cs="宋体"/>
          <w:color w:val="auto"/>
          <w:sz w:val="24"/>
          <w:highlight w:val="none"/>
        </w:rPr>
        <w:t>联系电话：</w:t>
      </w:r>
    </w:p>
    <w:p>
      <w:pPr>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rPr>
          <w:rFonts w:ascii="宋体" w:hAnsi="宋体" w:cs="宋体"/>
          <w:color w:val="auto"/>
          <w:sz w:val="24"/>
          <w:highlight w:val="none"/>
          <w:u w:val="dotted"/>
        </w:rPr>
      </w:pPr>
      <w:r>
        <w:rPr>
          <w:rFonts w:hint="eastAsia" w:ascii="宋体" w:hAnsi="宋体" w:cs="宋体"/>
          <w:color w:val="auto"/>
          <w:sz w:val="24"/>
          <w:highlight w:val="none"/>
        </w:rPr>
        <w:t>地     址：邮编：</w:t>
      </w:r>
    </w:p>
    <w:p>
      <w:pPr>
        <w:rPr>
          <w:rFonts w:ascii="宋体" w:hAnsi="宋体" w:cs="宋体"/>
          <w:color w:val="auto"/>
          <w:sz w:val="24"/>
          <w:highlight w:val="none"/>
          <w:u w:val="single"/>
        </w:rPr>
      </w:pPr>
      <w:r>
        <w:rPr>
          <w:rFonts w:hint="eastAsia" w:ascii="宋体" w:hAnsi="宋体" w:cs="宋体"/>
          <w:color w:val="auto"/>
          <w:sz w:val="24"/>
          <w:highlight w:val="none"/>
        </w:rPr>
        <w:t>被投诉人1：</w:t>
      </w:r>
    </w:p>
    <w:p>
      <w:pPr>
        <w:rPr>
          <w:rFonts w:ascii="宋体" w:hAnsi="宋体" w:cs="宋体"/>
          <w:color w:val="auto"/>
          <w:sz w:val="24"/>
          <w:highlight w:val="none"/>
          <w:u w:val="single"/>
        </w:rPr>
      </w:pPr>
      <w:r>
        <w:rPr>
          <w:rFonts w:hint="eastAsia" w:ascii="宋体" w:hAnsi="宋体" w:cs="宋体"/>
          <w:color w:val="auto"/>
          <w:sz w:val="24"/>
          <w:highlight w:val="none"/>
        </w:rPr>
        <w:t>地     址：邮编：</w:t>
      </w:r>
    </w:p>
    <w:p>
      <w:pPr>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rPr>
          <w:rFonts w:ascii="宋体" w:hAnsi="宋体" w:cs="宋体"/>
          <w:color w:val="auto"/>
          <w:sz w:val="24"/>
          <w:highlight w:val="none"/>
        </w:rPr>
      </w:pPr>
      <w:r>
        <w:rPr>
          <w:rFonts w:hint="eastAsia" w:ascii="宋体" w:hAnsi="宋体" w:cs="宋体"/>
          <w:color w:val="auto"/>
          <w:sz w:val="24"/>
          <w:highlight w:val="none"/>
        </w:rPr>
        <w:t>被投诉人2</w:t>
      </w:r>
    </w:p>
    <w:p>
      <w:pPr>
        <w:rPr>
          <w:rFonts w:ascii="宋体" w:hAnsi="宋体" w:cs="宋体"/>
          <w:color w:val="auto"/>
          <w:sz w:val="24"/>
          <w:highlight w:val="none"/>
          <w:u w:val="dotted"/>
        </w:rPr>
      </w:pPr>
      <w:r>
        <w:rPr>
          <w:rFonts w:hint="eastAsia" w:ascii="宋体" w:hAnsi="宋体" w:cs="宋体"/>
          <w:color w:val="auto"/>
          <w:sz w:val="24"/>
          <w:highlight w:val="none"/>
        </w:rPr>
        <w:t>……</w:t>
      </w:r>
    </w:p>
    <w:p>
      <w:pPr>
        <w:rPr>
          <w:rFonts w:ascii="宋体" w:hAnsi="宋体" w:cs="宋体"/>
          <w:color w:val="auto"/>
          <w:sz w:val="24"/>
          <w:highlight w:val="none"/>
          <w:u w:val="single"/>
        </w:rPr>
      </w:pPr>
      <w:r>
        <w:rPr>
          <w:rFonts w:hint="eastAsia" w:ascii="宋体" w:hAnsi="宋体" w:cs="宋体"/>
          <w:color w:val="auto"/>
          <w:sz w:val="24"/>
          <w:highlight w:val="none"/>
        </w:rPr>
        <w:t>相关供应商：</w:t>
      </w:r>
    </w:p>
    <w:p>
      <w:pPr>
        <w:rPr>
          <w:rFonts w:ascii="宋体" w:hAnsi="宋体" w:cs="宋体"/>
          <w:color w:val="auto"/>
          <w:sz w:val="24"/>
          <w:highlight w:val="none"/>
          <w:u w:val="single"/>
        </w:rPr>
      </w:pPr>
      <w:r>
        <w:rPr>
          <w:rFonts w:hint="eastAsia" w:ascii="宋体" w:hAnsi="宋体" w:cs="宋体"/>
          <w:color w:val="auto"/>
          <w:sz w:val="24"/>
          <w:highlight w:val="none"/>
        </w:rPr>
        <w:t>地     址：邮编：</w:t>
      </w:r>
    </w:p>
    <w:p>
      <w:pPr>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outlineLvl w:val="2"/>
        <w:rPr>
          <w:rFonts w:ascii="宋体" w:hAnsi="宋体" w:cs="宋体"/>
          <w:color w:val="auto"/>
          <w:sz w:val="24"/>
          <w:highlight w:val="none"/>
        </w:rPr>
      </w:pPr>
      <w:bookmarkStart w:id="245" w:name="_Toc3274"/>
      <w:r>
        <w:rPr>
          <w:rFonts w:hint="eastAsia" w:ascii="宋体" w:hAnsi="宋体" w:cs="宋体"/>
          <w:color w:val="auto"/>
          <w:sz w:val="24"/>
          <w:highlight w:val="none"/>
        </w:rPr>
        <w:t>二、投诉项目基本情况</w:t>
      </w:r>
      <w:bookmarkEnd w:id="245"/>
    </w:p>
    <w:p>
      <w:pPr>
        <w:rPr>
          <w:rFonts w:ascii="宋体" w:hAnsi="宋体" w:cs="宋体"/>
          <w:color w:val="auto"/>
          <w:sz w:val="24"/>
          <w:highlight w:val="none"/>
          <w:u w:val="dotted"/>
        </w:rPr>
      </w:pPr>
      <w:r>
        <w:rPr>
          <w:rFonts w:hint="eastAsia" w:ascii="宋体" w:hAnsi="宋体" w:cs="宋体"/>
          <w:color w:val="auto"/>
          <w:sz w:val="24"/>
          <w:highlight w:val="none"/>
        </w:rPr>
        <w:t>采购项目名称：</w:t>
      </w:r>
    </w:p>
    <w:p>
      <w:pPr>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rPr>
          <w:rFonts w:ascii="宋体" w:hAnsi="宋体" w:cs="宋体"/>
          <w:color w:val="auto"/>
          <w:sz w:val="24"/>
          <w:highlight w:val="none"/>
          <w:u w:val="dotted"/>
        </w:rPr>
      </w:pPr>
      <w:r>
        <w:rPr>
          <w:rFonts w:hint="eastAsia" w:ascii="宋体" w:hAnsi="宋体" w:cs="宋体"/>
          <w:color w:val="auto"/>
          <w:sz w:val="24"/>
          <w:highlight w:val="none"/>
        </w:rPr>
        <w:t>采购人名称：</w:t>
      </w:r>
    </w:p>
    <w:p>
      <w:pPr>
        <w:rPr>
          <w:rFonts w:ascii="宋体" w:hAnsi="宋体" w:cs="宋体"/>
          <w:color w:val="auto"/>
          <w:sz w:val="24"/>
          <w:highlight w:val="none"/>
          <w:u w:val="single"/>
        </w:rPr>
      </w:pPr>
      <w:r>
        <w:rPr>
          <w:rFonts w:hint="eastAsia" w:ascii="宋体" w:hAnsi="宋体" w:cs="宋体"/>
          <w:color w:val="auto"/>
          <w:sz w:val="24"/>
          <w:highlight w:val="none"/>
        </w:rPr>
        <w:t>代理机构名称：</w:t>
      </w:r>
    </w:p>
    <w:p>
      <w:pPr>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outlineLvl w:val="2"/>
        <w:rPr>
          <w:rFonts w:ascii="宋体" w:hAnsi="宋体" w:cs="宋体"/>
          <w:color w:val="auto"/>
          <w:sz w:val="24"/>
          <w:highlight w:val="none"/>
        </w:rPr>
      </w:pPr>
      <w:bookmarkStart w:id="246" w:name="_Toc17090"/>
      <w:r>
        <w:rPr>
          <w:rFonts w:hint="eastAsia" w:ascii="宋体" w:hAnsi="宋体" w:cs="宋体"/>
          <w:color w:val="auto"/>
          <w:sz w:val="24"/>
          <w:highlight w:val="none"/>
        </w:rPr>
        <w:t>三、质疑基本情况</w:t>
      </w:r>
      <w:bookmarkEnd w:id="246"/>
    </w:p>
    <w:p>
      <w:pPr>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rPr>
          <w:rFonts w:ascii="宋体" w:hAnsi="宋体" w:cs="宋体"/>
          <w:color w:val="auto"/>
          <w:sz w:val="24"/>
          <w:highlight w:val="none"/>
          <w:u w:val="dotted"/>
        </w:rPr>
      </w:pPr>
    </w:p>
    <w:p>
      <w:pPr>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outlineLvl w:val="2"/>
        <w:rPr>
          <w:rFonts w:ascii="宋体" w:hAnsi="宋体" w:cs="宋体"/>
          <w:color w:val="auto"/>
          <w:sz w:val="24"/>
          <w:highlight w:val="none"/>
        </w:rPr>
      </w:pPr>
      <w:bookmarkStart w:id="247" w:name="_Toc15589"/>
      <w:r>
        <w:rPr>
          <w:rFonts w:hint="eastAsia" w:ascii="宋体" w:hAnsi="宋体" w:cs="宋体"/>
          <w:color w:val="auto"/>
          <w:sz w:val="24"/>
          <w:highlight w:val="none"/>
        </w:rPr>
        <w:t>四、投诉事项具体内容</w:t>
      </w:r>
      <w:bookmarkEnd w:id="247"/>
    </w:p>
    <w:p>
      <w:pPr>
        <w:rPr>
          <w:rFonts w:ascii="宋体" w:hAnsi="宋体" w:cs="宋体"/>
          <w:color w:val="auto"/>
          <w:sz w:val="24"/>
          <w:highlight w:val="none"/>
          <w:u w:val="single"/>
        </w:rPr>
      </w:pPr>
      <w:r>
        <w:rPr>
          <w:rFonts w:hint="eastAsia" w:ascii="宋体" w:hAnsi="宋体" w:cs="宋体"/>
          <w:color w:val="auto"/>
          <w:sz w:val="24"/>
          <w:highlight w:val="none"/>
        </w:rPr>
        <w:t>投诉事项 1：</w:t>
      </w:r>
    </w:p>
    <w:p>
      <w:pPr>
        <w:rPr>
          <w:rFonts w:ascii="宋体" w:hAnsi="宋体" w:cs="宋体"/>
          <w:color w:val="auto"/>
          <w:sz w:val="24"/>
          <w:highlight w:val="none"/>
        </w:rPr>
      </w:pPr>
      <w:r>
        <w:rPr>
          <w:rFonts w:hint="eastAsia" w:ascii="宋体" w:hAnsi="宋体" w:cs="宋体"/>
          <w:color w:val="auto"/>
          <w:sz w:val="24"/>
          <w:highlight w:val="none"/>
        </w:rPr>
        <w:t>事实依据：</w:t>
      </w:r>
    </w:p>
    <w:p>
      <w:pPr>
        <w:rPr>
          <w:rFonts w:ascii="宋体" w:hAnsi="宋体" w:cs="宋体"/>
          <w:color w:val="auto"/>
          <w:sz w:val="24"/>
          <w:highlight w:val="none"/>
          <w:u w:val="dotted"/>
        </w:rPr>
      </w:pPr>
    </w:p>
    <w:p>
      <w:pPr>
        <w:rPr>
          <w:rFonts w:ascii="宋体" w:hAnsi="宋体" w:cs="宋体"/>
          <w:color w:val="auto"/>
          <w:sz w:val="24"/>
          <w:highlight w:val="none"/>
          <w:u w:val="single"/>
        </w:rPr>
      </w:pPr>
      <w:r>
        <w:rPr>
          <w:rFonts w:hint="eastAsia" w:ascii="宋体" w:hAnsi="宋体" w:cs="宋体"/>
          <w:color w:val="auto"/>
          <w:sz w:val="24"/>
          <w:highlight w:val="none"/>
        </w:rPr>
        <w:t>法律依据：</w:t>
      </w:r>
    </w:p>
    <w:p>
      <w:pPr>
        <w:rPr>
          <w:rFonts w:ascii="宋体" w:hAnsi="宋体" w:cs="宋体"/>
          <w:color w:val="auto"/>
          <w:sz w:val="24"/>
          <w:highlight w:val="none"/>
          <w:u w:val="dotted"/>
        </w:rPr>
      </w:pPr>
    </w:p>
    <w:p>
      <w:pPr>
        <w:rPr>
          <w:rFonts w:ascii="宋体" w:hAnsi="宋体" w:cs="宋体"/>
          <w:color w:val="auto"/>
          <w:sz w:val="24"/>
          <w:highlight w:val="none"/>
        </w:rPr>
      </w:pPr>
      <w:r>
        <w:rPr>
          <w:rFonts w:hint="eastAsia" w:ascii="宋体" w:hAnsi="宋体" w:cs="宋体"/>
          <w:color w:val="auto"/>
          <w:sz w:val="24"/>
          <w:highlight w:val="none"/>
        </w:rPr>
        <w:t>投诉事项2</w:t>
      </w:r>
    </w:p>
    <w:p>
      <w:pPr>
        <w:rPr>
          <w:rFonts w:ascii="宋体" w:hAnsi="宋体" w:cs="宋体"/>
          <w:color w:val="auto"/>
          <w:sz w:val="24"/>
          <w:highlight w:val="none"/>
          <w:u w:val="dotted"/>
        </w:rPr>
      </w:pPr>
      <w:r>
        <w:rPr>
          <w:rFonts w:hint="eastAsia" w:ascii="宋体" w:hAnsi="宋体" w:cs="宋体"/>
          <w:color w:val="auto"/>
          <w:sz w:val="24"/>
          <w:highlight w:val="none"/>
        </w:rPr>
        <w:t>……</w:t>
      </w:r>
    </w:p>
    <w:p>
      <w:pPr>
        <w:outlineLvl w:val="2"/>
        <w:rPr>
          <w:rFonts w:ascii="宋体" w:hAnsi="宋体" w:cs="宋体"/>
          <w:color w:val="auto"/>
          <w:sz w:val="24"/>
          <w:highlight w:val="none"/>
        </w:rPr>
      </w:pPr>
      <w:bookmarkStart w:id="248" w:name="_Toc24202"/>
      <w:r>
        <w:rPr>
          <w:rFonts w:hint="eastAsia" w:ascii="宋体" w:hAnsi="宋体" w:cs="宋体"/>
          <w:color w:val="auto"/>
          <w:sz w:val="24"/>
          <w:highlight w:val="none"/>
        </w:rPr>
        <w:t>五、与投诉事项相关的投诉请求</w:t>
      </w:r>
      <w:bookmarkEnd w:id="248"/>
    </w:p>
    <w:p>
      <w:pPr>
        <w:rPr>
          <w:rFonts w:ascii="宋体" w:hAnsi="宋体" w:cs="宋体"/>
          <w:color w:val="auto"/>
          <w:sz w:val="24"/>
          <w:highlight w:val="none"/>
        </w:rPr>
      </w:pPr>
      <w:r>
        <w:rPr>
          <w:rFonts w:hint="eastAsia" w:ascii="宋体" w:hAnsi="宋体" w:cs="宋体"/>
          <w:color w:val="auto"/>
          <w:sz w:val="24"/>
          <w:highlight w:val="none"/>
        </w:rPr>
        <w:t>请求：</w:t>
      </w:r>
    </w:p>
    <w:p>
      <w:pPr>
        <w:rPr>
          <w:rFonts w:ascii="宋体" w:hAnsi="宋体" w:cs="宋体"/>
          <w:color w:val="auto"/>
          <w:sz w:val="24"/>
          <w:highlight w:val="none"/>
          <w:u w:val="single"/>
        </w:rPr>
      </w:pPr>
    </w:p>
    <w:p>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rPr>
          <w:rFonts w:ascii="宋体" w:hAnsi="宋体" w:cs="宋体"/>
          <w:color w:val="auto"/>
          <w:sz w:val="24"/>
          <w:highlight w:val="none"/>
        </w:rPr>
      </w:pPr>
      <w:r>
        <w:rPr>
          <w:rFonts w:hint="eastAsia" w:ascii="宋体" w:hAnsi="宋体" w:cs="宋体"/>
          <w:color w:val="auto"/>
          <w:sz w:val="24"/>
          <w:highlight w:val="none"/>
        </w:rPr>
        <w:t xml:space="preserve">日期：    </w:t>
      </w:r>
    </w:p>
    <w:p>
      <w:pPr>
        <w:rPr>
          <w:rFonts w:ascii="宋体" w:hAnsi="宋体" w:cs="宋体"/>
          <w:color w:val="auto"/>
          <w:sz w:val="24"/>
          <w:highlight w:val="none"/>
        </w:rPr>
      </w:pPr>
      <w:r>
        <w:rPr>
          <w:rFonts w:hint="eastAsia" w:ascii="宋体" w:hAnsi="宋体" w:cs="宋体"/>
          <w:color w:val="auto"/>
          <w:sz w:val="24"/>
          <w:highlight w:val="none"/>
        </w:rPr>
        <w:br w:type="page"/>
      </w:r>
    </w:p>
    <w:p>
      <w:pPr>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spacing w:line="360" w:lineRule="auto"/>
        <w:rPr>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color w:val="auto"/>
          <w:sz w:val="24"/>
          <w:highlight w:val="none"/>
        </w:rPr>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隶书">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0EDAB"/>
    <w:multiLevelType w:val="singleLevel"/>
    <w:tmpl w:val="8250EDAB"/>
    <w:lvl w:ilvl="0" w:tentative="0">
      <w:start w:val="1"/>
      <w:numFmt w:val="decimal"/>
      <w:suff w:val="space"/>
      <w:lvlText w:val="%1．"/>
      <w:lvlJc w:val="left"/>
    </w:lvl>
  </w:abstractNum>
  <w:abstractNum w:abstractNumId="1">
    <w:nsid w:val="9544558D"/>
    <w:multiLevelType w:val="singleLevel"/>
    <w:tmpl w:val="9544558D"/>
    <w:lvl w:ilvl="0" w:tentative="0">
      <w:start w:val="1"/>
      <w:numFmt w:val="decimal"/>
      <w:pStyle w:val="5"/>
      <w:lvlText w:val="%1."/>
      <w:lvlJc w:val="left"/>
      <w:pPr>
        <w:tabs>
          <w:tab w:val="left" w:pos="360"/>
        </w:tabs>
        <w:ind w:left="360" w:hanging="360"/>
      </w:pPr>
    </w:lvl>
  </w:abstractNum>
  <w:abstractNum w:abstractNumId="2">
    <w:nsid w:val="A23BECE5"/>
    <w:multiLevelType w:val="singleLevel"/>
    <w:tmpl w:val="A23BECE5"/>
    <w:lvl w:ilvl="0" w:tentative="0">
      <w:start w:val="3"/>
      <w:numFmt w:val="decimal"/>
      <w:lvlText w:val="%1."/>
      <w:lvlJc w:val="left"/>
      <w:pPr>
        <w:tabs>
          <w:tab w:val="left" w:pos="312"/>
        </w:tabs>
      </w:pPr>
    </w:lvl>
  </w:abstractNum>
  <w:abstractNum w:abstractNumId="3">
    <w:nsid w:val="CB6C6A46"/>
    <w:multiLevelType w:val="singleLevel"/>
    <w:tmpl w:val="CB6C6A46"/>
    <w:lvl w:ilvl="0" w:tentative="0">
      <w:start w:val="1"/>
      <w:numFmt w:val="decimal"/>
      <w:lvlText w:val="%1)"/>
      <w:lvlJc w:val="left"/>
      <w:pPr>
        <w:ind w:left="425" w:hanging="425"/>
      </w:pPr>
      <w:rPr>
        <w:rFonts w:hint="default"/>
      </w:rPr>
    </w:lvl>
  </w:abstractNum>
  <w:abstractNum w:abstractNumId="4">
    <w:nsid w:val="07090F0B"/>
    <w:multiLevelType w:val="singleLevel"/>
    <w:tmpl w:val="07090F0B"/>
    <w:lvl w:ilvl="0" w:tentative="0">
      <w:start w:val="1"/>
      <w:numFmt w:val="decimal"/>
      <w:suff w:val="space"/>
      <w:lvlText w:val="%1."/>
      <w:lvlJc w:val="left"/>
    </w:lvl>
  </w:abstractNum>
  <w:abstractNum w:abstractNumId="5">
    <w:nsid w:val="0CAE5445"/>
    <w:multiLevelType w:val="singleLevel"/>
    <w:tmpl w:val="0CAE5445"/>
    <w:lvl w:ilvl="0" w:tentative="0">
      <w:start w:val="1"/>
      <w:numFmt w:val="decimal"/>
      <w:suff w:val="nothing"/>
      <w:lvlText w:val="（%1）"/>
      <w:lvlJc w:val="left"/>
    </w:lvl>
  </w:abstractNum>
  <w:abstractNum w:abstractNumId="6">
    <w:nsid w:val="3A5070C3"/>
    <w:multiLevelType w:val="singleLevel"/>
    <w:tmpl w:val="3A5070C3"/>
    <w:lvl w:ilvl="0" w:tentative="0">
      <w:start w:val="1"/>
      <w:numFmt w:val="decimal"/>
      <w:suff w:val="nothing"/>
      <w:lvlText w:val="（%1）"/>
      <w:lvlJc w:val="left"/>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2RhNDE2YjhjNDRjOTk5NDA1YTEwODhkMTllNjkifQ=="/>
  </w:docVars>
  <w:rsids>
    <w:rsidRoot w:val="6B4C7F49"/>
    <w:rsid w:val="006730F6"/>
    <w:rsid w:val="008A4932"/>
    <w:rsid w:val="008F21FE"/>
    <w:rsid w:val="00BC048D"/>
    <w:rsid w:val="00C830A1"/>
    <w:rsid w:val="00F65BF0"/>
    <w:rsid w:val="0B150688"/>
    <w:rsid w:val="1041777A"/>
    <w:rsid w:val="111F08B4"/>
    <w:rsid w:val="1BBD564E"/>
    <w:rsid w:val="1EB11EE4"/>
    <w:rsid w:val="1EB64A96"/>
    <w:rsid w:val="1EE00472"/>
    <w:rsid w:val="2645739D"/>
    <w:rsid w:val="27DF57F6"/>
    <w:rsid w:val="2B427DA6"/>
    <w:rsid w:val="2D3C17E5"/>
    <w:rsid w:val="3187597F"/>
    <w:rsid w:val="35570460"/>
    <w:rsid w:val="3EAC20F8"/>
    <w:rsid w:val="458F4601"/>
    <w:rsid w:val="46184B78"/>
    <w:rsid w:val="494001D2"/>
    <w:rsid w:val="4DE93889"/>
    <w:rsid w:val="4FC533B0"/>
    <w:rsid w:val="54C30A66"/>
    <w:rsid w:val="56A80FC0"/>
    <w:rsid w:val="5705494D"/>
    <w:rsid w:val="5A4F1E57"/>
    <w:rsid w:val="5CA76FD6"/>
    <w:rsid w:val="5F9A2763"/>
    <w:rsid w:val="64216196"/>
    <w:rsid w:val="69AC2055"/>
    <w:rsid w:val="6B4C7F49"/>
    <w:rsid w:val="6E5B1B92"/>
    <w:rsid w:val="749B605C"/>
    <w:rsid w:val="76AC4BC0"/>
    <w:rsid w:val="79C91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line="24" w:lineRule="auto"/>
      <w:outlineLvl w:val="2"/>
    </w:pPr>
    <w:rPr>
      <w:rFonts w:ascii="宋体" w:hAnsi="宋体"/>
      <w:b/>
      <w:bCs/>
      <w:kern w:val="0"/>
      <w:sz w:val="24"/>
      <w:szCs w:val="32"/>
    </w:rPr>
  </w:style>
  <w:style w:type="paragraph" w:styleId="4">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20"/>
    </w:pPr>
    <w:rPr>
      <w:sz w:val="24"/>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jc w:val="center"/>
    </w:pPr>
    <w:rPr>
      <w:sz w:val="52"/>
    </w:rPr>
  </w:style>
  <w:style w:type="paragraph" w:styleId="9">
    <w:name w:val="Body Text Indent"/>
    <w:basedOn w:val="1"/>
    <w:next w:val="10"/>
    <w:autoRedefine/>
    <w:qFormat/>
    <w:uiPriority w:val="0"/>
    <w:pPr>
      <w:spacing w:line="440" w:lineRule="exact"/>
      <w:ind w:firstLine="419" w:firstLineChars="196"/>
    </w:pPr>
    <w:rPr>
      <w:rFonts w:ascii="宋体" w:hAnsi="宋体" w:cs="Courier New"/>
      <w:spacing w:val="2"/>
    </w:rPr>
  </w:style>
  <w:style w:type="paragraph" w:styleId="10">
    <w:name w:val="Body Text First Indent"/>
    <w:basedOn w:val="8"/>
    <w:next w:val="1"/>
    <w:autoRedefine/>
    <w:unhideWhenUsed/>
    <w:qFormat/>
    <w:uiPriority w:val="99"/>
    <w:pPr>
      <w:ind w:firstLine="560" w:firstLineChars="200"/>
    </w:pPr>
    <w:rPr>
      <w:sz w:val="28"/>
    </w:rPr>
  </w:style>
  <w:style w:type="paragraph" w:styleId="11">
    <w:name w:val="List 2"/>
    <w:basedOn w:val="1"/>
    <w:autoRedefine/>
    <w:unhideWhenUsed/>
    <w:qFormat/>
    <w:uiPriority w:val="99"/>
    <w:pPr>
      <w:ind w:left="100" w:leftChars="200" w:hanging="200" w:hangingChars="200"/>
      <w:contextualSpacing/>
    </w:pPr>
  </w:style>
  <w:style w:type="paragraph" w:styleId="12">
    <w:name w:val="Plain Text"/>
    <w:basedOn w:val="1"/>
    <w:next w:val="4"/>
    <w:autoRedefine/>
    <w:qFormat/>
    <w:uiPriority w:val="0"/>
    <w:rPr>
      <w:rFonts w:ascii="宋体" w:hAnsi="Courier New"/>
      <w:szCs w:val="20"/>
    </w:rPr>
  </w:style>
  <w:style w:type="paragraph" w:styleId="13">
    <w:name w:val="toc 8"/>
    <w:basedOn w:val="1"/>
    <w:next w:val="1"/>
    <w:autoRedefine/>
    <w:qFormat/>
    <w:uiPriority w:val="39"/>
    <w:pPr>
      <w:ind w:left="2940" w:leftChars="1400"/>
    </w:pPr>
    <w:rPr>
      <w:rFonts w:ascii="Calibri" w:hAnsi="Calibri" w:cs="Calibri"/>
      <w:szCs w:val="21"/>
    </w:rPr>
  </w:style>
  <w:style w:type="paragraph" w:styleId="14">
    <w:name w:val="Balloon Text"/>
    <w:basedOn w:val="1"/>
    <w:link w:val="35"/>
    <w:autoRedefine/>
    <w:qFormat/>
    <w:uiPriority w:val="0"/>
    <w:rPr>
      <w:sz w:val="18"/>
      <w:szCs w:val="18"/>
    </w:rPr>
  </w:style>
  <w:style w:type="paragraph" w:styleId="15">
    <w:name w:val="footer"/>
    <w:basedOn w:val="1"/>
    <w:next w:val="16"/>
    <w:autoRedefine/>
    <w:qFormat/>
    <w:uiPriority w:val="99"/>
    <w:pPr>
      <w:tabs>
        <w:tab w:val="center" w:pos="4153"/>
        <w:tab w:val="right" w:pos="8306"/>
      </w:tabs>
      <w:snapToGrid w:val="0"/>
      <w:jc w:val="left"/>
    </w:pPr>
    <w:rPr>
      <w:sz w:val="18"/>
      <w:szCs w:val="18"/>
    </w:rPr>
  </w:style>
  <w:style w:type="paragraph" w:customStyle="1" w:styleId="16">
    <w:name w:val="font5"/>
    <w:basedOn w:val="1"/>
    <w:next w:val="13"/>
    <w:autoRedefine/>
    <w:qFormat/>
    <w:uiPriority w:val="0"/>
    <w:pPr>
      <w:widowControl/>
      <w:spacing w:before="280" w:after="280"/>
    </w:pPr>
    <w:rPr>
      <w:rFonts w:ascii="宋体"/>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autoRedefine/>
    <w:qFormat/>
    <w:uiPriority w:val="0"/>
    <w:pPr>
      <w:widowControl/>
      <w:spacing w:before="100" w:beforeAutospacing="1" w:after="100" w:afterAutospacing="1"/>
      <w:jc w:val="left"/>
    </w:pPr>
    <w:rPr>
      <w:rFonts w:ascii="金山简隶书" w:hAnsi="金山简隶书" w:eastAsia="金山简隶书" w:cs="金山简隶书"/>
      <w:kern w:val="0"/>
      <w:sz w:val="24"/>
    </w:rPr>
  </w:style>
  <w:style w:type="paragraph" w:styleId="20">
    <w:name w:val="Body Text First Indent 2"/>
    <w:basedOn w:val="9"/>
    <w:next w:val="1"/>
    <w:autoRedefine/>
    <w:qFormat/>
    <w:uiPriority w:val="0"/>
    <w:pPr>
      <w:ind w:firstLine="420" w:firstLineChars="200"/>
    </w:pPr>
    <w:rPr>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annotation reference"/>
    <w:basedOn w:val="23"/>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7">
    <w:name w:val="UserStyle_8"/>
    <w:qFormat/>
    <w:uiPriority w:val="0"/>
  </w:style>
  <w:style w:type="paragraph" w:customStyle="1" w:styleId="28">
    <w:name w:val="Table Text"/>
    <w:basedOn w:val="1"/>
    <w:semiHidden/>
    <w:qFormat/>
    <w:uiPriority w:val="0"/>
    <w:rPr>
      <w:rFonts w:ascii="宋体" w:hAnsi="宋体" w:cs="宋体"/>
      <w:sz w:val="20"/>
      <w:szCs w:val="20"/>
      <w:lang w:eastAsia="en-US"/>
    </w:rPr>
  </w:style>
  <w:style w:type="table" w:customStyle="1" w:styleId="29">
    <w:name w:val="Table Normal"/>
    <w:autoRedefine/>
    <w:unhideWhenUsed/>
    <w:qFormat/>
    <w:uiPriority w:val="0"/>
    <w:tblPr>
      <w:tblCellMar>
        <w:top w:w="0" w:type="dxa"/>
        <w:left w:w="0" w:type="dxa"/>
        <w:bottom w:w="0" w:type="dxa"/>
        <w:right w:w="0" w:type="dxa"/>
      </w:tblCellMar>
    </w:tblPr>
  </w:style>
  <w:style w:type="character" w:customStyle="1" w:styleId="30">
    <w:name w:val="标题 1 Char"/>
    <w:link w:val="2"/>
    <w:autoRedefine/>
    <w:qFormat/>
    <w:uiPriority w:val="0"/>
    <w:rPr>
      <w:b/>
      <w:bCs/>
      <w:kern w:val="44"/>
      <w:sz w:val="44"/>
      <w:szCs w:val="44"/>
    </w:rPr>
  </w:style>
  <w:style w:type="paragraph" w:customStyle="1" w:styleId="31">
    <w:name w:val="Normal_18"/>
    <w:autoRedefine/>
    <w:qFormat/>
    <w:uiPriority w:val="0"/>
    <w:rPr>
      <w:rFonts w:ascii="Times New Roman" w:hAnsi="Times New Roman" w:eastAsia="Times New Roman" w:cs="Times New Roman"/>
      <w:sz w:val="24"/>
      <w:szCs w:val="24"/>
      <w:lang w:val="en-US" w:eastAsia="zh-CN" w:bidi="ar-SA"/>
    </w:rPr>
  </w:style>
  <w:style w:type="paragraph" w:styleId="32">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100</Pages>
  <Words>9581</Words>
  <Characters>54612</Characters>
  <Lines>455</Lines>
  <Paragraphs>128</Paragraphs>
  <TotalTime>9</TotalTime>
  <ScaleCrop>false</ScaleCrop>
  <LinksUpToDate>false</LinksUpToDate>
  <CharactersWithSpaces>64065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2024-03-07T09:35:00Z</dcterms:created>
  <dc:creator>Administrator</dc:creator>
  <cp:lastModifiedBy>Administrator</cp:lastModifiedBy>
  <cp:lastPrinted>2024-03-01T05:33:00Z</cp:lastPrinted>
  <dcterms:modified xsi:type="dcterms:W3CDTF">2024-03-18T03:29:45Z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737B04CD571D4284B5E71BDA05F75805_13</vt:lpwstr>
  </property>
</Properties>
</file>