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 xml:space="preserve"> </w:t>
      </w:r>
      <w:r>
        <w:rPr>
          <w:rFonts w:ascii="方正小标宋简体" w:hAnsi="宋体" w:eastAsia="方正小标宋简体"/>
          <w:sz w:val="52"/>
          <w:szCs w:val="52"/>
        </w:rPr>
        <w:t xml:space="preserve">                                                 </w:t>
      </w:r>
    </w:p>
    <w:p>
      <w:pPr>
        <w:pStyle w:val="12"/>
        <w:jc w:val="center"/>
        <w:rPr>
          <w:rFonts w:hint="eastAsia" w:ascii="黑体" w:hAnsi="黑体" w:eastAsia="黑体"/>
          <w:spacing w:val="30"/>
          <w:kern w:val="52"/>
          <w:sz w:val="64"/>
          <w:szCs w:val="64"/>
        </w:rPr>
      </w:pPr>
      <w:r>
        <w:rPr>
          <w:rFonts w:ascii="黑体" w:hAnsi="黑体" w:eastAsia="黑体"/>
          <w:spacing w:val="30"/>
          <w:kern w:val="52"/>
          <w:sz w:val="64"/>
          <w:szCs w:val="64"/>
        </w:rPr>
        <w:t>广西</w:t>
      </w:r>
      <w:r>
        <w:rPr>
          <w:rFonts w:hint="eastAsia" w:ascii="黑体" w:hAnsi="黑体" w:eastAsia="黑体"/>
          <w:spacing w:val="30"/>
          <w:kern w:val="52"/>
          <w:sz w:val="64"/>
          <w:szCs w:val="64"/>
        </w:rPr>
        <w:t>国泰</w:t>
      </w:r>
      <w:r>
        <w:rPr>
          <w:rFonts w:ascii="黑体" w:hAnsi="黑体" w:eastAsia="黑体"/>
          <w:spacing w:val="30"/>
          <w:kern w:val="52"/>
          <w:sz w:val="64"/>
          <w:szCs w:val="64"/>
        </w:rPr>
        <w:t>招标</w:t>
      </w:r>
      <w:r>
        <w:rPr>
          <w:rFonts w:hint="eastAsia" w:ascii="黑体" w:hAnsi="黑体" w:eastAsia="黑体"/>
          <w:spacing w:val="30"/>
          <w:kern w:val="52"/>
          <w:sz w:val="64"/>
          <w:szCs w:val="64"/>
        </w:rPr>
        <w:t>咨询</w:t>
      </w:r>
      <w:r>
        <w:rPr>
          <w:rFonts w:ascii="黑体" w:hAnsi="黑体" w:eastAsia="黑体"/>
          <w:spacing w:val="30"/>
          <w:kern w:val="52"/>
          <w:sz w:val="64"/>
          <w:szCs w:val="64"/>
        </w:rPr>
        <w:t>有限公司</w:t>
      </w:r>
      <w:r>
        <w:rPr>
          <w:rFonts w:hint="eastAsia" w:ascii="黑体" w:hAnsi="黑体" w:eastAsia="黑体"/>
          <w:spacing w:val="30"/>
          <w:kern w:val="52"/>
          <w:sz w:val="64"/>
          <w:szCs w:val="64"/>
        </w:rPr>
        <w:t xml:space="preserve"> </w:t>
      </w:r>
    </w:p>
    <w:p>
      <w:pPr>
        <w:pStyle w:val="12"/>
        <w:jc w:val="center"/>
        <w:rPr>
          <w:rFonts w:hint="eastAsia" w:ascii="黑体" w:hAnsi="黑体" w:eastAsia="黑体"/>
          <w:spacing w:val="28"/>
          <w:sz w:val="64"/>
          <w:szCs w:val="64"/>
        </w:rPr>
      </w:pPr>
      <w:r>
        <w:rPr>
          <w:rFonts w:ascii="黑体" w:hAnsi="黑体" w:eastAsia="黑体"/>
          <w:b/>
          <w:spacing w:val="-18"/>
          <w:sz w:val="64"/>
          <w:szCs w:val="6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oUACjWAAAACAEAAA8AAAAAAAAAAQAgAAAAIgAAAGRycy9kb3ducmV2LnhtbFBLAQIU&#10;ABQAAAAIAIdO4kAzbYbQ9QEAAOUDAAAOAAAAAAAAAAEAIAAAACUBAABkcnMvZTJvRG9jLnhtbFBL&#10;BQYAAAAABgAGAFkBAACMBQAAAAA=&#10;">
                <v:fill on="f" focussize="0,0"/>
                <v:stroke weight="1pt" color="#000000" joinstyle="round"/>
                <v:imagedata o:title=""/>
                <o:lock v:ext="edit" aspectratio="f"/>
              </v:line>
            </w:pict>
          </mc:Fallback>
        </mc:AlternateContent>
      </w:r>
    </w:p>
    <w:p>
      <w:pPr>
        <w:snapToGrid w:val="0"/>
        <w:spacing w:before="156" w:beforeLines="50" w:line="360" w:lineRule="auto"/>
        <w:jc w:val="center"/>
        <w:rPr>
          <w:rFonts w:hint="eastAsia" w:ascii="黑体" w:hAnsi="黑体" w:eastAsia="黑体"/>
          <w:sz w:val="120"/>
          <w:szCs w:val="120"/>
        </w:rPr>
      </w:pPr>
      <w:r>
        <w:rPr>
          <w:rFonts w:hint="eastAsia" w:ascii="黑体" w:hAnsi="黑体" w:eastAsia="黑体"/>
          <w:sz w:val="120"/>
          <w:szCs w:val="120"/>
        </w:rPr>
        <w:t>招 标 文 件</w:t>
      </w:r>
    </w:p>
    <w:p>
      <w:pPr>
        <w:pStyle w:val="12"/>
        <w:snapToGrid w:val="0"/>
        <w:spacing w:line="360" w:lineRule="auto"/>
        <w:ind w:firstLine="1977" w:firstLineChars="691"/>
        <w:rPr>
          <w:rFonts w:hint="eastAsia" w:ascii="仿宋_GB2312" w:hAnsi="宋体" w:eastAsia="仿宋_GB2312"/>
          <w:b/>
          <w:bCs/>
          <w:w w:val="95"/>
          <w:sz w:val="30"/>
          <w:szCs w:val="30"/>
        </w:rPr>
      </w:pPr>
    </w:p>
    <w:p>
      <w:pPr>
        <w:pStyle w:val="12"/>
        <w:snapToGrid w:val="0"/>
        <w:spacing w:line="360" w:lineRule="auto"/>
        <w:ind w:firstLine="1977" w:firstLineChars="691"/>
        <w:rPr>
          <w:rFonts w:hint="eastAsia" w:ascii="仿宋_GB2312" w:hAnsi="宋体" w:eastAsia="仿宋_GB2312"/>
          <w:b/>
          <w:bCs/>
          <w:w w:val="95"/>
          <w:sz w:val="30"/>
          <w:szCs w:val="30"/>
        </w:rPr>
      </w:pPr>
    </w:p>
    <w:p>
      <w:pPr>
        <w:pStyle w:val="12"/>
        <w:snapToGrid w:val="0"/>
        <w:spacing w:line="360" w:lineRule="auto"/>
        <w:ind w:right="964" w:rightChars="459" w:firstLine="1717" w:firstLineChars="600"/>
        <w:rPr>
          <w:rFonts w:hint="eastAsia" w:hAnsi="宋体"/>
          <w:b/>
          <w:bCs/>
          <w:w w:val="95"/>
          <w:sz w:val="30"/>
          <w:szCs w:val="30"/>
        </w:rPr>
      </w:pPr>
      <w:r>
        <w:rPr>
          <w:rFonts w:hint="eastAsia" w:hAnsi="宋体"/>
          <w:b/>
          <w:bCs/>
          <w:w w:val="95"/>
          <w:sz w:val="30"/>
          <w:szCs w:val="30"/>
        </w:rPr>
        <w:t>项目名称：2024-2026年度厅机关信息系统机房租赁项目</w:t>
      </w:r>
    </w:p>
    <w:p>
      <w:pPr>
        <w:pStyle w:val="12"/>
        <w:snapToGrid w:val="0"/>
        <w:spacing w:line="360" w:lineRule="auto"/>
        <w:ind w:firstLine="1717" w:firstLineChars="600"/>
        <w:rPr>
          <w:rFonts w:hint="eastAsia" w:hAnsi="宋体" w:eastAsia="宋体" w:cs="Times New Roman"/>
          <w:b/>
          <w:bCs/>
          <w:w w:val="95"/>
          <w:sz w:val="30"/>
          <w:szCs w:val="30"/>
        </w:rPr>
      </w:pPr>
      <w:r>
        <w:rPr>
          <w:rFonts w:hint="eastAsia" w:hAnsi="宋体"/>
          <w:b/>
          <w:bCs/>
          <w:w w:val="95"/>
          <w:sz w:val="30"/>
          <w:szCs w:val="30"/>
        </w:rPr>
        <w:t>项目编号：</w:t>
      </w:r>
      <w:r>
        <w:rPr>
          <w:rFonts w:hint="eastAsia" w:ascii="宋体" w:hAnsi="宋体" w:eastAsia="宋体" w:cs="Times New Roman"/>
          <w:b/>
          <w:bCs/>
          <w:i w:val="0"/>
          <w:iCs w:val="0"/>
          <w:caps w:val="0"/>
          <w:spacing w:val="0"/>
          <w:w w:val="95"/>
          <w:sz w:val="30"/>
          <w:szCs w:val="30"/>
          <w:shd w:val="clear"/>
        </w:rPr>
        <w:t>GXZC2024-G3-003166-GTZB</w:t>
      </w:r>
    </w:p>
    <w:p>
      <w:pPr>
        <w:pStyle w:val="12"/>
        <w:snapToGrid w:val="0"/>
        <w:spacing w:line="360" w:lineRule="auto"/>
        <w:ind w:firstLine="1977" w:firstLineChars="691"/>
        <w:rPr>
          <w:rFonts w:hint="eastAsia" w:hAnsi="宋体"/>
          <w:b/>
          <w:bCs/>
          <w:w w:val="95"/>
          <w:sz w:val="30"/>
          <w:szCs w:val="30"/>
        </w:rPr>
      </w:pPr>
    </w:p>
    <w:p>
      <w:pPr>
        <w:pStyle w:val="12"/>
        <w:snapToGrid w:val="0"/>
        <w:spacing w:line="360" w:lineRule="auto"/>
        <w:ind w:firstLine="1977" w:firstLineChars="691"/>
        <w:rPr>
          <w:rFonts w:hint="eastAsia" w:hAnsi="宋体"/>
          <w:b/>
          <w:bCs/>
          <w:w w:val="95"/>
          <w:sz w:val="30"/>
          <w:szCs w:val="30"/>
        </w:rPr>
      </w:pPr>
    </w:p>
    <w:p>
      <w:pPr>
        <w:pStyle w:val="12"/>
        <w:snapToGrid w:val="0"/>
        <w:spacing w:line="360" w:lineRule="auto"/>
        <w:ind w:firstLine="1977" w:firstLineChars="691"/>
        <w:rPr>
          <w:rFonts w:hint="eastAsia" w:hAnsi="宋体"/>
          <w:b/>
          <w:bCs/>
          <w:w w:val="95"/>
          <w:sz w:val="30"/>
          <w:szCs w:val="30"/>
        </w:rPr>
      </w:pPr>
    </w:p>
    <w:p>
      <w:pPr>
        <w:pStyle w:val="12"/>
        <w:snapToGrid w:val="0"/>
        <w:spacing w:line="360" w:lineRule="auto"/>
        <w:ind w:firstLine="1977" w:firstLineChars="691"/>
        <w:rPr>
          <w:rFonts w:hint="eastAsia" w:hAnsi="宋体"/>
          <w:b/>
          <w:bCs/>
          <w:w w:val="95"/>
          <w:sz w:val="30"/>
          <w:szCs w:val="30"/>
        </w:rPr>
      </w:pPr>
    </w:p>
    <w:p>
      <w:pPr>
        <w:pStyle w:val="12"/>
        <w:snapToGrid w:val="0"/>
        <w:spacing w:line="360" w:lineRule="auto"/>
        <w:ind w:firstLine="1977" w:firstLineChars="691"/>
        <w:rPr>
          <w:rFonts w:hint="eastAsia" w:hAnsi="宋体"/>
          <w:b/>
          <w:bCs/>
          <w:w w:val="95"/>
          <w:sz w:val="30"/>
          <w:szCs w:val="30"/>
        </w:rPr>
      </w:pPr>
    </w:p>
    <w:p>
      <w:pPr>
        <w:pStyle w:val="12"/>
        <w:snapToGrid w:val="0"/>
        <w:spacing w:line="360" w:lineRule="auto"/>
        <w:ind w:firstLine="1977" w:firstLineChars="691"/>
        <w:rPr>
          <w:rFonts w:hint="eastAsia" w:hAnsi="宋体"/>
          <w:b/>
          <w:bCs/>
          <w:w w:val="95"/>
          <w:sz w:val="30"/>
          <w:szCs w:val="30"/>
        </w:rPr>
      </w:pPr>
      <w:r>
        <w:rPr>
          <w:rFonts w:hint="eastAsia" w:hAnsi="宋体"/>
          <w:b/>
          <w:bCs/>
          <w:w w:val="95"/>
          <w:sz w:val="30"/>
          <w:szCs w:val="30"/>
        </w:rPr>
        <w:t>采 购 人：广西公安计算机通讯技术研究所</w:t>
      </w:r>
    </w:p>
    <w:p>
      <w:pPr>
        <w:pStyle w:val="12"/>
        <w:snapToGrid w:val="0"/>
        <w:spacing w:line="360" w:lineRule="auto"/>
        <w:ind w:firstLine="1977" w:firstLineChars="691"/>
        <w:rPr>
          <w:rFonts w:hint="eastAsia" w:hAnsi="宋体"/>
          <w:b/>
          <w:bCs/>
          <w:w w:val="95"/>
          <w:sz w:val="30"/>
          <w:szCs w:val="30"/>
        </w:rPr>
      </w:pPr>
      <w:r>
        <w:rPr>
          <w:rFonts w:hint="eastAsia" w:hAnsi="宋体"/>
          <w:b/>
          <w:bCs/>
          <w:w w:val="95"/>
          <w:sz w:val="30"/>
          <w:szCs w:val="30"/>
        </w:rPr>
        <w:t>采购代理机构：广西国泰招标咨询有限公司</w:t>
      </w:r>
    </w:p>
    <w:p>
      <w:pPr>
        <w:pStyle w:val="12"/>
        <w:snapToGrid w:val="0"/>
        <w:spacing w:line="360" w:lineRule="auto"/>
        <w:ind w:firstLine="1125" w:firstLineChars="393"/>
        <w:rPr>
          <w:rFonts w:hint="eastAsia" w:hAnsi="宋体"/>
          <w:b/>
          <w:bCs/>
          <w:w w:val="95"/>
          <w:sz w:val="30"/>
          <w:szCs w:val="30"/>
        </w:rPr>
      </w:pPr>
    </w:p>
    <w:p>
      <w:pPr>
        <w:pStyle w:val="12"/>
        <w:snapToGrid w:val="0"/>
        <w:spacing w:line="360" w:lineRule="auto"/>
        <w:jc w:val="center"/>
        <w:rPr>
          <w:rFonts w:hint="eastAsia" w:hAnsi="宋体"/>
          <w:szCs w:val="20"/>
        </w:rPr>
      </w:pPr>
      <w:r>
        <w:rPr>
          <w:rFonts w:hint="eastAsia" w:hAnsi="宋体"/>
          <w:b/>
          <w:bCs/>
          <w:w w:val="95"/>
          <w:sz w:val="30"/>
          <w:szCs w:val="30"/>
        </w:rPr>
        <w:t>2024年</w:t>
      </w:r>
      <w:r>
        <w:rPr>
          <w:rFonts w:hint="eastAsia" w:hAnsi="宋体"/>
          <w:b/>
          <w:bCs/>
          <w:w w:val="95"/>
          <w:sz w:val="30"/>
          <w:szCs w:val="30"/>
          <w:lang w:val="en-US" w:eastAsia="zh-CN"/>
        </w:rPr>
        <w:t>4</w:t>
      </w:r>
      <w:r>
        <w:rPr>
          <w:rFonts w:hint="eastAsia" w:hAnsi="宋体"/>
          <w:b/>
          <w:bCs/>
          <w:w w:val="95"/>
          <w:sz w:val="30"/>
          <w:szCs w:val="30"/>
        </w:rPr>
        <w:t>月</w:t>
      </w:r>
      <w:r>
        <w:rPr>
          <w:rFonts w:hint="eastAsia" w:hAnsi="宋体"/>
          <w:b/>
          <w:bCs/>
          <w:w w:val="95"/>
          <w:sz w:val="30"/>
          <w:szCs w:val="30"/>
          <w:lang w:val="en-US" w:eastAsia="zh-CN"/>
        </w:rPr>
        <w:t>19</w:t>
      </w:r>
      <w:r>
        <w:rPr>
          <w:rFonts w:hint="eastAsia" w:hAnsi="宋体"/>
          <w:b/>
          <w:bCs/>
          <w:w w:val="95"/>
          <w:sz w:val="30"/>
          <w:szCs w:val="30"/>
        </w:rPr>
        <w:t>日</w:t>
      </w:r>
    </w:p>
    <w:p>
      <w:pPr>
        <w:pStyle w:val="12"/>
        <w:spacing w:before="120" w:after="120" w:line="360" w:lineRule="auto"/>
        <w:jc w:val="center"/>
        <w:rPr>
          <w:rFonts w:hint="eastAsia" w:ascii="仿宋_GB2312" w:hAnsi="宋体" w:eastAsia="仿宋_GB2312"/>
        </w:rPr>
      </w:pPr>
      <w:r>
        <w:rPr>
          <w:rFonts w:hint="eastAsia" w:ascii="仿宋_GB2312" w:hAnsi="宋体" w:eastAsia="仿宋_GB2312"/>
        </w:rPr>
        <w:br w:type="page"/>
      </w:r>
    </w:p>
    <w:p>
      <w:pPr>
        <w:spacing w:line="360" w:lineRule="auto"/>
        <w:jc w:val="center"/>
        <w:rPr>
          <w:rFonts w:hint="eastAsia" w:ascii="宋体" w:hAnsi="宋体"/>
          <w:b/>
          <w:sz w:val="44"/>
          <w:szCs w:val="44"/>
        </w:rPr>
      </w:pPr>
      <w:r>
        <w:rPr>
          <w:rFonts w:hint="eastAsia" w:ascii="宋体" w:hAnsi="宋体"/>
          <w:b/>
          <w:sz w:val="44"/>
          <w:szCs w:val="44"/>
        </w:rPr>
        <w:t>目  录</w:t>
      </w:r>
    </w:p>
    <w:p>
      <w:pPr>
        <w:pStyle w:val="15"/>
        <w:tabs>
          <w:tab w:val="right" w:leader="dot" w:pos="9040"/>
          <w:tab w:val="clear" w:pos="8398"/>
        </w:tabs>
        <w:ind w:firstLine="840" w:firstLineChars="350"/>
        <w:rPr>
          <w:rFonts w:ascii="Calibri" w:hAnsi="Calibri"/>
          <w:b w:val="0"/>
          <w:bCs w:val="0"/>
          <w:caps w:val="0"/>
          <w:sz w:val="21"/>
          <w:szCs w:val="22"/>
          <w:lang w:val="en-US" w:eastAsia="zh-CN"/>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rPr>
          <w:rStyle w:val="21"/>
          <w:color w:val="auto"/>
        </w:rPr>
        <w:instrText xml:space="preserve"> </w:instrText>
      </w:r>
      <w:r>
        <w:instrText xml:space="preserve">HYPERLINK \l "_Toc74320800"</w:instrText>
      </w:r>
      <w:r>
        <w:rPr>
          <w:rStyle w:val="21"/>
          <w:color w:val="auto"/>
        </w:rPr>
        <w:instrText xml:space="preserve"> </w:instrText>
      </w:r>
      <w:r>
        <w:fldChar w:fldCharType="separate"/>
      </w:r>
      <w:r>
        <w:rPr>
          <w:rStyle w:val="21"/>
          <w:rFonts w:hint="eastAsia"/>
          <w:color w:val="auto"/>
        </w:rPr>
        <w:t>第一章</w:t>
      </w:r>
      <w:r>
        <w:rPr>
          <w:rStyle w:val="21"/>
          <w:color w:val="auto"/>
        </w:rPr>
        <w:t xml:space="preserve"> </w:t>
      </w:r>
      <w:r>
        <w:rPr>
          <w:rStyle w:val="21"/>
          <w:rFonts w:hint="eastAsia"/>
          <w:color w:val="auto"/>
          <w:lang w:val="en-US" w:eastAsia="zh-CN"/>
        </w:rPr>
        <w:t xml:space="preserve"> </w:t>
      </w:r>
      <w:r>
        <w:rPr>
          <w:rStyle w:val="21"/>
          <w:rFonts w:hint="eastAsia"/>
          <w:color w:val="auto"/>
        </w:rPr>
        <w:t>招标公告</w:t>
      </w:r>
      <w:r>
        <w:tab/>
      </w:r>
      <w:r>
        <w:rPr>
          <w:rFonts w:hint="eastAsia"/>
          <w:lang w:eastAsia="zh-CN"/>
        </w:rPr>
        <w:t>3</w:t>
      </w:r>
      <w:r>
        <w:fldChar w:fldCharType="end"/>
      </w:r>
    </w:p>
    <w:p>
      <w:pPr>
        <w:pStyle w:val="15"/>
        <w:tabs>
          <w:tab w:val="right" w:leader="dot" w:pos="9040"/>
          <w:tab w:val="clear" w:pos="8398"/>
        </w:tabs>
        <w:ind w:firstLine="843" w:firstLineChars="350"/>
        <w:rPr>
          <w:rFonts w:ascii="Calibri" w:hAnsi="Calibri"/>
          <w:b w:val="0"/>
          <w:bCs w:val="0"/>
          <w:caps w:val="0"/>
          <w:sz w:val="21"/>
          <w:szCs w:val="22"/>
          <w:lang w:val="en-US" w:eastAsia="zh-CN"/>
        </w:rPr>
      </w:pPr>
      <w:r>
        <w:fldChar w:fldCharType="begin"/>
      </w:r>
      <w:r>
        <w:rPr>
          <w:rStyle w:val="21"/>
          <w:color w:val="auto"/>
        </w:rPr>
        <w:instrText xml:space="preserve"> </w:instrText>
      </w:r>
      <w:r>
        <w:instrText xml:space="preserve">HYPERLINK \l "_Toc74320801"</w:instrText>
      </w:r>
      <w:r>
        <w:rPr>
          <w:rStyle w:val="21"/>
          <w:color w:val="auto"/>
        </w:rPr>
        <w:instrText xml:space="preserve"> </w:instrText>
      </w:r>
      <w:r>
        <w:fldChar w:fldCharType="separate"/>
      </w:r>
      <w:r>
        <w:rPr>
          <w:rStyle w:val="21"/>
          <w:rFonts w:hint="eastAsia"/>
          <w:color w:val="auto"/>
        </w:rPr>
        <w:t>第二章</w:t>
      </w:r>
      <w:r>
        <w:rPr>
          <w:rStyle w:val="21"/>
          <w:color w:val="auto"/>
        </w:rPr>
        <w:t xml:space="preserve">  </w:t>
      </w:r>
      <w:r>
        <w:rPr>
          <w:rStyle w:val="21"/>
          <w:rFonts w:hint="eastAsia"/>
          <w:color w:val="auto"/>
        </w:rPr>
        <w:t>采购需求</w:t>
      </w:r>
      <w:r>
        <w:tab/>
      </w:r>
      <w:r>
        <w:rPr>
          <w:rFonts w:hint="eastAsia"/>
          <w:lang w:val="en-US" w:eastAsia="zh-CN"/>
        </w:rPr>
        <w:t>7</w:t>
      </w:r>
      <w:r>
        <w:fldChar w:fldCharType="end"/>
      </w:r>
    </w:p>
    <w:p>
      <w:pPr>
        <w:pStyle w:val="15"/>
        <w:tabs>
          <w:tab w:val="right" w:leader="dot" w:pos="9040"/>
          <w:tab w:val="clear" w:pos="8398"/>
        </w:tabs>
        <w:ind w:firstLine="843" w:firstLineChars="350"/>
        <w:rPr>
          <w:rFonts w:hint="eastAsia" w:ascii="Calibri" w:hAnsi="Calibri" w:eastAsia="宋体"/>
          <w:b w:val="0"/>
          <w:bCs w:val="0"/>
          <w:caps w:val="0"/>
          <w:sz w:val="21"/>
          <w:szCs w:val="22"/>
          <w:lang w:val="en-US" w:eastAsia="zh-CN"/>
        </w:rPr>
      </w:pPr>
      <w:r>
        <w:fldChar w:fldCharType="begin"/>
      </w:r>
      <w:r>
        <w:rPr>
          <w:rStyle w:val="21"/>
          <w:color w:val="auto"/>
        </w:rPr>
        <w:instrText xml:space="preserve"> </w:instrText>
      </w:r>
      <w:r>
        <w:instrText xml:space="preserve">HYPERLINK \l "_Toc74320802"</w:instrText>
      </w:r>
      <w:r>
        <w:rPr>
          <w:rStyle w:val="21"/>
          <w:color w:val="auto"/>
        </w:rPr>
        <w:instrText xml:space="preserve"> </w:instrText>
      </w:r>
      <w:r>
        <w:fldChar w:fldCharType="separate"/>
      </w:r>
      <w:r>
        <w:rPr>
          <w:rStyle w:val="21"/>
          <w:rFonts w:hint="eastAsia"/>
          <w:color w:val="auto"/>
        </w:rPr>
        <w:t>第三章</w:t>
      </w:r>
      <w:r>
        <w:rPr>
          <w:rStyle w:val="21"/>
          <w:color w:val="auto"/>
        </w:rPr>
        <w:t xml:space="preserve">  </w:t>
      </w:r>
      <w:r>
        <w:rPr>
          <w:rStyle w:val="21"/>
          <w:rFonts w:hint="eastAsia"/>
          <w:color w:val="auto"/>
        </w:rPr>
        <w:t>投标人须</w:t>
      </w:r>
      <w:bookmarkStart w:id="0" w:name="_Hlt79572745"/>
      <w:bookmarkStart w:id="1" w:name="_Hlt79572744"/>
      <w:r>
        <w:rPr>
          <w:rStyle w:val="21"/>
          <w:rFonts w:hint="eastAsia"/>
          <w:color w:val="auto"/>
        </w:rPr>
        <w:t>知</w:t>
      </w:r>
      <w:bookmarkEnd w:id="0"/>
      <w:bookmarkEnd w:id="1"/>
      <w:r>
        <w:tab/>
      </w:r>
      <w:r>
        <w:rPr>
          <w:rFonts w:hint="eastAsia"/>
          <w:lang w:val="en-US" w:eastAsia="zh-CN"/>
        </w:rPr>
        <w:t>2</w:t>
      </w:r>
      <w:r>
        <w:fldChar w:fldCharType="end"/>
      </w:r>
      <w:r>
        <w:rPr>
          <w:rFonts w:hint="eastAsia"/>
          <w:lang w:val="en-US" w:eastAsia="zh-CN"/>
        </w:rPr>
        <w:t>5</w:t>
      </w:r>
    </w:p>
    <w:p>
      <w:pPr>
        <w:pStyle w:val="15"/>
        <w:tabs>
          <w:tab w:val="right" w:leader="dot" w:pos="9040"/>
          <w:tab w:val="clear" w:pos="8398"/>
        </w:tabs>
        <w:ind w:firstLine="843" w:firstLineChars="350"/>
        <w:rPr>
          <w:rFonts w:hint="eastAsia" w:ascii="Calibri" w:hAnsi="Calibri"/>
          <w:b w:val="0"/>
          <w:bCs w:val="0"/>
          <w:caps w:val="0"/>
          <w:sz w:val="21"/>
          <w:szCs w:val="22"/>
          <w:lang w:val="en-US" w:eastAsia="zh-CN"/>
        </w:rPr>
      </w:pPr>
      <w:r>
        <w:fldChar w:fldCharType="begin"/>
      </w:r>
      <w:r>
        <w:rPr>
          <w:rStyle w:val="21"/>
          <w:color w:val="auto"/>
        </w:rPr>
        <w:instrText xml:space="preserve"> </w:instrText>
      </w:r>
      <w:r>
        <w:instrText xml:space="preserve">HYPERLINK \l "_Toc74320803"</w:instrText>
      </w:r>
      <w:r>
        <w:rPr>
          <w:rStyle w:val="21"/>
          <w:color w:val="auto"/>
        </w:rPr>
        <w:instrText xml:space="preserve"> </w:instrText>
      </w:r>
      <w:r>
        <w:fldChar w:fldCharType="separate"/>
      </w:r>
      <w:r>
        <w:rPr>
          <w:rStyle w:val="21"/>
          <w:rFonts w:hint="eastAsia"/>
          <w:color w:val="auto"/>
        </w:rPr>
        <w:t>第四章</w:t>
      </w:r>
      <w:r>
        <w:rPr>
          <w:rStyle w:val="21"/>
          <w:color w:val="auto"/>
        </w:rPr>
        <w:t xml:space="preserve">  </w:t>
      </w:r>
      <w:r>
        <w:rPr>
          <w:rStyle w:val="21"/>
          <w:rFonts w:hint="eastAsia"/>
          <w:color w:val="auto"/>
        </w:rPr>
        <w:t>评标方</w:t>
      </w:r>
      <w:bookmarkStart w:id="2" w:name="_Hlt82186274"/>
      <w:bookmarkStart w:id="3" w:name="_Hlt82186273"/>
      <w:r>
        <w:rPr>
          <w:rStyle w:val="21"/>
          <w:rFonts w:hint="eastAsia"/>
          <w:color w:val="auto"/>
        </w:rPr>
        <w:t>法</w:t>
      </w:r>
      <w:bookmarkEnd w:id="2"/>
      <w:bookmarkEnd w:id="3"/>
      <w:r>
        <w:rPr>
          <w:rStyle w:val="21"/>
          <w:rFonts w:hint="eastAsia"/>
          <w:color w:val="auto"/>
        </w:rPr>
        <w:t>及评标标准</w:t>
      </w:r>
      <w:r>
        <w:tab/>
      </w:r>
      <w:r>
        <w:rPr>
          <w:rFonts w:hint="eastAsia"/>
          <w:lang w:val="en-US" w:eastAsia="zh-CN"/>
        </w:rPr>
        <w:t>44</w:t>
      </w:r>
      <w:r>
        <w:fldChar w:fldCharType="end"/>
      </w:r>
    </w:p>
    <w:p>
      <w:pPr>
        <w:pStyle w:val="15"/>
        <w:tabs>
          <w:tab w:val="right" w:leader="dot" w:pos="9040"/>
          <w:tab w:val="clear" w:pos="8398"/>
        </w:tabs>
        <w:ind w:firstLine="843" w:firstLineChars="350"/>
        <w:rPr>
          <w:rFonts w:hint="eastAsia" w:ascii="Calibri" w:hAnsi="Calibri"/>
          <w:b w:val="0"/>
          <w:bCs w:val="0"/>
          <w:caps w:val="0"/>
          <w:sz w:val="21"/>
          <w:szCs w:val="22"/>
          <w:lang w:val="en-US" w:eastAsia="zh-CN"/>
        </w:rPr>
      </w:pPr>
      <w:r>
        <w:fldChar w:fldCharType="begin"/>
      </w:r>
      <w:r>
        <w:rPr>
          <w:rStyle w:val="21"/>
          <w:color w:val="auto"/>
        </w:rPr>
        <w:instrText xml:space="preserve"> </w:instrText>
      </w:r>
      <w:r>
        <w:instrText xml:space="preserve">HYPERLINK \l "_Toc74320804"</w:instrText>
      </w:r>
      <w:r>
        <w:rPr>
          <w:rStyle w:val="21"/>
          <w:color w:val="auto"/>
        </w:rPr>
        <w:instrText xml:space="preserve"> </w:instrText>
      </w:r>
      <w:r>
        <w:fldChar w:fldCharType="separate"/>
      </w:r>
      <w:r>
        <w:rPr>
          <w:rStyle w:val="21"/>
          <w:rFonts w:hint="eastAsia"/>
          <w:color w:val="auto"/>
        </w:rPr>
        <w:t>第五章</w:t>
      </w:r>
      <w:r>
        <w:rPr>
          <w:rStyle w:val="21"/>
          <w:color w:val="auto"/>
        </w:rPr>
        <w:t xml:space="preserve">  </w:t>
      </w:r>
      <w:r>
        <w:rPr>
          <w:rStyle w:val="21"/>
          <w:rFonts w:hint="eastAsia"/>
          <w:color w:val="auto"/>
        </w:rPr>
        <w:t>拟签订的合同文本</w:t>
      </w:r>
      <w:r>
        <w:tab/>
      </w:r>
      <w:r>
        <w:rPr>
          <w:rFonts w:hint="eastAsia"/>
          <w:lang w:val="en-US" w:eastAsia="zh-CN"/>
        </w:rPr>
        <w:t>5</w:t>
      </w:r>
      <w:r>
        <w:fldChar w:fldCharType="end"/>
      </w:r>
      <w:r>
        <w:rPr>
          <w:rStyle w:val="21"/>
          <w:rFonts w:hint="eastAsia"/>
          <w:color w:val="auto"/>
          <w:lang w:val="en-US" w:eastAsia="zh-CN"/>
        </w:rPr>
        <w:t>3</w:t>
      </w:r>
    </w:p>
    <w:p>
      <w:pPr>
        <w:pStyle w:val="15"/>
        <w:tabs>
          <w:tab w:val="right" w:leader="dot" w:pos="9040"/>
          <w:tab w:val="clear" w:pos="8398"/>
        </w:tabs>
        <w:ind w:firstLine="843" w:firstLineChars="350"/>
        <w:rPr>
          <w:rFonts w:ascii="Calibri" w:hAnsi="Calibri"/>
          <w:b w:val="0"/>
          <w:bCs w:val="0"/>
          <w:caps w:val="0"/>
          <w:sz w:val="21"/>
          <w:szCs w:val="22"/>
          <w:lang w:val="en-US" w:eastAsia="zh-CN"/>
        </w:rPr>
      </w:pPr>
      <w:r>
        <w:fldChar w:fldCharType="begin"/>
      </w:r>
      <w:r>
        <w:rPr>
          <w:rStyle w:val="21"/>
          <w:color w:val="auto"/>
        </w:rPr>
        <w:instrText xml:space="preserve"> </w:instrText>
      </w:r>
      <w:r>
        <w:instrText xml:space="preserve">HYPERLINK \l "_Toc74320805"</w:instrText>
      </w:r>
      <w:r>
        <w:rPr>
          <w:rStyle w:val="21"/>
          <w:color w:val="auto"/>
        </w:rPr>
        <w:instrText xml:space="preserve"> </w:instrText>
      </w:r>
      <w:r>
        <w:fldChar w:fldCharType="separate"/>
      </w:r>
      <w:r>
        <w:rPr>
          <w:rStyle w:val="21"/>
          <w:rFonts w:hint="eastAsia"/>
          <w:color w:val="auto"/>
        </w:rPr>
        <w:t>第六章　投标文件格式</w:t>
      </w:r>
      <w:r>
        <w:tab/>
      </w:r>
      <w:r>
        <w:rPr>
          <w:rFonts w:hint="eastAsia"/>
          <w:lang w:val="en-US" w:eastAsia="zh-CN"/>
        </w:rPr>
        <w:t>59</w:t>
      </w:r>
      <w:r>
        <w:fldChar w:fldCharType="end"/>
      </w:r>
    </w:p>
    <w:p>
      <w:pPr>
        <w:spacing w:before="156" w:beforeLines="50" w:line="480" w:lineRule="exact"/>
        <w:rPr>
          <w:rFonts w:hint="eastAsia" w:ascii="仿宋_GB2312" w:hAnsi="宋体" w:eastAsia="仿宋_GB2312"/>
          <w:sz w:val="24"/>
        </w:rPr>
      </w:pPr>
      <w:r>
        <w:rPr>
          <w:rFonts w:ascii="仿宋_GB2312" w:hAnsi="宋体" w:eastAsia="仿宋_GB2312"/>
          <w:b/>
          <w:sz w:val="24"/>
        </w:rPr>
        <w:fldChar w:fldCharType="end"/>
      </w:r>
      <w:bookmarkStart w:id="156" w:name="_GoBack"/>
      <w:bookmarkEnd w:id="156"/>
    </w:p>
    <w:p>
      <w:pPr>
        <w:spacing w:before="156" w:beforeLines="50" w:line="480" w:lineRule="exact"/>
        <w:rPr>
          <w:rFonts w:hint="eastAsia" w:ascii="仿宋_GB2312" w:hAnsi="宋体" w:eastAsia="仿宋_GB2312"/>
          <w:sz w:val="30"/>
        </w:rPr>
      </w:pPr>
    </w:p>
    <w:p>
      <w:pPr>
        <w:rPr>
          <w:rFonts w:hint="eastAsia"/>
        </w:rPr>
      </w:pPr>
    </w:p>
    <w:p>
      <w:pPr>
        <w:spacing w:before="156" w:beforeLines="50" w:line="480" w:lineRule="exact"/>
        <w:rPr>
          <w:rFonts w:hint="eastAsia" w:ascii="仿宋_GB2312" w:hAnsi="宋体" w:eastAsia="仿宋_GB2312"/>
          <w:sz w:val="30"/>
        </w:rPr>
      </w:pPr>
    </w:p>
    <w:p>
      <w:pPr>
        <w:spacing w:before="156" w:beforeLines="50" w:line="480" w:lineRule="exact"/>
        <w:rPr>
          <w:rFonts w:hint="eastAsia" w:ascii="仿宋_GB2312" w:hAnsi="宋体" w:eastAsia="仿宋_GB2312"/>
          <w:sz w:val="30"/>
        </w:rPr>
      </w:pPr>
    </w:p>
    <w:p>
      <w:pPr>
        <w:pStyle w:val="8"/>
        <w:rPr>
          <w:rFonts w:hint="eastAsia" w:ascii="宋体" w:hAnsi="宋体" w:cs="宋体"/>
          <w:b/>
          <w:bCs/>
        </w:rPr>
      </w:pPr>
      <w:bookmarkStart w:id="4" w:name="_Toc254970630"/>
      <w:bookmarkStart w:id="5" w:name="_Toc254970489"/>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rPr>
      </w:pPr>
      <w:r>
        <w:rPr>
          <w:rFonts w:ascii="宋体" w:hAnsi="宋体" w:cs="宋体"/>
          <w:b w:val="0"/>
          <w:bCs w:val="0"/>
        </w:rPr>
        <w:br w:type="page"/>
      </w:r>
      <w:bookmarkStart w:id="6" w:name="_Toc74320800"/>
      <w:r>
        <w:rPr>
          <w:rFonts w:hint="eastAsia"/>
        </w:rPr>
        <w:t>第一章</w:t>
      </w:r>
      <w:bookmarkEnd w:id="4"/>
      <w:bookmarkEnd w:id="5"/>
      <w:bookmarkStart w:id="7" w:name="_Toc28359001"/>
      <w:bookmarkStart w:id="8" w:name="_Toc35393789"/>
      <w:r>
        <w:rPr>
          <w:rFonts w:hint="eastAsia"/>
        </w:rPr>
        <w:t xml:space="preserve"> 招标公告</w:t>
      </w:r>
      <w:bookmarkEnd w:id="6"/>
      <w:bookmarkEnd w:id="7"/>
      <w:bookmarkEnd w:id="8"/>
    </w:p>
    <w:p>
      <w:pPr>
        <w:rPr>
          <w:rFonts w:hint="eastAsia"/>
        </w:rPr>
      </w:pPr>
    </w:p>
    <w:p>
      <w:pPr>
        <w:pStyle w:val="12"/>
        <w:spacing w:line="500" w:lineRule="exact"/>
        <w:jc w:val="center"/>
        <w:rPr>
          <w:b/>
          <w:sz w:val="36"/>
          <w:szCs w:val="36"/>
        </w:rPr>
      </w:pPr>
      <w:r>
        <w:rPr>
          <w:rFonts w:hint="eastAsia"/>
          <w:b/>
          <w:sz w:val="36"/>
          <w:szCs w:val="36"/>
        </w:rPr>
        <w:t>广西国泰招标咨询有限公司</w:t>
      </w:r>
    </w:p>
    <w:p>
      <w:pPr>
        <w:pStyle w:val="2"/>
        <w:tabs>
          <w:tab w:val="left" w:pos="0"/>
          <w:tab w:val="left" w:pos="3165"/>
          <w:tab w:val="center" w:pos="4153"/>
        </w:tabs>
        <w:autoSpaceDE w:val="0"/>
        <w:autoSpaceDN w:val="0"/>
        <w:adjustRightInd w:val="0"/>
        <w:spacing w:before="0" w:after="0" w:line="500" w:lineRule="exact"/>
        <w:jc w:val="center"/>
        <w:rPr>
          <w:rFonts w:hint="eastAsia" w:ascii="宋体" w:hAnsi="宋体"/>
          <w:szCs w:val="21"/>
        </w:rPr>
      </w:pPr>
      <w:r>
        <w:rPr>
          <w:rFonts w:hint="eastAsia" w:ascii="宋体" w:hAnsi="Courier New"/>
          <w:bCs w:val="0"/>
          <w:kern w:val="2"/>
          <w:sz w:val="36"/>
          <w:szCs w:val="36"/>
        </w:rPr>
        <w:t>2024-2026年度厅机关信息系统机房租赁项目（</w:t>
      </w:r>
      <w:r>
        <w:rPr>
          <w:rFonts w:hint="eastAsia" w:ascii="宋体" w:hAnsi="Courier New"/>
          <w:bCs w:val="0"/>
          <w:kern w:val="2"/>
          <w:sz w:val="36"/>
          <w:szCs w:val="36"/>
          <w:lang w:eastAsia="zh-CN"/>
        </w:rPr>
        <w:t>GXZC2024-G3-003166-GTZB</w:t>
      </w:r>
      <w:r>
        <w:rPr>
          <w:rFonts w:hint="eastAsia" w:ascii="宋体" w:hAnsi="Courier New"/>
          <w:bCs w:val="0"/>
          <w:kern w:val="2"/>
          <w:sz w:val="36"/>
          <w:szCs w:val="36"/>
        </w:rPr>
        <w:t>）招标公告</w:t>
      </w:r>
    </w:p>
    <w:p>
      <w:pPr>
        <w:spacing w:line="360" w:lineRule="auto"/>
        <w:rPr>
          <w:rFonts w:ascii="宋体" w:hAnsi="宋体"/>
          <w:szCs w:val="21"/>
        </w:rPr>
      </w:pP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szCs w:val="21"/>
        </w:rPr>
      </w:pPr>
      <w:r>
        <w:rPr>
          <w:rFonts w:hint="eastAsia" w:ascii="宋体" w:hAnsi="宋体"/>
          <w:szCs w:val="21"/>
        </w:rPr>
        <w:t>2024-2026年度厅机关信息系统机房租赁项目招标项目的潜在投标人应在广西政府采购云平台（https://www.gcy.zfcg.gxzf.gov.cn/）获取（下载）招标文件，并于2024年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日9时</w:t>
      </w:r>
      <w:r>
        <w:rPr>
          <w:rFonts w:hint="eastAsia" w:ascii="宋体" w:hAnsi="宋体"/>
          <w:szCs w:val="21"/>
          <w:lang w:val="en-US" w:eastAsia="zh-CN"/>
        </w:rPr>
        <w:t>3</w:t>
      </w:r>
      <w:r>
        <w:rPr>
          <w:rFonts w:hint="eastAsia" w:ascii="宋体" w:hAnsi="宋体"/>
          <w:szCs w:val="21"/>
        </w:rPr>
        <w:t>0分（北京时间）前</w:t>
      </w:r>
      <w:r>
        <w:rPr>
          <w:rFonts w:hint="eastAsia" w:ascii="宋体" w:hAnsi="宋体"/>
          <w:bCs/>
          <w:szCs w:val="21"/>
        </w:rPr>
        <w:t>递交投标</w:t>
      </w:r>
      <w:r>
        <w:rPr>
          <w:rFonts w:ascii="宋体" w:hAnsi="宋体"/>
          <w:bCs/>
          <w:szCs w:val="21"/>
        </w:rPr>
        <w:t>文件</w:t>
      </w:r>
      <w:r>
        <w:rPr>
          <w:rFonts w:hint="eastAsia" w:ascii="宋体" w:hAnsi="宋体"/>
          <w:szCs w:val="21"/>
        </w:rPr>
        <w:t>。</w:t>
      </w:r>
    </w:p>
    <w:p>
      <w:pPr>
        <w:spacing w:line="360" w:lineRule="auto"/>
        <w:rPr>
          <w:rFonts w:ascii="宋体" w:hAnsi="宋体"/>
          <w:szCs w:val="21"/>
        </w:rPr>
      </w:pPr>
    </w:p>
    <w:p>
      <w:pPr>
        <w:spacing w:line="360" w:lineRule="auto"/>
        <w:rPr>
          <w:rFonts w:ascii="黑体" w:hAnsi="黑体" w:eastAsia="黑体"/>
          <w:b/>
          <w:bCs/>
          <w:sz w:val="24"/>
        </w:rPr>
      </w:pPr>
      <w:bookmarkStart w:id="9" w:name="_Toc28359079"/>
      <w:bookmarkStart w:id="10" w:name="_Toc35393790"/>
      <w:bookmarkStart w:id="11" w:name="_Toc28359002"/>
      <w:bookmarkStart w:id="12" w:name="_Toc35393621"/>
      <w:bookmarkStart w:id="13" w:name="_Hlk24379207"/>
      <w:r>
        <w:rPr>
          <w:rFonts w:hint="eastAsia" w:ascii="黑体" w:hAnsi="黑体" w:eastAsia="黑体"/>
          <w:b/>
          <w:bCs/>
          <w:sz w:val="24"/>
        </w:rPr>
        <w:t>一、项目基本情况</w:t>
      </w:r>
      <w:bookmarkEnd w:id="9"/>
      <w:bookmarkEnd w:id="10"/>
      <w:bookmarkEnd w:id="11"/>
      <w:bookmarkEnd w:id="12"/>
    </w:p>
    <w:p>
      <w:pPr>
        <w:spacing w:line="360" w:lineRule="auto"/>
        <w:ind w:firstLine="420" w:firstLineChars="200"/>
        <w:rPr>
          <w:rFonts w:hint="eastAsia" w:ascii="宋体" w:hAnsi="宋体" w:eastAsia="宋体" w:cs="Times New Roman"/>
          <w:szCs w:val="21"/>
          <w:u w:val="none"/>
        </w:rPr>
      </w:pPr>
      <w:r>
        <w:rPr>
          <w:rFonts w:hint="eastAsia" w:ascii="宋体" w:hAnsi="宋体"/>
          <w:szCs w:val="21"/>
        </w:rPr>
        <w:t>项目编号：</w:t>
      </w:r>
      <w:r>
        <w:rPr>
          <w:rFonts w:hint="eastAsia" w:ascii="宋体" w:hAnsi="宋体" w:eastAsia="宋体" w:cs="Times New Roman"/>
          <w:bCs w:val="0"/>
          <w:kern w:val="2"/>
          <w:sz w:val="21"/>
          <w:szCs w:val="21"/>
          <w:u w:val="none"/>
          <w:lang w:eastAsia="zh-CN"/>
        </w:rPr>
        <w:t>GXZC2024-G3-003166-GTZB</w:t>
      </w:r>
    </w:p>
    <w:p>
      <w:pPr>
        <w:spacing w:line="360" w:lineRule="auto"/>
        <w:ind w:firstLine="420" w:firstLineChars="200"/>
        <w:rPr>
          <w:rFonts w:hint="eastAsia" w:ascii="宋体" w:hAnsi="宋体"/>
          <w:szCs w:val="21"/>
        </w:rPr>
      </w:pPr>
      <w:r>
        <w:rPr>
          <w:rFonts w:hint="eastAsia" w:ascii="宋体" w:hAnsi="宋体"/>
          <w:szCs w:val="21"/>
        </w:rPr>
        <w:t>项目名称：2024-2026年度厅机关信息系统机房租赁项目</w:t>
      </w:r>
    </w:p>
    <w:bookmarkEnd w:id="13"/>
    <w:p>
      <w:pPr>
        <w:spacing w:line="360" w:lineRule="auto"/>
        <w:ind w:firstLine="420" w:firstLineChars="200"/>
        <w:rPr>
          <w:rFonts w:hint="eastAsia" w:ascii="宋体" w:hAnsi="宋体"/>
          <w:szCs w:val="21"/>
        </w:rPr>
      </w:pPr>
      <w:r>
        <w:rPr>
          <w:rFonts w:hint="eastAsia" w:ascii="宋体" w:hAnsi="宋体"/>
          <w:szCs w:val="21"/>
        </w:rPr>
        <w:t>预算金额：4089.7万元</w:t>
      </w:r>
    </w:p>
    <w:p>
      <w:pPr>
        <w:spacing w:line="360" w:lineRule="auto"/>
        <w:ind w:firstLine="420" w:firstLineChars="200"/>
        <w:rPr>
          <w:rFonts w:hint="eastAsia" w:ascii="宋体" w:hAnsi="宋体"/>
          <w:szCs w:val="21"/>
        </w:rPr>
      </w:pPr>
      <w:r>
        <w:rPr>
          <w:rFonts w:hint="eastAsia" w:ascii="宋体" w:hAnsi="宋体"/>
          <w:szCs w:val="21"/>
        </w:rPr>
        <w:t>最高限价：4089.7万元</w:t>
      </w:r>
    </w:p>
    <w:p>
      <w:pPr>
        <w:pStyle w:val="12"/>
        <w:spacing w:line="360" w:lineRule="auto"/>
        <w:ind w:firstLine="420" w:firstLineChars="200"/>
        <w:rPr>
          <w:rFonts w:hint="eastAsia" w:hAnsi="宋体"/>
          <w:kern w:val="2"/>
          <w:sz w:val="21"/>
        </w:rPr>
      </w:pPr>
      <w:r>
        <w:rPr>
          <w:rFonts w:hint="eastAsia" w:hAnsi="宋体"/>
          <w:kern w:val="2"/>
          <w:sz w:val="21"/>
        </w:rPr>
        <w:t>采购需求：</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2451"/>
        <w:gridCol w:w="966"/>
        <w:gridCol w:w="1539"/>
        <w:gridCol w:w="3091"/>
        <w:gridCol w:w="1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序号</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标的名称</w:t>
            </w:r>
          </w:p>
        </w:tc>
        <w:tc>
          <w:tcPr>
            <w:tcW w:w="96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数量及单位</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预算上控价（万元）</w:t>
            </w:r>
          </w:p>
        </w:tc>
        <w:tc>
          <w:tcPr>
            <w:tcW w:w="30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简要技术需求或者服务要求</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91" w:type="dxa"/>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01</w:t>
            </w:r>
          </w:p>
        </w:tc>
        <w:tc>
          <w:tcPr>
            <w:tcW w:w="2451" w:type="dxa"/>
            <w:tcBorders>
              <w:top w:val="single" w:color="auto" w:sz="4" w:space="0"/>
              <w:left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2024-2026年度厅机关信息系统机房租赁项目</w:t>
            </w:r>
          </w:p>
        </w:tc>
        <w:tc>
          <w:tcPr>
            <w:tcW w:w="966" w:type="dxa"/>
            <w:tcBorders>
              <w:top w:val="single" w:color="auto" w:sz="4" w:space="0"/>
              <w:left w:val="single" w:color="auto" w:sz="4" w:space="0"/>
              <w:right w:val="single" w:color="auto" w:sz="4" w:space="0"/>
            </w:tcBorders>
            <w:noWrap w:val="0"/>
            <w:vAlign w:val="center"/>
          </w:tcPr>
          <w:p>
            <w:pPr>
              <w:snapToGrid w:val="0"/>
              <w:spacing w:line="360" w:lineRule="exact"/>
              <w:jc w:val="center"/>
            </w:pPr>
            <w:r>
              <w:rPr>
                <w:rFonts w:hint="eastAsia"/>
              </w:rPr>
              <w:t>1项</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4089.7</w:t>
            </w:r>
          </w:p>
        </w:tc>
        <w:tc>
          <w:tcPr>
            <w:tcW w:w="3091" w:type="dxa"/>
            <w:tcBorders>
              <w:top w:val="single" w:color="auto" w:sz="4" w:space="0"/>
              <w:left w:val="single" w:color="auto" w:sz="4" w:space="0"/>
              <w:right w:val="single" w:color="auto" w:sz="4" w:space="0"/>
            </w:tcBorders>
            <w:noWrap w:val="0"/>
            <w:vAlign w:val="center"/>
          </w:tcPr>
          <w:p>
            <w:pPr>
              <w:snapToGrid w:val="0"/>
              <w:spacing w:line="360" w:lineRule="exact"/>
              <w:jc w:val="center"/>
              <w:rPr>
                <w:rFonts w:hint="eastAsia" w:ascii="宋体" w:hAnsi="宋体"/>
                <w:szCs w:val="21"/>
              </w:rPr>
            </w:pPr>
            <w:r>
              <w:rPr>
                <w:rFonts w:hint="eastAsia" w:ascii="宋体" w:hAnsi="宋体"/>
                <w:szCs w:val="21"/>
              </w:rPr>
              <w:t>详见招标文件</w:t>
            </w:r>
          </w:p>
        </w:tc>
        <w:tc>
          <w:tcPr>
            <w:tcW w:w="1056" w:type="dxa"/>
            <w:tcBorders>
              <w:top w:val="single" w:color="auto" w:sz="4" w:space="0"/>
              <w:left w:val="single" w:color="auto" w:sz="4" w:space="0"/>
              <w:right w:val="single" w:color="auto" w:sz="4" w:space="0"/>
            </w:tcBorders>
            <w:noWrap w:val="0"/>
            <w:vAlign w:val="center"/>
          </w:tcPr>
          <w:p>
            <w:pPr>
              <w:snapToGrid w:val="0"/>
              <w:spacing w:line="360" w:lineRule="exact"/>
              <w:jc w:val="center"/>
              <w:rPr>
                <w:rFonts w:ascii="宋体" w:hAnsi="宋体"/>
                <w:szCs w:val="21"/>
              </w:rPr>
            </w:pPr>
          </w:p>
        </w:tc>
      </w:tr>
    </w:tbl>
    <w:p>
      <w:pPr>
        <w:spacing w:line="420" w:lineRule="exact"/>
        <w:ind w:firstLine="420" w:firstLineChars="200"/>
        <w:rPr>
          <w:rFonts w:hint="eastAsia" w:ascii="宋体" w:hAnsi="宋体"/>
          <w:szCs w:val="21"/>
        </w:rPr>
      </w:pPr>
    </w:p>
    <w:p>
      <w:pPr>
        <w:spacing w:line="420" w:lineRule="exact"/>
        <w:ind w:firstLine="420" w:firstLineChars="200"/>
        <w:rPr>
          <w:rFonts w:ascii="宋体" w:hAnsi="宋体"/>
          <w:szCs w:val="21"/>
          <w:u w:val="single"/>
        </w:rPr>
      </w:pPr>
      <w:r>
        <w:rPr>
          <w:rFonts w:hint="eastAsia" w:ascii="宋体" w:hAnsi="宋体"/>
          <w:szCs w:val="21"/>
        </w:rPr>
        <w:t>合同履行期限：</w:t>
      </w:r>
      <w:r>
        <w:rPr>
          <w:rFonts w:hint="eastAsia" w:ascii="宋体" w:hAnsi="宋体"/>
          <w:bCs/>
          <w:szCs w:val="21"/>
        </w:rPr>
        <w:t>通过广西公安厅科信办组织的阶段性验收后起算租赁时间，租赁期为36个月。</w:t>
      </w:r>
    </w:p>
    <w:p>
      <w:pPr>
        <w:spacing w:line="420" w:lineRule="exact"/>
        <w:ind w:firstLine="422" w:firstLineChars="200"/>
        <w:rPr>
          <w:rFonts w:ascii="宋体" w:hAnsi="宋体"/>
          <w:b/>
          <w:szCs w:val="21"/>
        </w:rPr>
      </w:pPr>
      <w:r>
        <w:rPr>
          <w:rFonts w:hint="eastAsia" w:ascii="宋体" w:hAnsi="宋体"/>
          <w:b/>
          <w:szCs w:val="21"/>
        </w:rPr>
        <w:t>本项目不接受联合体投标。</w:t>
      </w:r>
    </w:p>
    <w:p>
      <w:pPr>
        <w:spacing w:line="420" w:lineRule="exact"/>
        <w:rPr>
          <w:rFonts w:ascii="黑体" w:hAnsi="黑体" w:eastAsia="黑体"/>
          <w:b/>
          <w:bCs/>
          <w:sz w:val="24"/>
        </w:rPr>
      </w:pPr>
      <w:bookmarkStart w:id="14" w:name="_Toc35393622"/>
      <w:bookmarkStart w:id="15" w:name="_Toc35393791"/>
      <w:bookmarkStart w:id="16" w:name="_Toc28359080"/>
      <w:bookmarkStart w:id="17" w:name="_Toc28359003"/>
      <w:r>
        <w:rPr>
          <w:rFonts w:hint="eastAsia" w:ascii="黑体" w:hAnsi="黑体" w:eastAsia="黑体"/>
          <w:b/>
          <w:bCs/>
          <w:sz w:val="24"/>
        </w:rPr>
        <w:t>二、申请人的资格要求：</w:t>
      </w:r>
      <w:bookmarkEnd w:id="14"/>
      <w:bookmarkEnd w:id="15"/>
      <w:bookmarkEnd w:id="16"/>
      <w:bookmarkEnd w:id="17"/>
    </w:p>
    <w:p>
      <w:pPr>
        <w:spacing w:line="420" w:lineRule="exact"/>
        <w:ind w:firstLine="420" w:firstLineChars="200"/>
        <w:rPr>
          <w:rFonts w:ascii="宋体" w:hAnsi="宋体"/>
          <w:szCs w:val="21"/>
        </w:rPr>
      </w:pPr>
      <w:bookmarkStart w:id="18" w:name="_Hlk51746371"/>
      <w:r>
        <w:rPr>
          <w:rFonts w:hint="eastAsia" w:ascii="宋体" w:hAnsi="宋体"/>
          <w:szCs w:val="21"/>
        </w:rPr>
        <w:t>1、满足《中华人民共和国政府采购法》第二十二条规定；</w:t>
      </w:r>
    </w:p>
    <w:p>
      <w:pPr>
        <w:spacing w:line="400" w:lineRule="exact"/>
        <w:ind w:firstLine="420" w:firstLineChars="200"/>
        <w:rPr>
          <w:rFonts w:ascii="宋体" w:hAnsi="宋体"/>
          <w:szCs w:val="21"/>
        </w:rPr>
      </w:pPr>
      <w:bookmarkStart w:id="19" w:name="_Toc28359004"/>
      <w:bookmarkStart w:id="20" w:name="_Toc28359081"/>
      <w:r>
        <w:rPr>
          <w:rFonts w:hint="eastAsia" w:ascii="宋体" w:hAnsi="宋体"/>
          <w:szCs w:val="21"/>
        </w:rPr>
        <w:t xml:space="preserve">2、落实政府采购政策需满足的资格要求： </w:t>
      </w:r>
    </w:p>
    <w:p>
      <w:pPr>
        <w:spacing w:line="400" w:lineRule="exact"/>
        <w:ind w:firstLine="420" w:firstLineChars="2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专门面向中小企业采购的项目</w:t>
      </w:r>
    </w:p>
    <w:p>
      <w:pPr>
        <w:spacing w:line="420" w:lineRule="exact"/>
        <w:ind w:firstLine="420" w:firstLineChars="200"/>
        <w:rPr>
          <w:rFonts w:hint="eastAsia" w:ascii="宋体" w:hAnsi="宋体"/>
          <w:szCs w:val="21"/>
        </w:rPr>
      </w:pPr>
      <w:r>
        <w:rPr>
          <w:rFonts w:hint="eastAsia" w:ascii="宋体" w:hAnsi="宋体" w:cs="宋体"/>
          <w:szCs w:val="21"/>
        </w:rPr>
        <w:sym w:font="Wingdings 2" w:char="0052"/>
      </w:r>
      <w:r>
        <w:rPr>
          <w:rFonts w:hint="eastAsia" w:ascii="宋体" w:hAnsi="宋体" w:cs="宋体"/>
          <w:szCs w:val="21"/>
        </w:rPr>
        <w:t>非专门面向中小企业采购的项目</w:t>
      </w:r>
    </w:p>
    <w:p>
      <w:pPr>
        <w:spacing w:line="420" w:lineRule="exact"/>
        <w:ind w:firstLine="420" w:firstLineChars="200"/>
        <w:rPr>
          <w:rFonts w:hint="eastAsia" w:ascii="宋体" w:hAnsi="宋体"/>
          <w:szCs w:val="21"/>
        </w:rPr>
      </w:pPr>
      <w:r>
        <w:rPr>
          <w:rFonts w:hint="eastAsia" w:ascii="宋体" w:hAnsi="宋体"/>
          <w:szCs w:val="21"/>
        </w:rPr>
        <w:t>3、本项目的特定资格要求：</w:t>
      </w:r>
      <w:r>
        <w:rPr>
          <w:rFonts w:hint="eastAsia"/>
        </w:rPr>
        <w:t>无。</w:t>
      </w:r>
    </w:p>
    <w:bookmarkEnd w:id="18"/>
    <w:p>
      <w:pPr>
        <w:spacing w:line="420" w:lineRule="exact"/>
        <w:rPr>
          <w:rFonts w:ascii="黑体" w:hAnsi="黑体" w:eastAsia="黑体"/>
          <w:b/>
          <w:bCs/>
          <w:sz w:val="24"/>
        </w:rPr>
      </w:pPr>
      <w:bookmarkStart w:id="21" w:name="_Toc35393792"/>
      <w:bookmarkStart w:id="22" w:name="_Toc35393623"/>
      <w:r>
        <w:rPr>
          <w:rFonts w:hint="eastAsia" w:ascii="黑体" w:hAnsi="黑体" w:eastAsia="黑体"/>
          <w:b/>
          <w:bCs/>
          <w:sz w:val="24"/>
        </w:rPr>
        <w:t>三、获取招标文件</w:t>
      </w:r>
      <w:bookmarkEnd w:id="19"/>
      <w:bookmarkEnd w:id="20"/>
      <w:bookmarkEnd w:id="21"/>
      <w:bookmarkEnd w:id="22"/>
    </w:p>
    <w:p>
      <w:pPr>
        <w:spacing w:line="420" w:lineRule="exact"/>
        <w:ind w:firstLine="420" w:firstLineChars="200"/>
        <w:rPr>
          <w:rFonts w:hint="eastAsia" w:ascii="宋体" w:hAnsi="宋体" w:cs="Arial"/>
          <w:szCs w:val="21"/>
        </w:rPr>
      </w:pPr>
      <w:r>
        <w:rPr>
          <w:rFonts w:hint="eastAsia" w:ascii="宋体" w:hAnsi="宋体" w:cs="Arial"/>
          <w:szCs w:val="21"/>
        </w:rPr>
        <w:t>时间：2024年</w:t>
      </w:r>
      <w:r>
        <w:rPr>
          <w:rFonts w:hint="eastAsia" w:ascii="宋体" w:hAnsi="宋体" w:cs="Arial"/>
          <w:szCs w:val="21"/>
          <w:lang w:val="en-US" w:eastAsia="zh-CN"/>
        </w:rPr>
        <w:t>4</w:t>
      </w:r>
      <w:r>
        <w:rPr>
          <w:rFonts w:hint="eastAsia" w:ascii="宋体" w:hAnsi="宋体" w:cs="Arial"/>
          <w:szCs w:val="21"/>
        </w:rPr>
        <w:t>月</w:t>
      </w:r>
      <w:r>
        <w:rPr>
          <w:rFonts w:hint="eastAsia" w:ascii="宋体" w:hAnsi="宋体" w:cs="Arial"/>
          <w:szCs w:val="21"/>
          <w:lang w:val="en-US" w:eastAsia="zh-CN"/>
        </w:rPr>
        <w:t>19</w:t>
      </w:r>
      <w:r>
        <w:rPr>
          <w:rFonts w:hint="eastAsia" w:ascii="宋体" w:hAnsi="宋体" w:cs="Arial"/>
          <w:szCs w:val="21"/>
        </w:rPr>
        <w:t>日至2024年</w:t>
      </w:r>
      <w:r>
        <w:rPr>
          <w:rFonts w:hint="eastAsia" w:ascii="宋体" w:hAnsi="宋体" w:cs="Arial"/>
          <w:szCs w:val="21"/>
          <w:lang w:val="en-US" w:eastAsia="zh-CN"/>
        </w:rPr>
        <w:t>5</w:t>
      </w:r>
      <w:r>
        <w:rPr>
          <w:rFonts w:hint="eastAsia" w:ascii="宋体" w:hAnsi="宋体" w:cs="Arial"/>
          <w:szCs w:val="21"/>
        </w:rPr>
        <w:t>月</w:t>
      </w:r>
      <w:r>
        <w:rPr>
          <w:rFonts w:hint="eastAsia" w:ascii="宋体" w:hAnsi="宋体" w:cs="Arial"/>
          <w:szCs w:val="21"/>
          <w:lang w:val="en-US" w:eastAsia="zh-CN"/>
        </w:rPr>
        <w:t>10</w:t>
      </w:r>
      <w:r>
        <w:rPr>
          <w:rFonts w:hint="eastAsia" w:ascii="宋体" w:hAnsi="宋体" w:cs="Arial"/>
          <w:szCs w:val="21"/>
        </w:rPr>
        <w:t>日，每天上午00:00-12:00；下午12:00-23:59（北京时间，</w:t>
      </w:r>
      <w:r>
        <w:rPr>
          <w:rFonts w:ascii="宋体" w:hAnsi="宋体" w:cs="Arial"/>
          <w:szCs w:val="21"/>
        </w:rPr>
        <w:t>法定节假日</w:t>
      </w:r>
      <w:r>
        <w:rPr>
          <w:rFonts w:hint="eastAsia" w:ascii="宋体" w:hAnsi="宋体" w:cs="Arial"/>
          <w:szCs w:val="21"/>
        </w:rPr>
        <w:t>除外）。</w:t>
      </w:r>
    </w:p>
    <w:p>
      <w:pPr>
        <w:spacing w:line="420" w:lineRule="exact"/>
        <w:ind w:firstLine="420" w:firstLineChars="200"/>
        <w:rPr>
          <w:rFonts w:hint="eastAsia" w:ascii="宋体" w:hAnsi="宋体" w:cs="Arial"/>
          <w:szCs w:val="21"/>
        </w:rPr>
      </w:pPr>
      <w:r>
        <w:rPr>
          <w:rFonts w:hint="eastAsia" w:ascii="宋体" w:hAnsi="宋体" w:cs="Arial"/>
          <w:szCs w:val="21"/>
        </w:rPr>
        <w:t>地点：广西政府采购云平台（https://www.gcy.zfcg.gxzf.gov.cn/）</w:t>
      </w:r>
    </w:p>
    <w:p>
      <w:pPr>
        <w:spacing w:line="420" w:lineRule="exact"/>
        <w:ind w:firstLine="420" w:firstLineChars="200"/>
        <w:rPr>
          <w:rFonts w:hint="eastAsia" w:ascii="宋体" w:hAnsi="宋体" w:cs="Arial"/>
          <w:szCs w:val="21"/>
        </w:rPr>
      </w:pPr>
      <w:r>
        <w:rPr>
          <w:rFonts w:hint="eastAsia" w:ascii="宋体" w:hAnsi="宋体" w:cs="Arial"/>
          <w:szCs w:val="21"/>
        </w:rPr>
        <w:t>方式：网上下载。本项目不发放纸质文件，投标人应自行在</w:t>
      </w:r>
      <w:r>
        <w:rPr>
          <w:rFonts w:hint="eastAsia" w:ascii="宋体" w:hAnsi="宋体" w:cs="Arial"/>
          <w:szCs w:val="21"/>
        </w:rPr>
        <w:fldChar w:fldCharType="begin"/>
      </w:r>
      <w:r>
        <w:rPr>
          <w:rFonts w:hint="eastAsia" w:ascii="宋体" w:hAnsi="宋体" w:cs="Arial"/>
          <w:szCs w:val="21"/>
        </w:rPr>
        <w:instrText xml:space="preserve"> HYPERLINK "" </w:instrText>
      </w:r>
      <w:r>
        <w:rPr>
          <w:rFonts w:hint="eastAsia" w:ascii="宋体" w:hAnsi="宋体" w:cs="Arial"/>
          <w:szCs w:val="21"/>
        </w:rPr>
        <w:fldChar w:fldCharType="separate"/>
      </w:r>
      <w:r>
        <w:rPr>
          <w:rFonts w:hint="eastAsia" w:ascii="宋体" w:hAnsi="宋体" w:cs="Arial"/>
          <w:szCs w:val="21"/>
        </w:rPr>
        <w:fldChar w:fldCharType="end"/>
      </w:r>
      <w:r>
        <w:rPr>
          <w:rFonts w:hint="eastAsia" w:ascii="宋体" w:hAnsi="宋体" w:cs="Arial"/>
          <w:szCs w:val="21"/>
        </w:rPr>
        <w:t>广西政府采购云平台（https://www.gcy.zfcg.gxzf.gov.cn/）下载招标文件（操作路径：登录广西政府采购云平台-项目采购-获取招标文件-找到本项目-点击“申请获取招标文件”），电子投标文件制作需要基于广西政府采购云平台获取的招标文件编制。</w:t>
      </w:r>
    </w:p>
    <w:p>
      <w:pPr>
        <w:spacing w:line="420" w:lineRule="exact"/>
        <w:ind w:firstLine="420" w:firstLineChars="200"/>
        <w:rPr>
          <w:rFonts w:ascii="宋体" w:hAnsi="宋体" w:cs="宋体"/>
          <w:szCs w:val="21"/>
        </w:rPr>
      </w:pPr>
      <w:r>
        <w:rPr>
          <w:rFonts w:hint="eastAsia" w:ascii="宋体" w:hAnsi="宋体" w:cs="Arial"/>
          <w:szCs w:val="21"/>
        </w:rPr>
        <w:t>售价：0元。</w:t>
      </w:r>
    </w:p>
    <w:p>
      <w:pPr>
        <w:spacing w:line="420" w:lineRule="exact"/>
        <w:rPr>
          <w:rFonts w:ascii="黑体" w:hAnsi="黑体" w:eastAsia="黑体"/>
          <w:b/>
          <w:bCs/>
          <w:sz w:val="24"/>
        </w:rPr>
      </w:pPr>
      <w:bookmarkStart w:id="23" w:name="_Toc28359005"/>
      <w:bookmarkStart w:id="24" w:name="_Toc28359082"/>
      <w:bookmarkStart w:id="25" w:name="_Toc35393624"/>
      <w:bookmarkStart w:id="26" w:name="_Toc35393793"/>
      <w:r>
        <w:rPr>
          <w:rFonts w:hint="eastAsia" w:ascii="黑体" w:hAnsi="黑体" w:eastAsia="黑体"/>
          <w:b/>
          <w:bCs/>
          <w:sz w:val="24"/>
        </w:rPr>
        <w:t>四、提交投标文件</w:t>
      </w:r>
      <w:bookmarkEnd w:id="23"/>
      <w:bookmarkEnd w:id="24"/>
      <w:r>
        <w:rPr>
          <w:rFonts w:hint="eastAsia" w:ascii="黑体" w:hAnsi="黑体" w:eastAsia="黑体"/>
          <w:b/>
          <w:bCs/>
          <w:sz w:val="24"/>
        </w:rPr>
        <w:t>截止时间、开标时间和地点</w:t>
      </w:r>
      <w:bookmarkEnd w:id="25"/>
      <w:bookmarkEnd w:id="26"/>
    </w:p>
    <w:p>
      <w:pPr>
        <w:spacing w:line="420" w:lineRule="exact"/>
        <w:ind w:firstLine="420" w:firstLineChars="200"/>
        <w:rPr>
          <w:rFonts w:ascii="宋体" w:hAnsi="宋体" w:cs="Arial"/>
          <w:szCs w:val="21"/>
        </w:rPr>
      </w:pPr>
      <w:bookmarkStart w:id="27" w:name="_Toc35393794"/>
      <w:bookmarkStart w:id="28" w:name="_Toc28359084"/>
      <w:bookmarkStart w:id="29" w:name="_Toc28359007"/>
      <w:bookmarkStart w:id="30" w:name="_Toc35393625"/>
      <w:r>
        <w:rPr>
          <w:rFonts w:hint="eastAsia" w:ascii="宋体" w:hAnsi="宋体"/>
          <w:szCs w:val="21"/>
        </w:rPr>
        <w:t>1、</w:t>
      </w:r>
      <w:r>
        <w:rPr>
          <w:rFonts w:hint="eastAsia" w:ascii="宋体" w:hAnsi="宋体" w:cs="宋体"/>
          <w:szCs w:val="21"/>
          <w:lang w:bidi="ar"/>
        </w:rPr>
        <w:t>截止时间</w:t>
      </w:r>
      <w:r>
        <w:rPr>
          <w:rFonts w:hint="eastAsia" w:ascii="宋体" w:hAnsi="宋体"/>
          <w:szCs w:val="21"/>
        </w:rPr>
        <w:t>：</w:t>
      </w:r>
      <w:r>
        <w:rPr>
          <w:rFonts w:hint="eastAsia" w:ascii="宋体" w:hAnsi="宋体" w:cs="Arial"/>
          <w:szCs w:val="21"/>
        </w:rPr>
        <w:t>2024年</w:t>
      </w:r>
      <w:r>
        <w:rPr>
          <w:rFonts w:hint="eastAsia" w:ascii="宋体" w:hAnsi="宋体" w:cs="Arial"/>
          <w:szCs w:val="21"/>
          <w:lang w:val="en-US" w:eastAsia="zh-CN"/>
        </w:rPr>
        <w:t>5</w:t>
      </w:r>
      <w:r>
        <w:rPr>
          <w:rFonts w:hint="eastAsia" w:ascii="宋体" w:hAnsi="宋体" w:cs="Arial"/>
          <w:szCs w:val="21"/>
        </w:rPr>
        <w:t>月</w:t>
      </w:r>
      <w:r>
        <w:rPr>
          <w:rFonts w:hint="eastAsia" w:ascii="宋体" w:hAnsi="宋体" w:cs="Arial"/>
          <w:szCs w:val="21"/>
          <w:lang w:val="en-US" w:eastAsia="zh-CN"/>
        </w:rPr>
        <w:t>10</w:t>
      </w:r>
      <w:r>
        <w:rPr>
          <w:rFonts w:hint="eastAsia" w:ascii="宋体" w:hAnsi="宋体" w:cs="Arial"/>
          <w:szCs w:val="21"/>
        </w:rPr>
        <w:t>日9时</w:t>
      </w:r>
      <w:r>
        <w:rPr>
          <w:rFonts w:hint="eastAsia" w:ascii="宋体" w:hAnsi="宋体" w:cs="Arial"/>
          <w:szCs w:val="21"/>
          <w:lang w:val="en-US" w:eastAsia="zh-CN"/>
        </w:rPr>
        <w:t>3</w:t>
      </w:r>
      <w:r>
        <w:rPr>
          <w:rFonts w:hint="eastAsia" w:ascii="宋体" w:hAnsi="宋体" w:cs="Arial"/>
          <w:szCs w:val="21"/>
        </w:rPr>
        <w:t>0分（北京时间）</w:t>
      </w:r>
    </w:p>
    <w:p>
      <w:pPr>
        <w:spacing w:line="420" w:lineRule="exact"/>
        <w:ind w:firstLine="420" w:firstLineChars="200"/>
        <w:rPr>
          <w:rFonts w:hint="eastAsia" w:ascii="宋体" w:hAnsi="宋体" w:cs="Arial"/>
          <w:szCs w:val="21"/>
        </w:rPr>
      </w:pPr>
      <w:r>
        <w:rPr>
          <w:rFonts w:hint="eastAsia" w:ascii="宋体" w:hAnsi="宋体" w:cs="Arial"/>
          <w:szCs w:val="21"/>
        </w:rPr>
        <w:t>2、地点：本项目将在广西政府采购云平台电子开标大厅解密、开标。</w:t>
      </w:r>
    </w:p>
    <w:p>
      <w:pPr>
        <w:spacing w:line="420" w:lineRule="exact"/>
        <w:rPr>
          <w:rFonts w:ascii="黑体" w:hAnsi="黑体" w:eastAsia="黑体"/>
          <w:b/>
          <w:bCs/>
          <w:sz w:val="24"/>
        </w:rPr>
      </w:pPr>
      <w:r>
        <w:rPr>
          <w:rFonts w:hint="eastAsia" w:ascii="黑体" w:hAnsi="黑体" w:eastAsia="黑体"/>
          <w:b/>
          <w:bCs/>
          <w:sz w:val="24"/>
        </w:rPr>
        <w:t>五、公告期限</w:t>
      </w:r>
      <w:bookmarkEnd w:id="27"/>
      <w:bookmarkEnd w:id="28"/>
      <w:bookmarkEnd w:id="29"/>
      <w:bookmarkEnd w:id="30"/>
    </w:p>
    <w:p>
      <w:pPr>
        <w:spacing w:line="42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420" w:lineRule="exact"/>
        <w:rPr>
          <w:rFonts w:ascii="黑体" w:hAnsi="黑体" w:eastAsia="黑体"/>
          <w:b/>
          <w:bCs/>
          <w:sz w:val="24"/>
        </w:rPr>
      </w:pPr>
      <w:bookmarkStart w:id="31" w:name="_Toc35393626"/>
      <w:bookmarkStart w:id="32" w:name="_Toc35393795"/>
      <w:r>
        <w:rPr>
          <w:rFonts w:hint="eastAsia" w:ascii="黑体" w:hAnsi="黑体" w:eastAsia="黑体"/>
          <w:b/>
          <w:bCs/>
          <w:sz w:val="24"/>
        </w:rPr>
        <w:t>六、其他补充事宜</w:t>
      </w:r>
      <w:bookmarkEnd w:id="31"/>
      <w:bookmarkEnd w:id="32"/>
    </w:p>
    <w:p>
      <w:pPr>
        <w:spacing w:line="420" w:lineRule="exact"/>
        <w:ind w:firstLine="420" w:firstLineChars="200"/>
        <w:rPr>
          <w:rFonts w:hint="eastAsia" w:ascii="宋体" w:hAnsi="宋体" w:cs="宋体"/>
          <w:kern w:val="0"/>
          <w:szCs w:val="21"/>
        </w:rPr>
      </w:pPr>
      <w:bookmarkStart w:id="33" w:name="_Hlk37429674"/>
      <w:r>
        <w:rPr>
          <w:rFonts w:hint="eastAsia" w:ascii="宋体" w:hAnsi="宋体" w:cs="宋体"/>
          <w:kern w:val="0"/>
          <w:szCs w:val="21"/>
        </w:rPr>
        <w:t>1、本项目不收取投标保证金。</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2、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4、采购意向公开链接：</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http://zfcg.gxzf.gov.cn/site/detail?parentId=66601&amp;articleId=eKwWs03/CaDTjJSq7aVNXQ==&amp;utm=site.site-PC-38919.1085-pc-wsg-guangxi-secondPage-front.9.b192e220b51811eebd9fc751512dbc04</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5、网上查询地址：中国政府采购网（www.ccgp.gov.cn）、广西政府采购网（zfcg.gxzf.gov.cn）、广西壮族自治区公共资源交易中心网（http://gxggzy.gxzf.gov.cn）。</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6、本项目需要落实的政府采购政策：</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pPr>
        <w:spacing w:line="420" w:lineRule="exact"/>
        <w:ind w:firstLine="420" w:firstLineChars="200"/>
        <w:rPr>
          <w:rFonts w:hint="eastAsia" w:ascii="宋体" w:hAnsi="宋体" w:cs="宋体"/>
          <w:kern w:val="0"/>
          <w:szCs w:val="21"/>
        </w:rPr>
      </w:pPr>
      <w:r>
        <w:rPr>
          <w:rFonts w:hint="eastAsia" w:ascii="宋体" w:hAnsi="宋体" w:cs="宋体"/>
          <w:kern w:val="0"/>
          <w:szCs w:val="21"/>
        </w:rPr>
        <w:t>（6）扶持不发达地区和少数民族地区政策。</w:t>
      </w:r>
    </w:p>
    <w:p>
      <w:pPr>
        <w:widowControl/>
        <w:spacing w:line="420" w:lineRule="exact"/>
        <w:ind w:firstLine="420" w:firstLineChars="200"/>
        <w:rPr>
          <w:rFonts w:hint="eastAsia" w:ascii="宋体" w:hAnsi="宋体" w:cs="宋体"/>
          <w:szCs w:val="21"/>
          <w:lang w:bidi="ar"/>
        </w:rPr>
      </w:pPr>
      <w:r>
        <w:rPr>
          <w:rFonts w:hint="eastAsia" w:ascii="宋体" w:hAnsi="宋体" w:cs="宋体"/>
          <w:szCs w:val="21"/>
          <w:lang w:bidi="ar"/>
        </w:rPr>
        <w:t>7、投标注意事项：</w:t>
      </w:r>
    </w:p>
    <w:p>
      <w:pPr>
        <w:widowControl/>
        <w:spacing w:line="420" w:lineRule="exact"/>
        <w:ind w:firstLine="420" w:firstLineChars="200"/>
        <w:rPr>
          <w:rFonts w:hint="eastAsia" w:ascii="宋体" w:hAnsi="宋体" w:cs="宋体"/>
          <w:bCs/>
          <w:szCs w:val="21"/>
        </w:rPr>
      </w:pPr>
      <w:r>
        <w:rPr>
          <w:rFonts w:hint="eastAsia" w:ascii="宋体" w:hAnsi="宋体" w:cs="宋体"/>
          <w:szCs w:val="21"/>
          <w:lang w:bidi="ar"/>
        </w:rPr>
        <w:t>（1）投标文件提交方式：本项目为全流程电子化政府采购项目，通过广西政府采购云平台（https://www.gcy.zfcg.gxzf.gov.cn/）实行在线电子投标，投标人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szCs w:val="21"/>
          <w:lang w:bidi="ar"/>
        </w:rPr>
        <w:t>投标人在广西政府采购云平台提交电子版投标文件时，请填写参加远程开标活动经办人联系方式。</w:t>
      </w:r>
    </w:p>
    <w:p>
      <w:pPr>
        <w:widowControl/>
        <w:spacing w:line="420" w:lineRule="exact"/>
        <w:ind w:firstLine="420" w:firstLineChars="200"/>
        <w:rPr>
          <w:rFonts w:hint="eastAsia" w:ascii="宋体" w:hAnsi="宋体" w:cs="宋体"/>
          <w:szCs w:val="21"/>
          <w:lang w:bidi="ar"/>
        </w:rPr>
      </w:pPr>
      <w:r>
        <w:rPr>
          <w:rFonts w:hint="eastAsia" w:ascii="宋体" w:hAnsi="宋体" w:cs="宋体"/>
          <w:szCs w:val="21"/>
          <w:lang w:bidi="ar"/>
        </w:rPr>
        <w:t>（2）投标人</w:t>
      </w:r>
      <w:r>
        <w:rPr>
          <w:rFonts w:ascii="宋体" w:hAnsi="宋体" w:cs="宋体"/>
          <w:szCs w:val="21"/>
          <w:lang w:bidi="ar"/>
        </w:rPr>
        <w:t>应及时熟悉掌握电子标系统操作指南（见</w:t>
      </w:r>
      <w:r>
        <w:rPr>
          <w:rFonts w:hint="eastAsia" w:ascii="宋体" w:hAnsi="宋体" w:cs="宋体"/>
          <w:szCs w:val="21"/>
          <w:lang w:bidi="ar"/>
        </w:rPr>
        <w:t>广西政府采购云平台</w:t>
      </w:r>
      <w:r>
        <w:rPr>
          <w:rFonts w:ascii="宋体" w:hAnsi="宋体" w:cs="宋体"/>
          <w:szCs w:val="21"/>
          <w:lang w:bidi="ar"/>
        </w:rPr>
        <w:t>电子卖场首页右上角—服务中心—帮助文档—项目采购）：</w:t>
      </w:r>
      <w:r>
        <w:rPr>
          <w:rFonts w:ascii="宋体" w:hAnsi="宋体" w:cs="宋体"/>
          <w:szCs w:val="21"/>
          <w:lang w:bidi="ar"/>
        </w:rPr>
        <w:fldChar w:fldCharType="begin"/>
      </w:r>
      <w:r>
        <w:rPr>
          <w:rFonts w:ascii="宋体" w:hAnsi="宋体" w:cs="宋体"/>
          <w:szCs w:val="21"/>
          <w:lang w:bidi="ar"/>
        </w:rPr>
        <w:instrText xml:space="preserve"> HYPERLINK "https://service.zcygov.cn/#/knowledges/tree?tag=AG1DtGwBFdiHxlNdhY0r" </w:instrText>
      </w:r>
      <w:r>
        <w:rPr>
          <w:rFonts w:ascii="宋体" w:hAnsi="宋体" w:cs="宋体"/>
          <w:szCs w:val="21"/>
          <w:lang w:bidi="ar"/>
        </w:rPr>
        <w:fldChar w:fldCharType="separate"/>
      </w:r>
      <w:r>
        <w:rPr>
          <w:rFonts w:ascii="宋体" w:hAnsi="宋体" w:cs="宋体"/>
          <w:szCs w:val="21"/>
          <w:lang w:bidi="ar"/>
        </w:rPr>
        <w:t>https://service.zcygov.cn/#/knowledges/tree?tag=AG1DtGwBFdiHxlNdhY0r</w:t>
      </w:r>
      <w:r>
        <w:rPr>
          <w:rFonts w:ascii="宋体" w:hAnsi="宋体" w:cs="宋体"/>
          <w:szCs w:val="21"/>
          <w:lang w:bidi="ar"/>
        </w:rPr>
        <w:fldChar w:fldCharType="end"/>
      </w:r>
      <w:r>
        <w:rPr>
          <w:rFonts w:hint="eastAsia" w:ascii="宋体" w:hAnsi="宋体" w:cs="宋体"/>
          <w:szCs w:val="21"/>
          <w:lang w:bidi="ar"/>
        </w:rPr>
        <w:t>；</w:t>
      </w:r>
      <w:r>
        <w:rPr>
          <w:rFonts w:ascii="宋体" w:hAnsi="宋体" w:cs="宋体"/>
          <w:szCs w:val="21"/>
          <w:lang w:bidi="ar"/>
        </w:rPr>
        <w:t>及时完成CA申领和绑定（见广西壮族自治区政府采购网—办事服务—下载专区-</w:t>
      </w:r>
      <w:r>
        <w:rPr>
          <w:rFonts w:hint="eastAsia" w:ascii="宋体" w:hAnsi="宋体" w:cs="宋体"/>
          <w:szCs w:val="21"/>
          <w:lang w:bidi="ar"/>
        </w:rPr>
        <w:t>广西政府采购云平台</w:t>
      </w:r>
      <w:r>
        <w:rPr>
          <w:rFonts w:ascii="宋体" w:hAnsi="宋体" w:cs="宋体"/>
          <w:szCs w:val="21"/>
          <w:lang w:bidi="ar"/>
        </w:rPr>
        <w:t>CA证书办理操作指南）。</w:t>
      </w:r>
    </w:p>
    <w:p>
      <w:pPr>
        <w:widowControl/>
        <w:spacing w:line="420" w:lineRule="exact"/>
        <w:ind w:firstLine="420" w:firstLineChars="200"/>
        <w:rPr>
          <w:rFonts w:hint="eastAsia" w:ascii="宋体" w:hAnsi="宋体" w:cs="宋体"/>
          <w:szCs w:val="21"/>
        </w:rPr>
      </w:pPr>
      <w:r>
        <w:rPr>
          <w:rFonts w:hint="eastAsia" w:ascii="宋体" w:hAnsi="宋体" w:cs="宋体"/>
          <w:szCs w:val="21"/>
          <w:lang w:bidi="ar"/>
        </w:rPr>
        <w:t>（3）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420" w:lineRule="exact"/>
        <w:ind w:firstLine="420" w:firstLineChars="200"/>
        <w:rPr>
          <w:rFonts w:hint="eastAsia" w:ascii="宋体" w:hAnsi="宋体" w:cs="宋体"/>
          <w:szCs w:val="21"/>
        </w:rPr>
      </w:pPr>
      <w:r>
        <w:rPr>
          <w:rFonts w:hint="eastAsia" w:ascii="宋体" w:hAnsi="宋体" w:cs="宋体"/>
          <w:szCs w:val="21"/>
          <w:lang w:bidi="ar"/>
        </w:rPr>
        <w:t>（4）为确保网上操作合法、有效和安全，请投标人确保在电子投标过程中能够对相关数据电文进行加密和使用电子签章，妥善保管CA数字证书并使用有效的CA数字证书参与整个采购活动。</w:t>
      </w:r>
    </w:p>
    <w:p>
      <w:pPr>
        <w:spacing w:line="420" w:lineRule="exact"/>
        <w:ind w:firstLine="422" w:firstLineChars="200"/>
        <w:rPr>
          <w:rFonts w:hint="eastAsia" w:ascii="宋体" w:hAnsi="宋体" w:cs="宋体"/>
          <w:b/>
          <w:bCs/>
          <w:szCs w:val="21"/>
        </w:rPr>
      </w:pPr>
      <w:r>
        <w:rPr>
          <w:rFonts w:hint="eastAsia" w:ascii="宋体" w:hAnsi="宋体" w:cs="宋体"/>
          <w:b/>
          <w:bCs/>
          <w:szCs w:val="21"/>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napToGrid w:val="0"/>
        <w:spacing w:line="420" w:lineRule="exact"/>
        <w:ind w:firstLine="420" w:firstLineChars="200"/>
        <w:rPr>
          <w:rFonts w:hint="eastAsia" w:ascii="宋体" w:hAnsi="宋体" w:cs="宋体"/>
          <w:kern w:val="0"/>
          <w:szCs w:val="21"/>
        </w:rPr>
      </w:pPr>
      <w:r>
        <w:rPr>
          <w:rFonts w:hint="eastAsia" w:ascii="宋体" w:hAnsi="宋体" w:cs="宋体"/>
          <w:kern w:val="0"/>
          <w:szCs w:val="21"/>
          <w:lang w:bidi="ar"/>
        </w:rPr>
        <w:t>8、CA证书在线解密：投标人投标时，需携带制作投标文件时用来加密的有效数字证书（CA认证）登录广西政府采购云平台电子开标大厅现场按规定时间对加密的投标文件进行解密，否则后果自负。</w:t>
      </w:r>
    </w:p>
    <w:p>
      <w:pPr>
        <w:spacing w:line="420" w:lineRule="exact"/>
        <w:ind w:firstLine="420" w:firstLineChars="200"/>
        <w:rPr>
          <w:rFonts w:ascii="宋体" w:hAnsi="宋体" w:cs="宋体"/>
          <w:b/>
          <w:bCs/>
          <w:kern w:val="0"/>
          <w:szCs w:val="21"/>
        </w:rPr>
      </w:pPr>
      <w:r>
        <w:rPr>
          <w:rFonts w:hint="eastAsia" w:ascii="宋体" w:hAnsi="宋体" w:cs="宋体"/>
          <w:kern w:val="0"/>
          <w:szCs w:val="21"/>
        </w:rPr>
        <w:t>9、若对项目采购电子交易系统操作有疑问，可登录广西政府采购云平台（https://www.gcy.zfcg.gxzf.gov.cn/），点击右侧咨询小采，获取采小蜜智能服务管家帮助，或拨打广西政府采购云平台服务热线95763获取热线服务帮助。</w:t>
      </w:r>
    </w:p>
    <w:bookmarkEnd w:id="33"/>
    <w:p>
      <w:pPr>
        <w:spacing w:line="420" w:lineRule="exact"/>
        <w:rPr>
          <w:rFonts w:ascii="黑体" w:hAnsi="黑体" w:eastAsia="黑体"/>
          <w:b/>
          <w:bCs/>
          <w:sz w:val="24"/>
        </w:rPr>
      </w:pPr>
      <w:bookmarkStart w:id="34" w:name="_Toc35393796"/>
      <w:bookmarkStart w:id="35" w:name="_Toc35393627"/>
      <w:bookmarkStart w:id="36" w:name="_Toc28359008"/>
      <w:bookmarkStart w:id="37" w:name="_Toc28359085"/>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4"/>
      <w:bookmarkEnd w:id="35"/>
      <w:bookmarkEnd w:id="36"/>
      <w:bookmarkEnd w:id="37"/>
    </w:p>
    <w:p>
      <w:pPr>
        <w:spacing w:line="420" w:lineRule="exact"/>
        <w:ind w:firstLine="567" w:firstLineChars="270"/>
        <w:jc w:val="left"/>
        <w:rPr>
          <w:rFonts w:hint="eastAsia" w:ascii="宋体" w:hAnsi="宋体" w:cs="宋体"/>
          <w:szCs w:val="21"/>
        </w:rPr>
      </w:pPr>
      <w:r>
        <w:rPr>
          <w:rFonts w:hint="eastAsia" w:ascii="宋体" w:hAnsi="宋体" w:cs="宋体"/>
          <w:szCs w:val="21"/>
        </w:rPr>
        <w:t>1.采购人信息</w:t>
      </w:r>
    </w:p>
    <w:p>
      <w:pPr>
        <w:spacing w:line="420" w:lineRule="exact"/>
        <w:ind w:firstLine="567" w:firstLineChars="270"/>
        <w:jc w:val="left"/>
        <w:rPr>
          <w:rFonts w:hint="eastAsia" w:ascii="宋体" w:hAnsi="宋体"/>
          <w:szCs w:val="21"/>
        </w:rPr>
      </w:pPr>
      <w:bookmarkStart w:id="38" w:name="_Toc28359086"/>
      <w:bookmarkStart w:id="39" w:name="_Toc28359009"/>
      <w:r>
        <w:rPr>
          <w:rFonts w:hint="eastAsia" w:ascii="宋体" w:hAnsi="宋体"/>
          <w:szCs w:val="21"/>
        </w:rPr>
        <w:t>名 称：</w:t>
      </w:r>
      <w:r>
        <w:rPr>
          <w:rFonts w:hint="eastAsia" w:ascii="宋体" w:hAnsi="宋体" w:cs="Arial"/>
        </w:rPr>
        <w:t>广西公安计算机通讯技术研究所</w:t>
      </w:r>
    </w:p>
    <w:p>
      <w:pPr>
        <w:spacing w:line="420" w:lineRule="exact"/>
        <w:ind w:firstLine="567" w:firstLineChars="270"/>
        <w:jc w:val="left"/>
        <w:rPr>
          <w:rFonts w:ascii="宋体" w:hAnsi="宋体"/>
          <w:szCs w:val="21"/>
        </w:rPr>
      </w:pPr>
      <w:r>
        <w:rPr>
          <w:rFonts w:hint="eastAsia" w:ascii="宋体" w:hAnsi="宋体"/>
          <w:szCs w:val="21"/>
        </w:rPr>
        <w:t>地址：广西南宁市佛子岭路1号</w:t>
      </w:r>
    </w:p>
    <w:p>
      <w:pPr>
        <w:spacing w:line="420" w:lineRule="exact"/>
        <w:ind w:firstLine="567" w:firstLineChars="270"/>
        <w:jc w:val="left"/>
        <w:rPr>
          <w:rFonts w:hint="eastAsia" w:ascii="宋体" w:hAnsi="宋体"/>
          <w:szCs w:val="21"/>
          <w:u w:val="single"/>
        </w:rPr>
      </w:pPr>
      <w:r>
        <w:rPr>
          <w:rFonts w:hint="eastAsia" w:ascii="宋体" w:hAnsi="宋体"/>
          <w:szCs w:val="21"/>
        </w:rPr>
        <w:t>联系人：邓工，联系方式：0</w:t>
      </w:r>
      <w:r>
        <w:rPr>
          <w:rFonts w:ascii="宋体" w:hAnsi="宋体"/>
          <w:szCs w:val="21"/>
        </w:rPr>
        <w:t>771-</w:t>
      </w:r>
      <w:r>
        <w:rPr>
          <w:rFonts w:hint="eastAsia" w:ascii="宋体" w:hAnsi="宋体"/>
          <w:szCs w:val="21"/>
        </w:rPr>
        <w:t>2892610</w:t>
      </w:r>
    </w:p>
    <w:p>
      <w:pPr>
        <w:spacing w:line="420" w:lineRule="exact"/>
        <w:ind w:firstLine="567" w:firstLineChars="270"/>
        <w:jc w:val="left"/>
        <w:rPr>
          <w:rFonts w:ascii="宋体" w:hAnsi="宋体"/>
          <w:szCs w:val="21"/>
        </w:rPr>
      </w:pPr>
      <w:r>
        <w:rPr>
          <w:rFonts w:hint="eastAsia" w:ascii="宋体" w:hAnsi="宋体" w:cs="宋体"/>
          <w:szCs w:val="21"/>
        </w:rPr>
        <w:t>2.采购代理机构信息</w:t>
      </w:r>
      <w:bookmarkEnd w:id="38"/>
      <w:bookmarkEnd w:id="39"/>
    </w:p>
    <w:p>
      <w:pPr>
        <w:spacing w:line="420" w:lineRule="exact"/>
        <w:ind w:firstLine="567" w:firstLineChars="270"/>
        <w:rPr>
          <w:rFonts w:ascii="宋体" w:hAnsi="宋体"/>
          <w:szCs w:val="21"/>
        </w:rPr>
      </w:pPr>
      <w:r>
        <w:rPr>
          <w:rFonts w:hint="eastAsia" w:ascii="宋体" w:hAnsi="宋体"/>
          <w:szCs w:val="21"/>
        </w:rPr>
        <w:t>名 称：广西国泰招标咨询有限公司</w:t>
      </w:r>
    </w:p>
    <w:p>
      <w:pPr>
        <w:spacing w:line="420" w:lineRule="exact"/>
        <w:ind w:firstLine="567" w:firstLineChars="270"/>
        <w:rPr>
          <w:rFonts w:ascii="宋体" w:hAnsi="宋体"/>
          <w:szCs w:val="21"/>
        </w:rPr>
      </w:pPr>
      <w:r>
        <w:rPr>
          <w:rFonts w:hint="eastAsia" w:ascii="宋体" w:hAnsi="宋体"/>
          <w:szCs w:val="21"/>
        </w:rPr>
        <w:t>地　址：广西南宁市民族大道141号中鼎万象东方大厦D区六层</w:t>
      </w:r>
    </w:p>
    <w:p>
      <w:pPr>
        <w:spacing w:line="420" w:lineRule="exact"/>
        <w:ind w:firstLine="567" w:firstLineChars="270"/>
        <w:rPr>
          <w:rFonts w:ascii="宋体" w:hAnsi="宋体"/>
          <w:szCs w:val="21"/>
        </w:rPr>
      </w:pPr>
      <w:r>
        <w:rPr>
          <w:rFonts w:hint="eastAsia" w:ascii="宋体" w:hAnsi="宋体"/>
          <w:szCs w:val="21"/>
        </w:rPr>
        <w:t>联系方式：</w:t>
      </w:r>
      <w:bookmarkStart w:id="40" w:name="_Toc28359087"/>
      <w:bookmarkStart w:id="41" w:name="_Toc28359010"/>
      <w:r>
        <w:rPr>
          <w:rFonts w:hint="eastAsia" w:ascii="宋体" w:hAnsi="宋体"/>
          <w:szCs w:val="21"/>
        </w:rPr>
        <w:t>0771-2718849</w:t>
      </w:r>
    </w:p>
    <w:p>
      <w:pPr>
        <w:spacing w:line="420" w:lineRule="exact"/>
        <w:ind w:firstLine="567" w:firstLineChars="270"/>
        <w:rPr>
          <w:rFonts w:ascii="宋体" w:hAnsi="宋体" w:cs="Arial"/>
          <w:szCs w:val="21"/>
        </w:rPr>
      </w:pPr>
      <w:r>
        <w:rPr>
          <w:rFonts w:hint="eastAsia" w:ascii="宋体" w:hAnsi="宋体" w:cs="Arial"/>
          <w:szCs w:val="21"/>
        </w:rPr>
        <w:t>3.项目</w:t>
      </w:r>
      <w:r>
        <w:rPr>
          <w:rFonts w:ascii="宋体" w:hAnsi="宋体" w:cs="Arial"/>
          <w:szCs w:val="21"/>
        </w:rPr>
        <w:t>联系方式</w:t>
      </w:r>
      <w:bookmarkEnd w:id="40"/>
      <w:bookmarkEnd w:id="41"/>
    </w:p>
    <w:p>
      <w:pPr>
        <w:pStyle w:val="12"/>
        <w:spacing w:line="420" w:lineRule="exact"/>
        <w:ind w:firstLine="567" w:firstLineChars="270"/>
        <w:rPr>
          <w:rFonts w:hAnsi="宋体" w:cs="Arial"/>
          <w:kern w:val="2"/>
          <w:sz w:val="21"/>
        </w:rPr>
      </w:pPr>
      <w:r>
        <w:rPr>
          <w:rFonts w:hint="eastAsia" w:hAnsi="宋体" w:cs="Arial"/>
          <w:kern w:val="2"/>
          <w:sz w:val="21"/>
        </w:rPr>
        <w:t>项目联系人：李鑫金</w:t>
      </w:r>
      <w:r>
        <w:rPr>
          <w:rFonts w:hAnsi="宋体" w:cs="Arial"/>
          <w:kern w:val="2"/>
          <w:sz w:val="21"/>
        </w:rPr>
        <w:t xml:space="preserve"> </w:t>
      </w:r>
    </w:p>
    <w:p>
      <w:pPr>
        <w:spacing w:line="420" w:lineRule="exact"/>
        <w:ind w:firstLine="567" w:firstLineChars="270"/>
        <w:rPr>
          <w:rFonts w:ascii="宋体" w:hAnsi="宋体"/>
          <w:szCs w:val="21"/>
        </w:rPr>
      </w:pPr>
      <w:r>
        <w:rPr>
          <w:rFonts w:hint="eastAsia" w:ascii="宋体" w:hAnsi="宋体" w:cs="Arial"/>
          <w:szCs w:val="21"/>
        </w:rPr>
        <w:t>电　话：</w:t>
      </w:r>
      <w:r>
        <w:rPr>
          <w:rFonts w:hint="eastAsia" w:ascii="宋体" w:hAnsi="宋体"/>
          <w:szCs w:val="21"/>
        </w:rPr>
        <w:t>0771-2718849</w:t>
      </w:r>
    </w:p>
    <w:p>
      <w:pPr>
        <w:spacing w:line="380" w:lineRule="exact"/>
        <w:rPr>
          <w:rFonts w:hint="eastAsia" w:ascii="宋体" w:hAnsi="宋体" w:cs="Arial"/>
          <w:szCs w:val="21"/>
        </w:rPr>
      </w:pPr>
    </w:p>
    <w:p>
      <w:pPr>
        <w:spacing w:line="380" w:lineRule="exact"/>
        <w:ind w:firstLine="6405" w:firstLineChars="3050"/>
        <w:rPr>
          <w:rFonts w:hint="eastAsia" w:ascii="宋体" w:hAnsi="宋体"/>
          <w:szCs w:val="21"/>
        </w:rPr>
      </w:pPr>
      <w:r>
        <w:rPr>
          <w:rFonts w:hint="eastAsia" w:ascii="宋体" w:hAnsi="宋体"/>
          <w:szCs w:val="21"/>
        </w:rPr>
        <w:t>广西国泰招标咨询有限公司</w:t>
      </w:r>
    </w:p>
    <w:p>
      <w:pPr>
        <w:snapToGrid w:val="0"/>
        <w:spacing w:line="380" w:lineRule="exact"/>
        <w:ind w:left="238"/>
        <w:rPr>
          <w:rFonts w:ascii="宋体" w:hAnsi="宋体" w:cs="Arial"/>
        </w:rPr>
      </w:pPr>
      <w:r>
        <w:rPr>
          <w:rFonts w:hint="eastAsia"/>
        </w:rPr>
        <w:t xml:space="preserve">                                                           </w:t>
      </w:r>
      <w:r>
        <w:rPr>
          <w:rFonts w:hint="eastAsia" w:ascii="宋体" w:hAnsi="宋体" w:cs="Arial"/>
          <w:szCs w:val="21"/>
        </w:rPr>
        <w:t xml:space="preserve">   2024年</w:t>
      </w:r>
      <w:r>
        <w:rPr>
          <w:rFonts w:hint="eastAsia" w:ascii="宋体" w:hAnsi="宋体" w:cs="Arial"/>
          <w:szCs w:val="21"/>
          <w:lang w:val="en-US" w:eastAsia="zh-CN"/>
        </w:rPr>
        <w:t>4</w:t>
      </w:r>
      <w:r>
        <w:rPr>
          <w:rFonts w:hint="eastAsia" w:ascii="宋体" w:hAnsi="宋体" w:cs="Arial"/>
          <w:szCs w:val="21"/>
        </w:rPr>
        <w:t>月</w:t>
      </w:r>
      <w:r>
        <w:rPr>
          <w:rFonts w:hint="eastAsia" w:ascii="宋体" w:hAnsi="宋体" w:cs="Arial"/>
          <w:szCs w:val="21"/>
          <w:lang w:val="en-US" w:eastAsia="zh-CN"/>
        </w:rPr>
        <w:t>19</w:t>
      </w:r>
      <w:r>
        <w:rPr>
          <w:rFonts w:hint="eastAsia" w:ascii="宋体" w:hAnsi="宋体" w:cs="Arial"/>
          <w:szCs w:val="21"/>
        </w:rPr>
        <w:t>日</w:t>
      </w:r>
    </w:p>
    <w:p>
      <w:pPr>
        <w:snapToGrid w:val="0"/>
        <w:spacing w:line="320" w:lineRule="exact"/>
        <w:rPr>
          <w:rFonts w:hint="eastAsia" w:ascii="仿宋_GB2312" w:hAnsi="宋体" w:eastAsia="仿宋_GB2312"/>
          <w:sz w:val="24"/>
          <w:szCs w:val="20"/>
        </w:rPr>
      </w:pPr>
    </w:p>
    <w:p>
      <w:pPr>
        <w:pStyle w:val="2"/>
        <w:jc w:val="center"/>
        <w:rPr>
          <w:rFonts w:hint="eastAsia"/>
        </w:rPr>
      </w:pPr>
      <w:bookmarkStart w:id="42" w:name="_Toc74320801"/>
    </w:p>
    <w:p>
      <w:pPr>
        <w:pStyle w:val="2"/>
        <w:jc w:val="center"/>
        <w:rPr>
          <w:rFonts w:hint="eastAsia"/>
        </w:rPr>
      </w:pPr>
    </w:p>
    <w:p>
      <w:pPr>
        <w:pStyle w:val="2"/>
        <w:jc w:val="center"/>
        <w:rPr>
          <w:rFonts w:hint="eastAsia"/>
        </w:rPr>
      </w:pPr>
    </w:p>
    <w:p>
      <w:pPr>
        <w:pStyle w:val="2"/>
        <w:jc w:val="center"/>
        <w:rPr>
          <w:rFonts w:hint="eastAsia"/>
        </w:rPr>
      </w:pPr>
    </w:p>
    <w:p>
      <w:pPr>
        <w:pStyle w:val="2"/>
        <w:jc w:val="center"/>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hint="eastAsia"/>
        </w:rPr>
      </w:pPr>
      <w:r>
        <w:rPr>
          <w:rFonts w:hint="eastAsia"/>
        </w:rPr>
        <w:t>第二章  采购需求</w:t>
      </w:r>
      <w:bookmarkEnd w:id="42"/>
    </w:p>
    <w:p>
      <w:pPr>
        <w:spacing w:line="360" w:lineRule="exact"/>
        <w:ind w:left="-10" w:leftChars="-5" w:right="2" w:rightChars="1" w:firstLine="422" w:firstLineChars="200"/>
        <w:rPr>
          <w:rFonts w:hint="eastAsia" w:hAnsi="宋体"/>
          <w:b/>
          <w:bCs/>
        </w:rPr>
      </w:pPr>
      <w:bookmarkStart w:id="43" w:name="_Hlk65055179"/>
      <w:bookmarkStart w:id="44" w:name="_Toc254970490"/>
      <w:bookmarkStart w:id="45" w:name="_Toc254970631"/>
      <w:r>
        <w:rPr>
          <w:rFonts w:hint="eastAsia" w:hAnsi="宋体"/>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中的技术(服务)要求。</w:t>
      </w:r>
    </w:p>
    <w:p>
      <w:pPr>
        <w:spacing w:line="360" w:lineRule="exact"/>
        <w:ind w:left="-10" w:leftChars="-5" w:right="2" w:rightChars="1" w:firstLine="422" w:firstLineChars="200"/>
        <w:rPr>
          <w:rFonts w:hint="eastAsia" w:hAnsi="宋体"/>
          <w:b/>
          <w:bCs/>
        </w:rPr>
      </w:pPr>
      <w:r>
        <w:rPr>
          <w:rFonts w:hint="eastAsia" w:hAnsi="宋体"/>
          <w:b/>
          <w:bCs/>
        </w:rPr>
        <w:t>2、根据《财政部 发展改革委 生态环境部 市场监管总局关于调整优化节能产品、环境标志产品政府采购执行机制的通知》（财库〔2019〕9 号）和《关于印发节能产品政府采购品目清单的通知》（财库〔2019〕19 号）的规定，采购需求中如有货物产品，且货物产品属于节能产品政府采购品目清单内标注“★”的（详见本章后附的节能产品政府采购品目清单），投标人的投标货物必须使用政府强制采购的节能产品，否则投标文件作无效处理。</w:t>
      </w:r>
    </w:p>
    <w:p>
      <w:pPr>
        <w:spacing w:line="360" w:lineRule="exact"/>
        <w:ind w:left="-10" w:leftChars="-5" w:right="2" w:rightChars="1" w:firstLine="422" w:firstLineChars="200"/>
        <w:rPr>
          <w:rFonts w:hint="eastAsia" w:hAnsi="宋体"/>
          <w:b/>
          <w:bCs/>
        </w:rPr>
      </w:pPr>
      <w:r>
        <w:rPr>
          <w:rFonts w:hint="eastAsia" w:hAnsi="宋体"/>
          <w:b/>
          <w:bCs/>
        </w:rPr>
        <w:t>3、如投标人投标产品存在侵犯他人的知识产权或者专利成果行为的，由投标人自行承担相应法律责任。</w:t>
      </w:r>
    </w:p>
    <w:p>
      <w:pPr>
        <w:spacing w:line="360" w:lineRule="exact"/>
        <w:ind w:left="-10" w:leftChars="-5" w:right="2" w:rightChars="1" w:firstLine="422" w:firstLineChars="200"/>
        <w:rPr>
          <w:rFonts w:hint="eastAsia" w:hAnsi="宋体"/>
          <w:b/>
          <w:bCs/>
        </w:rPr>
      </w:pPr>
      <w:r>
        <w:rPr>
          <w:rFonts w:hint="eastAsia" w:hAnsi="宋体"/>
          <w:b/>
          <w:bCs/>
        </w:rPr>
        <w:t>4、“实质性要求”是指招标文件中已经指明不满足则投标无效的条款，或者不能负偏离的条款，或者采购需求中带“▲”的条款。</w:t>
      </w:r>
    </w:p>
    <w:p>
      <w:pPr>
        <w:spacing w:line="360" w:lineRule="exact"/>
        <w:ind w:left="-10" w:leftChars="-5" w:right="2" w:rightChars="1" w:firstLine="422" w:firstLineChars="200"/>
        <w:rPr>
          <w:rFonts w:hint="eastAsia" w:hAnsi="宋体"/>
          <w:b/>
          <w:bCs/>
        </w:rPr>
      </w:pPr>
      <w:r>
        <w:rPr>
          <w:rFonts w:hint="eastAsia" w:hAnsi="宋体"/>
          <w:b/>
          <w:bCs/>
        </w:rPr>
        <w:t>5、投标人应根据自身实际情况如实响应招标文件。</w:t>
      </w:r>
    </w:p>
    <w:p>
      <w:pPr>
        <w:spacing w:line="360" w:lineRule="exact"/>
        <w:ind w:left="-10" w:leftChars="-5" w:right="2" w:rightChars="1" w:firstLine="422" w:firstLineChars="200"/>
        <w:rPr>
          <w:rFonts w:hAnsi="宋体"/>
          <w:b/>
          <w:bCs/>
        </w:rPr>
      </w:pPr>
      <w:r>
        <w:rPr>
          <w:rFonts w:hint="eastAsia" w:hAnsi="宋体"/>
          <w:b/>
          <w:bCs/>
        </w:rPr>
        <w:t>6、本项目所属行业：软件和信息技术服务业</w:t>
      </w:r>
    </w:p>
    <w:bookmarkEnd w:id="43"/>
    <w:p>
      <w:pPr>
        <w:spacing w:line="360" w:lineRule="auto"/>
        <w:ind w:firstLine="310" w:firstLineChars="147"/>
        <w:jc w:val="left"/>
        <w:rPr>
          <w:rFonts w:hint="eastAsia" w:ascii="宋体" w:hAnsi="宋体" w:cs="Arial"/>
          <w:bCs/>
          <w:szCs w:val="21"/>
          <w:u w:val="single"/>
        </w:rPr>
      </w:pPr>
      <w:r>
        <w:rPr>
          <w:rFonts w:hint="eastAsia" w:ascii="宋体" w:hAnsi="宋体"/>
          <w:b/>
          <w:szCs w:val="21"/>
        </w:rPr>
        <w:t xml:space="preserve"> 采购限额：</w:t>
      </w:r>
      <w:r>
        <w:rPr>
          <w:rFonts w:hint="eastAsia" w:ascii="宋体" w:hAnsi="宋体" w:cs="Arial"/>
          <w:bCs/>
          <w:szCs w:val="21"/>
          <w:u w:val="single"/>
        </w:rPr>
        <w:t>4089.7</w:t>
      </w:r>
      <w:r>
        <w:rPr>
          <w:rFonts w:hint="eastAsia" w:ascii="宋体" w:hAnsi="宋体"/>
          <w:szCs w:val="21"/>
          <w:u w:val="single"/>
        </w:rPr>
        <w:t xml:space="preserve"> 万元</w:t>
      </w:r>
      <w:r>
        <w:rPr>
          <w:rFonts w:hint="eastAsia" w:ascii="宋体" w:hAnsi="宋体" w:cs="Arial"/>
          <w:bCs/>
          <w:szCs w:val="21"/>
          <w:u w:val="single"/>
        </w:rPr>
        <w:t>。</w:t>
      </w:r>
    </w:p>
    <w:bookmarkEnd w:id="44"/>
    <w:bookmarkEnd w:id="45"/>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134"/>
        <w:gridCol w:w="189"/>
        <w:gridCol w:w="662"/>
        <w:gridCol w:w="6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8" w:type="dxa"/>
            <w:noWrap w:val="0"/>
            <w:vAlign w:val="center"/>
          </w:tcPr>
          <w:p>
            <w:pPr>
              <w:tabs>
                <w:tab w:val="left" w:pos="180"/>
                <w:tab w:val="left" w:pos="1620"/>
              </w:tabs>
              <w:spacing w:line="320" w:lineRule="exact"/>
              <w:jc w:val="center"/>
              <w:rPr>
                <w:rFonts w:hint="eastAsia" w:ascii="宋体" w:hAnsi="宋体" w:cs="宋体"/>
                <w:szCs w:val="21"/>
              </w:rPr>
            </w:pPr>
            <w:r>
              <w:rPr>
                <w:rFonts w:hint="eastAsia" w:ascii="宋体" w:hAnsi="宋体" w:cs="宋体"/>
                <w:szCs w:val="21"/>
              </w:rPr>
              <w:t>序号</w:t>
            </w:r>
          </w:p>
        </w:tc>
        <w:tc>
          <w:tcPr>
            <w:tcW w:w="1134" w:type="dxa"/>
            <w:noWrap w:val="0"/>
            <w:vAlign w:val="center"/>
          </w:tcPr>
          <w:p>
            <w:pPr>
              <w:tabs>
                <w:tab w:val="left" w:pos="180"/>
                <w:tab w:val="left" w:pos="1620"/>
              </w:tabs>
              <w:spacing w:line="320" w:lineRule="exact"/>
              <w:jc w:val="center"/>
              <w:rPr>
                <w:rFonts w:hint="eastAsia" w:ascii="宋体" w:hAnsi="宋体" w:cs="宋体"/>
                <w:szCs w:val="21"/>
              </w:rPr>
            </w:pPr>
            <w:r>
              <w:rPr>
                <w:rFonts w:hint="eastAsia" w:ascii="宋体" w:hAnsi="宋体" w:cs="宋体"/>
                <w:szCs w:val="21"/>
              </w:rPr>
              <w:t>标的名称</w:t>
            </w:r>
          </w:p>
        </w:tc>
        <w:tc>
          <w:tcPr>
            <w:tcW w:w="851" w:type="dxa"/>
            <w:gridSpan w:val="2"/>
            <w:noWrap w:val="0"/>
            <w:vAlign w:val="top"/>
          </w:tcPr>
          <w:p>
            <w:pPr>
              <w:tabs>
                <w:tab w:val="left" w:pos="180"/>
                <w:tab w:val="left" w:pos="1620"/>
              </w:tabs>
              <w:spacing w:line="320" w:lineRule="exact"/>
              <w:jc w:val="center"/>
              <w:rPr>
                <w:rFonts w:ascii="宋体" w:hAnsi="宋体" w:cs="宋体"/>
                <w:szCs w:val="21"/>
              </w:rPr>
            </w:pPr>
            <w:r>
              <w:rPr>
                <w:rFonts w:hint="eastAsia" w:ascii="宋体" w:hAnsi="宋体" w:cs="宋体"/>
                <w:szCs w:val="21"/>
              </w:rPr>
              <w:t>数量及</w:t>
            </w:r>
          </w:p>
          <w:p>
            <w:pPr>
              <w:tabs>
                <w:tab w:val="left" w:pos="180"/>
                <w:tab w:val="left" w:pos="1620"/>
              </w:tabs>
              <w:spacing w:line="320" w:lineRule="exact"/>
              <w:jc w:val="center"/>
              <w:rPr>
                <w:rFonts w:hint="eastAsia" w:ascii="宋体" w:hAnsi="宋体" w:cs="宋体"/>
                <w:szCs w:val="21"/>
              </w:rPr>
            </w:pPr>
            <w:r>
              <w:rPr>
                <w:rFonts w:hint="eastAsia" w:ascii="宋体" w:hAnsi="宋体" w:cs="宋体"/>
                <w:szCs w:val="21"/>
              </w:rPr>
              <w:t>单位</w:t>
            </w:r>
          </w:p>
        </w:tc>
        <w:tc>
          <w:tcPr>
            <w:tcW w:w="6902" w:type="dxa"/>
            <w:noWrap w:val="0"/>
            <w:vAlign w:val="center"/>
          </w:tcPr>
          <w:p>
            <w:pPr>
              <w:tabs>
                <w:tab w:val="left" w:pos="180"/>
                <w:tab w:val="left" w:pos="1620"/>
              </w:tabs>
              <w:spacing w:line="320" w:lineRule="exact"/>
              <w:jc w:val="center"/>
              <w:rPr>
                <w:rFonts w:hint="eastAsia" w:ascii="宋体" w:hAnsi="宋体" w:cs="宋体"/>
                <w:szCs w:val="21"/>
              </w:rPr>
            </w:pPr>
            <w:r>
              <w:rPr>
                <w:rFonts w:hint="eastAsia" w:ascii="宋体" w:hAnsi="宋体"/>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8" w:type="dxa"/>
            <w:noWrap w:val="0"/>
            <w:vAlign w:val="center"/>
          </w:tcPr>
          <w:p>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1</w:t>
            </w:r>
          </w:p>
        </w:tc>
        <w:tc>
          <w:tcPr>
            <w:tcW w:w="1134" w:type="dxa"/>
            <w:noWrap w:val="0"/>
            <w:vAlign w:val="center"/>
          </w:tcPr>
          <w:p>
            <w:pPr>
              <w:tabs>
                <w:tab w:val="left" w:pos="180"/>
                <w:tab w:val="left" w:pos="1620"/>
              </w:tabs>
              <w:spacing w:line="360" w:lineRule="auto"/>
              <w:jc w:val="center"/>
              <w:rPr>
                <w:rFonts w:hint="eastAsia" w:ascii="宋体" w:hAnsi="宋体" w:cs="宋体"/>
                <w:szCs w:val="21"/>
              </w:rPr>
            </w:pPr>
            <w:r>
              <w:rPr>
                <w:rFonts w:hint="eastAsia" w:ascii="宋体" w:hAnsi="宋体" w:cs="宋体"/>
                <w:szCs w:val="21"/>
              </w:rPr>
              <w:t>2024-2026年度厅机关信息系统机房租赁项目</w:t>
            </w:r>
          </w:p>
        </w:tc>
        <w:tc>
          <w:tcPr>
            <w:tcW w:w="851" w:type="dxa"/>
            <w:gridSpan w:val="2"/>
            <w:noWrap w:val="0"/>
            <w:vAlign w:val="center"/>
          </w:tcPr>
          <w:p>
            <w:pPr>
              <w:pStyle w:val="8"/>
              <w:spacing w:line="360" w:lineRule="auto"/>
              <w:ind w:left="34"/>
              <w:jc w:val="center"/>
              <w:rPr>
                <w:rFonts w:hint="eastAsia" w:ascii="宋体" w:hAnsi="宋体" w:cs="Arial"/>
                <w:szCs w:val="21"/>
                <w:lang w:val="en-US" w:eastAsia="zh-CN"/>
              </w:rPr>
            </w:pPr>
            <w:r>
              <w:rPr>
                <w:rFonts w:hint="eastAsia" w:ascii="宋体" w:hAnsi="宋体" w:cs="Arial"/>
                <w:szCs w:val="21"/>
                <w:lang w:val="en-US" w:eastAsia="zh-CN"/>
              </w:rPr>
              <w:t>1项</w:t>
            </w:r>
          </w:p>
        </w:tc>
        <w:tc>
          <w:tcPr>
            <w:tcW w:w="6902" w:type="dxa"/>
            <w:noWrap w:val="0"/>
            <w:vAlign w:val="center"/>
          </w:tcPr>
          <w:p>
            <w:pPr>
              <w:pStyle w:val="17"/>
              <w:ind w:firstLine="0" w:firstLineChars="0"/>
              <w:rPr>
                <w:rFonts w:hint="eastAsia"/>
                <w:b/>
                <w:bCs/>
                <w:sz w:val="21"/>
                <w:szCs w:val="21"/>
                <w:lang w:val="en-US" w:eastAsia="zh-CN"/>
              </w:rPr>
            </w:pPr>
            <w:r>
              <w:rPr>
                <w:rFonts w:hint="eastAsia"/>
                <w:b/>
                <w:bCs/>
                <w:sz w:val="21"/>
                <w:szCs w:val="21"/>
                <w:lang w:val="en-US" w:eastAsia="zh-CN"/>
              </w:rPr>
              <w:t>一、项目概述</w:t>
            </w:r>
          </w:p>
          <w:p>
            <w:pPr>
              <w:pStyle w:val="17"/>
              <w:ind w:firstLine="0" w:firstLineChars="0"/>
              <w:rPr>
                <w:rFonts w:hint="eastAsia"/>
                <w:sz w:val="21"/>
                <w:szCs w:val="21"/>
                <w:lang w:val="en-US" w:eastAsia="zh-CN"/>
              </w:rPr>
            </w:pPr>
            <w:r>
              <w:rPr>
                <w:rFonts w:hint="eastAsia"/>
                <w:sz w:val="21"/>
                <w:szCs w:val="21"/>
                <w:lang w:val="en-US" w:eastAsia="zh-CN"/>
              </w:rPr>
              <w:t>随着采购人数字化转型的不断开展和深入，信息系统规模和数据量日渐庞大，用户数量不断增长，用户对信息运维实战化的要求也不断提高。为保障采购人信息系统安全、稳定、高效运行，保持系统的可用性与连续性，结合采购人维护服务管理体系，与采购人配合实现维护服务的标准化、规范化、集中化、流程化等目标。</w:t>
            </w:r>
          </w:p>
          <w:p>
            <w:pPr>
              <w:pStyle w:val="17"/>
              <w:ind w:firstLine="0" w:firstLineChars="0"/>
              <w:rPr>
                <w:rFonts w:hint="eastAsia"/>
                <w:sz w:val="21"/>
                <w:szCs w:val="21"/>
                <w:lang w:val="en-US" w:eastAsia="zh-CN"/>
              </w:rPr>
            </w:pPr>
            <w:r>
              <w:rPr>
                <w:rFonts w:hint="eastAsia"/>
                <w:sz w:val="21"/>
                <w:szCs w:val="21"/>
                <w:lang w:val="en-US" w:eastAsia="zh-CN"/>
              </w:rPr>
              <w:t>本项目为确保多个核心业务系统实时有效运行。</w:t>
            </w:r>
          </w:p>
          <w:p>
            <w:pPr>
              <w:pStyle w:val="17"/>
              <w:ind w:firstLine="0" w:firstLineChars="0"/>
              <w:rPr>
                <w:rFonts w:hint="eastAsia"/>
                <w:b/>
                <w:bCs/>
                <w:sz w:val="21"/>
                <w:szCs w:val="21"/>
                <w:lang w:val="en-US" w:eastAsia="zh-CN"/>
              </w:rPr>
            </w:pPr>
            <w:r>
              <w:rPr>
                <w:rFonts w:hint="eastAsia"/>
                <w:b/>
                <w:bCs/>
                <w:sz w:val="21"/>
                <w:szCs w:val="21"/>
                <w:lang w:val="en-US" w:eastAsia="zh-CN"/>
              </w:rPr>
              <w:t>二、服务内容</w:t>
            </w:r>
          </w:p>
          <w:p>
            <w:pPr>
              <w:pStyle w:val="17"/>
              <w:ind w:firstLine="0" w:firstLineChars="0"/>
              <w:rPr>
                <w:sz w:val="21"/>
                <w:szCs w:val="21"/>
                <w:lang w:val="en-US" w:eastAsia="zh-CN"/>
              </w:rPr>
            </w:pPr>
            <w:r>
              <w:rPr>
                <w:rFonts w:hint="eastAsia"/>
                <w:sz w:val="21"/>
                <w:szCs w:val="21"/>
                <w:lang w:val="en-US" w:eastAsia="zh-CN"/>
              </w:rPr>
              <w:t>具备数据中心运营管理经验及机房场地外包服务经验，且具备运营数据中心自有团队负责机房关键基础设施的运行管理和日常维护，包括供基本要求、机房要求、配套系统、电力系统、机房通信线路及传输设备要求等。</w:t>
            </w:r>
          </w:p>
          <w:p>
            <w:pPr>
              <w:pStyle w:val="17"/>
              <w:ind w:firstLine="0" w:firstLineChars="0"/>
              <w:rPr>
                <w:rFonts w:hint="eastAsia"/>
                <w:b/>
                <w:bCs/>
                <w:sz w:val="21"/>
                <w:szCs w:val="21"/>
                <w:lang w:val="en-US" w:eastAsia="zh-CN"/>
              </w:rPr>
            </w:pPr>
            <w:r>
              <w:rPr>
                <w:rFonts w:hint="eastAsia"/>
                <w:b/>
                <w:bCs/>
                <w:sz w:val="21"/>
                <w:szCs w:val="21"/>
                <w:lang w:val="en-US" w:eastAsia="zh-CN"/>
              </w:rPr>
              <w:t>（一）基本要求</w:t>
            </w:r>
          </w:p>
          <w:p>
            <w:pPr>
              <w:rPr>
                <w:rFonts w:hint="eastAsia"/>
              </w:rPr>
            </w:pPr>
            <w:r>
              <w:rPr>
                <w:rFonts w:hint="eastAsia"/>
              </w:rPr>
              <w:t>1、机房等保要求</w:t>
            </w:r>
          </w:p>
          <w:p>
            <w:pPr>
              <w:pStyle w:val="17"/>
              <w:ind w:firstLine="0" w:firstLineChars="0"/>
              <w:rPr>
                <w:rFonts w:hint="eastAsia"/>
                <w:sz w:val="21"/>
                <w:szCs w:val="21"/>
                <w:lang w:val="en-US" w:eastAsia="zh-CN"/>
              </w:rPr>
            </w:pPr>
            <w:r>
              <w:rPr>
                <w:rFonts w:hint="eastAsia"/>
                <w:sz w:val="21"/>
                <w:szCs w:val="21"/>
                <w:lang w:val="en-US" w:eastAsia="zh-CN"/>
              </w:rPr>
              <w:t>机房符合《信息安全技术网络安全等级保护基本要求》（GB/T 22239-2019）中信息安全技术网络安全等级保护第三级要求。</w:t>
            </w:r>
          </w:p>
          <w:p>
            <w:pPr>
              <w:pStyle w:val="17"/>
              <w:ind w:firstLine="0" w:firstLineChars="0"/>
              <w:rPr>
                <w:rFonts w:hint="eastAsia"/>
                <w:sz w:val="21"/>
                <w:szCs w:val="21"/>
                <w:lang w:val="en-US" w:eastAsia="zh-CN"/>
              </w:rPr>
            </w:pPr>
            <w:r>
              <w:rPr>
                <w:rFonts w:hint="eastAsia"/>
                <w:sz w:val="21"/>
                <w:szCs w:val="21"/>
                <w:lang w:val="en-US" w:eastAsia="zh-CN"/>
              </w:rPr>
              <w:t>2、机房等级</w:t>
            </w:r>
          </w:p>
          <w:p>
            <w:pPr>
              <w:pStyle w:val="17"/>
              <w:ind w:firstLine="0" w:firstLineChars="0"/>
              <w:rPr>
                <w:rFonts w:hint="eastAsia"/>
                <w:sz w:val="21"/>
                <w:szCs w:val="21"/>
                <w:lang w:val="en-US" w:eastAsia="zh-CN"/>
              </w:rPr>
            </w:pPr>
            <w:r>
              <w:rPr>
                <w:rFonts w:hint="eastAsia"/>
                <w:sz w:val="21"/>
                <w:szCs w:val="21"/>
                <w:lang w:val="en-US" w:eastAsia="zh-CN"/>
              </w:rPr>
              <w:t>机房等级符合《数据中心设计规范》（GB50174-2017）B级（含）或同等星级机房以上标准。</w:t>
            </w:r>
          </w:p>
          <w:p>
            <w:pPr>
              <w:pStyle w:val="17"/>
              <w:ind w:firstLine="0" w:firstLineChars="0"/>
              <w:rPr>
                <w:rFonts w:hint="eastAsia"/>
                <w:sz w:val="21"/>
                <w:szCs w:val="21"/>
                <w:lang w:val="en-US" w:eastAsia="zh-CN"/>
              </w:rPr>
            </w:pPr>
            <w:r>
              <w:rPr>
                <w:rFonts w:hint="eastAsia"/>
                <w:sz w:val="21"/>
                <w:szCs w:val="21"/>
                <w:lang w:val="en-US" w:eastAsia="zh-CN"/>
              </w:rPr>
              <w:t>3、机房场地环境</w:t>
            </w:r>
          </w:p>
          <w:p>
            <w:pPr>
              <w:pStyle w:val="17"/>
              <w:ind w:firstLine="0" w:firstLineChars="0"/>
              <w:rPr>
                <w:sz w:val="21"/>
                <w:szCs w:val="21"/>
                <w:lang w:val="en-US" w:eastAsia="zh-CN"/>
              </w:rPr>
            </w:pPr>
            <w:r>
              <w:rPr>
                <w:sz w:val="21"/>
                <w:szCs w:val="21"/>
                <w:lang w:val="en-US" w:eastAsia="zh-CN"/>
              </w:rPr>
              <w:t>中标人提供服务的数据中心应在</w:t>
            </w:r>
            <w:r>
              <w:rPr>
                <w:rFonts w:hint="eastAsia"/>
                <w:sz w:val="21"/>
                <w:szCs w:val="21"/>
                <w:lang w:val="en-US" w:eastAsia="zh-CN"/>
              </w:rPr>
              <w:t>南宁市城区</w:t>
            </w:r>
            <w:r>
              <w:rPr>
                <w:sz w:val="21"/>
                <w:szCs w:val="21"/>
                <w:lang w:val="en-US" w:eastAsia="zh-CN"/>
              </w:rPr>
              <w:t>内</w:t>
            </w:r>
            <w:r>
              <w:rPr>
                <w:rFonts w:hint="eastAsia"/>
                <w:sz w:val="21"/>
                <w:szCs w:val="21"/>
                <w:lang w:val="en-US" w:eastAsia="zh-CN"/>
              </w:rPr>
              <w:t>（不含武鸣）</w:t>
            </w:r>
            <w:r>
              <w:rPr>
                <w:sz w:val="21"/>
                <w:szCs w:val="21"/>
                <w:lang w:val="en-US" w:eastAsia="zh-CN"/>
              </w:rPr>
              <w:t>。远离无线电、强电干扰，避开地震区，避开环境污染区，远离容易发生燃烧、爆炸、洪水和低凹地区，周边有良好的市政配套环境，网络通信资源丰富。机房所在建筑物要求为运营商自有机房，建筑结构形式为框架架构，建筑物安全等级不低于二级，设计使用年限不少于50年，地震进行抗震设防不低于7度，设计地震分组为第一组，框架抗震等级为三级，抗震设防类别为乙类。机房场地不设在建筑物高层或地下室，以及用水设备的下层或隔壁。中标人提供服务的数据中心应保证物理环境安全。</w:t>
            </w:r>
          </w:p>
          <w:p>
            <w:pPr>
              <w:pStyle w:val="17"/>
              <w:ind w:firstLine="0" w:firstLineChars="0"/>
              <w:rPr>
                <w:rFonts w:hint="eastAsia"/>
                <w:sz w:val="21"/>
                <w:szCs w:val="21"/>
                <w:lang w:val="en-US" w:eastAsia="zh-CN"/>
              </w:rPr>
            </w:pPr>
            <w:r>
              <w:rPr>
                <w:rFonts w:hint="eastAsia"/>
                <w:sz w:val="21"/>
                <w:szCs w:val="21"/>
                <w:lang w:val="en-US" w:eastAsia="zh-CN"/>
              </w:rPr>
              <w:t>4、可扩展性</w:t>
            </w:r>
          </w:p>
          <w:p>
            <w:pPr>
              <w:pStyle w:val="17"/>
              <w:ind w:firstLine="0" w:firstLineChars="0"/>
              <w:rPr>
                <w:sz w:val="21"/>
                <w:szCs w:val="21"/>
                <w:lang w:val="en-US" w:eastAsia="zh-CN"/>
              </w:rPr>
            </w:pPr>
            <w:r>
              <w:rPr>
                <w:sz w:val="21"/>
                <w:szCs w:val="21"/>
                <w:lang w:val="en-US" w:eastAsia="zh-CN"/>
              </w:rPr>
              <w:t>考虑到采购人信息化建设和信息系统扩展不断发展的需要，中标人提供服务的数据中心机房在场地面积、机柜数量、电力容量、空调容量、通讯能力等方面都应有足够的余量，以满足采购人实际使用扩展需要（详见机房空间及技术要求）。</w:t>
            </w:r>
          </w:p>
          <w:p>
            <w:pPr>
              <w:pStyle w:val="17"/>
              <w:ind w:firstLine="0" w:firstLineChars="0"/>
              <w:rPr>
                <w:rFonts w:hint="eastAsia"/>
                <w:sz w:val="21"/>
                <w:szCs w:val="21"/>
                <w:lang w:val="en-US" w:eastAsia="zh-CN"/>
              </w:rPr>
            </w:pPr>
            <w:r>
              <w:rPr>
                <w:rFonts w:hint="eastAsia"/>
                <w:sz w:val="21"/>
                <w:szCs w:val="21"/>
                <w:lang w:val="en-US" w:eastAsia="zh-CN"/>
              </w:rPr>
              <w:t>5、安全性要求</w:t>
            </w:r>
          </w:p>
          <w:p>
            <w:pPr>
              <w:pStyle w:val="17"/>
              <w:ind w:firstLine="0" w:firstLineChars="0"/>
              <w:rPr>
                <w:sz w:val="21"/>
                <w:szCs w:val="21"/>
                <w:lang w:val="en-US" w:eastAsia="zh-CN"/>
              </w:rPr>
            </w:pPr>
            <w:r>
              <w:rPr>
                <w:sz w:val="21"/>
                <w:szCs w:val="21"/>
                <w:lang w:val="en-US" w:eastAsia="zh-CN"/>
              </w:rPr>
              <w:t>中标人提供服务的数据中心应具有极高的安全性、可用性设计，包括建筑结构、系统冗余能力、物理安全考虑、人员设备控制、消防安全考虑、应急能力、防电磁辐射、防雷、防水、防静电等；机房出入口须由中标人安排专人值守，控制、鉴别和记录进入的人员；需进入机房的来访人员应经过申请和审批流程，并限制和监控其活动范围；应对机房划分区域进行管理，区域和区域之间设置物理隔离装置。</w:t>
            </w:r>
          </w:p>
          <w:p>
            <w:pPr>
              <w:pStyle w:val="17"/>
              <w:ind w:firstLine="0" w:firstLineChars="0"/>
              <w:rPr>
                <w:rFonts w:hint="eastAsia"/>
                <w:b/>
                <w:bCs/>
                <w:sz w:val="21"/>
                <w:szCs w:val="21"/>
                <w:lang w:val="en-US" w:eastAsia="zh-CN"/>
              </w:rPr>
            </w:pPr>
            <w:r>
              <w:rPr>
                <w:rFonts w:hint="eastAsia"/>
                <w:b/>
                <w:bCs/>
                <w:sz w:val="21"/>
                <w:szCs w:val="21"/>
                <w:lang w:val="en-US" w:eastAsia="zh-CN"/>
              </w:rPr>
              <w:t>（二）机房要求</w:t>
            </w:r>
          </w:p>
          <w:p>
            <w:pPr>
              <w:pStyle w:val="17"/>
              <w:ind w:firstLine="0" w:firstLineChars="0"/>
              <w:rPr>
                <w:rFonts w:hint="eastAsia" w:ascii="宋体" w:hAnsi="宋体" w:cs="宋体"/>
                <w:sz w:val="21"/>
                <w:szCs w:val="21"/>
                <w:lang w:val="en-US" w:eastAsia="zh-CN" w:bidi="ar"/>
              </w:rPr>
            </w:pPr>
            <w:r>
              <w:rPr>
                <w:rFonts w:hint="eastAsia"/>
                <w:sz w:val="21"/>
                <w:szCs w:val="21"/>
                <w:lang w:val="en-US" w:eastAsia="zh-CN"/>
              </w:rPr>
              <w:t>1、</w:t>
            </w:r>
            <w:r>
              <w:rPr>
                <w:rFonts w:hint="eastAsia" w:ascii="宋体" w:hAnsi="宋体" w:cs="宋体"/>
                <w:sz w:val="21"/>
                <w:szCs w:val="21"/>
                <w:lang w:val="en-US" w:eastAsia="zh-CN" w:bidi="ar"/>
              </w:rPr>
              <w:t>机房空间及技术要求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w:t>
            </w:r>
            <w:r>
              <w:rPr>
                <w:rFonts w:hint="eastAsia" w:ascii="宋体" w:hAnsi="宋体" w:cs="宋体"/>
                <w:sz w:val="21"/>
                <w:szCs w:val="21"/>
                <w:lang w:val="en-US" w:eastAsia="zh-CN" w:bidi="ar"/>
              </w:rPr>
              <w:t>（1）</w:t>
            </w:r>
            <w:r>
              <w:rPr>
                <w:rFonts w:ascii="宋体" w:hAnsi="宋体" w:cs="宋体"/>
                <w:sz w:val="21"/>
                <w:szCs w:val="21"/>
                <w:lang w:val="en-US" w:eastAsia="zh-CN" w:bidi="ar"/>
              </w:rPr>
              <w:t>机房空间要求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提供能容纳至少341个机柜以上的机房；提供独立专属机房。</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机房技术要求：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要求该机房内只允许采购人业务线路接入，严禁旁路接入，确保采购人业务的线路安全。</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（3）</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 xml:space="preserve">服务期内，中标人负责对所提供的机房和配套设施进行日常巡检及维护，并按月针对当月机房运行使用及维护情况提交维护服务分析报告，报告内容应包含但不限以下内容：机柜利用率、故障分析、维护建议等内容。重大安保活动时，中标人应按用户要求加强保障；       </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按采购人要求每日开展早、中、晚机房巡检工作，巡检内容包含但不限于：机房环境卫生、照明、门禁系统、机柜冷池温湿度、列头柜供电及视频监控等情况，按采购人要求每天提交机房巡检表。</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w:t>
            </w:r>
            <w:r>
              <w:rPr>
                <w:rFonts w:hint="eastAsia" w:ascii="宋体" w:hAnsi="宋体" w:cs="宋体"/>
                <w:sz w:val="21"/>
                <w:szCs w:val="21"/>
                <w:lang w:val="en-US" w:eastAsia="zh-CN" w:bidi="ar"/>
              </w:rPr>
              <w:t>（4）</w:t>
            </w:r>
            <w:r>
              <w:rPr>
                <w:rFonts w:ascii="宋体" w:hAnsi="宋体" w:cs="宋体"/>
                <w:sz w:val="21"/>
                <w:szCs w:val="21"/>
                <w:lang w:val="en-US" w:eastAsia="zh-CN" w:bidi="ar"/>
              </w:rPr>
              <w:t>其他要求：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中标人必须承担采购人在租赁期间租赁机房的水电费用。</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2、机柜要求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w:t>
            </w:r>
            <w:r>
              <w:rPr>
                <w:rFonts w:hint="eastAsia" w:ascii="宋体" w:hAnsi="宋体" w:cs="宋体"/>
                <w:sz w:val="21"/>
                <w:szCs w:val="21"/>
                <w:lang w:val="en-US" w:eastAsia="zh-CN" w:bidi="ar"/>
              </w:rPr>
              <w:t>（1）</w:t>
            </w:r>
            <w:r>
              <w:rPr>
                <w:rFonts w:ascii="宋体" w:hAnsi="宋体" w:cs="宋体"/>
                <w:sz w:val="21"/>
                <w:szCs w:val="21"/>
                <w:lang w:val="en-US" w:eastAsia="zh-CN" w:bidi="ar"/>
              </w:rPr>
              <w:t>机柜技术要求：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提供拥有341个符合国家标准42U服务器规格机柜以上，且每个机柜需提供2个不少于16位PDU供电。</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按照客户需求，能同时提供高、低两种级别功率机柜，其中高功率机柜不低于8KW，数量</w:t>
            </w:r>
            <w:r>
              <w:rPr>
                <w:rFonts w:hint="eastAsia" w:ascii="宋体" w:hAnsi="宋体" w:cs="宋体"/>
                <w:sz w:val="21"/>
                <w:szCs w:val="21"/>
                <w:lang w:val="en-US" w:eastAsia="zh-CN" w:bidi="ar"/>
              </w:rPr>
              <w:t>不少于</w:t>
            </w:r>
            <w:r>
              <w:rPr>
                <w:rFonts w:ascii="宋体" w:hAnsi="宋体" w:cs="宋体"/>
                <w:sz w:val="21"/>
                <w:szCs w:val="21"/>
                <w:lang w:val="en-US" w:eastAsia="zh-CN" w:bidi="ar"/>
              </w:rPr>
              <w:t>61个；低功率机柜不低于3KW，数量</w:t>
            </w:r>
            <w:r>
              <w:rPr>
                <w:rFonts w:hint="eastAsia" w:ascii="宋体" w:hAnsi="宋体" w:cs="宋体"/>
                <w:sz w:val="21"/>
                <w:szCs w:val="21"/>
                <w:lang w:val="en-US" w:eastAsia="zh-CN" w:bidi="ar"/>
              </w:rPr>
              <w:t>不少于2</w:t>
            </w:r>
            <w:r>
              <w:rPr>
                <w:rFonts w:ascii="宋体" w:hAnsi="宋体" w:cs="宋体"/>
                <w:sz w:val="21"/>
                <w:szCs w:val="21"/>
                <w:lang w:val="en-US" w:eastAsia="zh-CN" w:bidi="ar"/>
              </w:rPr>
              <w:t>80个。</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如无法满足采购人特殊设备的上架要求，须根据设备尺寸、供电要求对机柜进行免费升级改造。</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机柜PDU技术要求：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需提供16位国标或欧标（根据用户实际需要配备）三孔PDU（每个PDU至少提供13个10A孔位和2个16A孔位），单条PDU可承载3KW以上功率，且具备过载和防浪涌功能；</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机柜PDU需接入机房动环系统进行电源监测，可精确至对应PDU，且应配备触发声光告警功能。</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（3）</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按采购人要求每年开展两次以上机柜外部进行专业保洁和除尘工作；</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按采购人要求每日开展早、中、晚机柜巡检工作，每天提交机柜巡检记录，并形成档案保存。</w:t>
            </w:r>
          </w:p>
          <w:p>
            <w:pPr>
              <w:pStyle w:val="17"/>
              <w:ind w:firstLine="0" w:firstLineChars="0"/>
              <w:rPr>
                <w:rFonts w:hint="eastAsia" w:ascii="宋体" w:hAnsi="宋体" w:cs="宋体"/>
                <w:b/>
                <w:bCs/>
                <w:sz w:val="21"/>
                <w:szCs w:val="21"/>
                <w:lang w:val="en-US" w:eastAsia="zh-CN" w:bidi="ar"/>
              </w:rPr>
            </w:pPr>
            <w:r>
              <w:rPr>
                <w:rFonts w:hint="eastAsia" w:ascii="宋体" w:hAnsi="宋体" w:cs="宋体"/>
                <w:b/>
                <w:bCs/>
                <w:sz w:val="21"/>
                <w:szCs w:val="21"/>
                <w:lang w:val="en-US" w:eastAsia="zh-CN" w:bidi="ar"/>
              </w:rPr>
              <w:t>（三）配套系统</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1、门禁系统</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hint="eastAsia" w:ascii="宋体" w:hAnsi="宋体" w:cs="宋体"/>
                <w:sz w:val="21"/>
                <w:szCs w:val="21"/>
                <w:lang w:val="en-US" w:eastAsia="zh-CN" w:bidi="ar"/>
              </w:rPr>
            </w:pPr>
            <w:r>
              <w:rPr>
                <w:rFonts w:ascii="宋体" w:hAnsi="宋体" w:cs="宋体"/>
                <w:sz w:val="21"/>
                <w:szCs w:val="21"/>
                <w:lang w:val="en-US" w:eastAsia="zh-CN" w:bidi="ar"/>
              </w:rPr>
              <w:t>机房需采用独立门禁，控制、鉴别和记录进出人员。只有经过采购人授权的人员才允许进入本租赁机房，门禁系统进出记录要求可查询6个月以上人员进出信息，且相关机房门禁系统应移交采购人监督</w:t>
            </w:r>
            <w:r>
              <w:rPr>
                <w:rFonts w:hint="eastAsia" w:ascii="宋体" w:hAnsi="宋体" w:cs="宋体"/>
                <w:sz w:val="21"/>
                <w:szCs w:val="21"/>
                <w:lang w:val="en-US" w:eastAsia="zh-CN" w:bidi="ar"/>
              </w:rPr>
              <w:t>、</w:t>
            </w:r>
            <w:r>
              <w:rPr>
                <w:rFonts w:ascii="宋体" w:hAnsi="宋体" w:cs="宋体"/>
                <w:sz w:val="21"/>
                <w:szCs w:val="21"/>
                <w:lang w:val="en-US" w:eastAsia="zh-CN" w:bidi="ar"/>
              </w:rPr>
              <w:t>管理和授权，未经允许严禁删除、查询导出相关门禁系统记录。</w:t>
            </w:r>
            <w:r>
              <w:rPr>
                <w:rFonts w:hint="eastAsia" w:ascii="宋体" w:hAnsi="宋体" w:cs="宋体"/>
                <w:sz w:val="21"/>
                <w:szCs w:val="21"/>
                <w:lang w:val="en-US" w:eastAsia="zh-CN" w:bidi="ar"/>
              </w:rPr>
              <w:t>门禁系统需</w:t>
            </w:r>
            <w:r>
              <w:rPr>
                <w:rFonts w:ascii="宋体" w:hAnsi="宋体"/>
                <w:iCs/>
                <w:sz w:val="21"/>
                <w:szCs w:val="21"/>
                <w:lang w:val="en-US" w:eastAsia="zh-CN"/>
              </w:rPr>
              <w:t>符合</w:t>
            </w:r>
            <w:r>
              <w:rPr>
                <w:rFonts w:hint="eastAsia" w:ascii="宋体" w:hAnsi="宋体"/>
                <w:iCs/>
                <w:sz w:val="21"/>
                <w:szCs w:val="21"/>
                <w:lang w:val="en-US" w:eastAsia="zh-CN"/>
              </w:rPr>
              <w:t>《信息</w:t>
            </w:r>
            <w:r>
              <w:rPr>
                <w:rFonts w:ascii="宋体" w:hAnsi="宋体"/>
                <w:iCs/>
                <w:sz w:val="21"/>
                <w:szCs w:val="21"/>
                <w:lang w:val="en-US" w:eastAsia="zh-CN"/>
              </w:rPr>
              <w:t>安全技术</w:t>
            </w:r>
            <w:r>
              <w:rPr>
                <w:rFonts w:hint="eastAsia" w:ascii="宋体" w:hAnsi="宋体"/>
                <w:iCs/>
                <w:sz w:val="21"/>
                <w:szCs w:val="21"/>
                <w:lang w:val="en-US" w:eastAsia="zh-CN"/>
              </w:rPr>
              <w:t xml:space="preserve"> 信息</w:t>
            </w:r>
            <w:r>
              <w:rPr>
                <w:rFonts w:ascii="宋体" w:hAnsi="宋体"/>
                <w:iCs/>
                <w:sz w:val="21"/>
                <w:szCs w:val="21"/>
                <w:lang w:val="en-US" w:eastAsia="zh-CN"/>
              </w:rPr>
              <w:t>系统密码应用基本</w:t>
            </w:r>
            <w:r>
              <w:rPr>
                <w:rFonts w:hint="eastAsia" w:ascii="宋体" w:hAnsi="宋体"/>
                <w:iCs/>
                <w:sz w:val="21"/>
                <w:szCs w:val="21"/>
                <w:lang w:val="en-US" w:eastAsia="zh-CN"/>
              </w:rPr>
              <w:t>要求》(GB/T39786-2021)第三级</w:t>
            </w:r>
            <w:r>
              <w:rPr>
                <w:rFonts w:ascii="宋体" w:hAnsi="宋体"/>
                <w:iCs/>
                <w:sz w:val="21"/>
                <w:szCs w:val="21"/>
                <w:lang w:val="en-US" w:eastAsia="zh-CN"/>
              </w:rPr>
              <w:t>密码应用基本要求中的物理和环境要求</w:t>
            </w:r>
            <w:r>
              <w:rPr>
                <w:rFonts w:hint="eastAsia" w:ascii="宋体" w:hAnsi="宋体"/>
                <w:iCs/>
                <w:sz w:val="21"/>
                <w:szCs w:val="21"/>
                <w:lang w:val="en-US" w:eastAsia="zh-CN"/>
              </w:rPr>
              <w:t>。</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按采购人要求每月提交机房进出信息报表</w:t>
            </w:r>
            <w:r>
              <w:rPr>
                <w:rFonts w:hint="eastAsia" w:ascii="宋体" w:hAnsi="宋体" w:cs="宋体"/>
                <w:sz w:val="21"/>
                <w:szCs w:val="21"/>
                <w:lang w:val="en-US" w:eastAsia="zh-CN" w:bidi="ar"/>
              </w:rPr>
              <w:t>（信息报表内容需由采购人确认）</w:t>
            </w:r>
            <w:r>
              <w:rPr>
                <w:rFonts w:ascii="宋体" w:hAnsi="宋体" w:cs="宋体"/>
                <w:sz w:val="21"/>
                <w:szCs w:val="21"/>
                <w:lang w:val="en-US" w:eastAsia="zh-CN" w:bidi="ar"/>
              </w:rPr>
              <w:t>。</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2、空调系统</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列间空调采用N+1制冷模式制冷标准应满足IDC机房A级制冷标准，保证7*24小时不间断稳定运行；</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空调系统要求具备为采购人信息系统的可扩展性预留备用容量；</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空调系统要求为N主1备以上，即1台空调故障，其他空调也能满足机房供冷需求；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fldChar w:fldCharType="begin"/>
            </w:r>
            <w:r>
              <w:rPr>
                <w:rFonts w:ascii="宋体" w:hAnsi="宋体" w:cs="宋体"/>
                <w:sz w:val="21"/>
                <w:szCs w:val="21"/>
                <w:lang w:val="en-US" w:eastAsia="zh-CN" w:bidi="ar"/>
              </w:rPr>
              <w:instrText xml:space="preserve"> = 4 \* GB3 \* MERGEFORMAT </w:instrText>
            </w:r>
            <w:r>
              <w:rPr>
                <w:rFonts w:ascii="宋体" w:hAnsi="宋体" w:cs="宋体"/>
                <w:sz w:val="21"/>
                <w:szCs w:val="21"/>
                <w:lang w:val="en-US" w:eastAsia="zh-CN" w:bidi="ar"/>
              </w:rPr>
              <w:fldChar w:fldCharType="separate"/>
            </w:r>
            <w:r>
              <w:rPr>
                <w:lang w:val="en-US" w:eastAsia="zh-CN"/>
              </w:rPr>
              <w:t>④</w:t>
            </w:r>
            <w:r>
              <w:rPr>
                <w:rFonts w:ascii="宋体" w:hAnsi="宋体" w:cs="宋体"/>
                <w:sz w:val="21"/>
                <w:szCs w:val="21"/>
                <w:lang w:val="en-US" w:eastAsia="zh-CN" w:bidi="ar"/>
              </w:rPr>
              <w:fldChar w:fldCharType="end"/>
            </w:r>
            <w:r>
              <w:rPr>
                <w:rFonts w:ascii="宋体" w:hAnsi="宋体" w:cs="宋体"/>
                <w:sz w:val="21"/>
                <w:szCs w:val="21"/>
                <w:lang w:val="en-US" w:eastAsia="zh-CN" w:bidi="ar"/>
              </w:rPr>
              <w:t>空调制冷量应按照制冷量等于用电量的标准进行配置。</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对空调制冷设备提供24小时*7天服务响应，服务如下：</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 xml:space="preserve">检查显示单元是否正常，各设置参数是否正确，查看历史报警记录对报警内容进行分析消除隐患； </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检查空气过滤器，如需更换则更换空气过滤器；</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加湿器检查，包括加湿器清洗，三相加湿电极安全检查，蒸汽输出是否正常，上水、排水是否通畅；</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外部冷凝器清洁，风扇转动检查，供电电源检查；服务期内4次空调清洁工作，清洁范围包括空调室内、外机、并对加湿罐、过滤网、和冷凝器进行清洗。</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检查风机马达运转是否正常，有无异常噪音，并且轴承是否发热，检查耗电量；</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检查制冷系统运行压力（高压，低压）是否正常，并根据当时的室外环境对压力进行适当的调节；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对于由于特殊原因、非正常因素引起的空调故障，及时对空调进行调试、检修。</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3、动环监控系统</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fldChar w:fldCharType="begin"/>
            </w:r>
            <w:r>
              <w:rPr>
                <w:rFonts w:ascii="宋体" w:hAnsi="宋体" w:cs="宋体"/>
                <w:sz w:val="21"/>
                <w:szCs w:val="21"/>
                <w:lang w:val="en-US" w:eastAsia="zh-CN" w:bidi="ar"/>
              </w:rPr>
              <w:instrText xml:space="preserve"> = 1 \* GB3 \* MERGEFORMAT </w:instrText>
            </w:r>
            <w:r>
              <w:rPr>
                <w:rFonts w:ascii="宋体" w:hAnsi="宋体" w:cs="宋体"/>
                <w:sz w:val="21"/>
                <w:szCs w:val="21"/>
                <w:lang w:val="en-US" w:eastAsia="zh-CN" w:bidi="ar"/>
              </w:rPr>
              <w:fldChar w:fldCharType="separate"/>
            </w:r>
            <w:r>
              <w:rPr>
                <w:lang w:val="en-US" w:eastAsia="zh-CN"/>
              </w:rPr>
              <w:t>①</w:t>
            </w:r>
            <w:r>
              <w:rPr>
                <w:rFonts w:ascii="宋体" w:hAnsi="宋体" w:cs="宋体"/>
                <w:sz w:val="21"/>
                <w:szCs w:val="21"/>
                <w:lang w:val="en-US" w:eastAsia="zh-CN" w:bidi="ar"/>
              </w:rPr>
              <w:fldChar w:fldCharType="end"/>
            </w:r>
            <w:r>
              <w:rPr>
                <w:rFonts w:ascii="宋体" w:hAnsi="宋体" w:cs="宋体"/>
                <w:sz w:val="21"/>
                <w:szCs w:val="21"/>
                <w:lang w:val="en-US" w:eastAsia="zh-CN" w:bidi="ar"/>
              </w:rPr>
              <w:t>机房应配备环境监控系统：在采购人指定办公区大屏能显示机房温度、湿度、UPS供电情况告警及漏水告警具备触发声光告警功能及短信告警功能，消防告警具备触发声光告警功能。</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系统运行不卡顿，传感器响应时间小于15秒。</w:t>
            </w:r>
          </w:p>
          <w:p>
            <w:pPr>
              <w:pStyle w:val="17"/>
              <w:ind w:firstLine="0" w:firstLineChars="0"/>
              <w:rPr>
                <w:rFonts w:hint="eastAsia"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动环监控数据保存至少12个月。</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fldChar w:fldCharType="begin"/>
            </w:r>
            <w:r>
              <w:rPr>
                <w:rFonts w:ascii="宋体" w:hAnsi="宋体" w:cs="宋体"/>
                <w:sz w:val="21"/>
                <w:szCs w:val="21"/>
                <w:lang w:val="en-US" w:eastAsia="zh-CN" w:bidi="ar"/>
              </w:rPr>
              <w:instrText xml:space="preserve"> = 4 \* GB3 \* MERGEFORMAT </w:instrText>
            </w:r>
            <w:r>
              <w:rPr>
                <w:rFonts w:ascii="宋体" w:hAnsi="宋体" w:cs="宋体"/>
                <w:sz w:val="21"/>
                <w:szCs w:val="21"/>
                <w:lang w:val="en-US" w:eastAsia="zh-CN" w:bidi="ar"/>
              </w:rPr>
              <w:fldChar w:fldCharType="separate"/>
            </w:r>
            <w:r>
              <w:rPr>
                <w:lang w:val="en-US" w:eastAsia="zh-CN"/>
              </w:rPr>
              <w:t>④</w:t>
            </w:r>
            <w:r>
              <w:rPr>
                <w:rFonts w:ascii="宋体" w:hAnsi="宋体" w:cs="宋体"/>
                <w:sz w:val="21"/>
                <w:szCs w:val="21"/>
                <w:lang w:val="en-US" w:eastAsia="zh-CN" w:bidi="ar"/>
              </w:rPr>
              <w:fldChar w:fldCharType="end"/>
            </w:r>
            <w:r>
              <w:rPr>
                <w:rFonts w:ascii="宋体" w:hAnsi="宋体" w:cs="宋体"/>
                <w:sz w:val="21"/>
                <w:szCs w:val="21"/>
                <w:lang w:val="en-US" w:eastAsia="zh-CN" w:bidi="ar"/>
              </w:rPr>
              <w:t xml:space="preserve"> </w:t>
            </w:r>
            <w:r>
              <w:rPr>
                <w:rFonts w:hint="eastAsia" w:ascii="宋体" w:hAnsi="宋体" w:cs="宋体"/>
                <w:sz w:val="21"/>
                <w:szCs w:val="21"/>
                <w:lang w:val="en-US" w:eastAsia="zh-CN" w:bidi="ar"/>
              </w:rPr>
              <w:t>动环监控</w:t>
            </w:r>
            <w:r>
              <w:rPr>
                <w:rFonts w:ascii="宋体" w:hAnsi="宋体" w:cs="宋体"/>
                <w:sz w:val="21"/>
                <w:szCs w:val="21"/>
                <w:lang w:val="en-US" w:eastAsia="zh-CN" w:bidi="ar"/>
              </w:rPr>
              <w:t>系统应移交采购人监督</w:t>
            </w:r>
            <w:r>
              <w:rPr>
                <w:rFonts w:hint="eastAsia" w:ascii="宋体" w:hAnsi="宋体" w:cs="宋体"/>
                <w:sz w:val="21"/>
                <w:szCs w:val="21"/>
                <w:lang w:val="en-US" w:eastAsia="zh-CN" w:bidi="ar"/>
              </w:rPr>
              <w:t>、</w:t>
            </w:r>
            <w:r>
              <w:rPr>
                <w:rFonts w:ascii="宋体" w:hAnsi="宋体" w:cs="宋体"/>
                <w:sz w:val="21"/>
                <w:szCs w:val="21"/>
                <w:lang w:val="en-US" w:eastAsia="zh-CN" w:bidi="ar"/>
              </w:rPr>
              <w:t>管理和授权，未经允许严禁删除、查询导出相关系统记录。</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业务流程调整工作：按采购人需求进行业务流程调整，编制系统业务流程调整技术方案，业务流程调整设计、实施、测试工作，业务流程调整处理；</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业务功能完善工作：按采购人需求进行业务功能完善，编制系统业务功能完善技术方案，业务功能完善设计、实施、测试、发布工作，业务功能完善处理；</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系统性能调优工作：按采购人需求对系统性能存在问题进行分析，编制系统性能调优技术方案，性能调优设计、实施、测试工作；</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fldChar w:fldCharType="begin"/>
            </w:r>
            <w:r>
              <w:rPr>
                <w:rFonts w:ascii="宋体" w:hAnsi="宋体" w:cs="宋体"/>
                <w:sz w:val="21"/>
                <w:szCs w:val="21"/>
                <w:lang w:val="en-US" w:eastAsia="zh-CN" w:bidi="ar"/>
              </w:rPr>
              <w:instrText xml:space="preserve"> = 4 \* GB3 \* MERGEFORMAT </w:instrText>
            </w:r>
            <w:r>
              <w:rPr>
                <w:rFonts w:ascii="宋体" w:hAnsi="宋体" w:cs="宋体"/>
                <w:sz w:val="21"/>
                <w:szCs w:val="21"/>
                <w:lang w:val="en-US" w:eastAsia="zh-CN" w:bidi="ar"/>
              </w:rPr>
              <w:fldChar w:fldCharType="separate"/>
            </w:r>
            <w:r>
              <w:rPr>
                <w:lang w:val="en-US" w:eastAsia="zh-CN"/>
              </w:rPr>
              <w:t>④</w:t>
            </w:r>
            <w:r>
              <w:rPr>
                <w:rFonts w:ascii="宋体" w:hAnsi="宋体" w:cs="宋体"/>
                <w:sz w:val="21"/>
                <w:szCs w:val="21"/>
                <w:lang w:val="en-US" w:eastAsia="zh-CN" w:bidi="ar"/>
              </w:rPr>
              <w:fldChar w:fldCharType="end"/>
            </w:r>
            <w:r>
              <w:rPr>
                <w:rFonts w:ascii="宋体" w:hAnsi="宋体" w:cs="宋体"/>
                <w:sz w:val="21"/>
                <w:szCs w:val="21"/>
                <w:lang w:val="en-US" w:eastAsia="zh-CN" w:bidi="ar"/>
              </w:rPr>
              <w:t>提供相应技术性文档。</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4、视频监控系统</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楼梯通道、电梯过道、机房门口过道、机房内及机柜冷通道、热通道及采购人指定区域应实现无死角实时监控，视频监控提供接口或系统对接方式供采购人调阅，按采购人要求在指定办公区亦可对租赁机房进行7*24小时视频监控；</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视频录像资料保存至少6个月；</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（3）</w:t>
            </w:r>
            <w:r>
              <w:rPr>
                <w:rFonts w:ascii="宋体" w:hAnsi="宋体" w:cs="宋体"/>
                <w:sz w:val="21"/>
                <w:szCs w:val="21"/>
                <w:lang w:val="en-US" w:eastAsia="zh-CN" w:bidi="ar"/>
              </w:rPr>
              <w:t>监控视频图像按采购人要求确保画面流畅不卡顿。</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（4）</w:t>
            </w:r>
            <w:r>
              <w:rPr>
                <w:rFonts w:ascii="宋体" w:hAnsi="宋体" w:cs="宋体"/>
                <w:sz w:val="21"/>
                <w:szCs w:val="21"/>
                <w:lang w:val="en-US" w:eastAsia="zh-CN" w:bidi="ar"/>
              </w:rPr>
              <w:t>监控视频分辨率应不低于1920x1080以上</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（5）</w:t>
            </w:r>
            <w:r>
              <w:rPr>
                <w:rFonts w:ascii="宋体" w:hAnsi="宋体" w:cs="宋体"/>
                <w:sz w:val="21"/>
                <w:szCs w:val="21"/>
                <w:lang w:val="en-US" w:eastAsia="zh-CN" w:bidi="ar"/>
              </w:rPr>
              <w:t>视频监控系统需符合《信息安全技术 信息系统密码应用基本要求》（GB/T39786-2021）第三级密码应用基本要求中的物理和环境要求。</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（6）</w:t>
            </w:r>
            <w:r>
              <w:rPr>
                <w:rFonts w:ascii="宋体" w:hAnsi="宋体" w:cs="宋体"/>
                <w:sz w:val="21"/>
                <w:szCs w:val="21"/>
                <w:lang w:val="en-US" w:eastAsia="zh-CN" w:bidi="ar"/>
              </w:rPr>
              <w:t>视频监控系统要求与互联网进行逻辑或物理隔离。</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5、其它配套系统</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防雷接地系统：采用多级防雷器保护，使用联合接地方式，联合接地地阻应小于1欧姆。符合</w:t>
            </w:r>
            <w:r>
              <w:rPr>
                <w:rFonts w:hint="eastAsia"/>
                <w:szCs w:val="21"/>
                <w:lang w:val="en-US" w:eastAsia="zh-CN"/>
              </w:rPr>
              <w:t>《数据中心设计规范》（GB50174-2017）</w:t>
            </w:r>
            <w:r>
              <w:rPr>
                <w:rFonts w:hint="eastAsia" w:ascii="宋体" w:hAnsi="宋体" w:cs="宋体"/>
                <w:sz w:val="21"/>
                <w:szCs w:val="21"/>
                <w:lang w:val="en-US" w:eastAsia="zh-CN" w:bidi="ar"/>
              </w:rPr>
              <w:t>B</w:t>
            </w:r>
            <w:r>
              <w:rPr>
                <w:rFonts w:ascii="宋体" w:hAnsi="宋体" w:cs="宋体"/>
                <w:sz w:val="21"/>
                <w:szCs w:val="21"/>
                <w:lang w:val="en-US" w:eastAsia="zh-CN" w:bidi="ar"/>
              </w:rPr>
              <w:t>级（含）以上标准，每年应进行防雷检测，并提供第三方防雷检测报告。</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照明系统：为LED照明系统且单位照度应不低于500LX。</w:t>
            </w:r>
          </w:p>
          <w:p>
            <w:pPr>
              <w:pStyle w:val="17"/>
              <w:ind w:firstLine="0" w:firstLineChars="0"/>
              <w:rPr>
                <w:rFonts w:hint="eastAsia" w:ascii="宋体" w:hAnsi="宋体" w:cs="宋体"/>
                <w:b/>
                <w:bCs/>
                <w:sz w:val="21"/>
                <w:szCs w:val="21"/>
                <w:lang w:val="en-US" w:eastAsia="zh-CN" w:bidi="ar"/>
              </w:rPr>
            </w:pPr>
            <w:r>
              <w:rPr>
                <w:rFonts w:hint="eastAsia" w:ascii="宋体" w:hAnsi="宋体" w:cs="宋体"/>
                <w:b/>
                <w:bCs/>
                <w:sz w:val="21"/>
                <w:szCs w:val="21"/>
                <w:lang w:val="en-US" w:eastAsia="zh-CN" w:bidi="ar"/>
              </w:rPr>
              <w:t>（四）消防要求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机房防火和灭火系统设计，应符合现行国家标准《建筑设计防火规范》GB 50016-2014、《气体灭火系统设计规范》GB50370、《细水雾灭火系统技术规范》GB50898和《自动喷水灭火系统设计规范》GB50084-2017。</w:t>
            </w:r>
          </w:p>
          <w:p>
            <w:pPr>
              <w:pStyle w:val="17"/>
              <w:ind w:firstLine="0" w:firstLineChars="0"/>
              <w:rPr>
                <w:rFonts w:hint="eastAsia" w:ascii="宋体" w:hAnsi="宋体" w:cs="宋体"/>
                <w:b/>
                <w:bCs/>
                <w:sz w:val="21"/>
                <w:szCs w:val="21"/>
                <w:lang w:val="en-US" w:eastAsia="zh-CN" w:bidi="ar"/>
              </w:rPr>
            </w:pPr>
            <w:r>
              <w:rPr>
                <w:rFonts w:hint="eastAsia" w:ascii="宋体" w:hAnsi="宋体" w:cs="宋体"/>
                <w:b/>
                <w:bCs/>
                <w:sz w:val="21"/>
                <w:szCs w:val="21"/>
                <w:lang w:val="en-US" w:eastAsia="zh-CN" w:bidi="ar"/>
              </w:rPr>
              <w:t>（五）电力系统要求</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1、市电</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需提供两路不同源外市电接入，提供两路不同源的外市电接入变压器，并要求冗余互备，具备扩充余量；</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供配电系统要求具备为采购人信息系统的可扩展性预留备用容量；</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户外供电线路不宜采用架空方式敷设。当户外供电线路采用具有金属外护套的电缆时，在电缆进出建筑物处应将金属外护套接地；</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fldChar w:fldCharType="begin"/>
            </w:r>
            <w:r>
              <w:rPr>
                <w:rFonts w:ascii="宋体" w:hAnsi="宋体" w:cs="宋体"/>
                <w:sz w:val="21"/>
                <w:szCs w:val="21"/>
                <w:lang w:val="en-US" w:eastAsia="zh-CN" w:bidi="ar"/>
              </w:rPr>
              <w:instrText xml:space="preserve"> = 4 \* GB3 \* MERGEFORMAT </w:instrText>
            </w:r>
            <w:r>
              <w:rPr>
                <w:rFonts w:ascii="宋体" w:hAnsi="宋体" w:cs="宋体"/>
                <w:sz w:val="21"/>
                <w:szCs w:val="21"/>
                <w:lang w:val="en-US" w:eastAsia="zh-CN" w:bidi="ar"/>
              </w:rPr>
              <w:fldChar w:fldCharType="separate"/>
            </w:r>
            <w:r>
              <w:rPr>
                <w:lang w:val="en-US" w:eastAsia="zh-CN"/>
              </w:rPr>
              <w:t>④</w:t>
            </w:r>
            <w:r>
              <w:rPr>
                <w:rFonts w:ascii="宋体" w:hAnsi="宋体" w:cs="宋体"/>
                <w:sz w:val="21"/>
                <w:szCs w:val="21"/>
                <w:lang w:val="en-US" w:eastAsia="zh-CN" w:bidi="ar"/>
              </w:rPr>
              <w:fldChar w:fldCharType="end"/>
            </w:r>
            <w:r>
              <w:rPr>
                <w:rFonts w:ascii="宋体" w:hAnsi="宋体" w:cs="宋体"/>
                <w:sz w:val="21"/>
                <w:szCs w:val="21"/>
                <w:lang w:val="en-US" w:eastAsia="zh-CN" w:bidi="ar"/>
              </w:rPr>
              <w:t>信息系统机房要求具备专用配电变压器或专用回路供电，变压器应采用干式变压器，机房IT设备与空调动力设备均有配套专用变压器。</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按采购人要求每周提交电力巡检记录表。</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2、UPS</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数据中心机房机柜采用UPS不间断电源，需符合《数据中心设计规范》（GB50174-2017）B级（含）或同等星级机房以上标准；</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机房机柜及照明取电应采用不间断电源系统供电。不间断电源系统应有自动和手动旁路装置。确定不间断电源系统的基本容量时应留有余量；</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数据中心机房空调通过油机提供供电保障。</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fldChar w:fldCharType="begin"/>
            </w:r>
            <w:r>
              <w:rPr>
                <w:rFonts w:ascii="宋体" w:hAnsi="宋体" w:cs="宋体"/>
                <w:sz w:val="21"/>
                <w:szCs w:val="21"/>
                <w:lang w:val="en-US" w:eastAsia="zh-CN" w:bidi="ar"/>
              </w:rPr>
              <w:instrText xml:space="preserve"> = 4 \* GB3 \* MERGEFORMAT </w:instrText>
            </w:r>
            <w:r>
              <w:rPr>
                <w:rFonts w:ascii="宋体" w:hAnsi="宋体" w:cs="宋体"/>
                <w:sz w:val="21"/>
                <w:szCs w:val="21"/>
                <w:lang w:val="en-US" w:eastAsia="zh-CN" w:bidi="ar"/>
              </w:rPr>
              <w:fldChar w:fldCharType="separate"/>
            </w:r>
            <w:r>
              <w:rPr>
                <w:lang w:val="en-US" w:eastAsia="zh-CN"/>
              </w:rPr>
              <w:t>④</w:t>
            </w:r>
            <w:r>
              <w:rPr>
                <w:rFonts w:ascii="宋体" w:hAnsi="宋体" w:cs="宋体"/>
                <w:sz w:val="21"/>
                <w:szCs w:val="21"/>
                <w:lang w:val="en-US" w:eastAsia="zh-CN" w:bidi="ar"/>
              </w:rPr>
              <w:fldChar w:fldCharType="end"/>
            </w:r>
            <w:r>
              <w:rPr>
                <w:rFonts w:ascii="宋体" w:hAnsi="宋体" w:cs="宋体"/>
                <w:sz w:val="21"/>
                <w:szCs w:val="21"/>
                <w:lang w:val="en-US" w:eastAsia="zh-CN" w:bidi="ar"/>
              </w:rPr>
              <w:t>UPS主机须采用N+X（X=1~N）方式进行冗余。</w:t>
            </w:r>
          </w:p>
          <w:p>
            <w:pPr>
              <w:pStyle w:val="17"/>
              <w:ind w:firstLine="0" w:firstLineChars="0"/>
              <w:rPr>
                <w:rFonts w:hint="eastAsia" w:ascii="宋体" w:hAnsi="宋体" w:cs="宋体"/>
                <w:sz w:val="21"/>
                <w:szCs w:val="21"/>
                <w:lang w:val="en-US" w:eastAsia="zh-CN" w:bidi="ar"/>
              </w:rPr>
            </w:pPr>
            <w:r>
              <w:rPr>
                <w:rFonts w:hint="eastAsia" w:ascii="仿宋_GB2312" w:hAnsi="宋体" w:eastAsia="仿宋_GB2312" w:cs="宋体"/>
                <w:sz w:val="21"/>
                <w:szCs w:val="21"/>
                <w:lang w:val="en-US" w:eastAsia="zh-CN" w:bidi="ar"/>
              </w:rPr>
              <w:t>⑤</w:t>
            </w:r>
            <w:r>
              <w:rPr>
                <w:rFonts w:hint="eastAsia" w:ascii="宋体" w:hAnsi="宋体" w:cs="宋体"/>
                <w:sz w:val="21"/>
                <w:szCs w:val="21"/>
                <w:lang w:val="en-US" w:eastAsia="zh-CN" w:bidi="ar"/>
              </w:rPr>
              <w:t>UPS</w:t>
            </w:r>
            <w:r>
              <w:rPr>
                <w:rFonts w:ascii="宋体" w:hAnsi="宋体" w:cs="宋体"/>
                <w:sz w:val="21"/>
                <w:szCs w:val="21"/>
                <w:lang w:val="en-US" w:eastAsia="zh-CN" w:bidi="ar"/>
              </w:rPr>
              <w:t>不间断电源对机房机柜的供电不低于</w:t>
            </w:r>
            <w:r>
              <w:rPr>
                <w:rFonts w:hint="eastAsia" w:ascii="宋体" w:hAnsi="宋体" w:cs="宋体"/>
                <w:sz w:val="21"/>
                <w:szCs w:val="21"/>
                <w:lang w:val="en-US" w:eastAsia="zh-CN" w:bidi="ar"/>
              </w:rPr>
              <w:t>15分钟以上。</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制定相应的故障应急预案，定制UPS放电测试作业计划形成机制每半年进行一次放电测试并上报测试报告分析表（纸质及电子文档）。</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3、发电机</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中标人应配备发电机，发电机应能在机房UPS开始供电的10分钟内启动，并能为机柜设备、空调、照明、等进行供电；</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停电时，要求发电机能够为采购人设备提供持续8小时以上供电，并要求冗余互备，具备电力扩充能力。</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制定相应的故障应急预案，定制发电机测试作业计划形成机制每年至少两次发电测试并上报测试报告分析表（纸质及电子文档）。</w:t>
            </w:r>
          </w:p>
          <w:p>
            <w:pPr>
              <w:pStyle w:val="17"/>
              <w:ind w:firstLine="0" w:firstLineChars="0"/>
              <w:rPr>
                <w:rFonts w:hint="eastAsia" w:ascii="宋体" w:hAnsi="宋体" w:cs="宋体"/>
                <w:b/>
                <w:bCs/>
                <w:sz w:val="21"/>
                <w:szCs w:val="21"/>
                <w:lang w:val="en-US" w:eastAsia="zh-CN" w:bidi="ar"/>
              </w:rPr>
            </w:pPr>
            <w:r>
              <w:rPr>
                <w:rFonts w:hint="eastAsia" w:ascii="宋体" w:hAnsi="宋体" w:cs="宋体"/>
                <w:b/>
                <w:bCs/>
                <w:sz w:val="21"/>
                <w:szCs w:val="21"/>
                <w:lang w:val="en-US" w:eastAsia="zh-CN" w:bidi="ar"/>
              </w:rPr>
              <w:t>（六）机房通信线路及传输设备要求</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1、通信</w:t>
            </w:r>
            <w:r>
              <w:rPr>
                <w:rFonts w:ascii="宋体" w:hAnsi="宋体" w:cs="宋体"/>
                <w:sz w:val="21"/>
                <w:szCs w:val="21"/>
                <w:lang w:val="en-US" w:eastAsia="zh-CN" w:bidi="ar"/>
              </w:rPr>
              <w:t>线路要求</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基本要求</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1个机房</w:t>
            </w:r>
            <w:r>
              <w:rPr>
                <w:rFonts w:ascii="宋体" w:hAnsi="宋体" w:cs="宋体"/>
                <w:sz w:val="21"/>
                <w:szCs w:val="21"/>
                <w:lang w:val="en-US" w:eastAsia="zh-CN" w:bidi="ar"/>
              </w:rPr>
              <w:t>提供至少2条从所租用的机房位置到采购人指定办公区（南宁市佛子岭路1号）机房的24芯以上裸纤，且线路要求从不同方向接入，满足传输线路要求(即传输线路技术指标：端到端可用率≥99.90%，比特误码率≤1×10-7，丢包率≤0.1%，各个节点最大时延≤10ms，时延抖动率≤10ms，接头损耗小于0.5dbm，全程损耗小于15dbm)，并要求保证采购人的线路为与其他网络物理隔离的专用光纤线路。</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如中标人提供服务的数据中心机房不为同一地址时，中标人需负责提供不同地址的数据中心机房之间的通信线路，至少4条24芯以上裸纤，</w:t>
            </w:r>
            <w:r>
              <w:rPr>
                <w:rFonts w:hint="eastAsia" w:ascii="宋体" w:hAnsi="宋体" w:cs="宋体"/>
                <w:sz w:val="21"/>
                <w:szCs w:val="21"/>
                <w:lang w:val="en-US" w:eastAsia="zh-CN" w:bidi="ar"/>
              </w:rPr>
              <w:t>且</w:t>
            </w:r>
            <w:r>
              <w:rPr>
                <w:rFonts w:ascii="宋体" w:hAnsi="宋体" w:cs="宋体"/>
                <w:sz w:val="21"/>
                <w:szCs w:val="21"/>
                <w:lang w:val="en-US" w:eastAsia="zh-CN" w:bidi="ar"/>
              </w:rPr>
              <w:t>线路要求从不同方向接入，满足以上传输线路要求，并要求保证采购人的线路为与其他网络物理隔离的专用光纤线路。</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通信线路接入要求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中标人提供的数据中心要求具备中国联通、中国电信、中国移动、广电网络等多家电信运营商通信网络接入服务能力，在采购人确保接入线路数据安全的前提下，中标人应为采购人自建、租用第三方传输线路提供接入便利和必要配合工作，且应将通信线缆铺设在隐蔽处，应铺设在地下管道中；</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中标人应承诺采购人原有业务使用的运营商光缆可以接入到中标人数据中心机房或光交箱，其中光交箱应具备扩容能力；光缆接通后应48小时内配合业务所使用运营商传输业务设备的安装。</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（3）</w:t>
            </w:r>
            <w:r>
              <w:rPr>
                <w:rFonts w:ascii="宋体" w:hAnsi="宋体" w:cs="宋体"/>
                <w:sz w:val="21"/>
                <w:szCs w:val="21"/>
                <w:lang w:val="en-US" w:eastAsia="zh-CN" w:bidi="ar"/>
              </w:rPr>
              <w:t>通信线路维护要求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按采购人要求提供两条线路的拓扑图包含但不限于：路径、路由中转站机房及中转点的保障措施；</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w:t>
            </w:r>
            <w:r>
              <w:rPr>
                <w:rFonts w:ascii="Calibri" w:hAnsi="Calibri" w:cs="Calibri"/>
                <w:sz w:val="21"/>
                <w:szCs w:val="21"/>
                <w:lang w:val="en-US" w:eastAsia="zh-CN" w:bidi="ar"/>
              </w:rPr>
              <w:t>②</w:t>
            </w:r>
            <w:r>
              <w:rPr>
                <w:rFonts w:ascii="宋体" w:hAnsi="宋体" w:cs="宋体"/>
                <w:sz w:val="21"/>
                <w:szCs w:val="21"/>
                <w:lang w:val="en-US" w:eastAsia="zh-CN" w:bidi="ar"/>
              </w:rPr>
              <w:t>中标人必须承诺其他运营商业务出现故障需要进入数据中心机房内处理时，无条件配合；</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根据采购人需求提供综合布线服务，提供综合布线标准及所租用机柜间综合布线规范。</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2、传输设备</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中标人在服务期内为采购人提供至少2套（4台）波分传输设备，要求每台包含不少于4个能匹配16G速度光模块的端口以及20个万兆口、16个千兆口；</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如中标人提供服务的数据中心机房不为同一地址时，需提供以下服务：</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a</w:t>
            </w:r>
            <w:r>
              <w:rPr>
                <w:rFonts w:ascii="宋体" w:hAnsi="宋体" w:cs="宋体"/>
                <w:sz w:val="21"/>
                <w:szCs w:val="21"/>
                <w:lang w:val="en-US" w:eastAsia="zh-CN" w:bidi="ar"/>
              </w:rPr>
              <w:t>.中标人需负责提供不同地址的数据中心机房之间至少4套（8台）波分传输设备，要求每台包含不少于1个能匹配40G速度光模块的端口</w:t>
            </w:r>
            <w:r>
              <w:rPr>
                <w:rFonts w:hint="eastAsia" w:ascii="宋体" w:hAnsi="宋体" w:cs="宋体"/>
                <w:sz w:val="21"/>
                <w:szCs w:val="21"/>
                <w:lang w:val="en-US" w:eastAsia="zh-CN" w:bidi="ar"/>
              </w:rPr>
              <w:t>、</w:t>
            </w:r>
            <w:r>
              <w:rPr>
                <w:rFonts w:ascii="宋体" w:hAnsi="宋体" w:cs="宋体"/>
                <w:sz w:val="21"/>
                <w:szCs w:val="21"/>
                <w:lang w:val="en-US" w:eastAsia="zh-CN" w:bidi="ar"/>
              </w:rPr>
              <w:t>4个能匹配16G速度光模块的端口以及20个万兆口、16个千兆口；</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b</w:t>
            </w:r>
            <w:r>
              <w:rPr>
                <w:rFonts w:ascii="宋体" w:hAnsi="宋体" w:cs="宋体"/>
                <w:sz w:val="21"/>
                <w:szCs w:val="21"/>
                <w:lang w:val="en-US" w:eastAsia="zh-CN" w:bidi="ar"/>
              </w:rPr>
              <w:t>.中标人需负责提供不同地址的数据中心机房至采购人办公区机房之间至少2套（4台）波分传输设备，要求每台包含不少于4个能匹配16G速度光模块的端口以及20个万兆口、16个千兆口；</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提供2台核心汇聚（每台配置：交换容量不低于1800 Tbps、包转发率不低于200Gpps、双主控，配置至少一块48端口万兆光接口业务板卡，支持Clos交换架构，可堆叠、设备支持1+1电源。）；合同期满后，采购人对以上传输设备享有一年的使用权。</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①</w:t>
            </w:r>
            <w:r>
              <w:rPr>
                <w:rFonts w:ascii="宋体" w:hAnsi="宋体" w:cs="宋体"/>
                <w:sz w:val="21"/>
                <w:szCs w:val="21"/>
                <w:lang w:val="en-US" w:eastAsia="zh-CN" w:bidi="ar"/>
              </w:rPr>
              <w:t>日常巡检：按照巡检方案定期开展设备与系统巡检，每天至少两次；</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②</w:t>
            </w:r>
            <w:r>
              <w:rPr>
                <w:rFonts w:ascii="宋体" w:hAnsi="宋体" w:cs="宋体"/>
                <w:sz w:val="21"/>
                <w:szCs w:val="21"/>
                <w:lang w:val="en-US" w:eastAsia="zh-CN" w:bidi="ar"/>
              </w:rPr>
              <w:t>特巡特维：重大活动、会议、工作检查等特殊时期按采购人要求执行特别巡视和维护；</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t>③</w:t>
            </w:r>
            <w:r>
              <w:rPr>
                <w:rFonts w:ascii="宋体" w:hAnsi="宋体" w:cs="宋体"/>
                <w:sz w:val="21"/>
                <w:szCs w:val="21"/>
                <w:lang w:val="en-US" w:eastAsia="zh-CN" w:bidi="ar"/>
              </w:rPr>
              <w:t>巡检内容包括但不限于以下内容：机房环境状态和周边设备的安全检查；</w:t>
            </w:r>
          </w:p>
          <w:p>
            <w:pPr>
              <w:pStyle w:val="17"/>
              <w:ind w:firstLine="0" w:firstLineChars="0"/>
              <w:rPr>
                <w:rFonts w:ascii="Calibri" w:hAnsi="Calibri" w:cs="Calibri"/>
                <w:sz w:val="21"/>
                <w:szCs w:val="21"/>
                <w:lang w:val="en-US" w:eastAsia="zh-CN" w:bidi="ar"/>
              </w:rPr>
            </w:pPr>
            <w:r>
              <w:rPr>
                <w:rFonts w:ascii="Calibri" w:hAnsi="Calibri" w:cs="Calibri"/>
                <w:sz w:val="21"/>
                <w:szCs w:val="21"/>
                <w:lang w:val="en-US" w:eastAsia="zh-CN" w:bidi="ar"/>
              </w:rPr>
              <w:fldChar w:fldCharType="begin"/>
            </w:r>
            <w:r>
              <w:rPr>
                <w:rFonts w:ascii="Calibri" w:hAnsi="Calibri" w:cs="Calibri"/>
                <w:sz w:val="21"/>
                <w:szCs w:val="21"/>
                <w:lang w:val="en-US" w:eastAsia="zh-CN" w:bidi="ar"/>
              </w:rPr>
              <w:instrText xml:space="preserve"> = 4 \* GB3 \* MERGEFORMAT </w:instrText>
            </w:r>
            <w:r>
              <w:rPr>
                <w:rFonts w:ascii="Calibri" w:hAnsi="Calibri" w:cs="Calibri"/>
                <w:sz w:val="21"/>
                <w:szCs w:val="21"/>
                <w:lang w:val="en-US" w:eastAsia="zh-CN" w:bidi="ar"/>
              </w:rPr>
              <w:fldChar w:fldCharType="separate"/>
            </w:r>
            <w:r>
              <w:rPr>
                <w:rFonts w:ascii="Calibri" w:hAnsi="Calibri" w:cs="Calibri"/>
                <w:sz w:val="21"/>
                <w:szCs w:val="21"/>
                <w:lang w:val="en-US" w:eastAsia="zh-CN" w:bidi="ar"/>
              </w:rPr>
              <w:t>④</w:t>
            </w:r>
            <w:r>
              <w:rPr>
                <w:rFonts w:ascii="Calibri" w:hAnsi="Calibri" w:cs="Calibri"/>
                <w:sz w:val="21"/>
                <w:szCs w:val="21"/>
                <w:lang w:val="en-US" w:eastAsia="zh-CN" w:bidi="ar"/>
              </w:rPr>
              <w:fldChar w:fldCharType="end"/>
            </w:r>
            <w:r>
              <w:rPr>
                <w:rFonts w:ascii="Calibri" w:hAnsi="Calibri" w:cs="Calibri"/>
                <w:sz w:val="21"/>
                <w:szCs w:val="21"/>
                <w:lang w:val="en-US" w:eastAsia="zh-CN" w:bidi="ar"/>
              </w:rPr>
              <w:t>定期开展隐患排查，制定隐患处理措施。服务期内不少于3次排查工作；</w:t>
            </w:r>
          </w:p>
          <w:p>
            <w:pPr>
              <w:pStyle w:val="17"/>
              <w:ind w:firstLine="0" w:firstLineChars="0"/>
              <w:rPr>
                <w:rFonts w:ascii="宋体" w:hAnsi="宋体" w:cs="宋体"/>
                <w:sz w:val="21"/>
                <w:szCs w:val="21"/>
                <w:lang w:val="en-US" w:eastAsia="zh-CN" w:bidi="ar"/>
              </w:rPr>
            </w:pPr>
            <w:r>
              <w:rPr>
                <w:rFonts w:ascii="Calibri" w:hAnsi="Calibri" w:cs="Calibri"/>
                <w:sz w:val="21"/>
                <w:szCs w:val="21"/>
                <w:lang w:val="en-US" w:eastAsia="zh-CN" w:bidi="ar"/>
              </w:rPr>
              <w:fldChar w:fldCharType="begin"/>
            </w:r>
            <w:r>
              <w:rPr>
                <w:rFonts w:ascii="Calibri" w:hAnsi="Calibri" w:cs="Calibri"/>
                <w:sz w:val="21"/>
                <w:szCs w:val="21"/>
                <w:lang w:val="en-US" w:eastAsia="zh-CN" w:bidi="ar"/>
              </w:rPr>
              <w:instrText xml:space="preserve"> = 5 \* GB3 \* MERGEFORMAT </w:instrText>
            </w:r>
            <w:r>
              <w:rPr>
                <w:rFonts w:ascii="Calibri" w:hAnsi="Calibri" w:cs="Calibri"/>
                <w:sz w:val="21"/>
                <w:szCs w:val="21"/>
                <w:lang w:val="en-US" w:eastAsia="zh-CN" w:bidi="ar"/>
              </w:rPr>
              <w:fldChar w:fldCharType="separate"/>
            </w:r>
            <w:r>
              <w:rPr>
                <w:rFonts w:ascii="Calibri" w:hAnsi="Calibri" w:cs="Calibri"/>
                <w:sz w:val="21"/>
                <w:szCs w:val="21"/>
                <w:lang w:val="en-US" w:eastAsia="zh-CN" w:bidi="ar"/>
              </w:rPr>
              <w:t>⑤</w:t>
            </w:r>
            <w:r>
              <w:rPr>
                <w:rFonts w:ascii="Calibri" w:hAnsi="Calibri" w:cs="Calibri"/>
                <w:sz w:val="21"/>
                <w:szCs w:val="21"/>
                <w:lang w:val="en-US" w:eastAsia="zh-CN" w:bidi="ar"/>
              </w:rPr>
              <w:fldChar w:fldCharType="end"/>
            </w:r>
            <w:r>
              <w:rPr>
                <w:rFonts w:ascii="宋体" w:hAnsi="宋体" w:cs="宋体"/>
                <w:sz w:val="21"/>
                <w:szCs w:val="21"/>
                <w:lang w:val="en-US" w:eastAsia="zh-CN" w:bidi="ar"/>
              </w:rPr>
              <w:t>提供对应的设备保障服务和应急预案。</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3、传输配线柜</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中标人应为采购人提供独立的传输配线柜，只允许采购人的线路接入；同时满足采购人所租用机房内单点场地之间不少于288芯多模万兆光纤，并根据采购人实际需求免费增加机房间传输配线及配线柜。如机房存在不同楼层情况，应按用户实际使用需求增加楼层间的光纤。</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4、综合布线要求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按采购人《机房管理制度》中布线要求执行。</w:t>
            </w:r>
          </w:p>
          <w:p>
            <w:pPr>
              <w:pStyle w:val="17"/>
              <w:ind w:firstLine="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（七）应急保障</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rPr>
              <w:t>1、</w:t>
            </w:r>
            <w:r>
              <w:rPr>
                <w:rFonts w:hint="eastAsia" w:ascii="宋体" w:hAnsi="宋体" w:cs="宋体"/>
                <w:sz w:val="21"/>
                <w:szCs w:val="21"/>
                <w:lang w:val="en-US" w:eastAsia="zh-CN" w:bidi="ar"/>
              </w:rPr>
              <w:t>紧急故障情况下的专用流程</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技术要求：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中标人应7*24驻守机房值班室，当采购人的设备出现紧急故障，需要立即进入机房现场处理故障，中标人应提供必要的专用流程协助采购人已授权人员顺利进入本次租赁的大楼和机房，并做好设备故障进行分析、处理，制定故障解决方案，编制故障分析及处置报告。</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维护要求：</w:t>
            </w:r>
          </w:p>
          <w:p>
            <w:pPr>
              <w:pStyle w:val="17"/>
              <w:ind w:firstLine="0" w:firstLineChars="0"/>
              <w:rPr>
                <w:rFonts w:ascii="宋体" w:hAnsi="宋体" w:cs="宋体"/>
                <w:sz w:val="21"/>
                <w:szCs w:val="21"/>
                <w:lang w:val="en-US" w:eastAsia="zh-CN" w:bidi="ar"/>
              </w:rPr>
            </w:pPr>
            <w:r>
              <w:rPr>
                <w:rFonts w:ascii="宋体" w:hAnsi="宋体" w:cs="宋体"/>
                <w:sz w:val="21"/>
                <w:szCs w:val="21"/>
                <w:lang w:val="en-US" w:eastAsia="zh-CN" w:bidi="ar"/>
              </w:rPr>
              <w:t>提供《紧急故障处理进出机房专用流程》文档，并负责落实流程的实施。</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2、应急演练</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按采购人要求提供但不限于电力、空调、消防、视频监控等应急预案，并按采购人要求每季度开展一次应急演练。</w:t>
            </w:r>
          </w:p>
          <w:p>
            <w:pPr>
              <w:pStyle w:val="17"/>
              <w:ind w:firstLine="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（八）运维团队资质</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1、运维人数</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（1）</w:t>
            </w:r>
            <w:r>
              <w:rPr>
                <w:rFonts w:ascii="宋体" w:hAnsi="宋体" w:cs="宋体"/>
                <w:sz w:val="21"/>
                <w:szCs w:val="21"/>
                <w:lang w:val="en-US" w:eastAsia="zh-CN"/>
              </w:rPr>
              <w:t>中标人应配备机房电力班，技术人员不少于5人，具备电气知识、熟悉发电班所管辖设备工作原理及其结构、性能，能为生产提供技术保障，能熟悉操作计算机。</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（2）</w:t>
            </w:r>
            <w:r>
              <w:rPr>
                <w:rFonts w:ascii="宋体" w:hAnsi="宋体" w:cs="宋体"/>
                <w:sz w:val="21"/>
                <w:szCs w:val="21"/>
                <w:lang w:val="en-US" w:eastAsia="zh-CN"/>
              </w:rPr>
              <w:t>中标人应配备机房监控人员及计算机软硬件技术支持人员不少于2人，要求7*24小时值班，并提交值班日志（值班日志保留</w:t>
            </w:r>
            <w:r>
              <w:rPr>
                <w:rFonts w:hint="eastAsia" w:ascii="宋体" w:hAnsi="宋体" w:cs="宋体"/>
                <w:sz w:val="21"/>
                <w:szCs w:val="21"/>
                <w:lang w:val="en-US" w:eastAsia="zh-CN"/>
              </w:rPr>
              <w:t>三</w:t>
            </w:r>
            <w:r>
              <w:rPr>
                <w:rFonts w:ascii="宋体" w:hAnsi="宋体" w:cs="宋体"/>
                <w:sz w:val="21"/>
                <w:szCs w:val="21"/>
                <w:lang w:val="en-US" w:eastAsia="zh-CN"/>
              </w:rPr>
              <w:t>年期限）。</w:t>
            </w:r>
          </w:p>
          <w:p>
            <w:pPr>
              <w:pStyle w:val="17"/>
              <w:ind w:firstLine="0" w:firstLineChars="0"/>
              <w:rPr>
                <w:rFonts w:hint="eastAsia" w:ascii="宋体" w:hAnsi="宋体" w:cs="宋体"/>
                <w:sz w:val="21"/>
                <w:szCs w:val="21"/>
                <w:lang w:val="en-US" w:eastAsia="zh-CN"/>
              </w:rPr>
            </w:pPr>
            <w:r>
              <w:rPr>
                <w:rFonts w:ascii="宋体" w:hAnsi="宋体" w:cs="宋体"/>
                <w:sz w:val="21"/>
                <w:szCs w:val="21"/>
                <w:lang w:val="en-US" w:eastAsia="zh-CN"/>
              </w:rPr>
              <w:t>(3)</w:t>
            </w:r>
            <w:r>
              <w:rPr>
                <w:sz w:val="21"/>
                <w:szCs w:val="21"/>
                <w:lang w:val="en-US" w:eastAsia="zh-CN"/>
              </w:rPr>
              <w:t>中标人</w:t>
            </w:r>
            <w:r>
              <w:rPr>
                <w:b/>
                <w:sz w:val="21"/>
                <w:szCs w:val="21"/>
                <w:lang w:val="en-US" w:eastAsia="zh-CN"/>
              </w:rPr>
              <w:t>配备3名项目管理人员</w:t>
            </w:r>
            <w:r>
              <w:rPr>
                <w:sz w:val="21"/>
                <w:szCs w:val="21"/>
                <w:lang w:val="en-US" w:eastAsia="zh-CN"/>
              </w:rPr>
              <w:t>对项目的运维情况进行监督管理，其中：</w:t>
            </w:r>
            <w:r>
              <w:rPr>
                <w:b/>
                <w:bCs/>
                <w:sz w:val="21"/>
                <w:szCs w:val="21"/>
                <w:lang w:val="en-US" w:eastAsia="zh-CN"/>
              </w:rPr>
              <w:t>配备1名运维技术主管</w:t>
            </w:r>
            <w:r>
              <w:rPr>
                <w:sz w:val="21"/>
                <w:szCs w:val="21"/>
                <w:lang w:val="en-US" w:eastAsia="zh-CN"/>
              </w:rPr>
              <w:t>，负责数据中心基础设施及IT系统的综合运维技术支撑管理，包括网络、服务器、空调系统、消防系统、弱电及安防系统等，以及做好数据中心的网络安全防护工作，保障机房运行符合高可用要求；</w:t>
            </w:r>
            <w:r>
              <w:rPr>
                <w:b/>
                <w:sz w:val="21"/>
                <w:szCs w:val="21"/>
                <w:lang w:val="en-US" w:eastAsia="zh-CN"/>
              </w:rPr>
              <w:t>配备1名运维服务主管</w:t>
            </w:r>
            <w:r>
              <w:rPr>
                <w:sz w:val="21"/>
                <w:szCs w:val="21"/>
                <w:lang w:val="en-US" w:eastAsia="zh-CN"/>
              </w:rPr>
              <w:t>，负责数据中心运维管理工作，制定数据中心运维管理制度、日常运维目标、运维手册，故障处置流程等，确保数据中心安全、可靠、高效运行；</w:t>
            </w:r>
            <w:r>
              <w:rPr>
                <w:b/>
                <w:sz w:val="21"/>
                <w:szCs w:val="21"/>
                <w:lang w:val="en-US" w:eastAsia="zh-CN"/>
              </w:rPr>
              <w:t>配备1名运维安全负责人</w:t>
            </w:r>
            <w:r>
              <w:rPr>
                <w:sz w:val="21"/>
                <w:szCs w:val="21"/>
                <w:lang w:val="en-US" w:eastAsia="zh-CN"/>
              </w:rPr>
              <w:t>，负责监督指导数据中心的安全生产工作、排除可能存在的安全隐患，制定应急处置流程及组织应急演练，保证采购人业务系统在安全稳定的的环境下运行。</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w:t>
            </w:r>
            <w:r>
              <w:rPr>
                <w:rFonts w:ascii="宋体" w:hAnsi="宋体" w:cs="宋体"/>
                <w:sz w:val="21"/>
                <w:szCs w:val="21"/>
                <w:lang w:val="en-US" w:eastAsia="zh-CN"/>
              </w:rPr>
              <w:t>4</w:t>
            </w:r>
            <w:r>
              <w:rPr>
                <w:rFonts w:hint="eastAsia" w:ascii="宋体" w:hAnsi="宋体" w:cs="宋体"/>
                <w:sz w:val="21"/>
                <w:szCs w:val="21"/>
                <w:lang w:val="en-US" w:eastAsia="zh-CN"/>
              </w:rPr>
              <w:t>）</w:t>
            </w:r>
            <w:r>
              <w:rPr>
                <w:rFonts w:ascii="宋体" w:hAnsi="宋体" w:cs="宋体"/>
                <w:sz w:val="21"/>
                <w:szCs w:val="21"/>
                <w:lang w:val="en-US" w:eastAsia="zh-CN"/>
              </w:rPr>
              <w:t>中标人须配备驻点机房管理人员不少于3人，该3名驻点机房管理人员服从采购人管理，进行5*8小时制进行值班：包括对机柜功率及使用情况进行统计，机房基础环境巡检，人员进出、设备上下架进行登记管理，对新设备上架布线进行检查。法定节假日</w:t>
            </w:r>
            <w:r>
              <w:rPr>
                <w:rFonts w:hint="eastAsia" w:ascii="宋体" w:hAnsi="宋体" w:cs="宋体"/>
                <w:sz w:val="21"/>
                <w:szCs w:val="21"/>
                <w:lang w:val="en-US" w:eastAsia="zh-CN"/>
              </w:rPr>
              <w:t>、重大活动期间</w:t>
            </w:r>
            <w:r>
              <w:rPr>
                <w:rFonts w:ascii="宋体" w:hAnsi="宋体" w:cs="宋体"/>
                <w:sz w:val="21"/>
                <w:szCs w:val="21"/>
                <w:lang w:val="en-US" w:eastAsia="zh-CN"/>
              </w:rPr>
              <w:t>参与公安厅</w:t>
            </w:r>
            <w:r>
              <w:rPr>
                <w:rFonts w:hint="eastAsia" w:ascii="宋体" w:hAnsi="宋体" w:cs="宋体"/>
                <w:sz w:val="21"/>
                <w:szCs w:val="21"/>
                <w:lang w:val="en-US" w:eastAsia="zh-CN"/>
              </w:rPr>
              <w:t>运维</w:t>
            </w:r>
            <w:r>
              <w:rPr>
                <w:rFonts w:ascii="宋体" w:hAnsi="宋体" w:cs="宋体"/>
                <w:sz w:val="21"/>
                <w:szCs w:val="21"/>
                <w:lang w:val="en-US" w:eastAsia="zh-CN"/>
              </w:rPr>
              <w:t>值班。</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2、岗位职责</w:t>
            </w:r>
          </w:p>
          <w:p>
            <w:pPr>
              <w:pStyle w:val="17"/>
              <w:ind w:firstLine="0" w:firstLineChars="0"/>
              <w:rPr>
                <w:rFonts w:ascii="宋体" w:hAnsi="宋体" w:cs="宋体"/>
                <w:sz w:val="21"/>
                <w:szCs w:val="21"/>
                <w:lang w:val="en-US" w:eastAsia="zh-CN"/>
              </w:rPr>
            </w:pPr>
            <w:r>
              <w:rPr>
                <w:rFonts w:ascii="宋体" w:hAnsi="宋体" w:cs="宋体"/>
                <w:sz w:val="21"/>
                <w:szCs w:val="21"/>
                <w:lang w:val="en-US" w:eastAsia="zh-CN"/>
              </w:rPr>
              <w:t>驻场人员接受采购人的管理与工作调整，遵守采购人的各项规章制度。驻场人员如需离场，中标人须至少提前一个月向采购人提出申请，申请还未获批前，驻场人员应照常驻场工作，履行岗位职责。</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（1）</w:t>
            </w:r>
            <w:r>
              <w:rPr>
                <w:rFonts w:ascii="宋体" w:hAnsi="宋体" w:cs="宋体"/>
                <w:sz w:val="21"/>
                <w:szCs w:val="21"/>
                <w:lang w:val="en-US" w:eastAsia="zh-CN"/>
              </w:rPr>
              <w:t>对机房环境巡检与清理</w:t>
            </w:r>
          </w:p>
          <w:p>
            <w:pPr>
              <w:pStyle w:val="17"/>
              <w:ind w:firstLine="0" w:firstLineChars="0"/>
              <w:rPr>
                <w:rFonts w:ascii="宋体" w:hAnsi="宋体" w:cs="宋体"/>
                <w:sz w:val="21"/>
                <w:szCs w:val="21"/>
                <w:lang w:val="en-US" w:eastAsia="zh-CN"/>
              </w:rPr>
            </w:pPr>
            <w:r>
              <w:rPr>
                <w:rFonts w:ascii="宋体" w:hAnsi="宋体" w:cs="宋体"/>
                <w:sz w:val="21"/>
                <w:szCs w:val="21"/>
                <w:lang w:val="en-US" w:eastAsia="zh-CN"/>
              </w:rPr>
              <w:t>每日监控机房环境监控系统，对各机房运行情况进行运行状态监控，确保环境监控系统工作稳定正常，出现故障时可以快速进行短信故障告警。</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（2）</w:t>
            </w:r>
            <w:r>
              <w:rPr>
                <w:rFonts w:ascii="宋体" w:hAnsi="宋体" w:cs="宋体"/>
                <w:sz w:val="21"/>
                <w:szCs w:val="21"/>
                <w:lang w:val="en-US" w:eastAsia="zh-CN"/>
              </w:rPr>
              <w:t>供配电系统巡检与维护</w:t>
            </w:r>
          </w:p>
          <w:p>
            <w:pPr>
              <w:pStyle w:val="17"/>
              <w:ind w:firstLine="0" w:firstLineChars="0"/>
              <w:rPr>
                <w:rFonts w:ascii="宋体" w:hAnsi="宋体" w:cs="宋体"/>
                <w:sz w:val="21"/>
                <w:szCs w:val="21"/>
                <w:lang w:val="en-US" w:eastAsia="zh-CN"/>
              </w:rPr>
            </w:pPr>
            <w:r>
              <w:rPr>
                <w:rFonts w:ascii="宋体" w:hAnsi="宋体" w:cs="宋体"/>
                <w:sz w:val="21"/>
                <w:szCs w:val="21"/>
                <w:lang w:val="en-US" w:eastAsia="zh-CN"/>
              </w:rPr>
              <w:t>每日对配电电缆进行巡查，对线路混乱部分进行清理。</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（3）</w:t>
            </w:r>
            <w:r>
              <w:rPr>
                <w:rFonts w:ascii="宋体" w:hAnsi="宋体" w:cs="宋体"/>
                <w:sz w:val="21"/>
                <w:szCs w:val="21"/>
                <w:lang w:val="en-US" w:eastAsia="zh-CN"/>
              </w:rPr>
              <w:t>综合布线系统进行管理</w:t>
            </w:r>
          </w:p>
          <w:p>
            <w:pPr>
              <w:pStyle w:val="17"/>
              <w:ind w:firstLine="0" w:firstLineChars="0"/>
              <w:rPr>
                <w:rFonts w:ascii="宋体" w:hAnsi="宋体" w:cs="宋体"/>
                <w:sz w:val="21"/>
                <w:szCs w:val="21"/>
                <w:lang w:val="en-US" w:eastAsia="zh-CN"/>
              </w:rPr>
            </w:pPr>
            <w:r>
              <w:rPr>
                <w:rFonts w:ascii="宋体" w:hAnsi="宋体" w:cs="宋体"/>
                <w:sz w:val="21"/>
                <w:szCs w:val="21"/>
                <w:lang w:val="en-US" w:eastAsia="zh-CN"/>
              </w:rPr>
              <w:t>对线路路由进行明确标示；定期整理机房内部布线，发现线路凌乱，标签不明的情况应及时进行整改。</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（4）</w:t>
            </w:r>
            <w:r>
              <w:rPr>
                <w:rFonts w:ascii="宋体" w:hAnsi="宋体" w:cs="宋体"/>
                <w:sz w:val="21"/>
                <w:szCs w:val="21"/>
                <w:lang w:val="en-US" w:eastAsia="zh-CN"/>
              </w:rPr>
              <w:t>定期对空调系统运行状态进行例行检测</w:t>
            </w:r>
          </w:p>
          <w:p>
            <w:pPr>
              <w:pStyle w:val="17"/>
              <w:ind w:firstLine="0" w:firstLineChars="0"/>
              <w:rPr>
                <w:rFonts w:ascii="宋体" w:hAnsi="宋体" w:cs="宋体"/>
                <w:sz w:val="21"/>
                <w:szCs w:val="21"/>
                <w:lang w:val="en-US" w:eastAsia="zh-CN"/>
              </w:rPr>
            </w:pPr>
            <w:r>
              <w:rPr>
                <w:rFonts w:ascii="宋体" w:hAnsi="宋体" w:cs="宋体"/>
                <w:sz w:val="21"/>
                <w:szCs w:val="21"/>
                <w:lang w:val="en-US" w:eastAsia="zh-CN"/>
              </w:rPr>
              <w:t>检查控制器显示的温度和相对湿度值与实际值是否相符，查看有关报警日志信息，确保空调系统的正常运行，如有异常报警需及时采取相应措施进行应急处理，并通知相关维护单位进行故障处理。</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（5）</w:t>
            </w:r>
            <w:r>
              <w:rPr>
                <w:rFonts w:ascii="宋体" w:hAnsi="宋体" w:cs="宋体"/>
                <w:sz w:val="21"/>
                <w:szCs w:val="21"/>
                <w:lang w:val="en-US" w:eastAsia="zh-CN"/>
              </w:rPr>
              <w:t>机房人员与设备出入管理：按照机房人员与设备管理制度，严格执行机房人员出入管理及设备上下架管理，并根据采购人相关要求进行记录。</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（6）</w:t>
            </w:r>
            <w:r>
              <w:rPr>
                <w:rFonts w:ascii="宋体" w:hAnsi="宋体" w:cs="宋体"/>
                <w:sz w:val="21"/>
                <w:szCs w:val="21"/>
                <w:lang w:val="en-US" w:eastAsia="zh-CN"/>
              </w:rPr>
              <w:t>机柜功率及空间使用情况进行统计</w:t>
            </w:r>
          </w:p>
          <w:p>
            <w:pPr>
              <w:pStyle w:val="17"/>
              <w:ind w:firstLine="0" w:firstLineChars="0"/>
              <w:rPr>
                <w:rFonts w:ascii="宋体" w:hAnsi="宋体" w:cs="宋体"/>
                <w:sz w:val="21"/>
                <w:szCs w:val="21"/>
                <w:lang w:val="en-US" w:eastAsia="zh-CN"/>
              </w:rPr>
            </w:pPr>
            <w:r>
              <w:rPr>
                <w:rFonts w:ascii="宋体" w:hAnsi="宋体" w:cs="宋体"/>
                <w:sz w:val="21"/>
                <w:szCs w:val="21"/>
                <w:lang w:val="en-US" w:eastAsia="zh-CN"/>
              </w:rPr>
              <w:t>按采购人要求对机柜功率及机柜空间情况进行统计整理记录。</w:t>
            </w:r>
          </w:p>
          <w:p>
            <w:pPr>
              <w:pStyle w:val="17"/>
              <w:ind w:firstLine="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（九）其他要求</w:t>
            </w:r>
          </w:p>
          <w:p>
            <w:pPr>
              <w:pStyle w:val="17"/>
              <w:ind w:firstLine="0" w:firstLineChars="0"/>
              <w:rPr>
                <w:rFonts w:hint="eastAsia" w:ascii="宋体" w:hAnsi="宋体" w:cs="宋体"/>
                <w:sz w:val="21"/>
                <w:szCs w:val="21"/>
                <w:lang w:val="en-US" w:eastAsia="zh-CN"/>
              </w:rPr>
            </w:pPr>
            <w:r>
              <w:rPr>
                <w:rFonts w:ascii="宋体" w:hAnsi="宋体" w:cs="宋体"/>
                <w:sz w:val="21"/>
                <w:szCs w:val="21"/>
                <w:lang w:val="en-US" w:eastAsia="zh-CN" w:bidi="ar"/>
              </w:rPr>
              <w:t>▲</w:t>
            </w:r>
            <w:r>
              <w:rPr>
                <w:rFonts w:hint="eastAsia" w:ascii="宋体" w:hAnsi="宋体" w:cs="宋体"/>
                <w:sz w:val="21"/>
                <w:szCs w:val="21"/>
                <w:lang w:val="en-US" w:eastAsia="zh-CN"/>
              </w:rPr>
              <w:t>1、搬迁要求</w:t>
            </w:r>
          </w:p>
          <w:p>
            <w:pPr>
              <w:pStyle w:val="8"/>
              <w:spacing w:line="380" w:lineRule="exact"/>
              <w:rPr>
                <w:rFonts w:ascii="宋体" w:hAnsi="宋体" w:cs="宋体"/>
                <w:kern w:val="0"/>
                <w:szCs w:val="21"/>
                <w:lang w:val="en-US" w:eastAsia="zh-CN"/>
              </w:rPr>
            </w:pPr>
            <w:r>
              <w:rPr>
                <w:rFonts w:hint="eastAsia" w:ascii="宋体" w:hAnsi="宋体" w:cs="宋体"/>
                <w:szCs w:val="21"/>
                <w:lang w:val="en-US" w:eastAsia="zh-CN"/>
              </w:rPr>
              <w:t>（1）</w:t>
            </w:r>
            <w:r>
              <w:rPr>
                <w:rFonts w:ascii="宋体" w:hAnsi="宋体" w:cs="宋体"/>
                <w:kern w:val="0"/>
                <w:szCs w:val="21"/>
                <w:lang w:val="en-US" w:eastAsia="zh-CN"/>
              </w:rPr>
              <w:t>公安厅现有在用机柜约341个，</w:t>
            </w:r>
            <w:r>
              <w:rPr>
                <w:rFonts w:hint="eastAsia" w:ascii="宋体" w:hAnsi="宋体" w:cs="宋体"/>
                <w:kern w:val="0"/>
                <w:szCs w:val="21"/>
                <w:lang w:val="en-US" w:eastAsia="zh-CN"/>
              </w:rPr>
              <w:t>如中标人提供的机房与公安厅现有在用机房地址不同，</w:t>
            </w:r>
            <w:r>
              <w:rPr>
                <w:rFonts w:ascii="宋体" w:hAnsi="宋体" w:cs="宋体"/>
                <w:kern w:val="0"/>
                <w:szCs w:val="21"/>
                <w:lang w:val="en-US" w:eastAsia="zh-CN"/>
              </w:rPr>
              <w:t>机柜租赁所涉及的搬迁费用（含设备未搬迁出原</w:t>
            </w:r>
            <w:r>
              <w:rPr>
                <w:rFonts w:hint="eastAsia" w:ascii="宋体" w:hAnsi="宋体" w:cs="宋体"/>
                <w:kern w:val="0"/>
                <w:szCs w:val="21"/>
                <w:lang w:val="en-US" w:eastAsia="zh-CN"/>
              </w:rPr>
              <w:t>公安</w:t>
            </w:r>
            <w:r>
              <w:rPr>
                <w:rFonts w:ascii="宋体" w:hAnsi="宋体" w:cs="宋体"/>
                <w:kern w:val="0"/>
                <w:szCs w:val="21"/>
                <w:lang w:val="en-US" w:eastAsia="zh-CN"/>
              </w:rPr>
              <w:t>厅在用机房所产生的机柜和线路租赁费用）由本项目中标人承担。设备搬迁要求在签订合同后60天内完成，并保证所有业务系统恢复正常上线使用。</w:t>
            </w:r>
            <w:r>
              <w:rPr>
                <w:rFonts w:hint="eastAsia" w:ascii="宋体" w:hAnsi="宋体" w:cs="宋体"/>
                <w:kern w:val="0"/>
                <w:szCs w:val="21"/>
                <w:lang w:val="en-US" w:eastAsia="zh-CN"/>
              </w:rPr>
              <w:t>单个</w:t>
            </w:r>
            <w:r>
              <w:rPr>
                <w:rFonts w:ascii="宋体" w:hAnsi="宋体" w:cs="宋体"/>
                <w:kern w:val="0"/>
                <w:szCs w:val="21"/>
                <w:lang w:val="en-US" w:eastAsia="zh-CN"/>
              </w:rPr>
              <w:t>业务系统割接应在4小时内完成，若割接失败应在2小时内完成回退并恢复正常运行。（搬迁设备包括对原有机房业务进行迁移和割接。允许分批割接，但每个批次搬迁后业务割接时，业务中断时间不能超4小时。）</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（2）</w:t>
            </w:r>
            <w:r>
              <w:rPr>
                <w:rFonts w:ascii="宋体" w:hAnsi="宋体" w:cs="宋体"/>
                <w:sz w:val="21"/>
                <w:szCs w:val="21"/>
                <w:lang w:val="en-US" w:eastAsia="zh-CN"/>
              </w:rPr>
              <w:t>搬迁前应提供符合保密条件的详细可行的数据备份、设备搬迁及系统迁移等实施方案；</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（3）</w:t>
            </w:r>
            <w:r>
              <w:rPr>
                <w:rFonts w:ascii="宋体" w:hAnsi="宋体" w:cs="宋体"/>
                <w:sz w:val="21"/>
                <w:szCs w:val="21"/>
                <w:lang w:val="en-US" w:eastAsia="zh-CN"/>
              </w:rPr>
              <w:t>搬迁前对设备状态检查，设备下电、拆除各类连接线缆并做好标识工作；</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（4）</w:t>
            </w:r>
            <w:r>
              <w:rPr>
                <w:rFonts w:ascii="宋体" w:hAnsi="宋体" w:cs="宋体"/>
                <w:sz w:val="21"/>
                <w:szCs w:val="21"/>
                <w:lang w:val="en-US" w:eastAsia="zh-CN"/>
              </w:rPr>
              <w:t>搬迁前需组建满足搬迁需求的网络环境，其中包括满足用户业务接入需求的交换机。</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（5）</w:t>
            </w:r>
            <w:r>
              <w:rPr>
                <w:rFonts w:ascii="宋体" w:hAnsi="宋体" w:cs="宋体"/>
                <w:sz w:val="21"/>
                <w:szCs w:val="21"/>
                <w:lang w:val="en-US" w:eastAsia="zh-CN"/>
              </w:rPr>
              <w:t>搬迁到目标机房后，对设备加电、健康检查、各类线缆连接；</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（6）</w:t>
            </w:r>
            <w:r>
              <w:rPr>
                <w:rFonts w:ascii="宋体" w:hAnsi="宋体" w:cs="宋体"/>
                <w:sz w:val="21"/>
                <w:szCs w:val="21"/>
                <w:lang w:val="en-US" w:eastAsia="zh-CN"/>
              </w:rPr>
              <w:t>对各业务系统与存储连接后进行健康检查，提供详细可行的应急方案，若系统割接后无法正常上线，确保系统在2小时内恢复正常运行；</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（7）</w:t>
            </w:r>
            <w:r>
              <w:rPr>
                <w:rFonts w:ascii="宋体" w:hAnsi="宋体" w:cs="宋体"/>
                <w:sz w:val="21"/>
                <w:szCs w:val="21"/>
                <w:lang w:val="en-US" w:eastAsia="zh-CN"/>
              </w:rPr>
              <w:t>由于本次搬迁的一些设备都是用户长期加电使用的，对于搬迁需要全部关电，而电器设备也存在着关后无法重新启动的风险，同时搬运过程中也可能会发生由于电器设备冷却后损坏的风险。在搬迁前应按应急方案提供主要设备常用故障备件</w:t>
            </w:r>
            <w:r>
              <w:rPr>
                <w:rFonts w:hint="eastAsia" w:ascii="宋体" w:hAnsi="宋体" w:cs="宋体"/>
                <w:sz w:val="21"/>
                <w:szCs w:val="21"/>
                <w:lang w:val="en-US" w:eastAsia="zh-CN"/>
              </w:rPr>
              <w:t>以及备用服务器，</w:t>
            </w:r>
            <w:r>
              <w:rPr>
                <w:rFonts w:ascii="宋体" w:hAnsi="宋体" w:cs="宋体"/>
                <w:sz w:val="21"/>
                <w:szCs w:val="21"/>
                <w:lang w:val="en-US" w:eastAsia="zh-CN"/>
              </w:rPr>
              <w:t>若设备因搬迁导致损坏，应在2小时内完成备件替换工作</w:t>
            </w:r>
            <w:r>
              <w:rPr>
                <w:rFonts w:hint="eastAsia" w:ascii="宋体" w:hAnsi="宋体" w:cs="宋体"/>
                <w:sz w:val="21"/>
                <w:szCs w:val="21"/>
                <w:lang w:val="en-US" w:eastAsia="zh-CN"/>
              </w:rPr>
              <w:t>。</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（8）由于公安业务特殊性，涉及不能停机的业务，需要中标方提供与业务系统匹配的服务器搭建临时环境，保障业务顺利割接、搬迁，系统正常上线使用。</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（9）</w:t>
            </w:r>
            <w:r>
              <w:rPr>
                <w:rFonts w:ascii="宋体" w:hAnsi="宋体" w:cs="宋体"/>
                <w:sz w:val="21"/>
                <w:szCs w:val="21"/>
                <w:lang w:val="en-US" w:eastAsia="zh-CN"/>
              </w:rPr>
              <w:t>需经采购人对网络线路、设备运行状态、线缆标识进行检查合格且业务测试正常后，方可进行搬迁验收。；</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（10）</w:t>
            </w:r>
            <w:r>
              <w:rPr>
                <w:rFonts w:ascii="宋体" w:hAnsi="宋体" w:cs="宋体"/>
                <w:sz w:val="21"/>
                <w:szCs w:val="21"/>
                <w:lang w:val="en-US" w:eastAsia="zh-CN"/>
              </w:rPr>
              <w:t>搬迁、网络环境搭建、设备上架、调试过程中所产生的一切费用（包含搬迁期间原设备驻留机房租赁费用）由中标人负责。</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2、文档管理要求</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（1）</w:t>
            </w:r>
            <w:r>
              <w:rPr>
                <w:rFonts w:ascii="宋体" w:hAnsi="宋体" w:cs="宋体"/>
                <w:sz w:val="21"/>
                <w:szCs w:val="21"/>
                <w:lang w:val="en-US" w:eastAsia="zh-CN"/>
              </w:rPr>
              <w:t>中标人应根据采购人对项目管理的相关要求整理、提交和维护项目的过程文档，包括但不限于项目履约清单，以及履约清单要求的所有维护过程交付物、实施方案、演练方案、满意度评价等。</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（2）</w:t>
            </w:r>
            <w:r>
              <w:rPr>
                <w:rFonts w:ascii="宋体" w:hAnsi="宋体" w:cs="宋体"/>
                <w:sz w:val="21"/>
                <w:szCs w:val="21"/>
                <w:lang w:val="en-US" w:eastAsia="zh-CN"/>
              </w:rPr>
              <w:t>中标人应按采购人要求将机房巡检表、机柜巡检记录表、设备进出信息报表、人员进出信息报表、网络设备巡检表按月装订成册并提交给采购人指定人员。</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rPr>
              <w:t>3、</w:t>
            </w:r>
            <w:r>
              <w:rPr>
                <w:rFonts w:hint="eastAsia" w:ascii="宋体" w:hAnsi="宋体" w:cs="宋体"/>
                <w:sz w:val="21"/>
                <w:szCs w:val="21"/>
                <w:lang w:val="en-US" w:eastAsia="zh-CN" w:bidi="ar"/>
              </w:rPr>
              <w:t>运维人员办公环境</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（1）</w:t>
            </w:r>
            <w:r>
              <w:rPr>
                <w:rFonts w:ascii="宋体" w:hAnsi="宋体" w:cs="宋体"/>
                <w:sz w:val="21"/>
                <w:szCs w:val="21"/>
                <w:lang w:val="en-US" w:eastAsia="zh-CN" w:bidi="ar"/>
              </w:rPr>
              <w:t>中标人为采购人提供办公室（≥120</w:t>
            </w:r>
            <w:r>
              <w:rPr>
                <w:rStyle w:val="22"/>
                <w:rFonts w:hint="eastAsia"/>
                <w:kern w:val="2"/>
                <w:lang w:val="en-US" w:eastAsia="zh-CN"/>
              </w:rPr>
              <w:t>平方米</w:t>
            </w:r>
            <w:r>
              <w:rPr>
                <w:rFonts w:ascii="宋体" w:hAnsi="宋体" w:cs="宋体"/>
                <w:sz w:val="21"/>
                <w:szCs w:val="21"/>
                <w:lang w:val="en-US" w:eastAsia="zh-CN" w:bidi="ar"/>
              </w:rPr>
              <w:t>）、休息</w:t>
            </w:r>
            <w:r>
              <w:rPr>
                <w:rFonts w:hint="eastAsia" w:ascii="宋体" w:hAnsi="宋体" w:cs="宋体"/>
                <w:sz w:val="21"/>
                <w:szCs w:val="21"/>
                <w:lang w:val="en-US" w:eastAsia="zh-CN" w:bidi="ar"/>
              </w:rPr>
              <w:t>2</w:t>
            </w:r>
            <w:r>
              <w:rPr>
                <w:rFonts w:ascii="宋体" w:hAnsi="宋体" w:cs="宋体"/>
                <w:sz w:val="21"/>
                <w:szCs w:val="21"/>
                <w:lang w:val="en-US" w:eastAsia="zh-CN" w:bidi="ar"/>
              </w:rPr>
              <w:t>间</w:t>
            </w:r>
            <w:r>
              <w:rPr>
                <w:rFonts w:hint="eastAsia" w:ascii="宋体" w:hAnsi="宋体" w:cs="宋体"/>
                <w:sz w:val="21"/>
                <w:szCs w:val="21"/>
                <w:lang w:val="en-US" w:eastAsia="zh-CN" w:bidi="ar"/>
              </w:rPr>
              <w:t>（男、女各1间）</w:t>
            </w:r>
            <w:r>
              <w:rPr>
                <w:rFonts w:ascii="宋体" w:hAnsi="宋体" w:cs="宋体"/>
                <w:sz w:val="21"/>
                <w:szCs w:val="21"/>
                <w:lang w:val="en-US" w:eastAsia="zh-CN" w:bidi="ar"/>
              </w:rPr>
              <w:t>（≥20</w:t>
            </w:r>
            <w:r>
              <w:rPr>
                <w:rStyle w:val="22"/>
                <w:rFonts w:hint="eastAsia"/>
                <w:kern w:val="2"/>
                <w:lang w:val="en-US" w:eastAsia="zh-CN"/>
              </w:rPr>
              <w:t>平方米</w:t>
            </w:r>
            <w:r>
              <w:rPr>
                <w:rFonts w:ascii="宋体" w:hAnsi="宋体" w:cs="宋体"/>
                <w:sz w:val="21"/>
                <w:szCs w:val="21"/>
                <w:lang w:val="en-US" w:eastAsia="zh-CN" w:bidi="ar"/>
              </w:rPr>
              <w:t>）、备件间（≥60</w:t>
            </w:r>
            <w:r>
              <w:rPr>
                <w:rStyle w:val="22"/>
                <w:rFonts w:hint="eastAsia"/>
                <w:kern w:val="2"/>
                <w:lang w:val="en-US" w:eastAsia="zh-CN"/>
              </w:rPr>
              <w:t>平方米</w:t>
            </w:r>
            <w:r>
              <w:rPr>
                <w:rFonts w:ascii="宋体" w:hAnsi="宋体" w:cs="宋体"/>
                <w:sz w:val="21"/>
                <w:szCs w:val="21"/>
                <w:lang w:val="en-US" w:eastAsia="zh-CN" w:bidi="ar"/>
              </w:rPr>
              <w:t>）、监控操作间（≥30</w:t>
            </w:r>
            <w:r>
              <w:rPr>
                <w:rStyle w:val="22"/>
                <w:rFonts w:hint="eastAsia"/>
                <w:kern w:val="2"/>
                <w:lang w:val="en-US" w:eastAsia="zh-CN"/>
              </w:rPr>
              <w:t>平方米</w:t>
            </w:r>
            <w:r>
              <w:rPr>
                <w:rFonts w:ascii="宋体" w:hAnsi="宋体" w:cs="宋体"/>
                <w:sz w:val="21"/>
                <w:szCs w:val="21"/>
                <w:lang w:val="en-US" w:eastAsia="zh-CN" w:bidi="ar"/>
              </w:rPr>
              <w:t>）及相关配套设施。</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（2）</w:t>
            </w:r>
            <w:r>
              <w:rPr>
                <w:rFonts w:ascii="宋体" w:hAnsi="宋体" w:cs="宋体"/>
                <w:sz w:val="21"/>
                <w:szCs w:val="21"/>
                <w:lang w:val="en-US" w:eastAsia="zh-CN" w:bidi="ar"/>
              </w:rPr>
              <w:t>中标人应提供办公区互联网千兆以上，确保数据中心办公正常有序。</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（3）</w:t>
            </w:r>
            <w:r>
              <w:rPr>
                <w:rFonts w:ascii="宋体" w:hAnsi="宋体" w:cs="宋体"/>
                <w:sz w:val="21"/>
                <w:szCs w:val="21"/>
                <w:lang w:val="en-US" w:eastAsia="zh-CN" w:bidi="ar"/>
              </w:rPr>
              <w:t>要求中标人根据采购人要求提供办公区域相关配套设施，包括但不限于：激光打印机、标签打印机、空调办公桌椅、文件柜</w:t>
            </w:r>
            <w:r>
              <w:rPr>
                <w:rFonts w:hint="eastAsia" w:ascii="宋体" w:hAnsi="宋体" w:cs="宋体"/>
                <w:sz w:val="21"/>
                <w:szCs w:val="21"/>
                <w:lang w:val="en-US" w:eastAsia="zh-CN" w:bidi="ar"/>
              </w:rPr>
              <w:t>、茶水间</w:t>
            </w:r>
            <w:r>
              <w:rPr>
                <w:rFonts w:ascii="宋体" w:hAnsi="宋体" w:cs="宋体"/>
                <w:sz w:val="21"/>
                <w:szCs w:val="21"/>
                <w:lang w:val="en-US" w:eastAsia="zh-CN" w:bidi="ar"/>
              </w:rPr>
              <w:t>等值班休息生活配套</w:t>
            </w:r>
            <w:r>
              <w:rPr>
                <w:rFonts w:hint="eastAsia" w:ascii="宋体" w:hAnsi="宋体" w:cs="宋体"/>
                <w:sz w:val="21"/>
                <w:szCs w:val="21"/>
                <w:lang w:val="en-US" w:eastAsia="zh-CN" w:bidi="ar"/>
              </w:rPr>
              <w:t>设备及电器</w:t>
            </w:r>
            <w:r>
              <w:rPr>
                <w:rFonts w:ascii="宋体" w:hAnsi="宋体" w:cs="宋体"/>
                <w:sz w:val="21"/>
                <w:szCs w:val="21"/>
                <w:lang w:val="en-US" w:eastAsia="zh-CN" w:bidi="ar"/>
              </w:rPr>
              <w:t>。</w:t>
            </w:r>
          </w:p>
          <w:p>
            <w:pPr>
              <w:pStyle w:val="17"/>
              <w:ind w:firstLine="0" w:firstLineChars="0"/>
              <w:rPr>
                <w:rFonts w:ascii="宋体" w:hAnsi="宋体" w:cs="宋体"/>
                <w:sz w:val="21"/>
                <w:szCs w:val="21"/>
                <w:lang w:val="en-US" w:eastAsia="zh-CN" w:bidi="ar"/>
              </w:rPr>
            </w:pPr>
            <w:r>
              <w:rPr>
                <w:rFonts w:hint="eastAsia" w:ascii="宋体" w:hAnsi="宋体" w:cs="宋体"/>
                <w:sz w:val="21"/>
                <w:szCs w:val="21"/>
                <w:lang w:val="en-US" w:eastAsia="zh-CN" w:bidi="ar"/>
              </w:rPr>
              <w:t>（4）</w:t>
            </w:r>
            <w:r>
              <w:rPr>
                <w:rFonts w:ascii="宋体" w:hAnsi="宋体" w:cs="宋体"/>
                <w:sz w:val="21"/>
                <w:szCs w:val="21"/>
                <w:lang w:val="en-US" w:eastAsia="zh-CN" w:bidi="ar"/>
              </w:rPr>
              <w:t>要求中标人根据采购人要求在操作间提供动环监控系统界面与视频监控界面。</w:t>
            </w:r>
          </w:p>
          <w:p>
            <w:pPr>
              <w:pStyle w:val="17"/>
              <w:ind w:firstLine="0" w:firstLineChars="0"/>
              <w:rPr>
                <w:rFonts w:hint="eastAsia" w:ascii="宋体" w:hAnsi="宋体" w:cs="宋体"/>
                <w:sz w:val="21"/>
                <w:szCs w:val="21"/>
                <w:lang w:val="en-US" w:eastAsia="zh-CN" w:bidi="ar"/>
              </w:rPr>
            </w:pPr>
            <w:r>
              <w:rPr>
                <w:rFonts w:hint="eastAsia" w:ascii="宋体" w:hAnsi="宋体" w:cs="宋体"/>
                <w:sz w:val="21"/>
                <w:szCs w:val="21"/>
                <w:lang w:val="en-US" w:eastAsia="zh-CN" w:bidi="ar"/>
              </w:rPr>
              <w:t>4、人员进出机房管理</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按采购人《机房管理制度》要求执行。</w:t>
            </w:r>
          </w:p>
          <w:p>
            <w:pPr>
              <w:pStyle w:val="17"/>
              <w:ind w:firstLine="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三、服务要求</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(一)中标人须提供7×24小时技术支持服务。</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(二)接到故障通知，服务人员按照四种现场处理级别进行响应处理：</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1级：优先级为紧急的事件</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现象：VIP用户申报；信息安全事件、核心应用系统、核心基础设施故障且业务影响到运维范围内二分之一及以上用户。</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处理方式：15分钟内响应， 4小时内采取相应解决方案直至系统可以运行或降至2-4级别的问题。</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2级：优先级为高的事件</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现象：信息安全事件、核心应用系统故障、核心基础设施故障且业务影响到运维范围内二分之一以下用户；重要应用系统、重要基础设施故障且业务影响到运维范围内二分之一以上用户。</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处理方式：30分钟内响应， 8小时内采取相应解决方案直至系统可以运行或降至3-4级别的问题。</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3级：优先级为中的事件</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现象：信息安全事件、核心应用系统故障、核心基础设施故障且影响个别用户（1-3人）；重要应用系统、重要基础设施故障且业务影响到运维范围内二分之一以下用户；一般应用系统、一般基础设施故障、非VIP用户计算机终端故障业务且影响到运维范围内二分之一以下用户；服务请求且业务影响到运维范围内二分之一及以上用户。</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处理方式：45分钟内响应，24小时内采取相应解决方案直至系统正常，非工作日由采购人决定是否到场。</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4级：优先级为低的事件：</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一般应用系统、一般基础设施故障、非VIP用户计算机终端故障且影响个别用户（1-3人）；服务请求且业务影响到运维范围内二分之一以下用户；服务请求且影响个别用户（1-3人）。</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处理方式：60分钟内响应，48小时内采取相应解决方案直至系统正常，非工作日由采购人决定是否到场。</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（三）因中标人施工、割接等原因影响机房设备或光纤链路正常运行的，须至少提前2个工作日通知用户，并且尽快消除故障、恢复正常。</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（四）中标人遵守采购人制定的联勤机制。</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（五）乙方</w:t>
            </w:r>
            <w:r>
              <w:rPr>
                <w:rFonts w:ascii="宋体" w:hAnsi="宋体" w:cs="宋体"/>
                <w:sz w:val="21"/>
                <w:szCs w:val="21"/>
                <w:lang w:val="en-US" w:eastAsia="zh-CN"/>
              </w:rPr>
              <w:t>在服务过程中提供的人员无法达到</w:t>
            </w:r>
            <w:r>
              <w:rPr>
                <w:rFonts w:hint="eastAsia" w:ascii="宋体" w:hAnsi="宋体" w:cs="宋体"/>
                <w:sz w:val="21"/>
                <w:szCs w:val="21"/>
                <w:lang w:val="en-US" w:eastAsia="zh-CN"/>
              </w:rPr>
              <w:t>合同</w:t>
            </w:r>
            <w:r>
              <w:rPr>
                <w:rFonts w:ascii="宋体" w:hAnsi="宋体" w:cs="宋体"/>
                <w:sz w:val="21"/>
                <w:szCs w:val="21"/>
                <w:lang w:val="en-US" w:eastAsia="zh-CN"/>
              </w:rPr>
              <w:t>要求</w:t>
            </w:r>
            <w:r>
              <w:rPr>
                <w:rFonts w:hint="eastAsia" w:ascii="宋体" w:hAnsi="宋体" w:cs="宋体"/>
                <w:sz w:val="21"/>
                <w:szCs w:val="21"/>
                <w:lang w:val="en-US" w:eastAsia="zh-CN"/>
              </w:rPr>
              <w:t>及</w:t>
            </w:r>
            <w:r>
              <w:rPr>
                <w:rFonts w:ascii="宋体" w:hAnsi="宋体" w:cs="宋体"/>
                <w:sz w:val="21"/>
                <w:szCs w:val="21"/>
                <w:lang w:val="en-US" w:eastAsia="zh-CN"/>
              </w:rPr>
              <w:t>甲方规章制度的，</w:t>
            </w:r>
            <w:r>
              <w:rPr>
                <w:rFonts w:hint="eastAsia" w:ascii="宋体" w:hAnsi="宋体" w:cs="宋体"/>
                <w:sz w:val="21"/>
                <w:szCs w:val="21"/>
                <w:lang w:val="en-US" w:eastAsia="zh-CN"/>
              </w:rPr>
              <w:t>甲方有权</w:t>
            </w:r>
            <w:r>
              <w:rPr>
                <w:rFonts w:ascii="宋体" w:hAnsi="宋体" w:cs="宋体"/>
                <w:sz w:val="21"/>
                <w:szCs w:val="21"/>
                <w:lang w:val="en-US" w:eastAsia="zh-CN"/>
              </w:rPr>
              <w:t>要求乙方更换服务人员。</w:t>
            </w:r>
          </w:p>
          <w:p>
            <w:pPr>
              <w:pStyle w:val="17"/>
              <w:ind w:firstLine="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四、</w:t>
            </w:r>
            <w:r>
              <w:rPr>
                <w:rFonts w:ascii="宋体" w:hAnsi="宋体" w:cs="宋体"/>
                <w:b/>
                <w:bCs/>
                <w:sz w:val="21"/>
                <w:szCs w:val="21"/>
                <w:lang w:val="en-US" w:eastAsia="zh-CN"/>
              </w:rPr>
              <w:t>信息安全及保密要求</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（一）</w:t>
            </w:r>
            <w:r>
              <w:rPr>
                <w:rFonts w:ascii="宋体" w:hAnsi="宋体" w:cs="宋体"/>
                <w:sz w:val="21"/>
                <w:szCs w:val="21"/>
                <w:lang w:val="en-US" w:eastAsia="zh-CN"/>
              </w:rPr>
              <w:t>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（二）</w:t>
            </w:r>
            <w:r>
              <w:rPr>
                <w:rFonts w:ascii="宋体" w:hAnsi="宋体" w:cs="宋体"/>
                <w:sz w:val="21"/>
                <w:szCs w:val="21"/>
                <w:lang w:val="en-US" w:eastAsia="zh-CN"/>
              </w:rPr>
              <w:t>负责维护工作的中标人要保证对所有系统资料和数据负有保密的责任和义务，未经采购人许可，不允许向第三方透露。</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（三）</w:t>
            </w:r>
            <w:r>
              <w:rPr>
                <w:rFonts w:ascii="宋体" w:hAnsi="宋体" w:cs="宋体"/>
                <w:sz w:val="21"/>
                <w:szCs w:val="21"/>
                <w:lang w:val="en-US" w:eastAsia="zh-CN"/>
              </w:rPr>
              <w:t>投标人须随投标文件附上《廉洁承诺书》，做出不向建设单位工作人员行贿的承诺。未在投标文件中附上《廉洁承诺书》的，视为投标无效。</w:t>
            </w:r>
          </w:p>
          <w:p>
            <w:pPr>
              <w:pStyle w:val="17"/>
              <w:ind w:firstLine="0" w:firstLineChars="0"/>
              <w:rPr>
                <w:rFonts w:ascii="宋体" w:hAnsi="宋体" w:cs="宋体"/>
                <w:sz w:val="21"/>
                <w:szCs w:val="21"/>
                <w:lang w:val="en-US" w:eastAsia="zh-CN"/>
              </w:rPr>
            </w:pPr>
            <w:r>
              <w:rPr>
                <w:rFonts w:hint="eastAsia" w:ascii="宋体" w:hAnsi="宋体" w:cs="宋体"/>
                <w:sz w:val="21"/>
                <w:szCs w:val="21"/>
                <w:lang w:val="en-US" w:eastAsia="zh-CN"/>
              </w:rPr>
              <w:t>（四）</w:t>
            </w:r>
            <w:r>
              <w:rPr>
                <w:rFonts w:ascii="宋体" w:hAnsi="宋体" w:cs="宋体"/>
                <w:sz w:val="21"/>
                <w:szCs w:val="21"/>
                <w:lang w:val="en-US" w:eastAsia="zh-CN"/>
              </w:rPr>
              <w:t>中标人须严格履行采购人服务规范要求，包括但不限于以下规范：《公安厅机关安全保密管理十条规定》</w:t>
            </w:r>
            <w:r>
              <w:rPr>
                <w:rFonts w:hint="eastAsia" w:ascii="宋体" w:hAnsi="宋体" w:cs="宋体"/>
                <w:sz w:val="21"/>
                <w:szCs w:val="21"/>
                <w:lang w:val="en-US" w:eastAsia="zh-CN"/>
              </w:rPr>
              <w:t>、</w:t>
            </w:r>
            <w:r>
              <w:rPr>
                <w:rFonts w:ascii="宋体" w:hAnsi="宋体" w:cs="宋体"/>
                <w:sz w:val="21"/>
                <w:szCs w:val="21"/>
                <w:lang w:val="en-US" w:eastAsia="zh-CN"/>
              </w:rPr>
              <w:t>《广西壮族自治区公安厅办公室关于加强厅机关信息系统企业运维人员管理工作的通知》《广西公安信息网安全管理试行规定》《广西公安厅机关公安信息网安全管理实施细则》《厅机关信息系统企业运维人员“十严禁”》《广西公安厅信息系统运维人员行为规范》《运维安全管理要求》及采购人各项内部规定。</w:t>
            </w:r>
          </w:p>
          <w:p>
            <w:pPr>
              <w:pStyle w:val="17"/>
              <w:ind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五）中标人须无条件配合开展施工及维保人员岗前审查、保密教育、保密检查工作。必须对项目实施过程中获取的相关信息保密（相关信息包括但不限于本项目），如发生失泄密事件即终止合同，且中标人不得参与后续公安厅项目投标活动。</w:t>
            </w:r>
          </w:p>
          <w:p>
            <w:pPr>
              <w:pStyle w:val="17"/>
              <w:ind w:firstLine="0" w:firstLineChars="0"/>
              <w:rPr>
                <w:rFonts w:hint="eastAsia" w:ascii="宋体" w:hAnsi="宋体" w:cs="宋体"/>
                <w:b/>
                <w:bCs/>
                <w:sz w:val="21"/>
                <w:szCs w:val="21"/>
                <w:lang w:val="en-US" w:eastAsia="zh-CN"/>
              </w:rPr>
            </w:pPr>
            <w:r>
              <w:rPr>
                <w:rFonts w:hint="eastAsia" w:ascii="宋体" w:hAnsi="宋体" w:cs="宋体"/>
                <w:b/>
                <w:bCs/>
                <w:sz w:val="21"/>
                <w:szCs w:val="21"/>
                <w:lang w:val="en-US" w:eastAsia="zh-CN"/>
              </w:rPr>
              <w:t>五、中标人责任要求</w:t>
            </w:r>
          </w:p>
          <w:p>
            <w:pPr>
              <w:pStyle w:val="17"/>
              <w:ind w:firstLine="0" w:firstLineChars="0"/>
              <w:rPr>
                <w:rFonts w:hint="eastAsia" w:ascii="宋体" w:hAnsi="宋体" w:cs="宋体"/>
                <w:sz w:val="21"/>
                <w:szCs w:val="21"/>
                <w:lang w:val="en-US" w:eastAsia="zh-CN"/>
              </w:rPr>
            </w:pPr>
            <w:r>
              <w:rPr>
                <w:rFonts w:ascii="宋体" w:hAnsi="宋体" w:cs="宋体"/>
                <w:sz w:val="21"/>
                <w:szCs w:val="21"/>
                <w:lang w:val="en-US" w:eastAsia="zh-CN"/>
              </w:rPr>
              <w:t>在维护过程中，若由于</w:t>
            </w:r>
            <w:r>
              <w:rPr>
                <w:rFonts w:hint="eastAsia" w:ascii="宋体" w:hAnsi="宋体" w:cs="宋体"/>
                <w:sz w:val="21"/>
                <w:szCs w:val="21"/>
                <w:lang w:val="en-US" w:eastAsia="zh-CN"/>
              </w:rPr>
              <w:t>中</w:t>
            </w:r>
            <w:r>
              <w:rPr>
                <w:rFonts w:ascii="宋体" w:hAnsi="宋体" w:cs="宋体"/>
                <w:sz w:val="21"/>
                <w:szCs w:val="21"/>
                <w:lang w:val="en-US" w:eastAsia="zh-CN"/>
              </w:rPr>
              <w:t>标单位自身技术不足或违规操作等原因造成的数据丢失、设备损坏等，须承担相应的责任。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b/>
                <w:bCs/>
                <w:szCs w:val="21"/>
              </w:rPr>
            </w:pPr>
            <w:r>
              <w:rPr>
                <w:rFonts w:ascii="宋体" w:hAnsi="宋体" w:cs="宋体"/>
                <w:szCs w:val="21"/>
                <w:lang w:bidi="ar"/>
              </w:rPr>
              <w:t>▲</w:t>
            </w:r>
            <w:r>
              <w:rPr>
                <w:rFonts w:hint="eastAsia" w:ascii="宋体" w:hAnsi="宋体"/>
                <w:b/>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cs="宋体"/>
                <w:szCs w:val="21"/>
              </w:rPr>
              <w:t>交付使用时间和地点</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ascii="宋体" w:hAnsi="宋体"/>
                <w:b/>
                <w:szCs w:val="21"/>
              </w:rPr>
            </w:pPr>
            <w:r>
              <w:rPr>
                <w:rFonts w:hint="eastAsia" w:ascii="宋体" w:hAnsi="宋体"/>
                <w:szCs w:val="21"/>
              </w:rPr>
              <w:t>交付使用时间：从合同签订之日起60个日历日内，提供配套机柜给采购人，并通过</w:t>
            </w:r>
            <w:r>
              <w:rPr>
                <w:rFonts w:hint="eastAsia" w:ascii="宋体" w:hAnsi="宋体"/>
                <w:bCs/>
                <w:szCs w:val="21"/>
              </w:rPr>
              <w:t>广西</w:t>
            </w:r>
            <w:r>
              <w:rPr>
                <w:rFonts w:ascii="宋体" w:hAnsi="宋体"/>
                <w:bCs/>
                <w:szCs w:val="21"/>
              </w:rPr>
              <w:t>公安厅</w:t>
            </w:r>
            <w:r>
              <w:rPr>
                <w:rFonts w:hint="eastAsia" w:ascii="宋体" w:hAnsi="宋体"/>
                <w:bCs/>
                <w:szCs w:val="21"/>
              </w:rPr>
              <w:t>科信办组织的阶段性验收后起算租赁时间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合同签订时间</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ascii="宋体" w:hAnsi="宋体"/>
                <w:szCs w:val="21"/>
              </w:rPr>
            </w:pPr>
            <w:r>
              <w:rPr>
                <w:rFonts w:hint="eastAsia" w:ascii="宋体" w:hAnsi="宋体"/>
                <w:szCs w:val="21"/>
              </w:rPr>
              <w:t>中标通知书发出之日起25天内。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szCs w:val="21"/>
              </w:rPr>
              <w:t>合同履行期限</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Cs/>
                <w:szCs w:val="21"/>
              </w:rPr>
            </w:pPr>
            <w:r>
              <w:rPr>
                <w:rFonts w:hint="eastAsia" w:ascii="宋体" w:hAnsi="宋体"/>
                <w:bCs/>
                <w:szCs w:val="21"/>
              </w:rPr>
              <w:t>通过广西</w:t>
            </w:r>
            <w:r>
              <w:rPr>
                <w:rFonts w:ascii="宋体" w:hAnsi="宋体"/>
                <w:bCs/>
                <w:szCs w:val="21"/>
              </w:rPr>
              <w:t>公安厅</w:t>
            </w:r>
            <w:r>
              <w:rPr>
                <w:rFonts w:hint="eastAsia" w:ascii="宋体" w:hAnsi="宋体"/>
                <w:bCs/>
                <w:szCs w:val="21"/>
              </w:rPr>
              <w:t>科信办组织的阶段性验收后起算租赁时间，租赁</w:t>
            </w:r>
            <w:r>
              <w:rPr>
                <w:rFonts w:ascii="宋体" w:hAnsi="宋体"/>
                <w:bCs/>
                <w:szCs w:val="21"/>
              </w:rPr>
              <w:t>期为</w:t>
            </w:r>
            <w:r>
              <w:rPr>
                <w:rFonts w:hint="eastAsia" w:ascii="宋体" w:hAnsi="宋体"/>
                <w:bCs/>
                <w:szCs w:val="21"/>
              </w:rPr>
              <w:t>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报价</w:t>
            </w:r>
            <w:r>
              <w:rPr>
                <w:rFonts w:ascii="宋体" w:hAnsi="宋体"/>
                <w:szCs w:val="21"/>
              </w:rPr>
              <w:t>方式</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bCs/>
                <w:szCs w:val="21"/>
              </w:rPr>
            </w:pPr>
            <w:r>
              <w:rPr>
                <w:rFonts w:hint="eastAsia" w:ascii="宋体" w:hAnsi="宋体"/>
                <w:bCs/>
                <w:szCs w:val="21"/>
              </w:rPr>
              <w:t>1、报价方式按单个机柜租赁费/年进行报价；</w:t>
            </w:r>
          </w:p>
          <w:p>
            <w:pPr>
              <w:spacing w:line="400" w:lineRule="exact"/>
              <w:rPr>
                <w:rFonts w:ascii="宋体" w:hAnsi="宋体"/>
                <w:bCs/>
                <w:szCs w:val="21"/>
              </w:rPr>
            </w:pPr>
            <w:r>
              <w:rPr>
                <w:rFonts w:hint="eastAsia" w:ascii="宋体" w:hAnsi="宋体"/>
                <w:bCs/>
                <w:szCs w:val="21"/>
              </w:rPr>
              <w:t>2、分别报出3KW、8KW功率机柜的报价。报价必须满足</w:t>
            </w:r>
            <w:r>
              <w:rPr>
                <w:rFonts w:hint="eastAsia"/>
                <w:szCs w:val="21"/>
              </w:rPr>
              <w:t>3KW机柜（单个）/年租赁费</w:t>
            </w:r>
            <w:r>
              <w:rPr>
                <w:rFonts w:hint="eastAsia" w:ascii="宋体" w:hAnsi="宋体"/>
                <w:bCs/>
                <w:szCs w:val="21"/>
              </w:rPr>
              <w:t>≤</w:t>
            </w:r>
            <w:r>
              <w:rPr>
                <w:rFonts w:hint="eastAsia"/>
                <w:szCs w:val="21"/>
              </w:rPr>
              <w:t>33488元、8KW机柜（单个）/年租赁费</w:t>
            </w:r>
            <w:r>
              <w:rPr>
                <w:rFonts w:hint="eastAsia" w:ascii="宋体" w:hAnsi="宋体"/>
                <w:bCs/>
                <w:szCs w:val="21"/>
              </w:rPr>
              <w:t>≤</w:t>
            </w:r>
            <w:r>
              <w:rPr>
                <w:szCs w:val="21"/>
              </w:rPr>
              <w:t>69765</w:t>
            </w:r>
            <w:r>
              <w:rPr>
                <w:rFonts w:hint="eastAsia"/>
                <w:szCs w:val="21"/>
              </w:rPr>
              <w:t>元。</w:t>
            </w:r>
          </w:p>
          <w:p>
            <w:pPr>
              <w:spacing w:line="400" w:lineRule="exact"/>
              <w:rPr>
                <w:rFonts w:hint="eastAsia" w:ascii="宋体" w:hAnsi="宋体"/>
                <w:bCs/>
                <w:szCs w:val="21"/>
              </w:rPr>
            </w:pPr>
            <w:r>
              <w:rPr>
                <w:rFonts w:hint="eastAsia" w:ascii="宋体" w:hAnsi="宋体"/>
                <w:bCs/>
                <w:szCs w:val="21"/>
              </w:rPr>
              <w:t>3、总报价=（3KW功率的机柜租费/个•年*280个+8KW功率的机柜租费/个•年*61个）</w:t>
            </w:r>
            <w:r>
              <w:rPr>
                <w:rFonts w:ascii="宋体" w:hAnsi="宋体"/>
                <w:bCs/>
                <w:szCs w:val="21"/>
              </w:rPr>
              <w:t>*3</w:t>
            </w:r>
            <w:r>
              <w:rPr>
                <w:rFonts w:hint="eastAsia" w:ascii="宋体" w:hAnsi="宋体"/>
                <w:bCs/>
                <w:szCs w:val="21"/>
              </w:rPr>
              <w:t>年。价格分以该总报价进行计算；</w:t>
            </w:r>
          </w:p>
          <w:p>
            <w:pPr>
              <w:spacing w:line="400" w:lineRule="exact"/>
              <w:rPr>
                <w:rFonts w:hint="eastAsia" w:ascii="宋体" w:hAnsi="宋体"/>
                <w:bCs/>
                <w:szCs w:val="21"/>
              </w:rPr>
            </w:pPr>
            <w:r>
              <w:rPr>
                <w:rFonts w:hint="eastAsia" w:ascii="宋体" w:hAnsi="宋体"/>
                <w:bCs/>
                <w:szCs w:val="21"/>
              </w:rPr>
              <w:t>4、总报价包含上述机柜的租赁费用及场地水电、运维、场地租赁等费用，采购人不再额外支付其他费用。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Cs w:val="21"/>
              </w:rPr>
            </w:pPr>
            <w:r>
              <w:rPr>
                <w:rFonts w:hint="eastAsia"/>
                <w:szCs w:val="21"/>
              </w:rPr>
              <w:t>租费计算及付款方式</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jc w:val="left"/>
              <w:rPr>
                <w:rFonts w:hint="eastAsia"/>
                <w:szCs w:val="21"/>
              </w:rPr>
            </w:pPr>
            <w:r>
              <w:rPr>
                <w:rFonts w:hint="eastAsia"/>
                <w:szCs w:val="21"/>
              </w:rPr>
              <w:t>1、租费计算标准：</w:t>
            </w:r>
          </w:p>
          <w:p>
            <w:pPr>
              <w:spacing w:line="400" w:lineRule="atLeast"/>
              <w:jc w:val="left"/>
              <w:rPr>
                <w:rFonts w:hint="eastAsia"/>
                <w:szCs w:val="21"/>
              </w:rPr>
            </w:pPr>
            <w:r>
              <w:rPr>
                <w:rFonts w:hint="eastAsia"/>
                <w:szCs w:val="21"/>
              </w:rPr>
              <w:t>（1）机柜功率计算方式：要求通过动环系统提供每日机柜平均功率，机柜月平均功率按当月的每日机柜平均功率累加后除以当月天数。</w:t>
            </w:r>
          </w:p>
          <w:p>
            <w:pPr>
              <w:spacing w:line="400" w:lineRule="atLeast"/>
              <w:jc w:val="left"/>
              <w:rPr>
                <w:szCs w:val="21"/>
              </w:rPr>
            </w:pPr>
            <w:r>
              <w:rPr>
                <w:rFonts w:hint="eastAsia"/>
                <w:szCs w:val="21"/>
              </w:rPr>
              <w:t>（2）机柜使用空间计算方式：按设备实际占用空间计算</w:t>
            </w:r>
          </w:p>
          <w:p>
            <w:pPr>
              <w:spacing w:line="400" w:lineRule="atLeast"/>
              <w:jc w:val="left"/>
              <w:rPr>
                <w:rFonts w:hint="eastAsia"/>
                <w:szCs w:val="21"/>
              </w:rPr>
            </w:pPr>
            <w:r>
              <w:rPr>
                <w:rFonts w:hint="eastAsia"/>
                <w:szCs w:val="21"/>
              </w:rPr>
              <w:t>（3）机柜价格：3KW机柜（单个）/年租赁费33488元、8KW机柜（单个）/年租赁费</w:t>
            </w:r>
            <w:r>
              <w:rPr>
                <w:szCs w:val="21"/>
              </w:rPr>
              <w:t>69765</w:t>
            </w:r>
            <w:r>
              <w:rPr>
                <w:rFonts w:hint="eastAsia"/>
                <w:szCs w:val="21"/>
              </w:rPr>
              <w:t>元，单机柜日租费=单机柜年租赁费</w:t>
            </w:r>
            <w:r>
              <w:rPr>
                <w:rFonts w:hint="eastAsia" w:ascii="宋体" w:hAnsi="宋体"/>
                <w:bCs/>
                <w:szCs w:val="21"/>
              </w:rPr>
              <w:t>÷</w:t>
            </w:r>
            <w:r>
              <w:rPr>
                <w:rFonts w:hint="eastAsia"/>
                <w:szCs w:val="21"/>
              </w:rPr>
              <w:t>365，单月单个机柜=单机柜年租赁费</w:t>
            </w:r>
            <w:r>
              <w:rPr>
                <w:rFonts w:hint="eastAsia" w:ascii="宋体" w:hAnsi="宋体"/>
                <w:bCs/>
                <w:szCs w:val="21"/>
              </w:rPr>
              <w:t>÷</w:t>
            </w:r>
            <w:r>
              <w:rPr>
                <w:rFonts w:hint="eastAsia"/>
                <w:szCs w:val="21"/>
              </w:rPr>
              <w:t>12，最终价格以中标价格为准进行计算。</w:t>
            </w:r>
          </w:p>
          <w:p>
            <w:pPr>
              <w:spacing w:line="400" w:lineRule="atLeast"/>
              <w:jc w:val="left"/>
              <w:rPr>
                <w:rFonts w:hint="eastAsia"/>
                <w:szCs w:val="21"/>
              </w:rPr>
            </w:pPr>
            <w:r>
              <w:rPr>
                <w:rFonts w:hint="eastAsia"/>
                <w:szCs w:val="21"/>
              </w:rPr>
              <w:t>（</w:t>
            </w:r>
            <w:r>
              <w:rPr>
                <w:szCs w:val="21"/>
              </w:rPr>
              <w:t>4</w:t>
            </w:r>
            <w:r>
              <w:rPr>
                <w:rFonts w:hint="eastAsia"/>
                <w:szCs w:val="21"/>
              </w:rPr>
              <w:t>）机柜费用计算方式：</w:t>
            </w:r>
          </w:p>
          <w:p>
            <w:pPr>
              <w:spacing w:line="400" w:lineRule="atLeast"/>
              <w:jc w:val="left"/>
              <w:rPr>
                <w:rFonts w:hint="eastAsia"/>
                <w:szCs w:val="21"/>
              </w:rPr>
            </w:pPr>
            <w:r>
              <w:rPr>
                <w:rFonts w:hint="eastAsia"/>
                <w:szCs w:val="21"/>
              </w:rPr>
              <w:t>①实际租赁费用根据采购人实际启用机柜数量、机柜使用时长（按月）和中标人提供的单月单个机柜（按3KW、8KW不同功率分别计价）的报价计算租赁费用，计算方式如下：</w:t>
            </w:r>
          </w:p>
          <w:p>
            <w:pPr>
              <w:spacing w:line="400" w:lineRule="atLeast"/>
              <w:jc w:val="left"/>
              <w:rPr>
                <w:rFonts w:hint="eastAsia"/>
                <w:szCs w:val="21"/>
              </w:rPr>
            </w:pPr>
            <w:r>
              <w:rPr>
                <w:rFonts w:hint="eastAsia"/>
                <w:szCs w:val="21"/>
              </w:rPr>
              <w:t>实际租费=所有启用机柜（采购人上架设备并上电使用的机柜）租赁费用的总和；</w:t>
            </w:r>
          </w:p>
          <w:p>
            <w:pPr>
              <w:spacing w:line="400" w:lineRule="atLeast"/>
              <w:jc w:val="left"/>
              <w:rPr>
                <w:rFonts w:hint="eastAsia"/>
                <w:szCs w:val="21"/>
              </w:rPr>
            </w:pPr>
            <w:r>
              <w:rPr>
                <w:rFonts w:hint="eastAsia"/>
                <w:szCs w:val="21"/>
              </w:rPr>
              <w:t>单个启用机柜的租赁费用=机柜使用时长（按月）*单月单个机柜报价。</w:t>
            </w:r>
          </w:p>
          <w:p>
            <w:pPr>
              <w:spacing w:line="400" w:lineRule="atLeast"/>
              <w:jc w:val="left"/>
              <w:rPr>
                <w:rFonts w:hint="eastAsia"/>
                <w:szCs w:val="21"/>
              </w:rPr>
            </w:pPr>
            <w:r>
              <w:rPr>
                <w:rFonts w:hint="eastAsia"/>
                <w:szCs w:val="21"/>
              </w:rPr>
              <w:t>②单个启用机柜实际使用空间不足一半且机柜月平均功率不足一半时，当月按0.5个启用机柜的租赁费用计算。</w:t>
            </w:r>
          </w:p>
          <w:p>
            <w:pPr>
              <w:spacing w:line="400" w:lineRule="atLeast"/>
              <w:jc w:val="left"/>
              <w:rPr>
                <w:rFonts w:hint="eastAsia"/>
                <w:szCs w:val="21"/>
              </w:rPr>
            </w:pPr>
            <w:r>
              <w:rPr>
                <w:rFonts w:hint="eastAsia"/>
                <w:szCs w:val="21"/>
              </w:rPr>
              <w:t>③机柜使用时长按自然月统计：不足当月的启用机柜，按单机柜日租费计算。</w:t>
            </w:r>
          </w:p>
          <w:p>
            <w:pPr>
              <w:spacing w:line="400" w:lineRule="atLeast"/>
              <w:jc w:val="left"/>
              <w:rPr>
                <w:rFonts w:hint="eastAsia"/>
                <w:szCs w:val="21"/>
              </w:rPr>
            </w:pPr>
            <w:r>
              <w:rPr>
                <w:rFonts w:hint="eastAsia"/>
                <w:szCs w:val="21"/>
              </w:rPr>
              <w:t>（</w:t>
            </w:r>
            <w:r>
              <w:rPr>
                <w:szCs w:val="21"/>
              </w:rPr>
              <w:t>5</w:t>
            </w:r>
            <w:r>
              <w:rPr>
                <w:rFonts w:hint="eastAsia"/>
                <w:szCs w:val="21"/>
              </w:rPr>
              <w:t xml:space="preserve">）机柜启用时间按机柜实际上电时间为准                </w:t>
            </w:r>
          </w:p>
          <w:p>
            <w:pPr>
              <w:spacing w:line="400" w:lineRule="atLeast"/>
              <w:jc w:val="left"/>
              <w:rPr>
                <w:rFonts w:hint="eastAsia"/>
                <w:szCs w:val="21"/>
              </w:rPr>
            </w:pPr>
            <w:r>
              <w:rPr>
                <w:rFonts w:hint="eastAsia"/>
                <w:szCs w:val="21"/>
              </w:rPr>
              <w:t>2、付款方式：</w:t>
            </w:r>
          </w:p>
          <w:p>
            <w:pPr>
              <w:spacing w:line="400" w:lineRule="atLeast"/>
              <w:jc w:val="left"/>
              <w:rPr>
                <w:rFonts w:hint="eastAsia"/>
                <w:szCs w:val="21"/>
              </w:rPr>
            </w:pPr>
            <w:r>
              <w:rPr>
                <w:rFonts w:hint="eastAsia"/>
                <w:szCs w:val="21"/>
              </w:rPr>
              <w:t>（1）</w:t>
            </w:r>
            <w:r>
              <w:t>在合同签订后中标人缴纳履约保证金且机房机柜正式投入使用后，采购人支付14%合同款；中标人提供机房机柜正式投入使用之日起至2024年7月的机房机柜服务运行报告且经采购人签字确认后采购人支付12%合同款；中标人提供2024年8月至2025年1月机房机柜服务运行报告且经采购人签字确认后采购人支付32%合同款；中标人提供2025年2月至2026年1月机房机柜服务运行报告且经采购人签字确认后采购人支付32%合同款；项目验收合格后采购人支付10%合同款。</w:t>
            </w:r>
          </w:p>
          <w:p>
            <w:pPr>
              <w:spacing w:line="400" w:lineRule="atLeast"/>
              <w:jc w:val="left"/>
              <w:rPr>
                <w:rFonts w:hint="eastAsia"/>
                <w:szCs w:val="21"/>
              </w:rPr>
            </w:pPr>
            <w:r>
              <w:rPr>
                <w:rFonts w:hint="eastAsia"/>
                <w:szCs w:val="21"/>
              </w:rPr>
              <w:t>（2）验收结算：合同到期后，由采购人组织验收，根据租费计算标准结算实际机柜租赁费用。如实际机柜租赁费用未超出预付款，则将未超出部分的费用根据实际启用机柜数量和租费计算标准结算延长租赁服务时长。</w:t>
            </w:r>
          </w:p>
          <w:p>
            <w:pPr>
              <w:spacing w:line="400" w:lineRule="atLeast"/>
              <w:jc w:val="left"/>
              <w:rPr>
                <w:rFonts w:hint="eastAsia"/>
                <w:szCs w:val="21"/>
              </w:rPr>
            </w:pPr>
            <w:r>
              <w:rPr>
                <w:rFonts w:hint="eastAsia"/>
                <w:szCs w:val="21"/>
              </w:rPr>
              <w:t>（3）中标人按照合同要求做好维护工作至合同期满并经验收合格后，采购人5个工作日内将履约保证金全额退回（不计利息）；中标人每次收到付款后5个工作日内向采购人开具发票。</w:t>
            </w:r>
          </w:p>
          <w:p>
            <w:pPr>
              <w:spacing w:line="400" w:lineRule="atLeast"/>
              <w:jc w:val="left"/>
              <w:rPr>
                <w:rFonts w:hint="eastAsia"/>
                <w:szCs w:val="21"/>
              </w:rPr>
            </w:pPr>
            <w:r>
              <w:rPr>
                <w:rFonts w:hint="eastAsia"/>
                <w:szCs w:val="21"/>
              </w:rPr>
              <w:t>（4）支付金额租费支付根据实际机柜租赁数量及服务评价指标进行结算。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Cs w:val="21"/>
              </w:rPr>
            </w:pPr>
            <w:r>
              <w:rPr>
                <w:rFonts w:hint="eastAsia"/>
                <w:szCs w:val="21"/>
              </w:rPr>
              <w:t>其他要求</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00" w:lineRule="atLeast"/>
              <w:rPr>
                <w:rFonts w:hint="eastAsia"/>
                <w:sz w:val="21"/>
                <w:lang w:val="en-US" w:eastAsia="zh-CN"/>
              </w:rPr>
            </w:pPr>
            <w:r>
              <w:rPr>
                <w:rFonts w:hint="eastAsia"/>
                <w:sz w:val="21"/>
                <w:lang w:val="en-US" w:eastAsia="zh-CN"/>
              </w:rPr>
              <w:t>1、处罚条款：</w:t>
            </w:r>
          </w:p>
          <w:p>
            <w:pPr>
              <w:pStyle w:val="12"/>
              <w:spacing w:line="400" w:lineRule="atLeast"/>
              <w:rPr>
                <w:rFonts w:hint="eastAsia"/>
                <w:sz w:val="21"/>
                <w:lang w:val="en-US" w:eastAsia="zh-CN"/>
              </w:rPr>
            </w:pPr>
            <w:r>
              <w:rPr>
                <w:rFonts w:hint="eastAsia"/>
                <w:sz w:val="21"/>
                <w:lang w:val="en-US" w:eastAsia="zh-CN"/>
              </w:rPr>
              <w:t>（1）本项目中标人需按《项目采购需求》中的“搬迁要求”签订合同后60天内完成设备搬迁及业务系统割接，并保证所有业务系统恢复正常使用，如因中标人原因无法在规定时间内完成搬迁工作而影响采购人使用的，每延期1天，则中标人按本项目合同总价的5%支付违约金给采购人。延期超过5天的，采购人有权按中标人无法正常履约而解除合同，且履约保证金不予退还。合同金额没有支付的，不再支付；已经支付的，甲方有权追回；如因此造成甲方损失的，还应赔偿甲方损失。</w:t>
            </w:r>
          </w:p>
          <w:p>
            <w:pPr>
              <w:pStyle w:val="12"/>
              <w:spacing w:line="400" w:lineRule="atLeast"/>
              <w:rPr>
                <w:rFonts w:hint="eastAsia"/>
                <w:sz w:val="21"/>
                <w:lang w:val="en-US" w:eastAsia="zh-CN"/>
              </w:rPr>
            </w:pPr>
            <w:r>
              <w:rPr>
                <w:rFonts w:hint="eastAsia"/>
                <w:sz w:val="21"/>
                <w:lang w:val="en-US" w:eastAsia="zh-CN"/>
              </w:rPr>
              <w:t>（2）断电：在同一个月内，造成单台设备或单个机柜设备断电中断超过2次或单次中断时间超过4小时，减免租赁机房当月10%月租费；中断超过3次或累计中断时间超过8小时，减免租赁机房当月20%月租费；中断超过4次或累计中断时间超过12小时，减免该租赁机房当月30%月租费；中断超过5次或累计中断时间超过24小时，减免租赁机房当月租费。（地震、山洪等不可抗力因素除外。）</w:t>
            </w:r>
          </w:p>
          <w:p>
            <w:pPr>
              <w:pStyle w:val="12"/>
              <w:spacing w:line="400" w:lineRule="atLeast"/>
              <w:rPr>
                <w:rFonts w:hint="eastAsia"/>
                <w:sz w:val="21"/>
                <w:lang w:val="en-US" w:eastAsia="zh-CN"/>
              </w:rPr>
            </w:pPr>
            <w:r>
              <w:rPr>
                <w:rFonts w:hint="eastAsia"/>
                <w:sz w:val="21"/>
                <w:lang w:val="en-US" w:eastAsia="zh-CN"/>
              </w:rPr>
              <w:t>（3）核心设备业务中断：在同一个月内，造成核心设备或业务中断超过2次或单次中断时间超过4小时，减免租赁机房当年10%年租费；中断超过3次或累计中断时间超过8小时，减免租赁机房当年20%年租费；中断超过4次或累计中断时间超过12小时，减免该租赁机房当年30%年租费；中断超过5次或累计中断时间超过24小时，减免租赁机房当年租费（网络设备引发的故障除外；地震、山洪等不可抗力因素除外。）</w:t>
            </w:r>
          </w:p>
          <w:p>
            <w:pPr>
              <w:pStyle w:val="12"/>
              <w:spacing w:line="400" w:lineRule="atLeast"/>
              <w:rPr>
                <w:rFonts w:hint="eastAsia"/>
                <w:sz w:val="21"/>
                <w:lang w:val="en-US" w:eastAsia="zh-CN"/>
              </w:rPr>
            </w:pPr>
            <w:r>
              <w:rPr>
                <w:rFonts w:hint="eastAsia"/>
                <w:sz w:val="21"/>
                <w:lang w:val="en-US" w:eastAsia="zh-CN"/>
              </w:rPr>
              <w:t>2、本项目如因为机房环境原因必须在本机房内进行迁移的，由中标人提供迁移服务，其费用亦含在本次投标报价内。</w:t>
            </w:r>
          </w:p>
          <w:p>
            <w:pPr>
              <w:pStyle w:val="12"/>
              <w:spacing w:line="400" w:lineRule="atLeast"/>
              <w:rPr>
                <w:sz w:val="21"/>
                <w:lang w:val="en-US" w:eastAsia="zh-CN"/>
              </w:rPr>
            </w:pPr>
            <w:r>
              <w:rPr>
                <w:rFonts w:hint="eastAsia"/>
                <w:sz w:val="21"/>
                <w:lang w:val="en-US" w:eastAsia="zh-CN"/>
              </w:rPr>
              <w:t>3、由于项目涉及设备搬迁，投标人如需了解项目情况，可到采购人现场进行考察，否则导致投标失误由投标人自行承担。</w:t>
            </w:r>
          </w:p>
          <w:p>
            <w:pPr>
              <w:rPr>
                <w:rFonts w:hint="eastAsia"/>
              </w:rPr>
            </w:pPr>
            <w:r>
              <w:rPr>
                <w:rFonts w:hint="eastAsia"/>
              </w:rPr>
              <w:t>4、中标人未按合同履约的，后续产生搬迁、服务、管理、原有机柜租赁等恢复甲方信息系统功能所需费用，以及空档期的费用均由中标人承担。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Cs w:val="21"/>
              </w:rPr>
            </w:pPr>
            <w:r>
              <w:rPr>
                <w:rFonts w:hint="eastAsia"/>
                <w:szCs w:val="21"/>
              </w:rPr>
              <w:t>验收依据</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00" w:lineRule="atLeast"/>
              <w:rPr>
                <w:rFonts w:hint="eastAsia"/>
                <w:sz w:val="21"/>
                <w:lang w:val="en-US" w:eastAsia="zh-CN"/>
              </w:rPr>
            </w:pPr>
            <w:r>
              <w:rPr>
                <w:rFonts w:hint="eastAsia"/>
                <w:sz w:val="21"/>
                <w:lang w:val="en-US" w:eastAsia="zh-CN"/>
              </w:rPr>
              <w:t>按照《广西壮族自治区公安厅厅机关政府采购项目履约验收管理办法》、《广西</w:t>
            </w:r>
            <w:r>
              <w:rPr>
                <w:sz w:val="21"/>
                <w:lang w:val="en-US" w:eastAsia="zh-CN"/>
              </w:rPr>
              <w:t>壮族自治区公安厅信息化</w:t>
            </w:r>
            <w:r>
              <w:rPr>
                <w:rFonts w:hint="eastAsia"/>
                <w:sz w:val="21"/>
                <w:lang w:val="en-US" w:eastAsia="zh-CN"/>
              </w:rPr>
              <w:t>项目</w:t>
            </w:r>
            <w:r>
              <w:rPr>
                <w:sz w:val="21"/>
                <w:lang w:val="en-US" w:eastAsia="zh-CN"/>
              </w:rPr>
              <w:t>管理办法</w:t>
            </w:r>
            <w:r>
              <w:rPr>
                <w:rFonts w:hint="eastAsia"/>
                <w:sz w:val="21"/>
                <w:lang w:val="en-US" w:eastAsia="zh-CN"/>
              </w:rPr>
              <w:t>》、双方合同、投标文件验收。</w:t>
            </w:r>
          </w:p>
          <w:p>
            <w:pPr>
              <w:pStyle w:val="12"/>
              <w:spacing w:line="400" w:lineRule="atLeast"/>
              <w:rPr>
                <w:rFonts w:hint="eastAsia"/>
                <w:lang w:val="en-US" w:eastAsia="zh-CN"/>
              </w:rPr>
            </w:pPr>
            <w:r>
              <w:rPr>
                <w:rFonts w:hint="eastAsia"/>
                <w:sz w:val="21"/>
                <w:lang w:val="en-US" w:eastAsia="zh-CN"/>
              </w:rPr>
              <w:t>若在签署最终验收文件后12周内，由于中标人的原因，该项目有一条及以上达不到本项目招标文件规定的技术及服务要求时，中标人应在4周内采取有效措施，使该项目完全达到规定的技术及服务要求，在此期间的一切费用由中标人承担，如在此期间内仍达不到规定的技术性及服务要求时，将按合同中相应条款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szCs w:val="21"/>
              </w:rPr>
            </w:pPr>
            <w:r>
              <w:rPr>
                <w:rFonts w:hint="eastAsia"/>
                <w:szCs w:val="21"/>
              </w:rPr>
              <w:t>服务质量保障要求</w:t>
            </w:r>
          </w:p>
        </w:tc>
        <w:tc>
          <w:tcPr>
            <w:tcW w:w="7564" w:type="dxa"/>
            <w:gridSpan w:val="2"/>
            <w:tcBorders>
              <w:top w:val="single" w:color="auto" w:sz="4" w:space="0"/>
              <w:left w:val="single" w:color="auto" w:sz="4" w:space="0"/>
              <w:bottom w:val="single" w:color="auto" w:sz="4" w:space="0"/>
              <w:right w:val="single" w:color="auto" w:sz="4" w:space="0"/>
            </w:tcBorders>
            <w:noWrap w:val="0"/>
            <w:vAlign w:val="center"/>
          </w:tcPr>
          <w:p>
            <w:pPr>
              <w:pStyle w:val="12"/>
              <w:spacing w:line="400" w:lineRule="atLeast"/>
              <w:rPr>
                <w:rFonts w:hint="eastAsia"/>
                <w:sz w:val="21"/>
                <w:lang w:val="en-US" w:eastAsia="zh-CN"/>
              </w:rPr>
            </w:pPr>
            <w:r>
              <w:rPr>
                <w:rFonts w:hint="eastAsia"/>
                <w:sz w:val="21"/>
                <w:lang w:val="en-US" w:eastAsia="zh-CN"/>
              </w:rPr>
              <w:t>（一）项目监理要求</w:t>
            </w:r>
          </w:p>
          <w:p>
            <w:pPr>
              <w:pStyle w:val="12"/>
              <w:spacing w:line="400" w:lineRule="atLeast"/>
              <w:rPr>
                <w:rFonts w:hint="eastAsia"/>
                <w:sz w:val="21"/>
                <w:lang w:val="en-US" w:eastAsia="zh-CN"/>
              </w:rPr>
            </w:pPr>
            <w:r>
              <w:rPr>
                <w:rFonts w:hint="eastAsia"/>
                <w:sz w:val="21"/>
                <w:lang w:val="en-US" w:eastAsia="zh-CN"/>
              </w:rPr>
              <w:t>中标人须接受采购人指定的第三方监理单位的监督管理；中标人须在合同签订后10个工作日内，根据服务内容、文档交付、备品备件清单等招标要求以及采购人对文档的格式要求拟定合同履约清单并提交监理单位审核通过。</w:t>
            </w:r>
          </w:p>
          <w:p>
            <w:pPr>
              <w:pStyle w:val="12"/>
              <w:spacing w:line="400" w:lineRule="atLeast"/>
              <w:rPr>
                <w:rFonts w:hint="eastAsia"/>
                <w:sz w:val="21"/>
                <w:lang w:val="en-US" w:eastAsia="zh-CN"/>
              </w:rPr>
            </w:pPr>
            <w:r>
              <w:rPr>
                <w:rFonts w:hint="eastAsia"/>
                <w:sz w:val="21"/>
                <w:lang w:val="en-US" w:eastAsia="zh-CN"/>
              </w:rPr>
              <w:t>（二）机房维护服务考核标准</w:t>
            </w:r>
          </w:p>
          <w:p>
            <w:pPr>
              <w:pStyle w:val="12"/>
              <w:spacing w:line="400" w:lineRule="atLeast"/>
              <w:rPr>
                <w:rFonts w:hint="eastAsia"/>
                <w:sz w:val="21"/>
                <w:lang w:val="en-US" w:eastAsia="zh-CN"/>
              </w:rPr>
            </w:pPr>
            <w:r>
              <w:rPr>
                <w:rFonts w:hint="eastAsia"/>
                <w:sz w:val="21"/>
                <w:lang w:val="en-US" w:eastAsia="zh-CN"/>
              </w:rPr>
              <w:t>1、机房维护服务每半年作为一个考核周期。每一个考核周期独立计分，满分为100分。考核分数将折算作为合同服务期间供应商评价结果。</w:t>
            </w:r>
          </w:p>
          <w:p>
            <w:pPr>
              <w:pStyle w:val="12"/>
              <w:spacing w:line="400" w:lineRule="atLeast"/>
              <w:rPr>
                <w:rFonts w:hint="eastAsia"/>
                <w:sz w:val="21"/>
                <w:lang w:val="en-US" w:eastAsia="zh-CN"/>
              </w:rPr>
            </w:pPr>
            <w:r>
              <w:rPr>
                <w:rFonts w:hint="eastAsia"/>
                <w:sz w:val="21"/>
                <w:lang w:val="en-US" w:eastAsia="zh-CN"/>
              </w:rPr>
              <w:t>2、上一考核周期结束后，考核基准分重置为100分，进入下一考核周期。</w:t>
            </w:r>
          </w:p>
          <w:p>
            <w:pPr>
              <w:pStyle w:val="12"/>
              <w:spacing w:line="400" w:lineRule="atLeast"/>
              <w:rPr>
                <w:rFonts w:hint="eastAsia"/>
                <w:sz w:val="21"/>
                <w:lang w:val="en-US" w:eastAsia="zh-CN"/>
              </w:rPr>
            </w:pPr>
            <w:r>
              <w:rPr>
                <w:rFonts w:hint="eastAsia"/>
                <w:sz w:val="21"/>
                <w:lang w:val="en-US" w:eastAsia="zh-CN"/>
              </w:rPr>
              <w:t>3、采购人或采购人委托监理依据《机房维护服务质量评价表》（详见本章节附件表1）所列各项考核指标要求在每个考核周期后的30个工作日内完成对中标人维护服务质量考核评价。</w:t>
            </w:r>
          </w:p>
          <w:p>
            <w:pPr>
              <w:pStyle w:val="12"/>
              <w:spacing w:line="400" w:lineRule="atLeast"/>
              <w:rPr>
                <w:sz w:val="21"/>
                <w:lang w:val="en-US" w:eastAsia="zh-CN"/>
              </w:rPr>
            </w:pPr>
            <w:r>
              <w:rPr>
                <w:sz w:val="21"/>
                <w:lang w:val="en-US" w:eastAsia="zh-CN"/>
              </w:rPr>
              <w:t>（三）考核应用</w:t>
            </w:r>
          </w:p>
          <w:p>
            <w:pPr>
              <w:pStyle w:val="12"/>
              <w:spacing w:line="400" w:lineRule="atLeast"/>
              <w:rPr>
                <w:sz w:val="21"/>
                <w:lang w:val="en-US" w:eastAsia="zh-CN"/>
              </w:rPr>
            </w:pPr>
            <w:r>
              <w:rPr>
                <w:sz w:val="21"/>
                <w:lang w:val="en-US" w:eastAsia="zh-CN"/>
              </w:rPr>
              <w:t>以6个月为单位，采购人根据中标人维护服务考核评价得分，从合同总价中扣减相应金额款项。具体约定如下：</w:t>
            </w:r>
          </w:p>
          <w:p>
            <w:pPr>
              <w:pStyle w:val="12"/>
              <w:spacing w:line="400" w:lineRule="atLeast"/>
              <w:rPr>
                <w:sz w:val="21"/>
                <w:lang w:val="en-US" w:eastAsia="zh-CN"/>
              </w:rPr>
            </w:pPr>
            <w:r>
              <w:rPr>
                <w:sz w:val="21"/>
                <w:lang w:val="en-US" w:eastAsia="zh-CN"/>
              </w:rPr>
              <w:t>1、每个考核周期扣减金额独立计算，均以合同总价作为扣减基准。</w:t>
            </w:r>
          </w:p>
          <w:p>
            <w:pPr>
              <w:pStyle w:val="12"/>
              <w:spacing w:line="400" w:lineRule="atLeast"/>
              <w:rPr>
                <w:lang w:val="en-US" w:eastAsia="zh-CN"/>
              </w:rPr>
            </w:pPr>
            <w:r>
              <w:rPr>
                <w:sz w:val="21"/>
                <w:lang w:val="en-US" w:eastAsia="zh-CN"/>
              </w:rPr>
              <w:t>2、每个考核周期扣减金额与维护服务质量评价得分扣减金额折算关系如</w:t>
            </w:r>
            <w:r>
              <w:rPr>
                <w:rFonts w:hint="eastAsia"/>
                <w:sz w:val="21"/>
                <w:lang w:val="en-US" w:eastAsia="zh-CN"/>
              </w:rPr>
              <w:t>附件</w:t>
            </w:r>
            <w:r>
              <w:rPr>
                <w:sz w:val="21"/>
                <w:lang w:val="en-US" w:eastAsia="zh-CN"/>
              </w:rPr>
              <w:t>表2所示</w:t>
            </w:r>
            <w:r>
              <w:rPr>
                <w:rFonts w:hint="eastAsia"/>
                <w:sz w:val="21"/>
                <w:lang w:val="en-US" w:eastAsia="zh-CN"/>
              </w:rPr>
              <w:t>。</w:t>
            </w:r>
          </w:p>
        </w:tc>
      </w:tr>
    </w:tbl>
    <w:p>
      <w:pPr>
        <w:pStyle w:val="23"/>
        <w:adjustRightInd/>
        <w:snapToGrid/>
        <w:spacing w:before="0" w:after="0"/>
        <w:ind w:left="0" w:firstLine="0"/>
        <w:rPr>
          <w:rFonts w:hint="eastAsia" w:ascii="宋体" w:hAnsi="宋体" w:cs="宋体"/>
          <w:b/>
          <w:bCs/>
          <w:sz w:val="24"/>
          <w:lang w:eastAsia="zh-CN"/>
        </w:rPr>
      </w:pPr>
      <w:r>
        <w:rPr>
          <w:rFonts w:hint="eastAsia" w:ascii="宋体" w:hAnsi="宋体" w:cs="宋体"/>
          <w:b/>
          <w:bCs/>
          <w:sz w:val="24"/>
          <w:lang w:eastAsia="zh-CN"/>
        </w:rPr>
        <w:br w:type="page"/>
      </w:r>
      <w:r>
        <w:rPr>
          <w:rFonts w:hint="eastAsia" w:ascii="宋体" w:hAnsi="宋体" w:cs="宋体"/>
          <w:b/>
          <w:bCs/>
          <w:sz w:val="24"/>
          <w:lang w:eastAsia="zh-CN"/>
        </w:rPr>
        <w:t xml:space="preserve">附件：                 </w:t>
      </w:r>
    </w:p>
    <w:p>
      <w:pPr>
        <w:pStyle w:val="23"/>
        <w:adjustRightInd/>
        <w:snapToGrid/>
        <w:spacing w:before="0" w:after="0"/>
        <w:ind w:left="0" w:firstLine="3584" w:firstLineChars="1700"/>
        <w:rPr>
          <w:b/>
          <w:lang w:eastAsia="zh-CN"/>
        </w:rPr>
      </w:pPr>
      <w:r>
        <w:rPr>
          <w:b/>
          <w:lang w:eastAsia="zh-CN"/>
        </w:rPr>
        <w:t>表1、</w:t>
      </w:r>
      <w:r>
        <w:rPr>
          <w:rFonts w:hint="eastAsia"/>
          <w:b/>
          <w:lang w:eastAsia="zh-CN"/>
        </w:rPr>
        <w:t>机房维护</w:t>
      </w:r>
      <w:r>
        <w:rPr>
          <w:b/>
          <w:lang w:eastAsia="zh-CN"/>
        </w:rPr>
        <w:t>服务质量评价表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561"/>
        <w:gridCol w:w="711"/>
        <w:gridCol w:w="538"/>
        <w:gridCol w:w="2763"/>
        <w:gridCol w:w="1080"/>
        <w:gridCol w:w="656"/>
        <w:gridCol w:w="108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0"/>
            <w:vAlign w:val="center"/>
          </w:tcPr>
          <w:p>
            <w:pPr>
              <w:jc w:val="center"/>
              <w:rPr>
                <w:b/>
                <w:szCs w:val="21"/>
              </w:rPr>
            </w:pPr>
            <w:r>
              <w:rPr>
                <w:b/>
                <w:szCs w:val="21"/>
              </w:rPr>
              <w:t>一级指标</w:t>
            </w:r>
          </w:p>
        </w:tc>
        <w:tc>
          <w:tcPr>
            <w:tcW w:w="561" w:type="dxa"/>
            <w:noWrap w:val="0"/>
            <w:vAlign w:val="center"/>
          </w:tcPr>
          <w:p>
            <w:pPr>
              <w:jc w:val="center"/>
              <w:rPr>
                <w:b/>
                <w:szCs w:val="21"/>
              </w:rPr>
            </w:pPr>
            <w:r>
              <w:rPr>
                <w:b/>
                <w:szCs w:val="21"/>
              </w:rPr>
              <w:t>标准分</w:t>
            </w:r>
          </w:p>
        </w:tc>
        <w:tc>
          <w:tcPr>
            <w:tcW w:w="711" w:type="dxa"/>
            <w:noWrap w:val="0"/>
            <w:vAlign w:val="center"/>
          </w:tcPr>
          <w:p>
            <w:pPr>
              <w:jc w:val="center"/>
              <w:rPr>
                <w:b/>
                <w:szCs w:val="21"/>
              </w:rPr>
            </w:pPr>
            <w:r>
              <w:rPr>
                <w:b/>
                <w:szCs w:val="21"/>
              </w:rPr>
              <w:t>二级指标</w:t>
            </w:r>
          </w:p>
        </w:tc>
        <w:tc>
          <w:tcPr>
            <w:tcW w:w="538" w:type="dxa"/>
            <w:noWrap w:val="0"/>
            <w:vAlign w:val="center"/>
          </w:tcPr>
          <w:p>
            <w:pPr>
              <w:jc w:val="center"/>
              <w:rPr>
                <w:b/>
                <w:szCs w:val="21"/>
              </w:rPr>
            </w:pPr>
            <w:r>
              <w:rPr>
                <w:b/>
                <w:szCs w:val="21"/>
              </w:rPr>
              <w:t>标准分</w:t>
            </w:r>
          </w:p>
        </w:tc>
        <w:tc>
          <w:tcPr>
            <w:tcW w:w="2763" w:type="dxa"/>
            <w:noWrap w:val="0"/>
            <w:vAlign w:val="center"/>
          </w:tcPr>
          <w:p>
            <w:pPr>
              <w:jc w:val="center"/>
              <w:rPr>
                <w:b/>
                <w:szCs w:val="21"/>
              </w:rPr>
            </w:pPr>
            <w:r>
              <w:rPr>
                <w:b/>
                <w:szCs w:val="21"/>
              </w:rPr>
              <w:t>指标说明</w:t>
            </w:r>
          </w:p>
        </w:tc>
        <w:tc>
          <w:tcPr>
            <w:tcW w:w="1080" w:type="dxa"/>
            <w:noWrap w:val="0"/>
            <w:vAlign w:val="center"/>
          </w:tcPr>
          <w:p>
            <w:pPr>
              <w:jc w:val="center"/>
              <w:rPr>
                <w:b/>
                <w:szCs w:val="21"/>
              </w:rPr>
            </w:pPr>
            <w:r>
              <w:rPr>
                <w:b/>
                <w:szCs w:val="21"/>
              </w:rPr>
              <w:t>考核方式</w:t>
            </w:r>
          </w:p>
        </w:tc>
        <w:tc>
          <w:tcPr>
            <w:tcW w:w="656" w:type="dxa"/>
            <w:noWrap w:val="0"/>
            <w:vAlign w:val="center"/>
          </w:tcPr>
          <w:p>
            <w:pPr>
              <w:jc w:val="center"/>
              <w:rPr>
                <w:b/>
                <w:szCs w:val="21"/>
              </w:rPr>
            </w:pPr>
            <w:r>
              <w:rPr>
                <w:b/>
                <w:szCs w:val="21"/>
              </w:rPr>
              <w:t>得分</w:t>
            </w:r>
          </w:p>
        </w:tc>
        <w:tc>
          <w:tcPr>
            <w:tcW w:w="1087" w:type="dxa"/>
            <w:noWrap w:val="0"/>
            <w:vAlign w:val="center"/>
          </w:tcPr>
          <w:p>
            <w:pPr>
              <w:jc w:val="center"/>
              <w:rPr>
                <w:b/>
                <w:szCs w:val="21"/>
              </w:rPr>
            </w:pPr>
            <w:r>
              <w:rPr>
                <w:b/>
                <w:szCs w:val="21"/>
              </w:rPr>
              <w:t>扣分说明</w:t>
            </w:r>
          </w:p>
        </w:tc>
        <w:tc>
          <w:tcPr>
            <w:tcW w:w="1911" w:type="dxa"/>
            <w:noWrap w:val="0"/>
            <w:vAlign w:val="center"/>
          </w:tcPr>
          <w:p>
            <w:pPr>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restart"/>
            <w:noWrap w:val="0"/>
            <w:vAlign w:val="center"/>
          </w:tcPr>
          <w:p>
            <w:pPr>
              <w:jc w:val="center"/>
              <w:rPr>
                <w:b/>
                <w:szCs w:val="21"/>
              </w:rPr>
            </w:pPr>
            <w:r>
              <w:rPr>
                <w:b/>
                <w:szCs w:val="21"/>
              </w:rPr>
              <w:t>履约材料质量</w:t>
            </w:r>
          </w:p>
        </w:tc>
        <w:tc>
          <w:tcPr>
            <w:tcW w:w="561" w:type="dxa"/>
            <w:vMerge w:val="restart"/>
            <w:noWrap w:val="0"/>
            <w:vAlign w:val="center"/>
          </w:tcPr>
          <w:p>
            <w:pPr>
              <w:jc w:val="center"/>
              <w:rPr>
                <w:szCs w:val="21"/>
              </w:rPr>
            </w:pPr>
            <w:r>
              <w:rPr>
                <w:szCs w:val="21"/>
              </w:rPr>
              <w:t>100</w:t>
            </w:r>
          </w:p>
        </w:tc>
        <w:tc>
          <w:tcPr>
            <w:tcW w:w="711" w:type="dxa"/>
            <w:noWrap w:val="0"/>
            <w:vAlign w:val="center"/>
          </w:tcPr>
          <w:p>
            <w:pPr>
              <w:jc w:val="center"/>
              <w:rPr>
                <w:b/>
                <w:szCs w:val="21"/>
              </w:rPr>
            </w:pPr>
            <w:r>
              <w:rPr>
                <w:b/>
                <w:szCs w:val="21"/>
              </w:rPr>
              <w:t>履约清单提交及时率</w:t>
            </w:r>
          </w:p>
        </w:tc>
        <w:tc>
          <w:tcPr>
            <w:tcW w:w="538" w:type="dxa"/>
            <w:noWrap w:val="0"/>
            <w:vAlign w:val="center"/>
          </w:tcPr>
          <w:p>
            <w:pPr>
              <w:jc w:val="center"/>
              <w:rPr>
                <w:b/>
                <w:szCs w:val="21"/>
              </w:rPr>
            </w:pPr>
            <w:r>
              <w:rPr>
                <w:b/>
                <w:szCs w:val="21"/>
              </w:rPr>
              <w:t>5</w:t>
            </w:r>
          </w:p>
        </w:tc>
        <w:tc>
          <w:tcPr>
            <w:tcW w:w="2763" w:type="dxa"/>
            <w:noWrap w:val="0"/>
            <w:vAlign w:val="center"/>
          </w:tcPr>
          <w:p>
            <w:pPr>
              <w:jc w:val="left"/>
              <w:rPr>
                <w:b/>
                <w:szCs w:val="21"/>
              </w:rPr>
            </w:pPr>
            <w:r>
              <w:rPr>
                <w:szCs w:val="21"/>
              </w:rPr>
              <w:t>中标人须</w:t>
            </w:r>
            <w:r>
              <w:rPr>
                <w:rFonts w:hint="eastAsia"/>
                <w:szCs w:val="21"/>
              </w:rPr>
              <w:t>根据</w:t>
            </w:r>
            <w:r>
              <w:rPr>
                <w:szCs w:val="21"/>
              </w:rPr>
              <w:t>合同</w:t>
            </w:r>
            <w:r>
              <w:rPr>
                <w:rFonts w:hint="eastAsia"/>
                <w:szCs w:val="21"/>
              </w:rPr>
              <w:t>要求</w:t>
            </w:r>
            <w:r>
              <w:rPr>
                <w:szCs w:val="21"/>
              </w:rPr>
              <w:t>在合同签订</w:t>
            </w:r>
            <w:r>
              <w:rPr>
                <w:rFonts w:hint="eastAsia"/>
                <w:szCs w:val="21"/>
              </w:rPr>
              <w:t>后10日内</w:t>
            </w:r>
            <w:r>
              <w:rPr>
                <w:szCs w:val="21"/>
              </w:rPr>
              <w:t>提交履约清单并由监理</w:t>
            </w:r>
            <w:r>
              <w:rPr>
                <w:rFonts w:hint="eastAsia"/>
                <w:szCs w:val="21"/>
              </w:rPr>
              <w:t>单位</w:t>
            </w:r>
            <w:r>
              <w:rPr>
                <w:szCs w:val="21"/>
              </w:rPr>
              <w:t>审核通过</w:t>
            </w:r>
            <w:r>
              <w:rPr>
                <w:rFonts w:hint="eastAsia"/>
                <w:szCs w:val="21"/>
              </w:rPr>
              <w:t>，若未按时交付，每</w:t>
            </w:r>
            <w:r>
              <w:rPr>
                <w:szCs w:val="21"/>
              </w:rPr>
              <w:t>逾期1天扣0.</w:t>
            </w:r>
            <w:r>
              <w:rPr>
                <w:rFonts w:hint="eastAsia"/>
                <w:szCs w:val="21"/>
              </w:rPr>
              <w:t>1</w:t>
            </w:r>
            <w:r>
              <w:rPr>
                <w:szCs w:val="21"/>
              </w:rPr>
              <w:t>分，扣完即止。</w:t>
            </w:r>
          </w:p>
        </w:tc>
        <w:tc>
          <w:tcPr>
            <w:tcW w:w="1080" w:type="dxa"/>
            <w:noWrap w:val="0"/>
            <w:vAlign w:val="center"/>
          </w:tcPr>
          <w:p>
            <w:pPr>
              <w:jc w:val="left"/>
              <w:rPr>
                <w:b/>
                <w:szCs w:val="21"/>
              </w:rPr>
            </w:pPr>
            <w:r>
              <w:rPr>
                <w:rFonts w:hint="eastAsia"/>
                <w:szCs w:val="21"/>
              </w:rPr>
              <w:t>以</w:t>
            </w:r>
            <w:r>
              <w:rPr>
                <w:szCs w:val="21"/>
              </w:rPr>
              <w:t>监理</w:t>
            </w:r>
            <w:r>
              <w:rPr>
                <w:rFonts w:hint="eastAsia"/>
                <w:szCs w:val="21"/>
              </w:rPr>
              <w:t>单位</w:t>
            </w:r>
            <w:r>
              <w:rPr>
                <w:szCs w:val="21"/>
              </w:rPr>
              <w:t>审核通过</w:t>
            </w:r>
            <w:r>
              <w:rPr>
                <w:rFonts w:hint="eastAsia"/>
                <w:szCs w:val="21"/>
              </w:rPr>
              <w:t>为准</w:t>
            </w:r>
          </w:p>
        </w:tc>
        <w:tc>
          <w:tcPr>
            <w:tcW w:w="656" w:type="dxa"/>
            <w:noWrap w:val="0"/>
            <w:vAlign w:val="center"/>
          </w:tcPr>
          <w:p>
            <w:pPr>
              <w:jc w:val="center"/>
              <w:rPr>
                <w:b/>
                <w:szCs w:val="21"/>
              </w:rPr>
            </w:pPr>
          </w:p>
        </w:tc>
        <w:tc>
          <w:tcPr>
            <w:tcW w:w="1087" w:type="dxa"/>
            <w:noWrap w:val="0"/>
            <w:vAlign w:val="center"/>
          </w:tcPr>
          <w:p>
            <w:pPr>
              <w:jc w:val="center"/>
              <w:rPr>
                <w:b/>
                <w:szCs w:val="21"/>
              </w:rPr>
            </w:pPr>
          </w:p>
        </w:tc>
        <w:tc>
          <w:tcPr>
            <w:tcW w:w="1911" w:type="dxa"/>
            <w:noWrap w:val="0"/>
            <w:vAlign w:val="center"/>
          </w:tcPr>
          <w:p>
            <w:pPr>
              <w:jc w:val="center"/>
              <w:rPr>
                <w:rFonts w:hint="eastAsia"/>
                <w:b/>
                <w:szCs w:val="21"/>
              </w:rPr>
            </w:pPr>
            <w:r>
              <w:rPr>
                <w:rFonts w:hint="eastAsia"/>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26" w:type="dxa"/>
            <w:vMerge w:val="continue"/>
            <w:noWrap w:val="0"/>
            <w:vAlign w:val="center"/>
          </w:tcPr>
          <w:p>
            <w:pPr>
              <w:jc w:val="center"/>
              <w:rPr>
                <w:b/>
                <w:szCs w:val="21"/>
              </w:rPr>
            </w:pPr>
          </w:p>
        </w:tc>
        <w:tc>
          <w:tcPr>
            <w:tcW w:w="561" w:type="dxa"/>
            <w:vMerge w:val="continue"/>
            <w:noWrap w:val="0"/>
            <w:vAlign w:val="center"/>
          </w:tcPr>
          <w:p>
            <w:pPr>
              <w:jc w:val="center"/>
              <w:rPr>
                <w:szCs w:val="21"/>
              </w:rPr>
            </w:pPr>
          </w:p>
        </w:tc>
        <w:tc>
          <w:tcPr>
            <w:tcW w:w="711" w:type="dxa"/>
            <w:noWrap w:val="0"/>
            <w:vAlign w:val="center"/>
          </w:tcPr>
          <w:p>
            <w:pPr>
              <w:jc w:val="center"/>
              <w:rPr>
                <w:b/>
                <w:szCs w:val="21"/>
              </w:rPr>
            </w:pPr>
            <w:r>
              <w:rPr>
                <w:b/>
                <w:szCs w:val="21"/>
              </w:rPr>
              <w:t>履约材料提交及时率</w:t>
            </w:r>
          </w:p>
        </w:tc>
        <w:tc>
          <w:tcPr>
            <w:tcW w:w="538" w:type="dxa"/>
            <w:noWrap w:val="0"/>
            <w:vAlign w:val="center"/>
          </w:tcPr>
          <w:p>
            <w:pPr>
              <w:jc w:val="center"/>
              <w:rPr>
                <w:b/>
                <w:szCs w:val="21"/>
              </w:rPr>
            </w:pPr>
            <w:r>
              <w:rPr>
                <w:b/>
                <w:szCs w:val="21"/>
              </w:rPr>
              <w:t>5</w:t>
            </w:r>
          </w:p>
        </w:tc>
        <w:tc>
          <w:tcPr>
            <w:tcW w:w="2763" w:type="dxa"/>
            <w:noWrap w:val="0"/>
            <w:vAlign w:val="center"/>
          </w:tcPr>
          <w:p>
            <w:pPr>
              <w:ind w:firstLine="420"/>
              <w:rPr>
                <w:bCs/>
                <w:szCs w:val="21"/>
              </w:rPr>
            </w:pPr>
            <w:r>
              <w:rPr>
                <w:szCs w:val="21"/>
              </w:rPr>
              <w:t>中标人须</w:t>
            </w:r>
            <w:r>
              <w:rPr>
                <w:rFonts w:hint="eastAsia"/>
                <w:szCs w:val="21"/>
              </w:rPr>
              <w:t>根据</w:t>
            </w:r>
            <w:r>
              <w:rPr>
                <w:szCs w:val="21"/>
              </w:rPr>
              <w:t>履约清单要求按时提交履约材料</w:t>
            </w:r>
            <w:r>
              <w:rPr>
                <w:rFonts w:hint="eastAsia"/>
                <w:szCs w:val="21"/>
              </w:rPr>
              <w:t>，若未按时交付，每</w:t>
            </w:r>
            <w:r>
              <w:rPr>
                <w:szCs w:val="21"/>
              </w:rPr>
              <w:t>逾期1天扣0.</w:t>
            </w:r>
            <w:r>
              <w:rPr>
                <w:rFonts w:hint="eastAsia"/>
                <w:szCs w:val="21"/>
              </w:rPr>
              <w:t>1</w:t>
            </w:r>
            <w:r>
              <w:rPr>
                <w:szCs w:val="21"/>
              </w:rPr>
              <w:t>分，扣完即止。</w:t>
            </w:r>
          </w:p>
        </w:tc>
        <w:tc>
          <w:tcPr>
            <w:tcW w:w="1080" w:type="dxa"/>
            <w:noWrap w:val="0"/>
            <w:vAlign w:val="center"/>
          </w:tcPr>
          <w:p>
            <w:pPr>
              <w:jc w:val="left"/>
              <w:rPr>
                <w:rFonts w:hint="eastAsia"/>
                <w:b/>
                <w:szCs w:val="21"/>
              </w:rPr>
            </w:pPr>
            <w:r>
              <w:rPr>
                <w:rFonts w:hint="eastAsia"/>
                <w:szCs w:val="21"/>
              </w:rPr>
              <w:t>以</w:t>
            </w:r>
            <w:r>
              <w:rPr>
                <w:szCs w:val="21"/>
              </w:rPr>
              <w:t>监理</w:t>
            </w:r>
            <w:r>
              <w:rPr>
                <w:rFonts w:hint="eastAsia"/>
                <w:szCs w:val="21"/>
              </w:rPr>
              <w:t>单位</w:t>
            </w:r>
            <w:r>
              <w:rPr>
                <w:szCs w:val="21"/>
              </w:rPr>
              <w:t>审核</w:t>
            </w:r>
            <w:r>
              <w:rPr>
                <w:rFonts w:hint="eastAsia"/>
                <w:szCs w:val="21"/>
              </w:rPr>
              <w:t>确认</w:t>
            </w:r>
          </w:p>
        </w:tc>
        <w:tc>
          <w:tcPr>
            <w:tcW w:w="656" w:type="dxa"/>
            <w:noWrap w:val="0"/>
            <w:vAlign w:val="center"/>
          </w:tcPr>
          <w:p>
            <w:pPr>
              <w:jc w:val="center"/>
              <w:rPr>
                <w:b/>
                <w:szCs w:val="21"/>
              </w:rPr>
            </w:pPr>
          </w:p>
        </w:tc>
        <w:tc>
          <w:tcPr>
            <w:tcW w:w="1087" w:type="dxa"/>
            <w:noWrap w:val="0"/>
            <w:vAlign w:val="center"/>
          </w:tcPr>
          <w:p>
            <w:pPr>
              <w:jc w:val="center"/>
              <w:rPr>
                <w:b/>
                <w:szCs w:val="21"/>
              </w:rPr>
            </w:pPr>
          </w:p>
        </w:tc>
        <w:tc>
          <w:tcPr>
            <w:tcW w:w="1911" w:type="dxa"/>
            <w:noWrap w:val="0"/>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continue"/>
            <w:noWrap w:val="0"/>
            <w:vAlign w:val="center"/>
          </w:tcPr>
          <w:p>
            <w:pPr>
              <w:jc w:val="center"/>
              <w:rPr>
                <w:b/>
                <w:szCs w:val="21"/>
              </w:rPr>
            </w:pPr>
          </w:p>
        </w:tc>
        <w:tc>
          <w:tcPr>
            <w:tcW w:w="561" w:type="dxa"/>
            <w:vMerge w:val="continue"/>
            <w:noWrap w:val="0"/>
            <w:vAlign w:val="center"/>
          </w:tcPr>
          <w:p>
            <w:pPr>
              <w:jc w:val="center"/>
              <w:rPr>
                <w:szCs w:val="21"/>
              </w:rPr>
            </w:pPr>
          </w:p>
        </w:tc>
        <w:tc>
          <w:tcPr>
            <w:tcW w:w="711" w:type="dxa"/>
            <w:noWrap w:val="0"/>
            <w:vAlign w:val="center"/>
          </w:tcPr>
          <w:p>
            <w:pPr>
              <w:jc w:val="center"/>
              <w:rPr>
                <w:b/>
                <w:szCs w:val="21"/>
              </w:rPr>
            </w:pPr>
            <w:r>
              <w:rPr>
                <w:b/>
                <w:szCs w:val="21"/>
              </w:rPr>
              <w:t>履约材料规范性</w:t>
            </w:r>
          </w:p>
        </w:tc>
        <w:tc>
          <w:tcPr>
            <w:tcW w:w="538" w:type="dxa"/>
            <w:noWrap w:val="0"/>
            <w:vAlign w:val="center"/>
          </w:tcPr>
          <w:p>
            <w:pPr>
              <w:jc w:val="center"/>
              <w:rPr>
                <w:b/>
                <w:szCs w:val="21"/>
              </w:rPr>
            </w:pPr>
            <w:r>
              <w:rPr>
                <w:b/>
                <w:szCs w:val="21"/>
              </w:rPr>
              <w:t>10</w:t>
            </w:r>
          </w:p>
        </w:tc>
        <w:tc>
          <w:tcPr>
            <w:tcW w:w="2763" w:type="dxa"/>
            <w:noWrap w:val="0"/>
            <w:vAlign w:val="center"/>
          </w:tcPr>
          <w:p>
            <w:pPr>
              <w:jc w:val="left"/>
              <w:rPr>
                <w:bCs/>
                <w:szCs w:val="21"/>
              </w:rPr>
            </w:pPr>
            <w:r>
              <w:rPr>
                <w:szCs w:val="21"/>
              </w:rPr>
              <w:t>中标人提交的履约材料须满足采购人的规范性要求，若</w:t>
            </w:r>
            <w:r>
              <w:rPr>
                <w:bCs/>
                <w:szCs w:val="21"/>
              </w:rPr>
              <w:t>文档材料未按模板要求（</w:t>
            </w:r>
            <w:r>
              <w:rPr>
                <w:rFonts w:hint="eastAsia"/>
                <w:bCs/>
                <w:szCs w:val="21"/>
              </w:rPr>
              <w:t>内容、</w:t>
            </w:r>
            <w:r>
              <w:rPr>
                <w:bCs/>
                <w:szCs w:val="21"/>
              </w:rPr>
              <w:t>字体、章节等）进行编制，每发现1处扣0.</w:t>
            </w:r>
            <w:r>
              <w:rPr>
                <w:rFonts w:hint="eastAsia"/>
                <w:bCs/>
                <w:szCs w:val="21"/>
              </w:rPr>
              <w:t>1</w:t>
            </w:r>
            <w:r>
              <w:rPr>
                <w:bCs/>
                <w:szCs w:val="21"/>
              </w:rPr>
              <w:t>分。</w:t>
            </w:r>
          </w:p>
        </w:tc>
        <w:tc>
          <w:tcPr>
            <w:tcW w:w="1080" w:type="dxa"/>
            <w:noWrap w:val="0"/>
            <w:vAlign w:val="center"/>
          </w:tcPr>
          <w:p>
            <w:pPr>
              <w:jc w:val="left"/>
              <w:rPr>
                <w:rFonts w:hint="eastAsia"/>
                <w:szCs w:val="21"/>
              </w:rPr>
            </w:pPr>
            <w:r>
              <w:rPr>
                <w:rFonts w:hint="eastAsia"/>
                <w:szCs w:val="21"/>
              </w:rPr>
              <w:t>以</w:t>
            </w:r>
            <w:r>
              <w:rPr>
                <w:szCs w:val="21"/>
              </w:rPr>
              <w:t>监理</w:t>
            </w:r>
            <w:r>
              <w:rPr>
                <w:rFonts w:hint="eastAsia"/>
                <w:szCs w:val="21"/>
              </w:rPr>
              <w:t>单位</w:t>
            </w:r>
            <w:r>
              <w:rPr>
                <w:szCs w:val="21"/>
              </w:rPr>
              <w:t>审核</w:t>
            </w:r>
            <w:r>
              <w:rPr>
                <w:rFonts w:hint="eastAsia"/>
                <w:szCs w:val="21"/>
              </w:rPr>
              <w:t>确认</w:t>
            </w:r>
          </w:p>
        </w:tc>
        <w:tc>
          <w:tcPr>
            <w:tcW w:w="656" w:type="dxa"/>
            <w:noWrap w:val="0"/>
            <w:vAlign w:val="center"/>
          </w:tcPr>
          <w:p>
            <w:pPr>
              <w:jc w:val="center"/>
              <w:rPr>
                <w:b/>
                <w:szCs w:val="21"/>
              </w:rPr>
            </w:pPr>
          </w:p>
        </w:tc>
        <w:tc>
          <w:tcPr>
            <w:tcW w:w="1087" w:type="dxa"/>
            <w:noWrap w:val="0"/>
            <w:vAlign w:val="center"/>
          </w:tcPr>
          <w:p>
            <w:pPr>
              <w:jc w:val="center"/>
              <w:rPr>
                <w:b/>
                <w:szCs w:val="21"/>
              </w:rPr>
            </w:pPr>
          </w:p>
        </w:tc>
        <w:tc>
          <w:tcPr>
            <w:tcW w:w="1911" w:type="dxa"/>
            <w:noWrap w:val="0"/>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continue"/>
            <w:noWrap w:val="0"/>
            <w:vAlign w:val="center"/>
          </w:tcPr>
          <w:p>
            <w:pPr>
              <w:jc w:val="center"/>
              <w:rPr>
                <w:b/>
                <w:szCs w:val="21"/>
              </w:rPr>
            </w:pPr>
          </w:p>
        </w:tc>
        <w:tc>
          <w:tcPr>
            <w:tcW w:w="561" w:type="dxa"/>
            <w:vMerge w:val="continue"/>
            <w:noWrap w:val="0"/>
            <w:vAlign w:val="center"/>
          </w:tcPr>
          <w:p>
            <w:pPr>
              <w:jc w:val="center"/>
              <w:rPr>
                <w:szCs w:val="21"/>
              </w:rPr>
            </w:pPr>
          </w:p>
        </w:tc>
        <w:tc>
          <w:tcPr>
            <w:tcW w:w="711" w:type="dxa"/>
            <w:noWrap w:val="0"/>
            <w:vAlign w:val="center"/>
          </w:tcPr>
          <w:p>
            <w:pPr>
              <w:jc w:val="center"/>
              <w:rPr>
                <w:b/>
                <w:szCs w:val="21"/>
              </w:rPr>
            </w:pPr>
            <w:r>
              <w:rPr>
                <w:b/>
                <w:szCs w:val="21"/>
              </w:rPr>
              <w:t>履约材料质量</w:t>
            </w:r>
          </w:p>
        </w:tc>
        <w:tc>
          <w:tcPr>
            <w:tcW w:w="538" w:type="dxa"/>
            <w:noWrap w:val="0"/>
            <w:vAlign w:val="center"/>
          </w:tcPr>
          <w:p>
            <w:pPr>
              <w:jc w:val="center"/>
              <w:rPr>
                <w:b/>
                <w:szCs w:val="21"/>
              </w:rPr>
            </w:pPr>
            <w:r>
              <w:rPr>
                <w:rFonts w:hint="eastAsia"/>
                <w:b/>
                <w:szCs w:val="21"/>
              </w:rPr>
              <w:t>2</w:t>
            </w:r>
            <w:r>
              <w:rPr>
                <w:b/>
                <w:szCs w:val="21"/>
              </w:rPr>
              <w:t>0</w:t>
            </w:r>
          </w:p>
        </w:tc>
        <w:tc>
          <w:tcPr>
            <w:tcW w:w="2763" w:type="dxa"/>
            <w:noWrap w:val="0"/>
            <w:vAlign w:val="center"/>
          </w:tcPr>
          <w:p>
            <w:pPr>
              <w:jc w:val="left"/>
              <w:rPr>
                <w:bCs/>
                <w:szCs w:val="21"/>
              </w:rPr>
            </w:pPr>
            <w:r>
              <w:rPr>
                <w:bCs/>
                <w:szCs w:val="21"/>
              </w:rPr>
              <w:t>中标人提交的履约材料须满足采购人的质量要求，若交付物质量未达到要求，因以下情形每退回修改一次扣0.</w:t>
            </w:r>
            <w:r>
              <w:rPr>
                <w:rFonts w:hint="eastAsia"/>
                <w:bCs/>
                <w:szCs w:val="21"/>
              </w:rPr>
              <w:t>1</w:t>
            </w:r>
            <w:r>
              <w:rPr>
                <w:bCs/>
                <w:szCs w:val="21"/>
              </w:rPr>
              <w:t>分：</w:t>
            </w:r>
          </w:p>
          <w:p>
            <w:pPr>
              <w:jc w:val="left"/>
              <w:rPr>
                <w:bCs/>
                <w:szCs w:val="21"/>
              </w:rPr>
            </w:pPr>
            <w:r>
              <w:rPr>
                <w:bCs/>
                <w:szCs w:val="21"/>
              </w:rPr>
              <w:t>1、文档（日期、内容等）有明显伪造嫌疑；</w:t>
            </w:r>
          </w:p>
          <w:p>
            <w:pPr>
              <w:jc w:val="left"/>
              <w:rPr>
                <w:bCs/>
                <w:szCs w:val="21"/>
              </w:rPr>
            </w:pPr>
            <w:r>
              <w:rPr>
                <w:bCs/>
                <w:szCs w:val="21"/>
              </w:rPr>
              <w:t>2、文档有明显逻辑错误；</w:t>
            </w:r>
          </w:p>
          <w:p>
            <w:pPr>
              <w:jc w:val="left"/>
              <w:rPr>
                <w:bCs/>
                <w:szCs w:val="21"/>
              </w:rPr>
            </w:pPr>
            <w:r>
              <w:rPr>
                <w:bCs/>
                <w:szCs w:val="21"/>
              </w:rPr>
              <w:t>3、图文明显不符；</w:t>
            </w:r>
          </w:p>
          <w:p>
            <w:pPr>
              <w:jc w:val="left"/>
              <w:rPr>
                <w:bCs/>
                <w:szCs w:val="21"/>
              </w:rPr>
            </w:pPr>
            <w:r>
              <w:rPr>
                <w:bCs/>
                <w:szCs w:val="21"/>
              </w:rPr>
              <w:t>4、文档中未按要求提供佐证数据或截图；</w:t>
            </w:r>
          </w:p>
          <w:p>
            <w:pPr>
              <w:jc w:val="left"/>
              <w:rPr>
                <w:rFonts w:hint="eastAsia"/>
                <w:bCs/>
                <w:szCs w:val="21"/>
              </w:rPr>
            </w:pPr>
            <w:r>
              <w:rPr>
                <w:rFonts w:hint="eastAsia"/>
                <w:bCs/>
                <w:szCs w:val="21"/>
              </w:rPr>
              <w:t>5、</w:t>
            </w:r>
            <w:r>
              <w:rPr>
                <w:bCs/>
                <w:szCs w:val="21"/>
              </w:rPr>
              <w:t>采购人对文档质量的其他相关要求</w:t>
            </w:r>
            <w:r>
              <w:rPr>
                <w:rFonts w:hint="eastAsia"/>
                <w:bCs/>
                <w:szCs w:val="21"/>
              </w:rPr>
              <w:t>；</w:t>
            </w:r>
          </w:p>
          <w:p>
            <w:pPr>
              <w:jc w:val="left"/>
              <w:rPr>
                <w:bCs/>
                <w:szCs w:val="21"/>
              </w:rPr>
            </w:pPr>
            <w:r>
              <w:rPr>
                <w:rFonts w:hint="eastAsia"/>
                <w:bCs/>
                <w:szCs w:val="21"/>
              </w:rPr>
              <w:t>6、</w:t>
            </w:r>
            <w:r>
              <w:rPr>
                <w:bCs/>
                <w:szCs w:val="21"/>
              </w:rPr>
              <w:t>需要业务部门确认的交付物未按要求</w:t>
            </w:r>
            <w:r>
              <w:rPr>
                <w:rFonts w:hint="eastAsia"/>
                <w:bCs/>
                <w:szCs w:val="21"/>
              </w:rPr>
              <w:t>确认</w:t>
            </w:r>
            <w:r>
              <w:rPr>
                <w:bCs/>
                <w:szCs w:val="21"/>
              </w:rPr>
              <w:t>。</w:t>
            </w:r>
          </w:p>
        </w:tc>
        <w:tc>
          <w:tcPr>
            <w:tcW w:w="1080" w:type="dxa"/>
            <w:noWrap w:val="0"/>
            <w:vAlign w:val="center"/>
          </w:tcPr>
          <w:p>
            <w:pPr>
              <w:jc w:val="left"/>
              <w:rPr>
                <w:rFonts w:hint="eastAsia"/>
                <w:szCs w:val="21"/>
              </w:rPr>
            </w:pPr>
            <w:r>
              <w:rPr>
                <w:rFonts w:hint="eastAsia"/>
                <w:szCs w:val="21"/>
              </w:rPr>
              <w:t>以</w:t>
            </w:r>
            <w:r>
              <w:rPr>
                <w:szCs w:val="21"/>
              </w:rPr>
              <w:t>监理</w:t>
            </w:r>
            <w:r>
              <w:rPr>
                <w:rFonts w:hint="eastAsia"/>
                <w:szCs w:val="21"/>
              </w:rPr>
              <w:t>单位</w:t>
            </w:r>
            <w:r>
              <w:rPr>
                <w:szCs w:val="21"/>
              </w:rPr>
              <w:t>审核</w:t>
            </w:r>
            <w:r>
              <w:rPr>
                <w:rFonts w:hint="eastAsia"/>
                <w:szCs w:val="21"/>
              </w:rPr>
              <w:t>确认</w:t>
            </w:r>
          </w:p>
        </w:tc>
        <w:tc>
          <w:tcPr>
            <w:tcW w:w="656" w:type="dxa"/>
            <w:noWrap w:val="0"/>
            <w:vAlign w:val="center"/>
          </w:tcPr>
          <w:p>
            <w:pPr>
              <w:jc w:val="center"/>
              <w:rPr>
                <w:b/>
                <w:szCs w:val="21"/>
              </w:rPr>
            </w:pPr>
          </w:p>
        </w:tc>
        <w:tc>
          <w:tcPr>
            <w:tcW w:w="1087" w:type="dxa"/>
            <w:noWrap w:val="0"/>
            <w:vAlign w:val="center"/>
          </w:tcPr>
          <w:p>
            <w:pPr>
              <w:jc w:val="center"/>
              <w:rPr>
                <w:b/>
                <w:szCs w:val="21"/>
              </w:rPr>
            </w:pPr>
          </w:p>
        </w:tc>
        <w:tc>
          <w:tcPr>
            <w:tcW w:w="1911" w:type="dxa"/>
            <w:noWrap w:val="0"/>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jc w:val="center"/>
        </w:trPr>
        <w:tc>
          <w:tcPr>
            <w:tcW w:w="626" w:type="dxa"/>
            <w:vMerge w:val="restart"/>
            <w:noWrap w:val="0"/>
            <w:vAlign w:val="center"/>
          </w:tcPr>
          <w:p>
            <w:pPr>
              <w:jc w:val="center"/>
              <w:rPr>
                <w:b/>
                <w:bCs/>
                <w:szCs w:val="21"/>
              </w:rPr>
            </w:pPr>
            <w:r>
              <w:rPr>
                <w:b/>
                <w:bCs/>
                <w:szCs w:val="21"/>
              </w:rPr>
              <w:t>系统运行稳定性</w:t>
            </w:r>
          </w:p>
        </w:tc>
        <w:tc>
          <w:tcPr>
            <w:tcW w:w="561" w:type="dxa"/>
            <w:vMerge w:val="continue"/>
            <w:noWrap w:val="0"/>
            <w:vAlign w:val="center"/>
          </w:tcPr>
          <w:p>
            <w:pPr>
              <w:jc w:val="center"/>
              <w:rPr>
                <w:b/>
                <w:bCs/>
                <w:szCs w:val="21"/>
              </w:rPr>
            </w:pPr>
          </w:p>
        </w:tc>
        <w:tc>
          <w:tcPr>
            <w:tcW w:w="711" w:type="dxa"/>
            <w:noWrap w:val="0"/>
            <w:vAlign w:val="center"/>
          </w:tcPr>
          <w:p>
            <w:pPr>
              <w:jc w:val="center"/>
              <w:rPr>
                <w:b/>
                <w:bCs/>
                <w:szCs w:val="21"/>
              </w:rPr>
            </w:pPr>
            <w:r>
              <w:rPr>
                <w:b/>
                <w:bCs/>
                <w:szCs w:val="21"/>
              </w:rPr>
              <w:t>系统运行故障</w:t>
            </w:r>
          </w:p>
        </w:tc>
        <w:tc>
          <w:tcPr>
            <w:tcW w:w="538" w:type="dxa"/>
            <w:noWrap w:val="0"/>
            <w:vAlign w:val="center"/>
          </w:tcPr>
          <w:p>
            <w:pPr>
              <w:jc w:val="center"/>
              <w:rPr>
                <w:szCs w:val="21"/>
              </w:rPr>
            </w:pPr>
            <w:r>
              <w:rPr>
                <w:szCs w:val="21"/>
              </w:rPr>
              <w:t>15</w:t>
            </w:r>
          </w:p>
        </w:tc>
        <w:tc>
          <w:tcPr>
            <w:tcW w:w="2763" w:type="dxa"/>
            <w:noWrap w:val="0"/>
            <w:vAlign w:val="center"/>
          </w:tcPr>
          <w:p>
            <w:pPr>
              <w:jc w:val="left"/>
              <w:rPr>
                <w:szCs w:val="21"/>
              </w:rPr>
            </w:pPr>
            <w:r>
              <w:rPr>
                <w:szCs w:val="21"/>
              </w:rPr>
              <w:t>1、按以下情况进行扣分，扣分不设下限。</w:t>
            </w:r>
          </w:p>
          <w:p>
            <w:pPr>
              <w:jc w:val="left"/>
              <w:rPr>
                <w:szCs w:val="21"/>
              </w:rPr>
            </w:pPr>
            <w:r>
              <w:rPr>
                <w:szCs w:val="21"/>
              </w:rPr>
              <w:t>2、有证据证明是因中标人原因</w:t>
            </w:r>
            <w:r>
              <w:rPr>
                <w:rFonts w:hint="eastAsia"/>
                <w:szCs w:val="21"/>
              </w:rPr>
              <w:t>（机房环境、制冷、电力）</w:t>
            </w:r>
            <w:r>
              <w:rPr>
                <w:szCs w:val="21"/>
              </w:rPr>
              <w:t>导致的系统运行故障，每发生一次，扣5分。</w:t>
            </w:r>
          </w:p>
        </w:tc>
        <w:tc>
          <w:tcPr>
            <w:tcW w:w="1080" w:type="dxa"/>
            <w:noWrap w:val="0"/>
            <w:vAlign w:val="center"/>
          </w:tcPr>
          <w:p>
            <w:pPr>
              <w:jc w:val="left"/>
              <w:rPr>
                <w:szCs w:val="21"/>
              </w:rPr>
            </w:pPr>
            <w:r>
              <w:rPr>
                <w:szCs w:val="21"/>
              </w:rPr>
              <w:t>以采购人及监理</w:t>
            </w:r>
            <w:r>
              <w:rPr>
                <w:rFonts w:hint="eastAsia"/>
                <w:szCs w:val="21"/>
              </w:rPr>
              <w:t>单位</w:t>
            </w:r>
            <w:r>
              <w:rPr>
                <w:szCs w:val="21"/>
              </w:rPr>
              <w:t>在故障后出具的故障报告为准。</w:t>
            </w:r>
          </w:p>
        </w:tc>
        <w:tc>
          <w:tcPr>
            <w:tcW w:w="656" w:type="dxa"/>
            <w:noWrap w:val="0"/>
            <w:vAlign w:val="center"/>
          </w:tcPr>
          <w:p>
            <w:pPr>
              <w:jc w:val="center"/>
              <w:rPr>
                <w:szCs w:val="21"/>
              </w:rPr>
            </w:pPr>
          </w:p>
        </w:tc>
        <w:tc>
          <w:tcPr>
            <w:tcW w:w="1087" w:type="dxa"/>
            <w:noWrap w:val="0"/>
            <w:vAlign w:val="center"/>
          </w:tcPr>
          <w:p>
            <w:pPr>
              <w:jc w:val="center"/>
              <w:rPr>
                <w:szCs w:val="21"/>
              </w:rPr>
            </w:pPr>
          </w:p>
        </w:tc>
        <w:tc>
          <w:tcPr>
            <w:tcW w:w="1911" w:type="dxa"/>
            <w:noWrap w:val="0"/>
            <w:vAlign w:val="center"/>
          </w:tcPr>
          <w:p>
            <w:pPr>
              <w:pStyle w:val="23"/>
              <w:numPr>
                <w:ilvl w:val="0"/>
                <w:numId w:val="2"/>
              </w:numPr>
              <w:adjustRightInd/>
              <w:snapToGrid/>
              <w:spacing w:before="0" w:after="0" w:line="240" w:lineRule="auto"/>
              <w:ind w:left="0" w:firstLine="0"/>
              <w:jc w:val="left"/>
              <w:rPr>
                <w:szCs w:val="21"/>
              </w:rPr>
            </w:pPr>
            <w:r>
              <w:rPr>
                <w:szCs w:val="21"/>
              </w:rPr>
              <w:t>故障指未引起安全运行事件的信息系统运行异常；</w:t>
            </w:r>
          </w:p>
          <w:p>
            <w:pPr>
              <w:pStyle w:val="23"/>
              <w:numPr>
                <w:ilvl w:val="0"/>
                <w:numId w:val="2"/>
              </w:numPr>
              <w:adjustRightInd/>
              <w:snapToGrid/>
              <w:spacing w:before="0" w:after="0" w:line="240" w:lineRule="auto"/>
              <w:ind w:left="0" w:firstLine="0"/>
              <w:jc w:val="left"/>
              <w:rPr>
                <w:szCs w:val="21"/>
              </w:rPr>
            </w:pPr>
            <w:r>
              <w:rPr>
                <w:szCs w:val="21"/>
              </w:rPr>
              <w:t>若因故障导致安全运行事件，则参照安全运行事件指标进行评价；</w:t>
            </w:r>
          </w:p>
          <w:p>
            <w:pPr>
              <w:pStyle w:val="23"/>
              <w:numPr>
                <w:ilvl w:val="0"/>
                <w:numId w:val="2"/>
              </w:numPr>
              <w:adjustRightInd/>
              <w:snapToGrid/>
              <w:spacing w:before="0" w:after="0" w:line="240" w:lineRule="auto"/>
              <w:ind w:left="0" w:firstLine="0"/>
              <w:jc w:val="left"/>
              <w:rPr>
                <w:szCs w:val="21"/>
              </w:rPr>
            </w:pPr>
            <w:r>
              <w:rPr>
                <w:szCs w:val="21"/>
              </w:rPr>
              <w:t>因采购人或第三方导致的延迟或质量问题，或不可抗力（如封网、机房环境等）不参与评价。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continue"/>
            <w:noWrap w:val="0"/>
            <w:vAlign w:val="center"/>
          </w:tcPr>
          <w:p>
            <w:pPr>
              <w:jc w:val="center"/>
              <w:rPr>
                <w:szCs w:val="21"/>
              </w:rPr>
            </w:pPr>
          </w:p>
        </w:tc>
        <w:tc>
          <w:tcPr>
            <w:tcW w:w="561" w:type="dxa"/>
            <w:vMerge w:val="continue"/>
            <w:noWrap w:val="0"/>
            <w:vAlign w:val="center"/>
          </w:tcPr>
          <w:p>
            <w:pPr>
              <w:jc w:val="center"/>
              <w:rPr>
                <w:szCs w:val="21"/>
              </w:rPr>
            </w:pPr>
          </w:p>
        </w:tc>
        <w:tc>
          <w:tcPr>
            <w:tcW w:w="711" w:type="dxa"/>
            <w:noWrap w:val="0"/>
            <w:vAlign w:val="center"/>
          </w:tcPr>
          <w:p>
            <w:pPr>
              <w:jc w:val="center"/>
              <w:rPr>
                <w:szCs w:val="21"/>
              </w:rPr>
            </w:pPr>
            <w:r>
              <w:rPr>
                <w:b/>
                <w:bCs/>
                <w:szCs w:val="21"/>
              </w:rPr>
              <w:t>安全运行事件</w:t>
            </w:r>
          </w:p>
        </w:tc>
        <w:tc>
          <w:tcPr>
            <w:tcW w:w="538" w:type="dxa"/>
            <w:noWrap w:val="0"/>
            <w:vAlign w:val="center"/>
          </w:tcPr>
          <w:p>
            <w:pPr>
              <w:jc w:val="center"/>
              <w:rPr>
                <w:szCs w:val="21"/>
              </w:rPr>
            </w:pPr>
            <w:r>
              <w:rPr>
                <w:szCs w:val="21"/>
              </w:rPr>
              <w:t>20</w:t>
            </w:r>
          </w:p>
        </w:tc>
        <w:tc>
          <w:tcPr>
            <w:tcW w:w="2763" w:type="dxa"/>
            <w:noWrap w:val="0"/>
            <w:vAlign w:val="center"/>
          </w:tcPr>
          <w:p>
            <w:pPr>
              <w:jc w:val="left"/>
              <w:rPr>
                <w:rFonts w:hint="eastAsia"/>
                <w:szCs w:val="21"/>
              </w:rPr>
            </w:pPr>
            <w:r>
              <w:rPr>
                <w:rFonts w:hint="eastAsia"/>
                <w:szCs w:val="21"/>
              </w:rPr>
              <w:t>1、按以下情况进行扣分，扣分不设下限。</w:t>
            </w:r>
          </w:p>
          <w:p>
            <w:pPr>
              <w:jc w:val="left"/>
              <w:rPr>
                <w:rFonts w:hint="eastAsia"/>
                <w:szCs w:val="21"/>
              </w:rPr>
            </w:pPr>
            <w:r>
              <w:rPr>
                <w:rFonts w:hint="eastAsia"/>
                <w:szCs w:val="21"/>
              </w:rPr>
              <w:t>2、拒不服从安全管理要求响应安全加固，每发生一次，扣5分。          3</w:t>
            </w:r>
            <w:r>
              <w:rPr>
                <w:szCs w:val="21"/>
              </w:rPr>
              <w:t>、有证据证明是因中标人原因（包括</w:t>
            </w:r>
            <w:r>
              <w:rPr>
                <w:rFonts w:hint="eastAsia"/>
                <w:szCs w:val="21"/>
              </w:rPr>
              <w:t>机房人员进出安全检查</w:t>
            </w:r>
            <w:r>
              <w:rPr>
                <w:szCs w:val="21"/>
              </w:rPr>
              <w:t>）导致的安全运行事件，每发生一次，扣5-20分（根据事件严重程度判定）。</w:t>
            </w:r>
          </w:p>
        </w:tc>
        <w:tc>
          <w:tcPr>
            <w:tcW w:w="1080" w:type="dxa"/>
            <w:noWrap w:val="0"/>
            <w:vAlign w:val="center"/>
          </w:tcPr>
          <w:p>
            <w:pPr>
              <w:jc w:val="left"/>
              <w:rPr>
                <w:szCs w:val="21"/>
              </w:rPr>
            </w:pPr>
            <w:r>
              <w:rPr>
                <w:szCs w:val="21"/>
              </w:rPr>
              <w:t>以采购人及监理</w:t>
            </w:r>
            <w:r>
              <w:rPr>
                <w:rFonts w:hint="eastAsia"/>
                <w:szCs w:val="21"/>
              </w:rPr>
              <w:t>单位</w:t>
            </w:r>
            <w:r>
              <w:rPr>
                <w:szCs w:val="21"/>
              </w:rPr>
              <w:t>在事件后出具的事故报告为准。</w:t>
            </w:r>
          </w:p>
        </w:tc>
        <w:tc>
          <w:tcPr>
            <w:tcW w:w="656" w:type="dxa"/>
            <w:noWrap w:val="0"/>
            <w:vAlign w:val="center"/>
          </w:tcPr>
          <w:p>
            <w:pPr>
              <w:jc w:val="center"/>
              <w:rPr>
                <w:szCs w:val="21"/>
              </w:rPr>
            </w:pPr>
          </w:p>
        </w:tc>
        <w:tc>
          <w:tcPr>
            <w:tcW w:w="1087" w:type="dxa"/>
            <w:noWrap w:val="0"/>
            <w:vAlign w:val="center"/>
          </w:tcPr>
          <w:p>
            <w:pPr>
              <w:jc w:val="center"/>
              <w:rPr>
                <w:szCs w:val="21"/>
              </w:rPr>
            </w:pPr>
          </w:p>
        </w:tc>
        <w:tc>
          <w:tcPr>
            <w:tcW w:w="1911" w:type="dxa"/>
            <w:noWrap w:val="0"/>
            <w:vAlign w:val="center"/>
          </w:tcPr>
          <w:p>
            <w:pPr>
              <w:pStyle w:val="23"/>
              <w:numPr>
                <w:ilvl w:val="0"/>
                <w:numId w:val="3"/>
              </w:numPr>
              <w:adjustRightInd/>
              <w:snapToGrid/>
              <w:spacing w:before="0" w:after="0" w:line="240" w:lineRule="auto"/>
              <w:ind w:left="0" w:firstLine="0"/>
              <w:jc w:val="left"/>
              <w:rPr>
                <w:szCs w:val="21"/>
              </w:rPr>
            </w:pPr>
            <w:r>
              <w:rPr>
                <w:szCs w:val="21"/>
              </w:rPr>
              <w:t>安全运行事件类别包括：系统故障事件、有害程序事件、网络攻击事件、信息破坏事件、信息内容安全事件、灾害性事件、失泄密事件</w:t>
            </w:r>
            <w:r>
              <w:rPr>
                <w:rFonts w:hint="eastAsia"/>
                <w:szCs w:val="21"/>
                <w:lang w:eastAsia="zh-CN"/>
              </w:rPr>
              <w:t>、拒不响应安全加固事件</w:t>
            </w:r>
            <w:r>
              <w:rPr>
                <w:szCs w:val="21"/>
              </w:rPr>
              <w:t>和其他安全运行事件；</w:t>
            </w:r>
          </w:p>
          <w:p>
            <w:pPr>
              <w:pStyle w:val="23"/>
              <w:numPr>
                <w:ilvl w:val="0"/>
                <w:numId w:val="3"/>
              </w:numPr>
              <w:adjustRightInd/>
              <w:snapToGrid/>
              <w:spacing w:before="0" w:after="0" w:line="240" w:lineRule="auto"/>
              <w:ind w:left="0" w:firstLine="0"/>
              <w:jc w:val="left"/>
              <w:rPr>
                <w:szCs w:val="21"/>
              </w:rPr>
            </w:pPr>
            <w:r>
              <w:rPr>
                <w:szCs w:val="21"/>
              </w:rPr>
              <w:t>因采购人或第三方导致的延迟或质量问题，或不可抗力（如封网、机房环境等）不参与评价。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Merge w:val="restart"/>
            <w:noWrap w:val="0"/>
            <w:vAlign w:val="center"/>
          </w:tcPr>
          <w:p>
            <w:pPr>
              <w:jc w:val="center"/>
              <w:rPr>
                <w:b/>
                <w:bCs/>
                <w:szCs w:val="21"/>
              </w:rPr>
            </w:pPr>
            <w:r>
              <w:rPr>
                <w:rFonts w:hint="eastAsia"/>
                <w:b/>
                <w:bCs/>
                <w:szCs w:val="21"/>
              </w:rPr>
              <w:t>维护服务</w:t>
            </w:r>
            <w:r>
              <w:rPr>
                <w:b/>
                <w:bCs/>
                <w:szCs w:val="21"/>
              </w:rPr>
              <w:t>支持度</w:t>
            </w:r>
          </w:p>
        </w:tc>
        <w:tc>
          <w:tcPr>
            <w:tcW w:w="561" w:type="dxa"/>
            <w:vMerge w:val="continue"/>
            <w:noWrap w:val="0"/>
            <w:vAlign w:val="center"/>
          </w:tcPr>
          <w:p>
            <w:pPr>
              <w:jc w:val="center"/>
              <w:rPr>
                <w:b/>
                <w:bCs/>
                <w:szCs w:val="21"/>
              </w:rPr>
            </w:pPr>
          </w:p>
        </w:tc>
        <w:tc>
          <w:tcPr>
            <w:tcW w:w="711" w:type="dxa"/>
            <w:noWrap w:val="0"/>
            <w:vAlign w:val="center"/>
          </w:tcPr>
          <w:p>
            <w:pPr>
              <w:jc w:val="center"/>
              <w:rPr>
                <w:b/>
                <w:bCs/>
                <w:szCs w:val="21"/>
              </w:rPr>
            </w:pPr>
            <w:r>
              <w:rPr>
                <w:b/>
                <w:bCs/>
                <w:szCs w:val="21"/>
              </w:rPr>
              <w:t>故障响应</w:t>
            </w:r>
          </w:p>
        </w:tc>
        <w:tc>
          <w:tcPr>
            <w:tcW w:w="538" w:type="dxa"/>
            <w:noWrap w:val="0"/>
            <w:vAlign w:val="center"/>
          </w:tcPr>
          <w:p>
            <w:pPr>
              <w:jc w:val="center"/>
              <w:rPr>
                <w:szCs w:val="21"/>
              </w:rPr>
            </w:pPr>
            <w:r>
              <w:rPr>
                <w:szCs w:val="21"/>
              </w:rPr>
              <w:t>15</w:t>
            </w:r>
          </w:p>
        </w:tc>
        <w:tc>
          <w:tcPr>
            <w:tcW w:w="2763" w:type="dxa"/>
            <w:noWrap w:val="0"/>
            <w:vAlign w:val="center"/>
          </w:tcPr>
          <w:p>
            <w:pPr>
              <w:jc w:val="left"/>
              <w:rPr>
                <w:szCs w:val="21"/>
              </w:rPr>
            </w:pPr>
            <w:r>
              <w:rPr>
                <w:szCs w:val="21"/>
              </w:rPr>
              <w:t>1、按以下情况进行扣分，扣完即止。</w:t>
            </w:r>
          </w:p>
          <w:p>
            <w:pPr>
              <w:jc w:val="left"/>
              <w:rPr>
                <w:szCs w:val="21"/>
              </w:rPr>
            </w:pPr>
            <w:r>
              <w:rPr>
                <w:szCs w:val="21"/>
              </w:rPr>
              <w:t>2、扣分情况包括：</w:t>
            </w:r>
          </w:p>
          <w:p>
            <w:pPr>
              <w:pStyle w:val="23"/>
              <w:numPr>
                <w:ilvl w:val="0"/>
                <w:numId w:val="4"/>
              </w:numPr>
              <w:adjustRightInd/>
              <w:snapToGrid/>
              <w:spacing w:before="0" w:after="0" w:line="240" w:lineRule="auto"/>
              <w:ind w:left="0" w:firstLine="0"/>
              <w:jc w:val="left"/>
              <w:rPr>
                <w:szCs w:val="21"/>
              </w:rPr>
            </w:pPr>
            <w:r>
              <w:rPr>
                <w:szCs w:val="21"/>
              </w:rPr>
              <w:t>发生系统运行故障时，不能根据技术服务要求及承诺及时提供电话应急支持或现场技术支持，每发生一次，扣1分；</w:t>
            </w:r>
          </w:p>
          <w:p>
            <w:pPr>
              <w:pStyle w:val="23"/>
              <w:numPr>
                <w:ilvl w:val="0"/>
                <w:numId w:val="4"/>
              </w:numPr>
              <w:adjustRightInd/>
              <w:snapToGrid/>
              <w:spacing w:before="0" w:after="0" w:line="240" w:lineRule="auto"/>
              <w:ind w:left="0" w:firstLine="0"/>
              <w:jc w:val="left"/>
              <w:rPr>
                <w:szCs w:val="21"/>
              </w:rPr>
            </w:pPr>
            <w:r>
              <w:rPr>
                <w:szCs w:val="21"/>
              </w:rPr>
              <w:t>发生系统运行故障时，不能在规定时间内恢复正常运行，每发生一次，扣1分；</w:t>
            </w:r>
          </w:p>
          <w:p>
            <w:pPr>
              <w:pStyle w:val="23"/>
              <w:numPr>
                <w:ilvl w:val="0"/>
                <w:numId w:val="4"/>
              </w:numPr>
              <w:adjustRightInd/>
              <w:snapToGrid/>
              <w:spacing w:before="0" w:after="0" w:line="240" w:lineRule="auto"/>
              <w:ind w:left="0" w:firstLine="0"/>
              <w:jc w:val="left"/>
              <w:rPr>
                <w:szCs w:val="21"/>
              </w:rPr>
            </w:pPr>
            <w:r>
              <w:rPr>
                <w:szCs w:val="21"/>
              </w:rPr>
              <w:t>须在故障排除后3天内提交</w:t>
            </w:r>
            <w:r>
              <w:rPr>
                <w:rFonts w:hint="eastAsia"/>
                <w:szCs w:val="21"/>
              </w:rPr>
              <w:t>《故障处理</w:t>
            </w:r>
            <w:r>
              <w:rPr>
                <w:rFonts w:hint="eastAsia"/>
                <w:szCs w:val="21"/>
                <w:lang w:eastAsia="zh-CN"/>
              </w:rPr>
              <w:t>及分析</w:t>
            </w:r>
            <w:r>
              <w:rPr>
                <w:rFonts w:hint="eastAsia"/>
                <w:szCs w:val="21"/>
              </w:rPr>
              <w:t>报告》，</w:t>
            </w:r>
            <w:r>
              <w:rPr>
                <w:szCs w:val="21"/>
              </w:rPr>
              <w:t>每逾期1天扣0.</w:t>
            </w:r>
            <w:r>
              <w:rPr>
                <w:rFonts w:hint="eastAsia"/>
                <w:szCs w:val="21"/>
                <w:lang w:eastAsia="zh-CN"/>
              </w:rPr>
              <w:t>1</w:t>
            </w:r>
            <w:r>
              <w:rPr>
                <w:szCs w:val="21"/>
              </w:rPr>
              <w:t>分</w:t>
            </w:r>
            <w:r>
              <w:rPr>
                <w:szCs w:val="21"/>
                <w:lang w:eastAsia="zh-CN"/>
              </w:rPr>
              <w:t>。</w:t>
            </w:r>
          </w:p>
        </w:tc>
        <w:tc>
          <w:tcPr>
            <w:tcW w:w="1080" w:type="dxa"/>
            <w:noWrap w:val="0"/>
            <w:vAlign w:val="center"/>
          </w:tcPr>
          <w:p>
            <w:pPr>
              <w:jc w:val="left"/>
              <w:rPr>
                <w:szCs w:val="21"/>
              </w:rPr>
            </w:pPr>
            <w:r>
              <w:rPr>
                <w:szCs w:val="21"/>
              </w:rPr>
              <w:t>以采购人及监理</w:t>
            </w:r>
            <w:r>
              <w:rPr>
                <w:rFonts w:hint="eastAsia"/>
                <w:szCs w:val="21"/>
              </w:rPr>
              <w:t>单位</w:t>
            </w:r>
            <w:r>
              <w:rPr>
                <w:szCs w:val="21"/>
              </w:rPr>
              <w:t>在事件后出具的故障报告为准。</w:t>
            </w:r>
          </w:p>
        </w:tc>
        <w:tc>
          <w:tcPr>
            <w:tcW w:w="656" w:type="dxa"/>
            <w:noWrap w:val="0"/>
            <w:vAlign w:val="center"/>
          </w:tcPr>
          <w:p>
            <w:pPr>
              <w:jc w:val="center"/>
              <w:rPr>
                <w:szCs w:val="21"/>
              </w:rPr>
            </w:pPr>
          </w:p>
        </w:tc>
        <w:tc>
          <w:tcPr>
            <w:tcW w:w="1087" w:type="dxa"/>
            <w:noWrap w:val="0"/>
            <w:vAlign w:val="center"/>
          </w:tcPr>
          <w:p>
            <w:pPr>
              <w:jc w:val="center"/>
              <w:rPr>
                <w:szCs w:val="21"/>
              </w:rPr>
            </w:pPr>
          </w:p>
        </w:tc>
        <w:tc>
          <w:tcPr>
            <w:tcW w:w="1911" w:type="dxa"/>
            <w:noWrap w:val="0"/>
            <w:vAlign w:val="center"/>
          </w:tcPr>
          <w:p>
            <w:pPr>
              <w:jc w:val="left"/>
              <w:rPr>
                <w:szCs w:val="21"/>
              </w:rPr>
            </w:pPr>
            <w:r>
              <w:rPr>
                <w:szCs w:val="21"/>
              </w:rPr>
              <w:t>因采购人或第三方导致的延迟或质量问题，或不可抗力（如封网、机房环境等）不参与评价；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626" w:type="dxa"/>
            <w:vMerge w:val="continue"/>
            <w:noWrap w:val="0"/>
            <w:vAlign w:val="center"/>
          </w:tcPr>
          <w:p>
            <w:pPr>
              <w:jc w:val="center"/>
              <w:rPr>
                <w:b/>
                <w:bCs/>
                <w:szCs w:val="21"/>
              </w:rPr>
            </w:pPr>
          </w:p>
        </w:tc>
        <w:tc>
          <w:tcPr>
            <w:tcW w:w="561" w:type="dxa"/>
            <w:vMerge w:val="continue"/>
            <w:noWrap w:val="0"/>
            <w:vAlign w:val="center"/>
          </w:tcPr>
          <w:p>
            <w:pPr>
              <w:jc w:val="center"/>
              <w:rPr>
                <w:b/>
                <w:bCs/>
                <w:szCs w:val="21"/>
              </w:rPr>
            </w:pPr>
          </w:p>
        </w:tc>
        <w:tc>
          <w:tcPr>
            <w:tcW w:w="711" w:type="dxa"/>
            <w:noWrap w:val="0"/>
            <w:vAlign w:val="center"/>
          </w:tcPr>
          <w:p>
            <w:pPr>
              <w:jc w:val="center"/>
              <w:rPr>
                <w:b/>
                <w:bCs/>
                <w:szCs w:val="21"/>
              </w:rPr>
            </w:pPr>
            <w:r>
              <w:rPr>
                <w:b/>
                <w:bCs/>
                <w:szCs w:val="21"/>
              </w:rPr>
              <w:t>定期巡检服务</w:t>
            </w:r>
          </w:p>
        </w:tc>
        <w:tc>
          <w:tcPr>
            <w:tcW w:w="538" w:type="dxa"/>
            <w:noWrap w:val="0"/>
            <w:vAlign w:val="center"/>
          </w:tcPr>
          <w:p>
            <w:pPr>
              <w:jc w:val="center"/>
              <w:rPr>
                <w:szCs w:val="21"/>
              </w:rPr>
            </w:pPr>
            <w:r>
              <w:rPr>
                <w:rFonts w:hint="eastAsia"/>
                <w:szCs w:val="21"/>
              </w:rPr>
              <w:t>1</w:t>
            </w:r>
            <w:r>
              <w:rPr>
                <w:szCs w:val="21"/>
              </w:rPr>
              <w:t>0</w:t>
            </w:r>
          </w:p>
        </w:tc>
        <w:tc>
          <w:tcPr>
            <w:tcW w:w="2763" w:type="dxa"/>
            <w:noWrap w:val="0"/>
            <w:vAlign w:val="center"/>
          </w:tcPr>
          <w:p>
            <w:pPr>
              <w:jc w:val="left"/>
              <w:rPr>
                <w:szCs w:val="21"/>
              </w:rPr>
            </w:pPr>
            <w:r>
              <w:rPr>
                <w:szCs w:val="21"/>
              </w:rPr>
              <w:t>1、按以下情况进行扣分，扣完即止。</w:t>
            </w:r>
          </w:p>
          <w:p>
            <w:pPr>
              <w:jc w:val="left"/>
              <w:rPr>
                <w:szCs w:val="21"/>
              </w:rPr>
            </w:pPr>
            <w:r>
              <w:rPr>
                <w:szCs w:val="21"/>
              </w:rPr>
              <w:t>2、扣分情况包括：</w:t>
            </w:r>
          </w:p>
          <w:p>
            <w:pPr>
              <w:pStyle w:val="23"/>
              <w:numPr>
                <w:ilvl w:val="0"/>
                <w:numId w:val="5"/>
              </w:numPr>
              <w:adjustRightInd/>
              <w:snapToGrid/>
              <w:spacing w:before="0" w:after="0" w:line="240" w:lineRule="auto"/>
              <w:ind w:left="0" w:firstLine="0"/>
              <w:jc w:val="left"/>
              <w:rPr>
                <w:szCs w:val="21"/>
              </w:rPr>
            </w:pPr>
            <w:r>
              <w:rPr>
                <w:rFonts w:hint="eastAsia"/>
                <w:szCs w:val="21"/>
              </w:rPr>
              <w:t>有证据证明</w:t>
            </w:r>
            <w:r>
              <w:rPr>
                <w:szCs w:val="21"/>
              </w:rPr>
              <w:t>中标</w:t>
            </w:r>
            <w:r>
              <w:rPr>
                <w:rFonts w:hint="eastAsia"/>
                <w:szCs w:val="21"/>
                <w:lang w:eastAsia="zh-CN"/>
              </w:rPr>
              <w:t>人</w:t>
            </w:r>
            <w:r>
              <w:rPr>
                <w:szCs w:val="21"/>
              </w:rPr>
              <w:t>无故未在约定时间进行</w:t>
            </w:r>
            <w:r>
              <w:rPr>
                <w:rFonts w:hint="eastAsia"/>
                <w:szCs w:val="21"/>
                <w:lang w:eastAsia="zh-CN"/>
              </w:rPr>
              <w:t>机房动环监控系统</w:t>
            </w:r>
            <w:r>
              <w:rPr>
                <w:szCs w:val="21"/>
              </w:rPr>
              <w:t>巡检服务，每发生一次，扣0.</w:t>
            </w:r>
            <w:r>
              <w:rPr>
                <w:rFonts w:hint="eastAsia"/>
                <w:szCs w:val="21"/>
                <w:lang w:eastAsia="zh-CN"/>
              </w:rPr>
              <w:t>3</w:t>
            </w:r>
            <w:r>
              <w:rPr>
                <w:szCs w:val="21"/>
              </w:rPr>
              <w:t>分；</w:t>
            </w:r>
          </w:p>
          <w:p>
            <w:pPr>
              <w:pStyle w:val="23"/>
              <w:adjustRightInd/>
              <w:snapToGrid/>
              <w:spacing w:before="0" w:after="0" w:line="240" w:lineRule="auto"/>
              <w:ind w:left="0" w:firstLine="0"/>
              <w:jc w:val="left"/>
              <w:rPr>
                <w:szCs w:val="21"/>
              </w:rPr>
            </w:pPr>
            <w:r>
              <w:rPr>
                <w:rFonts w:hint="eastAsia"/>
                <w:szCs w:val="21"/>
                <w:lang w:eastAsia="zh-CN"/>
              </w:rPr>
              <w:t>2）</w:t>
            </w:r>
            <w:r>
              <w:rPr>
                <w:rFonts w:hint="eastAsia"/>
                <w:szCs w:val="21"/>
              </w:rPr>
              <w:t>有证据证明中标</w:t>
            </w:r>
            <w:r>
              <w:rPr>
                <w:rFonts w:hint="eastAsia"/>
                <w:szCs w:val="21"/>
                <w:lang w:eastAsia="zh-CN"/>
              </w:rPr>
              <w:t>人</w:t>
            </w:r>
            <w:r>
              <w:rPr>
                <w:rFonts w:hint="eastAsia"/>
                <w:szCs w:val="21"/>
              </w:rPr>
              <w:t>巡检工作疏漏，导致</w:t>
            </w:r>
            <w:r>
              <w:rPr>
                <w:rFonts w:hint="eastAsia"/>
                <w:szCs w:val="21"/>
                <w:lang w:eastAsia="zh-CN"/>
              </w:rPr>
              <w:t>机房动环监控</w:t>
            </w:r>
            <w:r>
              <w:rPr>
                <w:rFonts w:hint="eastAsia"/>
                <w:szCs w:val="21"/>
              </w:rPr>
              <w:t>系统</w:t>
            </w:r>
            <w:r>
              <w:rPr>
                <w:rFonts w:hint="eastAsia"/>
                <w:szCs w:val="21"/>
                <w:lang w:eastAsia="zh-CN"/>
              </w:rPr>
              <w:t>运行</w:t>
            </w:r>
            <w:r>
              <w:rPr>
                <w:rFonts w:hint="eastAsia"/>
                <w:szCs w:val="21"/>
              </w:rPr>
              <w:t>异常，每发生一次，扣0.</w:t>
            </w:r>
            <w:r>
              <w:rPr>
                <w:rFonts w:hint="eastAsia"/>
                <w:szCs w:val="21"/>
                <w:lang w:eastAsia="zh-CN"/>
              </w:rPr>
              <w:t>3</w:t>
            </w:r>
            <w:r>
              <w:rPr>
                <w:rFonts w:hint="eastAsia"/>
                <w:szCs w:val="21"/>
              </w:rPr>
              <w:t>分</w:t>
            </w:r>
            <w:r>
              <w:rPr>
                <w:rFonts w:hint="eastAsia"/>
                <w:szCs w:val="21"/>
                <w:lang w:eastAsia="zh-CN"/>
              </w:rPr>
              <w:t>。</w:t>
            </w:r>
          </w:p>
        </w:tc>
        <w:tc>
          <w:tcPr>
            <w:tcW w:w="1080" w:type="dxa"/>
            <w:noWrap w:val="0"/>
            <w:vAlign w:val="center"/>
          </w:tcPr>
          <w:p>
            <w:pPr>
              <w:jc w:val="left"/>
              <w:rPr>
                <w:szCs w:val="21"/>
              </w:rPr>
            </w:pPr>
            <w:r>
              <w:rPr>
                <w:szCs w:val="21"/>
              </w:rPr>
              <w:t>以监理</w:t>
            </w:r>
            <w:r>
              <w:rPr>
                <w:rFonts w:hint="eastAsia"/>
                <w:szCs w:val="21"/>
              </w:rPr>
              <w:t>单位</w:t>
            </w:r>
            <w:r>
              <w:rPr>
                <w:szCs w:val="21"/>
              </w:rPr>
              <w:t>提交的报告为准</w:t>
            </w:r>
          </w:p>
        </w:tc>
        <w:tc>
          <w:tcPr>
            <w:tcW w:w="656" w:type="dxa"/>
            <w:noWrap w:val="0"/>
            <w:vAlign w:val="center"/>
          </w:tcPr>
          <w:p>
            <w:pPr>
              <w:jc w:val="center"/>
              <w:rPr>
                <w:szCs w:val="21"/>
              </w:rPr>
            </w:pPr>
          </w:p>
        </w:tc>
        <w:tc>
          <w:tcPr>
            <w:tcW w:w="1087" w:type="dxa"/>
            <w:noWrap w:val="0"/>
            <w:vAlign w:val="center"/>
          </w:tcPr>
          <w:p>
            <w:pPr>
              <w:jc w:val="center"/>
              <w:rPr>
                <w:szCs w:val="21"/>
              </w:rPr>
            </w:pPr>
          </w:p>
        </w:tc>
        <w:tc>
          <w:tcPr>
            <w:tcW w:w="1911" w:type="dxa"/>
            <w:noWrap w:val="0"/>
            <w:vAlign w:val="center"/>
          </w:tcPr>
          <w:p>
            <w:pPr>
              <w:jc w:val="left"/>
              <w:rPr>
                <w:szCs w:val="21"/>
              </w:rPr>
            </w:pPr>
          </w:p>
        </w:tc>
      </w:tr>
    </w:tbl>
    <w:p>
      <w:pPr>
        <w:spacing w:line="360" w:lineRule="auto"/>
        <w:ind w:firstLine="422"/>
        <w:rPr>
          <w:szCs w:val="21"/>
        </w:rPr>
      </w:pPr>
      <w:r>
        <w:rPr>
          <w:b/>
          <w:szCs w:val="21"/>
        </w:rPr>
        <w:t>备注：扣分标准包括但不仅限于上述列表中所列项，如果有未列入但实际影响到整体</w:t>
      </w:r>
      <w:r>
        <w:rPr>
          <w:rFonts w:hint="eastAsia"/>
          <w:b/>
          <w:szCs w:val="21"/>
        </w:rPr>
        <w:t>维护服务</w:t>
      </w:r>
      <w:r>
        <w:rPr>
          <w:b/>
          <w:szCs w:val="21"/>
        </w:rPr>
        <w:t>质量的事件发生，应参照上表</w:t>
      </w:r>
      <w:r>
        <w:rPr>
          <w:rFonts w:hint="eastAsia"/>
          <w:b/>
          <w:szCs w:val="21"/>
        </w:rPr>
        <w:t>与《广西公安信息系统运维中心运维商服务质量考核制度》</w:t>
      </w:r>
      <w:r>
        <w:rPr>
          <w:b/>
          <w:szCs w:val="21"/>
        </w:rPr>
        <w:t>结合实际情况执行扣分。</w:t>
      </w:r>
    </w:p>
    <w:p>
      <w:pPr>
        <w:pStyle w:val="10"/>
        <w:jc w:val="left"/>
        <w:rPr>
          <w:rFonts w:hint="eastAsia" w:ascii="宋体" w:hAnsi="宋体" w:cs="宋体"/>
          <w:b/>
          <w:bCs/>
        </w:rPr>
      </w:pPr>
    </w:p>
    <w:p>
      <w:pPr>
        <w:spacing w:line="360" w:lineRule="auto"/>
        <w:ind w:firstLine="482"/>
        <w:jc w:val="center"/>
        <w:rPr>
          <w:b/>
        </w:rPr>
      </w:pPr>
    </w:p>
    <w:p>
      <w:pPr>
        <w:spacing w:line="360" w:lineRule="auto"/>
        <w:ind w:firstLine="482"/>
        <w:jc w:val="center"/>
        <w:rPr>
          <w:b/>
        </w:rPr>
      </w:pPr>
    </w:p>
    <w:p>
      <w:pPr>
        <w:spacing w:line="360" w:lineRule="auto"/>
        <w:ind w:firstLine="482"/>
        <w:jc w:val="center"/>
        <w:rPr>
          <w:b/>
        </w:rPr>
      </w:pPr>
      <w:r>
        <w:rPr>
          <w:b/>
        </w:rPr>
        <w:t>表2、</w:t>
      </w:r>
      <w:r>
        <w:rPr>
          <w:rFonts w:hint="eastAsia"/>
          <w:b/>
        </w:rPr>
        <w:t>维护服务</w:t>
      </w:r>
      <w:r>
        <w:rPr>
          <w:b/>
        </w:rPr>
        <w:t>质量评价得分扣减金额折算表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063"/>
        <w:gridCol w:w="177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pPr>
              <w:jc w:val="center"/>
              <w:rPr>
                <w:b/>
                <w:szCs w:val="21"/>
              </w:rPr>
            </w:pPr>
            <w:r>
              <w:rPr>
                <w:b/>
                <w:szCs w:val="21"/>
              </w:rPr>
              <w:t>序号</w:t>
            </w:r>
          </w:p>
        </w:tc>
        <w:tc>
          <w:tcPr>
            <w:tcW w:w="4063" w:type="dxa"/>
            <w:noWrap w:val="0"/>
            <w:vAlign w:val="center"/>
          </w:tcPr>
          <w:p>
            <w:pPr>
              <w:jc w:val="center"/>
              <w:rPr>
                <w:b/>
                <w:szCs w:val="21"/>
              </w:rPr>
            </w:pPr>
            <w:r>
              <w:rPr>
                <w:rFonts w:hint="eastAsia"/>
                <w:b/>
                <w:szCs w:val="21"/>
              </w:rPr>
              <w:t>维护服务</w:t>
            </w:r>
            <w:r>
              <w:rPr>
                <w:b/>
                <w:szCs w:val="21"/>
              </w:rPr>
              <w:t>质量评价得分</w:t>
            </w:r>
          </w:p>
        </w:tc>
        <w:tc>
          <w:tcPr>
            <w:tcW w:w="1775" w:type="dxa"/>
            <w:noWrap w:val="0"/>
            <w:vAlign w:val="center"/>
          </w:tcPr>
          <w:p>
            <w:pPr>
              <w:jc w:val="center"/>
              <w:rPr>
                <w:b/>
                <w:szCs w:val="21"/>
              </w:rPr>
            </w:pPr>
            <w:r>
              <w:rPr>
                <w:b/>
                <w:szCs w:val="21"/>
              </w:rPr>
              <w:t>扣减系数</w:t>
            </w:r>
          </w:p>
        </w:tc>
        <w:tc>
          <w:tcPr>
            <w:tcW w:w="2565" w:type="dxa"/>
            <w:noWrap w:val="0"/>
            <w:vAlign w:val="center"/>
          </w:tcPr>
          <w:p>
            <w:pPr>
              <w:jc w:val="center"/>
              <w:rPr>
                <w:b/>
                <w:szCs w:val="21"/>
              </w:rPr>
            </w:pPr>
            <w:r>
              <w:rPr>
                <w:b/>
                <w:szCs w:val="21"/>
              </w:rPr>
              <w:t>扣减金额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pPr>
              <w:jc w:val="center"/>
              <w:rPr>
                <w:szCs w:val="21"/>
              </w:rPr>
            </w:pPr>
            <w:r>
              <w:rPr>
                <w:szCs w:val="21"/>
              </w:rPr>
              <w:t>1</w:t>
            </w:r>
          </w:p>
        </w:tc>
        <w:tc>
          <w:tcPr>
            <w:tcW w:w="4063" w:type="dxa"/>
            <w:noWrap w:val="0"/>
            <w:vAlign w:val="center"/>
          </w:tcPr>
          <w:p>
            <w:pPr>
              <w:jc w:val="center"/>
              <w:rPr>
                <w:szCs w:val="21"/>
              </w:rPr>
            </w:pPr>
            <w:r>
              <w:rPr>
                <w:szCs w:val="21"/>
              </w:rPr>
              <w:t>95≤</w:t>
            </w:r>
            <w:r>
              <w:rPr>
                <w:rFonts w:hint="eastAsia"/>
                <w:szCs w:val="21"/>
              </w:rPr>
              <w:t>维护服务</w:t>
            </w:r>
            <w:r>
              <w:rPr>
                <w:szCs w:val="21"/>
              </w:rPr>
              <w:t>质量评价得分≤100</w:t>
            </w:r>
          </w:p>
        </w:tc>
        <w:tc>
          <w:tcPr>
            <w:tcW w:w="1775" w:type="dxa"/>
            <w:noWrap w:val="0"/>
            <w:vAlign w:val="center"/>
          </w:tcPr>
          <w:p>
            <w:pPr>
              <w:jc w:val="center"/>
              <w:rPr>
                <w:szCs w:val="21"/>
              </w:rPr>
            </w:pPr>
            <w:r>
              <w:rPr>
                <w:szCs w:val="21"/>
              </w:rPr>
              <w:t>0%</w:t>
            </w:r>
          </w:p>
        </w:tc>
        <w:tc>
          <w:tcPr>
            <w:tcW w:w="2565" w:type="dxa"/>
            <w:noWrap w:val="0"/>
            <w:vAlign w:val="center"/>
          </w:tcPr>
          <w:p>
            <w:pPr>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pPr>
              <w:jc w:val="center"/>
              <w:rPr>
                <w:szCs w:val="21"/>
              </w:rPr>
            </w:pPr>
            <w:r>
              <w:rPr>
                <w:szCs w:val="21"/>
              </w:rPr>
              <w:t>2</w:t>
            </w:r>
          </w:p>
        </w:tc>
        <w:tc>
          <w:tcPr>
            <w:tcW w:w="4063" w:type="dxa"/>
            <w:noWrap w:val="0"/>
            <w:vAlign w:val="center"/>
          </w:tcPr>
          <w:p>
            <w:pPr>
              <w:jc w:val="center"/>
              <w:rPr>
                <w:szCs w:val="21"/>
              </w:rPr>
            </w:pPr>
            <w:r>
              <w:rPr>
                <w:szCs w:val="21"/>
              </w:rPr>
              <w:t>90≤</w:t>
            </w:r>
            <w:r>
              <w:rPr>
                <w:rFonts w:hint="eastAsia"/>
                <w:szCs w:val="21"/>
              </w:rPr>
              <w:t>维护服务</w:t>
            </w:r>
            <w:r>
              <w:rPr>
                <w:szCs w:val="21"/>
              </w:rPr>
              <w:t>质量评价得分&lt;95</w:t>
            </w:r>
          </w:p>
        </w:tc>
        <w:tc>
          <w:tcPr>
            <w:tcW w:w="1775" w:type="dxa"/>
            <w:noWrap w:val="0"/>
            <w:vAlign w:val="center"/>
          </w:tcPr>
          <w:p>
            <w:pPr>
              <w:jc w:val="center"/>
              <w:rPr>
                <w:szCs w:val="21"/>
              </w:rPr>
            </w:pPr>
            <w:r>
              <w:rPr>
                <w:szCs w:val="21"/>
              </w:rPr>
              <w:t>2%</w:t>
            </w:r>
          </w:p>
        </w:tc>
        <w:tc>
          <w:tcPr>
            <w:tcW w:w="2565" w:type="dxa"/>
            <w:noWrap w:val="0"/>
            <w:vAlign w:val="center"/>
          </w:tcPr>
          <w:p>
            <w:pPr>
              <w:jc w:val="center"/>
              <w:rPr>
                <w:szCs w:val="21"/>
              </w:rPr>
            </w:pPr>
            <w:r>
              <w:rPr>
                <w:szCs w:val="21"/>
              </w:rPr>
              <w:t>2%×合同总价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pPr>
              <w:jc w:val="center"/>
              <w:rPr>
                <w:szCs w:val="21"/>
              </w:rPr>
            </w:pPr>
            <w:r>
              <w:rPr>
                <w:szCs w:val="21"/>
              </w:rPr>
              <w:t>3</w:t>
            </w:r>
          </w:p>
        </w:tc>
        <w:tc>
          <w:tcPr>
            <w:tcW w:w="4063" w:type="dxa"/>
            <w:noWrap w:val="0"/>
            <w:vAlign w:val="center"/>
          </w:tcPr>
          <w:p>
            <w:pPr>
              <w:jc w:val="center"/>
              <w:rPr>
                <w:szCs w:val="21"/>
              </w:rPr>
            </w:pPr>
            <w:r>
              <w:rPr>
                <w:szCs w:val="21"/>
              </w:rPr>
              <w:t>85≤</w:t>
            </w:r>
            <w:r>
              <w:rPr>
                <w:rFonts w:hint="eastAsia"/>
                <w:szCs w:val="21"/>
              </w:rPr>
              <w:t>维护服务</w:t>
            </w:r>
            <w:r>
              <w:rPr>
                <w:szCs w:val="21"/>
              </w:rPr>
              <w:t>质量评价得分&lt;90</w:t>
            </w:r>
          </w:p>
        </w:tc>
        <w:tc>
          <w:tcPr>
            <w:tcW w:w="1775" w:type="dxa"/>
            <w:noWrap w:val="0"/>
            <w:vAlign w:val="center"/>
          </w:tcPr>
          <w:p>
            <w:pPr>
              <w:jc w:val="center"/>
              <w:rPr>
                <w:szCs w:val="21"/>
              </w:rPr>
            </w:pPr>
            <w:r>
              <w:rPr>
                <w:szCs w:val="21"/>
              </w:rPr>
              <w:t>5%</w:t>
            </w:r>
          </w:p>
        </w:tc>
        <w:tc>
          <w:tcPr>
            <w:tcW w:w="2565" w:type="dxa"/>
            <w:noWrap w:val="0"/>
            <w:vAlign w:val="center"/>
          </w:tcPr>
          <w:p>
            <w:pPr>
              <w:jc w:val="center"/>
              <w:rPr>
                <w:szCs w:val="21"/>
              </w:rPr>
            </w:pPr>
            <w:r>
              <w:rPr>
                <w:szCs w:val="21"/>
              </w:rPr>
              <w:t>5%×合同总价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pPr>
              <w:jc w:val="center"/>
              <w:rPr>
                <w:szCs w:val="21"/>
              </w:rPr>
            </w:pPr>
            <w:r>
              <w:rPr>
                <w:szCs w:val="21"/>
              </w:rPr>
              <w:t>4</w:t>
            </w:r>
          </w:p>
        </w:tc>
        <w:tc>
          <w:tcPr>
            <w:tcW w:w="4063" w:type="dxa"/>
            <w:noWrap w:val="0"/>
            <w:vAlign w:val="center"/>
          </w:tcPr>
          <w:p>
            <w:pPr>
              <w:jc w:val="center"/>
              <w:rPr>
                <w:szCs w:val="21"/>
              </w:rPr>
            </w:pPr>
            <w:r>
              <w:rPr>
                <w:szCs w:val="21"/>
              </w:rPr>
              <w:t>80≤</w:t>
            </w:r>
            <w:r>
              <w:rPr>
                <w:rFonts w:hint="eastAsia"/>
                <w:szCs w:val="21"/>
              </w:rPr>
              <w:t>维护服务</w:t>
            </w:r>
            <w:r>
              <w:rPr>
                <w:szCs w:val="21"/>
              </w:rPr>
              <w:t>质量评价得分&lt;85</w:t>
            </w:r>
          </w:p>
        </w:tc>
        <w:tc>
          <w:tcPr>
            <w:tcW w:w="1775" w:type="dxa"/>
            <w:noWrap w:val="0"/>
            <w:vAlign w:val="center"/>
          </w:tcPr>
          <w:p>
            <w:pPr>
              <w:jc w:val="center"/>
              <w:rPr>
                <w:szCs w:val="21"/>
              </w:rPr>
            </w:pPr>
            <w:r>
              <w:rPr>
                <w:szCs w:val="21"/>
              </w:rPr>
              <w:t>7%</w:t>
            </w:r>
          </w:p>
        </w:tc>
        <w:tc>
          <w:tcPr>
            <w:tcW w:w="2565" w:type="dxa"/>
            <w:noWrap w:val="0"/>
            <w:vAlign w:val="center"/>
          </w:tcPr>
          <w:p>
            <w:pPr>
              <w:jc w:val="center"/>
              <w:rPr>
                <w:szCs w:val="21"/>
              </w:rPr>
            </w:pPr>
            <w:r>
              <w:rPr>
                <w:szCs w:val="21"/>
              </w:rPr>
              <w:t>7%×合同总价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noWrap w:val="0"/>
            <w:vAlign w:val="center"/>
          </w:tcPr>
          <w:p>
            <w:pPr>
              <w:jc w:val="center"/>
              <w:rPr>
                <w:szCs w:val="21"/>
              </w:rPr>
            </w:pPr>
            <w:r>
              <w:rPr>
                <w:szCs w:val="21"/>
              </w:rPr>
              <w:t>5</w:t>
            </w:r>
          </w:p>
        </w:tc>
        <w:tc>
          <w:tcPr>
            <w:tcW w:w="4063" w:type="dxa"/>
            <w:noWrap w:val="0"/>
            <w:vAlign w:val="center"/>
          </w:tcPr>
          <w:p>
            <w:pPr>
              <w:jc w:val="center"/>
              <w:rPr>
                <w:szCs w:val="21"/>
              </w:rPr>
            </w:pPr>
            <w:r>
              <w:rPr>
                <w:rFonts w:hint="eastAsia"/>
                <w:szCs w:val="21"/>
              </w:rPr>
              <w:t>维护服务</w:t>
            </w:r>
            <w:r>
              <w:rPr>
                <w:szCs w:val="21"/>
              </w:rPr>
              <w:t>质量评价得分&lt;80</w:t>
            </w:r>
          </w:p>
        </w:tc>
        <w:tc>
          <w:tcPr>
            <w:tcW w:w="1775" w:type="dxa"/>
            <w:noWrap w:val="0"/>
            <w:vAlign w:val="center"/>
          </w:tcPr>
          <w:p>
            <w:pPr>
              <w:jc w:val="center"/>
              <w:rPr>
                <w:szCs w:val="21"/>
              </w:rPr>
            </w:pPr>
            <w:r>
              <w:rPr>
                <w:szCs w:val="21"/>
              </w:rPr>
              <w:t>20%</w:t>
            </w:r>
          </w:p>
        </w:tc>
        <w:tc>
          <w:tcPr>
            <w:tcW w:w="2565" w:type="dxa"/>
            <w:noWrap w:val="0"/>
            <w:vAlign w:val="center"/>
          </w:tcPr>
          <w:p>
            <w:pPr>
              <w:jc w:val="center"/>
              <w:rPr>
                <w:szCs w:val="21"/>
              </w:rPr>
            </w:pPr>
            <w:r>
              <w:rPr>
                <w:szCs w:val="21"/>
              </w:rPr>
              <w:t>20%×合同总价</w:t>
            </w:r>
          </w:p>
        </w:tc>
      </w:tr>
    </w:tbl>
    <w:p>
      <w:pPr>
        <w:tabs>
          <w:tab w:val="left" w:pos="0"/>
        </w:tabs>
        <w:spacing w:line="440" w:lineRule="exact"/>
        <w:rPr>
          <w:rFonts w:hint="eastAsia"/>
          <w:b/>
          <w:bCs/>
          <w:sz w:val="22"/>
          <w:szCs w:val="22"/>
        </w:rPr>
        <w:sectPr>
          <w:footerReference r:id="rId3" w:type="default"/>
          <w:pgSz w:w="11906" w:h="16838"/>
          <w:pgMar w:top="1440" w:right="1080" w:bottom="1440" w:left="1080" w:header="851" w:footer="992" w:gutter="0"/>
          <w:cols w:space="720" w:num="1"/>
          <w:docGrid w:type="lines" w:linePitch="312" w:charSpace="0"/>
        </w:sectPr>
      </w:pPr>
    </w:p>
    <w:p>
      <w:pPr>
        <w:pStyle w:val="2"/>
        <w:jc w:val="center"/>
        <w:rPr>
          <w:rFonts w:hint="eastAsia"/>
        </w:rPr>
      </w:pPr>
      <w:bookmarkStart w:id="46" w:name="_Toc74320802"/>
      <w:r>
        <w:rPr>
          <w:rFonts w:hint="eastAsia"/>
        </w:rPr>
        <w:t>第三章  投标人须知</w:t>
      </w:r>
      <w:bookmarkEnd w:id="46"/>
    </w:p>
    <w:p>
      <w:pPr>
        <w:jc w:val="center"/>
        <w:rPr>
          <w:rFonts w:hint="eastAsia"/>
          <w:sz w:val="36"/>
          <w:szCs w:val="36"/>
        </w:rPr>
      </w:pPr>
      <w:bookmarkStart w:id="47" w:name="_Toc254970526"/>
      <w:bookmarkStart w:id="48" w:name="_Toc254970667"/>
      <w:r>
        <w:rPr>
          <w:rFonts w:hint="eastAsia"/>
          <w:sz w:val="36"/>
          <w:szCs w:val="36"/>
        </w:rPr>
        <w:t>投标人须知前附表</w:t>
      </w:r>
      <w:bookmarkEnd w:id="47"/>
      <w:bookmarkEnd w:id="48"/>
    </w:p>
    <w:p>
      <w:pPr>
        <w:jc w:val="center"/>
        <w:rPr>
          <w:rFonts w:hint="eastAsia"/>
          <w:sz w:val="36"/>
          <w:szCs w:val="36"/>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szCs w:val="21"/>
              </w:rPr>
            </w:pPr>
            <w:r>
              <w:rPr>
                <w:rFonts w:hint="eastAsia" w:ascii="宋体" w:hAnsi="宋体"/>
                <w:szCs w:val="21"/>
              </w:rPr>
              <w:t>条款号</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3</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szCs w:val="21"/>
              </w:rPr>
            </w:pPr>
            <w:r>
              <w:rPr>
                <w:rFonts w:hint="eastAsia" w:ascii="宋体" w:hAnsi="宋体"/>
                <w:szCs w:val="21"/>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bookmarkStart w:id="49" w:name="_8.1"/>
            <w:bookmarkEnd w:id="49"/>
            <w:bookmarkStart w:id="50" w:name="_9.2"/>
            <w:bookmarkEnd w:id="50"/>
            <w:bookmarkStart w:id="51" w:name="_5"/>
            <w:bookmarkEnd w:id="51"/>
            <w:r>
              <w:rPr>
                <w:rFonts w:hint="eastAsia" w:ascii="宋体" w:hAnsi="宋体"/>
                <w:szCs w:val="21"/>
              </w:rPr>
              <w:t>6.1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8"/>
              <w:spacing w:line="400" w:lineRule="exact"/>
              <w:rPr>
                <w:rFonts w:hint="eastAsia" w:ascii="宋体" w:hAnsi="宋体"/>
                <w:szCs w:val="21"/>
                <w:lang w:val="en-US" w:eastAsia="zh-CN"/>
              </w:rPr>
            </w:pPr>
            <w:r>
              <w:rPr>
                <w:rFonts w:hint="eastAsia" w:ascii="宋体" w:hAnsi="宋体"/>
                <w:szCs w:val="21"/>
                <w:lang w:val="en-US" w:eastAsia="zh-CN"/>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6.2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ascii="宋体" w:hAnsi="宋体"/>
                <w:szCs w:val="21"/>
              </w:rPr>
            </w:pPr>
            <w:r>
              <w:rPr>
                <w:rFonts w:hint="eastAsia" w:ascii="宋体" w:hAnsi="宋体"/>
                <w:szCs w:val="21"/>
              </w:rPr>
              <w:t>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7.2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8"/>
              <w:spacing w:line="400" w:lineRule="exact"/>
              <w:rPr>
                <w:rFonts w:hint="eastAsia" w:ascii="宋体" w:hAnsi="宋体"/>
                <w:szCs w:val="21"/>
                <w:lang w:val="en-US" w:eastAsia="zh-CN"/>
              </w:rPr>
            </w:pPr>
            <w:r>
              <w:rPr>
                <w:rFonts w:hint="eastAsia" w:ascii="宋体" w:hAnsi="宋体"/>
                <w:szCs w:val="21"/>
                <w:lang w:val="en-US" w:eastAsia="zh-CN"/>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9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szCs w:val="21"/>
              </w:rPr>
              <w:t>本项目不组织现场考察。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895"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szCs w:val="21"/>
              </w:rPr>
              <w:t>本项目不组织召开开标前答疑会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bookmarkStart w:id="52" w:name="_13.1"/>
            <w:bookmarkEnd w:id="52"/>
            <w:r>
              <w:rPr>
                <w:rFonts w:hint="eastAsia" w:ascii="宋体" w:hAnsi="宋体"/>
                <w:szCs w:val="21"/>
              </w:rPr>
              <w:t>13.</w:t>
            </w:r>
            <w:bookmarkStart w:id="53" w:name="_Hlt19632543"/>
            <w:r>
              <w:rPr>
                <w:rFonts w:hint="eastAsia" w:ascii="宋体" w:hAnsi="宋体"/>
                <w:szCs w:val="21"/>
              </w:rPr>
              <w:t>1</w:t>
            </w:r>
            <w:bookmarkEnd w:id="53"/>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szCs w:val="21"/>
              </w:rPr>
            </w:pPr>
            <w:r>
              <w:rPr>
                <w:rFonts w:hint="eastAsia" w:ascii="宋体" w:hAnsi="宋体" w:cs="Courier New"/>
                <w:b/>
                <w:szCs w:val="21"/>
              </w:rPr>
              <w:t>报价文件:</w:t>
            </w:r>
          </w:p>
          <w:p>
            <w:pPr>
              <w:tabs>
                <w:tab w:val="left" w:pos="459"/>
              </w:tabs>
              <w:snapToGrid w:val="0"/>
              <w:spacing w:line="400" w:lineRule="exact"/>
              <w:jc w:val="left"/>
              <w:rPr>
                <w:rFonts w:hint="eastAsia" w:ascii="宋体" w:hAnsi="宋体"/>
                <w:szCs w:val="21"/>
              </w:rPr>
            </w:pPr>
            <w:r>
              <w:rPr>
                <w:rFonts w:hint="eastAsia" w:ascii="宋体" w:hAnsi="宋体"/>
                <w:szCs w:val="21"/>
              </w:rPr>
              <w:t>1、投标函（格式后附）；</w:t>
            </w:r>
            <w:r>
              <w:rPr>
                <w:rFonts w:hint="eastAsia" w:ascii="宋体" w:hAnsi="宋体"/>
                <w:b/>
                <w:szCs w:val="21"/>
              </w:rPr>
              <w:t>（必须提供，否则按无效投标处理）</w:t>
            </w:r>
          </w:p>
          <w:p>
            <w:pPr>
              <w:tabs>
                <w:tab w:val="left" w:pos="459"/>
              </w:tabs>
              <w:snapToGrid w:val="0"/>
              <w:spacing w:line="400" w:lineRule="exact"/>
              <w:jc w:val="left"/>
              <w:rPr>
                <w:rFonts w:hint="eastAsia" w:ascii="宋体" w:hAnsi="宋体"/>
                <w:szCs w:val="21"/>
              </w:rPr>
            </w:pPr>
            <w:bookmarkStart w:id="54" w:name="_Hlk71299233"/>
            <w:r>
              <w:rPr>
                <w:rFonts w:hint="eastAsia" w:ascii="宋体" w:hAnsi="宋体"/>
                <w:szCs w:val="21"/>
              </w:rPr>
              <w:t>2、开标一览表</w:t>
            </w:r>
            <w:bookmarkEnd w:id="54"/>
            <w:r>
              <w:rPr>
                <w:rFonts w:hint="eastAsia" w:ascii="宋体" w:hAnsi="宋体"/>
                <w:szCs w:val="21"/>
              </w:rPr>
              <w:t>（格式后附）；（</w:t>
            </w:r>
            <w:r>
              <w:rPr>
                <w:rFonts w:hint="eastAsia" w:ascii="宋体" w:hAnsi="宋体"/>
                <w:b/>
                <w:szCs w:val="21"/>
              </w:rPr>
              <w:t>必须提供，否则按无效投标处理</w:t>
            </w:r>
            <w:r>
              <w:rPr>
                <w:rFonts w:hint="eastAsia" w:ascii="宋体" w:hAnsi="宋体"/>
                <w:szCs w:val="21"/>
              </w:rPr>
              <w:t>）</w:t>
            </w:r>
          </w:p>
          <w:p>
            <w:pPr>
              <w:tabs>
                <w:tab w:val="left" w:pos="459"/>
              </w:tabs>
              <w:snapToGrid w:val="0"/>
              <w:spacing w:line="400" w:lineRule="exact"/>
              <w:jc w:val="left"/>
              <w:rPr>
                <w:rFonts w:hint="eastAsia" w:ascii="宋体" w:hAnsi="宋体"/>
                <w:szCs w:val="21"/>
              </w:rPr>
            </w:pPr>
            <w:r>
              <w:rPr>
                <w:rFonts w:hint="eastAsia" w:ascii="宋体" w:hAnsi="宋体"/>
                <w:szCs w:val="21"/>
              </w:rPr>
              <w:t>3、投标人针对报价需要说明的其他文件和说明（格式自拟）。</w:t>
            </w:r>
          </w:p>
          <w:p>
            <w:pPr>
              <w:snapToGrid w:val="0"/>
              <w:spacing w:line="400" w:lineRule="exact"/>
              <w:ind w:firstLine="420"/>
              <w:jc w:val="left"/>
              <w:rPr>
                <w:rFonts w:hint="eastAsia" w:ascii="宋体" w:hAnsi="宋体"/>
                <w:szCs w:val="21"/>
              </w:rPr>
            </w:pPr>
            <w:r>
              <w:rPr>
                <w:rFonts w:hint="eastAsia" w:ascii="宋体" w:hAnsi="宋体"/>
                <w:b/>
                <w:bCs/>
                <w:szCs w:val="21"/>
              </w:rPr>
              <w:t>注：投标函、开标一览表必须由法定代表人或者委托代理人在规定签章处逐一签字并加盖投标人公章，否则按无效投标</w:t>
            </w:r>
            <w:r>
              <w:rPr>
                <w:rFonts w:hint="eastAsia" w:ascii="宋体" w:hAnsi="宋体" w:cs="Courier New"/>
                <w:b/>
                <w:szCs w:val="21"/>
              </w:rPr>
              <w:t>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noWrap w:val="0"/>
            <w:vAlign w:val="center"/>
          </w:tcPr>
          <w:p>
            <w:pPr>
              <w:spacing w:line="400" w:lineRule="exact"/>
              <w:rPr>
                <w:rFonts w:hint="eastAsia" w:ascii="宋体" w:hAnsi="宋体"/>
                <w:szCs w:val="21"/>
              </w:rPr>
            </w:pPr>
            <w:bookmarkStart w:id="55" w:name="_13.2"/>
            <w:bookmarkEnd w:id="55"/>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szCs w:val="21"/>
              </w:rPr>
            </w:pPr>
            <w:r>
              <w:rPr>
                <w:rFonts w:hint="eastAsia" w:ascii="宋体" w:hAnsi="宋体" w:cs="Courier New"/>
                <w:b/>
                <w:szCs w:val="21"/>
              </w:rPr>
              <w:t>资格证明文件:</w:t>
            </w:r>
          </w:p>
          <w:p>
            <w:pPr>
              <w:autoSpaceDE w:val="0"/>
              <w:autoSpaceDN w:val="0"/>
              <w:snapToGrid w:val="0"/>
              <w:spacing w:line="400" w:lineRule="exact"/>
              <w:textAlignment w:val="bottom"/>
              <w:rPr>
                <w:rFonts w:hint="eastAsia" w:ascii="宋体" w:hAnsi="宋体"/>
                <w:b/>
                <w:szCs w:val="21"/>
              </w:rPr>
            </w:pPr>
            <w:r>
              <w:rPr>
                <w:rFonts w:hint="eastAsia" w:ascii="宋体" w:hAnsi="宋体" w:cs="宋体"/>
                <w:szCs w:val="21"/>
              </w:rPr>
              <w:t>1、投标人为法人或者其他组织的，</w:t>
            </w:r>
            <w:r>
              <w:rPr>
                <w:rFonts w:hint="eastAsia" w:ascii="宋体" w:hAnsi="宋体"/>
                <w:szCs w:val="21"/>
              </w:rPr>
              <w:t>证明文件为其营业执照复印件（如营业执照或者事业单位法人证书或者执业许可证等）；投标人为自然人的，证明文件为其身份证复印件；</w:t>
            </w:r>
            <w:r>
              <w:rPr>
                <w:rFonts w:hint="eastAsia"/>
              </w:rPr>
              <w:t>根据《&lt;政府采购实施条例&gt;释义》，银行、保险、石油石化、电力、电信等有行业特殊情况的，取得营业执照的分支机构可以分公司名义参与投标，投标时提供总公司授权书原件扫描件。</w:t>
            </w:r>
            <w:r>
              <w:rPr>
                <w:rFonts w:hint="eastAsia" w:ascii="宋体" w:hAnsi="宋体"/>
                <w:b/>
                <w:szCs w:val="21"/>
              </w:rPr>
              <w:t>（必须提供，否则投标文件按无效响应处理</w:t>
            </w:r>
            <w:r>
              <w:rPr>
                <w:rFonts w:ascii="宋体" w:hAnsi="宋体"/>
                <w:b/>
                <w:szCs w:val="21"/>
              </w:rPr>
              <w:t>）</w:t>
            </w:r>
          </w:p>
          <w:p>
            <w:pPr>
              <w:autoSpaceDE w:val="0"/>
              <w:autoSpaceDN w:val="0"/>
              <w:snapToGrid w:val="0"/>
              <w:spacing w:line="400" w:lineRule="exact"/>
              <w:textAlignment w:val="bottom"/>
              <w:rPr>
                <w:rFonts w:hint="eastAsia" w:ascii="宋体" w:hAnsi="宋体" w:cs="宋体"/>
                <w:b/>
                <w:szCs w:val="21"/>
              </w:rPr>
            </w:pPr>
            <w:r>
              <w:rPr>
                <w:rFonts w:hint="eastAsia" w:ascii="宋体" w:hAnsi="宋体" w:cs="宋体"/>
                <w:szCs w:val="21"/>
              </w:rPr>
              <w:t>2、投标人依法缴纳税收的相关材料（投标截止之日前半年内连续3个月的依法缴纳税收的凭据复印件；依法免税的投标人，必须提供相应文件证明其依法免税。从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之日起的依法缴纳税收相应证明文件）；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hint="eastAsia" w:ascii="宋体" w:hAnsi="宋体" w:cs="宋体"/>
                <w:b/>
                <w:szCs w:val="21"/>
              </w:rPr>
            </w:pPr>
            <w:r>
              <w:rPr>
                <w:rFonts w:hint="eastAsia" w:ascii="宋体" w:hAnsi="宋体" w:cs="宋体"/>
                <w:szCs w:val="21"/>
              </w:rPr>
              <w:t>3、投标人依法缴纳社会保障资金的相关材料[投标截止之日前半年内连续3个月的依法缴纳社会保障资金的缴费凭证（专用收据或者社会保险缴纳清单）复印件；依法不需要缴纳社会保障资金的投标人，必须提供相应文件证明不需要缴纳社会保障资金。从</w:t>
            </w:r>
            <w:r>
              <w:rPr>
                <w:rFonts w:ascii="宋体" w:hAnsi="宋体" w:cs="宋体"/>
                <w:szCs w:val="21"/>
              </w:rPr>
              <w:t>成立</w:t>
            </w:r>
            <w:r>
              <w:rPr>
                <w:rFonts w:hint="eastAsia" w:ascii="宋体" w:hAnsi="宋体" w:cs="宋体"/>
                <w:szCs w:val="21"/>
              </w:rPr>
              <w:t>之日起到投标文件提交截止时间止不足要求月数的只需提供从</w:t>
            </w:r>
            <w:r>
              <w:rPr>
                <w:rFonts w:ascii="宋体" w:hAnsi="宋体" w:cs="宋体"/>
                <w:szCs w:val="21"/>
              </w:rPr>
              <w:t>成立</w:t>
            </w:r>
            <w:r>
              <w:rPr>
                <w:rFonts w:hint="eastAsia" w:ascii="宋体" w:hAnsi="宋体" w:cs="宋体"/>
                <w:szCs w:val="21"/>
              </w:rPr>
              <w:t>之日起的依法缴纳社会保障资金的相应证明文件]；</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hint="eastAsia" w:ascii="宋体" w:hAnsi="宋体" w:cs="宋体"/>
                <w:b/>
                <w:szCs w:val="21"/>
              </w:rPr>
            </w:pPr>
            <w:r>
              <w:rPr>
                <w:rFonts w:hint="eastAsia" w:ascii="宋体" w:hAnsi="宋体" w:cs="宋体"/>
                <w:szCs w:val="21"/>
              </w:rPr>
              <w:t>4、投标人财务状况报告（2022年度财务报表复印件或者银行出具的资信证明；投标人属于成立</w:t>
            </w:r>
            <w:r>
              <w:rPr>
                <w:rFonts w:ascii="宋体" w:hAnsi="宋体" w:cs="宋体"/>
                <w:szCs w:val="21"/>
              </w:rPr>
              <w:t>时间</w:t>
            </w:r>
            <w:r>
              <w:rPr>
                <w:rFonts w:hint="eastAsia" w:ascii="宋体" w:hAnsi="宋体" w:cs="宋体"/>
                <w:szCs w:val="21"/>
              </w:rPr>
              <w:t>在规定年度之后</w:t>
            </w:r>
            <w:r>
              <w:rPr>
                <w:rFonts w:ascii="宋体" w:hAnsi="宋体" w:cs="宋体"/>
                <w:szCs w:val="21"/>
              </w:rPr>
              <w:t>的</w:t>
            </w:r>
            <w:r>
              <w:rPr>
                <w:rFonts w:hint="eastAsia" w:ascii="宋体" w:hAnsi="宋体" w:cs="宋体"/>
                <w:szCs w:val="21"/>
              </w:rPr>
              <w:t>法人或其他组织</w:t>
            </w:r>
            <w:r>
              <w:rPr>
                <w:rFonts w:ascii="宋体" w:hAnsi="宋体" w:cs="宋体"/>
                <w:szCs w:val="21"/>
              </w:rPr>
              <w:t>，需提供成立</w:t>
            </w:r>
            <w:r>
              <w:rPr>
                <w:rFonts w:hint="eastAsia" w:ascii="宋体" w:hAnsi="宋体" w:cs="宋体"/>
                <w:szCs w:val="21"/>
              </w:rPr>
              <w:t>之日起至投标截止时间前</w:t>
            </w:r>
            <w:r>
              <w:rPr>
                <w:rFonts w:ascii="宋体" w:hAnsi="宋体" w:cs="宋体"/>
                <w:szCs w:val="21"/>
              </w:rPr>
              <w:t>的月报表</w:t>
            </w:r>
            <w:r>
              <w:rPr>
                <w:rFonts w:hint="eastAsia" w:ascii="宋体" w:hAnsi="宋体" w:cs="宋体"/>
                <w:szCs w:val="21"/>
              </w:rPr>
              <w:t>或银行出具的资信证明；资信证明应在有效期内，未注明有效期的，银行出具时间至投标截止时间不超过一年）；</w:t>
            </w:r>
            <w:r>
              <w:rPr>
                <w:rFonts w:hint="eastAsia" w:ascii="宋体" w:hAnsi="宋体" w:cs="宋体"/>
                <w:b/>
                <w:szCs w:val="21"/>
              </w:rPr>
              <w:t>（除自然人外必须提供，否则按无效投标处理）</w:t>
            </w:r>
          </w:p>
          <w:p>
            <w:pPr>
              <w:autoSpaceDE w:val="0"/>
              <w:autoSpaceDN w:val="0"/>
              <w:snapToGrid w:val="0"/>
              <w:spacing w:line="400" w:lineRule="exact"/>
              <w:textAlignment w:val="bottom"/>
              <w:rPr>
                <w:rFonts w:hint="eastAsia" w:ascii="宋体" w:hAnsi="宋体" w:cs="宋体"/>
                <w:b/>
                <w:szCs w:val="21"/>
              </w:rPr>
            </w:pPr>
            <w:r>
              <w:rPr>
                <w:rFonts w:hint="eastAsia" w:ascii="宋体" w:hAnsi="宋体" w:cs="宋体"/>
                <w:szCs w:val="21"/>
              </w:rPr>
              <w:t>5、投标人直接控股、管理关系信息表（格式后附）；</w:t>
            </w:r>
            <w:r>
              <w:rPr>
                <w:rFonts w:hint="eastAsia" w:ascii="宋体" w:hAnsi="宋体" w:cs="宋体"/>
                <w:b/>
                <w:szCs w:val="21"/>
              </w:rPr>
              <w:t>（必须提供，否则按无效投标处理）</w:t>
            </w:r>
          </w:p>
          <w:p>
            <w:pPr>
              <w:autoSpaceDE w:val="0"/>
              <w:autoSpaceDN w:val="0"/>
              <w:snapToGrid w:val="0"/>
              <w:spacing w:line="400" w:lineRule="exact"/>
              <w:textAlignment w:val="bottom"/>
              <w:rPr>
                <w:rFonts w:hint="eastAsia" w:ascii="宋体" w:hAnsi="宋体" w:cs="宋体"/>
                <w:b/>
                <w:szCs w:val="21"/>
              </w:rPr>
            </w:pPr>
            <w:r>
              <w:rPr>
                <w:rFonts w:hint="eastAsia" w:ascii="宋体" w:hAnsi="宋体" w:cs="宋体"/>
                <w:szCs w:val="21"/>
              </w:rPr>
              <w:t>6、投标声明（格式后附）；</w:t>
            </w:r>
            <w:r>
              <w:rPr>
                <w:rFonts w:hint="eastAsia" w:ascii="宋体" w:hAnsi="宋体" w:cs="宋体"/>
                <w:b/>
                <w:szCs w:val="21"/>
              </w:rPr>
              <w:t>（必须提供，否则按无效投标处理）</w:t>
            </w:r>
          </w:p>
          <w:p>
            <w:pPr>
              <w:pStyle w:val="17"/>
              <w:ind w:firstLine="0" w:firstLineChars="0"/>
              <w:rPr>
                <w:rFonts w:hint="eastAsia" w:ascii="宋体" w:hAnsi="宋体" w:cs="宋体"/>
                <w:kern w:val="2"/>
                <w:sz w:val="21"/>
                <w:szCs w:val="21"/>
                <w:lang w:val="en-US" w:eastAsia="zh-CN"/>
              </w:rPr>
            </w:pPr>
            <w:r>
              <w:rPr>
                <w:rFonts w:hint="eastAsia" w:ascii="宋体" w:hAnsi="宋体" w:cs="宋体"/>
                <w:kern w:val="2"/>
                <w:sz w:val="21"/>
                <w:szCs w:val="21"/>
                <w:lang w:val="en-US" w:eastAsia="zh-CN"/>
              </w:rPr>
              <w:t>7、《廉洁承诺书》；(格式自拟）</w:t>
            </w:r>
            <w:r>
              <w:rPr>
                <w:rFonts w:hint="eastAsia" w:ascii="宋体" w:hAnsi="宋体" w:cs="宋体"/>
                <w:b/>
                <w:bCs/>
                <w:kern w:val="2"/>
                <w:sz w:val="21"/>
                <w:szCs w:val="21"/>
                <w:lang w:val="en-US" w:eastAsia="zh-CN"/>
              </w:rPr>
              <w:t>（必须提供，否则按无效投标处理）</w:t>
            </w:r>
          </w:p>
          <w:p>
            <w:pPr>
              <w:pStyle w:val="17"/>
              <w:ind w:firstLine="0" w:firstLineChars="0"/>
              <w:rPr>
                <w:rFonts w:hint="eastAsia" w:ascii="宋体" w:hAnsi="宋体" w:cs="宋体"/>
                <w:kern w:val="2"/>
                <w:sz w:val="21"/>
                <w:szCs w:val="21"/>
                <w:lang w:val="en-US" w:eastAsia="zh-CN"/>
              </w:rPr>
            </w:pPr>
            <w:r>
              <w:rPr>
                <w:rFonts w:hint="eastAsia" w:ascii="宋体" w:hAnsi="宋体" w:cs="宋体"/>
                <w:kern w:val="2"/>
                <w:sz w:val="21"/>
                <w:szCs w:val="21"/>
                <w:lang w:val="en-US" w:eastAsia="zh-CN"/>
              </w:rPr>
              <w:t>8、《保密承诺书》；(格式自拟）</w:t>
            </w:r>
            <w:r>
              <w:rPr>
                <w:rFonts w:hint="eastAsia" w:ascii="宋体" w:hAnsi="宋体" w:cs="宋体"/>
                <w:b/>
                <w:bCs/>
                <w:kern w:val="2"/>
                <w:sz w:val="21"/>
                <w:szCs w:val="21"/>
                <w:lang w:val="en-US" w:eastAsia="zh-CN"/>
              </w:rPr>
              <w:t>（必须提供，否则按无效投标处理）</w:t>
            </w:r>
          </w:p>
          <w:p>
            <w:pPr>
              <w:autoSpaceDE w:val="0"/>
              <w:autoSpaceDN w:val="0"/>
              <w:snapToGrid w:val="0"/>
              <w:spacing w:line="400" w:lineRule="exact"/>
              <w:textAlignment w:val="bottom"/>
              <w:rPr>
                <w:rFonts w:hint="eastAsia" w:ascii="宋体" w:hAnsi="宋体" w:cs="宋体"/>
                <w:szCs w:val="21"/>
              </w:rPr>
            </w:pPr>
            <w:r>
              <w:rPr>
                <w:rFonts w:hint="eastAsia" w:ascii="宋体" w:hAnsi="宋体" w:cs="宋体"/>
                <w:szCs w:val="21"/>
              </w:rPr>
              <w:t>9、除招标文件规定必须提供以外，投标人认为需要提供的其他证明材料。</w:t>
            </w:r>
          </w:p>
          <w:p>
            <w:pPr>
              <w:snapToGrid w:val="0"/>
              <w:spacing w:line="400" w:lineRule="exact"/>
              <w:jc w:val="left"/>
              <w:rPr>
                <w:rFonts w:hint="eastAsia" w:ascii="宋体" w:hAnsi="宋体"/>
                <w:b/>
                <w:bCs/>
                <w:szCs w:val="21"/>
              </w:rPr>
            </w:pPr>
            <w:r>
              <w:rPr>
                <w:rFonts w:hint="eastAsia" w:ascii="宋体" w:hAnsi="宋体"/>
                <w:b/>
                <w:bCs/>
                <w:szCs w:val="21"/>
              </w:rPr>
              <w:t>注：</w:t>
            </w:r>
          </w:p>
          <w:p>
            <w:pPr>
              <w:snapToGrid w:val="0"/>
              <w:spacing w:line="400" w:lineRule="exact"/>
              <w:ind w:firstLine="422" w:firstLineChars="200"/>
              <w:jc w:val="left"/>
              <w:rPr>
                <w:rFonts w:hint="eastAsia" w:ascii="宋体" w:hAnsi="宋体" w:cs="Courier New"/>
                <w:b/>
                <w:szCs w:val="21"/>
              </w:rPr>
            </w:pPr>
            <w:r>
              <w:rPr>
                <w:rFonts w:hint="eastAsia" w:ascii="宋体" w:hAnsi="宋体"/>
                <w:b/>
                <w:bCs/>
                <w:szCs w:val="21"/>
              </w:rPr>
              <w:t>1、以上标明“必须提供”的材料属于复印件的，必须加盖投标人公章，否则按无效投标</w:t>
            </w:r>
            <w:r>
              <w:rPr>
                <w:rFonts w:hint="eastAsia" w:ascii="宋体" w:hAnsi="宋体" w:cs="Courier New"/>
                <w:b/>
                <w:szCs w:val="21"/>
              </w:rPr>
              <w:t>处理。</w:t>
            </w:r>
          </w:p>
          <w:p>
            <w:pPr>
              <w:snapToGrid w:val="0"/>
              <w:spacing w:line="400" w:lineRule="exact"/>
              <w:ind w:firstLine="422" w:firstLineChars="200"/>
              <w:jc w:val="left"/>
              <w:rPr>
                <w:rFonts w:hint="eastAsia"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投标声明必须由法定代表人在规定签章处签字并加盖投标人公章，否则按无效投标处理。</w:t>
            </w:r>
          </w:p>
          <w:p>
            <w:pPr>
              <w:snapToGrid w:val="0"/>
              <w:spacing w:line="400" w:lineRule="exact"/>
              <w:ind w:firstLine="422" w:firstLineChars="200"/>
              <w:jc w:val="left"/>
              <w:rPr>
                <w:rFonts w:hint="eastAsia" w:ascii="宋体" w:hAnsi="宋体"/>
                <w:b/>
                <w:bCs/>
                <w:szCs w:val="21"/>
              </w:rPr>
            </w:pPr>
            <w:r>
              <w:rPr>
                <w:rFonts w:hint="eastAsia" w:ascii="宋体" w:hAnsi="宋体"/>
                <w:b/>
                <w:bCs/>
                <w:szCs w:val="21"/>
              </w:rPr>
              <w:t>3、投标人直接控股、管理关系信息表必须由法定代表人或者委托代理人在规定签章处签字并加盖投标人公章，否则按无效投标</w:t>
            </w:r>
            <w:r>
              <w:rPr>
                <w:rFonts w:hint="eastAsia" w:ascii="宋体" w:hAnsi="宋体" w:cs="Courier New"/>
                <w:b/>
                <w:szCs w:val="21"/>
              </w:rPr>
              <w:t>处理</w:t>
            </w:r>
            <w:r>
              <w:rPr>
                <w:rFonts w:hint="eastAsia" w:ascii="宋体" w:hAnsi="宋体"/>
                <w:b/>
                <w:bCs/>
                <w:szCs w:val="21"/>
              </w:rPr>
              <w:t>。</w:t>
            </w:r>
          </w:p>
          <w:p>
            <w:pPr>
              <w:snapToGrid w:val="0"/>
              <w:spacing w:line="400" w:lineRule="exact"/>
              <w:ind w:firstLine="422" w:firstLineChars="200"/>
              <w:jc w:val="left"/>
              <w:rPr>
                <w:rFonts w:hint="eastAsia" w:ascii="宋体" w:hAnsi="宋体"/>
                <w:b/>
                <w:bCs/>
                <w:szCs w:val="21"/>
              </w:rPr>
            </w:pPr>
            <w:r>
              <w:rPr>
                <w:rFonts w:hint="eastAsia" w:ascii="宋体" w:hAnsi="宋体"/>
                <w:b/>
                <w:bCs/>
                <w:szCs w:val="21"/>
              </w:rPr>
              <w:t>4、分公司参加投标的，应当取得总公司授权，否则按无效投标处理。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noWrap w:val="0"/>
            <w:vAlign w:val="center"/>
          </w:tcPr>
          <w:p>
            <w:pPr>
              <w:spacing w:line="400" w:lineRule="exact"/>
              <w:rPr>
                <w:rFonts w:hint="eastAsia" w:ascii="宋体" w:hAnsi="宋体"/>
                <w:szCs w:val="21"/>
              </w:rPr>
            </w:pPr>
            <w:bookmarkStart w:id="56" w:name="_13.3"/>
            <w:bookmarkEnd w:id="56"/>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szCs w:val="21"/>
              </w:rPr>
            </w:pPr>
            <w:r>
              <w:rPr>
                <w:rFonts w:hint="eastAsia" w:ascii="宋体" w:hAnsi="宋体" w:cs="Courier New"/>
                <w:b/>
                <w:szCs w:val="21"/>
              </w:rPr>
              <w:t>商务文件：</w:t>
            </w:r>
          </w:p>
          <w:p>
            <w:pPr>
              <w:snapToGrid w:val="0"/>
              <w:spacing w:line="400" w:lineRule="exact"/>
              <w:jc w:val="left"/>
              <w:rPr>
                <w:rFonts w:hint="eastAsia"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hint="eastAsia" w:ascii="宋体" w:hAnsi="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ascii="宋体" w:hAnsi="宋体"/>
                <w:szCs w:val="21"/>
              </w:rPr>
            </w:pPr>
            <w:r>
              <w:rPr>
                <w:rFonts w:hint="eastAsia" w:ascii="宋体" w:hAnsi="宋体"/>
                <w:szCs w:val="21"/>
              </w:rPr>
              <w:t>3、授权委托书及委托代理人有效身份证正反面复印件（格式后附）；（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pPr>
              <w:snapToGrid w:val="0"/>
              <w:spacing w:line="400" w:lineRule="exact"/>
              <w:jc w:val="left"/>
              <w:rPr>
                <w:rFonts w:hint="eastAsia" w:ascii="宋体" w:hAnsi="宋体"/>
                <w:szCs w:val="21"/>
              </w:rPr>
            </w:pPr>
            <w:r>
              <w:rPr>
                <w:rFonts w:hint="eastAsia" w:ascii="宋体" w:hAnsi="宋体"/>
                <w:szCs w:val="21"/>
              </w:rPr>
              <w:t>4、商务要求偏离表（格式后附）；（</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hint="eastAsia" w:ascii="宋体" w:hAnsi="宋体"/>
                <w:szCs w:val="21"/>
              </w:rPr>
            </w:pPr>
            <w:r>
              <w:rPr>
                <w:rFonts w:hint="eastAsia" w:ascii="宋体" w:hAnsi="宋体"/>
                <w:szCs w:val="21"/>
              </w:rPr>
              <w:t>5、服务承诺（格式自拟）；（</w:t>
            </w:r>
            <w:r>
              <w:rPr>
                <w:rFonts w:hint="eastAsia" w:ascii="宋体" w:hAnsi="宋体"/>
                <w:b/>
                <w:szCs w:val="21"/>
              </w:rPr>
              <w:t>必须提供，否则按无效投标处理</w:t>
            </w:r>
            <w:r>
              <w:rPr>
                <w:rFonts w:hint="eastAsia" w:ascii="宋体" w:hAnsi="宋体"/>
                <w:szCs w:val="21"/>
              </w:rPr>
              <w:t>）</w:t>
            </w:r>
          </w:p>
          <w:p>
            <w:pPr>
              <w:snapToGrid w:val="0"/>
              <w:spacing w:line="400" w:lineRule="exact"/>
              <w:jc w:val="left"/>
              <w:rPr>
                <w:rFonts w:hint="eastAsia" w:ascii="宋体" w:hAnsi="宋体"/>
                <w:szCs w:val="21"/>
              </w:rPr>
            </w:pPr>
            <w:r>
              <w:rPr>
                <w:rFonts w:hint="eastAsia" w:ascii="宋体" w:hAnsi="宋体"/>
                <w:szCs w:val="21"/>
              </w:rPr>
              <w:t>6、投标人情况介绍（格式自拟）；</w:t>
            </w:r>
          </w:p>
          <w:p>
            <w:pPr>
              <w:snapToGrid w:val="0"/>
              <w:spacing w:line="400" w:lineRule="exact"/>
              <w:jc w:val="left"/>
              <w:rPr>
                <w:rFonts w:hint="eastAsia" w:ascii="宋体" w:hAnsi="宋体"/>
                <w:szCs w:val="21"/>
              </w:rPr>
            </w:pPr>
            <w:r>
              <w:rPr>
                <w:rFonts w:hint="eastAsia" w:ascii="宋体" w:hAnsi="宋体"/>
                <w:szCs w:val="21"/>
              </w:rPr>
              <w:t>7、除招标文件规定必须提供以外，投标人认为需要提供的其他证明材料（格式自拟）。（投标人根据“第二章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22" w:firstLineChars="200"/>
              <w:jc w:val="left"/>
              <w:rPr>
                <w:rFonts w:hint="eastAsia" w:ascii="宋体" w:hAnsi="宋体"/>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bookmarkStart w:id="57" w:name="_13.4"/>
            <w:bookmarkEnd w:id="57"/>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hint="eastAsia" w:ascii="宋体" w:hAnsi="宋体" w:cs="Courier New"/>
                <w:b/>
                <w:i/>
                <w:szCs w:val="21"/>
              </w:rPr>
            </w:pPr>
            <w:r>
              <w:rPr>
                <w:rFonts w:hint="eastAsia" w:ascii="宋体" w:hAnsi="宋体" w:cs="Courier New"/>
                <w:b/>
                <w:szCs w:val="21"/>
              </w:rPr>
              <w:t>技术文件：</w:t>
            </w:r>
          </w:p>
          <w:p>
            <w:pPr>
              <w:snapToGrid w:val="0"/>
              <w:spacing w:line="400" w:lineRule="exact"/>
              <w:jc w:val="left"/>
              <w:rPr>
                <w:rFonts w:hint="eastAsia" w:ascii="宋体" w:hAnsi="宋体"/>
                <w:szCs w:val="21"/>
              </w:rPr>
            </w:pPr>
            <w:r>
              <w:rPr>
                <w:rFonts w:ascii="宋体" w:hAnsi="宋体"/>
                <w:szCs w:val="21"/>
              </w:rPr>
              <w:t>1</w:t>
            </w:r>
            <w:r>
              <w:rPr>
                <w:rFonts w:hint="eastAsia" w:ascii="宋体" w:hAnsi="宋体"/>
                <w:szCs w:val="21"/>
              </w:rPr>
              <w:t>、技术要求偏离表（格式后附）；</w:t>
            </w:r>
            <w:r>
              <w:rPr>
                <w:rFonts w:hint="eastAsia" w:ascii="宋体" w:hAnsi="宋体"/>
                <w:b/>
                <w:szCs w:val="21"/>
              </w:rPr>
              <w:t>（必须提供，否则按无效投标处理）</w:t>
            </w:r>
          </w:p>
          <w:p>
            <w:pPr>
              <w:snapToGrid w:val="0"/>
              <w:spacing w:line="400" w:lineRule="exact"/>
              <w:jc w:val="left"/>
              <w:rPr>
                <w:rFonts w:hint="eastAsia" w:ascii="宋体" w:hAnsi="宋体"/>
                <w:szCs w:val="21"/>
              </w:rPr>
            </w:pPr>
            <w:r>
              <w:rPr>
                <w:rFonts w:ascii="宋体" w:hAnsi="宋体"/>
                <w:szCs w:val="21"/>
              </w:rPr>
              <w:t>2</w:t>
            </w:r>
            <w:r>
              <w:rPr>
                <w:rFonts w:hint="eastAsia" w:ascii="宋体" w:hAnsi="宋体"/>
                <w:szCs w:val="21"/>
              </w:rPr>
              <w:t>、服务方案（格式自拟）；</w:t>
            </w:r>
          </w:p>
          <w:p>
            <w:pPr>
              <w:snapToGrid w:val="0"/>
              <w:spacing w:line="400" w:lineRule="exact"/>
              <w:jc w:val="left"/>
              <w:rPr>
                <w:rFonts w:hint="eastAsia" w:ascii="宋体" w:hAnsi="宋体"/>
                <w:szCs w:val="21"/>
              </w:rPr>
            </w:pPr>
            <w:r>
              <w:rPr>
                <w:rFonts w:ascii="宋体" w:hAnsi="宋体"/>
                <w:szCs w:val="21"/>
              </w:rPr>
              <w:t>3</w:t>
            </w:r>
            <w:r>
              <w:rPr>
                <w:rFonts w:hint="eastAsia" w:ascii="宋体" w:hAnsi="宋体"/>
                <w:szCs w:val="21"/>
              </w:rPr>
              <w:t>、项目实施人员一览表（格式后附）；</w:t>
            </w:r>
          </w:p>
          <w:p>
            <w:pPr>
              <w:pStyle w:val="17"/>
              <w:ind w:firstLine="0" w:firstLineChars="0"/>
              <w:rPr>
                <w:rFonts w:hint="eastAsia" w:ascii="宋体" w:hAnsi="宋体"/>
                <w:kern w:val="2"/>
                <w:sz w:val="21"/>
                <w:szCs w:val="21"/>
                <w:lang w:val="en-US" w:eastAsia="zh-CN"/>
              </w:rPr>
            </w:pPr>
            <w:r>
              <w:rPr>
                <w:rFonts w:hint="eastAsia" w:ascii="宋体" w:hAnsi="宋体"/>
                <w:sz w:val="21"/>
                <w:szCs w:val="21"/>
                <w:lang w:val="en-US" w:eastAsia="zh-CN"/>
              </w:rPr>
              <w:t>4</w:t>
            </w:r>
            <w:r>
              <w:rPr>
                <w:rFonts w:hint="eastAsia" w:ascii="宋体" w:hAnsi="宋体"/>
                <w:kern w:val="2"/>
                <w:sz w:val="21"/>
                <w:szCs w:val="21"/>
                <w:lang w:val="en-US" w:eastAsia="zh-CN"/>
              </w:rPr>
              <w:t>、投标人对本项目的合理化建议和改进措施（格式自拟）；</w:t>
            </w:r>
          </w:p>
          <w:p>
            <w:pPr>
              <w:snapToGrid w:val="0"/>
              <w:spacing w:line="400" w:lineRule="exact"/>
              <w:jc w:val="left"/>
              <w:rPr>
                <w:rFonts w:hint="eastAsia" w:ascii="宋体" w:hAnsi="宋体"/>
                <w:szCs w:val="21"/>
              </w:rPr>
            </w:pPr>
            <w:r>
              <w:rPr>
                <w:rFonts w:hint="eastAsia" w:ascii="宋体" w:hAnsi="宋体"/>
                <w:szCs w:val="21"/>
              </w:rPr>
              <w:t>5、除招标文件规定必须提供以外，投标人需要说明的其他文件和说明（格式自拟）。</w:t>
            </w:r>
          </w:p>
          <w:p>
            <w:pPr>
              <w:snapToGrid w:val="0"/>
              <w:spacing w:line="400" w:lineRule="exact"/>
              <w:ind w:firstLine="316" w:firstLineChars="150"/>
              <w:jc w:val="left"/>
              <w:rPr>
                <w:rFonts w:hint="eastAsia" w:ascii="宋体" w:hAnsi="宋体"/>
                <w:b/>
                <w:bCs/>
                <w:szCs w:val="21"/>
              </w:rPr>
            </w:pPr>
            <w:r>
              <w:rPr>
                <w:rFonts w:hint="eastAsia" w:ascii="宋体" w:hAnsi="宋体"/>
                <w:b/>
                <w:bCs/>
                <w:szCs w:val="21"/>
              </w:rPr>
              <w:t>注：以上标明“必须提供”的材料属于复印件的，必须加盖投标人公章，否则按无效投标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58" w:name="_16.2"/>
            <w:bookmarkEnd w:id="58"/>
            <w:bookmarkStart w:id="59" w:name="_13.5"/>
            <w:bookmarkEnd w:id="59"/>
            <w:r>
              <w:rPr>
                <w:rFonts w:hint="eastAsia" w:ascii="宋体" w:hAnsi="宋体"/>
                <w:szCs w:val="21"/>
              </w:rPr>
              <w:t>16</w:t>
            </w:r>
            <w:bookmarkStart w:id="60" w:name="_Hlt19194066"/>
            <w:bookmarkStart w:id="61" w:name="_Hlt19194067"/>
            <w:bookmarkStart w:id="62" w:name="_Hlt19693759"/>
            <w:bookmarkStart w:id="63" w:name="_Hlt19693758"/>
            <w:r>
              <w:rPr>
                <w:rFonts w:hint="eastAsia" w:ascii="宋体" w:hAnsi="宋体"/>
                <w:szCs w:val="21"/>
              </w:rPr>
              <w:t>.</w:t>
            </w:r>
            <w:bookmarkEnd w:id="60"/>
            <w:bookmarkEnd w:id="61"/>
            <w:bookmarkEnd w:id="62"/>
            <w:bookmarkEnd w:id="63"/>
            <w:r>
              <w:rPr>
                <w:rFonts w:hint="eastAsia"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s="宋体"/>
                <w:kern w:val="0"/>
                <w:szCs w:val="21"/>
              </w:rPr>
            </w:pPr>
            <w:r>
              <w:rPr>
                <w:rFonts w:hint="eastAsia" w:ascii="宋体" w:hAnsi="宋体" w:cs="宋体"/>
                <w:kern w:val="0"/>
                <w:szCs w:val="21"/>
              </w:rPr>
              <w:t>投标报价是履行合同的最终价格，即满足全部采购需求所应提供的服务的价格；包括投标服务的成本、运输（含保险）（如有）、技术服务、培训、税费等所有费用。（采购需求另有约定的，从其约定。）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64" w:name="_17.1"/>
            <w:bookmarkEnd w:id="64"/>
            <w:r>
              <w:rPr>
                <w:rFonts w:hint="eastAsia" w:ascii="宋体" w:hAnsi="宋体"/>
                <w:szCs w:val="21"/>
              </w:rPr>
              <w:t>17.</w:t>
            </w:r>
            <w:r>
              <w:rPr>
                <w:rFonts w:ascii="宋体" w:hAnsi="宋体"/>
                <w:szCs w:val="21"/>
              </w:rPr>
              <w:t>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cs="宋体"/>
                <w:kern w:val="0"/>
                <w:szCs w:val="21"/>
              </w:rPr>
            </w:pPr>
            <w:r>
              <w:rPr>
                <w:rFonts w:hint="eastAsia" w:ascii="宋体" w:hAnsi="宋体" w:cs="宋体"/>
                <w:kern w:val="0"/>
                <w:szCs w:val="21"/>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65" w:name="_18"/>
            <w:bookmarkEnd w:id="65"/>
            <w:r>
              <w:rPr>
                <w:rFonts w:hint="eastAsia" w:ascii="宋体" w:hAnsi="宋体"/>
                <w:szCs w:val="21"/>
              </w:rPr>
              <w:t>18</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b/>
                <w:szCs w:val="21"/>
              </w:rPr>
            </w:pPr>
            <w:r>
              <w:rPr>
                <w:rFonts w:hint="eastAsia" w:ascii="宋体" w:hAnsi="宋体"/>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66" w:name="_19.2"/>
            <w:bookmarkEnd w:id="66"/>
            <w:r>
              <w:rPr>
                <w:rFonts w:hint="eastAsia" w:ascii="宋体" w:hAnsi="宋体"/>
                <w:szCs w:val="21"/>
              </w:rPr>
              <w:t>19.2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Cs w:val="21"/>
              </w:rPr>
            </w:pPr>
            <w:r>
              <w:rPr>
                <w:rFonts w:hint="eastAsia" w:hAnsi="宋体"/>
                <w:szCs w:val="21"/>
              </w:rPr>
              <w:t>投标文件应按报价文件、资格证明文件、商务文件、技术文件分别编制，</w:t>
            </w:r>
            <w:r>
              <w:rPr>
                <w:rFonts w:hint="eastAsia" w:ascii="宋体" w:hAnsi="宋体" w:cs="宋体"/>
                <w:szCs w:val="21"/>
                <w:lang w:bidi="ar"/>
              </w:rPr>
              <w:t>并按广西政府采购云平台的要求编制、加密、上传。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20.1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hAnsi="宋体"/>
                <w:szCs w:val="21"/>
              </w:rPr>
            </w:pPr>
            <w:r>
              <w:rPr>
                <w:rFonts w:hint="eastAsia" w:ascii="宋体" w:hAnsi="宋体"/>
                <w:szCs w:val="21"/>
              </w:rPr>
              <w:t>电子投标文件应在制作完成后，投标人应按广西政府采购云平台的要求进行加密，并在规定时间内解密，否则，由此产生的后果由投标人自行负责。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67" w:name="_21.1"/>
            <w:bookmarkEnd w:id="67"/>
            <w:r>
              <w:rPr>
                <w:rFonts w:hint="eastAsia" w:ascii="宋体" w:hAnsi="宋体"/>
                <w:szCs w:val="21"/>
              </w:rPr>
              <w:t>21.1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u w:val="single"/>
              </w:rPr>
            </w:pPr>
            <w:r>
              <w:rPr>
                <w:rFonts w:hint="eastAsia" w:ascii="宋体" w:hAnsi="宋体"/>
                <w:szCs w:val="21"/>
              </w:rPr>
              <w:t>1、投标截止时间：详见招标公告</w:t>
            </w:r>
          </w:p>
          <w:p>
            <w:pPr>
              <w:snapToGrid w:val="0"/>
              <w:spacing w:line="400" w:lineRule="exact"/>
              <w:rPr>
                <w:rFonts w:hint="eastAsia" w:ascii="宋体" w:hAnsi="宋体"/>
                <w:szCs w:val="21"/>
              </w:rPr>
            </w:pPr>
            <w:r>
              <w:rPr>
                <w:rFonts w:hint="eastAsia" w:ascii="宋体" w:hAnsi="宋体"/>
                <w:szCs w:val="21"/>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68" w:name="_23"/>
            <w:bookmarkEnd w:id="68"/>
            <w:r>
              <w:rPr>
                <w:rFonts w:hint="eastAsia" w:ascii="宋体" w:hAnsi="宋体"/>
                <w:szCs w:val="21"/>
              </w:rPr>
              <w:t>23</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szCs w:val="21"/>
              </w:rPr>
              <w:t>1、开标时间：详见招标公告</w:t>
            </w:r>
          </w:p>
          <w:p>
            <w:pPr>
              <w:snapToGrid w:val="0"/>
              <w:spacing w:line="400" w:lineRule="exact"/>
              <w:rPr>
                <w:rFonts w:hint="eastAsia" w:ascii="宋体" w:hAnsi="宋体"/>
                <w:szCs w:val="21"/>
              </w:rPr>
            </w:pPr>
            <w:r>
              <w:rPr>
                <w:rFonts w:hint="eastAsia" w:ascii="宋体" w:hAnsi="宋体"/>
                <w:szCs w:val="21"/>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bCs/>
                <w:szCs w:val="21"/>
              </w:rPr>
              <w:t>24.2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69" w:name="_25.3"/>
            <w:bookmarkEnd w:id="69"/>
            <w:r>
              <w:rPr>
                <w:rFonts w:hint="eastAsia" w:ascii="宋体" w:hAnsi="宋体"/>
                <w:szCs w:val="21"/>
              </w:rPr>
              <w:t>25.3（3）</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szCs w:val="21"/>
              </w:rPr>
              <w:t>采购人或者采购代理机构在资格审查结束前，对投标人进行信用查询。</w:t>
            </w:r>
          </w:p>
          <w:p>
            <w:pPr>
              <w:snapToGrid w:val="0"/>
              <w:spacing w:line="400" w:lineRule="exact"/>
              <w:rPr>
                <w:rFonts w:hint="eastAsia" w:ascii="宋体" w:hAnsi="宋体"/>
                <w:szCs w:val="21"/>
              </w:rPr>
            </w:pPr>
            <w:r>
              <w:rPr>
                <w:rFonts w:hint="eastAsia" w:ascii="宋体" w:hAnsi="宋体"/>
                <w:szCs w:val="21"/>
              </w:rPr>
              <w:t>查询渠道：</w:t>
            </w:r>
            <w:r>
              <w:rPr>
                <w:rFonts w:ascii="宋体" w:hAnsi="宋体"/>
                <w:szCs w:val="21"/>
              </w:rPr>
              <w:t>“信用中国”网站（www.creditchina.gov.cn）、中国政府采购网（</w:t>
            </w:r>
            <w:r>
              <w:rPr>
                <w:rFonts w:ascii="宋体" w:hAnsi="宋体"/>
                <w:szCs w:val="21"/>
              </w:rPr>
              <w:fldChar w:fldCharType="begin"/>
            </w:r>
            <w:r>
              <w:rPr>
                <w:rFonts w:ascii="宋体" w:hAnsi="宋体"/>
                <w:szCs w:val="21"/>
              </w:rPr>
              <w:instrText xml:space="preserve"> HYPERLINK "http://www.ccgp.gov.cn" </w:instrText>
            </w:r>
            <w:r>
              <w:rPr>
                <w:rFonts w:ascii="宋体" w:hAnsi="宋体"/>
                <w:szCs w:val="21"/>
              </w:rPr>
              <w:fldChar w:fldCharType="separate"/>
            </w:r>
            <w:r>
              <w:rPr>
                <w:rStyle w:val="21"/>
                <w:rFonts w:ascii="宋体" w:hAnsi="宋体"/>
                <w:color w:val="auto"/>
                <w:szCs w:val="21"/>
              </w:rPr>
              <w:t>www.ccgp.gov.cn</w:t>
            </w:r>
            <w:r>
              <w:rPr>
                <w:rFonts w:ascii="宋体" w:hAnsi="宋体"/>
                <w:szCs w:val="21"/>
              </w:rPr>
              <w:fldChar w:fldCharType="end"/>
            </w:r>
            <w:r>
              <w:rPr>
                <w:rFonts w:ascii="宋体" w:hAnsi="宋体"/>
                <w:szCs w:val="21"/>
              </w:rPr>
              <w:t>）</w:t>
            </w:r>
            <w:r>
              <w:rPr>
                <w:rFonts w:hint="eastAsia" w:ascii="宋体" w:hAnsi="宋体"/>
                <w:szCs w:val="21"/>
              </w:rPr>
              <w:t>。</w:t>
            </w:r>
          </w:p>
          <w:p>
            <w:pPr>
              <w:snapToGrid w:val="0"/>
              <w:spacing w:line="400" w:lineRule="exact"/>
              <w:rPr>
                <w:rFonts w:hint="eastAsia" w:ascii="宋体" w:hAnsi="宋体"/>
                <w:szCs w:val="21"/>
              </w:rPr>
            </w:pPr>
            <w:r>
              <w:rPr>
                <w:rFonts w:hint="eastAsia" w:ascii="宋体" w:hAnsi="宋体"/>
                <w:szCs w:val="21"/>
              </w:rPr>
              <w:t>信用查询截止时点：</w:t>
            </w:r>
            <w:r>
              <w:rPr>
                <w:rFonts w:ascii="宋体" w:hAnsi="宋体" w:cs="宋体"/>
                <w:szCs w:val="21"/>
              </w:rPr>
              <w:t>资格审查结束前</w:t>
            </w:r>
            <w:r>
              <w:rPr>
                <w:rFonts w:hint="eastAsia" w:ascii="宋体" w:hAnsi="宋体" w:cs="宋体"/>
                <w:szCs w:val="21"/>
              </w:rPr>
              <w:t>。</w:t>
            </w:r>
          </w:p>
          <w:p>
            <w:pPr>
              <w:snapToGrid w:val="0"/>
              <w:spacing w:line="400" w:lineRule="exact"/>
              <w:rPr>
                <w:rFonts w:hint="eastAsia" w:ascii="宋体" w:hAnsi="宋体"/>
                <w:szCs w:val="21"/>
              </w:rPr>
            </w:pPr>
            <w:r>
              <w:rPr>
                <w:rFonts w:hint="eastAsia" w:ascii="宋体" w:hAnsi="宋体"/>
                <w:szCs w:val="21"/>
              </w:rPr>
              <w:t>查询记录和证据留存方式：</w:t>
            </w:r>
            <w:r>
              <w:rPr>
                <w:rFonts w:hint="eastAsia" w:ascii="宋体" w:hAnsi="宋体" w:cs="宋体"/>
                <w:szCs w:val="21"/>
              </w:rPr>
              <w:t>将查询网站中的查询记录截图并作为评审资料保存。</w:t>
            </w:r>
          </w:p>
          <w:p>
            <w:pPr>
              <w:snapToGrid w:val="0"/>
              <w:spacing w:line="400" w:lineRule="exact"/>
              <w:rPr>
                <w:rFonts w:hint="eastAsia" w:ascii="宋体" w:hAnsi="宋体"/>
                <w:b/>
                <w:szCs w:val="21"/>
              </w:rPr>
            </w:pPr>
            <w:r>
              <w:rPr>
                <w:rFonts w:hint="eastAsia" w:ascii="宋体" w:hAnsi="宋体"/>
                <w:szCs w:val="21"/>
              </w:rPr>
              <w:t>信用信息使用规则：根据财政部《关于在政府采购活动中查询及使用信用记录有关问题的通知》（财库〔2016〕125号）的规定，</w:t>
            </w:r>
            <w:r>
              <w:rPr>
                <w:rFonts w:hint="eastAsia" w:ascii="宋体" w:hAnsi="宋体" w:cs="宋体"/>
                <w:szCs w:val="21"/>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70" w:name="_26"/>
            <w:bookmarkEnd w:id="70"/>
            <w:r>
              <w:rPr>
                <w:rFonts w:hint="eastAsia" w:ascii="宋体" w:hAnsi="宋体"/>
                <w:szCs w:val="21"/>
              </w:rPr>
              <w:t>26</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s="宋体"/>
                <w:szCs w:val="21"/>
                <w:lang w:bidi="ar"/>
              </w:rPr>
            </w:pPr>
            <w:r>
              <w:rPr>
                <w:rFonts w:hint="eastAsia" w:ascii="宋体" w:hAnsi="宋体" w:cs="宋体"/>
                <w:szCs w:val="21"/>
                <w:lang w:bidi="ar"/>
              </w:rPr>
              <w:t>评标委员会的人数：7人。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71" w:name="_28.3"/>
            <w:bookmarkEnd w:id="71"/>
            <w:r>
              <w:rPr>
                <w:rFonts w:ascii="宋体" w:hAnsi="宋体"/>
                <w:szCs w:val="21"/>
              </w:rPr>
              <w:t>29.1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cs="宋体"/>
                <w:szCs w:val="21"/>
                <w:lang w:bidi="ar"/>
              </w:rPr>
            </w:pPr>
            <w:r>
              <w:rPr>
                <w:rFonts w:hint="eastAsia" w:ascii="宋体" w:hAnsi="宋体" w:cs="宋体"/>
                <w:szCs w:val="21"/>
                <w:lang w:bidi="ar"/>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szCs w:val="21"/>
              </w:rPr>
            </w:pPr>
            <w:bookmarkStart w:id="72" w:name="_29.2.2（2）"/>
            <w:bookmarkEnd w:id="72"/>
            <w:r>
              <w:rPr>
                <w:rFonts w:hint="eastAsia" w:ascii="宋体" w:hAnsi="宋体"/>
                <w:szCs w:val="21"/>
              </w:rPr>
              <w:t>29</w:t>
            </w:r>
            <w:r>
              <w:rPr>
                <w:rFonts w:ascii="宋体" w:hAnsi="宋体"/>
                <w:szCs w:val="21"/>
              </w:rPr>
              <w:t>.2</w:t>
            </w:r>
          </w:p>
        </w:tc>
        <w:tc>
          <w:tcPr>
            <w:tcW w:w="8708"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szCs w:val="21"/>
              </w:rPr>
            </w:pPr>
            <w:r>
              <w:rPr>
                <w:rFonts w:hint="eastAsia" w:ascii="宋体" w:hAnsi="宋体" w:cs="宋体"/>
                <w:szCs w:val="21"/>
              </w:rPr>
              <w:t>商务要求</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pPr>
              <w:snapToGrid w:val="0"/>
              <w:spacing w:line="400" w:lineRule="exact"/>
              <w:rPr>
                <w:rFonts w:hint="eastAsia" w:ascii="宋体" w:hAnsi="宋体"/>
                <w:szCs w:val="21"/>
              </w:rPr>
            </w:pPr>
            <w:r>
              <w:rPr>
                <w:rFonts w:hint="eastAsia" w:ascii="宋体" w:hAnsi="宋体" w:cs="宋体"/>
                <w:szCs w:val="21"/>
              </w:rPr>
              <w:t>技术要求</w:t>
            </w:r>
            <w:r>
              <w:rPr>
                <w:rFonts w:hint="eastAsia" w:ascii="宋体" w:hAnsi="宋体"/>
                <w:szCs w:val="21"/>
              </w:rPr>
              <w:t>评审中允许负偏离的条款数为</w:t>
            </w:r>
            <w:r>
              <w:rPr>
                <w:rFonts w:hint="eastAsia" w:ascii="宋体" w:hAnsi="宋体"/>
                <w:szCs w:val="21"/>
                <w:u w:val="single"/>
              </w:rPr>
              <w:t xml:space="preserve"> 3 </w:t>
            </w: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szCs w:val="21"/>
              </w:rPr>
            </w:pPr>
          </w:p>
        </w:tc>
        <w:tc>
          <w:tcPr>
            <w:tcW w:w="8708"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cs="宋体"/>
                <w:szCs w:val="21"/>
                <w:u w:val="single"/>
              </w:rPr>
            </w:pPr>
            <w:r>
              <w:rPr>
                <w:rFonts w:hAnsi="宋体"/>
              </w:rPr>
              <w:t>中标候选人推荐数量</w:t>
            </w:r>
            <w:r>
              <w:rPr>
                <w:rFonts w:hint="eastAsia" w:hAnsi="宋体"/>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30</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Cs w:val="21"/>
              </w:rPr>
            </w:pPr>
            <w:r>
              <w:rPr>
                <w:rFonts w:hint="eastAsia" w:ascii="宋体" w:hAnsi="宋体"/>
                <w:szCs w:val="21"/>
              </w:rPr>
              <w:t>采用综合评分法的采购项目，采购人确定中标人时，出现中标候选人并列的情形，采购人按以下的方式确定中标人：按综合评分中服务水平、售后服务、履约能力、政策功能得分高低依次确定。</w:t>
            </w:r>
          </w:p>
          <w:p>
            <w:pPr>
              <w:autoSpaceDE w:val="0"/>
              <w:autoSpaceDN w:val="0"/>
              <w:snapToGrid w:val="0"/>
              <w:spacing w:line="400" w:lineRule="exact"/>
              <w:textAlignment w:val="bottom"/>
              <w:rPr>
                <w:rFonts w:hint="eastAsia" w:ascii="宋体" w:hAnsi="宋体"/>
                <w:szCs w:val="21"/>
              </w:rPr>
            </w:pPr>
            <w:r>
              <w:rPr>
                <w:rFonts w:hint="eastAsia" w:ascii="宋体" w:hAnsi="宋体"/>
                <w:szCs w:val="21"/>
              </w:rPr>
              <w:t>采用最低评标价法的采购项目，采购人确定中标人时，出现中标候选人并列的情形，采购人按以下的方式确定中标人：按服务水平</w:t>
            </w:r>
            <w:r>
              <w:rPr>
                <w:rFonts w:ascii="宋体" w:hAnsi="宋体"/>
                <w:szCs w:val="21"/>
              </w:rPr>
              <w:t>技术指标高优先、</w:t>
            </w:r>
            <w:r>
              <w:rPr>
                <w:rFonts w:hint="eastAsia" w:ascii="宋体" w:hAnsi="宋体"/>
                <w:szCs w:val="21"/>
              </w:rPr>
              <w:t>服务方案好</w:t>
            </w:r>
            <w:r>
              <w:rPr>
                <w:rFonts w:ascii="宋体" w:hAnsi="宋体"/>
                <w:szCs w:val="21"/>
              </w:rPr>
              <w:t>优先、</w:t>
            </w:r>
            <w:r>
              <w:rPr>
                <w:rFonts w:hint="eastAsia" w:ascii="宋体" w:hAnsi="宋体"/>
                <w:szCs w:val="21"/>
              </w:rPr>
              <w:t>拟投入人员多</w:t>
            </w:r>
            <w:r>
              <w:rPr>
                <w:rFonts w:ascii="宋体" w:hAnsi="宋体"/>
                <w:szCs w:val="21"/>
              </w:rPr>
              <w:t>优先、</w:t>
            </w:r>
            <w:r>
              <w:rPr>
                <w:rFonts w:hint="eastAsia" w:ascii="宋体" w:hAnsi="宋体"/>
                <w:szCs w:val="21"/>
              </w:rPr>
              <w:t>服务</w:t>
            </w:r>
            <w:r>
              <w:rPr>
                <w:rFonts w:ascii="宋体" w:hAnsi="宋体"/>
                <w:szCs w:val="21"/>
              </w:rPr>
              <w:t>响应时间短优先的</w:t>
            </w:r>
            <w:r>
              <w:rPr>
                <w:rFonts w:hint="eastAsia" w:ascii="宋体" w:hAnsi="宋体"/>
                <w:szCs w:val="21"/>
              </w:rPr>
              <w:t>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73" w:name="_39.1"/>
            <w:bookmarkEnd w:id="73"/>
            <w:r>
              <w:rPr>
                <w:rFonts w:hint="eastAsia" w:ascii="宋体" w:hAnsi="宋体"/>
                <w:szCs w:val="21"/>
              </w:rPr>
              <w:t>35</w:t>
            </w:r>
            <w:r>
              <w:rPr>
                <w:rFonts w:ascii="宋体" w:hAnsi="宋体"/>
                <w:szCs w:val="21"/>
              </w:rPr>
              <w:t>.1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szCs w:val="21"/>
              </w:rPr>
              <w:t>□本项目不收取履约保证金。</w:t>
            </w:r>
          </w:p>
          <w:p>
            <w:pPr>
              <w:spacing w:line="400" w:lineRule="exact"/>
              <w:jc w:val="left"/>
              <w:rPr>
                <w:rFonts w:ascii="宋体" w:hAnsi="宋体"/>
                <w:szCs w:val="21"/>
              </w:rPr>
            </w:pPr>
            <w:r>
              <w:rPr>
                <w:rFonts w:hint="eastAsia" w:ascii="宋体" w:hAnsi="宋体"/>
                <w:szCs w:val="21"/>
              </w:rPr>
              <w:t>☑本项目收取履约保证金，具体规定如下：</w:t>
            </w:r>
          </w:p>
          <w:p>
            <w:pPr>
              <w:rPr>
                <w:rFonts w:hint="eastAsia" w:ascii="宋体" w:hAnsi="宋体"/>
                <w:szCs w:val="21"/>
              </w:rPr>
            </w:pPr>
            <w:r>
              <w:rPr>
                <w:rFonts w:hint="eastAsia" w:ascii="宋体" w:hAnsi="宋体"/>
                <w:szCs w:val="21"/>
              </w:rPr>
              <w:t>履约保证金金额：按合同金额的5%</w:t>
            </w:r>
          </w:p>
          <w:p>
            <w:pPr>
              <w:spacing w:line="400" w:lineRule="exact"/>
              <w:jc w:val="left"/>
              <w:rPr>
                <w:rFonts w:hint="eastAsia" w:ascii="宋体" w:hAnsi="宋体"/>
                <w:szCs w:val="21"/>
              </w:rPr>
            </w:pPr>
            <w:r>
              <w:rPr>
                <w:rFonts w:hint="eastAsia" w:ascii="宋体" w:hAnsi="宋体"/>
                <w:szCs w:val="21"/>
              </w:rPr>
              <w:t>履约保证金递交方式：银行转账、支票、汇票、本票或者金融、担保机构出具的保函等非现金方式</w:t>
            </w:r>
          </w:p>
          <w:p>
            <w:pPr>
              <w:spacing w:line="400" w:lineRule="exact"/>
              <w:jc w:val="left"/>
              <w:rPr>
                <w:rFonts w:hint="eastAsia"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项目验收合格后自动转换成质保金，服务期内项目若无质量问题，服务期结束后无息返还。</w:t>
            </w:r>
          </w:p>
          <w:p>
            <w:pPr>
              <w:spacing w:line="400" w:lineRule="exact"/>
              <w:jc w:val="left"/>
              <w:rPr>
                <w:rFonts w:hint="eastAsia" w:ascii="宋体" w:hAnsi="宋体"/>
                <w:szCs w:val="21"/>
              </w:rPr>
            </w:pPr>
            <w:r>
              <w:rPr>
                <w:rFonts w:hint="eastAsia" w:ascii="宋体" w:hAnsi="宋体"/>
                <w:szCs w:val="21"/>
              </w:rPr>
              <w:t>履约保证金指定账户：</w:t>
            </w:r>
          </w:p>
          <w:p>
            <w:pPr>
              <w:spacing w:line="400" w:lineRule="exact"/>
              <w:jc w:val="left"/>
              <w:rPr>
                <w:rFonts w:ascii="宋体" w:hAnsi="宋体"/>
                <w:szCs w:val="21"/>
                <w:u w:val="single"/>
              </w:rPr>
            </w:pPr>
            <w:r>
              <w:rPr>
                <w:rFonts w:hint="eastAsia" w:ascii="宋体" w:hAnsi="宋体"/>
                <w:szCs w:val="21"/>
              </w:rPr>
              <w:t>开户名称：</w:t>
            </w:r>
            <w:r>
              <w:rPr>
                <w:rFonts w:hint="eastAsia" w:ascii="宋体" w:hAnsi="宋体"/>
                <w:szCs w:val="21"/>
                <w:u w:val="single"/>
              </w:rPr>
              <w:t xml:space="preserve">      /                </w:t>
            </w:r>
          </w:p>
          <w:p>
            <w:pPr>
              <w:spacing w:line="400" w:lineRule="exact"/>
              <w:jc w:val="left"/>
              <w:rPr>
                <w:rFonts w:ascii="宋体" w:hAnsi="宋体"/>
                <w:szCs w:val="21"/>
              </w:rPr>
            </w:pPr>
            <w:r>
              <w:rPr>
                <w:rFonts w:hint="eastAsia" w:ascii="宋体" w:hAnsi="宋体"/>
                <w:szCs w:val="21"/>
              </w:rPr>
              <w:t>开户银行：</w:t>
            </w:r>
            <w:r>
              <w:rPr>
                <w:rFonts w:hint="eastAsia" w:ascii="宋体" w:hAnsi="宋体" w:cs="Arial"/>
                <w:szCs w:val="21"/>
                <w:u w:val="single"/>
              </w:rPr>
              <w:t xml:space="preserve">      </w:t>
            </w:r>
            <w:r>
              <w:rPr>
                <w:rFonts w:hint="eastAsia" w:ascii="宋体" w:hAnsi="宋体"/>
                <w:szCs w:val="21"/>
                <w:u w:val="single"/>
              </w:rPr>
              <w:t xml:space="preserve"> /</w:t>
            </w:r>
            <w:r>
              <w:rPr>
                <w:rFonts w:hint="eastAsia" w:ascii="宋体" w:hAnsi="宋体" w:cs="Arial"/>
                <w:szCs w:val="21"/>
                <w:u w:val="single"/>
              </w:rPr>
              <w:t xml:space="preserve">               </w:t>
            </w:r>
          </w:p>
          <w:p>
            <w:pPr>
              <w:spacing w:line="400" w:lineRule="exact"/>
              <w:jc w:val="left"/>
              <w:rPr>
                <w:rFonts w:ascii="宋体" w:hAnsi="宋体"/>
                <w:szCs w:val="21"/>
              </w:rPr>
            </w:pPr>
            <w:r>
              <w:rPr>
                <w:rFonts w:hint="eastAsia" w:ascii="宋体" w:hAnsi="宋体"/>
                <w:szCs w:val="21"/>
              </w:rPr>
              <w:t>银行账号：</w:t>
            </w:r>
            <w:r>
              <w:rPr>
                <w:rFonts w:hint="eastAsia" w:ascii="宋体" w:hAnsi="宋体" w:cs="Arial"/>
                <w:szCs w:val="21"/>
                <w:u w:val="single"/>
              </w:rPr>
              <w:t xml:space="preserve">      </w:t>
            </w:r>
            <w:r>
              <w:rPr>
                <w:rFonts w:hint="eastAsia" w:ascii="宋体" w:hAnsi="宋体"/>
                <w:szCs w:val="21"/>
                <w:u w:val="single"/>
              </w:rPr>
              <w:t xml:space="preserve"> /</w:t>
            </w:r>
            <w:r>
              <w:rPr>
                <w:rFonts w:hint="eastAsia" w:ascii="宋体" w:hAnsi="宋体" w:cs="Arial"/>
                <w:szCs w:val="21"/>
                <w:u w:val="single"/>
              </w:rPr>
              <w:t xml:space="preserve">               </w:t>
            </w:r>
          </w:p>
          <w:p>
            <w:pPr>
              <w:spacing w:line="400" w:lineRule="exact"/>
              <w:jc w:val="left"/>
              <w:rPr>
                <w:rFonts w:ascii="宋体" w:hAnsi="宋体" w:cs="Courier New"/>
                <w:szCs w:val="21"/>
              </w:rPr>
            </w:pPr>
            <w:r>
              <w:rPr>
                <w:rFonts w:ascii="宋体" w:hAnsi="宋体" w:cs="Courier New"/>
                <w:szCs w:val="21"/>
              </w:rPr>
              <w:t>备注：</w:t>
            </w:r>
          </w:p>
          <w:p>
            <w:pPr>
              <w:spacing w:line="400" w:lineRule="exact"/>
              <w:jc w:val="left"/>
              <w:rPr>
                <w:rFonts w:hint="eastAsia" w:ascii="宋体" w:hAnsi="宋体"/>
                <w:szCs w:val="21"/>
              </w:rPr>
            </w:pPr>
            <w:r>
              <w:rPr>
                <w:rFonts w:ascii="宋体" w:hAnsi="宋体"/>
                <w:b/>
                <w:szCs w:val="21"/>
              </w:rPr>
              <w:t>1</w:t>
            </w:r>
            <w:bookmarkStart w:id="74" w:name="_Hlk54170335"/>
            <w:r>
              <w:rPr>
                <w:rFonts w:hint="eastAsia" w:ascii="宋体" w:hAnsi="宋体"/>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4"/>
            <w:r>
              <w:rPr>
                <w:rFonts w:ascii="宋体" w:hAnsi="宋体" w:cs="Courier New"/>
                <w:szCs w:val="21"/>
              </w:rPr>
              <w:br w:type="textWrapping"/>
            </w:r>
            <w:r>
              <w:rPr>
                <w:rFonts w:ascii="宋体" w:hAnsi="宋体"/>
                <w:b/>
                <w:szCs w:val="21"/>
              </w:rPr>
              <w:t>2</w:t>
            </w:r>
            <w:r>
              <w:rPr>
                <w:rFonts w:hint="eastAsia" w:ascii="宋体" w:hAnsi="宋体"/>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szCs w:val="21"/>
              </w:rPr>
              <w:br w:type="textWrapping"/>
            </w:r>
            <w:r>
              <w:rPr>
                <w:rFonts w:ascii="宋体" w:hAnsi="宋体"/>
                <w:b/>
                <w:szCs w:val="21"/>
              </w:rPr>
              <w:t>3</w:t>
            </w:r>
            <w:r>
              <w:rPr>
                <w:rFonts w:hint="eastAsia" w:ascii="宋体" w:hAnsi="宋体"/>
                <w:b/>
                <w:szCs w:val="21"/>
              </w:rPr>
              <w:t>、</w:t>
            </w:r>
            <w:r>
              <w:rPr>
                <w:rFonts w:ascii="宋体" w:hAnsi="宋体"/>
                <w:b/>
                <w:szCs w:val="21"/>
              </w:rPr>
              <w:t>采用金融、担保机构出具的保函的，必须为无条件保函，否则不予签订合同。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75" w:name="_40.1"/>
            <w:bookmarkEnd w:id="75"/>
            <w:r>
              <w:rPr>
                <w:rFonts w:hint="eastAsia" w:ascii="宋体" w:hAnsi="宋体"/>
                <w:szCs w:val="21"/>
              </w:rPr>
              <w:t>36.1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Cs w:val="21"/>
              </w:rPr>
            </w:pPr>
            <w:r>
              <w:rPr>
                <w:rFonts w:hint="eastAsia" w:ascii="宋体" w:hAnsi="宋体"/>
                <w:szCs w:val="21"/>
              </w:rPr>
              <w:t xml:space="preserve">签订合同携带的证明材料： </w:t>
            </w:r>
          </w:p>
          <w:p>
            <w:pPr>
              <w:autoSpaceDE w:val="0"/>
              <w:autoSpaceDN w:val="0"/>
              <w:snapToGrid w:val="0"/>
              <w:spacing w:line="400" w:lineRule="exact"/>
              <w:textAlignment w:val="bottom"/>
              <w:rPr>
                <w:rFonts w:hint="eastAsia" w:ascii="宋体" w:hAnsi="宋体"/>
                <w:szCs w:val="21"/>
              </w:rPr>
            </w:pPr>
            <w:r>
              <w:rPr>
                <w:rFonts w:hint="eastAsia" w:ascii="宋体" w:hAnsi="宋体"/>
                <w:szCs w:val="21"/>
              </w:rPr>
              <w:t>1、委托代理人负责签订合同的，须携带授权委托书及委托代理人身份证原件等其他资格证件。</w:t>
            </w:r>
          </w:p>
          <w:p>
            <w:pPr>
              <w:autoSpaceDE w:val="0"/>
              <w:autoSpaceDN w:val="0"/>
              <w:snapToGrid w:val="0"/>
              <w:spacing w:line="400" w:lineRule="exact"/>
              <w:textAlignment w:val="bottom"/>
              <w:rPr>
                <w:rFonts w:hint="eastAsia" w:ascii="宋体" w:hAnsi="宋体"/>
                <w:szCs w:val="21"/>
              </w:rPr>
            </w:pPr>
            <w:r>
              <w:rPr>
                <w:rFonts w:hint="eastAsia" w:ascii="宋体" w:hAnsi="宋体"/>
                <w:szCs w:val="21"/>
              </w:rPr>
              <w:t>2、法定代表人负责签订合同的，须携带法定代表人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3</w:t>
            </w:r>
            <w:r>
              <w:rPr>
                <w:rFonts w:ascii="宋体" w:hAnsi="宋体"/>
                <w:szCs w:val="21"/>
              </w:rPr>
              <w:t>8.2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接收质疑函方式：以纸质书面形式。</w:t>
            </w:r>
          </w:p>
          <w:p>
            <w:pPr>
              <w:pStyle w:val="12"/>
              <w:snapToGrid w:val="0"/>
              <w:spacing w:line="360" w:lineRule="auto"/>
              <w:rPr>
                <w:rFonts w:hint="eastAsia" w:hAnsi="宋体" w:cs="宋体"/>
                <w:sz w:val="21"/>
                <w:lang w:val="en-US" w:eastAsia="zh-CN"/>
              </w:rPr>
            </w:pPr>
            <w:r>
              <w:rPr>
                <w:rFonts w:hint="eastAsia" w:hAnsi="宋体" w:cs="宋体"/>
                <w:kern w:val="2"/>
                <w:sz w:val="21"/>
                <w:lang w:val="en-US" w:eastAsia="zh-CN"/>
              </w:rPr>
              <w:t>质疑联系部门及联系方式：广西国泰招标咨询有限公司</w:t>
            </w:r>
            <w:r>
              <w:rPr>
                <w:rFonts w:hint="eastAsia" w:hAnsi="宋体" w:cs="宋体"/>
                <w:sz w:val="21"/>
                <w:lang w:val="en-US" w:eastAsia="zh-CN"/>
              </w:rPr>
              <w:t>，质疑联系人：李鑫金  联系电话：0771-2718849，</w:t>
            </w:r>
            <w:r>
              <w:rPr>
                <w:rFonts w:hAnsi="宋体" w:cs="宋体"/>
                <w:sz w:val="21"/>
                <w:lang w:val="en-US" w:eastAsia="zh-CN"/>
              </w:rPr>
              <w:t>通讯地址</w:t>
            </w:r>
            <w:r>
              <w:rPr>
                <w:rFonts w:hint="eastAsia" w:hAnsi="宋体" w:cs="宋体"/>
                <w:sz w:val="21"/>
                <w:lang w:val="en-US" w:eastAsia="zh-CN"/>
              </w:rPr>
              <w:t xml:space="preserve">：广西南宁市民族大道141号中鼎万象东方大厦D区六层607 </w:t>
            </w:r>
          </w:p>
          <w:p>
            <w:pPr>
              <w:pStyle w:val="12"/>
              <w:snapToGrid w:val="0"/>
              <w:spacing w:line="360" w:lineRule="auto"/>
              <w:rPr>
                <w:rFonts w:hint="eastAsia" w:hAnsi="宋体" w:cs="宋体"/>
                <w:kern w:val="2"/>
                <w:sz w:val="21"/>
                <w:lang w:val="en-US" w:eastAsia="zh-CN"/>
              </w:rPr>
            </w:pPr>
            <w:r>
              <w:rPr>
                <w:rFonts w:hint="eastAsia" w:hAnsi="宋体" w:cs="宋体"/>
                <w:sz w:val="21"/>
                <w:lang w:val="en-US" w:eastAsia="zh-CN"/>
              </w:rPr>
              <w:t>业务时间：每天上午8时3</w:t>
            </w:r>
            <w:r>
              <w:rPr>
                <w:rFonts w:hAnsi="宋体" w:cs="宋体"/>
                <w:sz w:val="21"/>
                <w:lang w:val="en-US" w:eastAsia="zh-CN"/>
              </w:rPr>
              <w:t>0</w:t>
            </w:r>
            <w:r>
              <w:rPr>
                <w:rFonts w:hint="eastAsia" w:hAnsi="宋体" w:cs="宋体"/>
                <w:sz w:val="21"/>
                <w:lang w:val="en-US" w:eastAsia="zh-CN"/>
              </w:rPr>
              <w:t>分至12时，下午15时至18时（北京时间，</w:t>
            </w:r>
            <w:r>
              <w:rPr>
                <w:rFonts w:hAnsi="宋体" w:cs="宋体"/>
                <w:sz w:val="21"/>
                <w:lang w:val="en-US" w:eastAsia="zh-CN"/>
              </w:rPr>
              <w:t>法定节假日</w:t>
            </w:r>
            <w:r>
              <w:rPr>
                <w:rFonts w:hint="eastAsia" w:hAnsi="宋体" w:cs="宋体"/>
                <w:sz w:val="21"/>
                <w:lang w:val="en-US" w:eastAsia="zh-CN"/>
              </w:rPr>
              <w:t xml:space="preserve">除外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bookmarkStart w:id="76" w:name="_42"/>
            <w:bookmarkEnd w:id="76"/>
            <w:bookmarkStart w:id="77" w:name="_41"/>
            <w:bookmarkEnd w:id="77"/>
            <w:bookmarkStart w:id="78" w:name="_Hlt17709148"/>
            <w:r>
              <w:rPr>
                <w:rFonts w:hint="eastAsia" w:ascii="宋体" w:hAnsi="宋体"/>
                <w:szCs w:val="21"/>
              </w:rPr>
              <w:t>3</w:t>
            </w:r>
            <w:bookmarkEnd w:id="78"/>
            <w:r>
              <w:rPr>
                <w:rFonts w:ascii="宋体" w:hAnsi="宋体"/>
                <w:szCs w:val="21"/>
              </w:rPr>
              <w:t>9.1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360" w:lineRule="auto"/>
              <w:rPr>
                <w:rFonts w:hint="eastAsia" w:hAnsi="宋体" w:cs="宋体"/>
                <w:sz w:val="21"/>
                <w:lang w:val="en-US" w:eastAsia="zh-CN"/>
              </w:rPr>
            </w:pPr>
            <w:r>
              <w:rPr>
                <w:rFonts w:hint="eastAsia" w:hAnsi="宋体" w:cs="宋体"/>
                <w:sz w:val="21"/>
                <w:lang w:val="en-US" w:eastAsia="zh-CN"/>
              </w:rPr>
              <w:t>1.采购代理服务费支付方式：本项目的招标代理服务费按以下收费标准向中标人收取，领取中标通知书前，中标人应向采购代理机构一次付清招标代理服务费，否则采购代理机构有权不予以办理。</w:t>
            </w:r>
          </w:p>
          <w:p>
            <w:pPr>
              <w:pStyle w:val="12"/>
              <w:snapToGrid w:val="0"/>
              <w:spacing w:line="360" w:lineRule="auto"/>
              <w:rPr>
                <w:rFonts w:hint="eastAsia" w:hAnsi="宋体" w:cs="宋体"/>
                <w:sz w:val="21"/>
                <w:lang w:val="en-US" w:eastAsia="zh-CN"/>
              </w:rPr>
            </w:pPr>
            <w:r>
              <w:rPr>
                <w:rFonts w:hint="eastAsia" w:hAnsi="宋体" w:cs="宋体"/>
                <w:sz w:val="21"/>
                <w:lang w:val="en-US" w:eastAsia="zh-CN"/>
              </w:rPr>
              <w:t>2、采购代理服务费收取标准：</w:t>
            </w:r>
          </w:p>
          <w:p>
            <w:pPr>
              <w:pStyle w:val="12"/>
              <w:snapToGrid w:val="0"/>
              <w:spacing w:line="360" w:lineRule="auto"/>
              <w:rPr>
                <w:rFonts w:hAnsi="宋体" w:cs="宋体"/>
                <w:sz w:val="21"/>
                <w:lang w:val="en-US" w:eastAsia="zh-CN"/>
              </w:rPr>
            </w:pPr>
            <w:r>
              <w:rPr>
                <w:rFonts w:hint="eastAsia" w:hAnsi="宋体" w:cs="宋体"/>
                <w:sz w:val="21"/>
                <w:lang w:val="en-US" w:eastAsia="zh-CN"/>
              </w:rPr>
              <w:t>以中标金额为计费额，按本须知正文第</w:t>
            </w:r>
            <w:r>
              <w:rPr>
                <w:rFonts w:hAnsi="宋体" w:cs="宋体"/>
                <w:sz w:val="21"/>
                <w:lang w:val="en-US" w:eastAsia="zh-CN"/>
              </w:rPr>
              <w:t>3</w:t>
            </w:r>
            <w:r>
              <w:rPr>
                <w:rFonts w:hint="eastAsia" w:hAnsi="宋体" w:cs="宋体"/>
                <w:sz w:val="21"/>
                <w:lang w:val="en-US" w:eastAsia="zh-CN"/>
              </w:rPr>
              <w:t>9.</w:t>
            </w:r>
            <w:r>
              <w:rPr>
                <w:rFonts w:hAnsi="宋体" w:cs="宋体"/>
                <w:sz w:val="21"/>
                <w:lang w:val="en-US" w:eastAsia="zh-CN"/>
              </w:rPr>
              <w:t>2</w:t>
            </w:r>
            <w:r>
              <w:rPr>
                <w:rFonts w:hint="eastAsia" w:hAnsi="宋体" w:cs="宋体"/>
                <w:sz w:val="21"/>
                <w:lang w:val="en-US" w:eastAsia="zh-CN"/>
              </w:rPr>
              <w:t>条规定的收费计算标准（服务类）采用差额定率累进法计算出收费基准价格，采购代理服务费收费以收费基准价格收取。</w:t>
            </w:r>
          </w:p>
          <w:p>
            <w:pPr>
              <w:pStyle w:val="12"/>
              <w:snapToGrid w:val="0"/>
              <w:spacing w:line="360" w:lineRule="auto"/>
              <w:rPr>
                <w:rFonts w:hint="eastAsia" w:hAnsi="宋体" w:cs="宋体"/>
                <w:sz w:val="21"/>
                <w:lang w:val="en-US" w:eastAsia="zh-CN"/>
              </w:rPr>
            </w:pPr>
            <w:r>
              <w:rPr>
                <w:rFonts w:hint="eastAsia" w:hAnsi="宋体" w:cs="宋体"/>
                <w:sz w:val="21"/>
                <w:lang w:val="en-US" w:eastAsia="zh-CN"/>
              </w:rPr>
              <w:t xml:space="preserve">3、账户名称：广西国泰招标咨询有限公司南宁第二分公司 </w:t>
            </w:r>
          </w:p>
          <w:p>
            <w:pPr>
              <w:pStyle w:val="12"/>
              <w:snapToGrid w:val="0"/>
              <w:spacing w:line="360" w:lineRule="auto"/>
              <w:rPr>
                <w:rFonts w:hint="eastAsia" w:hAnsi="宋体" w:cs="宋体"/>
                <w:sz w:val="21"/>
                <w:lang w:val="en-US" w:eastAsia="zh-CN"/>
              </w:rPr>
            </w:pPr>
            <w:r>
              <w:rPr>
                <w:rFonts w:hint="eastAsia" w:hAnsi="宋体" w:cs="宋体"/>
                <w:sz w:val="21"/>
                <w:lang w:val="en-US" w:eastAsia="zh-CN"/>
              </w:rPr>
              <w:t xml:space="preserve">开户银行：广西北部湾银行股份有限公司南宁市云景支行 </w:t>
            </w:r>
          </w:p>
          <w:p>
            <w:pPr>
              <w:pStyle w:val="12"/>
              <w:snapToGrid w:val="0"/>
              <w:spacing w:line="400" w:lineRule="exact"/>
              <w:rPr>
                <w:rFonts w:hint="eastAsia" w:hAnsi="宋体" w:cs="宋体"/>
                <w:sz w:val="21"/>
                <w:lang w:val="en-US" w:eastAsia="zh-CN"/>
              </w:rPr>
            </w:pPr>
            <w:r>
              <w:rPr>
                <w:rFonts w:hint="eastAsia" w:hAnsi="宋体" w:cs="宋体"/>
                <w:sz w:val="21"/>
                <w:lang w:val="en-US" w:eastAsia="zh-CN"/>
              </w:rPr>
              <w:t xml:space="preserve">银行账号：805022084200001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Cs w:val="21"/>
              </w:rPr>
            </w:pPr>
            <w:r>
              <w:rPr>
                <w:rFonts w:ascii="宋体" w:hAnsi="宋体"/>
                <w:szCs w:val="21"/>
              </w:rPr>
              <w:t>40.1</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Cs w:val="21"/>
              </w:rPr>
            </w:pPr>
            <w:r>
              <w:rPr>
                <w:rFonts w:ascii="宋体" w:hAnsi="宋体"/>
                <w:szCs w:val="21"/>
              </w:rPr>
              <w:t>40.2</w:t>
            </w:r>
          </w:p>
        </w:tc>
        <w:tc>
          <w:tcPr>
            <w:tcW w:w="8708"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400" w:lineRule="exact"/>
              <w:rPr>
                <w:rFonts w:hint="eastAsia" w:hAnsi="宋体" w:cs="宋体"/>
                <w:bCs/>
                <w:sz w:val="21"/>
                <w:lang w:val="en-US" w:eastAsia="zh-CN"/>
              </w:rPr>
            </w:pPr>
            <w:r>
              <w:rPr>
                <w:rFonts w:hint="eastAsia" w:hAnsi="宋体" w:cs="宋体"/>
                <w:bCs/>
                <w:sz w:val="21"/>
                <w:lang w:val="en-US" w:eastAsia="zh-CN"/>
              </w:rPr>
              <w:t>1、本招标文件中描述投标人的“公章”是指根据我国对公章的管理规定，用投标人法定主体行为名称制作的印章（含电子印章），除本招标文件有特殊规定外，投标人的财务章、部门章、分公司章、工会章、合同章、投标专用章、业务专用章及银行的转账章、现金收讫章、现金付讫章等其他形式印章均不能代替公章。</w:t>
            </w:r>
          </w:p>
          <w:p>
            <w:pPr>
              <w:pStyle w:val="12"/>
              <w:snapToGrid w:val="0"/>
              <w:spacing w:line="400" w:lineRule="exact"/>
              <w:rPr>
                <w:rFonts w:hint="eastAsia" w:hAnsi="宋体" w:cs="宋体"/>
                <w:bCs/>
                <w:sz w:val="21"/>
                <w:lang w:val="en-US" w:eastAsia="zh-CN"/>
              </w:rPr>
            </w:pPr>
            <w:r>
              <w:rPr>
                <w:rFonts w:hint="eastAsia" w:hAnsi="宋体" w:cs="宋体"/>
                <w:bCs/>
                <w:sz w:val="21"/>
                <w:lang w:val="en-US" w:eastAsia="zh-CN"/>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2"/>
              <w:snapToGrid w:val="0"/>
              <w:spacing w:line="400" w:lineRule="exact"/>
              <w:rPr>
                <w:rFonts w:hint="eastAsia" w:hAnsi="宋体" w:cs="宋体"/>
                <w:bCs/>
                <w:sz w:val="21"/>
                <w:lang w:val="en-US" w:eastAsia="zh-CN"/>
              </w:rPr>
            </w:pPr>
            <w:r>
              <w:rPr>
                <w:rFonts w:hint="eastAsia" w:hAnsi="宋体" w:cs="宋体"/>
                <w:bCs/>
                <w:sz w:val="21"/>
                <w:lang w:val="en-US" w:eastAsia="zh-CN"/>
              </w:rPr>
              <w:t>3、本招标文件中描述投标人的“签字”是指投标人的法定代表人或者委托代理人在文件规定签署处签名（含电子签名）的行为，私章、印鉴等其他形式均不能代替签字。</w:t>
            </w:r>
          </w:p>
          <w:p>
            <w:pPr>
              <w:pStyle w:val="12"/>
              <w:snapToGrid w:val="0"/>
              <w:spacing w:line="400" w:lineRule="exact"/>
              <w:rPr>
                <w:rFonts w:hint="eastAsia" w:hAnsi="宋体" w:cs="宋体"/>
                <w:bCs/>
                <w:sz w:val="21"/>
                <w:lang w:val="en-US" w:eastAsia="zh-CN"/>
              </w:rPr>
            </w:pPr>
            <w:r>
              <w:rPr>
                <w:rFonts w:hint="eastAsia" w:hAnsi="宋体" w:cs="宋体"/>
                <w:bCs/>
                <w:sz w:val="21"/>
                <w:lang w:val="en-US" w:eastAsia="zh-CN"/>
              </w:rPr>
              <w:t>4、自然人投标的，招标文件规定盖公章处由自然人摁手指指印。</w:t>
            </w:r>
          </w:p>
          <w:p>
            <w:pPr>
              <w:spacing w:line="400" w:lineRule="exact"/>
              <w:jc w:val="left"/>
              <w:rPr>
                <w:rFonts w:hint="eastAsia" w:ascii="宋体" w:hAnsi="宋体"/>
                <w:szCs w:val="21"/>
              </w:rPr>
            </w:pPr>
            <w:r>
              <w:rPr>
                <w:rFonts w:hint="eastAsia" w:ascii="宋体" w:hAnsi="宋体" w:cs="宋体"/>
                <w:bCs/>
                <w:kern w:val="0"/>
                <w:szCs w:val="21"/>
              </w:rPr>
              <w:t>5、本招标文件所称的“以上”“以下”“以内”“届满”，包括本数；所称的“不满”“超过”“以外”，不包括本数。</w:t>
            </w:r>
          </w:p>
        </w:tc>
      </w:tr>
    </w:tbl>
    <w:p>
      <w:pPr>
        <w:pStyle w:val="4"/>
        <w:keepNext w:val="0"/>
        <w:keepLines w:val="0"/>
        <w:jc w:val="center"/>
        <w:rPr>
          <w:rFonts w:hint="eastAsia"/>
        </w:rPr>
      </w:pPr>
      <w:r>
        <w:rPr>
          <w:rFonts w:hint="eastAsia"/>
        </w:rPr>
        <w:br w:type="page"/>
      </w:r>
      <w:r>
        <w:rPr>
          <w:rFonts w:hint="eastAsia"/>
        </w:rPr>
        <w:t>投标人须知正文</w:t>
      </w:r>
    </w:p>
    <w:p>
      <w:pPr>
        <w:pStyle w:val="4"/>
        <w:keepNext w:val="0"/>
        <w:keepLines w:val="0"/>
        <w:jc w:val="center"/>
        <w:rPr>
          <w:rFonts w:hint="eastAsia"/>
        </w:rPr>
      </w:pPr>
      <w:r>
        <w:rPr>
          <w:rFonts w:hint="eastAsia"/>
        </w:rPr>
        <w:t>一、总  则</w:t>
      </w:r>
    </w:p>
    <w:p>
      <w:pPr>
        <w:pStyle w:val="5"/>
        <w:keepNext w:val="0"/>
        <w:keepLines w:val="0"/>
        <w:spacing w:before="0" w:after="0" w:line="360" w:lineRule="auto"/>
        <w:ind w:left="420" w:leftChars="200"/>
        <w:rPr>
          <w:rFonts w:hint="eastAsia" w:ascii="黑体" w:hAnsi="黑体" w:eastAsia="黑体"/>
          <w:sz w:val="24"/>
        </w:rPr>
      </w:pPr>
      <w:bookmarkStart w:id="79" w:name="_Toc254970668"/>
      <w:bookmarkStart w:id="80" w:name="_Toc254970527"/>
      <w:r>
        <w:rPr>
          <w:rFonts w:hint="eastAsia" w:ascii="黑体" w:hAnsi="黑体" w:eastAsia="黑体"/>
          <w:sz w:val="24"/>
        </w:rPr>
        <w:t>1.适用范围</w:t>
      </w:r>
      <w:bookmarkEnd w:id="79"/>
      <w:bookmarkEnd w:id="80"/>
    </w:p>
    <w:p>
      <w:pPr>
        <w:snapToGrid w:val="0"/>
        <w:spacing w:line="360" w:lineRule="auto"/>
        <w:ind w:firstLine="420" w:firstLineChars="200"/>
        <w:jc w:val="left"/>
        <w:rPr>
          <w:rFonts w:hint="eastAsia"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pPr>
        <w:pStyle w:val="5"/>
        <w:keepNext w:val="0"/>
        <w:keepLines w:val="0"/>
        <w:spacing w:before="0" w:after="0" w:line="360" w:lineRule="auto"/>
        <w:ind w:left="420" w:leftChars="200"/>
        <w:rPr>
          <w:rFonts w:hint="eastAsia" w:ascii="黑体" w:hAnsi="黑体" w:eastAsia="黑体"/>
          <w:sz w:val="24"/>
        </w:rPr>
      </w:pPr>
      <w:bookmarkStart w:id="81" w:name="_Toc254970528"/>
      <w:bookmarkStart w:id="82" w:name="_Toc254970669"/>
      <w:r>
        <w:rPr>
          <w:rFonts w:hint="eastAsia" w:ascii="黑体" w:hAnsi="黑体" w:eastAsia="黑体"/>
          <w:sz w:val="24"/>
        </w:rPr>
        <w:t>2.定义</w:t>
      </w:r>
      <w:bookmarkEnd w:id="81"/>
      <w:bookmarkEnd w:id="82"/>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2.1“采购人”是指依法进行政府采购的国家机关、事业单位、团体组织。</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2.3“投标人”是指向采购人提供货物、工程或者服务的法人、其他组织或者自然人。</w:t>
      </w:r>
    </w:p>
    <w:p>
      <w:pPr>
        <w:pStyle w:val="6"/>
        <w:spacing w:line="360" w:lineRule="auto"/>
        <w:rPr>
          <w:rFonts w:hint="eastAsia" w:ascii="宋体" w:hAnsi="宋体"/>
          <w:szCs w:val="21"/>
        </w:rPr>
      </w:pPr>
      <w:r>
        <w:rPr>
          <w:rFonts w:hint="eastAsia" w:ascii="宋体" w:hAnsi="宋体"/>
          <w:szCs w:val="21"/>
        </w:rPr>
        <w:t>2.4“投标人”是指响应招标、参加投标竞争的法人、其他组织或者自然人。</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2.5“货物”是指各种形态和种类的物品，包括原材料、燃料、设备、产品等；“服务”是指除货物和工程以外的其他政府采购对象。</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pPr>
        <w:pStyle w:val="5"/>
        <w:keepNext w:val="0"/>
        <w:keepLines w:val="0"/>
        <w:spacing w:before="0" w:after="0" w:line="360" w:lineRule="auto"/>
        <w:rPr>
          <w:rFonts w:hint="eastAsia"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ascii="宋体" w:hAnsi="宋体" w:cs="宋体"/>
          <w:szCs w:val="21"/>
        </w:rPr>
        <w:t>2.10</w:t>
      </w:r>
      <w:r>
        <w:rPr>
          <w:rFonts w:hint="eastAsia" w:ascii="宋体" w:hAnsi="宋体" w:cs="宋体"/>
          <w:szCs w:val="21"/>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szCs w:val="21"/>
        </w:rPr>
      </w:pPr>
      <w:r>
        <w:rPr>
          <w:rFonts w:hint="eastAsia" w:ascii="宋体" w:hAnsi="宋体"/>
          <w:szCs w:val="21"/>
        </w:rPr>
        <w:t>2.1</w:t>
      </w:r>
      <w:r>
        <w:rPr>
          <w:rFonts w:ascii="宋体" w:hAnsi="宋体"/>
          <w:szCs w:val="21"/>
        </w:rPr>
        <w:t>1</w:t>
      </w:r>
      <w:r>
        <w:rPr>
          <w:rFonts w:hint="eastAsia" w:ascii="宋体" w:hAnsi="宋体" w:cs="宋体"/>
          <w:szCs w:val="21"/>
        </w:rPr>
        <w:t>“允许负偏离的条款”是指采购需求中的不属于“实质性要求”的条款。</w:t>
      </w:r>
      <w:bookmarkStart w:id="83" w:name="_Toc254970670"/>
      <w:bookmarkStart w:id="84" w:name="_Toc254970529"/>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w:t>
      </w:r>
      <w:bookmarkEnd w:id="83"/>
      <w:bookmarkEnd w:id="84"/>
      <w:r>
        <w:rPr>
          <w:rFonts w:hint="eastAsia" w:ascii="黑体" w:hAnsi="黑体" w:eastAsia="黑体"/>
          <w:sz w:val="24"/>
        </w:rPr>
        <w:t>投标人的资格要求</w:t>
      </w:r>
    </w:p>
    <w:p>
      <w:pPr>
        <w:snapToGrid w:val="0"/>
        <w:spacing w:line="360" w:lineRule="auto"/>
        <w:ind w:firstLine="420" w:firstLineChars="200"/>
        <w:jc w:val="left"/>
        <w:rPr>
          <w:rFonts w:hint="eastAsia" w:ascii="宋体" w:hAnsi="宋体"/>
          <w:szCs w:val="21"/>
        </w:rPr>
      </w:pPr>
      <w:r>
        <w:rPr>
          <w:rFonts w:hint="eastAsia" w:ascii="宋体" w:hAnsi="宋体"/>
          <w:szCs w:val="21"/>
        </w:rPr>
        <w:t>投标人的资格要求详见“投标人须知前附表”。</w:t>
      </w:r>
    </w:p>
    <w:p>
      <w:pPr>
        <w:pStyle w:val="5"/>
        <w:keepNext w:val="0"/>
        <w:keepLines w:val="0"/>
        <w:spacing w:before="0" w:after="0" w:line="360" w:lineRule="auto"/>
        <w:ind w:left="420" w:leftChars="200"/>
        <w:rPr>
          <w:rFonts w:hint="eastAsia" w:ascii="黑体" w:hAnsi="黑体" w:eastAsia="黑体"/>
          <w:sz w:val="24"/>
        </w:rPr>
      </w:pPr>
      <w:bookmarkStart w:id="85" w:name="_Toc254970530"/>
      <w:bookmarkStart w:id="86" w:name="_Toc254970671"/>
      <w:r>
        <w:rPr>
          <w:rFonts w:hint="eastAsia" w:ascii="黑体" w:hAnsi="黑体" w:eastAsia="黑体"/>
          <w:sz w:val="24"/>
        </w:rPr>
        <w:t>4.投标委托</w:t>
      </w:r>
      <w:bookmarkEnd w:id="85"/>
      <w:bookmarkEnd w:id="86"/>
    </w:p>
    <w:p>
      <w:pPr>
        <w:snapToGrid w:val="0"/>
        <w:spacing w:line="360" w:lineRule="auto"/>
        <w:ind w:firstLine="420" w:firstLineChars="200"/>
        <w:jc w:val="left"/>
        <w:rPr>
          <w:rFonts w:hint="eastAsia" w:ascii="宋体" w:hAnsi="宋体"/>
          <w:szCs w:val="21"/>
        </w:rPr>
      </w:pPr>
      <w:r>
        <w:rPr>
          <w:rFonts w:hint="eastAsia" w:ascii="宋体" w:hAnsi="宋体"/>
          <w:szCs w:val="21"/>
        </w:rPr>
        <w:t>投标人代表参加投标活动过程中必须携带个人有效身份证件。如投标人代表不是法定代表人，须持有授权委托书（按第六章要求格式填写）。</w:t>
      </w:r>
    </w:p>
    <w:p>
      <w:pPr>
        <w:pStyle w:val="5"/>
        <w:keepNext w:val="0"/>
        <w:keepLines w:val="0"/>
        <w:spacing w:before="0" w:after="0" w:line="360" w:lineRule="auto"/>
        <w:ind w:left="420" w:leftChars="200"/>
        <w:rPr>
          <w:rFonts w:hint="eastAsia" w:ascii="黑体" w:hAnsi="黑体" w:eastAsia="黑体"/>
          <w:sz w:val="24"/>
        </w:rPr>
      </w:pPr>
      <w:bookmarkStart w:id="87" w:name="_5.投标费用"/>
      <w:bookmarkEnd w:id="87"/>
      <w:bookmarkStart w:id="88" w:name="_Toc254970672"/>
      <w:bookmarkStart w:id="89" w:name="_Toc254970531"/>
      <w:r>
        <w:rPr>
          <w:rFonts w:hint="eastAsia" w:ascii="黑体" w:hAnsi="黑体" w:eastAsia="黑体"/>
          <w:sz w:val="24"/>
        </w:rPr>
        <w:t>5.投标费用</w:t>
      </w:r>
      <w:bookmarkEnd w:id="88"/>
      <w:bookmarkEnd w:id="89"/>
    </w:p>
    <w:p>
      <w:pPr>
        <w:snapToGrid w:val="0"/>
        <w:spacing w:line="360" w:lineRule="auto"/>
        <w:ind w:firstLine="420" w:firstLineChars="200"/>
        <w:jc w:val="left"/>
        <w:rPr>
          <w:rFonts w:hint="eastAsia"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6.联合体投标</w:t>
      </w:r>
    </w:p>
    <w:p>
      <w:pPr>
        <w:snapToGrid w:val="0"/>
        <w:spacing w:line="360" w:lineRule="auto"/>
        <w:ind w:firstLine="420" w:firstLineChars="200"/>
        <w:jc w:val="left"/>
        <w:rPr>
          <w:rFonts w:ascii="宋体" w:hAnsi="宋体"/>
          <w:szCs w:val="21"/>
        </w:rPr>
      </w:pPr>
      <w:r>
        <w:rPr>
          <w:rFonts w:hint="eastAsia" w:ascii="宋体" w:hAnsi="宋体"/>
          <w:szCs w:val="21"/>
        </w:rPr>
        <w:t>6.1本项目是否接受联合体投标，详见“投标人须知前附表”。</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 xml:space="preserve">7.转包与分包             </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7.1本项目不允许转包。</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keepNext w:val="0"/>
        <w:keepLines w:val="0"/>
        <w:spacing w:before="0" w:after="0" w:line="360" w:lineRule="auto"/>
        <w:ind w:left="420" w:leftChars="200"/>
        <w:rPr>
          <w:rFonts w:hint="eastAsia" w:ascii="黑体" w:hAnsi="黑体" w:eastAsia="黑体"/>
          <w:sz w:val="24"/>
        </w:rPr>
      </w:pPr>
      <w:bookmarkStart w:id="90" w:name="_Toc254970673"/>
      <w:bookmarkStart w:id="91" w:name="_Toc254970532"/>
      <w:r>
        <w:rPr>
          <w:rFonts w:hint="eastAsia" w:ascii="黑体" w:hAnsi="黑体" w:eastAsia="黑体"/>
          <w:sz w:val="24"/>
        </w:rPr>
        <w:t>8.特别说明</w:t>
      </w:r>
      <w:bookmarkEnd w:id="90"/>
      <w:bookmarkEnd w:id="91"/>
    </w:p>
    <w:p>
      <w:pPr>
        <w:pStyle w:val="5"/>
        <w:keepNext w:val="0"/>
        <w:keepLines w:val="0"/>
        <w:spacing w:before="0" w:after="0" w:line="360" w:lineRule="auto"/>
        <w:ind w:firstLine="315" w:firstLineChars="150"/>
        <w:rPr>
          <w:rFonts w:hint="eastAsia" w:ascii="宋体" w:hAnsi="宋体"/>
          <w:b w:val="0"/>
          <w:sz w:val="21"/>
          <w:szCs w:val="21"/>
        </w:rPr>
      </w:pPr>
      <w:bookmarkStart w:id="92" w:name="_8.1提供相同品牌产品且通过资格审查、符合性审查的不同投标人参加同一合"/>
      <w:bookmarkEnd w:id="92"/>
      <w:r>
        <w:rPr>
          <w:rFonts w:hint="eastAsia" w:ascii="宋体" w:hAnsi="宋体"/>
          <w:b w:val="0"/>
          <w:sz w:val="21"/>
          <w:szCs w:val="21"/>
        </w:rPr>
        <w:t>8.1如果本招标文件要求提供投标人或制造商的资格、信誉、荣誉、业绩与企业认证等材料的，资格、信誉、荣誉、业绩与企业认证等必须为投标人或者制造商所拥有或自身获得 。</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8.2投标人应仔细阅读招标文件的所有内容，按照招标文件的要求提交投标文件，并对所提供的全部资料的真实性承担法律责任。</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8.3投标人在投标活动中提供任何虚假材料，将报监管部门查处；中标后发现的，中标人须依法赔偿采购人，且民事赔偿并不免除违法投标人的行政与刑事责任。</w:t>
      </w:r>
    </w:p>
    <w:p>
      <w:pPr>
        <w:pStyle w:val="5"/>
        <w:keepNext w:val="0"/>
        <w:keepLines w:val="0"/>
        <w:spacing w:before="0" w:after="0" w:line="360" w:lineRule="auto"/>
        <w:ind w:left="420" w:leftChars="200"/>
        <w:rPr>
          <w:rFonts w:ascii="黑体" w:hAnsi="黑体" w:eastAsia="黑体"/>
          <w:sz w:val="24"/>
        </w:rPr>
      </w:pPr>
      <w:r>
        <w:rPr>
          <w:rFonts w:ascii="黑体" w:hAnsi="黑体" w:eastAsia="黑体"/>
          <w:sz w:val="24"/>
        </w:rPr>
        <w:t>9.</w:t>
      </w:r>
      <w:r>
        <w:rPr>
          <w:rFonts w:hint="eastAsia" w:ascii="黑体" w:hAnsi="黑体" w:eastAsia="黑体"/>
          <w:sz w:val="24"/>
        </w:rPr>
        <w:t>回避与串通投标</w:t>
      </w:r>
    </w:p>
    <w:p>
      <w:pPr>
        <w:pStyle w:val="5"/>
        <w:keepNext w:val="0"/>
        <w:keepLines w:val="0"/>
        <w:spacing w:before="0" w:after="0" w:line="360" w:lineRule="auto"/>
        <w:ind w:firstLine="367" w:firstLineChars="175"/>
        <w:rPr>
          <w:rFonts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投标人</w:t>
      </w:r>
      <w:r>
        <w:rPr>
          <w:rFonts w:ascii="宋体" w:hAnsi="宋体"/>
          <w:b w:val="0"/>
          <w:sz w:val="21"/>
          <w:szCs w:val="21"/>
        </w:rPr>
        <w:t>有下列利害关系之一的，应当回避：</w:t>
      </w:r>
    </w:p>
    <w:p>
      <w:pPr>
        <w:pStyle w:val="12"/>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投标人</w:t>
      </w:r>
      <w:r>
        <w:rPr>
          <w:rFonts w:hAnsi="宋体"/>
          <w:kern w:val="2"/>
          <w:sz w:val="21"/>
        </w:rPr>
        <w:t>存在劳动关系；</w:t>
      </w:r>
    </w:p>
    <w:p>
      <w:pPr>
        <w:pStyle w:val="12"/>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投标人</w:t>
      </w:r>
      <w:r>
        <w:rPr>
          <w:rFonts w:hAnsi="宋体"/>
          <w:kern w:val="2"/>
          <w:sz w:val="21"/>
        </w:rPr>
        <w:t>的董事、监事；</w:t>
      </w:r>
    </w:p>
    <w:p>
      <w:pPr>
        <w:pStyle w:val="12"/>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投标人</w:t>
      </w:r>
      <w:r>
        <w:rPr>
          <w:rFonts w:hAnsi="宋体"/>
          <w:kern w:val="2"/>
          <w:sz w:val="21"/>
        </w:rPr>
        <w:t>的控股股东或者实际控制人；</w:t>
      </w:r>
    </w:p>
    <w:p>
      <w:pPr>
        <w:pStyle w:val="12"/>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投标人</w:t>
      </w:r>
      <w:r>
        <w:rPr>
          <w:rFonts w:hAnsi="宋体"/>
          <w:kern w:val="2"/>
          <w:sz w:val="21"/>
        </w:rPr>
        <w:t>的法定代表人或者负责人有夫妻、直系血亲、三代以内旁系血亲或者近姻亲关系；</w:t>
      </w:r>
    </w:p>
    <w:p>
      <w:pPr>
        <w:pStyle w:val="12"/>
        <w:snapToGrid w:val="0"/>
        <w:spacing w:line="360" w:lineRule="auto"/>
        <w:ind w:left="2" w:leftChars="1" w:firstLine="420" w:firstLineChars="200"/>
        <w:rPr>
          <w:rFonts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投标人</w:t>
      </w:r>
      <w:r>
        <w:rPr>
          <w:rFonts w:hAnsi="宋体"/>
          <w:kern w:val="2"/>
          <w:sz w:val="21"/>
        </w:rPr>
        <w:t>有其他可能影响政府采购活动公平、公正进行的关系。</w:t>
      </w:r>
    </w:p>
    <w:p>
      <w:pPr>
        <w:pStyle w:val="12"/>
        <w:snapToGrid w:val="0"/>
        <w:spacing w:line="360" w:lineRule="auto"/>
        <w:ind w:left="2" w:leftChars="1" w:firstLine="420" w:firstLineChars="200"/>
        <w:rPr>
          <w:rFonts w:hint="eastAsia" w:hAnsi="宋体"/>
          <w:kern w:val="2"/>
          <w:sz w:val="21"/>
        </w:rPr>
      </w:pPr>
      <w:r>
        <w:rPr>
          <w:rFonts w:hint="eastAsia" w:hAnsi="宋体"/>
          <w:kern w:val="2"/>
          <w:sz w:val="21"/>
        </w:rPr>
        <w:t>投标人</w:t>
      </w:r>
      <w:r>
        <w:rPr>
          <w:rFonts w:hAnsi="宋体"/>
          <w:kern w:val="2"/>
          <w:sz w:val="21"/>
        </w:rPr>
        <w:t>认为采购人员及相关人员与其他</w:t>
      </w:r>
      <w:r>
        <w:rPr>
          <w:rFonts w:hint="eastAsia" w:hAnsi="宋体"/>
          <w:kern w:val="2"/>
          <w:sz w:val="21"/>
        </w:rPr>
        <w:t>投标人</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spacing w:before="0" w:after="0" w:line="360" w:lineRule="auto"/>
        <w:ind w:left="420" w:leftChars="200"/>
        <w:rPr>
          <w:rFonts w:hint="eastAsia"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pPr>
        <w:pStyle w:val="12"/>
        <w:snapToGrid w:val="0"/>
        <w:spacing w:line="360" w:lineRule="auto"/>
        <w:ind w:left="2" w:leftChars="1" w:firstLine="422" w:firstLineChars="200"/>
        <w:rPr>
          <w:rFonts w:hint="eastAsia" w:hAnsi="宋体"/>
          <w:b/>
          <w:kern w:val="2"/>
          <w:sz w:val="21"/>
        </w:rPr>
      </w:pPr>
      <w:r>
        <w:rPr>
          <w:rFonts w:hint="eastAsia" w:hAnsi="宋体"/>
          <w:b/>
          <w:kern w:val="2"/>
          <w:sz w:val="21"/>
        </w:rPr>
        <w:t xml:space="preserve">（1）不同投标人的投标文件由同一单位或者个人编制； </w:t>
      </w:r>
    </w:p>
    <w:p>
      <w:pPr>
        <w:pStyle w:val="12"/>
        <w:snapToGrid w:val="0"/>
        <w:spacing w:line="360" w:lineRule="auto"/>
        <w:ind w:left="2" w:leftChars="1" w:firstLine="422" w:firstLineChars="200"/>
        <w:rPr>
          <w:rFonts w:hint="eastAsia" w:hAnsi="宋体"/>
          <w:b/>
          <w:kern w:val="2"/>
          <w:sz w:val="21"/>
        </w:rPr>
      </w:pPr>
      <w:r>
        <w:rPr>
          <w:rFonts w:hint="eastAsia" w:hAnsi="宋体"/>
          <w:b/>
          <w:kern w:val="2"/>
          <w:sz w:val="21"/>
        </w:rPr>
        <w:t>（2）不同投标人委托同一单位或者个人办理投标事宜；</w:t>
      </w:r>
    </w:p>
    <w:p>
      <w:pPr>
        <w:pStyle w:val="12"/>
        <w:snapToGrid w:val="0"/>
        <w:spacing w:line="360" w:lineRule="auto"/>
        <w:ind w:left="2" w:leftChars="1" w:firstLine="422" w:firstLineChars="200"/>
        <w:rPr>
          <w:rFonts w:hint="eastAsia" w:hAnsi="宋体"/>
          <w:b/>
          <w:kern w:val="2"/>
          <w:sz w:val="21"/>
        </w:rPr>
      </w:pPr>
      <w:r>
        <w:rPr>
          <w:rFonts w:hint="eastAsia" w:hAnsi="宋体"/>
          <w:b/>
          <w:kern w:val="2"/>
          <w:sz w:val="21"/>
        </w:rPr>
        <w:t>（3）不同的投标人的投标文件载明的项目管理员为同一个人；</w:t>
      </w:r>
    </w:p>
    <w:p>
      <w:pPr>
        <w:pStyle w:val="12"/>
        <w:snapToGrid w:val="0"/>
        <w:spacing w:line="360" w:lineRule="auto"/>
        <w:ind w:left="2" w:leftChars="1" w:firstLine="422" w:firstLineChars="200"/>
        <w:rPr>
          <w:rFonts w:hint="eastAsia" w:hAnsi="宋体"/>
          <w:b/>
          <w:kern w:val="2"/>
          <w:sz w:val="21"/>
        </w:rPr>
      </w:pPr>
      <w:r>
        <w:rPr>
          <w:rFonts w:hint="eastAsia" w:hAnsi="宋体"/>
          <w:b/>
          <w:kern w:val="2"/>
          <w:sz w:val="21"/>
        </w:rPr>
        <w:t>（4）不同投标人的投标文件异常一致或者投标报价呈规律性差异；</w:t>
      </w:r>
    </w:p>
    <w:p>
      <w:pPr>
        <w:pStyle w:val="12"/>
        <w:snapToGrid w:val="0"/>
        <w:spacing w:line="360" w:lineRule="auto"/>
        <w:ind w:left="2" w:leftChars="1" w:firstLine="422" w:firstLineChars="200"/>
        <w:rPr>
          <w:rFonts w:hint="eastAsia" w:hAnsi="宋体"/>
          <w:b/>
          <w:kern w:val="2"/>
          <w:sz w:val="21"/>
        </w:rPr>
      </w:pPr>
      <w:r>
        <w:rPr>
          <w:rFonts w:hint="eastAsia" w:hAnsi="宋体"/>
          <w:b/>
          <w:kern w:val="2"/>
          <w:sz w:val="21"/>
        </w:rPr>
        <w:t>（5）不同投标人的投标文件相互混装；</w:t>
      </w:r>
    </w:p>
    <w:p>
      <w:pPr>
        <w:pStyle w:val="12"/>
        <w:snapToGrid w:val="0"/>
        <w:spacing w:line="360" w:lineRule="auto"/>
        <w:ind w:left="2" w:leftChars="1" w:firstLine="422" w:firstLineChars="200"/>
        <w:rPr>
          <w:rFonts w:hint="eastAsia" w:hAnsi="宋体"/>
          <w:b/>
          <w:kern w:val="2"/>
          <w:sz w:val="21"/>
        </w:rPr>
      </w:pPr>
      <w:r>
        <w:rPr>
          <w:rFonts w:hint="eastAsia" w:hAnsi="宋体"/>
          <w:b/>
          <w:kern w:val="2"/>
          <w:sz w:val="21"/>
        </w:rPr>
        <w:t>（6）不同投标人的投标保证金从同一单位或者个人账户转出。</w:t>
      </w:r>
    </w:p>
    <w:p>
      <w:pPr>
        <w:pStyle w:val="5"/>
        <w:keepNext w:val="0"/>
        <w:keepLines w:val="0"/>
        <w:spacing w:before="0" w:after="0" w:line="360" w:lineRule="auto"/>
        <w:ind w:left="420" w:leftChars="200"/>
        <w:rPr>
          <w:rFonts w:hint="eastAsia" w:ascii="宋体" w:hAnsi="宋体"/>
          <w:b w:val="0"/>
          <w:sz w:val="21"/>
          <w:szCs w:val="21"/>
        </w:rPr>
      </w:pPr>
      <w:r>
        <w:rPr>
          <w:rFonts w:ascii="宋体" w:hAnsi="宋体"/>
          <w:b w:val="0"/>
          <w:sz w:val="21"/>
          <w:szCs w:val="21"/>
        </w:rPr>
        <w:t>9.3</w:t>
      </w:r>
      <w:r>
        <w:rPr>
          <w:rFonts w:hint="eastAsia" w:ascii="宋体" w:hAnsi="宋体"/>
          <w:b w:val="0"/>
          <w:sz w:val="21"/>
          <w:szCs w:val="21"/>
        </w:rPr>
        <w:t>投标人有下列情形之一的，属于恶意串通行为，将报同级监督管理部门：</w:t>
      </w:r>
    </w:p>
    <w:p>
      <w:pPr>
        <w:pStyle w:val="12"/>
        <w:snapToGrid w:val="0"/>
        <w:spacing w:line="360" w:lineRule="auto"/>
        <w:ind w:left="2" w:leftChars="1" w:firstLine="420" w:firstLineChars="200"/>
        <w:rPr>
          <w:rFonts w:hint="eastAsia" w:hAnsi="宋体"/>
          <w:kern w:val="2"/>
          <w:sz w:val="21"/>
        </w:rPr>
      </w:pPr>
      <w:r>
        <w:rPr>
          <w:rFonts w:hint="eastAsia" w:hAnsi="宋体"/>
          <w:kern w:val="2"/>
          <w:sz w:val="21"/>
        </w:rPr>
        <w:t>（1）投标人直接或者间接从采购人或者采购代理机构处获得其他投标人的相关信息并修改其投标文件或者投标文件；</w:t>
      </w:r>
    </w:p>
    <w:p>
      <w:pPr>
        <w:pStyle w:val="12"/>
        <w:snapToGrid w:val="0"/>
        <w:spacing w:line="360" w:lineRule="auto"/>
        <w:ind w:left="2" w:leftChars="1" w:firstLine="420" w:firstLineChars="200"/>
        <w:rPr>
          <w:rFonts w:hint="eastAsia" w:hAnsi="宋体"/>
          <w:kern w:val="2"/>
          <w:sz w:val="21"/>
        </w:rPr>
      </w:pPr>
      <w:r>
        <w:rPr>
          <w:rFonts w:hint="eastAsia" w:hAnsi="宋体"/>
          <w:kern w:val="2"/>
          <w:sz w:val="21"/>
        </w:rPr>
        <w:t>（2）投标人按照采购人或者采购代理机构的授意撤换、修改投标文件或者投标文件；</w:t>
      </w:r>
    </w:p>
    <w:p>
      <w:pPr>
        <w:pStyle w:val="12"/>
        <w:snapToGrid w:val="0"/>
        <w:spacing w:line="360" w:lineRule="auto"/>
        <w:ind w:left="2" w:leftChars="1" w:firstLine="420" w:firstLineChars="200"/>
        <w:rPr>
          <w:rFonts w:hint="eastAsia" w:hAnsi="宋体"/>
          <w:kern w:val="2"/>
          <w:sz w:val="21"/>
        </w:rPr>
      </w:pPr>
      <w:r>
        <w:rPr>
          <w:rFonts w:hint="eastAsia" w:hAnsi="宋体"/>
          <w:kern w:val="2"/>
          <w:sz w:val="21"/>
        </w:rPr>
        <w:t>（3）投标人之间协商报价、技术方案等投标文件或者投标文件的实质性内容；</w:t>
      </w:r>
    </w:p>
    <w:p>
      <w:pPr>
        <w:pStyle w:val="12"/>
        <w:snapToGrid w:val="0"/>
        <w:spacing w:line="360" w:lineRule="auto"/>
        <w:ind w:left="2" w:leftChars="1" w:firstLine="420" w:firstLineChars="200"/>
        <w:rPr>
          <w:rFonts w:hint="eastAsia" w:hAnsi="宋体"/>
          <w:kern w:val="2"/>
          <w:sz w:val="21"/>
        </w:rPr>
      </w:pPr>
      <w:r>
        <w:rPr>
          <w:rFonts w:hint="eastAsia" w:hAnsi="宋体"/>
          <w:kern w:val="2"/>
          <w:sz w:val="21"/>
        </w:rPr>
        <w:t>（4）属于同一集团、协会、商会等组织成员的投标人按照该组织要求协同参加政府采购活动；</w:t>
      </w:r>
    </w:p>
    <w:p>
      <w:pPr>
        <w:pStyle w:val="12"/>
        <w:snapToGrid w:val="0"/>
        <w:spacing w:line="360" w:lineRule="auto"/>
        <w:ind w:left="2" w:leftChars="1" w:firstLine="420" w:firstLineChars="200"/>
        <w:rPr>
          <w:rFonts w:hint="eastAsia" w:hAnsi="宋体"/>
          <w:kern w:val="2"/>
          <w:sz w:val="21"/>
        </w:rPr>
      </w:pPr>
      <w:r>
        <w:rPr>
          <w:rFonts w:hint="eastAsia" w:hAnsi="宋体"/>
          <w:kern w:val="2"/>
          <w:sz w:val="21"/>
        </w:rPr>
        <w:t>（5）投标人之间事先约定一致抬高或者压低投标报价，或者在招标项目中事先约定轮流以高价位或者低价位中标，或者事先约定由某一特定投标人中标，然后再参加投标；</w:t>
      </w:r>
    </w:p>
    <w:p>
      <w:pPr>
        <w:pStyle w:val="12"/>
        <w:snapToGrid w:val="0"/>
        <w:spacing w:line="360" w:lineRule="auto"/>
        <w:ind w:left="2" w:leftChars="1" w:firstLine="420" w:firstLineChars="200"/>
        <w:rPr>
          <w:rFonts w:hint="eastAsia" w:hAnsi="宋体"/>
          <w:kern w:val="2"/>
          <w:sz w:val="21"/>
        </w:rPr>
      </w:pPr>
      <w:r>
        <w:rPr>
          <w:rFonts w:hint="eastAsia" w:hAnsi="宋体"/>
          <w:kern w:val="2"/>
          <w:sz w:val="21"/>
        </w:rPr>
        <w:t>（6）投标人之间商定部分投标人放弃参加政府采购活动或者放弃中标；</w:t>
      </w:r>
    </w:p>
    <w:p>
      <w:pPr>
        <w:pStyle w:val="12"/>
        <w:snapToGrid w:val="0"/>
        <w:spacing w:line="360" w:lineRule="auto"/>
        <w:ind w:left="2" w:leftChars="1" w:firstLine="420" w:firstLineChars="200"/>
        <w:rPr>
          <w:rFonts w:hAnsi="宋体"/>
          <w:kern w:val="2"/>
          <w:sz w:val="21"/>
        </w:rPr>
      </w:pPr>
      <w:r>
        <w:rPr>
          <w:rFonts w:hint="eastAsia" w:hAnsi="宋体"/>
          <w:kern w:val="2"/>
          <w:sz w:val="21"/>
        </w:rPr>
        <w:t>（7）投标人与采购人或者采购代理机构之间、投标人相互之间，为谋求特定投标人中标或者排斥其他投标人的其他串通行为。</w:t>
      </w:r>
    </w:p>
    <w:p>
      <w:pPr>
        <w:pStyle w:val="12"/>
        <w:snapToGrid w:val="0"/>
        <w:spacing w:line="360" w:lineRule="auto"/>
        <w:ind w:left="2" w:leftChars="1" w:firstLine="422" w:firstLineChars="200"/>
        <w:rPr>
          <w:rFonts w:hint="eastAsia" w:hAnsi="宋体"/>
          <w:b/>
          <w:kern w:val="2"/>
          <w:sz w:val="21"/>
        </w:rPr>
      </w:pPr>
    </w:p>
    <w:p>
      <w:pPr>
        <w:pStyle w:val="4"/>
        <w:keepNext w:val="0"/>
        <w:keepLines w:val="0"/>
        <w:jc w:val="center"/>
        <w:rPr>
          <w:rFonts w:hint="eastAsia"/>
        </w:rPr>
      </w:pPr>
      <w:bookmarkStart w:id="93" w:name="_Toc254970534"/>
      <w:bookmarkStart w:id="94" w:name="_Toc254970675"/>
      <w:r>
        <w:rPr>
          <w:rFonts w:hint="eastAsia"/>
        </w:rPr>
        <w:t>二、招标文件</w:t>
      </w:r>
      <w:bookmarkEnd w:id="93"/>
      <w:bookmarkEnd w:id="94"/>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10.招标文件的组成</w:t>
      </w:r>
    </w:p>
    <w:p>
      <w:pPr>
        <w:snapToGrid w:val="0"/>
        <w:spacing w:line="360" w:lineRule="auto"/>
        <w:ind w:firstLine="420"/>
        <w:jc w:val="left"/>
        <w:rPr>
          <w:rFonts w:hint="eastAsia" w:ascii="宋体" w:hAnsi="宋体"/>
          <w:szCs w:val="21"/>
        </w:rPr>
      </w:pPr>
      <w:r>
        <w:rPr>
          <w:rFonts w:hint="eastAsia" w:ascii="宋体" w:hAnsi="宋体"/>
          <w:szCs w:val="21"/>
        </w:rPr>
        <w:t>（1）招标公告；</w:t>
      </w:r>
    </w:p>
    <w:p>
      <w:pPr>
        <w:snapToGrid w:val="0"/>
        <w:spacing w:line="360" w:lineRule="auto"/>
        <w:ind w:firstLine="420"/>
        <w:jc w:val="left"/>
        <w:rPr>
          <w:rFonts w:hint="eastAsia" w:ascii="宋体" w:hAnsi="宋体"/>
          <w:szCs w:val="21"/>
        </w:rPr>
      </w:pPr>
      <w:r>
        <w:rPr>
          <w:rFonts w:hint="eastAsia" w:ascii="宋体" w:hAnsi="宋体"/>
          <w:szCs w:val="21"/>
        </w:rPr>
        <w:t xml:space="preserve">（2）采购需求； </w:t>
      </w:r>
    </w:p>
    <w:p>
      <w:pPr>
        <w:snapToGrid w:val="0"/>
        <w:spacing w:line="360" w:lineRule="auto"/>
        <w:ind w:firstLine="420"/>
        <w:jc w:val="left"/>
        <w:rPr>
          <w:rFonts w:hint="eastAsia" w:ascii="宋体" w:hAnsi="宋体"/>
          <w:szCs w:val="21"/>
        </w:rPr>
      </w:pPr>
      <w:r>
        <w:rPr>
          <w:rFonts w:hint="eastAsia" w:ascii="宋体" w:hAnsi="宋体"/>
          <w:szCs w:val="21"/>
        </w:rPr>
        <w:t>（3）投标人须知；</w:t>
      </w:r>
    </w:p>
    <w:p>
      <w:pPr>
        <w:snapToGrid w:val="0"/>
        <w:spacing w:line="360" w:lineRule="auto"/>
        <w:ind w:firstLine="420"/>
        <w:jc w:val="left"/>
        <w:rPr>
          <w:rFonts w:hint="eastAsia" w:ascii="宋体" w:hAnsi="宋体"/>
          <w:szCs w:val="21"/>
        </w:rPr>
      </w:pPr>
      <w:r>
        <w:rPr>
          <w:rFonts w:hint="eastAsia" w:ascii="宋体" w:hAnsi="宋体"/>
          <w:szCs w:val="21"/>
        </w:rPr>
        <w:t>（4）评标方法及评标标准；</w:t>
      </w:r>
    </w:p>
    <w:p>
      <w:pPr>
        <w:snapToGrid w:val="0"/>
        <w:spacing w:line="360" w:lineRule="auto"/>
        <w:ind w:firstLine="420"/>
        <w:jc w:val="left"/>
        <w:rPr>
          <w:rFonts w:hint="eastAsia" w:ascii="宋体" w:hAnsi="宋体"/>
          <w:szCs w:val="21"/>
        </w:rPr>
      </w:pPr>
      <w:r>
        <w:rPr>
          <w:rFonts w:hint="eastAsia" w:ascii="宋体" w:hAnsi="宋体"/>
          <w:szCs w:val="21"/>
        </w:rPr>
        <w:t>（5）拟签订的合同文本；</w:t>
      </w:r>
    </w:p>
    <w:p>
      <w:pPr>
        <w:snapToGrid w:val="0"/>
        <w:spacing w:line="360" w:lineRule="auto"/>
        <w:ind w:firstLine="420"/>
        <w:jc w:val="left"/>
        <w:rPr>
          <w:rFonts w:hint="eastAsia" w:ascii="宋体" w:hAnsi="宋体"/>
          <w:szCs w:val="21"/>
        </w:rPr>
      </w:pPr>
      <w:r>
        <w:rPr>
          <w:rFonts w:hint="eastAsia" w:ascii="宋体" w:hAnsi="宋体"/>
          <w:szCs w:val="21"/>
        </w:rPr>
        <w:t>（6）投标文件格式。</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11.招标文件的澄清、修改 、现场考察和答疑会</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5"/>
        <w:keepNext w:val="0"/>
        <w:keepLines w:val="0"/>
        <w:numPr>
          <w:ilvl w:val="0"/>
          <w:numId w:val="0"/>
        </w:numPr>
        <w:spacing w:before="0" w:after="0" w:line="360" w:lineRule="auto"/>
        <w:ind w:firstLine="420" w:firstLineChars="200"/>
        <w:rPr>
          <w:rFonts w:hint="eastAsia" w:ascii="宋体" w:hAnsi="宋体"/>
        </w:rPr>
      </w:pPr>
      <w:r>
        <w:rPr>
          <w:rFonts w:hint="eastAsia" w:ascii="宋体" w:hAnsi="宋体"/>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hint="eastAsia" w:ascii="宋体" w:hAnsi="宋体"/>
          <w:szCs w:val="21"/>
        </w:rPr>
      </w:pPr>
      <w:r>
        <w:rPr>
          <w:rFonts w:hint="eastAsia" w:ascii="宋体" w:hAnsi="宋体"/>
        </w:rPr>
        <w:t>11.3采购人和采购代理机构可以视采购具体情况，变更投标截止时间和开标时间，并</w:t>
      </w:r>
      <w:r>
        <w:rPr>
          <w:rFonts w:hint="eastAsia" w:ascii="宋体" w:hAnsi="宋体"/>
          <w:szCs w:val="21"/>
        </w:rPr>
        <w:t>在原公告发布媒体上发布更正公告。</w:t>
      </w:r>
    </w:p>
    <w:p>
      <w:pPr>
        <w:spacing w:line="360" w:lineRule="auto"/>
        <w:ind w:firstLine="420" w:firstLineChars="200"/>
        <w:rPr>
          <w:rFonts w:hint="eastAsia" w:hAnsi="宋体"/>
        </w:rPr>
      </w:pPr>
      <w:r>
        <w:rPr>
          <w:rFonts w:hint="eastAsia" w:ascii="宋体" w:hAnsi="宋体"/>
          <w:szCs w:val="21"/>
        </w:rPr>
        <w:t>11.4招标文件澄清、答复、修改、补充的内容为招标文件的组成部分。</w:t>
      </w:r>
      <w:r>
        <w:rPr>
          <w:rFonts w:hint="eastAsia" w:ascii="宋体" w:hAnsi="宋体"/>
          <w:b/>
          <w:szCs w:val="21"/>
        </w:rPr>
        <w:t>当招标文件与招标文件的澄清、答复、修改、补充通知就同一内容的表述不一致时，以最后发出的文件为准。</w:t>
      </w:r>
    </w:p>
    <w:p>
      <w:pPr>
        <w:pStyle w:val="12"/>
        <w:snapToGrid w:val="0"/>
        <w:spacing w:line="360" w:lineRule="auto"/>
        <w:ind w:firstLine="420" w:firstLineChars="200"/>
        <w:rPr>
          <w:rFonts w:hint="eastAsia" w:hAnsi="宋体"/>
          <w:sz w:val="21"/>
        </w:rPr>
      </w:pPr>
      <w:r>
        <w:rPr>
          <w:rFonts w:hint="eastAsia" w:hAnsi="宋体"/>
          <w:sz w:val="21"/>
        </w:rPr>
        <w:t>1</w:t>
      </w:r>
      <w:r>
        <w:rPr>
          <w:rFonts w:hAnsi="宋体"/>
          <w:sz w:val="21"/>
        </w:rPr>
        <w:t>1.</w:t>
      </w:r>
      <w:bookmarkStart w:id="95" w:name="_Hlk53134511"/>
      <w:r>
        <w:rPr>
          <w:rFonts w:hint="eastAsia" w:hAnsi="宋体"/>
          <w:sz w:val="21"/>
        </w:rPr>
        <w:t>5采购人或者采购代理机构可以在招标文件提供期限截止后，组织已获取招标文件的潜在投标人现场考察或者召开开标前答疑会，具体详见“投标人须知前附表”。</w:t>
      </w:r>
    </w:p>
    <w:p>
      <w:pPr>
        <w:pStyle w:val="12"/>
        <w:snapToGrid w:val="0"/>
        <w:spacing w:line="360" w:lineRule="auto"/>
        <w:ind w:firstLine="420" w:firstLineChars="200"/>
        <w:rPr>
          <w:rFonts w:hint="eastAsia" w:hAnsi="宋体"/>
          <w:sz w:val="21"/>
        </w:rPr>
      </w:pPr>
    </w:p>
    <w:bookmarkEnd w:id="95"/>
    <w:p>
      <w:pPr>
        <w:pStyle w:val="4"/>
        <w:keepNext w:val="0"/>
        <w:keepLines w:val="0"/>
        <w:jc w:val="center"/>
        <w:rPr>
          <w:rFonts w:hint="eastAsia"/>
        </w:rPr>
      </w:pPr>
      <w:bookmarkStart w:id="96" w:name="_Toc254970676"/>
      <w:bookmarkStart w:id="97" w:name="_Toc254970535"/>
      <w:r>
        <w:rPr>
          <w:rFonts w:hint="eastAsia"/>
        </w:rPr>
        <w:t>三、投标文件的编制</w:t>
      </w:r>
      <w:bookmarkEnd w:id="96"/>
      <w:bookmarkEnd w:id="97"/>
    </w:p>
    <w:p>
      <w:pPr>
        <w:pStyle w:val="5"/>
        <w:keepNext w:val="0"/>
        <w:keepLines w:val="0"/>
        <w:spacing w:before="0" w:after="0" w:line="360" w:lineRule="auto"/>
        <w:ind w:left="420" w:leftChars="200"/>
        <w:rPr>
          <w:rFonts w:hint="eastAsia" w:ascii="黑体" w:hAnsi="黑体" w:eastAsia="黑体"/>
          <w:sz w:val="24"/>
        </w:rPr>
      </w:pPr>
      <w:bookmarkStart w:id="98" w:name="_Toc254970677"/>
      <w:bookmarkStart w:id="99" w:name="_Toc254970536"/>
      <w:r>
        <w:rPr>
          <w:rFonts w:hint="eastAsia" w:ascii="黑体" w:hAnsi="黑体" w:eastAsia="黑体"/>
          <w:sz w:val="24"/>
        </w:rPr>
        <w:t>12.投标文件的编制原则</w:t>
      </w:r>
    </w:p>
    <w:p>
      <w:pPr>
        <w:snapToGrid w:val="0"/>
        <w:spacing w:line="360" w:lineRule="auto"/>
        <w:ind w:firstLine="420"/>
        <w:jc w:val="left"/>
        <w:rPr>
          <w:rFonts w:hint="eastAsia" w:ascii="宋体" w:hAnsi="宋体" w:cs="Courier New"/>
          <w:szCs w:val="21"/>
        </w:rPr>
      </w:pPr>
      <w:r>
        <w:rPr>
          <w:rFonts w:ascii="宋体" w:hAnsi="宋体"/>
          <w:szCs w:val="21"/>
        </w:rPr>
        <w:t>投标人必须按照招标文件的要求编制投标文件。投标文件必须对招标文件提出的要求和条件作出明确响应。</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13.投标文件的组成</w:t>
      </w:r>
      <w:bookmarkEnd w:id="98"/>
      <w:bookmarkEnd w:id="99"/>
    </w:p>
    <w:p>
      <w:pPr>
        <w:snapToGrid w:val="0"/>
        <w:spacing w:line="360" w:lineRule="auto"/>
        <w:ind w:firstLine="420" w:firstLineChars="200"/>
        <w:jc w:val="left"/>
        <w:rPr>
          <w:rFonts w:hint="eastAsia"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pPr>
        <w:pStyle w:val="5"/>
        <w:keepNext w:val="0"/>
        <w:keepLines w:val="0"/>
        <w:spacing w:before="0" w:after="0" w:line="360" w:lineRule="auto"/>
        <w:ind w:left="420" w:leftChars="200"/>
        <w:rPr>
          <w:rFonts w:hint="eastAsia" w:ascii="宋体" w:hAnsi="宋体"/>
          <w:b w:val="0"/>
          <w:sz w:val="21"/>
          <w:szCs w:val="21"/>
        </w:rPr>
      </w:pPr>
      <w:bookmarkStart w:id="100" w:name="_13.1报价文件:_具体材料见“投标人须知前附表”。"/>
      <w:bookmarkEnd w:id="100"/>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pPr>
        <w:pStyle w:val="5"/>
        <w:keepNext w:val="0"/>
        <w:keepLines w:val="0"/>
        <w:spacing w:before="0" w:after="0" w:line="360" w:lineRule="auto"/>
        <w:ind w:left="420" w:leftChars="200"/>
        <w:rPr>
          <w:rFonts w:hint="eastAsia" w:ascii="宋体" w:hAnsi="宋体"/>
          <w:b w:val="0"/>
          <w:sz w:val="21"/>
          <w:szCs w:val="21"/>
        </w:rPr>
      </w:pPr>
      <w:bookmarkStart w:id="101" w:name="_13.2资格证明文件：具体材料见“投标人须知前附表”。"/>
      <w:bookmarkEnd w:id="101"/>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pPr>
        <w:pStyle w:val="5"/>
        <w:keepNext w:val="0"/>
        <w:keepLines w:val="0"/>
        <w:spacing w:before="0" w:after="0" w:line="360" w:lineRule="auto"/>
        <w:ind w:left="420" w:leftChars="200"/>
        <w:rPr>
          <w:rFonts w:hint="eastAsia" w:ascii="宋体" w:hAnsi="宋体"/>
          <w:b w:val="0"/>
          <w:sz w:val="21"/>
          <w:szCs w:val="21"/>
        </w:rPr>
      </w:pPr>
      <w:bookmarkStart w:id="102" w:name="_13.3商务文件:_具体材料见“投标人须知前附表”。"/>
      <w:bookmarkEnd w:id="102"/>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pPr>
        <w:pStyle w:val="5"/>
        <w:keepNext w:val="0"/>
        <w:keepLines w:val="0"/>
        <w:spacing w:before="0" w:after="0" w:line="360" w:lineRule="auto"/>
        <w:ind w:left="420" w:leftChars="200"/>
        <w:rPr>
          <w:rFonts w:hint="eastAsia" w:ascii="宋体" w:hAnsi="宋体"/>
          <w:b w:val="0"/>
          <w:sz w:val="21"/>
          <w:szCs w:val="21"/>
        </w:rPr>
      </w:pPr>
      <w:bookmarkStart w:id="103" w:name="_13.4技术文件：具体材料见“投标人须知前附表”。"/>
      <w:bookmarkEnd w:id="103"/>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bookmarkStart w:id="104" w:name="_13.5投标文件电子版：具体材料见“投标人须知前附表”。"/>
      <w:bookmarkEnd w:id="104"/>
    </w:p>
    <w:p>
      <w:pPr>
        <w:pStyle w:val="5"/>
        <w:keepNext w:val="0"/>
        <w:keepLines w:val="0"/>
        <w:spacing w:before="0" w:after="0" w:line="360" w:lineRule="auto"/>
        <w:ind w:left="420" w:leftChars="200"/>
        <w:rPr>
          <w:rFonts w:hint="eastAsia" w:ascii="黑体" w:hAnsi="黑体" w:eastAsia="黑体"/>
          <w:sz w:val="24"/>
        </w:rPr>
      </w:pPr>
      <w:bookmarkStart w:id="105" w:name="_Toc254970537"/>
      <w:bookmarkStart w:id="106" w:name="_Toc254970678"/>
      <w:r>
        <w:rPr>
          <w:rFonts w:hint="eastAsia" w:ascii="黑体" w:hAnsi="黑体" w:eastAsia="黑体"/>
          <w:sz w:val="24"/>
        </w:rPr>
        <w:t>14.投标文件的语言及计量</w:t>
      </w:r>
      <w:bookmarkEnd w:id="105"/>
      <w:bookmarkEnd w:id="106"/>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14.1语言文字</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keepNext w:val="0"/>
        <w:keepLines w:val="0"/>
        <w:spacing w:before="0" w:after="0" w:line="360" w:lineRule="auto"/>
        <w:ind w:firstLine="420" w:firstLineChars="200"/>
        <w:rPr>
          <w:rFonts w:ascii="宋体" w:hAnsi="宋体"/>
          <w:b w:val="0"/>
          <w:sz w:val="21"/>
          <w:szCs w:val="21"/>
        </w:rPr>
      </w:pPr>
      <w:r>
        <w:rPr>
          <w:rFonts w:hint="eastAsia" w:ascii="宋体" w:hAnsi="宋体"/>
          <w:b w:val="0"/>
          <w:sz w:val="21"/>
          <w:szCs w:val="21"/>
        </w:rPr>
        <w:t>14.2投标计量单位</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15.投标的风险</w:t>
      </w:r>
    </w:p>
    <w:p>
      <w:pPr>
        <w:pStyle w:val="12"/>
        <w:snapToGrid w:val="0"/>
        <w:spacing w:line="360" w:lineRule="auto"/>
        <w:ind w:firstLine="420" w:firstLineChars="200"/>
        <w:jc w:val="left"/>
        <w:rPr>
          <w:rFonts w:hint="eastAsia" w:hAnsi="宋体"/>
          <w:sz w:val="21"/>
        </w:rPr>
      </w:pPr>
      <w:r>
        <w:rPr>
          <w:rFonts w:hint="eastAsia" w:hAnsi="宋体"/>
          <w:sz w:val="21"/>
        </w:rPr>
        <w:t>投标人没有按照招标文件要求提供全部资料，或者投标人没有对招标文件作出实质性响应是投标人的风险，并可能导致其投标被拒绝。</w:t>
      </w:r>
    </w:p>
    <w:p>
      <w:pPr>
        <w:pStyle w:val="5"/>
        <w:keepNext w:val="0"/>
        <w:keepLines w:val="0"/>
        <w:spacing w:before="0" w:after="0" w:line="360" w:lineRule="auto"/>
        <w:ind w:left="420" w:leftChars="200"/>
        <w:rPr>
          <w:rFonts w:hint="eastAsia" w:ascii="黑体" w:hAnsi="黑体" w:eastAsia="黑体"/>
          <w:sz w:val="24"/>
        </w:rPr>
      </w:pPr>
      <w:bookmarkStart w:id="107" w:name="_Toc254970538"/>
      <w:bookmarkStart w:id="108" w:name="_Toc254970679"/>
      <w:r>
        <w:rPr>
          <w:rFonts w:hint="eastAsia" w:ascii="黑体" w:hAnsi="黑体" w:eastAsia="黑体"/>
          <w:sz w:val="24"/>
        </w:rPr>
        <w:t>16.投标报价</w:t>
      </w:r>
      <w:bookmarkEnd w:id="107"/>
      <w:bookmarkEnd w:id="108"/>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16.1投标报价应按“第六章　投标文件格式”中“开标一览表”格式填写。</w:t>
      </w:r>
    </w:p>
    <w:p>
      <w:pPr>
        <w:pStyle w:val="5"/>
        <w:keepNext w:val="0"/>
        <w:keepLines w:val="0"/>
        <w:spacing w:before="0" w:after="0" w:line="360" w:lineRule="auto"/>
        <w:ind w:left="420" w:leftChars="200"/>
        <w:rPr>
          <w:rFonts w:hint="eastAsia" w:ascii="宋体" w:hAnsi="宋体"/>
          <w:b w:val="0"/>
          <w:sz w:val="21"/>
          <w:szCs w:val="21"/>
        </w:rPr>
      </w:pPr>
      <w:bookmarkStart w:id="109" w:name="_16.2投标报价具体定义见投标人须知前附表。"/>
      <w:bookmarkEnd w:id="109"/>
      <w:r>
        <w:rPr>
          <w:rFonts w:hint="eastAsia" w:ascii="宋体" w:hAnsi="宋体"/>
          <w:b w:val="0"/>
          <w:sz w:val="21"/>
          <w:szCs w:val="21"/>
        </w:rPr>
        <w:t>16.2投标报价具体包括内容详见“投标人须知前附表”。</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17.投标有效期</w:t>
      </w:r>
    </w:p>
    <w:p>
      <w:pPr>
        <w:pStyle w:val="5"/>
        <w:keepNext w:val="0"/>
        <w:keepLines w:val="0"/>
        <w:spacing w:before="0" w:after="0" w:line="360" w:lineRule="auto"/>
        <w:ind w:firstLine="420" w:firstLineChars="200"/>
        <w:rPr>
          <w:rFonts w:hint="eastAsia" w:ascii="宋体" w:hAnsi="宋体"/>
          <w:b w:val="0"/>
          <w:sz w:val="21"/>
          <w:szCs w:val="21"/>
        </w:rPr>
      </w:pPr>
      <w:bookmarkStart w:id="110" w:name="_17.1投标有效期应按“投标人须知中的前附表”规定的期限。"/>
      <w:bookmarkEnd w:id="110"/>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17.2</w:t>
      </w:r>
      <w:bookmarkStart w:id="111" w:name="_Toc254970681"/>
      <w:bookmarkStart w:id="112" w:name="_Toc254970540"/>
      <w:r>
        <w:rPr>
          <w:rFonts w:hint="eastAsia" w:ascii="宋体" w:hAnsi="宋体"/>
          <w:b w:val="0"/>
          <w:sz w:val="21"/>
          <w:szCs w:val="21"/>
        </w:rPr>
        <w:t xml:space="preserve"> 投标有效期应按规定的期限作出承诺，具体详见“投标人须知前附表”。</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17.3投标人的投标文件在投标有效期内均保持有效。</w:t>
      </w:r>
      <w:bookmarkEnd w:id="111"/>
      <w:bookmarkEnd w:id="112"/>
    </w:p>
    <w:p>
      <w:pPr>
        <w:pStyle w:val="5"/>
        <w:keepNext w:val="0"/>
        <w:keepLines w:val="0"/>
        <w:spacing w:before="0" w:after="0" w:line="360" w:lineRule="auto"/>
        <w:ind w:left="420" w:leftChars="200"/>
        <w:rPr>
          <w:rFonts w:hint="eastAsia" w:ascii="黑体" w:hAnsi="黑体" w:eastAsia="黑体"/>
          <w:sz w:val="24"/>
        </w:rPr>
      </w:pPr>
      <w:bookmarkStart w:id="113" w:name="_18.投标保证金"/>
      <w:bookmarkEnd w:id="113"/>
      <w:bookmarkStart w:id="114" w:name="_Toc254970682"/>
      <w:bookmarkStart w:id="115" w:name="_Toc254970541"/>
      <w:r>
        <w:rPr>
          <w:rFonts w:hint="eastAsia" w:ascii="黑体" w:hAnsi="黑体" w:eastAsia="黑体"/>
          <w:sz w:val="24"/>
        </w:rPr>
        <w:t>18.投标保证金</w:t>
      </w:r>
      <w:bookmarkEnd w:id="114"/>
      <w:bookmarkEnd w:id="115"/>
    </w:p>
    <w:p>
      <w:pPr>
        <w:pStyle w:val="5"/>
        <w:keepNext w:val="0"/>
        <w:keepLines w:val="0"/>
        <w:spacing w:before="0" w:after="0" w:line="360" w:lineRule="auto"/>
        <w:ind w:left="420" w:leftChars="200"/>
        <w:rPr>
          <w:rFonts w:ascii="宋体" w:hAnsi="宋体"/>
          <w:b w:val="0"/>
          <w:sz w:val="21"/>
          <w:szCs w:val="21"/>
        </w:rPr>
      </w:pPr>
      <w:r>
        <w:rPr>
          <w:rFonts w:hint="eastAsia" w:ascii="宋体" w:hAnsi="宋体"/>
          <w:b w:val="0"/>
          <w:sz w:val="21"/>
          <w:szCs w:val="21"/>
        </w:rPr>
        <w:t>18.1投标人须按“投标人须知前附表” 的规定提交投标保证金。</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18.2投标保证金的退还</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未中标人的投标保证金自中标通知书发出之日起</w:t>
      </w:r>
      <w:r>
        <w:rPr>
          <w:rFonts w:hint="eastAsia" w:ascii="宋体" w:hAnsi="宋体"/>
          <w:b w:val="0"/>
          <w:sz w:val="21"/>
          <w:szCs w:val="21"/>
          <w:lang w:val="en-US" w:eastAsia="zh-CN"/>
        </w:rPr>
        <w:t>4</w:t>
      </w:r>
      <w:r>
        <w:rPr>
          <w:rFonts w:hint="eastAsia" w:ascii="宋体" w:hAnsi="宋体"/>
          <w:b w:val="0"/>
          <w:sz w:val="21"/>
          <w:szCs w:val="21"/>
        </w:rPr>
        <w:t>个工作日内退还；中标人的投标保证金自政府采购合同签订之日起</w:t>
      </w:r>
      <w:r>
        <w:rPr>
          <w:rFonts w:hint="eastAsia" w:ascii="宋体" w:hAnsi="宋体"/>
          <w:b w:val="0"/>
          <w:sz w:val="21"/>
          <w:szCs w:val="21"/>
          <w:lang w:val="en-US" w:eastAsia="zh-CN"/>
        </w:rPr>
        <w:t>4</w:t>
      </w:r>
      <w:r>
        <w:rPr>
          <w:rFonts w:hint="eastAsia" w:ascii="宋体" w:hAnsi="宋体"/>
          <w:b w:val="0"/>
          <w:sz w:val="21"/>
          <w:szCs w:val="21"/>
        </w:rPr>
        <w:t xml:space="preserve">个工作日内退还。 </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18.3除逾期退还投标保证金和终止招标的情形以外，投标保证金不计息。</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 xml:space="preserve">18.4投标人有下列情形之一的，投标保证金将不予退还： </w:t>
      </w:r>
    </w:p>
    <w:p>
      <w:pPr>
        <w:snapToGrid w:val="0"/>
        <w:spacing w:line="360" w:lineRule="auto"/>
        <w:ind w:firstLine="411" w:firstLineChars="196"/>
        <w:jc w:val="left"/>
        <w:rPr>
          <w:rFonts w:hint="eastAsia" w:ascii="宋体" w:hAnsi="宋体"/>
          <w:szCs w:val="21"/>
        </w:rPr>
      </w:pPr>
      <w:r>
        <w:rPr>
          <w:rFonts w:hint="eastAsia" w:ascii="宋体" w:hAnsi="宋体"/>
          <w:szCs w:val="21"/>
        </w:rPr>
        <w:t>（1）投标人在投标有效期内撤销投标文件的；</w:t>
      </w:r>
    </w:p>
    <w:p>
      <w:pPr>
        <w:snapToGrid w:val="0"/>
        <w:spacing w:line="360" w:lineRule="auto"/>
        <w:ind w:firstLine="411" w:firstLineChars="196"/>
        <w:jc w:val="left"/>
        <w:rPr>
          <w:rFonts w:hint="eastAsia" w:ascii="宋体" w:hAnsi="宋体"/>
          <w:szCs w:val="21"/>
        </w:rPr>
      </w:pPr>
      <w:r>
        <w:rPr>
          <w:rFonts w:hint="eastAsia" w:ascii="宋体" w:hAnsi="宋体"/>
          <w:szCs w:val="21"/>
        </w:rPr>
        <w:t>（2）未按规定提交履约保证金的；</w:t>
      </w:r>
    </w:p>
    <w:p>
      <w:pPr>
        <w:snapToGrid w:val="0"/>
        <w:spacing w:line="360" w:lineRule="auto"/>
        <w:ind w:firstLine="411" w:firstLineChars="196"/>
        <w:jc w:val="left"/>
        <w:rPr>
          <w:rFonts w:hint="eastAsia" w:ascii="宋体" w:hAnsi="宋体"/>
          <w:szCs w:val="21"/>
        </w:rPr>
      </w:pPr>
      <w:r>
        <w:rPr>
          <w:rFonts w:hint="eastAsia" w:ascii="宋体" w:hAnsi="宋体"/>
          <w:szCs w:val="21"/>
        </w:rPr>
        <w:t>（3）投标人在投标过程中弄虚作假，提供虚假材料的；</w:t>
      </w:r>
    </w:p>
    <w:p>
      <w:pPr>
        <w:snapToGrid w:val="0"/>
        <w:spacing w:line="360" w:lineRule="auto"/>
        <w:ind w:firstLine="411" w:firstLineChars="196"/>
        <w:rPr>
          <w:rFonts w:hint="eastAsia" w:ascii="宋体" w:hAnsi="宋体"/>
          <w:szCs w:val="21"/>
        </w:rPr>
      </w:pPr>
      <w:r>
        <w:rPr>
          <w:rFonts w:hint="eastAsia" w:ascii="宋体" w:hAnsi="宋体"/>
          <w:szCs w:val="21"/>
        </w:rPr>
        <w:t>（4）中标人无正当理由不与采购人签订合同的；</w:t>
      </w:r>
    </w:p>
    <w:p>
      <w:pPr>
        <w:snapToGrid w:val="0"/>
        <w:spacing w:line="360" w:lineRule="auto"/>
        <w:ind w:firstLine="420" w:firstLineChars="200"/>
        <w:rPr>
          <w:rFonts w:hint="eastAsia" w:ascii="宋体" w:hAnsi="宋体"/>
          <w:szCs w:val="21"/>
        </w:rPr>
      </w:pPr>
      <w:r>
        <w:rPr>
          <w:rFonts w:hint="eastAsia" w:ascii="宋体" w:hAnsi="宋体"/>
          <w:szCs w:val="21"/>
        </w:rPr>
        <w:t>（5）投标人出现本章第9.2、9.3情形的；</w:t>
      </w:r>
    </w:p>
    <w:p>
      <w:pPr>
        <w:snapToGrid w:val="0"/>
        <w:spacing w:line="360" w:lineRule="auto"/>
        <w:ind w:firstLine="420" w:firstLineChars="200"/>
        <w:rPr>
          <w:rFonts w:hint="eastAsia"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p>
      <w:pPr>
        <w:pStyle w:val="5"/>
        <w:keepNext w:val="0"/>
        <w:keepLines w:val="0"/>
        <w:spacing w:before="0" w:after="0" w:line="360" w:lineRule="auto"/>
        <w:ind w:left="420" w:leftChars="200"/>
        <w:rPr>
          <w:rFonts w:hint="eastAsia" w:ascii="黑体" w:hAnsi="黑体" w:eastAsia="黑体"/>
          <w:sz w:val="24"/>
        </w:rPr>
      </w:pPr>
      <w:bookmarkStart w:id="116" w:name="_Toc254970683"/>
      <w:bookmarkStart w:id="117" w:name="_Toc254970542"/>
      <w:r>
        <w:rPr>
          <w:rFonts w:hint="eastAsia" w:ascii="黑体" w:hAnsi="黑体" w:eastAsia="黑体"/>
          <w:sz w:val="24"/>
        </w:rPr>
        <w:t>19.投标文件的</w:t>
      </w:r>
      <w:bookmarkEnd w:id="116"/>
      <w:bookmarkEnd w:id="117"/>
      <w:r>
        <w:rPr>
          <w:rFonts w:hint="eastAsia" w:ascii="黑体" w:hAnsi="黑体" w:eastAsia="黑体"/>
          <w:sz w:val="24"/>
        </w:rPr>
        <w:t>编制</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5"/>
        <w:keepNext w:val="0"/>
        <w:keepLines w:val="0"/>
        <w:numPr>
          <w:ilvl w:val="0"/>
          <w:numId w:val="0"/>
        </w:numPr>
        <w:spacing w:before="0" w:after="0" w:line="360" w:lineRule="auto"/>
        <w:ind w:firstLine="420" w:firstLineChars="200"/>
        <w:rPr>
          <w:rFonts w:hint="eastAsia" w:ascii="宋体" w:hAnsi="宋体"/>
          <w:b w:val="0"/>
          <w:sz w:val="21"/>
          <w:szCs w:val="21"/>
        </w:rPr>
      </w:pPr>
      <w:bookmarkStart w:id="118" w:name="_19.2投标文件应按报价文件、资格证明文件、商务文件、技术文件分别编制"/>
      <w:bookmarkEnd w:id="118"/>
      <w:r>
        <w:rPr>
          <w:rFonts w:hint="eastAsia" w:ascii="宋体" w:hAnsi="宋体"/>
          <w:b w:val="0"/>
          <w:sz w:val="21"/>
          <w:szCs w:val="21"/>
        </w:rPr>
        <w:t>19.2投标文件应按报价文件、资格证明文件、商务文件、技术文件分别编制电子文件，并按广西政府采购云平台的要求编制、加密、上传。</w:t>
      </w:r>
    </w:p>
    <w:p>
      <w:pPr>
        <w:pStyle w:val="5"/>
        <w:keepNext w:val="0"/>
        <w:keepLines w:val="0"/>
        <w:numPr>
          <w:ilvl w:val="0"/>
          <w:numId w:val="0"/>
        </w:numPr>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19.</w:t>
      </w:r>
      <w:bookmarkStart w:id="119" w:name="_Hlk65832616"/>
      <w:r>
        <w:rPr>
          <w:rFonts w:hint="eastAsia" w:ascii="宋体" w:hAnsi="宋体"/>
          <w:b w:val="0"/>
          <w:sz w:val="21"/>
          <w:szCs w:val="21"/>
        </w:rPr>
        <w:t>3投标文件须由投标人在规定位置盖公章并签字</w:t>
      </w:r>
      <w:bookmarkStart w:id="120" w:name="_Hlk65832569"/>
      <w:r>
        <w:rPr>
          <w:rFonts w:hint="eastAsia" w:ascii="宋体" w:hAnsi="宋体"/>
          <w:b w:val="0"/>
          <w:sz w:val="21"/>
          <w:szCs w:val="21"/>
        </w:rPr>
        <w:t>（具体以投标人须知前附表或投标文件格式规定为准）</w:t>
      </w:r>
      <w:bookmarkEnd w:id="119"/>
      <w:bookmarkEnd w:id="120"/>
      <w:r>
        <w:rPr>
          <w:rFonts w:hint="eastAsia" w:ascii="宋体" w:hAnsi="宋体"/>
          <w:b w:val="0"/>
          <w:sz w:val="21"/>
          <w:szCs w:val="21"/>
        </w:rPr>
        <w:t>，</w:t>
      </w:r>
      <w:r>
        <w:rPr>
          <w:rFonts w:hint="eastAsia" w:ascii="宋体" w:hAnsi="宋体"/>
          <w:bCs/>
          <w:sz w:val="21"/>
          <w:szCs w:val="21"/>
        </w:rPr>
        <w:t>否则按无效投标处理</w:t>
      </w:r>
      <w:r>
        <w:rPr>
          <w:rFonts w:hint="eastAsia" w:ascii="宋体" w:hAnsi="宋体"/>
          <w:b w:val="0"/>
          <w:sz w:val="21"/>
          <w:szCs w:val="21"/>
        </w:rPr>
        <w:t>。</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19.4投标文件中标注的投标人名称应与主体资格证明（如营业执照、事业单位法人证书、执业许可证、自然人身份证等）及公章一致，</w:t>
      </w:r>
      <w:r>
        <w:rPr>
          <w:rFonts w:hint="eastAsia" w:ascii="宋体" w:hAnsi="宋体"/>
          <w:sz w:val="21"/>
          <w:szCs w:val="21"/>
        </w:rPr>
        <w:t>否则按无效投标处理</w:t>
      </w:r>
      <w:r>
        <w:rPr>
          <w:rFonts w:hint="eastAsia" w:ascii="宋体" w:hAnsi="宋体"/>
          <w:b w:val="0"/>
          <w:sz w:val="21"/>
          <w:szCs w:val="21"/>
        </w:rPr>
        <w:t>。</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20.投标文件的加密、解密</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20.1电子投标文件编制完成后，投标人应按广西政府采购云平台的要求进行加密，并在规定时间内解密，否则，由此产生的后果由投标人自行负责。</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21.投标文件的提交</w:t>
      </w:r>
    </w:p>
    <w:p>
      <w:pPr>
        <w:pStyle w:val="5"/>
        <w:keepNext w:val="0"/>
        <w:keepLines w:val="0"/>
        <w:numPr>
          <w:ilvl w:val="0"/>
          <w:numId w:val="0"/>
        </w:numPr>
        <w:spacing w:before="0" w:after="0" w:line="360" w:lineRule="auto"/>
        <w:ind w:firstLine="420" w:firstLineChars="200"/>
        <w:rPr>
          <w:rFonts w:hint="eastAsia" w:ascii="宋体" w:hAnsi="宋体"/>
          <w:b w:val="0"/>
          <w:sz w:val="21"/>
          <w:szCs w:val="21"/>
        </w:rPr>
      </w:pPr>
      <w:bookmarkStart w:id="121" w:name="_21.1投标人必须在“投标人须知中的前附表”规定的投标文件接收时间和投"/>
      <w:bookmarkEnd w:id="121"/>
      <w:r>
        <w:rPr>
          <w:rFonts w:hint="eastAsia" w:ascii="宋体" w:hAnsi="宋体"/>
          <w:b w:val="0"/>
          <w:sz w:val="21"/>
          <w:szCs w:val="21"/>
        </w:rPr>
        <w:t>21.1投标人必须在“投标人须知前附表”规定的投标文件接收时间和投标地点提交投标文件。</w:t>
      </w:r>
    </w:p>
    <w:p>
      <w:pPr>
        <w:pStyle w:val="5"/>
        <w:keepNext w:val="0"/>
        <w:keepLines w:val="0"/>
        <w:numPr>
          <w:ilvl w:val="0"/>
          <w:numId w:val="0"/>
        </w:numPr>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投标人在广西政府采购云平台提交电子版投标文件时，请填写参加远程开标活动经办人联系方式。</w:t>
      </w:r>
    </w:p>
    <w:p>
      <w:pPr>
        <w:pStyle w:val="5"/>
        <w:keepNext w:val="0"/>
        <w:keepLines w:val="0"/>
        <w:numPr>
          <w:ilvl w:val="0"/>
          <w:numId w:val="0"/>
        </w:numPr>
        <w:spacing w:before="0" w:after="0" w:line="360" w:lineRule="auto"/>
        <w:ind w:firstLine="420" w:firstLineChars="200"/>
        <w:jc w:val="left"/>
        <w:rPr>
          <w:rFonts w:hint="eastAsia" w:ascii="宋体" w:hAnsi="宋体"/>
          <w:b w:val="0"/>
          <w:sz w:val="21"/>
          <w:szCs w:val="21"/>
        </w:rPr>
      </w:pPr>
      <w:r>
        <w:rPr>
          <w:rFonts w:hint="eastAsia" w:ascii="宋体" w:hAnsi="宋体"/>
          <w:b w:val="0"/>
          <w:sz w:val="21"/>
          <w:szCs w:val="21"/>
        </w:rPr>
        <w:t>21.3未在规定时间内上传或者未按广西政府采购云平台的要求编制、加密的电子投标文件，广西政府采购云平台将拒收。</w:t>
      </w:r>
    </w:p>
    <w:p>
      <w:pPr>
        <w:pStyle w:val="6"/>
        <w:rPr>
          <w:rFonts w:hint="eastAsia"/>
        </w:rPr>
      </w:pPr>
      <w:r>
        <w:rPr>
          <w:rFonts w:hint="eastAsia" w:ascii="宋体" w:hAnsi="宋体"/>
          <w:szCs w:val="21"/>
        </w:rPr>
        <w:t>21.4电子投标文件提交方式见“招标公告”中“四、提交投标文件截止时间、开标时间和地点”</w:t>
      </w:r>
    </w:p>
    <w:p>
      <w:pPr>
        <w:pStyle w:val="6"/>
        <w:rPr>
          <w:rFonts w:hint="eastAsia"/>
        </w:rPr>
      </w:pP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22. 投标文件的补充、修改、撤回与退回</w:t>
      </w:r>
    </w:p>
    <w:p>
      <w:pPr>
        <w:snapToGrid w:val="0"/>
        <w:spacing w:line="360" w:lineRule="auto"/>
        <w:ind w:firstLine="420"/>
        <w:jc w:val="left"/>
        <w:rPr>
          <w:rFonts w:hint="eastAsia" w:ascii="宋体" w:hAnsi="宋体"/>
          <w:szCs w:val="21"/>
        </w:rPr>
      </w:pPr>
      <w:bookmarkStart w:id="122" w:name="_Toc254970684"/>
      <w:bookmarkStart w:id="123" w:name="_Toc254970543"/>
      <w:r>
        <w:rPr>
          <w:rFonts w:hint="eastAsia" w:ascii="宋体" w:hAnsi="宋体"/>
          <w:szCs w:val="21"/>
        </w:rPr>
        <w:t>2</w:t>
      </w:r>
      <w:r>
        <w:rPr>
          <w:rFonts w:ascii="宋体" w:hAnsi="宋体"/>
          <w:szCs w:val="21"/>
        </w:rPr>
        <w:t>2.1</w:t>
      </w:r>
      <w:r>
        <w:rPr>
          <w:rFonts w:hint="eastAsia" w:ascii="宋体" w:hAnsi="宋体"/>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2"/>
    <w:bookmarkEnd w:id="123"/>
    <w:p>
      <w:pPr>
        <w:snapToGrid w:val="0"/>
        <w:spacing w:line="360" w:lineRule="auto"/>
        <w:ind w:firstLine="420"/>
        <w:jc w:val="left"/>
        <w:rPr>
          <w:rFonts w:hint="eastAsia" w:ascii="宋体" w:hAnsi="宋体"/>
          <w:szCs w:val="21"/>
        </w:rPr>
      </w:pPr>
      <w:r>
        <w:rPr>
          <w:rFonts w:hint="eastAsia" w:ascii="宋体" w:hAnsi="宋体"/>
          <w:szCs w:val="21"/>
        </w:rPr>
        <w:t>22.</w:t>
      </w:r>
      <w:r>
        <w:rPr>
          <w:rFonts w:ascii="宋体" w:hAnsi="宋体"/>
          <w:szCs w:val="21"/>
        </w:rPr>
        <w:t>2</w:t>
      </w:r>
      <w:r>
        <w:rPr>
          <w:rFonts w:hint="eastAsia" w:ascii="宋体" w:hAnsi="宋体"/>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pPr>
        <w:pStyle w:val="11"/>
        <w:snapToGrid w:val="0"/>
        <w:spacing w:line="360" w:lineRule="auto"/>
        <w:ind w:firstLine="739"/>
        <w:rPr>
          <w:rFonts w:hint="eastAsia" w:ascii="宋体" w:hAnsi="宋体" w:eastAsia="宋体"/>
          <w:snapToGrid w:val="0"/>
          <w:sz w:val="21"/>
          <w:szCs w:val="21"/>
        </w:rPr>
      </w:pPr>
    </w:p>
    <w:p>
      <w:pPr>
        <w:pStyle w:val="4"/>
        <w:keepNext w:val="0"/>
        <w:keepLines w:val="0"/>
        <w:jc w:val="center"/>
        <w:rPr>
          <w:rFonts w:hint="eastAsia"/>
        </w:rPr>
      </w:pPr>
      <w:bookmarkStart w:id="124" w:name="_Toc254970685"/>
      <w:bookmarkStart w:id="125" w:name="_Toc254970544"/>
      <w:r>
        <w:rPr>
          <w:rFonts w:hint="eastAsia"/>
        </w:rPr>
        <w:t>四、开    标</w:t>
      </w:r>
      <w:bookmarkEnd w:id="124"/>
      <w:bookmarkEnd w:id="125"/>
    </w:p>
    <w:p>
      <w:pPr>
        <w:pStyle w:val="5"/>
        <w:keepNext w:val="0"/>
        <w:keepLines w:val="0"/>
        <w:spacing w:before="0" w:after="0" w:line="360" w:lineRule="auto"/>
        <w:ind w:left="420" w:leftChars="200"/>
        <w:rPr>
          <w:rFonts w:hint="eastAsia" w:ascii="黑体" w:hAnsi="黑体" w:eastAsia="黑体"/>
          <w:sz w:val="24"/>
        </w:rPr>
      </w:pPr>
      <w:bookmarkStart w:id="126" w:name="_23.开标时间和地点"/>
      <w:bookmarkEnd w:id="126"/>
      <w:r>
        <w:rPr>
          <w:rFonts w:hint="eastAsia" w:ascii="黑体" w:hAnsi="黑体" w:eastAsia="黑体"/>
          <w:sz w:val="24"/>
        </w:rPr>
        <w:t>23.开标时间和地点</w:t>
      </w:r>
    </w:p>
    <w:p>
      <w:pPr>
        <w:snapToGrid w:val="0"/>
        <w:spacing w:line="360" w:lineRule="auto"/>
        <w:ind w:firstLine="420"/>
        <w:jc w:val="left"/>
        <w:rPr>
          <w:rFonts w:hint="eastAsia" w:ascii="宋体" w:hAnsi="宋体"/>
          <w:szCs w:val="21"/>
        </w:rPr>
      </w:pPr>
      <w:r>
        <w:rPr>
          <w:rFonts w:hint="eastAsia" w:ascii="宋体" w:hAnsi="宋体"/>
          <w:szCs w:val="21"/>
        </w:rPr>
        <w:t>23.1开标时间及地点详见“投标人须知前附表”</w:t>
      </w:r>
    </w:p>
    <w:p>
      <w:pPr>
        <w:snapToGrid w:val="0"/>
        <w:spacing w:line="360" w:lineRule="auto"/>
        <w:ind w:firstLine="420"/>
        <w:jc w:val="left"/>
        <w:rPr>
          <w:rFonts w:hint="eastAsia" w:ascii="宋体" w:hAnsi="宋体"/>
          <w:szCs w:val="21"/>
        </w:rPr>
      </w:pPr>
      <w:r>
        <w:rPr>
          <w:rFonts w:hint="eastAsia" w:ascii="宋体" w:hAnsi="宋体"/>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24.开标程序</w:t>
      </w:r>
    </w:p>
    <w:p>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采购代理机构将按照招标文件规定的时间通过广西政府采购云平台组织线上开标活动、开启投标文件，所有投标人均应当准时在线参加。投标人</w:t>
      </w:r>
      <w:r>
        <w:rPr>
          <w:rFonts w:ascii="宋体" w:hAnsi="宋体"/>
          <w:bCs/>
          <w:szCs w:val="21"/>
        </w:rPr>
        <w:t>如不</w:t>
      </w:r>
      <w:r>
        <w:rPr>
          <w:rFonts w:hint="eastAsia" w:ascii="宋体" w:hAnsi="宋体"/>
          <w:bCs/>
          <w:szCs w:val="21"/>
        </w:rPr>
        <w:t>参加</w:t>
      </w:r>
      <w:r>
        <w:rPr>
          <w:rFonts w:ascii="宋体" w:hAnsi="宋体"/>
          <w:bCs/>
          <w:szCs w:val="21"/>
        </w:rPr>
        <w:t>开标大会的，</w:t>
      </w:r>
      <w:r>
        <w:rPr>
          <w:rFonts w:hint="eastAsia" w:ascii="宋体" w:hAnsi="宋体"/>
          <w:bCs/>
          <w:szCs w:val="21"/>
        </w:rPr>
        <w:t>视同认可开标结果，</w:t>
      </w:r>
      <w:r>
        <w:rPr>
          <w:rFonts w:ascii="宋体" w:hAnsi="宋体"/>
          <w:bCs/>
          <w:szCs w:val="21"/>
        </w:rPr>
        <w:t>事后不得对采购相关人员、开标过程和开标结果提出异议</w:t>
      </w:r>
      <w:r>
        <w:rPr>
          <w:rFonts w:hint="eastAsia" w:ascii="宋体" w:hAnsi="宋体"/>
          <w:bCs/>
          <w:szCs w:val="21"/>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w:t>
      </w:r>
      <w:r>
        <w:rPr>
          <w:rFonts w:ascii="宋体" w:hAnsi="宋体"/>
          <w:bCs/>
          <w:szCs w:val="21"/>
        </w:rPr>
        <w:t>开</w:t>
      </w:r>
      <w:r>
        <w:rPr>
          <w:rFonts w:hint="eastAsia" w:ascii="宋体" w:hAnsi="宋体"/>
          <w:bCs/>
          <w:szCs w:val="21"/>
        </w:rPr>
        <w:t>标</w:t>
      </w:r>
      <w:r>
        <w:rPr>
          <w:rFonts w:ascii="宋体" w:hAnsi="宋体"/>
          <w:bCs/>
          <w:szCs w:val="21"/>
        </w:rPr>
        <w:t>程序：</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b/>
          <w:bCs/>
          <w:szCs w:val="21"/>
        </w:rPr>
        <w:t>通知</w:t>
      </w:r>
      <w:r>
        <w:rPr>
          <w:rFonts w:hint="eastAsia" w:ascii="宋体" w:hAnsi="宋体" w:cs="宋体"/>
          <w:b/>
          <w:szCs w:val="21"/>
        </w:rPr>
        <w:t>之时起30分钟内完成</w:t>
      </w:r>
      <w:r>
        <w:rPr>
          <w:rFonts w:hint="eastAsia" w:ascii="宋体" w:hAnsi="宋体"/>
          <w:b/>
          <w:bCs/>
          <w:szCs w:val="21"/>
        </w:rPr>
        <w:t>对电子投标文件解密。投标文件未按时解密的，视为无效投标。</w:t>
      </w:r>
      <w:r>
        <w:rPr>
          <w:rFonts w:hint="eastAsia" w:ascii="宋体" w:hAnsi="宋体"/>
          <w:bCs/>
          <w:szCs w:val="21"/>
        </w:rPr>
        <w:t>（解密异常情况处理：详见本章29.4 电子交易活动的中止）</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（2）电子唱标。投标文件解密结束，各投标投标人报价均在广西政府采购云平台远程不见面开标大厅展示；</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（6）开标结束。</w:t>
      </w:r>
    </w:p>
    <w:p>
      <w:pPr>
        <w:autoSpaceDE w:val="0"/>
        <w:autoSpaceDN w:val="0"/>
        <w:adjustRightInd w:val="0"/>
        <w:spacing w:line="440" w:lineRule="exact"/>
        <w:ind w:firstLine="422" w:firstLineChars="200"/>
        <w:rPr>
          <w:rFonts w:ascii="宋体" w:hAnsi="宋体"/>
          <w:b/>
          <w:bCs/>
          <w:szCs w:val="21"/>
        </w:rPr>
      </w:pPr>
      <w:r>
        <w:rPr>
          <w:rFonts w:hint="eastAsia" w:ascii="宋体" w:hAnsi="宋体"/>
          <w:b/>
          <w:bCs/>
          <w:szCs w:val="21"/>
        </w:rPr>
        <w:t>特别说明：如遇广西政府采购云平台电子化开标或评审程序调整的，按调整后执行。</w:t>
      </w:r>
    </w:p>
    <w:p>
      <w:pPr>
        <w:pStyle w:val="12"/>
        <w:snapToGrid w:val="0"/>
        <w:spacing w:line="360" w:lineRule="auto"/>
        <w:ind w:left="689" w:leftChars="228" w:hanging="210" w:hangingChars="100"/>
        <w:rPr>
          <w:rFonts w:hint="eastAsia" w:hAnsi="宋体"/>
          <w:sz w:val="21"/>
        </w:rPr>
      </w:pPr>
    </w:p>
    <w:p>
      <w:pPr>
        <w:pStyle w:val="4"/>
        <w:keepNext w:val="0"/>
        <w:keepLines w:val="0"/>
        <w:jc w:val="center"/>
        <w:rPr>
          <w:rFonts w:hint="eastAsia"/>
        </w:rPr>
      </w:pPr>
      <w:r>
        <w:rPr>
          <w:rFonts w:hint="eastAsia"/>
        </w:rPr>
        <w:t>五、资格审查</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25.资格审查</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w:t>
      </w:r>
      <w:r>
        <w:rPr>
          <w:rFonts w:ascii="宋体" w:hAnsi="宋体"/>
          <w:b w:val="0"/>
          <w:sz w:val="21"/>
          <w:szCs w:val="21"/>
        </w:rPr>
        <w:t>依法对投标人的资格进行审查。</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pPr>
        <w:pStyle w:val="5"/>
        <w:keepNext w:val="0"/>
        <w:keepLines w:val="0"/>
        <w:numPr>
          <w:ilvl w:val="0"/>
          <w:numId w:val="0"/>
        </w:numPr>
        <w:spacing w:before="0" w:after="0" w:line="360" w:lineRule="auto"/>
        <w:ind w:firstLine="422" w:firstLineChars="200"/>
        <w:rPr>
          <w:rFonts w:hint="eastAsia" w:ascii="宋体" w:hAnsi="宋体"/>
          <w:sz w:val="21"/>
          <w:szCs w:val="21"/>
        </w:rPr>
      </w:pPr>
      <w:bookmarkStart w:id="127" w:name="_25.3_投标人有下列情形之一的，资格审查不通过而导致其投标无效："/>
      <w:bookmarkEnd w:id="127"/>
      <w:r>
        <w:rPr>
          <w:rFonts w:hint="eastAsia" w:ascii="宋体" w:hAnsi="宋体"/>
          <w:sz w:val="21"/>
          <w:szCs w:val="21"/>
        </w:rPr>
        <w:t>25.3 投标人有下列情形之一的，资格审查不通过，作无效投标处理：</w:t>
      </w:r>
    </w:p>
    <w:p>
      <w:pPr>
        <w:pStyle w:val="12"/>
        <w:snapToGrid w:val="0"/>
        <w:spacing w:line="360" w:lineRule="auto"/>
        <w:ind w:firstLine="422" w:firstLineChars="200"/>
        <w:rPr>
          <w:rFonts w:hint="eastAsia" w:hAnsi="宋体"/>
          <w:b/>
          <w:sz w:val="21"/>
        </w:rPr>
      </w:pPr>
      <w:r>
        <w:rPr>
          <w:rFonts w:hint="eastAsia" w:hAnsi="宋体"/>
          <w:b/>
          <w:sz w:val="21"/>
        </w:rPr>
        <w:t>（1）未按招标文件规定的方式获取本招标文件的投标人；</w:t>
      </w:r>
    </w:p>
    <w:p>
      <w:pPr>
        <w:pStyle w:val="12"/>
        <w:snapToGrid w:val="0"/>
        <w:spacing w:line="360" w:lineRule="auto"/>
        <w:ind w:firstLine="422" w:firstLineChars="200"/>
        <w:rPr>
          <w:rFonts w:hAnsi="宋体"/>
          <w:b/>
          <w:sz w:val="21"/>
        </w:rPr>
      </w:pPr>
      <w:r>
        <w:rPr>
          <w:rFonts w:hint="eastAsia" w:hAnsi="宋体"/>
          <w:b/>
          <w:sz w:val="21"/>
        </w:rPr>
        <w:t>（2）不具备招标文件中规定的资格要求的；</w:t>
      </w:r>
    </w:p>
    <w:p>
      <w:pPr>
        <w:pStyle w:val="12"/>
        <w:snapToGrid w:val="0"/>
        <w:spacing w:line="360" w:lineRule="auto"/>
        <w:ind w:firstLine="422" w:firstLineChars="200"/>
        <w:rPr>
          <w:rFonts w:hAnsi="宋体"/>
          <w:b/>
          <w:sz w:val="21"/>
        </w:rPr>
      </w:pPr>
      <w:r>
        <w:rPr>
          <w:rFonts w:hint="eastAsia" w:hAnsi="宋体"/>
          <w:b/>
          <w:sz w:val="21"/>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pPr>
        <w:pStyle w:val="12"/>
        <w:snapToGrid w:val="0"/>
        <w:spacing w:line="360" w:lineRule="auto"/>
        <w:ind w:firstLine="422" w:firstLineChars="200"/>
        <w:rPr>
          <w:rFonts w:hint="eastAsia"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（4）同一合同项下的不同投标人，单位负责人为同一人或者存在直接控股、管理关系的；为本项目提供过整体设计、规范编制或者项目管理、监理、检测等服务的投标人，再参加该采购项目的其他采购活动的；</w:t>
      </w:r>
    </w:p>
    <w:p>
      <w:pPr>
        <w:pStyle w:val="12"/>
        <w:snapToGrid w:val="0"/>
        <w:spacing w:line="360" w:lineRule="auto"/>
        <w:ind w:firstLine="422" w:firstLineChars="200"/>
        <w:rPr>
          <w:rFonts w:hint="eastAsia" w:hAnsi="宋体"/>
          <w:b/>
          <w:sz w:val="21"/>
        </w:rPr>
      </w:pPr>
      <w:r>
        <w:rPr>
          <w:rFonts w:hint="eastAsia" w:hAnsi="宋体"/>
          <w:b/>
          <w:sz w:val="21"/>
        </w:rPr>
        <w:t>（</w:t>
      </w:r>
      <w:r>
        <w:rPr>
          <w:rFonts w:hAnsi="宋体"/>
          <w:b/>
          <w:sz w:val="21"/>
        </w:rPr>
        <w:t>5</w:t>
      </w:r>
      <w:r>
        <w:rPr>
          <w:rFonts w:hint="eastAsia" w:hAnsi="宋体"/>
          <w:b/>
          <w:sz w:val="21"/>
        </w:rPr>
        <w:t>）投标文件中的资格证明文件缺少任一项“投标人须知前附表”资格证明文件规定“必须提供”的文件资料的；</w:t>
      </w:r>
    </w:p>
    <w:p>
      <w:pPr>
        <w:pStyle w:val="12"/>
        <w:snapToGrid w:val="0"/>
        <w:spacing w:line="360" w:lineRule="auto"/>
        <w:ind w:firstLine="422" w:firstLineChars="200"/>
        <w:rPr>
          <w:rFonts w:hint="eastAsia" w:hAnsi="宋体"/>
          <w:b/>
          <w:sz w:val="21"/>
        </w:rPr>
      </w:pPr>
      <w:r>
        <w:rPr>
          <w:rFonts w:hint="eastAsia" w:hAnsi="宋体"/>
          <w:b/>
          <w:sz w:val="21"/>
        </w:rPr>
        <w:t>（</w:t>
      </w:r>
      <w:r>
        <w:rPr>
          <w:rFonts w:hAnsi="宋体"/>
          <w:b/>
          <w:sz w:val="21"/>
        </w:rPr>
        <w:t>6</w:t>
      </w:r>
      <w:r>
        <w:rPr>
          <w:rFonts w:hint="eastAsia" w:hAnsi="宋体"/>
          <w:b/>
          <w:sz w:val="21"/>
        </w:rPr>
        <w:t>）投标文件中的资格证明文件出现任一项不符合“投标人须知前附表”资格证明文件规定“必须提供”的文件资料要求或者无效的。</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sz w:val="21"/>
          <w:szCs w:val="21"/>
        </w:rPr>
        <w:t>25.4</w:t>
      </w:r>
      <w:r>
        <w:rPr>
          <w:rFonts w:ascii="宋体" w:hAnsi="宋体"/>
          <w:sz w:val="21"/>
          <w:szCs w:val="21"/>
        </w:rPr>
        <w:t>合格投标人不足3家的，不得评标。</w:t>
      </w:r>
    </w:p>
    <w:p>
      <w:pPr>
        <w:pStyle w:val="12"/>
        <w:snapToGrid w:val="0"/>
        <w:spacing w:line="360" w:lineRule="auto"/>
        <w:ind w:left="689" w:leftChars="228" w:hanging="210" w:hangingChars="100"/>
        <w:rPr>
          <w:rFonts w:hint="eastAsia" w:hAnsi="宋体"/>
          <w:sz w:val="21"/>
        </w:rPr>
      </w:pPr>
    </w:p>
    <w:p>
      <w:pPr>
        <w:pStyle w:val="4"/>
        <w:keepNext w:val="0"/>
        <w:keepLines w:val="0"/>
        <w:jc w:val="center"/>
        <w:rPr>
          <w:rFonts w:hint="eastAsia"/>
        </w:rPr>
      </w:pPr>
      <w:r>
        <w:rPr>
          <w:rFonts w:hint="eastAsia"/>
        </w:rPr>
        <w:t>六、评   标</w:t>
      </w:r>
    </w:p>
    <w:p>
      <w:pPr>
        <w:pStyle w:val="5"/>
        <w:keepNext w:val="0"/>
        <w:keepLines w:val="0"/>
        <w:spacing w:before="0" w:after="0" w:line="360" w:lineRule="auto"/>
        <w:ind w:left="420" w:leftChars="200"/>
        <w:rPr>
          <w:rFonts w:hint="eastAsia" w:ascii="黑体" w:hAnsi="黑体" w:eastAsia="黑体"/>
          <w:sz w:val="24"/>
        </w:rPr>
      </w:pPr>
      <w:bookmarkStart w:id="128" w:name="_26.组建评标委员会"/>
      <w:bookmarkEnd w:id="128"/>
      <w:r>
        <w:rPr>
          <w:rFonts w:hint="eastAsia" w:ascii="黑体" w:hAnsi="黑体" w:eastAsia="黑体"/>
          <w:sz w:val="24"/>
        </w:rPr>
        <w:t>26.组建评标委员会</w:t>
      </w:r>
    </w:p>
    <w:p>
      <w:pPr>
        <w:pStyle w:val="12"/>
        <w:snapToGrid w:val="0"/>
        <w:spacing w:line="360" w:lineRule="auto"/>
        <w:ind w:firstLine="420" w:firstLineChars="200"/>
        <w:rPr>
          <w:rFonts w:hint="eastAsia" w:hAnsi="宋体"/>
          <w:sz w:val="21"/>
        </w:rPr>
      </w:pPr>
      <w:r>
        <w:rPr>
          <w:rFonts w:hint="eastAsia" w:hAnsi="宋体"/>
          <w:sz w:val="21"/>
        </w:rPr>
        <w:t>评标委员会由采购人代表和评审专家组成，具体人数详见“投标人须知前附表”，其中评审专家不得少于成员总数的三分之二。</w:t>
      </w:r>
    </w:p>
    <w:p>
      <w:pPr>
        <w:pStyle w:val="12"/>
        <w:snapToGrid w:val="0"/>
        <w:spacing w:line="360" w:lineRule="auto"/>
        <w:ind w:left="2" w:leftChars="1" w:firstLine="420" w:firstLineChars="200"/>
        <w:rPr>
          <w:rFonts w:hint="eastAsia" w:hAnsi="宋体"/>
          <w:sz w:val="21"/>
        </w:rPr>
      </w:pPr>
      <w:r>
        <w:rPr>
          <w:rFonts w:hint="eastAsia" w:hAnsi="宋体"/>
          <w:sz w:val="21"/>
        </w:rPr>
        <w:t>参加过采购项目前期咨询论证的专家，不得参加该采购项目的评审活动。</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27.评标的依据</w:t>
      </w:r>
    </w:p>
    <w:p>
      <w:pPr>
        <w:pStyle w:val="12"/>
        <w:snapToGrid w:val="0"/>
        <w:spacing w:line="360" w:lineRule="auto"/>
        <w:ind w:firstLine="420" w:firstLineChars="200"/>
        <w:rPr>
          <w:rFonts w:hint="eastAsia" w:hAnsi="宋体"/>
          <w:sz w:val="21"/>
        </w:rPr>
      </w:pPr>
      <w:r>
        <w:rPr>
          <w:rFonts w:hint="eastAsia" w:hAnsi="宋体"/>
          <w:sz w:val="21"/>
        </w:rPr>
        <w:t>评标委员会以</w:t>
      </w:r>
      <w:r>
        <w:rPr>
          <w:rFonts w:hint="eastAsia" w:hAnsi="宋体" w:cs="宋体"/>
          <w:sz w:val="21"/>
        </w:rPr>
        <w:t>“第四章 评标方法和评标标准”</w:t>
      </w:r>
      <w:r>
        <w:rPr>
          <w:rFonts w:hint="eastAsia" w:hAnsi="宋体"/>
          <w:sz w:val="21"/>
        </w:rPr>
        <w:t>为依据对投标文件进行评审，</w:t>
      </w:r>
      <w:r>
        <w:rPr>
          <w:rFonts w:hAnsi="宋体"/>
          <w:sz w:val="21"/>
        </w:rPr>
        <w:t>没有规定的方法、评审因素和标准，不作为评标依据。</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28.评标原则</w:t>
      </w:r>
    </w:p>
    <w:p>
      <w:pPr>
        <w:pStyle w:val="12"/>
        <w:snapToGrid w:val="0"/>
        <w:spacing w:line="360" w:lineRule="auto"/>
        <w:ind w:firstLine="420" w:firstLineChars="200"/>
        <w:rPr>
          <w:rFonts w:hint="eastAsia"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2"/>
        <w:snapToGrid w:val="0"/>
        <w:spacing w:line="360" w:lineRule="auto"/>
        <w:ind w:firstLine="420" w:firstLineChars="200"/>
        <w:rPr>
          <w:rFonts w:hint="eastAsia" w:hAnsi="宋体"/>
          <w:sz w:val="21"/>
        </w:rPr>
      </w:pPr>
      <w:r>
        <w:rPr>
          <w:rFonts w:hint="eastAsia" w:hAnsi="宋体"/>
          <w:sz w:val="21"/>
        </w:rPr>
        <w:t>28.2</w:t>
      </w:r>
      <w:bookmarkStart w:id="129" w:name="_28.3评标方法。本项目将按须知前附表规定的评标办法进行评标，具体评标"/>
      <w:bookmarkEnd w:id="129"/>
      <w:r>
        <w:rPr>
          <w:rFonts w:hint="eastAsia" w:hAnsi="宋体"/>
          <w:sz w:val="21"/>
        </w:rPr>
        <w:t>评委表决。评标委员会成员对需要共同认定的事项存在争议的，应当按照少数服从多数的原则作出结论。</w:t>
      </w:r>
    </w:p>
    <w:p>
      <w:pPr>
        <w:pStyle w:val="12"/>
        <w:snapToGrid w:val="0"/>
        <w:spacing w:line="360" w:lineRule="auto"/>
        <w:ind w:firstLine="420" w:firstLineChars="200"/>
        <w:rPr>
          <w:rFonts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2"/>
        <w:snapToGrid w:val="0"/>
        <w:spacing w:line="360" w:lineRule="auto"/>
        <w:ind w:firstLine="420" w:firstLineChars="200"/>
        <w:rPr>
          <w:rFonts w:hint="eastAsia"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bCs/>
          <w:sz w:val="21"/>
        </w:rPr>
        <w:t>投标人在评标过程中所进行的试图影响评标结果的不公正活动，可能导致其投标无效</w:t>
      </w:r>
      <w:r>
        <w:rPr>
          <w:rFonts w:hint="eastAsia" w:hAnsi="宋体"/>
          <w:sz w:val="21"/>
        </w:rPr>
        <w:t>。</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29.评标方法及中标候选人推荐</w:t>
      </w:r>
    </w:p>
    <w:p>
      <w:pPr>
        <w:pStyle w:val="12"/>
        <w:snapToGrid w:val="0"/>
        <w:spacing w:line="360" w:lineRule="auto"/>
        <w:ind w:firstLine="420" w:firstLineChars="200"/>
        <w:rPr>
          <w:rFonts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pPr>
        <w:pStyle w:val="12"/>
        <w:snapToGrid w:val="0"/>
        <w:spacing w:line="360" w:lineRule="auto"/>
        <w:ind w:firstLine="420" w:firstLineChars="200"/>
        <w:rPr>
          <w:rFonts w:hint="eastAsia" w:hAnsi="宋体"/>
          <w:sz w:val="21"/>
        </w:rPr>
      </w:pPr>
      <w:r>
        <w:rPr>
          <w:rFonts w:hint="eastAsia" w:hAnsi="宋体"/>
          <w:sz w:val="21"/>
        </w:rPr>
        <w:t>2</w:t>
      </w:r>
      <w:r>
        <w:rPr>
          <w:rFonts w:hAnsi="宋体"/>
          <w:sz w:val="21"/>
        </w:rPr>
        <w:t>9.2</w:t>
      </w:r>
      <w:r>
        <w:rPr>
          <w:rFonts w:hAnsi="宋体" w:cs="宋体"/>
          <w:sz w:val="21"/>
        </w:rPr>
        <w:t xml:space="preserve"> </w:t>
      </w:r>
      <w:r>
        <w:rPr>
          <w:rFonts w:hAnsi="宋体"/>
          <w:sz w:val="21"/>
        </w:rPr>
        <w:t>中标候选人推荐数量详见</w:t>
      </w:r>
      <w:r>
        <w:rPr>
          <w:rFonts w:hint="eastAsia" w:hAnsi="宋体"/>
          <w:sz w:val="21"/>
        </w:rPr>
        <w:t>“投标人须知前附表”。</w:t>
      </w:r>
    </w:p>
    <w:p>
      <w:pPr>
        <w:pStyle w:val="12"/>
        <w:snapToGrid w:val="0"/>
        <w:spacing w:line="360" w:lineRule="auto"/>
        <w:ind w:firstLine="420" w:firstLineChars="200"/>
        <w:rPr>
          <w:rFonts w:hint="eastAsia" w:hAnsi="宋体"/>
          <w:sz w:val="21"/>
        </w:rPr>
      </w:pPr>
      <w:r>
        <w:rPr>
          <w:rFonts w:hint="eastAsia" w:hAnsi="宋体"/>
          <w:sz w:val="21"/>
        </w:rPr>
        <w:t>2</w:t>
      </w:r>
      <w:r>
        <w:rPr>
          <w:rFonts w:hAnsi="宋体"/>
          <w:sz w:val="21"/>
        </w:rPr>
        <w:t>9.</w:t>
      </w:r>
      <w:r>
        <w:rPr>
          <w:rFonts w:hint="eastAsia" w:hAnsi="宋体"/>
          <w:sz w:val="21"/>
        </w:rPr>
        <w:t>3</w:t>
      </w:r>
      <w:r>
        <w:rPr>
          <w:rFonts w:hAnsi="宋体"/>
          <w:sz w:val="21"/>
        </w:rPr>
        <w:t>评标委员会</w:t>
      </w:r>
      <w:r>
        <w:rPr>
          <w:rFonts w:hint="eastAsia" w:hAnsi="宋体"/>
          <w:sz w:val="21"/>
        </w:rPr>
        <w:t>将</w:t>
      </w:r>
      <w:r>
        <w:rPr>
          <w:rFonts w:hAnsi="宋体"/>
          <w:sz w:val="21"/>
        </w:rPr>
        <w:t>按照</w:t>
      </w:r>
      <w:r>
        <w:rPr>
          <w:rFonts w:hint="eastAsia" w:hAnsi="宋体"/>
          <w:sz w:val="21"/>
        </w:rPr>
        <w:t>“第四章 评标方法和评标标准”</w:t>
      </w:r>
      <w:r>
        <w:rPr>
          <w:rFonts w:hAnsi="宋体"/>
          <w:sz w:val="21"/>
        </w:rPr>
        <w:t>规定的方法、评审因素、标准和程序对投标文件进行评审。</w:t>
      </w:r>
    </w:p>
    <w:p>
      <w:pPr>
        <w:pStyle w:val="12"/>
        <w:snapToGrid w:val="0"/>
        <w:spacing w:line="360" w:lineRule="auto"/>
        <w:ind w:firstLine="420" w:firstLineChars="200"/>
        <w:rPr>
          <w:rFonts w:hint="eastAsia" w:hAnsi="宋体"/>
          <w:sz w:val="21"/>
        </w:rPr>
      </w:pPr>
      <w:r>
        <w:rPr>
          <w:rFonts w:hint="eastAsia" w:hAnsi="宋体"/>
          <w:sz w:val="21"/>
        </w:rPr>
        <w:t>29.4电子交易活动的中止。采购过程中出现以下情形，导致电子交易平台无法正常运行，或者无法保证电子交易的公平、公正和安全时，采购代理机构可中止电子交易活动：</w:t>
      </w:r>
    </w:p>
    <w:p>
      <w:pPr>
        <w:pStyle w:val="12"/>
        <w:snapToGrid w:val="0"/>
        <w:spacing w:line="360" w:lineRule="auto"/>
        <w:ind w:firstLine="420" w:firstLineChars="200"/>
        <w:rPr>
          <w:rFonts w:hint="eastAsia" w:hAnsi="宋体"/>
          <w:sz w:val="21"/>
        </w:rPr>
      </w:pPr>
      <w:r>
        <w:rPr>
          <w:rFonts w:hint="eastAsia" w:hAnsi="宋体"/>
          <w:sz w:val="21"/>
        </w:rPr>
        <w:t xml:space="preserve">（1）电子交易平台发生故障而无法登录访问的； </w:t>
      </w:r>
    </w:p>
    <w:p>
      <w:pPr>
        <w:pStyle w:val="12"/>
        <w:snapToGrid w:val="0"/>
        <w:spacing w:line="360" w:lineRule="auto"/>
        <w:ind w:firstLine="420" w:firstLineChars="200"/>
        <w:rPr>
          <w:rFonts w:hint="eastAsia" w:hAnsi="宋体"/>
          <w:sz w:val="21"/>
        </w:rPr>
      </w:pPr>
      <w:r>
        <w:rPr>
          <w:rFonts w:hint="eastAsia" w:hAnsi="宋体"/>
          <w:sz w:val="21"/>
        </w:rPr>
        <w:t>（2）电子交易平台应用或数据库出现错误，不能进行正常操作的；</w:t>
      </w:r>
    </w:p>
    <w:p>
      <w:pPr>
        <w:pStyle w:val="12"/>
        <w:snapToGrid w:val="0"/>
        <w:spacing w:line="360" w:lineRule="auto"/>
        <w:ind w:firstLine="420" w:firstLineChars="200"/>
        <w:rPr>
          <w:rFonts w:hint="eastAsia" w:hAnsi="宋体"/>
          <w:sz w:val="21"/>
        </w:rPr>
      </w:pPr>
      <w:r>
        <w:rPr>
          <w:rFonts w:hint="eastAsia" w:hAnsi="宋体"/>
          <w:sz w:val="21"/>
        </w:rPr>
        <w:t>（3）电子交易平台发现严重安全漏洞，有潜在泄密危险的；</w:t>
      </w:r>
    </w:p>
    <w:p>
      <w:pPr>
        <w:pStyle w:val="12"/>
        <w:snapToGrid w:val="0"/>
        <w:spacing w:line="360" w:lineRule="auto"/>
        <w:ind w:firstLine="420" w:firstLineChars="200"/>
        <w:rPr>
          <w:rFonts w:hint="eastAsia" w:hAnsi="宋体"/>
          <w:sz w:val="21"/>
        </w:rPr>
      </w:pPr>
      <w:r>
        <w:rPr>
          <w:rFonts w:hint="eastAsia" w:hAnsi="宋体"/>
          <w:sz w:val="21"/>
        </w:rPr>
        <w:t xml:space="preserve">（4）病毒发作导致不能进行正常操作的； </w:t>
      </w:r>
    </w:p>
    <w:p>
      <w:pPr>
        <w:pStyle w:val="12"/>
        <w:snapToGrid w:val="0"/>
        <w:spacing w:line="360" w:lineRule="auto"/>
        <w:ind w:firstLine="420" w:firstLineChars="200"/>
        <w:rPr>
          <w:rFonts w:hint="eastAsia" w:hAnsi="宋体"/>
          <w:sz w:val="21"/>
        </w:rPr>
      </w:pPr>
      <w:r>
        <w:rPr>
          <w:rFonts w:hint="eastAsia" w:hAnsi="宋体"/>
          <w:sz w:val="21"/>
        </w:rPr>
        <w:t>（4）其他无法保证电子交易的公平、公正和安全的情况。</w:t>
      </w:r>
    </w:p>
    <w:p>
      <w:pPr>
        <w:pStyle w:val="12"/>
        <w:snapToGrid w:val="0"/>
        <w:spacing w:line="360" w:lineRule="auto"/>
        <w:ind w:firstLine="420" w:firstLineChars="200"/>
        <w:rPr>
          <w:rFonts w:hint="eastAsia" w:hAnsi="宋体"/>
          <w:sz w:val="21"/>
        </w:rPr>
      </w:pPr>
      <w:r>
        <w:rPr>
          <w:rFonts w:hint="eastAsia" w:hAnsi="宋体"/>
          <w:sz w:val="21"/>
        </w:rPr>
        <w:t>29.5出现以上情形，不影响采购公平、公正性的，采购代理机构可以待上述情形消除后继续组织电子交易活动；影响或可能影响采购公平、公正性的，经采购代理机构确认后，应当重新采购。</w:t>
      </w:r>
    </w:p>
    <w:p>
      <w:pPr>
        <w:pStyle w:val="12"/>
        <w:snapToGrid w:val="0"/>
        <w:spacing w:line="360" w:lineRule="auto"/>
        <w:rPr>
          <w:rFonts w:hint="eastAsia" w:hAnsi="宋体"/>
          <w:sz w:val="21"/>
        </w:rPr>
      </w:pPr>
    </w:p>
    <w:p>
      <w:pPr>
        <w:pStyle w:val="4"/>
        <w:keepNext w:val="0"/>
        <w:keepLines w:val="0"/>
        <w:jc w:val="center"/>
        <w:rPr>
          <w:rFonts w:hint="eastAsia"/>
        </w:rPr>
      </w:pPr>
      <w:bookmarkStart w:id="130" w:name="_Toc254970546"/>
      <w:bookmarkStart w:id="131" w:name="_Toc254970687"/>
      <w:r>
        <w:rPr>
          <w:rFonts w:hint="eastAsia"/>
        </w:rPr>
        <w:t>七、</w:t>
      </w:r>
      <w:bookmarkEnd w:id="130"/>
      <w:bookmarkEnd w:id="131"/>
      <w:r>
        <w:rPr>
          <w:rFonts w:hint="eastAsia"/>
        </w:rPr>
        <w:t>中标和合同</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pPr>
        <w:pStyle w:val="5"/>
        <w:keepNext w:val="0"/>
        <w:keepLines w:val="0"/>
        <w:spacing w:before="0" w:after="0" w:line="360" w:lineRule="auto"/>
        <w:ind w:firstLine="420" w:firstLineChars="200"/>
        <w:rPr>
          <w:rFonts w:hint="eastAsia"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szCs w:val="21"/>
        </w:rPr>
      </w:pPr>
      <w:r>
        <w:rPr>
          <w:rFonts w:hint="eastAsia" w:ascii="宋体" w:hAnsi="宋体"/>
          <w:szCs w:val="21"/>
        </w:rPr>
        <w:t>30.3出现下列情形之一的，应予废标：</w:t>
      </w:r>
    </w:p>
    <w:p>
      <w:pPr>
        <w:snapToGrid w:val="0"/>
        <w:spacing w:line="360" w:lineRule="auto"/>
        <w:ind w:firstLine="420" w:firstLineChars="200"/>
        <w:rPr>
          <w:rFonts w:hint="eastAsia" w:ascii="宋体" w:hAnsi="宋体"/>
          <w:szCs w:val="21"/>
        </w:rPr>
      </w:pPr>
      <w:r>
        <w:rPr>
          <w:rFonts w:hint="eastAsia" w:ascii="宋体" w:hAnsi="宋体"/>
          <w:szCs w:val="21"/>
        </w:rPr>
        <w:t>（1）符合专业条件的投标人或者对招标文件作实质响应的投标人不足三家的；</w:t>
      </w:r>
    </w:p>
    <w:p>
      <w:pPr>
        <w:snapToGrid w:val="0"/>
        <w:spacing w:line="360" w:lineRule="auto"/>
        <w:ind w:firstLine="420" w:firstLineChars="200"/>
        <w:rPr>
          <w:rFonts w:hint="eastAsia" w:ascii="宋体" w:hAnsi="宋体"/>
          <w:szCs w:val="21"/>
        </w:rPr>
      </w:pPr>
      <w:r>
        <w:rPr>
          <w:rFonts w:hint="eastAsia" w:ascii="宋体" w:hAnsi="宋体"/>
          <w:szCs w:val="21"/>
        </w:rPr>
        <w:t>（2）出现影响采购公正的违法、违规行为的；</w:t>
      </w:r>
    </w:p>
    <w:p>
      <w:pPr>
        <w:snapToGrid w:val="0"/>
        <w:spacing w:line="360" w:lineRule="auto"/>
        <w:ind w:firstLine="420" w:firstLineChars="200"/>
        <w:rPr>
          <w:rFonts w:hint="eastAsia" w:ascii="宋体" w:hAnsi="宋体"/>
          <w:szCs w:val="21"/>
        </w:rPr>
      </w:pPr>
      <w:r>
        <w:rPr>
          <w:rFonts w:hint="eastAsia" w:ascii="宋体" w:hAnsi="宋体"/>
          <w:szCs w:val="21"/>
        </w:rPr>
        <w:t>（3）投标人的报价均超过了采购预算，采购人不能支付的；</w:t>
      </w:r>
    </w:p>
    <w:p>
      <w:pPr>
        <w:snapToGrid w:val="0"/>
        <w:spacing w:line="360" w:lineRule="auto"/>
        <w:ind w:firstLine="420" w:firstLineChars="200"/>
        <w:rPr>
          <w:rFonts w:hint="eastAsia" w:ascii="宋体" w:hAnsi="宋体"/>
          <w:szCs w:val="21"/>
        </w:rPr>
      </w:pPr>
      <w:r>
        <w:rPr>
          <w:rFonts w:hint="eastAsia" w:ascii="宋体" w:hAnsi="宋体"/>
          <w:szCs w:val="21"/>
        </w:rPr>
        <w:t>（4）因重大变故，采购任务取消的。</w:t>
      </w:r>
    </w:p>
    <w:p>
      <w:pPr>
        <w:snapToGrid w:val="0"/>
        <w:spacing w:line="360" w:lineRule="auto"/>
        <w:ind w:firstLine="420" w:firstLineChars="200"/>
        <w:rPr>
          <w:rFonts w:hint="eastAsia" w:ascii="宋体" w:hAnsi="宋体"/>
          <w:szCs w:val="21"/>
        </w:rPr>
      </w:pPr>
      <w:r>
        <w:rPr>
          <w:rFonts w:hint="eastAsia" w:ascii="宋体" w:hAnsi="宋体"/>
          <w:szCs w:val="21"/>
        </w:rPr>
        <w:t>废标后，采购人应当将废标理由通知所有投标人。</w:t>
      </w:r>
    </w:p>
    <w:p>
      <w:pPr>
        <w:snapToGrid w:val="0"/>
        <w:spacing w:line="360" w:lineRule="auto"/>
        <w:ind w:firstLine="420" w:firstLineChars="200"/>
        <w:rPr>
          <w:rFonts w:hint="eastAsia" w:ascii="宋体" w:hAnsi="宋体" w:cs="Courier New"/>
          <w:szCs w:val="21"/>
        </w:rPr>
      </w:pPr>
      <w:r>
        <w:rPr>
          <w:rFonts w:ascii="宋体" w:hAnsi="宋体" w:cs="Courier New"/>
          <w:szCs w:val="21"/>
        </w:rPr>
        <w:t>30.</w:t>
      </w:r>
      <w:r>
        <w:rPr>
          <w:rFonts w:hint="eastAsia" w:ascii="宋体" w:hAnsi="宋体" w:cs="Courier New"/>
          <w:szCs w:val="21"/>
        </w:rPr>
        <w:t>4 中标人拒绝签订政府采购合同（包括但不限于放弃中标、因不可抗力不能履行合同而放弃签订合同），采购人可以按照评审报告推荐的中标候选人名单排序，确定下一候选人为中标投标人，也可以重新开展政府采购活动。</w:t>
      </w:r>
      <w:r>
        <w:rPr>
          <w:rFonts w:ascii="宋体" w:hAnsi="宋体" w:cs="Courier New"/>
          <w:szCs w:val="21"/>
        </w:rPr>
        <w:t>拒绝签订政府采购合同的</w:t>
      </w:r>
      <w:r>
        <w:rPr>
          <w:rFonts w:hint="eastAsia" w:ascii="宋体" w:hAnsi="宋体" w:cs="Courier New"/>
          <w:szCs w:val="21"/>
        </w:rPr>
        <w:t>中标人</w:t>
      </w:r>
      <w:r>
        <w:rPr>
          <w:rFonts w:ascii="宋体" w:hAnsi="宋体" w:cs="Courier New"/>
          <w:szCs w:val="21"/>
        </w:rPr>
        <w:t>不得参加对该项目重新开展的采购活动。</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31. 结果公告</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采购人或者采购代理机构应当自中标人确定之日起2个工作日内，在省级以上财政部门指定的媒体上公告中标结果，招标文件应当随中标结果同时公告。</w:t>
      </w:r>
      <w:r>
        <w:rPr>
          <w:rFonts w:hint="eastAsia" w:ascii="宋体" w:hAnsi="宋体"/>
          <w:sz w:val="21"/>
          <w:szCs w:val="21"/>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b w:val="0"/>
          <w:sz w:val="21"/>
          <w:szCs w:val="21"/>
        </w:rPr>
        <w:t>排名第二的中标候选人因前款规定的同样原因被取消中标资格的，采购人可以确定排名第三的中标候选人为中标人，以此类推。以上信息查询记录及相关证据与招标文件一并保存。</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31.2中标投标人享受《政府采购促进中小企业发展管理办法》（财库〔2020〕46号）规定的中小企业扶持政策的，采购人、采购代理机构应当随中标结果公开中标投标人的《中小企业声明函》。</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32.发出中标通知书</w:t>
      </w:r>
    </w:p>
    <w:p>
      <w:pPr>
        <w:pStyle w:val="5"/>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33. 无义务解释未中标原因</w:t>
      </w:r>
    </w:p>
    <w:p>
      <w:pPr>
        <w:pStyle w:val="5"/>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采购代理机构无义务向未中标的投标人解释未中标原因和退还投标文件。</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34.合同授予标准</w:t>
      </w:r>
    </w:p>
    <w:p>
      <w:pPr>
        <w:snapToGrid w:val="0"/>
        <w:spacing w:line="360" w:lineRule="auto"/>
        <w:ind w:firstLine="420" w:firstLineChars="200"/>
        <w:rPr>
          <w:rFonts w:hint="eastAsia"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35.履约保证金</w:t>
      </w:r>
    </w:p>
    <w:p>
      <w:pPr>
        <w:pStyle w:val="5"/>
        <w:keepNext w:val="0"/>
        <w:keepLines w:val="0"/>
        <w:spacing w:before="0" w:after="0" w:line="360" w:lineRule="auto"/>
        <w:ind w:firstLine="315" w:firstLineChars="150"/>
        <w:rPr>
          <w:rFonts w:hint="eastAsia" w:ascii="宋体" w:hAnsi="宋体"/>
          <w:b w:val="0"/>
          <w:sz w:val="21"/>
          <w:szCs w:val="21"/>
        </w:rPr>
      </w:pPr>
      <w:bookmarkStart w:id="132" w:name="_39.1中标人须于签订合同前按本须知前附表规定的金额转账或电汇到指定账"/>
      <w:bookmarkEnd w:id="132"/>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w:t>
      </w:r>
    </w:p>
    <w:p>
      <w:pPr>
        <w:pStyle w:val="5"/>
        <w:keepNext w:val="0"/>
        <w:keepLines w:val="0"/>
        <w:spacing w:before="0" w:after="0" w:line="360" w:lineRule="auto"/>
        <w:ind w:firstLine="316" w:firstLineChars="150"/>
        <w:rPr>
          <w:rFonts w:hint="eastAsia" w:ascii="宋体" w:hAnsi="宋体"/>
          <w:sz w:val="21"/>
          <w:szCs w:val="21"/>
        </w:rPr>
      </w:pPr>
      <w:r>
        <w:rPr>
          <w:rFonts w:hint="eastAsia" w:ascii="宋体" w:hAnsi="宋体"/>
          <w:sz w:val="21"/>
          <w:szCs w:val="21"/>
        </w:rPr>
        <w:t xml:space="preserve"> </w:t>
      </w:r>
      <w:r>
        <w:rPr>
          <w:rFonts w:hint="eastAsia" w:ascii="宋体" w:hAnsi="宋体"/>
          <w:b w:val="0"/>
          <w:bCs/>
          <w:sz w:val="21"/>
          <w:szCs w:val="21"/>
        </w:rPr>
        <w:t>35.2在履约保证金退还日期前，若中标人的开户名称、开户银行、帐号有变动的，请以书面形式通知履约保证金收取单位，否则由此产生的后果由中标人自行承担。</w:t>
      </w:r>
    </w:p>
    <w:p>
      <w:pPr>
        <w:pStyle w:val="5"/>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36.签订合同</w:t>
      </w:r>
    </w:p>
    <w:p>
      <w:pPr>
        <w:pStyle w:val="5"/>
        <w:keepNext w:val="0"/>
        <w:keepLines w:val="0"/>
        <w:spacing w:before="0" w:after="0" w:line="360" w:lineRule="auto"/>
        <w:ind w:firstLine="315" w:firstLineChars="150"/>
        <w:rPr>
          <w:rFonts w:hint="eastAsia" w:ascii="宋体" w:hAnsi="宋体"/>
          <w:b w:val="0"/>
          <w:bCs/>
          <w:sz w:val="21"/>
          <w:szCs w:val="21"/>
        </w:rPr>
      </w:pPr>
      <w:bookmarkStart w:id="133" w:name="_40.1投标人接到中标通知书后，按须知前附表规定向采购人出示相关资格证"/>
      <w:bookmarkEnd w:id="133"/>
      <w:r>
        <w:rPr>
          <w:rFonts w:hint="eastAsia" w:ascii="宋体" w:hAnsi="宋体"/>
          <w:b w:val="0"/>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b w:val="0"/>
          <w:bCs/>
          <w:sz w:val="21"/>
          <w:szCs w:val="21"/>
        </w:rPr>
        <w:t>如中标人为联合体的，</w:t>
      </w:r>
      <w:r>
        <w:rPr>
          <w:rFonts w:ascii="宋体" w:hAnsi="宋体"/>
          <w:b w:val="0"/>
          <w:bCs/>
          <w:sz w:val="21"/>
          <w:szCs w:val="21"/>
        </w:rPr>
        <w:t>联合体各方应当共同与采购人签订采购合同，就采购合同约定的事项对采购人承担连带责任。</w:t>
      </w:r>
    </w:p>
    <w:p>
      <w:pPr>
        <w:pStyle w:val="5"/>
        <w:keepNext w:val="0"/>
        <w:keepLines w:val="0"/>
        <w:numPr>
          <w:ilvl w:val="0"/>
          <w:numId w:val="0"/>
        </w:numPr>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36.2签订合同时间：按中标通知书规定的时间与采购人签订合同。</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中标人拒绝与采购人签订合同的，按照本须知正文第3</w:t>
      </w:r>
      <w:r>
        <w:rPr>
          <w:rFonts w:ascii="宋体" w:hAnsi="宋体"/>
          <w:b w:val="0"/>
          <w:sz w:val="21"/>
          <w:szCs w:val="21"/>
        </w:rPr>
        <w:t>0.4条</w:t>
      </w:r>
      <w:r>
        <w:rPr>
          <w:rFonts w:hint="eastAsia" w:ascii="宋体" w:hAnsi="宋体"/>
          <w:b w:val="0"/>
          <w:sz w:val="21"/>
          <w:szCs w:val="21"/>
        </w:rPr>
        <w:t>的规定执行。</w:t>
      </w:r>
    </w:p>
    <w:p>
      <w:pPr>
        <w:pStyle w:val="5"/>
        <w:keepNext w:val="0"/>
        <w:keepLines w:val="0"/>
        <w:spacing w:before="0" w:after="0" w:line="360" w:lineRule="auto"/>
        <w:ind w:left="420" w:leftChars="200"/>
        <w:rPr>
          <w:rFonts w:hint="eastAsia" w:ascii="黑体" w:hAnsi="黑体" w:eastAsia="黑体"/>
          <w:sz w:val="24"/>
        </w:rPr>
      </w:pPr>
      <w:bookmarkStart w:id="134" w:name="_41.政府采购合同公告"/>
      <w:bookmarkEnd w:id="134"/>
      <w:r>
        <w:rPr>
          <w:rFonts w:hint="eastAsia" w:ascii="黑体" w:hAnsi="黑体" w:eastAsia="黑体"/>
          <w:sz w:val="24"/>
        </w:rPr>
        <w:t>37.政府采购合同公告</w:t>
      </w:r>
    </w:p>
    <w:p>
      <w:pPr>
        <w:pStyle w:val="12"/>
        <w:snapToGrid w:val="0"/>
        <w:spacing w:line="360" w:lineRule="auto"/>
        <w:ind w:firstLine="420" w:firstLineChars="200"/>
        <w:rPr>
          <w:rFonts w:hint="eastAsia"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pPr>
        <w:pStyle w:val="5"/>
        <w:keepNext w:val="0"/>
        <w:keepLines w:val="0"/>
        <w:spacing w:before="0" w:after="0" w:line="360" w:lineRule="auto"/>
        <w:ind w:left="420" w:leftChars="200"/>
        <w:rPr>
          <w:rFonts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pPr>
        <w:pStyle w:val="6"/>
        <w:spacing w:line="360" w:lineRule="auto"/>
        <w:rPr>
          <w:rFonts w:hint="eastAsia" w:ascii="宋体" w:hAnsi="宋体"/>
          <w:szCs w:val="21"/>
        </w:rPr>
      </w:pPr>
      <w:r>
        <w:rPr>
          <w:rFonts w:ascii="宋体" w:hAnsi="宋体"/>
          <w:szCs w:val="21"/>
        </w:rPr>
        <w:t>38.1</w:t>
      </w:r>
      <w:r>
        <w:rPr>
          <w:rFonts w:hint="eastAsia" w:ascii="宋体" w:hAnsi="宋体"/>
          <w:szCs w:val="21"/>
        </w:rPr>
        <w:t>投标人对政府采购活动事项有疑问的，可以向采购人提出询问，采购人或者采购代理机构应当在3个工作日内对投标人依法提出的询问作出答复，但答复的内容不得涉及商业秘密。</w:t>
      </w:r>
    </w:p>
    <w:p>
      <w:pPr>
        <w:pStyle w:val="5"/>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投标人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12"/>
        <w:snapToGrid w:val="0"/>
        <w:spacing w:line="360" w:lineRule="auto"/>
        <w:ind w:firstLine="420" w:firstLineChars="200"/>
        <w:rPr>
          <w:rFonts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pPr>
        <w:pStyle w:val="12"/>
        <w:snapToGrid w:val="0"/>
        <w:spacing w:line="360" w:lineRule="auto"/>
        <w:ind w:firstLine="420" w:firstLineChars="200"/>
        <w:rPr>
          <w:rFonts w:hint="eastAsia"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pPr>
        <w:pStyle w:val="12"/>
        <w:snapToGrid w:val="0"/>
        <w:spacing w:line="360" w:lineRule="auto"/>
        <w:ind w:firstLine="420" w:firstLineChars="200"/>
        <w:rPr>
          <w:rFonts w:hint="eastAsia"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pPr>
        <w:pStyle w:val="5"/>
        <w:keepNext w:val="0"/>
        <w:keepLines w:val="0"/>
        <w:spacing w:before="0" w:after="0" w:line="360" w:lineRule="auto"/>
        <w:ind w:firstLine="315" w:firstLineChars="150"/>
        <w:rPr>
          <w:rFonts w:ascii="宋体" w:hAnsi="宋体"/>
          <w:b w:val="0"/>
          <w:sz w:val="21"/>
          <w:szCs w:val="21"/>
        </w:rPr>
      </w:pP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int="eastAsia" w:hAnsi="宋体"/>
          <w:bCs/>
          <w:sz w:val="21"/>
        </w:rPr>
        <w:t>投标人</w:t>
      </w:r>
      <w:r>
        <w:rPr>
          <w:rFonts w:hAnsi="宋体"/>
          <w:bCs/>
          <w:sz w:val="21"/>
        </w:rPr>
        <w:t>提出质疑应当提交质疑函和必要的证明材料</w:t>
      </w:r>
      <w:r>
        <w:rPr>
          <w:rFonts w:hint="eastAsia" w:hAnsi="宋体"/>
          <w:bCs/>
          <w:sz w:val="21"/>
        </w:rPr>
        <w:t>，</w:t>
      </w:r>
      <w:r>
        <w:rPr>
          <w:rFonts w:hAnsi="宋体"/>
          <w:bCs/>
          <w:sz w:val="21"/>
        </w:rPr>
        <w:t>针对同一采购程序环节的质疑</w:t>
      </w:r>
      <w:r>
        <w:rPr>
          <w:rFonts w:hint="eastAsia" w:hAnsi="宋体"/>
          <w:bCs/>
          <w:sz w:val="21"/>
        </w:rPr>
        <w:t>必须</w:t>
      </w:r>
      <w:r>
        <w:rPr>
          <w:rFonts w:hAnsi="宋体"/>
          <w:bCs/>
          <w:sz w:val="21"/>
        </w:rPr>
        <w:t>在法定质疑期内一次性提出。质疑函应当包括下列内容</w:t>
      </w:r>
      <w:r>
        <w:rPr>
          <w:rFonts w:hint="eastAsia" w:hAnsi="宋体"/>
          <w:bCs/>
          <w:sz w:val="21"/>
        </w:rPr>
        <w:t>（质疑函格式后附）</w:t>
      </w:r>
      <w:r>
        <w:rPr>
          <w:rFonts w:hAnsi="宋体"/>
          <w:bCs/>
          <w:sz w:val="21"/>
        </w:rPr>
        <w:t>：</w:t>
      </w:r>
    </w:p>
    <w:p>
      <w:pPr>
        <w:pStyle w:val="12"/>
        <w:snapToGrid w:val="0"/>
        <w:spacing w:line="360" w:lineRule="auto"/>
        <w:ind w:firstLine="420" w:firstLineChars="200"/>
        <w:rPr>
          <w:rFonts w:hAnsi="宋体"/>
          <w:bCs/>
          <w:sz w:val="21"/>
        </w:rPr>
      </w:pPr>
      <w:r>
        <w:rPr>
          <w:rFonts w:hAnsi="宋体"/>
          <w:bCs/>
          <w:sz w:val="21"/>
        </w:rPr>
        <w:t>（</w:t>
      </w:r>
      <w:r>
        <w:rPr>
          <w:rFonts w:hint="eastAsia" w:hAnsi="宋体"/>
          <w:bCs/>
          <w:sz w:val="21"/>
        </w:rPr>
        <w:t>1</w:t>
      </w:r>
      <w:r>
        <w:rPr>
          <w:rFonts w:hAnsi="宋体"/>
          <w:bCs/>
          <w:sz w:val="21"/>
        </w:rPr>
        <w:t>）</w:t>
      </w:r>
      <w:r>
        <w:rPr>
          <w:rFonts w:hint="eastAsia" w:hAnsi="宋体"/>
          <w:bCs/>
          <w:sz w:val="21"/>
        </w:rPr>
        <w:t>投标人</w:t>
      </w:r>
      <w:r>
        <w:rPr>
          <w:rFonts w:hAnsi="宋体"/>
          <w:bCs/>
          <w:sz w:val="21"/>
        </w:rPr>
        <w:t>的姓名或者名称、地址、邮编、联系人及联系电话；</w:t>
      </w:r>
    </w:p>
    <w:p>
      <w:pPr>
        <w:pStyle w:val="12"/>
        <w:snapToGrid w:val="0"/>
        <w:spacing w:line="360" w:lineRule="auto"/>
        <w:ind w:firstLine="420" w:firstLineChars="200"/>
        <w:rPr>
          <w:rFonts w:hAnsi="宋体"/>
          <w:bCs/>
          <w:sz w:val="21"/>
        </w:rPr>
      </w:pPr>
      <w:r>
        <w:rPr>
          <w:rFonts w:hAnsi="宋体"/>
          <w:bCs/>
          <w:sz w:val="21"/>
        </w:rPr>
        <w:t>（</w:t>
      </w:r>
      <w:r>
        <w:rPr>
          <w:rFonts w:hint="eastAsia" w:hAnsi="宋体"/>
          <w:bCs/>
          <w:sz w:val="21"/>
        </w:rPr>
        <w:t>2</w:t>
      </w:r>
      <w:r>
        <w:rPr>
          <w:rFonts w:hAnsi="宋体"/>
          <w:bCs/>
          <w:sz w:val="21"/>
        </w:rPr>
        <w:t>）质疑项目的名称、编号；</w:t>
      </w:r>
    </w:p>
    <w:p>
      <w:pPr>
        <w:pStyle w:val="12"/>
        <w:snapToGrid w:val="0"/>
        <w:spacing w:line="360" w:lineRule="auto"/>
        <w:ind w:firstLine="420" w:firstLineChars="200"/>
        <w:rPr>
          <w:rFonts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pPr>
        <w:pStyle w:val="12"/>
        <w:snapToGrid w:val="0"/>
        <w:spacing w:line="360" w:lineRule="auto"/>
        <w:ind w:firstLine="420" w:firstLineChars="200"/>
        <w:rPr>
          <w:rFonts w:hAnsi="宋体"/>
          <w:bCs/>
          <w:sz w:val="21"/>
        </w:rPr>
      </w:pPr>
      <w:r>
        <w:rPr>
          <w:rFonts w:hAnsi="宋体"/>
          <w:bCs/>
          <w:sz w:val="21"/>
        </w:rPr>
        <w:t>（</w:t>
      </w:r>
      <w:r>
        <w:rPr>
          <w:rFonts w:hint="eastAsia" w:hAnsi="宋体"/>
          <w:bCs/>
          <w:sz w:val="21"/>
        </w:rPr>
        <w:t>4</w:t>
      </w:r>
      <w:r>
        <w:rPr>
          <w:rFonts w:hAnsi="宋体"/>
          <w:bCs/>
          <w:sz w:val="21"/>
        </w:rPr>
        <w:t>）事实依据；</w:t>
      </w:r>
    </w:p>
    <w:p>
      <w:pPr>
        <w:pStyle w:val="12"/>
        <w:snapToGrid w:val="0"/>
        <w:spacing w:line="360" w:lineRule="auto"/>
        <w:ind w:firstLine="420" w:firstLineChars="200"/>
        <w:rPr>
          <w:rFonts w:hAnsi="宋体"/>
          <w:bCs/>
          <w:sz w:val="21"/>
        </w:rPr>
      </w:pPr>
      <w:r>
        <w:rPr>
          <w:rFonts w:hAnsi="宋体"/>
          <w:bCs/>
          <w:sz w:val="21"/>
        </w:rPr>
        <w:t>（</w:t>
      </w:r>
      <w:r>
        <w:rPr>
          <w:rFonts w:hint="eastAsia" w:hAnsi="宋体"/>
          <w:bCs/>
          <w:sz w:val="21"/>
        </w:rPr>
        <w:t>5</w:t>
      </w:r>
      <w:r>
        <w:rPr>
          <w:rFonts w:hAnsi="宋体"/>
          <w:bCs/>
          <w:sz w:val="21"/>
        </w:rPr>
        <w:t>）必要的法律依据；</w:t>
      </w:r>
    </w:p>
    <w:p>
      <w:pPr>
        <w:pStyle w:val="12"/>
        <w:snapToGrid w:val="0"/>
        <w:spacing w:line="360" w:lineRule="auto"/>
        <w:ind w:firstLine="420" w:firstLineChars="200"/>
        <w:rPr>
          <w:rFonts w:hAnsi="宋体"/>
          <w:bCs/>
          <w:sz w:val="21"/>
        </w:rPr>
      </w:pPr>
      <w:r>
        <w:rPr>
          <w:rFonts w:hAnsi="宋体"/>
          <w:bCs/>
          <w:sz w:val="21"/>
        </w:rPr>
        <w:t>（</w:t>
      </w:r>
      <w:r>
        <w:rPr>
          <w:rFonts w:hint="eastAsia" w:hAnsi="宋体"/>
          <w:bCs/>
          <w:sz w:val="21"/>
        </w:rPr>
        <w:t>6</w:t>
      </w:r>
      <w:r>
        <w:rPr>
          <w:rFonts w:hAnsi="宋体"/>
          <w:bCs/>
          <w:sz w:val="21"/>
        </w:rPr>
        <w:t>）提出质疑的日期。</w:t>
      </w:r>
    </w:p>
    <w:p>
      <w:pPr>
        <w:pStyle w:val="12"/>
        <w:snapToGrid w:val="0"/>
        <w:spacing w:line="360" w:lineRule="auto"/>
        <w:ind w:firstLine="420" w:firstLineChars="200"/>
        <w:rPr>
          <w:rFonts w:hint="eastAsia" w:hAnsi="宋体"/>
          <w:bCs/>
          <w:sz w:val="21"/>
        </w:rPr>
      </w:pPr>
      <w:r>
        <w:rPr>
          <w:rFonts w:hint="eastAsia" w:hAnsi="宋体"/>
          <w:bCs/>
          <w:sz w:val="21"/>
        </w:rPr>
        <w:t>投标人</w:t>
      </w:r>
      <w:r>
        <w:rPr>
          <w:rFonts w:hAnsi="宋体"/>
          <w:bCs/>
          <w:sz w:val="21"/>
        </w:rPr>
        <w:t>为自然人的，应当由本人签字；</w:t>
      </w:r>
      <w:r>
        <w:rPr>
          <w:rFonts w:hint="eastAsia" w:hAnsi="宋体"/>
          <w:bCs/>
          <w:sz w:val="21"/>
        </w:rPr>
        <w:t>投标人</w:t>
      </w:r>
      <w:r>
        <w:rPr>
          <w:rFonts w:hAnsi="宋体"/>
          <w:bCs/>
          <w:sz w:val="21"/>
        </w:rPr>
        <w:t>为法人或者其他组织的，应当由法定代表人、主要负责人，或者其委托代理人签字或者盖章，并加盖公章</w:t>
      </w:r>
      <w:r>
        <w:rPr>
          <w:rFonts w:hint="eastAsia" w:hAnsi="宋体"/>
          <w:bCs/>
          <w:sz w:val="21"/>
        </w:rPr>
        <w:t>。</w:t>
      </w:r>
    </w:p>
    <w:p>
      <w:pPr>
        <w:pStyle w:val="5"/>
        <w:keepNext w:val="0"/>
        <w:keepLines w:val="0"/>
        <w:snapToGrid w:val="0"/>
        <w:spacing w:before="0" w:after="0" w:line="360" w:lineRule="auto"/>
        <w:ind w:firstLine="420" w:firstLineChars="200"/>
        <w:rPr>
          <w:rFonts w:hint="eastAsia"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采购人、采购代理机构认为投标人质疑不成立，或者成立但未对中标结果构成影响的，继续开展采购活动；认为投标人质疑成立且影响或者可能影响中标结果的，按照下列情况处理：</w:t>
      </w:r>
    </w:p>
    <w:p>
      <w:pPr>
        <w:pStyle w:val="12"/>
        <w:snapToGrid w:val="0"/>
        <w:spacing w:line="360" w:lineRule="auto"/>
        <w:rPr>
          <w:rFonts w:hint="eastAsia" w:hAnsi="宋体"/>
          <w:bCs/>
          <w:sz w:val="21"/>
        </w:rPr>
      </w:pPr>
      <w:r>
        <w:rPr>
          <w:rFonts w:hint="eastAsia" w:hAnsi="宋体"/>
          <w:bCs/>
          <w:sz w:val="21"/>
        </w:rPr>
        <w:t>　　（1）对招标文件提出的质疑，依法通过澄清或者修改可以继续开展采购活动的，澄清或者修改招标文件后继续开展采购活动；否则应当修改招标文件后重新开展采购活动。</w:t>
      </w:r>
    </w:p>
    <w:p>
      <w:pPr>
        <w:pStyle w:val="12"/>
        <w:snapToGrid w:val="0"/>
        <w:spacing w:line="360" w:lineRule="auto"/>
        <w:rPr>
          <w:rFonts w:hint="eastAsia" w:hAnsi="宋体"/>
          <w:bCs/>
          <w:sz w:val="21"/>
        </w:rPr>
      </w:pPr>
      <w:r>
        <w:rPr>
          <w:rFonts w:hint="eastAsia" w:hAnsi="宋体"/>
          <w:bCs/>
          <w:sz w:val="21"/>
        </w:rPr>
        <w:t>　　（2）对采购过程、中标结果提出的质疑，合格投标人符合法定数量时，可以从合格的中标候选人中另行确定中标投标人的，应当依法另行确定中标投标人；否则应当重新开展采购活动。</w:t>
      </w:r>
    </w:p>
    <w:p>
      <w:pPr>
        <w:pStyle w:val="12"/>
        <w:snapToGrid w:val="0"/>
        <w:spacing w:line="360" w:lineRule="auto"/>
        <w:ind w:firstLine="420"/>
        <w:rPr>
          <w:rFonts w:hAnsi="宋体"/>
          <w:bCs/>
          <w:sz w:val="21"/>
        </w:rPr>
      </w:pPr>
      <w:r>
        <w:rPr>
          <w:rFonts w:hint="eastAsia" w:hAnsi="宋体"/>
          <w:bCs/>
          <w:sz w:val="21"/>
        </w:rPr>
        <w:t>质疑答复导致中标结果改变的，采购人或者采购代理机构应当将有关情况书面报告本级财政部门。</w:t>
      </w:r>
    </w:p>
    <w:p>
      <w:pPr>
        <w:pStyle w:val="12"/>
        <w:snapToGrid w:val="0"/>
        <w:spacing w:line="360" w:lineRule="auto"/>
        <w:ind w:firstLine="420" w:firstLineChars="200"/>
        <w:rPr>
          <w:rFonts w:hint="eastAsia" w:hAnsi="宋体"/>
          <w:sz w:val="21"/>
        </w:rPr>
      </w:pPr>
      <w:r>
        <w:rPr>
          <w:rFonts w:hAnsi="宋体"/>
          <w:sz w:val="21"/>
        </w:rPr>
        <w:t>38</w:t>
      </w:r>
      <w:r>
        <w:rPr>
          <w:rFonts w:hint="eastAsia" w:hAnsi="宋体"/>
          <w:sz w:val="21"/>
        </w:rPr>
        <w:t>.</w:t>
      </w:r>
      <w:r>
        <w:rPr>
          <w:rFonts w:hAnsi="宋体"/>
          <w:sz w:val="21"/>
        </w:rPr>
        <w:t>5</w:t>
      </w:r>
      <w:r>
        <w:rPr>
          <w:rFonts w:hint="eastAsia" w:hAnsi="宋体"/>
          <w:sz w:val="21"/>
        </w:rPr>
        <w:t>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5" w:name="_八、其他事项"/>
      <w:bookmarkEnd w:id="135"/>
    </w:p>
    <w:p>
      <w:pPr>
        <w:pStyle w:val="12"/>
        <w:snapToGrid w:val="0"/>
        <w:spacing w:line="360" w:lineRule="auto"/>
        <w:ind w:firstLine="400" w:firstLineChars="200"/>
        <w:rPr>
          <w:rFonts w:hint="eastAsia"/>
        </w:rPr>
      </w:pPr>
    </w:p>
    <w:p>
      <w:pPr>
        <w:pStyle w:val="4"/>
        <w:keepNext w:val="0"/>
        <w:keepLines w:val="0"/>
        <w:jc w:val="center"/>
        <w:rPr>
          <w:rFonts w:hint="eastAsia"/>
        </w:rPr>
      </w:pPr>
      <w:r>
        <w:rPr>
          <w:rFonts w:hint="eastAsia"/>
        </w:rPr>
        <w:t>八、其他事项</w:t>
      </w:r>
    </w:p>
    <w:p>
      <w:pPr>
        <w:pStyle w:val="5"/>
        <w:keepNext w:val="0"/>
        <w:keepLines w:val="0"/>
        <w:spacing w:before="0" w:after="0" w:line="360" w:lineRule="auto"/>
        <w:ind w:left="420" w:leftChars="200"/>
        <w:rPr>
          <w:rFonts w:hint="eastAsia" w:ascii="黑体" w:hAnsi="黑体" w:eastAsia="黑体"/>
          <w:sz w:val="24"/>
        </w:rPr>
      </w:pPr>
      <w:bookmarkStart w:id="136" w:name="_42.代理服务费"/>
      <w:bookmarkEnd w:id="136"/>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pPr>
        <w:pStyle w:val="12"/>
        <w:snapToGrid w:val="0"/>
        <w:spacing w:line="360" w:lineRule="auto"/>
        <w:ind w:firstLine="420" w:firstLineChars="200"/>
        <w:rPr>
          <w:rFonts w:hint="eastAsia" w:hAnsi="宋体"/>
          <w:sz w:val="21"/>
        </w:rPr>
      </w:pPr>
      <w:r>
        <w:rPr>
          <w:rFonts w:hint="eastAsia" w:hAnsi="宋体"/>
          <w:sz w:val="21"/>
        </w:rPr>
        <w:t>3</w:t>
      </w:r>
      <w:r>
        <w:rPr>
          <w:rFonts w:hAnsi="宋体"/>
          <w:sz w:val="21"/>
        </w:rPr>
        <w:t>9</w:t>
      </w:r>
      <w:r>
        <w:rPr>
          <w:rFonts w:hint="eastAsia" w:hAnsi="宋体"/>
          <w:sz w:val="21"/>
        </w:rPr>
        <w:t>.1代理服务收取标准及缴费账户详见“投标人须知前附表”，投标人为联合体的，可以由联合体中的一方或者多方共同交纳代理服务费。</w:t>
      </w:r>
    </w:p>
    <w:p>
      <w:pPr>
        <w:pStyle w:val="12"/>
        <w:snapToGrid w:val="0"/>
        <w:spacing w:line="360" w:lineRule="auto"/>
        <w:ind w:firstLine="420" w:firstLineChars="200"/>
        <w:rPr>
          <w:rFonts w:hint="eastAsia" w:hAnsi="宋体"/>
          <w:sz w:val="21"/>
        </w:rPr>
      </w:pPr>
      <w:r>
        <w:rPr>
          <w:rFonts w:hint="eastAsia" w:hAnsi="宋体"/>
          <w:sz w:val="21"/>
        </w:rPr>
        <w:t>3</w:t>
      </w:r>
      <w:r>
        <w:rPr>
          <w:rFonts w:hAnsi="宋体"/>
          <w:sz w:val="21"/>
        </w:rPr>
        <w:t>9</w:t>
      </w:r>
      <w:r>
        <w:rPr>
          <w:rFonts w:hint="eastAsia" w:hAnsi="宋体"/>
          <w:sz w:val="21"/>
        </w:rPr>
        <w:t>.2代理服务收费标准：</w:t>
      </w:r>
    </w:p>
    <w:p>
      <w:pPr>
        <w:pStyle w:val="12"/>
        <w:snapToGrid w:val="0"/>
        <w:spacing w:line="360" w:lineRule="auto"/>
        <w:ind w:firstLine="420" w:firstLineChars="200"/>
        <w:rPr>
          <w:rFonts w:hint="eastAsia" w:hAnsi="宋体"/>
          <w:sz w:val="21"/>
        </w:rPr>
      </w:pPr>
    </w:p>
    <w:tbl>
      <w:tblPr>
        <w:tblStyle w:val="1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szCs w:val="21"/>
              </w:rPr>
            </w:pPr>
            <w:r>
              <w:rPr>
                <w:rFonts w:hint="eastAsia" w:ascii="宋体" w:hAnsi="宋体"/>
                <w:szCs w:val="21"/>
              </w:rPr>
              <w:t xml:space="preserve">               费率</w:t>
            </w:r>
          </w:p>
          <w:p>
            <w:pPr>
              <w:spacing w:line="360" w:lineRule="auto"/>
              <w:rPr>
                <w:rFonts w:hint="eastAsia" w:ascii="宋体" w:hAnsi="宋体"/>
                <w:szCs w:val="21"/>
              </w:rPr>
            </w:pPr>
            <w:r>
              <w:rPr>
                <w:rFonts w:hint="eastAsia" w:ascii="宋体" w:hAnsi="宋体"/>
                <w:szCs w:val="21"/>
              </w:rPr>
              <w:t>中标金额</w:t>
            </w:r>
          </w:p>
        </w:tc>
        <w:tc>
          <w:tcPr>
            <w:tcW w:w="1659" w:type="dxa"/>
            <w:noWrap w:val="0"/>
            <w:vAlign w:val="center"/>
          </w:tcPr>
          <w:p>
            <w:pPr>
              <w:spacing w:line="360" w:lineRule="auto"/>
              <w:ind w:firstLine="105" w:firstLineChars="50"/>
              <w:jc w:val="center"/>
              <w:rPr>
                <w:rFonts w:hint="eastAsia" w:ascii="宋体" w:hAnsi="宋体"/>
                <w:szCs w:val="21"/>
              </w:rPr>
            </w:pPr>
            <w:r>
              <w:rPr>
                <w:rFonts w:hint="eastAsia" w:ascii="宋体" w:hAnsi="宋体"/>
                <w:szCs w:val="21"/>
              </w:rPr>
              <w:t>货物招标</w:t>
            </w:r>
          </w:p>
        </w:tc>
        <w:tc>
          <w:tcPr>
            <w:tcW w:w="1687" w:type="dxa"/>
            <w:noWrap w:val="0"/>
            <w:vAlign w:val="center"/>
          </w:tcPr>
          <w:p>
            <w:pPr>
              <w:spacing w:line="360" w:lineRule="auto"/>
              <w:jc w:val="center"/>
              <w:rPr>
                <w:rFonts w:hint="eastAsia" w:ascii="宋体" w:hAnsi="宋体"/>
                <w:szCs w:val="21"/>
              </w:rPr>
            </w:pPr>
            <w:r>
              <w:rPr>
                <w:rFonts w:hint="eastAsia" w:ascii="宋体" w:hAnsi="宋体"/>
                <w:szCs w:val="21"/>
              </w:rPr>
              <w:t>服务招标</w:t>
            </w:r>
          </w:p>
        </w:tc>
        <w:tc>
          <w:tcPr>
            <w:tcW w:w="1659" w:type="dxa"/>
            <w:noWrap w:val="0"/>
            <w:vAlign w:val="center"/>
          </w:tcPr>
          <w:p>
            <w:pPr>
              <w:spacing w:line="360" w:lineRule="auto"/>
              <w:jc w:val="center"/>
              <w:rPr>
                <w:rFonts w:hint="eastAsia"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100万元以下</w:t>
            </w:r>
          </w:p>
        </w:tc>
        <w:tc>
          <w:tcPr>
            <w:tcW w:w="1659" w:type="dxa"/>
            <w:noWrap w:val="0"/>
            <w:vAlign w:val="top"/>
          </w:tcPr>
          <w:p>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noWrap w:val="0"/>
            <w:vAlign w:val="top"/>
          </w:tcPr>
          <w:p>
            <w:pPr>
              <w:spacing w:line="360" w:lineRule="auto"/>
              <w:ind w:firstLine="210" w:firstLineChars="100"/>
              <w:rPr>
                <w:rFonts w:ascii="宋体" w:hAnsi="宋体"/>
                <w:szCs w:val="21"/>
              </w:rPr>
            </w:pPr>
            <w:r>
              <w:rPr>
                <w:rFonts w:ascii="宋体" w:hAnsi="宋体" w:cs="宋体"/>
                <w:kern w:val="0"/>
                <w:szCs w:val="21"/>
              </w:rPr>
              <w:t>1.5%</w:t>
            </w:r>
          </w:p>
        </w:tc>
        <w:tc>
          <w:tcPr>
            <w:tcW w:w="1659" w:type="dxa"/>
            <w:noWrap w:val="0"/>
            <w:vAlign w:val="top"/>
          </w:tcPr>
          <w:p>
            <w:pPr>
              <w:spacing w:line="360" w:lineRule="auto"/>
              <w:ind w:firstLine="210" w:firstLineChars="100"/>
              <w:rPr>
                <w:rFonts w:hint="eastAsia" w:ascii="宋体" w:hAnsi="宋体"/>
                <w:szCs w:val="21"/>
              </w:rPr>
            </w:pPr>
            <w:r>
              <w:rPr>
                <w:rFonts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100～500万元</w:t>
            </w:r>
          </w:p>
        </w:tc>
        <w:tc>
          <w:tcPr>
            <w:tcW w:w="1659" w:type="dxa"/>
            <w:noWrap w:val="0"/>
            <w:vAlign w:val="top"/>
          </w:tcPr>
          <w:p>
            <w:pPr>
              <w:spacing w:line="360" w:lineRule="auto"/>
              <w:ind w:firstLine="210" w:firstLineChars="100"/>
              <w:rPr>
                <w:rFonts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noWrap w:val="0"/>
            <w:vAlign w:val="top"/>
          </w:tcPr>
          <w:p>
            <w:pPr>
              <w:spacing w:line="360" w:lineRule="auto"/>
              <w:ind w:firstLine="210" w:firstLineChars="100"/>
              <w:rPr>
                <w:rFonts w:ascii="宋体" w:hAnsi="宋体"/>
                <w:szCs w:val="21"/>
              </w:rPr>
            </w:pPr>
            <w:r>
              <w:rPr>
                <w:rFonts w:ascii="宋体" w:hAnsi="宋体" w:cs="宋体"/>
                <w:kern w:val="0"/>
                <w:szCs w:val="21"/>
              </w:rPr>
              <w:t>0.8%</w:t>
            </w:r>
          </w:p>
        </w:tc>
        <w:tc>
          <w:tcPr>
            <w:tcW w:w="1659" w:type="dxa"/>
            <w:noWrap w:val="0"/>
            <w:vAlign w:val="top"/>
          </w:tcPr>
          <w:p>
            <w:pPr>
              <w:spacing w:line="360" w:lineRule="auto"/>
              <w:ind w:firstLine="210" w:firstLineChars="100"/>
              <w:rPr>
                <w:rFonts w:hint="eastAsia" w:ascii="宋体" w:hAnsi="宋体"/>
                <w:szCs w:val="21"/>
              </w:rPr>
            </w:pPr>
            <w:r>
              <w:rPr>
                <w:rFonts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500～1000万元</w:t>
            </w:r>
          </w:p>
        </w:tc>
        <w:tc>
          <w:tcPr>
            <w:tcW w:w="1659" w:type="dxa"/>
            <w:noWrap w:val="0"/>
            <w:vAlign w:val="top"/>
          </w:tcPr>
          <w:p>
            <w:pPr>
              <w:spacing w:line="360" w:lineRule="auto"/>
              <w:rPr>
                <w:rFonts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noWrap w:val="0"/>
            <w:vAlign w:val="top"/>
          </w:tcPr>
          <w:p>
            <w:pPr>
              <w:spacing w:line="360" w:lineRule="auto"/>
              <w:ind w:firstLine="210" w:firstLineChars="100"/>
              <w:rPr>
                <w:rFonts w:ascii="宋体" w:hAnsi="宋体"/>
                <w:szCs w:val="21"/>
              </w:rPr>
            </w:pPr>
            <w:r>
              <w:rPr>
                <w:rFonts w:ascii="宋体" w:hAnsi="宋体" w:cs="宋体"/>
                <w:kern w:val="0"/>
                <w:szCs w:val="21"/>
              </w:rPr>
              <w:t>0.45%</w:t>
            </w:r>
          </w:p>
        </w:tc>
        <w:tc>
          <w:tcPr>
            <w:tcW w:w="1659" w:type="dxa"/>
            <w:noWrap w:val="0"/>
            <w:vAlign w:val="top"/>
          </w:tcPr>
          <w:p>
            <w:pPr>
              <w:spacing w:line="360" w:lineRule="auto"/>
              <w:ind w:firstLine="210" w:firstLineChars="100"/>
              <w:rPr>
                <w:rFonts w:ascii="宋体" w:hAnsi="宋体"/>
                <w:szCs w:val="21"/>
              </w:rPr>
            </w:pPr>
            <w:r>
              <w:rPr>
                <w:rFonts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1000～5000万元</w:t>
            </w:r>
          </w:p>
        </w:tc>
        <w:tc>
          <w:tcPr>
            <w:tcW w:w="1659" w:type="dxa"/>
            <w:noWrap w:val="0"/>
            <w:vAlign w:val="top"/>
          </w:tcPr>
          <w:p>
            <w:pPr>
              <w:spacing w:line="360" w:lineRule="auto"/>
              <w:ind w:firstLine="210" w:firstLineChars="100"/>
              <w:rPr>
                <w:rFonts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noWrap w:val="0"/>
            <w:vAlign w:val="top"/>
          </w:tcPr>
          <w:p>
            <w:pPr>
              <w:spacing w:line="360" w:lineRule="auto"/>
              <w:ind w:firstLine="210" w:firstLineChars="100"/>
              <w:rPr>
                <w:rFonts w:ascii="宋体" w:hAnsi="宋体"/>
                <w:szCs w:val="21"/>
              </w:rPr>
            </w:pPr>
            <w:r>
              <w:rPr>
                <w:rFonts w:ascii="宋体" w:hAnsi="宋体" w:cs="宋体"/>
                <w:kern w:val="0"/>
                <w:szCs w:val="21"/>
              </w:rPr>
              <w:t>0.25%</w:t>
            </w:r>
          </w:p>
        </w:tc>
        <w:tc>
          <w:tcPr>
            <w:tcW w:w="1659" w:type="dxa"/>
            <w:noWrap w:val="0"/>
            <w:vAlign w:val="top"/>
          </w:tcPr>
          <w:p>
            <w:pPr>
              <w:spacing w:line="360" w:lineRule="auto"/>
              <w:ind w:firstLine="210" w:firstLineChars="100"/>
              <w:rPr>
                <w:rFonts w:hint="eastAsia" w:ascii="宋体" w:hAnsi="宋体"/>
                <w:szCs w:val="21"/>
              </w:rPr>
            </w:pPr>
            <w:r>
              <w:rPr>
                <w:rFonts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5000万元～1亿元</w:t>
            </w:r>
          </w:p>
        </w:tc>
        <w:tc>
          <w:tcPr>
            <w:tcW w:w="1659" w:type="dxa"/>
            <w:noWrap w:val="0"/>
            <w:vAlign w:val="top"/>
          </w:tcPr>
          <w:p>
            <w:pPr>
              <w:spacing w:line="360" w:lineRule="auto"/>
              <w:ind w:firstLine="210" w:firstLineChars="100"/>
              <w:rPr>
                <w:rFonts w:hint="eastAsia"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noWrap w:val="0"/>
            <w:vAlign w:val="top"/>
          </w:tcPr>
          <w:p>
            <w:pPr>
              <w:spacing w:line="360" w:lineRule="auto"/>
              <w:ind w:firstLine="210" w:firstLineChars="100"/>
              <w:rPr>
                <w:rFonts w:ascii="宋体" w:hAnsi="宋体"/>
                <w:szCs w:val="21"/>
              </w:rPr>
            </w:pPr>
            <w:r>
              <w:rPr>
                <w:rFonts w:ascii="宋体" w:hAnsi="宋体" w:cs="宋体"/>
                <w:kern w:val="0"/>
                <w:szCs w:val="21"/>
              </w:rPr>
              <w:t>0.1%</w:t>
            </w:r>
          </w:p>
        </w:tc>
        <w:tc>
          <w:tcPr>
            <w:tcW w:w="1659" w:type="dxa"/>
            <w:noWrap w:val="0"/>
            <w:vAlign w:val="top"/>
          </w:tcPr>
          <w:p>
            <w:pPr>
              <w:spacing w:line="360" w:lineRule="auto"/>
              <w:ind w:firstLine="210" w:firstLineChars="100"/>
              <w:rPr>
                <w:rFonts w:ascii="宋体" w:hAnsi="宋体"/>
                <w:szCs w:val="21"/>
              </w:rPr>
            </w:pPr>
            <w:r>
              <w:rPr>
                <w:rFonts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1～5亿元</w:t>
            </w:r>
          </w:p>
        </w:tc>
        <w:tc>
          <w:tcPr>
            <w:tcW w:w="1659" w:type="dxa"/>
            <w:noWrap w:val="0"/>
            <w:vAlign w:val="top"/>
          </w:tcPr>
          <w:p>
            <w:pPr>
              <w:spacing w:line="360" w:lineRule="auto"/>
              <w:ind w:firstLine="210" w:firstLineChars="100"/>
              <w:rPr>
                <w:rFonts w:hint="eastAsia" w:ascii="宋体" w:hAnsi="宋体"/>
                <w:szCs w:val="21"/>
              </w:rPr>
            </w:pPr>
            <w:r>
              <w:rPr>
                <w:rFonts w:hint="eastAsia" w:ascii="宋体" w:hAnsi="宋体"/>
                <w:szCs w:val="21"/>
              </w:rPr>
              <w:t>0.05%</w:t>
            </w:r>
          </w:p>
        </w:tc>
        <w:tc>
          <w:tcPr>
            <w:tcW w:w="1687" w:type="dxa"/>
            <w:noWrap w:val="0"/>
            <w:vAlign w:val="top"/>
          </w:tcPr>
          <w:p>
            <w:pPr>
              <w:spacing w:line="360" w:lineRule="auto"/>
              <w:rPr>
                <w:rFonts w:hint="eastAsia" w:ascii="宋体" w:hAnsi="宋体"/>
                <w:szCs w:val="21"/>
              </w:rPr>
            </w:pPr>
            <w:r>
              <w:rPr>
                <w:rFonts w:hint="eastAsia" w:ascii="宋体" w:hAnsi="宋体"/>
                <w:szCs w:val="21"/>
              </w:rPr>
              <w:t xml:space="preserve">  0.05%</w:t>
            </w:r>
          </w:p>
        </w:tc>
        <w:tc>
          <w:tcPr>
            <w:tcW w:w="1659" w:type="dxa"/>
            <w:noWrap w:val="0"/>
            <w:vAlign w:val="top"/>
          </w:tcPr>
          <w:p>
            <w:pPr>
              <w:spacing w:line="360" w:lineRule="auto"/>
              <w:rPr>
                <w:rFonts w:hint="eastAsia" w:ascii="宋体" w:hAnsi="宋体"/>
                <w:szCs w:val="21"/>
              </w:rPr>
            </w:pPr>
            <w:r>
              <w:rPr>
                <w:rFonts w:hint="eastAsia" w:ascii="宋体" w:hAnsi="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5～10亿元</w:t>
            </w:r>
          </w:p>
        </w:tc>
        <w:tc>
          <w:tcPr>
            <w:tcW w:w="1659" w:type="dxa"/>
            <w:noWrap w:val="0"/>
            <w:vAlign w:val="top"/>
          </w:tcPr>
          <w:p>
            <w:pPr>
              <w:spacing w:line="360" w:lineRule="auto"/>
              <w:ind w:firstLine="105" w:firstLineChars="50"/>
              <w:rPr>
                <w:rFonts w:hint="eastAsia" w:ascii="宋体" w:hAnsi="宋体"/>
                <w:szCs w:val="21"/>
              </w:rPr>
            </w:pPr>
            <w:r>
              <w:rPr>
                <w:rFonts w:hint="eastAsia" w:ascii="宋体" w:hAnsi="宋体"/>
                <w:szCs w:val="21"/>
              </w:rPr>
              <w:t>0.035%</w:t>
            </w:r>
          </w:p>
        </w:tc>
        <w:tc>
          <w:tcPr>
            <w:tcW w:w="1687" w:type="dxa"/>
            <w:noWrap w:val="0"/>
            <w:vAlign w:val="top"/>
          </w:tcPr>
          <w:p>
            <w:pPr>
              <w:spacing w:line="360" w:lineRule="auto"/>
              <w:rPr>
                <w:rFonts w:hint="eastAsia" w:ascii="宋体" w:hAnsi="宋体"/>
                <w:szCs w:val="21"/>
              </w:rPr>
            </w:pPr>
            <w:r>
              <w:rPr>
                <w:rFonts w:hint="eastAsia" w:ascii="宋体" w:hAnsi="宋体"/>
                <w:szCs w:val="21"/>
              </w:rPr>
              <w:t xml:space="preserve">  0.035%</w:t>
            </w:r>
          </w:p>
        </w:tc>
        <w:tc>
          <w:tcPr>
            <w:tcW w:w="1659" w:type="dxa"/>
            <w:noWrap w:val="0"/>
            <w:vAlign w:val="top"/>
          </w:tcPr>
          <w:p>
            <w:pPr>
              <w:spacing w:line="360" w:lineRule="auto"/>
              <w:ind w:firstLine="105" w:firstLineChars="50"/>
              <w:rPr>
                <w:rFonts w:ascii="宋体" w:hAnsi="宋体"/>
                <w:szCs w:val="21"/>
              </w:rPr>
            </w:pPr>
            <w:r>
              <w:rPr>
                <w:rFonts w:hint="eastAsia" w:ascii="宋体" w:hAnsi="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10～50亿元</w:t>
            </w:r>
          </w:p>
        </w:tc>
        <w:tc>
          <w:tcPr>
            <w:tcW w:w="1659" w:type="dxa"/>
            <w:noWrap w:val="0"/>
            <w:vAlign w:val="top"/>
          </w:tcPr>
          <w:p>
            <w:pPr>
              <w:spacing w:line="360" w:lineRule="auto"/>
              <w:ind w:firstLine="105" w:firstLineChars="50"/>
              <w:rPr>
                <w:rFonts w:hint="eastAsia" w:ascii="宋体" w:hAnsi="宋体"/>
                <w:szCs w:val="21"/>
              </w:rPr>
            </w:pPr>
            <w:r>
              <w:rPr>
                <w:rFonts w:hint="eastAsia" w:ascii="宋体" w:hAnsi="宋体"/>
                <w:szCs w:val="21"/>
              </w:rPr>
              <w:t>0.008%</w:t>
            </w:r>
          </w:p>
        </w:tc>
        <w:tc>
          <w:tcPr>
            <w:tcW w:w="1687" w:type="dxa"/>
            <w:noWrap w:val="0"/>
            <w:vAlign w:val="top"/>
          </w:tcPr>
          <w:p>
            <w:pPr>
              <w:spacing w:line="360" w:lineRule="auto"/>
              <w:ind w:firstLine="210" w:firstLineChars="100"/>
              <w:rPr>
                <w:rFonts w:ascii="宋体" w:hAnsi="宋体"/>
                <w:szCs w:val="21"/>
              </w:rPr>
            </w:pPr>
            <w:r>
              <w:rPr>
                <w:rFonts w:hint="eastAsia" w:ascii="宋体" w:hAnsi="宋体"/>
                <w:szCs w:val="21"/>
              </w:rPr>
              <w:t>0.008%</w:t>
            </w:r>
          </w:p>
        </w:tc>
        <w:tc>
          <w:tcPr>
            <w:tcW w:w="1659" w:type="dxa"/>
            <w:noWrap w:val="0"/>
            <w:vAlign w:val="top"/>
          </w:tcPr>
          <w:p>
            <w:pPr>
              <w:spacing w:line="360" w:lineRule="auto"/>
              <w:ind w:firstLine="105" w:firstLineChars="50"/>
              <w:rPr>
                <w:rFonts w:ascii="宋体" w:hAnsi="宋体"/>
                <w:szCs w:val="21"/>
              </w:rPr>
            </w:pPr>
            <w:r>
              <w:rPr>
                <w:rFonts w:hint="eastAsia" w:ascii="宋体" w:hAnsi="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50～100亿元</w:t>
            </w:r>
          </w:p>
        </w:tc>
        <w:tc>
          <w:tcPr>
            <w:tcW w:w="1659" w:type="dxa"/>
            <w:noWrap w:val="0"/>
            <w:vAlign w:val="top"/>
          </w:tcPr>
          <w:p>
            <w:pPr>
              <w:spacing w:line="360" w:lineRule="auto"/>
              <w:rPr>
                <w:rFonts w:hint="eastAsia" w:ascii="宋体" w:hAnsi="宋体"/>
                <w:szCs w:val="21"/>
              </w:rPr>
            </w:pPr>
            <w:r>
              <w:rPr>
                <w:rFonts w:hint="eastAsia" w:ascii="宋体" w:hAnsi="宋体"/>
                <w:szCs w:val="21"/>
              </w:rPr>
              <w:t xml:space="preserve"> 0.006%</w:t>
            </w:r>
          </w:p>
        </w:tc>
        <w:tc>
          <w:tcPr>
            <w:tcW w:w="1687" w:type="dxa"/>
            <w:noWrap w:val="0"/>
            <w:vAlign w:val="top"/>
          </w:tcPr>
          <w:p>
            <w:pPr>
              <w:spacing w:line="360" w:lineRule="auto"/>
              <w:ind w:firstLine="210" w:firstLineChars="100"/>
              <w:rPr>
                <w:rFonts w:ascii="宋体" w:hAnsi="宋体"/>
                <w:szCs w:val="21"/>
              </w:rPr>
            </w:pPr>
            <w:r>
              <w:rPr>
                <w:rFonts w:hint="eastAsia" w:ascii="宋体" w:hAnsi="宋体"/>
                <w:szCs w:val="21"/>
              </w:rPr>
              <w:t>0.006%</w:t>
            </w:r>
          </w:p>
        </w:tc>
        <w:tc>
          <w:tcPr>
            <w:tcW w:w="1659" w:type="dxa"/>
            <w:noWrap w:val="0"/>
            <w:vAlign w:val="top"/>
          </w:tcPr>
          <w:p>
            <w:pPr>
              <w:spacing w:line="360" w:lineRule="auto"/>
              <w:ind w:firstLine="105" w:firstLineChars="50"/>
              <w:rPr>
                <w:rFonts w:ascii="宋体" w:hAnsi="宋体"/>
                <w:szCs w:val="21"/>
              </w:rPr>
            </w:pPr>
            <w:r>
              <w:rPr>
                <w:rFonts w:hint="eastAsia" w:ascii="宋体" w:hAnsi="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szCs w:val="21"/>
              </w:rPr>
            </w:pPr>
            <w:r>
              <w:rPr>
                <w:rFonts w:hint="eastAsia" w:ascii="宋体" w:hAnsi="宋体"/>
                <w:szCs w:val="21"/>
              </w:rPr>
              <w:t>100亿以上</w:t>
            </w:r>
          </w:p>
        </w:tc>
        <w:tc>
          <w:tcPr>
            <w:tcW w:w="1659" w:type="dxa"/>
            <w:noWrap w:val="0"/>
            <w:vAlign w:val="top"/>
          </w:tcPr>
          <w:p>
            <w:pPr>
              <w:spacing w:line="360" w:lineRule="auto"/>
              <w:rPr>
                <w:rFonts w:hint="eastAsia" w:ascii="宋体" w:hAnsi="宋体"/>
                <w:szCs w:val="21"/>
              </w:rPr>
            </w:pPr>
            <w:r>
              <w:rPr>
                <w:rFonts w:hint="eastAsia" w:ascii="宋体" w:hAnsi="宋体"/>
                <w:szCs w:val="21"/>
              </w:rPr>
              <w:t xml:space="preserve"> 0.004%</w:t>
            </w:r>
          </w:p>
        </w:tc>
        <w:tc>
          <w:tcPr>
            <w:tcW w:w="1687" w:type="dxa"/>
            <w:noWrap w:val="0"/>
            <w:vAlign w:val="top"/>
          </w:tcPr>
          <w:p>
            <w:pPr>
              <w:spacing w:line="360" w:lineRule="auto"/>
              <w:ind w:firstLine="210" w:firstLineChars="100"/>
              <w:rPr>
                <w:rFonts w:ascii="宋体" w:hAnsi="宋体"/>
                <w:szCs w:val="21"/>
              </w:rPr>
            </w:pPr>
            <w:r>
              <w:rPr>
                <w:rFonts w:hint="eastAsia" w:ascii="宋体" w:hAnsi="宋体"/>
                <w:szCs w:val="21"/>
              </w:rPr>
              <w:t>0.004%</w:t>
            </w:r>
          </w:p>
        </w:tc>
        <w:tc>
          <w:tcPr>
            <w:tcW w:w="1659" w:type="dxa"/>
            <w:noWrap w:val="0"/>
            <w:vAlign w:val="top"/>
          </w:tcPr>
          <w:p>
            <w:pPr>
              <w:spacing w:line="360" w:lineRule="auto"/>
              <w:ind w:firstLine="105" w:firstLineChars="50"/>
              <w:rPr>
                <w:rFonts w:ascii="宋体" w:hAnsi="宋体"/>
                <w:szCs w:val="21"/>
              </w:rPr>
            </w:pPr>
            <w:r>
              <w:rPr>
                <w:rFonts w:hint="eastAsia" w:ascii="宋体" w:hAnsi="宋体"/>
                <w:szCs w:val="21"/>
              </w:rPr>
              <w:t>0.004%</w:t>
            </w:r>
          </w:p>
        </w:tc>
      </w:tr>
    </w:tbl>
    <w:p>
      <w:pPr>
        <w:spacing w:line="360" w:lineRule="auto"/>
        <w:ind w:firstLine="420" w:firstLineChars="200"/>
        <w:rPr>
          <w:rFonts w:ascii="宋体" w:hAnsi="宋体" w:cs="宋体"/>
          <w:szCs w:val="21"/>
        </w:rPr>
      </w:pPr>
      <w:r>
        <w:rPr>
          <w:rFonts w:hint="eastAsia" w:ascii="宋体" w:hAnsi="宋体"/>
          <w:szCs w:val="21"/>
        </w:rPr>
        <w:t>注:</w:t>
      </w:r>
      <w:r>
        <w:rPr>
          <w:rFonts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pPr>
        <w:spacing w:line="360" w:lineRule="auto"/>
        <w:ind w:firstLine="420" w:firstLineChars="200"/>
        <w:rPr>
          <w:rFonts w:ascii="宋体" w:hAnsi="宋体" w:cs="宋体"/>
          <w:szCs w:val="21"/>
        </w:rPr>
      </w:pPr>
      <w:r>
        <w:rPr>
          <w:rFonts w:ascii="宋体" w:hAnsi="宋体" w:cs="宋体"/>
          <w:szCs w:val="21"/>
        </w:rPr>
        <w:t>100 万元×l.5 %＝ 1.5 万元</w:t>
      </w:r>
    </w:p>
    <w:p>
      <w:pPr>
        <w:spacing w:line="360" w:lineRule="auto"/>
        <w:ind w:firstLine="420" w:firstLineChars="200"/>
        <w:rPr>
          <w:rFonts w:ascii="宋体" w:hAnsi="宋体" w:cs="宋体"/>
          <w:szCs w:val="21"/>
        </w:rPr>
      </w:pPr>
      <w:r>
        <w:rPr>
          <w:rFonts w:ascii="宋体" w:hAnsi="宋体" w:cs="宋体"/>
          <w:szCs w:val="21"/>
        </w:rPr>
        <w:t>（ 200 － 100 ）万元 ×0.8%＝0.8万元</w:t>
      </w:r>
    </w:p>
    <w:p>
      <w:pPr>
        <w:pStyle w:val="12"/>
        <w:snapToGrid w:val="0"/>
        <w:spacing w:line="360" w:lineRule="auto"/>
        <w:ind w:firstLine="420" w:firstLineChars="200"/>
        <w:rPr>
          <w:rFonts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lang w:val="en-US" w:eastAsia="zh-CN"/>
        </w:rPr>
        <w:t>9.3</w:t>
      </w:r>
      <w:r>
        <w:rPr>
          <w:rFonts w:ascii="宋体" w:hAnsi="宋体" w:cs="宋体"/>
          <w:szCs w:val="21"/>
        </w:rPr>
        <w:t xml:space="preserve"> </w:t>
      </w:r>
      <w:r>
        <w:rPr>
          <w:rFonts w:hint="eastAsia" w:ascii="宋体" w:hAnsi="宋体" w:cs="宋体"/>
          <w:szCs w:val="21"/>
        </w:rPr>
        <w:t>代理服务费交纳</w:t>
      </w:r>
      <w:r>
        <w:rPr>
          <w:rFonts w:ascii="宋体" w:hAnsi="宋体" w:cs="宋体"/>
          <w:szCs w:val="21"/>
        </w:rPr>
        <w:t>银行帐号信息</w:t>
      </w:r>
    </w:p>
    <w:p>
      <w:pPr>
        <w:pStyle w:val="5"/>
        <w:keepNext w:val="0"/>
        <w:keepLines w:val="0"/>
        <w:spacing w:before="0" w:after="0" w:line="360" w:lineRule="auto"/>
        <w:ind w:left="420" w:leftChars="200"/>
        <w:rPr>
          <w:rFonts w:hint="eastAsia" w:ascii="宋体" w:hAnsi="宋体" w:cs="宋体"/>
          <w:b w:val="0"/>
          <w:sz w:val="21"/>
          <w:szCs w:val="21"/>
        </w:rPr>
      </w:pPr>
      <w:r>
        <w:rPr>
          <w:rFonts w:hint="eastAsia" w:ascii="宋体" w:hAnsi="宋体" w:cs="宋体"/>
          <w:b w:val="0"/>
          <w:sz w:val="21"/>
          <w:szCs w:val="21"/>
        </w:rPr>
        <w:t xml:space="preserve">账户名称：广西国泰招标咨询有限公司南宁第二分公司 </w:t>
      </w:r>
    </w:p>
    <w:p>
      <w:pPr>
        <w:pStyle w:val="5"/>
        <w:keepNext w:val="0"/>
        <w:keepLines w:val="0"/>
        <w:spacing w:before="0" w:after="0" w:line="360" w:lineRule="auto"/>
        <w:ind w:left="420" w:leftChars="200"/>
        <w:rPr>
          <w:rFonts w:hint="eastAsia" w:ascii="宋体" w:hAnsi="宋体" w:cs="宋体"/>
          <w:b w:val="0"/>
          <w:sz w:val="21"/>
          <w:szCs w:val="21"/>
        </w:rPr>
      </w:pPr>
      <w:r>
        <w:rPr>
          <w:rFonts w:hint="eastAsia" w:ascii="宋体" w:hAnsi="宋体" w:cs="宋体"/>
          <w:b w:val="0"/>
          <w:sz w:val="21"/>
          <w:szCs w:val="21"/>
        </w:rPr>
        <w:t xml:space="preserve">开户银行：广西北部湾银行股份有限公司南宁市云景支行 </w:t>
      </w:r>
    </w:p>
    <w:p>
      <w:pPr>
        <w:pStyle w:val="5"/>
        <w:keepNext w:val="0"/>
        <w:keepLines w:val="0"/>
        <w:spacing w:before="0" w:after="0" w:line="360" w:lineRule="auto"/>
        <w:ind w:left="420" w:leftChars="200"/>
        <w:rPr>
          <w:rFonts w:hint="eastAsia" w:ascii="宋体" w:hAnsi="宋体" w:cs="宋体"/>
          <w:b w:val="0"/>
          <w:sz w:val="21"/>
          <w:szCs w:val="21"/>
        </w:rPr>
      </w:pPr>
      <w:r>
        <w:rPr>
          <w:rFonts w:hint="eastAsia" w:ascii="宋体" w:hAnsi="宋体" w:cs="宋体"/>
          <w:b w:val="0"/>
          <w:sz w:val="21"/>
          <w:szCs w:val="21"/>
        </w:rPr>
        <w:t xml:space="preserve">银行账号：805022084200001 </w:t>
      </w:r>
    </w:p>
    <w:p>
      <w:pPr>
        <w:pStyle w:val="5"/>
        <w:keepNext w:val="0"/>
        <w:keepLines w:val="0"/>
        <w:spacing w:before="0" w:after="0" w:line="360" w:lineRule="auto"/>
        <w:ind w:left="420" w:leftChars="200"/>
        <w:rPr>
          <w:rFonts w:ascii="黑体" w:hAnsi="黑体" w:eastAsia="黑体"/>
          <w:sz w:val="24"/>
        </w:rPr>
      </w:pPr>
      <w:r>
        <w:rPr>
          <w:rFonts w:ascii="黑体" w:hAnsi="黑体" w:eastAsia="黑体"/>
          <w:sz w:val="24"/>
        </w:rPr>
        <w:t>40. 需要补充的其他内容</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40.1本招标文件解释规则详见“投标人须知前附表”。</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40.2 其他事项详见“投标人须知前附表”。</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40.3</w:t>
      </w:r>
      <w:bookmarkStart w:id="137" w:name="_Hlk65857140"/>
      <w:r>
        <w:rPr>
          <w:rFonts w:hint="eastAsia" w:hAnsi="宋体" w:cs="宋体"/>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（1）在货物采购项目中，货物由中小企业制造，即货物由中小企业生产且使用该中小企业商号或者注册商标，不对其中涉及的工程承建商和服务的承接商作出要求；</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（2）在工程采购项目中，工程由中小企业承建，即工程施工单位为中小企业，不对其中涉及的货物的制造商和服务的承接商作出要求；</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（3）在服务采购项目中，服务由中小企业承接，即提供服务的人员为中小企业依照《中华人民共和国劳动合同法》订立劳动合同的从业人员，不对其中涉及的货物的制造商和工程承建商作出要求。</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2"/>
        <w:spacing w:before="120" w:after="120" w:line="360" w:lineRule="auto"/>
        <w:ind w:firstLine="420" w:firstLineChars="200"/>
        <w:contextualSpacing/>
        <w:rPr>
          <w:rFonts w:hint="eastAsia" w:hAnsi="宋体" w:cs="宋体"/>
          <w:sz w:val="21"/>
        </w:rPr>
      </w:pPr>
      <w:r>
        <w:rPr>
          <w:rFonts w:hint="eastAsia" w:hAnsi="宋体" w:cs="宋体"/>
          <w:sz w:val="21"/>
        </w:rPr>
        <w:t>依据本招标文件规定享受扶持政策获得政府采购合同的，小微企业不得将合同分包给大中型企业，中型企业不得将合同分包给大型企业。</w:t>
      </w:r>
      <w:bookmarkEnd w:id="137"/>
    </w:p>
    <w:p>
      <w:pPr>
        <w:pStyle w:val="10"/>
        <w:ind w:left="479" w:leftChars="114" w:hanging="240" w:hangingChars="100"/>
        <w:rPr>
          <w:rFonts w:hAnsi="宋体"/>
        </w:rPr>
      </w:pPr>
      <w:r>
        <w:rPr>
          <w:rFonts w:hAnsi="宋体"/>
        </w:rPr>
        <w:br w:type="page"/>
      </w:r>
    </w:p>
    <w:p>
      <w:pPr>
        <w:pStyle w:val="10"/>
        <w:ind w:left="479" w:leftChars="114" w:hanging="240" w:hangingChars="100"/>
        <w:rPr>
          <w:rFonts w:hAnsi="宋体"/>
        </w:rPr>
      </w:pPr>
    </w:p>
    <w:p>
      <w:pPr>
        <w:pStyle w:val="10"/>
        <w:ind w:left="479" w:leftChars="114" w:hanging="240" w:hangingChars="100"/>
        <w:rPr>
          <w:rFonts w:hAnsi="宋体"/>
        </w:rPr>
      </w:pPr>
    </w:p>
    <w:p>
      <w:pPr>
        <w:pStyle w:val="10"/>
        <w:ind w:left="479" w:leftChars="114" w:hanging="240" w:hangingChars="10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12"/>
        <w:snapToGrid w:val="0"/>
        <w:spacing w:before="120" w:after="120"/>
        <w:rPr>
          <w:rFonts w:hint="eastAsia" w:hAnsi="宋体"/>
        </w:rPr>
      </w:pPr>
    </w:p>
    <w:p>
      <w:pPr>
        <w:pStyle w:val="2"/>
        <w:jc w:val="center"/>
        <w:rPr>
          <w:rFonts w:hint="eastAsia"/>
        </w:rPr>
      </w:pPr>
      <w:bookmarkStart w:id="138" w:name="_Toc254970548"/>
      <w:bookmarkStart w:id="139" w:name="_Toc254970689"/>
      <w:bookmarkStart w:id="140" w:name="_Toc330456896"/>
      <w:bookmarkStart w:id="141" w:name="_Toc74320803"/>
      <w:r>
        <w:rPr>
          <w:rFonts w:hint="eastAsia"/>
        </w:rPr>
        <w:t>第四章  评标方法及评标标准</w:t>
      </w:r>
      <w:bookmarkEnd w:id="138"/>
      <w:bookmarkEnd w:id="139"/>
      <w:bookmarkEnd w:id="140"/>
      <w:bookmarkEnd w:id="141"/>
    </w:p>
    <w:p>
      <w:pPr>
        <w:pStyle w:val="12"/>
        <w:spacing w:before="120" w:after="120"/>
        <w:outlineLvl w:val="0"/>
        <w:rPr>
          <w:rFonts w:hint="eastAsia" w:hAnsi="宋体"/>
          <w:b/>
        </w:rPr>
      </w:pPr>
      <w:bookmarkStart w:id="142" w:name="_Toc254970690"/>
      <w:bookmarkStart w:id="143" w:name="_Toc254970549"/>
    </w:p>
    <w:bookmarkEnd w:id="142"/>
    <w:bookmarkEnd w:id="143"/>
    <w:p>
      <w:pPr>
        <w:pStyle w:val="12"/>
        <w:spacing w:before="120" w:after="120"/>
        <w:outlineLvl w:val="0"/>
        <w:rPr>
          <w:rFonts w:hint="eastAsia" w:hAnsi="宋体"/>
          <w:bCs/>
          <w:sz w:val="32"/>
          <w:szCs w:val="32"/>
        </w:rPr>
      </w:pPr>
    </w:p>
    <w:p>
      <w:pPr>
        <w:pStyle w:val="12"/>
        <w:spacing w:before="120" w:after="120"/>
        <w:outlineLvl w:val="0"/>
        <w:rPr>
          <w:rFonts w:hint="eastAsia" w:hAnsi="宋体"/>
          <w:bCs/>
          <w:sz w:val="32"/>
          <w:szCs w:val="32"/>
        </w:rPr>
      </w:pPr>
    </w:p>
    <w:p>
      <w:pPr>
        <w:pStyle w:val="12"/>
        <w:spacing w:before="120" w:after="120"/>
        <w:outlineLvl w:val="0"/>
        <w:rPr>
          <w:rFonts w:hint="eastAsia" w:hAnsi="宋体"/>
          <w:bCs/>
          <w:sz w:val="32"/>
          <w:szCs w:val="32"/>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pStyle w:val="12"/>
        <w:spacing w:line="360" w:lineRule="exact"/>
        <w:rPr>
          <w:rFonts w:hint="eastAsia" w:hAnsi="宋体"/>
          <w:b/>
          <w:sz w:val="24"/>
        </w:rPr>
      </w:pPr>
    </w:p>
    <w:p>
      <w:pPr>
        <w:pStyle w:val="4"/>
        <w:keepNext w:val="0"/>
        <w:keepLines w:val="0"/>
        <w:jc w:val="center"/>
        <w:rPr>
          <w:sz w:val="30"/>
          <w:szCs w:val="30"/>
        </w:rPr>
      </w:pPr>
      <w:r>
        <w:rPr>
          <w:sz w:val="30"/>
          <w:szCs w:val="30"/>
        </w:rPr>
        <w:br w:type="page"/>
      </w:r>
      <w:r>
        <w:rPr>
          <w:rFonts w:hint="eastAsia"/>
          <w:sz w:val="30"/>
          <w:szCs w:val="30"/>
        </w:rPr>
        <w:t>一、评标方法</w:t>
      </w:r>
    </w:p>
    <w:p>
      <w:pPr>
        <w:pStyle w:val="12"/>
        <w:spacing w:line="360" w:lineRule="auto"/>
        <w:ind w:firstLine="420"/>
        <w:rPr>
          <w:rFonts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pPr>
        <w:pStyle w:val="12"/>
        <w:spacing w:line="360" w:lineRule="auto"/>
        <w:ind w:firstLine="420"/>
        <w:rPr>
          <w:rFonts w:hAnsi="宋体"/>
          <w:sz w:val="21"/>
        </w:rPr>
      </w:pPr>
      <w:r>
        <w:rPr>
          <w:rFonts w:hint="eastAsia" w:hAnsi="宋体"/>
          <w:sz w:val="21"/>
        </w:rPr>
        <w:t>最低评标价法，是指投标文件满足招标文件全部实质性要求，且投标报价最低的投标人为中标候选人的评标方法。</w:t>
      </w:r>
    </w:p>
    <w:p>
      <w:pPr>
        <w:pStyle w:val="4"/>
        <w:keepNext w:val="0"/>
        <w:keepLines w:val="0"/>
        <w:jc w:val="center"/>
        <w:rPr>
          <w:rFonts w:hint="eastAsia"/>
          <w:sz w:val="30"/>
          <w:szCs w:val="30"/>
        </w:rPr>
      </w:pPr>
      <w:r>
        <w:rPr>
          <w:rFonts w:hint="eastAsia"/>
          <w:sz w:val="30"/>
          <w:szCs w:val="30"/>
        </w:rPr>
        <w:t>二、评标程序</w:t>
      </w:r>
    </w:p>
    <w:p>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1.符合性审查</w:t>
      </w:r>
    </w:p>
    <w:p>
      <w:pPr>
        <w:pStyle w:val="12"/>
        <w:snapToGrid w:val="0"/>
        <w:spacing w:line="360" w:lineRule="auto"/>
        <w:ind w:left="1" w:firstLine="420"/>
        <w:rPr>
          <w:rFonts w:hint="eastAsia"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pPr>
        <w:snapToGrid w:val="0"/>
        <w:spacing w:line="360" w:lineRule="auto"/>
        <w:ind w:firstLine="422" w:firstLineChars="200"/>
        <w:rPr>
          <w:rFonts w:hint="eastAsia" w:ascii="宋体" w:hAnsi="宋体"/>
          <w:b/>
          <w:szCs w:val="21"/>
        </w:rPr>
      </w:pPr>
      <w:r>
        <w:rPr>
          <w:rFonts w:hint="eastAsia" w:ascii="宋体" w:hAnsi="宋体"/>
          <w:b/>
          <w:szCs w:val="21"/>
        </w:rPr>
        <w:t>投标人的投标文件中存在对招标文件的任何实质性要求和条件的负偏离，将被视为投标无效。</w:t>
      </w:r>
    </w:p>
    <w:p>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2.1在报价评审时，如发现下列情形之一的，将被视为投标无效：</w:t>
      </w:r>
    </w:p>
    <w:p>
      <w:pPr>
        <w:pStyle w:val="6"/>
        <w:numPr>
          <w:ilvl w:val="0"/>
          <w:numId w:val="6"/>
        </w:numPr>
        <w:spacing w:line="360" w:lineRule="auto"/>
        <w:ind w:firstLine="422"/>
        <w:rPr>
          <w:rFonts w:hint="eastAsia" w:ascii="宋体" w:hAnsi="宋体"/>
          <w:b/>
          <w:szCs w:val="21"/>
        </w:rPr>
      </w:pPr>
      <w:r>
        <w:rPr>
          <w:rFonts w:hint="eastAsia" w:ascii="宋体" w:hAnsi="宋体"/>
          <w:b/>
          <w:spacing w:val="-6"/>
          <w:szCs w:val="21"/>
        </w:rPr>
        <w:t>报价文件</w:t>
      </w:r>
      <w:r>
        <w:rPr>
          <w:rFonts w:hint="eastAsia" w:ascii="宋体" w:hAnsi="宋体"/>
          <w:b/>
          <w:szCs w:val="21"/>
        </w:rPr>
        <w:t>未提供“投标人须知前附表”第13.1条规定中“必须提供”的文件资料的；</w:t>
      </w:r>
    </w:p>
    <w:p>
      <w:pPr>
        <w:pStyle w:val="6"/>
        <w:numPr>
          <w:ilvl w:val="0"/>
          <w:numId w:val="6"/>
        </w:numPr>
        <w:spacing w:line="360" w:lineRule="auto"/>
        <w:ind w:firstLine="422"/>
        <w:rPr>
          <w:rFonts w:hint="eastAsia" w:ascii="宋体" w:hAnsi="宋体"/>
          <w:b/>
          <w:szCs w:val="21"/>
        </w:rPr>
      </w:pPr>
      <w:r>
        <w:rPr>
          <w:rFonts w:hint="eastAsia" w:ascii="宋体" w:hAnsi="宋体"/>
          <w:b/>
          <w:szCs w:val="21"/>
        </w:rPr>
        <w:t>未采用人民币报价或者未按照招标文件标明的币种报价的；</w:t>
      </w:r>
    </w:p>
    <w:p>
      <w:pPr>
        <w:pStyle w:val="6"/>
        <w:numPr>
          <w:ilvl w:val="0"/>
          <w:numId w:val="6"/>
        </w:numPr>
        <w:spacing w:line="360" w:lineRule="auto"/>
        <w:ind w:firstLine="422"/>
        <w:rPr>
          <w:rFonts w:hint="eastAsia" w:ascii="宋体" w:hAnsi="宋体"/>
          <w:b/>
          <w:szCs w:val="21"/>
        </w:rPr>
      </w:pPr>
      <w:r>
        <w:rPr>
          <w:rFonts w:hint="eastAsia" w:ascii="宋体" w:hAnsi="宋体"/>
          <w:b/>
          <w:szCs w:val="21"/>
        </w:rPr>
        <w:t>各分标报价超出招标文件相应分标规定最高限价，或者超出相应分标采购中标金额的；</w:t>
      </w:r>
    </w:p>
    <w:p>
      <w:pPr>
        <w:pStyle w:val="6"/>
        <w:numPr>
          <w:ilvl w:val="0"/>
          <w:numId w:val="6"/>
        </w:numPr>
        <w:spacing w:line="360" w:lineRule="auto"/>
        <w:ind w:firstLine="422"/>
        <w:rPr>
          <w:rFonts w:hint="eastAsia"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6"/>
        <w:numPr>
          <w:ilvl w:val="0"/>
          <w:numId w:val="6"/>
        </w:numPr>
        <w:spacing w:line="360" w:lineRule="auto"/>
        <w:ind w:firstLine="422"/>
        <w:rPr>
          <w:rFonts w:hint="eastAsia" w:ascii="宋体" w:hAnsi="宋体"/>
          <w:b/>
          <w:szCs w:val="21"/>
        </w:rPr>
      </w:pPr>
      <w:r>
        <w:rPr>
          <w:rFonts w:hint="eastAsia" w:ascii="宋体" w:hAnsi="宋体"/>
          <w:b/>
          <w:szCs w:val="21"/>
        </w:rPr>
        <w:t>修正后的报价，投标人不确认的；</w:t>
      </w:r>
    </w:p>
    <w:p>
      <w:pPr>
        <w:pStyle w:val="6"/>
        <w:numPr>
          <w:ilvl w:val="0"/>
          <w:numId w:val="6"/>
        </w:numPr>
        <w:spacing w:line="360" w:lineRule="auto"/>
        <w:ind w:firstLine="422"/>
        <w:rPr>
          <w:rFonts w:hint="eastAsia" w:ascii="宋体" w:hAnsi="宋体"/>
          <w:b/>
          <w:szCs w:val="21"/>
        </w:rPr>
      </w:pPr>
      <w:r>
        <w:rPr>
          <w:rFonts w:hint="eastAsia" w:ascii="宋体" w:hAnsi="宋体"/>
          <w:b/>
          <w:szCs w:val="21"/>
        </w:rPr>
        <w:t>投标人属于本章第</w:t>
      </w:r>
      <w:r>
        <w:rPr>
          <w:rFonts w:ascii="宋体" w:hAnsi="宋体"/>
          <w:b/>
          <w:szCs w:val="21"/>
        </w:rPr>
        <w:t>5.1</w:t>
      </w:r>
      <w:r>
        <w:rPr>
          <w:rFonts w:hint="eastAsia" w:ascii="宋体" w:hAnsi="宋体"/>
          <w:b/>
          <w:szCs w:val="21"/>
        </w:rPr>
        <w:t>条（2）或者第5</w:t>
      </w:r>
      <w:r>
        <w:rPr>
          <w:rFonts w:ascii="宋体" w:hAnsi="宋体"/>
          <w:b/>
          <w:szCs w:val="21"/>
        </w:rPr>
        <w:t>.2条</w:t>
      </w:r>
      <w:r>
        <w:rPr>
          <w:rFonts w:hint="eastAsia" w:ascii="宋体" w:hAnsi="宋体"/>
          <w:b/>
          <w:szCs w:val="21"/>
        </w:rPr>
        <w:t>（2）项情形的；</w:t>
      </w:r>
    </w:p>
    <w:p>
      <w:pPr>
        <w:pStyle w:val="6"/>
        <w:numPr>
          <w:ilvl w:val="0"/>
          <w:numId w:val="6"/>
        </w:numPr>
        <w:spacing w:line="360" w:lineRule="auto"/>
        <w:ind w:firstLine="422"/>
        <w:rPr>
          <w:rFonts w:hint="eastAsia" w:ascii="宋体" w:hAnsi="宋体"/>
          <w:b/>
          <w:szCs w:val="21"/>
        </w:rPr>
      </w:pPr>
      <w:r>
        <w:rPr>
          <w:rFonts w:hint="eastAsia" w:ascii="宋体" w:hAnsi="宋体"/>
          <w:b/>
          <w:spacing w:val="-6"/>
          <w:szCs w:val="21"/>
        </w:rPr>
        <w:t>报价文件</w:t>
      </w:r>
      <w:r>
        <w:rPr>
          <w:rFonts w:hint="eastAsia" w:ascii="宋体" w:hAnsi="宋体"/>
          <w:b/>
          <w:szCs w:val="21"/>
        </w:rPr>
        <w:t>响应的标的数量及单位与招标文件要求实质性不一致的。</w:t>
      </w:r>
    </w:p>
    <w:p>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2.2在商务评审时，如发现下列情形之一的，将被视为投标无效：</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投标文件未按招标文件要求签署、盖章的；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委托代理人未能出具有效身份证或者出具的身份证与授权委托书中的信息不符的；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为无效投标保证金的或者未按照招标文件的规定提交投标保证金的；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商务要求评审允许负偏离的条款数超过“投标人须知前附表”规定项数的；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投标文件的实质性内容未使用中文表述、使用计量单位不符合招标文件要求的；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投标文件中的文件资料因填写不齐全或者内容虚假或者出现其他情形而导致被评标委员会认定无效的；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投标文件含有采购人不能接受的附加条件的；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pPr>
        <w:numPr>
          <w:ilvl w:val="0"/>
          <w:numId w:val="7"/>
        </w:numPr>
        <w:snapToGrid w:val="0"/>
        <w:spacing w:line="360" w:lineRule="auto"/>
        <w:ind w:firstLine="422" w:firstLineChars="200"/>
        <w:rPr>
          <w:rFonts w:ascii="宋体" w:hAnsi="宋体"/>
          <w:b/>
          <w:szCs w:val="21"/>
        </w:rPr>
      </w:pPr>
      <w:r>
        <w:rPr>
          <w:rFonts w:hint="eastAsia" w:ascii="宋体" w:hAnsi="宋体"/>
          <w:b/>
          <w:szCs w:val="21"/>
        </w:rPr>
        <w:t>投标文件标注的项目名称或者项目编号与招标文件标注的项目名称或者项目编号不一致的；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招标文件明确不允许分包，投标文件拟分包的；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未响应招标文件实质性要求的；</w:t>
      </w:r>
    </w:p>
    <w:p>
      <w:pPr>
        <w:numPr>
          <w:ilvl w:val="0"/>
          <w:numId w:val="7"/>
        </w:numPr>
        <w:snapToGrid w:val="0"/>
        <w:spacing w:line="360" w:lineRule="auto"/>
        <w:ind w:firstLine="422" w:firstLineChars="200"/>
        <w:rPr>
          <w:rFonts w:hint="eastAsia" w:ascii="宋体" w:hAnsi="宋体"/>
          <w:b/>
          <w:szCs w:val="21"/>
        </w:rPr>
      </w:pPr>
      <w:r>
        <w:rPr>
          <w:rFonts w:hint="eastAsia" w:ascii="宋体" w:hAnsi="宋体"/>
          <w:b/>
          <w:szCs w:val="21"/>
        </w:rPr>
        <w:t>法律、法规和招标文件规定的其他无效情形。</w:t>
      </w:r>
    </w:p>
    <w:p>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2.3在技术评审时，如发现下列情形之一的，将被视为投标无效：</w:t>
      </w:r>
    </w:p>
    <w:p>
      <w:pPr>
        <w:pStyle w:val="11"/>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（1）技术要求评审允许负偏离的条款数超过“投标人须知前附表”规定项数的；</w:t>
      </w:r>
    </w:p>
    <w:p>
      <w:pPr>
        <w:pStyle w:val="11"/>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（2）投标文件未提供“投标人须知前附表”第13.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pPr>
        <w:pStyle w:val="11"/>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（3）虚假投标，或者出现其他情形而导致被评标委员会认定无效的；</w:t>
      </w:r>
    </w:p>
    <w:p>
      <w:pPr>
        <w:pStyle w:val="11"/>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（4）</w:t>
      </w:r>
      <w:bookmarkStart w:id="144" w:name="_Hlk71706244"/>
      <w:r>
        <w:rPr>
          <w:rFonts w:hint="eastAsia" w:ascii="宋体" w:hAnsi="宋体" w:eastAsia="宋体"/>
          <w:b/>
          <w:kern w:val="2"/>
          <w:sz w:val="21"/>
          <w:szCs w:val="21"/>
        </w:rPr>
        <w:t>招标文件未载明允许提供备选（替代）投标方案或明确不允许提供备选（替代）投标方案时，投标人提供了备选（替代）投标方案的；</w:t>
      </w:r>
      <w:bookmarkEnd w:id="144"/>
    </w:p>
    <w:p>
      <w:pPr>
        <w:pStyle w:val="11"/>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（5）未响应招标文件实质性要求的。</w:t>
      </w:r>
    </w:p>
    <w:p>
      <w:pPr>
        <w:pStyle w:val="11"/>
        <w:snapToGrid w:val="0"/>
        <w:spacing w:line="360" w:lineRule="auto"/>
        <w:ind w:firstLine="413" w:firstLineChars="196"/>
        <w:rPr>
          <w:rFonts w:ascii="宋体" w:hAnsi="宋体" w:eastAsia="宋体"/>
          <w:b/>
          <w:kern w:val="2"/>
          <w:sz w:val="21"/>
          <w:szCs w:val="21"/>
        </w:rPr>
      </w:pPr>
      <w:r>
        <w:rPr>
          <w:rFonts w:hint="eastAsia" w:ascii="宋体" w:hAnsi="宋体" w:eastAsia="宋体"/>
          <w:b/>
          <w:kern w:val="2"/>
          <w:sz w:val="21"/>
          <w:szCs w:val="21"/>
        </w:rPr>
        <w:t>2.4通过符合性审查的投标人不足3家，评标委员会不得继续评标，并出具评标报告。</w:t>
      </w:r>
    </w:p>
    <w:p>
      <w:pPr>
        <w:pStyle w:val="5"/>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w:t>
      </w:r>
      <w:r>
        <w:rPr>
          <w:rFonts w:hint="eastAsia" w:ascii="宋体" w:hAnsi="宋体" w:cs="宋体"/>
          <w:szCs w:val="21"/>
        </w:rPr>
        <w:t>电子澄清函形式</w:t>
      </w:r>
      <w:r>
        <w:rPr>
          <w:rFonts w:hint="eastAsia" w:ascii="宋体" w:hAnsi="宋体" w:cs="Courier New"/>
          <w:szCs w:val="21"/>
        </w:rPr>
        <w:t>要求投标人在规定时间内作出必要的澄清、说明或者纠正。投标人的澄清、说明或者补正必须采用</w:t>
      </w:r>
      <w:r>
        <w:rPr>
          <w:rFonts w:hint="eastAsia" w:ascii="宋体" w:hAnsi="宋体" w:cs="宋体"/>
          <w:szCs w:val="21"/>
        </w:rPr>
        <w:t>电子回函形式</w:t>
      </w:r>
      <w:r>
        <w:rPr>
          <w:rFonts w:hint="eastAsia" w:ascii="宋体" w:hAnsi="宋体" w:cs="Courier New"/>
          <w:szCs w:val="21"/>
        </w:rPr>
        <w:t>，并加盖投标人公章，或者由法定代表人或者其授权的代表签字。投标人的澄清、说明或者补正不得超出投标文件的范围或者改变投标文件的实质性内容。</w:t>
      </w:r>
    </w:p>
    <w:p>
      <w:pPr>
        <w:pStyle w:val="5"/>
        <w:keepNext w:val="0"/>
        <w:keepLines w:val="0"/>
        <w:spacing w:before="0" w:after="0" w:line="360" w:lineRule="auto"/>
        <w:ind w:left="420" w:leftChars="200"/>
        <w:rPr>
          <w:rFonts w:hint="eastAsia" w:ascii="宋体" w:hAnsi="宋体"/>
          <w:sz w:val="21"/>
          <w:szCs w:val="21"/>
        </w:rPr>
      </w:pPr>
      <w:r>
        <w:rPr>
          <w:rFonts w:ascii="宋体" w:hAnsi="宋体"/>
          <w:sz w:val="21"/>
          <w:szCs w:val="21"/>
        </w:rPr>
        <w:t>4.</w:t>
      </w:r>
      <w:r>
        <w:rPr>
          <w:rFonts w:hint="eastAsia" w:ascii="宋体" w:hAnsi="宋体"/>
          <w:sz w:val="21"/>
          <w:szCs w:val="21"/>
        </w:rPr>
        <w:t>投标文件修正</w:t>
      </w:r>
    </w:p>
    <w:p>
      <w:pPr>
        <w:pStyle w:val="5"/>
        <w:keepNext w:val="0"/>
        <w:keepLines w:val="0"/>
        <w:spacing w:before="0" w:after="0" w:line="360" w:lineRule="auto"/>
        <w:ind w:left="420" w:leftChars="200"/>
        <w:rPr>
          <w:rFonts w:hint="eastAsia"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pPr>
        <w:pStyle w:val="12"/>
        <w:snapToGrid w:val="0"/>
        <w:spacing w:line="360" w:lineRule="auto"/>
        <w:ind w:firstLine="420" w:firstLineChars="200"/>
        <w:rPr>
          <w:rFonts w:hAnsi="宋体"/>
          <w:sz w:val="21"/>
        </w:rPr>
      </w:pPr>
      <w:r>
        <w:rPr>
          <w:rFonts w:hint="eastAsia" w:hAnsi="宋体"/>
          <w:sz w:val="21"/>
        </w:rPr>
        <w:t>（1）投标文件中开标一览表（报价表）内容与投标文件中相应内容不一致的，以开标一览表（报价表）为准；</w:t>
      </w:r>
    </w:p>
    <w:p>
      <w:pPr>
        <w:pStyle w:val="12"/>
        <w:snapToGrid w:val="0"/>
        <w:spacing w:line="360" w:lineRule="auto"/>
        <w:ind w:firstLine="420" w:firstLineChars="200"/>
        <w:rPr>
          <w:rFonts w:hAnsi="宋体"/>
          <w:sz w:val="21"/>
        </w:rPr>
      </w:pPr>
      <w:r>
        <w:rPr>
          <w:rFonts w:hint="eastAsia" w:hAnsi="宋体"/>
          <w:sz w:val="21"/>
        </w:rPr>
        <w:t>（2）大写金额和小写金额不一致的，以大写金额为准；</w:t>
      </w:r>
    </w:p>
    <w:p>
      <w:pPr>
        <w:pStyle w:val="12"/>
        <w:snapToGrid w:val="0"/>
        <w:spacing w:line="360" w:lineRule="auto"/>
        <w:ind w:firstLine="420" w:firstLineChars="200"/>
        <w:rPr>
          <w:rFonts w:hAnsi="宋体"/>
          <w:sz w:val="21"/>
        </w:rPr>
      </w:pPr>
      <w:r>
        <w:rPr>
          <w:rFonts w:hint="eastAsia" w:hAnsi="宋体"/>
          <w:sz w:val="21"/>
        </w:rPr>
        <w:t>（3）单价金额小数点或者百分比有明显错位的，以开标一览表的总价为准，并修改单价；</w:t>
      </w:r>
    </w:p>
    <w:p>
      <w:pPr>
        <w:pStyle w:val="12"/>
        <w:snapToGrid w:val="0"/>
        <w:spacing w:line="360" w:lineRule="auto"/>
        <w:ind w:firstLine="420" w:firstLineChars="200"/>
        <w:rPr>
          <w:rFonts w:hAnsi="宋体"/>
          <w:sz w:val="21"/>
        </w:rPr>
      </w:pPr>
      <w:r>
        <w:rPr>
          <w:rFonts w:hint="eastAsia" w:hAnsi="宋体"/>
          <w:sz w:val="21"/>
        </w:rPr>
        <w:t>（4）总价金额与按单价汇总金额不一致的，以单价金额计算结果为准。</w:t>
      </w:r>
    </w:p>
    <w:p>
      <w:pPr>
        <w:pStyle w:val="12"/>
        <w:snapToGrid w:val="0"/>
        <w:spacing w:line="360" w:lineRule="auto"/>
        <w:ind w:firstLine="420" w:firstLineChars="200"/>
        <w:rPr>
          <w:rFonts w:hint="eastAsia"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pPr>
        <w:pStyle w:val="5"/>
        <w:keepNext w:val="0"/>
        <w:keepLines w:val="0"/>
        <w:spacing w:before="0" w:after="0" w:line="360" w:lineRule="auto"/>
        <w:rPr>
          <w:rFonts w:hint="eastAsia"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.2经投标人确认修正后的报价若超过采购中标金额或者最高限价，</w:t>
      </w:r>
      <w:r>
        <w:rPr>
          <w:rFonts w:hint="eastAsia" w:ascii="宋体" w:hAnsi="宋体"/>
          <w:sz w:val="21"/>
          <w:szCs w:val="21"/>
        </w:rPr>
        <w:t>投标人的投标文件作无效投标处理</w:t>
      </w:r>
      <w:r>
        <w:rPr>
          <w:rFonts w:hint="eastAsia" w:ascii="宋体" w:hAnsi="宋体"/>
          <w:b w:val="0"/>
          <w:sz w:val="21"/>
          <w:szCs w:val="21"/>
        </w:rPr>
        <w:t>。</w:t>
      </w:r>
    </w:p>
    <w:p>
      <w:pPr>
        <w:snapToGrid w:val="0"/>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pPr>
        <w:pStyle w:val="5"/>
        <w:keepNext w:val="0"/>
        <w:keepLines w:val="0"/>
        <w:spacing w:before="0" w:after="0" w:line="360" w:lineRule="auto"/>
        <w:ind w:left="420" w:leftChars="200"/>
        <w:rPr>
          <w:rFonts w:hint="eastAsia" w:ascii="宋体" w:hAnsi="宋体"/>
          <w:sz w:val="21"/>
          <w:szCs w:val="21"/>
        </w:rPr>
      </w:pPr>
      <w:r>
        <w:rPr>
          <w:rFonts w:ascii="宋体" w:hAnsi="宋体"/>
          <w:sz w:val="21"/>
          <w:szCs w:val="21"/>
        </w:rPr>
        <w:t>5.</w:t>
      </w:r>
      <w:r>
        <w:rPr>
          <w:rFonts w:hint="eastAsia" w:ascii="宋体" w:hAnsi="宋体"/>
          <w:sz w:val="21"/>
          <w:szCs w:val="21"/>
        </w:rPr>
        <w:t>比较与评价</w:t>
      </w:r>
    </w:p>
    <w:p>
      <w:pPr>
        <w:snapToGrid w:val="0"/>
        <w:spacing w:line="360" w:lineRule="auto"/>
        <w:ind w:firstLine="420" w:firstLineChars="200"/>
        <w:rPr>
          <w:rFonts w:hint="eastAsia" w:ascii="宋体" w:hAnsi="宋体"/>
          <w:szCs w:val="21"/>
        </w:rPr>
      </w:pPr>
      <w:r>
        <w:rPr>
          <w:rFonts w:hint="eastAsia" w:ascii="宋体" w:hAnsi="宋体"/>
          <w:szCs w:val="21"/>
        </w:rPr>
        <w:t>5.1采用综合评分法的</w:t>
      </w:r>
    </w:p>
    <w:p>
      <w:pPr>
        <w:snapToGrid w:val="0"/>
        <w:spacing w:line="360" w:lineRule="auto"/>
        <w:ind w:firstLine="420" w:firstLineChars="200"/>
        <w:rPr>
          <w:rFonts w:hint="eastAsia"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szCs w:val="21"/>
        </w:rPr>
      </w:pPr>
      <w:r>
        <w:rPr>
          <w:rFonts w:hint="eastAsia" w:ascii="宋体" w:hAnsi="宋体"/>
          <w:szCs w:val="21"/>
        </w:rPr>
        <w:t>（2）评标委员会独立对每个投标人的投标文件进行评价，并汇总每个投标人的得分。</w:t>
      </w:r>
    </w:p>
    <w:p>
      <w:pPr>
        <w:snapToGrid w:val="0"/>
        <w:spacing w:line="360" w:lineRule="auto"/>
        <w:ind w:firstLine="420" w:firstLineChars="200"/>
        <w:rPr>
          <w:rFonts w:hint="eastAsia"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zCs w:val="21"/>
        </w:rPr>
        <w:t>投标人不能证明其报价合理性的，评标委员会将其作为无效投标处理</w:t>
      </w:r>
      <w:r>
        <w:rPr>
          <w:rFonts w:hint="eastAsia" w:ascii="宋体" w:hAnsi="宋体"/>
          <w:szCs w:val="21"/>
        </w:rPr>
        <w:t>。</w:t>
      </w:r>
    </w:p>
    <w:p>
      <w:pPr>
        <w:snapToGrid w:val="0"/>
        <w:spacing w:line="360" w:lineRule="auto"/>
        <w:ind w:firstLine="420" w:firstLineChars="200"/>
        <w:rPr>
          <w:rFonts w:hint="eastAsia"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szCs w:val="21"/>
        </w:rPr>
      </w:pPr>
      <w:r>
        <w:rPr>
          <w:rFonts w:hint="eastAsia" w:ascii="宋体" w:hAnsi="宋体"/>
          <w:szCs w:val="21"/>
        </w:rPr>
        <w:t>（4）各投标人的得分为所有评委的有效评分的算术平均数。</w:t>
      </w:r>
    </w:p>
    <w:p>
      <w:pPr>
        <w:snapToGrid w:val="0"/>
        <w:spacing w:line="360" w:lineRule="auto"/>
        <w:ind w:firstLine="420" w:firstLineChars="200"/>
        <w:rPr>
          <w:rFonts w:hint="eastAsia" w:ascii="宋体" w:hAnsi="宋体"/>
          <w:szCs w:val="21"/>
        </w:rPr>
      </w:pPr>
      <w:r>
        <w:rPr>
          <w:rFonts w:hint="eastAsia" w:ascii="宋体" w:hAnsi="宋体"/>
          <w:szCs w:val="21"/>
        </w:rPr>
        <w:t>（5）评标委员会按照招标文件中的规定推荐中标候选人。</w:t>
      </w:r>
    </w:p>
    <w:p>
      <w:pPr>
        <w:snapToGrid w:val="0"/>
        <w:spacing w:line="360" w:lineRule="auto"/>
        <w:ind w:firstLine="420" w:firstLineChars="200"/>
        <w:rPr>
          <w:rFonts w:hint="eastAsia"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hint="eastAsia" w:ascii="宋体" w:hAnsi="宋体"/>
          <w:szCs w:val="21"/>
        </w:rPr>
      </w:pPr>
      <w:r>
        <w:rPr>
          <w:rFonts w:hint="eastAsia" w:ascii="宋体" w:hAnsi="宋体"/>
          <w:szCs w:val="21"/>
        </w:rPr>
        <w:t>5.2采用</w:t>
      </w:r>
      <w:r>
        <w:rPr>
          <w:rFonts w:hint="eastAsia" w:hAnsi="宋体"/>
        </w:rPr>
        <w:t>最低评标价法</w:t>
      </w:r>
      <w:r>
        <w:rPr>
          <w:rFonts w:hint="eastAsia" w:ascii="宋体" w:hAnsi="宋体"/>
          <w:szCs w:val="21"/>
        </w:rPr>
        <w:t>的</w:t>
      </w:r>
    </w:p>
    <w:p>
      <w:pPr>
        <w:snapToGrid w:val="0"/>
        <w:spacing w:line="360" w:lineRule="auto"/>
        <w:ind w:firstLine="424" w:firstLineChars="202"/>
        <w:jc w:val="left"/>
        <w:rPr>
          <w:rFonts w:hint="eastAsia" w:ascii="宋体" w:hAnsi="宋体"/>
          <w:szCs w:val="21"/>
        </w:rPr>
      </w:pPr>
      <w:r>
        <w:rPr>
          <w:rFonts w:hint="eastAsia" w:ascii="宋体" w:hAnsi="宋体"/>
          <w:szCs w:val="21"/>
        </w:rPr>
        <w:t>（1）评标委员会按照招标文件中规定的评标方法及评标标准，对符合性审查合格的投标文件报价进行比较。</w:t>
      </w:r>
    </w:p>
    <w:p>
      <w:pPr>
        <w:snapToGrid w:val="0"/>
        <w:spacing w:line="360" w:lineRule="auto"/>
        <w:ind w:firstLine="399" w:firstLineChars="202"/>
        <w:jc w:val="left"/>
        <w:rPr>
          <w:rFonts w:hint="eastAsia" w:ascii="宋体" w:hAnsi="宋体"/>
          <w:spacing w:val="-6"/>
          <w:szCs w:val="21"/>
        </w:rPr>
      </w:pPr>
      <w:r>
        <w:rPr>
          <w:rFonts w:hint="eastAsia" w:ascii="宋体" w:hAnsi="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spacing w:val="-6"/>
          <w:szCs w:val="21"/>
        </w:rPr>
        <w:t>投标人不能证明其报价合理性的，评标委员会将其作为无效投标处理</w:t>
      </w:r>
      <w:r>
        <w:rPr>
          <w:rFonts w:hint="eastAsia" w:ascii="宋体" w:hAnsi="宋体"/>
          <w:spacing w:val="-6"/>
          <w:szCs w:val="21"/>
        </w:rPr>
        <w:t>。</w:t>
      </w:r>
    </w:p>
    <w:p>
      <w:pPr>
        <w:snapToGrid w:val="0"/>
        <w:spacing w:line="360" w:lineRule="auto"/>
        <w:ind w:firstLine="424" w:firstLineChars="202"/>
        <w:jc w:val="left"/>
        <w:rPr>
          <w:rFonts w:hint="eastAsia" w:ascii="宋体" w:hAnsi="宋体"/>
          <w:szCs w:val="21"/>
        </w:rPr>
      </w:pPr>
      <w:r>
        <w:rPr>
          <w:rFonts w:hint="eastAsia" w:ascii="宋体" w:hAnsi="宋体"/>
          <w:szCs w:val="21"/>
        </w:rPr>
        <w:t>（3）评标委员会按照招标文件中的规定推荐中标候选人。</w:t>
      </w:r>
    </w:p>
    <w:p>
      <w:pPr>
        <w:snapToGrid w:val="0"/>
        <w:spacing w:line="360" w:lineRule="auto"/>
        <w:ind w:firstLine="424" w:firstLineChars="202"/>
        <w:jc w:val="left"/>
        <w:rPr>
          <w:rFonts w:ascii="宋体" w:hAnsi="宋体"/>
          <w:szCs w:val="21"/>
        </w:rP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jc w:val="center"/>
        <w:rPr>
          <w:rFonts w:hint="eastAsia"/>
        </w:rPr>
      </w:pPr>
      <w:r>
        <w:br w:type="page"/>
      </w:r>
      <w:r>
        <w:rPr>
          <w:rFonts w:ascii="宋体" w:hAnsi="宋体" w:cs="宋体"/>
          <w:b/>
          <w:bCs/>
          <w:sz w:val="32"/>
          <w:szCs w:val="32"/>
        </w:rPr>
        <w:t>三</w:t>
      </w:r>
      <w:r>
        <w:rPr>
          <w:rFonts w:hint="eastAsia" w:ascii="宋体" w:hAnsi="宋体" w:cs="宋体"/>
          <w:b/>
          <w:bCs/>
          <w:sz w:val="32"/>
          <w:szCs w:val="32"/>
        </w:rPr>
        <w:t>、评标标准</w:t>
      </w:r>
    </w:p>
    <w:p>
      <w:pPr>
        <w:pStyle w:val="4"/>
        <w:keepNext w:val="0"/>
        <w:keepLines w:val="0"/>
        <w:jc w:val="center"/>
        <w:rPr>
          <w:rFonts w:hint="eastAsia"/>
        </w:rPr>
      </w:pPr>
      <w:r>
        <w:rPr>
          <w:rFonts w:hint="eastAsia"/>
        </w:rPr>
        <w:t>综合评分法</w:t>
      </w:r>
    </w:p>
    <w:tbl>
      <w:tblPr>
        <w:tblStyle w:val="18"/>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06"/>
        <w:gridCol w:w="998"/>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22" w:firstLineChars="200"/>
              <w:textAlignment w:val="baseline"/>
              <w:rPr>
                <w:rFonts w:hint="eastAsia" w:ascii="宋体" w:hAnsi="宋体" w:cs="宋体"/>
                <w:szCs w:val="21"/>
              </w:rPr>
            </w:pPr>
            <w:r>
              <w:rPr>
                <w:rFonts w:hint="eastAsia" w:ascii="宋体" w:hAnsi="宋体" w:cs="宋体"/>
                <w:b/>
                <w:szCs w:val="21"/>
              </w:rPr>
              <w:t>序号</w:t>
            </w:r>
          </w:p>
        </w:tc>
        <w:tc>
          <w:tcPr>
            <w:tcW w:w="99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b/>
                <w:szCs w:val="21"/>
              </w:rPr>
            </w:pPr>
            <w:r>
              <w:rPr>
                <w:rFonts w:hint="eastAsia" w:ascii="宋体" w:hAnsi="宋体" w:cs="宋体"/>
                <w:b/>
                <w:szCs w:val="21"/>
              </w:rPr>
              <w:t>评分</w:t>
            </w:r>
          </w:p>
          <w:p>
            <w:pPr>
              <w:adjustRightInd w:val="0"/>
              <w:spacing w:line="360" w:lineRule="auto"/>
              <w:jc w:val="center"/>
              <w:textAlignment w:val="baseline"/>
              <w:rPr>
                <w:rFonts w:hint="eastAsia" w:ascii="宋体" w:hAnsi="宋体" w:cs="宋体"/>
                <w:szCs w:val="21"/>
              </w:rPr>
            </w:pPr>
            <w:r>
              <w:rPr>
                <w:rFonts w:hint="eastAsia" w:ascii="宋体" w:hAnsi="宋体" w:cs="宋体"/>
                <w:b/>
                <w:szCs w:val="21"/>
              </w:rPr>
              <w:t>因素</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r>
              <w:rPr>
                <w:rFonts w:hint="eastAsia" w:ascii="宋体" w:hAnsi="宋体" w:cs="宋体"/>
                <w:b/>
                <w:szCs w:val="21"/>
              </w:rPr>
              <w:t>11</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b/>
                <w:szCs w:val="21"/>
              </w:rPr>
            </w:pPr>
            <w:r>
              <w:rPr>
                <w:rFonts w:hint="eastAsia" w:ascii="宋体" w:hAnsi="宋体" w:cs="宋体"/>
                <w:b/>
                <w:szCs w:val="21"/>
              </w:rPr>
              <w:t>价格分</w:t>
            </w:r>
          </w:p>
          <w:p>
            <w:pPr>
              <w:adjustRightInd w:val="0"/>
              <w:spacing w:line="360" w:lineRule="auto"/>
              <w:textAlignment w:val="baseline"/>
              <w:rPr>
                <w:rFonts w:hint="eastAsia" w:ascii="宋体" w:hAnsi="宋体" w:cs="宋体"/>
                <w:szCs w:val="21"/>
              </w:rPr>
            </w:pPr>
            <w:r>
              <w:rPr>
                <w:rFonts w:hint="eastAsia" w:ascii="宋体" w:hAnsi="宋体" w:cs="宋体"/>
                <w:b/>
                <w:szCs w:val="21"/>
              </w:rPr>
              <w:t>（满分10分）</w:t>
            </w:r>
          </w:p>
        </w:tc>
        <w:tc>
          <w:tcPr>
            <w:tcW w:w="99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投标报价（满分10分）</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（1）评标报价为投标人的投标报价进行政策性扣除后的价格，评标报价只是作为评标时使用。最终中标人的中标金额等于投标报价。</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（2）政策性扣除计算方法。</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根据《政府采购促进中小企业发展管理办法》（财库〔2020〕46 号）的规定，投标人在其投标文件中提供《中小企业声明函》，且其投标全部货物由小微企业制造的，对其投标报价给予 10%的扣除，扣除后的价格为评标报价，即评标报价=投标报价×（1-10%）。除上述情况外，评标报价=投标报价。</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（5）满足招标文件要求且评标报价最低的评标报价为评标基准价，其价格分为满分。</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（6）价格分计算公式：价格分=（某投标人的最低评标报价／投标人评标报价）×10分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494" w:type="dxa"/>
            <w:vMerge w:val="restart"/>
            <w:tcBorders>
              <w:top w:val="single" w:color="auto" w:sz="4" w:space="0"/>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r>
              <w:rPr>
                <w:rFonts w:hint="eastAsia" w:ascii="宋体" w:hAnsi="宋体" w:cs="宋体"/>
                <w:b/>
                <w:szCs w:val="21"/>
              </w:rPr>
              <w:t>22</w:t>
            </w:r>
          </w:p>
        </w:tc>
        <w:tc>
          <w:tcPr>
            <w:tcW w:w="1006" w:type="dxa"/>
            <w:vMerge w:val="restart"/>
            <w:tcBorders>
              <w:top w:val="single" w:color="auto" w:sz="4" w:space="0"/>
              <w:left w:val="single" w:color="auto" w:sz="4" w:space="0"/>
              <w:right w:val="single" w:color="auto" w:sz="4" w:space="0"/>
            </w:tcBorders>
            <w:noWrap w:val="0"/>
            <w:vAlign w:val="center"/>
          </w:tcPr>
          <w:p>
            <w:pPr>
              <w:adjustRightInd w:val="0"/>
              <w:spacing w:line="360" w:lineRule="auto"/>
              <w:ind w:right="-105" w:rightChars="-50"/>
              <w:textAlignment w:val="baseline"/>
              <w:rPr>
                <w:rFonts w:hint="eastAsia" w:ascii="宋体" w:hAnsi="宋体" w:cs="宋体"/>
                <w:b/>
                <w:bCs/>
                <w:szCs w:val="21"/>
              </w:rPr>
            </w:pPr>
            <w:r>
              <w:rPr>
                <w:rFonts w:hint="eastAsia" w:ascii="宋体" w:hAnsi="宋体" w:cs="宋体"/>
                <w:b/>
                <w:bCs/>
                <w:szCs w:val="21"/>
              </w:rPr>
              <w:t>技术分（满分73分）</w:t>
            </w:r>
          </w:p>
        </w:tc>
        <w:tc>
          <w:tcPr>
            <w:tcW w:w="998" w:type="dxa"/>
            <w:tcBorders>
              <w:top w:val="single" w:color="auto" w:sz="4" w:space="0"/>
              <w:left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服务方案（满分25分）</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一档（</w:t>
            </w:r>
            <w:r>
              <w:rPr>
                <w:rFonts w:ascii="宋体" w:hAnsi="宋体" w:cs="宋体"/>
                <w:szCs w:val="21"/>
              </w:rPr>
              <w:t>0</w:t>
            </w:r>
            <w:r>
              <w:rPr>
                <w:rFonts w:hint="eastAsia" w:ascii="宋体" w:hAnsi="宋体" w:cs="宋体"/>
                <w:szCs w:val="21"/>
              </w:rPr>
              <w:t>分）：未提供服务方案或方案不满足以下评分项的不得分。</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二档（10分）：编制本项目服务方案，方案包含本项目组织机构、服务保障措施、技术保障措施等。方案契合项目需求且被评标委员会认可的，得10分。</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三档（15分）：方案在满足上一档的基础上，方案包含本项目服务目标、服务内容，项目运维、搬迁实施计划，方案契合项目需求且被评标委员会认可的，得15分。</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四档（20分）：方案在满足上一档的基础上，方案包含项目实施流程、人员配置方案、搬迁进度保证措施等，方案契合项目需求且被评标委员会认可的，得20分。</w:t>
            </w:r>
          </w:p>
          <w:p>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五档（25分）：方案在满足上一档的基础上，方案包含服务监督方案、售后服务方案等，方案契合项目需求且被评标委员会认可的，得25分。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dxa"/>
            <w:vMerge w:val="continue"/>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p>
        </w:tc>
        <w:tc>
          <w:tcPr>
            <w:tcW w:w="1006" w:type="dxa"/>
            <w:vMerge w:val="continue"/>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p>
        </w:tc>
        <w:tc>
          <w:tcPr>
            <w:tcW w:w="998" w:type="dxa"/>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服务团队分（满分20分）</w:t>
            </w:r>
          </w:p>
        </w:tc>
        <w:tc>
          <w:tcPr>
            <w:tcW w:w="7490"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一档（0分）：未提供方案或方案不满足以下评分项的不得分。</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二档（5分）：编制拟投入本项目的服务团队配置方案，</w:t>
            </w:r>
            <w:r>
              <w:rPr>
                <w:rFonts w:hint="eastAsia" w:ascii="宋体" w:hAnsi="宋体" w:cs="宋体"/>
                <w:kern w:val="0"/>
                <w:szCs w:val="21"/>
              </w:rPr>
              <w:t>方案编制</w:t>
            </w:r>
            <w:r>
              <w:rPr>
                <w:rFonts w:hint="eastAsia" w:ascii="宋体" w:hAnsi="宋体" w:cs="宋体"/>
                <w:szCs w:val="21"/>
              </w:rPr>
              <w:t>有详细的人员岗位职责。本项目拟投入</w:t>
            </w:r>
            <w:r>
              <w:rPr>
                <w:rFonts w:hint="eastAsia" w:ascii="宋体" w:hAnsi="宋体" w:cs="宋体"/>
                <w:kern w:val="0"/>
                <w:szCs w:val="21"/>
              </w:rPr>
              <w:t>配备机房电力班人数技术人员为5人，配备机房监控人员及计算机软硬件技术支持人员2人，配备驻点机房管理人员3人。</w:t>
            </w:r>
          </w:p>
          <w:p>
            <w:pPr>
              <w:adjustRightInd w:val="0"/>
              <w:spacing w:line="360" w:lineRule="auto"/>
              <w:ind w:firstLine="420" w:firstLineChars="200"/>
              <w:textAlignment w:val="baseline"/>
              <w:rPr>
                <w:rFonts w:ascii="宋体" w:hAnsi="宋体" w:cs="宋体"/>
                <w:szCs w:val="21"/>
              </w:rPr>
            </w:pPr>
            <w:r>
              <w:rPr>
                <w:rFonts w:hint="eastAsia" w:ascii="宋体" w:hAnsi="宋体" w:cs="宋体"/>
                <w:szCs w:val="21"/>
              </w:rPr>
              <w:t>三档（10分）：方案在满足上一档的基础上，本项目拟投入</w:t>
            </w:r>
            <w:r>
              <w:rPr>
                <w:rFonts w:hint="eastAsia" w:ascii="宋体" w:hAnsi="宋体" w:cs="宋体"/>
                <w:kern w:val="0"/>
                <w:szCs w:val="21"/>
              </w:rPr>
              <w:t>配备机房电力班技术人员为</w:t>
            </w:r>
            <w:r>
              <w:rPr>
                <w:rFonts w:hint="eastAsia" w:ascii="宋体" w:hAnsi="宋体" w:cs="宋体"/>
                <w:szCs w:val="21"/>
              </w:rPr>
              <w:t>6人，</w:t>
            </w:r>
            <w:r>
              <w:rPr>
                <w:rFonts w:hint="eastAsia" w:ascii="宋体" w:hAnsi="宋体" w:cs="宋体"/>
                <w:kern w:val="0"/>
                <w:szCs w:val="21"/>
              </w:rPr>
              <w:t>配备机房监控人员及计算机软硬件技术支持人员3人，配备驻点机房管理人员4人。</w:t>
            </w:r>
          </w:p>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四档（15分）：方案在满足上一档的基础上，本项目拟投入</w:t>
            </w:r>
            <w:r>
              <w:rPr>
                <w:rFonts w:hint="eastAsia" w:ascii="宋体" w:hAnsi="宋体" w:cs="宋体"/>
                <w:kern w:val="0"/>
                <w:szCs w:val="21"/>
              </w:rPr>
              <w:t>配备机房电力班技术人员为7</w:t>
            </w:r>
            <w:r>
              <w:rPr>
                <w:rFonts w:hint="eastAsia" w:ascii="宋体" w:hAnsi="宋体" w:cs="宋体"/>
                <w:szCs w:val="21"/>
              </w:rPr>
              <w:t>人，</w:t>
            </w:r>
            <w:r>
              <w:rPr>
                <w:rFonts w:hint="eastAsia" w:ascii="宋体" w:hAnsi="宋体" w:cs="宋体"/>
                <w:kern w:val="0"/>
                <w:szCs w:val="21"/>
              </w:rPr>
              <w:t>配备机房监控人员及计算机软硬件技术支持人员4人，配备驻点机房管理人员5人。</w:t>
            </w:r>
          </w:p>
          <w:p>
            <w:pPr>
              <w:adjustRightInd w:val="0"/>
              <w:spacing w:line="360" w:lineRule="auto"/>
              <w:ind w:firstLine="420" w:firstLineChars="200"/>
              <w:textAlignment w:val="baseline"/>
              <w:rPr>
                <w:rFonts w:hint="eastAsia" w:ascii="宋体" w:hAnsi="宋体" w:cs="宋体"/>
                <w:kern w:val="0"/>
                <w:szCs w:val="21"/>
              </w:rPr>
            </w:pPr>
            <w:r>
              <w:rPr>
                <w:rFonts w:hint="eastAsia" w:ascii="宋体" w:hAnsi="宋体" w:cs="宋体"/>
                <w:szCs w:val="21"/>
              </w:rPr>
              <w:t>五档（20分）：方案在满足上一档的基础上，拟投入的</w:t>
            </w:r>
            <w:r>
              <w:rPr>
                <w:rFonts w:hint="eastAsia" w:ascii="宋体" w:hAnsi="宋体" w:cs="宋体"/>
                <w:kern w:val="0"/>
                <w:szCs w:val="21"/>
              </w:rPr>
              <w:t>配备机房电力班、技术人员为</w:t>
            </w:r>
            <w:r>
              <w:rPr>
                <w:rFonts w:hint="eastAsia" w:ascii="宋体" w:hAnsi="宋体" w:cs="宋体"/>
                <w:szCs w:val="21"/>
              </w:rPr>
              <w:t>8人以上（含8人），</w:t>
            </w:r>
            <w:r>
              <w:rPr>
                <w:rFonts w:hint="eastAsia" w:ascii="宋体" w:hAnsi="宋体" w:cs="宋体"/>
                <w:kern w:val="0"/>
                <w:szCs w:val="21"/>
              </w:rPr>
              <w:t>配备机房监控人员及计算机软硬件技术支持人员5人以上（含5人），配备驻点机房管理人员6人以上（含6人）</w:t>
            </w:r>
            <w:r>
              <w:rPr>
                <w:rFonts w:hint="eastAsia" w:ascii="宋体" w:hAnsi="宋体" w:cs="宋体"/>
                <w:szCs w:val="21"/>
              </w:rPr>
              <w:t>。</w:t>
            </w:r>
          </w:p>
          <w:p>
            <w:pPr>
              <w:adjustRightInd w:val="0"/>
              <w:spacing w:line="360" w:lineRule="auto"/>
              <w:ind w:firstLine="422" w:firstLineChars="200"/>
              <w:textAlignment w:val="baseline"/>
              <w:rPr>
                <w:rFonts w:hint="eastAsia" w:ascii="宋体" w:hAnsi="宋体" w:cs="宋体"/>
                <w:szCs w:val="21"/>
              </w:rPr>
            </w:pPr>
            <w:r>
              <w:rPr>
                <w:rFonts w:hint="eastAsia" w:ascii="宋体" w:hAnsi="宋体" w:cs="宋体"/>
                <w:b/>
                <w:bCs/>
                <w:szCs w:val="21"/>
              </w:rPr>
              <w:t>注：以上人员需提供相关有效的证书复印件和截标时间前半年内连续三个月投标供应商为其缴纳社保证明材料复印件并加盖单位公章，从</w:t>
            </w:r>
            <w:r>
              <w:rPr>
                <w:rFonts w:ascii="宋体" w:hAnsi="宋体" w:cs="宋体"/>
                <w:b/>
                <w:bCs/>
                <w:szCs w:val="21"/>
              </w:rPr>
              <w:t>成立</w:t>
            </w:r>
            <w:r>
              <w:rPr>
                <w:rFonts w:hint="eastAsia" w:ascii="宋体" w:hAnsi="宋体" w:cs="宋体"/>
                <w:b/>
                <w:bCs/>
                <w:szCs w:val="21"/>
              </w:rPr>
              <w:t>之日起到投标文件提交截止时间止不足要求月数的只需提供从</w:t>
            </w:r>
            <w:r>
              <w:rPr>
                <w:rFonts w:ascii="宋体" w:hAnsi="宋体" w:cs="宋体"/>
                <w:b/>
                <w:bCs/>
                <w:szCs w:val="21"/>
              </w:rPr>
              <w:t>成立</w:t>
            </w:r>
            <w:r>
              <w:rPr>
                <w:rFonts w:hint="eastAsia" w:ascii="宋体" w:hAnsi="宋体" w:cs="宋体"/>
                <w:b/>
                <w:bCs/>
                <w:szCs w:val="21"/>
              </w:rPr>
              <w:t>之日起的依法缴纳社会的相应证明文件并加盖单位公章。（依法无需缴纳社保的需提供相应证明材料）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p>
        </w:tc>
        <w:tc>
          <w:tcPr>
            <w:tcW w:w="1006" w:type="dxa"/>
            <w:vMerge w:val="continue"/>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p>
        </w:tc>
        <w:tc>
          <w:tcPr>
            <w:tcW w:w="998" w:type="dxa"/>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pacing w:line="360" w:lineRule="auto"/>
              <w:textAlignment w:val="baseline"/>
              <w:rPr>
                <w:rFonts w:hint="eastAsia" w:ascii="宋体" w:hAnsi="宋体" w:cs="宋体"/>
                <w:szCs w:val="21"/>
              </w:rPr>
            </w:pPr>
            <w:r>
              <w:rPr>
                <w:rFonts w:hint="eastAsia" w:ascii="宋体" w:hAnsi="宋体" w:cs="宋体"/>
                <w:szCs w:val="21"/>
              </w:rPr>
              <w:t>人员资质分（满分12分）</w:t>
            </w:r>
          </w:p>
        </w:tc>
        <w:tc>
          <w:tcPr>
            <w:tcW w:w="7490" w:type="dxa"/>
            <w:tcBorders>
              <w:top w:val="single" w:color="auto" w:sz="4" w:space="0"/>
              <w:left w:val="single" w:color="auto" w:sz="4" w:space="0"/>
              <w:bottom w:val="single" w:color="auto" w:sz="4" w:space="0"/>
              <w:right w:val="single" w:color="auto" w:sz="4" w:space="0"/>
            </w:tcBorders>
            <w:noWrap w:val="0"/>
            <w:vAlign w:val="top"/>
          </w:tcPr>
          <w:p>
            <w:pPr>
              <w:numPr>
                <w:ilvl w:val="0"/>
                <w:numId w:val="8"/>
              </w:numPr>
              <w:adjustRightInd w:val="0"/>
              <w:spacing w:line="360" w:lineRule="auto"/>
              <w:textAlignment w:val="baseline"/>
              <w:rPr>
                <w:b/>
                <w:bCs/>
              </w:rPr>
            </w:pPr>
            <w:r>
              <w:t>配备运维技术主管</w:t>
            </w:r>
            <w:r>
              <w:rPr>
                <w:rFonts w:hint="eastAsia"/>
              </w:rPr>
              <w:t>，</w:t>
            </w:r>
            <w:r>
              <w:t>具备：</w:t>
            </w:r>
            <w:r>
              <w:br w:type="textWrapping"/>
            </w:r>
            <w:r>
              <w:t>（1）</w:t>
            </w:r>
            <w:r>
              <w:rPr>
                <w:rFonts w:hint="eastAsia"/>
              </w:rPr>
              <w:t>通信或计算机高级工程师职称证书</w:t>
            </w:r>
            <w:r>
              <w:t>，得2分；</w:t>
            </w:r>
            <w:r>
              <w:br w:type="textWrapping"/>
            </w:r>
            <w:r>
              <w:t>（2）高级网络信息安全工程师证书，得</w:t>
            </w:r>
            <w:r>
              <w:rPr>
                <w:rFonts w:hint="eastAsia"/>
              </w:rPr>
              <w:t>2</w:t>
            </w:r>
            <w:r>
              <w:t>分。</w:t>
            </w:r>
            <w:r>
              <w:br w:type="textWrapping"/>
            </w:r>
            <w:r>
              <w:t>2、配备运维服务主管</w:t>
            </w:r>
            <w:r>
              <w:rPr>
                <w:rFonts w:hint="eastAsia"/>
              </w:rPr>
              <w:t>，</w:t>
            </w:r>
            <w:r>
              <w:t>具备：</w:t>
            </w:r>
            <w:r>
              <w:br w:type="textWrapping"/>
            </w:r>
            <w:r>
              <w:t>（1）信息与通信工程高级工程师职称证书，得2分，</w:t>
            </w:r>
            <w:r>
              <w:br w:type="textWrapping"/>
            </w:r>
            <w:r>
              <w:t>（2）项目管理高级工程师职称证书，得</w:t>
            </w:r>
            <w:r>
              <w:rPr>
                <w:rFonts w:hint="eastAsia"/>
              </w:rPr>
              <w:t>2</w:t>
            </w:r>
            <w:r>
              <w:t>分。</w:t>
            </w:r>
            <w:r>
              <w:br w:type="textWrapping"/>
            </w:r>
            <w:r>
              <w:t>3、配备运维安全负责人</w:t>
            </w:r>
            <w:r>
              <w:rPr>
                <w:rFonts w:hint="eastAsia"/>
              </w:rPr>
              <w:t>，</w:t>
            </w:r>
            <w:r>
              <w:t>具备：</w:t>
            </w:r>
            <w:r>
              <w:br w:type="textWrapping"/>
            </w:r>
            <w:r>
              <w:t>（1）通信工程高级工程师职称证书，得2分；</w:t>
            </w:r>
            <w:r>
              <w:br w:type="textWrapping"/>
            </w:r>
            <w:r>
              <w:t>（2）人力资源管理部门或应急管理部门颁发的注册安全工程师认证，得</w:t>
            </w:r>
            <w:r>
              <w:rPr>
                <w:rFonts w:hint="eastAsia"/>
              </w:rPr>
              <w:t>2</w:t>
            </w:r>
            <w:r>
              <w:t>分；</w:t>
            </w:r>
            <w:r>
              <w:br w:type="textWrapping"/>
            </w:r>
            <w:r>
              <w:rPr>
                <w:b/>
                <w:bCs/>
              </w:rPr>
              <w:t>注：</w:t>
            </w:r>
            <w:r>
              <w:rPr>
                <w:rFonts w:hint="eastAsia"/>
                <w:b/>
                <w:bCs/>
              </w:rPr>
              <w:t>1、同一人具有多种证书，可重复计分；</w:t>
            </w:r>
          </w:p>
          <w:p>
            <w:pPr>
              <w:adjustRightInd w:val="0"/>
              <w:spacing w:line="360" w:lineRule="auto"/>
              <w:textAlignment w:val="baseline"/>
              <w:rPr>
                <w:rFonts w:hint="eastAsia" w:ascii="宋体" w:hAnsi="宋体" w:cs="宋体"/>
                <w:bCs/>
                <w:szCs w:val="21"/>
              </w:rPr>
            </w:pPr>
            <w:r>
              <w:rPr>
                <w:rFonts w:hint="eastAsia"/>
                <w:b/>
                <w:bCs/>
              </w:rPr>
              <w:t>2、</w:t>
            </w:r>
            <w:r>
              <w:rPr>
                <w:b/>
                <w:bCs/>
              </w:rPr>
              <w:t>以上人员需提供相关有效的证书复印件和截标时间前半年内连续三个月投标供应商为其缴纳社保证明材料复印件并加盖公章</w:t>
            </w:r>
            <w:r>
              <w:rPr>
                <w:rFonts w:hint="eastAsia"/>
                <w:b/>
                <w:bCs/>
              </w:rPr>
              <w:t>，</w:t>
            </w:r>
            <w:r>
              <w:rPr>
                <w:rFonts w:hint="eastAsia" w:ascii="宋体" w:hAnsi="宋体" w:cs="宋体"/>
                <w:b/>
                <w:bCs/>
                <w:szCs w:val="21"/>
              </w:rPr>
              <w:t>从</w:t>
            </w:r>
            <w:r>
              <w:rPr>
                <w:rFonts w:ascii="宋体" w:hAnsi="宋体" w:cs="宋体"/>
                <w:b/>
                <w:bCs/>
                <w:szCs w:val="21"/>
              </w:rPr>
              <w:t>成立</w:t>
            </w:r>
            <w:r>
              <w:rPr>
                <w:rFonts w:hint="eastAsia" w:ascii="宋体" w:hAnsi="宋体" w:cs="宋体"/>
                <w:b/>
                <w:bCs/>
                <w:szCs w:val="21"/>
              </w:rPr>
              <w:t>之日起到投标文件提交截止时间止不足要求月数的只需提供从</w:t>
            </w:r>
            <w:r>
              <w:rPr>
                <w:rFonts w:ascii="宋体" w:hAnsi="宋体" w:cs="宋体"/>
                <w:b/>
                <w:bCs/>
                <w:szCs w:val="21"/>
              </w:rPr>
              <w:t>成立</w:t>
            </w:r>
            <w:r>
              <w:rPr>
                <w:rFonts w:hint="eastAsia" w:ascii="宋体" w:hAnsi="宋体" w:cs="宋体"/>
                <w:b/>
                <w:bCs/>
                <w:szCs w:val="21"/>
              </w:rPr>
              <w:t>之日起的依法缴纳社会的相应证明文件并加盖单位公章。（依法无需缴纳社保的需提供相应证明材料）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p>
        </w:tc>
        <w:tc>
          <w:tcPr>
            <w:tcW w:w="1006" w:type="dxa"/>
            <w:vMerge w:val="continue"/>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p>
        </w:tc>
        <w:tc>
          <w:tcPr>
            <w:tcW w:w="99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pacing w:line="360" w:lineRule="auto"/>
              <w:textAlignment w:val="baseline"/>
              <w:rPr>
                <w:rFonts w:hint="eastAsia"/>
                <w:szCs w:val="21"/>
              </w:rPr>
            </w:pPr>
            <w:r>
              <w:rPr>
                <w:rFonts w:hint="eastAsia" w:ascii="宋体" w:hAnsi="宋体" w:cs="宋体"/>
                <w:kern w:val="0"/>
                <w:szCs w:val="21"/>
              </w:rPr>
              <w:t>应急服务方案（满分1</w:t>
            </w:r>
            <w:r>
              <w:rPr>
                <w:rFonts w:ascii="宋体" w:hAnsi="宋体" w:cs="宋体"/>
                <w:kern w:val="0"/>
                <w:szCs w:val="21"/>
              </w:rPr>
              <w:t>6</w:t>
            </w:r>
            <w:r>
              <w:rPr>
                <w:rFonts w:hint="eastAsia" w:ascii="宋体" w:hAnsi="宋体" w:cs="宋体"/>
                <w:kern w:val="0"/>
                <w:szCs w:val="21"/>
              </w:rPr>
              <w:t>分）</w:t>
            </w:r>
          </w:p>
        </w:tc>
        <w:tc>
          <w:tcPr>
            <w:tcW w:w="7490" w:type="dxa"/>
            <w:tcBorders>
              <w:top w:val="single" w:color="auto" w:sz="4" w:space="0"/>
              <w:left w:val="single" w:color="auto" w:sz="4" w:space="0"/>
              <w:bottom w:val="single" w:color="auto" w:sz="4" w:space="0"/>
              <w:right w:val="single" w:color="auto" w:sz="4" w:space="0"/>
            </w:tcBorders>
            <w:noWrap w:val="0"/>
            <w:vAlign w:val="top"/>
          </w:tcPr>
          <w:p>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一档（0分）：未提供方案或方案不满足以下评分项的不得分。</w:t>
            </w:r>
          </w:p>
          <w:p>
            <w:pPr>
              <w:widowControl/>
              <w:spacing w:line="360" w:lineRule="auto"/>
              <w:ind w:firstLine="420" w:firstLineChars="200"/>
              <w:rPr>
                <w:rFonts w:hint="eastAsia" w:ascii="宋体" w:hAnsi="宋体" w:cs="宋体"/>
                <w:kern w:val="0"/>
                <w:szCs w:val="21"/>
              </w:rPr>
            </w:pPr>
            <w:r>
              <w:rPr>
                <w:rFonts w:hint="eastAsia" w:ascii="宋体" w:hAnsi="宋体" w:cs="宋体"/>
                <w:szCs w:val="21"/>
              </w:rPr>
              <w:t>二档（</w:t>
            </w:r>
            <w:r>
              <w:rPr>
                <w:rFonts w:ascii="宋体" w:hAnsi="宋体" w:cs="宋体"/>
                <w:szCs w:val="21"/>
              </w:rPr>
              <w:t>8</w:t>
            </w:r>
            <w:r>
              <w:rPr>
                <w:rFonts w:hint="eastAsia" w:ascii="宋体" w:hAnsi="宋体" w:cs="宋体"/>
                <w:szCs w:val="21"/>
              </w:rPr>
              <w:t>分）：</w:t>
            </w:r>
            <w:r>
              <w:rPr>
                <w:rFonts w:hint="eastAsia" w:ascii="宋体" w:hAnsi="宋体" w:cs="宋体"/>
                <w:kern w:val="0"/>
                <w:szCs w:val="21"/>
              </w:rPr>
              <w:t>结合本项目采购需求，编制风险与应急处理方案，方案能结合采购需求中各项主要工作内容分别编制应急预案。方案</w:t>
            </w:r>
            <w:r>
              <w:rPr>
                <w:rFonts w:hint="eastAsia" w:ascii="宋体" w:hAnsi="宋体" w:cs="宋体"/>
                <w:szCs w:val="21"/>
              </w:rPr>
              <w:t>契合项目需求</w:t>
            </w:r>
            <w:r>
              <w:rPr>
                <w:rFonts w:hint="eastAsia" w:ascii="宋体" w:hAnsi="宋体" w:cs="宋体"/>
                <w:kern w:val="0"/>
                <w:szCs w:val="21"/>
              </w:rPr>
              <w:t>且被评标委员会认可的，得8分。</w:t>
            </w:r>
          </w:p>
          <w:p>
            <w:pPr>
              <w:pStyle w:val="17"/>
              <w:spacing w:line="360" w:lineRule="auto"/>
              <w:ind w:firstLineChars="200"/>
              <w:rPr>
                <w:rFonts w:hint="eastAsia" w:ascii="宋体" w:hAnsi="宋体" w:cs="宋体"/>
                <w:sz w:val="21"/>
                <w:szCs w:val="21"/>
                <w:lang w:val="en-US" w:eastAsia="zh-CN"/>
              </w:rPr>
            </w:pPr>
            <w:r>
              <w:rPr>
                <w:rFonts w:hint="eastAsia" w:ascii="宋体" w:hAnsi="宋体" w:cs="宋体"/>
                <w:sz w:val="21"/>
                <w:szCs w:val="21"/>
                <w:lang w:val="en-US" w:eastAsia="zh-CN"/>
              </w:rPr>
              <w:t>三档（</w:t>
            </w:r>
            <w:r>
              <w:rPr>
                <w:rFonts w:ascii="宋体" w:hAnsi="宋体" w:cs="宋体"/>
                <w:sz w:val="21"/>
                <w:szCs w:val="21"/>
                <w:lang w:val="en-US" w:eastAsia="zh-CN"/>
              </w:rPr>
              <w:t>12</w:t>
            </w:r>
            <w:r>
              <w:rPr>
                <w:rFonts w:hint="eastAsia" w:ascii="宋体" w:hAnsi="宋体" w:cs="宋体"/>
                <w:sz w:val="21"/>
                <w:szCs w:val="21"/>
                <w:lang w:val="en-US" w:eastAsia="zh-CN"/>
              </w:rPr>
              <w:t>分）：方案在满足上一档的基础上，方案须建立有应急工作组，应急工作组小组成员有明确分工。方案契合项目需求且被评标委员会认可的，得12分。</w:t>
            </w:r>
          </w:p>
          <w:p>
            <w:pPr>
              <w:pStyle w:val="17"/>
              <w:spacing w:line="360" w:lineRule="auto"/>
              <w:ind w:firstLineChars="200"/>
              <w:rPr>
                <w:rFonts w:hint="eastAsia"/>
                <w:sz w:val="21"/>
                <w:szCs w:val="21"/>
                <w:lang w:val="en-US" w:eastAsia="zh-CN"/>
              </w:rPr>
            </w:pPr>
            <w:r>
              <w:rPr>
                <w:rFonts w:hint="eastAsia" w:ascii="宋体" w:hAnsi="宋体" w:cs="宋体"/>
                <w:sz w:val="21"/>
                <w:szCs w:val="21"/>
                <w:lang w:val="en-US" w:eastAsia="zh-CN"/>
              </w:rPr>
              <w:t>四档（1</w:t>
            </w:r>
            <w:r>
              <w:rPr>
                <w:rFonts w:ascii="宋体" w:hAnsi="宋体" w:cs="宋体"/>
                <w:sz w:val="21"/>
                <w:szCs w:val="21"/>
                <w:lang w:val="en-US" w:eastAsia="zh-CN"/>
              </w:rPr>
              <w:t>6</w:t>
            </w:r>
            <w:r>
              <w:rPr>
                <w:rFonts w:hint="eastAsia" w:ascii="宋体" w:hAnsi="宋体" w:cs="宋体"/>
                <w:sz w:val="21"/>
                <w:szCs w:val="21"/>
                <w:lang w:val="en-US" w:eastAsia="zh-CN"/>
              </w:rPr>
              <w:t>分）：方案在满足上一档的基础上，方案能详细分析日常开展工作过程中可能存在的风险问题和突发事件，并根据分析结果编制有针对性预防方案和优化工作方案，方案契合项目需求且被评标委员会认可的，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94" w:type="dxa"/>
            <w:vMerge w:val="restart"/>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r>
              <w:rPr>
                <w:rFonts w:hint="eastAsia" w:ascii="宋体" w:hAnsi="宋体" w:cs="宋体"/>
                <w:b/>
                <w:szCs w:val="21"/>
              </w:rPr>
              <w:t>33</w:t>
            </w:r>
          </w:p>
        </w:tc>
        <w:tc>
          <w:tcPr>
            <w:tcW w:w="1006" w:type="dxa"/>
            <w:vMerge w:val="restart"/>
            <w:tcBorders>
              <w:left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b/>
                <w:szCs w:val="21"/>
              </w:rPr>
            </w:pPr>
            <w:r>
              <w:rPr>
                <w:rFonts w:hint="eastAsia" w:ascii="宋体" w:hAnsi="宋体" w:cs="宋体"/>
                <w:b/>
                <w:szCs w:val="21"/>
              </w:rPr>
              <w:t>商务分</w:t>
            </w:r>
          </w:p>
          <w:p>
            <w:pPr>
              <w:adjustRightInd w:val="0"/>
              <w:spacing w:line="360" w:lineRule="auto"/>
              <w:textAlignment w:val="baseline"/>
              <w:rPr>
                <w:rFonts w:ascii="宋体" w:hAnsi="宋体" w:cs="宋体"/>
                <w:b/>
                <w:szCs w:val="21"/>
              </w:rPr>
            </w:pPr>
            <w:r>
              <w:rPr>
                <w:rFonts w:hint="eastAsia" w:ascii="宋体" w:hAnsi="宋体" w:cs="宋体"/>
                <w:b/>
                <w:szCs w:val="21"/>
              </w:rPr>
              <w:t>（满分17分</w:t>
            </w:r>
          </w:p>
        </w:tc>
        <w:tc>
          <w:tcPr>
            <w:tcW w:w="99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pacing w:line="360" w:lineRule="auto"/>
              <w:jc w:val="center"/>
              <w:textAlignment w:val="baseline"/>
              <w:rPr>
                <w:rFonts w:hint="eastAsia" w:ascii="宋体" w:hAnsi="宋体" w:cs="宋体"/>
                <w:szCs w:val="21"/>
              </w:rPr>
            </w:pPr>
            <w:r>
              <w:rPr>
                <w:rFonts w:hint="eastAsia" w:ascii="宋体" w:hAnsi="宋体" w:cs="宋体"/>
                <w:szCs w:val="21"/>
              </w:rPr>
              <w:t>业绩分（满分5分）</w:t>
            </w:r>
          </w:p>
        </w:tc>
        <w:tc>
          <w:tcPr>
            <w:tcW w:w="7490" w:type="dxa"/>
            <w:tcBorders>
              <w:top w:val="single" w:color="auto" w:sz="4" w:space="0"/>
              <w:left w:val="single" w:color="auto" w:sz="4" w:space="0"/>
              <w:right w:val="single" w:color="auto" w:sz="4" w:space="0"/>
            </w:tcBorders>
            <w:noWrap w:val="0"/>
            <w:vAlign w:val="top"/>
          </w:tcPr>
          <w:p>
            <w:pPr>
              <w:adjustRightInd w:val="0"/>
              <w:spacing w:line="360" w:lineRule="auto"/>
              <w:ind w:firstLine="420" w:firstLineChars="200"/>
              <w:textAlignment w:val="baseline"/>
              <w:rPr>
                <w:rFonts w:hint="eastAsia"/>
                <w:szCs w:val="21"/>
              </w:rPr>
            </w:pPr>
            <w:r>
              <w:rPr>
                <w:rFonts w:hint="eastAsia"/>
                <w:szCs w:val="21"/>
              </w:rPr>
              <w:t xml:space="preserve"> </w:t>
            </w:r>
            <w:r>
              <w:rPr>
                <w:rFonts w:hint="eastAsia" w:ascii="宋体" w:hAnsi="宋体"/>
                <w:szCs w:val="21"/>
              </w:rPr>
              <w:t>2020年1月1日以来至投标截止时间止，投标人有类似成功案例</w:t>
            </w:r>
            <w:r>
              <w:rPr>
                <w:rFonts w:hint="eastAsia" w:ascii="宋体" w:hAnsi="宋体" w:cs="宋体"/>
                <w:szCs w:val="21"/>
              </w:rPr>
              <w:t>[</w:t>
            </w:r>
            <w:r>
              <w:rPr>
                <w:rFonts w:hint="eastAsia" w:ascii="宋体" w:hAnsi="宋体"/>
                <w:szCs w:val="21"/>
              </w:rPr>
              <w:t>同类型租赁机房项目业绩</w:t>
            </w:r>
            <w:r>
              <w:rPr>
                <w:rFonts w:hint="eastAsia" w:ascii="宋体" w:hAnsi="宋体" w:cs="宋体"/>
                <w:szCs w:val="21"/>
              </w:rPr>
              <w:t>]</w:t>
            </w:r>
            <w:r>
              <w:rPr>
                <w:rFonts w:hint="eastAsia" w:ascii="宋体" w:hAnsi="宋体"/>
                <w:szCs w:val="21"/>
              </w:rPr>
              <w:t>，每提供1份合同复印件或中标通知书得1分，满分5分。</w:t>
            </w:r>
            <w:r>
              <w:rPr>
                <w:rFonts w:hint="eastAsia" w:ascii="宋体" w:hAnsi="宋体"/>
                <w:b/>
                <w:bCs/>
                <w:szCs w:val="21"/>
              </w:rPr>
              <w:t>（注：投标文件中提供合同复印件或中标通知书并加盖单位公章）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left w:val="single" w:color="auto" w:sz="4" w:space="0"/>
              <w:right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cs="宋体"/>
                <w:b/>
                <w:szCs w:val="21"/>
              </w:rPr>
            </w:pPr>
          </w:p>
        </w:tc>
        <w:tc>
          <w:tcPr>
            <w:tcW w:w="1006" w:type="dxa"/>
            <w:vMerge w:val="continue"/>
            <w:tcBorders>
              <w:left w:val="single" w:color="auto" w:sz="4" w:space="0"/>
              <w:right w:val="single" w:color="auto" w:sz="4" w:space="0"/>
            </w:tcBorders>
            <w:noWrap w:val="0"/>
            <w:vAlign w:val="center"/>
          </w:tcPr>
          <w:p>
            <w:pPr>
              <w:adjustRightInd w:val="0"/>
              <w:spacing w:line="360" w:lineRule="auto"/>
              <w:textAlignment w:val="baseline"/>
              <w:rPr>
                <w:rFonts w:ascii="宋体" w:hAnsi="宋体" w:cs="宋体"/>
                <w:b/>
                <w:szCs w:val="21"/>
              </w:rPr>
            </w:pPr>
          </w:p>
        </w:tc>
        <w:tc>
          <w:tcPr>
            <w:tcW w:w="99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pacing w:line="360" w:lineRule="auto"/>
              <w:textAlignment w:val="baseline"/>
              <w:rPr>
                <w:rFonts w:ascii="宋体" w:hAnsi="宋体" w:cs="宋体"/>
                <w:szCs w:val="21"/>
              </w:rPr>
            </w:pPr>
            <w:r>
              <w:rPr>
                <w:rFonts w:hint="eastAsia" w:ascii="宋体" w:hAnsi="宋体" w:cs="宋体"/>
                <w:szCs w:val="21"/>
              </w:rPr>
              <w:t>信誉分（满分1</w:t>
            </w:r>
            <w:r>
              <w:rPr>
                <w:rFonts w:ascii="宋体" w:hAnsi="宋体" w:cs="宋体"/>
                <w:szCs w:val="21"/>
              </w:rPr>
              <w:t>2</w:t>
            </w:r>
            <w:r>
              <w:rPr>
                <w:rFonts w:hint="eastAsia" w:ascii="宋体" w:hAnsi="宋体" w:cs="宋体"/>
                <w:szCs w:val="21"/>
              </w:rPr>
              <w:t>分）</w:t>
            </w:r>
          </w:p>
        </w:tc>
        <w:tc>
          <w:tcPr>
            <w:tcW w:w="7490" w:type="dxa"/>
            <w:tcBorders>
              <w:top w:val="single" w:color="auto" w:sz="4" w:space="0"/>
              <w:left w:val="single" w:color="auto" w:sz="4" w:space="0"/>
              <w:right w:val="single" w:color="auto" w:sz="4" w:space="0"/>
            </w:tcBorders>
            <w:noWrap w:val="0"/>
            <w:vAlign w:val="top"/>
          </w:tcPr>
          <w:p>
            <w:pPr>
              <w:pStyle w:val="17"/>
              <w:ind w:firstLine="0" w:firstLineChars="0"/>
              <w:rPr>
                <w:rFonts w:hint="eastAsia"/>
                <w:sz w:val="21"/>
                <w:szCs w:val="21"/>
                <w:lang w:val="en-US" w:eastAsia="zh-CN"/>
              </w:rPr>
            </w:pPr>
            <w:r>
              <w:rPr>
                <w:rFonts w:hint="eastAsia"/>
                <w:sz w:val="21"/>
                <w:szCs w:val="21"/>
                <w:lang w:val="en-US" w:eastAsia="zh-CN"/>
              </w:rPr>
              <w:t>（1）投标人具有符合数据中心场地基础设施认证证书（GB50174-2017 ），A级得3分、B级</w:t>
            </w:r>
            <w:r>
              <w:rPr>
                <w:sz w:val="21"/>
                <w:szCs w:val="21"/>
                <w:lang w:val="en-US" w:eastAsia="zh-CN"/>
              </w:rPr>
              <w:t>2</w:t>
            </w:r>
            <w:r>
              <w:rPr>
                <w:rFonts w:hint="eastAsia"/>
                <w:sz w:val="21"/>
                <w:szCs w:val="21"/>
                <w:lang w:val="en-US" w:eastAsia="zh-CN"/>
              </w:rPr>
              <w:t>分、C级</w:t>
            </w:r>
            <w:r>
              <w:rPr>
                <w:sz w:val="21"/>
                <w:szCs w:val="21"/>
                <w:lang w:val="en-US" w:eastAsia="zh-CN"/>
              </w:rPr>
              <w:t>1</w:t>
            </w:r>
            <w:r>
              <w:rPr>
                <w:rFonts w:hint="eastAsia"/>
                <w:sz w:val="21"/>
                <w:szCs w:val="21"/>
                <w:lang w:val="en-US" w:eastAsia="zh-CN"/>
              </w:rPr>
              <w:t>分。</w:t>
            </w:r>
          </w:p>
          <w:p>
            <w:pPr>
              <w:pStyle w:val="17"/>
              <w:ind w:firstLine="0" w:firstLineChars="0"/>
              <w:rPr>
                <w:rFonts w:hint="eastAsia"/>
                <w:sz w:val="21"/>
                <w:szCs w:val="21"/>
                <w:lang w:val="en-US" w:eastAsia="zh-CN"/>
              </w:rPr>
            </w:pPr>
            <w:r>
              <w:rPr>
                <w:rFonts w:hint="eastAsia"/>
                <w:sz w:val="21"/>
                <w:szCs w:val="21"/>
                <w:lang w:val="en-US" w:eastAsia="zh-CN"/>
              </w:rPr>
              <w:t>（2）投标人具有ISO 9001质量管理体系认证证书得3分。</w:t>
            </w:r>
          </w:p>
          <w:p>
            <w:pPr>
              <w:pStyle w:val="17"/>
              <w:ind w:firstLine="0" w:firstLineChars="0"/>
              <w:rPr>
                <w:sz w:val="21"/>
                <w:szCs w:val="21"/>
                <w:lang w:val="en-US" w:eastAsia="zh-CN"/>
              </w:rPr>
            </w:pPr>
            <w:r>
              <w:rPr>
                <w:rFonts w:hint="eastAsia"/>
                <w:sz w:val="21"/>
                <w:szCs w:val="21"/>
                <w:lang w:val="en-US" w:eastAsia="zh-CN"/>
              </w:rPr>
              <w:t>（3）投标人具有ISO 27001信息安全管理体系认证证书得3分。</w:t>
            </w:r>
          </w:p>
          <w:p>
            <w:pPr>
              <w:pStyle w:val="17"/>
              <w:ind w:firstLine="0" w:firstLineChars="0"/>
              <w:rPr>
                <w:rFonts w:hint="eastAsia"/>
                <w:sz w:val="21"/>
                <w:szCs w:val="21"/>
                <w:lang w:val="en-US" w:eastAsia="zh-CN"/>
              </w:rPr>
            </w:pPr>
            <w:r>
              <w:rPr>
                <w:rFonts w:hint="eastAsia"/>
                <w:sz w:val="21"/>
                <w:szCs w:val="21"/>
                <w:lang w:val="en-US" w:eastAsia="zh-CN"/>
              </w:rPr>
              <w:t>（</w:t>
            </w:r>
            <w:r>
              <w:rPr>
                <w:sz w:val="21"/>
                <w:szCs w:val="21"/>
                <w:lang w:val="en-US" w:eastAsia="zh-CN"/>
              </w:rPr>
              <w:t>4</w:t>
            </w:r>
            <w:r>
              <w:rPr>
                <w:rFonts w:hint="eastAsia"/>
                <w:sz w:val="21"/>
                <w:szCs w:val="21"/>
                <w:lang w:val="en-US" w:eastAsia="zh-CN"/>
              </w:rPr>
              <w:t>）投标人具有ISO 20000信息技术服务管理体系认证证书得3分。</w:t>
            </w:r>
          </w:p>
          <w:p>
            <w:pPr>
              <w:pStyle w:val="17"/>
              <w:spacing w:line="360" w:lineRule="auto"/>
              <w:ind w:firstLine="0" w:firstLineChars="0"/>
              <w:rPr>
                <w:rFonts w:hint="eastAsia"/>
                <w:b/>
                <w:bCs/>
                <w:sz w:val="21"/>
                <w:szCs w:val="21"/>
                <w:lang w:val="en-US" w:eastAsia="zh-CN"/>
              </w:rPr>
            </w:pPr>
            <w:r>
              <w:rPr>
                <w:rFonts w:hint="eastAsia"/>
                <w:b/>
                <w:bCs/>
                <w:sz w:val="21"/>
                <w:szCs w:val="21"/>
                <w:lang w:val="en-US" w:eastAsia="zh-CN"/>
              </w:rPr>
              <w:t>（注：投标文件中提供证书复印件并加盖单位公章）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ind w:firstLine="422" w:firstLineChars="200"/>
              <w:textAlignment w:val="baseline"/>
              <w:rPr>
                <w:rFonts w:hint="eastAsia" w:ascii="宋体" w:hAnsi="宋体" w:cs="宋体"/>
                <w:bCs/>
                <w:szCs w:val="21"/>
              </w:rPr>
            </w:pPr>
            <w:r>
              <w:rPr>
                <w:rFonts w:hint="eastAsia" w:ascii="宋体" w:hAnsi="宋体" w:cs="宋体"/>
                <w:b/>
                <w:bCs/>
                <w:szCs w:val="21"/>
              </w:rPr>
              <w:t>总得分=1+2+3。</w:t>
            </w:r>
          </w:p>
        </w:tc>
      </w:tr>
    </w:tbl>
    <w:p>
      <w:pPr>
        <w:rPr>
          <w:rFonts w:hint="eastAsia" w:hAnsi="宋体"/>
          <w:bCs/>
        </w:rPr>
      </w:pPr>
    </w:p>
    <w:p>
      <w:pPr>
        <w:pStyle w:val="12"/>
        <w:spacing w:line="360" w:lineRule="auto"/>
        <w:ind w:firstLine="420"/>
        <w:rPr>
          <w:rFonts w:hint="eastAsia" w:hAnsi="宋体"/>
          <w:bCs/>
          <w:sz w:val="21"/>
        </w:rPr>
      </w:pPr>
      <w:r>
        <w:rPr>
          <w:rFonts w:hint="eastAsia" w:hAnsi="宋体"/>
          <w:bCs/>
          <w:sz w:val="21"/>
        </w:rPr>
        <w:t>注：1.计分方法按四舍五入取至百分位；</w:t>
      </w:r>
    </w:p>
    <w:p>
      <w:pPr>
        <w:pStyle w:val="12"/>
        <w:spacing w:line="360" w:lineRule="auto"/>
        <w:ind w:firstLine="420"/>
        <w:rPr>
          <w:rFonts w:hAnsi="宋体"/>
          <w:bCs/>
          <w:sz w:val="21"/>
        </w:rPr>
      </w:pPr>
      <w:r>
        <w:rPr>
          <w:rFonts w:hint="eastAsia" w:hAnsi="宋体"/>
          <w:bCs/>
          <w:sz w:val="21"/>
        </w:rPr>
        <w:t xml:space="preserve">    2.因落实政府采购政策进行价格调整的，以调整后的价格计算评标基准价和投标报价。</w:t>
      </w:r>
    </w:p>
    <w:p>
      <w:pPr>
        <w:pStyle w:val="4"/>
        <w:keepNext w:val="0"/>
        <w:keepLines w:val="0"/>
        <w:jc w:val="center"/>
        <w:rPr>
          <w:rFonts w:hint="eastAsia" w:ascii="宋体" w:hAnsi="宋体" w:cs="宋体"/>
          <w:szCs w:val="21"/>
        </w:rPr>
      </w:pPr>
      <w:r>
        <w:br w:type="page"/>
      </w:r>
    </w:p>
    <w:p>
      <w:pPr>
        <w:pStyle w:val="4"/>
        <w:keepNext w:val="0"/>
        <w:keepLines w:val="0"/>
        <w:jc w:val="center"/>
        <w:rPr>
          <w:sz w:val="30"/>
          <w:szCs w:val="30"/>
        </w:rPr>
      </w:pPr>
      <w:r>
        <w:rPr>
          <w:rFonts w:hint="eastAsia"/>
          <w:sz w:val="30"/>
          <w:szCs w:val="30"/>
        </w:rPr>
        <w:t>四、中标候选人推荐原则</w:t>
      </w:r>
    </w:p>
    <w:p>
      <w:pPr>
        <w:pStyle w:val="12"/>
        <w:spacing w:line="360" w:lineRule="auto"/>
        <w:ind w:firstLine="420" w:firstLineChars="200"/>
        <w:contextualSpacing/>
        <w:rPr>
          <w:rFonts w:hint="eastAsia" w:hAnsi="宋体"/>
          <w:sz w:val="21"/>
        </w:rPr>
      </w:pPr>
      <w:r>
        <w:rPr>
          <w:rFonts w:hint="eastAsia" w:hAnsi="宋体"/>
          <w:sz w:val="21"/>
        </w:rPr>
        <w:t>评标委员会将根据总得分由高到低排列次序并推荐中标候选人。</w:t>
      </w:r>
      <w:r>
        <w:rPr>
          <w:rFonts w:hAnsi="宋体"/>
          <w:sz w:val="21"/>
        </w:rPr>
        <w:t>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360" w:lineRule="auto"/>
        <w:ind w:firstLine="420" w:firstLineChars="200"/>
        <w:contextualSpacing/>
        <w:rPr>
          <w:rFonts w:hint="eastAsia" w:hAnsi="宋体"/>
          <w:sz w:val="21"/>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spacing w:before="120" w:beforeLines="50" w:after="120" w:afterLines="50" w:line="400" w:lineRule="exact"/>
        <w:rPr>
          <w:rFonts w:hint="eastAsia" w:ascii="宋体" w:hAnsi="宋体"/>
          <w:b/>
          <w:sz w:val="24"/>
        </w:rPr>
      </w:pPr>
    </w:p>
    <w:p>
      <w:pPr>
        <w:pStyle w:val="3"/>
        <w:keepNext w:val="0"/>
        <w:keepLines w:val="0"/>
        <w:jc w:val="center"/>
        <w:rPr>
          <w:rFonts w:hint="eastAsia"/>
        </w:rPr>
      </w:pPr>
      <w:r>
        <w:br w:type="page"/>
      </w:r>
    </w:p>
    <w:p>
      <w:pPr>
        <w:pStyle w:val="3"/>
        <w:keepNext w:val="0"/>
        <w:keepLines w:val="0"/>
        <w:jc w:val="center"/>
        <w:rPr>
          <w:rFonts w:hint="eastAsia"/>
        </w:rPr>
      </w:pPr>
    </w:p>
    <w:p>
      <w:pPr>
        <w:pStyle w:val="3"/>
        <w:keepNext w:val="0"/>
        <w:keepLines w:val="0"/>
        <w:jc w:val="center"/>
        <w:rPr>
          <w:rFonts w:hint="eastAsia"/>
        </w:rPr>
      </w:pPr>
    </w:p>
    <w:p>
      <w:pPr>
        <w:pStyle w:val="3"/>
        <w:keepNext w:val="0"/>
        <w:keepLines w:val="0"/>
        <w:jc w:val="center"/>
        <w:rPr>
          <w:rFonts w:hint="eastAsia"/>
        </w:rPr>
      </w:pPr>
    </w:p>
    <w:p>
      <w:pPr>
        <w:pStyle w:val="3"/>
        <w:keepNext w:val="0"/>
        <w:keepLines w:val="0"/>
        <w:jc w:val="center"/>
        <w:rPr>
          <w:rFonts w:hint="eastAsia"/>
        </w:rPr>
      </w:pPr>
    </w:p>
    <w:p>
      <w:pPr>
        <w:pStyle w:val="3"/>
        <w:keepNext w:val="0"/>
        <w:keepLines w:val="0"/>
        <w:jc w:val="center"/>
        <w:rPr>
          <w:rFonts w:hint="eastAsia"/>
        </w:rPr>
      </w:pPr>
    </w:p>
    <w:p>
      <w:pPr>
        <w:pStyle w:val="3"/>
        <w:keepNext w:val="0"/>
        <w:keepLines w:val="0"/>
        <w:jc w:val="center"/>
        <w:rPr>
          <w:rFonts w:hint="eastAsia"/>
        </w:rPr>
      </w:pPr>
    </w:p>
    <w:p>
      <w:pPr>
        <w:pStyle w:val="2"/>
        <w:jc w:val="center"/>
        <w:rPr>
          <w:rFonts w:hint="eastAsia"/>
        </w:rPr>
      </w:pPr>
      <w:bookmarkStart w:id="145" w:name="_Toc74320804"/>
      <w:r>
        <w:rPr>
          <w:rFonts w:hint="eastAsia"/>
        </w:rPr>
        <w:t>第五章  拟签订的合同文本</w:t>
      </w:r>
      <w:bookmarkEnd w:id="145"/>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left"/>
        <w:rPr>
          <w:rFonts w:hint="eastAsia" w:ascii="宋体" w:hAnsi="宋体"/>
          <w:szCs w:val="21"/>
        </w:rPr>
      </w:pPr>
      <w:r>
        <w:rPr>
          <w:rFonts w:ascii="宋体" w:hAnsi="宋体"/>
          <w:bCs/>
          <w:sz w:val="32"/>
          <w:szCs w:val="32"/>
        </w:rPr>
        <w:br w:type="page"/>
      </w:r>
      <w:bookmarkStart w:id="146" w:name="_Hlk55381736"/>
      <w:r>
        <w:rPr>
          <w:rFonts w:hint="eastAsia" w:ascii="宋体" w:hAnsi="宋体"/>
          <w:b/>
          <w:sz w:val="32"/>
          <w:szCs w:val="32"/>
        </w:rPr>
        <w:t xml:space="preserve">一般服务类（参考）： </w:t>
      </w:r>
    </w:p>
    <w:p>
      <w:pPr>
        <w:snapToGrid w:val="0"/>
        <w:spacing w:line="400" w:lineRule="exact"/>
        <w:jc w:val="center"/>
        <w:rPr>
          <w:rFonts w:hint="eastAsia" w:ascii="仿宋_GB2312" w:hAnsi="华文中宋" w:eastAsia="仿宋_GB2312"/>
          <w:b/>
          <w:bCs/>
          <w:sz w:val="32"/>
          <w:szCs w:val="32"/>
        </w:rPr>
      </w:pPr>
    </w:p>
    <w:p>
      <w:pPr>
        <w:snapToGrid w:val="0"/>
        <w:spacing w:line="400" w:lineRule="exact"/>
        <w:jc w:val="center"/>
        <w:rPr>
          <w:rFonts w:ascii="宋体" w:hAnsi="宋体"/>
          <w:b/>
          <w:sz w:val="32"/>
          <w:szCs w:val="32"/>
        </w:rPr>
      </w:pPr>
      <w:r>
        <w:rPr>
          <w:rFonts w:hint="eastAsia" w:ascii="宋体" w:hAnsi="宋体"/>
          <w:b/>
          <w:bCs/>
          <w:sz w:val="32"/>
          <w:szCs w:val="32"/>
        </w:rPr>
        <w:t>《广西壮族自治区政府采购合同》</w:t>
      </w:r>
      <w:r>
        <w:rPr>
          <w:rFonts w:hint="eastAsia" w:ascii="宋体" w:hAnsi="宋体"/>
          <w:b/>
          <w:sz w:val="32"/>
          <w:szCs w:val="32"/>
        </w:rPr>
        <w:t>文本</w:t>
      </w:r>
    </w:p>
    <w:p>
      <w:pPr>
        <w:snapToGrid w:val="0"/>
        <w:spacing w:line="400" w:lineRule="exact"/>
        <w:jc w:val="center"/>
        <w:rPr>
          <w:rFonts w:hint="eastAsia" w:ascii="宋体" w:hAnsi="宋体"/>
          <w:b/>
          <w:bCs/>
          <w:sz w:val="32"/>
          <w:szCs w:val="32"/>
        </w:rPr>
      </w:pPr>
      <w:r>
        <w:t>（采购人与</w:t>
      </w:r>
      <w:r>
        <w:rPr>
          <w:rFonts w:hint="eastAsia"/>
        </w:rPr>
        <w:t>中标人</w:t>
      </w:r>
      <w:r>
        <w:t>自行商议使用的合同模版）</w:t>
      </w:r>
    </w:p>
    <w:p>
      <w:pPr>
        <w:snapToGrid w:val="0"/>
        <w:spacing w:line="400" w:lineRule="exact"/>
        <w:ind w:right="480" w:firstLine="5250" w:firstLineChars="2500"/>
        <w:rPr>
          <w:rFonts w:hint="eastAsia" w:ascii="宋体" w:hAnsi="宋体"/>
          <w:bCs/>
          <w:szCs w:val="21"/>
          <w:u w:val="single"/>
        </w:rPr>
      </w:pPr>
      <w:r>
        <w:rPr>
          <w:rFonts w:hint="eastAsia" w:ascii="宋体" w:hAnsi="宋体"/>
          <w:bCs/>
          <w:szCs w:val="21"/>
        </w:rPr>
        <w:t>合同编号：</w:t>
      </w:r>
    </w:p>
    <w:p>
      <w:pPr>
        <w:snapToGrid w:val="0"/>
        <w:spacing w:line="360" w:lineRule="exact"/>
        <w:rPr>
          <w:rFonts w:hint="eastAsia" w:ascii="宋体" w:hAnsi="宋体"/>
          <w:szCs w:val="21"/>
        </w:rPr>
      </w:pPr>
    </w:p>
    <w:p>
      <w:pPr>
        <w:snapToGrid w:val="0"/>
        <w:spacing w:line="360" w:lineRule="auto"/>
        <w:rPr>
          <w:rFonts w:hint="eastAsia" w:ascii="宋体" w:hAnsi="宋体"/>
          <w:szCs w:val="21"/>
          <w:u w:val="single"/>
        </w:rPr>
      </w:pPr>
      <w:r>
        <w:rPr>
          <w:rFonts w:hint="eastAsia" w:ascii="宋体" w:hAnsi="宋体"/>
          <w:szCs w:val="21"/>
        </w:rPr>
        <w:t>采购人（甲方）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auto"/>
        <w:rPr>
          <w:rFonts w:hint="eastAsia"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pPr>
        <w:snapToGrid w:val="0"/>
        <w:spacing w:line="360" w:lineRule="auto"/>
        <w:rPr>
          <w:rFonts w:hint="eastAsia"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pacing w:line="360" w:lineRule="auto"/>
        <w:rPr>
          <w:rFonts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招标文件规定条款和乙方投标文件及其承诺，甲乙双方签订本合同。</w:t>
      </w:r>
    </w:p>
    <w:p>
      <w:pPr>
        <w:spacing w:line="360" w:lineRule="auto"/>
        <w:ind w:firstLine="422" w:firstLineChars="200"/>
        <w:rPr>
          <w:rFonts w:hint="eastAsia" w:ascii="宋体" w:hAnsi="宋体" w:cs="宋体"/>
          <w:b/>
          <w:szCs w:val="21"/>
        </w:rPr>
      </w:pPr>
      <w:r>
        <w:rPr>
          <w:rFonts w:hint="eastAsia" w:ascii="宋体" w:hAnsi="宋体" w:cs="宋体"/>
          <w:b/>
          <w:szCs w:val="21"/>
        </w:rPr>
        <w:t>第一条　合同标的</w:t>
      </w:r>
    </w:p>
    <w:p>
      <w:pPr>
        <w:spacing w:line="360" w:lineRule="auto"/>
        <w:ind w:firstLine="420" w:firstLineChars="200"/>
        <w:rPr>
          <w:rFonts w:hint="eastAsia" w:ascii="宋体" w:hAnsi="宋体" w:cs="宋体"/>
          <w:szCs w:val="21"/>
        </w:rPr>
      </w:pPr>
      <w:r>
        <w:rPr>
          <w:rFonts w:hint="eastAsia" w:ascii="宋体" w:hAnsi="宋体" w:cs="宋体"/>
          <w:szCs w:val="21"/>
        </w:rPr>
        <w:t>1、项目一览表</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单  价</w:t>
            </w:r>
          </w:p>
          <w:p>
            <w:pPr>
              <w:spacing w:line="360" w:lineRule="auto"/>
              <w:jc w:val="center"/>
              <w:rPr>
                <w:rFonts w:ascii="宋体" w:hAnsi="宋体" w:cs="宋体"/>
                <w:szCs w:val="21"/>
              </w:rPr>
            </w:pPr>
            <w:r>
              <w:rPr>
                <w:rFonts w:hint="eastAsia" w:ascii="宋体" w:hAnsi="宋体" w:cs="宋体"/>
                <w:szCs w:val="21"/>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 xml:space="preserve">总 </w:t>
            </w:r>
            <w:r>
              <w:rPr>
                <w:rFonts w:ascii="宋体" w:hAnsi="宋体" w:cs="宋体"/>
                <w:szCs w:val="21"/>
              </w:rPr>
              <w:t xml:space="preserve"> </w:t>
            </w:r>
            <w:r>
              <w:rPr>
                <w:rFonts w:hint="eastAsia" w:ascii="宋体" w:hAnsi="宋体" w:cs="宋体"/>
                <w:szCs w:val="21"/>
              </w:rPr>
              <w:t>价</w:t>
            </w:r>
          </w:p>
          <w:p>
            <w:pPr>
              <w:spacing w:line="360" w:lineRule="auto"/>
              <w:jc w:val="center"/>
              <w:rPr>
                <w:rFonts w:ascii="宋体" w:hAnsi="宋体" w:cs="宋体"/>
                <w:szCs w:val="21"/>
              </w:rPr>
            </w:pP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详见开标一览表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Cs w:val="21"/>
              </w:rPr>
            </w:pPr>
            <w:r>
              <w:rPr>
                <w:rFonts w:hint="eastAsia" w:ascii="宋体" w:hAnsi="宋体" w:cs="宋体"/>
                <w:szCs w:val="21"/>
              </w:rPr>
              <w:t>人民币合计金额（大写）：</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元整（¥</w:t>
            </w:r>
            <w:r>
              <w:rPr>
                <w:rFonts w:ascii="宋体" w:hAnsi="宋体" w:cs="宋体"/>
                <w:szCs w:val="21"/>
                <w:u w:val="single"/>
              </w:rPr>
              <w:t xml:space="preserve">           </w:t>
            </w:r>
            <w:r>
              <w:rPr>
                <w:rFonts w:hint="eastAsia" w:ascii="宋体" w:hAnsi="宋体" w:cs="宋体"/>
                <w:szCs w:val="21"/>
              </w:rPr>
              <w:t xml:space="preserve">）              </w:t>
            </w:r>
          </w:p>
        </w:tc>
      </w:tr>
    </w:tbl>
    <w:p>
      <w:pPr>
        <w:spacing w:line="360" w:lineRule="auto"/>
        <w:ind w:firstLine="420" w:firstLineChars="200"/>
        <w:rPr>
          <w:rFonts w:hint="eastAsia" w:ascii="宋体" w:hAnsi="宋体" w:cs="宋体"/>
          <w:szCs w:val="21"/>
        </w:rPr>
      </w:pPr>
      <w:r>
        <w:rPr>
          <w:rFonts w:hint="eastAsia" w:ascii="宋体" w:hAnsi="宋体" w:cs="宋体"/>
          <w:szCs w:val="21"/>
        </w:rPr>
        <w:t>2、合同合计金额包括但不限于满足本次投标全部采购需求所应提供的服务，以及伴随的货物和工程（如有）的价格；包含投标服务、货物、工程的成本、运输（含保险）、搬运、装卸、安装（如有）、调试、检验、技术服务、维保、培训、税费等所有费用，</w:t>
      </w:r>
      <w:r>
        <w:rPr>
          <w:rFonts w:ascii="宋体" w:hAnsi="宋体" w:cs="宋体"/>
          <w:szCs w:val="21"/>
        </w:rPr>
        <w:t>甲方无需再支付其他费用</w:t>
      </w:r>
      <w:r>
        <w:rPr>
          <w:rFonts w:hint="eastAsia" w:ascii="宋体" w:hAnsi="宋体" w:cs="宋体"/>
          <w:szCs w:val="21"/>
        </w:rPr>
        <w:t>。如招标文件对其另有规定的，从其规定。</w:t>
      </w:r>
    </w:p>
    <w:p>
      <w:pPr>
        <w:spacing w:line="360" w:lineRule="auto"/>
        <w:ind w:firstLine="422" w:firstLineChars="200"/>
        <w:rPr>
          <w:rFonts w:hint="eastAsia" w:ascii="宋体" w:hAnsi="宋体" w:cs="宋体"/>
          <w:b/>
          <w:szCs w:val="21"/>
        </w:rPr>
      </w:pPr>
      <w:r>
        <w:rPr>
          <w:rFonts w:hint="eastAsia" w:ascii="宋体" w:hAnsi="宋体" w:cs="宋体"/>
          <w:b/>
          <w:szCs w:val="21"/>
        </w:rPr>
        <w:t>第二条　质量保证</w:t>
      </w:r>
    </w:p>
    <w:p>
      <w:pPr>
        <w:snapToGrid w:val="0"/>
        <w:spacing w:line="360" w:lineRule="auto"/>
        <w:ind w:firstLine="420" w:firstLineChars="200"/>
        <w:rPr>
          <w:rFonts w:hint="eastAsia" w:ascii="宋体" w:hAnsi="宋体" w:cs="宋体"/>
          <w:szCs w:val="21"/>
        </w:rPr>
      </w:pPr>
      <w:r>
        <w:rPr>
          <w:rFonts w:hint="eastAsia" w:ascii="宋体" w:hAnsi="宋体" w:cs="宋体"/>
          <w:szCs w:val="21"/>
        </w:rPr>
        <w:t>乙方所提供的服务及服务内容必须与投标文件承诺相一致，有国家强制性标准的，还必须符合国家强制性标准的规定，没有国家强制性标准但有其他强制性标准的，必须符合其他强制性标准的规定及甲方使用要求。</w:t>
      </w:r>
    </w:p>
    <w:p>
      <w:pPr>
        <w:spacing w:line="360" w:lineRule="auto"/>
        <w:ind w:firstLine="422" w:firstLineChars="200"/>
        <w:rPr>
          <w:rFonts w:hint="eastAsia" w:ascii="宋体" w:hAnsi="宋体" w:cs="宋体"/>
          <w:szCs w:val="21"/>
        </w:rPr>
      </w:pPr>
      <w:r>
        <w:rPr>
          <w:rFonts w:hint="eastAsia" w:ascii="宋体" w:hAnsi="宋体" w:cs="宋体"/>
          <w:b/>
          <w:szCs w:val="21"/>
        </w:rPr>
        <w:t>第三条　权利保证</w:t>
      </w:r>
    </w:p>
    <w:p>
      <w:pPr>
        <w:snapToGrid w:val="0"/>
        <w:spacing w:line="360" w:lineRule="auto"/>
        <w:ind w:firstLine="420" w:firstLineChars="200"/>
        <w:rPr>
          <w:rFonts w:hint="eastAsia"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hint="eastAsia"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hint="eastAsia" w:ascii="宋体" w:hAnsi="宋体" w:cs="宋体"/>
          <w:szCs w:val="21"/>
        </w:rPr>
      </w:pPr>
      <w:r>
        <w:rPr>
          <w:rFonts w:hint="eastAsia" w:ascii="宋体" w:hAnsi="宋体" w:cs="宋体"/>
          <w:b/>
          <w:szCs w:val="21"/>
        </w:rPr>
        <w:t>第四条　交付和验收</w:t>
      </w:r>
    </w:p>
    <w:p>
      <w:pPr>
        <w:spacing w:line="360" w:lineRule="auto"/>
        <w:ind w:firstLine="420" w:firstLineChars="200"/>
        <w:rPr>
          <w:rFonts w:hint="eastAsia" w:ascii="宋体" w:hAnsi="宋体" w:cs="宋体"/>
          <w:szCs w:val="21"/>
        </w:rPr>
      </w:pPr>
      <w:r>
        <w:rPr>
          <w:rFonts w:hint="eastAsia" w:ascii="宋体" w:hAnsi="宋体" w:cs="宋体"/>
          <w:szCs w:val="21"/>
        </w:rPr>
        <w:t>1、服务期限：</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起至</w:t>
      </w:r>
      <w:r>
        <w:rPr>
          <w:rFonts w:ascii="宋体" w:hAnsi="宋体" w:cs="宋体"/>
          <w:szCs w:val="21"/>
          <w:u w:val="single"/>
        </w:rPr>
        <w:t xml:space="preserve">              </w:t>
      </w:r>
      <w:r>
        <w:rPr>
          <w:rFonts w:hint="eastAsia" w:ascii="宋体" w:hAnsi="宋体" w:cs="宋体"/>
          <w:szCs w:val="21"/>
        </w:rPr>
        <w:t>，服务地点：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rPr>
          <w:rFonts w:hint="eastAsia" w:ascii="宋体" w:hAnsi="宋体" w:cs="宋体"/>
          <w:szCs w:val="21"/>
        </w:rPr>
      </w:pPr>
      <w:r>
        <w:rPr>
          <w:rFonts w:hint="eastAsia" w:ascii="宋体" w:hAnsi="宋体" w:cs="宋体"/>
          <w:szCs w:val="21"/>
        </w:rPr>
        <w:t>2、乙方应按投标文件的承诺向甲方提供相应的服务，并提供所服务内容的相关技术资料。</w:t>
      </w:r>
    </w:p>
    <w:p>
      <w:pPr>
        <w:spacing w:line="360" w:lineRule="auto"/>
        <w:ind w:firstLine="420" w:firstLineChars="200"/>
        <w:rPr>
          <w:rFonts w:hint="eastAsia" w:ascii="宋体" w:hAnsi="宋体" w:cs="宋体"/>
          <w:szCs w:val="21"/>
        </w:rPr>
      </w:pPr>
      <w:r>
        <w:rPr>
          <w:rFonts w:hint="eastAsia" w:ascii="宋体" w:hAnsi="宋体" w:cs="宋体"/>
          <w:szCs w:val="21"/>
        </w:rPr>
        <w:t>3、乙方提供不符合投标文件和本合同规定的服务成果，甲方有权拒绝接受。</w:t>
      </w:r>
    </w:p>
    <w:p>
      <w:pPr>
        <w:spacing w:line="360" w:lineRule="auto"/>
        <w:ind w:firstLine="420" w:firstLineChars="200"/>
        <w:rPr>
          <w:rFonts w:hint="eastAsia" w:ascii="宋体" w:hAnsi="宋体"/>
          <w:szCs w:val="21"/>
        </w:rPr>
      </w:pPr>
      <w:r>
        <w:rPr>
          <w:rFonts w:hint="eastAsia" w:ascii="宋体" w:hAnsi="宋体"/>
          <w:szCs w:val="21"/>
        </w:rPr>
        <w:t>4、乙方完成服务后应及时书面通知甲方进行验收，甲方应在收到通知后七个工作日内进行验收。验收合格后由甲乙双方签署验收单并加盖采购人公章，甲乙双方各执一份。</w:t>
      </w:r>
    </w:p>
    <w:p>
      <w:pPr>
        <w:spacing w:line="360" w:lineRule="auto"/>
        <w:ind w:firstLine="420" w:firstLineChars="200"/>
        <w:rPr>
          <w:rFonts w:hint="eastAsia" w:ascii="宋体" w:hAnsi="宋体"/>
          <w:szCs w:val="21"/>
        </w:rPr>
      </w:pPr>
      <w:r>
        <w:rPr>
          <w:rFonts w:hint="eastAsia" w:ascii="宋体" w:hAnsi="宋体" w:cs="宋体"/>
          <w:szCs w:val="21"/>
        </w:rPr>
        <w:t>5、甲乙双方应按照《</w:t>
      </w:r>
      <w:r>
        <w:rPr>
          <w:rFonts w:ascii="宋体" w:hAnsi="宋体" w:cs="宋体"/>
          <w:szCs w:val="21"/>
        </w:rPr>
        <w:t>广西壮族自治区政府采购项目履约验收管理办法</w:t>
      </w:r>
      <w:r>
        <w:rPr>
          <w:rFonts w:hint="eastAsia" w:ascii="宋体" w:hAnsi="宋体" w:cs="宋体"/>
          <w:szCs w:val="21"/>
        </w:rPr>
        <w:t>》、《</w:t>
      </w:r>
      <w:r>
        <w:rPr>
          <w:rFonts w:hint="eastAsia"/>
        </w:rPr>
        <w:t>广西</w:t>
      </w:r>
      <w:r>
        <w:t>壮族自治区公安厅信息化</w:t>
      </w:r>
      <w:r>
        <w:rPr>
          <w:rFonts w:hint="eastAsia"/>
        </w:rPr>
        <w:t>项目</w:t>
      </w:r>
      <w:r>
        <w:t>管理办法</w:t>
      </w:r>
      <w:r>
        <w:rPr>
          <w:rFonts w:hint="eastAsia" w:ascii="宋体" w:hAnsi="宋体" w:cs="宋体"/>
          <w:szCs w:val="21"/>
        </w:rPr>
        <w:t>》双方合同、投标文件验收。</w:t>
      </w:r>
    </w:p>
    <w:p>
      <w:pPr>
        <w:spacing w:line="360" w:lineRule="auto"/>
        <w:ind w:firstLine="420" w:firstLineChars="200"/>
        <w:rPr>
          <w:rFonts w:hint="eastAsia" w:ascii="宋体" w:hAnsi="宋体" w:cs="宋体"/>
          <w:szCs w:val="21"/>
        </w:rPr>
      </w:pPr>
      <w:r>
        <w:rPr>
          <w:rFonts w:hint="eastAsia" w:ascii="宋体" w:hAnsi="宋体" w:cs="宋体"/>
          <w:szCs w:val="21"/>
        </w:rPr>
        <w:t>6、甲方在初步验收或者最终验收过程中如发现乙方提供的服务成果不满足投标文件及本合同规定的，可暂缓向乙方付款，直到乙方及时完善并提交相应的服务成果且经甲方验收合格后，方可办理付款。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hint="eastAsia"/>
        </w:rPr>
      </w:pPr>
      <w:r>
        <w:rPr>
          <w:rFonts w:hint="eastAsia" w:ascii="宋体" w:hAnsi="宋体" w:cs="宋体"/>
          <w:szCs w:val="21"/>
        </w:rPr>
        <w:t>7、甲方验收时以书面形式提出异议的，乙方应自收到甲方书面异议后五个工作日内及时予以解决，否则甲方有权不出具服务验收合格单。</w:t>
      </w:r>
    </w:p>
    <w:p>
      <w:pPr>
        <w:spacing w:line="360" w:lineRule="auto"/>
        <w:ind w:firstLine="420" w:firstLineChars="200"/>
        <w:rPr>
          <w:rFonts w:hint="eastAsia" w:ascii="宋体" w:hAnsi="宋体" w:cs="宋体"/>
          <w:szCs w:val="21"/>
        </w:rPr>
      </w:pPr>
      <w:r>
        <w:rPr>
          <w:rFonts w:hint="eastAsia"/>
        </w:rPr>
        <w:t>8、若在签署最终验收文件后12周内，由于乙方的原因，该项目有一条及以上达不到本项目招标文件规定的技术及服务要求时，乙方应在4周内采取有效措施，使该项目完全达到规定的技术及服务要求，在此期间的一切费用由乙方承担，如在此期间内仍达不到规定的技术性及服务要求时，将按合同中相应条款执行</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第五条  服务及培训</w:t>
      </w:r>
    </w:p>
    <w:p>
      <w:pPr>
        <w:snapToGrid w:val="0"/>
        <w:spacing w:line="360" w:lineRule="auto"/>
        <w:ind w:firstLine="420" w:firstLineChars="200"/>
        <w:rPr>
          <w:rFonts w:hint="eastAsia" w:ascii="宋体" w:hAnsi="宋体" w:cs="宋体"/>
          <w:szCs w:val="21"/>
        </w:rPr>
      </w:pPr>
      <w:r>
        <w:rPr>
          <w:rFonts w:hint="eastAsia" w:ascii="宋体" w:hAnsi="宋体" w:cs="宋体"/>
          <w:szCs w:val="21"/>
        </w:rPr>
        <w:t>1、乙方应按照国家有关法律法规和本合同所附的《服务承诺》要求为甲方提供相应的服务。</w:t>
      </w:r>
    </w:p>
    <w:p>
      <w:pPr>
        <w:spacing w:line="360" w:lineRule="auto"/>
        <w:ind w:firstLine="420" w:firstLineChars="200"/>
        <w:rPr>
          <w:rFonts w:hint="eastAsia" w:ascii="宋体" w:hAnsi="宋体" w:cs="宋体"/>
          <w:szCs w:val="21"/>
        </w:rPr>
      </w:pPr>
      <w:r>
        <w:rPr>
          <w:rFonts w:hint="eastAsia" w:ascii="宋体" w:hAnsi="宋体" w:cs="宋体"/>
          <w:szCs w:val="21"/>
        </w:rPr>
        <w:t>2、甲方应提供必要测试条件（如场地、电源、水源等）。</w:t>
      </w:r>
    </w:p>
    <w:p>
      <w:pPr>
        <w:spacing w:line="360" w:lineRule="auto"/>
        <w:ind w:firstLine="420" w:firstLineChars="200"/>
        <w:rPr>
          <w:rFonts w:hint="eastAsia" w:ascii="宋体" w:hAnsi="宋体" w:cs="宋体"/>
          <w:szCs w:val="21"/>
        </w:rPr>
      </w:pPr>
      <w:r>
        <w:rPr>
          <w:rFonts w:hint="eastAsia" w:ascii="宋体" w:hAnsi="宋体" w:cs="宋体"/>
          <w:szCs w:val="21"/>
        </w:rPr>
        <w:t>3、乙方负责甲方有关人员的培训。培训时间、地点：</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pPr>
        <w:snapToGrid w:val="0"/>
        <w:spacing w:line="360" w:lineRule="auto"/>
        <w:ind w:firstLine="422" w:firstLineChars="200"/>
        <w:rPr>
          <w:rFonts w:hint="eastAsia" w:ascii="宋体" w:hAnsi="宋体" w:cs="宋体"/>
          <w:szCs w:val="21"/>
          <w:u w:val="single"/>
        </w:rPr>
      </w:pPr>
      <w:r>
        <w:rPr>
          <w:rFonts w:hint="eastAsia" w:ascii="宋体" w:hAnsi="宋体" w:cs="宋体"/>
          <w:b/>
          <w:szCs w:val="21"/>
        </w:rPr>
        <w:t>第六条　租费计算标准及付款方式</w:t>
      </w:r>
    </w:p>
    <w:p>
      <w:pPr>
        <w:spacing w:line="400" w:lineRule="atLeast"/>
        <w:ind w:firstLine="420" w:firstLineChars="200"/>
        <w:jc w:val="left"/>
        <w:rPr>
          <w:rFonts w:hint="eastAsia"/>
          <w:szCs w:val="21"/>
        </w:rPr>
      </w:pPr>
      <w:r>
        <w:rPr>
          <w:rFonts w:hint="eastAsia"/>
          <w:szCs w:val="21"/>
        </w:rPr>
        <w:t>1、租费计算标准：</w:t>
      </w:r>
    </w:p>
    <w:p>
      <w:pPr>
        <w:spacing w:line="400" w:lineRule="atLeast"/>
        <w:ind w:firstLine="420" w:firstLineChars="200"/>
        <w:jc w:val="left"/>
        <w:rPr>
          <w:rFonts w:hint="eastAsia"/>
          <w:szCs w:val="21"/>
        </w:rPr>
      </w:pPr>
      <w:r>
        <w:rPr>
          <w:rFonts w:hint="eastAsia"/>
          <w:szCs w:val="21"/>
        </w:rPr>
        <w:t>（1）机柜功率计算方式：要求通过动环系统提供每日机柜平均功率，机柜月平均功率按当月的每日机柜平均功率累加后除以当月天数。</w:t>
      </w:r>
    </w:p>
    <w:p>
      <w:pPr>
        <w:spacing w:line="400" w:lineRule="atLeast"/>
        <w:ind w:firstLine="420" w:firstLineChars="200"/>
        <w:jc w:val="left"/>
        <w:rPr>
          <w:szCs w:val="21"/>
        </w:rPr>
      </w:pPr>
      <w:r>
        <w:rPr>
          <w:rFonts w:hint="eastAsia"/>
          <w:szCs w:val="21"/>
        </w:rPr>
        <w:t>（2）机柜使用空间计算方式：按设备实际占用空间计算</w:t>
      </w:r>
    </w:p>
    <w:p>
      <w:pPr>
        <w:spacing w:line="400" w:lineRule="atLeast"/>
        <w:ind w:firstLine="420" w:firstLineChars="200"/>
        <w:jc w:val="left"/>
        <w:rPr>
          <w:rFonts w:hint="eastAsia"/>
          <w:szCs w:val="21"/>
        </w:rPr>
      </w:pPr>
      <w:r>
        <w:rPr>
          <w:rFonts w:hint="eastAsia"/>
          <w:szCs w:val="21"/>
        </w:rPr>
        <w:t>（3）机柜价格：3KW机柜（单个）/年租赁费33488元、8KW机柜（单个）/年租赁费</w:t>
      </w:r>
      <w:r>
        <w:rPr>
          <w:szCs w:val="21"/>
        </w:rPr>
        <w:t>69765</w:t>
      </w:r>
      <w:r>
        <w:rPr>
          <w:rFonts w:hint="eastAsia"/>
          <w:szCs w:val="21"/>
        </w:rPr>
        <w:t>元，单机柜日租费=单机柜年租赁费</w:t>
      </w:r>
      <w:r>
        <w:rPr>
          <w:rFonts w:hint="eastAsia" w:ascii="宋体" w:hAnsi="宋体"/>
          <w:bCs/>
          <w:szCs w:val="21"/>
        </w:rPr>
        <w:t>÷</w:t>
      </w:r>
      <w:r>
        <w:rPr>
          <w:rFonts w:hint="eastAsia"/>
          <w:szCs w:val="21"/>
        </w:rPr>
        <w:t>365，单月单个机柜=单机柜年租赁费</w:t>
      </w:r>
      <w:r>
        <w:rPr>
          <w:rFonts w:hint="eastAsia" w:ascii="宋体" w:hAnsi="宋体"/>
          <w:bCs/>
          <w:szCs w:val="21"/>
        </w:rPr>
        <w:t>÷</w:t>
      </w:r>
      <w:r>
        <w:rPr>
          <w:rFonts w:hint="eastAsia"/>
          <w:szCs w:val="21"/>
        </w:rPr>
        <w:t>12，最终价格以中标价格为准进行计算。</w:t>
      </w:r>
    </w:p>
    <w:p>
      <w:pPr>
        <w:spacing w:line="400" w:lineRule="atLeast"/>
        <w:ind w:firstLine="420" w:firstLineChars="200"/>
        <w:jc w:val="left"/>
        <w:rPr>
          <w:rFonts w:hint="eastAsia"/>
          <w:szCs w:val="21"/>
        </w:rPr>
      </w:pPr>
      <w:r>
        <w:rPr>
          <w:rFonts w:hint="eastAsia"/>
          <w:szCs w:val="21"/>
        </w:rPr>
        <w:t>（</w:t>
      </w:r>
      <w:r>
        <w:rPr>
          <w:szCs w:val="21"/>
        </w:rPr>
        <w:t>4</w:t>
      </w:r>
      <w:r>
        <w:rPr>
          <w:rFonts w:hint="eastAsia"/>
          <w:szCs w:val="21"/>
        </w:rPr>
        <w:t>）机柜费用计算方式：</w:t>
      </w:r>
    </w:p>
    <w:p>
      <w:pPr>
        <w:spacing w:line="400" w:lineRule="atLeast"/>
        <w:ind w:firstLine="420" w:firstLineChars="200"/>
        <w:jc w:val="left"/>
        <w:rPr>
          <w:rFonts w:hint="eastAsia"/>
          <w:szCs w:val="21"/>
        </w:rPr>
      </w:pPr>
      <w:r>
        <w:rPr>
          <w:rFonts w:hint="eastAsia"/>
          <w:szCs w:val="21"/>
        </w:rPr>
        <w:t>①实际租赁费用根据采购人实际启用机柜数量、机柜使用时长（按月）和中标人提供的单月单个机柜（按3KW、8KW不同功率分别计价）的报价计算租赁费用，计算方式如下：</w:t>
      </w:r>
    </w:p>
    <w:p>
      <w:pPr>
        <w:spacing w:line="400" w:lineRule="atLeast"/>
        <w:jc w:val="left"/>
        <w:rPr>
          <w:rFonts w:hint="eastAsia"/>
          <w:szCs w:val="21"/>
        </w:rPr>
      </w:pPr>
      <w:r>
        <w:rPr>
          <w:rFonts w:hint="eastAsia"/>
          <w:szCs w:val="21"/>
        </w:rPr>
        <w:t>实际租费=所有启用机柜（采购人上架设备并上电使用的机柜）租赁费用的总和；</w:t>
      </w:r>
    </w:p>
    <w:p>
      <w:pPr>
        <w:spacing w:line="400" w:lineRule="atLeast"/>
        <w:jc w:val="left"/>
        <w:rPr>
          <w:rFonts w:hint="eastAsia"/>
          <w:szCs w:val="21"/>
        </w:rPr>
      </w:pPr>
      <w:r>
        <w:rPr>
          <w:rFonts w:hint="eastAsia"/>
          <w:szCs w:val="21"/>
        </w:rPr>
        <w:t>单个启用机柜的租赁费用=机柜使用时长（按月）*单月单个机柜报价。</w:t>
      </w:r>
    </w:p>
    <w:p>
      <w:pPr>
        <w:spacing w:line="400" w:lineRule="atLeast"/>
        <w:ind w:firstLine="420" w:firstLineChars="200"/>
        <w:jc w:val="left"/>
        <w:rPr>
          <w:rFonts w:hint="eastAsia"/>
          <w:szCs w:val="21"/>
        </w:rPr>
      </w:pPr>
      <w:r>
        <w:rPr>
          <w:rFonts w:hint="eastAsia"/>
          <w:szCs w:val="21"/>
        </w:rPr>
        <w:t>②单个启用机柜实际使用空间不足一半且机柜月平均功率不足一半时，当月按0.5个启用机柜的租赁费用计算。</w:t>
      </w:r>
    </w:p>
    <w:p>
      <w:pPr>
        <w:spacing w:line="400" w:lineRule="atLeast"/>
        <w:ind w:firstLine="420" w:firstLineChars="200"/>
        <w:jc w:val="left"/>
        <w:rPr>
          <w:rFonts w:hint="eastAsia"/>
          <w:szCs w:val="21"/>
        </w:rPr>
      </w:pPr>
      <w:r>
        <w:rPr>
          <w:rFonts w:hint="eastAsia"/>
          <w:szCs w:val="21"/>
        </w:rPr>
        <w:t>③机柜使用时长按自然月统计：不足当月的启用机柜，按单机柜日租费计算。</w:t>
      </w:r>
    </w:p>
    <w:p>
      <w:pPr>
        <w:numPr>
          <w:ilvl w:val="0"/>
          <w:numId w:val="9"/>
        </w:numPr>
        <w:spacing w:line="380" w:lineRule="exact"/>
        <w:ind w:firstLine="420" w:firstLineChars="200"/>
        <w:jc w:val="left"/>
        <w:rPr>
          <w:rFonts w:hint="eastAsia"/>
          <w:szCs w:val="21"/>
        </w:rPr>
      </w:pPr>
      <w:r>
        <w:rPr>
          <w:rFonts w:hint="eastAsia"/>
          <w:szCs w:val="21"/>
        </w:rPr>
        <w:t xml:space="preserve">机柜启用时间按机柜实际上电时间为准        </w:t>
      </w:r>
    </w:p>
    <w:p>
      <w:pPr>
        <w:spacing w:line="380" w:lineRule="exact"/>
        <w:ind w:firstLine="420" w:firstLineChars="200"/>
        <w:jc w:val="left"/>
        <w:rPr>
          <w:rFonts w:hint="eastAsia"/>
          <w:szCs w:val="21"/>
        </w:rPr>
      </w:pPr>
      <w:r>
        <w:rPr>
          <w:rFonts w:hint="eastAsia"/>
          <w:szCs w:val="21"/>
        </w:rPr>
        <w:t>2、付款方式：</w:t>
      </w:r>
    </w:p>
    <w:p>
      <w:pPr>
        <w:spacing w:line="400" w:lineRule="atLeast"/>
        <w:ind w:firstLine="420" w:firstLineChars="200"/>
        <w:jc w:val="left"/>
        <w:rPr>
          <w:rFonts w:hint="eastAsia"/>
          <w:szCs w:val="21"/>
        </w:rPr>
      </w:pPr>
      <w:r>
        <w:rPr>
          <w:rFonts w:hint="eastAsia"/>
          <w:szCs w:val="21"/>
        </w:rPr>
        <w:t>（1）</w:t>
      </w:r>
      <w:r>
        <w:t>在合同签订后</w:t>
      </w:r>
      <w:r>
        <w:rPr>
          <w:rFonts w:hint="eastAsia"/>
        </w:rPr>
        <w:t>乙方</w:t>
      </w:r>
      <w:r>
        <w:t>缴纳履约保证金且机房机柜正式投入使用后，</w:t>
      </w:r>
      <w:r>
        <w:rPr>
          <w:rFonts w:hint="eastAsia"/>
        </w:rPr>
        <w:t>甲方</w:t>
      </w:r>
      <w:r>
        <w:t>支付14%合同款；</w:t>
      </w:r>
      <w:r>
        <w:rPr>
          <w:rFonts w:hint="eastAsia"/>
        </w:rPr>
        <w:t>乙方</w:t>
      </w:r>
      <w:r>
        <w:t>提供机房机柜正式投入使用之日起至2024年7月的机房机柜服务运行报告且经</w:t>
      </w:r>
      <w:r>
        <w:rPr>
          <w:rFonts w:hint="eastAsia"/>
        </w:rPr>
        <w:t>甲方</w:t>
      </w:r>
      <w:r>
        <w:t>签字确认后</w:t>
      </w:r>
      <w:r>
        <w:rPr>
          <w:rFonts w:hint="eastAsia"/>
        </w:rPr>
        <w:t>甲方</w:t>
      </w:r>
      <w:r>
        <w:t>支付12%合同款；</w:t>
      </w:r>
      <w:r>
        <w:rPr>
          <w:rFonts w:hint="eastAsia"/>
        </w:rPr>
        <w:t>乙方</w:t>
      </w:r>
      <w:r>
        <w:t>提供2024年8月至2025年1月机房机柜服务运行报告且经</w:t>
      </w:r>
      <w:r>
        <w:rPr>
          <w:rFonts w:hint="eastAsia"/>
        </w:rPr>
        <w:t>甲方</w:t>
      </w:r>
      <w:r>
        <w:t>签字确认后</w:t>
      </w:r>
      <w:r>
        <w:rPr>
          <w:rFonts w:hint="eastAsia"/>
        </w:rPr>
        <w:t>甲方</w:t>
      </w:r>
      <w:r>
        <w:t>支付32%合同款；</w:t>
      </w:r>
      <w:r>
        <w:rPr>
          <w:rFonts w:hint="eastAsia"/>
        </w:rPr>
        <w:t>乙方</w:t>
      </w:r>
      <w:r>
        <w:t>提供2025年2月至2026年1月机房机柜服务运行报告且经</w:t>
      </w:r>
      <w:r>
        <w:rPr>
          <w:rFonts w:hint="eastAsia"/>
        </w:rPr>
        <w:t>甲方</w:t>
      </w:r>
      <w:r>
        <w:t>签字确认后</w:t>
      </w:r>
      <w:r>
        <w:rPr>
          <w:rFonts w:hint="eastAsia"/>
        </w:rPr>
        <w:t>甲方</w:t>
      </w:r>
      <w:r>
        <w:t>支付32%合同款；项目验收合格后</w:t>
      </w:r>
      <w:r>
        <w:rPr>
          <w:rFonts w:hint="eastAsia"/>
        </w:rPr>
        <w:t>甲方</w:t>
      </w:r>
      <w:r>
        <w:t>支付10%合同款。</w:t>
      </w:r>
    </w:p>
    <w:p>
      <w:pPr>
        <w:spacing w:line="400" w:lineRule="atLeast"/>
        <w:ind w:firstLine="420" w:firstLineChars="200"/>
        <w:jc w:val="left"/>
        <w:rPr>
          <w:rFonts w:hint="eastAsia"/>
          <w:szCs w:val="21"/>
        </w:rPr>
      </w:pPr>
      <w:r>
        <w:rPr>
          <w:rFonts w:hint="eastAsia"/>
          <w:szCs w:val="21"/>
        </w:rPr>
        <w:t>（2）验收结算：合同到期后，由采购人组织验收，根据租费计算标准结算实际机柜租赁费用。如实际机柜租赁费用未超出预付款，则将未超出部分的费用根据实际启用机柜数量和租费计算标准结算延长租赁服务时长。</w:t>
      </w:r>
    </w:p>
    <w:p>
      <w:pPr>
        <w:spacing w:line="400" w:lineRule="atLeast"/>
        <w:ind w:firstLine="420" w:firstLineChars="200"/>
        <w:jc w:val="left"/>
        <w:rPr>
          <w:rFonts w:hint="eastAsia"/>
          <w:szCs w:val="21"/>
        </w:rPr>
      </w:pPr>
      <w:r>
        <w:rPr>
          <w:rFonts w:hint="eastAsia"/>
          <w:szCs w:val="21"/>
        </w:rPr>
        <w:t>（3）中标人按照合同要求做好维护工作至合同期满并经验收合格后，采购人5个工作日内将履约保证金全额退回（不计利息）；中标人每次收到付款后5个工作日内向采购人开具发票。</w:t>
      </w:r>
    </w:p>
    <w:p>
      <w:pPr>
        <w:snapToGrid w:val="0"/>
        <w:spacing w:line="380" w:lineRule="exact"/>
        <w:ind w:firstLine="420" w:firstLineChars="200"/>
        <w:rPr>
          <w:rFonts w:hint="eastAsia"/>
          <w:szCs w:val="21"/>
        </w:rPr>
      </w:pPr>
      <w:r>
        <w:rPr>
          <w:rFonts w:hint="eastAsia"/>
          <w:szCs w:val="21"/>
        </w:rPr>
        <w:t>（4）支付金额租费支付根据实际机柜租赁数量及服务评价指标进行结算。</w:t>
      </w:r>
    </w:p>
    <w:p>
      <w:pPr>
        <w:snapToGrid w:val="0"/>
        <w:spacing w:line="380" w:lineRule="exact"/>
        <w:ind w:firstLine="422" w:firstLineChars="200"/>
        <w:rPr>
          <w:rFonts w:hint="eastAsia" w:ascii="宋体" w:hAnsi="宋体" w:cs="宋体"/>
          <w:b/>
          <w:szCs w:val="21"/>
        </w:rPr>
      </w:pPr>
      <w:r>
        <w:rPr>
          <w:rFonts w:hint="eastAsia" w:ascii="宋体" w:hAnsi="宋体" w:cs="宋体"/>
          <w:b/>
          <w:szCs w:val="21"/>
        </w:rPr>
        <w:t>第七条　履约保证金</w:t>
      </w:r>
    </w:p>
    <w:p>
      <w:pPr>
        <w:pStyle w:val="8"/>
        <w:spacing w:line="380" w:lineRule="exact"/>
        <w:ind w:firstLine="420" w:firstLineChars="200"/>
        <w:rPr>
          <w:rFonts w:hint="eastAsia" w:ascii="宋体" w:hAnsi="宋体"/>
          <w:szCs w:val="21"/>
        </w:rPr>
      </w:pPr>
      <w:r>
        <w:rPr>
          <w:rFonts w:hint="eastAsia" w:ascii="宋体" w:hAnsi="宋体"/>
          <w:szCs w:val="21"/>
        </w:rPr>
        <w:t>履约保证金金额：按合同金额的5%</w:t>
      </w:r>
    </w:p>
    <w:p>
      <w:pPr>
        <w:autoSpaceDE w:val="0"/>
        <w:autoSpaceDN w:val="0"/>
        <w:snapToGrid w:val="0"/>
        <w:spacing w:line="380" w:lineRule="exact"/>
        <w:ind w:firstLine="420" w:firstLineChars="200"/>
        <w:textAlignment w:val="bottom"/>
        <w:rPr>
          <w:rFonts w:hint="eastAsia" w:ascii="宋体" w:hAnsi="宋体"/>
          <w:szCs w:val="21"/>
        </w:rPr>
      </w:pPr>
      <w:r>
        <w:rPr>
          <w:rFonts w:hint="eastAsia" w:ascii="宋体" w:hAnsi="宋体"/>
          <w:szCs w:val="21"/>
        </w:rPr>
        <w:t>履约保证金递交方式：银行转账、支票、汇票、本票或者金融、担保机构出具的保函等非现金方式</w:t>
      </w:r>
    </w:p>
    <w:p>
      <w:pPr>
        <w:autoSpaceDE w:val="0"/>
        <w:autoSpaceDN w:val="0"/>
        <w:snapToGrid w:val="0"/>
        <w:spacing w:line="380" w:lineRule="exact"/>
        <w:ind w:firstLine="420" w:firstLineChars="200"/>
        <w:textAlignment w:val="bottom"/>
        <w:rPr>
          <w:rFonts w:hint="eastAsia" w:ascii="宋体" w:hAnsi="宋体"/>
          <w:szCs w:val="21"/>
          <w:u w:val="single"/>
        </w:rPr>
      </w:pPr>
      <w:r>
        <w:rPr>
          <w:rFonts w:hint="eastAsia" w:ascii="宋体" w:hAnsi="宋体"/>
          <w:szCs w:val="21"/>
        </w:rPr>
        <w:t>履约保证金退付方式、时间及条件：</w:t>
      </w:r>
      <w:r>
        <w:rPr>
          <w:rFonts w:hint="eastAsia" w:ascii="宋体" w:hAnsi="宋体"/>
          <w:szCs w:val="21"/>
          <w:u w:val="single"/>
        </w:rPr>
        <w:t>项目验收合格后自动转换成质保金，服务期内项目若无质量问题，服务期结束后无息返还。</w:t>
      </w:r>
    </w:p>
    <w:p>
      <w:pPr>
        <w:autoSpaceDE w:val="0"/>
        <w:autoSpaceDN w:val="0"/>
        <w:snapToGrid w:val="0"/>
        <w:spacing w:line="380" w:lineRule="exact"/>
        <w:textAlignment w:val="bottom"/>
        <w:rPr>
          <w:rFonts w:hint="eastAsia" w:ascii="宋体" w:hAnsi="宋体"/>
          <w:szCs w:val="21"/>
        </w:rPr>
      </w:pPr>
      <w:r>
        <w:rPr>
          <w:rFonts w:hint="eastAsia" w:ascii="宋体" w:hAnsi="宋体"/>
          <w:szCs w:val="21"/>
        </w:rPr>
        <w:t>履约保证金指定账户：</w:t>
      </w:r>
    </w:p>
    <w:p>
      <w:pPr>
        <w:autoSpaceDE w:val="0"/>
        <w:autoSpaceDN w:val="0"/>
        <w:snapToGrid w:val="0"/>
        <w:spacing w:line="380" w:lineRule="exact"/>
        <w:ind w:firstLine="420" w:firstLineChars="200"/>
        <w:textAlignment w:val="bottom"/>
        <w:rPr>
          <w:rFonts w:ascii="宋体" w:hAnsi="宋体"/>
          <w:szCs w:val="21"/>
          <w:u w:val="single"/>
        </w:rPr>
      </w:pPr>
      <w:r>
        <w:rPr>
          <w:rFonts w:hint="eastAsia" w:ascii="宋体" w:hAnsi="宋体"/>
          <w:szCs w:val="21"/>
        </w:rPr>
        <w:t>开户名称：</w:t>
      </w:r>
      <w:r>
        <w:rPr>
          <w:rFonts w:hint="eastAsia" w:ascii="宋体" w:hAnsi="宋体"/>
          <w:szCs w:val="21"/>
          <w:u w:val="single"/>
        </w:rPr>
        <w:t xml:space="preserve">                       </w:t>
      </w:r>
    </w:p>
    <w:p>
      <w:pPr>
        <w:autoSpaceDE w:val="0"/>
        <w:autoSpaceDN w:val="0"/>
        <w:snapToGrid w:val="0"/>
        <w:spacing w:line="380" w:lineRule="exact"/>
        <w:ind w:firstLine="420" w:firstLineChars="200"/>
        <w:textAlignment w:val="bottom"/>
        <w:rPr>
          <w:rFonts w:ascii="宋体" w:hAnsi="宋体"/>
          <w:szCs w:val="21"/>
        </w:rPr>
      </w:pPr>
      <w:r>
        <w:rPr>
          <w:rFonts w:hint="eastAsia" w:ascii="宋体" w:hAnsi="宋体"/>
          <w:szCs w:val="21"/>
        </w:rPr>
        <w:t>开户银行：</w:t>
      </w:r>
      <w:r>
        <w:rPr>
          <w:rFonts w:hint="eastAsia" w:ascii="宋体" w:hAnsi="宋体" w:cs="Arial"/>
          <w:szCs w:val="21"/>
          <w:u w:val="single"/>
        </w:rPr>
        <w:t xml:space="preserve">      </w:t>
      </w:r>
      <w:r>
        <w:rPr>
          <w:rFonts w:hint="eastAsia" w:ascii="宋体" w:hAnsi="宋体"/>
          <w:szCs w:val="21"/>
          <w:u w:val="single"/>
        </w:rPr>
        <w:t xml:space="preserve">  </w:t>
      </w:r>
      <w:r>
        <w:rPr>
          <w:rFonts w:hint="eastAsia" w:ascii="宋体" w:hAnsi="宋体" w:cs="Arial"/>
          <w:szCs w:val="21"/>
          <w:u w:val="single"/>
        </w:rPr>
        <w:t xml:space="preserve">               </w:t>
      </w:r>
    </w:p>
    <w:p>
      <w:pPr>
        <w:autoSpaceDE w:val="0"/>
        <w:autoSpaceDN w:val="0"/>
        <w:snapToGrid w:val="0"/>
        <w:spacing w:line="380" w:lineRule="exact"/>
        <w:ind w:firstLine="420" w:firstLineChars="200"/>
        <w:textAlignment w:val="bottom"/>
        <w:rPr>
          <w:rFonts w:ascii="宋体" w:hAnsi="宋体"/>
          <w:szCs w:val="21"/>
        </w:rPr>
      </w:pPr>
      <w:r>
        <w:rPr>
          <w:rFonts w:hint="eastAsia" w:ascii="宋体" w:hAnsi="宋体"/>
          <w:szCs w:val="21"/>
        </w:rPr>
        <w:t>银行账号：</w:t>
      </w:r>
      <w:r>
        <w:rPr>
          <w:rFonts w:hint="eastAsia" w:ascii="宋体" w:hAnsi="宋体" w:cs="Arial"/>
          <w:szCs w:val="21"/>
          <w:u w:val="single"/>
        </w:rPr>
        <w:t xml:space="preserve">      </w:t>
      </w:r>
      <w:r>
        <w:rPr>
          <w:rFonts w:hint="eastAsia" w:ascii="宋体" w:hAnsi="宋体"/>
          <w:szCs w:val="21"/>
          <w:u w:val="single"/>
        </w:rPr>
        <w:t xml:space="preserve">  </w:t>
      </w:r>
      <w:r>
        <w:rPr>
          <w:rFonts w:hint="eastAsia" w:ascii="宋体" w:hAnsi="宋体" w:cs="Arial"/>
          <w:szCs w:val="21"/>
          <w:u w:val="single"/>
        </w:rPr>
        <w:t xml:space="preserve">               </w:t>
      </w:r>
    </w:p>
    <w:p>
      <w:pPr>
        <w:spacing w:line="360" w:lineRule="auto"/>
        <w:ind w:firstLine="420" w:firstLineChars="200"/>
        <w:rPr>
          <w:rFonts w:hint="eastAsia" w:ascii="宋体" w:hAnsi="宋体" w:cs="宋体"/>
          <w:szCs w:val="21"/>
        </w:rPr>
      </w:pPr>
    </w:p>
    <w:p>
      <w:pPr>
        <w:spacing w:line="360" w:lineRule="auto"/>
        <w:ind w:firstLine="422" w:firstLineChars="200"/>
        <w:rPr>
          <w:rFonts w:hint="eastAsia" w:ascii="宋体" w:hAnsi="宋体" w:cs="宋体"/>
          <w:b/>
          <w:szCs w:val="21"/>
        </w:rPr>
      </w:pPr>
      <w:r>
        <w:rPr>
          <w:rFonts w:hint="eastAsia" w:ascii="宋体" w:hAnsi="宋体" w:cs="宋体"/>
          <w:b/>
          <w:szCs w:val="21"/>
        </w:rPr>
        <w:t>第八条  税费</w:t>
      </w:r>
    </w:p>
    <w:p>
      <w:pPr>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pPr>
        <w:spacing w:line="360" w:lineRule="auto"/>
        <w:ind w:firstLine="422" w:firstLineChars="200"/>
        <w:rPr>
          <w:rFonts w:hint="eastAsia" w:ascii="宋体" w:hAnsi="宋体" w:cs="宋体"/>
          <w:b/>
          <w:szCs w:val="21"/>
        </w:rPr>
      </w:pPr>
      <w:r>
        <w:rPr>
          <w:rFonts w:hint="eastAsia" w:ascii="宋体" w:hAnsi="宋体" w:cs="宋体"/>
          <w:b/>
          <w:szCs w:val="21"/>
        </w:rPr>
        <w:t>第九条　违约责任</w:t>
      </w:r>
    </w:p>
    <w:p>
      <w:pPr>
        <w:snapToGrid w:val="0"/>
        <w:spacing w:line="360" w:lineRule="auto"/>
        <w:ind w:firstLine="420" w:firstLineChars="200"/>
        <w:rPr>
          <w:rFonts w:hint="eastAsia" w:ascii="宋体" w:hAnsi="宋体" w:cs="宋体"/>
          <w:szCs w:val="21"/>
        </w:rPr>
      </w:pPr>
      <w:r>
        <w:rPr>
          <w:rFonts w:hint="eastAsia" w:ascii="宋体" w:hAnsi="宋体"/>
          <w:szCs w:val="21"/>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szCs w:val="21"/>
        </w:rPr>
        <w:t xml:space="preserve">                                  </w:t>
      </w:r>
    </w:p>
    <w:p>
      <w:pPr>
        <w:snapToGrid w:val="0"/>
        <w:spacing w:line="360" w:lineRule="auto"/>
        <w:ind w:firstLine="420" w:firstLineChars="200"/>
        <w:rPr>
          <w:rFonts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pPr>
        <w:snapToGrid w:val="0"/>
        <w:spacing w:line="360" w:lineRule="auto"/>
        <w:ind w:firstLine="420" w:firstLineChars="200"/>
        <w:rPr>
          <w:rFonts w:ascii="宋体" w:hAnsi="宋体" w:cs="宋体"/>
          <w:szCs w:val="21"/>
        </w:rPr>
      </w:pPr>
      <w:r>
        <w:rPr>
          <w:rFonts w:hint="eastAsia" w:ascii="宋体" w:hAnsi="宋体" w:cs="宋体"/>
          <w:szCs w:val="21"/>
        </w:rPr>
        <w:t>3、如乙方怠于或拒绝提供服务的，甲方可自行聘请第三方提供相应的服务，由此产生的费用由乙方承担。</w:t>
      </w:r>
    </w:p>
    <w:p>
      <w:pPr>
        <w:snapToGrid w:val="0"/>
        <w:spacing w:line="360" w:lineRule="auto"/>
        <w:ind w:firstLine="420" w:firstLineChars="200"/>
        <w:rPr>
          <w:rFonts w:hint="eastAsia" w:ascii="宋体" w:hAnsi="宋体" w:cs="宋体"/>
          <w:szCs w:val="21"/>
        </w:rPr>
      </w:pPr>
      <w:r>
        <w:rPr>
          <w:rFonts w:hint="eastAsia" w:ascii="宋体" w:hAnsi="宋体" w:cs="宋体"/>
          <w:szCs w:val="21"/>
        </w:rPr>
        <w:t>4、若乙方给甲方造成损失或对本协议约定的服务造成影响的，甲方有权解除合同，合同金额没有支付的，不再支付；已经支付的，甲方有权追回并要求乙方应按合同金额10%承担违约金。”</w:t>
      </w:r>
    </w:p>
    <w:p>
      <w:pPr>
        <w:snapToGrid w:val="0"/>
        <w:spacing w:line="360" w:lineRule="auto"/>
        <w:ind w:firstLine="420" w:firstLineChars="200"/>
        <w:rPr>
          <w:rFonts w:hint="eastAsia" w:ascii="宋体" w:hAnsi="宋体" w:cs="宋体"/>
          <w:szCs w:val="21"/>
        </w:rPr>
      </w:pPr>
      <w:r>
        <w:rPr>
          <w:rFonts w:ascii="宋体" w:hAnsi="宋体"/>
          <w:szCs w:val="21"/>
        </w:rPr>
        <w:t>5</w:t>
      </w:r>
      <w:r>
        <w:rPr>
          <w:rFonts w:hint="eastAsia" w:ascii="宋体" w:hAnsi="宋体"/>
          <w:szCs w:val="21"/>
        </w:rPr>
        <w:t>、甲方延期付款的，每天向乙方偿付延期款额3‰滞纳金，但滞纳金累计不得超过延期款额5%。</w:t>
      </w:r>
    </w:p>
    <w:p>
      <w:pPr>
        <w:spacing w:line="360" w:lineRule="auto"/>
        <w:ind w:firstLine="422" w:firstLineChars="200"/>
        <w:rPr>
          <w:rFonts w:hint="eastAsia" w:ascii="宋体" w:hAnsi="宋体" w:cs="宋体"/>
          <w:b/>
          <w:szCs w:val="21"/>
        </w:rPr>
      </w:pPr>
      <w:r>
        <w:rPr>
          <w:rFonts w:hint="eastAsia" w:ascii="宋体" w:hAnsi="宋体" w:cs="宋体"/>
          <w:b/>
          <w:szCs w:val="21"/>
        </w:rPr>
        <w:t>第十条  不可抗力事件处理</w:t>
      </w:r>
    </w:p>
    <w:p>
      <w:pPr>
        <w:spacing w:line="360" w:lineRule="auto"/>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1、在合同有效期内，任何一方因不可抗力事件导致不能履行合同，则合同履行期可延长，其延长期由双方另行协商确定。</w:t>
      </w:r>
    </w:p>
    <w:p>
      <w:pPr>
        <w:spacing w:line="360" w:lineRule="auto"/>
        <w:ind w:firstLine="420" w:firstLineChars="200"/>
        <w:rPr>
          <w:rFonts w:hint="eastAsia" w:ascii="宋体" w:hAnsi="宋体" w:cs="宋体"/>
          <w:szCs w:val="21"/>
        </w:rPr>
      </w:pPr>
      <w:r>
        <w:rPr>
          <w:rFonts w:hint="eastAsia" w:ascii="宋体" w:hAnsi="宋体" w:cs="宋体"/>
          <w:szCs w:val="21"/>
        </w:rPr>
        <w:t>2、不可抗力事件发生后，应立即通知对方，并寄送有关权威机构出具的证明。</w:t>
      </w:r>
    </w:p>
    <w:p>
      <w:pPr>
        <w:spacing w:line="360" w:lineRule="auto"/>
        <w:ind w:firstLine="420" w:firstLineChars="200"/>
        <w:rPr>
          <w:rFonts w:hint="eastAsia" w:ascii="宋体" w:hAnsi="宋体" w:cs="宋体"/>
          <w:szCs w:val="21"/>
        </w:rPr>
      </w:pPr>
      <w:r>
        <w:rPr>
          <w:rFonts w:hint="eastAsia" w:ascii="宋体" w:hAnsi="宋体" w:cs="宋体"/>
          <w:szCs w:val="21"/>
        </w:rPr>
        <w:t>3、不可抗力事件延续一百二十天以上，双方应通过友好协商，确定是否继续履行合同。</w:t>
      </w:r>
    </w:p>
    <w:p>
      <w:pPr>
        <w:spacing w:line="360" w:lineRule="auto"/>
        <w:ind w:firstLine="422" w:firstLineChars="200"/>
        <w:rPr>
          <w:rFonts w:hint="eastAsia" w:ascii="宋体" w:hAnsi="宋体" w:cs="宋体"/>
          <w:szCs w:val="21"/>
        </w:rPr>
      </w:pPr>
      <w:r>
        <w:rPr>
          <w:rFonts w:hint="eastAsia" w:ascii="宋体" w:hAnsi="宋体" w:cs="宋体"/>
          <w:b/>
          <w:szCs w:val="21"/>
        </w:rPr>
        <w:t>第十一条  合同争议解决</w:t>
      </w:r>
    </w:p>
    <w:p>
      <w:pPr>
        <w:snapToGrid w:val="0"/>
        <w:spacing w:line="360" w:lineRule="auto"/>
        <w:ind w:firstLine="420" w:firstLineChars="200"/>
        <w:rPr>
          <w:rFonts w:hint="eastAsia" w:ascii="宋体" w:hAnsi="宋体" w:cs="宋体"/>
          <w:szCs w:val="21"/>
        </w:rPr>
      </w:pPr>
      <w:r>
        <w:rPr>
          <w:rFonts w:hint="eastAsia" w:ascii="宋体" w:hAnsi="宋体" w:cs="宋体"/>
          <w:szCs w:val="21"/>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szCs w:val="21"/>
        </w:rPr>
      </w:pPr>
      <w:r>
        <w:rPr>
          <w:rFonts w:hint="eastAsia" w:ascii="宋体" w:hAnsi="宋体" w:cs="宋体"/>
          <w:szCs w:val="21"/>
        </w:rPr>
        <w:t>2、因履行本合同引起的或者与本合同有关的争议，甲乙双方应首先通过友好协商解决，如果协商不能解决，可向甲方所在地有管辖权人民法院提起诉讼。</w:t>
      </w:r>
    </w:p>
    <w:p>
      <w:pPr>
        <w:snapToGrid w:val="0"/>
        <w:spacing w:line="360" w:lineRule="auto"/>
        <w:ind w:firstLine="420" w:firstLineChars="200"/>
        <w:rPr>
          <w:rFonts w:hint="eastAsia" w:ascii="宋体" w:hAnsi="宋体" w:cs="宋体"/>
          <w:szCs w:val="21"/>
        </w:rPr>
      </w:pPr>
      <w:r>
        <w:rPr>
          <w:rFonts w:hint="eastAsia" w:ascii="宋体" w:hAnsi="宋体" w:cs="宋体"/>
          <w:szCs w:val="21"/>
        </w:rPr>
        <w:t>3、诉讼期间，本合同继续履行。</w:t>
      </w:r>
    </w:p>
    <w:p>
      <w:pPr>
        <w:spacing w:line="360" w:lineRule="auto"/>
        <w:ind w:firstLine="422" w:firstLineChars="200"/>
        <w:rPr>
          <w:rFonts w:hint="eastAsia" w:ascii="宋体" w:hAnsi="宋体" w:cs="宋体"/>
          <w:b/>
          <w:szCs w:val="21"/>
        </w:rPr>
      </w:pPr>
      <w:r>
        <w:rPr>
          <w:rFonts w:hint="eastAsia" w:ascii="宋体" w:hAnsi="宋体" w:cs="宋体"/>
          <w:b/>
          <w:szCs w:val="21"/>
        </w:rPr>
        <w:t>第十二条  合同生效及其它</w:t>
      </w:r>
    </w:p>
    <w:p>
      <w:pPr>
        <w:spacing w:line="360" w:lineRule="auto"/>
        <w:ind w:firstLine="420" w:firstLineChars="200"/>
        <w:rPr>
          <w:rFonts w:hint="eastAsia" w:ascii="宋体" w:hAnsi="宋体" w:cs="宋体"/>
          <w:szCs w:val="21"/>
        </w:rPr>
      </w:pPr>
      <w:r>
        <w:rPr>
          <w:rFonts w:hint="eastAsia" w:ascii="宋体" w:hAnsi="宋体" w:cs="宋体"/>
          <w:szCs w:val="21"/>
        </w:rPr>
        <w:t>1、合同经双方法定代表人或者授权代表签字并加盖单位公章后生效（委托代理人签字的需后附授权委托书，格式自拟）。</w:t>
      </w:r>
    </w:p>
    <w:p>
      <w:pPr>
        <w:spacing w:line="360" w:lineRule="auto"/>
        <w:ind w:firstLine="420" w:firstLineChars="200"/>
        <w:rPr>
          <w:rFonts w:hint="eastAsia" w:ascii="宋体" w:hAnsi="宋体" w:cs="宋体"/>
          <w:szCs w:val="21"/>
        </w:rPr>
      </w:pPr>
      <w:r>
        <w:rPr>
          <w:rFonts w:hint="eastAsia" w:ascii="宋体" w:hAnsi="宋体" w:cs="宋体"/>
          <w:szCs w:val="21"/>
        </w:rPr>
        <w:t>2、合同执行中涉及采购资金和采购内容修改或者补充的，</w:t>
      </w:r>
      <w:r>
        <w:rPr>
          <w:rFonts w:hint="eastAsia" w:ascii="宋体" w:hAnsi="宋体"/>
          <w:szCs w:val="21"/>
        </w:rPr>
        <w:t>在法规范围内，</w:t>
      </w:r>
      <w:r>
        <w:rPr>
          <w:rFonts w:hint="eastAsia" w:ascii="宋体" w:hAnsi="宋体" w:cs="宋体"/>
          <w:szCs w:val="21"/>
        </w:rPr>
        <w:t>并签书面补充协议报财政部门备案，方可作为主合同不可分割的一部分。</w:t>
      </w:r>
    </w:p>
    <w:p>
      <w:pPr>
        <w:spacing w:line="360" w:lineRule="auto"/>
        <w:ind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pPr>
        <w:spacing w:line="360" w:lineRule="auto"/>
        <w:ind w:firstLine="422" w:firstLineChars="200"/>
        <w:rPr>
          <w:rFonts w:hint="eastAsia" w:ascii="宋体" w:hAnsi="宋体" w:cs="宋体"/>
          <w:b/>
          <w:szCs w:val="21"/>
        </w:rPr>
      </w:pPr>
      <w:r>
        <w:rPr>
          <w:rFonts w:hint="eastAsia" w:ascii="宋体" w:hAnsi="宋体" w:cs="宋体"/>
          <w:b/>
          <w:szCs w:val="21"/>
        </w:rPr>
        <w:t>第十三条　合同的变更、终止与转让</w:t>
      </w:r>
    </w:p>
    <w:p>
      <w:pPr>
        <w:spacing w:line="360" w:lineRule="auto"/>
        <w:ind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szCs w:val="21"/>
        </w:rPr>
      </w:pPr>
      <w:r>
        <w:rPr>
          <w:rFonts w:hint="eastAsia" w:ascii="宋体" w:hAnsi="宋体" w:cs="宋体"/>
          <w:szCs w:val="21"/>
        </w:rPr>
        <w:t>2、乙方不得擅自转让其应履行的合同义务。</w:t>
      </w:r>
    </w:p>
    <w:p>
      <w:pPr>
        <w:spacing w:line="360" w:lineRule="auto"/>
        <w:ind w:firstLine="422" w:firstLineChars="200"/>
        <w:rPr>
          <w:rFonts w:hint="eastAsia" w:ascii="宋体" w:hAnsi="宋体" w:cs="宋体"/>
          <w:b/>
          <w:szCs w:val="21"/>
        </w:rPr>
      </w:pPr>
      <w:r>
        <w:rPr>
          <w:rFonts w:hint="eastAsia" w:ascii="宋体" w:hAnsi="宋体" w:cs="宋体"/>
          <w:b/>
          <w:szCs w:val="21"/>
        </w:rPr>
        <w:t>第十四条　签订本合同依据</w:t>
      </w:r>
    </w:p>
    <w:p>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szCs w:val="21"/>
        </w:rPr>
        <w:t>中标通知书</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2、开标一览表；</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商务要求偏</w:t>
      </w:r>
      <w:r>
        <w:rPr>
          <w:rFonts w:hint="eastAsia" w:ascii="宋体" w:hAnsi="宋体" w:cs="宋体"/>
          <w:szCs w:val="21"/>
        </w:rPr>
        <w:t>离表和技术要求偏离表；</w:t>
      </w:r>
    </w:p>
    <w:p>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、服务方案；</w:t>
      </w:r>
    </w:p>
    <w:p>
      <w:pPr>
        <w:spacing w:line="360" w:lineRule="auto"/>
        <w:ind w:firstLine="420" w:firstLineChars="200"/>
        <w:rPr>
          <w:rFonts w:ascii="宋体" w:hAnsi="宋体" w:cs="宋体"/>
          <w:szCs w:val="21"/>
        </w:rPr>
      </w:pPr>
      <w:r>
        <w:rPr>
          <w:rFonts w:hint="eastAsia" w:ascii="宋体" w:hAnsi="宋体" w:cs="宋体"/>
          <w:szCs w:val="21"/>
        </w:rPr>
        <w:t>5、投标文件中的其他相关文件。</w:t>
      </w:r>
    </w:p>
    <w:p>
      <w:pPr>
        <w:spacing w:line="360" w:lineRule="auto"/>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、上述合同文件互相补充和解释。如果合同文件之间存在矛盾或者不一致之处，以上述文件的排列顺序在先者为准。</w:t>
      </w:r>
    </w:p>
    <w:p>
      <w:pPr>
        <w:spacing w:line="360" w:lineRule="auto"/>
        <w:ind w:firstLine="422" w:firstLineChars="200"/>
        <w:rPr>
          <w:rFonts w:hint="eastAsia" w:ascii="宋体" w:hAnsi="宋体" w:cs="宋体"/>
          <w:szCs w:val="21"/>
        </w:rPr>
      </w:pPr>
      <w:r>
        <w:rPr>
          <w:rFonts w:hint="eastAsia" w:ascii="宋体" w:hAnsi="宋体" w:cs="宋体"/>
          <w:b/>
          <w:szCs w:val="21"/>
        </w:rPr>
        <w:t>第十五条　</w:t>
      </w:r>
      <w:r>
        <w:rPr>
          <w:rFonts w:hint="eastAsia" w:ascii="宋体" w:hAnsi="宋体" w:cs="宋体"/>
          <w:szCs w:val="21"/>
        </w:rPr>
        <w:t>本</w:t>
      </w:r>
      <w:r>
        <w:rPr>
          <w:rFonts w:ascii="宋体" w:hAnsi="宋体" w:cs="Arial"/>
          <w:kern w:val="1"/>
          <w:szCs w:val="21"/>
          <w:lang w:eastAsia="ar-SA"/>
        </w:rPr>
        <w:t>合同一式</w:t>
      </w:r>
      <w:r>
        <w:rPr>
          <w:rFonts w:hint="eastAsia" w:ascii="宋体" w:hAnsi="宋体" w:cs="Arial"/>
          <w:kern w:val="1"/>
          <w:szCs w:val="21"/>
        </w:rPr>
        <w:t>捌</w:t>
      </w:r>
      <w:r>
        <w:rPr>
          <w:rFonts w:ascii="宋体" w:hAnsi="宋体" w:cs="Arial"/>
          <w:kern w:val="1"/>
          <w:szCs w:val="21"/>
          <w:lang w:eastAsia="ar-SA"/>
        </w:rPr>
        <w:t>份，具有同等法律效力。甲方</w:t>
      </w:r>
      <w:r>
        <w:rPr>
          <w:rFonts w:hint="eastAsia" w:ascii="宋体" w:hAnsi="宋体" w:cs="Arial"/>
          <w:kern w:val="1"/>
          <w:szCs w:val="21"/>
        </w:rPr>
        <w:t>肆</w:t>
      </w:r>
      <w:r>
        <w:rPr>
          <w:rFonts w:ascii="宋体" w:hAnsi="宋体" w:cs="Arial"/>
          <w:kern w:val="1"/>
          <w:szCs w:val="21"/>
          <w:lang w:eastAsia="ar-SA"/>
        </w:rPr>
        <w:t>份，乙方</w:t>
      </w:r>
      <w:r>
        <w:rPr>
          <w:rFonts w:hint="eastAsia" w:ascii="宋体" w:hAnsi="宋体" w:cs="Arial"/>
          <w:kern w:val="1"/>
          <w:szCs w:val="21"/>
        </w:rPr>
        <w:t>二</w:t>
      </w:r>
      <w:r>
        <w:rPr>
          <w:rFonts w:ascii="宋体" w:hAnsi="宋体" w:cs="Arial"/>
          <w:kern w:val="1"/>
          <w:szCs w:val="21"/>
          <w:lang w:eastAsia="ar-SA"/>
        </w:rPr>
        <w:t>份</w:t>
      </w:r>
      <w:r>
        <w:rPr>
          <w:rFonts w:hint="eastAsia" w:ascii="宋体" w:hAnsi="宋体" w:cs="Arial"/>
          <w:kern w:val="1"/>
          <w:szCs w:val="21"/>
          <w:lang w:eastAsia="ar-SA"/>
        </w:rPr>
        <w:t>，</w:t>
      </w:r>
      <w:r>
        <w:rPr>
          <w:rFonts w:ascii="宋体" w:hAnsi="宋体" w:cs="Arial"/>
          <w:kern w:val="1"/>
          <w:szCs w:val="21"/>
          <w:lang w:eastAsia="ar-SA"/>
        </w:rPr>
        <w:t>采购代理机构</w:t>
      </w:r>
      <w:r>
        <w:rPr>
          <w:rFonts w:hint="eastAsia" w:ascii="宋体" w:hAnsi="宋体" w:cs="Arial"/>
          <w:kern w:val="1"/>
          <w:szCs w:val="21"/>
        </w:rPr>
        <w:t>贰</w:t>
      </w:r>
      <w:r>
        <w:rPr>
          <w:rFonts w:ascii="宋体" w:hAnsi="宋体" w:cs="Arial"/>
          <w:kern w:val="1"/>
          <w:szCs w:val="21"/>
          <w:lang w:eastAsia="ar-SA"/>
        </w:rPr>
        <w:t>份</w:t>
      </w:r>
      <w:r>
        <w:rPr>
          <w:rFonts w:hint="eastAsia" w:ascii="宋体" w:hAnsi="宋体" w:cs="Arial"/>
          <w:kern w:val="1"/>
          <w:szCs w:val="21"/>
        </w:rPr>
        <w:t>，本合同经甲乙双方法定代表人或授权代表签字并加盖单位公章后生效</w:t>
      </w:r>
      <w:r>
        <w:rPr>
          <w:rFonts w:ascii="宋体" w:hAnsi="宋体" w:cs="Arial"/>
          <w:kern w:val="1"/>
          <w:szCs w:val="21"/>
          <w:lang w:eastAsia="ar-SA"/>
        </w:rPr>
        <w:t>。</w:t>
      </w:r>
    </w:p>
    <w:p>
      <w:pPr>
        <w:spacing w:line="360" w:lineRule="auto"/>
        <w:ind w:firstLine="420" w:firstLineChars="200"/>
        <w:rPr>
          <w:rFonts w:hint="eastAsia" w:ascii="宋体" w:hAnsi="宋体" w:cs="宋体"/>
          <w:szCs w:val="21"/>
        </w:rPr>
      </w:pPr>
      <w:r>
        <w:rPr>
          <w:rFonts w:hint="eastAsia" w:ascii="宋体" w:hAnsi="宋体" w:cs="宋体"/>
          <w:szCs w:val="21"/>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p>
      <w:pPr>
        <w:spacing w:line="360" w:lineRule="auto"/>
        <w:ind w:firstLine="420" w:firstLineChars="200"/>
        <w:rPr>
          <w:rFonts w:hint="eastAsia" w:ascii="宋体" w:hAnsi="宋体" w:cs="宋体"/>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snapToGrid w:val="0"/>
              <w:spacing w:line="360" w:lineRule="auto"/>
              <w:rPr>
                <w:rFonts w:hint="eastAsia" w:ascii="宋体" w:hAnsi="宋体"/>
                <w:szCs w:val="21"/>
              </w:rPr>
            </w:pPr>
            <w:r>
              <w:rPr>
                <w:rFonts w:hint="eastAsia" w:ascii="宋体" w:hAnsi="宋体"/>
                <w:szCs w:val="21"/>
              </w:rPr>
              <w:t xml:space="preserve">甲方（章）           </w:t>
            </w:r>
          </w:p>
          <w:p>
            <w:pPr>
              <w:snapToGrid w:val="0"/>
              <w:spacing w:line="360" w:lineRule="auto"/>
              <w:rPr>
                <w:rFonts w:hint="eastAsia" w:ascii="宋体" w:hAnsi="宋体"/>
                <w:szCs w:val="21"/>
              </w:rPr>
            </w:pPr>
          </w:p>
          <w:p>
            <w:pPr>
              <w:snapToGrid w:val="0"/>
              <w:spacing w:line="360" w:lineRule="auto"/>
              <w:ind w:firstLine="945" w:firstLineChars="450"/>
              <w:jc w:val="right"/>
              <w:rPr>
                <w:rFonts w:hint="eastAsia" w:ascii="宋体" w:hAnsi="宋体"/>
                <w:szCs w:val="21"/>
              </w:rPr>
            </w:pPr>
            <w:r>
              <w:rPr>
                <w:rFonts w:hint="eastAsia" w:ascii="宋体" w:hAnsi="宋体"/>
                <w:szCs w:val="21"/>
              </w:rPr>
              <w:t>年   月   日</w:t>
            </w:r>
          </w:p>
        </w:tc>
        <w:tc>
          <w:tcPr>
            <w:tcW w:w="4517" w:type="dxa"/>
            <w:noWrap w:val="0"/>
            <w:vAlign w:val="center"/>
          </w:tcPr>
          <w:p>
            <w:pPr>
              <w:snapToGrid w:val="0"/>
              <w:spacing w:line="360" w:lineRule="auto"/>
              <w:rPr>
                <w:rFonts w:hint="eastAsia" w:ascii="宋体" w:hAnsi="宋体"/>
                <w:szCs w:val="21"/>
              </w:rPr>
            </w:pPr>
            <w:r>
              <w:rPr>
                <w:rFonts w:hint="eastAsia" w:ascii="宋体" w:hAnsi="宋体"/>
                <w:szCs w:val="21"/>
              </w:rPr>
              <w:t xml:space="preserve">乙方（章）              </w:t>
            </w:r>
          </w:p>
          <w:p>
            <w:pPr>
              <w:snapToGrid w:val="0"/>
              <w:spacing w:line="360" w:lineRule="auto"/>
              <w:rPr>
                <w:rFonts w:hint="eastAsia" w:ascii="宋体" w:hAnsi="宋体"/>
                <w:szCs w:val="21"/>
              </w:rPr>
            </w:pPr>
          </w:p>
          <w:p>
            <w:pPr>
              <w:snapToGrid w:val="0"/>
              <w:spacing w:line="360" w:lineRule="auto"/>
              <w:jc w:val="right"/>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pPr>
              <w:snapToGrid w:val="0"/>
              <w:spacing w:line="360" w:lineRule="auto"/>
              <w:rPr>
                <w:rFonts w:hint="eastAsia" w:ascii="宋体" w:hAnsi="宋体"/>
                <w:szCs w:val="21"/>
              </w:rPr>
            </w:pPr>
            <w:r>
              <w:rPr>
                <w:rFonts w:hint="eastAsia" w:ascii="宋体" w:hAnsi="宋体"/>
                <w:szCs w:val="21"/>
              </w:rPr>
              <w:t>单位地址：</w:t>
            </w:r>
          </w:p>
        </w:tc>
        <w:tc>
          <w:tcPr>
            <w:tcW w:w="4517" w:type="dxa"/>
            <w:noWrap w:val="0"/>
            <w:vAlign w:val="center"/>
          </w:tcPr>
          <w:p>
            <w:pPr>
              <w:snapToGrid w:val="0"/>
              <w:spacing w:line="360" w:lineRule="auto"/>
              <w:rPr>
                <w:rFonts w:hint="eastAsia"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pPr>
              <w:snapToGrid w:val="0"/>
              <w:spacing w:line="360" w:lineRule="auto"/>
              <w:rPr>
                <w:rFonts w:hint="eastAsia" w:ascii="宋体" w:hAnsi="宋体"/>
                <w:szCs w:val="21"/>
              </w:rPr>
            </w:pPr>
            <w:r>
              <w:rPr>
                <w:rFonts w:hint="eastAsia" w:ascii="宋体" w:hAnsi="宋体"/>
                <w:szCs w:val="21"/>
              </w:rPr>
              <w:t>法定代表人或者委托代理人：</w:t>
            </w:r>
          </w:p>
        </w:tc>
        <w:tc>
          <w:tcPr>
            <w:tcW w:w="4517" w:type="dxa"/>
            <w:noWrap w:val="0"/>
            <w:vAlign w:val="top"/>
          </w:tcPr>
          <w:p>
            <w:pPr>
              <w:snapToGrid w:val="0"/>
              <w:spacing w:line="360" w:lineRule="auto"/>
              <w:rPr>
                <w:rFonts w:hint="eastAsia" w:ascii="宋体" w:hAnsi="宋体"/>
                <w:szCs w:val="21"/>
              </w:rPr>
            </w:pPr>
            <w:r>
              <w:rPr>
                <w:rFonts w:hint="eastAsia" w:ascii="宋体" w:hAnsi="宋体"/>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pPr>
              <w:snapToGrid w:val="0"/>
              <w:spacing w:line="360" w:lineRule="auto"/>
              <w:rPr>
                <w:rFonts w:hint="eastAsia" w:ascii="宋体" w:hAnsi="宋体"/>
                <w:szCs w:val="21"/>
              </w:rPr>
            </w:pPr>
            <w:r>
              <w:rPr>
                <w:rFonts w:hint="eastAsia" w:ascii="宋体" w:hAnsi="宋体"/>
                <w:szCs w:val="21"/>
              </w:rPr>
              <w:t>电话：</w:t>
            </w:r>
          </w:p>
        </w:tc>
        <w:tc>
          <w:tcPr>
            <w:tcW w:w="4517" w:type="dxa"/>
            <w:noWrap w:val="0"/>
            <w:vAlign w:val="center"/>
          </w:tcPr>
          <w:p>
            <w:pPr>
              <w:snapToGrid w:val="0"/>
              <w:spacing w:line="360" w:lineRule="auto"/>
              <w:rPr>
                <w:rFonts w:hint="eastAsia"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pPr>
              <w:snapToGrid w:val="0"/>
              <w:spacing w:line="360" w:lineRule="auto"/>
              <w:rPr>
                <w:rFonts w:hint="eastAsia" w:ascii="宋体" w:hAnsi="宋体"/>
                <w:szCs w:val="21"/>
              </w:rPr>
            </w:pPr>
            <w:r>
              <w:rPr>
                <w:rFonts w:hint="eastAsia" w:ascii="宋体" w:hAnsi="宋体"/>
                <w:szCs w:val="21"/>
              </w:rPr>
              <w:t>电子邮箱：</w:t>
            </w:r>
          </w:p>
        </w:tc>
        <w:tc>
          <w:tcPr>
            <w:tcW w:w="4517" w:type="dxa"/>
            <w:noWrap w:val="0"/>
            <w:vAlign w:val="center"/>
          </w:tcPr>
          <w:p>
            <w:pPr>
              <w:snapToGrid w:val="0"/>
              <w:spacing w:line="360" w:lineRule="auto"/>
              <w:rPr>
                <w:rFonts w:hint="eastAsia"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pPr>
              <w:snapToGrid w:val="0"/>
              <w:spacing w:line="360" w:lineRule="auto"/>
              <w:rPr>
                <w:rFonts w:hint="eastAsia" w:ascii="宋体" w:hAnsi="宋体"/>
                <w:szCs w:val="21"/>
              </w:rPr>
            </w:pPr>
            <w:r>
              <w:rPr>
                <w:rFonts w:hint="eastAsia" w:ascii="宋体" w:hAnsi="宋体"/>
                <w:szCs w:val="21"/>
              </w:rPr>
              <w:t>开户银行：</w:t>
            </w:r>
          </w:p>
        </w:tc>
        <w:tc>
          <w:tcPr>
            <w:tcW w:w="4517" w:type="dxa"/>
            <w:noWrap w:val="0"/>
            <w:vAlign w:val="center"/>
          </w:tcPr>
          <w:p>
            <w:pPr>
              <w:snapToGrid w:val="0"/>
              <w:spacing w:line="360" w:lineRule="auto"/>
              <w:rPr>
                <w:rFonts w:hint="eastAsia"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pPr>
              <w:snapToGrid w:val="0"/>
              <w:spacing w:line="360" w:lineRule="auto"/>
              <w:rPr>
                <w:rFonts w:hint="eastAsia" w:ascii="宋体" w:hAnsi="宋体"/>
                <w:szCs w:val="21"/>
              </w:rPr>
            </w:pPr>
            <w:r>
              <w:rPr>
                <w:rFonts w:hint="eastAsia" w:ascii="宋体" w:hAnsi="宋体"/>
                <w:szCs w:val="21"/>
              </w:rPr>
              <w:t>账号：</w:t>
            </w:r>
          </w:p>
        </w:tc>
        <w:tc>
          <w:tcPr>
            <w:tcW w:w="4517" w:type="dxa"/>
            <w:noWrap w:val="0"/>
            <w:vAlign w:val="center"/>
          </w:tcPr>
          <w:p>
            <w:pPr>
              <w:snapToGrid w:val="0"/>
              <w:spacing w:line="360" w:lineRule="auto"/>
              <w:rPr>
                <w:rFonts w:hint="eastAsia"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pPr>
              <w:snapToGrid w:val="0"/>
              <w:spacing w:line="360" w:lineRule="auto"/>
              <w:rPr>
                <w:rFonts w:hint="eastAsia" w:ascii="宋体" w:hAnsi="宋体"/>
                <w:szCs w:val="21"/>
              </w:rPr>
            </w:pPr>
            <w:r>
              <w:rPr>
                <w:rFonts w:hint="eastAsia" w:ascii="宋体" w:hAnsi="宋体"/>
                <w:szCs w:val="21"/>
              </w:rPr>
              <w:t>邮政编码：</w:t>
            </w:r>
          </w:p>
        </w:tc>
        <w:tc>
          <w:tcPr>
            <w:tcW w:w="4517" w:type="dxa"/>
            <w:noWrap w:val="0"/>
            <w:vAlign w:val="center"/>
          </w:tcPr>
          <w:p>
            <w:pPr>
              <w:snapToGrid w:val="0"/>
              <w:spacing w:line="360" w:lineRule="auto"/>
              <w:rPr>
                <w:rFonts w:hint="eastAsia" w:ascii="宋体" w:hAnsi="宋体"/>
                <w:szCs w:val="21"/>
              </w:rPr>
            </w:pPr>
            <w:r>
              <w:rPr>
                <w:rFonts w:hint="eastAsia" w:ascii="宋体" w:hAnsi="宋体"/>
                <w:szCs w:val="21"/>
              </w:rPr>
              <w:t>邮政编码：</w:t>
            </w:r>
          </w:p>
        </w:tc>
      </w:tr>
    </w:tbl>
    <w:p>
      <w:pPr>
        <w:snapToGrid w:val="0"/>
        <w:spacing w:line="360" w:lineRule="auto"/>
        <w:ind w:left="420" w:hanging="420" w:hangingChars="200"/>
        <w:rPr>
          <w:rFonts w:hint="eastAsia" w:ascii="宋体" w:hAnsi="宋体"/>
          <w:szCs w:val="21"/>
        </w:rPr>
      </w:pPr>
    </w:p>
    <w:p>
      <w:pPr>
        <w:snapToGrid w:val="0"/>
        <w:spacing w:line="360" w:lineRule="auto"/>
        <w:jc w:val="center"/>
        <w:rPr>
          <w:rFonts w:ascii="宋体" w:hAnsi="宋体"/>
          <w:szCs w:val="21"/>
        </w:rPr>
      </w:pPr>
    </w:p>
    <w:p>
      <w:pPr>
        <w:snapToGrid w:val="0"/>
        <w:spacing w:line="360" w:lineRule="auto"/>
        <w:jc w:val="left"/>
        <w:rPr>
          <w:rFonts w:hint="eastAsia" w:ascii="宋体" w:hAnsi="宋体"/>
          <w:szCs w:val="21"/>
        </w:rPr>
      </w:pPr>
    </w:p>
    <w:p>
      <w:pPr>
        <w:snapToGrid w:val="0"/>
        <w:spacing w:line="360" w:lineRule="auto"/>
        <w:jc w:val="left"/>
        <w:rPr>
          <w:rFonts w:hint="eastAsia" w:ascii="宋体" w:hAnsi="宋体"/>
          <w:szCs w:val="21"/>
        </w:rPr>
      </w:pPr>
    </w:p>
    <w:p>
      <w:pPr>
        <w:snapToGrid w:val="0"/>
        <w:jc w:val="center"/>
        <w:rPr>
          <w:rFonts w:ascii="宋体" w:hAnsi="宋体"/>
          <w:bCs/>
          <w:sz w:val="32"/>
          <w:szCs w:val="32"/>
        </w:rPr>
      </w:pPr>
      <w:r>
        <w:rPr>
          <w:rFonts w:ascii="宋体" w:hAnsi="宋体"/>
          <w:b/>
          <w:sz w:val="32"/>
          <w:szCs w:val="32"/>
        </w:rPr>
        <w:br w:type="page"/>
      </w:r>
    </w:p>
    <w:bookmarkEnd w:id="146"/>
    <w:p>
      <w:pPr>
        <w:snapToGrid w:val="0"/>
        <w:spacing w:line="480" w:lineRule="auto"/>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snapToGrid w:val="0"/>
        <w:jc w:val="center"/>
        <w:rPr>
          <w:rFonts w:hint="eastAsia" w:ascii="宋体" w:hAnsi="宋体"/>
          <w:bCs/>
          <w:sz w:val="32"/>
          <w:szCs w:val="32"/>
        </w:rPr>
      </w:pPr>
    </w:p>
    <w:p>
      <w:pPr>
        <w:pStyle w:val="2"/>
        <w:jc w:val="center"/>
        <w:rPr>
          <w:rFonts w:hint="eastAsia"/>
        </w:rPr>
      </w:pPr>
      <w:bookmarkStart w:id="147" w:name="_Toc74320805"/>
      <w:r>
        <w:rPr>
          <w:rFonts w:hint="eastAsia"/>
        </w:rPr>
        <w:t>第六章　投标文件格式</w:t>
      </w:r>
      <w:bookmarkEnd w:id="147"/>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50" w:after="50"/>
        <w:outlineLvl w:val="1"/>
        <w:rPr>
          <w:rFonts w:hint="eastAsia" w:ascii="宋体" w:hAnsi="宋体"/>
          <w:sz w:val="32"/>
          <w:szCs w:val="20"/>
        </w:rPr>
      </w:pPr>
    </w:p>
    <w:p>
      <w:pPr>
        <w:snapToGrid w:val="0"/>
        <w:spacing w:before="120" w:beforeLines="50" w:after="50"/>
        <w:jc w:val="center"/>
        <w:outlineLvl w:val="1"/>
        <w:rPr>
          <w:rFonts w:hint="eastAsia" w:ascii="宋体" w:hAnsi="宋体"/>
        </w:rPr>
      </w:pPr>
    </w:p>
    <w:p>
      <w:pPr>
        <w:rPr>
          <w:rFonts w:hint="eastAsia"/>
          <w:b/>
          <w:sz w:val="28"/>
          <w:szCs w:val="28"/>
        </w:rPr>
      </w:pPr>
      <w:bookmarkStart w:id="148" w:name="_Toc19686836"/>
      <w:bookmarkStart w:id="149" w:name="_Toc254970698"/>
      <w:bookmarkStart w:id="150" w:name="_Toc254970557"/>
      <w:r>
        <w:rPr>
          <w:b/>
          <w:sz w:val="28"/>
          <w:szCs w:val="28"/>
        </w:rPr>
        <w:br w:type="page"/>
      </w:r>
      <w:r>
        <w:rPr>
          <w:rFonts w:hint="eastAsia"/>
          <w:b/>
          <w:sz w:val="28"/>
          <w:szCs w:val="28"/>
        </w:rPr>
        <w:t>一、报价文件格式</w:t>
      </w:r>
      <w:bookmarkEnd w:id="148"/>
    </w:p>
    <w:p>
      <w:pPr>
        <w:snapToGrid w:val="0"/>
        <w:spacing w:before="120" w:beforeLines="50" w:after="50" w:line="360" w:lineRule="auto"/>
        <w:ind w:left="142"/>
        <w:jc w:val="left"/>
        <w:rPr>
          <w:rFonts w:hint="eastAsia" w:ascii="宋体" w:hAnsi="宋体"/>
          <w:sz w:val="24"/>
          <w:szCs w:val="20"/>
        </w:rPr>
      </w:pPr>
      <w:r>
        <w:rPr>
          <w:rFonts w:hint="eastAsia" w:ascii="宋体" w:hAnsi="宋体"/>
          <w:b/>
          <w:sz w:val="24"/>
        </w:rPr>
        <w:t xml:space="preserve">1. 报价文件封面格式： </w:t>
      </w:r>
    </w:p>
    <w:p>
      <w:pPr>
        <w:snapToGrid w:val="0"/>
        <w:spacing w:before="120" w:beforeLines="50" w:after="50" w:line="400" w:lineRule="exact"/>
        <w:rPr>
          <w:rFonts w:hint="eastAsia" w:ascii="宋体" w:hAnsi="宋体"/>
          <w:bCs/>
          <w:sz w:val="32"/>
          <w:szCs w:val="20"/>
        </w:rPr>
      </w:pPr>
      <w:r>
        <w:rPr>
          <w:rFonts w:hint="eastAsia" w:ascii="宋体" w:hAnsi="宋体"/>
          <w:sz w:val="24"/>
        </w:rPr>
        <w:t xml:space="preserve">                                                   </w:t>
      </w:r>
    </w:p>
    <w:p>
      <w:pPr>
        <w:snapToGrid w:val="0"/>
        <w:spacing w:before="120" w:beforeLines="50" w:after="50" w:line="400" w:lineRule="exact"/>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120" w:beforeLines="50" w:after="50" w:line="400" w:lineRule="exact"/>
        <w:jc w:val="center"/>
        <w:rPr>
          <w:rFonts w:hint="eastAsia" w:ascii="宋体" w:hAnsi="宋体"/>
          <w:bCs/>
          <w:sz w:val="32"/>
          <w:szCs w:val="32"/>
        </w:rPr>
      </w:pPr>
    </w:p>
    <w:p>
      <w:pPr>
        <w:snapToGrid w:val="0"/>
        <w:spacing w:before="120" w:beforeLines="50" w:after="50" w:line="4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报  价  文  件</w:t>
      </w:r>
    </w:p>
    <w:p>
      <w:pPr>
        <w:snapToGrid w:val="0"/>
        <w:spacing w:before="120" w:beforeLines="50" w:after="50" w:line="400" w:lineRule="exact"/>
        <w:rPr>
          <w:rFonts w:hint="eastAsia" w:ascii="宋体" w:hAnsi="宋体"/>
          <w:bCs/>
          <w:sz w:val="24"/>
          <w:szCs w:val="20"/>
        </w:rPr>
      </w:pPr>
    </w:p>
    <w:p>
      <w:pPr>
        <w:snapToGrid w:val="0"/>
        <w:spacing w:before="120" w:beforeLines="50" w:after="50" w:line="400" w:lineRule="exact"/>
        <w:rPr>
          <w:rFonts w:hint="eastAsia" w:ascii="宋体" w:hAnsi="宋体"/>
          <w:bCs/>
          <w:sz w:val="24"/>
          <w:szCs w:val="20"/>
        </w:rPr>
      </w:pPr>
    </w:p>
    <w:p>
      <w:pPr>
        <w:snapToGrid w:val="0"/>
        <w:spacing w:before="120" w:beforeLines="50" w:after="50" w:line="400" w:lineRule="exact"/>
        <w:rPr>
          <w:rFonts w:hint="eastAsia" w:ascii="宋体" w:hAnsi="宋体"/>
          <w:bCs/>
          <w:sz w:val="24"/>
          <w:szCs w:val="20"/>
        </w:rPr>
      </w:pPr>
    </w:p>
    <w:p>
      <w:pPr>
        <w:snapToGrid w:val="0"/>
        <w:spacing w:before="120" w:beforeLines="50" w:after="50" w:line="400" w:lineRule="exact"/>
        <w:rPr>
          <w:rFonts w:hint="eastAsia" w:ascii="宋体" w:hAnsi="宋体"/>
          <w:bCs/>
          <w:sz w:val="24"/>
          <w:szCs w:val="20"/>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项目名称： </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所投分标：</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line="400" w:lineRule="exact"/>
        <w:ind w:firstLine="360" w:firstLineChars="150"/>
        <w:rPr>
          <w:rFonts w:ascii="宋体" w:hAnsi="宋体"/>
          <w:bCs/>
          <w:sz w:val="24"/>
        </w:rPr>
      </w:pPr>
      <w:r>
        <w:rPr>
          <w:rFonts w:hint="eastAsia" w:ascii="宋体" w:hAnsi="宋体"/>
          <w:bCs/>
          <w:sz w:val="24"/>
        </w:rPr>
        <w:t>投标人名称：</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pPr>
        <w:pStyle w:val="6"/>
        <w:snapToGrid w:val="0"/>
        <w:spacing w:before="50" w:after="50" w:line="400" w:lineRule="exact"/>
        <w:ind w:firstLine="960" w:firstLineChars="400"/>
        <w:rPr>
          <w:rFonts w:hint="eastAsia" w:ascii="宋体" w:hAnsi="宋体"/>
          <w:bCs/>
          <w:sz w:val="24"/>
          <w:szCs w:val="24"/>
        </w:rPr>
      </w:pPr>
    </w:p>
    <w:p>
      <w:pPr>
        <w:snapToGrid w:val="0"/>
        <w:spacing w:before="120" w:beforeLines="50" w:after="50" w:line="400" w:lineRule="exact"/>
        <w:rPr>
          <w:rFonts w:hint="eastAsia" w:ascii="宋体" w:hAnsi="宋体"/>
          <w:sz w:val="30"/>
          <w:szCs w:val="20"/>
        </w:rPr>
      </w:pPr>
      <w:r>
        <w:rPr>
          <w:rFonts w:hint="eastAsia" w:ascii="宋体" w:hAnsi="宋体"/>
          <w:sz w:val="24"/>
        </w:rPr>
        <w:t xml:space="preserve">                                   年  月  日</w:t>
      </w:r>
    </w:p>
    <w:p>
      <w:pPr>
        <w:snapToGrid w:val="0"/>
        <w:spacing w:before="120" w:beforeLines="50" w:after="50" w:line="360" w:lineRule="auto"/>
        <w:jc w:val="left"/>
        <w:rPr>
          <w:rFonts w:hint="eastAsia"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pPr>
        <w:snapToGrid w:val="0"/>
        <w:spacing w:before="50" w:after="120" w:afterLines="50" w:line="360" w:lineRule="auto"/>
        <w:jc w:val="left"/>
        <w:rPr>
          <w:rFonts w:ascii="宋体" w:hAnsi="宋体"/>
          <w:b/>
          <w:sz w:val="24"/>
        </w:rPr>
      </w:pPr>
      <w:r>
        <w:rPr>
          <w:rFonts w:hint="eastAsia" w:ascii="宋体" w:hAnsi="宋体"/>
          <w:szCs w:val="21"/>
        </w:rPr>
        <w:t>根据招标文件规定及投标人提供的材料自行编写目录。</w:t>
      </w:r>
    </w:p>
    <w:p>
      <w:pPr>
        <w:snapToGrid w:val="0"/>
        <w:spacing w:before="120" w:beforeLines="50" w:after="50"/>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rPr>
          <w:rFonts w:hint="eastAsia" w:ascii="宋体" w:hAnsi="宋体"/>
          <w:b/>
          <w:sz w:val="24"/>
        </w:rPr>
      </w:pPr>
    </w:p>
    <w:p>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 投标函格式：</w:t>
      </w:r>
    </w:p>
    <w:p>
      <w:pPr>
        <w:snapToGrid w:val="0"/>
        <w:spacing w:before="120" w:beforeLines="50" w:after="50" w:line="36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 标 函</w:t>
      </w:r>
    </w:p>
    <w:p>
      <w:pPr>
        <w:spacing w:line="440" w:lineRule="exact"/>
        <w:contextualSpacing/>
        <w:rPr>
          <w:rFonts w:hint="eastAsia" w:ascii="宋体" w:hAnsi="宋体"/>
          <w:sz w:val="24"/>
        </w:rPr>
      </w:pPr>
      <w:r>
        <w:rPr>
          <w:rFonts w:hint="eastAsia" w:ascii="宋体" w:hAnsi="宋体"/>
          <w:sz w:val="24"/>
        </w:rPr>
        <w:t>致：</w:t>
      </w:r>
      <w:r>
        <w:rPr>
          <w:rFonts w:hint="eastAsia" w:ascii="宋体" w:hAnsi="宋体"/>
          <w:sz w:val="24"/>
          <w:u w:val="single"/>
        </w:rPr>
        <w:t>采购人名称</w:t>
      </w:r>
    </w:p>
    <w:p>
      <w:pPr>
        <w:spacing w:line="440" w:lineRule="exact"/>
        <w:ind w:firstLine="480"/>
        <w:contextualSpacing/>
        <w:rPr>
          <w:rFonts w:hint="eastAsia"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pPr>
        <w:spacing w:line="440" w:lineRule="exact"/>
        <w:ind w:firstLine="480" w:firstLineChars="200"/>
        <w:contextualSpacing/>
        <w:rPr>
          <w:rFonts w:hint="eastAsia" w:ascii="宋体" w:hAnsi="宋体"/>
          <w:sz w:val="24"/>
        </w:rPr>
      </w:pPr>
      <w:r>
        <w:rPr>
          <w:rFonts w:hint="eastAsia" w:ascii="宋体" w:hAnsi="宋体"/>
          <w:sz w:val="24"/>
        </w:rPr>
        <w:t>据此函，我方宣布同意如下：</w:t>
      </w:r>
    </w:p>
    <w:p>
      <w:pPr>
        <w:spacing w:line="440" w:lineRule="exact"/>
        <w:ind w:firstLine="480" w:firstLineChars="200"/>
        <w:contextualSpacing/>
        <w:rPr>
          <w:rFonts w:hint="eastAsia"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440" w:lineRule="exact"/>
        <w:ind w:firstLine="480" w:firstLineChars="200"/>
        <w:contextualSpacing/>
        <w:rPr>
          <w:rFonts w:hint="eastAsia" w:ascii="宋体" w:hAnsi="宋体"/>
          <w:sz w:val="24"/>
        </w:rPr>
      </w:pPr>
      <w:r>
        <w:rPr>
          <w:rFonts w:hint="eastAsia" w:ascii="宋体" w:hAnsi="宋体"/>
          <w:sz w:val="24"/>
        </w:rPr>
        <w:t>2.我方在投标之前已经完全理解并接受招标文件的各项规定和要求，对招标文件的合理性、合法性不再有异议。</w:t>
      </w:r>
    </w:p>
    <w:p>
      <w:pPr>
        <w:spacing w:line="440" w:lineRule="exact"/>
        <w:ind w:firstLine="480" w:firstLineChars="200"/>
        <w:contextualSpacing/>
        <w:rPr>
          <w:rFonts w:hint="eastAsia"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pPr>
        <w:spacing w:line="440" w:lineRule="exact"/>
        <w:ind w:firstLine="480" w:firstLineChars="200"/>
        <w:contextualSpacing/>
        <w:rPr>
          <w:rFonts w:hint="eastAsia"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pPr>
        <w:spacing w:line="440" w:lineRule="exact"/>
        <w:ind w:firstLine="480" w:firstLineChars="200"/>
        <w:contextualSpacing/>
        <w:rPr>
          <w:rFonts w:hint="eastAsia" w:ascii="宋体" w:hAnsi="宋体"/>
          <w:sz w:val="24"/>
        </w:rPr>
      </w:pPr>
      <w:r>
        <w:rPr>
          <w:rFonts w:hint="eastAsia" w:ascii="宋体" w:hAnsi="宋体"/>
          <w:sz w:val="24"/>
        </w:rPr>
        <w:t>5.我方同意按照贵方要求提供与投标有关的一切数据或者资料。</w:t>
      </w:r>
    </w:p>
    <w:p>
      <w:pPr>
        <w:spacing w:line="440" w:lineRule="exact"/>
        <w:ind w:firstLine="480" w:firstLineChars="200"/>
        <w:contextualSpacing/>
        <w:rPr>
          <w:rFonts w:hint="eastAsia" w:ascii="宋体" w:hAnsi="宋体"/>
          <w:sz w:val="24"/>
        </w:rPr>
      </w:pPr>
      <w:r>
        <w:rPr>
          <w:rFonts w:hint="eastAsia" w:ascii="宋体" w:hAnsi="宋体"/>
          <w:sz w:val="24"/>
        </w:rPr>
        <w:t>6.我方向贵方提交的所有投标文件、资料都是准确的和真实的。</w:t>
      </w:r>
    </w:p>
    <w:p>
      <w:pPr>
        <w:spacing w:line="440" w:lineRule="exact"/>
        <w:ind w:firstLine="480" w:firstLineChars="200"/>
        <w:contextualSpacing/>
        <w:rPr>
          <w:rFonts w:hint="eastAsia" w:ascii="宋体" w:hAnsi="宋体"/>
          <w:sz w:val="24"/>
        </w:rPr>
      </w:pPr>
      <w:r>
        <w:rPr>
          <w:rFonts w:hint="eastAsia" w:ascii="宋体" w:hAnsi="宋体"/>
          <w:sz w:val="24"/>
        </w:rPr>
        <w:t>7.以上事项如有虚假或者隐瞒，我方愿意承担一切后果，并不再寻求任何旨在减轻或者免除法律责任的辩解。</w:t>
      </w:r>
    </w:p>
    <w:p>
      <w:pPr>
        <w:spacing w:line="440" w:lineRule="exact"/>
        <w:ind w:firstLine="480" w:firstLineChars="200"/>
        <w:contextualSpacing/>
        <w:rPr>
          <w:rFonts w:hint="eastAsia"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pPr>
        <w:spacing w:line="440" w:lineRule="exact"/>
        <w:ind w:firstLine="480" w:firstLineChars="200"/>
        <w:contextualSpacing/>
        <w:rPr>
          <w:rFonts w:hint="eastAsia"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pPr>
        <w:spacing w:line="440" w:lineRule="exact"/>
        <w:ind w:firstLine="480" w:firstLineChars="200"/>
        <w:contextualSpacing/>
        <w:rPr>
          <w:rFonts w:hint="eastAsia"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pPr>
        <w:spacing w:line="440" w:lineRule="exact"/>
        <w:ind w:firstLine="480" w:firstLineChars="200"/>
        <w:contextualSpacing/>
        <w:rPr>
          <w:rFonts w:hint="eastAsia" w:ascii="宋体" w:hAnsi="宋体"/>
          <w:sz w:val="24"/>
        </w:rPr>
      </w:pPr>
      <w:r>
        <w:rPr>
          <w:rFonts w:hint="eastAsia" w:ascii="宋体" w:hAnsi="宋体"/>
          <w:sz w:val="24"/>
        </w:rPr>
        <w:t>9.与本投标有关的一切正式往来信函请寄：</w:t>
      </w:r>
    </w:p>
    <w:p>
      <w:pPr>
        <w:spacing w:line="440" w:lineRule="exact"/>
        <w:ind w:firstLine="480" w:firstLineChars="200"/>
        <w:contextualSpacing/>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spacing w:line="440" w:lineRule="exact"/>
        <w:ind w:firstLine="480" w:firstLineChars="200"/>
        <w:contextualSpacing/>
        <w:rPr>
          <w:rFonts w:hint="eastAsia"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spacing w:line="440" w:lineRule="exact"/>
        <w:ind w:firstLine="480" w:firstLineChars="200"/>
        <w:contextualSpacing/>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p>
    <w:p>
      <w:pPr>
        <w:spacing w:line="440" w:lineRule="exact"/>
        <w:ind w:firstLine="480" w:firstLineChars="200"/>
        <w:contextualSpacing/>
        <w:jc w:val="left"/>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pPr>
        <w:spacing w:line="440" w:lineRule="exact"/>
        <w:ind w:firstLine="480" w:firstLineChars="200"/>
        <w:contextualSpacing/>
        <w:jc w:val="left"/>
        <w:rPr>
          <w:rFonts w:hint="eastAsia" w:ascii="宋体" w:hAnsi="宋体"/>
          <w:sz w:val="24"/>
        </w:rPr>
      </w:pPr>
      <w:r>
        <w:rPr>
          <w:rFonts w:hint="eastAsia" w:ascii="宋体" w:hAnsi="宋体"/>
          <w:sz w:val="24"/>
        </w:rPr>
        <w:t xml:space="preserve">法定代表人或者委托代理人签字:___________ </w:t>
      </w:r>
    </w:p>
    <w:p>
      <w:pPr>
        <w:pStyle w:val="12"/>
        <w:spacing w:line="440" w:lineRule="exact"/>
        <w:contextualSpacing/>
        <w:jc w:val="center"/>
        <w:rPr>
          <w:rFonts w:hint="eastAsia"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投标人（盖公章）：</w:t>
      </w:r>
    </w:p>
    <w:p>
      <w:pPr>
        <w:pStyle w:val="12"/>
        <w:spacing w:line="440" w:lineRule="exact"/>
        <w:contextualSpacing/>
        <w:rPr>
          <w:rFonts w:hint="eastAsia"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snapToGrid w:val="0"/>
        <w:spacing w:before="120" w:beforeLines="50" w:after="50" w:line="440" w:lineRule="exact"/>
        <w:jc w:val="left"/>
        <w:rPr>
          <w:rFonts w:hint="eastAsia" w:ascii="宋体" w:hAnsi="宋体"/>
          <w:b/>
          <w:sz w:val="24"/>
          <w:szCs w:val="20"/>
        </w:rPr>
      </w:pPr>
      <w:r>
        <w:rPr>
          <w:rFonts w:hAnsi="宋体"/>
          <w:u w:val="single"/>
        </w:rPr>
        <w:br w:type="page"/>
      </w:r>
      <w:r>
        <w:rPr>
          <w:rFonts w:hint="eastAsia" w:ascii="宋体" w:hAnsi="宋体"/>
          <w:b/>
          <w:sz w:val="24"/>
        </w:rPr>
        <w:t>4. 开标一览表（服务类格式）</w:t>
      </w:r>
    </w:p>
    <w:p>
      <w:pPr>
        <w:snapToGrid w:val="0"/>
        <w:spacing w:before="50" w:after="50"/>
        <w:jc w:val="center"/>
        <w:rPr>
          <w:rFonts w:hint="eastAsia" w:ascii="宋体" w:hAnsi="宋体"/>
          <w:b/>
          <w:sz w:val="30"/>
        </w:rPr>
      </w:pPr>
    </w:p>
    <w:p>
      <w:pPr>
        <w:snapToGrid w:val="0"/>
        <w:spacing w:before="50" w:after="50"/>
        <w:jc w:val="center"/>
        <w:rPr>
          <w:rFonts w:hint="eastAsia" w:ascii="宋体" w:hAnsi="宋体"/>
          <w:b/>
          <w:sz w:val="30"/>
        </w:rPr>
      </w:pPr>
      <w:r>
        <w:rPr>
          <w:rFonts w:hint="eastAsia" w:ascii="宋体" w:hAnsi="宋体"/>
          <w:b/>
          <w:sz w:val="30"/>
        </w:rPr>
        <w:t>开标一览表</w:t>
      </w:r>
    </w:p>
    <w:p>
      <w:pPr>
        <w:snapToGrid w:val="0"/>
        <w:spacing w:before="50" w:after="50"/>
        <w:jc w:val="center"/>
        <w:rPr>
          <w:rFonts w:hint="eastAsia" w:ascii="宋体" w:hAnsi="宋体"/>
          <w:b/>
          <w:sz w:val="30"/>
          <w:szCs w:val="20"/>
        </w:rPr>
      </w:pPr>
    </w:p>
    <w:p>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napToGrid w:val="0"/>
        <w:spacing w:before="50" w:after="50" w:line="360" w:lineRule="auto"/>
        <w:rPr>
          <w:rFonts w:hint="eastAsia" w:ascii="宋体" w:hAnsi="宋体" w:cs="仿宋_GB2312"/>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r>
        <w:rPr>
          <w:rFonts w:hint="eastAsia" w:ascii="宋体" w:hAnsi="宋体" w:cs="仿宋_GB2312"/>
          <w:sz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3079"/>
        <w:gridCol w:w="829"/>
        <w:gridCol w:w="850"/>
        <w:gridCol w:w="1126"/>
        <w:gridCol w:w="208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rPr>
            </w:pPr>
            <w:r>
              <w:rPr>
                <w:rFonts w:ascii="宋体" w:hAnsi="宋体" w:cs="仿宋_GB2312"/>
                <w:sz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rPr>
            </w:pPr>
            <w:r>
              <w:rPr>
                <w:rFonts w:hint="eastAsia" w:ascii="宋体" w:hAnsi="宋体"/>
                <w:b/>
                <w:sz w:val="24"/>
              </w:rPr>
              <w:t>标的的名称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rPr>
            </w:pPr>
            <w:r>
              <w:rPr>
                <w:rFonts w:ascii="Calibri" w:hAnsi="Calibri" w:cs="Calibri"/>
                <w:sz w:val="24"/>
              </w:rPr>
              <w:t>①</w:t>
            </w:r>
            <w:r>
              <w:rPr>
                <w:rFonts w:hint="eastAsia" w:ascii="宋体" w:hAnsi="宋体" w:cs="仿宋_GB2312"/>
                <w:sz w:val="24"/>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ascii="Calibri" w:hAnsi="Calibri" w:cs="Calibri"/>
                <w:sz w:val="24"/>
              </w:rPr>
              <w:t>②</w:t>
            </w:r>
            <w:r>
              <w:rPr>
                <w:rFonts w:hint="eastAsia" w:ascii="宋体" w:hAnsi="宋体" w:cs="仿宋_GB2312"/>
                <w:sz w:val="24"/>
              </w:rPr>
              <w:t>单位</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ascii="Calibri" w:hAnsi="Calibri" w:cs="Calibri"/>
                <w:sz w:val="24"/>
              </w:rPr>
              <w:t>③</w:t>
            </w:r>
            <w:r>
              <w:rPr>
                <w:rFonts w:hint="eastAsia" w:ascii="宋体" w:hAnsi="宋体" w:cs="仿宋_GB2312"/>
                <w:sz w:val="24"/>
              </w:rPr>
              <w:t>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合计报价=</w:t>
            </w:r>
            <w:r>
              <w:rPr>
                <w:rFonts w:ascii="Calibri" w:hAnsi="Calibri" w:cs="Calibri"/>
                <w:sz w:val="24"/>
              </w:rPr>
              <w:t>①</w:t>
            </w:r>
            <w:r>
              <w:rPr>
                <w:rFonts w:ascii="Arial" w:hAnsi="Arial" w:cs="Arial"/>
                <w:sz w:val="24"/>
              </w:rPr>
              <w:t>×</w:t>
            </w:r>
            <w:r>
              <w:rPr>
                <w:rFonts w:ascii="Calibri" w:hAnsi="Calibri" w:cs="Calibri"/>
                <w:sz w:val="24"/>
              </w:rPr>
              <w:t>③</w:t>
            </w:r>
            <w:r>
              <w:rPr>
                <w:rFonts w:hint="eastAsia" w:ascii="宋体" w:hAnsi="宋体" w:cs="仿宋_GB2312"/>
                <w:sz w:val="24"/>
              </w:rPr>
              <w:t>（元）</w:t>
            </w:r>
          </w:p>
          <w:p>
            <w:pPr>
              <w:spacing w:line="360" w:lineRule="auto"/>
              <w:jc w:val="center"/>
              <w:rPr>
                <w:rFonts w:hint="eastAsia" w:ascii="宋体" w:hAnsi="宋体" w:cs="仿宋_GB2312"/>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rPr>
            </w:pPr>
            <w:r>
              <w:rPr>
                <w:rFonts w:hint="eastAsia" w:ascii="宋体"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r>
              <w:rPr>
                <w:rFonts w:ascii="宋体" w:hAnsi="宋体" w:cs="仿宋_GB2312"/>
                <w:sz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r>
              <w:rPr>
                <w:rFonts w:hint="eastAsia" w:ascii="宋体" w:hAnsi="宋体" w:cs="仿宋_GB2312"/>
                <w:sz w:val="24"/>
              </w:rPr>
              <w:t>3KW机柜租赁费</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r>
              <w:rPr>
                <w:rFonts w:hint="eastAsia" w:ascii="宋体" w:hAnsi="宋体" w:cs="仿宋_GB2312"/>
                <w:sz w:val="24"/>
              </w:rPr>
              <w:t>280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r>
              <w:rPr>
                <w:rFonts w:hint="eastAsia" w:ascii="宋体" w:hAnsi="宋体" w:cs="仿宋_GB2312"/>
                <w:sz w:val="24"/>
              </w:rPr>
              <w:t>个/年</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仿宋_GB2312"/>
                <w:sz w:val="24"/>
              </w:rPr>
            </w:pPr>
            <w:r>
              <w:rPr>
                <w:rFonts w:hint="eastAsia" w:ascii="宋体" w:hAnsi="宋体" w:cs="仿宋_GB2312"/>
                <w:sz w:val="24"/>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仿宋_GB2312"/>
                <w:sz w:val="24"/>
              </w:rPr>
            </w:pPr>
            <w:r>
              <w:rPr>
                <w:rFonts w:hint="eastAsia" w:ascii="宋体" w:hAnsi="宋体" w:cs="仿宋_GB2312"/>
                <w:sz w:val="24"/>
              </w:rPr>
              <w:t>8KW机柜租赁费</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仿宋_GB2312"/>
                <w:sz w:val="24"/>
              </w:rPr>
            </w:pPr>
            <w:r>
              <w:rPr>
                <w:rFonts w:hint="eastAsia" w:ascii="宋体" w:hAnsi="宋体" w:cs="仿宋_GB2312"/>
                <w:sz w:val="24"/>
              </w:rPr>
              <w:t>61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仿宋_GB2312"/>
                <w:sz w:val="24"/>
              </w:rPr>
            </w:pPr>
            <w:r>
              <w:rPr>
                <w:rFonts w:hint="eastAsia" w:ascii="宋体" w:hAnsi="宋体" w:cs="仿宋_GB2312"/>
                <w:sz w:val="24"/>
              </w:rPr>
              <w:t>个/年</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仿宋_GB2312"/>
                <w:sz w:val="24"/>
              </w:rPr>
            </w:pPr>
            <w:r>
              <w:rPr>
                <w:rFonts w:hint="eastAsia" w:ascii="宋体" w:hAnsi="宋体" w:cs="仿宋_GB2312"/>
                <w:sz w:val="24"/>
              </w:rPr>
              <w:t>2024-2026年度厅机关信息系统机房租赁项目服务费用总报价</w:t>
            </w:r>
          </w:p>
          <w:p>
            <w:pPr>
              <w:spacing w:line="460" w:lineRule="exact"/>
              <w:jc w:val="center"/>
              <w:rPr>
                <w:rFonts w:ascii="宋体" w:hAnsi="宋体" w:cs="仿宋_GB2312"/>
                <w:sz w:val="24"/>
              </w:rPr>
            </w:pPr>
            <w:r>
              <w:rPr>
                <w:rFonts w:hint="eastAsia" w:ascii="宋体" w:hAnsi="宋体" w:cs="仿宋_GB2312"/>
                <w:sz w:val="24"/>
              </w:rPr>
              <w:t>注：总报价=（1合计报价+2合计报价）</w:t>
            </w:r>
            <w:r>
              <w:rPr>
                <w:rFonts w:ascii="Arial" w:hAnsi="Arial" w:cs="Arial"/>
                <w:sz w:val="24"/>
              </w:rPr>
              <w:t>×</w:t>
            </w:r>
            <w:r>
              <w:rPr>
                <w:rFonts w:hint="eastAsia" w:ascii="宋体" w:hAnsi="宋体" w:cs="仿宋_GB2312"/>
                <w:sz w:val="24"/>
              </w:rPr>
              <w:t>3</w:t>
            </w:r>
          </w:p>
        </w:tc>
        <w:tc>
          <w:tcPr>
            <w:tcW w:w="4858"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宋体" w:cs="仿宋_GB2312"/>
                <w:sz w:val="24"/>
              </w:rPr>
            </w:pPr>
            <w:r>
              <w:rPr>
                <w:rFonts w:hint="eastAsia" w:ascii="宋体" w:hAnsi="宋体" w:cs="仿宋_GB2312"/>
                <w:sz w:val="24"/>
              </w:rPr>
              <w:t>人民币：</w:t>
            </w:r>
            <w:r>
              <w:rPr>
                <w:rFonts w:hint="eastAsia" w:ascii="宋体" w:hAnsi="宋体" w:cs="仿宋_GB2312"/>
                <w:sz w:val="24"/>
                <w:u w:val="single"/>
              </w:rPr>
              <w:t xml:space="preserve">        （</w:t>
            </w:r>
            <w:r>
              <w:rPr>
                <w:rFonts w:hint="eastAsia" w:ascii="宋体" w:hAnsi="宋体" w:cs="宋体"/>
                <w:sz w:val="24"/>
                <w:u w:val="single"/>
              </w:rPr>
              <w:t>￥</w:t>
            </w:r>
            <w:r>
              <w:rPr>
                <w:rFonts w:hint="eastAsia" w:ascii="宋体" w:hAnsi="宋体" w:cs="仿宋_GB2312"/>
                <w:sz w:val="24"/>
                <w:u w:val="single"/>
              </w:rPr>
              <w:t xml:space="preserve">            .    ）</w:t>
            </w:r>
          </w:p>
        </w:tc>
      </w:tr>
    </w:tbl>
    <w:p>
      <w:pPr>
        <w:snapToGrid w:val="0"/>
        <w:spacing w:before="50" w:after="50" w:line="360" w:lineRule="auto"/>
        <w:jc w:val="left"/>
        <w:rPr>
          <w:rFonts w:hint="eastAsia" w:ascii="宋体" w:hAnsi="宋体"/>
          <w:sz w:val="24"/>
        </w:rPr>
      </w:pPr>
      <w:r>
        <w:rPr>
          <w:rFonts w:hint="eastAsia" w:ascii="宋体" w:hAnsi="宋体"/>
          <w:sz w:val="24"/>
        </w:rPr>
        <w:t xml:space="preserve">注: </w:t>
      </w:r>
    </w:p>
    <w:p>
      <w:pPr>
        <w:snapToGrid w:val="0"/>
        <w:spacing w:before="50" w:after="50" w:line="360" w:lineRule="auto"/>
        <w:ind w:firstLine="480" w:firstLineChars="200"/>
        <w:jc w:val="left"/>
        <w:rPr>
          <w:rFonts w:hint="eastAsia"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pPr>
        <w:snapToGrid w:val="0"/>
        <w:spacing w:before="50" w:after="50" w:line="360" w:lineRule="auto"/>
        <w:ind w:firstLine="480" w:firstLineChars="200"/>
        <w:jc w:val="left"/>
        <w:rPr>
          <w:rFonts w:hint="eastAsia"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pPr>
        <w:snapToGrid w:val="0"/>
        <w:spacing w:before="50" w:after="50" w:line="360" w:lineRule="auto"/>
        <w:ind w:firstLine="480" w:firstLineChars="200"/>
        <w:jc w:val="left"/>
        <w:rPr>
          <w:rFonts w:hint="eastAsia" w:ascii="宋体" w:hAnsi="宋体"/>
          <w:sz w:val="24"/>
        </w:rPr>
      </w:pPr>
      <w:r>
        <w:rPr>
          <w:rFonts w:hint="eastAsia" w:ascii="宋体" w:hAnsi="宋体"/>
          <w:sz w:val="24"/>
        </w:rPr>
        <w:t>3.如为联合体投标，“投标人名称”处必须列明联合体各方名称，并标注联合体牵头人名称，</w:t>
      </w:r>
      <w:r>
        <w:rPr>
          <w:rFonts w:hint="eastAsia" w:ascii="宋体" w:hAnsi="宋体"/>
          <w:b/>
          <w:sz w:val="24"/>
        </w:rPr>
        <w:t>否则其投标作无效标处理。</w:t>
      </w:r>
    </w:p>
    <w:p>
      <w:pPr>
        <w:snapToGrid w:val="0"/>
        <w:spacing w:before="50" w:after="50" w:line="360" w:lineRule="auto"/>
        <w:ind w:firstLine="456" w:firstLineChars="200"/>
        <w:jc w:val="left"/>
        <w:rPr>
          <w:rFonts w:hint="eastAsia" w:ascii="宋体" w:hAnsi="宋体"/>
          <w:spacing w:val="-6"/>
          <w:sz w:val="24"/>
        </w:rPr>
      </w:pPr>
      <w:r>
        <w:rPr>
          <w:rFonts w:hint="eastAsia" w:ascii="宋体" w:hAnsi="宋体"/>
          <w:spacing w:val="-6"/>
          <w:sz w:val="24"/>
        </w:rPr>
        <w:t>4.如为联合体投标，盖章处须加盖联合体各方公章，</w:t>
      </w:r>
      <w:r>
        <w:rPr>
          <w:rFonts w:hint="eastAsia" w:ascii="宋体" w:hAnsi="宋体"/>
          <w:b/>
          <w:spacing w:val="-6"/>
          <w:sz w:val="24"/>
        </w:rPr>
        <w:t>否则其投标作无效标处理。</w:t>
      </w:r>
    </w:p>
    <w:p>
      <w:pPr>
        <w:snapToGrid w:val="0"/>
        <w:spacing w:before="50" w:after="50" w:line="360" w:lineRule="auto"/>
        <w:ind w:firstLine="480" w:firstLineChars="200"/>
        <w:rPr>
          <w:rFonts w:hint="eastAsia" w:ascii="宋体" w:hAnsi="宋体"/>
          <w:b/>
          <w:sz w:val="24"/>
        </w:rPr>
      </w:pPr>
      <w:r>
        <w:rPr>
          <w:rFonts w:hint="eastAsia" w:ascii="宋体" w:hAnsi="宋体"/>
          <w:sz w:val="24"/>
        </w:rPr>
        <w:t>5.如有多分标，按分标分别提供开标一览表，</w:t>
      </w:r>
      <w:r>
        <w:rPr>
          <w:rFonts w:hint="eastAsia" w:ascii="宋体" w:hAnsi="宋体"/>
          <w:b/>
          <w:sz w:val="24"/>
        </w:rPr>
        <w:t>否则投标无效。</w:t>
      </w:r>
    </w:p>
    <w:p>
      <w:pPr>
        <w:snapToGrid w:val="0"/>
        <w:spacing w:before="50" w:after="50" w:line="360" w:lineRule="auto"/>
        <w:ind w:firstLine="480" w:firstLineChars="200"/>
        <w:rPr>
          <w:rFonts w:ascii="宋体" w:hAnsi="宋体"/>
          <w:b/>
          <w:sz w:val="24"/>
        </w:rPr>
      </w:pPr>
      <w:r>
        <w:rPr>
          <w:rFonts w:hint="eastAsia" w:ascii="宋体" w:hAnsi="宋体"/>
          <w:sz w:val="24"/>
        </w:rPr>
        <w:t>6.</w:t>
      </w:r>
      <w:r>
        <w:rPr>
          <w:rFonts w:hint="eastAsia" w:ascii="宋体" w:hAnsi="宋体"/>
          <w:bCs/>
          <w:sz w:val="24"/>
        </w:rPr>
        <w:t>报价必须满足</w:t>
      </w:r>
      <w:r>
        <w:rPr>
          <w:rFonts w:hint="eastAsia" w:ascii="宋体" w:hAnsi="宋体"/>
          <w:b/>
          <w:sz w:val="24"/>
        </w:rPr>
        <w:t>3KW机柜（单个）/年租赁费≤33488元</w:t>
      </w:r>
      <w:r>
        <w:rPr>
          <w:rFonts w:hint="eastAsia" w:ascii="宋体" w:hAnsi="宋体"/>
          <w:bCs/>
          <w:sz w:val="24"/>
        </w:rPr>
        <w:t>、</w:t>
      </w:r>
      <w:r>
        <w:rPr>
          <w:rFonts w:hint="eastAsia" w:ascii="宋体" w:hAnsi="宋体"/>
          <w:b/>
          <w:sz w:val="24"/>
        </w:rPr>
        <w:t>8KW机柜（单个）/年租赁费≤6976</w:t>
      </w:r>
      <w:r>
        <w:rPr>
          <w:rFonts w:ascii="宋体" w:hAnsi="宋体"/>
          <w:b/>
          <w:sz w:val="24"/>
        </w:rPr>
        <w:t>5</w:t>
      </w:r>
      <w:r>
        <w:rPr>
          <w:rFonts w:hint="eastAsia" w:ascii="宋体" w:hAnsi="宋体"/>
          <w:b/>
          <w:sz w:val="24"/>
        </w:rPr>
        <w:t>元</w:t>
      </w:r>
      <w:r>
        <w:rPr>
          <w:rFonts w:hint="eastAsia" w:ascii="宋体" w:hAnsi="宋体"/>
          <w:bCs/>
          <w:sz w:val="24"/>
        </w:rPr>
        <w:t>。</w:t>
      </w:r>
    </w:p>
    <w:p>
      <w:pPr>
        <w:snapToGrid w:val="0"/>
        <w:spacing w:before="50" w:after="50" w:line="360" w:lineRule="auto"/>
        <w:ind w:firstLine="482" w:firstLineChars="200"/>
        <w:rPr>
          <w:rFonts w:hint="eastAsia" w:ascii="宋体" w:hAnsi="宋体"/>
          <w:b/>
          <w:sz w:val="24"/>
        </w:rPr>
      </w:pPr>
    </w:p>
    <w:p>
      <w:pPr>
        <w:snapToGrid w:val="0"/>
        <w:spacing w:before="50" w:after="50" w:line="360" w:lineRule="auto"/>
        <w:ind w:left="-2" w:leftChars="-1" w:right="-817" w:rightChars="-389"/>
        <w:rPr>
          <w:rFonts w:hint="eastAsia" w:ascii="宋体" w:hAnsi="宋体"/>
          <w:sz w:val="24"/>
        </w:rPr>
      </w:pPr>
      <w:r>
        <w:rPr>
          <w:rFonts w:hint="eastAsia" w:ascii="宋体" w:hAnsi="宋体"/>
          <w:sz w:val="24"/>
        </w:rPr>
        <w:t xml:space="preserve">法定代表人或者委托代理人（签字）：                    </w:t>
      </w:r>
    </w:p>
    <w:p>
      <w:pPr>
        <w:snapToGrid w:val="0"/>
        <w:spacing w:before="50" w:after="50" w:line="360" w:lineRule="auto"/>
        <w:ind w:left="-3" w:leftChars="-15" w:right="-817" w:rightChars="-389" w:hanging="28" w:hangingChars="12"/>
        <w:rPr>
          <w:rFonts w:hint="eastAsia" w:ascii="宋体" w:hAnsi="宋体"/>
          <w:sz w:val="24"/>
        </w:rPr>
      </w:pPr>
      <w:r>
        <w:rPr>
          <w:rFonts w:hint="eastAsia" w:ascii="宋体" w:hAnsi="宋体"/>
          <w:sz w:val="24"/>
        </w:rPr>
        <w:t>投标人（盖公章）：                                 日期：    年   月   日</w:t>
      </w:r>
    </w:p>
    <w:p>
      <w:pPr>
        <w:snapToGrid w:val="0"/>
        <w:spacing w:before="50" w:after="50" w:line="360" w:lineRule="auto"/>
        <w:ind w:right="-817" w:rightChars="-389"/>
        <w:rPr>
          <w:rFonts w:hint="eastAsia"/>
          <w:b/>
          <w:sz w:val="28"/>
          <w:szCs w:val="28"/>
        </w:rPr>
      </w:pPr>
      <w:r>
        <w:rPr>
          <w:rFonts w:hint="eastAsia" w:ascii="宋体" w:hAnsi="宋体"/>
          <w:sz w:val="24"/>
        </w:rPr>
        <w:br w:type="page"/>
      </w:r>
      <w:bookmarkStart w:id="151" w:name="_Toc19686837"/>
      <w:r>
        <w:rPr>
          <w:rFonts w:hint="eastAsia"/>
          <w:b/>
          <w:sz w:val="28"/>
          <w:szCs w:val="28"/>
        </w:rPr>
        <w:t>二、资格证明文件格式</w:t>
      </w:r>
      <w:bookmarkEnd w:id="149"/>
      <w:bookmarkEnd w:id="150"/>
      <w:bookmarkEnd w:id="151"/>
    </w:p>
    <w:p>
      <w:pPr>
        <w:numPr>
          <w:ilvl w:val="2"/>
          <w:numId w:val="10"/>
        </w:numPr>
        <w:snapToGrid w:val="0"/>
        <w:spacing w:before="120" w:beforeLines="50" w:after="50" w:line="360" w:lineRule="auto"/>
        <w:ind w:left="0" w:firstLine="0"/>
        <w:jc w:val="left"/>
        <w:rPr>
          <w:rFonts w:hint="eastAsia" w:ascii="宋体" w:hAnsi="宋体"/>
          <w:b/>
          <w:sz w:val="24"/>
        </w:rPr>
      </w:pPr>
      <w:r>
        <w:rPr>
          <w:rFonts w:hint="eastAsia" w:ascii="宋体" w:hAnsi="宋体"/>
          <w:b/>
          <w:sz w:val="24"/>
        </w:rPr>
        <w:t xml:space="preserve">资格证明文件封面格式： </w:t>
      </w:r>
    </w:p>
    <w:p>
      <w:pPr>
        <w:snapToGrid w:val="0"/>
        <w:spacing w:before="120" w:beforeLines="50" w:after="50"/>
        <w:rPr>
          <w:rFonts w:hint="eastAsia" w:ascii="宋体" w:hAnsi="宋体"/>
          <w:bCs/>
          <w:sz w:val="32"/>
          <w:szCs w:val="20"/>
        </w:rPr>
      </w:pPr>
      <w:r>
        <w:rPr>
          <w:rFonts w:hint="eastAsia" w:ascii="宋体" w:hAnsi="宋体"/>
          <w:sz w:val="24"/>
        </w:rPr>
        <w:t xml:space="preserve">                                                   </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
          <w:sz w:val="24"/>
          <w:szCs w:val="20"/>
        </w:rPr>
      </w:pPr>
      <w:r>
        <w:rPr>
          <w:rFonts w:hint="eastAsia" w:ascii="宋体" w:hAnsi="宋体"/>
          <w:b/>
          <w:sz w:val="32"/>
          <w:szCs w:val="32"/>
        </w:rPr>
        <w:t>资 格 证 明 文 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pPr>
        <w:snapToGrid w:val="0"/>
        <w:spacing w:before="120" w:beforeLines="50" w:after="50"/>
        <w:ind w:firstLine="540" w:firstLineChars="225"/>
        <w:rPr>
          <w:rFonts w:hint="eastAsia" w:ascii="宋体" w:hAnsi="宋体"/>
          <w:bCs/>
          <w:sz w:val="24"/>
          <w:szCs w:val="20"/>
        </w:rPr>
      </w:pPr>
    </w:p>
    <w:p>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pPr>
        <w:snapToGrid w:val="0"/>
        <w:spacing w:before="120" w:beforeLines="50" w:after="50"/>
        <w:ind w:firstLine="540" w:firstLineChars="225"/>
        <w:rPr>
          <w:rFonts w:hint="eastAsia" w:ascii="宋体" w:hAnsi="宋体"/>
          <w:bCs/>
          <w:sz w:val="24"/>
          <w:szCs w:val="20"/>
        </w:rPr>
      </w:pPr>
      <w:r>
        <w:rPr>
          <w:rFonts w:hint="eastAsia" w:ascii="宋体" w:hAnsi="宋体"/>
          <w:bCs/>
          <w:sz w:val="24"/>
        </w:rPr>
        <w:t xml:space="preserve"> </w:t>
      </w:r>
    </w:p>
    <w:p>
      <w:pPr>
        <w:snapToGrid w:val="0"/>
        <w:spacing w:before="120" w:beforeLines="50" w:after="50"/>
        <w:ind w:firstLine="540" w:firstLineChars="225"/>
        <w:rPr>
          <w:rFonts w:hint="eastAsia" w:ascii="宋体" w:hAnsi="宋体"/>
          <w:bCs/>
          <w:sz w:val="24"/>
        </w:rPr>
      </w:pPr>
      <w:r>
        <w:rPr>
          <w:rFonts w:hint="eastAsia" w:ascii="宋体" w:hAnsi="宋体"/>
          <w:bCs/>
          <w:sz w:val="24"/>
        </w:rPr>
        <w:t>所投分标：</w:t>
      </w:r>
    </w:p>
    <w:p>
      <w:pPr>
        <w:pStyle w:val="6"/>
        <w:snapToGrid w:val="0"/>
        <w:spacing w:before="50" w:after="50"/>
        <w:ind w:firstLine="540" w:firstLineChars="225"/>
        <w:rPr>
          <w:rFonts w:hint="eastAsia" w:ascii="宋体" w:hAnsi="宋体"/>
          <w:bCs/>
          <w:sz w:val="24"/>
          <w:szCs w:val="24"/>
        </w:rPr>
      </w:pPr>
    </w:p>
    <w:p>
      <w:pPr>
        <w:pStyle w:val="6"/>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pPr>
        <w:pStyle w:val="6"/>
        <w:snapToGrid w:val="0"/>
        <w:spacing w:before="50" w:after="50"/>
        <w:ind w:firstLine="540" w:firstLineChars="225"/>
        <w:rPr>
          <w:rFonts w:hint="eastAsia" w:ascii="宋体" w:hAnsi="宋体"/>
          <w:bCs/>
          <w:sz w:val="24"/>
          <w:szCs w:val="24"/>
        </w:rPr>
      </w:pPr>
    </w:p>
    <w:p>
      <w:pPr>
        <w:pStyle w:val="6"/>
        <w:snapToGrid w:val="0"/>
        <w:spacing w:before="50" w:after="50"/>
        <w:ind w:firstLine="960" w:firstLineChars="400"/>
        <w:rPr>
          <w:rFonts w:hint="eastAsia" w:ascii="宋体" w:hAnsi="宋体"/>
          <w:bCs/>
          <w:sz w:val="24"/>
          <w:szCs w:val="24"/>
        </w:rPr>
      </w:pPr>
    </w:p>
    <w:p>
      <w:pPr>
        <w:snapToGrid w:val="0"/>
        <w:spacing w:before="120" w:beforeLines="50" w:after="50"/>
        <w:ind w:firstLine="645"/>
        <w:jc w:val="center"/>
        <w:rPr>
          <w:rFonts w:ascii="宋体" w:hAnsi="宋体"/>
          <w:sz w:val="24"/>
        </w:rPr>
      </w:pPr>
      <w:r>
        <w:rPr>
          <w:rFonts w:hint="eastAsia" w:ascii="宋体" w:hAnsi="宋体"/>
          <w:sz w:val="24"/>
        </w:rPr>
        <w:t>年  月  日</w:t>
      </w:r>
    </w:p>
    <w:p>
      <w:pPr>
        <w:snapToGrid w:val="0"/>
        <w:spacing w:before="120" w:beforeLines="50" w:after="50"/>
        <w:rPr>
          <w:rFonts w:ascii="宋体" w:hAnsi="宋体"/>
          <w:sz w:val="24"/>
          <w:szCs w:val="20"/>
        </w:rPr>
      </w:pPr>
      <w:r>
        <w:rPr>
          <w:rFonts w:ascii="宋体" w:hAnsi="宋体"/>
          <w:sz w:val="24"/>
          <w:szCs w:val="20"/>
        </w:rPr>
        <w:t xml:space="preserve"> </w:t>
      </w:r>
    </w:p>
    <w:p>
      <w:pPr>
        <w:snapToGrid w:val="0"/>
        <w:spacing w:before="120" w:beforeLines="50" w:after="50"/>
        <w:rPr>
          <w:rFonts w:hint="eastAsia" w:ascii="宋体" w:hAnsi="宋体"/>
          <w:sz w:val="24"/>
          <w:szCs w:val="20"/>
        </w:rPr>
      </w:pPr>
    </w:p>
    <w:p>
      <w:pPr>
        <w:numPr>
          <w:ilvl w:val="2"/>
          <w:numId w:val="10"/>
        </w:numPr>
        <w:snapToGrid w:val="0"/>
        <w:spacing w:before="120" w:beforeLines="50" w:after="50" w:line="360" w:lineRule="auto"/>
        <w:ind w:left="0" w:firstLine="0"/>
        <w:jc w:val="left"/>
        <w:rPr>
          <w:rFonts w:hint="eastAsia" w:ascii="宋体" w:hAnsi="宋体"/>
          <w:sz w:val="24"/>
          <w:szCs w:val="20"/>
        </w:rPr>
      </w:pPr>
      <w:r>
        <w:rPr>
          <w:rFonts w:ascii="宋体" w:hAnsi="宋体"/>
          <w:b/>
          <w:bCs/>
          <w:sz w:val="24"/>
        </w:rPr>
        <w:br w:type="page"/>
      </w:r>
      <w:r>
        <w:rPr>
          <w:rFonts w:hint="eastAsia" w:ascii="宋体" w:hAnsi="宋体"/>
          <w:b/>
          <w:bCs/>
          <w:sz w:val="24"/>
        </w:rPr>
        <w:t>资格证明文件目录</w:t>
      </w:r>
    </w:p>
    <w:p>
      <w:pPr>
        <w:snapToGrid w:val="0"/>
        <w:spacing w:line="360" w:lineRule="auto"/>
        <w:ind w:firstLine="420" w:firstLineChars="200"/>
        <w:jc w:val="left"/>
        <w:rPr>
          <w:rFonts w:hint="eastAsia" w:ascii="宋体" w:hAnsi="宋体"/>
          <w:szCs w:val="21"/>
        </w:rPr>
      </w:pPr>
      <w:r>
        <w:rPr>
          <w:rFonts w:hint="eastAsia" w:ascii="宋体" w:hAnsi="宋体"/>
          <w:szCs w:val="21"/>
        </w:rPr>
        <w:t>根据招标文件规定及投标人提供的材料自行编写目录。</w:t>
      </w:r>
    </w:p>
    <w:p>
      <w:pPr>
        <w:snapToGrid w:val="0"/>
        <w:spacing w:before="50" w:after="120" w:afterLines="50"/>
        <w:jc w:val="left"/>
        <w:rPr>
          <w:rFonts w:hint="eastAsia" w:ascii="宋体" w:hAnsi="宋体"/>
          <w:sz w:val="24"/>
        </w:rPr>
      </w:pPr>
    </w:p>
    <w:p>
      <w:pPr>
        <w:snapToGrid w:val="0"/>
        <w:spacing w:before="50" w:after="120" w:afterLines="50"/>
        <w:jc w:val="left"/>
        <w:rPr>
          <w:rFonts w:hint="eastAsia" w:ascii="宋体" w:hAnsi="宋体"/>
          <w:sz w:val="24"/>
        </w:rPr>
      </w:pPr>
    </w:p>
    <w:p>
      <w:pPr>
        <w:numPr>
          <w:ilvl w:val="2"/>
          <w:numId w:val="10"/>
        </w:numPr>
        <w:snapToGrid w:val="0"/>
        <w:spacing w:before="120" w:beforeLines="50" w:after="50"/>
        <w:ind w:left="0" w:firstLine="0"/>
        <w:jc w:val="left"/>
        <w:rPr>
          <w:rFonts w:hint="eastAsia" w:ascii="宋体" w:hAnsi="宋体"/>
          <w:b/>
          <w:sz w:val="24"/>
        </w:rPr>
      </w:pPr>
      <w:r>
        <w:rPr>
          <w:rFonts w:ascii="宋体" w:hAnsi="宋体"/>
          <w:b/>
          <w:sz w:val="24"/>
        </w:rPr>
        <w:br w:type="page"/>
      </w:r>
      <w:r>
        <w:rPr>
          <w:rFonts w:hint="eastAsia" w:ascii="宋体" w:hAnsi="宋体"/>
          <w:b/>
          <w:sz w:val="28"/>
          <w:szCs w:val="28"/>
        </w:rPr>
        <w:t>投标人直接控股、管理关系信息表</w:t>
      </w:r>
    </w:p>
    <w:p>
      <w:pPr>
        <w:snapToGrid w:val="0"/>
        <w:spacing w:before="50" w:after="120" w:afterLines="50"/>
        <w:jc w:val="center"/>
        <w:rPr>
          <w:rFonts w:hint="eastAsia" w:ascii="宋体" w:hAnsi="宋体"/>
          <w:b/>
          <w:sz w:val="28"/>
          <w:szCs w:val="28"/>
        </w:rPr>
      </w:pPr>
    </w:p>
    <w:p>
      <w:pPr>
        <w:snapToGrid w:val="0"/>
        <w:spacing w:before="50" w:after="120" w:afterLines="50" w:line="360" w:lineRule="auto"/>
        <w:jc w:val="center"/>
        <w:rPr>
          <w:rFonts w:hint="eastAsia" w:ascii="宋体" w:hAnsi="宋体"/>
          <w:b/>
          <w:sz w:val="32"/>
          <w:szCs w:val="32"/>
        </w:rPr>
      </w:pPr>
      <w:r>
        <w:rPr>
          <w:rFonts w:hint="eastAsia" w:ascii="宋体" w:hAnsi="宋体"/>
          <w:b/>
          <w:sz w:val="32"/>
          <w:szCs w:val="32"/>
        </w:rPr>
        <w:t>投标人直接控股股东信息表</w:t>
      </w:r>
    </w:p>
    <w:tbl>
      <w:tblPr>
        <w:tblStyle w:val="1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hint="eastAsia" w:ascii="宋体" w:hAnsi="宋体"/>
          <w:sz w:val="24"/>
        </w:rPr>
      </w:pPr>
      <w:r>
        <w:rPr>
          <w:rFonts w:hint="eastAsia" w:ascii="宋体" w:hAnsi="宋体"/>
          <w:sz w:val="24"/>
        </w:rPr>
        <w:t>注：</w:t>
      </w:r>
    </w:p>
    <w:p>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sz w:val="24"/>
        </w:rPr>
      </w:pPr>
      <w:r>
        <w:rPr>
          <w:rFonts w:hint="eastAsia" w:ascii="宋体" w:hAnsi="宋体"/>
          <w:sz w:val="24"/>
        </w:rPr>
        <w:t>3.投标人不存在直接控股股东的，则填“无”。</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before="120" w:beforeLines="50" w:line="360" w:lineRule="auto"/>
        <w:ind w:right="480" w:firstLine="3967" w:firstLineChars="1653"/>
        <w:rPr>
          <w:rFonts w:hint="eastAsia"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pPr>
        <w:snapToGrid w:val="0"/>
        <w:spacing w:before="120" w:beforeLines="50" w:after="50" w:line="360" w:lineRule="auto"/>
        <w:ind w:right="480" w:firstLine="5520" w:firstLineChars="2300"/>
        <w:rPr>
          <w:rFonts w:hint="eastAsia" w:ascii="宋体" w:hAnsi="宋体"/>
          <w:sz w:val="24"/>
          <w:u w:val="single"/>
        </w:rPr>
      </w:pPr>
      <w:r>
        <w:rPr>
          <w:rFonts w:hint="eastAsia" w:ascii="宋体" w:hAnsi="宋体"/>
          <w:sz w:val="24"/>
        </w:rPr>
        <w:t>投标人（盖公章）：</w:t>
      </w:r>
      <w:r>
        <w:rPr>
          <w:rFonts w:hint="eastAsia" w:ascii="宋体" w:hAnsi="宋体"/>
          <w:sz w:val="24"/>
          <w:u w:val="single"/>
        </w:rPr>
        <w:t xml:space="preserve">                 </w:t>
      </w:r>
    </w:p>
    <w:p>
      <w:pPr>
        <w:snapToGrid w:val="0"/>
        <w:spacing w:before="120" w:beforeLines="50" w:after="50" w:line="360" w:lineRule="auto"/>
        <w:ind w:right="480" w:firstLine="5520" w:firstLineChars="2300"/>
        <w:rPr>
          <w:rFonts w:hint="eastAsia" w:ascii="宋体" w:hAnsi="宋体"/>
          <w:szCs w:val="21"/>
        </w:rPr>
      </w:pPr>
      <w:r>
        <w:rPr>
          <w:rFonts w:hint="eastAsia" w:ascii="宋体" w:hAnsi="宋体"/>
          <w:sz w:val="24"/>
        </w:rPr>
        <w:t>年    月    日</w:t>
      </w:r>
    </w:p>
    <w:p>
      <w:pPr>
        <w:snapToGrid w:val="0"/>
        <w:jc w:val="center"/>
        <w:rPr>
          <w:rFonts w:hint="eastAsia" w:ascii="宋体" w:hAnsi="宋体"/>
          <w:b/>
          <w:sz w:val="28"/>
          <w:szCs w:val="28"/>
        </w:rPr>
      </w:pPr>
    </w:p>
    <w:p>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p>
    <w:tbl>
      <w:tblPr>
        <w:tblStyle w:val="18"/>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jc w:val="left"/>
        <w:rPr>
          <w:rFonts w:hint="eastAsia" w:ascii="宋体" w:hAnsi="宋体"/>
          <w:sz w:val="24"/>
        </w:rPr>
      </w:pPr>
      <w:r>
        <w:rPr>
          <w:rFonts w:hint="eastAsia" w:ascii="宋体" w:hAnsi="宋体"/>
          <w:sz w:val="24"/>
        </w:rPr>
        <w:t>注：</w:t>
      </w:r>
    </w:p>
    <w:p>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hint="eastAsia" w:ascii="宋体" w:hAnsi="宋体"/>
          <w:sz w:val="24"/>
        </w:rPr>
      </w:pPr>
      <w:r>
        <w:rPr>
          <w:rFonts w:hint="eastAsia" w:ascii="宋体" w:hAnsi="宋体"/>
          <w:sz w:val="24"/>
        </w:rPr>
        <w:t>3.投标人不存在直接管理关系的，则填“无”。</w:t>
      </w: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ascii="宋体" w:hAnsi="宋体"/>
          <w:sz w:val="24"/>
        </w:rPr>
      </w:pPr>
    </w:p>
    <w:p>
      <w:pPr>
        <w:snapToGrid w:val="0"/>
        <w:spacing w:line="360" w:lineRule="auto"/>
        <w:jc w:val="left"/>
        <w:rPr>
          <w:rFonts w:hint="eastAsia"/>
          <w:sz w:val="24"/>
        </w:rPr>
      </w:pPr>
    </w:p>
    <w:p>
      <w:pPr>
        <w:snapToGrid w:val="0"/>
        <w:spacing w:line="360" w:lineRule="auto"/>
        <w:jc w:val="left"/>
        <w:rPr>
          <w:rFonts w:hint="eastAsia"/>
          <w:sz w:val="24"/>
        </w:rPr>
      </w:pPr>
    </w:p>
    <w:p>
      <w:pPr>
        <w:snapToGrid w:val="0"/>
        <w:spacing w:line="360" w:lineRule="auto"/>
        <w:jc w:val="left"/>
        <w:rPr>
          <w:rFonts w:hint="eastAsia"/>
          <w:sz w:val="24"/>
        </w:rPr>
      </w:pPr>
    </w:p>
    <w:p>
      <w:pPr>
        <w:snapToGrid w:val="0"/>
        <w:spacing w:line="360" w:lineRule="auto"/>
        <w:jc w:val="left"/>
        <w:rPr>
          <w:rFonts w:hint="eastAsia" w:ascii="宋体" w:hAnsi="宋体"/>
          <w:sz w:val="24"/>
        </w:rPr>
      </w:pPr>
    </w:p>
    <w:p>
      <w:pPr>
        <w:snapToGrid w:val="0"/>
        <w:spacing w:before="120" w:beforeLines="50" w:line="360" w:lineRule="auto"/>
        <w:ind w:right="480" w:firstLine="3967" w:firstLineChars="1653"/>
        <w:rPr>
          <w:rFonts w:hint="eastAsia"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pPr>
        <w:snapToGrid w:val="0"/>
        <w:spacing w:before="120" w:beforeLines="50" w:after="50" w:line="360" w:lineRule="auto"/>
        <w:ind w:right="480" w:firstLine="5520" w:firstLineChars="2300"/>
        <w:rPr>
          <w:rFonts w:hint="eastAsia" w:ascii="宋体" w:hAnsi="宋体"/>
          <w:sz w:val="24"/>
        </w:rPr>
      </w:pPr>
      <w:r>
        <w:rPr>
          <w:rFonts w:hint="eastAsia" w:ascii="宋体" w:hAnsi="宋体"/>
          <w:sz w:val="24"/>
        </w:rPr>
        <w:t>投标人（盖公章）：</w:t>
      </w:r>
      <w:r>
        <w:rPr>
          <w:rFonts w:hint="eastAsia" w:ascii="宋体" w:hAnsi="宋体"/>
          <w:sz w:val="24"/>
          <w:u w:val="single"/>
        </w:rPr>
        <w:t xml:space="preserve">                 </w:t>
      </w:r>
    </w:p>
    <w:p>
      <w:pPr>
        <w:snapToGrid w:val="0"/>
        <w:spacing w:before="120" w:beforeLines="50" w:after="50" w:line="360" w:lineRule="auto"/>
        <w:ind w:right="480" w:firstLine="240" w:firstLineChars="100"/>
        <w:jc w:val="right"/>
        <w:rPr>
          <w:rFonts w:hint="eastAsia" w:ascii="宋体" w:hAnsi="宋体"/>
          <w:sz w:val="24"/>
        </w:rPr>
      </w:pPr>
      <w:r>
        <w:rPr>
          <w:rFonts w:hint="eastAsia" w:ascii="宋体" w:hAnsi="宋体"/>
          <w:sz w:val="24"/>
        </w:rPr>
        <w:t xml:space="preserve"> 年    月    日</w:t>
      </w:r>
    </w:p>
    <w:p>
      <w:pPr>
        <w:snapToGrid w:val="0"/>
        <w:spacing w:before="50" w:after="120" w:afterLines="50"/>
        <w:jc w:val="left"/>
        <w:rPr>
          <w:rFonts w:hint="eastAsia" w:ascii="宋体" w:hAnsi="宋体"/>
          <w:szCs w:val="21"/>
        </w:rPr>
      </w:pPr>
    </w:p>
    <w:p>
      <w:pPr>
        <w:snapToGrid w:val="0"/>
        <w:spacing w:before="120" w:beforeLines="50" w:after="50"/>
        <w:jc w:val="left"/>
        <w:rPr>
          <w:rFonts w:hint="eastAsia" w:ascii="宋体" w:hAnsi="宋体"/>
          <w:b/>
          <w:sz w:val="24"/>
          <w:szCs w:val="20"/>
        </w:rPr>
      </w:pPr>
    </w:p>
    <w:p>
      <w:pPr>
        <w:numPr>
          <w:ilvl w:val="2"/>
          <w:numId w:val="10"/>
        </w:numPr>
        <w:snapToGrid w:val="0"/>
        <w:spacing w:before="120" w:beforeLines="50" w:after="50"/>
        <w:ind w:left="0" w:firstLine="0"/>
        <w:jc w:val="left"/>
        <w:rPr>
          <w:rFonts w:hint="eastAsia" w:ascii="宋体" w:hAnsi="宋体"/>
          <w:b/>
          <w:sz w:val="24"/>
          <w:szCs w:val="20"/>
        </w:rPr>
      </w:pPr>
      <w:r>
        <w:rPr>
          <w:rFonts w:ascii="宋体" w:hAnsi="宋体"/>
          <w:b/>
          <w:sz w:val="24"/>
        </w:rPr>
        <w:br w:type="page"/>
      </w:r>
      <w:r>
        <w:rPr>
          <w:rFonts w:hint="eastAsia" w:ascii="宋体" w:hAnsi="宋体"/>
          <w:b/>
          <w:sz w:val="24"/>
        </w:rPr>
        <w:t>投标声明格式</w:t>
      </w:r>
    </w:p>
    <w:p>
      <w:pPr>
        <w:snapToGrid w:val="0"/>
        <w:spacing w:before="50" w:after="120" w:afterLines="50"/>
        <w:jc w:val="left"/>
        <w:rPr>
          <w:rFonts w:hint="eastAsia" w:ascii="宋体" w:hAnsi="宋体"/>
        </w:rPr>
      </w:pPr>
    </w:p>
    <w:p>
      <w:pPr>
        <w:snapToGrid w:val="0"/>
        <w:spacing w:before="50" w:after="120" w:afterLines="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投标声明</w:t>
      </w:r>
    </w:p>
    <w:p>
      <w:pPr>
        <w:snapToGrid w:val="0"/>
        <w:spacing w:before="50" w:after="120" w:afterLines="50"/>
        <w:jc w:val="center"/>
        <w:rPr>
          <w:rFonts w:hint="eastAsia" w:ascii="方正小标宋简体" w:hAnsi="方正小标宋简体" w:eastAsia="方正小标宋简体" w:cs="方正小标宋简体"/>
          <w:bCs/>
          <w:sz w:val="44"/>
          <w:szCs w:val="44"/>
        </w:rPr>
      </w:pPr>
    </w:p>
    <w:p>
      <w:pPr>
        <w:spacing w:line="400" w:lineRule="exact"/>
        <w:contextualSpacing/>
        <w:jc w:val="left"/>
        <w:rPr>
          <w:rFonts w:hint="eastAsia"/>
          <w:sz w:val="24"/>
        </w:rPr>
      </w:pPr>
      <w:r>
        <w:rPr>
          <w:rFonts w:hint="eastAsia"/>
          <w:sz w:val="24"/>
        </w:rPr>
        <w:t>（采购人名称）：</w:t>
      </w:r>
    </w:p>
    <w:p>
      <w:pPr>
        <w:spacing w:line="400" w:lineRule="exact"/>
        <w:ind w:firstLine="523" w:firstLineChars="218"/>
        <w:contextualSpacing/>
        <w:jc w:val="left"/>
        <w:rPr>
          <w:rFonts w:hint="eastAsia"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pPr>
        <w:spacing w:line="400" w:lineRule="exact"/>
        <w:ind w:firstLine="480" w:firstLineChars="200"/>
        <w:contextualSpacing/>
        <w:jc w:val="left"/>
        <w:rPr>
          <w:rFonts w:hint="eastAsia" w:ascii="宋体" w:hAnsi="宋体"/>
          <w:sz w:val="24"/>
        </w:rPr>
      </w:pPr>
      <w:r>
        <w:rPr>
          <w:rFonts w:hint="eastAsia" w:ascii="宋体" w:hAnsi="宋体"/>
          <w:sz w:val="24"/>
        </w:rPr>
        <w:t>1.我方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投标人资格条件，我方对此声明负全部法律责任。</w:t>
      </w:r>
    </w:p>
    <w:p>
      <w:pPr>
        <w:spacing w:line="400" w:lineRule="exact"/>
        <w:ind w:firstLine="480" w:firstLineChars="200"/>
        <w:contextualSpacing/>
        <w:jc w:val="left"/>
        <w:rPr>
          <w:rFonts w:hint="eastAsia" w:ascii="宋体" w:hAnsi="宋体"/>
          <w:sz w:val="24"/>
        </w:rPr>
      </w:pPr>
      <w:r>
        <w:rPr>
          <w:rFonts w:hint="eastAsia" w:ascii="宋体" w:hAnsi="宋体"/>
          <w:sz w:val="24"/>
        </w:rPr>
        <w:t>2.我方不是为本次采购项目提供整体设计、规范编制或者项目管理、监理、检测等服务的投标人。</w:t>
      </w:r>
    </w:p>
    <w:p>
      <w:pPr>
        <w:spacing w:line="400" w:lineRule="exact"/>
        <w:ind w:firstLine="480" w:firstLineChars="200"/>
        <w:contextualSpacing/>
        <w:jc w:val="left"/>
        <w:rPr>
          <w:rFonts w:hint="eastAsia" w:ascii="宋体" w:hAnsi="宋体"/>
          <w:sz w:val="24"/>
        </w:rPr>
      </w:pPr>
      <w:r>
        <w:rPr>
          <w:rFonts w:hint="eastAsia" w:ascii="宋体" w:hAnsi="宋体"/>
          <w:sz w:val="24"/>
        </w:rPr>
        <w:t>3. 我方承诺符合《中华人民共和国政府采购法》第二十二条规定：</w:t>
      </w:r>
    </w:p>
    <w:p>
      <w:pPr>
        <w:spacing w:line="400" w:lineRule="exact"/>
        <w:ind w:firstLine="480" w:firstLineChars="200"/>
        <w:contextualSpacing/>
        <w:jc w:val="left"/>
        <w:rPr>
          <w:rFonts w:ascii="宋体" w:hAnsi="宋体"/>
          <w:sz w:val="24"/>
        </w:rPr>
      </w:pPr>
      <w:r>
        <w:rPr>
          <w:rFonts w:hint="eastAsia" w:ascii="宋体" w:hAnsi="宋体"/>
          <w:sz w:val="24"/>
        </w:rPr>
        <w:t>（一）具有独立承担民事责任的能力；</w:t>
      </w:r>
    </w:p>
    <w:p>
      <w:pPr>
        <w:spacing w:line="400" w:lineRule="exact"/>
        <w:ind w:firstLine="480" w:firstLineChars="200"/>
        <w:contextualSpacing/>
        <w:jc w:val="left"/>
        <w:rPr>
          <w:rFonts w:ascii="宋体" w:hAnsi="宋体"/>
          <w:sz w:val="24"/>
        </w:rPr>
      </w:pPr>
      <w:r>
        <w:rPr>
          <w:rFonts w:hint="eastAsia" w:ascii="宋体" w:hAnsi="宋体"/>
          <w:sz w:val="24"/>
        </w:rPr>
        <w:t>（二）具有良好的商业信誉和健全的财务会计制度；</w:t>
      </w:r>
    </w:p>
    <w:p>
      <w:pPr>
        <w:spacing w:line="400" w:lineRule="exact"/>
        <w:ind w:firstLine="480" w:firstLineChars="200"/>
        <w:contextualSpacing/>
        <w:jc w:val="left"/>
        <w:rPr>
          <w:rFonts w:ascii="宋体" w:hAnsi="宋体"/>
          <w:sz w:val="24"/>
        </w:rPr>
      </w:pPr>
      <w:r>
        <w:rPr>
          <w:rFonts w:hint="eastAsia" w:ascii="宋体" w:hAnsi="宋体"/>
          <w:sz w:val="24"/>
        </w:rPr>
        <w:t>（三）具有履行合同所必需的设备和专业技术能力；</w:t>
      </w:r>
    </w:p>
    <w:p>
      <w:pPr>
        <w:spacing w:line="400" w:lineRule="exact"/>
        <w:ind w:firstLine="480" w:firstLineChars="200"/>
        <w:contextualSpacing/>
        <w:jc w:val="left"/>
        <w:rPr>
          <w:rFonts w:ascii="宋体" w:hAnsi="宋体"/>
          <w:sz w:val="24"/>
        </w:rPr>
      </w:pPr>
      <w:r>
        <w:rPr>
          <w:rFonts w:hint="eastAsia" w:ascii="宋体" w:hAnsi="宋体"/>
          <w:sz w:val="24"/>
        </w:rPr>
        <w:t>（四）有依法缴纳税收和社会保障资金的良好记录；</w:t>
      </w:r>
    </w:p>
    <w:p>
      <w:pPr>
        <w:spacing w:line="400" w:lineRule="exact"/>
        <w:ind w:firstLine="480" w:firstLineChars="200"/>
        <w:contextualSpacing/>
        <w:jc w:val="left"/>
        <w:rPr>
          <w:rFonts w:ascii="宋体" w:hAnsi="宋体"/>
          <w:sz w:val="24"/>
        </w:rPr>
      </w:pPr>
      <w:r>
        <w:rPr>
          <w:rFonts w:hint="eastAsia" w:ascii="宋体" w:hAnsi="宋体"/>
          <w:sz w:val="24"/>
        </w:rPr>
        <w:t>（五）参加政府采购活动前三年内，在经营活动中没有重大违法记录；</w:t>
      </w:r>
    </w:p>
    <w:p>
      <w:pPr>
        <w:spacing w:line="400" w:lineRule="exact"/>
        <w:ind w:firstLine="480" w:firstLineChars="200"/>
        <w:contextualSpacing/>
        <w:jc w:val="left"/>
        <w:rPr>
          <w:rFonts w:hint="eastAsia" w:ascii="宋体" w:hAnsi="宋体"/>
          <w:sz w:val="24"/>
        </w:rPr>
      </w:pPr>
      <w:r>
        <w:rPr>
          <w:rFonts w:hint="eastAsia" w:ascii="宋体" w:hAnsi="宋体"/>
          <w:sz w:val="24"/>
        </w:rPr>
        <w:t>（六）法律、行政法规规定的其他条件。</w:t>
      </w:r>
    </w:p>
    <w:p>
      <w:pPr>
        <w:spacing w:line="400" w:lineRule="exact"/>
        <w:ind w:firstLine="480" w:firstLineChars="200"/>
        <w:contextualSpacing/>
        <w:jc w:val="left"/>
        <w:rPr>
          <w:rFonts w:hint="eastAsia" w:ascii="宋体" w:hAnsi="宋体"/>
          <w:sz w:val="24"/>
        </w:rPr>
      </w:pPr>
      <w:r>
        <w:rPr>
          <w:rFonts w:hint="eastAsia" w:ascii="宋体" w:hAnsi="宋体"/>
          <w:sz w:val="24"/>
        </w:rPr>
        <w:t>4.以上事项如有虚假或者隐瞒，我方愿意承担一切后果，并不再寻求任何旨在减轻或者免除法律责任的辩解。</w:t>
      </w:r>
    </w:p>
    <w:p>
      <w:pPr>
        <w:spacing w:line="400" w:lineRule="exact"/>
        <w:contextualSpacing/>
        <w:jc w:val="left"/>
        <w:rPr>
          <w:rFonts w:ascii="宋体" w:hAnsi="宋体"/>
          <w:sz w:val="24"/>
        </w:rPr>
      </w:pPr>
      <w:r>
        <w:rPr>
          <w:rFonts w:hint="eastAsia" w:ascii="宋体" w:hAnsi="宋体"/>
          <w:sz w:val="24"/>
        </w:rPr>
        <w:t xml:space="preserve">    特此承诺。</w:t>
      </w:r>
    </w:p>
    <w:p>
      <w:pPr>
        <w:spacing w:line="400" w:lineRule="exact"/>
        <w:contextualSpacing/>
        <w:jc w:val="left"/>
        <w:rPr>
          <w:rFonts w:ascii="宋体" w:hAnsi="宋体"/>
          <w:b/>
          <w:sz w:val="24"/>
        </w:rPr>
      </w:pPr>
      <w:r>
        <w:rPr>
          <w:rFonts w:hint="eastAsia" w:ascii="宋体" w:hAnsi="宋体"/>
          <w:b/>
          <w:sz w:val="24"/>
        </w:rPr>
        <w:t xml:space="preserve">    注：如为联合体投标，盖章处须加盖联合体各方公章并由联合体各方法定代表人分别签字，否则投标无效。</w:t>
      </w:r>
    </w:p>
    <w:p>
      <w:pPr>
        <w:spacing w:line="400" w:lineRule="exact"/>
        <w:contextualSpacing/>
        <w:jc w:val="left"/>
        <w:rPr>
          <w:rFonts w:hint="eastAsia" w:ascii="宋体" w:hAnsi="宋体"/>
          <w:sz w:val="24"/>
        </w:rPr>
      </w:pPr>
      <w:r>
        <w:rPr>
          <w:rFonts w:hint="eastAsia" w:ascii="宋体" w:hAnsi="宋体"/>
          <w:sz w:val="24"/>
        </w:rPr>
        <w:t xml:space="preserve">                                          法定代表人（签字或者盖章）：</w:t>
      </w:r>
      <w:r>
        <w:rPr>
          <w:rFonts w:hint="eastAsia" w:ascii="宋体" w:hAnsi="宋体"/>
          <w:sz w:val="24"/>
          <w:u w:val="single"/>
        </w:rPr>
        <w:t xml:space="preserve">             </w:t>
      </w:r>
    </w:p>
    <w:p>
      <w:pPr>
        <w:spacing w:line="400" w:lineRule="exact"/>
        <w:contextualSpacing/>
        <w:jc w:val="left"/>
        <w:rPr>
          <w:rFonts w:hint="eastAsia" w:ascii="宋体" w:hAnsi="宋体"/>
          <w:sz w:val="24"/>
        </w:rPr>
      </w:pPr>
      <w:r>
        <w:rPr>
          <w:rFonts w:hint="eastAsia" w:ascii="宋体" w:hAnsi="宋体"/>
          <w:sz w:val="24"/>
        </w:rPr>
        <w:t xml:space="preserve">                                          投标人（盖公章）：</w:t>
      </w:r>
      <w:r>
        <w:rPr>
          <w:rFonts w:hint="eastAsia" w:ascii="宋体" w:hAnsi="宋体"/>
          <w:sz w:val="24"/>
          <w:u w:val="single"/>
        </w:rPr>
        <w:t xml:space="preserve">                 </w:t>
      </w:r>
    </w:p>
    <w:p>
      <w:pPr>
        <w:spacing w:line="400" w:lineRule="exact"/>
        <w:contextualSpacing/>
        <w:jc w:val="left"/>
        <w:rPr>
          <w:rFonts w:hint="eastAsia" w:ascii="宋体" w:hAnsi="宋体"/>
        </w:rPr>
      </w:pPr>
      <w:r>
        <w:rPr>
          <w:rFonts w:hint="eastAsia" w:ascii="宋体" w:hAnsi="宋体"/>
          <w:sz w:val="24"/>
        </w:rPr>
        <w:t xml:space="preserve">                                                  年    月    日</w:t>
      </w:r>
    </w:p>
    <w:p>
      <w:pPr>
        <w:rPr>
          <w:rFonts w:hint="eastAsia"/>
          <w:b/>
          <w:sz w:val="28"/>
          <w:szCs w:val="28"/>
        </w:rPr>
      </w:pPr>
      <w:bookmarkStart w:id="152" w:name="_Toc19686838"/>
      <w:r>
        <w:rPr>
          <w:b/>
          <w:sz w:val="28"/>
          <w:szCs w:val="28"/>
        </w:rPr>
        <w:br w:type="page"/>
      </w:r>
      <w:r>
        <w:rPr>
          <w:rFonts w:hint="eastAsia"/>
          <w:b/>
          <w:sz w:val="28"/>
          <w:szCs w:val="28"/>
        </w:rPr>
        <w:t>三、商务文件格式</w:t>
      </w:r>
      <w:bookmarkEnd w:id="152"/>
    </w:p>
    <w:p>
      <w:pPr>
        <w:snapToGrid w:val="0"/>
        <w:spacing w:before="120" w:beforeLines="50" w:after="50" w:line="360" w:lineRule="auto"/>
        <w:jc w:val="left"/>
        <w:rPr>
          <w:rFonts w:hint="eastAsia" w:ascii="宋体" w:hAnsi="宋体"/>
          <w:b/>
          <w:sz w:val="24"/>
        </w:rPr>
      </w:pPr>
      <w:r>
        <w:rPr>
          <w:rFonts w:hint="eastAsia" w:ascii="宋体" w:hAnsi="宋体"/>
          <w:b/>
          <w:sz w:val="24"/>
        </w:rPr>
        <w:t xml:space="preserve">1.商务文件封面格式： </w:t>
      </w:r>
    </w:p>
    <w:p>
      <w:pPr>
        <w:snapToGrid w:val="0"/>
        <w:spacing w:before="120" w:beforeLines="50" w:after="50"/>
        <w:rPr>
          <w:rFonts w:hint="eastAsia" w:ascii="宋体" w:hAnsi="宋体"/>
          <w:bCs/>
          <w:sz w:val="32"/>
          <w:szCs w:val="20"/>
        </w:rPr>
      </w:pPr>
      <w:r>
        <w:rPr>
          <w:rFonts w:hint="eastAsia" w:ascii="宋体" w:hAnsi="宋体"/>
          <w:sz w:val="24"/>
        </w:rPr>
        <w:t xml:space="preserve">                                                 </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商  务  文  件</w:t>
      </w:r>
    </w:p>
    <w:p>
      <w:pPr>
        <w:snapToGrid w:val="0"/>
        <w:spacing w:before="120" w:beforeLines="50" w:after="50"/>
        <w:rPr>
          <w:rFonts w:hint="eastAsia" w:ascii="宋体" w:hAnsi="宋体"/>
          <w:bCs/>
          <w:sz w:val="24"/>
          <w:szCs w:val="20"/>
        </w:rPr>
      </w:pPr>
    </w:p>
    <w:p>
      <w:pPr>
        <w:snapToGrid w:val="0"/>
        <w:spacing w:before="120" w:beforeLines="50" w:after="50"/>
        <w:ind w:firstLine="540" w:firstLineChars="225"/>
        <w:rPr>
          <w:rFonts w:hint="eastAsia" w:ascii="宋体" w:hAnsi="宋体"/>
          <w:bCs/>
          <w:sz w:val="24"/>
        </w:rPr>
      </w:pPr>
    </w:p>
    <w:p>
      <w:pPr>
        <w:snapToGrid w:val="0"/>
        <w:spacing w:before="120" w:beforeLines="50" w:after="50"/>
        <w:ind w:firstLine="540" w:firstLineChars="225"/>
        <w:rPr>
          <w:rFonts w:hint="eastAsia" w:ascii="宋体" w:hAnsi="宋体"/>
          <w:bCs/>
          <w:sz w:val="24"/>
        </w:rPr>
      </w:pPr>
    </w:p>
    <w:p>
      <w:pPr>
        <w:snapToGrid w:val="0"/>
        <w:spacing w:before="120" w:beforeLines="50" w:after="50"/>
        <w:ind w:firstLine="540" w:firstLineChars="225"/>
        <w:rPr>
          <w:rFonts w:hint="eastAsia" w:ascii="宋体" w:hAnsi="宋体"/>
          <w:bCs/>
          <w:sz w:val="24"/>
        </w:rPr>
      </w:pPr>
    </w:p>
    <w:p>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pPr>
        <w:snapToGrid w:val="0"/>
        <w:spacing w:before="120" w:beforeLines="50" w:after="50"/>
        <w:ind w:firstLine="540" w:firstLineChars="225"/>
        <w:rPr>
          <w:rFonts w:hint="eastAsia" w:ascii="宋体" w:hAnsi="宋体"/>
          <w:bCs/>
          <w:sz w:val="24"/>
          <w:szCs w:val="20"/>
        </w:rPr>
      </w:pPr>
    </w:p>
    <w:p>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pPr>
        <w:snapToGrid w:val="0"/>
        <w:spacing w:before="120" w:beforeLines="50" w:after="50"/>
        <w:ind w:firstLine="540" w:firstLineChars="225"/>
        <w:rPr>
          <w:rFonts w:hint="eastAsia" w:ascii="宋体" w:hAnsi="宋体"/>
          <w:bCs/>
          <w:sz w:val="24"/>
          <w:szCs w:val="20"/>
        </w:rPr>
      </w:pPr>
      <w:r>
        <w:rPr>
          <w:rFonts w:hint="eastAsia" w:ascii="宋体" w:hAnsi="宋体"/>
          <w:bCs/>
          <w:sz w:val="24"/>
        </w:rPr>
        <w:t xml:space="preserve"> </w:t>
      </w:r>
    </w:p>
    <w:p>
      <w:pPr>
        <w:snapToGrid w:val="0"/>
        <w:spacing w:before="120" w:beforeLines="50" w:after="50"/>
        <w:ind w:firstLine="540" w:firstLineChars="225"/>
        <w:rPr>
          <w:rFonts w:hint="eastAsia" w:ascii="宋体" w:hAnsi="宋体"/>
          <w:bCs/>
          <w:sz w:val="24"/>
        </w:rPr>
      </w:pPr>
      <w:r>
        <w:rPr>
          <w:rFonts w:hint="eastAsia" w:ascii="宋体" w:hAnsi="宋体"/>
          <w:bCs/>
          <w:sz w:val="24"/>
        </w:rPr>
        <w:t>所投分标：</w:t>
      </w:r>
    </w:p>
    <w:p>
      <w:pPr>
        <w:snapToGrid w:val="0"/>
        <w:spacing w:before="120" w:beforeLines="50" w:after="50"/>
        <w:ind w:firstLine="540" w:firstLineChars="225"/>
        <w:rPr>
          <w:rFonts w:hint="eastAsia" w:ascii="宋体" w:hAnsi="宋体"/>
          <w:bCs/>
          <w:sz w:val="24"/>
          <w:szCs w:val="20"/>
        </w:rPr>
      </w:pPr>
    </w:p>
    <w:p>
      <w:pPr>
        <w:pStyle w:val="6"/>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pPr>
        <w:pStyle w:val="6"/>
        <w:snapToGrid w:val="0"/>
        <w:spacing w:before="50" w:after="50"/>
        <w:ind w:firstLine="540" w:firstLineChars="225"/>
        <w:rPr>
          <w:rFonts w:hint="eastAsia" w:ascii="宋体" w:hAnsi="宋体"/>
          <w:bCs/>
          <w:sz w:val="24"/>
          <w:szCs w:val="24"/>
        </w:rPr>
      </w:pPr>
    </w:p>
    <w:p>
      <w:pPr>
        <w:pStyle w:val="6"/>
        <w:snapToGrid w:val="0"/>
        <w:spacing w:before="50" w:after="50"/>
        <w:ind w:firstLine="540" w:firstLineChars="225"/>
        <w:rPr>
          <w:rFonts w:hint="eastAsia" w:ascii="宋体" w:hAnsi="宋体"/>
          <w:bCs/>
          <w:sz w:val="24"/>
          <w:szCs w:val="24"/>
        </w:rPr>
      </w:pPr>
      <w:r>
        <w:rPr>
          <w:rFonts w:hint="eastAsia" w:ascii="宋体" w:hAnsi="宋体"/>
          <w:bCs/>
          <w:sz w:val="24"/>
          <w:szCs w:val="24"/>
        </w:rPr>
        <w:t>投标人地址：</w:t>
      </w:r>
    </w:p>
    <w:p>
      <w:pPr>
        <w:pStyle w:val="6"/>
        <w:snapToGrid w:val="0"/>
        <w:spacing w:before="50" w:after="50"/>
        <w:ind w:firstLine="960" w:firstLineChars="400"/>
        <w:rPr>
          <w:rFonts w:hint="eastAsia" w:ascii="宋体" w:hAnsi="宋体"/>
          <w:bCs/>
          <w:sz w:val="24"/>
          <w:szCs w:val="24"/>
        </w:rPr>
      </w:pPr>
    </w:p>
    <w:p>
      <w:pPr>
        <w:snapToGrid w:val="0"/>
        <w:spacing w:before="120" w:beforeLines="50" w:after="50"/>
        <w:ind w:firstLine="645"/>
        <w:rPr>
          <w:rFonts w:ascii="宋体" w:hAnsi="宋体"/>
          <w:sz w:val="24"/>
        </w:rPr>
      </w:pPr>
      <w:r>
        <w:rPr>
          <w:rFonts w:hint="eastAsia" w:ascii="宋体" w:hAnsi="宋体"/>
          <w:sz w:val="24"/>
        </w:rPr>
        <w:t xml:space="preserve">                        年  月  日</w:t>
      </w:r>
    </w:p>
    <w:p>
      <w:pPr>
        <w:snapToGrid w:val="0"/>
        <w:spacing w:before="120" w:beforeLines="50" w:after="50"/>
        <w:rPr>
          <w:rFonts w:ascii="宋体" w:hAnsi="宋体"/>
          <w:sz w:val="24"/>
          <w:szCs w:val="20"/>
        </w:rPr>
      </w:pPr>
      <w:r>
        <w:rPr>
          <w:rFonts w:ascii="宋体" w:hAnsi="宋体"/>
          <w:sz w:val="24"/>
          <w:szCs w:val="20"/>
        </w:rPr>
        <w:t xml:space="preserve"> </w:t>
      </w:r>
    </w:p>
    <w:p>
      <w:pPr>
        <w:snapToGrid w:val="0"/>
        <w:spacing w:line="360" w:lineRule="auto"/>
        <w:jc w:val="left"/>
        <w:rPr>
          <w:rFonts w:hint="eastAsia" w:ascii="宋体" w:hAnsi="宋体"/>
          <w:b/>
          <w:bCs/>
          <w:sz w:val="28"/>
          <w:szCs w:val="28"/>
        </w:rPr>
      </w:pPr>
      <w:r>
        <w:rPr>
          <w:rFonts w:ascii="宋体" w:hAnsi="宋体"/>
          <w:sz w:val="24"/>
          <w:szCs w:val="20"/>
        </w:rPr>
        <w:br w:type="page"/>
      </w:r>
      <w:r>
        <w:rPr>
          <w:rFonts w:hint="eastAsia" w:ascii="宋体" w:hAnsi="宋体"/>
          <w:b/>
          <w:bCs/>
          <w:sz w:val="24"/>
        </w:rPr>
        <w:t>2.商务文件目录</w:t>
      </w:r>
    </w:p>
    <w:p>
      <w:pPr>
        <w:snapToGrid w:val="0"/>
        <w:spacing w:before="50" w:after="120" w:afterLines="50" w:line="360" w:lineRule="auto"/>
        <w:ind w:firstLine="480" w:firstLineChars="200"/>
        <w:jc w:val="left"/>
        <w:rPr>
          <w:rFonts w:ascii="微软雅黑" w:hAnsi="微软雅黑" w:eastAsia="微软雅黑"/>
          <w:b/>
          <w:bCs/>
          <w:sz w:val="32"/>
          <w:szCs w:val="32"/>
        </w:rPr>
      </w:pPr>
      <w:r>
        <w:rPr>
          <w:rFonts w:hint="eastAsia" w:ascii="宋体" w:hAnsi="宋体"/>
          <w:sz w:val="24"/>
        </w:rPr>
        <w:t>根据招标文件规定及投标人提供的材料自行编写目录。</w:t>
      </w:r>
    </w:p>
    <w:p>
      <w:pPr>
        <w:snapToGrid w:val="0"/>
        <w:spacing w:before="50" w:after="120" w:afterLines="50"/>
        <w:jc w:val="left"/>
        <w:rPr>
          <w:rFonts w:hint="eastAsia" w:ascii="宋体" w:hAnsi="宋体"/>
        </w:rPr>
      </w:pPr>
    </w:p>
    <w:p>
      <w:pPr>
        <w:snapToGrid w:val="0"/>
        <w:spacing w:before="120" w:beforeLines="50" w:after="50"/>
        <w:jc w:val="left"/>
        <w:rPr>
          <w:rFonts w:hint="eastAsia" w:ascii="宋体" w:hAnsi="宋体"/>
          <w:b/>
          <w:sz w:val="24"/>
        </w:rPr>
      </w:pPr>
      <w:r>
        <w:rPr>
          <w:rFonts w:ascii="宋体" w:hAnsi="宋体"/>
          <w:b/>
          <w:sz w:val="24"/>
        </w:rPr>
        <w:br w:type="page"/>
      </w:r>
      <w:r>
        <w:rPr>
          <w:rFonts w:hint="eastAsia" w:ascii="宋体" w:hAnsi="宋体"/>
          <w:b/>
          <w:sz w:val="24"/>
        </w:rPr>
        <w:t>3.投标人参加本项目无围标串标行为的承诺</w:t>
      </w:r>
    </w:p>
    <w:p>
      <w:pPr>
        <w:snapToGrid w:val="0"/>
        <w:spacing w:before="120" w:beforeLines="50" w:after="50"/>
        <w:jc w:val="left"/>
        <w:rPr>
          <w:rFonts w:hint="eastAsia" w:ascii="宋体" w:hAnsi="宋体"/>
          <w:b/>
          <w:sz w:val="24"/>
        </w:rPr>
      </w:pPr>
    </w:p>
    <w:p>
      <w:pPr>
        <w:spacing w:line="360" w:lineRule="auto"/>
        <w:ind w:left="420"/>
        <w:contextualSpacing/>
        <w:jc w:val="center"/>
        <w:rPr>
          <w:rFonts w:ascii="宋体" w:hAnsi="宋体"/>
          <w:b/>
          <w:sz w:val="24"/>
        </w:rPr>
      </w:pPr>
      <w:r>
        <w:rPr>
          <w:rFonts w:hint="eastAsia" w:ascii="方正小标宋简体" w:hAnsi="方正小标宋简体" w:eastAsia="方正小标宋简体" w:cs="方正小标宋简体"/>
          <w:bCs/>
          <w:spacing w:val="-11"/>
          <w:sz w:val="44"/>
          <w:szCs w:val="44"/>
        </w:rPr>
        <w:t>投标人参加本项目无围标串标行为的承诺函</w:t>
      </w:r>
    </w:p>
    <w:p>
      <w:pPr>
        <w:spacing w:line="440" w:lineRule="exact"/>
        <w:contextualSpacing/>
        <w:jc w:val="left"/>
        <w:rPr>
          <w:rFonts w:hint="eastAsia" w:ascii="宋体" w:hAnsi="宋体"/>
          <w:b/>
          <w:sz w:val="24"/>
        </w:rPr>
      </w:pPr>
      <w:r>
        <w:rPr>
          <w:rFonts w:hint="eastAsia" w:ascii="宋体" w:hAnsi="宋体"/>
          <w:b/>
          <w:sz w:val="24"/>
        </w:rPr>
        <w:t>一、我方承诺无下列相互串通投标的情形：</w:t>
      </w:r>
    </w:p>
    <w:p>
      <w:pPr>
        <w:spacing w:line="440" w:lineRule="exact"/>
        <w:ind w:firstLine="470" w:firstLineChars="196"/>
        <w:contextualSpacing/>
        <w:jc w:val="left"/>
        <w:rPr>
          <w:rFonts w:hint="eastAsia" w:ascii="宋体" w:hAnsi="宋体"/>
          <w:sz w:val="24"/>
        </w:rPr>
      </w:pPr>
      <w:r>
        <w:rPr>
          <w:rFonts w:hint="eastAsia" w:ascii="宋体" w:hAnsi="宋体"/>
          <w:sz w:val="24"/>
        </w:rPr>
        <w:t>1.不同投标人的投标文件由同一单位或者个人编制；</w:t>
      </w:r>
    </w:p>
    <w:p>
      <w:pPr>
        <w:spacing w:line="440" w:lineRule="exact"/>
        <w:ind w:firstLine="470" w:firstLineChars="196"/>
        <w:contextualSpacing/>
        <w:jc w:val="left"/>
        <w:rPr>
          <w:rFonts w:hint="eastAsia" w:ascii="宋体" w:hAnsi="宋体"/>
          <w:sz w:val="24"/>
        </w:rPr>
      </w:pPr>
      <w:r>
        <w:rPr>
          <w:rFonts w:hint="eastAsia" w:ascii="宋体" w:hAnsi="宋体"/>
          <w:sz w:val="24"/>
        </w:rPr>
        <w:t>2.不同投标人委托同一单位或者个人办理投标事宜；</w:t>
      </w:r>
    </w:p>
    <w:p>
      <w:pPr>
        <w:spacing w:line="440" w:lineRule="exact"/>
        <w:ind w:firstLine="470" w:firstLineChars="196"/>
        <w:contextualSpacing/>
        <w:jc w:val="left"/>
        <w:rPr>
          <w:rFonts w:hint="eastAsia" w:ascii="宋体" w:hAnsi="宋体"/>
          <w:sz w:val="24"/>
        </w:rPr>
      </w:pPr>
      <w:r>
        <w:rPr>
          <w:rFonts w:hint="eastAsia" w:ascii="宋体" w:hAnsi="宋体"/>
          <w:sz w:val="24"/>
        </w:rPr>
        <w:t>3.不同的投标人的投标文件载明的项目管理员为同一个人；</w:t>
      </w:r>
    </w:p>
    <w:p>
      <w:pPr>
        <w:spacing w:line="440" w:lineRule="exact"/>
        <w:ind w:firstLine="470" w:firstLineChars="196"/>
        <w:contextualSpacing/>
        <w:jc w:val="left"/>
        <w:rPr>
          <w:rFonts w:hint="eastAsia" w:ascii="宋体" w:hAnsi="宋体"/>
          <w:sz w:val="24"/>
        </w:rPr>
      </w:pPr>
      <w:r>
        <w:rPr>
          <w:rFonts w:hint="eastAsia" w:ascii="宋体" w:hAnsi="宋体"/>
          <w:sz w:val="24"/>
        </w:rPr>
        <w:t>4.不同投标人的投标文件异常一致或者投标报价呈规律性差异；</w:t>
      </w:r>
    </w:p>
    <w:p>
      <w:pPr>
        <w:spacing w:line="440" w:lineRule="exact"/>
        <w:ind w:firstLine="470" w:firstLineChars="196"/>
        <w:contextualSpacing/>
        <w:jc w:val="left"/>
        <w:rPr>
          <w:rFonts w:hint="eastAsia" w:ascii="宋体" w:hAnsi="宋体"/>
          <w:sz w:val="24"/>
        </w:rPr>
      </w:pPr>
      <w:r>
        <w:rPr>
          <w:rFonts w:hint="eastAsia" w:ascii="宋体" w:hAnsi="宋体"/>
          <w:sz w:val="24"/>
        </w:rPr>
        <w:t>5.不同投标人的投标文件相互混装；</w:t>
      </w:r>
    </w:p>
    <w:p>
      <w:pPr>
        <w:spacing w:line="440" w:lineRule="exact"/>
        <w:ind w:firstLine="470" w:firstLineChars="196"/>
        <w:contextualSpacing/>
        <w:jc w:val="left"/>
        <w:rPr>
          <w:rFonts w:hint="eastAsia" w:ascii="宋体" w:hAnsi="宋体"/>
          <w:sz w:val="24"/>
        </w:rPr>
      </w:pPr>
      <w:r>
        <w:rPr>
          <w:rFonts w:hint="eastAsia" w:ascii="宋体" w:hAnsi="宋体"/>
          <w:sz w:val="24"/>
        </w:rPr>
        <w:t>6.不同投标人的投标保证金从同一单位或者个人账户转出。</w:t>
      </w:r>
    </w:p>
    <w:p>
      <w:pPr>
        <w:spacing w:line="440" w:lineRule="exact"/>
        <w:contextualSpacing/>
        <w:jc w:val="left"/>
        <w:rPr>
          <w:rFonts w:hint="eastAsia" w:ascii="宋体" w:hAnsi="宋体"/>
          <w:sz w:val="24"/>
        </w:rPr>
      </w:pPr>
      <w:r>
        <w:rPr>
          <w:rFonts w:hint="eastAsia" w:ascii="宋体" w:hAnsi="宋体"/>
          <w:b/>
          <w:sz w:val="24"/>
        </w:rPr>
        <w:t>二、我方承诺无下列恶意串通的情形：</w:t>
      </w:r>
    </w:p>
    <w:p>
      <w:pPr>
        <w:spacing w:line="440" w:lineRule="exact"/>
        <w:ind w:firstLine="470" w:firstLineChars="196"/>
        <w:contextualSpacing/>
        <w:jc w:val="left"/>
        <w:rPr>
          <w:rFonts w:hint="eastAsia" w:ascii="宋体" w:hAnsi="宋体"/>
          <w:sz w:val="24"/>
        </w:rPr>
      </w:pPr>
      <w:r>
        <w:rPr>
          <w:rFonts w:hint="eastAsia" w:ascii="宋体" w:hAnsi="宋体"/>
          <w:sz w:val="24"/>
        </w:rPr>
        <w:t>1.投标人直接或者间接从采购人或者采购代理机构处获得其他投标人的相关信息并修改其投标文件或者投标文件；</w:t>
      </w:r>
    </w:p>
    <w:p>
      <w:pPr>
        <w:spacing w:line="440" w:lineRule="exact"/>
        <w:ind w:firstLine="470" w:firstLineChars="196"/>
        <w:contextualSpacing/>
        <w:jc w:val="left"/>
        <w:rPr>
          <w:rFonts w:hint="eastAsia" w:ascii="宋体" w:hAnsi="宋体"/>
          <w:sz w:val="24"/>
        </w:rPr>
      </w:pPr>
      <w:r>
        <w:rPr>
          <w:rFonts w:hint="eastAsia" w:ascii="宋体" w:hAnsi="宋体"/>
          <w:sz w:val="24"/>
        </w:rPr>
        <w:t>2.投标人按照采购人或者采购代理机构的授意撤换、修改投标文件或者投标文件；</w:t>
      </w:r>
    </w:p>
    <w:p>
      <w:pPr>
        <w:spacing w:line="440" w:lineRule="exact"/>
        <w:ind w:firstLine="470" w:firstLineChars="196"/>
        <w:contextualSpacing/>
        <w:jc w:val="left"/>
        <w:rPr>
          <w:rFonts w:hint="eastAsia" w:ascii="宋体" w:hAnsi="宋体"/>
          <w:sz w:val="24"/>
        </w:rPr>
      </w:pPr>
      <w:r>
        <w:rPr>
          <w:rFonts w:hint="eastAsia" w:ascii="宋体" w:hAnsi="宋体"/>
          <w:sz w:val="24"/>
        </w:rPr>
        <w:t>3.投标人之间协商报价、技术方案等投标文件或者投标文件的实质性内容；</w:t>
      </w:r>
    </w:p>
    <w:p>
      <w:pPr>
        <w:spacing w:line="440" w:lineRule="exact"/>
        <w:ind w:firstLine="470" w:firstLineChars="196"/>
        <w:contextualSpacing/>
        <w:jc w:val="left"/>
        <w:rPr>
          <w:rFonts w:hint="eastAsia" w:ascii="宋体" w:hAnsi="宋体"/>
          <w:sz w:val="24"/>
        </w:rPr>
      </w:pPr>
      <w:r>
        <w:rPr>
          <w:rFonts w:hint="eastAsia" w:ascii="宋体" w:hAnsi="宋体"/>
          <w:sz w:val="24"/>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sz w:val="24"/>
        </w:rPr>
      </w:pPr>
      <w:r>
        <w:rPr>
          <w:rFonts w:hint="eastAsia" w:ascii="宋体" w:hAnsi="宋体"/>
          <w:sz w:val="24"/>
        </w:rPr>
        <w:t>6.投标人之间商定部分投标人放弃参加政府采购活动或者放弃中标；</w:t>
      </w:r>
    </w:p>
    <w:p>
      <w:pPr>
        <w:spacing w:line="440" w:lineRule="exact"/>
        <w:ind w:firstLine="470" w:firstLineChars="196"/>
        <w:contextualSpacing/>
        <w:jc w:val="left"/>
        <w:rPr>
          <w:rFonts w:hint="eastAsia"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宋体" w:hAnsi="宋体"/>
          <w:b/>
          <w:sz w:val="24"/>
        </w:rPr>
      </w:pPr>
      <w:r>
        <w:rPr>
          <w:rFonts w:hint="eastAsia" w:ascii="宋体" w:hAnsi="宋体"/>
          <w:b/>
          <w:sz w:val="24"/>
        </w:rPr>
        <w:t>以上情形一经核查属实，我方愿意承担一切后果，并不再寻求任何旨在减轻或者免除法律责任的辩解。</w:t>
      </w:r>
    </w:p>
    <w:p>
      <w:pPr>
        <w:pStyle w:val="12"/>
        <w:spacing w:line="440" w:lineRule="exact"/>
        <w:ind w:firstLine="6840" w:firstLineChars="2850"/>
        <w:contextualSpacing/>
        <w:rPr>
          <w:rFonts w:hint="eastAsia" w:hAnsi="宋体"/>
          <w:sz w:val="24"/>
          <w:szCs w:val="24"/>
        </w:rPr>
      </w:pPr>
    </w:p>
    <w:p>
      <w:pPr>
        <w:pStyle w:val="12"/>
        <w:spacing w:line="440" w:lineRule="exact"/>
        <w:contextualSpacing/>
        <w:jc w:val="center"/>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投标人名称（公章）</w:t>
      </w:r>
    </w:p>
    <w:p>
      <w:pPr>
        <w:pStyle w:val="12"/>
        <w:spacing w:line="440" w:lineRule="exact"/>
        <w:contextualSpacing/>
        <w:rPr>
          <w:rFonts w:hint="eastAsia"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napToGrid w:val="0"/>
        <w:spacing w:before="120" w:beforeLines="50" w:after="50"/>
        <w:jc w:val="left"/>
        <w:rPr>
          <w:rFonts w:hint="eastAsia" w:ascii="宋体" w:hAnsi="宋体"/>
          <w:b/>
          <w:sz w:val="24"/>
          <w:szCs w:val="20"/>
        </w:rPr>
      </w:pPr>
      <w:r>
        <w:rPr>
          <w:rFonts w:hint="eastAsia" w:ascii="宋体" w:hAnsi="宋体"/>
          <w:b/>
          <w:sz w:val="24"/>
        </w:rPr>
        <w:t>4.法定代表人身份证明</w:t>
      </w:r>
    </w:p>
    <w:p>
      <w:pPr>
        <w:spacing w:before="240" w:beforeLines="100" w:after="120" w:afterLines="50"/>
        <w:ind w:left="54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pPr>
        <w:spacing w:line="500" w:lineRule="exact"/>
        <w:ind w:left="540"/>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pPr>
        <w:spacing w:line="500" w:lineRule="exact"/>
        <w:ind w:left="540"/>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pPr>
        <w:spacing w:line="500" w:lineRule="exact"/>
        <w:ind w:left="54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00" w:lineRule="exact"/>
        <w:ind w:left="54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pPr>
        <w:spacing w:line="500" w:lineRule="exact"/>
        <w:ind w:left="540"/>
        <w:rPr>
          <w:rFonts w:hint="eastAsia"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pPr>
        <w:spacing w:line="500" w:lineRule="exact"/>
        <w:ind w:left="540"/>
        <w:rPr>
          <w:rFonts w:hint="eastAsia"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pPr>
        <w:spacing w:line="500" w:lineRule="exact"/>
        <w:ind w:left="540"/>
        <w:rPr>
          <w:rFonts w:hint="eastAsia" w:ascii="宋体" w:hAnsi="宋体"/>
          <w:sz w:val="24"/>
        </w:rPr>
      </w:pPr>
      <w:r>
        <w:rPr>
          <w:rFonts w:hint="eastAsia" w:ascii="宋体" w:hAnsi="宋体"/>
          <w:sz w:val="24"/>
        </w:rPr>
        <w:t>特此证明。</w:t>
      </w:r>
    </w:p>
    <w:p>
      <w:pPr>
        <w:spacing w:line="500" w:lineRule="exact"/>
        <w:ind w:left="540"/>
        <w:rPr>
          <w:rFonts w:hint="eastAsia" w:ascii="宋体" w:hAnsi="宋体"/>
          <w:sz w:val="24"/>
        </w:rPr>
      </w:pPr>
    </w:p>
    <w:p>
      <w:pPr>
        <w:spacing w:line="500" w:lineRule="exact"/>
        <w:ind w:left="540"/>
        <w:rPr>
          <w:rFonts w:hint="eastAsia" w:ascii="宋体" w:hAnsi="宋体"/>
          <w:sz w:val="24"/>
        </w:rPr>
      </w:pPr>
    </w:p>
    <w:p>
      <w:pPr>
        <w:spacing w:line="500" w:lineRule="exact"/>
        <w:ind w:left="540"/>
        <w:rPr>
          <w:rFonts w:hint="eastAsia" w:ascii="宋体" w:hAnsi="宋体"/>
          <w:sz w:val="24"/>
        </w:rPr>
      </w:pPr>
      <w:r>
        <w:rPr>
          <w:rFonts w:hint="eastAsia" w:ascii="宋体" w:hAnsi="宋体"/>
          <w:sz w:val="24"/>
        </w:rPr>
        <w:t>附件：法定代表人有效身份证正反面复印件</w:t>
      </w:r>
    </w:p>
    <w:p>
      <w:pPr>
        <w:spacing w:line="500" w:lineRule="exact"/>
        <w:ind w:left="540"/>
        <w:rPr>
          <w:rFonts w:hint="eastAsia" w:ascii="宋体" w:hAnsi="宋体"/>
          <w:sz w:val="24"/>
        </w:rPr>
      </w:pPr>
    </w:p>
    <w:p>
      <w:pPr>
        <w:spacing w:line="500" w:lineRule="exact"/>
        <w:ind w:left="540"/>
        <w:jc w:val="right"/>
        <w:rPr>
          <w:rFonts w:hint="eastAsia" w:ascii="宋体" w:hAnsi="宋体"/>
          <w:sz w:val="24"/>
        </w:rPr>
      </w:pPr>
      <w:r>
        <w:rPr>
          <w:rFonts w:hint="eastAsia" w:ascii="宋体" w:hAnsi="宋体"/>
          <w:sz w:val="24"/>
        </w:rPr>
        <w:t>投标人名称（公章）</w:t>
      </w:r>
    </w:p>
    <w:p>
      <w:pPr>
        <w:spacing w:line="500" w:lineRule="exact"/>
        <w:ind w:left="540"/>
        <w:jc w:val="right"/>
        <w:rPr>
          <w:rFonts w:hint="eastAsia" w:ascii="宋体" w:hAnsi="宋体"/>
          <w:sz w:val="24"/>
        </w:rPr>
      </w:pPr>
    </w:p>
    <w:p>
      <w:pPr>
        <w:snapToGrid w:val="0"/>
        <w:spacing w:before="120" w:beforeLines="50" w:after="50"/>
        <w:ind w:left="54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before="120" w:beforeLines="50" w:after="50"/>
        <w:jc w:val="center"/>
        <w:rPr>
          <w:rFonts w:hint="eastAsia" w:ascii="宋体" w:hAnsi="宋体"/>
          <w:b/>
          <w:sz w:val="24"/>
        </w:rPr>
      </w:pPr>
    </w:p>
    <w:p>
      <w:pPr>
        <w:snapToGrid w:val="0"/>
        <w:spacing w:before="120" w:beforeLines="50" w:after="50"/>
        <w:jc w:val="left"/>
        <w:rPr>
          <w:rFonts w:hint="eastAsia" w:ascii="宋体" w:hAnsi="宋体"/>
          <w:b/>
          <w:sz w:val="24"/>
          <w:szCs w:val="20"/>
        </w:rPr>
      </w:pPr>
      <w:r>
        <w:rPr>
          <w:rFonts w:hint="eastAsia" w:ascii="宋体" w:hAnsi="宋体"/>
          <w:sz w:val="24"/>
        </w:rPr>
        <w:t>注：自然人投标的无需提供</w:t>
      </w:r>
    </w:p>
    <w:p>
      <w:pPr>
        <w:snapToGrid w:val="0"/>
        <w:spacing w:before="120" w:beforeLines="50" w:after="50"/>
        <w:jc w:val="left"/>
        <w:rPr>
          <w:rFonts w:hint="eastAsia" w:ascii="宋体" w:hAnsi="宋体"/>
          <w:b/>
          <w:sz w:val="24"/>
          <w:szCs w:val="20"/>
        </w:rPr>
      </w:pPr>
      <w:r>
        <w:rPr>
          <w:rFonts w:ascii="宋体" w:hAnsi="宋体"/>
          <w:b/>
          <w:sz w:val="24"/>
        </w:rPr>
        <w:br w:type="page"/>
      </w:r>
      <w:r>
        <w:rPr>
          <w:rFonts w:hint="eastAsia" w:ascii="宋体" w:hAnsi="宋体"/>
          <w:b/>
          <w:sz w:val="24"/>
        </w:rPr>
        <w:t>5.授权委托书格式</w:t>
      </w:r>
    </w:p>
    <w:p>
      <w:pPr>
        <w:snapToGrid w:val="0"/>
        <w:spacing w:before="120" w:beforeLines="50" w:after="50"/>
        <w:jc w:val="center"/>
        <w:rPr>
          <w:rFonts w:hint="eastAsia" w:ascii="宋体" w:hAnsi="宋体"/>
          <w:b/>
          <w:sz w:val="44"/>
          <w:szCs w:val="44"/>
        </w:rPr>
      </w:pPr>
    </w:p>
    <w:p>
      <w:pPr>
        <w:spacing w:line="360" w:lineRule="auto"/>
        <w:contextualSpacing/>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pPr>
        <w:spacing w:line="360" w:lineRule="auto"/>
        <w:contextualSpacing/>
        <w:jc w:val="center"/>
        <w:rPr>
          <w:rFonts w:hint="eastAsia"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（如有委托时）</w:t>
      </w:r>
    </w:p>
    <w:p>
      <w:pPr>
        <w:spacing w:line="440" w:lineRule="exact"/>
        <w:contextualSpacing/>
        <w:jc w:val="center"/>
        <w:rPr>
          <w:rFonts w:hint="eastAsia" w:ascii="宋体" w:hAnsi="宋体"/>
          <w:b/>
          <w:sz w:val="24"/>
        </w:rPr>
      </w:pPr>
    </w:p>
    <w:p>
      <w:pPr>
        <w:spacing w:line="440" w:lineRule="exact"/>
        <w:contextualSpacing/>
        <w:rPr>
          <w:rFonts w:hint="eastAsia"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pPr>
        <w:spacing w:line="440" w:lineRule="exact"/>
        <w:ind w:firstLine="566" w:firstLineChars="236"/>
        <w:contextualSpacing/>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pPr>
        <w:spacing w:line="440" w:lineRule="exact"/>
        <w:contextualSpacing/>
        <w:rPr>
          <w:rFonts w:hint="eastAsia" w:ascii="宋体" w:hAnsi="宋体"/>
          <w:sz w:val="24"/>
        </w:rPr>
      </w:pPr>
      <w:r>
        <w:rPr>
          <w:rFonts w:hint="eastAsia" w:ascii="宋体" w:hAnsi="宋体"/>
          <w:sz w:val="24"/>
        </w:rPr>
        <w:t xml:space="preserve">    我方对委托代理人的签字事项负全部责任。</w:t>
      </w:r>
    </w:p>
    <w:p>
      <w:pPr>
        <w:spacing w:line="440" w:lineRule="exact"/>
        <w:ind w:firstLine="480"/>
        <w:contextualSpacing/>
        <w:rPr>
          <w:rFonts w:hint="eastAsia"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sz w:val="24"/>
        </w:rPr>
      </w:pPr>
      <w:r>
        <w:rPr>
          <w:rFonts w:hint="eastAsia" w:ascii="宋体" w:hAnsi="宋体"/>
          <w:sz w:val="24"/>
        </w:rPr>
        <w:t>委托代理人无转委托权，特此委托。</w:t>
      </w:r>
    </w:p>
    <w:p>
      <w:pPr>
        <w:spacing w:line="440" w:lineRule="exact"/>
        <w:ind w:firstLine="480"/>
        <w:contextualSpacing/>
        <w:rPr>
          <w:rFonts w:hint="eastAsia" w:ascii="宋体" w:hAnsi="宋体"/>
          <w:sz w:val="24"/>
        </w:rPr>
      </w:pPr>
      <w:r>
        <w:rPr>
          <w:rFonts w:hint="eastAsia" w:ascii="宋体" w:hAnsi="宋体"/>
          <w:sz w:val="24"/>
        </w:rPr>
        <w:t>附：法定代表人身份证明及委托代理人有效身份证正反面复印件</w:t>
      </w:r>
    </w:p>
    <w:p>
      <w:pPr>
        <w:spacing w:line="440" w:lineRule="exact"/>
        <w:contextualSpacing/>
        <w:rPr>
          <w:rFonts w:hint="eastAsia" w:ascii="宋体" w:hAnsi="宋体"/>
          <w:sz w:val="24"/>
        </w:rPr>
      </w:pPr>
    </w:p>
    <w:p>
      <w:pPr>
        <w:spacing w:line="440" w:lineRule="exact"/>
        <w:contextualSpacing/>
        <w:rPr>
          <w:rFonts w:hint="eastAsia"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法定代表人（签字或者盖章）：</w:t>
      </w:r>
      <w:r>
        <w:rPr>
          <w:rFonts w:hint="eastAsia" w:ascii="宋体" w:hAnsi="宋体"/>
          <w:sz w:val="24"/>
          <w:u w:val="single"/>
        </w:rPr>
        <w:t xml:space="preserve">              </w:t>
      </w:r>
    </w:p>
    <w:p>
      <w:pPr>
        <w:spacing w:line="440" w:lineRule="exact"/>
        <w:contextualSpacing/>
        <w:rPr>
          <w:rFonts w:hint="eastAsia"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pPr>
        <w:spacing w:line="440" w:lineRule="exact"/>
        <w:contextualSpacing/>
        <w:jc w:val="center"/>
        <w:rPr>
          <w:rFonts w:hint="eastAsia" w:ascii="宋体" w:hAnsi="宋体"/>
          <w:sz w:val="24"/>
        </w:rPr>
      </w:pPr>
      <w:r>
        <w:rPr>
          <w:rFonts w:hint="eastAsia" w:ascii="宋体" w:hAnsi="宋体"/>
          <w:sz w:val="24"/>
        </w:rPr>
        <w:t xml:space="preserve">                                                投标人（盖公章）：</w:t>
      </w:r>
    </w:p>
    <w:p>
      <w:pPr>
        <w:spacing w:line="440" w:lineRule="exact"/>
        <w:contextualSpacing/>
        <w:jc w:val="center"/>
        <w:rPr>
          <w:rFonts w:hint="eastAsia" w:ascii="宋体" w:hAnsi="宋体"/>
          <w:sz w:val="24"/>
        </w:rPr>
      </w:pPr>
      <w:r>
        <w:rPr>
          <w:rFonts w:hint="eastAsia" w:ascii="宋体" w:hAnsi="宋体"/>
          <w:sz w:val="24"/>
        </w:rPr>
        <w:t xml:space="preserve">                                              年    月    日</w:t>
      </w:r>
    </w:p>
    <w:p>
      <w:pPr>
        <w:spacing w:line="440" w:lineRule="exact"/>
        <w:contextualSpacing/>
        <w:rPr>
          <w:rFonts w:hint="eastAsia" w:ascii="宋体" w:hAnsi="宋体" w:cs="仿宋_GB2312"/>
          <w:sz w:val="24"/>
        </w:rPr>
      </w:pPr>
      <w:r>
        <w:rPr>
          <w:rFonts w:hint="eastAsia" w:ascii="宋体" w:hAnsi="宋体" w:cs="仿宋_GB2312"/>
          <w:sz w:val="24"/>
        </w:rPr>
        <w:t>注：1.</w:t>
      </w:r>
      <w:bookmarkStart w:id="153" w:name="_Hlk65851555"/>
      <w:bookmarkStart w:id="154" w:name="_Hlk65851620"/>
      <w:r>
        <w:rPr>
          <w:rFonts w:hint="eastAsia" w:ascii="宋体" w:hAnsi="宋体" w:cs="仿宋_GB2312"/>
          <w:sz w:val="24"/>
        </w:rPr>
        <w:t>法定代表人必须在授权委托书上亲笔签字或者盖章，</w:t>
      </w:r>
      <w:bookmarkEnd w:id="153"/>
      <w:r>
        <w:rPr>
          <w:rFonts w:hint="eastAsia" w:ascii="宋体" w:hAnsi="宋体" w:cs="仿宋_GB2312"/>
          <w:sz w:val="24"/>
        </w:rPr>
        <w:t>委托代理人必须在授权委托书上亲笔签字，</w:t>
      </w:r>
      <w:r>
        <w:rPr>
          <w:rFonts w:hint="eastAsia" w:ascii="宋体" w:hAnsi="宋体" w:cs="仿宋_GB2312"/>
          <w:b/>
          <w:bCs/>
          <w:sz w:val="24"/>
        </w:rPr>
        <w:t>否则按无效投标处理</w:t>
      </w:r>
      <w:r>
        <w:rPr>
          <w:rFonts w:hint="eastAsia" w:ascii="宋体" w:hAnsi="宋体" w:cs="仿宋_GB2312"/>
          <w:sz w:val="24"/>
        </w:rPr>
        <w:t>；</w:t>
      </w:r>
      <w:bookmarkEnd w:id="154"/>
    </w:p>
    <w:p>
      <w:pPr>
        <w:spacing w:line="440" w:lineRule="exact"/>
        <w:ind w:firstLine="480" w:firstLineChars="200"/>
        <w:contextualSpacing/>
        <w:jc w:val="left"/>
        <w:rPr>
          <w:rFonts w:hint="eastAsia" w:ascii="宋体" w:hAnsi="宋体"/>
          <w:sz w:val="24"/>
        </w:rPr>
      </w:pPr>
      <w:r>
        <w:rPr>
          <w:rFonts w:hint="eastAsia" w:ascii="宋体" w:hAnsi="宋体" w:cs="仿宋_GB2312"/>
          <w:sz w:val="24"/>
        </w:rPr>
        <w:t>2.法人、其他组织投标时“我方”是指“我单位”，自然人投标时“我方”是指“本人”。</w:t>
      </w:r>
    </w:p>
    <w:p>
      <w:pPr>
        <w:spacing w:line="440" w:lineRule="exact"/>
        <w:contextualSpacing/>
        <w:jc w:val="left"/>
        <w:rPr>
          <w:rFonts w:hint="eastAsia" w:ascii="宋体" w:hAnsi="宋体"/>
          <w:sz w:val="24"/>
        </w:rPr>
      </w:pPr>
    </w:p>
    <w:p>
      <w:pPr>
        <w:snapToGrid w:val="0"/>
        <w:spacing w:before="50" w:after="120" w:afterLines="50"/>
        <w:ind w:firstLine="480" w:firstLineChars="200"/>
        <w:jc w:val="left"/>
        <w:rPr>
          <w:rFonts w:hint="eastAsia" w:ascii="宋体" w:hAnsi="宋体"/>
          <w:sz w:val="24"/>
        </w:rPr>
        <w:sectPr>
          <w:footerReference r:id="rId7" w:type="first"/>
          <w:headerReference r:id="rId4" w:type="default"/>
          <w:footerReference r:id="rId5" w:type="default"/>
          <w:footerReference r:id="rId6" w:type="even"/>
          <w:pgSz w:w="11906" w:h="16838"/>
          <w:pgMar w:top="1134" w:right="1134" w:bottom="2269" w:left="1134" w:header="851" w:footer="567" w:gutter="0"/>
          <w:cols w:space="720" w:num="1"/>
          <w:titlePg/>
          <w:docGrid w:linePitch="312" w:charSpace="0"/>
        </w:sectPr>
      </w:pPr>
    </w:p>
    <w:p>
      <w:pPr>
        <w:rPr>
          <w:rFonts w:hint="eastAsia" w:ascii="宋体" w:hAnsi="宋体"/>
          <w:sz w:val="24"/>
        </w:rPr>
      </w:pPr>
    </w:p>
    <w:p>
      <w:pPr>
        <w:rPr>
          <w:rFonts w:hint="eastAsia" w:ascii="宋体" w:hAnsi="宋体"/>
          <w:b/>
          <w:sz w:val="24"/>
          <w:szCs w:val="20"/>
        </w:rPr>
      </w:pPr>
      <w:r>
        <w:rPr>
          <w:rFonts w:hint="eastAsia" w:ascii="宋体" w:hAnsi="宋体"/>
          <w:b/>
          <w:sz w:val="24"/>
        </w:rPr>
        <w:t>6.商务要求偏离表格式（注：按项目需求表具体项目修改）</w:t>
      </w:r>
    </w:p>
    <w:p>
      <w:pPr>
        <w:snapToGrid w:val="0"/>
        <w:spacing w:before="50"/>
        <w:jc w:val="left"/>
        <w:rPr>
          <w:rFonts w:hint="eastAsia" w:ascii="宋体" w:hAnsi="宋体"/>
          <w:sz w:val="24"/>
        </w:rPr>
      </w:pPr>
    </w:p>
    <w:p>
      <w:pPr>
        <w:pStyle w:val="12"/>
        <w:rPr>
          <w:rFonts w:hint="eastAsia"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p>
      <w:pPr>
        <w:snapToGrid w:val="0"/>
        <w:spacing w:before="50"/>
        <w:jc w:val="left"/>
        <w:rPr>
          <w:rFonts w:hint="eastAsia" w:ascii="宋体" w:hAnsi="宋体"/>
          <w:sz w:val="24"/>
          <w:u w:val="single"/>
        </w:rPr>
      </w:pPr>
    </w:p>
    <w:tbl>
      <w:tblPr>
        <w:tblStyle w:val="1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r>
              <w:rPr>
                <w:rFonts w:hint="eastAsia" w:ascii="宋体" w:hAnsi="宋体"/>
                <w:sz w:val="24"/>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r>
              <w:rPr>
                <w:rFonts w:hint="eastAsia" w:ascii="宋体" w:hAnsi="宋体"/>
                <w:sz w:val="24"/>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r>
              <w:rPr>
                <w:rFonts w:hint="eastAsia" w:ascii="宋体" w:hAnsi="宋体"/>
                <w:sz w:val="24"/>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交付使用时间和地点</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合同签订时间</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sz w:val="24"/>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r>
              <w:rPr>
                <w:rFonts w:hint="eastAsia" w:ascii="宋体" w:hAnsi="宋体"/>
                <w:sz w:val="24"/>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sz w:val="24"/>
              </w:rPr>
            </w:pPr>
          </w:p>
        </w:tc>
      </w:tr>
    </w:tbl>
    <w:p>
      <w:pPr>
        <w:pStyle w:val="9"/>
        <w:rPr>
          <w:rFonts w:hint="eastAsia" w:ascii="宋体" w:hAnsi="宋体"/>
        </w:rPr>
      </w:pPr>
      <w:r>
        <w:rPr>
          <w:rFonts w:hint="eastAsia" w:ascii="宋体" w:hAnsi="宋体"/>
        </w:rPr>
        <w:t>注：</w:t>
      </w:r>
    </w:p>
    <w:p>
      <w:pPr>
        <w:pStyle w:val="11"/>
        <w:spacing w:line="520" w:lineRule="exact"/>
        <w:ind w:firstLine="0" w:firstLineChars="0"/>
        <w:rPr>
          <w:rFonts w:hint="eastAsia" w:hAnsi="仿宋_GB2312" w:cs="仿宋_GB2312"/>
          <w:szCs w:val="32"/>
        </w:rPr>
      </w:pPr>
      <w:r>
        <w:rPr>
          <w:rFonts w:hint="eastAsia" w:ascii="宋体" w:hAnsi="宋体" w:eastAsia="宋体"/>
          <w:sz w:val="24"/>
          <w:szCs w:val="24"/>
        </w:rPr>
        <w:t>1.</w:t>
      </w:r>
      <w:r>
        <w:rPr>
          <w:rFonts w:hint="eastAsia"/>
        </w:rPr>
        <w:t xml:space="preserve"> </w:t>
      </w:r>
      <w:r>
        <w:rPr>
          <w:rFonts w:hint="eastAsia" w:ascii="宋体" w:hAnsi="宋体" w:eastAsia="宋体"/>
          <w:sz w:val="24"/>
          <w:szCs w:val="24"/>
        </w:rPr>
        <w:t>说明：应对照招标文件“第二章 采购需求”中的商务要求逐条作明确的投标响应，并作出偏离说明。</w:t>
      </w:r>
    </w:p>
    <w:p>
      <w:pPr>
        <w:pStyle w:val="9"/>
        <w:rPr>
          <w:rFonts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snapToGrid w:val="0"/>
        <w:spacing w:before="50" w:after="50"/>
        <w:rPr>
          <w:rFonts w:ascii="宋体" w:hAnsi="宋体"/>
          <w:sz w:val="24"/>
        </w:rPr>
      </w:pPr>
    </w:p>
    <w:p>
      <w:pPr>
        <w:snapToGrid w:val="0"/>
        <w:spacing w:before="50" w:after="50"/>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napToGrid w:val="0"/>
        <w:spacing w:before="120" w:beforeLines="50"/>
        <w:rPr>
          <w:rFonts w:hint="eastAsia" w:ascii="宋体" w:hAnsi="宋体"/>
          <w:spacing w:val="20"/>
          <w:sz w:val="24"/>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w:t>
      </w:r>
    </w:p>
    <w:p>
      <w:pPr>
        <w:snapToGrid w:val="0"/>
        <w:spacing w:before="120" w:beforeLines="50"/>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pPr>
        <w:snapToGrid w:val="0"/>
        <w:spacing w:before="120" w:beforeLines="50"/>
        <w:rPr>
          <w:rFonts w:hint="eastAsia" w:ascii="宋体" w:hAnsi="宋体"/>
          <w:sz w:val="24"/>
          <w:szCs w:val="20"/>
        </w:rPr>
      </w:pPr>
    </w:p>
    <w:p>
      <w:pPr>
        <w:snapToGrid w:val="0"/>
        <w:spacing w:before="120" w:beforeLines="50" w:after="50"/>
        <w:jc w:val="left"/>
        <w:rPr>
          <w:rFonts w:ascii="宋体" w:hAnsi="宋体"/>
          <w:sz w:val="24"/>
          <w:szCs w:val="20"/>
        </w:rPr>
      </w:pPr>
    </w:p>
    <w:p>
      <w:pPr>
        <w:snapToGrid w:val="0"/>
        <w:spacing w:before="120" w:beforeLines="50" w:after="50"/>
        <w:jc w:val="left"/>
        <w:rPr>
          <w:rFonts w:hint="eastAsia" w:ascii="宋体" w:hAnsi="宋体"/>
          <w:b/>
          <w:sz w:val="24"/>
        </w:rPr>
      </w:pPr>
      <w:r>
        <w:rPr>
          <w:rFonts w:ascii="宋体" w:hAnsi="宋体"/>
          <w:sz w:val="24"/>
          <w:szCs w:val="20"/>
        </w:rPr>
        <w:br w:type="page"/>
      </w:r>
      <w:r>
        <w:rPr>
          <w:rFonts w:hint="eastAsia" w:ascii="宋体" w:hAnsi="宋体"/>
          <w:b/>
          <w:sz w:val="24"/>
        </w:rPr>
        <w:t>7.投标人业绩证明材料</w:t>
      </w:r>
    </w:p>
    <w:p>
      <w:pPr>
        <w:pStyle w:val="16"/>
        <w:snapToGrid w:val="0"/>
        <w:ind w:left="480" w:hanging="480"/>
        <w:rPr>
          <w:rFonts w:hint="eastAsia" w:ascii="宋体" w:hAnsi="宋体"/>
          <w:sz w:val="24"/>
        </w:rPr>
      </w:pPr>
    </w:p>
    <w:p>
      <w:pPr>
        <w:pStyle w:val="16"/>
        <w:snapToGrid w:val="0"/>
        <w:ind w:left="480" w:hanging="480"/>
        <w:rPr>
          <w:rFonts w:hint="eastAsia" w:ascii="宋体" w:hAnsi="宋体"/>
          <w:sz w:val="24"/>
        </w:rPr>
      </w:pPr>
      <w:r>
        <w:rPr>
          <w:rFonts w:hint="eastAsia" w:ascii="宋体" w:hAnsi="宋体"/>
          <w:sz w:val="24"/>
        </w:rPr>
        <w:t xml:space="preserve">投标人业绩情况一览表格式： </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 w:val="24"/>
              </w:rPr>
            </w:pPr>
            <w:r>
              <w:rPr>
                <w:rFonts w:hint="eastAsia" w:ascii="宋体" w:hAnsi="宋体"/>
                <w:sz w:val="24"/>
              </w:rPr>
              <w:t>采购人名称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 w:val="24"/>
              </w:rPr>
            </w:pPr>
            <w:r>
              <w:rPr>
                <w:rFonts w:hint="eastAsia" w:ascii="宋体" w:hAnsi="宋体"/>
                <w:sz w:val="24"/>
              </w:rPr>
              <w:t>项目名称</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 w:val="24"/>
              </w:rPr>
            </w:pPr>
            <w:r>
              <w:rPr>
                <w:rFonts w:hint="eastAsia" w:ascii="宋体" w:hAnsi="宋体"/>
                <w:sz w:val="24"/>
              </w:rPr>
              <w:t>合同金额</w:t>
            </w:r>
          </w:p>
          <w:p>
            <w:pPr>
              <w:snapToGrid w:val="0"/>
              <w:spacing w:line="240" w:lineRule="exact"/>
              <w:jc w:val="center"/>
              <w:rPr>
                <w:rFonts w:hint="eastAsia" w:ascii="宋体" w:hAnsi="宋体"/>
                <w:sz w:val="24"/>
              </w:rPr>
            </w:pPr>
            <w:r>
              <w:rPr>
                <w:rFonts w:hint="eastAsia" w:ascii="宋体" w:hAnsi="宋体"/>
                <w:sz w:val="24"/>
              </w:rPr>
              <w:t>（万元）</w:t>
            </w:r>
          </w:p>
        </w:tc>
        <w:tc>
          <w:tcPr>
            <w:tcW w:w="285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sz w:val="24"/>
              </w:rPr>
            </w:pPr>
            <w:r>
              <w:rPr>
                <w:rFonts w:hint="eastAsia" w:ascii="宋体" w:hAnsi="宋体"/>
                <w:sz w:val="24"/>
              </w:rPr>
              <w:t>采购人联系人及</w:t>
            </w:r>
          </w:p>
          <w:p>
            <w:pPr>
              <w:snapToGrid w:val="0"/>
              <w:spacing w:line="24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rPr>
            </w:pPr>
          </w:p>
        </w:tc>
        <w:tc>
          <w:tcPr>
            <w:tcW w:w="285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 w:val="24"/>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c>
          <w:tcPr>
            <w:tcW w:w="285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sz w:val="24"/>
              </w:rPr>
            </w:pPr>
          </w:p>
        </w:tc>
      </w:tr>
    </w:tbl>
    <w:p>
      <w:pPr>
        <w:pStyle w:val="7"/>
        <w:spacing w:before="0" w:after="0" w:line="360" w:lineRule="auto"/>
        <w:contextualSpacing/>
        <w:rPr>
          <w:rFonts w:hint="eastAsia" w:ascii="宋体" w:hAnsi="宋体" w:eastAsia="宋体"/>
          <w:sz w:val="24"/>
          <w:szCs w:val="24"/>
        </w:rPr>
      </w:pPr>
    </w:p>
    <w:p>
      <w:pPr>
        <w:pStyle w:val="7"/>
        <w:spacing w:before="0" w:after="0" w:line="360" w:lineRule="auto"/>
        <w:contextualSpacing/>
        <w:rPr>
          <w:rFonts w:hint="eastAsia" w:ascii="宋体" w:hAnsi="宋体" w:eastAsia="宋体"/>
          <w:sz w:val="24"/>
          <w:szCs w:val="24"/>
        </w:rPr>
      </w:pPr>
      <w:r>
        <w:rPr>
          <w:rFonts w:hint="eastAsia" w:ascii="宋体" w:hAnsi="宋体" w:eastAsia="宋体"/>
          <w:sz w:val="24"/>
          <w:szCs w:val="24"/>
        </w:rPr>
        <w:t>注：</w:t>
      </w:r>
      <w:r>
        <w:rPr>
          <w:rFonts w:hint="eastAsia" w:ascii="宋体" w:hAnsi="宋体"/>
          <w:sz w:val="24"/>
        </w:rPr>
        <w:t>投标人根据评标标准具体要求附业绩证明材料。</w:t>
      </w:r>
    </w:p>
    <w:p>
      <w:pPr>
        <w:pStyle w:val="7"/>
        <w:spacing w:before="0" w:after="0" w:line="360" w:lineRule="auto"/>
        <w:contextualSpacing/>
        <w:jc w:val="left"/>
        <w:rPr>
          <w:rFonts w:hint="eastAsia" w:ascii="宋体" w:hAnsi="宋体" w:eastAsia="宋体"/>
          <w:sz w:val="24"/>
          <w:szCs w:val="24"/>
          <w:u w:val="single"/>
        </w:rPr>
      </w:pPr>
      <w:r>
        <w:rPr>
          <w:rFonts w:hint="eastAsia" w:ascii="宋体" w:hAnsi="宋体" w:eastAsia="宋体"/>
          <w:sz w:val="24"/>
          <w:szCs w:val="24"/>
        </w:rPr>
        <w:t>法定代表人或者委托代理人（签字）：</w:t>
      </w:r>
      <w:r>
        <w:rPr>
          <w:rFonts w:hint="eastAsia" w:ascii="宋体" w:hAnsi="宋体" w:eastAsia="宋体"/>
          <w:sz w:val="24"/>
          <w:szCs w:val="24"/>
          <w:u w:val="single"/>
        </w:rPr>
        <w:t>　　　　　</w:t>
      </w:r>
    </w:p>
    <w:p>
      <w:pPr>
        <w:spacing w:line="360" w:lineRule="auto"/>
        <w:ind w:right="480"/>
        <w:contextualSpacing/>
        <w:jc w:val="left"/>
        <w:rPr>
          <w:rFonts w:hint="eastAsia" w:ascii="宋体" w:hAnsi="宋体"/>
          <w:sz w:val="24"/>
          <w:szCs w:val="20"/>
        </w:rPr>
      </w:pPr>
      <w:r>
        <w:rPr>
          <w:rFonts w:hint="eastAsia" w:ascii="宋体" w:hAnsi="宋体" w:cs="Arial"/>
          <w:sz w:val="24"/>
        </w:rPr>
        <w:t xml:space="preserve">投标人（盖公章）： </w:t>
      </w:r>
      <w:r>
        <w:rPr>
          <w:rFonts w:hint="eastAsia" w:ascii="宋体" w:hAnsi="宋体"/>
          <w:sz w:val="24"/>
          <w:u w:val="single"/>
        </w:rPr>
        <w:t xml:space="preserve">                </w:t>
      </w:r>
      <w:r>
        <w:rPr>
          <w:rFonts w:hint="eastAsia" w:ascii="宋体" w:hAnsi="宋体"/>
          <w:sz w:val="24"/>
        </w:rPr>
        <w:t xml:space="preserve">                                                              年    月    日</w:t>
      </w:r>
    </w:p>
    <w:p>
      <w:pPr>
        <w:snapToGrid w:val="0"/>
        <w:spacing w:before="50"/>
        <w:ind w:firstLine="480" w:firstLineChars="200"/>
        <w:jc w:val="left"/>
        <w:rPr>
          <w:rFonts w:hint="eastAsia" w:ascii="宋体" w:hAnsi="宋体"/>
          <w:sz w:val="24"/>
          <w:szCs w:val="20"/>
        </w:rPr>
      </w:pPr>
    </w:p>
    <w:p>
      <w:pPr>
        <w:snapToGrid w:val="0"/>
        <w:spacing w:before="50"/>
        <w:jc w:val="left"/>
        <w:rPr>
          <w:rFonts w:hint="eastAsia" w:ascii="宋体" w:hAnsi="宋体"/>
          <w:sz w:val="24"/>
        </w:rPr>
      </w:pPr>
    </w:p>
    <w:p>
      <w:pPr>
        <w:snapToGrid w:val="0"/>
        <w:spacing w:before="120" w:beforeLines="50"/>
        <w:rPr>
          <w:rFonts w:ascii="宋体" w:hAnsi="宋体"/>
          <w:sz w:val="24"/>
          <w:szCs w:val="20"/>
        </w:rPr>
        <w:sectPr>
          <w:pgSz w:w="11906" w:h="16838"/>
          <w:pgMar w:top="1440" w:right="1797" w:bottom="1440" w:left="1797" w:header="851" w:footer="992" w:gutter="0"/>
          <w:cols w:space="720" w:num="1"/>
          <w:docGrid w:linePitch="312" w:charSpace="0"/>
        </w:sectPr>
      </w:pPr>
    </w:p>
    <w:p>
      <w:pPr>
        <w:rPr>
          <w:rFonts w:hint="eastAsia"/>
          <w:b/>
          <w:sz w:val="28"/>
          <w:szCs w:val="28"/>
        </w:rPr>
      </w:pPr>
      <w:r>
        <w:rPr>
          <w:rFonts w:hint="eastAsia"/>
          <w:b/>
          <w:sz w:val="28"/>
          <w:szCs w:val="28"/>
        </w:rPr>
        <w:t>四、技术文件格式</w:t>
      </w:r>
    </w:p>
    <w:p>
      <w:pPr>
        <w:snapToGrid w:val="0"/>
        <w:spacing w:before="120" w:beforeLines="50" w:after="50"/>
        <w:ind w:left="142"/>
        <w:jc w:val="left"/>
        <w:rPr>
          <w:rFonts w:hint="eastAsia" w:ascii="宋体" w:hAnsi="宋体"/>
          <w:b/>
          <w:sz w:val="24"/>
        </w:rPr>
      </w:pPr>
      <w:r>
        <w:rPr>
          <w:rFonts w:hint="eastAsia" w:ascii="宋体" w:hAnsi="宋体"/>
          <w:b/>
          <w:sz w:val="24"/>
        </w:rPr>
        <w:t xml:space="preserve">1. 技术文件封面格式： </w:t>
      </w:r>
    </w:p>
    <w:p>
      <w:pPr>
        <w:snapToGrid w:val="0"/>
        <w:spacing w:before="120" w:beforeLines="50" w:after="50"/>
        <w:rPr>
          <w:rFonts w:hint="eastAsia" w:ascii="宋体" w:hAnsi="宋体"/>
          <w:b/>
          <w:bCs/>
          <w:sz w:val="32"/>
          <w:szCs w:val="20"/>
        </w:rPr>
      </w:pPr>
      <w:r>
        <w:rPr>
          <w:rFonts w:hint="eastAsia" w:ascii="宋体" w:hAnsi="宋体"/>
          <w:sz w:val="24"/>
        </w:rPr>
        <w:t xml:space="preserve">                                                   </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投  标  文  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
          <w:bCs/>
          <w:sz w:val="32"/>
          <w:szCs w:val="32"/>
        </w:rPr>
      </w:pPr>
      <w:r>
        <w:rPr>
          <w:rFonts w:hint="eastAsia" w:ascii="宋体" w:hAnsi="宋体"/>
          <w:b/>
          <w:bCs/>
          <w:sz w:val="32"/>
          <w:szCs w:val="32"/>
        </w:rPr>
        <w:t>技  术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项目名称： </w:t>
      </w:r>
    </w:p>
    <w:p>
      <w:pPr>
        <w:snapToGrid w:val="0"/>
        <w:spacing w:before="120" w:beforeLines="50" w:after="50" w:line="400" w:lineRule="exact"/>
        <w:ind w:firstLine="360" w:firstLineChars="150"/>
        <w:rPr>
          <w:rFonts w:hint="eastAsia" w:ascii="宋体" w:hAnsi="宋体"/>
          <w:bCs/>
          <w:sz w:val="24"/>
          <w:szCs w:val="20"/>
        </w:rPr>
      </w:pPr>
    </w:p>
    <w:p>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项目编号： </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所投分标：</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投标人名称：</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pPr>
        <w:snapToGrid w:val="0"/>
        <w:spacing w:before="120" w:beforeLines="50" w:after="50" w:line="400" w:lineRule="exact"/>
        <w:ind w:firstLine="360" w:firstLineChars="150"/>
        <w:rPr>
          <w:rFonts w:hint="eastAsia" w:ascii="宋体" w:hAnsi="宋体"/>
          <w:bCs/>
          <w:sz w:val="24"/>
        </w:rPr>
      </w:pPr>
    </w:p>
    <w:p>
      <w:pPr>
        <w:snapToGrid w:val="0"/>
        <w:spacing w:before="120" w:beforeLines="50" w:after="50"/>
        <w:ind w:firstLine="645"/>
        <w:jc w:val="center"/>
        <w:rPr>
          <w:rFonts w:hint="eastAsia" w:ascii="宋体" w:hAnsi="宋体"/>
          <w:sz w:val="24"/>
        </w:rPr>
      </w:pPr>
      <w:r>
        <w:rPr>
          <w:rFonts w:hint="eastAsia" w:ascii="宋体" w:hAnsi="宋体"/>
          <w:sz w:val="24"/>
        </w:rPr>
        <w:t xml:space="preserve">               </w:t>
      </w:r>
    </w:p>
    <w:p>
      <w:pPr>
        <w:snapToGrid w:val="0"/>
        <w:spacing w:before="120" w:beforeLines="50" w:after="50"/>
        <w:ind w:firstLine="645"/>
        <w:jc w:val="center"/>
        <w:rPr>
          <w:rFonts w:hint="eastAsia" w:ascii="宋体" w:hAnsi="宋体"/>
          <w:sz w:val="24"/>
        </w:rPr>
      </w:pPr>
    </w:p>
    <w:p>
      <w:pPr>
        <w:snapToGrid w:val="0"/>
        <w:spacing w:before="120" w:beforeLines="50" w:after="50"/>
        <w:ind w:firstLine="645"/>
        <w:jc w:val="center"/>
        <w:rPr>
          <w:rFonts w:hint="eastAsia" w:ascii="宋体" w:hAnsi="宋体"/>
          <w:sz w:val="24"/>
        </w:rPr>
      </w:pPr>
      <w:r>
        <w:rPr>
          <w:rFonts w:hint="eastAsia" w:ascii="宋体" w:hAnsi="宋体"/>
          <w:sz w:val="24"/>
        </w:rPr>
        <w:t>年    月    日</w:t>
      </w:r>
    </w:p>
    <w:p>
      <w:pPr>
        <w:snapToGrid w:val="0"/>
        <w:spacing w:before="120" w:beforeLines="50" w:after="50"/>
        <w:ind w:firstLine="645"/>
        <w:jc w:val="center"/>
        <w:rPr>
          <w:rFonts w:hint="eastAsia" w:ascii="宋体" w:hAnsi="宋体"/>
          <w:sz w:val="24"/>
          <w:szCs w:val="20"/>
        </w:rPr>
      </w:pPr>
    </w:p>
    <w:p>
      <w:pPr>
        <w:snapToGrid w:val="0"/>
        <w:spacing w:before="120" w:beforeLines="50" w:after="50"/>
        <w:ind w:left="142"/>
        <w:jc w:val="left"/>
        <w:rPr>
          <w:rFonts w:hint="eastAsia" w:ascii="宋体" w:hAnsi="宋体"/>
          <w:b/>
          <w:bCs/>
          <w:sz w:val="24"/>
        </w:rPr>
      </w:pPr>
      <w:r>
        <w:rPr>
          <w:rFonts w:ascii="宋体" w:hAnsi="宋体"/>
          <w:b/>
          <w:bCs/>
          <w:sz w:val="24"/>
        </w:rPr>
        <w:br w:type="page"/>
      </w:r>
      <w:r>
        <w:rPr>
          <w:rFonts w:hint="eastAsia" w:ascii="宋体" w:hAnsi="宋体"/>
          <w:b/>
          <w:bCs/>
          <w:sz w:val="24"/>
        </w:rPr>
        <w:t>2.技术文件目录</w:t>
      </w:r>
    </w:p>
    <w:p>
      <w:pPr>
        <w:snapToGrid w:val="0"/>
        <w:spacing w:before="50" w:after="120" w:afterLines="50" w:line="360" w:lineRule="auto"/>
        <w:ind w:firstLine="480" w:firstLineChars="200"/>
        <w:jc w:val="left"/>
        <w:rPr>
          <w:rFonts w:hint="eastAsia" w:ascii="宋体" w:hAnsi="宋体"/>
          <w:sz w:val="24"/>
        </w:rPr>
      </w:pPr>
      <w:r>
        <w:rPr>
          <w:rFonts w:hint="eastAsia" w:ascii="宋体" w:hAnsi="宋体"/>
          <w:sz w:val="24"/>
        </w:rPr>
        <w:t>根据招标文件规定及投标人提供的材料自行编写目录。</w:t>
      </w:r>
    </w:p>
    <w:p>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 技术要求偏离表格式</w:t>
      </w:r>
    </w:p>
    <w:p>
      <w:pPr>
        <w:snapToGrid w:val="0"/>
        <w:spacing w:before="120" w:beforeLines="50" w:after="50"/>
        <w:ind w:left="142"/>
        <w:jc w:val="left"/>
        <w:rPr>
          <w:rFonts w:hint="eastAsia" w:ascii="宋体" w:hAnsi="宋体"/>
          <w:b/>
          <w:sz w:val="24"/>
        </w:rPr>
      </w:pPr>
    </w:p>
    <w:p>
      <w:pPr>
        <w:snapToGrid w:val="0"/>
        <w:spacing w:before="120" w:beforeLines="50" w:after="50"/>
        <w:ind w:left="142"/>
        <w:jc w:val="center"/>
        <w:rPr>
          <w:rFonts w:hint="eastAsia" w:ascii="宋体" w:hAnsi="宋体"/>
          <w:b/>
          <w:sz w:val="32"/>
          <w:szCs w:val="32"/>
        </w:rPr>
      </w:pPr>
      <w:r>
        <w:rPr>
          <w:rFonts w:hint="eastAsia" w:ascii="宋体" w:hAnsi="宋体"/>
          <w:b/>
          <w:sz w:val="32"/>
          <w:szCs w:val="32"/>
        </w:rPr>
        <w:t>技术要求偏离表</w:t>
      </w:r>
    </w:p>
    <w:p>
      <w:pPr>
        <w:pStyle w:val="12"/>
        <w:rPr>
          <w:rFonts w:hint="eastAsia" w:hAnsi="宋体"/>
          <w:sz w:val="24"/>
          <w:szCs w:val="24"/>
        </w:rPr>
      </w:pPr>
      <w:r>
        <w:rPr>
          <w:rFonts w:hint="eastAsia" w:hAnsi="宋体"/>
          <w:sz w:val="24"/>
          <w:szCs w:val="24"/>
        </w:rPr>
        <w:t>所投分标：</w:t>
      </w:r>
      <w:r>
        <w:rPr>
          <w:rFonts w:hint="eastAsia" w:hAnsi="宋体"/>
          <w:sz w:val="24"/>
          <w:szCs w:val="24"/>
          <w:u w:val="single"/>
        </w:rPr>
        <w:t xml:space="preserve">     </w:t>
      </w:r>
      <w:r>
        <w:rPr>
          <w:rFonts w:hint="eastAsia" w:hAnsi="宋体"/>
          <w:sz w:val="24"/>
          <w:szCs w:val="24"/>
        </w:rPr>
        <w:t>分标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2"/>
              <w:spacing w:line="400" w:lineRule="exact"/>
              <w:jc w:val="center"/>
              <w:rPr>
                <w:rFonts w:hint="eastAsia" w:hAnsi="宋体" w:cs="Courier New"/>
                <w:kern w:val="2"/>
                <w:sz w:val="24"/>
                <w:szCs w:val="24"/>
                <w:lang w:val="en-US" w:eastAsia="zh-CN"/>
              </w:rPr>
            </w:pPr>
            <w:r>
              <w:rPr>
                <w:rFonts w:hint="eastAsia" w:hAnsi="宋体" w:cs="Courier New"/>
                <w:kern w:val="2"/>
                <w:sz w:val="24"/>
                <w:szCs w:val="24"/>
                <w:lang w:val="en-US" w:eastAsia="zh-CN"/>
              </w:rPr>
              <w:t>项号</w:t>
            </w:r>
          </w:p>
        </w:tc>
        <w:tc>
          <w:tcPr>
            <w:tcW w:w="2143" w:type="dxa"/>
            <w:noWrap w:val="0"/>
            <w:vAlign w:val="center"/>
          </w:tcPr>
          <w:p>
            <w:pPr>
              <w:pStyle w:val="12"/>
              <w:spacing w:line="400" w:lineRule="exact"/>
              <w:jc w:val="center"/>
              <w:rPr>
                <w:rFonts w:hint="eastAsia" w:hAnsi="宋体" w:cs="Courier New"/>
                <w:kern w:val="2"/>
                <w:sz w:val="24"/>
                <w:szCs w:val="24"/>
                <w:lang w:val="en-US" w:eastAsia="zh-CN"/>
              </w:rPr>
            </w:pPr>
            <w:r>
              <w:rPr>
                <w:rFonts w:hint="eastAsia" w:hAnsi="宋体" w:cs="Courier New"/>
                <w:kern w:val="2"/>
                <w:sz w:val="24"/>
                <w:szCs w:val="24"/>
                <w:lang w:val="en-US" w:eastAsia="zh-CN"/>
              </w:rPr>
              <w:t>标的的名称</w:t>
            </w:r>
          </w:p>
        </w:tc>
        <w:tc>
          <w:tcPr>
            <w:tcW w:w="1834" w:type="dxa"/>
            <w:noWrap w:val="0"/>
            <w:vAlign w:val="center"/>
          </w:tcPr>
          <w:p>
            <w:pPr>
              <w:pStyle w:val="12"/>
              <w:spacing w:line="400" w:lineRule="exact"/>
              <w:jc w:val="center"/>
              <w:rPr>
                <w:rFonts w:hAnsi="宋体" w:cs="Courier New"/>
                <w:kern w:val="2"/>
                <w:sz w:val="24"/>
                <w:szCs w:val="24"/>
                <w:lang w:val="en-US" w:eastAsia="zh-CN"/>
              </w:rPr>
            </w:pPr>
            <w:r>
              <w:rPr>
                <w:rFonts w:hint="eastAsia" w:hAnsi="宋体" w:cs="Courier New"/>
                <w:kern w:val="2"/>
                <w:sz w:val="24"/>
                <w:szCs w:val="24"/>
                <w:lang w:val="en-US" w:eastAsia="zh-CN"/>
              </w:rPr>
              <w:t>技术要求</w:t>
            </w:r>
          </w:p>
        </w:tc>
        <w:tc>
          <w:tcPr>
            <w:tcW w:w="2181" w:type="dxa"/>
            <w:noWrap w:val="0"/>
            <w:vAlign w:val="center"/>
          </w:tcPr>
          <w:p>
            <w:pPr>
              <w:pStyle w:val="12"/>
              <w:spacing w:line="400" w:lineRule="exact"/>
              <w:jc w:val="center"/>
              <w:rPr>
                <w:rFonts w:hint="eastAsia" w:hAnsi="宋体" w:cs="Courier New"/>
                <w:kern w:val="2"/>
                <w:sz w:val="24"/>
                <w:szCs w:val="24"/>
                <w:lang w:val="en-US" w:eastAsia="zh-CN"/>
              </w:rPr>
            </w:pPr>
            <w:r>
              <w:rPr>
                <w:rFonts w:hint="eastAsia" w:hAnsi="宋体" w:cs="Courier New"/>
                <w:kern w:val="2"/>
                <w:sz w:val="24"/>
                <w:szCs w:val="24"/>
                <w:lang w:val="en-US" w:eastAsia="zh-CN"/>
              </w:rPr>
              <w:t>投标响应</w:t>
            </w:r>
          </w:p>
        </w:tc>
        <w:tc>
          <w:tcPr>
            <w:tcW w:w="1934" w:type="dxa"/>
            <w:noWrap w:val="0"/>
            <w:vAlign w:val="center"/>
          </w:tcPr>
          <w:p>
            <w:pPr>
              <w:pStyle w:val="12"/>
              <w:spacing w:line="400" w:lineRule="exact"/>
              <w:jc w:val="center"/>
              <w:rPr>
                <w:rFonts w:hint="eastAsia" w:hAnsi="宋体" w:cs="Courier New"/>
                <w:kern w:val="2"/>
                <w:sz w:val="24"/>
                <w:szCs w:val="24"/>
                <w:lang w:val="en-US" w:eastAsia="zh-CN"/>
              </w:rPr>
            </w:pPr>
            <w:r>
              <w:rPr>
                <w:rFonts w:hint="eastAsia" w:hAnsi="宋体" w:cs="Courier New"/>
                <w:kern w:val="2"/>
                <w:sz w:val="24"/>
                <w:szCs w:val="24"/>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jc w:val="center"/>
              <w:rPr>
                <w:rFonts w:hint="eastAsia" w:hAnsi="宋体" w:cs="Courier New"/>
                <w:kern w:val="2"/>
                <w:sz w:val="24"/>
                <w:szCs w:val="24"/>
                <w:lang w:val="en-US" w:eastAsia="zh-CN"/>
              </w:rPr>
            </w:pPr>
          </w:p>
        </w:tc>
        <w:tc>
          <w:tcPr>
            <w:tcW w:w="2143" w:type="dxa"/>
            <w:noWrap w:val="0"/>
            <w:vAlign w:val="center"/>
          </w:tcPr>
          <w:p>
            <w:pPr>
              <w:pStyle w:val="12"/>
              <w:spacing w:line="600" w:lineRule="exact"/>
              <w:jc w:val="center"/>
              <w:rPr>
                <w:rFonts w:hint="eastAsia" w:hAnsi="宋体" w:cs="Courier New"/>
                <w:kern w:val="2"/>
                <w:sz w:val="24"/>
                <w:szCs w:val="24"/>
                <w:lang w:val="en-US" w:eastAsia="zh-CN"/>
              </w:rPr>
            </w:pPr>
          </w:p>
        </w:tc>
        <w:tc>
          <w:tcPr>
            <w:tcW w:w="1834" w:type="dxa"/>
            <w:noWrap w:val="0"/>
            <w:vAlign w:val="center"/>
          </w:tcPr>
          <w:p>
            <w:pPr>
              <w:pStyle w:val="12"/>
              <w:spacing w:line="600" w:lineRule="exact"/>
              <w:jc w:val="center"/>
              <w:rPr>
                <w:rFonts w:hint="eastAsia" w:hAnsi="宋体" w:cs="Courier New"/>
                <w:kern w:val="2"/>
                <w:sz w:val="24"/>
                <w:szCs w:val="24"/>
                <w:lang w:val="en-US" w:eastAsia="zh-CN"/>
              </w:rPr>
            </w:pPr>
          </w:p>
        </w:tc>
        <w:tc>
          <w:tcPr>
            <w:tcW w:w="2181" w:type="dxa"/>
            <w:noWrap w:val="0"/>
            <w:vAlign w:val="center"/>
          </w:tcPr>
          <w:p>
            <w:pPr>
              <w:pStyle w:val="12"/>
              <w:spacing w:line="600" w:lineRule="exact"/>
              <w:jc w:val="center"/>
              <w:rPr>
                <w:rFonts w:hint="eastAsia" w:hAnsi="宋体" w:cs="Courier New"/>
                <w:kern w:val="2"/>
                <w:sz w:val="24"/>
                <w:szCs w:val="24"/>
                <w:lang w:val="en-US" w:eastAsia="zh-CN"/>
              </w:rPr>
            </w:pPr>
          </w:p>
        </w:tc>
        <w:tc>
          <w:tcPr>
            <w:tcW w:w="1934" w:type="dxa"/>
            <w:noWrap w:val="0"/>
            <w:vAlign w:val="center"/>
          </w:tcPr>
          <w:p>
            <w:pPr>
              <w:pStyle w:val="12"/>
              <w:spacing w:line="600" w:lineRule="exact"/>
              <w:jc w:val="center"/>
              <w:rPr>
                <w:rFonts w:hint="eastAsia" w:hAnsi="宋体" w:cs="Courier New"/>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kern w:val="2"/>
                <w:sz w:val="24"/>
                <w:szCs w:val="24"/>
                <w:lang w:val="en-US" w:eastAsia="zh-CN"/>
              </w:rPr>
            </w:pPr>
          </w:p>
        </w:tc>
        <w:tc>
          <w:tcPr>
            <w:tcW w:w="2143" w:type="dxa"/>
            <w:noWrap w:val="0"/>
            <w:vAlign w:val="top"/>
          </w:tcPr>
          <w:p>
            <w:pPr>
              <w:pStyle w:val="12"/>
              <w:spacing w:line="600" w:lineRule="exact"/>
              <w:rPr>
                <w:rFonts w:hint="eastAsia" w:hAnsi="宋体" w:cs="Courier New"/>
                <w:kern w:val="2"/>
                <w:sz w:val="24"/>
                <w:szCs w:val="24"/>
                <w:lang w:val="en-US" w:eastAsia="zh-CN"/>
              </w:rPr>
            </w:pPr>
          </w:p>
        </w:tc>
        <w:tc>
          <w:tcPr>
            <w:tcW w:w="1834" w:type="dxa"/>
            <w:noWrap w:val="0"/>
            <w:vAlign w:val="top"/>
          </w:tcPr>
          <w:p>
            <w:pPr>
              <w:pStyle w:val="12"/>
              <w:spacing w:line="600" w:lineRule="exact"/>
              <w:rPr>
                <w:rFonts w:hint="eastAsia" w:hAnsi="宋体" w:cs="Courier New"/>
                <w:kern w:val="2"/>
                <w:sz w:val="24"/>
                <w:szCs w:val="24"/>
                <w:lang w:val="en-US" w:eastAsia="zh-CN"/>
              </w:rPr>
            </w:pPr>
          </w:p>
        </w:tc>
        <w:tc>
          <w:tcPr>
            <w:tcW w:w="2181" w:type="dxa"/>
            <w:noWrap w:val="0"/>
            <w:vAlign w:val="top"/>
          </w:tcPr>
          <w:p>
            <w:pPr>
              <w:pStyle w:val="12"/>
              <w:spacing w:line="600" w:lineRule="exact"/>
              <w:rPr>
                <w:rFonts w:hint="eastAsia" w:hAnsi="宋体" w:cs="Courier New"/>
                <w:kern w:val="2"/>
                <w:sz w:val="24"/>
                <w:szCs w:val="24"/>
                <w:lang w:val="en-US" w:eastAsia="zh-CN"/>
              </w:rPr>
            </w:pPr>
          </w:p>
        </w:tc>
        <w:tc>
          <w:tcPr>
            <w:tcW w:w="1934" w:type="dxa"/>
            <w:noWrap w:val="0"/>
            <w:vAlign w:val="top"/>
          </w:tcPr>
          <w:p>
            <w:pPr>
              <w:pStyle w:val="12"/>
              <w:spacing w:line="600" w:lineRule="exact"/>
              <w:rPr>
                <w:rFonts w:hint="eastAsia" w:hAnsi="宋体" w:cs="Courier New"/>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kern w:val="2"/>
                <w:sz w:val="24"/>
                <w:szCs w:val="24"/>
                <w:lang w:val="en-US" w:eastAsia="zh-CN"/>
              </w:rPr>
            </w:pPr>
          </w:p>
        </w:tc>
        <w:tc>
          <w:tcPr>
            <w:tcW w:w="2143" w:type="dxa"/>
            <w:noWrap w:val="0"/>
            <w:vAlign w:val="top"/>
          </w:tcPr>
          <w:p>
            <w:pPr>
              <w:pStyle w:val="12"/>
              <w:spacing w:line="600" w:lineRule="exact"/>
              <w:rPr>
                <w:rFonts w:hint="eastAsia" w:hAnsi="宋体" w:cs="Courier New"/>
                <w:kern w:val="2"/>
                <w:sz w:val="24"/>
                <w:szCs w:val="24"/>
                <w:lang w:val="en-US" w:eastAsia="zh-CN"/>
              </w:rPr>
            </w:pPr>
          </w:p>
        </w:tc>
        <w:tc>
          <w:tcPr>
            <w:tcW w:w="1834" w:type="dxa"/>
            <w:noWrap w:val="0"/>
            <w:vAlign w:val="top"/>
          </w:tcPr>
          <w:p>
            <w:pPr>
              <w:pStyle w:val="12"/>
              <w:spacing w:line="600" w:lineRule="exact"/>
              <w:rPr>
                <w:rFonts w:hint="eastAsia" w:hAnsi="宋体" w:cs="Courier New"/>
                <w:kern w:val="2"/>
                <w:sz w:val="24"/>
                <w:szCs w:val="24"/>
                <w:lang w:val="en-US" w:eastAsia="zh-CN"/>
              </w:rPr>
            </w:pPr>
          </w:p>
        </w:tc>
        <w:tc>
          <w:tcPr>
            <w:tcW w:w="2181" w:type="dxa"/>
            <w:noWrap w:val="0"/>
            <w:vAlign w:val="top"/>
          </w:tcPr>
          <w:p>
            <w:pPr>
              <w:pStyle w:val="12"/>
              <w:spacing w:line="600" w:lineRule="exact"/>
              <w:rPr>
                <w:rFonts w:hint="eastAsia" w:hAnsi="宋体" w:cs="Courier New"/>
                <w:kern w:val="2"/>
                <w:sz w:val="24"/>
                <w:szCs w:val="24"/>
                <w:lang w:val="en-US" w:eastAsia="zh-CN"/>
              </w:rPr>
            </w:pPr>
          </w:p>
        </w:tc>
        <w:tc>
          <w:tcPr>
            <w:tcW w:w="1934" w:type="dxa"/>
            <w:noWrap w:val="0"/>
            <w:vAlign w:val="top"/>
          </w:tcPr>
          <w:p>
            <w:pPr>
              <w:pStyle w:val="12"/>
              <w:spacing w:line="600" w:lineRule="exact"/>
              <w:rPr>
                <w:rFonts w:hint="eastAsia" w:hAnsi="宋体" w:cs="Courier New"/>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kern w:val="2"/>
                <w:sz w:val="24"/>
                <w:szCs w:val="24"/>
                <w:lang w:val="en-US" w:eastAsia="zh-CN"/>
              </w:rPr>
            </w:pPr>
          </w:p>
        </w:tc>
        <w:tc>
          <w:tcPr>
            <w:tcW w:w="2143" w:type="dxa"/>
            <w:noWrap w:val="0"/>
            <w:vAlign w:val="top"/>
          </w:tcPr>
          <w:p>
            <w:pPr>
              <w:pStyle w:val="12"/>
              <w:spacing w:line="600" w:lineRule="exact"/>
              <w:rPr>
                <w:rFonts w:hint="eastAsia" w:hAnsi="宋体" w:cs="Courier New"/>
                <w:kern w:val="2"/>
                <w:sz w:val="24"/>
                <w:szCs w:val="24"/>
                <w:lang w:val="en-US" w:eastAsia="zh-CN"/>
              </w:rPr>
            </w:pPr>
          </w:p>
        </w:tc>
        <w:tc>
          <w:tcPr>
            <w:tcW w:w="1834" w:type="dxa"/>
            <w:noWrap w:val="0"/>
            <w:vAlign w:val="top"/>
          </w:tcPr>
          <w:p>
            <w:pPr>
              <w:pStyle w:val="12"/>
              <w:spacing w:line="600" w:lineRule="exact"/>
              <w:rPr>
                <w:rFonts w:hint="eastAsia" w:hAnsi="宋体" w:cs="Courier New"/>
                <w:kern w:val="2"/>
                <w:sz w:val="24"/>
                <w:szCs w:val="24"/>
                <w:lang w:val="en-US" w:eastAsia="zh-CN"/>
              </w:rPr>
            </w:pPr>
          </w:p>
        </w:tc>
        <w:tc>
          <w:tcPr>
            <w:tcW w:w="2181" w:type="dxa"/>
            <w:noWrap w:val="0"/>
            <w:vAlign w:val="top"/>
          </w:tcPr>
          <w:p>
            <w:pPr>
              <w:pStyle w:val="12"/>
              <w:spacing w:line="600" w:lineRule="exact"/>
              <w:rPr>
                <w:rFonts w:hint="eastAsia" w:hAnsi="宋体" w:cs="Courier New"/>
                <w:kern w:val="2"/>
                <w:sz w:val="24"/>
                <w:szCs w:val="24"/>
                <w:lang w:val="en-US" w:eastAsia="zh-CN"/>
              </w:rPr>
            </w:pPr>
          </w:p>
        </w:tc>
        <w:tc>
          <w:tcPr>
            <w:tcW w:w="1934" w:type="dxa"/>
            <w:noWrap w:val="0"/>
            <w:vAlign w:val="top"/>
          </w:tcPr>
          <w:p>
            <w:pPr>
              <w:pStyle w:val="12"/>
              <w:spacing w:line="600" w:lineRule="exact"/>
              <w:rPr>
                <w:rFonts w:hint="eastAsia" w:hAnsi="宋体" w:cs="Courier New"/>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kern w:val="2"/>
                <w:sz w:val="24"/>
                <w:szCs w:val="24"/>
                <w:lang w:val="en-US" w:eastAsia="zh-CN"/>
              </w:rPr>
            </w:pPr>
          </w:p>
        </w:tc>
        <w:tc>
          <w:tcPr>
            <w:tcW w:w="2143" w:type="dxa"/>
            <w:noWrap w:val="0"/>
            <w:vAlign w:val="top"/>
          </w:tcPr>
          <w:p>
            <w:pPr>
              <w:pStyle w:val="12"/>
              <w:spacing w:line="600" w:lineRule="exact"/>
              <w:rPr>
                <w:rFonts w:hint="eastAsia" w:hAnsi="宋体" w:cs="Courier New"/>
                <w:kern w:val="2"/>
                <w:sz w:val="24"/>
                <w:szCs w:val="24"/>
                <w:lang w:val="en-US" w:eastAsia="zh-CN"/>
              </w:rPr>
            </w:pPr>
          </w:p>
        </w:tc>
        <w:tc>
          <w:tcPr>
            <w:tcW w:w="1834" w:type="dxa"/>
            <w:noWrap w:val="0"/>
            <w:vAlign w:val="top"/>
          </w:tcPr>
          <w:p>
            <w:pPr>
              <w:pStyle w:val="12"/>
              <w:spacing w:line="600" w:lineRule="exact"/>
              <w:rPr>
                <w:rFonts w:hint="eastAsia" w:hAnsi="宋体" w:cs="Courier New"/>
                <w:kern w:val="2"/>
                <w:sz w:val="24"/>
                <w:szCs w:val="24"/>
                <w:lang w:val="en-US" w:eastAsia="zh-CN"/>
              </w:rPr>
            </w:pPr>
          </w:p>
        </w:tc>
        <w:tc>
          <w:tcPr>
            <w:tcW w:w="2181" w:type="dxa"/>
            <w:noWrap w:val="0"/>
            <w:vAlign w:val="top"/>
          </w:tcPr>
          <w:p>
            <w:pPr>
              <w:pStyle w:val="12"/>
              <w:spacing w:line="600" w:lineRule="exact"/>
              <w:rPr>
                <w:rFonts w:hint="eastAsia" w:hAnsi="宋体" w:cs="Courier New"/>
                <w:kern w:val="2"/>
                <w:sz w:val="24"/>
                <w:szCs w:val="24"/>
                <w:lang w:val="en-US" w:eastAsia="zh-CN"/>
              </w:rPr>
            </w:pPr>
          </w:p>
        </w:tc>
        <w:tc>
          <w:tcPr>
            <w:tcW w:w="1934" w:type="dxa"/>
            <w:noWrap w:val="0"/>
            <w:vAlign w:val="top"/>
          </w:tcPr>
          <w:p>
            <w:pPr>
              <w:pStyle w:val="12"/>
              <w:spacing w:line="600" w:lineRule="exact"/>
              <w:rPr>
                <w:rFonts w:hint="eastAsia" w:hAnsi="宋体" w:cs="Courier New"/>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kern w:val="2"/>
                <w:sz w:val="24"/>
                <w:szCs w:val="24"/>
                <w:lang w:val="en-US" w:eastAsia="zh-CN"/>
              </w:rPr>
            </w:pPr>
          </w:p>
        </w:tc>
        <w:tc>
          <w:tcPr>
            <w:tcW w:w="2143" w:type="dxa"/>
            <w:noWrap w:val="0"/>
            <w:vAlign w:val="top"/>
          </w:tcPr>
          <w:p>
            <w:pPr>
              <w:pStyle w:val="12"/>
              <w:spacing w:line="600" w:lineRule="exact"/>
              <w:rPr>
                <w:rFonts w:hint="eastAsia" w:hAnsi="宋体" w:cs="Courier New"/>
                <w:kern w:val="2"/>
                <w:sz w:val="24"/>
                <w:szCs w:val="24"/>
                <w:lang w:val="en-US" w:eastAsia="zh-CN"/>
              </w:rPr>
            </w:pPr>
          </w:p>
        </w:tc>
        <w:tc>
          <w:tcPr>
            <w:tcW w:w="1834" w:type="dxa"/>
            <w:noWrap w:val="0"/>
            <w:vAlign w:val="top"/>
          </w:tcPr>
          <w:p>
            <w:pPr>
              <w:pStyle w:val="12"/>
              <w:spacing w:line="600" w:lineRule="exact"/>
              <w:rPr>
                <w:rFonts w:hint="eastAsia" w:hAnsi="宋体" w:cs="Courier New"/>
                <w:kern w:val="2"/>
                <w:sz w:val="24"/>
                <w:szCs w:val="24"/>
                <w:lang w:val="en-US" w:eastAsia="zh-CN"/>
              </w:rPr>
            </w:pPr>
          </w:p>
        </w:tc>
        <w:tc>
          <w:tcPr>
            <w:tcW w:w="2181" w:type="dxa"/>
            <w:noWrap w:val="0"/>
            <w:vAlign w:val="top"/>
          </w:tcPr>
          <w:p>
            <w:pPr>
              <w:pStyle w:val="12"/>
              <w:spacing w:line="600" w:lineRule="exact"/>
              <w:rPr>
                <w:rFonts w:hint="eastAsia" w:hAnsi="宋体" w:cs="Courier New"/>
                <w:kern w:val="2"/>
                <w:sz w:val="24"/>
                <w:szCs w:val="24"/>
                <w:lang w:val="en-US" w:eastAsia="zh-CN"/>
              </w:rPr>
            </w:pPr>
          </w:p>
        </w:tc>
        <w:tc>
          <w:tcPr>
            <w:tcW w:w="1934" w:type="dxa"/>
            <w:noWrap w:val="0"/>
            <w:vAlign w:val="top"/>
          </w:tcPr>
          <w:p>
            <w:pPr>
              <w:pStyle w:val="12"/>
              <w:spacing w:line="600" w:lineRule="exact"/>
              <w:rPr>
                <w:rFonts w:hint="eastAsia" w:hAnsi="宋体" w:cs="Courier New"/>
                <w:kern w:val="2"/>
                <w:sz w:val="24"/>
                <w:szCs w:val="24"/>
                <w:lang w:val="en-US" w:eastAsia="zh-CN"/>
              </w:rPr>
            </w:pPr>
          </w:p>
        </w:tc>
      </w:tr>
    </w:tbl>
    <w:p>
      <w:pPr>
        <w:pStyle w:val="9"/>
        <w:rPr>
          <w:rFonts w:hint="eastAsia" w:ascii="宋体" w:hAnsi="宋体"/>
        </w:rPr>
      </w:pPr>
      <w:r>
        <w:rPr>
          <w:rFonts w:hint="eastAsia" w:ascii="宋体" w:hAnsi="宋体"/>
        </w:rPr>
        <w:t>注：</w:t>
      </w:r>
    </w:p>
    <w:p>
      <w:pPr>
        <w:pStyle w:val="11"/>
        <w:spacing w:line="360" w:lineRule="auto"/>
        <w:ind w:firstLine="0" w:firstLineChars="0"/>
        <w:contextualSpacing/>
        <w:rPr>
          <w:rFonts w:hint="eastAsia" w:hAnsi="仿宋_GB2312" w:cs="仿宋_GB2312"/>
          <w:szCs w:val="32"/>
        </w:rPr>
      </w:pPr>
      <w:r>
        <w:rPr>
          <w:rFonts w:hint="eastAsia" w:ascii="宋体" w:hAnsi="宋体" w:eastAsia="宋体"/>
          <w:sz w:val="24"/>
          <w:szCs w:val="24"/>
        </w:rPr>
        <w:t>1.说明：应对照招标文件“第二章 采购需求”中的“技术要求”逐条作明确的投标响应，并作出偏离说明。</w:t>
      </w:r>
    </w:p>
    <w:p>
      <w:pPr>
        <w:pStyle w:val="9"/>
        <w:spacing w:line="360" w:lineRule="auto"/>
        <w:contextualSpacing/>
        <w:rPr>
          <w:rFonts w:hint="eastAsia"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pPr>
        <w:snapToGrid w:val="0"/>
        <w:spacing w:before="50" w:after="50" w:line="360" w:lineRule="auto"/>
        <w:rPr>
          <w:rFonts w:hint="eastAsia" w:ascii="宋体" w:hAnsi="宋体"/>
          <w:sz w:val="24"/>
        </w:rPr>
      </w:pPr>
    </w:p>
    <w:p>
      <w:pPr>
        <w:snapToGrid w:val="0"/>
        <w:spacing w:before="50" w:after="50" w:line="360" w:lineRule="auto"/>
        <w:rPr>
          <w:rFonts w:hint="eastAsia" w:ascii="宋体" w:hAnsi="宋体"/>
          <w:sz w:val="24"/>
        </w:rPr>
      </w:pPr>
    </w:p>
    <w:p>
      <w:pPr>
        <w:snapToGrid w:val="0"/>
        <w:spacing w:before="50" w:after="50" w:line="360" w:lineRule="auto"/>
        <w:rPr>
          <w:rFonts w:ascii="宋体" w:hAnsi="宋体"/>
          <w:sz w:val="24"/>
        </w:rPr>
      </w:pPr>
    </w:p>
    <w:p>
      <w:pPr>
        <w:snapToGrid w:val="0"/>
        <w:spacing w:before="50" w:after="50" w:line="360" w:lineRule="auto"/>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napToGrid w:val="0"/>
        <w:spacing w:before="50" w:after="50" w:line="360" w:lineRule="auto"/>
        <w:rPr>
          <w:rFonts w:hint="eastAsia" w:ascii="宋体" w:hAnsi="宋体"/>
          <w:spacing w:val="20"/>
          <w:sz w:val="24"/>
          <w:u w:val="single"/>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napToGrid w:val="0"/>
        <w:spacing w:before="50" w:after="50" w:line="360" w:lineRule="auto"/>
        <w:rPr>
          <w:rFonts w:hint="eastAsia" w:ascii="宋体" w:hAnsi="宋体"/>
          <w:sz w:val="24"/>
          <w:szCs w:val="20"/>
        </w:rPr>
      </w:pPr>
    </w:p>
    <w:p>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4. 项目实施人员一览表格式</w:t>
      </w:r>
    </w:p>
    <w:p>
      <w:pPr>
        <w:snapToGrid w:val="0"/>
        <w:spacing w:before="120" w:beforeLines="50" w:after="50"/>
        <w:ind w:left="142"/>
        <w:jc w:val="left"/>
        <w:rPr>
          <w:rFonts w:hint="eastAsia" w:ascii="宋体" w:hAnsi="宋体"/>
          <w:b/>
          <w:sz w:val="24"/>
        </w:rPr>
      </w:pPr>
    </w:p>
    <w:p>
      <w:pPr>
        <w:snapToGrid w:val="0"/>
        <w:spacing w:before="120" w:beforeLines="50" w:after="50"/>
        <w:ind w:left="142"/>
        <w:jc w:val="center"/>
        <w:rPr>
          <w:rFonts w:hint="eastAsia" w:ascii="宋体" w:hAnsi="宋体"/>
          <w:b/>
          <w:sz w:val="32"/>
          <w:szCs w:val="32"/>
        </w:rPr>
      </w:pPr>
      <w:r>
        <w:rPr>
          <w:rFonts w:hint="eastAsia" w:ascii="宋体" w:hAnsi="宋体"/>
          <w:b/>
          <w:sz w:val="32"/>
          <w:szCs w:val="32"/>
        </w:rPr>
        <w:t>项目实施人员一览表</w:t>
      </w:r>
    </w:p>
    <w:p>
      <w:pPr>
        <w:pStyle w:val="12"/>
        <w:rPr>
          <w:rFonts w:hint="eastAsia"/>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20" w:afterLines="50"/>
              <w:jc w:val="center"/>
              <w:rPr>
                <w:rFonts w:hint="eastAsia" w:ascii="宋体" w:hAnsi="宋体"/>
                <w:sz w:val="24"/>
                <w:szCs w:val="20"/>
              </w:rPr>
            </w:pPr>
            <w:r>
              <w:rPr>
                <w:rFonts w:hint="eastAsia" w:ascii="宋体" w:hAnsi="宋体"/>
                <w:sz w:val="24"/>
                <w:szCs w:val="20"/>
              </w:rPr>
              <w:t>姓名</w:t>
            </w:r>
          </w:p>
        </w:tc>
        <w:tc>
          <w:tcPr>
            <w:tcW w:w="709" w:type="dxa"/>
            <w:noWrap w:val="0"/>
            <w:vAlign w:val="center"/>
          </w:tcPr>
          <w:p>
            <w:pPr>
              <w:snapToGrid w:val="0"/>
              <w:spacing w:before="50" w:after="120" w:afterLines="50"/>
              <w:jc w:val="center"/>
              <w:rPr>
                <w:rFonts w:hint="eastAsia" w:ascii="宋体" w:hAnsi="宋体"/>
                <w:sz w:val="24"/>
                <w:szCs w:val="20"/>
              </w:rPr>
            </w:pPr>
            <w:r>
              <w:rPr>
                <w:rFonts w:hint="eastAsia" w:ascii="宋体" w:hAnsi="宋体"/>
                <w:sz w:val="24"/>
                <w:szCs w:val="20"/>
              </w:rPr>
              <w:t>职务</w:t>
            </w:r>
          </w:p>
        </w:tc>
        <w:tc>
          <w:tcPr>
            <w:tcW w:w="1701" w:type="dxa"/>
            <w:noWrap w:val="0"/>
            <w:vAlign w:val="center"/>
          </w:tcPr>
          <w:p>
            <w:pPr>
              <w:snapToGrid w:val="0"/>
              <w:spacing w:before="50" w:after="120" w:afterLines="50"/>
              <w:jc w:val="center"/>
              <w:rPr>
                <w:rFonts w:hint="eastAsia" w:ascii="宋体" w:hAnsi="宋体"/>
                <w:sz w:val="24"/>
                <w:szCs w:val="20"/>
              </w:rPr>
            </w:pPr>
            <w:r>
              <w:rPr>
                <w:rFonts w:hint="eastAsia" w:ascii="宋体" w:hAnsi="宋体"/>
                <w:sz w:val="24"/>
                <w:szCs w:val="20"/>
              </w:rPr>
              <w:t>专业技术资格（职称）或者职业资格或者执业资格证或者其他证书</w:t>
            </w:r>
          </w:p>
        </w:tc>
        <w:tc>
          <w:tcPr>
            <w:tcW w:w="1420" w:type="dxa"/>
            <w:noWrap w:val="0"/>
            <w:vAlign w:val="center"/>
          </w:tcPr>
          <w:p>
            <w:pPr>
              <w:snapToGrid w:val="0"/>
              <w:spacing w:before="50" w:after="120" w:afterLines="50"/>
              <w:jc w:val="center"/>
              <w:rPr>
                <w:rFonts w:hint="eastAsia" w:ascii="宋体" w:hAnsi="宋体"/>
                <w:sz w:val="24"/>
                <w:szCs w:val="20"/>
              </w:rPr>
            </w:pPr>
            <w:r>
              <w:rPr>
                <w:rFonts w:hint="eastAsia" w:ascii="宋体" w:hAnsi="宋体"/>
                <w:sz w:val="24"/>
                <w:szCs w:val="20"/>
              </w:rPr>
              <w:t>证书编号</w:t>
            </w:r>
          </w:p>
        </w:tc>
        <w:tc>
          <w:tcPr>
            <w:tcW w:w="1698" w:type="dxa"/>
            <w:noWrap w:val="0"/>
            <w:vAlign w:val="center"/>
          </w:tcPr>
          <w:p>
            <w:pPr>
              <w:snapToGrid w:val="0"/>
              <w:spacing w:before="50" w:after="120" w:afterLines="50"/>
              <w:jc w:val="center"/>
              <w:rPr>
                <w:rFonts w:hint="eastAsia" w:ascii="宋体" w:hAnsi="宋体"/>
                <w:sz w:val="24"/>
                <w:szCs w:val="20"/>
              </w:rPr>
            </w:pPr>
            <w:r>
              <w:rPr>
                <w:rFonts w:hint="eastAsia" w:ascii="宋体" w:hAnsi="宋体"/>
                <w:sz w:val="24"/>
                <w:szCs w:val="20"/>
              </w:rPr>
              <w:t>参加本单位</w:t>
            </w:r>
          </w:p>
          <w:p>
            <w:pPr>
              <w:snapToGrid w:val="0"/>
              <w:spacing w:before="50" w:after="120" w:afterLines="50"/>
              <w:jc w:val="center"/>
              <w:rPr>
                <w:rFonts w:hint="eastAsia" w:ascii="宋体" w:hAnsi="宋体"/>
                <w:sz w:val="24"/>
                <w:szCs w:val="20"/>
              </w:rPr>
            </w:pPr>
            <w:r>
              <w:rPr>
                <w:rFonts w:hint="eastAsia" w:ascii="宋体" w:hAnsi="宋体"/>
                <w:sz w:val="24"/>
                <w:szCs w:val="20"/>
              </w:rPr>
              <w:t>工作时间</w:t>
            </w:r>
          </w:p>
        </w:tc>
        <w:tc>
          <w:tcPr>
            <w:tcW w:w="1843" w:type="dxa"/>
            <w:noWrap w:val="0"/>
            <w:vAlign w:val="center"/>
          </w:tcPr>
          <w:p>
            <w:pPr>
              <w:snapToGrid w:val="0"/>
              <w:spacing w:before="50" w:after="120" w:afterLines="50"/>
              <w:jc w:val="center"/>
              <w:rPr>
                <w:rFonts w:hint="eastAsia" w:ascii="宋体" w:hAnsi="宋体"/>
                <w:sz w:val="24"/>
                <w:szCs w:val="20"/>
              </w:rPr>
            </w:pPr>
            <w:r>
              <w:rPr>
                <w:rFonts w:hint="eastAsia" w:ascii="宋体" w:hAnsi="宋体"/>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sz w:val="24"/>
                <w:szCs w:val="20"/>
              </w:rPr>
            </w:pPr>
          </w:p>
        </w:tc>
        <w:tc>
          <w:tcPr>
            <w:tcW w:w="709" w:type="dxa"/>
            <w:noWrap w:val="0"/>
            <w:vAlign w:val="center"/>
          </w:tcPr>
          <w:p>
            <w:pPr>
              <w:snapToGrid w:val="0"/>
              <w:spacing w:before="50" w:after="120" w:afterLines="50"/>
              <w:jc w:val="center"/>
              <w:rPr>
                <w:rFonts w:hint="eastAsia" w:ascii="宋体" w:hAnsi="宋体"/>
                <w:sz w:val="24"/>
                <w:szCs w:val="20"/>
              </w:rPr>
            </w:pPr>
          </w:p>
        </w:tc>
        <w:tc>
          <w:tcPr>
            <w:tcW w:w="1701" w:type="dxa"/>
            <w:noWrap w:val="0"/>
            <w:vAlign w:val="center"/>
          </w:tcPr>
          <w:p>
            <w:pPr>
              <w:snapToGrid w:val="0"/>
              <w:spacing w:before="50" w:after="120" w:afterLines="50"/>
              <w:jc w:val="center"/>
              <w:rPr>
                <w:rFonts w:hint="eastAsia" w:ascii="宋体" w:hAnsi="宋体"/>
                <w:sz w:val="24"/>
                <w:szCs w:val="20"/>
              </w:rPr>
            </w:pPr>
          </w:p>
        </w:tc>
        <w:tc>
          <w:tcPr>
            <w:tcW w:w="1420" w:type="dxa"/>
            <w:noWrap w:val="0"/>
            <w:vAlign w:val="center"/>
          </w:tcPr>
          <w:p>
            <w:pPr>
              <w:snapToGrid w:val="0"/>
              <w:spacing w:before="50" w:after="120" w:afterLines="50"/>
              <w:jc w:val="center"/>
              <w:rPr>
                <w:rFonts w:hint="eastAsia" w:ascii="宋体" w:hAnsi="宋体"/>
                <w:sz w:val="24"/>
                <w:szCs w:val="20"/>
              </w:rPr>
            </w:pPr>
          </w:p>
        </w:tc>
        <w:tc>
          <w:tcPr>
            <w:tcW w:w="1698" w:type="dxa"/>
            <w:noWrap w:val="0"/>
            <w:vAlign w:val="center"/>
          </w:tcPr>
          <w:p>
            <w:pPr>
              <w:snapToGrid w:val="0"/>
              <w:spacing w:before="50" w:after="120" w:afterLines="50"/>
              <w:jc w:val="center"/>
              <w:rPr>
                <w:rFonts w:hint="eastAsia" w:ascii="宋体" w:hAnsi="宋体"/>
                <w:sz w:val="24"/>
                <w:szCs w:val="20"/>
              </w:rPr>
            </w:pPr>
          </w:p>
        </w:tc>
        <w:tc>
          <w:tcPr>
            <w:tcW w:w="1843" w:type="dxa"/>
            <w:noWrap w:val="0"/>
            <w:vAlign w:val="center"/>
          </w:tcPr>
          <w:p>
            <w:pPr>
              <w:snapToGrid w:val="0"/>
              <w:spacing w:before="50" w:after="120" w:afterLines="50"/>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sz w:val="24"/>
                <w:szCs w:val="20"/>
              </w:rPr>
            </w:pPr>
          </w:p>
        </w:tc>
        <w:tc>
          <w:tcPr>
            <w:tcW w:w="709" w:type="dxa"/>
            <w:noWrap w:val="0"/>
            <w:vAlign w:val="center"/>
          </w:tcPr>
          <w:p>
            <w:pPr>
              <w:snapToGrid w:val="0"/>
              <w:spacing w:before="50" w:after="120" w:afterLines="50"/>
              <w:jc w:val="center"/>
              <w:rPr>
                <w:rFonts w:hint="eastAsia" w:ascii="宋体" w:hAnsi="宋体"/>
                <w:sz w:val="24"/>
                <w:szCs w:val="20"/>
              </w:rPr>
            </w:pPr>
          </w:p>
        </w:tc>
        <w:tc>
          <w:tcPr>
            <w:tcW w:w="1701" w:type="dxa"/>
            <w:noWrap w:val="0"/>
            <w:vAlign w:val="center"/>
          </w:tcPr>
          <w:p>
            <w:pPr>
              <w:snapToGrid w:val="0"/>
              <w:spacing w:before="50" w:after="120" w:afterLines="50"/>
              <w:jc w:val="center"/>
              <w:rPr>
                <w:rFonts w:hint="eastAsia" w:ascii="宋体" w:hAnsi="宋体"/>
                <w:sz w:val="24"/>
                <w:szCs w:val="20"/>
              </w:rPr>
            </w:pPr>
          </w:p>
        </w:tc>
        <w:tc>
          <w:tcPr>
            <w:tcW w:w="1420" w:type="dxa"/>
            <w:noWrap w:val="0"/>
            <w:vAlign w:val="center"/>
          </w:tcPr>
          <w:p>
            <w:pPr>
              <w:snapToGrid w:val="0"/>
              <w:spacing w:before="50" w:after="120" w:afterLines="50"/>
              <w:jc w:val="center"/>
              <w:rPr>
                <w:rFonts w:hint="eastAsia" w:ascii="宋体" w:hAnsi="宋体"/>
                <w:sz w:val="24"/>
                <w:szCs w:val="20"/>
              </w:rPr>
            </w:pPr>
          </w:p>
        </w:tc>
        <w:tc>
          <w:tcPr>
            <w:tcW w:w="1698" w:type="dxa"/>
            <w:noWrap w:val="0"/>
            <w:vAlign w:val="center"/>
          </w:tcPr>
          <w:p>
            <w:pPr>
              <w:snapToGrid w:val="0"/>
              <w:spacing w:before="50" w:after="120" w:afterLines="50"/>
              <w:jc w:val="center"/>
              <w:rPr>
                <w:rFonts w:hint="eastAsia" w:ascii="宋体" w:hAnsi="宋体"/>
                <w:sz w:val="24"/>
                <w:szCs w:val="20"/>
              </w:rPr>
            </w:pPr>
          </w:p>
        </w:tc>
        <w:tc>
          <w:tcPr>
            <w:tcW w:w="1843" w:type="dxa"/>
            <w:noWrap w:val="0"/>
            <w:vAlign w:val="center"/>
          </w:tcPr>
          <w:p>
            <w:pPr>
              <w:snapToGrid w:val="0"/>
              <w:spacing w:before="50" w:after="120" w:afterLines="50"/>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sz w:val="24"/>
                <w:szCs w:val="20"/>
              </w:rPr>
            </w:pPr>
          </w:p>
        </w:tc>
        <w:tc>
          <w:tcPr>
            <w:tcW w:w="709" w:type="dxa"/>
            <w:noWrap w:val="0"/>
            <w:vAlign w:val="center"/>
          </w:tcPr>
          <w:p>
            <w:pPr>
              <w:snapToGrid w:val="0"/>
              <w:spacing w:before="50" w:after="120" w:afterLines="50"/>
              <w:jc w:val="center"/>
              <w:rPr>
                <w:rFonts w:hint="eastAsia" w:ascii="宋体" w:hAnsi="宋体"/>
                <w:sz w:val="24"/>
                <w:szCs w:val="20"/>
              </w:rPr>
            </w:pPr>
          </w:p>
        </w:tc>
        <w:tc>
          <w:tcPr>
            <w:tcW w:w="1701" w:type="dxa"/>
            <w:noWrap w:val="0"/>
            <w:vAlign w:val="center"/>
          </w:tcPr>
          <w:p>
            <w:pPr>
              <w:snapToGrid w:val="0"/>
              <w:spacing w:before="50" w:after="120" w:afterLines="50"/>
              <w:jc w:val="center"/>
              <w:rPr>
                <w:rFonts w:hint="eastAsia" w:ascii="宋体" w:hAnsi="宋体"/>
                <w:sz w:val="24"/>
                <w:szCs w:val="20"/>
              </w:rPr>
            </w:pPr>
          </w:p>
        </w:tc>
        <w:tc>
          <w:tcPr>
            <w:tcW w:w="1420" w:type="dxa"/>
            <w:noWrap w:val="0"/>
            <w:vAlign w:val="center"/>
          </w:tcPr>
          <w:p>
            <w:pPr>
              <w:snapToGrid w:val="0"/>
              <w:spacing w:before="50" w:after="120" w:afterLines="50"/>
              <w:jc w:val="center"/>
              <w:rPr>
                <w:rFonts w:hint="eastAsia" w:ascii="宋体" w:hAnsi="宋体"/>
                <w:sz w:val="24"/>
                <w:szCs w:val="20"/>
              </w:rPr>
            </w:pPr>
          </w:p>
        </w:tc>
        <w:tc>
          <w:tcPr>
            <w:tcW w:w="1698" w:type="dxa"/>
            <w:noWrap w:val="0"/>
            <w:vAlign w:val="center"/>
          </w:tcPr>
          <w:p>
            <w:pPr>
              <w:snapToGrid w:val="0"/>
              <w:spacing w:before="50" w:after="120" w:afterLines="50"/>
              <w:jc w:val="center"/>
              <w:rPr>
                <w:rFonts w:hint="eastAsia" w:ascii="宋体" w:hAnsi="宋体"/>
                <w:sz w:val="24"/>
                <w:szCs w:val="20"/>
              </w:rPr>
            </w:pPr>
          </w:p>
        </w:tc>
        <w:tc>
          <w:tcPr>
            <w:tcW w:w="1843" w:type="dxa"/>
            <w:noWrap w:val="0"/>
            <w:vAlign w:val="center"/>
          </w:tcPr>
          <w:p>
            <w:pPr>
              <w:snapToGrid w:val="0"/>
              <w:spacing w:before="50" w:after="120" w:afterLines="50"/>
              <w:jc w:val="center"/>
              <w:rPr>
                <w:rFonts w:hint="eastAsia" w:ascii="宋体" w:hAnsi="宋体"/>
                <w:sz w:val="24"/>
                <w:szCs w:val="20"/>
              </w:rPr>
            </w:pPr>
          </w:p>
        </w:tc>
      </w:tr>
    </w:tbl>
    <w:p>
      <w:pPr>
        <w:snapToGrid w:val="0"/>
        <w:spacing w:before="50" w:after="120" w:afterLines="50"/>
        <w:jc w:val="left"/>
        <w:rPr>
          <w:rFonts w:hint="eastAsia" w:ascii="宋体" w:hAnsi="宋体"/>
          <w:sz w:val="24"/>
          <w:szCs w:val="20"/>
        </w:rPr>
      </w:pPr>
    </w:p>
    <w:p>
      <w:pPr>
        <w:spacing w:line="360" w:lineRule="auto"/>
        <w:contextualSpacing/>
        <w:jc w:val="left"/>
        <w:rPr>
          <w:rFonts w:ascii="宋体" w:hAnsi="宋体"/>
          <w:sz w:val="24"/>
          <w:szCs w:val="20"/>
        </w:rPr>
      </w:pPr>
      <w:r>
        <w:rPr>
          <w:rFonts w:hint="eastAsia" w:ascii="宋体" w:hAnsi="宋体"/>
          <w:sz w:val="24"/>
          <w:szCs w:val="20"/>
        </w:rPr>
        <w:t>注：</w:t>
      </w:r>
    </w:p>
    <w:p>
      <w:pPr>
        <w:spacing w:line="360" w:lineRule="auto"/>
        <w:contextualSpacing/>
        <w:jc w:val="left"/>
        <w:rPr>
          <w:rFonts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在填写时，如本表格不适合投标单位的实际情况，可根据本表格式自行制表填写。</w:t>
      </w:r>
    </w:p>
    <w:p>
      <w:pPr>
        <w:spacing w:line="360" w:lineRule="auto"/>
        <w:contextualSpacing/>
        <w:jc w:val="left"/>
        <w:rPr>
          <w:rFonts w:hint="eastAsia" w:ascii="宋体" w:hAnsi="宋体"/>
          <w:sz w:val="24"/>
          <w:szCs w:val="20"/>
        </w:rPr>
      </w:pPr>
      <w:r>
        <w:rPr>
          <w:rFonts w:ascii="宋体" w:hAnsi="宋体"/>
          <w:sz w:val="24"/>
          <w:szCs w:val="20"/>
        </w:rPr>
        <w:t>2.</w:t>
      </w:r>
      <w:r>
        <w:rPr>
          <w:rFonts w:hint="eastAsia" w:ascii="宋体" w:hAnsi="宋体"/>
          <w:sz w:val="24"/>
          <w:szCs w:val="20"/>
        </w:rPr>
        <w:t>投标人应当附本表所列证书的复印件并加盖投标人公章。</w:t>
      </w:r>
    </w:p>
    <w:p>
      <w:pPr>
        <w:spacing w:line="360" w:lineRule="auto"/>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pPr>
        <w:spacing w:line="360" w:lineRule="auto"/>
        <w:contextualSpacing/>
        <w:jc w:val="left"/>
        <w:rPr>
          <w:rFonts w:hint="eastAsia"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snapToGrid w:val="0"/>
        <w:spacing w:before="50" w:after="120" w:afterLines="50"/>
        <w:jc w:val="left"/>
        <w:rPr>
          <w:rFonts w:hint="eastAsia" w:ascii="宋体" w:hAnsi="宋体"/>
          <w:sz w:val="24"/>
          <w:szCs w:val="20"/>
        </w:rPr>
      </w:pPr>
    </w:p>
    <w:p>
      <w:pPr>
        <w:snapToGrid w:val="0"/>
        <w:spacing w:before="120" w:beforeLines="50" w:after="50"/>
        <w:ind w:left="142"/>
        <w:jc w:val="left"/>
        <w:rPr>
          <w:rFonts w:hint="eastAsia"/>
          <w:b/>
          <w:sz w:val="28"/>
          <w:szCs w:val="28"/>
        </w:rPr>
      </w:pPr>
      <w:r>
        <w:rPr>
          <w:rFonts w:ascii="宋体" w:hAnsi="宋体"/>
          <w:b/>
          <w:sz w:val="24"/>
        </w:rPr>
        <w:br w:type="page"/>
      </w:r>
      <w:r>
        <w:rPr>
          <w:rFonts w:hint="eastAsia"/>
          <w:b/>
          <w:sz w:val="28"/>
          <w:szCs w:val="28"/>
        </w:rPr>
        <w:t>五、其他文书、文件格式</w:t>
      </w:r>
    </w:p>
    <w:p>
      <w:pPr>
        <w:snapToGrid w:val="0"/>
        <w:spacing w:before="120" w:beforeLines="50" w:after="50"/>
        <w:ind w:left="142"/>
        <w:jc w:val="left"/>
        <w:rPr>
          <w:rFonts w:hint="eastAsia" w:ascii="宋体" w:hAnsi="宋体"/>
          <w:b/>
          <w:spacing w:val="20"/>
          <w:sz w:val="24"/>
        </w:rPr>
      </w:pPr>
      <w:r>
        <w:rPr>
          <w:rFonts w:hint="eastAsia" w:ascii="宋体" w:hAnsi="宋体"/>
          <w:b/>
          <w:spacing w:val="20"/>
          <w:sz w:val="24"/>
        </w:rPr>
        <w:t>1.联合投标协议书格式</w:t>
      </w:r>
    </w:p>
    <w:p>
      <w:pPr>
        <w:snapToGrid w:val="0"/>
        <w:spacing w:before="120" w:beforeLines="50" w:after="50"/>
        <w:ind w:left="142"/>
        <w:jc w:val="left"/>
        <w:rPr>
          <w:rFonts w:hint="eastAsia" w:ascii="宋体" w:hAnsi="宋体"/>
          <w:b/>
          <w:spacing w:val="20"/>
          <w:sz w:val="24"/>
        </w:rPr>
      </w:pPr>
    </w:p>
    <w:p>
      <w:pPr>
        <w:pStyle w:val="6"/>
        <w:overflowPunct w:val="0"/>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联合体协议书</w:t>
      </w:r>
    </w:p>
    <w:p>
      <w:pPr>
        <w:pStyle w:val="6"/>
        <w:overflowPunct w:val="0"/>
        <w:rPr>
          <w:rFonts w:ascii="宋体" w:hAnsi="宋体"/>
          <w:sz w:val="24"/>
        </w:rPr>
      </w:pPr>
    </w:p>
    <w:p>
      <w:pPr>
        <w:pStyle w:val="6"/>
        <w:overflowPunct w:val="0"/>
        <w:spacing w:line="360" w:lineRule="auto"/>
        <w:contextualSpacing/>
        <w:rPr>
          <w:rFonts w:ascii="宋体" w:hAnsi="宋体"/>
          <w:sz w:val="24"/>
        </w:rPr>
      </w:pPr>
      <w:r>
        <w:rPr>
          <w:rFonts w:ascii="宋体" w:hAnsi="宋体"/>
          <w:sz w:val="24"/>
          <w:u w:val="single"/>
        </w:rPr>
        <w:t xml:space="preserve"> </w:t>
      </w:r>
      <w:r>
        <w:rPr>
          <w:rFonts w:ascii="宋体" w:hAnsi="宋体"/>
          <w:sz w:val="24"/>
          <w:u w:val="single"/>
        </w:rPr>
        <w:tab/>
      </w:r>
      <w:r>
        <w:rPr>
          <w:rFonts w:hint="eastAsia" w:ascii="宋体" w:hAnsi="宋体"/>
          <w:sz w:val="24"/>
        </w:rPr>
        <w:t>（所有成员单位名称）自愿组成</w:t>
      </w:r>
      <w:r>
        <w:rPr>
          <w:rFonts w:ascii="宋体" w:hAnsi="宋体"/>
          <w:sz w:val="24"/>
          <w:u w:val="single"/>
        </w:rPr>
        <w:t xml:space="preserve"> </w:t>
      </w:r>
      <w:r>
        <w:rPr>
          <w:rFonts w:ascii="宋体" w:hAnsi="宋体"/>
          <w:sz w:val="24"/>
          <w:u w:val="single"/>
        </w:rPr>
        <w:tab/>
      </w:r>
      <w:r>
        <w:rPr>
          <w:rFonts w:hint="eastAsia" w:ascii="宋体" w:hAnsi="宋体"/>
          <w:sz w:val="24"/>
        </w:rPr>
        <w:t>（联合体名称）联合体，共同参加</w:t>
      </w:r>
      <w:r>
        <w:rPr>
          <w:rFonts w:ascii="宋体" w:hAnsi="宋体"/>
          <w:sz w:val="24"/>
          <w:u w:val="single"/>
        </w:rPr>
        <w:t xml:space="preserve"> </w:t>
      </w:r>
      <w:r>
        <w:rPr>
          <w:rFonts w:ascii="宋体" w:hAnsi="宋体"/>
          <w:sz w:val="24"/>
          <w:u w:val="single"/>
        </w:rPr>
        <w:tab/>
      </w:r>
      <w:r>
        <w:rPr>
          <w:rFonts w:hint="eastAsia" w:ascii="宋体" w:hAnsi="宋体"/>
          <w:sz w:val="24"/>
          <w:u w:val="single"/>
        </w:rPr>
        <w:t>（项</w:t>
      </w:r>
      <w:r>
        <w:rPr>
          <w:rFonts w:hint="eastAsia" w:ascii="宋体" w:hAnsi="宋体"/>
          <w:sz w:val="24"/>
        </w:rPr>
        <w:t>目名称）采购招标项目投标。现就联合体投标事宜订立如下协议。</w:t>
      </w:r>
    </w:p>
    <w:p>
      <w:pPr>
        <w:pStyle w:val="6"/>
        <w:overflowPunct w:val="0"/>
        <w:spacing w:line="360" w:lineRule="auto"/>
        <w:ind w:firstLineChars="175"/>
        <w:contextualSpacing/>
        <w:rPr>
          <w:rFonts w:ascii="宋体" w:hAnsi="宋体"/>
          <w:sz w:val="24"/>
        </w:rPr>
      </w:pPr>
      <w:r>
        <w:rPr>
          <w:rFonts w:ascii="宋体" w:hAnsi="宋体"/>
          <w:sz w:val="24"/>
        </w:rPr>
        <w:t xml:space="preserve">1.  </w:t>
      </w:r>
      <w:r>
        <w:rPr>
          <w:rFonts w:ascii="宋体" w:hAnsi="宋体"/>
          <w:sz w:val="24"/>
          <w:u w:val="single"/>
        </w:rPr>
        <w:t xml:space="preserve"> </w:t>
      </w:r>
      <w:r>
        <w:rPr>
          <w:rFonts w:ascii="宋体" w:hAnsi="宋体"/>
          <w:sz w:val="24"/>
          <w:u w:val="single"/>
        </w:rPr>
        <w:tab/>
      </w:r>
      <w:r>
        <w:rPr>
          <w:rFonts w:hint="eastAsia" w:ascii="宋体" w:hAnsi="宋体"/>
          <w:sz w:val="24"/>
        </w:rPr>
        <w:t>（某成员单位名称）为</w:t>
      </w:r>
      <w:r>
        <w:rPr>
          <w:rFonts w:ascii="宋体" w:hAnsi="宋体"/>
          <w:sz w:val="24"/>
          <w:u w:val="single"/>
        </w:rPr>
        <w:t xml:space="preserve"> </w:t>
      </w:r>
      <w:r>
        <w:rPr>
          <w:rFonts w:ascii="宋体" w:hAnsi="宋体"/>
          <w:sz w:val="24"/>
          <w:u w:val="single"/>
        </w:rPr>
        <w:tab/>
      </w:r>
      <w:r>
        <w:rPr>
          <w:rFonts w:hint="eastAsia" w:ascii="宋体" w:hAnsi="宋体"/>
          <w:sz w:val="24"/>
        </w:rPr>
        <w:t>（联合体名称）牵头人。</w:t>
      </w:r>
    </w:p>
    <w:p>
      <w:pPr>
        <w:pStyle w:val="6"/>
        <w:overflowPunct w:val="0"/>
        <w:spacing w:line="360" w:lineRule="auto"/>
        <w:ind w:firstLineChars="175"/>
        <w:contextualSpacing/>
        <w:rPr>
          <w:rFonts w:ascii="宋体" w:hAnsi="宋体"/>
          <w:sz w:val="24"/>
        </w:rPr>
      </w:pPr>
      <w:r>
        <w:rPr>
          <w:rFonts w:ascii="宋体" w:hAnsi="宋体"/>
          <w:sz w:val="24"/>
        </w:rPr>
        <w:t>2.</w:t>
      </w:r>
      <w:r>
        <w:rPr>
          <w:rFonts w:hint="eastAsia" w:ascii="宋体" w:hAnsi="宋体"/>
          <w:sz w:val="24"/>
        </w:rPr>
        <w:t>联合体各成员授权牵头人代表联合体参加投标活动，签署文件及对文件的盖章，提交和接收相关的资料、</w:t>
      </w:r>
      <w:r>
        <w:rPr>
          <w:rFonts w:ascii="宋体" w:hAnsi="宋体"/>
          <w:sz w:val="24"/>
        </w:rPr>
        <w:t xml:space="preserve"> </w:t>
      </w:r>
      <w:r>
        <w:rPr>
          <w:rFonts w:hint="eastAsia" w:ascii="宋体" w:hAnsi="宋体"/>
          <w:sz w:val="24"/>
        </w:rPr>
        <w:t>信息及指示，进行合同谈判活动，负责合同实施阶段的组织和协调工作，以及处理与本招标项</w:t>
      </w:r>
      <w:r>
        <w:rPr>
          <w:rFonts w:ascii="宋体" w:hAnsi="宋体"/>
          <w:sz w:val="24"/>
        </w:rPr>
        <w:t xml:space="preserve"> </w:t>
      </w:r>
      <w:r>
        <w:rPr>
          <w:rFonts w:hint="eastAsia" w:ascii="宋体" w:hAnsi="宋体"/>
          <w:sz w:val="24"/>
        </w:rPr>
        <w:t>目有关的一切事宜。</w:t>
      </w:r>
    </w:p>
    <w:p>
      <w:pPr>
        <w:pStyle w:val="6"/>
        <w:overflowPunct w:val="0"/>
        <w:spacing w:line="360" w:lineRule="auto"/>
        <w:ind w:firstLineChars="175"/>
        <w:contextualSpacing/>
        <w:rPr>
          <w:rFonts w:ascii="宋体" w:hAnsi="宋体"/>
          <w:sz w:val="24"/>
        </w:rPr>
      </w:pPr>
      <w:r>
        <w:rPr>
          <w:rFonts w:ascii="宋体" w:hAnsi="宋体"/>
          <w:sz w:val="24"/>
        </w:rPr>
        <w:t>3.</w:t>
      </w:r>
      <w:r>
        <w:rPr>
          <w:rFonts w:hint="eastAsia" w:ascii="宋体" w:hAnsi="宋体"/>
          <w:sz w:val="24"/>
        </w:rPr>
        <w:t>联合体牵头人在本项目中签署和盖章的一切文件和处理的一切事宜，联合体各成员均予以承认。</w:t>
      </w:r>
      <w:r>
        <w:rPr>
          <w:rFonts w:ascii="宋体" w:hAnsi="宋体"/>
          <w:sz w:val="24"/>
        </w:rPr>
        <w:t xml:space="preserve"> </w:t>
      </w:r>
      <w:r>
        <w:rPr>
          <w:rFonts w:hint="eastAsia" w:ascii="宋体" w:hAnsi="宋体"/>
          <w:sz w:val="24"/>
        </w:rPr>
        <w:t>联合体各成员将严格按照招标文件、投标文件和合同的要求全面履行义务，并向采购人承担连带责任。</w:t>
      </w:r>
    </w:p>
    <w:p>
      <w:pPr>
        <w:pStyle w:val="6"/>
        <w:overflowPunct w:val="0"/>
        <w:spacing w:line="360" w:lineRule="auto"/>
        <w:ind w:firstLineChars="175"/>
        <w:contextualSpacing/>
        <w:rPr>
          <w:rFonts w:ascii="宋体" w:hAnsi="宋体"/>
          <w:sz w:val="24"/>
        </w:rPr>
      </w:pPr>
      <w:r>
        <w:rPr>
          <w:rFonts w:ascii="宋体" w:hAnsi="宋体"/>
          <w:sz w:val="24"/>
        </w:rPr>
        <w:t>4.</w:t>
      </w:r>
      <w:r>
        <w:rPr>
          <w:rFonts w:hint="eastAsia" w:ascii="宋体" w:hAnsi="宋体"/>
          <w:sz w:val="24"/>
        </w:rPr>
        <w:t>联合体各成员单位内部的职责分工如下：</w:t>
      </w:r>
      <w:r>
        <w:rPr>
          <w:rFonts w:ascii="宋体" w:hAnsi="宋体"/>
          <w:sz w:val="24"/>
          <w:u w:val="single"/>
        </w:rPr>
        <w:t xml:space="preserve"> </w:t>
      </w:r>
      <w:r>
        <w:rPr>
          <w:rFonts w:ascii="宋体" w:hAnsi="宋体"/>
          <w:sz w:val="24"/>
          <w:u w:val="single"/>
        </w:rPr>
        <w:tab/>
      </w:r>
      <w:r>
        <w:rPr>
          <w:rFonts w:hint="eastAsia" w:ascii="宋体" w:hAnsi="宋体"/>
          <w:sz w:val="24"/>
        </w:rPr>
        <w:t>。</w:t>
      </w:r>
    </w:p>
    <w:p>
      <w:pPr>
        <w:pStyle w:val="6"/>
        <w:overflowPunct w:val="0"/>
        <w:spacing w:line="360" w:lineRule="auto"/>
        <w:ind w:firstLineChars="175"/>
        <w:contextualSpacing/>
        <w:rPr>
          <w:rFonts w:ascii="宋体" w:hAnsi="宋体"/>
          <w:sz w:val="24"/>
        </w:rPr>
      </w:pPr>
      <w:r>
        <w:rPr>
          <w:rFonts w:ascii="宋体" w:hAnsi="宋体"/>
          <w:sz w:val="24"/>
        </w:rPr>
        <w:t>5.</w:t>
      </w:r>
      <w:r>
        <w:rPr>
          <w:rFonts w:hint="eastAsia" w:ascii="宋体" w:hAnsi="宋体"/>
          <w:sz w:val="24"/>
        </w:rPr>
        <w:t>本协议书自所有成员单位法定代表人或者其委托代理人签字或者盖公章之日起生效，合同履行完毕后自动失效。</w:t>
      </w:r>
    </w:p>
    <w:p>
      <w:pPr>
        <w:pStyle w:val="6"/>
        <w:overflowPunct w:val="0"/>
        <w:spacing w:line="360" w:lineRule="auto"/>
        <w:ind w:firstLineChars="175"/>
        <w:contextualSpacing/>
        <w:rPr>
          <w:rFonts w:ascii="宋体" w:hAnsi="宋体"/>
          <w:sz w:val="24"/>
        </w:rPr>
      </w:pPr>
      <w:r>
        <w:rPr>
          <w:rFonts w:ascii="宋体" w:hAnsi="宋体"/>
          <w:sz w:val="24"/>
        </w:rPr>
        <w:t>6.</w:t>
      </w:r>
      <w:r>
        <w:rPr>
          <w:rFonts w:hint="eastAsia" w:ascii="宋体" w:hAnsi="宋体"/>
          <w:sz w:val="24"/>
        </w:rPr>
        <w:t>本协议书一式</w:t>
      </w:r>
      <w:r>
        <w:rPr>
          <w:rFonts w:ascii="宋体" w:hAnsi="宋体"/>
          <w:sz w:val="24"/>
          <w:u w:val="single"/>
        </w:rPr>
        <w:t xml:space="preserve"> </w:t>
      </w:r>
      <w:r>
        <w:rPr>
          <w:rFonts w:ascii="宋体" w:hAnsi="宋体"/>
          <w:sz w:val="24"/>
          <w:u w:val="single"/>
        </w:rPr>
        <w:tab/>
      </w:r>
      <w:r>
        <w:rPr>
          <w:rFonts w:hint="eastAsia" w:ascii="宋体" w:hAnsi="宋体"/>
          <w:sz w:val="24"/>
        </w:rPr>
        <w:t>份，联合体成员和采购人各执一份。</w:t>
      </w:r>
    </w:p>
    <w:p>
      <w:pPr>
        <w:pStyle w:val="6"/>
        <w:overflowPunct w:val="0"/>
        <w:spacing w:line="360" w:lineRule="auto"/>
        <w:ind w:firstLineChars="175"/>
        <w:contextualSpacing/>
        <w:rPr>
          <w:rFonts w:ascii="宋体" w:hAnsi="宋体"/>
          <w:sz w:val="24"/>
        </w:rPr>
      </w:pPr>
      <w:r>
        <w:rPr>
          <w:rFonts w:hint="eastAsia" w:ascii="宋体" w:hAnsi="宋体"/>
          <w:sz w:val="24"/>
        </w:rPr>
        <w:t>注：本协议书由法定代表人签字的，应附法定代表人身份证明；由委托代理人签字的，应附授权委托书。</w:t>
      </w:r>
    </w:p>
    <w:p>
      <w:pPr>
        <w:pStyle w:val="6"/>
        <w:overflowPunct w:val="0"/>
        <w:spacing w:line="360" w:lineRule="auto"/>
        <w:ind w:firstLineChars="175"/>
        <w:contextualSpacing/>
        <w:rPr>
          <w:rFonts w:ascii="宋体" w:hAnsi="宋体"/>
          <w:sz w:val="24"/>
        </w:rPr>
      </w:pPr>
    </w:p>
    <w:p>
      <w:pPr>
        <w:pStyle w:val="6"/>
        <w:overflowPunct w:val="0"/>
        <w:spacing w:line="360" w:lineRule="auto"/>
        <w:ind w:firstLineChars="175"/>
        <w:contextualSpacing/>
        <w:rPr>
          <w:rFonts w:ascii="宋体" w:hAnsi="宋体"/>
          <w:sz w:val="24"/>
        </w:rPr>
      </w:pPr>
      <w:r>
        <w:rPr>
          <w:rFonts w:hint="eastAsia" w:ascii="宋体" w:hAnsi="宋体"/>
          <w:sz w:val="24"/>
        </w:rPr>
        <w:t>联合体牵头人名称（盖公章）：</w:t>
      </w:r>
    </w:p>
    <w:p>
      <w:pPr>
        <w:pStyle w:val="6"/>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pPr>
        <w:pStyle w:val="6"/>
        <w:overflowPunct w:val="0"/>
        <w:spacing w:line="360" w:lineRule="auto"/>
        <w:ind w:firstLineChars="175"/>
        <w:contextualSpacing/>
        <w:rPr>
          <w:rFonts w:ascii="宋体" w:hAnsi="宋体"/>
          <w:sz w:val="24"/>
        </w:rPr>
      </w:pPr>
    </w:p>
    <w:p>
      <w:pPr>
        <w:pStyle w:val="6"/>
        <w:overflowPunct w:val="0"/>
        <w:spacing w:line="360" w:lineRule="auto"/>
        <w:ind w:firstLineChars="175"/>
        <w:contextualSpacing/>
        <w:rPr>
          <w:rFonts w:ascii="宋体" w:hAnsi="宋体"/>
          <w:sz w:val="24"/>
        </w:rPr>
      </w:pPr>
      <w:r>
        <w:rPr>
          <w:rFonts w:hint="eastAsia" w:ascii="宋体" w:hAnsi="宋体"/>
          <w:sz w:val="24"/>
        </w:rPr>
        <w:t>联合体成员名称（盖公章）：</w:t>
      </w:r>
    </w:p>
    <w:p>
      <w:pPr>
        <w:pStyle w:val="6"/>
        <w:overflowPunct w:val="0"/>
        <w:spacing w:line="360" w:lineRule="auto"/>
        <w:ind w:firstLineChars="175"/>
        <w:contextualSpacing/>
        <w:rPr>
          <w:rFonts w:ascii="宋体" w:hAnsi="宋体"/>
          <w:sz w:val="24"/>
        </w:rPr>
      </w:pPr>
      <w:r>
        <w:rPr>
          <w:rFonts w:hint="eastAsia" w:ascii="宋体" w:hAnsi="宋体"/>
          <w:sz w:val="24"/>
        </w:rPr>
        <w:t>法定代表人或者其委托代理人：</w:t>
      </w:r>
      <w:r>
        <w:rPr>
          <w:rFonts w:ascii="宋体" w:hAnsi="宋体"/>
          <w:sz w:val="24"/>
        </w:rPr>
        <w:t xml:space="preserve"> </w:t>
      </w:r>
      <w:r>
        <w:rPr>
          <w:rFonts w:ascii="宋体" w:hAnsi="宋体"/>
          <w:sz w:val="24"/>
        </w:rPr>
        <w:tab/>
      </w:r>
      <w:r>
        <w:rPr>
          <w:rFonts w:hint="eastAsia" w:ascii="宋体" w:hAnsi="宋体"/>
          <w:sz w:val="24"/>
        </w:rPr>
        <w:t>（签字）</w:t>
      </w:r>
    </w:p>
    <w:p>
      <w:pPr>
        <w:pStyle w:val="6"/>
        <w:overflowPunct w:val="0"/>
        <w:spacing w:line="360" w:lineRule="auto"/>
        <w:ind w:firstLineChars="175"/>
        <w:contextualSpacing/>
        <w:rPr>
          <w:rFonts w:ascii="宋体" w:hAnsi="宋体"/>
          <w:sz w:val="24"/>
        </w:rPr>
      </w:pPr>
      <w:r>
        <w:rPr>
          <w:rFonts w:ascii="宋体" w:hAnsi="宋体"/>
          <w:sz w:val="24"/>
        </w:rPr>
        <w:t>……</w:t>
      </w:r>
    </w:p>
    <w:p>
      <w:pPr>
        <w:pStyle w:val="6"/>
        <w:overflowPunct w:val="0"/>
        <w:spacing w:line="360" w:lineRule="auto"/>
        <w:ind w:firstLineChars="175"/>
        <w:contextualSpacing/>
        <w:rPr>
          <w:rFonts w:ascii="宋体" w:hAnsi="宋体"/>
          <w:sz w:val="24"/>
        </w:rPr>
      </w:pPr>
    </w:p>
    <w:p>
      <w:pPr>
        <w:pStyle w:val="6"/>
        <w:overflowPunct w:val="0"/>
        <w:spacing w:line="360" w:lineRule="auto"/>
        <w:ind w:firstLineChars="175"/>
        <w:contextualSpacing/>
        <w:jc w:val="right"/>
        <w:rPr>
          <w:rFonts w:ascii="宋体" w:hAnsi="宋体"/>
          <w:b/>
          <w:sz w:val="24"/>
        </w:rPr>
      </w:pPr>
      <w:r>
        <w:rPr>
          <w:rFonts w:ascii="宋体" w:hAnsi="宋体"/>
          <w:sz w:val="24"/>
        </w:rPr>
        <w:t xml:space="preserve"> </w:t>
      </w:r>
      <w:r>
        <w:rPr>
          <w:rFonts w:ascii="宋体" w:hAnsi="宋体"/>
          <w:sz w:val="24"/>
        </w:rPr>
        <w:tab/>
      </w:r>
      <w:r>
        <w:rPr>
          <w:rFonts w:hint="eastAsia" w:ascii="宋体" w:hAnsi="宋体"/>
          <w:sz w:val="24"/>
        </w:rPr>
        <w:t>年</w:t>
      </w:r>
      <w:r>
        <w:rPr>
          <w:rFonts w:ascii="宋体" w:hAnsi="宋体"/>
          <w:sz w:val="24"/>
        </w:rPr>
        <w:t xml:space="preserve"> </w:t>
      </w:r>
      <w:r>
        <w:rPr>
          <w:rFonts w:ascii="宋体" w:hAnsi="宋体"/>
          <w:sz w:val="24"/>
        </w:rPr>
        <w:tab/>
      </w:r>
      <w:r>
        <w:rPr>
          <w:rFonts w:hint="eastAsia" w:ascii="宋体" w:hAnsi="宋体"/>
          <w:sz w:val="24"/>
        </w:rPr>
        <w:t>月</w:t>
      </w:r>
      <w:r>
        <w:rPr>
          <w:rFonts w:ascii="宋体" w:hAnsi="宋体"/>
          <w:sz w:val="24"/>
        </w:rPr>
        <w:t xml:space="preserve"> </w:t>
      </w:r>
      <w:r>
        <w:rPr>
          <w:rFonts w:ascii="宋体" w:hAnsi="宋体"/>
          <w:sz w:val="24"/>
        </w:rPr>
        <w:tab/>
      </w:r>
      <w:r>
        <w:rPr>
          <w:rFonts w:hint="eastAsia" w:ascii="宋体" w:hAnsi="宋体"/>
          <w:sz w:val="24"/>
        </w:rPr>
        <w:t>日</w:t>
      </w:r>
    </w:p>
    <w:p>
      <w:pPr>
        <w:snapToGrid w:val="0"/>
        <w:spacing w:before="120" w:beforeLines="50" w:after="50"/>
        <w:jc w:val="left"/>
        <w:rPr>
          <w:rFonts w:hint="eastAsia"/>
        </w:rPr>
      </w:pPr>
      <w:r>
        <w:rPr>
          <w:rFonts w:hint="eastAsia" w:ascii="宋体" w:hAnsi="宋体"/>
          <w:b/>
          <w:sz w:val="24"/>
        </w:rPr>
        <w:t xml:space="preserve"> 2.中小企业声明函格式</w:t>
      </w:r>
    </w:p>
    <w:p>
      <w:pPr>
        <w:rPr>
          <w:rFonts w:hint="eastAsia"/>
        </w:rPr>
      </w:pPr>
    </w:p>
    <w:p>
      <w:pPr>
        <w:jc w:val="center"/>
        <w:rPr>
          <w:rFonts w:hint="eastAsia" w:ascii="方正小标宋简体" w:hAnsi="方正小标宋简体" w:eastAsia="方正小标宋简体" w:cs="方正小标宋简体"/>
          <w:sz w:val="44"/>
          <w:szCs w:val="44"/>
        </w:rPr>
      </w:pPr>
      <w:bookmarkStart w:id="155" w:name="_Toc71365926"/>
      <w:r>
        <w:rPr>
          <w:rFonts w:hint="eastAsia" w:ascii="方正小标宋简体" w:hAnsi="方正小标宋简体" w:eastAsia="方正小标宋简体" w:cs="方正小标宋简体"/>
          <w:sz w:val="44"/>
          <w:szCs w:val="44"/>
        </w:rPr>
        <w:t>中小企业声明函（服务）</w:t>
      </w:r>
      <w:bookmarkEnd w:id="155"/>
    </w:p>
    <w:p>
      <w:pPr>
        <w:spacing w:before="2" w:line="500" w:lineRule="exact"/>
        <w:ind w:firstLine="708" w:firstLineChars="294"/>
        <w:rPr>
          <w:rFonts w:ascii="宋体" w:hAnsi="宋体" w:cs="宋体"/>
          <w:b/>
          <w:bCs/>
          <w:sz w:val="24"/>
        </w:rPr>
      </w:pPr>
    </w:p>
    <w:p>
      <w:pPr>
        <w:pStyle w:val="10"/>
        <w:spacing w:line="500" w:lineRule="exact"/>
        <w:ind w:right="142" w:firstLine="705" w:firstLineChars="294"/>
        <w:rPr>
          <w:rFonts w:ascii="宋体" w:hAnsi="宋体"/>
        </w:rPr>
      </w:pPr>
      <w:r>
        <w:rPr>
          <w:rFonts w:ascii="宋体" w:hAnsi="宋体"/>
        </w:rPr>
        <w:t>本公司（联合体）郑重声明，根据《政府采购促进中小企业发展管理办法》（财库﹝2020﹞46号）的规定，本公司（联合体）参加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w:t>
      </w:r>
      <w:r>
        <w:rPr>
          <w:rFonts w:hint="eastAsia" w:ascii="宋体" w:hAnsi="宋体"/>
          <w:sz w:val="24"/>
          <w:u w:val="single"/>
        </w:rPr>
        <w:t>招标文件</w:t>
      </w:r>
      <w:r>
        <w:rPr>
          <w:rFonts w:ascii="宋体" w:hAnsi="宋体"/>
          <w:sz w:val="24"/>
          <w:u w:val="single"/>
        </w:rPr>
        <w:t>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w:t>
      </w:r>
      <w:r>
        <w:rPr>
          <w:rFonts w:hint="eastAsia" w:ascii="宋体" w:hAnsi="宋体"/>
          <w:sz w:val="24"/>
          <w:u w:val="single"/>
        </w:rPr>
        <w:t>招标文件</w:t>
      </w:r>
      <w:r>
        <w:rPr>
          <w:rFonts w:ascii="宋体" w:hAnsi="宋体"/>
          <w:sz w:val="24"/>
          <w:u w:val="single"/>
        </w:rPr>
        <w:t>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pStyle w:val="10"/>
        <w:spacing w:before="34" w:line="500" w:lineRule="exact"/>
        <w:ind w:right="142" w:firstLine="705" w:firstLineChars="294"/>
        <w:rPr>
          <w:rFonts w:ascii="宋体" w:hAnsi="宋体"/>
        </w:rPr>
      </w:pPr>
      <w:r>
        <w:rPr>
          <w:rFonts w:ascii="宋体" w:hAnsi="宋体"/>
        </w:rPr>
        <w:t xml:space="preserve">…… </w:t>
      </w:r>
    </w:p>
    <w:p>
      <w:pPr>
        <w:pStyle w:val="10"/>
        <w:spacing w:before="34" w:line="500" w:lineRule="exact"/>
        <w:ind w:right="142" w:firstLine="705" w:firstLineChars="294"/>
        <w:rPr>
          <w:rFonts w:ascii="宋体" w:hAnsi="宋体"/>
        </w:rPr>
      </w:pPr>
      <w:r>
        <w:rPr>
          <w:rFonts w:ascii="宋体" w:hAnsi="宋体"/>
        </w:rPr>
        <w:t>以上企业，不属于大企业的分支机构，不存在控股股东为大企业的情形，也不存在与大企业的负责人为同一人的情形。</w:t>
      </w:r>
    </w:p>
    <w:p>
      <w:pPr>
        <w:pStyle w:val="10"/>
        <w:spacing w:before="25" w:line="500" w:lineRule="exact"/>
        <w:ind w:right="142" w:firstLine="705" w:firstLineChars="294"/>
        <w:rPr>
          <w:rFonts w:ascii="宋体" w:hAnsi="宋体"/>
        </w:rPr>
      </w:pPr>
      <w:r>
        <w:rPr>
          <w:rFonts w:ascii="宋体" w:hAnsi="宋体"/>
        </w:rPr>
        <w:t>本企业对上述声明内容的真实性负责。如有虚假，将依法承担相应责任。</w:t>
      </w:r>
    </w:p>
    <w:p>
      <w:pPr>
        <w:pStyle w:val="10"/>
        <w:spacing w:before="56" w:line="500" w:lineRule="exact"/>
        <w:ind w:right="1808" w:firstLine="705" w:firstLineChars="294"/>
        <w:rPr>
          <w:rFonts w:hint="eastAsia" w:ascii="宋体" w:hAnsi="宋体"/>
        </w:rPr>
      </w:pPr>
    </w:p>
    <w:p>
      <w:pPr>
        <w:pStyle w:val="10"/>
        <w:spacing w:before="56" w:line="500" w:lineRule="exact"/>
        <w:ind w:right="650" w:firstLine="5625" w:firstLineChars="2344"/>
        <w:rPr>
          <w:rFonts w:ascii="宋体" w:hAnsi="宋体"/>
        </w:rPr>
      </w:pPr>
      <w:r>
        <w:rPr>
          <w:rFonts w:ascii="宋体" w:hAnsi="宋体"/>
        </w:rPr>
        <w:t xml:space="preserve">企业名称（章）： </w:t>
      </w:r>
    </w:p>
    <w:p>
      <w:pPr>
        <w:pStyle w:val="10"/>
        <w:spacing w:before="56" w:line="500" w:lineRule="exact"/>
        <w:ind w:right="1808" w:firstLine="5625" w:firstLineChars="2344"/>
        <w:rPr>
          <w:rFonts w:ascii="宋体" w:hAnsi="宋体"/>
        </w:rPr>
      </w:pPr>
      <w:r>
        <w:rPr>
          <w:rFonts w:ascii="宋体" w:hAnsi="宋体"/>
        </w:rPr>
        <w:t>日 期：</w:t>
      </w:r>
    </w:p>
    <w:p>
      <w:pPr>
        <w:spacing w:line="520" w:lineRule="exact"/>
        <w:jc w:val="left"/>
        <w:rPr>
          <w:rFonts w:hint="eastAsia" w:ascii="宋体" w:hAnsi="宋体" w:cs="仿宋_GB2312"/>
          <w:sz w:val="24"/>
        </w:rPr>
      </w:pPr>
    </w:p>
    <w:p>
      <w:pPr>
        <w:spacing w:line="520" w:lineRule="exact"/>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中标人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sz w:val="24"/>
        </w:rPr>
      </w:pPr>
    </w:p>
    <w:p>
      <w:pPr>
        <w:pStyle w:val="12"/>
        <w:jc w:val="left"/>
        <w:rPr>
          <w:rFonts w:hint="eastAsia" w:ascii="Arial Unicode MS" w:hAnsi="Arial Unicode MS" w:eastAsia="Arial Unicode MS" w:cs="Arial Unicode MS"/>
          <w:sz w:val="32"/>
          <w:szCs w:val="32"/>
        </w:rPr>
      </w:pPr>
      <w:r>
        <w:rPr>
          <w:rFonts w:ascii="Arial Unicode MS" w:hAnsi="Arial Unicode MS" w:eastAsia="Arial Unicode MS" w:cs="Arial Unicode MS"/>
          <w:sz w:val="32"/>
          <w:szCs w:val="32"/>
        </w:rPr>
        <w:br w:type="page"/>
      </w:r>
      <w:r>
        <w:rPr>
          <w:rFonts w:hint="eastAsia" w:ascii="Arial Unicode MS" w:hAnsi="Arial Unicode MS" w:eastAsia="Arial Unicode MS" w:cs="Arial Unicode MS"/>
          <w:sz w:val="32"/>
          <w:szCs w:val="32"/>
        </w:rPr>
        <w:t>附：</w:t>
      </w:r>
    </w:p>
    <w:p>
      <w:pPr>
        <w:jc w:val="center"/>
        <w:rPr>
          <w:rFonts w:hint="eastAsia" w:ascii="宋体" w:hAnsi="宋体" w:cs="Arial Unicode MS"/>
          <w:sz w:val="44"/>
          <w:szCs w:val="44"/>
        </w:rPr>
      </w:pPr>
      <w:r>
        <w:rPr>
          <w:rFonts w:hint="eastAsia" w:ascii="宋体" w:hAnsi="宋体" w:cs="Arial Unicode MS"/>
          <w:sz w:val="44"/>
          <w:szCs w:val="44"/>
        </w:rPr>
        <w:t>中小微企业划型标准</w:t>
      </w:r>
    </w:p>
    <w:p>
      <w:pPr>
        <w:ind w:left="1871"/>
        <w:rPr>
          <w:rFonts w:hint="eastAsia" w:ascii="宋体" w:hAnsi="宋体" w:cs="Arial Unicode MS"/>
          <w:szCs w:val="21"/>
        </w:rPr>
      </w:pPr>
    </w:p>
    <w:tbl>
      <w:tblPr>
        <w:tblStyle w:val="18"/>
        <w:tblW w:w="0" w:type="auto"/>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000000≤Y＜0000000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200≤Y＜000000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1000≤Y＜0000000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2000≤Y＜0000000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hint="eastAsia" w:ascii="仿宋_GB2312" w:hAnsi="仿宋" w:eastAsia="仿宋_GB2312"/>
          <w:szCs w:val="21"/>
        </w:rPr>
      </w:pPr>
    </w:p>
    <w:p>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snapToGrid w:val="0"/>
        <w:spacing w:before="120" w:beforeLines="50" w:after="50"/>
        <w:ind w:left="142"/>
        <w:jc w:val="left"/>
        <w:rPr>
          <w:rFonts w:hint="eastAsia" w:ascii="宋体" w:hAnsi="宋体"/>
          <w:b/>
          <w:sz w:val="24"/>
        </w:rPr>
      </w:pPr>
    </w:p>
    <w:p>
      <w:pPr>
        <w:snapToGrid w:val="0"/>
        <w:spacing w:before="120" w:beforeLines="50" w:after="50"/>
        <w:ind w:left="142"/>
        <w:jc w:val="left"/>
        <w:rPr>
          <w:rFonts w:hint="eastAsia" w:ascii="宋体" w:hAnsi="宋体"/>
          <w:b/>
          <w:sz w:val="24"/>
        </w:rPr>
      </w:pPr>
    </w:p>
    <w:p>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3.残疾人福利性单位声明函格式</w:t>
      </w:r>
    </w:p>
    <w:p>
      <w:pPr>
        <w:spacing w:line="588" w:lineRule="exact"/>
        <w:jc w:val="center"/>
        <w:rPr>
          <w:rFonts w:hint="eastAsia" w:ascii="仿宋_GB2312" w:eastAsia="仿宋_GB2312"/>
          <w:b/>
          <w:spacing w:val="6"/>
          <w:sz w:val="32"/>
          <w:szCs w:val="32"/>
        </w:rPr>
      </w:pPr>
    </w:p>
    <w:p>
      <w:pPr>
        <w:spacing w:line="588" w:lineRule="exact"/>
        <w:jc w:val="center"/>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p>
      <w:pPr>
        <w:spacing w:line="360" w:lineRule="auto"/>
        <w:contextualSpacing/>
        <w:rPr>
          <w:rFonts w:ascii="仿宋_GB2312" w:eastAsia="仿宋_GB2312"/>
          <w:bCs/>
          <w:spacing w:val="6"/>
          <w:sz w:val="30"/>
          <w:szCs w:val="30"/>
        </w:rPr>
      </w:pPr>
    </w:p>
    <w:p>
      <w:pPr>
        <w:spacing w:line="360" w:lineRule="auto"/>
        <w:ind w:firstLine="504" w:firstLineChars="200"/>
        <w:contextualSpacing/>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pPr>
        <w:spacing w:line="360" w:lineRule="auto"/>
        <w:ind w:firstLine="504" w:firstLineChars="200"/>
        <w:contextualSpacing/>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ind w:firstLine="504" w:firstLineChars="200"/>
        <w:contextualSpacing/>
        <w:rPr>
          <w:rFonts w:ascii="宋体" w:hAnsi="宋体"/>
          <w:spacing w:val="6"/>
          <w:sz w:val="24"/>
        </w:rPr>
      </w:pPr>
    </w:p>
    <w:p>
      <w:pPr>
        <w:spacing w:line="360" w:lineRule="auto"/>
        <w:ind w:firstLine="504" w:firstLineChars="200"/>
        <w:contextualSpacing/>
        <w:rPr>
          <w:rFonts w:ascii="宋体" w:hAnsi="宋体"/>
          <w:spacing w:val="6"/>
          <w:sz w:val="24"/>
        </w:rPr>
      </w:pP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单位名称（盖公章）：</w:t>
      </w:r>
    </w:p>
    <w:p>
      <w:pPr>
        <w:tabs>
          <w:tab w:val="left" w:pos="4860"/>
        </w:tabs>
        <w:spacing w:line="360" w:lineRule="auto"/>
        <w:ind w:right="1560" w:firstLine="504" w:firstLineChars="200"/>
        <w:contextualSpacing/>
        <w:jc w:val="center"/>
        <w:rPr>
          <w:rFonts w:ascii="宋体" w:hAnsi="宋体"/>
          <w:spacing w:val="6"/>
          <w:sz w:val="24"/>
        </w:rPr>
      </w:pPr>
      <w:r>
        <w:rPr>
          <w:rFonts w:hint="eastAsia" w:ascii="宋体" w:hAnsi="宋体"/>
          <w:spacing w:val="6"/>
          <w:sz w:val="24"/>
        </w:rPr>
        <w:t>日  期：</w:t>
      </w:r>
    </w:p>
    <w:p>
      <w:pPr>
        <w:spacing w:line="360" w:lineRule="auto"/>
        <w:contextualSpacing/>
        <w:rPr>
          <w:rFonts w:ascii="宋体" w:hAnsi="宋体"/>
          <w:sz w:val="24"/>
        </w:rPr>
      </w:pPr>
    </w:p>
    <w:p>
      <w:pPr>
        <w:spacing w:line="360" w:lineRule="auto"/>
        <w:contextualSpacing/>
        <w:rPr>
          <w:rFonts w:hint="eastAsia" w:ascii="宋体" w:hAnsi="宋体"/>
          <w:sz w:val="24"/>
        </w:rPr>
      </w:pPr>
    </w:p>
    <w:p>
      <w:pPr>
        <w:spacing w:line="360" w:lineRule="auto"/>
        <w:contextualSpacing/>
        <w:rPr>
          <w:rFonts w:ascii="宋体" w:hAnsi="宋体"/>
          <w:sz w:val="24"/>
        </w:rPr>
      </w:pPr>
    </w:p>
    <w:p>
      <w:pPr>
        <w:spacing w:line="360" w:lineRule="auto"/>
        <w:contextualSpacing/>
        <w:rPr>
          <w:rFonts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sz w:val="24"/>
        </w:rPr>
      </w:pPr>
      <w:r>
        <w:rPr>
          <w:rFonts w:ascii="宋体" w:hAnsi="宋体"/>
          <w:sz w:val="24"/>
        </w:rPr>
        <w:br w:type="page"/>
      </w:r>
      <w:r>
        <w:rPr>
          <w:rFonts w:hint="eastAsia" w:ascii="宋体" w:hAnsi="宋体"/>
          <w:b/>
          <w:sz w:val="24"/>
        </w:rPr>
        <w:t>4.质疑函格式</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w:t>
      </w:r>
    </w:p>
    <w:p>
      <w:pPr>
        <w:pStyle w:val="12"/>
        <w:snapToGrid w:val="0"/>
        <w:spacing w:line="360" w:lineRule="auto"/>
        <w:ind w:firstLine="482" w:firstLineChars="200"/>
        <w:rPr>
          <w:rFonts w:hAnsi="宋体"/>
          <w:b/>
          <w:bCs/>
          <w:sz w:val="24"/>
          <w:szCs w:val="24"/>
        </w:rPr>
      </w:pPr>
      <w:r>
        <w:rPr>
          <w:rFonts w:hint="eastAsia" w:hAnsi="宋体"/>
          <w:b/>
          <w:bCs/>
          <w:sz w:val="24"/>
          <w:szCs w:val="24"/>
        </w:rPr>
        <w:t>一、质疑投标人基本信息：</w:t>
      </w:r>
    </w:p>
    <w:p>
      <w:pPr>
        <w:pStyle w:val="12"/>
        <w:snapToGrid w:val="0"/>
        <w:spacing w:line="360" w:lineRule="auto"/>
        <w:ind w:firstLine="480" w:firstLineChars="200"/>
        <w:rPr>
          <w:rFonts w:hint="eastAsia" w:hAnsi="宋体"/>
          <w:bCs/>
          <w:sz w:val="24"/>
          <w:szCs w:val="24"/>
          <w:u w:val="single"/>
        </w:rPr>
      </w:pPr>
      <w:r>
        <w:rPr>
          <w:rFonts w:hint="eastAsia" w:hAnsi="宋体"/>
          <w:bCs/>
          <w:sz w:val="24"/>
          <w:szCs w:val="24"/>
        </w:rPr>
        <w:t>质疑投标人：</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360" w:lineRule="auto"/>
        <w:ind w:firstLine="480" w:firstLineChars="200"/>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2"/>
        <w:snapToGrid w:val="0"/>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2"/>
        <w:snapToGrid w:val="0"/>
        <w:spacing w:line="360" w:lineRule="auto"/>
        <w:ind w:firstLine="480" w:firstLineChars="200"/>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2"/>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2"/>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pPr>
        <w:pStyle w:val="12"/>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pPr>
        <w:pStyle w:val="12"/>
        <w:spacing w:line="360" w:lineRule="auto"/>
        <w:ind w:left="25" w:leftChars="12" w:firstLine="472" w:firstLineChars="197"/>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pPr>
        <w:pStyle w:val="12"/>
        <w:spacing w:line="360" w:lineRule="auto"/>
        <w:ind w:left="25" w:leftChars="12" w:firstLine="472" w:firstLineChars="197"/>
        <w:rPr>
          <w:rFonts w:hint="eastAsia" w:hAnsi="宋体"/>
          <w:sz w:val="24"/>
          <w:szCs w:val="24"/>
        </w:rPr>
      </w:pPr>
      <w:r>
        <w:rPr>
          <w:rFonts w:hint="eastAsia" w:hAnsi="宋体"/>
          <w:sz w:val="24"/>
          <w:szCs w:val="24"/>
        </w:rPr>
        <w:t>质疑事项：</w:t>
      </w:r>
    </w:p>
    <w:p>
      <w:pPr>
        <w:pStyle w:val="12"/>
        <w:spacing w:line="360" w:lineRule="auto"/>
        <w:ind w:left="25" w:leftChars="12" w:firstLine="352" w:firstLineChars="147"/>
        <w:rPr>
          <w:rFonts w:hint="eastAsia"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pPr>
        <w:pStyle w:val="12"/>
        <w:spacing w:line="360" w:lineRule="auto"/>
        <w:ind w:left="25" w:leftChars="12" w:firstLine="352" w:firstLineChars="147"/>
        <w:rPr>
          <w:rFonts w:hint="eastAsia" w:hAnsi="宋体"/>
          <w:sz w:val="24"/>
          <w:szCs w:val="24"/>
        </w:rPr>
      </w:pPr>
      <w:r>
        <w:rPr>
          <w:rFonts w:hint="eastAsia" w:hAnsi="宋体"/>
          <w:sz w:val="24"/>
          <w:szCs w:val="24"/>
        </w:rPr>
        <w:t xml:space="preserve">□采购过程   </w:t>
      </w:r>
    </w:p>
    <w:p>
      <w:pPr>
        <w:pStyle w:val="12"/>
        <w:spacing w:line="360" w:lineRule="auto"/>
        <w:ind w:left="25" w:leftChars="12" w:firstLine="352" w:firstLineChars="147"/>
        <w:rPr>
          <w:rFonts w:hint="eastAsia" w:hAnsi="宋体"/>
          <w:bCs/>
          <w:sz w:val="24"/>
          <w:szCs w:val="24"/>
          <w:u w:val="single"/>
        </w:rPr>
      </w:pPr>
      <w:r>
        <w:rPr>
          <w:rFonts w:hint="eastAsia" w:hAnsi="宋体"/>
          <w:sz w:val="24"/>
          <w:szCs w:val="24"/>
        </w:rPr>
        <w:t xml:space="preserve">□中标结果   </w:t>
      </w:r>
    </w:p>
    <w:p>
      <w:pPr>
        <w:pStyle w:val="12"/>
        <w:spacing w:line="360" w:lineRule="auto"/>
        <w:ind w:left="25" w:leftChars="12" w:firstLine="472" w:firstLineChars="196"/>
        <w:rPr>
          <w:rFonts w:hint="eastAsia" w:hAnsi="宋体"/>
          <w:b/>
          <w:sz w:val="24"/>
          <w:szCs w:val="24"/>
        </w:rPr>
      </w:pPr>
      <w:r>
        <w:rPr>
          <w:rFonts w:hint="eastAsia" w:hAnsi="宋体"/>
          <w:b/>
          <w:sz w:val="24"/>
          <w:szCs w:val="24"/>
        </w:rPr>
        <w:t>三、质疑事项具体内容</w:t>
      </w:r>
    </w:p>
    <w:p>
      <w:pPr>
        <w:pStyle w:val="12"/>
        <w:spacing w:line="360" w:lineRule="auto"/>
        <w:ind w:left="25" w:leftChars="12" w:firstLine="472" w:firstLineChars="197"/>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2"/>
        <w:spacing w:line="360" w:lineRule="auto"/>
        <w:ind w:left="25" w:leftChars="12" w:firstLine="472" w:firstLineChars="197"/>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2"/>
        <w:spacing w:line="360" w:lineRule="auto"/>
        <w:ind w:left="25" w:leftChars="12" w:firstLine="472" w:firstLineChars="197"/>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2"/>
        <w:spacing w:line="360" w:lineRule="auto"/>
        <w:ind w:left="25" w:leftChars="12" w:firstLine="472" w:firstLineChars="197"/>
        <w:rPr>
          <w:rFonts w:hint="eastAsia" w:hAnsi="宋体"/>
          <w:sz w:val="24"/>
          <w:szCs w:val="24"/>
        </w:rPr>
      </w:pPr>
      <w:r>
        <w:rPr>
          <w:rFonts w:hint="eastAsia" w:hAnsi="宋体"/>
          <w:sz w:val="24"/>
          <w:szCs w:val="24"/>
        </w:rPr>
        <w:t>质疑事项2</w:t>
      </w:r>
    </w:p>
    <w:p>
      <w:pPr>
        <w:pStyle w:val="12"/>
        <w:spacing w:line="360" w:lineRule="auto"/>
        <w:ind w:left="25" w:leftChars="12" w:firstLine="472" w:firstLineChars="197"/>
        <w:rPr>
          <w:rFonts w:hint="eastAsia" w:hAnsi="宋体"/>
          <w:sz w:val="24"/>
          <w:szCs w:val="24"/>
        </w:rPr>
      </w:pPr>
      <w:r>
        <w:rPr>
          <w:rFonts w:hAnsi="宋体"/>
          <w:sz w:val="24"/>
          <w:szCs w:val="24"/>
        </w:rPr>
        <w:t>……</w:t>
      </w:r>
    </w:p>
    <w:p>
      <w:pPr>
        <w:pStyle w:val="12"/>
        <w:spacing w:line="360" w:lineRule="auto"/>
        <w:ind w:left="25" w:leftChars="12" w:firstLine="472" w:firstLineChars="197"/>
        <w:rPr>
          <w:rFonts w:hint="eastAsia" w:hAnsi="宋体"/>
          <w:sz w:val="24"/>
          <w:szCs w:val="24"/>
        </w:rPr>
      </w:pPr>
      <w:r>
        <w:rPr>
          <w:rFonts w:hint="eastAsia" w:hAnsi="宋体"/>
          <w:sz w:val="24"/>
          <w:szCs w:val="24"/>
        </w:rPr>
        <w:t>四、与质疑事项相关的质疑请求：</w:t>
      </w:r>
    </w:p>
    <w:p>
      <w:pPr>
        <w:pStyle w:val="12"/>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2"/>
        <w:spacing w:line="360" w:lineRule="auto"/>
        <w:ind w:left="25" w:leftChars="12" w:firstLine="352" w:firstLineChars="147"/>
        <w:rPr>
          <w:rFonts w:hint="eastAsia" w:hAnsi="宋体"/>
          <w:sz w:val="24"/>
          <w:szCs w:val="24"/>
        </w:rPr>
      </w:pPr>
    </w:p>
    <w:p>
      <w:pPr>
        <w:pStyle w:val="12"/>
        <w:spacing w:line="360" w:lineRule="auto"/>
        <w:ind w:left="25" w:leftChars="12" w:firstLine="472" w:firstLineChars="197"/>
        <w:rPr>
          <w:rFonts w:hint="eastAsia" w:hAnsi="宋体"/>
          <w:sz w:val="24"/>
          <w:szCs w:val="24"/>
        </w:rPr>
      </w:pPr>
      <w:r>
        <w:rPr>
          <w:rFonts w:hint="eastAsia" w:hAnsi="宋体"/>
          <w:sz w:val="24"/>
          <w:szCs w:val="24"/>
        </w:rPr>
        <w:t>签字（签章）：                                       公章：</w:t>
      </w:r>
    </w:p>
    <w:p>
      <w:pPr>
        <w:pStyle w:val="12"/>
        <w:spacing w:line="360" w:lineRule="auto"/>
        <w:ind w:left="25" w:leftChars="12" w:firstLine="352" w:firstLineChars="147"/>
        <w:rPr>
          <w:rFonts w:hint="eastAsia" w:hAnsi="宋体"/>
          <w:sz w:val="24"/>
          <w:szCs w:val="24"/>
        </w:rPr>
      </w:pPr>
    </w:p>
    <w:p>
      <w:pPr>
        <w:pStyle w:val="12"/>
        <w:spacing w:line="360" w:lineRule="auto"/>
        <w:ind w:left="25" w:leftChars="12" w:firstLine="472" w:firstLineChars="197"/>
        <w:rPr>
          <w:rFonts w:hint="eastAsia" w:hAnsi="宋体"/>
          <w:sz w:val="24"/>
          <w:szCs w:val="24"/>
        </w:rPr>
      </w:pPr>
      <w:r>
        <w:rPr>
          <w:rFonts w:hint="eastAsia" w:hAnsi="宋体"/>
          <w:sz w:val="24"/>
          <w:szCs w:val="24"/>
        </w:rPr>
        <w:t>日期：</w:t>
      </w:r>
    </w:p>
    <w:p>
      <w:pPr>
        <w:pStyle w:val="12"/>
        <w:snapToGrid w:val="0"/>
        <w:spacing w:line="360" w:lineRule="auto"/>
        <w:rPr>
          <w:rFonts w:hint="eastAsia" w:hAnsi="宋体"/>
          <w:b/>
          <w:sz w:val="24"/>
          <w:szCs w:val="24"/>
        </w:rPr>
      </w:pPr>
    </w:p>
    <w:p>
      <w:pPr>
        <w:pStyle w:val="12"/>
        <w:snapToGrid w:val="0"/>
        <w:spacing w:line="360" w:lineRule="auto"/>
        <w:rPr>
          <w:rFonts w:hint="eastAsia" w:hAnsi="宋体"/>
          <w:b/>
          <w:sz w:val="24"/>
          <w:szCs w:val="24"/>
        </w:rPr>
      </w:pPr>
      <w:r>
        <w:rPr>
          <w:rFonts w:hint="eastAsia" w:hAnsi="宋体"/>
          <w:b/>
          <w:sz w:val="24"/>
          <w:szCs w:val="24"/>
        </w:rPr>
        <w:t>说明：</w:t>
      </w:r>
    </w:p>
    <w:p>
      <w:pPr>
        <w:pStyle w:val="12"/>
        <w:spacing w:line="360" w:lineRule="auto"/>
        <w:ind w:left="25" w:leftChars="12" w:firstLine="354" w:firstLineChars="147"/>
        <w:rPr>
          <w:rFonts w:hint="eastAsia" w:hAnsi="宋体"/>
          <w:b/>
          <w:bCs/>
          <w:sz w:val="24"/>
          <w:szCs w:val="24"/>
        </w:rPr>
      </w:pPr>
      <w:r>
        <w:rPr>
          <w:rFonts w:hint="eastAsia" w:hAnsi="宋体"/>
          <w:b/>
          <w:sz w:val="24"/>
          <w:szCs w:val="24"/>
        </w:rPr>
        <w:t>1.投标人提出质疑时，应提交质疑函和必要的证明材料</w:t>
      </w:r>
      <w:r>
        <w:rPr>
          <w:rFonts w:hint="eastAsia" w:hAnsi="宋体"/>
          <w:b/>
          <w:bCs/>
          <w:sz w:val="24"/>
          <w:szCs w:val="24"/>
        </w:rPr>
        <w:t>。</w:t>
      </w:r>
    </w:p>
    <w:p>
      <w:pPr>
        <w:pStyle w:val="12"/>
        <w:spacing w:line="360" w:lineRule="auto"/>
        <w:ind w:left="25" w:leftChars="12" w:firstLine="354" w:firstLineChars="147"/>
        <w:rPr>
          <w:rFonts w:hint="eastAsia" w:hAnsi="宋体"/>
          <w:b/>
          <w:sz w:val="24"/>
          <w:szCs w:val="24"/>
        </w:rPr>
      </w:pPr>
      <w:r>
        <w:rPr>
          <w:rFonts w:hint="eastAsia" w:hAnsi="宋体"/>
          <w:b/>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12"/>
        <w:spacing w:line="360" w:lineRule="auto"/>
        <w:ind w:left="25" w:leftChars="12" w:firstLine="354" w:firstLineChars="147"/>
        <w:rPr>
          <w:rFonts w:hint="eastAsia" w:hAnsi="宋体"/>
          <w:b/>
          <w:sz w:val="24"/>
          <w:szCs w:val="24"/>
        </w:rPr>
      </w:pPr>
      <w:r>
        <w:rPr>
          <w:rFonts w:hint="eastAsia" w:hAnsi="宋体"/>
          <w:b/>
          <w:sz w:val="24"/>
          <w:szCs w:val="24"/>
        </w:rPr>
        <w:t>3.质疑函的质疑事项应具体、明确，并有必要的事实依据和法律依据。</w:t>
      </w:r>
    </w:p>
    <w:p>
      <w:pPr>
        <w:pStyle w:val="12"/>
        <w:spacing w:line="360" w:lineRule="auto"/>
        <w:ind w:left="25" w:leftChars="12" w:firstLine="354" w:firstLineChars="147"/>
        <w:rPr>
          <w:rFonts w:hint="eastAsia" w:hAnsi="宋体"/>
          <w:b/>
          <w:sz w:val="24"/>
          <w:szCs w:val="24"/>
        </w:rPr>
      </w:pPr>
      <w:r>
        <w:rPr>
          <w:rFonts w:hint="eastAsia" w:hAnsi="宋体"/>
          <w:b/>
          <w:sz w:val="24"/>
          <w:szCs w:val="24"/>
        </w:rPr>
        <w:t>4.质疑函的质疑请求应与质疑事项相关。</w:t>
      </w:r>
    </w:p>
    <w:p>
      <w:pPr>
        <w:pStyle w:val="12"/>
        <w:spacing w:line="360" w:lineRule="auto"/>
        <w:ind w:left="25" w:leftChars="12" w:firstLine="354" w:firstLineChars="147"/>
        <w:rPr>
          <w:rFonts w:hint="eastAsia" w:hAnsi="宋体"/>
          <w:b/>
        </w:rPr>
      </w:pPr>
      <w:r>
        <w:rPr>
          <w:rFonts w:hint="eastAsia" w:hAnsi="宋体"/>
          <w:b/>
          <w:sz w:val="24"/>
          <w:szCs w:val="24"/>
        </w:rPr>
        <w:t>5.质疑投标人为法人或者其他组织的，质疑函应由法定代表人、主要负责人，或者其授权代表签字或者盖章，并加盖公章。</w:t>
      </w:r>
    </w:p>
    <w:p>
      <w:pPr>
        <w:pStyle w:val="12"/>
        <w:snapToGrid w:val="0"/>
        <w:rPr>
          <w:rFonts w:hint="eastAsia"/>
          <w:b/>
          <w:sz w:val="24"/>
          <w:szCs w:val="24"/>
        </w:rPr>
      </w:pPr>
    </w:p>
    <w:p>
      <w:pPr>
        <w:spacing w:line="360" w:lineRule="auto"/>
        <w:jc w:val="left"/>
        <w:rPr>
          <w:rFonts w:hint="eastAsia" w:ascii="宋体" w:hAnsi="宋体"/>
          <w:b/>
          <w:bCs/>
          <w:sz w:val="32"/>
          <w:szCs w:val="32"/>
        </w:rPr>
      </w:pPr>
      <w:r>
        <w:rPr>
          <w:rFonts w:eastAsia="隶书"/>
          <w:sz w:val="44"/>
        </w:rPr>
        <w:br w:type="page"/>
      </w:r>
      <w:r>
        <w:rPr>
          <w:rFonts w:hint="eastAsia" w:ascii="宋体" w:hAnsi="宋体"/>
          <w:b/>
          <w:sz w:val="24"/>
        </w:rPr>
        <w:t>5.投诉书格式</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w:t>
      </w:r>
    </w:p>
    <w:p>
      <w:pPr>
        <w:pStyle w:val="12"/>
        <w:snapToGrid w:val="0"/>
        <w:spacing w:line="440" w:lineRule="exact"/>
        <w:ind w:firstLine="482" w:firstLineChars="200"/>
        <w:rPr>
          <w:rFonts w:hint="eastAsia" w:hAnsi="宋体"/>
          <w:b/>
          <w:bCs/>
          <w:sz w:val="24"/>
          <w:szCs w:val="24"/>
        </w:rPr>
      </w:pPr>
    </w:p>
    <w:p>
      <w:pPr>
        <w:pStyle w:val="12"/>
        <w:snapToGrid w:val="0"/>
        <w:spacing w:line="440" w:lineRule="exact"/>
        <w:ind w:firstLine="482" w:firstLineChars="200"/>
        <w:rPr>
          <w:rFonts w:hAnsi="宋体"/>
          <w:b/>
          <w:bCs/>
          <w:sz w:val="24"/>
          <w:szCs w:val="24"/>
        </w:rPr>
      </w:pPr>
      <w:r>
        <w:rPr>
          <w:rFonts w:hint="eastAsia" w:hAnsi="宋体"/>
          <w:b/>
          <w:bCs/>
          <w:sz w:val="24"/>
          <w:szCs w:val="24"/>
        </w:rPr>
        <w:t>一、投诉相关主体基本情况：</w:t>
      </w:r>
    </w:p>
    <w:p>
      <w:pPr>
        <w:pStyle w:val="12"/>
        <w:snapToGrid w:val="0"/>
        <w:spacing w:line="440" w:lineRule="exact"/>
        <w:ind w:firstLine="480" w:firstLineChars="200"/>
        <w:jc w:val="left"/>
        <w:rPr>
          <w:rFonts w:hint="eastAsia"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440" w:lineRule="exact"/>
        <w:ind w:firstLine="480" w:firstLineChars="200"/>
        <w:jc w:val="left"/>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440" w:lineRule="exact"/>
        <w:ind w:firstLine="480" w:firstLineChars="200"/>
        <w:jc w:val="left"/>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440" w:lineRule="exact"/>
        <w:ind w:firstLine="480" w:firstLineChars="200"/>
        <w:jc w:val="left"/>
        <w:rPr>
          <w:rFonts w:hint="eastAsia" w:hAnsi="宋体"/>
          <w:bCs/>
          <w:sz w:val="24"/>
          <w:szCs w:val="24"/>
        </w:rPr>
      </w:pPr>
      <w:r>
        <w:rPr>
          <w:rFonts w:hint="eastAsia" w:hAnsi="宋体"/>
          <w:bCs/>
          <w:sz w:val="24"/>
          <w:szCs w:val="24"/>
        </w:rPr>
        <w:t>被投诉人1：</w:t>
      </w:r>
    </w:p>
    <w:p>
      <w:pPr>
        <w:pStyle w:val="12"/>
        <w:snapToGrid w:val="0"/>
        <w:spacing w:line="440" w:lineRule="exact"/>
        <w:ind w:firstLine="480" w:firstLineChars="200"/>
        <w:jc w:val="left"/>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440" w:lineRule="exact"/>
        <w:ind w:firstLine="480" w:firstLineChars="200"/>
        <w:jc w:val="left"/>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rPr>
      </w:pPr>
      <w:r>
        <w:rPr>
          <w:rFonts w:hint="eastAsia" w:hAnsi="宋体"/>
          <w:bCs/>
          <w:sz w:val="24"/>
          <w:szCs w:val="24"/>
        </w:rPr>
        <w:t>被投诉人2：</w:t>
      </w:r>
    </w:p>
    <w:p>
      <w:pPr>
        <w:pStyle w:val="12"/>
        <w:snapToGrid w:val="0"/>
        <w:spacing w:line="440" w:lineRule="exact"/>
        <w:ind w:firstLine="480" w:firstLineChars="200"/>
        <w:jc w:val="left"/>
        <w:rPr>
          <w:rFonts w:hint="eastAsia" w:hAnsi="宋体"/>
          <w:bCs/>
          <w:sz w:val="24"/>
          <w:szCs w:val="24"/>
        </w:rPr>
      </w:pPr>
      <w:r>
        <w:rPr>
          <w:rFonts w:hAnsi="宋体"/>
          <w:bCs/>
          <w:sz w:val="24"/>
          <w:szCs w:val="24"/>
        </w:rPr>
        <w:t>……</w:t>
      </w:r>
    </w:p>
    <w:p>
      <w:pPr>
        <w:pStyle w:val="12"/>
        <w:snapToGrid w:val="0"/>
        <w:spacing w:line="440" w:lineRule="exact"/>
        <w:ind w:firstLine="480" w:firstLineChars="200"/>
        <w:jc w:val="left"/>
        <w:rPr>
          <w:rFonts w:hint="eastAsia" w:hAnsi="宋体"/>
          <w:bCs/>
          <w:sz w:val="24"/>
          <w:szCs w:val="24"/>
          <w:u w:val="single"/>
        </w:rPr>
      </w:pPr>
      <w:r>
        <w:rPr>
          <w:rFonts w:hint="eastAsia" w:hAnsi="宋体"/>
          <w:bCs/>
          <w:sz w:val="24"/>
          <w:szCs w:val="24"/>
        </w:rPr>
        <w:t>相关投标人：</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12"/>
        <w:snapToGrid w:val="0"/>
        <w:spacing w:line="440" w:lineRule="exact"/>
        <w:ind w:firstLine="480" w:firstLineChars="200"/>
        <w:jc w:val="left"/>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pPr>
        <w:pStyle w:val="12"/>
        <w:snapToGrid w:val="0"/>
        <w:spacing w:line="440" w:lineRule="exact"/>
        <w:ind w:firstLine="482" w:firstLineChars="200"/>
        <w:rPr>
          <w:rFonts w:hint="eastAsia" w:hAnsi="宋体"/>
          <w:b/>
          <w:bCs/>
          <w:sz w:val="24"/>
          <w:szCs w:val="24"/>
        </w:rPr>
      </w:pPr>
      <w:r>
        <w:rPr>
          <w:rFonts w:hint="eastAsia" w:hAnsi="宋体"/>
          <w:b/>
          <w:bCs/>
          <w:sz w:val="24"/>
          <w:szCs w:val="24"/>
        </w:rPr>
        <w:t>二、投诉项目基本情况：</w:t>
      </w:r>
    </w:p>
    <w:p>
      <w:pPr>
        <w:pStyle w:val="12"/>
        <w:spacing w:line="440" w:lineRule="exact"/>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pPr>
        <w:pStyle w:val="12"/>
        <w:spacing w:line="440" w:lineRule="exact"/>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pPr>
        <w:pStyle w:val="12"/>
        <w:spacing w:line="440" w:lineRule="exact"/>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pPr>
        <w:pStyle w:val="12"/>
        <w:spacing w:line="440" w:lineRule="exact"/>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pPr>
        <w:pStyle w:val="12"/>
        <w:spacing w:line="440" w:lineRule="exact"/>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2"/>
        <w:spacing w:line="440" w:lineRule="exact"/>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2"/>
        <w:spacing w:line="440" w:lineRule="exact"/>
        <w:ind w:left="25" w:leftChars="12" w:firstLine="472" w:firstLineChars="196"/>
        <w:rPr>
          <w:rFonts w:hint="eastAsia" w:hAnsi="宋体"/>
          <w:b/>
          <w:sz w:val="24"/>
          <w:szCs w:val="24"/>
        </w:rPr>
      </w:pPr>
      <w:r>
        <w:rPr>
          <w:rFonts w:hint="eastAsia" w:hAnsi="宋体"/>
          <w:b/>
          <w:sz w:val="24"/>
          <w:szCs w:val="24"/>
        </w:rPr>
        <w:t>三、质疑基本情况</w:t>
      </w:r>
    </w:p>
    <w:p>
      <w:pPr>
        <w:pStyle w:val="12"/>
        <w:spacing w:line="440" w:lineRule="exact"/>
        <w:ind w:left="25" w:leftChars="12"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2"/>
        <w:spacing w:line="440" w:lineRule="exact"/>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2"/>
        <w:spacing w:line="440" w:lineRule="exact"/>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2"/>
        <w:spacing w:line="440" w:lineRule="exact"/>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2"/>
        <w:spacing w:line="440" w:lineRule="exact"/>
        <w:ind w:left="25" w:leftChars="12" w:firstLine="472" w:firstLineChars="196"/>
        <w:rPr>
          <w:rFonts w:hint="eastAsia" w:hAnsi="宋体"/>
          <w:b/>
          <w:sz w:val="24"/>
          <w:szCs w:val="24"/>
        </w:rPr>
      </w:pPr>
      <w:r>
        <w:rPr>
          <w:rFonts w:hint="eastAsia" w:hAnsi="宋体"/>
          <w:b/>
          <w:sz w:val="24"/>
          <w:szCs w:val="24"/>
        </w:rPr>
        <w:t>四、投诉事项具体内容</w:t>
      </w:r>
    </w:p>
    <w:p>
      <w:pPr>
        <w:pStyle w:val="12"/>
        <w:spacing w:line="440" w:lineRule="exact"/>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2"/>
        <w:spacing w:line="440" w:lineRule="exact"/>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2"/>
        <w:spacing w:line="440" w:lineRule="exact"/>
        <w:ind w:left="25" w:leftChars="12" w:firstLine="472" w:firstLineChars="197"/>
        <w:rPr>
          <w:rFonts w:hint="eastAsia" w:hAnsi="宋体"/>
          <w:sz w:val="24"/>
          <w:szCs w:val="24"/>
        </w:rPr>
      </w:pPr>
      <w:r>
        <w:rPr>
          <w:rFonts w:hint="eastAsia" w:hAnsi="宋体"/>
          <w:bCs/>
          <w:sz w:val="24"/>
          <w:szCs w:val="24"/>
          <w:u w:val="single"/>
        </w:rPr>
        <w:t xml:space="preserve">                                                                                        </w:t>
      </w:r>
    </w:p>
    <w:p>
      <w:pPr>
        <w:pStyle w:val="12"/>
        <w:spacing w:line="440" w:lineRule="exact"/>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2"/>
        <w:spacing w:line="440" w:lineRule="exact"/>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2"/>
        <w:spacing w:line="440" w:lineRule="exact"/>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2"/>
        <w:spacing w:line="440" w:lineRule="exact"/>
        <w:ind w:left="25" w:leftChars="12" w:firstLine="472" w:firstLineChars="197"/>
        <w:rPr>
          <w:rFonts w:hint="eastAsia" w:hAnsi="宋体"/>
          <w:bCs/>
          <w:sz w:val="24"/>
          <w:szCs w:val="24"/>
        </w:rPr>
      </w:pPr>
      <w:r>
        <w:rPr>
          <w:rFonts w:hAnsi="宋体"/>
          <w:bCs/>
          <w:sz w:val="24"/>
          <w:szCs w:val="24"/>
        </w:rPr>
        <w:t>……</w:t>
      </w:r>
    </w:p>
    <w:p>
      <w:pPr>
        <w:pStyle w:val="12"/>
        <w:spacing w:line="440" w:lineRule="exact"/>
        <w:ind w:left="25" w:leftChars="12" w:firstLine="472" w:firstLineChars="196"/>
        <w:rPr>
          <w:rFonts w:hint="eastAsia" w:hAnsi="宋体"/>
          <w:b/>
          <w:sz w:val="24"/>
          <w:szCs w:val="24"/>
        </w:rPr>
      </w:pPr>
      <w:r>
        <w:rPr>
          <w:rFonts w:hint="eastAsia" w:hAnsi="宋体"/>
          <w:b/>
          <w:sz w:val="24"/>
          <w:szCs w:val="24"/>
        </w:rPr>
        <w:t>五、与投诉事项相关的投诉请求：</w:t>
      </w:r>
    </w:p>
    <w:p>
      <w:pPr>
        <w:pStyle w:val="12"/>
        <w:spacing w:line="440" w:lineRule="exact"/>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2"/>
        <w:spacing w:line="440" w:lineRule="exact"/>
        <w:ind w:left="25" w:leftChars="12" w:firstLine="352" w:firstLineChars="147"/>
        <w:rPr>
          <w:rFonts w:hint="eastAsia" w:hAnsi="宋体"/>
          <w:sz w:val="24"/>
          <w:szCs w:val="24"/>
        </w:rPr>
      </w:pPr>
    </w:p>
    <w:p>
      <w:pPr>
        <w:pStyle w:val="12"/>
        <w:spacing w:line="440" w:lineRule="exact"/>
        <w:ind w:left="25" w:leftChars="12" w:firstLine="472" w:firstLineChars="197"/>
        <w:rPr>
          <w:rFonts w:hint="eastAsia" w:hAnsi="宋体"/>
          <w:sz w:val="24"/>
          <w:szCs w:val="24"/>
        </w:rPr>
      </w:pPr>
      <w:r>
        <w:rPr>
          <w:rFonts w:hint="eastAsia" w:hAnsi="宋体"/>
          <w:sz w:val="24"/>
          <w:szCs w:val="24"/>
        </w:rPr>
        <w:t>签字（签章）：                                       公章：</w:t>
      </w:r>
    </w:p>
    <w:p>
      <w:pPr>
        <w:pStyle w:val="12"/>
        <w:spacing w:line="440" w:lineRule="exact"/>
        <w:ind w:left="25" w:leftChars="12" w:firstLine="352" w:firstLineChars="147"/>
        <w:rPr>
          <w:rFonts w:hint="eastAsia" w:hAnsi="宋体"/>
          <w:sz w:val="24"/>
          <w:szCs w:val="24"/>
        </w:rPr>
      </w:pPr>
    </w:p>
    <w:p>
      <w:pPr>
        <w:pStyle w:val="12"/>
        <w:spacing w:line="440" w:lineRule="exact"/>
        <w:ind w:left="25" w:leftChars="12" w:firstLine="472" w:firstLineChars="197"/>
        <w:rPr>
          <w:rFonts w:hint="eastAsia" w:hAnsi="宋体"/>
          <w:sz w:val="24"/>
          <w:szCs w:val="24"/>
        </w:rPr>
      </w:pPr>
      <w:r>
        <w:rPr>
          <w:rFonts w:hint="eastAsia" w:hAnsi="宋体"/>
          <w:sz w:val="24"/>
          <w:szCs w:val="24"/>
        </w:rPr>
        <w:t>日期：</w:t>
      </w:r>
    </w:p>
    <w:p>
      <w:pPr>
        <w:pStyle w:val="12"/>
        <w:spacing w:line="440" w:lineRule="exact"/>
        <w:ind w:left="25" w:leftChars="12" w:firstLine="472" w:firstLineChars="197"/>
        <w:rPr>
          <w:rFonts w:hint="eastAsia" w:hAnsi="宋体"/>
          <w:sz w:val="24"/>
          <w:szCs w:val="24"/>
        </w:rPr>
      </w:pPr>
      <w:r>
        <w:rPr>
          <w:rFonts w:hint="eastAsia" w:hAnsi="宋体"/>
          <w:bCs/>
          <w:sz w:val="24"/>
          <w:szCs w:val="24"/>
        </w:rPr>
        <w:t xml:space="preserve">                                                                              </w:t>
      </w:r>
    </w:p>
    <w:p>
      <w:pPr>
        <w:pStyle w:val="12"/>
        <w:snapToGrid w:val="0"/>
        <w:spacing w:line="440" w:lineRule="exact"/>
        <w:rPr>
          <w:rFonts w:hint="eastAsia" w:hAnsi="宋体"/>
          <w:b/>
          <w:sz w:val="24"/>
          <w:szCs w:val="24"/>
        </w:rPr>
      </w:pPr>
      <w:r>
        <w:rPr>
          <w:rFonts w:hint="eastAsia" w:hAnsi="宋体"/>
          <w:b/>
          <w:sz w:val="24"/>
          <w:szCs w:val="24"/>
        </w:rPr>
        <w:t>说明：</w:t>
      </w:r>
    </w:p>
    <w:p>
      <w:pPr>
        <w:pStyle w:val="12"/>
        <w:spacing w:line="440" w:lineRule="exact"/>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1.投诉人提起投诉时，应当提交投诉书和必要的证明材料，并按照被投诉人和与投诉事项有关的投标人数量提供投诉书副本</w:t>
      </w:r>
      <w:r>
        <w:rPr>
          <w:rFonts w:hint="eastAsia" w:hAnsi="宋体"/>
          <w:b/>
          <w:bCs/>
          <w:sz w:val="24"/>
          <w:szCs w:val="24"/>
        </w:rPr>
        <w:t>。</w:t>
      </w:r>
    </w:p>
    <w:p>
      <w:pPr>
        <w:pStyle w:val="12"/>
        <w:spacing w:line="440" w:lineRule="exact"/>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440" w:lineRule="exact"/>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2"/>
        <w:spacing w:line="440" w:lineRule="exact"/>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2"/>
        <w:spacing w:line="440" w:lineRule="exact"/>
        <w:ind w:left="25"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2"/>
        <w:spacing w:line="440" w:lineRule="exact"/>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sectPr>
      <w:footerReference r:id="rId11" w:type="first"/>
      <w:headerReference r:id="rId8" w:type="default"/>
      <w:footerReference r:id="rId9" w:type="default"/>
      <w:footerReference r:id="rId10"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rPr>
                              <w:lang w:val="zh-CN"/>
                            </w:rPr>
                            <w:t>77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77</w:t>
                    </w:r>
                    <w: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PAGE   \* MERGEFORMAT</w:instrText>
                          </w:r>
                          <w:r>
                            <w:fldChar w:fldCharType="separate"/>
                          </w:r>
                          <w:r>
                            <w:rPr>
                              <w:lang w:val="zh-CN"/>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p>
    <w:pPr>
      <w:pStyle w:val="13"/>
      <w:ind w:right="360"/>
      <w:jc w:val="both"/>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rPr>
                              <w:lang w:val="zh-CN"/>
                            </w:rP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89</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5AEB3"/>
    <w:multiLevelType w:val="singleLevel"/>
    <w:tmpl w:val="0605AEB3"/>
    <w:lvl w:ilvl="0" w:tentative="0">
      <w:start w:val="1"/>
      <w:numFmt w:val="decimal"/>
      <w:suff w:val="nothing"/>
      <w:lvlText w:val="%1、"/>
      <w:lvlJc w:val="left"/>
    </w:lvl>
  </w:abstractNum>
  <w:abstractNum w:abstractNumId="1">
    <w:nsid w:val="25E85C7A"/>
    <w:multiLevelType w:val="multilevel"/>
    <w:tmpl w:val="25E85C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3035E3"/>
    <w:multiLevelType w:val="multilevel"/>
    <w:tmpl w:val="263035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8E95730"/>
    <w:multiLevelType w:val="multilevel"/>
    <w:tmpl w:val="48E957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B573EAD"/>
    <w:multiLevelType w:val="singleLevel"/>
    <w:tmpl w:val="5B573EAD"/>
    <w:lvl w:ilvl="0" w:tentative="0">
      <w:start w:val="5"/>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6FE27D63"/>
    <w:multiLevelType w:val="multilevel"/>
    <w:tmpl w:val="6FE27D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8"/>
  </w:num>
  <w:num w:numId="3">
    <w:abstractNumId w:val="1"/>
  </w:num>
  <w:num w:numId="4">
    <w:abstractNumId w:val="2"/>
  </w:num>
  <w:num w:numId="5">
    <w:abstractNumId w:val="4"/>
  </w:num>
  <w:num w:numId="6">
    <w:abstractNumId w:val="5"/>
  </w:num>
  <w:num w:numId="7">
    <w:abstractNumId w:val="7"/>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NjgyNjU2OWM5ZThjNWU4MGI3MGZjOWExMDhjMTYifQ=="/>
  </w:docVars>
  <w:rsids>
    <w:rsidRoot w:val="7DD333FF"/>
    <w:rsid w:val="26B07F61"/>
    <w:rsid w:val="2DE51610"/>
    <w:rsid w:val="5B166D48"/>
    <w:rsid w:val="5DC65162"/>
    <w:rsid w:val="6C445178"/>
    <w:rsid w:val="714E58E9"/>
    <w:rsid w:val="7DD333FF"/>
    <w:rsid w:val="7F9F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5">
    <w:name w:val="heading 5"/>
    <w:basedOn w:val="1"/>
    <w:next w:val="6"/>
    <w:autoRedefine/>
    <w:qFormat/>
    <w:uiPriority w:val="0"/>
    <w:pPr>
      <w:keepNext/>
      <w:keepLines/>
      <w:numPr>
        <w:ilvl w:val="4"/>
        <w:numId w:val="1"/>
      </w:numPr>
      <w:spacing w:before="280" w:after="290" w:line="376" w:lineRule="auto"/>
      <w:outlineLvl w:val="4"/>
    </w:pPr>
    <w:rPr>
      <w:b/>
      <w:sz w:val="28"/>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annotation text"/>
    <w:basedOn w:val="1"/>
    <w:autoRedefine/>
    <w:unhideWhenUsed/>
    <w:qFormat/>
    <w:uiPriority w:val="0"/>
    <w:pPr>
      <w:jc w:val="left"/>
    </w:pPr>
  </w:style>
  <w:style w:type="paragraph" w:styleId="9">
    <w:name w:val="Body Text 3"/>
    <w:basedOn w:val="1"/>
    <w:autoRedefine/>
    <w:qFormat/>
    <w:uiPriority w:val="0"/>
    <w:pPr>
      <w:spacing w:line="500" w:lineRule="exact"/>
    </w:pPr>
    <w:rPr>
      <w:b/>
      <w:bCs/>
      <w:kern w:val="0"/>
      <w:sz w:val="24"/>
    </w:rPr>
  </w:style>
  <w:style w:type="paragraph" w:styleId="10">
    <w:name w:val="Body Text"/>
    <w:basedOn w:val="1"/>
    <w:next w:val="1"/>
    <w:autoRedefine/>
    <w:qFormat/>
    <w:uiPriority w:val="99"/>
    <w:pPr>
      <w:spacing w:line="380" w:lineRule="exact"/>
    </w:pPr>
    <w:rPr>
      <w:kern w:val="0"/>
      <w:sz w:val="24"/>
    </w:r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Plain Text"/>
    <w:basedOn w:val="1"/>
    <w:next w:val="1"/>
    <w:autoRedefine/>
    <w:qFormat/>
    <w:uiPriority w:val="0"/>
    <w:rPr>
      <w:rFonts w:ascii="宋体" w:hAnsi="Courier New"/>
      <w:kern w:val="0"/>
      <w:sz w:val="20"/>
      <w:szCs w:val="21"/>
    </w:rPr>
  </w:style>
  <w:style w:type="paragraph" w:styleId="13">
    <w:name w:val="footer"/>
    <w:basedOn w:val="1"/>
    <w:autoRedefine/>
    <w:unhideWhenUsed/>
    <w:qFormat/>
    <w:uiPriority w:val="99"/>
    <w:pPr>
      <w:tabs>
        <w:tab w:val="center" w:pos="4153"/>
        <w:tab w:val="right" w:pos="8306"/>
      </w:tabs>
      <w:snapToGrid w:val="0"/>
      <w:jc w:val="left"/>
    </w:pPr>
    <w:rPr>
      <w:kern w:val="0"/>
      <w:sz w:val="18"/>
      <w:szCs w:val="18"/>
    </w:rPr>
  </w:style>
  <w:style w:type="paragraph" w:styleId="14">
    <w:name w:val="header"/>
    <w:basedOn w:val="1"/>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15">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16">
    <w:name w:val="List"/>
    <w:basedOn w:val="1"/>
    <w:autoRedefine/>
    <w:qFormat/>
    <w:uiPriority w:val="0"/>
    <w:pPr>
      <w:ind w:left="200" w:hanging="200" w:hangingChars="200"/>
    </w:pPr>
    <w:rPr>
      <w:sz w:val="28"/>
    </w:rPr>
  </w:style>
  <w:style w:type="paragraph" w:styleId="17">
    <w:name w:val="Body Text First Indent"/>
    <w:basedOn w:val="10"/>
    <w:autoRedefine/>
    <w:unhideWhenUsed/>
    <w:qFormat/>
    <w:uiPriority w:val="99"/>
    <w:pPr>
      <w:ind w:firstLine="420" w:firstLineChars="100"/>
    </w:pPr>
  </w:style>
  <w:style w:type="character" w:styleId="20">
    <w:name w:val="page number"/>
    <w:autoRedefine/>
    <w:qFormat/>
    <w:uiPriority w:val="0"/>
  </w:style>
  <w:style w:type="character" w:styleId="21">
    <w:name w:val="Hyperlink"/>
    <w:autoRedefine/>
    <w:qFormat/>
    <w:uiPriority w:val="99"/>
    <w:rPr>
      <w:color w:val="000000"/>
      <w:u w:val="none"/>
    </w:rPr>
  </w:style>
  <w:style w:type="character" w:styleId="22">
    <w:name w:val="annotation reference"/>
    <w:autoRedefine/>
    <w:unhideWhenUsed/>
    <w:qFormat/>
    <w:uiPriority w:val="0"/>
    <w:rPr>
      <w:sz w:val="21"/>
      <w:szCs w:val="21"/>
    </w:rPr>
  </w:style>
  <w:style w:type="paragraph" w:customStyle="1" w:styleId="23">
    <w:name w:val="_Style 2"/>
    <w:basedOn w:val="1"/>
    <w:autoRedefine/>
    <w:qFormat/>
    <w:uiPriority w:val="34"/>
    <w:pPr>
      <w:adjustRightInd w:val="0"/>
      <w:snapToGrid w:val="0"/>
      <w:spacing w:before="120" w:after="120" w:line="360" w:lineRule="auto"/>
      <w:ind w:left="578" w:firstLine="420"/>
    </w:pPr>
    <w:rPr>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2024-04-15T08:34:00Z</dcterms:created>
  <dc:creator>代理机构</dc:creator>
  <cp:lastModifiedBy>代理机构</cp:lastModifiedBy>
  <dcterms:modified xsi:type="dcterms:W3CDTF">2024-04-19T02:28:46Z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9EAFD03E3E9247EC9E24F759A5E6A74B_11</vt:lpwstr>
  </property>
</Properties>
</file>