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南宁市政府采购</w:t>
      </w:r>
    </w:p>
    <w:p>
      <w:pPr>
        <w:spacing w:before="165" w:beforeLines="50" w:line="36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公开招标文件（服务类）</w:t>
      </w:r>
    </w:p>
    <w:p>
      <w:pPr>
        <w:spacing w:before="165" w:beforeLines="50" w:line="360" w:lineRule="auto"/>
        <w:jc w:val="center"/>
        <w:rPr>
          <w:rFonts w:hint="eastAsia" w:ascii="宋体" w:hAnsi="宋体" w:eastAsia="宋体" w:cs="宋体"/>
          <w:b/>
          <w:sz w:val="48"/>
          <w:szCs w:val="48"/>
          <w:highlight w:val="none"/>
        </w:rPr>
      </w:pPr>
    </w:p>
    <w:p>
      <w:pPr>
        <w:spacing w:before="165" w:beforeLines="50" w:line="360" w:lineRule="auto"/>
        <w:jc w:val="center"/>
        <w:rPr>
          <w:rFonts w:hint="eastAsia" w:ascii="宋体" w:hAnsi="宋体" w:eastAsia="宋体" w:cs="宋体"/>
          <w:b/>
          <w:sz w:val="48"/>
          <w:szCs w:val="48"/>
          <w:highlight w:val="none"/>
        </w:rPr>
      </w:pPr>
    </w:p>
    <w:p>
      <w:pPr>
        <w:snapToGrid w:val="0"/>
        <w:spacing w:before="165" w:beforeLines="50"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招 标 文 件</w:t>
      </w:r>
    </w:p>
    <w:p>
      <w:pPr>
        <w:snapToGrid w:val="0"/>
        <w:spacing w:before="165" w:beforeLines="50" w:line="360" w:lineRule="auto"/>
        <w:jc w:val="center"/>
        <w:outlineLvl w:val="0"/>
        <w:rPr>
          <w:rFonts w:hint="eastAsia" w:ascii="宋体" w:hAnsi="宋体" w:eastAsia="宋体" w:cs="宋体"/>
          <w:sz w:val="30"/>
          <w:szCs w:val="72"/>
          <w:highlight w:val="none"/>
        </w:rPr>
      </w:pPr>
      <w:bookmarkStart w:id="0" w:name="_Toc3023"/>
      <w:bookmarkStart w:id="1" w:name="_Toc5320"/>
      <w:r>
        <w:rPr>
          <w:rFonts w:hint="eastAsia" w:ascii="宋体" w:hAnsi="宋体" w:eastAsia="宋体" w:cs="宋体"/>
          <w:sz w:val="30"/>
          <w:szCs w:val="72"/>
          <w:highlight w:val="none"/>
        </w:rPr>
        <w:t>（全流程电子化评标）</w:t>
      </w:r>
      <w:bookmarkEnd w:id="0"/>
      <w:bookmarkEnd w:id="1"/>
    </w:p>
    <w:p>
      <w:pPr>
        <w:snapToGrid w:val="0"/>
        <w:spacing w:before="165" w:beforeLines="50" w:line="360" w:lineRule="auto"/>
        <w:rPr>
          <w:rFonts w:hint="eastAsia" w:ascii="宋体" w:hAnsi="宋体" w:eastAsia="宋体" w:cs="宋体"/>
          <w:sz w:val="30"/>
          <w:szCs w:val="72"/>
          <w:highlight w:val="none"/>
        </w:rPr>
      </w:pPr>
    </w:p>
    <w:p>
      <w:pPr>
        <w:pStyle w:val="11"/>
        <w:snapToGrid w:val="0"/>
        <w:spacing w:before="50" w:after="120" w:line="360" w:lineRule="auto"/>
        <w:ind w:left="3295" w:leftChars="852" w:hanging="1506" w:hangingChars="500"/>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项目名称</w:t>
      </w:r>
      <w:r>
        <w:rPr>
          <w:rFonts w:hint="eastAsia" w:ascii="宋体" w:hAnsi="宋体" w:eastAsia="宋体" w:cs="宋体"/>
          <w:b/>
          <w:bCs/>
          <w:sz w:val="30"/>
          <w:szCs w:val="30"/>
          <w:highlight w:val="none"/>
          <w:lang w:eastAsia="zh-CN"/>
        </w:rPr>
        <w:t>：</w:t>
      </w:r>
      <w:r>
        <w:rPr>
          <w:rFonts w:hint="eastAsia" w:hAnsi="宋体" w:cs="宋体"/>
          <w:b/>
          <w:bCs/>
          <w:sz w:val="30"/>
          <w:szCs w:val="30"/>
          <w:highlight w:val="none"/>
          <w:lang w:eastAsia="zh-CN"/>
        </w:rPr>
        <w:t>2024年苏圩镇保卫村蔬菜基地三期项目A标</w:t>
      </w:r>
    </w:p>
    <w:p>
      <w:pPr>
        <w:pStyle w:val="11"/>
        <w:snapToGrid w:val="0"/>
        <w:spacing w:before="50" w:after="120" w:line="360" w:lineRule="auto"/>
        <w:ind w:firstLine="1783" w:firstLineChars="592"/>
        <w:outlineLvl w:val="0"/>
        <w:rPr>
          <w:rFonts w:hint="eastAsia" w:ascii="宋体" w:hAnsi="宋体" w:eastAsia="宋体" w:cs="宋体"/>
          <w:b/>
          <w:bCs/>
          <w:sz w:val="30"/>
          <w:szCs w:val="30"/>
          <w:highlight w:val="none"/>
          <w:lang w:eastAsia="zh-CN"/>
        </w:rPr>
      </w:pPr>
      <w:bookmarkStart w:id="2" w:name="_Toc4108"/>
      <w:bookmarkStart w:id="3" w:name="_Toc7308"/>
      <w:r>
        <w:rPr>
          <w:rFonts w:hint="eastAsia" w:ascii="宋体" w:hAnsi="宋体" w:eastAsia="宋体" w:cs="宋体"/>
          <w:b/>
          <w:bCs/>
          <w:sz w:val="30"/>
          <w:szCs w:val="30"/>
          <w:highlight w:val="none"/>
        </w:rPr>
        <w:t>项目编号：</w:t>
      </w:r>
      <w:bookmarkEnd w:id="2"/>
      <w:bookmarkEnd w:id="3"/>
      <w:r>
        <w:rPr>
          <w:rFonts w:hint="eastAsia" w:hAnsi="宋体" w:cs="宋体"/>
          <w:b/>
          <w:bCs/>
          <w:sz w:val="30"/>
          <w:szCs w:val="30"/>
          <w:highlight w:val="none"/>
          <w:lang w:eastAsia="zh-CN"/>
        </w:rPr>
        <w:t>NNZC2024-G2-050183-GXHM</w:t>
      </w:r>
    </w:p>
    <w:p>
      <w:pPr>
        <w:pStyle w:val="11"/>
        <w:snapToGrid w:val="0"/>
        <w:spacing w:before="50" w:after="120" w:line="360" w:lineRule="auto"/>
        <w:ind w:firstLine="1783" w:firstLineChars="592"/>
        <w:outlineLvl w:val="0"/>
        <w:rPr>
          <w:rFonts w:hint="eastAsia" w:ascii="宋体" w:hAnsi="宋体" w:eastAsia="宋体" w:cs="宋体"/>
          <w:b/>
          <w:bCs/>
          <w:sz w:val="30"/>
          <w:szCs w:val="30"/>
          <w:highlight w:val="none"/>
          <w:lang w:eastAsia="zh-CN"/>
        </w:rPr>
      </w:pPr>
      <w:bookmarkStart w:id="4" w:name="_Toc31224"/>
      <w:bookmarkStart w:id="5" w:name="_Toc3322"/>
      <w:r>
        <w:rPr>
          <w:rFonts w:hint="eastAsia" w:ascii="宋体" w:hAnsi="宋体" w:eastAsia="宋体" w:cs="宋体"/>
          <w:b/>
          <w:bCs/>
          <w:sz w:val="30"/>
          <w:szCs w:val="30"/>
          <w:highlight w:val="none"/>
        </w:rPr>
        <w:t>采购文号：</w:t>
      </w:r>
      <w:bookmarkEnd w:id="4"/>
      <w:bookmarkEnd w:id="5"/>
      <w:r>
        <w:rPr>
          <w:rFonts w:hint="eastAsia" w:hAnsi="宋体" w:cs="宋体"/>
          <w:b/>
          <w:bCs/>
          <w:sz w:val="30"/>
          <w:szCs w:val="30"/>
          <w:highlight w:val="none"/>
          <w:lang w:eastAsia="zh-CN"/>
        </w:rPr>
        <w:t>JNZC2024-G2-00413</w:t>
      </w:r>
    </w:p>
    <w:p>
      <w:pPr>
        <w:pStyle w:val="11"/>
        <w:snapToGrid w:val="0"/>
        <w:spacing w:before="50" w:after="120" w:line="360" w:lineRule="auto"/>
        <w:ind w:firstLine="1783" w:firstLineChars="592"/>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项目所属区划：</w:t>
      </w:r>
      <w:r>
        <w:rPr>
          <w:rFonts w:hint="eastAsia" w:hAnsi="宋体" w:cs="宋体"/>
          <w:b/>
          <w:bCs/>
          <w:color w:val="auto"/>
          <w:sz w:val="30"/>
          <w:szCs w:val="30"/>
          <w:highlight w:val="none"/>
          <w:lang w:eastAsia="zh-CN"/>
        </w:rPr>
        <w:t>南宁市江南区项目</w:t>
      </w:r>
      <w:r>
        <w:rPr>
          <w:rFonts w:hint="eastAsia" w:ascii="宋体" w:hAnsi="宋体" w:eastAsia="宋体" w:cs="宋体"/>
          <w:b/>
          <w:bCs/>
          <w:sz w:val="30"/>
          <w:szCs w:val="30"/>
          <w:highlight w:val="none"/>
        </w:rPr>
        <w:t xml:space="preserve">   </w:t>
      </w:r>
    </w:p>
    <w:p>
      <w:pPr>
        <w:pStyle w:val="11"/>
        <w:snapToGrid w:val="0"/>
        <w:spacing w:before="50" w:after="120" w:line="360" w:lineRule="auto"/>
        <w:ind w:firstLine="1783" w:firstLineChars="592"/>
        <w:outlineLvl w:val="0"/>
        <w:rPr>
          <w:rFonts w:hint="eastAsia" w:ascii="宋体" w:hAnsi="宋体" w:eastAsia="宋体" w:cs="宋体"/>
          <w:b/>
          <w:bCs/>
          <w:sz w:val="30"/>
          <w:szCs w:val="30"/>
          <w:highlight w:val="none"/>
          <w:lang w:eastAsia="zh-CN"/>
        </w:rPr>
      </w:pPr>
      <w:bookmarkStart w:id="6" w:name="_Toc26813"/>
      <w:bookmarkStart w:id="7" w:name="_Toc370"/>
      <w:r>
        <w:rPr>
          <w:rFonts w:hint="eastAsia" w:ascii="宋体" w:hAnsi="宋体" w:eastAsia="宋体" w:cs="宋体"/>
          <w:b/>
          <w:bCs/>
          <w:sz w:val="30"/>
          <w:szCs w:val="30"/>
          <w:highlight w:val="none"/>
          <w:lang w:eastAsia="zh-CN"/>
        </w:rPr>
        <w:t>采 购 人：</w:t>
      </w:r>
      <w:bookmarkEnd w:id="6"/>
      <w:bookmarkStart w:id="8" w:name="_Toc6082"/>
      <w:r>
        <w:rPr>
          <w:rFonts w:hint="eastAsia" w:hAnsi="宋体" w:cs="宋体"/>
          <w:b/>
          <w:bCs/>
          <w:sz w:val="30"/>
          <w:szCs w:val="30"/>
          <w:highlight w:val="none"/>
          <w:lang w:eastAsia="zh-CN"/>
        </w:rPr>
        <w:t>南宁市江南区苏圩镇人民政府</w:t>
      </w:r>
      <w:bookmarkEnd w:id="7"/>
    </w:p>
    <w:p>
      <w:pPr>
        <w:pStyle w:val="11"/>
        <w:snapToGrid w:val="0"/>
        <w:spacing w:before="50" w:after="120" w:line="360" w:lineRule="auto"/>
        <w:ind w:firstLine="1783" w:firstLineChars="592"/>
        <w:outlineLvl w:val="0"/>
        <w:rPr>
          <w:rFonts w:hint="eastAsia" w:ascii="宋体" w:hAnsi="宋体" w:eastAsia="宋体" w:cs="宋体"/>
          <w:b/>
          <w:bCs/>
          <w:w w:val="95"/>
          <w:sz w:val="30"/>
          <w:szCs w:val="30"/>
          <w:highlight w:val="none"/>
          <w:lang w:eastAsia="zh-CN"/>
        </w:rPr>
      </w:pPr>
      <w:bookmarkStart w:id="9" w:name="_Toc2481"/>
      <w:r>
        <w:rPr>
          <w:rFonts w:hint="eastAsia" w:ascii="宋体" w:hAnsi="宋体" w:eastAsia="宋体" w:cs="宋体"/>
          <w:b/>
          <w:bCs/>
          <w:sz w:val="30"/>
          <w:szCs w:val="30"/>
          <w:highlight w:val="none"/>
        </w:rPr>
        <w:t>采购代理机构：</w:t>
      </w:r>
      <w:bookmarkEnd w:id="8"/>
      <w:r>
        <w:rPr>
          <w:rFonts w:hint="eastAsia" w:hAnsi="宋体" w:cs="宋体"/>
          <w:b/>
          <w:bCs/>
          <w:sz w:val="30"/>
          <w:szCs w:val="30"/>
          <w:highlight w:val="none"/>
          <w:lang w:eastAsia="zh-CN"/>
        </w:rPr>
        <w:t>广西合美工程咨询有限公司</w:t>
      </w:r>
      <w:bookmarkEnd w:id="9"/>
    </w:p>
    <w:p>
      <w:pPr>
        <w:pStyle w:val="11"/>
        <w:snapToGrid w:val="0"/>
        <w:spacing w:before="50" w:after="120" w:line="360" w:lineRule="auto"/>
        <w:jc w:val="center"/>
        <w:rPr>
          <w:rFonts w:hint="eastAsia" w:ascii="宋体" w:hAnsi="宋体" w:eastAsia="宋体" w:cs="宋体"/>
          <w:b/>
          <w:bCs/>
          <w:w w:val="95"/>
          <w:sz w:val="30"/>
          <w:szCs w:val="30"/>
          <w:highlight w:val="none"/>
          <w:lang w:val="en-US" w:eastAsia="zh-CN"/>
        </w:rPr>
      </w:pPr>
      <w:r>
        <w:rPr>
          <w:rFonts w:hint="eastAsia" w:ascii="宋体" w:hAnsi="宋体" w:eastAsia="宋体" w:cs="宋体"/>
          <w:b/>
          <w:bCs/>
          <w:w w:val="95"/>
          <w:sz w:val="30"/>
          <w:szCs w:val="30"/>
          <w:highlight w:val="none"/>
          <w:lang w:val="en-US" w:eastAsia="zh-CN"/>
        </w:rPr>
        <w:t>202</w:t>
      </w:r>
      <w:r>
        <w:rPr>
          <w:rFonts w:hint="eastAsia" w:hAnsi="宋体" w:cs="宋体"/>
          <w:b/>
          <w:bCs/>
          <w:w w:val="95"/>
          <w:sz w:val="30"/>
          <w:szCs w:val="30"/>
          <w:highlight w:val="none"/>
          <w:lang w:val="en-US" w:eastAsia="zh-CN"/>
        </w:rPr>
        <w:t>4</w:t>
      </w:r>
      <w:r>
        <w:rPr>
          <w:rFonts w:hint="eastAsia" w:ascii="宋体" w:hAnsi="宋体" w:eastAsia="宋体" w:cs="宋体"/>
          <w:b/>
          <w:bCs/>
          <w:w w:val="95"/>
          <w:sz w:val="30"/>
          <w:szCs w:val="30"/>
          <w:highlight w:val="none"/>
          <w:lang w:val="en-US" w:eastAsia="zh-CN"/>
        </w:rPr>
        <w:t>年</w:t>
      </w:r>
      <w:r>
        <w:rPr>
          <w:rFonts w:hint="eastAsia" w:hAnsi="宋体" w:cs="宋体"/>
          <w:b/>
          <w:bCs/>
          <w:w w:val="95"/>
          <w:sz w:val="30"/>
          <w:szCs w:val="30"/>
          <w:highlight w:val="none"/>
          <w:lang w:val="en-US" w:eastAsia="zh-CN"/>
        </w:rPr>
        <w:t>5</w:t>
      </w:r>
      <w:r>
        <w:rPr>
          <w:rFonts w:hint="eastAsia" w:ascii="宋体" w:hAnsi="宋体" w:eastAsia="宋体" w:cs="宋体"/>
          <w:b/>
          <w:bCs/>
          <w:w w:val="95"/>
          <w:sz w:val="30"/>
          <w:szCs w:val="30"/>
          <w:highlight w:val="none"/>
          <w:lang w:val="en-US" w:eastAsia="zh-CN"/>
        </w:rPr>
        <w:t>月</w:t>
      </w:r>
      <w:r>
        <w:rPr>
          <w:rFonts w:hint="eastAsia" w:hAnsi="宋体" w:cs="宋体"/>
          <w:b/>
          <w:bCs/>
          <w:w w:val="95"/>
          <w:sz w:val="30"/>
          <w:szCs w:val="30"/>
          <w:highlight w:val="none"/>
          <w:lang w:val="en-US" w:eastAsia="zh-CN"/>
        </w:rPr>
        <w:t>21</w:t>
      </w:r>
      <w:r>
        <w:rPr>
          <w:rFonts w:hint="eastAsia" w:ascii="宋体" w:hAnsi="宋体" w:eastAsia="宋体" w:cs="宋体"/>
          <w:b/>
          <w:bCs/>
          <w:w w:val="95"/>
          <w:sz w:val="30"/>
          <w:szCs w:val="30"/>
          <w:highlight w:val="none"/>
          <w:lang w:val="en-US" w:eastAsia="zh-CN"/>
        </w:rPr>
        <w:t>日</w:t>
      </w:r>
    </w:p>
    <w:p>
      <w:pPr>
        <w:pStyle w:val="11"/>
        <w:snapToGrid w:val="0"/>
        <w:spacing w:before="50" w:after="120" w:line="360" w:lineRule="auto"/>
        <w:jc w:val="center"/>
        <w:rPr>
          <w:rFonts w:hint="eastAsia" w:ascii="宋体" w:hAnsi="宋体" w:eastAsia="宋体" w:cs="宋体"/>
          <w:b/>
          <w:bCs/>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p>
    <w:p>
      <w:pPr>
        <w:pStyle w:val="11"/>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目     录</w:t>
      </w:r>
    </w:p>
    <w:p>
      <w:pPr>
        <w:pStyle w:val="14"/>
        <w:tabs>
          <w:tab w:val="right" w:leader="dot" w:pos="9638"/>
        </w:tabs>
        <w:rPr>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_Toc8813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招标公告</w:t>
      </w:r>
      <w:r>
        <w:rPr>
          <w:highlight w:val="none"/>
        </w:rPr>
        <w:tab/>
      </w:r>
      <w:r>
        <w:rPr>
          <w:highlight w:val="none"/>
        </w:rPr>
        <w:fldChar w:fldCharType="begin"/>
      </w:r>
      <w:r>
        <w:rPr>
          <w:highlight w:val="none"/>
        </w:rPr>
        <w:instrText xml:space="preserve"> PAGEREF _Toc8813 \h </w:instrText>
      </w:r>
      <w:r>
        <w:rPr>
          <w:highlight w:val="none"/>
        </w:rPr>
        <w:fldChar w:fldCharType="separate"/>
      </w:r>
      <w:r>
        <w:rPr>
          <w:highlight w:val="none"/>
        </w:rPr>
        <w:t>2</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_Toc6670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采购需求</w:t>
      </w:r>
      <w:r>
        <w:rPr>
          <w:highlight w:val="none"/>
        </w:rPr>
        <w:tab/>
      </w:r>
      <w:r>
        <w:rPr>
          <w:highlight w:val="none"/>
        </w:rPr>
        <w:fldChar w:fldCharType="begin"/>
      </w:r>
      <w:r>
        <w:rPr>
          <w:highlight w:val="none"/>
        </w:rPr>
        <w:instrText xml:space="preserve"> PAGEREF _Toc6670 \h </w:instrText>
      </w:r>
      <w:r>
        <w:rPr>
          <w:highlight w:val="none"/>
        </w:rPr>
        <w:fldChar w:fldCharType="separate"/>
      </w:r>
      <w:r>
        <w:rPr>
          <w:highlight w:val="none"/>
        </w:rPr>
        <w:t>6</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_Toc6549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投标人须知</w:t>
      </w:r>
      <w:r>
        <w:rPr>
          <w:highlight w:val="none"/>
        </w:rPr>
        <w:tab/>
      </w:r>
      <w:r>
        <w:rPr>
          <w:highlight w:val="none"/>
        </w:rPr>
        <w:fldChar w:fldCharType="begin"/>
      </w:r>
      <w:r>
        <w:rPr>
          <w:highlight w:val="none"/>
        </w:rPr>
        <w:instrText xml:space="preserve"> PAGEREF _Toc6549 \h </w:instrText>
      </w:r>
      <w:r>
        <w:rPr>
          <w:highlight w:val="none"/>
        </w:rPr>
        <w:fldChar w:fldCharType="separate"/>
      </w:r>
      <w:r>
        <w:rPr>
          <w:highlight w:val="none"/>
        </w:rPr>
        <w:t>9</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_Toc12768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第一节 投标人须知前附表</w:t>
      </w:r>
      <w:r>
        <w:rPr>
          <w:highlight w:val="none"/>
        </w:rPr>
        <w:tab/>
      </w:r>
      <w:r>
        <w:rPr>
          <w:highlight w:val="none"/>
        </w:rPr>
        <w:fldChar w:fldCharType="begin"/>
      </w:r>
      <w:r>
        <w:rPr>
          <w:highlight w:val="none"/>
        </w:rPr>
        <w:instrText xml:space="preserve"> PAGEREF _Toc12768 \h </w:instrText>
      </w:r>
      <w:r>
        <w:rPr>
          <w:highlight w:val="none"/>
        </w:rPr>
        <w:fldChar w:fldCharType="separate"/>
      </w:r>
      <w:r>
        <w:rPr>
          <w:highlight w:val="none"/>
        </w:rPr>
        <w:t>9</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_Toc8631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第二节 投标人须知正文</w:t>
      </w:r>
      <w:r>
        <w:rPr>
          <w:highlight w:val="none"/>
        </w:rPr>
        <w:tab/>
      </w:r>
      <w:r>
        <w:rPr>
          <w:highlight w:val="none"/>
        </w:rPr>
        <w:fldChar w:fldCharType="begin"/>
      </w:r>
      <w:r>
        <w:rPr>
          <w:highlight w:val="none"/>
        </w:rPr>
        <w:instrText xml:space="preserve"> PAGEREF _Toc8631 \h </w:instrText>
      </w:r>
      <w:r>
        <w:rPr>
          <w:highlight w:val="none"/>
        </w:rPr>
        <w:fldChar w:fldCharType="separate"/>
      </w:r>
      <w:r>
        <w:rPr>
          <w:highlight w:val="none"/>
        </w:rPr>
        <w:t>14</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_Toc18019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评标方法及评分标准</w:t>
      </w:r>
      <w:r>
        <w:rPr>
          <w:highlight w:val="none"/>
        </w:rPr>
        <w:tab/>
      </w:r>
      <w:r>
        <w:rPr>
          <w:highlight w:val="none"/>
        </w:rPr>
        <w:fldChar w:fldCharType="begin"/>
      </w:r>
      <w:r>
        <w:rPr>
          <w:highlight w:val="none"/>
        </w:rPr>
        <w:instrText xml:space="preserve"> PAGEREF _Toc18019 \h </w:instrText>
      </w:r>
      <w:r>
        <w:rPr>
          <w:highlight w:val="none"/>
        </w:rPr>
        <w:fldChar w:fldCharType="separate"/>
      </w:r>
      <w:r>
        <w:rPr>
          <w:highlight w:val="none"/>
        </w:rPr>
        <w:t>30</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_Toc28840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第一节 评标方法</w:t>
      </w:r>
      <w:r>
        <w:rPr>
          <w:highlight w:val="none"/>
        </w:rPr>
        <w:tab/>
      </w:r>
      <w:r>
        <w:rPr>
          <w:highlight w:val="none"/>
        </w:rPr>
        <w:fldChar w:fldCharType="begin"/>
      </w:r>
      <w:r>
        <w:rPr>
          <w:highlight w:val="none"/>
        </w:rPr>
        <w:instrText xml:space="preserve"> PAGEREF _Toc28840 \h </w:instrText>
      </w:r>
      <w:r>
        <w:rPr>
          <w:highlight w:val="none"/>
        </w:rPr>
        <w:fldChar w:fldCharType="separate"/>
      </w:r>
      <w:r>
        <w:rPr>
          <w:highlight w:val="none"/>
        </w:rPr>
        <w:t>30</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_Toc30120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第二节 评标程序</w:t>
      </w:r>
      <w:r>
        <w:rPr>
          <w:highlight w:val="none"/>
        </w:rPr>
        <w:tab/>
      </w:r>
      <w:r>
        <w:rPr>
          <w:highlight w:val="none"/>
        </w:rPr>
        <w:fldChar w:fldCharType="begin"/>
      </w:r>
      <w:r>
        <w:rPr>
          <w:highlight w:val="none"/>
        </w:rPr>
        <w:instrText xml:space="preserve"> PAGEREF _Toc30120 \h </w:instrText>
      </w:r>
      <w:r>
        <w:rPr>
          <w:highlight w:val="none"/>
        </w:rPr>
        <w:fldChar w:fldCharType="separate"/>
      </w:r>
      <w:r>
        <w:rPr>
          <w:highlight w:val="none"/>
        </w:rPr>
        <w:t>30</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_Toc13616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第三节 评分标准</w:t>
      </w:r>
      <w:r>
        <w:rPr>
          <w:highlight w:val="none"/>
        </w:rPr>
        <w:tab/>
      </w:r>
      <w:r>
        <w:rPr>
          <w:highlight w:val="none"/>
        </w:rPr>
        <w:fldChar w:fldCharType="begin"/>
      </w:r>
      <w:r>
        <w:rPr>
          <w:highlight w:val="none"/>
        </w:rPr>
        <w:instrText xml:space="preserve"> PAGEREF _Toc13616 \h </w:instrText>
      </w:r>
      <w:r>
        <w:rPr>
          <w:highlight w:val="none"/>
        </w:rPr>
        <w:fldChar w:fldCharType="separate"/>
      </w:r>
      <w:r>
        <w:rPr>
          <w:highlight w:val="none"/>
        </w:rPr>
        <w:t>33</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_Toc15667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第四节 中标候选人推荐原则</w:t>
      </w:r>
      <w:r>
        <w:rPr>
          <w:highlight w:val="none"/>
        </w:rPr>
        <w:tab/>
      </w:r>
      <w:r>
        <w:rPr>
          <w:highlight w:val="none"/>
        </w:rPr>
        <w:fldChar w:fldCharType="begin"/>
      </w:r>
      <w:r>
        <w:rPr>
          <w:highlight w:val="none"/>
        </w:rPr>
        <w:instrText xml:space="preserve"> PAGEREF _Toc15667 \h </w:instrText>
      </w:r>
      <w:r>
        <w:rPr>
          <w:highlight w:val="none"/>
        </w:rPr>
        <w:fldChar w:fldCharType="separate"/>
      </w:r>
      <w:r>
        <w:rPr>
          <w:highlight w:val="none"/>
        </w:rPr>
        <w:t>38</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_Toc31432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第五节 评标报告</w:t>
      </w:r>
      <w:bookmarkStart w:id="1588" w:name="_GoBack"/>
      <w:bookmarkEnd w:id="1588"/>
      <w:r>
        <w:rPr>
          <w:highlight w:val="none"/>
        </w:rPr>
        <w:tab/>
      </w:r>
      <w:r>
        <w:rPr>
          <w:highlight w:val="none"/>
        </w:rPr>
        <w:fldChar w:fldCharType="begin"/>
      </w:r>
      <w:r>
        <w:rPr>
          <w:highlight w:val="none"/>
        </w:rPr>
        <w:instrText xml:space="preserve"> PAGEREF _Toc31432 \h </w:instrText>
      </w:r>
      <w:r>
        <w:rPr>
          <w:highlight w:val="none"/>
        </w:rPr>
        <w:fldChar w:fldCharType="separate"/>
      </w:r>
      <w:r>
        <w:rPr>
          <w:highlight w:val="none"/>
        </w:rPr>
        <w:t>38</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_Toc1248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拟签订的合同文本</w:t>
      </w:r>
      <w:r>
        <w:rPr>
          <w:highlight w:val="none"/>
        </w:rPr>
        <w:tab/>
      </w:r>
      <w:r>
        <w:rPr>
          <w:highlight w:val="none"/>
        </w:rPr>
        <w:fldChar w:fldCharType="begin"/>
      </w:r>
      <w:r>
        <w:rPr>
          <w:highlight w:val="none"/>
        </w:rPr>
        <w:instrText xml:space="preserve"> PAGEREF _Toc1248 \h </w:instrText>
      </w:r>
      <w:r>
        <w:rPr>
          <w:highlight w:val="none"/>
        </w:rPr>
        <w:fldChar w:fldCharType="separate"/>
      </w:r>
      <w:r>
        <w:rPr>
          <w:highlight w:val="none"/>
        </w:rPr>
        <w:t>40</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_Toc17567 </w:instrText>
      </w:r>
      <w:r>
        <w:rPr>
          <w:rFonts w:hint="eastAsia" w:ascii="宋体" w:hAnsi="宋体" w:eastAsia="宋体" w:cs="宋体"/>
          <w:szCs w:val="24"/>
          <w:highlight w:val="none"/>
        </w:rPr>
        <w:fldChar w:fldCharType="separate"/>
      </w:r>
      <w:r>
        <w:rPr>
          <w:rFonts w:hint="eastAsia" w:cs="黑体"/>
          <w:highlight w:val="none"/>
        </w:rPr>
        <w:t>第一部分</w:t>
      </w:r>
      <w:r>
        <w:rPr>
          <w:highlight w:val="none"/>
        </w:rPr>
        <w:t xml:space="preserve"> </w:t>
      </w:r>
      <w:r>
        <w:rPr>
          <w:rFonts w:hint="eastAsia" w:cs="黑体"/>
          <w:highlight w:val="none"/>
        </w:rPr>
        <w:t>合同协议书</w:t>
      </w:r>
      <w:r>
        <w:rPr>
          <w:highlight w:val="none"/>
        </w:rPr>
        <w:tab/>
      </w:r>
      <w:r>
        <w:rPr>
          <w:highlight w:val="none"/>
        </w:rPr>
        <w:fldChar w:fldCharType="begin"/>
      </w:r>
      <w:r>
        <w:rPr>
          <w:highlight w:val="none"/>
        </w:rPr>
        <w:instrText xml:space="preserve"> PAGEREF _Toc17567 \h </w:instrText>
      </w:r>
      <w:r>
        <w:rPr>
          <w:highlight w:val="none"/>
        </w:rPr>
        <w:fldChar w:fldCharType="separate"/>
      </w:r>
      <w:r>
        <w:rPr>
          <w:highlight w:val="none"/>
        </w:rPr>
        <w:t>43</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_Toc19940 </w:instrText>
      </w:r>
      <w:r>
        <w:rPr>
          <w:rFonts w:hint="eastAsia" w:ascii="宋体" w:hAnsi="宋体" w:eastAsia="宋体" w:cs="宋体"/>
          <w:szCs w:val="24"/>
          <w:highlight w:val="none"/>
        </w:rPr>
        <w:fldChar w:fldCharType="separate"/>
      </w:r>
      <w:r>
        <w:rPr>
          <w:rFonts w:hint="eastAsia" w:cs="黑体"/>
          <w:highlight w:val="none"/>
        </w:rPr>
        <w:t>第二部分</w:t>
      </w:r>
      <w:r>
        <w:rPr>
          <w:highlight w:val="none"/>
        </w:rPr>
        <w:t xml:space="preserve"> </w:t>
      </w:r>
      <w:r>
        <w:rPr>
          <w:rFonts w:hint="eastAsia" w:cs="黑体"/>
          <w:highlight w:val="none"/>
        </w:rPr>
        <w:t>通用合同条款</w:t>
      </w:r>
      <w:r>
        <w:rPr>
          <w:highlight w:val="none"/>
        </w:rPr>
        <w:tab/>
      </w:r>
      <w:r>
        <w:rPr>
          <w:highlight w:val="none"/>
        </w:rPr>
        <w:fldChar w:fldCharType="begin"/>
      </w:r>
      <w:r>
        <w:rPr>
          <w:highlight w:val="none"/>
        </w:rPr>
        <w:instrText xml:space="preserve"> PAGEREF _Toc19940 \h </w:instrText>
      </w:r>
      <w:r>
        <w:rPr>
          <w:highlight w:val="none"/>
        </w:rPr>
        <w:fldChar w:fldCharType="separate"/>
      </w:r>
      <w:r>
        <w:rPr>
          <w:highlight w:val="none"/>
        </w:rPr>
        <w:t>46</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_Toc17501 </w:instrText>
      </w:r>
      <w:r>
        <w:rPr>
          <w:rFonts w:hint="eastAsia" w:ascii="宋体" w:hAnsi="宋体" w:eastAsia="宋体" w:cs="宋体"/>
          <w:szCs w:val="24"/>
          <w:highlight w:val="none"/>
        </w:rPr>
        <w:fldChar w:fldCharType="separate"/>
      </w:r>
      <w:r>
        <w:rPr>
          <w:rFonts w:hint="eastAsia" w:hAnsi="宋体" w:cs="黑体"/>
          <w:szCs w:val="30"/>
          <w:highlight w:val="none"/>
        </w:rPr>
        <w:t>第三部分</w:t>
      </w:r>
      <w:r>
        <w:rPr>
          <w:szCs w:val="30"/>
          <w:highlight w:val="none"/>
        </w:rPr>
        <w:t xml:space="preserve"> </w:t>
      </w:r>
      <w:r>
        <w:rPr>
          <w:rFonts w:hint="eastAsia" w:hAnsi="宋体" w:cs="黑体"/>
          <w:szCs w:val="30"/>
          <w:highlight w:val="none"/>
        </w:rPr>
        <w:t>专用合同条款</w:t>
      </w:r>
      <w:r>
        <w:rPr>
          <w:highlight w:val="none"/>
        </w:rPr>
        <w:tab/>
      </w:r>
      <w:r>
        <w:rPr>
          <w:highlight w:val="none"/>
        </w:rPr>
        <w:fldChar w:fldCharType="begin"/>
      </w:r>
      <w:r>
        <w:rPr>
          <w:highlight w:val="none"/>
        </w:rPr>
        <w:instrText xml:space="preserve"> PAGEREF _Toc17501 \h </w:instrText>
      </w:r>
      <w:r>
        <w:rPr>
          <w:highlight w:val="none"/>
        </w:rPr>
        <w:fldChar w:fldCharType="separate"/>
      </w:r>
      <w:r>
        <w:rPr>
          <w:highlight w:val="none"/>
        </w:rPr>
        <w:t>46</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_Toc23994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highlight w:val="none"/>
        </w:rPr>
        <w:tab/>
      </w:r>
      <w:r>
        <w:rPr>
          <w:highlight w:val="none"/>
        </w:rPr>
        <w:fldChar w:fldCharType="begin"/>
      </w:r>
      <w:r>
        <w:rPr>
          <w:highlight w:val="none"/>
        </w:rPr>
        <w:instrText xml:space="preserve"> PAGEREF _Toc23994 \h </w:instrText>
      </w:r>
      <w:r>
        <w:rPr>
          <w:highlight w:val="none"/>
        </w:rPr>
        <w:fldChar w:fldCharType="separate"/>
      </w:r>
      <w:r>
        <w:rPr>
          <w:highlight w:val="none"/>
        </w:rPr>
        <w:t>84</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_Toc6317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第一节 投标文件外层包装封面</w:t>
      </w:r>
      <w:r>
        <w:rPr>
          <w:highlight w:val="none"/>
        </w:rPr>
        <w:tab/>
      </w:r>
      <w:r>
        <w:rPr>
          <w:highlight w:val="none"/>
        </w:rPr>
        <w:fldChar w:fldCharType="begin"/>
      </w:r>
      <w:r>
        <w:rPr>
          <w:highlight w:val="none"/>
        </w:rPr>
        <w:instrText xml:space="preserve"> PAGEREF _Toc6317 \h </w:instrText>
      </w:r>
      <w:r>
        <w:rPr>
          <w:highlight w:val="none"/>
        </w:rPr>
        <w:fldChar w:fldCharType="separate"/>
      </w:r>
      <w:r>
        <w:rPr>
          <w:highlight w:val="none"/>
        </w:rPr>
        <w:t>85</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_Toc7317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第二节 资格证明文件格式</w:t>
      </w:r>
      <w:r>
        <w:rPr>
          <w:highlight w:val="none"/>
        </w:rPr>
        <w:tab/>
      </w:r>
      <w:r>
        <w:rPr>
          <w:highlight w:val="none"/>
        </w:rPr>
        <w:fldChar w:fldCharType="begin"/>
      </w:r>
      <w:r>
        <w:rPr>
          <w:highlight w:val="none"/>
        </w:rPr>
        <w:instrText xml:space="preserve"> PAGEREF _Toc7317 \h </w:instrText>
      </w:r>
      <w:r>
        <w:rPr>
          <w:highlight w:val="none"/>
        </w:rPr>
        <w:fldChar w:fldCharType="separate"/>
      </w:r>
      <w:r>
        <w:rPr>
          <w:highlight w:val="none"/>
        </w:rPr>
        <w:t>86</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_Toc26695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第三节 商务文件格式</w:t>
      </w:r>
      <w:r>
        <w:rPr>
          <w:highlight w:val="none"/>
        </w:rPr>
        <w:tab/>
      </w:r>
      <w:r>
        <w:rPr>
          <w:highlight w:val="none"/>
        </w:rPr>
        <w:fldChar w:fldCharType="begin"/>
      </w:r>
      <w:r>
        <w:rPr>
          <w:highlight w:val="none"/>
        </w:rPr>
        <w:instrText xml:space="preserve"> PAGEREF _Toc26695 \h </w:instrText>
      </w:r>
      <w:r>
        <w:rPr>
          <w:highlight w:val="none"/>
        </w:rPr>
        <w:fldChar w:fldCharType="separate"/>
      </w:r>
      <w:r>
        <w:rPr>
          <w:highlight w:val="none"/>
        </w:rPr>
        <w:t>99</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_Toc24033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第四节 技术文件格式</w:t>
      </w:r>
      <w:r>
        <w:rPr>
          <w:highlight w:val="none"/>
        </w:rPr>
        <w:tab/>
      </w:r>
      <w:r>
        <w:rPr>
          <w:highlight w:val="none"/>
        </w:rPr>
        <w:fldChar w:fldCharType="begin"/>
      </w:r>
      <w:r>
        <w:rPr>
          <w:highlight w:val="none"/>
        </w:rPr>
        <w:instrText xml:space="preserve"> PAGEREF _Toc24033 \h </w:instrText>
      </w:r>
      <w:r>
        <w:rPr>
          <w:highlight w:val="none"/>
        </w:rPr>
        <w:fldChar w:fldCharType="separate"/>
      </w:r>
      <w:r>
        <w:rPr>
          <w:highlight w:val="none"/>
        </w:rPr>
        <w:t>110</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_Toc30788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第五节 报价文件格式</w:t>
      </w:r>
      <w:r>
        <w:rPr>
          <w:highlight w:val="none"/>
        </w:rPr>
        <w:tab/>
      </w:r>
      <w:r>
        <w:rPr>
          <w:highlight w:val="none"/>
        </w:rPr>
        <w:fldChar w:fldCharType="begin"/>
      </w:r>
      <w:r>
        <w:rPr>
          <w:highlight w:val="none"/>
        </w:rPr>
        <w:instrText xml:space="preserve"> PAGEREF _Toc30788 \h </w:instrText>
      </w:r>
      <w:r>
        <w:rPr>
          <w:highlight w:val="none"/>
        </w:rPr>
        <w:fldChar w:fldCharType="separate"/>
      </w:r>
      <w:r>
        <w:rPr>
          <w:highlight w:val="none"/>
        </w:rPr>
        <w:t>118</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_Toc28077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第六节 其他文书、文件格式</w:t>
      </w:r>
      <w:r>
        <w:rPr>
          <w:highlight w:val="none"/>
        </w:rPr>
        <w:tab/>
      </w:r>
      <w:r>
        <w:rPr>
          <w:highlight w:val="none"/>
        </w:rPr>
        <w:fldChar w:fldCharType="begin"/>
      </w:r>
      <w:r>
        <w:rPr>
          <w:highlight w:val="none"/>
        </w:rPr>
        <w:instrText xml:space="preserve"> PAGEREF _Toc28077 \h </w:instrText>
      </w:r>
      <w:r>
        <w:rPr>
          <w:highlight w:val="none"/>
        </w:rPr>
        <w:fldChar w:fldCharType="separate"/>
      </w:r>
      <w:r>
        <w:rPr>
          <w:highlight w:val="none"/>
        </w:rPr>
        <w:t>123</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_Toc17557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第七章 工程量清单、图纸</w:t>
      </w:r>
      <w:r>
        <w:rPr>
          <w:highlight w:val="none"/>
        </w:rPr>
        <w:tab/>
      </w:r>
      <w:r>
        <w:rPr>
          <w:highlight w:val="none"/>
        </w:rPr>
        <w:fldChar w:fldCharType="begin"/>
      </w:r>
      <w:r>
        <w:rPr>
          <w:highlight w:val="none"/>
        </w:rPr>
        <w:instrText xml:space="preserve"> PAGEREF _Toc17557 \h </w:instrText>
      </w:r>
      <w:r>
        <w:rPr>
          <w:highlight w:val="none"/>
        </w:rPr>
        <w:fldChar w:fldCharType="separate"/>
      </w:r>
      <w:r>
        <w:rPr>
          <w:highlight w:val="none"/>
        </w:rPr>
        <w:t>125</w:t>
      </w:r>
      <w:r>
        <w:rPr>
          <w:highlight w:val="none"/>
        </w:rPr>
        <w:fldChar w:fldCharType="end"/>
      </w:r>
      <w:r>
        <w:rPr>
          <w:rFonts w:hint="eastAsia" w:ascii="宋体" w:hAnsi="宋体" w:eastAsia="宋体" w:cs="宋体"/>
          <w:szCs w:val="24"/>
          <w:highlight w:val="none"/>
        </w:rPr>
        <w:fldChar w:fldCharType="end"/>
      </w:r>
    </w:p>
    <w:p>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_Toc2564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hAnsi="宋体" w:cs="宋体"/>
          <w:highlight w:val="none"/>
          <w:lang w:val="en-US" w:eastAsia="zh-CN"/>
        </w:rPr>
        <w:t>八</w:t>
      </w:r>
      <w:r>
        <w:rPr>
          <w:rFonts w:hint="eastAsia" w:ascii="宋体" w:hAnsi="宋体" w:eastAsia="宋体" w:cs="宋体"/>
          <w:highlight w:val="none"/>
        </w:rPr>
        <w:t>章 质疑、投诉证明材料格式</w:t>
      </w:r>
      <w:r>
        <w:rPr>
          <w:highlight w:val="none"/>
        </w:rPr>
        <w:tab/>
      </w:r>
      <w:r>
        <w:rPr>
          <w:highlight w:val="none"/>
        </w:rPr>
        <w:fldChar w:fldCharType="begin"/>
      </w:r>
      <w:r>
        <w:rPr>
          <w:highlight w:val="none"/>
        </w:rPr>
        <w:instrText xml:space="preserve"> PAGEREF _Toc2564 \h </w:instrText>
      </w:r>
      <w:r>
        <w:rPr>
          <w:highlight w:val="none"/>
        </w:rPr>
        <w:fldChar w:fldCharType="separate"/>
      </w:r>
      <w:r>
        <w:rPr>
          <w:highlight w:val="none"/>
        </w:rPr>
        <w:t>130</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_Toc8064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第一节 质疑函（格式）</w:t>
      </w:r>
      <w:r>
        <w:rPr>
          <w:highlight w:val="none"/>
        </w:rPr>
        <w:tab/>
      </w:r>
      <w:r>
        <w:rPr>
          <w:highlight w:val="none"/>
        </w:rPr>
        <w:fldChar w:fldCharType="begin"/>
      </w:r>
      <w:r>
        <w:rPr>
          <w:highlight w:val="none"/>
        </w:rPr>
        <w:instrText xml:space="preserve"> PAGEREF _Toc8064 \h </w:instrText>
      </w:r>
      <w:r>
        <w:rPr>
          <w:highlight w:val="none"/>
        </w:rPr>
        <w:fldChar w:fldCharType="separate"/>
      </w:r>
      <w:r>
        <w:rPr>
          <w:highlight w:val="none"/>
        </w:rPr>
        <w:t>131</w:t>
      </w:r>
      <w:r>
        <w:rPr>
          <w:highlight w:val="none"/>
        </w:rPr>
        <w:fldChar w:fldCharType="end"/>
      </w:r>
      <w:r>
        <w:rPr>
          <w:rFonts w:hint="eastAsia" w:ascii="宋体" w:hAnsi="宋体" w:eastAsia="宋体" w:cs="宋体"/>
          <w:szCs w:val="24"/>
          <w:highlight w:val="none"/>
        </w:rPr>
        <w:fldChar w:fldCharType="end"/>
      </w:r>
    </w:p>
    <w:p>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_Toc27587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第二节 投诉书（格式）</w:t>
      </w:r>
      <w:r>
        <w:rPr>
          <w:highlight w:val="none"/>
        </w:rPr>
        <w:tab/>
      </w:r>
      <w:r>
        <w:rPr>
          <w:highlight w:val="none"/>
        </w:rPr>
        <w:fldChar w:fldCharType="begin"/>
      </w:r>
      <w:r>
        <w:rPr>
          <w:highlight w:val="none"/>
        </w:rPr>
        <w:instrText xml:space="preserve"> PAGEREF _Toc27587 \h </w:instrText>
      </w:r>
      <w:r>
        <w:rPr>
          <w:highlight w:val="none"/>
        </w:rPr>
        <w:fldChar w:fldCharType="separate"/>
      </w:r>
      <w:r>
        <w:rPr>
          <w:highlight w:val="none"/>
        </w:rPr>
        <w:t>133</w:t>
      </w:r>
      <w:r>
        <w:rPr>
          <w:highlight w:val="none"/>
        </w:rPr>
        <w:fldChar w:fldCharType="end"/>
      </w:r>
      <w:r>
        <w:rPr>
          <w:rFonts w:hint="eastAsia" w:ascii="宋体" w:hAnsi="宋体" w:eastAsia="宋体" w:cs="宋体"/>
          <w:szCs w:val="24"/>
          <w:highlight w:val="none"/>
        </w:rPr>
        <w:fldChar w:fldCharType="end"/>
      </w:r>
    </w:p>
    <w:p>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hint="eastAsia" w:ascii="宋体" w:hAnsi="宋体" w:eastAsia="宋体" w:cs="宋体"/>
          <w:szCs w:val="24"/>
          <w:highlight w:val="none"/>
        </w:rPr>
        <w:fldChar w:fldCharType="end"/>
      </w:r>
    </w:p>
    <w:p>
      <w:pPr>
        <w:pStyle w:val="11"/>
        <w:jc w:val="center"/>
        <w:rPr>
          <w:rFonts w:hint="eastAsia" w:ascii="宋体" w:hAnsi="宋体" w:eastAsia="宋体" w:cs="宋体"/>
          <w:highlight w:val="none"/>
        </w:rPr>
      </w:pPr>
    </w:p>
    <w:p>
      <w:pPr>
        <w:pStyle w:val="11"/>
        <w:jc w:val="center"/>
        <w:outlineLvl w:val="0"/>
        <w:rPr>
          <w:rFonts w:hint="eastAsia" w:ascii="宋体" w:hAnsi="宋体" w:eastAsia="宋体" w:cs="宋体"/>
          <w:highlight w:val="none"/>
        </w:rPr>
      </w:pPr>
      <w:r>
        <w:rPr>
          <w:rFonts w:hint="eastAsia" w:ascii="宋体" w:hAnsi="宋体" w:eastAsia="宋体" w:cs="宋体"/>
          <w:highlight w:val="none"/>
        </w:rPr>
        <w:tab/>
      </w:r>
      <w:bookmarkStart w:id="10" w:name="_Toc8813"/>
      <w:bookmarkStart w:id="11" w:name="_Toc532545041"/>
    </w:p>
    <w:p>
      <w:pPr>
        <w:pStyle w:val="11"/>
        <w:jc w:val="center"/>
        <w:outlineLvl w:val="0"/>
        <w:rPr>
          <w:rFonts w:hint="eastAsia" w:ascii="宋体" w:hAnsi="宋体" w:eastAsia="宋体" w:cs="宋体"/>
          <w:highlight w:val="none"/>
        </w:rPr>
      </w:pPr>
    </w:p>
    <w:p>
      <w:pPr>
        <w:pStyle w:val="11"/>
        <w:jc w:val="center"/>
        <w:outlineLvl w:val="0"/>
        <w:rPr>
          <w:rFonts w:hint="eastAsia" w:ascii="宋体" w:hAnsi="宋体" w:eastAsia="宋体" w:cs="宋体"/>
          <w:highlight w:val="none"/>
        </w:rPr>
      </w:pPr>
    </w:p>
    <w:p>
      <w:pPr>
        <w:pStyle w:val="11"/>
        <w:jc w:val="center"/>
        <w:outlineLvl w:val="0"/>
        <w:rPr>
          <w:rFonts w:hint="eastAsia" w:ascii="宋体" w:hAnsi="宋体" w:eastAsia="宋体" w:cs="宋体"/>
          <w:highlight w:val="none"/>
        </w:rPr>
      </w:pPr>
    </w:p>
    <w:p>
      <w:pPr>
        <w:pStyle w:val="11"/>
        <w:jc w:val="center"/>
        <w:outlineLvl w:val="0"/>
        <w:rPr>
          <w:rFonts w:hint="eastAsia" w:ascii="宋体" w:hAnsi="宋体" w:eastAsia="宋体" w:cs="宋体"/>
          <w:b/>
          <w:sz w:val="36"/>
          <w:highlight w:val="none"/>
        </w:rPr>
      </w:pPr>
    </w:p>
    <w:p>
      <w:pPr>
        <w:pStyle w:val="11"/>
        <w:jc w:val="center"/>
        <w:outlineLvl w:val="0"/>
        <w:rPr>
          <w:rFonts w:hint="eastAsia" w:ascii="宋体" w:hAnsi="宋体" w:eastAsia="宋体" w:cs="宋体"/>
          <w:b/>
          <w:sz w:val="36"/>
          <w:highlight w:val="none"/>
        </w:rPr>
      </w:pPr>
    </w:p>
    <w:p>
      <w:pPr>
        <w:pStyle w:val="11"/>
        <w:jc w:val="center"/>
        <w:outlineLvl w:val="0"/>
        <w:rPr>
          <w:rFonts w:hint="eastAsia" w:ascii="宋体" w:hAnsi="宋体" w:eastAsia="宋体" w:cs="宋体"/>
          <w:b/>
          <w:sz w:val="36"/>
          <w:highlight w:val="none"/>
        </w:rPr>
      </w:pPr>
    </w:p>
    <w:p>
      <w:pPr>
        <w:pStyle w:val="11"/>
        <w:jc w:val="center"/>
        <w:outlineLvl w:val="0"/>
        <w:rPr>
          <w:rFonts w:hint="eastAsia" w:ascii="宋体" w:hAnsi="宋体" w:eastAsia="宋体" w:cs="宋体"/>
          <w:b/>
          <w:sz w:val="36"/>
          <w:highlight w:val="none"/>
        </w:rPr>
      </w:pPr>
    </w:p>
    <w:p>
      <w:pPr>
        <w:pStyle w:val="11"/>
        <w:jc w:val="center"/>
        <w:outlineLvl w:val="0"/>
        <w:rPr>
          <w:rFonts w:hint="eastAsia" w:ascii="宋体" w:hAnsi="宋体" w:eastAsia="宋体" w:cs="宋体"/>
          <w:b/>
          <w:sz w:val="36"/>
          <w:szCs w:val="36"/>
          <w:highlight w:val="none"/>
        </w:rPr>
      </w:pPr>
      <w:r>
        <w:rPr>
          <w:rFonts w:hint="eastAsia" w:ascii="宋体" w:hAnsi="宋体" w:eastAsia="宋体" w:cs="宋体"/>
          <w:b/>
          <w:sz w:val="36"/>
          <w:highlight w:val="none"/>
        </w:rPr>
        <w:t>第一章  招标公告</w:t>
      </w:r>
      <w:bookmarkEnd w:id="10"/>
      <w:bookmarkEnd w:id="11"/>
    </w:p>
    <w:p>
      <w:pPr>
        <w:pStyle w:val="11"/>
        <w:jc w:val="center"/>
        <w:outlineLvl w:val="1"/>
        <w:rPr>
          <w:rFonts w:hint="eastAsia" w:ascii="宋体" w:hAnsi="宋体" w:eastAsia="宋体" w:cs="宋体"/>
          <w:b/>
          <w:sz w:val="30"/>
          <w:szCs w:val="30"/>
          <w:highlight w:val="none"/>
        </w:rPr>
      </w:pPr>
      <w:bookmarkStart w:id="12" w:name="_Toc9525"/>
      <w:bookmarkStart w:id="13" w:name="_Toc13897"/>
      <w:r>
        <w:rPr>
          <w:rFonts w:hint="eastAsia" w:ascii="宋体" w:hAnsi="宋体" w:eastAsia="宋体" w:cs="宋体"/>
          <w:b/>
          <w:sz w:val="30"/>
          <w:szCs w:val="30"/>
          <w:highlight w:val="none"/>
        </w:rPr>
        <w:t>公开招标公告</w:t>
      </w:r>
      <w:bookmarkEnd w:id="12"/>
      <w:bookmarkEnd w:id="13"/>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2" w:type="dxa"/>
            <w:vAlign w:val="top"/>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2"/>
                <w:szCs w:val="22"/>
                <w:highlight w:val="none"/>
              </w:rPr>
            </w:pPr>
            <w:bookmarkStart w:id="14" w:name="_Toc35393621"/>
            <w:bookmarkStart w:id="15" w:name="_Toc35393790"/>
            <w:bookmarkStart w:id="16" w:name="_Toc28359079"/>
            <w:bookmarkStart w:id="17" w:name="_Toc28359002"/>
            <w:bookmarkStart w:id="18" w:name="_Hlk24379207"/>
            <w:r>
              <w:rPr>
                <w:rFonts w:hint="eastAsia" w:ascii="宋体" w:hAnsi="宋体" w:eastAsia="宋体" w:cs="宋体"/>
                <w:color w:val="auto"/>
                <w:sz w:val="22"/>
                <w:szCs w:val="22"/>
                <w:highlight w:val="none"/>
              </w:rPr>
              <w:t>项目概况</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4"/>
                <w:highlight w:val="none"/>
                <w:vertAlign w:val="baseli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2024年苏圩镇保卫村蔬菜基地三期项目A标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招标项目的潜在投标人应在</w:t>
            </w:r>
            <w:r>
              <w:rPr>
                <w:rFonts w:hint="eastAsia" w:ascii="宋体" w:hAnsi="宋体" w:cs="宋体"/>
                <w:color w:val="auto"/>
                <w:szCs w:val="21"/>
                <w:highlight w:val="none"/>
                <w:u w:val="single"/>
                <w:lang w:eastAsia="zh-CN"/>
              </w:rPr>
              <w:t>广西政府采购云平台</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lang w:eastAsia="zh-CN"/>
              </w:rPr>
              <w:t>）获取（下载）招标文件，并于</w:t>
            </w:r>
            <w:r>
              <w:rPr>
                <w:rFonts w:hint="eastAsia" w:ascii="宋体" w:hAnsi="宋体" w:eastAsia="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4</w:t>
            </w:r>
            <w:r>
              <w:rPr>
                <w:rFonts w:hint="eastAsia" w:ascii="宋体" w:hAnsi="宋体" w:eastAsia="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6</w:t>
            </w:r>
            <w:r>
              <w:rPr>
                <w:rFonts w:hint="eastAsia" w:ascii="宋体" w:hAnsi="宋体" w:eastAsia="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12</w:t>
            </w:r>
            <w:r>
              <w:rPr>
                <w:rFonts w:hint="eastAsia" w:ascii="宋体" w:hAnsi="宋体" w:eastAsia="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eastAsia="宋体" w:cs="宋体"/>
                <w:color w:val="0000FF"/>
                <w:szCs w:val="21"/>
                <w:highlight w:val="none"/>
                <w:u w:val="single"/>
              </w:rPr>
              <w:t>点</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0分</w:t>
            </w:r>
            <w:r>
              <w:rPr>
                <w:rFonts w:hint="eastAsia" w:ascii="宋体" w:hAnsi="宋体" w:eastAsia="宋体" w:cs="宋体"/>
                <w:color w:val="auto"/>
                <w:szCs w:val="21"/>
                <w:highlight w:val="none"/>
              </w:rPr>
              <w:t>（北京时间）前递交（上传）投标文件。</w:t>
            </w:r>
          </w:p>
        </w:tc>
      </w:tr>
    </w:tbl>
    <w:p>
      <w:pPr>
        <w:spacing w:line="360" w:lineRule="auto"/>
        <w:outlineLvl w:val="1"/>
        <w:rPr>
          <w:rFonts w:hint="eastAsia" w:ascii="宋体" w:hAnsi="宋体" w:eastAsia="宋体" w:cs="宋体"/>
          <w:b/>
          <w:bCs/>
          <w:color w:val="000000"/>
          <w:sz w:val="24"/>
          <w:highlight w:val="none"/>
        </w:rPr>
      </w:pPr>
      <w:bookmarkStart w:id="19" w:name="_Toc21595"/>
      <w:bookmarkStart w:id="20" w:name="_Toc12377"/>
      <w:r>
        <w:rPr>
          <w:rFonts w:hint="eastAsia" w:ascii="宋体" w:hAnsi="宋体" w:eastAsia="宋体" w:cs="宋体"/>
          <w:b/>
          <w:bCs/>
          <w:color w:val="000000"/>
          <w:sz w:val="24"/>
          <w:highlight w:val="none"/>
        </w:rPr>
        <w:t>一、项目基本情况</w:t>
      </w:r>
      <w:bookmarkEnd w:id="14"/>
      <w:bookmarkEnd w:id="15"/>
      <w:bookmarkEnd w:id="16"/>
      <w:bookmarkEnd w:id="17"/>
      <w:bookmarkEnd w:id="19"/>
      <w:bookmarkEnd w:id="20"/>
    </w:p>
    <w:p>
      <w:pPr>
        <w:spacing w:line="360" w:lineRule="auto"/>
        <w:ind w:firstLine="420" w:firstLineChars="200"/>
        <w:rPr>
          <w:rFonts w:hint="eastAsia" w:ascii="宋体" w:hAnsi="宋体" w:eastAsia="宋体" w:cs="宋体"/>
          <w:color w:val="000000"/>
          <w:szCs w:val="21"/>
          <w:highlight w:val="none"/>
          <w:u w:val="none"/>
          <w:lang w:val="en-US"/>
        </w:rPr>
      </w:pPr>
      <w:r>
        <w:rPr>
          <w:rFonts w:hint="eastAsia" w:ascii="宋体" w:hAnsi="宋体" w:eastAsia="宋体" w:cs="宋体"/>
          <w:color w:val="000000"/>
          <w:szCs w:val="21"/>
          <w:highlight w:val="none"/>
          <w:u w:val="none"/>
        </w:rPr>
        <w:t>项目编号：</w:t>
      </w:r>
      <w:r>
        <w:rPr>
          <w:rFonts w:hint="eastAsia" w:ascii="宋体" w:hAnsi="宋体" w:cs="宋体"/>
          <w:color w:val="auto"/>
          <w:szCs w:val="21"/>
          <w:highlight w:val="none"/>
          <w:u w:val="none"/>
          <w:lang w:val="en-US" w:eastAsia="zh-CN"/>
        </w:rPr>
        <w:t>NNZC2024-G2-050183-GXHM</w:t>
      </w:r>
    </w:p>
    <w:p>
      <w:pPr>
        <w:spacing w:line="360" w:lineRule="auto"/>
        <w:ind w:firstLine="420" w:firstLineChars="200"/>
        <w:rPr>
          <w:rFonts w:hint="eastAsia" w:ascii="宋体" w:hAnsi="宋体" w:eastAsia="宋体" w:cs="宋体"/>
          <w:color w:val="000000"/>
          <w:szCs w:val="21"/>
          <w:highlight w:val="none"/>
          <w:u w:val="none"/>
          <w:lang w:eastAsia="zh-CN"/>
        </w:rPr>
      </w:pPr>
      <w:r>
        <w:rPr>
          <w:rFonts w:hint="eastAsia" w:ascii="宋体" w:hAnsi="宋体" w:eastAsia="宋体" w:cs="宋体"/>
          <w:color w:val="000000"/>
          <w:szCs w:val="21"/>
          <w:highlight w:val="none"/>
          <w:u w:val="none"/>
          <w:lang w:eastAsia="zh-CN"/>
        </w:rPr>
        <w:t>项目名称：</w:t>
      </w:r>
      <w:r>
        <w:rPr>
          <w:rFonts w:hint="eastAsia" w:ascii="宋体" w:hAnsi="宋体" w:cs="宋体"/>
          <w:color w:val="000000"/>
          <w:szCs w:val="21"/>
          <w:highlight w:val="none"/>
          <w:u w:val="none"/>
          <w:lang w:eastAsia="zh-CN"/>
        </w:rPr>
        <w:t>2024年苏圩镇保卫村蔬菜基地三期项目A标</w:t>
      </w:r>
    </w:p>
    <w:bookmarkEnd w:id="18"/>
    <w:p>
      <w:pPr>
        <w:spacing w:line="360" w:lineRule="auto"/>
        <w:ind w:firstLine="420" w:firstLineChars="200"/>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预算金额：</w:t>
      </w:r>
      <w:r>
        <w:rPr>
          <w:rFonts w:hint="eastAsia" w:ascii="宋体" w:hAnsi="宋体" w:cs="宋体"/>
          <w:color w:val="000000"/>
          <w:szCs w:val="21"/>
          <w:highlight w:val="none"/>
          <w:u w:val="none"/>
          <w:lang w:val="en-US" w:eastAsia="zh-CN"/>
        </w:rPr>
        <w:t>3919180.67</w:t>
      </w:r>
      <w:r>
        <w:rPr>
          <w:rFonts w:hint="eastAsia" w:ascii="宋体" w:hAnsi="宋体" w:eastAsia="宋体" w:cs="宋体"/>
          <w:color w:val="000000"/>
          <w:szCs w:val="21"/>
          <w:highlight w:val="none"/>
          <w:u w:val="none"/>
        </w:rPr>
        <w:t>元</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采购需求： </w:t>
      </w:r>
    </w:p>
    <w:tbl>
      <w:tblPr>
        <w:tblStyle w:val="18"/>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946"/>
        <w:gridCol w:w="777"/>
        <w:gridCol w:w="832"/>
        <w:gridCol w:w="53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标的的名称</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5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2024年苏圩镇保卫村蔬菜基地三期项目A标</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项</w:t>
            </w: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5355"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建设规模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104.2亩。                            </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000000"/>
                <w:szCs w:val="21"/>
                <w:highlight w:val="none"/>
              </w:rPr>
            </w:pPr>
            <w:r>
              <w:rPr>
                <w:rFonts w:hint="eastAsia" w:ascii="宋体" w:hAnsi="宋体" w:cs="宋体"/>
                <w:color w:val="auto"/>
                <w:szCs w:val="21"/>
                <w:highlight w:val="none"/>
                <w:lang w:val="en-US" w:eastAsia="zh-CN"/>
              </w:rPr>
              <w:t>建设内容：</w:t>
            </w:r>
            <w:r>
              <w:rPr>
                <w:rFonts w:hint="eastAsia" w:ascii="宋体" w:hAnsi="宋体"/>
                <w:b w:val="0"/>
                <w:bCs/>
                <w:szCs w:val="21"/>
                <w:highlight w:val="none"/>
              </w:rPr>
              <w:t>大棚</w:t>
            </w:r>
            <w:r>
              <w:rPr>
                <w:rFonts w:hint="eastAsia" w:ascii="宋体" w:hAnsi="宋体"/>
                <w:b w:val="0"/>
                <w:bCs/>
                <w:szCs w:val="21"/>
                <w:highlight w:val="none"/>
                <w:lang w:val="en-US" w:eastAsia="zh-CN"/>
              </w:rPr>
              <w:t>基础开挖及搭建</w:t>
            </w:r>
            <w:r>
              <w:rPr>
                <w:rFonts w:hint="eastAsia" w:ascii="宋体" w:hAnsi="宋体"/>
                <w:b w:val="0"/>
                <w:bCs/>
                <w:szCs w:val="21"/>
                <w:highlight w:val="none"/>
              </w:rPr>
              <w:t>等</w:t>
            </w:r>
            <w:r>
              <w:rPr>
                <w:rFonts w:hint="eastAsia" w:ascii="宋体" w:hAnsi="宋体" w:cs="宋体"/>
                <w:color w:val="auto"/>
                <w:szCs w:val="21"/>
                <w:highlight w:val="none"/>
                <w:lang w:val="en-US" w:eastAsia="zh-CN"/>
              </w:rPr>
              <w:t>，具体详见工程量清单、招标控制价及图纸</w:t>
            </w:r>
            <w:r>
              <w:rPr>
                <w:rFonts w:hint="eastAsia" w:ascii="宋体" w:hAnsi="宋体" w:eastAsia="宋体" w:cs="宋体"/>
                <w:color w:val="000000"/>
                <w:szCs w:val="21"/>
                <w:highlight w:val="none"/>
              </w:rPr>
              <w:t>。</w:t>
            </w:r>
          </w:p>
        </w:tc>
      </w:tr>
    </w:tbl>
    <w:p>
      <w:pPr>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合同履行期限：具体详见采购文件“第二章采购需求”商务条款。</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本项目是否接受联合体投标：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否。</w:t>
      </w:r>
    </w:p>
    <w:p>
      <w:pPr>
        <w:spacing w:line="360" w:lineRule="auto"/>
        <w:outlineLvl w:val="1"/>
        <w:rPr>
          <w:rFonts w:hint="eastAsia" w:ascii="宋体" w:hAnsi="宋体" w:eastAsia="宋体" w:cs="宋体"/>
          <w:b/>
          <w:bCs/>
          <w:color w:val="000000"/>
          <w:sz w:val="24"/>
          <w:highlight w:val="none"/>
        </w:rPr>
      </w:pPr>
      <w:bookmarkStart w:id="21" w:name="_Toc19828"/>
      <w:bookmarkStart w:id="22" w:name="_Toc35393622"/>
      <w:bookmarkStart w:id="23" w:name="_Toc9510"/>
      <w:bookmarkStart w:id="24" w:name="_Toc28359080"/>
      <w:bookmarkStart w:id="25" w:name="_Toc35393791"/>
      <w:bookmarkStart w:id="26" w:name="_Toc28359003"/>
      <w:r>
        <w:rPr>
          <w:rFonts w:hint="eastAsia" w:ascii="宋体" w:hAnsi="宋体" w:eastAsia="宋体" w:cs="宋体"/>
          <w:b/>
          <w:bCs/>
          <w:color w:val="000000"/>
          <w:sz w:val="24"/>
          <w:highlight w:val="none"/>
        </w:rPr>
        <w:t>二、投标人的资格要求：</w:t>
      </w:r>
      <w:bookmarkEnd w:id="21"/>
      <w:bookmarkEnd w:id="22"/>
      <w:bookmarkEnd w:id="23"/>
      <w:bookmarkEnd w:id="24"/>
      <w:bookmarkEnd w:id="25"/>
      <w:bookmarkEnd w:id="26"/>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000000"/>
          <w:szCs w:val="21"/>
          <w:highlight w:val="none"/>
          <w:lang w:eastAsia="zh-CN"/>
        </w:rPr>
      </w:pPr>
      <w:bookmarkStart w:id="27" w:name="_Toc28359004"/>
      <w:bookmarkStart w:id="28" w:name="_Toc28359081"/>
      <w:r>
        <w:rPr>
          <w:rFonts w:hint="eastAsia" w:ascii="宋体" w:hAnsi="宋体" w:eastAsia="宋体" w:cs="宋体"/>
          <w:color w:val="000000"/>
          <w:szCs w:val="21"/>
          <w:highlight w:val="none"/>
        </w:rPr>
        <w:t>2.落实政府采购政策需满足的资格要求：</w:t>
      </w:r>
      <w:r>
        <w:rPr>
          <w:rFonts w:hint="eastAsia" w:ascii="宋体" w:hAnsi="宋体" w:cs="宋体"/>
          <w:color w:val="auto"/>
          <w:szCs w:val="21"/>
          <w:highlight w:val="none"/>
        </w:rPr>
        <w:t>专门面向中小企业采购的项目（供应商应为中小微企业或监狱企业或残疾人福利性单位</w:t>
      </w:r>
      <w:r>
        <w:rPr>
          <w:rFonts w:hint="eastAsia" w:ascii="宋体" w:hAnsi="宋体" w:cs="宋体"/>
          <w:color w:val="auto"/>
          <w:szCs w:val="21"/>
          <w:highlight w:val="none"/>
          <w:lang w:eastAsia="zh-CN"/>
        </w:rPr>
        <w:t>）</w:t>
      </w:r>
      <w:r>
        <w:rPr>
          <w:rFonts w:hint="eastAsia" w:ascii="宋体" w:hAnsi="宋体" w:eastAsia="宋体" w:cs="宋体"/>
          <w:color w:val="000000"/>
          <w:szCs w:val="21"/>
          <w:highlight w:val="none"/>
          <w:lang w:eastAsia="zh-CN"/>
        </w:rPr>
        <w:t>；</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3.本项目的特定资格要求：</w:t>
      </w:r>
      <w:r>
        <w:rPr>
          <w:rFonts w:hint="eastAsia" w:ascii="宋体" w:hAnsi="宋体" w:cs="宋体"/>
          <w:color w:val="auto"/>
          <w:szCs w:val="21"/>
          <w:highlight w:val="none"/>
        </w:rPr>
        <w:t>供应商须具备建筑工程施工总承包三级及以上资质，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持有省级及以上建设行政主管部门颁发的安全生产许可证，并在人员、设备、资金等方面具备相应的施工能力</w:t>
      </w:r>
      <w:r>
        <w:rPr>
          <w:rFonts w:hint="eastAsia" w:ascii="宋体" w:hAnsi="宋体" w:eastAsia="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建筑工程专业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建造师资格，并持有省级或省级以上行政主管部门或其授权部门（机构）颁发的B类安全生产考核合格证书。本项目不接受有在建、已中标（成交）未开工或已列为其他项目中标（成交）候选人第一名的建造师作为项目经理（符合桂建管﹝2013﹞17号文除外）</w:t>
      </w:r>
      <w:r>
        <w:rPr>
          <w:rFonts w:hint="eastAsia" w:ascii="宋体" w:hAnsi="宋体" w:cs="宋体"/>
          <w:color w:val="auto"/>
          <w:szCs w:val="21"/>
          <w:highlight w:val="none"/>
          <w:lang w:eastAsia="zh-CN"/>
        </w:rPr>
        <w:t>；拟投入本项目的专职安全员须具备有效的安全生产考核合格证书（C类）</w:t>
      </w:r>
      <w:r>
        <w:rPr>
          <w:rFonts w:hint="eastAsia" w:ascii="宋体" w:hAnsi="宋体" w:eastAsia="宋体" w:cs="宋体"/>
          <w:color w:val="000000"/>
          <w:szCs w:val="21"/>
          <w:highlight w:val="none"/>
          <w:lang w:eastAsia="zh-CN"/>
        </w:rPr>
        <w:t>；</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6.对在“信用中国”网站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www.creditchina.gov.cn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、中国政府采购网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www.ccgp.gov.cn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outlineLvl w:val="1"/>
        <w:rPr>
          <w:rFonts w:hint="eastAsia" w:ascii="宋体" w:hAnsi="宋体" w:eastAsia="宋体" w:cs="宋体"/>
          <w:b/>
          <w:bCs/>
          <w:color w:val="000000"/>
          <w:sz w:val="24"/>
          <w:highlight w:val="none"/>
        </w:rPr>
      </w:pPr>
      <w:bookmarkStart w:id="29" w:name="_Toc20990"/>
      <w:bookmarkStart w:id="30" w:name="_Toc3566"/>
      <w:bookmarkStart w:id="31" w:name="_Toc35393623"/>
      <w:bookmarkStart w:id="32" w:name="_Toc35393792"/>
      <w:r>
        <w:rPr>
          <w:rFonts w:hint="eastAsia" w:ascii="宋体" w:hAnsi="宋体" w:eastAsia="宋体" w:cs="宋体"/>
          <w:b/>
          <w:bCs/>
          <w:color w:val="000000"/>
          <w:sz w:val="24"/>
          <w:highlight w:val="none"/>
        </w:rPr>
        <w:t>三、获取招标文件</w:t>
      </w:r>
      <w:bookmarkEnd w:id="27"/>
      <w:bookmarkEnd w:id="28"/>
      <w:bookmarkEnd w:id="29"/>
      <w:bookmarkEnd w:id="30"/>
      <w:bookmarkEnd w:id="31"/>
      <w:bookmarkEnd w:id="32"/>
    </w:p>
    <w:p>
      <w:pPr>
        <w:snapToGrid w:val="0"/>
        <w:spacing w:line="360" w:lineRule="auto"/>
        <w:ind w:firstLine="472" w:firstLineChars="225"/>
        <w:rPr>
          <w:rFonts w:hint="eastAsia" w:ascii="宋体" w:hAnsi="宋体" w:eastAsia="宋体" w:cs="宋体"/>
          <w:color w:val="000000"/>
          <w:szCs w:val="21"/>
          <w:highlight w:val="none"/>
        </w:rPr>
      </w:pPr>
      <w:bookmarkStart w:id="33" w:name="_Toc28359005"/>
      <w:bookmarkStart w:id="34" w:name="_Toc28359082"/>
      <w:bookmarkStart w:id="35" w:name="_Toc35393624"/>
      <w:bookmarkStart w:id="36" w:name="_Toc35393793"/>
      <w:r>
        <w:rPr>
          <w:rFonts w:hint="eastAsia" w:ascii="宋体" w:hAnsi="宋体" w:eastAsia="宋体" w:cs="宋体"/>
          <w:color w:val="000000"/>
          <w:szCs w:val="21"/>
          <w:highlight w:val="none"/>
        </w:rPr>
        <w:t>时间：自公告发布之日起</w:t>
      </w:r>
      <w:r>
        <w:rPr>
          <w:rFonts w:hint="eastAsia" w:ascii="宋体" w:hAnsi="宋体" w:eastAsia="宋体" w:cs="宋体"/>
          <w:color w:val="000000"/>
          <w:highlight w:val="none"/>
        </w:rPr>
        <w:t>至</w:t>
      </w:r>
      <w:r>
        <w:rPr>
          <w:rFonts w:hint="eastAsia" w:ascii="宋体" w:hAnsi="宋体" w:eastAsia="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4</w:t>
      </w:r>
      <w:r>
        <w:rPr>
          <w:rFonts w:hint="eastAsia" w:ascii="宋体" w:hAnsi="宋体" w:eastAsia="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6</w:t>
      </w:r>
      <w:r>
        <w:rPr>
          <w:rFonts w:hint="eastAsia" w:ascii="宋体" w:hAnsi="宋体" w:eastAsia="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12</w:t>
      </w:r>
      <w:r>
        <w:rPr>
          <w:rFonts w:hint="eastAsia" w:ascii="宋体" w:hAnsi="宋体" w:eastAsia="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eastAsia="宋体" w:cs="宋体"/>
          <w:color w:val="0000FF"/>
          <w:szCs w:val="21"/>
          <w:highlight w:val="none"/>
          <w:u w:val="single"/>
        </w:rPr>
        <w:t>点</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0分</w:t>
      </w:r>
      <w:r>
        <w:rPr>
          <w:rFonts w:hint="eastAsia" w:ascii="宋体" w:hAnsi="宋体" w:eastAsia="宋体" w:cs="宋体"/>
          <w:bCs/>
          <w:color w:val="000000"/>
          <w:szCs w:val="21"/>
          <w:highlight w:val="none"/>
        </w:rPr>
        <w:t>（北京时间）</w:t>
      </w:r>
      <w:r>
        <w:rPr>
          <w:rFonts w:hint="eastAsia" w:ascii="宋体" w:hAnsi="宋体" w:eastAsia="宋体" w:cs="宋体"/>
          <w:color w:val="000000"/>
          <w:szCs w:val="21"/>
          <w:highlight w:val="none"/>
        </w:rPr>
        <w:t>。</w:t>
      </w:r>
    </w:p>
    <w:p>
      <w:pPr>
        <w:spacing w:line="360"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获取方式:网上下载。本项目不发放纸质文件，供应商可自行在</w:t>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HYPERLINK "" </w:instrText>
      </w:r>
      <w:r>
        <w:rPr>
          <w:rFonts w:hint="eastAsia" w:ascii="宋体" w:hAnsi="宋体" w:eastAsia="宋体" w:cs="宋体"/>
          <w:color w:val="000000"/>
          <w:szCs w:val="21"/>
          <w:highlight w:val="none"/>
        </w:rPr>
        <w:fldChar w:fldCharType="separate"/>
      </w:r>
      <w:r>
        <w:rPr>
          <w:rFonts w:hint="eastAsia" w:ascii="宋体" w:hAnsi="宋体" w:eastAsia="宋体" w:cs="宋体"/>
          <w:color w:val="000000"/>
          <w:szCs w:val="21"/>
          <w:highlight w:val="none"/>
        </w:rPr>
        <w:fldChar w:fldCharType="end"/>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w:t>
      </w:r>
      <w:r>
        <w:rPr>
          <w:rFonts w:hint="eastAsia" w:ascii="宋体" w:hAnsi="宋体" w:cs="宋体"/>
          <w:color w:val="000000"/>
          <w:szCs w:val="21"/>
          <w:highlight w:val="none"/>
          <w:lang w:eastAsia="zh-CN"/>
        </w:rPr>
        <w:t>https://www.gcy.zfcg.gxzf.gov.cn</w:t>
      </w:r>
      <w:r>
        <w:rPr>
          <w:rFonts w:hint="eastAsia" w:ascii="宋体" w:hAnsi="宋体" w:eastAsia="宋体" w:cs="宋体"/>
          <w:color w:val="000000"/>
          <w:szCs w:val="21"/>
          <w:highlight w:val="none"/>
        </w:rPr>
        <w:t>）下载招标文件（操作路径：登录</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-项目采购-获取采购文件-找到本项目-点击“申请获取采购文件”），电子投标文件制作需要基于</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获取的招标文件编制。</w:t>
      </w:r>
    </w:p>
    <w:p>
      <w:pPr>
        <w:snapToGrid w:val="0"/>
        <w:spacing w:line="360" w:lineRule="auto"/>
        <w:ind w:firstLine="472" w:firstLineChars="22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售价：0元。</w:t>
      </w:r>
    </w:p>
    <w:p>
      <w:pPr>
        <w:spacing w:line="360" w:lineRule="auto"/>
        <w:outlineLvl w:val="1"/>
        <w:rPr>
          <w:rFonts w:hint="eastAsia" w:ascii="宋体" w:hAnsi="宋体" w:eastAsia="宋体" w:cs="宋体"/>
          <w:b/>
          <w:bCs/>
          <w:color w:val="000000"/>
          <w:sz w:val="24"/>
          <w:highlight w:val="none"/>
        </w:rPr>
      </w:pPr>
      <w:bookmarkStart w:id="37" w:name="_Toc6173"/>
      <w:bookmarkStart w:id="38" w:name="_Toc32743"/>
      <w:r>
        <w:rPr>
          <w:rFonts w:hint="eastAsia" w:ascii="宋体" w:hAnsi="宋体" w:eastAsia="宋体" w:cs="宋体"/>
          <w:b/>
          <w:bCs/>
          <w:color w:val="000000"/>
          <w:sz w:val="24"/>
          <w:highlight w:val="none"/>
        </w:rPr>
        <w:t>四、提交投标文件</w:t>
      </w:r>
      <w:bookmarkEnd w:id="33"/>
      <w:bookmarkEnd w:id="34"/>
      <w:r>
        <w:rPr>
          <w:rFonts w:hint="eastAsia" w:ascii="宋体" w:hAnsi="宋体" w:eastAsia="宋体" w:cs="宋体"/>
          <w:b/>
          <w:bCs/>
          <w:color w:val="000000"/>
          <w:sz w:val="24"/>
          <w:highlight w:val="none"/>
        </w:rPr>
        <w:t>截止时间、开标时间和地点</w:t>
      </w:r>
      <w:bookmarkEnd w:id="35"/>
      <w:bookmarkEnd w:id="36"/>
      <w:bookmarkEnd w:id="37"/>
      <w:bookmarkEnd w:id="38"/>
    </w:p>
    <w:p>
      <w:pPr>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bCs/>
          <w:color w:val="000000"/>
          <w:szCs w:val="21"/>
          <w:highlight w:val="none"/>
        </w:rPr>
        <w:t>1、提交投标文件截止时间和开标时间：</w:t>
      </w:r>
      <w:r>
        <w:rPr>
          <w:rFonts w:hint="eastAsia" w:ascii="宋体" w:hAnsi="宋体" w:eastAsia="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4</w:t>
      </w:r>
      <w:r>
        <w:rPr>
          <w:rFonts w:hint="eastAsia" w:ascii="宋体" w:hAnsi="宋体" w:eastAsia="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6</w:t>
      </w:r>
      <w:r>
        <w:rPr>
          <w:rFonts w:hint="eastAsia" w:ascii="宋体" w:hAnsi="宋体" w:eastAsia="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12</w:t>
      </w:r>
      <w:r>
        <w:rPr>
          <w:rFonts w:hint="eastAsia" w:ascii="宋体" w:hAnsi="宋体" w:eastAsia="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eastAsia="宋体" w:cs="宋体"/>
          <w:color w:val="0000FF"/>
          <w:szCs w:val="21"/>
          <w:highlight w:val="none"/>
          <w:u w:val="single"/>
        </w:rPr>
        <w:t>点</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0分</w:t>
      </w:r>
      <w:r>
        <w:rPr>
          <w:rFonts w:hint="eastAsia" w:ascii="宋体" w:hAnsi="宋体" w:eastAsia="宋体" w:cs="宋体"/>
          <w:bCs/>
          <w:color w:val="000000"/>
          <w:szCs w:val="21"/>
          <w:highlight w:val="none"/>
        </w:rPr>
        <w:t>（北京时间）</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2、投标和开标地点：</w:t>
      </w:r>
    </w:p>
    <w:p>
      <w:pPr>
        <w:widowControl/>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（1）投标文件提交方式：本项目为南宁市全流程电子化项目，通过</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w:t>
      </w:r>
      <w:r>
        <w:rPr>
          <w:rFonts w:hint="eastAsia" w:ascii="宋体" w:hAnsi="宋体" w:cs="宋体"/>
          <w:color w:val="000000"/>
          <w:szCs w:val="21"/>
          <w:highlight w:val="none"/>
          <w:lang w:eastAsia="zh-CN"/>
        </w:rPr>
        <w:t>https://www.gcy.zfcg.gxzf.gov.cn</w:t>
      </w:r>
      <w:r>
        <w:rPr>
          <w:rFonts w:hint="eastAsia" w:ascii="宋体" w:hAnsi="宋体" w:eastAsia="宋体" w:cs="宋体"/>
          <w:color w:val="000000"/>
          <w:szCs w:val="21"/>
          <w:highlight w:val="none"/>
        </w:rPr>
        <w:t>）实行在线电子投标，供应商应先安装“广西政府采购云平台电子交易客户端”（请自行前往</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进行下载），并按照本项目招标文件和</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的要求编制、加密后在投标截止时间前通过网络上传至南宁市</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供应商在</w:t>
      </w:r>
      <w:r>
        <w:rPr>
          <w:rFonts w:hint="eastAsia" w:ascii="宋体" w:hAnsi="宋体" w:cs="宋体"/>
          <w:b/>
          <w:color w:val="000000"/>
          <w:szCs w:val="21"/>
          <w:highlight w:val="none"/>
          <w:lang w:eastAsia="zh-CN"/>
        </w:rPr>
        <w:t>广西政府采购云平台</w:t>
      </w:r>
      <w:r>
        <w:rPr>
          <w:rFonts w:hint="eastAsia" w:ascii="宋体" w:hAnsi="宋体" w:eastAsia="宋体" w:cs="宋体"/>
          <w:b/>
          <w:color w:val="000000"/>
          <w:szCs w:val="21"/>
          <w:highlight w:val="none"/>
        </w:rPr>
        <w:t>提交电子版投标文件时，请填写参加远程开标活动经办人联系方式，</w:t>
      </w:r>
      <w:r>
        <w:rPr>
          <w:rFonts w:hint="eastAsia" w:ascii="宋体" w:hAnsi="宋体" w:eastAsia="宋体" w:cs="宋体"/>
          <w:color w:val="000000"/>
          <w:szCs w:val="21"/>
          <w:highlight w:val="none"/>
        </w:rPr>
        <w:t>电子投标具体操作流程详见本公告附件</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w:t>
      </w:r>
    </w:p>
    <w:p>
      <w:pPr>
        <w:widowControl/>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）及投标文件的提交。完成CA数字证书办理预计7日左右，</w:t>
      </w:r>
      <w:r>
        <w:rPr>
          <w:rFonts w:hint="eastAsia" w:ascii="宋体" w:hAnsi="宋体" w:eastAsia="宋体" w:cs="宋体"/>
          <w:szCs w:val="21"/>
          <w:highlight w:val="none"/>
        </w:rPr>
        <w:t>投标人只需办理其中一家CA数字证书及签章，</w:t>
      </w:r>
      <w:r>
        <w:rPr>
          <w:rFonts w:hint="eastAsia" w:ascii="宋体" w:hAnsi="宋体" w:eastAsia="宋体" w:cs="宋体"/>
          <w:color w:val="000000"/>
          <w:szCs w:val="21"/>
          <w:highlight w:val="none"/>
        </w:rPr>
        <w:t>建议各投标人抓紧时间办理。</w:t>
      </w:r>
    </w:p>
    <w:p>
      <w:pPr>
        <w:widowControl/>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pPr>
        <w:spacing w:line="360" w:lineRule="auto"/>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000000"/>
          <w:szCs w:val="21"/>
          <w:highlight w:val="none"/>
          <w:u w:val="single"/>
          <w:lang w:eastAsia="zh-CN"/>
        </w:rPr>
        <w:t>广西政府采购云平台</w:t>
      </w:r>
      <w:r>
        <w:rPr>
          <w:rFonts w:hint="eastAsia" w:ascii="宋体" w:hAnsi="宋体" w:eastAsia="宋体" w:cs="宋体"/>
          <w:bCs/>
          <w:color w:val="000000"/>
          <w:szCs w:val="21"/>
          <w:highlight w:val="none"/>
          <w:u w:val="single"/>
        </w:rPr>
        <w:t>将予以拒收。</w:t>
      </w:r>
    </w:p>
    <w:p>
      <w:pPr>
        <w:widowControl/>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（4）开标地点：本次招标将</w:t>
      </w:r>
      <w:r>
        <w:rPr>
          <w:rFonts w:hint="eastAsia" w:ascii="宋体" w:hAnsi="宋体" w:eastAsia="宋体" w:cs="宋体"/>
          <w:color w:val="000000"/>
          <w:szCs w:val="21"/>
          <w:highlight w:val="none"/>
          <w:u w:val="none"/>
        </w:rPr>
        <w:t>于</w:t>
      </w:r>
      <w:r>
        <w:rPr>
          <w:rFonts w:hint="eastAsia" w:ascii="宋体" w:hAnsi="宋体" w:eastAsia="宋体" w:cs="宋体"/>
          <w:color w:val="0000FF"/>
          <w:szCs w:val="21"/>
          <w:highlight w:val="none"/>
          <w:u w:val="single"/>
          <w:lang w:eastAsia="zh-CN"/>
        </w:rPr>
        <w:t>202</w:t>
      </w:r>
      <w:r>
        <w:rPr>
          <w:rFonts w:hint="eastAsia" w:ascii="宋体" w:hAnsi="宋体" w:cs="宋体"/>
          <w:color w:val="0000FF"/>
          <w:szCs w:val="21"/>
          <w:highlight w:val="none"/>
          <w:u w:val="single"/>
          <w:lang w:val="en-US" w:eastAsia="zh-CN"/>
        </w:rPr>
        <w:t>4</w:t>
      </w:r>
      <w:r>
        <w:rPr>
          <w:rFonts w:hint="eastAsia" w:ascii="宋体" w:hAnsi="宋体" w:eastAsia="宋体" w:cs="宋体"/>
          <w:color w:val="0000FF"/>
          <w:szCs w:val="21"/>
          <w:highlight w:val="none"/>
          <w:u w:val="single"/>
          <w:lang w:eastAsia="zh-CN"/>
        </w:rPr>
        <w:t>年</w:t>
      </w:r>
      <w:r>
        <w:rPr>
          <w:rFonts w:hint="eastAsia" w:ascii="宋体" w:hAnsi="宋体" w:cs="宋体"/>
          <w:color w:val="0000FF"/>
          <w:szCs w:val="21"/>
          <w:highlight w:val="none"/>
          <w:u w:val="single"/>
          <w:lang w:val="en-US" w:eastAsia="zh-CN"/>
        </w:rPr>
        <w:t>6</w:t>
      </w:r>
      <w:r>
        <w:rPr>
          <w:rFonts w:hint="eastAsia" w:ascii="宋体" w:hAnsi="宋体" w:eastAsia="宋体" w:cs="宋体"/>
          <w:color w:val="0000FF"/>
          <w:szCs w:val="21"/>
          <w:highlight w:val="none"/>
          <w:u w:val="single"/>
          <w:lang w:eastAsia="zh-CN"/>
        </w:rPr>
        <w:t>月</w:t>
      </w:r>
      <w:r>
        <w:rPr>
          <w:rFonts w:hint="eastAsia" w:ascii="宋体" w:hAnsi="宋体" w:cs="宋体"/>
          <w:color w:val="0000FF"/>
          <w:szCs w:val="21"/>
          <w:highlight w:val="none"/>
          <w:u w:val="single"/>
          <w:lang w:val="en-US" w:eastAsia="zh-CN"/>
        </w:rPr>
        <w:t>12</w:t>
      </w:r>
      <w:r>
        <w:rPr>
          <w:rFonts w:hint="eastAsia" w:ascii="宋体" w:hAnsi="宋体" w:eastAsia="宋体" w:cs="宋体"/>
          <w:color w:val="0000FF"/>
          <w:szCs w:val="21"/>
          <w:highlight w:val="none"/>
          <w:u w:val="single"/>
          <w:lang w:eastAsia="zh-CN"/>
        </w:rPr>
        <w:t>日</w:t>
      </w:r>
      <w:r>
        <w:rPr>
          <w:rFonts w:hint="eastAsia" w:ascii="宋体" w:hAnsi="宋体" w:cs="宋体"/>
          <w:color w:val="0000FF"/>
          <w:szCs w:val="21"/>
          <w:highlight w:val="none"/>
          <w:u w:val="single"/>
          <w:lang w:val="en-US" w:eastAsia="zh-CN"/>
        </w:rPr>
        <w:t>09</w:t>
      </w:r>
      <w:r>
        <w:rPr>
          <w:rFonts w:hint="eastAsia" w:ascii="宋体" w:hAnsi="宋体" w:eastAsia="宋体" w:cs="宋体"/>
          <w:color w:val="0000FF"/>
          <w:szCs w:val="21"/>
          <w:highlight w:val="none"/>
          <w:u w:val="single"/>
        </w:rPr>
        <w:t>点</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0分</w:t>
      </w:r>
      <w:r>
        <w:rPr>
          <w:rFonts w:hint="eastAsia" w:ascii="宋体" w:hAnsi="宋体" w:eastAsia="宋体" w:cs="宋体"/>
          <w:color w:val="000000"/>
          <w:szCs w:val="21"/>
          <w:highlight w:val="none"/>
        </w:rPr>
        <w:t>在</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电子开标大厅开标。</w:t>
      </w:r>
    </w:p>
    <w:p>
      <w:pPr>
        <w:snapToGrid w:val="0"/>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（5）CA证书在线解密：供应商投标时，需携带制作投标文件时用来加密的有效数字证书（CA认证）登录</w:t>
      </w:r>
      <w:r>
        <w:rPr>
          <w:rFonts w:hint="eastAsia" w:ascii="宋体" w:hAnsi="宋体" w:cs="宋体"/>
          <w:color w:val="000000"/>
          <w:kern w:val="0"/>
          <w:szCs w:val="21"/>
          <w:highlight w:val="none"/>
          <w:lang w:eastAsia="zh-CN"/>
        </w:rPr>
        <w:t>广西政府采购云平台</w:t>
      </w:r>
      <w:r>
        <w:rPr>
          <w:rFonts w:hint="eastAsia" w:ascii="宋体" w:hAnsi="宋体" w:eastAsia="宋体" w:cs="宋体"/>
          <w:color w:val="000000"/>
          <w:kern w:val="0"/>
          <w:szCs w:val="21"/>
          <w:highlight w:val="none"/>
        </w:rPr>
        <w:t>电子开标大厅现场按规定时间对加密的投标文件进行解密，否则后果自负。</w:t>
      </w:r>
    </w:p>
    <w:p>
      <w:pPr>
        <w:spacing w:line="360" w:lineRule="auto"/>
        <w:outlineLvl w:val="1"/>
        <w:rPr>
          <w:rFonts w:hint="eastAsia" w:ascii="宋体" w:hAnsi="宋体" w:eastAsia="宋体" w:cs="宋体"/>
          <w:b/>
          <w:bCs/>
          <w:color w:val="000000"/>
          <w:sz w:val="24"/>
          <w:highlight w:val="none"/>
        </w:rPr>
      </w:pPr>
      <w:bookmarkStart w:id="39" w:name="_Toc35393625"/>
      <w:bookmarkStart w:id="40" w:name="_Toc5706"/>
      <w:bookmarkStart w:id="41" w:name="_Toc28359007"/>
      <w:bookmarkStart w:id="42" w:name="_Toc28359084"/>
      <w:bookmarkStart w:id="43" w:name="_Toc35393794"/>
      <w:bookmarkStart w:id="44" w:name="_Toc27118"/>
      <w:r>
        <w:rPr>
          <w:rFonts w:hint="eastAsia" w:ascii="宋体" w:hAnsi="宋体" w:eastAsia="宋体" w:cs="宋体"/>
          <w:b/>
          <w:bCs/>
          <w:color w:val="000000"/>
          <w:sz w:val="24"/>
          <w:highlight w:val="none"/>
        </w:rPr>
        <w:t>五、公告期限</w:t>
      </w:r>
      <w:bookmarkEnd w:id="39"/>
      <w:bookmarkEnd w:id="40"/>
      <w:bookmarkEnd w:id="41"/>
      <w:bookmarkEnd w:id="42"/>
      <w:bookmarkEnd w:id="43"/>
      <w:bookmarkEnd w:id="44"/>
    </w:p>
    <w:p>
      <w:pPr>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自本公告发布之日起5个工作日。</w:t>
      </w:r>
    </w:p>
    <w:p>
      <w:pPr>
        <w:spacing w:line="360" w:lineRule="auto"/>
        <w:outlineLvl w:val="1"/>
        <w:rPr>
          <w:rFonts w:hint="eastAsia" w:ascii="宋体" w:hAnsi="宋体" w:eastAsia="宋体" w:cs="宋体"/>
          <w:b/>
          <w:bCs/>
          <w:color w:val="000000"/>
          <w:sz w:val="24"/>
          <w:highlight w:val="none"/>
        </w:rPr>
      </w:pPr>
      <w:bookmarkStart w:id="45" w:name="_Toc27087"/>
      <w:bookmarkStart w:id="46" w:name="_Toc31352"/>
      <w:bookmarkStart w:id="47" w:name="_Toc35393795"/>
      <w:bookmarkStart w:id="48" w:name="_Toc35393626"/>
      <w:r>
        <w:rPr>
          <w:rFonts w:hint="eastAsia" w:ascii="宋体" w:hAnsi="宋体" w:eastAsia="宋体" w:cs="宋体"/>
          <w:b/>
          <w:bCs/>
          <w:color w:val="000000"/>
          <w:sz w:val="24"/>
          <w:highlight w:val="none"/>
        </w:rPr>
        <w:t>六、其他补充事宜</w:t>
      </w:r>
      <w:bookmarkEnd w:id="45"/>
      <w:bookmarkEnd w:id="46"/>
      <w:bookmarkEnd w:id="47"/>
      <w:bookmarkEnd w:id="48"/>
    </w:p>
    <w:p>
      <w:pPr>
        <w:spacing w:line="360" w:lineRule="auto"/>
        <w:ind w:firstLine="315" w:firstLineChars="1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1.投标保证金：本项目不收取投标保证金</w:t>
      </w:r>
    </w:p>
    <w:p>
      <w:pPr>
        <w:spacing w:line="360" w:lineRule="auto"/>
        <w:ind w:firstLine="315" w:firstLineChars="150"/>
        <w:jc w:val="left"/>
        <w:rPr>
          <w:rFonts w:hint="eastAsia" w:ascii="宋体" w:hAnsi="宋体" w:eastAsia="宋体" w:cs="宋体"/>
          <w:color w:val="000000"/>
          <w:kern w:val="0"/>
          <w:szCs w:val="21"/>
          <w:highlight w:val="none"/>
          <w:u w:val="single"/>
          <w:lang w:val="en-US" w:eastAsia="zh-CN"/>
        </w:rPr>
      </w:pPr>
      <w:r>
        <w:rPr>
          <w:rFonts w:hint="eastAsia" w:ascii="宋体" w:hAnsi="宋体" w:eastAsia="宋体" w:cs="宋体"/>
          <w:color w:val="000000"/>
          <w:kern w:val="0"/>
          <w:szCs w:val="21"/>
          <w:highlight w:val="none"/>
        </w:rPr>
        <w:t>2.采购意向公开链接：</w:t>
      </w:r>
      <w:r>
        <w:rPr>
          <w:rFonts w:hint="eastAsia" w:ascii="宋体" w:hAnsi="宋体" w:eastAsia="宋体" w:cs="宋体"/>
          <w:color w:val="000000"/>
          <w:kern w:val="0"/>
          <w:szCs w:val="21"/>
          <w:highlight w:val="none"/>
          <w:lang w:val="en-US" w:eastAsia="zh-CN"/>
        </w:rPr>
        <w:t>/</w:t>
      </w:r>
    </w:p>
    <w:p>
      <w:pPr>
        <w:spacing w:line="360" w:lineRule="auto"/>
        <w:ind w:firstLine="315" w:firstLineChars="150"/>
        <w:rPr>
          <w:rFonts w:hint="eastAsia" w:ascii="宋体" w:hAnsi="宋体" w:eastAsia="宋体" w:cs="宋体"/>
          <w:color w:val="000000"/>
          <w:kern w:val="0"/>
          <w:szCs w:val="21"/>
          <w:highlight w:val="none"/>
        </w:rPr>
      </w:pPr>
      <w:bookmarkStart w:id="49" w:name="_Hlk37429585"/>
      <w:r>
        <w:rPr>
          <w:rFonts w:hint="eastAsia" w:ascii="宋体" w:hAnsi="宋体" w:eastAsia="宋体" w:cs="宋体"/>
          <w:color w:val="000000"/>
          <w:kern w:val="0"/>
          <w:szCs w:val="21"/>
          <w:highlight w:val="none"/>
        </w:rPr>
        <w:t>3.</w:t>
      </w:r>
      <w:bookmarkStart w:id="50" w:name="_Hlk37429595"/>
      <w:r>
        <w:rPr>
          <w:rFonts w:hint="eastAsia" w:ascii="宋体" w:hAnsi="宋体" w:eastAsia="宋体" w:cs="宋体"/>
          <w:color w:val="000000"/>
          <w:kern w:val="0"/>
          <w:szCs w:val="21"/>
          <w:highlight w:val="none"/>
        </w:rPr>
        <w:t>网上查询地址</w:t>
      </w:r>
    </w:p>
    <w:bookmarkEnd w:id="49"/>
    <w:bookmarkEnd w:id="50"/>
    <w:p>
      <w:pPr>
        <w:spacing w:line="360" w:lineRule="auto"/>
        <w:ind w:firstLine="420" w:firstLineChars="200"/>
        <w:rPr>
          <w:rFonts w:hint="eastAsia" w:ascii="宋体" w:hAnsi="宋体" w:eastAsia="宋体" w:cs="宋体"/>
          <w:color w:val="000000"/>
          <w:kern w:val="0"/>
          <w:szCs w:val="21"/>
          <w:highlight w:val="none"/>
          <w:lang w:eastAsia="zh-CN"/>
        </w:rPr>
      </w:pPr>
      <w:bookmarkStart w:id="51" w:name="_Hlk37429674"/>
      <w:r>
        <w:rPr>
          <w:rFonts w:hint="eastAsia" w:ascii="宋体" w:hAnsi="宋体" w:eastAsia="宋体" w:cs="宋体"/>
          <w:color w:val="000000"/>
          <w:kern w:val="0"/>
          <w:szCs w:val="21"/>
          <w:highlight w:val="none"/>
        </w:rPr>
        <w:t>中国政府采购网（www.ccgp.gov.cn）、广西壮族自治区政府采购网（http://zfcg.gxzf.gov.cn/）、</w:t>
      </w:r>
      <w:r>
        <w:rPr>
          <w:rFonts w:hint="eastAsia" w:ascii="宋体" w:hAnsi="宋体" w:eastAsia="宋体" w:cs="宋体"/>
          <w:color w:val="000000"/>
          <w:kern w:val="0"/>
          <w:szCs w:val="21"/>
          <w:highlight w:val="none"/>
          <w:lang w:eastAsia="zh-CN"/>
        </w:rPr>
        <w:t>全国公共资源交易平台（广西·南宁）（http://ggzy.jgswj.gxzf.gov.cn/nnggzy/）</w:t>
      </w:r>
    </w:p>
    <w:p>
      <w:pPr>
        <w:spacing w:line="360" w:lineRule="auto"/>
        <w:ind w:firstLine="315" w:firstLineChars="150"/>
        <w:rPr>
          <w:rFonts w:hint="eastAsia" w:ascii="宋体" w:hAnsi="宋体" w:eastAsia="宋体" w:cs="宋体"/>
          <w:color w:val="FF0000"/>
          <w:kern w:val="0"/>
          <w:szCs w:val="21"/>
          <w:highlight w:val="none"/>
        </w:rPr>
      </w:pPr>
      <w:r>
        <w:rPr>
          <w:rFonts w:hint="eastAsia" w:ascii="宋体" w:hAnsi="宋体" w:eastAsia="宋体" w:cs="宋体"/>
          <w:color w:val="000000"/>
          <w:szCs w:val="21"/>
          <w:highlight w:val="none"/>
        </w:rPr>
        <w:t xml:space="preserve">4. </w:t>
      </w:r>
      <w:r>
        <w:rPr>
          <w:rFonts w:hint="eastAsia" w:ascii="宋体" w:hAnsi="宋体" w:eastAsia="宋体" w:cs="宋体"/>
          <w:color w:val="000000"/>
          <w:kern w:val="0"/>
          <w:szCs w:val="21"/>
          <w:highlight w:val="none"/>
        </w:rPr>
        <w:t>本项目需要落实的政府采购政</w:t>
      </w:r>
      <w:r>
        <w:rPr>
          <w:rFonts w:hint="eastAsia" w:ascii="宋体" w:hAnsi="宋体" w:eastAsia="宋体" w:cs="宋体"/>
          <w:kern w:val="0"/>
          <w:szCs w:val="21"/>
          <w:highlight w:val="none"/>
        </w:rPr>
        <w:t>策：</w:t>
      </w:r>
    </w:p>
    <w:p>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（1）政府采购促进中小企业发展。</w:t>
      </w:r>
    </w:p>
    <w:p>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（2）政府采购支持采用本国产品的政策。</w:t>
      </w:r>
    </w:p>
    <w:p>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（3）政府采购促进残疾人就业政策。</w:t>
      </w:r>
    </w:p>
    <w:p>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（4）政府采购支持监狱企业发展。</w:t>
      </w:r>
    </w:p>
    <w:bookmarkEnd w:id="51"/>
    <w:p>
      <w:pPr>
        <w:spacing w:line="360" w:lineRule="auto"/>
        <w:ind w:firstLine="315" w:firstLineChars="1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 若对项目采购电子交易系统操作有疑问，可登录</w:t>
      </w:r>
      <w:r>
        <w:rPr>
          <w:rFonts w:hint="eastAsia" w:ascii="宋体" w:hAnsi="宋体" w:cs="宋体"/>
          <w:color w:val="000000"/>
          <w:kern w:val="0"/>
          <w:szCs w:val="21"/>
          <w:highlight w:val="none"/>
          <w:lang w:eastAsia="zh-CN"/>
        </w:rPr>
        <w:t>广西政府采购云平台</w:t>
      </w: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eastAsia="zh-CN"/>
        </w:rPr>
        <w:t>https://www.gcy.zfcg.gxzf.gov.cn</w:t>
      </w:r>
      <w:r>
        <w:rPr>
          <w:rFonts w:hint="eastAsia" w:ascii="宋体" w:hAnsi="宋体" w:eastAsia="宋体" w:cs="宋体"/>
          <w:color w:val="000000"/>
          <w:kern w:val="0"/>
          <w:szCs w:val="21"/>
          <w:highlight w:val="none"/>
        </w:rPr>
        <w:t>），点击右侧咨询小采，获取采小蜜智能服务管家帮助，或拨打广西政府采购云平台服务热线</w:t>
      </w:r>
      <w:r>
        <w:rPr>
          <w:rFonts w:hint="eastAsia" w:ascii="宋体" w:hAnsi="宋体" w:cs="宋体"/>
          <w:color w:val="000000"/>
          <w:kern w:val="0"/>
          <w:szCs w:val="21"/>
          <w:highlight w:val="none"/>
          <w:lang w:eastAsia="zh-CN"/>
        </w:rPr>
        <w:t>95763</w:t>
      </w:r>
      <w:r>
        <w:rPr>
          <w:rFonts w:hint="eastAsia" w:ascii="宋体" w:hAnsi="宋体" w:eastAsia="宋体" w:cs="宋体"/>
          <w:color w:val="000000"/>
          <w:kern w:val="0"/>
          <w:szCs w:val="21"/>
          <w:highlight w:val="none"/>
        </w:rPr>
        <w:t>获取热线服务帮助。</w:t>
      </w:r>
    </w:p>
    <w:p>
      <w:pPr>
        <w:spacing w:line="360" w:lineRule="auto"/>
        <w:outlineLvl w:val="1"/>
        <w:rPr>
          <w:rFonts w:hint="eastAsia" w:ascii="宋体" w:hAnsi="宋体" w:eastAsia="宋体" w:cs="宋体"/>
          <w:b/>
          <w:bCs/>
          <w:color w:val="000000"/>
          <w:sz w:val="24"/>
          <w:highlight w:val="none"/>
        </w:rPr>
      </w:pPr>
      <w:bookmarkStart w:id="52" w:name="_Toc30432"/>
      <w:bookmarkStart w:id="53" w:name="_Toc222"/>
      <w:bookmarkStart w:id="54" w:name="_Toc35393796"/>
      <w:bookmarkStart w:id="55" w:name="_Toc28359008"/>
      <w:bookmarkStart w:id="56" w:name="_Toc28359085"/>
      <w:bookmarkStart w:id="57" w:name="_Toc35393627"/>
      <w:r>
        <w:rPr>
          <w:rFonts w:hint="eastAsia" w:ascii="宋体" w:hAnsi="宋体" w:eastAsia="宋体" w:cs="宋体"/>
          <w:b/>
          <w:bCs/>
          <w:color w:val="000000"/>
          <w:sz w:val="24"/>
          <w:highlight w:val="none"/>
        </w:rPr>
        <w:t>七、对本次招标提出询问，请按以下方式联系。</w:t>
      </w:r>
      <w:bookmarkEnd w:id="52"/>
      <w:bookmarkEnd w:id="53"/>
      <w:bookmarkEnd w:id="54"/>
      <w:bookmarkEnd w:id="55"/>
      <w:bookmarkEnd w:id="56"/>
      <w:bookmarkEnd w:id="57"/>
    </w:p>
    <w:p>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1.采购人信息</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名称：</w:t>
      </w:r>
      <w:r>
        <w:rPr>
          <w:rFonts w:hint="eastAsia" w:ascii="宋体" w:hAnsi="宋体" w:cs="宋体"/>
          <w:color w:val="000000"/>
          <w:szCs w:val="21"/>
          <w:highlight w:val="none"/>
          <w:lang w:eastAsia="zh-CN"/>
        </w:rPr>
        <w:t>南宁市江南区苏圩镇人民政府</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地址：</w:t>
      </w:r>
      <w:r>
        <w:rPr>
          <w:rFonts w:hint="eastAsia" w:ascii="宋体" w:hAnsi="宋体" w:cs="宋体"/>
          <w:color w:val="000000"/>
          <w:szCs w:val="21"/>
          <w:highlight w:val="none"/>
          <w:lang w:eastAsia="zh-CN"/>
        </w:rPr>
        <w:t>南宁市江南区苏圩镇团结路8号</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项目联系人：</w:t>
      </w:r>
      <w:r>
        <w:rPr>
          <w:rFonts w:hint="eastAsia" w:ascii="宋体" w:hAnsi="宋体" w:cs="宋体"/>
          <w:color w:val="000000"/>
          <w:szCs w:val="21"/>
          <w:highlight w:val="none"/>
          <w:lang w:eastAsia="zh-CN"/>
        </w:rPr>
        <w:t>朱润泽</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lang w:eastAsia="zh-CN"/>
        </w:rPr>
        <w:t>0771-4178002</w:t>
      </w:r>
    </w:p>
    <w:p>
      <w:pPr>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2.采购代理机构信息</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名称：</w:t>
      </w:r>
      <w:r>
        <w:rPr>
          <w:rFonts w:hint="eastAsia" w:ascii="宋体" w:hAnsi="宋体" w:cs="宋体"/>
          <w:color w:val="000000"/>
          <w:szCs w:val="21"/>
          <w:highlight w:val="none"/>
          <w:lang w:eastAsia="zh-CN"/>
        </w:rPr>
        <w:t>广西合美工程咨询有限公司</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地址：</w:t>
      </w:r>
      <w:r>
        <w:rPr>
          <w:rFonts w:hint="eastAsia" w:ascii="宋体" w:hAnsi="宋体" w:cs="宋体"/>
          <w:color w:val="000000"/>
          <w:szCs w:val="21"/>
          <w:highlight w:val="none"/>
          <w:lang w:eastAsia="zh-CN"/>
        </w:rPr>
        <w:t>南宁市青秀区金湖路61号佳得鑫水晶城D座1402号房</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项目联系人：</w:t>
      </w:r>
      <w:r>
        <w:rPr>
          <w:rFonts w:hint="eastAsia" w:ascii="宋体" w:hAnsi="宋体" w:cs="宋体"/>
          <w:color w:val="000000"/>
          <w:szCs w:val="21"/>
          <w:highlight w:val="none"/>
          <w:lang w:eastAsia="zh-CN"/>
        </w:rPr>
        <w:t>雷方敏、欧诗伶</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lang w:eastAsia="zh-CN"/>
        </w:rPr>
        <w:t>0771-4811887</w:t>
      </w:r>
    </w:p>
    <w:p>
      <w:pPr>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3.项目联系方式</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项目联系人：</w:t>
      </w:r>
      <w:r>
        <w:rPr>
          <w:rFonts w:hint="eastAsia" w:ascii="宋体" w:hAnsi="宋体" w:cs="宋体"/>
          <w:color w:val="000000"/>
          <w:szCs w:val="21"/>
          <w:highlight w:val="none"/>
          <w:lang w:eastAsia="zh-CN"/>
        </w:rPr>
        <w:t>雷方敏、欧诗伶</w:t>
      </w:r>
    </w:p>
    <w:p>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电话：</w:t>
      </w:r>
      <w:r>
        <w:rPr>
          <w:rFonts w:hint="eastAsia" w:ascii="宋体" w:hAnsi="宋体" w:cs="宋体"/>
          <w:color w:val="000000"/>
          <w:szCs w:val="21"/>
          <w:highlight w:val="none"/>
          <w:lang w:eastAsia="zh-CN"/>
        </w:rPr>
        <w:t>0771-4811887</w:t>
      </w:r>
    </w:p>
    <w:p>
      <w:pPr>
        <w:rPr>
          <w:rFonts w:hint="eastAsia" w:ascii="宋体" w:hAnsi="宋体" w:eastAsia="宋体" w:cs="宋体"/>
          <w:color w:val="000000"/>
          <w:szCs w:val="21"/>
          <w:highlight w:val="none"/>
        </w:rPr>
      </w:pPr>
    </w:p>
    <w:p>
      <w:pPr>
        <w:pStyle w:val="8"/>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szCs w:val="21"/>
          <w:highlight w:val="none"/>
        </w:rPr>
        <w:t>附件： 1.CA证书申请方式及操作指南下载地址（现场申请方式见网址：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"http://www.ccgp-guangxi.gov.cn/OfficeService/DownloadArea/8354055.html?utm=a0003.39a112b4.cmp001.d0002.f0464b20ff2a11eb873141bf9e381949" </w:instrText>
      </w:r>
      <w:r>
        <w:rPr>
          <w:rFonts w:hint="eastAsia" w:ascii="宋体" w:hAnsi="宋体" w:eastAsia="宋体" w:cs="宋体"/>
          <w:highlight w:val="none"/>
        </w:rPr>
        <w:fldChar w:fldCharType="separate"/>
      </w:r>
      <w:r>
        <w:rPr>
          <w:rStyle w:val="23"/>
          <w:rFonts w:hint="eastAsia" w:ascii="宋体" w:hAnsi="宋体" w:eastAsia="宋体" w:cs="宋体"/>
          <w:highlight w:val="none"/>
        </w:rPr>
        <w:t>http://www.ccgp-guangxi.gov.cn/OfficeService/DownloadArea/8354055.html?utm=a0003.39a112b4.cmp001.d0002.f0464b20ff2a11eb873141bf9e381949</w:t>
      </w:r>
      <w:r>
        <w:rPr>
          <w:rFonts w:hint="eastAsia" w:ascii="宋体" w:hAnsi="宋体" w:eastAsia="宋体" w:cs="宋体"/>
          <w:highlight w:val="none"/>
        </w:rPr>
        <w:fldChar w:fldCharType="end"/>
      </w:r>
      <w:r>
        <w:rPr>
          <w:rFonts w:hint="eastAsia" w:ascii="宋体" w:hAnsi="宋体" w:eastAsia="宋体" w:cs="宋体"/>
          <w:highlight w:val="none"/>
        </w:rPr>
        <w:t xml:space="preserve">（广西政府采购网）/网上申请方式见网址：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"http://nncz.nanning.gov.cn/" </w:instrText>
      </w:r>
      <w:r>
        <w:rPr>
          <w:rFonts w:hint="eastAsia" w:ascii="宋体" w:hAnsi="宋体" w:eastAsia="宋体" w:cs="宋体"/>
          <w:highlight w:val="none"/>
        </w:rPr>
        <w:fldChar w:fldCharType="separate"/>
      </w:r>
      <w:r>
        <w:rPr>
          <w:rStyle w:val="23"/>
          <w:rFonts w:hint="eastAsia" w:ascii="宋体" w:hAnsi="宋体" w:eastAsia="宋体" w:cs="宋体"/>
          <w:highlight w:val="none"/>
        </w:rPr>
        <w:t>http://nncz.nanning.gov.cn/</w:t>
      </w:r>
      <w:r>
        <w:rPr>
          <w:rFonts w:hint="eastAsia" w:ascii="宋体" w:hAnsi="宋体" w:eastAsia="宋体" w:cs="宋体"/>
          <w:highlight w:val="none"/>
        </w:rPr>
        <w:fldChar w:fldCharType="end"/>
      </w:r>
      <w:r>
        <w:rPr>
          <w:rFonts w:hint="eastAsia" w:ascii="宋体" w:hAnsi="宋体" w:eastAsia="宋体" w:cs="宋体"/>
          <w:highlight w:val="none"/>
        </w:rPr>
        <w:t>（南宁市财政局官网）-下载专区-“广西政府采购云平台西部CA办理方式”或“南宁市广西政府采购云平台CA证书办理操作指南”</w:t>
      </w:r>
      <w:r>
        <w:rPr>
          <w:rFonts w:hint="eastAsia" w:ascii="宋体" w:hAnsi="宋体" w:eastAsia="宋体" w:cs="宋体"/>
          <w:color w:val="000000"/>
          <w:szCs w:val="21"/>
          <w:highlight w:val="none"/>
        </w:rPr>
        <w:t>）</w:t>
      </w:r>
    </w:p>
    <w:p>
      <w:pPr>
        <w:pStyle w:val="8"/>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2.电子投标文件制作与投送教程（在此网址下载：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"http://nncz.nanning.gov.cn/" </w:instrText>
      </w:r>
      <w:r>
        <w:rPr>
          <w:rFonts w:hint="eastAsia" w:ascii="宋体" w:hAnsi="宋体" w:eastAsia="宋体" w:cs="宋体"/>
          <w:highlight w:val="none"/>
        </w:rPr>
        <w:fldChar w:fldCharType="separate"/>
      </w:r>
      <w:r>
        <w:rPr>
          <w:rStyle w:val="23"/>
          <w:rFonts w:hint="eastAsia" w:ascii="宋体" w:hAnsi="宋体" w:eastAsia="宋体" w:cs="宋体"/>
          <w:highlight w:val="none"/>
        </w:rPr>
        <w:t>http://nncz.nanning.gov.cn/</w:t>
      </w:r>
      <w:r>
        <w:rPr>
          <w:rFonts w:hint="eastAsia" w:ascii="宋体" w:hAnsi="宋体" w:eastAsia="宋体" w:cs="宋体"/>
          <w:highlight w:val="none"/>
        </w:rPr>
        <w:fldChar w:fldCharType="end"/>
      </w:r>
      <w:r>
        <w:rPr>
          <w:rFonts w:hint="eastAsia" w:ascii="宋体" w:hAnsi="宋体" w:eastAsia="宋体" w:cs="宋体"/>
          <w:highlight w:val="none"/>
        </w:rPr>
        <w:t>（南宁市财政局官网）-下载专区</w:t>
      </w:r>
      <w:r>
        <w:rPr>
          <w:rFonts w:hint="eastAsia" w:ascii="宋体" w:hAnsi="宋体" w:eastAsia="宋体" w:cs="宋体"/>
          <w:color w:val="000000"/>
          <w:szCs w:val="21"/>
          <w:highlight w:val="none"/>
        </w:rPr>
        <w:t>）</w:t>
      </w:r>
    </w:p>
    <w:p>
      <w:pPr>
        <w:spacing w:line="360" w:lineRule="auto"/>
        <w:rPr>
          <w:rFonts w:hint="eastAsia" w:ascii="宋体" w:hAnsi="宋体" w:eastAsia="宋体" w:cs="宋体"/>
          <w:color w:val="000000"/>
          <w:szCs w:val="21"/>
          <w:highlight w:val="none"/>
        </w:rPr>
      </w:pPr>
    </w:p>
    <w:p>
      <w:pPr>
        <w:spacing w:line="360" w:lineRule="auto"/>
        <w:jc w:val="righ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广西合美工程咨询有限公司</w:t>
      </w:r>
    </w:p>
    <w:p>
      <w:pPr>
        <w:spacing w:line="360" w:lineRule="auto"/>
        <w:ind w:firstLine="210" w:firstLineChars="100"/>
        <w:jc w:val="right"/>
        <w:rPr>
          <w:rFonts w:hint="eastAsia" w:ascii="宋体" w:hAnsi="宋体" w:eastAsia="宋体" w:cs="宋体"/>
          <w:color w:val="0000FF"/>
          <w:highlight w:val="none"/>
          <w:u w:val="none"/>
        </w:rPr>
      </w:pPr>
      <w:r>
        <w:rPr>
          <w:rFonts w:hint="eastAsia" w:ascii="宋体" w:hAnsi="宋体" w:eastAsia="宋体" w:cs="宋体"/>
          <w:color w:val="0000FF"/>
          <w:szCs w:val="21"/>
          <w:highlight w:val="none"/>
          <w:u w:val="none"/>
          <w:lang w:val="en-US" w:eastAsia="zh-CN"/>
        </w:rPr>
        <w:t>202</w:t>
      </w:r>
      <w:r>
        <w:rPr>
          <w:rFonts w:hint="eastAsia" w:ascii="宋体" w:hAnsi="宋体" w:cs="宋体"/>
          <w:color w:val="0000FF"/>
          <w:szCs w:val="21"/>
          <w:highlight w:val="none"/>
          <w:u w:val="none"/>
          <w:lang w:val="en-US" w:eastAsia="zh-CN"/>
        </w:rPr>
        <w:t>4</w:t>
      </w:r>
      <w:r>
        <w:rPr>
          <w:rFonts w:hint="eastAsia" w:ascii="宋体" w:hAnsi="宋体" w:eastAsia="宋体" w:cs="宋体"/>
          <w:color w:val="0000FF"/>
          <w:szCs w:val="21"/>
          <w:highlight w:val="none"/>
          <w:u w:val="none"/>
        </w:rPr>
        <w:t>年</w:t>
      </w:r>
      <w:r>
        <w:rPr>
          <w:rFonts w:hint="eastAsia" w:ascii="宋体" w:hAnsi="宋体" w:cs="宋体"/>
          <w:color w:val="0000FF"/>
          <w:szCs w:val="21"/>
          <w:highlight w:val="none"/>
          <w:u w:val="none"/>
          <w:lang w:val="en-US" w:eastAsia="zh-CN"/>
        </w:rPr>
        <w:t>5</w:t>
      </w:r>
      <w:r>
        <w:rPr>
          <w:rFonts w:hint="eastAsia" w:ascii="宋体" w:hAnsi="宋体" w:eastAsia="宋体" w:cs="宋体"/>
          <w:color w:val="0000FF"/>
          <w:szCs w:val="21"/>
          <w:highlight w:val="none"/>
          <w:u w:val="none"/>
        </w:rPr>
        <w:t>月</w:t>
      </w:r>
      <w:r>
        <w:rPr>
          <w:rFonts w:hint="eastAsia" w:ascii="宋体" w:hAnsi="宋体" w:cs="宋体"/>
          <w:color w:val="0000FF"/>
          <w:szCs w:val="21"/>
          <w:highlight w:val="none"/>
          <w:u w:val="none"/>
          <w:lang w:val="en-US" w:eastAsia="zh-CN"/>
        </w:rPr>
        <w:t>21</w:t>
      </w:r>
      <w:r>
        <w:rPr>
          <w:rFonts w:hint="eastAsia" w:ascii="宋体" w:hAnsi="宋体" w:eastAsia="宋体" w:cs="宋体"/>
          <w:color w:val="0000FF"/>
          <w:szCs w:val="21"/>
          <w:highlight w:val="none"/>
          <w:u w:val="none"/>
        </w:rPr>
        <w:t>日</w:t>
      </w:r>
    </w:p>
    <w:p>
      <w:pPr>
        <w:widowControl/>
        <w:spacing w:line="360" w:lineRule="auto"/>
        <w:jc w:val="left"/>
        <w:rPr>
          <w:rFonts w:hint="eastAsia" w:ascii="宋体" w:hAnsi="宋体" w:eastAsia="宋体" w:cs="宋体"/>
          <w:color w:val="0000FF"/>
          <w:sz w:val="24"/>
          <w:highlight w:val="none"/>
          <w:u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pPr>
        <w:pStyle w:val="11"/>
        <w:jc w:val="center"/>
        <w:outlineLvl w:val="0"/>
        <w:rPr>
          <w:rFonts w:hint="eastAsia" w:ascii="宋体" w:hAnsi="宋体" w:eastAsia="宋体" w:cs="宋体"/>
          <w:b/>
          <w:sz w:val="36"/>
          <w:highlight w:val="none"/>
        </w:rPr>
      </w:pPr>
      <w:bookmarkStart w:id="58" w:name="_Toc532545042"/>
      <w:bookmarkStart w:id="59" w:name="_Toc28689"/>
      <w:bookmarkStart w:id="60" w:name="_Toc6670"/>
      <w:r>
        <w:rPr>
          <w:rFonts w:hint="eastAsia" w:ascii="宋体" w:hAnsi="宋体" w:eastAsia="宋体" w:cs="宋体"/>
          <w:b/>
          <w:sz w:val="36"/>
          <w:highlight w:val="none"/>
        </w:rPr>
        <w:t xml:space="preserve">第二章  </w:t>
      </w:r>
      <w:bookmarkEnd w:id="58"/>
      <w:r>
        <w:rPr>
          <w:rFonts w:hint="eastAsia" w:ascii="宋体" w:hAnsi="宋体" w:eastAsia="宋体" w:cs="宋体"/>
          <w:b/>
          <w:sz w:val="36"/>
          <w:highlight w:val="none"/>
        </w:rPr>
        <w:t>采购需求</w:t>
      </w:r>
      <w:bookmarkEnd w:id="59"/>
      <w:bookmarkEnd w:id="60"/>
    </w:p>
    <w:p>
      <w:pPr>
        <w:adjustRightInd w:val="0"/>
        <w:spacing w:line="340" w:lineRule="exact"/>
        <w:rPr>
          <w:rFonts w:hint="eastAsia" w:ascii="宋体" w:hAnsi="宋体" w:eastAsia="宋体" w:cs="宋体"/>
          <w:b/>
          <w:szCs w:val="21"/>
          <w:highlight w:val="none"/>
        </w:rPr>
      </w:pPr>
    </w:p>
    <w:p>
      <w:pPr>
        <w:adjustRightInd w:val="0"/>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说明：</w:t>
      </w:r>
    </w:p>
    <w:p>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 为落实政府采购政策需满足的要求（根据项目实际情况填写内容）</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（1）本招标文件所称</w:t>
      </w:r>
      <w:r>
        <w:rPr>
          <w:rFonts w:hint="eastAsia" w:ascii="宋体" w:hAnsi="宋体" w:eastAsia="宋体" w:cs="宋体"/>
          <w:color w:val="000000"/>
          <w:szCs w:val="21"/>
          <w:highlight w:val="none"/>
          <w:lang w:eastAsia="zh-CN"/>
        </w:rPr>
        <w:t>中小</w:t>
      </w:r>
      <w:r>
        <w:rPr>
          <w:rFonts w:hint="eastAsia" w:ascii="宋体" w:hAnsi="宋体" w:eastAsia="宋体" w:cs="宋体"/>
          <w:szCs w:val="21"/>
          <w:highlight w:val="none"/>
        </w:rPr>
        <w:t>企业必须符合《政府采购促进中小企业发展管理办法》（财库〔2020〕46号）的规定。</w:t>
      </w:r>
    </w:p>
    <w:p>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eastAsia="宋体" w:cs="宋体"/>
          <w:b/>
          <w:szCs w:val="21"/>
          <w:highlight w:val="none"/>
        </w:rPr>
      </w:pPr>
      <w:r>
        <w:rPr>
          <w:rFonts w:hint="eastAsia" w:ascii="宋体" w:hAnsi="宋体" w:eastAsia="宋体" w:cs="宋体"/>
          <w:szCs w:val="21"/>
          <w:highlight w:val="none"/>
        </w:rPr>
        <w:t>（3）</w:t>
      </w:r>
      <w:r>
        <w:rPr>
          <w:rFonts w:hint="eastAsia" w:ascii="宋体" w:hAnsi="宋体" w:eastAsia="宋体" w:cs="宋体"/>
          <w:b/>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w:t>
      </w:r>
    </w:p>
    <w:p>
      <w:pPr>
        <w:numPr>
          <w:ilvl w:val="0"/>
          <w:numId w:val="1"/>
        </w:num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“实质性要求”是指招标文件中已经指明不满足则投标无效的条款，或者不能负偏离的条款，或者采购需求中带“▲”的条款。</w:t>
      </w:r>
    </w:p>
    <w:p>
      <w:pPr>
        <w:numPr>
          <w:ilvl w:val="0"/>
          <w:numId w:val="1"/>
        </w:numPr>
        <w:spacing w:line="360" w:lineRule="auto"/>
        <w:ind w:left="0" w:leftChars="0"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不需要投标人对采购需求响应为具体数值的，此采购需求的数值后将以◆号标注。</w:t>
      </w:r>
    </w:p>
    <w:p>
      <w:pPr>
        <w:numPr>
          <w:ilvl w:val="0"/>
          <w:numId w:val="1"/>
        </w:numPr>
        <w:spacing w:line="360" w:lineRule="auto"/>
        <w:ind w:left="0" w:leftChars="0" w:firstLine="424" w:firstLineChars="202"/>
        <w:jc w:val="left"/>
        <w:rPr>
          <w:rFonts w:hint="eastAsia" w:ascii="宋体" w:hAnsi="宋体" w:eastAsia="宋体" w:cs="宋体"/>
          <w:highlight w:val="none"/>
        </w:rPr>
      </w:pPr>
      <w:r>
        <w:rPr>
          <w:rFonts w:hint="eastAsia" w:ascii="宋体" w:hAnsi="宋体" w:eastAsia="宋体" w:cs="宋体"/>
          <w:highlight w:val="none"/>
        </w:rPr>
        <w:t>如投标人投标产品存在侵犯他人的知识产权或者专利成果行为的，应承担相应法律责任。</w:t>
      </w:r>
    </w:p>
    <w:tbl>
      <w:tblPr>
        <w:tblStyle w:val="18"/>
        <w:tblW w:w="10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1"/>
        <w:gridCol w:w="540"/>
        <w:gridCol w:w="855"/>
        <w:gridCol w:w="570"/>
        <w:gridCol w:w="525"/>
        <w:gridCol w:w="5640"/>
        <w:gridCol w:w="923"/>
        <w:gridCol w:w="11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9" w:type="dxa"/>
            <w:gridSpan w:val="8"/>
            <w:tcBorders>
              <w:top w:val="single" w:color="auto" w:sz="4" w:space="0"/>
            </w:tcBorders>
            <w:vAlign w:val="center"/>
          </w:tcPr>
          <w:p>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1" w:type="dxa"/>
            <w:vMerge w:val="restart"/>
            <w:tcBorders>
              <w:top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5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6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145" w:type="dxa"/>
            <w:tcBorders>
              <w:top w:val="single" w:color="auto" w:sz="4" w:space="0"/>
              <w:left w:val="single" w:color="auto" w:sz="4" w:space="0"/>
              <w:bottom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481" w:type="dxa"/>
            <w:vMerge w:val="continue"/>
            <w:tcBorders>
              <w:right w:val="single" w:color="auto" w:sz="4" w:space="0"/>
            </w:tcBorders>
            <w:vAlign w:val="top"/>
          </w:tcPr>
          <w:p>
            <w:pPr>
              <w:spacing w:line="320" w:lineRule="exact"/>
              <w:jc w:val="center"/>
              <w:rPr>
                <w:rFonts w:hint="eastAsia" w:ascii="宋体" w:hAnsi="宋体" w:eastAsia="宋体" w:cs="宋体"/>
                <w:b/>
                <w:bCs/>
                <w:color w:val="auto"/>
                <w:highlight w:val="none"/>
              </w:rPr>
            </w:pPr>
          </w:p>
        </w:tc>
        <w:tc>
          <w:tcPr>
            <w:tcW w:w="54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2024年苏圩镇保卫村蔬菜基地三期项目A标</w:t>
            </w:r>
          </w:p>
        </w:tc>
        <w:tc>
          <w:tcPr>
            <w:tcW w:w="57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项</w:t>
            </w:r>
          </w:p>
        </w:tc>
        <w:tc>
          <w:tcPr>
            <w:tcW w:w="5640" w:type="dxa"/>
            <w:tcBorders>
              <w:top w:val="single" w:color="auto" w:sz="4" w:space="0"/>
              <w:left w:val="single" w:color="auto" w:sz="4" w:space="0"/>
              <w:right w:val="single" w:color="auto" w:sz="4" w:space="0"/>
            </w:tcBorders>
            <w:vAlign w:val="center"/>
          </w:tcPr>
          <w:p>
            <w:pPr>
              <w:pStyle w:val="25"/>
              <w:keepNext w:val="0"/>
              <w:keepLines w:val="0"/>
              <w:pageBreakBefore w:val="0"/>
              <w:kinsoku/>
              <w:wordWrap/>
              <w:overflowPunct/>
              <w:topLinePunct w:val="0"/>
              <w:autoSpaceDE/>
              <w:autoSpaceDN/>
              <w:bidi w:val="0"/>
              <w:adjustRightInd/>
              <w:spacing w:line="360" w:lineRule="exact"/>
              <w:ind w:firstLine="210" w:firstLineChars="100"/>
              <w:jc w:val="left"/>
              <w:textAlignment w:val="auto"/>
              <w:rPr>
                <w:rFonts w:hint="eastAsia" w:asciiTheme="minorEastAsia" w:hAnsiTheme="minorEastAsia" w:eastAsiaTheme="minorEastAsia" w:cstheme="minorEastAsia"/>
                <w:b w:val="0"/>
                <w:bCs/>
                <w:color w:val="auto"/>
                <w:highlight w:val="none"/>
              </w:rPr>
            </w:pPr>
            <w:bookmarkStart w:id="61" w:name="_Toc27337"/>
            <w:bookmarkStart w:id="62" w:name="_Toc14792"/>
            <w:bookmarkStart w:id="63" w:name="_Toc16904"/>
            <w:r>
              <w:rPr>
                <w:rFonts w:hint="eastAsia" w:asciiTheme="minorEastAsia" w:hAnsiTheme="minorEastAsia" w:eastAsiaTheme="minorEastAsia" w:cstheme="minorEastAsia"/>
                <w:b w:val="0"/>
                <w:bCs/>
                <w:color w:val="auto"/>
                <w:highlight w:val="none"/>
                <w:lang w:val="en-US" w:eastAsia="zh-CN"/>
              </w:rPr>
              <w:t>一、</w:t>
            </w:r>
            <w:r>
              <w:rPr>
                <w:rFonts w:hint="eastAsia" w:asciiTheme="minorEastAsia" w:hAnsiTheme="minorEastAsia" w:eastAsiaTheme="minorEastAsia" w:cstheme="minorEastAsia"/>
                <w:b w:val="0"/>
                <w:bCs/>
                <w:color w:val="auto"/>
                <w:highlight w:val="none"/>
              </w:rPr>
              <w:t>建设规模：104.2亩。</w:t>
            </w:r>
            <w:bookmarkEnd w:id="61"/>
            <w:bookmarkEnd w:id="62"/>
            <w:r>
              <w:rPr>
                <w:rFonts w:hint="eastAsia" w:asciiTheme="minorEastAsia" w:hAnsiTheme="minorEastAsia" w:eastAsiaTheme="minorEastAsia" w:cstheme="minorEastAsia"/>
                <w:b w:val="0"/>
                <w:bCs/>
                <w:color w:val="auto"/>
                <w:highlight w:val="none"/>
              </w:rPr>
              <w:t xml:space="preserve">              </w:t>
            </w:r>
          </w:p>
          <w:p>
            <w:pPr>
              <w:pStyle w:val="25"/>
              <w:keepNext w:val="0"/>
              <w:keepLines w:val="0"/>
              <w:pageBreakBefore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b w:val="0"/>
                <w:bCs/>
                <w:color w:val="auto"/>
                <w:highlight w:val="none"/>
              </w:rPr>
            </w:pPr>
            <w:bookmarkStart w:id="64" w:name="_Toc27951"/>
            <w:bookmarkStart w:id="65" w:name="_Toc1895"/>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b w:val="0"/>
                <w:bCs/>
                <w:color w:val="auto"/>
                <w:highlight w:val="none"/>
              </w:rPr>
              <w:t>建设内容：大棚基础开挖及搭建等，具体详见工程量清单、招标控制价及图纸。</w:t>
            </w:r>
            <w:bookmarkEnd w:id="63"/>
            <w:bookmarkEnd w:id="64"/>
            <w:bookmarkEnd w:id="65"/>
          </w:p>
          <w:p>
            <w:pPr>
              <w:pStyle w:val="25"/>
              <w:keepNext w:val="0"/>
              <w:keepLines w:val="0"/>
              <w:pageBreakBefore w:val="0"/>
              <w:kinsoku/>
              <w:wordWrap/>
              <w:overflowPunct/>
              <w:topLinePunct w:val="0"/>
              <w:autoSpaceDE/>
              <w:autoSpaceDN/>
              <w:bidi w:val="0"/>
              <w:adjustRightInd/>
              <w:spacing w:line="360" w:lineRule="exact"/>
              <w:ind w:firstLine="210" w:firstLineChars="100"/>
              <w:jc w:val="left"/>
              <w:textAlignment w:val="auto"/>
              <w:rPr>
                <w:rFonts w:hint="eastAsia" w:asciiTheme="minorEastAsia" w:hAnsiTheme="minorEastAsia" w:eastAsiaTheme="minorEastAsia" w:cstheme="minorEastAsia"/>
                <w:b w:val="0"/>
                <w:bCs/>
                <w:color w:val="auto"/>
                <w:highlight w:val="none"/>
                <w:lang w:val="en-US" w:eastAsia="zh-CN"/>
              </w:rPr>
            </w:pPr>
            <w:bookmarkStart w:id="66" w:name="_Toc1900"/>
            <w:bookmarkStart w:id="67" w:name="_Toc2238"/>
            <w:bookmarkStart w:id="68" w:name="_Toc3095"/>
            <w:r>
              <w:rPr>
                <w:rFonts w:hint="eastAsia" w:asciiTheme="minorEastAsia" w:hAnsiTheme="minorEastAsia" w:eastAsiaTheme="minorEastAsia" w:cstheme="minorEastAsia"/>
                <w:b w:val="0"/>
                <w:bCs/>
                <w:color w:val="auto"/>
                <w:highlight w:val="none"/>
                <w:lang w:val="en-US" w:eastAsia="zh-CN"/>
              </w:rPr>
              <w:t>三、建设地点：</w:t>
            </w:r>
            <w:bookmarkEnd w:id="66"/>
            <w:r>
              <w:rPr>
                <w:rFonts w:hint="eastAsia" w:asciiTheme="minorEastAsia" w:hAnsiTheme="minorEastAsia" w:eastAsiaTheme="minorEastAsia" w:cstheme="minorEastAsia"/>
                <w:b w:val="0"/>
                <w:bCs/>
                <w:color w:val="auto"/>
                <w:highlight w:val="none"/>
                <w:lang w:val="en-US" w:eastAsia="zh-CN"/>
              </w:rPr>
              <w:t>南宁市江南区苏圩镇保卫村。</w:t>
            </w:r>
            <w:bookmarkEnd w:id="67"/>
            <w:bookmarkEnd w:id="68"/>
          </w:p>
          <w:p>
            <w:pPr>
              <w:widowControl/>
              <w:spacing w:line="360" w:lineRule="atLeast"/>
              <w:rPr>
                <w:rFonts w:hint="eastAsia" w:ascii="宋体" w:hAnsi="宋体" w:eastAsia="宋体" w:cs="宋体"/>
                <w:color w:val="auto"/>
                <w:szCs w:val="21"/>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四、质量要求</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工程质量符合国家施工验收规范合格标准</w:t>
            </w:r>
            <w:r>
              <w:rPr>
                <w:rFonts w:hint="eastAsia" w:asciiTheme="minorEastAsia" w:hAnsiTheme="minorEastAsia" w:eastAsiaTheme="minorEastAsia" w:cstheme="minorEastAsia"/>
                <w:highlight w:val="none"/>
              </w:rPr>
              <w:t>。</w:t>
            </w:r>
          </w:p>
        </w:tc>
        <w:tc>
          <w:tcPr>
            <w:tcW w:w="923"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3919180.67</w:t>
            </w:r>
          </w:p>
        </w:tc>
        <w:tc>
          <w:tcPr>
            <w:tcW w:w="1145" w:type="dxa"/>
            <w:tcBorders>
              <w:top w:val="single" w:color="auto" w:sz="4" w:space="0"/>
              <w:left w:val="single" w:color="auto" w:sz="4" w:space="0"/>
              <w:bottom w:val="single" w:color="auto" w:sz="4" w:space="0"/>
            </w:tcBorders>
            <w:vAlign w:val="center"/>
          </w:tcPr>
          <w:p>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876" w:type="dxa"/>
            <w:gridSpan w:val="3"/>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p>
            <w:pPr>
              <w:spacing w:line="320" w:lineRule="exact"/>
              <w:jc w:val="center"/>
              <w:rPr>
                <w:rFonts w:hint="eastAsia" w:ascii="宋体" w:hAnsi="宋体" w:eastAsia="宋体" w:cs="宋体"/>
                <w:color w:val="auto"/>
                <w:highlight w:val="none"/>
              </w:rPr>
            </w:pPr>
          </w:p>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8803" w:type="dxa"/>
            <w:gridSpan w:val="5"/>
            <w:tcBorders>
              <w:top w:val="single" w:color="auto" w:sz="4" w:space="0"/>
              <w:left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ind w:firstLine="211"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一、合同签订期：</w:t>
            </w:r>
            <w:r>
              <w:rPr>
                <w:rFonts w:hint="eastAsia" w:ascii="宋体" w:hAnsi="宋体" w:eastAsia="宋体" w:cs="宋体"/>
                <w:color w:val="auto"/>
                <w:highlight w:val="none"/>
                <w:lang w:val="en-US" w:eastAsia="zh-CN"/>
              </w:rPr>
              <w:t>自中标通知书发出之日起</w:t>
            </w:r>
            <w:r>
              <w:rPr>
                <w:rFonts w:hint="eastAsia" w:ascii="宋体" w:hAnsi="宋体" w:cs="宋体"/>
                <w:highlight w:val="none"/>
              </w:rPr>
              <w:t xml:space="preserve"> 25 日内</w:t>
            </w:r>
            <w:r>
              <w:rPr>
                <w:rFonts w:hint="eastAsia" w:ascii="宋体" w:hAnsi="宋体" w:cs="宋体"/>
                <w:color w:val="auto"/>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highlight w:val="none"/>
              </w:rPr>
            </w:pPr>
            <w:r>
              <w:rPr>
                <w:rFonts w:hint="eastAsia" w:ascii="宋体" w:hAnsi="宋体" w:cs="宋体"/>
                <w:highlight w:val="none"/>
              </w:rPr>
              <w:t>▲</w:t>
            </w:r>
            <w:r>
              <w:rPr>
                <w:rFonts w:hint="eastAsia" w:ascii="宋体" w:hAnsi="宋体" w:cs="宋体"/>
                <w:b/>
                <w:bCs/>
                <w:szCs w:val="21"/>
                <w:highlight w:val="none"/>
              </w:rPr>
              <w:t>二、</w:t>
            </w:r>
            <w:r>
              <w:rPr>
                <w:rFonts w:hint="eastAsia" w:ascii="宋体" w:hAnsi="宋体" w:cs="宋体"/>
                <w:b/>
                <w:bCs/>
                <w:szCs w:val="21"/>
                <w:highlight w:val="none"/>
                <w:lang w:val="en-US" w:eastAsia="zh-CN"/>
              </w:rPr>
              <w:t>工期</w:t>
            </w:r>
            <w:r>
              <w:rPr>
                <w:rFonts w:hint="eastAsia" w:ascii="宋体" w:hAnsi="宋体" w:cs="宋体"/>
                <w:b/>
                <w:bCs/>
                <w:szCs w:val="21"/>
                <w:highlight w:val="none"/>
              </w:rPr>
              <w:t>：</w:t>
            </w:r>
            <w:r>
              <w:rPr>
                <w:rFonts w:hint="eastAsia" w:ascii="宋体" w:hAnsi="宋体" w:cs="宋体"/>
                <w:szCs w:val="21"/>
                <w:highlight w:val="none"/>
                <w:lang w:val="en-US" w:eastAsia="zh-CN"/>
              </w:rPr>
              <w:t>60日历天</w:t>
            </w:r>
            <w:r>
              <w:rPr>
                <w:rFonts w:hint="eastAsia" w:ascii="宋体" w:hAnsi="宋体" w:cs="宋体"/>
                <w:szCs w:val="21"/>
                <w:highlight w:val="none"/>
              </w:rPr>
              <w:t>。</w:t>
            </w:r>
          </w:p>
          <w:p>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hint="eastAsia" w:ascii="宋体" w:hAnsi="宋体" w:eastAsia="宋体" w:cs="宋体"/>
                <w:highlight w:val="none"/>
                <w:lang w:eastAsia="zh-CN"/>
              </w:rPr>
            </w:pPr>
            <w:r>
              <w:rPr>
                <w:rFonts w:hint="eastAsia" w:ascii="宋体" w:hAnsi="宋体" w:cs="宋体"/>
                <w:highlight w:val="none"/>
              </w:rPr>
              <w:t>▲</w:t>
            </w:r>
            <w:r>
              <w:rPr>
                <w:rFonts w:hint="eastAsia" w:ascii="宋体" w:hAnsi="宋体" w:cs="宋体"/>
                <w:b/>
                <w:bCs/>
                <w:highlight w:val="none"/>
                <w:lang w:val="en-US" w:eastAsia="zh-CN"/>
              </w:rPr>
              <w:t>三</w:t>
            </w:r>
            <w:r>
              <w:rPr>
                <w:rFonts w:hint="eastAsia" w:ascii="宋体" w:hAnsi="宋体" w:cs="宋体"/>
                <w:b/>
                <w:bCs/>
                <w:highlight w:val="none"/>
              </w:rPr>
              <w:t>、</w:t>
            </w:r>
            <w:r>
              <w:rPr>
                <w:rFonts w:hint="eastAsia" w:ascii="宋体" w:hAnsi="宋体" w:cs="宋体"/>
                <w:b/>
                <w:bCs/>
                <w:highlight w:val="none"/>
                <w:lang w:val="en-US" w:eastAsia="zh-CN"/>
              </w:rPr>
              <w:t>验收标准、规范：</w:t>
            </w:r>
            <w:r>
              <w:rPr>
                <w:rFonts w:hint="eastAsia" w:ascii="宋体" w:hAnsi="宋体" w:cs="宋体"/>
                <w:highlight w:val="none"/>
                <w:lang w:val="en-US" w:eastAsia="zh-CN"/>
              </w:rPr>
              <w:t>达到国家施工验收规范合格标准</w:t>
            </w:r>
            <w:r>
              <w:rPr>
                <w:rFonts w:hint="eastAsia" w:ascii="宋体" w:hAnsi="宋体" w:cs="宋体"/>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b/>
                <w:bCs/>
                <w:highlight w:val="none"/>
              </w:rPr>
            </w:pPr>
            <w:r>
              <w:rPr>
                <w:rFonts w:hint="eastAsia" w:ascii="宋体" w:hAnsi="宋体" w:cs="宋体"/>
                <w:highlight w:val="none"/>
              </w:rPr>
              <w:t>▲</w:t>
            </w:r>
            <w:r>
              <w:rPr>
                <w:rFonts w:hint="eastAsia" w:ascii="宋体" w:hAnsi="宋体" w:cs="宋体"/>
                <w:b/>
                <w:bCs/>
                <w:highlight w:val="none"/>
                <w:lang w:val="en-US" w:eastAsia="zh-CN"/>
              </w:rPr>
              <w:t>四</w:t>
            </w:r>
            <w:r>
              <w:rPr>
                <w:rFonts w:hint="eastAsia" w:ascii="宋体" w:hAnsi="宋体" w:cs="宋体"/>
                <w:b/>
                <w:bCs/>
                <w:highlight w:val="none"/>
              </w:rPr>
              <w:t>、其他要求：</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hint="eastAsia" w:ascii="宋体" w:hAnsi="宋体" w:eastAsia="宋体" w:cs="宋体"/>
                <w:highlight w:val="none"/>
                <w:lang w:eastAsia="zh-CN"/>
              </w:rPr>
            </w:pPr>
            <w:r>
              <w:rPr>
                <w:rFonts w:hint="eastAsia" w:ascii="宋体" w:hAnsi="宋体" w:cs="宋体"/>
                <w:highlight w:val="none"/>
              </w:rPr>
              <w:t>▲1、本项目采用工程量清单报价。供应商应结合自身因素进行工程量清单报价，但不得超出</w:t>
            </w:r>
            <w:r>
              <w:rPr>
                <w:rFonts w:hint="eastAsia" w:ascii="宋体" w:hAnsi="宋体" w:cs="宋体"/>
                <w:highlight w:val="none"/>
                <w:lang w:val="en-US" w:eastAsia="zh-CN"/>
              </w:rPr>
              <w:t>采购预算价或最高限价</w:t>
            </w:r>
            <w:r>
              <w:rPr>
                <w:rFonts w:hint="eastAsia" w:ascii="宋体" w:hAnsi="宋体" w:cs="宋体"/>
                <w:highlight w:val="none"/>
              </w:rPr>
              <w:t>，否则</w:t>
            </w:r>
            <w:r>
              <w:rPr>
                <w:rFonts w:hint="eastAsia" w:ascii="宋体" w:hAnsi="宋体" w:cs="宋体"/>
                <w:highlight w:val="none"/>
                <w:lang w:val="en-US" w:eastAsia="zh-CN"/>
              </w:rPr>
              <w:t>投标</w:t>
            </w:r>
            <w:r>
              <w:rPr>
                <w:rFonts w:hint="eastAsia" w:ascii="宋体" w:hAnsi="宋体" w:cs="宋体"/>
                <w:highlight w:val="none"/>
              </w:rPr>
              <w:t>无效。供应商必须就所投工程的全部内容作完整唯一报价，漏项报价的或有选择的或有条件的报价，其</w:t>
            </w:r>
            <w:r>
              <w:rPr>
                <w:rFonts w:hint="eastAsia" w:ascii="宋体" w:hAnsi="宋体" w:cs="宋体"/>
                <w:highlight w:val="none"/>
                <w:lang w:val="en-US" w:eastAsia="zh-CN"/>
              </w:rPr>
              <w:t>投标</w:t>
            </w:r>
            <w:r>
              <w:rPr>
                <w:rFonts w:hint="eastAsia" w:ascii="宋体" w:hAnsi="宋体" w:cs="宋体"/>
                <w:highlight w:val="none"/>
              </w:rPr>
              <w:t>无效</w:t>
            </w:r>
            <w:r>
              <w:rPr>
                <w:rFonts w:hint="eastAsia" w:ascii="宋体" w:hAnsi="宋体" w:cs="宋体"/>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ascii="宋体" w:hAnsi="宋体" w:cs="宋体"/>
                <w:highlight w:val="none"/>
              </w:rPr>
            </w:pPr>
            <w:r>
              <w:rPr>
                <w:rFonts w:hint="eastAsia" w:ascii="宋体" w:hAnsi="宋体" w:cs="宋体"/>
                <w:highlight w:val="none"/>
              </w:rPr>
              <w:t>▲2、报价必须含以下部分，包括：</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cs="宋体"/>
                <w:highlight w:val="none"/>
              </w:rPr>
              <w:t>工程量清单中的每一子目须填入单价或价格，且只允许有一个报价。</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工程量清单中供应商没有填入单价或价格的子目，其费用视为己分摊在工程量清单中其他相关子目的单价或价格之中。承包人必须按监理人</w:t>
            </w:r>
            <w:r>
              <w:rPr>
                <w:rFonts w:hint="eastAsia" w:ascii="宋体" w:hAnsi="宋体" w:cs="宋体"/>
                <w:highlight w:val="none"/>
                <w:lang w:val="en-US" w:eastAsia="zh-CN"/>
              </w:rPr>
              <w:t>或采购人</w:t>
            </w:r>
            <w:r>
              <w:rPr>
                <w:rFonts w:hint="eastAsia" w:ascii="宋体" w:hAnsi="宋体" w:cs="宋体"/>
                <w:highlight w:val="none"/>
              </w:rPr>
              <w:t>指令完成工程量清单中未填入单价或价格的子目，但不能得到结算与支付。</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符合合同条款规定的全部费用应认为已被计入有标价的工程量清单所列各子目之中，未列子目不予计量的工作，其费用应视为已分摊在本合同工程的有关子目的单价或总额价之中。</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rPr>
              <w:t>承包人用于本合同工程的各类装备的提供、运输、维护、拆卸、拼装等支付的费用，已包括在工程量清单的单价与总额价之中。</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工程量清单中各项金额均以人民币（元）结算。</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暂列金额（不含计日工总额）的数量及拟用子目的说明：详见工程量清单</w:t>
            </w:r>
            <w:r>
              <w:rPr>
                <w:rFonts w:hint="eastAsia" w:ascii="宋体" w:hAnsi="宋体" w:cs="宋体"/>
                <w:highlight w:val="none"/>
                <w:lang w:eastAsia="zh-CN"/>
              </w:rPr>
              <w:t>（</w:t>
            </w:r>
            <w:r>
              <w:rPr>
                <w:rFonts w:hint="eastAsia" w:ascii="宋体" w:hAnsi="宋体" w:cs="宋体"/>
                <w:highlight w:val="none"/>
                <w:lang w:val="en-US" w:eastAsia="zh-CN"/>
              </w:rPr>
              <w:t>招标控制价</w:t>
            </w:r>
            <w:r>
              <w:rPr>
                <w:rFonts w:hint="eastAsia" w:ascii="宋体" w:hAnsi="宋体" w:cs="宋体"/>
                <w:highlight w:val="none"/>
                <w:lang w:eastAsia="zh-CN"/>
              </w:rPr>
              <w:t>）</w:t>
            </w:r>
            <w:r>
              <w:rPr>
                <w:rFonts w:hint="eastAsia" w:ascii="宋体" w:hAnsi="宋体" w:cs="宋体"/>
                <w:highlight w:val="none"/>
              </w:rPr>
              <w:t>。</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暂估价的数量及拟用子目的说明：详见工程量清单。</w:t>
            </w:r>
          </w:p>
          <w:p>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highlight w:val="none"/>
              </w:rPr>
            </w:pPr>
            <w:r>
              <w:rPr>
                <w:rFonts w:hint="eastAsia" w:ascii="宋体" w:hAnsi="宋体" w:cs="宋体"/>
                <w:highlight w:val="none"/>
                <w:lang w:val="en-US" w:eastAsia="zh-CN"/>
              </w:rPr>
              <w:t>6、</w:t>
            </w:r>
            <w:r>
              <w:rPr>
                <w:rFonts w:hint="eastAsia" w:ascii="宋体" w:hAnsi="宋体" w:cs="宋体"/>
                <w:highlight w:val="none"/>
              </w:rPr>
              <w:t>供应商必须按照采购人提供的工程量清单格式填写，不可擅自修改工程量清单，</w:t>
            </w:r>
            <w:r>
              <w:rPr>
                <w:rFonts w:hint="eastAsia" w:ascii="宋体" w:hAnsi="宋体" w:cs="宋体"/>
                <w:highlight w:val="none"/>
                <w:lang w:val="en-US" w:eastAsia="zh-CN"/>
              </w:rPr>
              <w:t>投标</w:t>
            </w:r>
            <w:r>
              <w:rPr>
                <w:rFonts w:hint="eastAsia" w:ascii="宋体" w:hAnsi="宋体" w:cs="宋体"/>
                <w:highlight w:val="none"/>
              </w:rPr>
              <w:t>报价清单（已标价工程量清单）与采购人提供的工程量清单有任何不一致的，将做无效</w:t>
            </w:r>
            <w:r>
              <w:rPr>
                <w:rFonts w:hint="eastAsia" w:ascii="宋体" w:hAnsi="宋体" w:cs="宋体"/>
                <w:highlight w:val="none"/>
                <w:lang w:val="en-US" w:eastAsia="zh-CN"/>
              </w:rPr>
              <w:t>投标</w:t>
            </w:r>
            <w:r>
              <w:rPr>
                <w:rFonts w:hint="eastAsia" w:ascii="宋体" w:hAnsi="宋体" w:cs="宋体"/>
                <w:highlight w:val="none"/>
              </w:rPr>
              <w:t>处理。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lang w:val="en-US" w:eastAsia="zh-CN"/>
              </w:rPr>
            </w:pPr>
            <w:r>
              <w:rPr>
                <w:rFonts w:hint="eastAsia" w:ascii="宋体" w:hAnsi="宋体" w:cs="宋体"/>
                <w:b/>
                <w:bCs/>
                <w:highlight w:val="none"/>
                <w:lang w:val="en-US" w:eastAsia="zh-CN"/>
              </w:rPr>
              <w:t>七</w:t>
            </w:r>
            <w:r>
              <w:rPr>
                <w:rFonts w:hint="eastAsia" w:ascii="宋体" w:hAnsi="宋体" w:cs="宋体"/>
                <w:b/>
                <w:bCs/>
                <w:highlight w:val="none"/>
              </w:rPr>
              <w:t>、付款方式：</w:t>
            </w:r>
            <w:r>
              <w:rPr>
                <w:rFonts w:hint="eastAsia" w:ascii="宋体" w:hAnsi="宋体" w:cs="宋体"/>
                <w:highlight w:val="none"/>
                <w:lang w:val="en-US" w:eastAsia="zh-CN"/>
              </w:rPr>
              <w:t>详见合同</w:t>
            </w:r>
            <w:r>
              <w:rPr>
                <w:rFonts w:hint="eastAsia" w:ascii="宋体" w:hAnsi="宋体" w:cs="宋体"/>
                <w:bCs/>
                <w:color w:val="auto"/>
                <w:szCs w:val="21"/>
                <w:highlight w:val="none"/>
                <w:lang w:val="en-US" w:eastAsia="zh-CN"/>
              </w:rPr>
              <w:t>。</w:t>
            </w:r>
          </w:p>
        </w:tc>
      </w:tr>
    </w:tbl>
    <w:p>
      <w:pPr>
        <w:pStyle w:val="25"/>
        <w:outlineLvl w:val="9"/>
        <w:rPr>
          <w:rFonts w:hint="eastAsia" w:ascii="宋体" w:hAnsi="宋体" w:eastAsia="宋体" w:cs="宋体"/>
          <w:highlight w:val="none"/>
        </w:rPr>
      </w:pPr>
    </w:p>
    <w:p>
      <w:pPr>
        <w:spacing w:line="428" w:lineRule="exact"/>
        <w:ind w:left="119"/>
        <w:rPr>
          <w:rFonts w:hint="eastAsia" w:ascii="宋体" w:hAnsi="宋体" w:eastAsia="宋体" w:cs="宋体"/>
          <w:highlight w:val="none"/>
        </w:rPr>
      </w:pPr>
    </w:p>
    <w:p>
      <w:pPr>
        <w:spacing w:line="428" w:lineRule="exact"/>
        <w:ind w:left="119"/>
        <w:rPr>
          <w:rFonts w:hint="eastAsia" w:ascii="宋体" w:hAnsi="宋体" w:eastAsia="宋体" w:cs="宋体"/>
          <w:highlight w:val="none"/>
        </w:rPr>
      </w:pPr>
    </w:p>
    <w:p>
      <w:pPr>
        <w:spacing w:line="428" w:lineRule="exact"/>
        <w:ind w:left="119"/>
        <w:rPr>
          <w:rFonts w:hint="eastAsia" w:ascii="宋体" w:hAnsi="宋体" w:eastAsia="宋体" w:cs="宋体"/>
          <w:highlight w:val="none"/>
        </w:rPr>
      </w:pPr>
    </w:p>
    <w:p>
      <w:pPr>
        <w:spacing w:line="428" w:lineRule="exact"/>
        <w:ind w:left="119"/>
        <w:rPr>
          <w:rFonts w:hint="eastAsia" w:ascii="宋体" w:hAnsi="宋体" w:eastAsia="宋体" w:cs="宋体"/>
          <w:highlight w:val="none"/>
        </w:rPr>
      </w:pPr>
    </w:p>
    <w:p>
      <w:pPr>
        <w:spacing w:line="428" w:lineRule="exact"/>
        <w:ind w:left="119"/>
        <w:rPr>
          <w:rFonts w:hint="eastAsia" w:ascii="宋体" w:hAnsi="宋体" w:eastAsia="宋体" w:cs="宋体"/>
          <w:sz w:val="32"/>
          <w:szCs w:val="32"/>
          <w:highlight w:val="none"/>
        </w:rPr>
      </w:pPr>
      <w:r>
        <w:rPr>
          <w:rFonts w:hint="eastAsia" w:ascii="宋体" w:hAnsi="宋体" w:eastAsia="宋体" w:cs="宋体"/>
          <w:highlight w:val="none"/>
        </w:rPr>
        <w:t xml:space="preserve"> </w:t>
      </w:r>
      <w:r>
        <w:rPr>
          <w:rFonts w:hint="eastAsia" w:ascii="宋体" w:hAnsi="宋体" w:eastAsia="宋体" w:cs="宋体"/>
          <w:sz w:val="32"/>
          <w:szCs w:val="32"/>
          <w:highlight w:val="none"/>
        </w:rPr>
        <w:t>附件1：</w:t>
      </w:r>
    </w:p>
    <w:p>
      <w:pPr>
        <w:spacing w:before="7"/>
        <w:rPr>
          <w:rFonts w:hint="eastAsia" w:ascii="宋体" w:hAnsi="宋体" w:eastAsia="宋体" w:cs="宋体"/>
          <w:sz w:val="17"/>
          <w:szCs w:val="17"/>
          <w:highlight w:val="none"/>
        </w:rPr>
      </w:pPr>
    </w:p>
    <w:p>
      <w:pPr>
        <w:spacing w:line="528"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中小微企业划型标准</w:t>
      </w:r>
    </w:p>
    <w:tbl>
      <w:tblPr>
        <w:tblStyle w:val="18"/>
        <w:tblW w:w="9623" w:type="dxa"/>
        <w:jc w:val="center"/>
        <w:tblLayout w:type="fixed"/>
        <w:tblCellMar>
          <w:top w:w="0" w:type="dxa"/>
          <w:left w:w="108" w:type="dxa"/>
          <w:bottom w:w="0" w:type="dxa"/>
          <w:right w:w="108" w:type="dxa"/>
        </w:tblCellMar>
      </w:tblPr>
      <w:tblGrid>
        <w:gridCol w:w="3091"/>
        <w:gridCol w:w="1383"/>
        <w:gridCol w:w="913"/>
        <w:gridCol w:w="1619"/>
        <w:gridCol w:w="1439"/>
        <w:gridCol w:w="1178"/>
      </w:tblGrid>
      <w:tr>
        <w:tblPrEx>
          <w:tblCellMar>
            <w:top w:w="0" w:type="dxa"/>
            <w:left w:w="108" w:type="dxa"/>
            <w:bottom w:w="0" w:type="dxa"/>
            <w:right w:w="108" w:type="dxa"/>
          </w:tblCellMar>
        </w:tblPrEx>
        <w:trPr>
          <w:trHeight w:val="285"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中型</w:t>
            </w:r>
          </w:p>
        </w:tc>
        <w:tc>
          <w:tcPr>
            <w:tcW w:w="143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小型</w:t>
            </w:r>
          </w:p>
        </w:tc>
        <w:tc>
          <w:tcPr>
            <w:tcW w:w="11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微型</w:t>
            </w:r>
          </w:p>
        </w:tc>
      </w:tr>
      <w:tr>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50≤Y＜500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工业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2000≤Y＜40000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300≤Y＜2000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6000≤Y＜80000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300≤Y＜6000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5000≤Z＜80000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300≤Z＜5000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Z＜300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20≤X＜200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5≤X＜20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X＜5</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5000≤Y＜40000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10≤X＜50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100≤Y＜500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3000≤Y＜30000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200≤Y＜3000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1000≤Y＜30000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2000≤Y＜30000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90"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50≤Y＜1000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1000≤Y＜200000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100≤X＜1000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5000≤Z＜10000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2000≤Y＜5000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500≤Y＜1000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Y＜500</w:t>
            </w:r>
          </w:p>
        </w:tc>
      </w:tr>
      <w:tr>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8000≤Z＜120000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100≤Z＜8000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bl>
    <w:p>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hint="eastAsia" w:ascii="宋体" w:hAnsi="宋体" w:eastAsia="宋体" w:cs="宋体"/>
          <w:szCs w:val="20"/>
          <w:highlight w:val="none"/>
        </w:rPr>
        <w:sectPr>
          <w:pgSz w:w="11906" w:h="16838"/>
          <w:pgMar w:top="1134" w:right="1134" w:bottom="1134" w:left="1134" w:header="720" w:footer="720" w:gutter="0"/>
          <w:cols w:space="720" w:num="1"/>
          <w:docGrid w:type="lines" w:linePitch="331" w:charSpace="0"/>
        </w:sectPr>
      </w:pPr>
    </w:p>
    <w:p>
      <w:pPr>
        <w:pStyle w:val="11"/>
        <w:jc w:val="center"/>
        <w:outlineLvl w:val="0"/>
        <w:rPr>
          <w:rFonts w:hint="eastAsia" w:ascii="宋体" w:hAnsi="宋体" w:eastAsia="宋体" w:cs="宋体"/>
          <w:b/>
          <w:sz w:val="36"/>
          <w:szCs w:val="36"/>
          <w:highlight w:val="none"/>
        </w:rPr>
      </w:pPr>
      <w:bookmarkStart w:id="69" w:name="_Toc532545044"/>
      <w:bookmarkStart w:id="70" w:name="_Toc6549"/>
      <w:bookmarkStart w:id="71" w:name="_Toc9063"/>
      <w:r>
        <w:rPr>
          <w:rFonts w:hint="eastAsia" w:ascii="宋体" w:hAnsi="宋体" w:eastAsia="宋体" w:cs="宋体"/>
          <w:b/>
          <w:sz w:val="36"/>
          <w:highlight w:val="none"/>
        </w:rPr>
        <w:t>第三章  投标人须知</w:t>
      </w:r>
      <w:bookmarkEnd w:id="69"/>
      <w:bookmarkEnd w:id="70"/>
      <w:bookmarkEnd w:id="71"/>
    </w:p>
    <w:p>
      <w:pPr>
        <w:pStyle w:val="11"/>
        <w:spacing w:line="720" w:lineRule="auto"/>
        <w:jc w:val="center"/>
        <w:outlineLvl w:val="1"/>
        <w:rPr>
          <w:rFonts w:hint="eastAsia" w:ascii="宋体" w:hAnsi="宋体" w:eastAsia="宋体" w:cs="宋体"/>
          <w:b/>
          <w:sz w:val="30"/>
          <w:szCs w:val="30"/>
          <w:highlight w:val="none"/>
        </w:rPr>
      </w:pPr>
      <w:bookmarkStart w:id="72" w:name="_Toc12768"/>
      <w:bookmarkStart w:id="73" w:name="_Toc32208"/>
      <w:r>
        <w:rPr>
          <w:rFonts w:hint="eastAsia" w:ascii="宋体" w:hAnsi="宋体" w:eastAsia="宋体" w:cs="宋体"/>
          <w:b/>
          <w:sz w:val="30"/>
          <w:szCs w:val="30"/>
          <w:highlight w:val="none"/>
        </w:rPr>
        <w:t>第一节 投标人须知前附表</w:t>
      </w:r>
      <w:bookmarkEnd w:id="72"/>
      <w:bookmarkEnd w:id="73"/>
    </w:p>
    <w:tbl>
      <w:tblPr>
        <w:tblStyle w:val="18"/>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2268"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项目内容</w:t>
            </w:r>
          </w:p>
        </w:tc>
        <w:tc>
          <w:tcPr>
            <w:tcW w:w="729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268" w:type="dxa"/>
            <w:vAlign w:val="center"/>
          </w:tcPr>
          <w:p>
            <w:pPr>
              <w:spacing w:line="380" w:lineRule="exact"/>
              <w:rPr>
                <w:rFonts w:hint="eastAsia" w:ascii="宋体" w:hAnsi="宋体" w:eastAsia="宋体" w:cs="宋体"/>
                <w:color w:val="000000"/>
                <w:szCs w:val="21"/>
                <w:highlight w:val="none"/>
              </w:rPr>
            </w:pPr>
            <w:bookmarkStart w:id="74" w:name="_8.1"/>
            <w:bookmarkEnd w:id="74"/>
            <w:bookmarkStart w:id="75" w:name="_9.2"/>
            <w:bookmarkEnd w:id="75"/>
            <w:bookmarkStart w:id="76" w:name="_5"/>
            <w:bookmarkEnd w:id="76"/>
            <w:r>
              <w:rPr>
                <w:rFonts w:hint="eastAsia" w:ascii="宋体" w:hAnsi="宋体" w:eastAsia="宋体" w:cs="宋体"/>
                <w:color w:val="000000"/>
                <w:szCs w:val="21"/>
                <w:highlight w:val="none"/>
              </w:rPr>
              <w:t>是否接受联合体投标</w:t>
            </w:r>
          </w:p>
        </w:tc>
        <w:tc>
          <w:tcPr>
            <w:tcW w:w="7297" w:type="dxa"/>
            <w:vAlign w:val="center"/>
          </w:tcPr>
          <w:p>
            <w:pPr>
              <w:pStyle w:val="8"/>
              <w:spacing w:line="380" w:lineRule="exact"/>
              <w:rPr>
                <w:rFonts w:hint="eastAsia" w:ascii="宋体" w:hAnsi="宋体" w:eastAsia="宋体" w:cs="宋体"/>
                <w:color w:val="000000"/>
                <w:szCs w:val="21"/>
                <w:highlight w:val="none"/>
              </w:rPr>
            </w:pPr>
            <w:r>
              <w:rPr>
                <w:rFonts w:hint="eastAsia" w:ascii="宋体" w:hAnsi="宋体" w:eastAsia="宋体" w:cs="宋体"/>
                <w:color w:val="auto"/>
                <w:szCs w:val="21"/>
                <w:highlight w:val="none"/>
              </w:rPr>
              <w:t>详见公告</w:t>
            </w: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联合体投标要求</w:t>
            </w:r>
          </w:p>
        </w:tc>
        <w:tc>
          <w:tcPr>
            <w:tcW w:w="7297" w:type="dxa"/>
            <w:vAlign w:val="center"/>
          </w:tcPr>
          <w:p>
            <w:pPr>
              <w:pStyle w:val="8"/>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是否允许转包/分包</w:t>
            </w:r>
          </w:p>
        </w:tc>
        <w:tc>
          <w:tcPr>
            <w:tcW w:w="7297" w:type="dxa"/>
            <w:vAlign w:val="center"/>
          </w:tcPr>
          <w:p>
            <w:pPr>
              <w:pStyle w:val="8"/>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☑不允许转包/分包</w:t>
            </w:r>
          </w:p>
          <w:p>
            <w:pPr>
              <w:pStyle w:val="8"/>
              <w:pageBreakBefore w:val="0"/>
              <w:widowControl w:val="0"/>
              <w:kinsoku/>
              <w:wordWrap/>
              <w:overflowPunct/>
              <w:topLinePunct w:val="0"/>
              <w:bidi w:val="0"/>
              <w:adjustRightInd/>
              <w:spacing w:line="360" w:lineRule="exact"/>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□允许转包/分包</w:t>
            </w:r>
          </w:p>
          <w:p>
            <w:pPr>
              <w:pStyle w:val="8"/>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转包/分包内容：</w:t>
            </w:r>
            <w:r>
              <w:rPr>
                <w:rFonts w:hint="eastAsia" w:ascii="宋体" w:hAnsi="宋体" w:eastAsia="宋体" w:cs="宋体"/>
                <w:color w:val="000000"/>
                <w:szCs w:val="21"/>
                <w:highlight w:val="none"/>
                <w:u w:val="single"/>
              </w:rPr>
              <w:t xml:space="preserve">                                     。</w:t>
            </w:r>
          </w:p>
          <w:p>
            <w:pPr>
              <w:pStyle w:val="8"/>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转包/分包金额或者比例：</w:t>
            </w:r>
            <w:r>
              <w:rPr>
                <w:rFonts w:hint="eastAsia" w:ascii="宋体" w:hAnsi="宋体" w:eastAsia="宋体" w:cs="宋体"/>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媒体发布渠道</w:t>
            </w:r>
          </w:p>
        </w:tc>
        <w:tc>
          <w:tcPr>
            <w:tcW w:w="7297" w:type="dxa"/>
            <w:vAlign w:val="center"/>
          </w:tcPr>
          <w:p>
            <w:pPr>
              <w:rPr>
                <w:rFonts w:hint="eastAsia" w:ascii="宋体" w:hAnsi="宋体" w:eastAsia="宋体" w:cs="宋体"/>
                <w:sz w:val="28"/>
                <w:szCs w:val="18"/>
                <w:highlight w:val="none"/>
              </w:rPr>
            </w:pPr>
            <w:r>
              <w:rPr>
                <w:rFonts w:hint="eastAsia" w:ascii="宋体" w:hAnsi="宋体" w:eastAsia="宋体" w:cs="宋体"/>
                <w:color w:val="000000"/>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11.6</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是否组织标前答疑会</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不组织召开开标前答疑会</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□组织召开开标前答疑会</w:t>
            </w:r>
          </w:p>
          <w:p>
            <w:pPr>
              <w:snapToGrid w:val="0"/>
              <w:spacing w:line="38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会议开始时间：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时</w:t>
            </w:r>
            <w:r>
              <w:rPr>
                <w:rFonts w:hint="eastAsia" w:ascii="宋体" w:hAnsi="宋体" w:eastAsia="宋体" w:cs="宋体"/>
                <w:color w:val="000000"/>
                <w:szCs w:val="21"/>
                <w:highlight w:val="none"/>
                <w:u w:val="single"/>
              </w:rPr>
              <w:t xml:space="preserve">  分</w:t>
            </w:r>
            <w:r>
              <w:rPr>
                <w:rFonts w:hint="eastAsia" w:ascii="宋体" w:hAnsi="宋体" w:eastAsia="宋体" w:cs="宋体"/>
                <w:color w:val="000000"/>
                <w:szCs w:val="21"/>
                <w:highlight w:val="none"/>
              </w:rPr>
              <w:t>，逾期后果自负。会议地点：</w:t>
            </w:r>
            <w:r>
              <w:rPr>
                <w:rFonts w:hint="eastAsia" w:ascii="宋体" w:hAnsi="宋体" w:eastAsia="宋体" w:cs="宋体"/>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w:t>
            </w:r>
          </w:p>
        </w:tc>
        <w:tc>
          <w:tcPr>
            <w:tcW w:w="2268" w:type="dxa"/>
            <w:vAlign w:val="center"/>
          </w:tcPr>
          <w:p>
            <w:pPr>
              <w:snapToGrid w:val="0"/>
              <w:spacing w:line="380" w:lineRule="exact"/>
              <w:jc w:val="left"/>
              <w:rPr>
                <w:rFonts w:hint="eastAsia" w:ascii="宋体" w:hAnsi="宋体" w:eastAsia="宋体" w:cs="宋体"/>
                <w:color w:val="000000"/>
                <w:szCs w:val="21"/>
                <w:highlight w:val="none"/>
              </w:rPr>
            </w:pPr>
            <w:bookmarkStart w:id="77" w:name="_13.2"/>
            <w:bookmarkEnd w:id="77"/>
            <w:r>
              <w:rPr>
                <w:rFonts w:hint="eastAsia" w:ascii="宋体" w:hAnsi="宋体" w:eastAsia="宋体" w:cs="宋体"/>
                <w:color w:val="000000"/>
                <w:szCs w:val="21"/>
                <w:highlight w:val="none"/>
              </w:rPr>
              <w:t>资格证明文件组成</w:t>
            </w:r>
          </w:p>
        </w:tc>
        <w:tc>
          <w:tcPr>
            <w:tcW w:w="7297" w:type="dxa"/>
            <w:vAlign w:val="center"/>
          </w:tcPr>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30"/>
                <w:rFonts w:hint="eastAsia" w:ascii="宋体" w:hAnsi="宋体" w:eastAsia="宋体" w:cs="宋体"/>
                <w:color w:val="auto"/>
                <w:szCs w:val="21"/>
                <w:highlight w:val="none"/>
              </w:rPr>
              <w:t>执业许可证</w:t>
            </w:r>
            <w:r>
              <w:rPr>
                <w:rFonts w:hint="eastAsia" w:ascii="宋体" w:hAnsi="宋体" w:eastAsia="宋体" w:cs="宋体"/>
                <w:color w:val="auto"/>
                <w:szCs w:val="21"/>
                <w:highlight w:val="none"/>
              </w:rPr>
              <w:t>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月期间连续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月期间连续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投标人财务状况报告：提供</w:t>
            </w:r>
            <w:r>
              <w:rPr>
                <w:rFonts w:hint="eastAsia" w:ascii="宋体" w:hAnsi="宋体" w:eastAsia="宋体" w:cs="宋体"/>
                <w:color w:val="auto"/>
                <w:szCs w:val="21"/>
                <w:highlight w:val="none"/>
                <w:lang w:val="en-US" w:eastAsia="zh-CN"/>
              </w:rPr>
              <w:t>2022年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w:t>
            </w:r>
            <w:r>
              <w:rPr>
                <w:rFonts w:hint="eastAsia" w:ascii="宋体" w:hAnsi="宋体" w:eastAsia="宋体" w:cs="宋体"/>
                <w:color w:val="0000FF"/>
                <w:szCs w:val="21"/>
                <w:highlight w:val="none"/>
              </w:rPr>
              <w:t>资产负债表、利润表、现金流量表、所有者权益变动表（如有）</w:t>
            </w: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附注</w:t>
            </w:r>
            <w:r>
              <w:rPr>
                <w:rFonts w:hint="eastAsia" w:ascii="宋体" w:hAnsi="宋体" w:eastAsia="宋体" w:cs="宋体"/>
                <w:color w:val="auto"/>
                <w:szCs w:val="21"/>
                <w:highlight w:val="none"/>
              </w:rPr>
              <w:t>，以下称“四/三表一注”；②供应商执行《小企业会计准则》的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0000FF"/>
                <w:szCs w:val="21"/>
                <w:highlight w:val="none"/>
              </w:rPr>
              <w:t>资产负债表、利润表、现金流量表</w:t>
            </w: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附注</w:t>
            </w:r>
            <w:r>
              <w:rPr>
                <w:rFonts w:hint="eastAsia" w:ascii="宋体" w:hAnsi="宋体" w:eastAsia="宋体" w:cs="宋体"/>
                <w:color w:val="auto"/>
                <w:szCs w:val="21"/>
                <w:highlight w:val="none"/>
              </w:rPr>
              <w:t>，以下称“三表一注”）；③供应商执行《政府会计制度》的，提供</w:t>
            </w:r>
            <w:r>
              <w:rPr>
                <w:rFonts w:hint="eastAsia" w:ascii="宋体" w:hAnsi="宋体" w:eastAsia="宋体" w:cs="宋体"/>
                <w:color w:val="0000FF"/>
                <w:szCs w:val="21"/>
                <w:highlight w:val="none"/>
              </w:rPr>
              <w:t>资产负债表、收入费用表</w:t>
            </w: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净资产变动表</w:t>
            </w: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 xml:space="preserve">） </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pageBreakBefore w:val="0"/>
              <w:widowControl w:val="0"/>
              <w:numPr>
                <w:ilvl w:val="0"/>
                <w:numId w:val="0"/>
              </w:numPr>
              <w:kinsoku/>
              <w:wordWrap/>
              <w:overflowPunct/>
              <w:topLinePunct w:val="0"/>
              <w:bidi w:val="0"/>
              <w:adjustRightInd/>
              <w:snapToGrid w:val="0"/>
              <w:spacing w:line="360" w:lineRule="exact"/>
              <w:ind w:lef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00000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中小</w:t>
            </w:r>
            <w:r>
              <w:rPr>
                <w:rFonts w:hint="eastAsia" w:ascii="宋体" w:hAnsi="宋体" w:eastAsia="宋体" w:cs="宋体"/>
                <w:color w:val="auto"/>
                <w:szCs w:val="21"/>
                <w:highlight w:val="none"/>
              </w:rPr>
              <w:t>企业声明函或残疾人福利性单位声明函或属于监狱企业的证明文件；</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lang w:val="en-US" w:eastAsia="zh-CN"/>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eastAsia="宋体" w:cs="宋体"/>
                <w:color w:val="000000"/>
                <w:szCs w:val="21"/>
                <w:highlight w:val="none"/>
              </w:rPr>
              <w:t>、</w:t>
            </w:r>
            <w:r>
              <w:rPr>
                <w:rFonts w:hint="eastAsia" w:asciiTheme="minorEastAsia" w:hAnsiTheme="minorEastAsia" w:eastAsiaTheme="minorEastAsia" w:cstheme="minorEastAsia"/>
                <w:color w:val="auto"/>
                <w:szCs w:val="21"/>
                <w:highlight w:val="none"/>
                <w:lang w:eastAsia="zh-CN"/>
              </w:rPr>
              <w:t>①</w:t>
            </w:r>
            <w:r>
              <w:rPr>
                <w:rFonts w:hint="eastAsia" w:asciiTheme="minorEastAsia" w:hAnsiTheme="minorEastAsia" w:eastAsiaTheme="minorEastAsia" w:cstheme="minorEastAsia"/>
                <w:color w:val="auto"/>
                <w:szCs w:val="21"/>
                <w:highlight w:val="none"/>
              </w:rPr>
              <w:t>供应商须具备建筑工程施工总承包</w:t>
            </w:r>
            <w:r>
              <w:rPr>
                <w:rFonts w:hint="eastAsia" w:ascii="宋体" w:hAnsi="宋体" w:cs="宋体"/>
                <w:color w:val="auto"/>
                <w:szCs w:val="21"/>
                <w:highlight w:val="none"/>
              </w:rPr>
              <w:t>三</w:t>
            </w:r>
            <w:r>
              <w:rPr>
                <w:rFonts w:hint="eastAsia" w:asciiTheme="minorEastAsia" w:hAnsiTheme="minorEastAsia" w:eastAsiaTheme="minorEastAsia" w:cstheme="minorEastAsia"/>
                <w:color w:val="auto"/>
                <w:szCs w:val="21"/>
                <w:highlight w:val="none"/>
              </w:rPr>
              <w:t>级及以上资质，同时持有省级及以上建设行政主管部门颁发的安全生产许可证；②</w:t>
            </w:r>
            <w:r>
              <w:rPr>
                <w:rFonts w:hint="eastAsia" w:asciiTheme="minorEastAsia" w:hAnsiTheme="minorEastAsia" w:eastAsiaTheme="minorEastAsia" w:cstheme="minorEastAsia"/>
                <w:color w:val="auto"/>
                <w:szCs w:val="21"/>
                <w:highlight w:val="none"/>
                <w:lang w:val="en-US" w:eastAsia="zh-CN"/>
              </w:rPr>
              <w:t>项目经理须具备建筑工程专业贰级以上（含贰级）注册建造师资格，并持有省级或省级以上行政主管部门或其授权部门（机构）颁发的B类安全生产考核合格证书；</w:t>
            </w:r>
            <w:r>
              <w:rPr>
                <w:rFonts w:hint="eastAsia" w:asciiTheme="minorEastAsia" w:hAnsiTheme="minorEastAsia" w:eastAsiaTheme="minorEastAsia" w:cstheme="minorEastAsia"/>
                <w:color w:val="auto"/>
                <w:szCs w:val="21"/>
                <w:highlight w:val="none"/>
                <w:lang w:eastAsia="zh-CN"/>
              </w:rPr>
              <w:t>③</w:t>
            </w:r>
            <w:r>
              <w:rPr>
                <w:rFonts w:hint="eastAsia" w:asciiTheme="minorEastAsia" w:hAnsiTheme="minorEastAsia" w:eastAsiaTheme="minorEastAsia" w:cstheme="minorEastAsia"/>
                <w:color w:val="auto"/>
                <w:szCs w:val="21"/>
                <w:highlight w:val="none"/>
                <w:lang w:val="en-US" w:eastAsia="zh-CN"/>
              </w:rPr>
              <w:t>拟投入本项目的专职安全员须具备有效的安全生产考核合格证书（C类）</w:t>
            </w:r>
            <w:r>
              <w:rPr>
                <w:rFonts w:hint="eastAsia" w:ascii="宋体" w:hAnsi="宋体" w:eastAsia="宋体" w:cs="宋体"/>
                <w:color w:val="000000"/>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10、建设工程项目管理承诺书</w:t>
            </w:r>
            <w:r>
              <w:rPr>
                <w:rFonts w:hint="eastAsia" w:ascii="宋体" w:hAnsi="宋体" w:eastAsia="宋体" w:cs="宋体"/>
                <w:color w:val="000000"/>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rPr>
              <w:t>除招标文件规定必须提供以外，投标人认为需要提供的其他证明材料</w:t>
            </w:r>
            <w:r>
              <w:rPr>
                <w:rFonts w:hint="eastAsia" w:ascii="宋体" w:hAnsi="宋体" w:cs="宋体"/>
                <w:color w:val="000000"/>
                <w:szCs w:val="21"/>
                <w:highlight w:val="none"/>
                <w:lang w:eastAsia="zh-CN"/>
              </w:rPr>
              <w:t>。</w:t>
            </w:r>
          </w:p>
          <w:p>
            <w:pPr>
              <w:snapToGrid w:val="0"/>
              <w:spacing w:line="380" w:lineRule="exact"/>
              <w:jc w:val="left"/>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注：1.</w:t>
            </w:r>
            <w:r>
              <w:rPr>
                <w:rFonts w:hint="eastAsia" w:ascii="宋体" w:hAnsi="宋体" w:eastAsia="宋体" w:cs="宋体"/>
                <w:color w:val="000000"/>
                <w:szCs w:val="21"/>
                <w:highlight w:val="none"/>
              </w:rPr>
              <w:t xml:space="preserve"> </w:t>
            </w:r>
            <w:r>
              <w:rPr>
                <w:rFonts w:hint="eastAsia" w:ascii="宋体" w:hAnsi="宋体" w:eastAsia="宋体" w:cs="宋体"/>
                <w:b/>
                <w:bCs/>
                <w:color w:val="000000"/>
                <w:szCs w:val="21"/>
                <w:highlight w:val="none"/>
              </w:rPr>
              <w:t>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p>
          <w:p>
            <w:pPr>
              <w:snapToGrid w:val="0"/>
              <w:spacing w:line="38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color w:val="000000"/>
                <w:szCs w:val="21"/>
                <w:highlight w:val="none"/>
              </w:rPr>
              <w:t>2</w:t>
            </w:r>
            <w:r>
              <w:rPr>
                <w:rFonts w:hint="eastAsia" w:ascii="宋体" w:hAnsi="宋体" w:eastAsia="宋体" w:cs="宋体"/>
                <w:b/>
                <w:bCs/>
                <w:color w:val="000000"/>
                <w:szCs w:val="21"/>
                <w:highlight w:val="none"/>
              </w:rPr>
              <w:t>.联合体投标时，第1-5项资格证明文件联合体各方均必须分别提供，联合体各方分别盖章和签字，否则投标文件按无效响应处理。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p>
        </w:tc>
        <w:tc>
          <w:tcPr>
            <w:tcW w:w="2268" w:type="dxa"/>
            <w:vAlign w:val="center"/>
          </w:tcPr>
          <w:p>
            <w:pPr>
              <w:snapToGrid w:val="0"/>
              <w:spacing w:line="380" w:lineRule="exact"/>
              <w:jc w:val="left"/>
              <w:rPr>
                <w:rFonts w:hint="eastAsia" w:ascii="宋体" w:hAnsi="宋体" w:eastAsia="宋体" w:cs="宋体"/>
                <w:color w:val="000000"/>
                <w:szCs w:val="21"/>
                <w:highlight w:val="none"/>
              </w:rPr>
            </w:pPr>
            <w:bookmarkStart w:id="78" w:name="_13.3"/>
            <w:bookmarkEnd w:id="78"/>
            <w:r>
              <w:rPr>
                <w:rFonts w:hint="eastAsia" w:ascii="宋体" w:hAnsi="宋体" w:eastAsia="宋体" w:cs="宋体"/>
                <w:color w:val="000000"/>
                <w:szCs w:val="21"/>
                <w:highlight w:val="none"/>
              </w:rPr>
              <w:t>商务文件组成</w:t>
            </w:r>
          </w:p>
          <w:p>
            <w:pPr>
              <w:spacing w:line="380" w:lineRule="exact"/>
              <w:rPr>
                <w:rFonts w:hint="eastAsia" w:ascii="宋体" w:hAnsi="宋体" w:eastAsia="宋体" w:cs="宋体"/>
                <w:color w:val="000000"/>
                <w:szCs w:val="21"/>
                <w:highlight w:val="none"/>
              </w:rPr>
            </w:pPr>
          </w:p>
        </w:tc>
        <w:tc>
          <w:tcPr>
            <w:tcW w:w="7297" w:type="dxa"/>
            <w:vAlign w:val="center"/>
          </w:tcPr>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1、无串通投标行为的承诺函；（</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2、法定代表人身份证明及法定代表人有效身份证正反面复印件；（</w:t>
            </w:r>
            <w:r>
              <w:rPr>
                <w:rFonts w:hint="eastAsia" w:ascii="宋体" w:hAnsi="宋体" w:eastAsia="宋体" w:cs="宋体"/>
                <w:b/>
                <w:bCs/>
                <w:color w:val="000000"/>
                <w:szCs w:val="21"/>
                <w:highlight w:val="none"/>
              </w:rPr>
              <w:t>除自然人投标外</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3、法定代表人授权委托书及委托代理人有效身份证正反面复印件；（</w:t>
            </w:r>
            <w:r>
              <w:rPr>
                <w:rFonts w:hint="eastAsia" w:ascii="宋体" w:hAnsi="宋体" w:eastAsia="宋体" w:cs="宋体"/>
                <w:b/>
                <w:color w:val="000000"/>
                <w:szCs w:val="21"/>
                <w:highlight w:val="none"/>
              </w:rPr>
              <w:t>委托时必须提供，否则作无效投标处理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4、商务条款偏离表；（</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5、投标人情况介绍；</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6、除招标文件规定必须提供以外，投标人认为需要提供的其他证明材料。（投标人根据“第二章 采购需求”及“第四章 评标方法及评标标准”提供有关证明材料）。</w:t>
            </w:r>
          </w:p>
          <w:p>
            <w:pPr>
              <w:snapToGrid w:val="0"/>
              <w:spacing w:line="380" w:lineRule="exact"/>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 1.法定代表人授权委托书必须由法定代表人及委托代理人签字，并加盖投标人公章，否则作无效投标处理。</w:t>
            </w:r>
          </w:p>
          <w:p>
            <w:pPr>
              <w:snapToGrid w:val="0"/>
              <w:spacing w:line="380" w:lineRule="exact"/>
              <w:ind w:firstLine="422" w:firstLineChars="200"/>
              <w:jc w:val="left"/>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2.</w:t>
            </w:r>
            <w:r>
              <w:rPr>
                <w:rFonts w:hint="eastAsia" w:ascii="宋体" w:hAnsi="宋体" w:eastAsia="宋体" w:cs="宋体"/>
                <w:color w:val="000000"/>
                <w:szCs w:val="21"/>
                <w:highlight w:val="none"/>
              </w:rPr>
              <w:t xml:space="preserve"> </w:t>
            </w:r>
            <w:r>
              <w:rPr>
                <w:rFonts w:hint="eastAsia" w:ascii="宋体" w:hAnsi="宋体" w:eastAsia="宋体" w:cs="宋体"/>
                <w:b/>
                <w:bCs/>
                <w:color w:val="000000"/>
                <w:szCs w:val="21"/>
                <w:highlight w:val="none"/>
              </w:rPr>
              <w:t>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r>
              <w:rPr>
                <w:rFonts w:hint="eastAsia" w:ascii="宋体" w:hAnsi="宋体" w:eastAsia="宋体" w:cs="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rPr>
                <w:rFonts w:hint="eastAsia" w:ascii="宋体" w:hAnsi="宋体" w:eastAsia="宋体" w:cs="宋体"/>
                <w:color w:val="000000"/>
                <w:szCs w:val="21"/>
                <w:highlight w:val="none"/>
              </w:rPr>
            </w:pPr>
          </w:p>
        </w:tc>
        <w:tc>
          <w:tcPr>
            <w:tcW w:w="2268" w:type="dxa"/>
            <w:vAlign w:val="center"/>
          </w:tcPr>
          <w:p>
            <w:pPr>
              <w:snapToGrid w:val="0"/>
              <w:spacing w:line="380" w:lineRule="exact"/>
              <w:jc w:val="left"/>
              <w:rPr>
                <w:rFonts w:hint="eastAsia" w:ascii="宋体" w:hAnsi="宋体" w:eastAsia="宋体" w:cs="宋体"/>
                <w:color w:val="000000"/>
                <w:szCs w:val="21"/>
                <w:highlight w:val="none"/>
              </w:rPr>
            </w:pPr>
            <w:bookmarkStart w:id="79" w:name="_13.4"/>
            <w:bookmarkEnd w:id="79"/>
            <w:r>
              <w:rPr>
                <w:rFonts w:hint="eastAsia" w:ascii="宋体" w:hAnsi="宋体" w:eastAsia="宋体" w:cs="宋体"/>
                <w:color w:val="000000"/>
                <w:szCs w:val="21"/>
                <w:highlight w:val="none"/>
              </w:rPr>
              <w:t>技术文件组成</w:t>
            </w:r>
          </w:p>
          <w:p>
            <w:pPr>
              <w:spacing w:line="380" w:lineRule="exact"/>
              <w:rPr>
                <w:rFonts w:hint="eastAsia" w:ascii="宋体" w:hAnsi="宋体" w:eastAsia="宋体" w:cs="宋体"/>
                <w:color w:val="000000"/>
                <w:szCs w:val="21"/>
                <w:highlight w:val="none"/>
              </w:rPr>
            </w:pPr>
          </w:p>
        </w:tc>
        <w:tc>
          <w:tcPr>
            <w:tcW w:w="7297" w:type="dxa"/>
            <w:vAlign w:val="center"/>
          </w:tcPr>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highlight w:val="none"/>
              </w:rPr>
              <w:t>投标服务技术需求偏离表</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2、组织服务方案【项目前期准备、项目实施计划（人员构成、技术服务、技术培训、售后服务的内容和措施）】；</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3、售后服务方案；（</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4、项目实施人员一览表；</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5、投标人对本项目的合理化建议和改进措施；</w:t>
            </w:r>
          </w:p>
          <w:p>
            <w:pPr>
              <w:snapToGrid w:val="0"/>
              <w:spacing w:line="380" w:lineRule="exact"/>
              <w:jc w:val="left"/>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6、除招标文件规定必须提供以外，投标人需要说明的其他文件和说明。</w:t>
            </w:r>
          </w:p>
          <w:p>
            <w:pPr>
              <w:snapToGrid w:val="0"/>
              <w:spacing w:line="380" w:lineRule="exact"/>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r>
              <w:rPr>
                <w:rFonts w:hint="eastAsia" w:ascii="宋体" w:hAnsi="宋体" w:eastAsia="宋体" w:cs="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报价文件组成</w:t>
            </w:r>
          </w:p>
        </w:tc>
        <w:tc>
          <w:tcPr>
            <w:tcW w:w="7297" w:type="dxa"/>
            <w:vAlign w:val="center"/>
          </w:tcPr>
          <w:p>
            <w:pPr>
              <w:tabs>
                <w:tab w:val="left" w:pos="459"/>
              </w:tabs>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1、投标函；</w:t>
            </w:r>
            <w:r>
              <w:rPr>
                <w:rFonts w:hint="eastAsia" w:ascii="宋体" w:hAnsi="宋体" w:eastAsia="宋体" w:cs="宋体"/>
                <w:b/>
                <w:color w:val="000000"/>
                <w:szCs w:val="21"/>
                <w:highlight w:val="none"/>
              </w:rPr>
              <w:t>（必须提供，否则作无效投标处理）</w:t>
            </w:r>
          </w:p>
          <w:p>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2、开标一览表；（</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lang w:val="en-US" w:eastAsia="zh-CN"/>
              </w:rPr>
              <w:t>、</w:t>
            </w:r>
            <w:r>
              <w:rPr>
                <w:rFonts w:hint="eastAsia" w:ascii="宋体" w:hAnsi="宋体" w:cs="宋体"/>
                <w:color w:val="auto"/>
                <w:szCs w:val="21"/>
                <w:highlight w:val="none"/>
              </w:rPr>
              <w:t>已标价的工程量清单</w:t>
            </w:r>
            <w:r>
              <w:rPr>
                <w:rFonts w:hint="eastAsia" w:ascii="宋体" w:hAnsi="宋体" w:cs="宋体"/>
                <w:color w:val="auto"/>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268" w:type="dxa"/>
            <w:vAlign w:val="center"/>
          </w:tcPr>
          <w:p>
            <w:pPr>
              <w:spacing w:line="380" w:lineRule="exact"/>
              <w:rPr>
                <w:rFonts w:hint="eastAsia" w:ascii="宋体" w:hAnsi="宋体" w:eastAsia="宋体" w:cs="宋体"/>
                <w:color w:val="000000"/>
                <w:szCs w:val="21"/>
                <w:highlight w:val="none"/>
              </w:rPr>
            </w:pPr>
            <w:bookmarkStart w:id="80" w:name="_16.2"/>
            <w:bookmarkEnd w:id="80"/>
            <w:r>
              <w:rPr>
                <w:rFonts w:hint="eastAsia" w:ascii="宋体" w:hAnsi="宋体" w:eastAsia="宋体" w:cs="宋体"/>
                <w:color w:val="000000"/>
                <w:szCs w:val="21"/>
                <w:highlight w:val="none"/>
              </w:rPr>
              <w:t>投标报价要求</w:t>
            </w:r>
          </w:p>
        </w:tc>
        <w:tc>
          <w:tcPr>
            <w:tcW w:w="7297" w:type="dxa"/>
            <w:vAlign w:val="center"/>
          </w:tcPr>
          <w:p>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w:t>
            </w:r>
          </w:p>
        </w:tc>
        <w:tc>
          <w:tcPr>
            <w:tcW w:w="2268" w:type="dxa"/>
            <w:vAlign w:val="center"/>
          </w:tcPr>
          <w:p>
            <w:pPr>
              <w:spacing w:line="380" w:lineRule="exact"/>
              <w:rPr>
                <w:rFonts w:hint="eastAsia" w:ascii="宋体" w:hAnsi="宋体" w:eastAsia="宋体" w:cs="宋体"/>
                <w:color w:val="000000"/>
                <w:szCs w:val="21"/>
                <w:highlight w:val="none"/>
              </w:rPr>
            </w:pPr>
            <w:bookmarkStart w:id="81" w:name="_17.1"/>
            <w:bookmarkEnd w:id="81"/>
            <w:r>
              <w:rPr>
                <w:rFonts w:hint="eastAsia" w:ascii="宋体" w:hAnsi="宋体" w:eastAsia="宋体" w:cs="宋体"/>
                <w:color w:val="000000"/>
                <w:szCs w:val="21"/>
                <w:highlight w:val="none"/>
              </w:rPr>
              <w:t>投标有效期</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自投标截止之日起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90 </w:t>
            </w:r>
            <w:r>
              <w:rPr>
                <w:rFonts w:hint="eastAsia" w:ascii="宋体" w:hAnsi="宋体" w:eastAsia="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w:t>
            </w:r>
          </w:p>
        </w:tc>
        <w:tc>
          <w:tcPr>
            <w:tcW w:w="2268" w:type="dxa"/>
            <w:vAlign w:val="center"/>
          </w:tcPr>
          <w:p>
            <w:pPr>
              <w:spacing w:line="380" w:lineRule="exact"/>
              <w:rPr>
                <w:rFonts w:hint="eastAsia" w:ascii="宋体" w:hAnsi="宋体" w:eastAsia="宋体" w:cs="宋体"/>
                <w:color w:val="000000"/>
                <w:szCs w:val="21"/>
                <w:highlight w:val="none"/>
              </w:rPr>
            </w:pPr>
            <w:bookmarkStart w:id="82" w:name="_18"/>
            <w:bookmarkEnd w:id="82"/>
            <w:r>
              <w:rPr>
                <w:rFonts w:hint="eastAsia" w:ascii="宋体" w:hAnsi="宋体" w:eastAsia="宋体" w:cs="宋体"/>
                <w:color w:val="000000"/>
                <w:szCs w:val="21"/>
                <w:highlight w:val="none"/>
              </w:rPr>
              <w:t>投标保证金金额</w:t>
            </w:r>
          </w:p>
        </w:tc>
        <w:tc>
          <w:tcPr>
            <w:tcW w:w="7297" w:type="dxa"/>
            <w:vAlign w:val="center"/>
          </w:tcPr>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19.1</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投标文件编制要求</w:t>
            </w:r>
          </w:p>
        </w:tc>
        <w:tc>
          <w:tcPr>
            <w:tcW w:w="7297" w:type="dxa"/>
            <w:vAlign w:val="center"/>
          </w:tcPr>
          <w:p>
            <w:pPr>
              <w:spacing w:line="360" w:lineRule="auto"/>
              <w:rPr>
                <w:rFonts w:hint="eastAsia" w:ascii="宋体" w:hAnsi="宋体" w:eastAsia="宋体" w:cs="宋体"/>
                <w:b/>
                <w:color w:val="000000"/>
                <w:szCs w:val="21"/>
                <w:highlight w:val="none"/>
                <w:u w:val="single"/>
              </w:rPr>
            </w:pPr>
            <w:r>
              <w:rPr>
                <w:rFonts w:hint="eastAsia" w:ascii="宋体" w:hAnsi="宋体" w:eastAsia="宋体" w:cs="宋体"/>
                <w:color w:val="000000"/>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000000"/>
                <w:szCs w:val="21"/>
                <w:highlight w:val="none"/>
                <w:u w:val="single"/>
              </w:rPr>
              <w:t>电子版投标文件制作方式见招标公告附件。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备份投标文件</w:t>
            </w:r>
          </w:p>
        </w:tc>
        <w:tc>
          <w:tcPr>
            <w:tcW w:w="7297" w:type="dxa"/>
            <w:vAlign w:val="center"/>
          </w:tcPr>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w:t>
            </w:r>
          </w:p>
        </w:tc>
        <w:tc>
          <w:tcPr>
            <w:tcW w:w="2268" w:type="dxa"/>
            <w:vAlign w:val="center"/>
          </w:tcPr>
          <w:p>
            <w:pPr>
              <w:spacing w:line="380" w:lineRule="exact"/>
              <w:rPr>
                <w:rFonts w:hint="eastAsia" w:ascii="宋体" w:hAnsi="宋体" w:eastAsia="宋体" w:cs="宋体"/>
                <w:color w:val="000000"/>
                <w:szCs w:val="21"/>
                <w:highlight w:val="none"/>
              </w:rPr>
            </w:pPr>
            <w:bookmarkStart w:id="83" w:name="_21.1"/>
            <w:bookmarkEnd w:id="83"/>
            <w:r>
              <w:rPr>
                <w:rFonts w:hint="eastAsia" w:ascii="宋体" w:hAnsi="宋体" w:eastAsia="宋体" w:cs="宋体"/>
                <w:color w:val="000000"/>
                <w:szCs w:val="21"/>
                <w:highlight w:val="none"/>
              </w:rPr>
              <w:t>投标截止时间</w:t>
            </w:r>
          </w:p>
        </w:tc>
        <w:tc>
          <w:tcPr>
            <w:tcW w:w="7297" w:type="dxa"/>
            <w:vAlign w:val="center"/>
          </w:tcPr>
          <w:p>
            <w:pPr>
              <w:snapToGrid w:val="0"/>
              <w:spacing w:line="38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投标文件提交起止时间</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投标地点</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投标人递交投标样品截止时间及地点</w:t>
            </w:r>
          </w:p>
        </w:tc>
        <w:tc>
          <w:tcPr>
            <w:tcW w:w="7297" w:type="dxa"/>
            <w:vAlign w:val="center"/>
          </w:tcPr>
          <w:p>
            <w:pPr>
              <w:snapToGrid w:val="0"/>
              <w:spacing w:line="38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时间：</w:t>
            </w:r>
            <w:r>
              <w:rPr>
                <w:rFonts w:hint="eastAsia" w:ascii="宋体" w:hAnsi="宋体" w:eastAsia="宋体" w:cs="宋体"/>
                <w:bCs/>
                <w:color w:val="000000"/>
                <w:szCs w:val="21"/>
                <w:highlight w:val="none"/>
                <w:u w:val="single"/>
              </w:rPr>
              <w:t xml:space="preserve">    年  月  日    时    分</w:t>
            </w:r>
            <w:r>
              <w:rPr>
                <w:rFonts w:hint="eastAsia" w:ascii="宋体" w:hAnsi="宋体" w:eastAsia="宋体" w:cs="宋体"/>
                <w:bCs/>
                <w:color w:val="000000"/>
                <w:szCs w:val="21"/>
                <w:highlight w:val="none"/>
              </w:rPr>
              <w:t>（北京时间）</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地点：</w:t>
            </w:r>
            <w:r>
              <w:rPr>
                <w:rFonts w:hint="eastAsia" w:ascii="宋体" w:hAnsi="宋体" w:eastAsia="宋体" w:cs="宋体"/>
                <w:bCs/>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w:t>
            </w:r>
          </w:p>
        </w:tc>
        <w:tc>
          <w:tcPr>
            <w:tcW w:w="2268" w:type="dxa"/>
            <w:vAlign w:val="center"/>
          </w:tcPr>
          <w:p>
            <w:pPr>
              <w:spacing w:line="380" w:lineRule="exact"/>
              <w:rPr>
                <w:rFonts w:hint="eastAsia" w:ascii="宋体" w:hAnsi="宋体" w:eastAsia="宋体" w:cs="宋体"/>
                <w:color w:val="000000"/>
                <w:szCs w:val="21"/>
                <w:highlight w:val="none"/>
              </w:rPr>
            </w:pPr>
            <w:bookmarkStart w:id="84" w:name="_23"/>
            <w:bookmarkEnd w:id="84"/>
            <w:r>
              <w:rPr>
                <w:rFonts w:hint="eastAsia" w:ascii="宋体" w:hAnsi="宋体" w:eastAsia="宋体" w:cs="宋体"/>
                <w:color w:val="000000"/>
                <w:szCs w:val="21"/>
                <w:highlight w:val="none"/>
              </w:rPr>
              <w:t>开标时间、地点</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75" w:type="dxa"/>
            <w:vMerge w:val="restart"/>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25.3（2）</w:t>
            </w:r>
          </w:p>
        </w:tc>
        <w:tc>
          <w:tcPr>
            <w:tcW w:w="2268" w:type="dxa"/>
            <w:vAlign w:val="center"/>
          </w:tcPr>
          <w:p>
            <w:pPr>
              <w:spacing w:line="380" w:lineRule="exact"/>
              <w:rPr>
                <w:rFonts w:hint="eastAsia" w:ascii="宋体" w:hAnsi="宋体" w:eastAsia="宋体" w:cs="宋体"/>
                <w:color w:val="000000"/>
                <w:szCs w:val="21"/>
                <w:highlight w:val="none"/>
              </w:rPr>
            </w:pPr>
            <w:bookmarkStart w:id="85" w:name="_25.3"/>
            <w:bookmarkEnd w:id="85"/>
            <w:r>
              <w:rPr>
                <w:rFonts w:hint="eastAsia" w:ascii="宋体" w:hAnsi="宋体" w:eastAsia="宋体" w:cs="宋体"/>
                <w:color w:val="000000"/>
                <w:szCs w:val="21"/>
                <w:highlight w:val="none"/>
              </w:rPr>
              <w:t>投标人信用查询渠道</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采购人或者采购代理机构在资格审查结束前，对投标人进行信用查询。</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查询渠道：“信用中国”网站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www.creditchina.gov.cn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、中国政府采购网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www.ccgp.gov.cn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信用查询截止时点</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在查询网站中直接截图查询记录，截图作为在</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作为附件上传保存。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信用信息使用规则</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对在“信用中国”网站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www.creditchina.gov.cn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、中国政府采购网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www.ccgp.gov.cn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000000"/>
                <w:sz w:val="22"/>
                <w:szCs w:val="22"/>
                <w:highlight w:val="none"/>
              </w:rPr>
              <w:t>应当拒绝其参与政府采购活动</w:t>
            </w:r>
            <w:r>
              <w:rPr>
                <w:rFonts w:hint="eastAsia" w:ascii="宋体" w:hAnsi="宋体" w:eastAsia="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w:t>
            </w:r>
          </w:p>
        </w:tc>
        <w:tc>
          <w:tcPr>
            <w:tcW w:w="2268" w:type="dxa"/>
            <w:vAlign w:val="center"/>
          </w:tcPr>
          <w:p>
            <w:pPr>
              <w:spacing w:line="380" w:lineRule="exact"/>
              <w:rPr>
                <w:rFonts w:hint="eastAsia" w:ascii="宋体" w:hAnsi="宋体" w:eastAsia="宋体" w:cs="宋体"/>
                <w:color w:val="000000"/>
                <w:szCs w:val="21"/>
                <w:highlight w:val="none"/>
              </w:rPr>
            </w:pPr>
            <w:bookmarkStart w:id="86" w:name="_28.3"/>
            <w:bookmarkEnd w:id="86"/>
            <w:bookmarkStart w:id="87" w:name="_26"/>
            <w:bookmarkEnd w:id="87"/>
            <w:r>
              <w:rPr>
                <w:rFonts w:hint="eastAsia" w:ascii="宋体" w:hAnsi="宋体" w:eastAsia="宋体" w:cs="宋体"/>
                <w:color w:val="000000"/>
                <w:szCs w:val="21"/>
                <w:highlight w:val="none"/>
              </w:rPr>
              <w:t>评标方法</w:t>
            </w:r>
          </w:p>
        </w:tc>
        <w:tc>
          <w:tcPr>
            <w:tcW w:w="7297" w:type="dxa"/>
            <w:vAlign w:val="center"/>
          </w:tcPr>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综合评分法</w:t>
            </w:r>
          </w:p>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w:t>
            </w:r>
          </w:p>
        </w:tc>
        <w:tc>
          <w:tcPr>
            <w:tcW w:w="2268" w:type="dxa"/>
            <w:vAlign w:val="center"/>
          </w:tcPr>
          <w:p>
            <w:pPr>
              <w:spacing w:line="380" w:lineRule="exact"/>
              <w:rPr>
                <w:rFonts w:hint="eastAsia" w:ascii="宋体" w:hAnsi="宋体" w:eastAsia="宋体" w:cs="宋体"/>
                <w:color w:val="000000"/>
                <w:szCs w:val="21"/>
                <w:highlight w:val="none"/>
              </w:rPr>
            </w:pPr>
            <w:bookmarkStart w:id="88" w:name="_29.2.2（2）"/>
            <w:bookmarkEnd w:id="88"/>
            <w:r>
              <w:rPr>
                <w:rFonts w:hint="eastAsia" w:ascii="宋体" w:hAnsi="宋体" w:eastAsia="宋体" w:cs="宋体"/>
                <w:color w:val="000000"/>
                <w:szCs w:val="21"/>
                <w:highlight w:val="none"/>
              </w:rPr>
              <w:t>允许负偏离项</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w:t>
            </w:r>
          </w:p>
        </w:tc>
        <w:tc>
          <w:tcPr>
            <w:tcW w:w="2268" w:type="dxa"/>
            <w:vAlign w:val="center"/>
          </w:tcPr>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确定中标人时，出现中标候选人分数并列的情形，确定中标人方式 </w:t>
            </w:r>
          </w:p>
        </w:tc>
        <w:tc>
          <w:tcPr>
            <w:tcW w:w="7297" w:type="dxa"/>
            <w:vAlign w:val="center"/>
          </w:tcPr>
          <w:p>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□采用最低评标价法的，投标文件满足招标文件全部实质性要求且投标报价最低的投标人为排名第一的中标候选人； </w:t>
            </w:r>
          </w:p>
          <w:p>
            <w:pPr>
              <w:autoSpaceDE w:val="0"/>
              <w:autoSpaceDN w:val="0"/>
              <w:snapToGrid w:val="0"/>
              <w:spacing w:line="380" w:lineRule="exact"/>
              <w:textAlignment w:val="bottom"/>
              <w:rPr>
                <w:rFonts w:hint="eastAsia" w:ascii="宋体" w:hAnsi="宋体" w:eastAsia="宋体" w:cs="宋体"/>
                <w:b/>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w:t>
            </w:r>
          </w:p>
        </w:tc>
        <w:tc>
          <w:tcPr>
            <w:tcW w:w="2268" w:type="dxa"/>
            <w:vAlign w:val="center"/>
          </w:tcPr>
          <w:p>
            <w:pPr>
              <w:spacing w:line="380" w:lineRule="exact"/>
              <w:rPr>
                <w:rFonts w:hint="eastAsia" w:ascii="宋体" w:hAnsi="宋体" w:eastAsia="宋体" w:cs="宋体"/>
                <w:color w:val="000000"/>
                <w:szCs w:val="21"/>
                <w:highlight w:val="none"/>
              </w:rPr>
            </w:pPr>
            <w:bookmarkStart w:id="89" w:name="_39.1"/>
            <w:bookmarkEnd w:id="89"/>
            <w:r>
              <w:rPr>
                <w:rFonts w:hint="eastAsia" w:ascii="宋体" w:hAnsi="宋体" w:eastAsia="宋体" w:cs="宋体"/>
                <w:color w:val="000000"/>
                <w:szCs w:val="21"/>
                <w:highlight w:val="none"/>
              </w:rPr>
              <w:t>履约保证金金额</w:t>
            </w:r>
          </w:p>
        </w:tc>
        <w:tc>
          <w:tcPr>
            <w:tcW w:w="7297" w:type="dxa"/>
            <w:vAlign w:val="bottom"/>
          </w:tcPr>
          <w:p>
            <w:pPr>
              <w:autoSpaceDE w:val="0"/>
              <w:autoSpaceDN w:val="0"/>
              <w:snapToGrid w:val="0"/>
              <w:spacing w:line="380" w:lineRule="exact"/>
              <w:jc w:val="lef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36.1</w:t>
            </w:r>
          </w:p>
        </w:tc>
        <w:tc>
          <w:tcPr>
            <w:tcW w:w="2268" w:type="dxa"/>
            <w:vAlign w:val="center"/>
          </w:tcPr>
          <w:p>
            <w:pPr>
              <w:spacing w:line="380" w:lineRule="exact"/>
              <w:rPr>
                <w:rFonts w:hint="eastAsia" w:ascii="宋体" w:hAnsi="宋体" w:eastAsia="宋体" w:cs="宋体"/>
                <w:szCs w:val="21"/>
                <w:highlight w:val="none"/>
              </w:rPr>
            </w:pPr>
            <w:bookmarkStart w:id="90" w:name="_40.1"/>
            <w:bookmarkEnd w:id="90"/>
            <w:r>
              <w:rPr>
                <w:rFonts w:hint="eastAsia" w:ascii="宋体" w:hAnsi="宋体" w:eastAsia="宋体" w:cs="宋体"/>
                <w:szCs w:val="21"/>
                <w:highlight w:val="none"/>
              </w:rPr>
              <w:t>签订电子合同携带的材料</w:t>
            </w:r>
          </w:p>
        </w:tc>
        <w:tc>
          <w:tcPr>
            <w:tcW w:w="7297" w:type="dxa"/>
            <w:vAlign w:val="center"/>
          </w:tcPr>
          <w:p>
            <w:pPr>
              <w:autoSpaceDE w:val="0"/>
              <w:autoSpaceDN w:val="0"/>
              <w:snapToGrid w:val="0"/>
              <w:spacing w:line="380" w:lineRule="exact"/>
              <w:textAlignment w:val="bottom"/>
              <w:rPr>
                <w:rFonts w:hint="eastAsia" w:ascii="宋体" w:hAnsi="宋体" w:eastAsia="宋体" w:cs="宋体"/>
                <w:szCs w:val="21"/>
                <w:highlight w:val="none"/>
              </w:rPr>
            </w:pPr>
            <w:r>
              <w:rPr>
                <w:rFonts w:hint="eastAsia" w:ascii="宋体" w:hAnsi="宋体" w:eastAsia="宋体" w:cs="宋体"/>
                <w:szCs w:val="21"/>
                <w:highlight w:val="none"/>
              </w:rPr>
              <w:t>电子采购合同需要供应商通过有效CA证书进行电子签署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5" w:type="dxa"/>
            <w:vMerge w:val="restart"/>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38.2.1</w:t>
            </w: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none"/>
              </w:rPr>
              <w:t>（1）</w:t>
            </w:r>
            <w:r>
              <w:rPr>
                <w:rFonts w:hint="eastAsia" w:ascii="宋体" w:hAnsi="宋体" w:cs="宋体"/>
                <w:color w:val="000000"/>
                <w:szCs w:val="21"/>
                <w:highlight w:val="none"/>
                <w:u w:val="single"/>
                <w:lang w:eastAsia="zh-CN"/>
              </w:rPr>
              <w:t>广西合美工程咨询有限公司</w:t>
            </w:r>
            <w:r>
              <w:rPr>
                <w:rFonts w:hint="eastAsia" w:ascii="宋体" w:hAnsi="宋体" w:eastAsia="宋体" w:cs="宋体"/>
                <w:color w:val="000000"/>
                <w:szCs w:val="21"/>
                <w:highlight w:val="none"/>
              </w:rPr>
              <w:t>部门；</w:t>
            </w:r>
          </w:p>
          <w:p>
            <w:pPr>
              <w:snapToGrid w:val="0"/>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u w:val="single"/>
                <w:lang w:eastAsia="zh-CN"/>
              </w:rPr>
              <w:t>0771-4811887</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通讯地址：</w:t>
            </w:r>
            <w:r>
              <w:rPr>
                <w:rFonts w:hint="eastAsia" w:ascii="宋体" w:hAnsi="宋体" w:cs="宋体"/>
                <w:color w:val="000000"/>
                <w:szCs w:val="21"/>
                <w:highlight w:val="none"/>
                <w:u w:val="single"/>
                <w:lang w:eastAsia="zh-CN"/>
              </w:rPr>
              <w:t>南宁市青秀区金湖路61号佳得鑫水晶城D座1402号房</w:t>
            </w:r>
            <w:r>
              <w:rPr>
                <w:rFonts w:hint="eastAsia" w:ascii="宋体" w:hAnsi="宋体" w:eastAsia="宋体" w:cs="宋体"/>
                <w:color w:val="000000"/>
                <w:szCs w:val="21"/>
                <w:highlight w:val="none"/>
              </w:rPr>
              <w:t xml:space="preserve"> </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none"/>
              </w:rPr>
              <w:t>（2）</w:t>
            </w:r>
            <w:r>
              <w:rPr>
                <w:rFonts w:hint="eastAsia" w:ascii="宋体" w:hAnsi="宋体" w:cs="宋体"/>
                <w:color w:val="000000"/>
                <w:szCs w:val="21"/>
                <w:highlight w:val="none"/>
                <w:u w:val="single"/>
                <w:lang w:eastAsia="zh-CN"/>
              </w:rPr>
              <w:t>南宁市江南区苏圩镇人民政府</w:t>
            </w:r>
            <w:r>
              <w:rPr>
                <w:rFonts w:hint="eastAsia" w:ascii="宋体" w:hAnsi="宋体" w:eastAsia="宋体" w:cs="宋体"/>
                <w:color w:val="000000"/>
                <w:szCs w:val="21"/>
                <w:highlight w:val="none"/>
              </w:rPr>
              <w:t>部门；</w:t>
            </w:r>
          </w:p>
          <w:p>
            <w:pPr>
              <w:snapToGrid w:val="0"/>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u w:val="single"/>
                <w:lang w:eastAsia="zh-CN"/>
              </w:rPr>
              <w:t>0771-4178002</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通讯地址：</w:t>
            </w:r>
            <w:r>
              <w:rPr>
                <w:rFonts w:hint="eastAsia" w:ascii="宋体" w:hAnsi="宋体" w:cs="宋体"/>
                <w:color w:val="000000"/>
                <w:szCs w:val="21"/>
                <w:highlight w:val="none"/>
                <w:u w:val="single"/>
                <w:lang w:eastAsia="zh-CN"/>
              </w:rPr>
              <w:t>南宁市江南区苏圩镇团结路8号</w:t>
            </w:r>
            <w:r>
              <w:rPr>
                <w:rFonts w:hint="eastAsia" w:ascii="宋体" w:hAnsi="宋体" w:eastAsia="宋体" w:cs="宋体"/>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7297"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8</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12</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15</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18</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38.3.1</w:t>
            </w:r>
          </w:p>
        </w:tc>
        <w:tc>
          <w:tcPr>
            <w:tcW w:w="2268" w:type="dxa"/>
            <w:vAlign w:val="center"/>
          </w:tcPr>
          <w:p>
            <w:pPr>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投诉受理方式</w:t>
            </w:r>
          </w:p>
        </w:tc>
        <w:tc>
          <w:tcPr>
            <w:tcW w:w="7297" w:type="dxa"/>
            <w:vAlign w:val="center"/>
          </w:tcPr>
          <w:p>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1、受理方式：纸质方式受理，投诉书正、副本（经过质疑的事项才可投诉）。</w:t>
            </w:r>
          </w:p>
          <w:p>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2、邮寄地址：</w:t>
            </w:r>
          </w:p>
          <w:p>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名称：南宁市江南区财政局政府采购监督管理办公室</w:t>
            </w:r>
          </w:p>
          <w:p>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地址：南宁市壮锦大道19号A座10层1017室</w:t>
            </w:r>
          </w:p>
          <w:p>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联系电话：0771-4802805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restart"/>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40</w:t>
            </w:r>
          </w:p>
        </w:tc>
        <w:tc>
          <w:tcPr>
            <w:tcW w:w="2268" w:type="dxa"/>
            <w:vAlign w:val="center"/>
          </w:tcPr>
          <w:p>
            <w:pPr>
              <w:spacing w:line="380" w:lineRule="exact"/>
              <w:rPr>
                <w:rFonts w:hint="eastAsia" w:ascii="宋体" w:hAnsi="宋体" w:eastAsia="宋体" w:cs="宋体"/>
                <w:color w:val="000000"/>
                <w:szCs w:val="21"/>
                <w:highlight w:val="none"/>
              </w:rPr>
            </w:pPr>
            <w:bookmarkStart w:id="91" w:name="_42"/>
            <w:bookmarkEnd w:id="91"/>
            <w:bookmarkStart w:id="92" w:name="_41"/>
            <w:bookmarkEnd w:id="92"/>
            <w:r>
              <w:rPr>
                <w:rFonts w:hint="eastAsia" w:ascii="宋体" w:hAnsi="宋体" w:eastAsia="宋体" w:cs="宋体"/>
                <w:color w:val="000000"/>
                <w:highlight w:val="none"/>
              </w:rPr>
              <w:t>采购代理费支付方式</w:t>
            </w:r>
          </w:p>
        </w:tc>
        <w:tc>
          <w:tcPr>
            <w:tcW w:w="7297" w:type="dxa"/>
            <w:vAlign w:val="center"/>
          </w:tcPr>
          <w:p>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本项目代理服务费由</w:t>
            </w:r>
            <w:r>
              <w:rPr>
                <w:rFonts w:hint="eastAsia" w:ascii="宋体" w:hAnsi="宋体" w:eastAsia="宋体" w:cs="宋体"/>
                <w:color w:val="000000"/>
                <w:highlight w:val="none"/>
                <w:u w:val="single"/>
              </w:rPr>
              <w:t>中标人</w:t>
            </w:r>
            <w:r>
              <w:rPr>
                <w:rFonts w:hint="eastAsia" w:ascii="宋体" w:hAnsi="宋体" w:eastAsia="宋体" w:cs="宋体"/>
                <w:color w:val="000000"/>
                <w:highlight w:val="none"/>
              </w:rPr>
              <w:t>在领取中标通知书前，一次性向采购代理机构支付。</w:t>
            </w:r>
          </w:p>
          <w:p>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□采购人支付。</w:t>
            </w:r>
          </w:p>
          <w:p>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□本项目不收取代理服务费。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采购代理费收取标准</w:t>
            </w:r>
          </w:p>
        </w:tc>
        <w:tc>
          <w:tcPr>
            <w:tcW w:w="7297" w:type="dxa"/>
            <w:vAlign w:val="center"/>
          </w:tcPr>
          <w:p>
            <w:pPr>
              <w:pStyle w:val="25"/>
              <w:jc w:val="both"/>
              <w:rPr>
                <w:rFonts w:hint="eastAsia" w:ascii="宋体" w:hAnsi="宋体" w:eastAsia="宋体" w:cs="宋体"/>
                <w:highlight w:val="none"/>
                <w:lang w:val="en-US" w:eastAsia="zh-CN"/>
              </w:rPr>
            </w:pPr>
            <w:bookmarkStart w:id="93" w:name="_Toc11358"/>
            <w:r>
              <w:rPr>
                <w:rFonts w:hint="eastAsia" w:ascii="宋体" w:hAnsi="宋体" w:eastAsia="宋体" w:cs="宋体"/>
                <w:b w:val="0"/>
                <w:color w:val="000000"/>
                <w:kern w:val="2"/>
                <w:sz w:val="21"/>
                <w:szCs w:val="20"/>
                <w:highlight w:val="none"/>
                <w:lang w:val="en-US" w:eastAsia="zh-CN" w:bidi="ar-SA"/>
              </w:rPr>
              <w:t>按原国家发展计划委员会计价格[2002]1980号《招标代理服务费管理暂行办法》收费标准（工程类型）向中标供应商收取。</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5" w:type="dxa"/>
            <w:vMerge w:val="continue"/>
            <w:vAlign w:val="center"/>
          </w:tcPr>
          <w:p>
            <w:pPr>
              <w:widowControl/>
              <w:jc w:val="left"/>
              <w:rPr>
                <w:rFonts w:hint="eastAsia" w:ascii="宋体" w:hAnsi="宋体" w:eastAsia="宋体" w:cs="宋体"/>
                <w:color w:val="000000"/>
                <w:szCs w:val="21"/>
                <w:highlight w:val="none"/>
              </w:rPr>
            </w:pPr>
          </w:p>
        </w:tc>
        <w:tc>
          <w:tcPr>
            <w:tcW w:w="2268" w:type="dxa"/>
            <w:vAlign w:val="center"/>
          </w:tcPr>
          <w:p>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代理服务费收款账户信息</w:t>
            </w:r>
          </w:p>
        </w:tc>
        <w:tc>
          <w:tcPr>
            <w:tcW w:w="7297" w:type="dxa"/>
            <w:vAlign w:val="center"/>
          </w:tcPr>
          <w:p>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开户名称：</w:t>
            </w:r>
            <w:r>
              <w:rPr>
                <w:rFonts w:hint="eastAsia" w:hAnsi="宋体" w:cs="宋体"/>
                <w:color w:val="auto"/>
                <w:highlight w:val="none"/>
                <w:lang w:eastAsia="zh-CN"/>
              </w:rPr>
              <w:t>广西合美工程咨询有限公司</w:t>
            </w:r>
            <w:r>
              <w:rPr>
                <w:rFonts w:hint="eastAsia" w:ascii="宋体" w:hAnsi="宋体" w:eastAsia="宋体" w:cs="宋体"/>
                <w:color w:val="auto"/>
                <w:highlight w:val="none"/>
                <w:lang w:eastAsia="zh-CN"/>
              </w:rPr>
              <w:t xml:space="preserve"> </w:t>
            </w:r>
          </w:p>
          <w:p>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开户银行：</w:t>
            </w:r>
            <w:r>
              <w:rPr>
                <w:rFonts w:hint="eastAsia" w:hAnsi="宋体" w:cs="宋体"/>
                <w:color w:val="auto"/>
                <w:highlight w:val="none"/>
                <w:lang w:eastAsia="zh-CN"/>
              </w:rPr>
              <w:t>中国建设银行股份有限公司南宁水利电力大厦支行</w:t>
            </w:r>
            <w:r>
              <w:rPr>
                <w:rFonts w:hint="eastAsia" w:ascii="宋体" w:hAnsi="宋体" w:eastAsia="宋体" w:cs="宋体"/>
                <w:color w:val="auto"/>
                <w:highlight w:val="none"/>
                <w:lang w:eastAsia="zh-CN"/>
              </w:rPr>
              <w:t xml:space="preserve"> </w:t>
            </w:r>
          </w:p>
          <w:p>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auto"/>
                <w:highlight w:val="none"/>
                <w:lang w:eastAsia="zh-CN"/>
              </w:rPr>
              <w:t>银行账号：45050160477200001333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w:t>
            </w:r>
          </w:p>
        </w:tc>
        <w:tc>
          <w:tcPr>
            <w:tcW w:w="2268"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解释</w:t>
            </w:r>
          </w:p>
        </w:tc>
        <w:tc>
          <w:tcPr>
            <w:tcW w:w="7297" w:type="dxa"/>
            <w:vAlign w:val="center"/>
          </w:tcPr>
          <w:p>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解释权：</w:t>
            </w:r>
            <w:r>
              <w:rPr>
                <w:rFonts w:hint="eastAsia" w:ascii="宋体" w:hAnsi="宋体" w:eastAsia="宋体" w:cs="宋体"/>
                <w:color w:val="000000"/>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000000"/>
                <w:szCs w:val="21"/>
                <w:highlight w:val="none"/>
              </w:rPr>
              <w:t>，由采购人或者采购代理机构负责解释。</w:t>
            </w:r>
          </w:p>
          <w:p>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法律责任：</w:t>
            </w:r>
          </w:p>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380" w:lineRule="exact"/>
              <w:rPr>
                <w:rFonts w:hint="eastAsia" w:ascii="宋体" w:hAnsi="宋体" w:eastAsia="宋体" w:cs="宋体"/>
                <w:highlight w:val="none"/>
              </w:rPr>
            </w:pPr>
            <w:r>
              <w:rPr>
                <w:rFonts w:hint="eastAsia" w:ascii="宋体" w:hAnsi="宋体" w:eastAsia="宋体" w:cs="宋体"/>
                <w:b/>
                <w:bCs/>
                <w:color w:val="000000"/>
                <w:kern w:val="2"/>
                <w:sz w:val="21"/>
                <w:szCs w:val="20"/>
                <w:highlight w:val="none"/>
                <w:lang w:val="en-US" w:eastAsia="zh-CN" w:bidi="ar-SA"/>
              </w:rPr>
              <w:t>2.本项目采购代理机构应严格按照</w:t>
            </w:r>
            <w:r>
              <w:rPr>
                <w:rFonts w:hint="eastAsia" w:ascii="宋体" w:hAnsi="宋体" w:cs="宋体"/>
                <w:b/>
                <w:bCs/>
                <w:color w:val="000000"/>
                <w:kern w:val="2"/>
                <w:sz w:val="21"/>
                <w:szCs w:val="20"/>
                <w:highlight w:val="none"/>
                <w:lang w:val="en-US" w:eastAsia="zh-CN" w:bidi="ar-SA"/>
              </w:rPr>
              <w:t>广西政府采购云平台</w:t>
            </w:r>
            <w:r>
              <w:rPr>
                <w:rFonts w:hint="eastAsia" w:ascii="宋体" w:hAnsi="宋体" w:eastAsia="宋体" w:cs="宋体"/>
                <w:b/>
                <w:bCs/>
                <w:color w:val="000000"/>
                <w:kern w:val="2"/>
                <w:sz w:val="21"/>
                <w:szCs w:val="20"/>
                <w:highlight w:val="none"/>
                <w:lang w:val="en-US" w:eastAsia="zh-CN" w:bidi="ar-SA"/>
              </w:rPr>
              <w:t>项目采购全流程电子化电子开评标规程执行项目采购活动，代理机构在</w:t>
            </w:r>
            <w:r>
              <w:rPr>
                <w:rFonts w:hint="eastAsia" w:ascii="宋体" w:hAnsi="宋体" w:cs="宋体"/>
                <w:b/>
                <w:bCs/>
                <w:color w:val="000000"/>
                <w:kern w:val="2"/>
                <w:sz w:val="21"/>
                <w:szCs w:val="20"/>
                <w:highlight w:val="none"/>
                <w:lang w:val="en-US" w:eastAsia="zh-CN" w:bidi="ar-SA"/>
              </w:rPr>
              <w:t>广西政府采购云平台</w:t>
            </w:r>
            <w:r>
              <w:rPr>
                <w:rFonts w:hint="eastAsia" w:ascii="宋体" w:hAnsi="宋体" w:eastAsia="宋体" w:cs="宋体"/>
                <w:b/>
                <w:bCs/>
                <w:color w:val="000000"/>
                <w:kern w:val="2"/>
                <w:sz w:val="21"/>
                <w:szCs w:val="20"/>
                <w:highlight w:val="none"/>
                <w:lang w:val="en-US" w:eastAsia="zh-CN" w:bidi="ar-SA"/>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w:t>
            </w:r>
          </w:p>
        </w:tc>
        <w:tc>
          <w:tcPr>
            <w:tcW w:w="2268" w:type="dxa"/>
            <w:vAlign w:val="center"/>
          </w:tcPr>
          <w:p>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其他释义</w:t>
            </w:r>
          </w:p>
        </w:tc>
        <w:tc>
          <w:tcPr>
            <w:tcW w:w="7297" w:type="dxa"/>
            <w:vAlign w:val="center"/>
          </w:tcPr>
          <w:p>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3.本招标文件中描述投标人的“签字”是指投标人的法定代表人或者委托代理人亲自在文件规定签署处亲笔写上个人的名字的行为，私章、签字章、印鉴、影印等其他形式均不能代替亲笔签字。</w:t>
            </w:r>
          </w:p>
          <w:p>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4.自然人投标的，招标文件规定盖公章处由自然人摁手指指印。</w:t>
            </w:r>
          </w:p>
          <w:p>
            <w:pPr>
              <w:spacing w:line="380" w:lineRule="exact"/>
              <w:jc w:val="left"/>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5.本招标文件所称的“以上”“以下”“以内”“届满”，包括本数；所称的“不满”“超过”“以外”，不包括本数。</w:t>
            </w:r>
          </w:p>
        </w:tc>
      </w:tr>
    </w:tbl>
    <w:p>
      <w:pPr>
        <w:widowControl/>
        <w:spacing w:line="412" w:lineRule="auto"/>
        <w:jc w:val="left"/>
        <w:rPr>
          <w:rFonts w:hint="eastAsia" w:ascii="宋体" w:hAnsi="宋体" w:eastAsia="宋体" w:cs="宋体"/>
          <w:b/>
          <w:bCs/>
          <w:color w:val="000000"/>
          <w:sz w:val="32"/>
          <w:szCs w:val="32"/>
          <w:highlight w:val="none"/>
        </w:rPr>
        <w:sectPr>
          <w:pgSz w:w="11906" w:h="16838"/>
          <w:pgMar w:top="1134" w:right="1134" w:bottom="1134" w:left="1134" w:header="720" w:footer="720" w:gutter="0"/>
          <w:cols w:space="720" w:num="1"/>
          <w:docGrid w:type="lines" w:linePitch="331" w:charSpace="0"/>
        </w:sectPr>
      </w:pPr>
    </w:p>
    <w:p>
      <w:pPr>
        <w:pStyle w:val="3"/>
        <w:jc w:val="center"/>
        <w:rPr>
          <w:rFonts w:hint="eastAsia" w:ascii="宋体" w:hAnsi="宋体" w:eastAsia="宋体" w:cs="宋体"/>
          <w:color w:val="000000"/>
          <w:highlight w:val="none"/>
        </w:rPr>
      </w:pPr>
      <w:bookmarkStart w:id="94" w:name="_Toc11336"/>
      <w:bookmarkStart w:id="95" w:name="_Toc8631"/>
      <w:r>
        <w:rPr>
          <w:rFonts w:hint="eastAsia" w:ascii="宋体" w:hAnsi="宋体" w:eastAsia="宋体" w:cs="宋体"/>
          <w:color w:val="000000"/>
          <w:highlight w:val="none"/>
        </w:rPr>
        <w:t>第二节 投标人须知正文</w:t>
      </w:r>
      <w:bookmarkEnd w:id="94"/>
      <w:bookmarkEnd w:id="95"/>
    </w:p>
    <w:p>
      <w:pPr>
        <w:pStyle w:val="4"/>
        <w:keepNext w:val="0"/>
        <w:keepLines w:val="0"/>
        <w:spacing w:line="400" w:lineRule="exact"/>
        <w:jc w:val="center"/>
        <w:rPr>
          <w:rFonts w:hint="eastAsia" w:ascii="宋体" w:hAnsi="宋体" w:eastAsia="宋体" w:cs="宋体"/>
          <w:color w:val="000000"/>
          <w:highlight w:val="none"/>
        </w:rPr>
      </w:pPr>
      <w:bookmarkStart w:id="96" w:name="_Toc22266"/>
      <w:r>
        <w:rPr>
          <w:rFonts w:hint="eastAsia" w:ascii="宋体" w:hAnsi="宋体" w:eastAsia="宋体" w:cs="宋体"/>
          <w:color w:val="000000"/>
          <w:highlight w:val="none"/>
        </w:rPr>
        <w:t>一、总  则</w:t>
      </w:r>
      <w:bookmarkEnd w:id="96"/>
    </w:p>
    <w:p>
      <w:pPr>
        <w:spacing w:line="360" w:lineRule="auto"/>
        <w:ind w:firstLine="480" w:firstLineChars="200"/>
        <w:rPr>
          <w:rFonts w:hint="eastAsia" w:ascii="宋体" w:hAnsi="宋体" w:eastAsia="宋体" w:cs="宋体"/>
          <w:color w:val="000000"/>
          <w:sz w:val="24"/>
          <w:highlight w:val="none"/>
        </w:rPr>
      </w:pPr>
      <w:bookmarkStart w:id="97" w:name="_Toc254970527"/>
      <w:bookmarkStart w:id="98" w:name="_Toc254970668"/>
      <w:r>
        <w:rPr>
          <w:rFonts w:hint="eastAsia" w:ascii="宋体" w:hAnsi="宋体" w:eastAsia="宋体" w:cs="宋体"/>
          <w:color w:val="000000"/>
          <w:sz w:val="24"/>
          <w:highlight w:val="none"/>
        </w:rPr>
        <w:t>1.适用范围</w:t>
      </w:r>
      <w:bookmarkEnd w:id="97"/>
      <w:bookmarkEnd w:id="98"/>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1.2本招标文件</w:t>
      </w:r>
      <w:r>
        <w:rPr>
          <w:rFonts w:hint="eastAsia" w:ascii="宋体" w:hAnsi="宋体" w:eastAsia="宋体" w:cs="宋体"/>
          <w:color w:val="000000"/>
          <w:spacing w:val="-6"/>
          <w:szCs w:val="21"/>
          <w:highlight w:val="none"/>
        </w:rPr>
        <w:t>适用于本项目的所有采购程序和环节（法律、法规另有规定的，从其规定）。</w:t>
      </w:r>
    </w:p>
    <w:p>
      <w:pPr>
        <w:spacing w:line="360" w:lineRule="auto"/>
        <w:ind w:firstLine="480" w:firstLineChars="200"/>
        <w:rPr>
          <w:rFonts w:hint="eastAsia" w:ascii="宋体" w:hAnsi="宋体" w:eastAsia="宋体" w:cs="宋体"/>
          <w:color w:val="000000"/>
          <w:sz w:val="24"/>
          <w:highlight w:val="none"/>
        </w:rPr>
      </w:pPr>
      <w:bookmarkStart w:id="99" w:name="_Toc254970528"/>
      <w:bookmarkStart w:id="100" w:name="_Toc254970669"/>
      <w:r>
        <w:rPr>
          <w:rFonts w:hint="eastAsia" w:ascii="宋体" w:hAnsi="宋体" w:eastAsia="宋体" w:cs="宋体"/>
          <w:color w:val="000000"/>
          <w:sz w:val="24"/>
          <w:highlight w:val="none"/>
        </w:rPr>
        <w:t>2.定义</w:t>
      </w:r>
      <w:bookmarkEnd w:id="99"/>
      <w:bookmarkEnd w:id="100"/>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2.1“采购人”是指依法进行政府采购的国家机关、事业单位、团体组织。</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2.2“采购代理机构” 指政府采购集中采购机构和集中采购机构以外的采购代理机构。</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2.4“投标人”是指响应招标、参加投标竞争的法人、非法人组织或者自然人。</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2.5“服务”是指除货物和工程以外的其他政府采购对象。</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2.7“实质性要求”是指招标文件中已经指明不满足则投标无效的条款，或者不能负偏离的条款，或者采购需求中带“</w:t>
      </w:r>
      <w:r>
        <w:rPr>
          <w:rFonts w:hint="eastAsia" w:ascii="宋体" w:hAnsi="宋体" w:eastAsia="宋体" w:cs="宋体"/>
          <w:b/>
          <w:bCs/>
          <w:szCs w:val="21"/>
          <w:highlight w:val="none"/>
        </w:rPr>
        <w:t>▲</w:t>
      </w:r>
      <w:r>
        <w:rPr>
          <w:rFonts w:hint="eastAsia" w:ascii="宋体" w:hAnsi="宋体" w:eastAsia="宋体" w:cs="宋体"/>
          <w:b/>
          <w:color w:val="000000"/>
          <w:szCs w:val="21"/>
          <w:highlight w:val="none"/>
        </w:rPr>
        <w:t>”的条款。</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2.8“正偏离”，是指投标文件对招标文件“采购需求”中有关条款作出的响应优于条款要求并有利于采购人的情形。</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2.9“负偏离”，是指投标文件对招标文件“采购需求”中有关条款作出的响应不满足条款要求，导致采购人要求不能得到满足的情形。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2.10“允许负偏离的条款”是指采购需求中的不属于“实质性要求”的条款。</w:t>
      </w:r>
      <w:bookmarkStart w:id="101" w:name="_Toc254970529"/>
      <w:bookmarkStart w:id="102" w:name="_Toc254970670"/>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End w:id="101"/>
      <w:bookmarkEnd w:id="102"/>
      <w:r>
        <w:rPr>
          <w:rFonts w:hint="eastAsia" w:ascii="宋体" w:hAnsi="宋体" w:eastAsia="宋体" w:cs="宋体"/>
          <w:color w:val="000000"/>
          <w:sz w:val="24"/>
          <w:highlight w:val="none"/>
        </w:rPr>
        <w:t>投标人的资格要求</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投标人的资格要求详见“招标公告”。</w:t>
      </w:r>
    </w:p>
    <w:p>
      <w:pPr>
        <w:spacing w:line="360" w:lineRule="auto"/>
        <w:ind w:firstLine="480" w:firstLineChars="200"/>
        <w:rPr>
          <w:rFonts w:hint="eastAsia" w:ascii="宋体" w:hAnsi="宋体" w:eastAsia="宋体" w:cs="宋体"/>
          <w:color w:val="000000"/>
          <w:sz w:val="24"/>
          <w:highlight w:val="none"/>
        </w:rPr>
      </w:pPr>
      <w:bookmarkStart w:id="103" w:name="_Toc254970530"/>
      <w:bookmarkStart w:id="104" w:name="_Toc254970671"/>
      <w:r>
        <w:rPr>
          <w:rFonts w:hint="eastAsia" w:ascii="宋体" w:hAnsi="宋体" w:eastAsia="宋体" w:cs="宋体"/>
          <w:color w:val="000000"/>
          <w:sz w:val="24"/>
          <w:highlight w:val="none"/>
        </w:rPr>
        <w:t>4.投标委托</w:t>
      </w:r>
      <w:bookmarkEnd w:id="103"/>
      <w:bookmarkEnd w:id="104"/>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投标人代表参加投标活动过程中必须携带个人有效身份证件。如投标人代表不是法定代表人，须持有法定代表人授权委托书（正本用原件，副本用复印件，按第六章要求格式填写）。</w:t>
      </w:r>
    </w:p>
    <w:p>
      <w:pPr>
        <w:spacing w:line="360" w:lineRule="auto"/>
        <w:ind w:firstLine="480" w:firstLineChars="200"/>
        <w:rPr>
          <w:rFonts w:hint="eastAsia" w:ascii="宋体" w:hAnsi="宋体" w:eastAsia="宋体" w:cs="宋体"/>
          <w:color w:val="000000"/>
          <w:sz w:val="24"/>
          <w:highlight w:val="none"/>
        </w:rPr>
      </w:pPr>
      <w:bookmarkStart w:id="105" w:name="_5.投标费用"/>
      <w:bookmarkEnd w:id="105"/>
      <w:bookmarkStart w:id="106" w:name="_Toc254970672"/>
      <w:bookmarkStart w:id="107" w:name="_Toc254970531"/>
      <w:r>
        <w:rPr>
          <w:rFonts w:hint="eastAsia" w:ascii="宋体" w:hAnsi="宋体" w:eastAsia="宋体" w:cs="宋体"/>
          <w:color w:val="000000"/>
          <w:sz w:val="24"/>
          <w:highlight w:val="none"/>
        </w:rPr>
        <w:t>5.投标费用</w:t>
      </w:r>
      <w:bookmarkEnd w:id="106"/>
      <w:bookmarkEnd w:id="107"/>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6.联合体投标</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6.1本项目是否接受联合体投标，详见“投标人须知前附表”。</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6.2如接受联合体投标，联合体投标要求详见“投标人须知前附表”。</w:t>
      </w:r>
    </w:p>
    <w:p>
      <w:pPr>
        <w:spacing w:line="360" w:lineRule="auto"/>
        <w:ind w:firstLine="420" w:firstLineChars="200"/>
        <w:rPr>
          <w:rFonts w:hint="eastAsia" w:ascii="宋体" w:hAnsi="宋体" w:eastAsia="宋体" w:cs="宋体"/>
          <w:bCs/>
          <w:color w:val="000000"/>
          <w:sz w:val="24"/>
          <w:szCs w:val="21"/>
          <w:highlight w:val="none"/>
          <w:shd w:val="clear" w:color="auto" w:fill="FFFFFF"/>
        </w:rPr>
      </w:pPr>
      <w:r>
        <w:rPr>
          <w:rFonts w:hint="eastAsia" w:ascii="宋体" w:hAnsi="宋体" w:eastAsia="宋体" w:cs="宋体"/>
          <w:bCs/>
          <w:color w:val="000000"/>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bCs/>
          <w:color w:val="000000"/>
          <w:szCs w:val="21"/>
          <w:highlight w:val="none"/>
          <w:lang w:eastAsia="zh-CN"/>
        </w:rPr>
        <w:t>、</w:t>
      </w:r>
      <w:r>
        <w:rPr>
          <w:rFonts w:hint="eastAsia" w:ascii="宋体" w:hAnsi="宋体" w:eastAsia="宋体" w:cs="宋体"/>
          <w:highlight w:val="none"/>
        </w:rPr>
        <w:t>《广西壮族自治区财政厅关于贯彻落实政府采购支持中小企业发展政策的通知》（桂财采〔2022〕31号）</w:t>
      </w:r>
      <w:r>
        <w:rPr>
          <w:rFonts w:hint="eastAsia" w:ascii="宋体" w:hAnsi="宋体" w:eastAsia="宋体" w:cs="宋体"/>
          <w:bCs/>
          <w:color w:val="000000"/>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7.转包与分包             </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bCs/>
          <w:color w:val="000000"/>
          <w:szCs w:val="21"/>
          <w:highlight w:val="none"/>
          <w:lang w:eastAsia="zh-CN"/>
        </w:rPr>
        <w:t>、</w:t>
      </w:r>
      <w:r>
        <w:rPr>
          <w:rFonts w:hint="eastAsia" w:ascii="宋体" w:hAnsi="宋体" w:eastAsia="宋体" w:cs="宋体"/>
          <w:highlight w:val="none"/>
        </w:rPr>
        <w:t>《广西壮族自治区财政厅关于贯彻落实政府采购支持中小企业发展政策的通知》（桂财采〔2022〕31号）</w:t>
      </w:r>
      <w:r>
        <w:rPr>
          <w:rFonts w:hint="eastAsia" w:ascii="宋体" w:hAnsi="宋体" w:eastAsia="宋体" w:cs="宋体"/>
          <w:bCs/>
          <w:color w:val="000000"/>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0" w:firstLineChars="200"/>
        <w:rPr>
          <w:rFonts w:hint="eastAsia" w:ascii="宋体" w:hAnsi="宋体" w:eastAsia="宋体" w:cs="宋体"/>
          <w:color w:val="000000"/>
          <w:sz w:val="24"/>
          <w:highlight w:val="none"/>
        </w:rPr>
      </w:pPr>
      <w:bookmarkStart w:id="108" w:name="_Toc254970673"/>
      <w:bookmarkStart w:id="109" w:name="_Toc254970532"/>
      <w:r>
        <w:rPr>
          <w:rFonts w:hint="eastAsia" w:ascii="宋体" w:hAnsi="宋体" w:eastAsia="宋体" w:cs="宋体"/>
          <w:color w:val="000000"/>
          <w:sz w:val="24"/>
          <w:highlight w:val="none"/>
        </w:rPr>
        <w:t>8.特别说明：</w:t>
      </w:r>
      <w:bookmarkEnd w:id="108"/>
      <w:bookmarkEnd w:id="109"/>
      <w:bookmarkStart w:id="110" w:name="_8.1提供相同品牌产品且通过资格审查、符合性审查的不同投标人参加同一合"/>
      <w:bookmarkEnd w:id="110"/>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8.1如果本招标文件要求投标人提供资格、信誉、荣誉、业绩与企业认证等材料的，则投标人所提供的以上材料必须为投标人所拥有。</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9.回避与串通投标</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9.1在政府采购活动中，采购人员及相关人员与供应商有下列利害关系之一的，应当回避：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（1）参加采购活动前3年内与供应商存在劳动关系；</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（2）参加采购活动前3年内担任供应商的董事、监事；</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9.2有下列情形之一的视为投标人相互串通投标，投标文件将被视为无效：</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（1）不同投标人的投标文件由同一单位或者个人编制；或者不同投标人报名的IP地址一致的；或者不同投标人报名的IP地址一致的；或者编制标书硬件设备CPU编号、硬盘编号、网卡地址一致的情况。</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（2）不同投标人委托同一单位或者个人办理投标事宜；</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（3）不同的投标人的投标文件载明的项目管理员为同一个人；</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（4）不同投标人的电子或纸质投标文件异常一致或者投标报价呈规律性差异；</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（5）不同投标人的纸质投标文件相互混装；</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9.3供应商有下列情形之一的，属于恶意串通行为，将报同级监督管理部门：</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（1）供应商直接或者间接从采购人或者采购代理机构处获得其他供应商的相关信息并修改其投标文件或者投标文件；</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（2）供应商按照采购人或者采购代理机构的授意撤换、修改投标文件或者投标文件；</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（3）供应商之间协商报价、技术方案等投标文件或者投标文件的实质性内容；</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（6）供应商之间商定部分供应商放弃参加政府采购活动或者放弃中标；</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（7）供应商与采购人或者采购代理机构之间、供应商相互之间，为谋求特定供应商中标或者排斥其他供应商的其他串通行为。</w:t>
      </w:r>
    </w:p>
    <w:p>
      <w:pPr>
        <w:pStyle w:val="11"/>
        <w:snapToGrid w:val="0"/>
        <w:spacing w:line="360" w:lineRule="auto"/>
        <w:ind w:left="2" w:leftChars="1" w:firstLine="422" w:firstLineChars="200"/>
        <w:rPr>
          <w:rFonts w:hint="eastAsia" w:ascii="宋体" w:hAnsi="宋体" w:eastAsia="宋体" w:cs="宋体"/>
          <w:b/>
          <w:color w:val="000000"/>
          <w:highlight w:val="none"/>
        </w:rPr>
      </w:pPr>
    </w:p>
    <w:p>
      <w:pPr>
        <w:pStyle w:val="4"/>
        <w:keepNext w:val="0"/>
        <w:keepLines w:val="0"/>
        <w:spacing w:line="400" w:lineRule="exact"/>
        <w:jc w:val="center"/>
        <w:rPr>
          <w:rFonts w:hint="eastAsia" w:ascii="宋体" w:hAnsi="宋体" w:eastAsia="宋体" w:cs="宋体"/>
          <w:color w:val="000000"/>
          <w:highlight w:val="none"/>
        </w:rPr>
      </w:pPr>
      <w:bookmarkStart w:id="111" w:name="_Toc254970675"/>
      <w:bookmarkStart w:id="112" w:name="_Toc254970534"/>
      <w:bookmarkStart w:id="113" w:name="_Toc9988"/>
      <w:r>
        <w:rPr>
          <w:rFonts w:hint="eastAsia" w:ascii="宋体" w:hAnsi="宋体" w:eastAsia="宋体" w:cs="宋体"/>
          <w:color w:val="000000"/>
          <w:highlight w:val="none"/>
        </w:rPr>
        <w:t>二、招标文件</w:t>
      </w:r>
      <w:bookmarkEnd w:id="111"/>
      <w:bookmarkEnd w:id="112"/>
      <w:bookmarkEnd w:id="113"/>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10.招标文件的组成</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招标公告；</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第二章 采购需求； </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第三章 投标人须知；</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评标方法及评标标准；</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拟签订的合同文本；</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投标文件格式；</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根据本章第11.1项的规定对公开招标文件所做的澄清、修改，构成招标文件的组成部分。当公开招标文件与招标文件的澄清和修改就同一内容的表述不一致时，以最后澄清或修改公告为准。</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11.招标文件的澄清、修改 、现场考察和答疑会</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11.2 投标人应认真审阅本公开招标文件，如有疑问，或发现其中有误或有要求不合理的，应在投标人须知前附表规定的</w:t>
      </w:r>
      <w:r>
        <w:rPr>
          <w:rFonts w:hint="eastAsia" w:ascii="宋体" w:hAnsi="宋体" w:eastAsia="宋体" w:cs="宋体"/>
          <w:kern w:val="0"/>
          <w:szCs w:val="21"/>
          <w:highlight w:val="none"/>
        </w:rPr>
        <w:t>投标截止时间</w:t>
      </w:r>
      <w:r>
        <w:rPr>
          <w:rFonts w:hint="eastAsia" w:ascii="宋体" w:hAnsi="宋体" w:eastAsia="宋体" w:cs="宋体"/>
          <w:highlight w:val="none"/>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highlight w:val="none"/>
          <w:lang w:eastAsia="zh-CN"/>
        </w:rPr>
        <w:t>（</w:t>
      </w:r>
      <w:r>
        <w:rPr>
          <w:rFonts w:hint="eastAsia" w:ascii="宋体" w:hAnsi="宋体" w:eastAsia="宋体" w:cs="宋体"/>
          <w:highlight w:val="none"/>
        </w:rPr>
        <w:t>在“</w:t>
      </w:r>
      <w:r>
        <w:rPr>
          <w:rFonts w:hint="eastAsia" w:ascii="宋体" w:hAnsi="宋体" w:eastAsia="宋体" w:cs="宋体"/>
          <w:szCs w:val="21"/>
          <w:highlight w:val="none"/>
        </w:rPr>
        <w:t>投标人须知前附表”</w:t>
      </w:r>
      <w:r>
        <w:rPr>
          <w:rFonts w:hint="eastAsia" w:ascii="宋体" w:hAnsi="宋体" w:eastAsia="宋体" w:cs="宋体"/>
          <w:highlight w:val="none"/>
        </w:rPr>
        <w:t>规定的政府采购信息发布媒体上发布更正公告及平台短信通知</w:t>
      </w:r>
      <w:r>
        <w:rPr>
          <w:rFonts w:hint="eastAsia" w:ascii="宋体" w:hAnsi="宋体" w:eastAsia="宋体" w:cs="宋体"/>
          <w:highlight w:val="none"/>
          <w:lang w:eastAsia="zh-CN"/>
        </w:rPr>
        <w:t>）</w:t>
      </w:r>
      <w:r>
        <w:rPr>
          <w:rFonts w:hint="eastAsia" w:ascii="宋体" w:hAnsi="宋体" w:eastAsia="宋体" w:cs="宋体"/>
          <w:highlight w:val="none"/>
        </w:rPr>
        <w:t>所有获取招标文件的潜在投标人；不足15日的，采购人或者采购代理机构应当顺延提交投标文件的截止时间。发出的澄清或者修改不影响投标文件编制的也应在截标前3日发出。</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11.4 采购人和采购代理机构可以视采购具体情况，变更投标截止时间和开标时间，将变更时间将在“</w:t>
      </w:r>
      <w:r>
        <w:rPr>
          <w:rFonts w:hint="eastAsia" w:ascii="宋体" w:hAnsi="宋体" w:eastAsia="宋体" w:cs="宋体"/>
          <w:szCs w:val="21"/>
          <w:highlight w:val="none"/>
        </w:rPr>
        <w:t>投标人须知前附表”</w:t>
      </w:r>
      <w:r>
        <w:rPr>
          <w:rFonts w:hint="eastAsia" w:ascii="宋体" w:hAnsi="宋体" w:eastAsia="宋体" w:cs="宋体"/>
          <w:kern w:val="0"/>
          <w:szCs w:val="21"/>
          <w:highlight w:val="none"/>
        </w:rPr>
        <w:t>规定的政府采购信息发布媒体上</w:t>
      </w:r>
      <w:r>
        <w:rPr>
          <w:rFonts w:hint="eastAsia" w:ascii="宋体" w:hAnsi="宋体" w:eastAsia="宋体" w:cs="宋体"/>
          <w:highlight w:val="none"/>
        </w:rPr>
        <w:t>发布更正公告。</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w:t>
      </w:r>
      <w:bookmarkStart w:id="114" w:name="_Hlk53134511"/>
      <w:r>
        <w:rPr>
          <w:rFonts w:hint="eastAsia" w:ascii="宋体" w:hAnsi="宋体" w:eastAsia="宋体" w:cs="宋体"/>
          <w:color w:val="000000"/>
          <w:highlight w:val="none"/>
        </w:rPr>
        <w:t>5采购人或者采购代理机构可以在招标文件提供期限截止后，组织已获取招标文件的潜在投标人现场考察或者召开开标前答疑会，具体详见“投标人须知前附表”。</w:t>
      </w:r>
    </w:p>
    <w:bookmarkEnd w:id="114"/>
    <w:p>
      <w:pPr>
        <w:pStyle w:val="4"/>
        <w:keepNext w:val="0"/>
        <w:keepLines w:val="0"/>
        <w:spacing w:line="400" w:lineRule="exact"/>
        <w:jc w:val="center"/>
        <w:rPr>
          <w:rFonts w:hint="eastAsia" w:ascii="宋体" w:hAnsi="宋体" w:eastAsia="宋体" w:cs="宋体"/>
          <w:color w:val="000000"/>
          <w:highlight w:val="none"/>
        </w:rPr>
      </w:pPr>
      <w:bookmarkStart w:id="115" w:name="_Toc254970676"/>
      <w:bookmarkStart w:id="116" w:name="_Toc254970535"/>
      <w:bookmarkStart w:id="117" w:name="_Toc12080"/>
      <w:r>
        <w:rPr>
          <w:rFonts w:hint="eastAsia" w:ascii="宋体" w:hAnsi="宋体" w:eastAsia="宋体" w:cs="宋体"/>
          <w:color w:val="000000"/>
          <w:highlight w:val="none"/>
        </w:rPr>
        <w:t>三、投标文件的编制</w:t>
      </w:r>
      <w:bookmarkEnd w:id="115"/>
      <w:bookmarkEnd w:id="116"/>
      <w:bookmarkEnd w:id="117"/>
    </w:p>
    <w:p>
      <w:pPr>
        <w:spacing w:line="360" w:lineRule="auto"/>
        <w:ind w:firstLine="480" w:firstLineChars="200"/>
        <w:rPr>
          <w:rFonts w:hint="eastAsia" w:ascii="宋体" w:hAnsi="宋体" w:eastAsia="宋体" w:cs="宋体"/>
          <w:color w:val="000000"/>
          <w:sz w:val="24"/>
          <w:highlight w:val="none"/>
        </w:rPr>
      </w:pPr>
      <w:bookmarkStart w:id="118" w:name="_Toc254970536"/>
      <w:bookmarkStart w:id="119" w:name="_Toc254970677"/>
      <w:r>
        <w:rPr>
          <w:rFonts w:hint="eastAsia" w:ascii="宋体" w:hAnsi="宋体" w:eastAsia="宋体" w:cs="宋体"/>
          <w:color w:val="000000"/>
          <w:sz w:val="24"/>
          <w:highlight w:val="none"/>
        </w:rPr>
        <w:t>12.投标文件的编制原则</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12.1投标人必须按照招标文件的要求编制投标文件。投标文件必须对招标文件提出的要求和条件作出明确响应。</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13.投标文件的组成</w:t>
      </w:r>
      <w:bookmarkEnd w:id="118"/>
      <w:bookmarkEnd w:id="119"/>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13.1投标文件由报价文件、资格证明文件、商务文件、技术文件四部分组成。</w:t>
      </w:r>
    </w:p>
    <w:p>
      <w:pPr>
        <w:spacing w:line="360" w:lineRule="auto"/>
        <w:ind w:firstLine="420" w:firstLineChars="200"/>
        <w:rPr>
          <w:rFonts w:hint="eastAsia" w:ascii="宋体" w:hAnsi="宋体" w:eastAsia="宋体" w:cs="宋体"/>
          <w:bCs/>
          <w:color w:val="000000"/>
          <w:szCs w:val="21"/>
          <w:highlight w:val="none"/>
        </w:rPr>
      </w:pPr>
      <w:bookmarkStart w:id="120" w:name="_13.1报价文件:_具体材料见“投标人须知前附表”。"/>
      <w:bookmarkEnd w:id="120"/>
      <w:bookmarkStart w:id="121" w:name="_13.2资格证明文件：具体材料见“投标人须知前附表”。"/>
      <w:bookmarkEnd w:id="121"/>
      <w:r>
        <w:rPr>
          <w:rFonts w:hint="eastAsia" w:ascii="宋体" w:hAnsi="宋体" w:eastAsia="宋体" w:cs="宋体"/>
          <w:bCs/>
          <w:color w:val="000000"/>
          <w:szCs w:val="21"/>
          <w:highlight w:val="none"/>
        </w:rPr>
        <w:t>（1）资格证明文件：具体材料见“投标人须知前附表”。</w:t>
      </w:r>
    </w:p>
    <w:p>
      <w:pPr>
        <w:spacing w:line="360" w:lineRule="auto"/>
        <w:ind w:firstLine="420" w:firstLineChars="200"/>
        <w:rPr>
          <w:rFonts w:hint="eastAsia" w:ascii="宋体" w:hAnsi="宋体" w:eastAsia="宋体" w:cs="宋体"/>
          <w:bCs/>
          <w:color w:val="000000"/>
          <w:szCs w:val="21"/>
          <w:highlight w:val="none"/>
        </w:rPr>
      </w:pPr>
      <w:bookmarkStart w:id="122" w:name="_13.3商务文件:_具体材料见“投标人须知前附表”。"/>
      <w:bookmarkEnd w:id="122"/>
      <w:r>
        <w:rPr>
          <w:rFonts w:hint="eastAsia" w:ascii="宋体" w:hAnsi="宋体" w:eastAsia="宋体" w:cs="宋体"/>
          <w:bCs/>
          <w:color w:val="000000"/>
          <w:szCs w:val="21"/>
          <w:highlight w:val="none"/>
        </w:rPr>
        <w:t>（2）商务文件：具体材料见“投标人须知前附表”。</w:t>
      </w:r>
    </w:p>
    <w:p>
      <w:pPr>
        <w:spacing w:line="360" w:lineRule="auto"/>
        <w:ind w:firstLine="420" w:firstLineChars="200"/>
        <w:rPr>
          <w:rFonts w:hint="eastAsia" w:ascii="宋体" w:hAnsi="宋体" w:eastAsia="宋体" w:cs="宋体"/>
          <w:bCs/>
          <w:color w:val="000000"/>
          <w:szCs w:val="21"/>
          <w:highlight w:val="none"/>
        </w:rPr>
      </w:pPr>
      <w:bookmarkStart w:id="123" w:name="_13.4技术文件：具体材料见“投标人须知前附表”。"/>
      <w:bookmarkEnd w:id="123"/>
      <w:r>
        <w:rPr>
          <w:rFonts w:hint="eastAsia" w:ascii="宋体" w:hAnsi="宋体" w:eastAsia="宋体" w:cs="宋体"/>
          <w:bCs/>
          <w:color w:val="000000"/>
          <w:szCs w:val="21"/>
          <w:highlight w:val="none"/>
        </w:rPr>
        <w:t xml:space="preserve">（3）技术文件：具体材料见“投标人须知前附表”。 </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（4）报价文件： 具体材料见“投标人须知前附表”。</w:t>
      </w:r>
    </w:p>
    <w:p>
      <w:pPr>
        <w:spacing w:line="360" w:lineRule="auto"/>
        <w:ind w:firstLine="420" w:firstLineChars="200"/>
        <w:rPr>
          <w:rFonts w:hint="eastAsia" w:ascii="宋体" w:hAnsi="宋体" w:eastAsia="宋体" w:cs="宋体"/>
          <w:bCs/>
          <w:color w:val="000000"/>
          <w:szCs w:val="21"/>
          <w:highlight w:val="none"/>
        </w:rPr>
      </w:pPr>
      <w:bookmarkStart w:id="124" w:name="_13.5投标文件电子版：具体材料见“投标人须知前附表”。"/>
      <w:bookmarkEnd w:id="124"/>
      <w:r>
        <w:rPr>
          <w:rFonts w:hint="eastAsia" w:ascii="宋体" w:hAnsi="宋体" w:eastAsia="宋体" w:cs="宋体"/>
          <w:bCs/>
          <w:color w:val="000000"/>
          <w:szCs w:val="21"/>
          <w:highlight w:val="none"/>
        </w:rPr>
        <w:t>13.2投标文件电子版：具体要求见本节19.投标文件编制。</w:t>
      </w:r>
    </w:p>
    <w:p>
      <w:pPr>
        <w:spacing w:line="360" w:lineRule="auto"/>
        <w:ind w:firstLine="480" w:firstLineChars="200"/>
        <w:rPr>
          <w:rFonts w:hint="eastAsia" w:ascii="宋体" w:hAnsi="宋体" w:eastAsia="宋体" w:cs="宋体"/>
          <w:color w:val="000000"/>
          <w:sz w:val="24"/>
          <w:highlight w:val="none"/>
        </w:rPr>
      </w:pPr>
      <w:bookmarkStart w:id="125" w:name="_Toc254970678"/>
      <w:bookmarkStart w:id="126" w:name="_Toc254970537"/>
      <w:r>
        <w:rPr>
          <w:rFonts w:hint="eastAsia" w:ascii="宋体" w:hAnsi="宋体" w:eastAsia="宋体" w:cs="宋体"/>
          <w:color w:val="000000"/>
          <w:sz w:val="24"/>
          <w:highlight w:val="none"/>
        </w:rPr>
        <w:t>14.投标文件的语言及计量</w:t>
      </w:r>
      <w:bookmarkEnd w:id="125"/>
      <w:bookmarkEnd w:id="126"/>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14.1语言文字</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14.2投标计量单位</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15.投标的风险</w:t>
      </w:r>
    </w:p>
    <w:p>
      <w:pPr>
        <w:spacing w:line="360" w:lineRule="auto"/>
        <w:ind w:firstLine="420" w:firstLineChars="200"/>
        <w:rPr>
          <w:rFonts w:hint="eastAsia" w:ascii="宋体" w:hAnsi="宋体" w:eastAsia="宋体" w:cs="宋体"/>
          <w:b/>
          <w:bCs/>
          <w:color w:val="000000"/>
          <w:highlight w:val="none"/>
        </w:rPr>
      </w:pPr>
      <w:r>
        <w:rPr>
          <w:rFonts w:hint="eastAsia" w:ascii="宋体" w:hAnsi="宋体" w:eastAsia="宋体" w:cs="宋体"/>
          <w:color w:val="000000"/>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000000"/>
          <w:highlight w:val="none"/>
        </w:rPr>
        <w:t>投标文件未按规定的格式编制的、没有按照招标文件要求提供全部资料、没有对招标文件作出实质性响应，投标无效；</w:t>
      </w:r>
    </w:p>
    <w:p>
      <w:pPr>
        <w:spacing w:line="360" w:lineRule="auto"/>
        <w:ind w:firstLine="480" w:firstLineChars="200"/>
        <w:rPr>
          <w:rFonts w:hint="eastAsia" w:ascii="宋体" w:hAnsi="宋体" w:eastAsia="宋体" w:cs="宋体"/>
          <w:color w:val="000000"/>
          <w:sz w:val="24"/>
          <w:highlight w:val="none"/>
        </w:rPr>
      </w:pPr>
      <w:bookmarkStart w:id="127" w:name="_Toc254970679"/>
      <w:bookmarkStart w:id="128" w:name="_Toc254970538"/>
      <w:r>
        <w:rPr>
          <w:rFonts w:hint="eastAsia" w:ascii="宋体" w:hAnsi="宋体" w:eastAsia="宋体" w:cs="宋体"/>
          <w:color w:val="000000"/>
          <w:sz w:val="24"/>
          <w:highlight w:val="none"/>
        </w:rPr>
        <w:t>16.投标报价</w:t>
      </w:r>
      <w:bookmarkEnd w:id="127"/>
      <w:bookmarkEnd w:id="128"/>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16.1投标报价应</w:t>
      </w:r>
      <w:r>
        <w:rPr>
          <w:rFonts w:hint="eastAsia" w:ascii="宋体" w:hAnsi="宋体" w:eastAsia="宋体" w:cs="宋体"/>
          <w:bCs/>
          <w:color w:val="000000"/>
          <w:szCs w:val="20"/>
          <w:highlight w:val="none"/>
        </w:rPr>
        <w:t>按“第六章　投标文件格式”中“开标一览表”格式填写。</w:t>
      </w:r>
    </w:p>
    <w:p>
      <w:pPr>
        <w:spacing w:line="360" w:lineRule="auto"/>
        <w:ind w:firstLine="420" w:firstLineChars="200"/>
        <w:rPr>
          <w:rFonts w:hint="eastAsia" w:ascii="宋体" w:hAnsi="宋体" w:eastAsia="宋体" w:cs="宋体"/>
          <w:bCs/>
          <w:color w:val="000000"/>
          <w:szCs w:val="21"/>
          <w:highlight w:val="none"/>
        </w:rPr>
      </w:pPr>
      <w:bookmarkStart w:id="129" w:name="_16.2投标报价具体定义见投标人须知前附表。"/>
      <w:bookmarkEnd w:id="129"/>
      <w:r>
        <w:rPr>
          <w:rFonts w:hint="eastAsia" w:ascii="宋体" w:hAnsi="宋体" w:eastAsia="宋体" w:cs="宋体"/>
          <w:bCs/>
          <w:color w:val="000000"/>
          <w:szCs w:val="21"/>
          <w:highlight w:val="none"/>
        </w:rPr>
        <w:t>16.2投标报价具体包括内容详见“投标人须知前附表”。</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16.3投标人必须就所投每个分标的全部内容分别作完整唯一总价报价，不得存在漏项报价；投标人必须就所投分标的单项内容作唯一报价。</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17.投标有效期</w:t>
      </w:r>
    </w:p>
    <w:p>
      <w:pPr>
        <w:spacing w:line="360" w:lineRule="auto"/>
        <w:ind w:firstLine="420" w:firstLineChars="200"/>
        <w:rPr>
          <w:rFonts w:hint="eastAsia" w:ascii="宋体" w:hAnsi="宋体" w:eastAsia="宋体" w:cs="宋体"/>
          <w:bCs/>
          <w:color w:val="000000"/>
          <w:szCs w:val="21"/>
          <w:highlight w:val="none"/>
        </w:rPr>
      </w:pPr>
      <w:bookmarkStart w:id="130" w:name="_17.1投标有效期应按“投标人须知中的前附表”规定的期限。"/>
      <w:bookmarkEnd w:id="130"/>
      <w:r>
        <w:rPr>
          <w:rFonts w:hint="eastAsia" w:ascii="宋体" w:hAnsi="宋体" w:eastAsia="宋体" w:cs="宋体"/>
          <w:bCs/>
          <w:color w:val="000000"/>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17.2</w:t>
      </w:r>
      <w:bookmarkStart w:id="131" w:name="_Toc254970681"/>
      <w:bookmarkStart w:id="132" w:name="_Toc254970540"/>
      <w:r>
        <w:rPr>
          <w:rFonts w:hint="eastAsia" w:ascii="宋体" w:hAnsi="宋体" w:eastAsia="宋体" w:cs="宋体"/>
          <w:bCs/>
          <w:color w:val="000000"/>
          <w:szCs w:val="21"/>
          <w:highlight w:val="none"/>
        </w:rPr>
        <w:t xml:space="preserve"> 投标有效期应按规定的期限作出承诺，具体详见“投标人须知前附表”。</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17.3投标人的投标文件在投标有效期内均保持有效。</w:t>
      </w:r>
      <w:bookmarkEnd w:id="131"/>
      <w:bookmarkEnd w:id="132"/>
    </w:p>
    <w:p>
      <w:pPr>
        <w:spacing w:line="360" w:lineRule="auto"/>
        <w:ind w:firstLine="480" w:firstLineChars="200"/>
        <w:rPr>
          <w:rFonts w:hint="eastAsia" w:ascii="宋体" w:hAnsi="宋体" w:eastAsia="宋体" w:cs="宋体"/>
          <w:color w:val="000000"/>
          <w:sz w:val="24"/>
          <w:highlight w:val="none"/>
        </w:rPr>
      </w:pPr>
      <w:bookmarkStart w:id="133" w:name="_18.投标保证金"/>
      <w:bookmarkEnd w:id="133"/>
      <w:bookmarkStart w:id="134" w:name="_Toc254970682"/>
      <w:bookmarkStart w:id="135" w:name="_Toc254970541"/>
      <w:r>
        <w:rPr>
          <w:rFonts w:hint="eastAsia" w:ascii="宋体" w:hAnsi="宋体" w:eastAsia="宋体" w:cs="宋体"/>
          <w:color w:val="000000"/>
          <w:sz w:val="24"/>
          <w:highlight w:val="none"/>
        </w:rPr>
        <w:t>18.投标保证金</w:t>
      </w:r>
      <w:bookmarkEnd w:id="134"/>
      <w:bookmarkEnd w:id="135"/>
    </w:p>
    <w:p>
      <w:pPr>
        <w:spacing w:line="360" w:lineRule="auto"/>
        <w:ind w:firstLine="420" w:firstLineChars="200"/>
        <w:rPr>
          <w:rFonts w:hint="eastAsia" w:ascii="宋体" w:hAnsi="宋体" w:eastAsia="宋体" w:cs="宋体"/>
          <w:color w:val="000000"/>
          <w:szCs w:val="21"/>
          <w:highlight w:val="none"/>
        </w:rPr>
      </w:pPr>
      <w:bookmarkStart w:id="136" w:name="_Toc254970683"/>
      <w:bookmarkStart w:id="137" w:name="_Toc254970542"/>
      <w:r>
        <w:rPr>
          <w:rFonts w:hint="eastAsia" w:ascii="宋体" w:hAnsi="宋体" w:eastAsia="宋体" w:cs="宋体"/>
          <w:color w:val="000000"/>
          <w:szCs w:val="21"/>
          <w:highlight w:val="none"/>
        </w:rPr>
        <w:t>见“投标人须知前附表”。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19.投标文件的</w:t>
      </w:r>
      <w:bookmarkEnd w:id="136"/>
      <w:bookmarkEnd w:id="137"/>
      <w:r>
        <w:rPr>
          <w:rFonts w:hint="eastAsia" w:ascii="宋体" w:hAnsi="宋体" w:eastAsia="宋体" w:cs="宋体"/>
          <w:color w:val="000000"/>
          <w:sz w:val="24"/>
          <w:highlight w:val="none"/>
        </w:rPr>
        <w:t>编制</w:t>
      </w:r>
    </w:p>
    <w:p>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w:t>
      </w:r>
      <w:r>
        <w:rPr>
          <w:rFonts w:hint="eastAsia" w:ascii="宋体" w:hAnsi="宋体" w:eastAsia="宋体" w:cs="宋体"/>
          <w:color w:val="000000"/>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8" w:name="_19.2投标文件应按报价文件、资格证明文件、商务文件、技术文件分别编制"/>
      <w:bookmarkEnd w:id="138"/>
      <w:r>
        <w:rPr>
          <w:rFonts w:hint="eastAsia" w:ascii="宋体" w:hAnsi="宋体" w:eastAsia="宋体" w:cs="宋体"/>
          <w:color w:val="000000"/>
          <w:szCs w:val="21"/>
          <w:highlight w:val="none"/>
        </w:rPr>
        <w:t xml:space="preserve"> </w:t>
      </w:r>
    </w:p>
    <w:p>
      <w:pPr>
        <w:pStyle w:val="31"/>
        <w:snapToGrid w:val="0"/>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000000"/>
          <w:sz w:val="21"/>
          <w:szCs w:val="21"/>
          <w:highlight w:val="none"/>
        </w:rPr>
        <w:t>其投标无效。</w:t>
      </w:r>
      <w:r>
        <w:rPr>
          <w:rFonts w:hint="eastAsia" w:ascii="宋体" w:hAnsi="宋体" w:eastAsia="宋体" w:cs="宋体"/>
          <w:color w:val="000000"/>
          <w:sz w:val="21"/>
          <w:szCs w:val="21"/>
          <w:highlight w:val="none"/>
        </w:rPr>
        <w:t>骑缝盖公章不视为在规定位置盖章。</w:t>
      </w:r>
    </w:p>
    <w:p>
      <w:pPr>
        <w:pStyle w:val="31"/>
        <w:snapToGrid w:val="0"/>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19.3为确保网上操作合法、有效和安全，投标人应当在投标截止时间前完成在</w:t>
      </w:r>
      <w:r>
        <w:rPr>
          <w:rFonts w:hint="eastAsia" w:ascii="宋体" w:hAnsi="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的身份认证，确保在电子投标过程中能够对相关数据电文进行加密和使用电子签名。</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000000"/>
          <w:szCs w:val="21"/>
          <w:highlight w:val="none"/>
        </w:rPr>
        <w:t>否则作无效投标处理</w:t>
      </w:r>
      <w:r>
        <w:rPr>
          <w:rFonts w:hint="eastAsia" w:ascii="宋体" w:hAnsi="宋体" w:eastAsia="宋体" w:cs="宋体"/>
          <w:b/>
          <w:color w:val="000000"/>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color w:val="000000"/>
          <w:szCs w:val="21"/>
          <w:highlight w:val="none"/>
        </w:rPr>
        <w:t xml:space="preserve"> 19.5投标文件应避免涂改、行间插字或者删除，</w:t>
      </w:r>
      <w:r>
        <w:rPr>
          <w:rFonts w:hint="eastAsia" w:ascii="宋体" w:hAnsi="宋体" w:eastAsia="宋体" w:cs="宋体"/>
          <w:b/>
          <w:szCs w:val="21"/>
          <w:highlight w:val="none"/>
        </w:rPr>
        <w:t>否则其投标无效。</w:t>
      </w:r>
    </w:p>
    <w:p>
      <w:pPr>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rPr>
        <w:t>19.6 对招标文件的实质性要求和条件作出响应是指投标人必须对招标文件中标注为实质性要求和条件的</w:t>
      </w:r>
      <w:r>
        <w:rPr>
          <w:rFonts w:hint="eastAsia" w:ascii="宋体" w:hAnsi="宋体" w:eastAsia="宋体" w:cs="宋体"/>
          <w:color w:val="000000"/>
          <w:szCs w:val="21"/>
          <w:highlight w:val="none"/>
        </w:rPr>
        <w:t>服务内容及要求</w:t>
      </w:r>
      <w:r>
        <w:rPr>
          <w:rFonts w:hint="eastAsia" w:ascii="宋体" w:hAnsi="宋体" w:eastAsia="宋体" w:cs="宋体"/>
          <w:highlight w:val="none"/>
        </w:rPr>
        <w:t>、商务条款及其它内容</w:t>
      </w:r>
      <w:r>
        <w:rPr>
          <w:rFonts w:hint="eastAsia" w:ascii="宋体" w:hAnsi="宋体" w:eastAsia="宋体" w:cs="宋体"/>
          <w:b/>
          <w:highlight w:val="none"/>
        </w:rPr>
        <w:t>作出满足或者优于原要求和条件的承诺</w:t>
      </w:r>
      <w:r>
        <w:rPr>
          <w:rFonts w:hint="eastAsia" w:ascii="宋体" w:hAnsi="宋体" w:eastAsia="宋体" w:cs="宋体"/>
          <w:highlight w:val="none"/>
        </w:rPr>
        <w:t>。</w:t>
      </w:r>
    </w:p>
    <w:p>
      <w:pPr>
        <w:spacing w:line="360" w:lineRule="auto"/>
        <w:ind w:firstLine="422" w:firstLineChars="200"/>
        <w:rPr>
          <w:rFonts w:hint="eastAsia" w:ascii="宋体" w:hAnsi="宋体" w:eastAsia="宋体" w:cs="宋体"/>
          <w:b/>
          <w:color w:val="000000"/>
          <w:szCs w:val="21"/>
          <w:highlight w:val="none"/>
          <w:u w:val="single"/>
        </w:rPr>
      </w:pPr>
      <w:r>
        <w:rPr>
          <w:rFonts w:hint="eastAsia" w:ascii="宋体" w:hAnsi="宋体" w:eastAsia="宋体" w:cs="宋体"/>
          <w:b/>
          <w:color w:val="000000"/>
          <w:szCs w:val="21"/>
          <w:highlight w:val="none"/>
          <w:u w:val="single"/>
        </w:rPr>
        <w:t>19.7本项目为南宁市全流程电子化项目，异常情况见“第二节 投标人须知正文”中“四、24.2开标程序。</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20.备份投标文件</w:t>
      </w:r>
    </w:p>
    <w:p>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bCs/>
          <w:color w:val="000000"/>
          <w:szCs w:val="21"/>
          <w:highlight w:val="none"/>
        </w:rPr>
        <w:t>详见在“投标人须知前附表”。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21.投标文件的提交</w:t>
      </w:r>
    </w:p>
    <w:p>
      <w:pPr>
        <w:spacing w:line="360" w:lineRule="auto"/>
        <w:ind w:firstLine="420" w:firstLineChars="200"/>
        <w:rPr>
          <w:rFonts w:hint="eastAsia" w:ascii="宋体" w:hAnsi="宋体" w:eastAsia="宋体" w:cs="宋体"/>
          <w:b/>
          <w:highlight w:val="none"/>
        </w:rPr>
      </w:pPr>
      <w:bookmarkStart w:id="139" w:name="_21.1投标人必须在“投标人须知中的前附表”规定的投标文件接收时间和投"/>
      <w:bookmarkEnd w:id="139"/>
      <w:r>
        <w:rPr>
          <w:rFonts w:hint="eastAsia" w:ascii="宋体" w:hAnsi="宋体" w:eastAsia="宋体" w:cs="宋体"/>
          <w:bCs/>
          <w:color w:val="000000"/>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highlight w:val="none"/>
        </w:rPr>
        <w:t xml:space="preserve"> </w:t>
      </w:r>
    </w:p>
    <w:p>
      <w:pPr>
        <w:spacing w:line="360" w:lineRule="auto"/>
        <w:ind w:firstLine="422" w:firstLineChars="200"/>
        <w:rPr>
          <w:rFonts w:hint="eastAsia" w:ascii="宋体" w:hAnsi="宋体" w:eastAsia="宋体" w:cs="宋体"/>
          <w:b/>
          <w:color w:val="000000"/>
          <w:szCs w:val="20"/>
          <w:highlight w:val="none"/>
        </w:rPr>
      </w:pPr>
      <w:r>
        <w:rPr>
          <w:rFonts w:hint="eastAsia" w:ascii="宋体" w:hAnsi="宋体" w:eastAsia="宋体" w:cs="宋体"/>
          <w:b/>
          <w:color w:val="000000"/>
          <w:szCs w:val="21"/>
          <w:highlight w:val="none"/>
        </w:rPr>
        <w:t>21.2未在规定时间内提交或者未按照招标文件要求密封或者标记的电子投标文件，</w:t>
      </w:r>
      <w:r>
        <w:rPr>
          <w:rFonts w:hint="eastAsia" w:ascii="宋体" w:hAnsi="宋体" w:cs="宋体"/>
          <w:b/>
          <w:color w:val="000000"/>
          <w:szCs w:val="21"/>
          <w:highlight w:val="none"/>
          <w:lang w:eastAsia="zh-CN"/>
        </w:rPr>
        <w:t>广西政府采购云平台</w:t>
      </w:r>
      <w:r>
        <w:rPr>
          <w:rFonts w:hint="eastAsia" w:ascii="宋体" w:hAnsi="宋体" w:eastAsia="宋体" w:cs="宋体"/>
          <w:b/>
          <w:color w:val="000000"/>
          <w:szCs w:val="21"/>
          <w:highlight w:val="none"/>
        </w:rPr>
        <w:t>将拒收。</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21.3电子版投标文件提交方式见“招标公告”中“四、提交投标文件截止时间、开标时间和地点”</w:t>
      </w:r>
      <w:r>
        <w:rPr>
          <w:rFonts w:hint="eastAsia" w:ascii="宋体" w:hAnsi="宋体" w:eastAsia="宋体" w:cs="宋体"/>
          <w:b/>
          <w:color w:val="000000"/>
          <w:szCs w:val="21"/>
          <w:highlight w:val="none"/>
        </w:rPr>
        <w:t xml:space="preserve"> 。</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 投标文件的补充、修改、撤回与退回</w:t>
      </w:r>
      <w:bookmarkStart w:id="140" w:name="_Toc254970684"/>
      <w:bookmarkStart w:id="141" w:name="_Toc254970543"/>
    </w:p>
    <w:p>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将拒收。（补充、修改或者撤回方式见公告附件“电子投标文件制作与投送教程”）</w:t>
      </w:r>
    </w:p>
    <w:p>
      <w:pPr>
        <w:pStyle w:val="31"/>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r>
        <w:rPr>
          <w:rFonts w:hint="eastAsia" w:ascii="宋体" w:hAnsi="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40"/>
    <w:bookmarkEnd w:id="141"/>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22.3在投标截止时间止提交电子版投标文件的投标人不足3家时，电子版投标文件由代理机构在</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操作退回，除此之外采购人和采购代理机构对已提交的投标文件概不退回。</w:t>
      </w:r>
    </w:p>
    <w:p>
      <w:pPr>
        <w:pStyle w:val="10"/>
        <w:snapToGrid w:val="0"/>
        <w:spacing w:line="400" w:lineRule="exact"/>
        <w:ind w:firstLine="739"/>
        <w:rPr>
          <w:rFonts w:hint="eastAsia" w:ascii="宋体" w:hAnsi="宋体" w:eastAsia="宋体" w:cs="宋体"/>
          <w:snapToGrid w:val="0"/>
          <w:color w:val="000000"/>
          <w:sz w:val="21"/>
          <w:szCs w:val="21"/>
          <w:highlight w:val="none"/>
        </w:rPr>
      </w:pPr>
    </w:p>
    <w:p>
      <w:pPr>
        <w:pStyle w:val="4"/>
        <w:keepNext w:val="0"/>
        <w:keepLines w:val="0"/>
        <w:spacing w:line="400" w:lineRule="exact"/>
        <w:jc w:val="center"/>
        <w:rPr>
          <w:rFonts w:hint="eastAsia" w:ascii="宋体" w:hAnsi="宋体" w:eastAsia="宋体" w:cs="宋体"/>
          <w:color w:val="000000"/>
          <w:highlight w:val="none"/>
        </w:rPr>
      </w:pPr>
      <w:bookmarkStart w:id="142" w:name="_Toc254970685"/>
      <w:bookmarkStart w:id="143" w:name="_Toc254970544"/>
      <w:bookmarkStart w:id="144" w:name="_Toc13250"/>
      <w:r>
        <w:rPr>
          <w:rFonts w:hint="eastAsia" w:ascii="宋体" w:hAnsi="宋体" w:eastAsia="宋体" w:cs="宋体"/>
          <w:color w:val="000000"/>
          <w:highlight w:val="none"/>
        </w:rPr>
        <w:t>四、开    标</w:t>
      </w:r>
      <w:bookmarkEnd w:id="142"/>
      <w:bookmarkEnd w:id="143"/>
      <w:bookmarkEnd w:id="144"/>
    </w:p>
    <w:p>
      <w:pPr>
        <w:spacing w:line="360" w:lineRule="auto"/>
        <w:ind w:firstLine="480" w:firstLineChars="200"/>
        <w:rPr>
          <w:rFonts w:hint="eastAsia" w:ascii="宋体" w:hAnsi="宋体" w:eastAsia="宋体" w:cs="宋体"/>
          <w:color w:val="000000"/>
          <w:sz w:val="24"/>
          <w:highlight w:val="none"/>
        </w:rPr>
      </w:pPr>
      <w:bookmarkStart w:id="145" w:name="_23.开标时间和地点"/>
      <w:bookmarkEnd w:id="145"/>
      <w:r>
        <w:rPr>
          <w:rFonts w:hint="eastAsia" w:ascii="宋体" w:hAnsi="宋体" w:eastAsia="宋体" w:cs="宋体"/>
          <w:color w:val="000000"/>
          <w:sz w:val="24"/>
          <w:highlight w:val="none"/>
        </w:rPr>
        <w:t>23.开标时间和地点</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23.1开标时间及地点详见“投标人须知前附表”</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23.2如</w:t>
      </w:r>
      <w:r>
        <w:rPr>
          <w:rFonts w:hint="eastAsia" w:ascii="宋体" w:hAnsi="宋体" w:eastAsia="宋体" w:cs="宋体"/>
          <w:bCs/>
          <w:color w:val="000000"/>
          <w:highlight w:val="none"/>
        </w:rPr>
        <w:t>投标人成功解密投标文件，但未在“广西政府采购云平台”电子开标大厅参加开标的，视同认可开标过程和结果，</w:t>
      </w:r>
      <w:r>
        <w:rPr>
          <w:rFonts w:hint="eastAsia" w:ascii="宋体" w:hAnsi="宋体" w:eastAsia="宋体" w:cs="宋体"/>
          <w:highlight w:val="none"/>
        </w:rPr>
        <w:t>由此产生的后果由投标人自行负责。 投标人不足3家的，不得开标。</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24.开标程序</w:t>
      </w:r>
    </w:p>
    <w:p>
      <w:pPr>
        <w:autoSpaceDE w:val="0"/>
        <w:autoSpaceDN w:val="0"/>
        <w:adjustRightInd w:val="0"/>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bCs/>
          <w:szCs w:val="21"/>
          <w:highlight w:val="none"/>
        </w:rPr>
        <w:t>24.1</w:t>
      </w:r>
      <w:r>
        <w:rPr>
          <w:rFonts w:hint="eastAsia" w:ascii="宋体" w:hAnsi="宋体" w:eastAsia="宋体" w:cs="宋体"/>
          <w:kern w:val="0"/>
          <w:szCs w:val="21"/>
          <w:highlight w:val="none"/>
        </w:rPr>
        <w:t>开标形式：</w:t>
      </w:r>
    </w:p>
    <w:p>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w:t>
      </w:r>
      <w:r>
        <w:rPr>
          <w:rFonts w:hint="eastAsia" w:ascii="宋体" w:hAnsi="宋体" w:eastAsia="宋体" w:cs="宋体"/>
          <w:bCs/>
          <w:szCs w:val="21"/>
          <w:highlight w:val="none"/>
        </w:rPr>
        <w:t>开标的准备工作由采购代理机构负责落实，采购代理机构必须基于</w:t>
      </w:r>
      <w:r>
        <w:rPr>
          <w:rFonts w:hint="eastAsia" w:ascii="宋体" w:hAnsi="宋体" w:cs="宋体"/>
          <w:bCs/>
          <w:szCs w:val="21"/>
          <w:highlight w:val="none"/>
          <w:lang w:eastAsia="zh-CN"/>
        </w:rPr>
        <w:t>广西政府采购云平台</w:t>
      </w:r>
      <w:r>
        <w:rPr>
          <w:rFonts w:hint="eastAsia" w:ascii="宋体" w:hAnsi="宋体" w:eastAsia="宋体" w:cs="宋体"/>
          <w:bCs/>
          <w:szCs w:val="21"/>
          <w:highlight w:val="none"/>
        </w:rPr>
        <w:t>选取评审专家，如采购代理机构未按规定选取专家的，视为本次开评标无效，应当重新采购；</w:t>
      </w:r>
    </w:p>
    <w:p>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（2）采购代理机构将按照招标文件规定的时间通过</w:t>
      </w:r>
      <w:r>
        <w:rPr>
          <w:rFonts w:hint="eastAsia" w:ascii="宋体" w:hAnsi="宋体" w:cs="宋体"/>
          <w:bCs/>
          <w:szCs w:val="21"/>
          <w:highlight w:val="none"/>
          <w:lang w:eastAsia="zh-CN"/>
        </w:rPr>
        <w:t>广西政府采购云平台</w:t>
      </w:r>
      <w:r>
        <w:rPr>
          <w:rFonts w:hint="eastAsia" w:ascii="宋体" w:hAnsi="宋体" w:eastAsia="宋体" w:cs="宋体"/>
          <w:bCs/>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24.2开标程序：</w:t>
      </w:r>
    </w:p>
    <w:p>
      <w:pPr>
        <w:pStyle w:val="11"/>
        <w:snapToGrid w:val="0"/>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（1）解密电子投标文件。</w:t>
      </w:r>
      <w:r>
        <w:rPr>
          <w:rFonts w:hint="eastAsia" w:hAnsi="宋体" w:cs="宋体"/>
          <w:b/>
          <w:szCs w:val="21"/>
          <w:highlight w:val="none"/>
          <w:lang w:eastAsia="zh-CN"/>
        </w:rPr>
        <w:t>广西政府采购云平台</w:t>
      </w:r>
      <w:r>
        <w:rPr>
          <w:rFonts w:hint="eastAsia" w:ascii="宋体" w:hAnsi="宋体" w:eastAsia="宋体" w:cs="宋体"/>
          <w:szCs w:val="21"/>
          <w:highlight w:val="none"/>
        </w:rPr>
        <w:t>按开标时间自动提取所有投标文件。采购代理机构依托</w:t>
      </w:r>
      <w:r>
        <w:rPr>
          <w:rFonts w:hint="eastAsia" w:hAnsi="宋体" w:cs="宋体"/>
          <w:szCs w:val="21"/>
          <w:highlight w:val="none"/>
          <w:lang w:eastAsia="zh-CN"/>
        </w:rPr>
        <w:t>广西政府采购云平台</w:t>
      </w:r>
      <w:r>
        <w:rPr>
          <w:rFonts w:hint="eastAsia" w:ascii="宋体" w:hAnsi="宋体" w:eastAsia="宋体" w:cs="宋体"/>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szCs w:val="21"/>
          <w:highlight w:val="none"/>
        </w:rPr>
        <w:t>须携带加密时所用的CA锁准时登录到</w:t>
      </w:r>
      <w:r>
        <w:rPr>
          <w:rFonts w:hint="eastAsia" w:hAnsi="宋体" w:cs="宋体"/>
          <w:b/>
          <w:szCs w:val="21"/>
          <w:highlight w:val="none"/>
          <w:lang w:eastAsia="zh-CN"/>
        </w:rPr>
        <w:t>广西政府采购云平台</w:t>
      </w:r>
      <w:r>
        <w:rPr>
          <w:rFonts w:hint="eastAsia" w:ascii="宋体" w:hAnsi="宋体" w:eastAsia="宋体" w:cs="宋体"/>
          <w:b/>
          <w:szCs w:val="21"/>
          <w:highlight w:val="none"/>
        </w:rPr>
        <w:t>电子开标大厅签到并对电子投标文件解密</w:t>
      </w:r>
      <w:r>
        <w:rPr>
          <w:rFonts w:hint="eastAsia" w:ascii="宋体" w:hAnsi="宋体" w:eastAsia="宋体" w:cs="宋体"/>
          <w:szCs w:val="21"/>
          <w:highlight w:val="none"/>
        </w:rPr>
        <w:t>。</w:t>
      </w:r>
      <w:r>
        <w:rPr>
          <w:rFonts w:hint="eastAsia" w:ascii="宋体" w:hAnsi="宋体" w:eastAsia="宋体" w:cs="宋体"/>
          <w:color w:val="000000"/>
          <w:szCs w:val="21"/>
          <w:highlight w:val="none"/>
        </w:rPr>
        <w:t>开标后5分钟投标人还未进行解密的，代理机构要通知投标人。通知后，</w:t>
      </w:r>
      <w:r>
        <w:rPr>
          <w:rFonts w:hint="eastAsia" w:ascii="宋体" w:hAnsi="宋体" w:eastAsia="宋体" w:cs="宋体"/>
          <w:szCs w:val="21"/>
          <w:highlight w:val="none"/>
        </w:rPr>
        <w:t>投标文件仍未按时解密，或者</w:t>
      </w:r>
      <w:r>
        <w:rPr>
          <w:rFonts w:hint="eastAsia" w:ascii="宋体" w:hAnsi="宋体" w:eastAsia="宋体" w:cs="宋体"/>
          <w:color w:val="000000"/>
          <w:szCs w:val="21"/>
          <w:highlight w:val="none"/>
        </w:rPr>
        <w:t>投标人没预留联系方式或预留联系方式无效，导致代理机构无法联系到投标人进行解密的，</w:t>
      </w:r>
      <w:r>
        <w:rPr>
          <w:rFonts w:hint="eastAsia" w:ascii="宋体" w:hAnsi="宋体" w:eastAsia="宋体" w:cs="宋体"/>
          <w:b/>
          <w:color w:val="000000"/>
          <w:szCs w:val="21"/>
          <w:highlight w:val="none"/>
        </w:rPr>
        <w:t>均视为无效投标。</w:t>
      </w:r>
    </w:p>
    <w:p>
      <w:pPr>
        <w:pStyle w:val="11"/>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（解密</w:t>
      </w:r>
      <w:r>
        <w:rPr>
          <w:rFonts w:hint="eastAsia" w:ascii="宋体" w:hAnsi="宋体" w:eastAsia="宋体" w:cs="宋体"/>
          <w:bCs/>
          <w:color w:val="000000"/>
          <w:szCs w:val="21"/>
          <w:highlight w:val="none"/>
        </w:rPr>
        <w:t>异常情况处理：详见本章</w:t>
      </w:r>
      <w:r>
        <w:rPr>
          <w:rFonts w:hint="eastAsia" w:ascii="宋体" w:hAnsi="宋体" w:eastAsia="宋体" w:cs="宋体"/>
          <w:color w:val="000000"/>
          <w:highlight w:val="none"/>
        </w:rPr>
        <w:t>29.3 电子交易活动的中止。</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szCs w:val="21"/>
          <w:highlight w:val="none"/>
        </w:rPr>
        <w:t>电子唱标。</w:t>
      </w:r>
      <w:r>
        <w:rPr>
          <w:rFonts w:hint="eastAsia" w:ascii="宋体" w:hAnsi="宋体" w:eastAsia="宋体" w:cs="宋体"/>
          <w:szCs w:val="21"/>
          <w:highlight w:val="none"/>
        </w:rPr>
        <w:t>投标文件解密结束，各投标供应商报价均在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远程不见面开标大厅展示；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b/>
          <w:szCs w:val="21"/>
          <w:highlight w:val="none"/>
        </w:rPr>
        <w:t>签署电子《政府采购活动现场确认声明书》。</w:t>
      </w:r>
      <w:r>
        <w:rPr>
          <w:rFonts w:hint="eastAsia" w:ascii="宋体" w:hAnsi="宋体" w:eastAsia="宋体" w:cs="宋体"/>
          <w:szCs w:val="21"/>
          <w:highlight w:val="none"/>
        </w:rPr>
        <w:t>通过邮件形式在远程不见面开标大厅发送各投标人签署电子《政府采购活动现场确认声明书》。</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（6）开标结束。</w:t>
      </w:r>
    </w:p>
    <w:p>
      <w:pPr>
        <w:pStyle w:val="11"/>
        <w:snapToGrid w:val="0"/>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特别说明：</w:t>
      </w:r>
      <w:r>
        <w:rPr>
          <w:rFonts w:hint="eastAsia" w:ascii="宋体" w:hAnsi="宋体" w:eastAsia="宋体" w:cs="宋体"/>
          <w:szCs w:val="21"/>
          <w:highlight w:val="none"/>
        </w:rPr>
        <w:t>如遇</w:t>
      </w:r>
      <w:r>
        <w:rPr>
          <w:rFonts w:hint="eastAsia" w:hAnsi="宋体" w:cs="宋体"/>
          <w:szCs w:val="21"/>
          <w:highlight w:val="none"/>
          <w:lang w:eastAsia="zh-CN"/>
        </w:rPr>
        <w:t>广西政府采购云平台</w:t>
      </w:r>
      <w:r>
        <w:rPr>
          <w:rFonts w:hint="eastAsia" w:ascii="宋体" w:hAnsi="宋体" w:eastAsia="宋体" w:cs="宋体"/>
          <w:szCs w:val="21"/>
          <w:highlight w:val="none"/>
        </w:rPr>
        <w:t>电子化开标或评审程序调整的，按调整后执行。</w:t>
      </w:r>
    </w:p>
    <w:p>
      <w:pPr>
        <w:pStyle w:val="11"/>
        <w:snapToGrid w:val="0"/>
        <w:spacing w:line="400" w:lineRule="exact"/>
        <w:ind w:left="689" w:leftChars="228" w:hanging="210" w:hangingChars="100"/>
        <w:rPr>
          <w:rFonts w:hint="eastAsia" w:ascii="宋体" w:hAnsi="宋体" w:eastAsia="宋体" w:cs="宋体"/>
          <w:color w:val="000000"/>
          <w:highlight w:val="none"/>
        </w:rPr>
      </w:pPr>
    </w:p>
    <w:p>
      <w:pPr>
        <w:pStyle w:val="4"/>
        <w:keepNext w:val="0"/>
        <w:keepLines w:val="0"/>
        <w:spacing w:line="400" w:lineRule="exact"/>
        <w:jc w:val="center"/>
        <w:rPr>
          <w:rFonts w:hint="eastAsia" w:ascii="宋体" w:hAnsi="宋体" w:eastAsia="宋体" w:cs="宋体"/>
          <w:color w:val="000000"/>
          <w:highlight w:val="none"/>
        </w:rPr>
      </w:pPr>
      <w:bookmarkStart w:id="146" w:name="_Toc31994"/>
      <w:r>
        <w:rPr>
          <w:rFonts w:hint="eastAsia" w:ascii="宋体" w:hAnsi="宋体" w:eastAsia="宋体" w:cs="宋体"/>
          <w:color w:val="000000"/>
          <w:highlight w:val="none"/>
        </w:rPr>
        <w:t>五、资格审查</w:t>
      </w:r>
      <w:bookmarkEnd w:id="146"/>
    </w:p>
    <w:p>
      <w:pPr>
        <w:pStyle w:val="5"/>
        <w:keepNext w:val="0"/>
        <w:keepLines w:val="0"/>
        <w:spacing w:before="0" w:after="0"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25.资格审查</w:t>
      </w:r>
    </w:p>
    <w:p>
      <w:pPr>
        <w:spacing w:line="360" w:lineRule="auto"/>
        <w:ind w:firstLine="422" w:firstLineChars="200"/>
        <w:rPr>
          <w:rFonts w:hint="eastAsia" w:ascii="宋体" w:hAnsi="宋体" w:eastAsia="宋体" w:cs="宋体"/>
          <w:b/>
          <w:bCs/>
          <w:color w:val="000000"/>
          <w:szCs w:val="20"/>
          <w:highlight w:val="none"/>
        </w:rPr>
      </w:pPr>
      <w:r>
        <w:rPr>
          <w:rFonts w:hint="eastAsia" w:ascii="宋体" w:hAnsi="宋体" w:eastAsia="宋体" w:cs="宋体"/>
          <w:b/>
          <w:bCs/>
          <w:color w:val="000000"/>
          <w:szCs w:val="20"/>
          <w:highlight w:val="none"/>
        </w:rPr>
        <w:t xml:space="preserve"> 25.1开标结束后，采购人或采购机构依法通过电子投标文件对投标人的资格进行线上审查。</w:t>
      </w:r>
    </w:p>
    <w:p>
      <w:pPr>
        <w:spacing w:line="360" w:lineRule="auto"/>
        <w:ind w:firstLine="422" w:firstLineChars="200"/>
        <w:rPr>
          <w:rFonts w:hint="eastAsia" w:ascii="宋体" w:hAnsi="宋体" w:eastAsia="宋体" w:cs="宋体"/>
          <w:b/>
          <w:bCs/>
          <w:color w:val="000000"/>
          <w:szCs w:val="20"/>
          <w:highlight w:val="none"/>
        </w:rPr>
      </w:pPr>
      <w:r>
        <w:rPr>
          <w:rFonts w:hint="eastAsia" w:ascii="宋体" w:hAnsi="宋体" w:eastAsia="宋体" w:cs="宋体"/>
          <w:b/>
          <w:bCs/>
          <w:color w:val="000000"/>
          <w:szCs w:val="20"/>
          <w:highlight w:val="none"/>
        </w:rPr>
        <w:t xml:space="preserve"> 25.2采购人或采购机构依据法律法规和招标文件的规定，对投标人的基本资格条件、特定资格条件进行审查。</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25.3资格审查标准为本“招标文件”中“投标人须知前附表”13.1点载明对投标人资格要求的条件。本项目资格审查采用合格制，凡符合招标文件规定的投标人资格要求的投标人均通过资格审查。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eastAsia="宋体" w:cs="宋体"/>
          <w:b/>
          <w:bCs/>
          <w:color w:val="000000"/>
          <w:szCs w:val="20"/>
          <w:highlight w:val="none"/>
        </w:rPr>
      </w:pPr>
      <w:bookmarkStart w:id="147" w:name="_25.3_投标人有下列情形之一的，资格审查不通过而导致其投标无效："/>
      <w:bookmarkEnd w:id="147"/>
      <w:r>
        <w:rPr>
          <w:rFonts w:hint="eastAsia" w:ascii="宋体" w:hAnsi="宋体" w:eastAsia="宋体" w:cs="宋体"/>
          <w:b/>
          <w:bCs/>
          <w:color w:val="000000"/>
          <w:szCs w:val="20"/>
          <w:highlight w:val="none"/>
        </w:rPr>
        <w:t>25.4投标人有下列情形之一的，资格审查不通过，作无效投标处理：</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（1）不具备招标文件中规定的资格要求的；（注：其中信用查询规则见“投标人须知前附表”，</w:t>
      </w:r>
      <w:r>
        <w:rPr>
          <w:rFonts w:hint="eastAsia" w:ascii="宋体" w:hAnsi="宋体" w:cs="宋体"/>
          <w:color w:val="000000"/>
          <w:highlight w:val="none"/>
          <w:lang w:eastAsia="zh-CN"/>
        </w:rPr>
        <w:t>广西政府采购云平台</w:t>
      </w:r>
      <w:r>
        <w:rPr>
          <w:rFonts w:hint="eastAsia" w:ascii="宋体" w:hAnsi="宋体" w:eastAsia="宋体" w:cs="宋体"/>
          <w:color w:val="000000"/>
          <w:highlight w:val="none"/>
        </w:rPr>
        <w:t>已与“信用中国”平台做接口，审查专家可直接在线查询）</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（2）投标文件未提供任一项“投标人须知前附表”资格证明文件规定的“必须提供”的文件资料的；</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（3）投标文件提供的资格证明文件出现任一项不符合“投标人须知前附表”资格证明文件规定的“必须提供”的文件资料要求或者无效的。</w:t>
      </w:r>
    </w:p>
    <w:p>
      <w:pPr>
        <w:pStyle w:val="5"/>
        <w:keepNext w:val="0"/>
        <w:keepLines w:val="0"/>
        <w:spacing w:before="0" w:after="0" w:line="360" w:lineRule="auto"/>
        <w:ind w:firstLine="420" w:firstLineChars="200"/>
        <w:rPr>
          <w:rFonts w:hint="eastAsia" w:ascii="宋体" w:hAnsi="宋体" w:eastAsia="宋体" w:cs="宋体"/>
          <w:b w:val="0"/>
          <w:bCs w:val="0"/>
          <w:color w:val="000000"/>
          <w:sz w:val="21"/>
          <w:szCs w:val="20"/>
          <w:highlight w:val="none"/>
        </w:rPr>
      </w:pPr>
      <w:r>
        <w:rPr>
          <w:rFonts w:hint="eastAsia" w:ascii="宋体" w:hAnsi="宋体" w:eastAsia="宋体" w:cs="宋体"/>
          <w:b w:val="0"/>
          <w:bCs w:val="0"/>
          <w:color w:val="000000"/>
          <w:sz w:val="21"/>
          <w:szCs w:val="20"/>
          <w:highlight w:val="none"/>
        </w:rPr>
        <w:t>25.5资格审查的合格投标人不足3家的，不得评标。</w:t>
      </w:r>
    </w:p>
    <w:p>
      <w:pPr>
        <w:pStyle w:val="4"/>
        <w:keepNext w:val="0"/>
        <w:keepLines w:val="0"/>
        <w:spacing w:line="360" w:lineRule="auto"/>
        <w:jc w:val="center"/>
        <w:rPr>
          <w:rFonts w:hint="eastAsia" w:ascii="宋体" w:hAnsi="宋体" w:eastAsia="宋体" w:cs="宋体"/>
          <w:color w:val="000000"/>
          <w:highlight w:val="none"/>
        </w:rPr>
      </w:pPr>
      <w:bookmarkStart w:id="148" w:name="_Toc20983"/>
      <w:r>
        <w:rPr>
          <w:rFonts w:hint="eastAsia" w:ascii="宋体" w:hAnsi="宋体" w:eastAsia="宋体" w:cs="宋体"/>
          <w:color w:val="000000"/>
          <w:highlight w:val="none"/>
        </w:rPr>
        <w:t>六、评   标</w:t>
      </w:r>
      <w:bookmarkEnd w:id="148"/>
    </w:p>
    <w:p>
      <w:pPr>
        <w:spacing w:line="360" w:lineRule="auto"/>
        <w:ind w:firstLine="480" w:firstLineChars="200"/>
        <w:rPr>
          <w:rFonts w:hint="eastAsia" w:ascii="宋体" w:hAnsi="宋体" w:eastAsia="宋体" w:cs="宋体"/>
          <w:color w:val="000000"/>
          <w:sz w:val="24"/>
          <w:highlight w:val="none"/>
        </w:rPr>
      </w:pPr>
      <w:bookmarkStart w:id="149" w:name="_26.组建评标委员会"/>
      <w:bookmarkEnd w:id="149"/>
      <w:r>
        <w:rPr>
          <w:rFonts w:hint="eastAsia" w:ascii="宋体" w:hAnsi="宋体" w:eastAsia="宋体" w:cs="宋体"/>
          <w:color w:val="000000"/>
          <w:sz w:val="24"/>
          <w:highlight w:val="none"/>
        </w:rPr>
        <w:t>26.组建评标委员会</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评标委员会由采购人代表和评审专家组成，人数为5人以上单数，其中评审专家不得少于成员总数的三分之二。</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参加过采购项目前期咨询论证的专家，不得参加该采购项目的评审活动。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27.评标的依据</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评标委员会以招标文件为依据对投标文件进行评审，“第四章 评标方法和评标标准”没有规定的方法、评审因素和标准，不作为评标依据。</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28.评标原则</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0" w:name="_28.3评标方法。本项目将按须知前附表规定的评标办法进行评标，具体评标"/>
      <w:bookmarkEnd w:id="150"/>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28.4评标过程的监控。本项目电子评标过程实行网上留痕、全程录音、录像监控，投标人在评标过程中所进行的试图影响评标结果的不公正活动，可能导致其投标按无效处理。</w:t>
      </w:r>
    </w:p>
    <w:p>
      <w:pPr>
        <w:widowControl/>
        <w:spacing w:line="560" w:lineRule="exact"/>
        <w:ind w:firstLine="420" w:firstLineChars="200"/>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29.评标方法及评标标准</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29.1本项目的评标方法详见“投标人须知前附表”。</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29.2 评标委员会按照</w:t>
      </w:r>
      <w:r>
        <w:rPr>
          <w:rFonts w:hint="eastAsia" w:ascii="宋体" w:hAnsi="宋体" w:eastAsia="宋体" w:cs="宋体"/>
          <w:b/>
          <w:color w:val="000000"/>
          <w:highlight w:val="none"/>
        </w:rPr>
        <w:t>“第四章 评标方法和评标标准”</w:t>
      </w:r>
      <w:r>
        <w:rPr>
          <w:rFonts w:hint="eastAsia" w:ascii="宋体" w:hAnsi="宋体" w:eastAsia="宋体" w:cs="宋体"/>
          <w:color w:val="000000"/>
          <w:highlight w:val="none"/>
        </w:rPr>
        <w:t>规定的方法、评审因素、标准和程序对投标文件进行评审。</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（1）电子交易平台发生故障而无法登录访问的； </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（4）病毒发作导致不能进行正常操作的； </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1"/>
        <w:snapToGrid w:val="0"/>
        <w:spacing w:line="400" w:lineRule="exact"/>
        <w:ind w:firstLine="420" w:firstLineChars="200"/>
        <w:rPr>
          <w:rFonts w:hint="eastAsia" w:ascii="宋体" w:hAnsi="宋体" w:eastAsia="宋体" w:cs="宋体"/>
          <w:color w:val="000000"/>
          <w:highlight w:val="none"/>
        </w:rPr>
      </w:pPr>
    </w:p>
    <w:p>
      <w:pPr>
        <w:pStyle w:val="4"/>
        <w:keepNext w:val="0"/>
        <w:keepLines w:val="0"/>
        <w:spacing w:line="400" w:lineRule="exact"/>
        <w:jc w:val="center"/>
        <w:rPr>
          <w:rFonts w:hint="eastAsia" w:ascii="宋体" w:hAnsi="宋体" w:eastAsia="宋体" w:cs="宋体"/>
          <w:color w:val="000000"/>
          <w:highlight w:val="none"/>
        </w:rPr>
      </w:pPr>
      <w:bookmarkStart w:id="151" w:name="_Toc254970546"/>
      <w:bookmarkStart w:id="152" w:name="_Toc254970687"/>
      <w:bookmarkStart w:id="153" w:name="_Toc24771"/>
      <w:r>
        <w:rPr>
          <w:rFonts w:hint="eastAsia" w:ascii="宋体" w:hAnsi="宋体" w:eastAsia="宋体" w:cs="宋体"/>
          <w:color w:val="000000"/>
          <w:highlight w:val="none"/>
        </w:rPr>
        <w:t>七、</w:t>
      </w:r>
      <w:bookmarkEnd w:id="151"/>
      <w:bookmarkEnd w:id="152"/>
      <w:r>
        <w:rPr>
          <w:rFonts w:hint="eastAsia" w:ascii="宋体" w:hAnsi="宋体" w:eastAsia="宋体" w:cs="宋体"/>
          <w:color w:val="000000"/>
          <w:highlight w:val="none"/>
        </w:rPr>
        <w:t>中标和合同</w:t>
      </w:r>
      <w:bookmarkEnd w:id="153"/>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30.确定中标人</w:t>
      </w:r>
    </w:p>
    <w:p>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30.1本项目授权评标</w:t>
      </w:r>
      <w:r>
        <w:rPr>
          <w:rFonts w:hint="eastAsia" w:ascii="宋体" w:hAnsi="宋体" w:eastAsia="宋体" w:cs="宋体"/>
          <w:b/>
          <w:bCs/>
          <w:szCs w:val="21"/>
          <w:highlight w:val="none"/>
        </w:rPr>
        <w:t>委员会直接按第四章“评标方法及标准”的规定</w:t>
      </w:r>
      <w:r>
        <w:rPr>
          <w:rFonts w:hint="eastAsia" w:ascii="宋体" w:hAnsi="宋体" w:eastAsia="宋体" w:cs="宋体"/>
          <w:b/>
          <w:bCs/>
          <w:color w:val="000000"/>
          <w:szCs w:val="21"/>
          <w:highlight w:val="none"/>
        </w:rPr>
        <w:t>排列中标候选人顺序，并依照次序确定中标人。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30.3中标供应商无正当理由拒签合同的，根据《中华人民共和国政府采购法》第七十七条第一款规定处理。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30.4根据《中华人民共和国民法典》</w:t>
      </w:r>
      <w:r>
        <w:rPr>
          <w:rFonts w:hint="eastAsia" w:ascii="宋体" w:hAnsi="宋体" w:eastAsia="宋体" w:cs="宋体"/>
          <w:color w:val="000000"/>
          <w:sz w:val="19"/>
          <w:szCs w:val="19"/>
          <w:highlight w:val="none"/>
        </w:rPr>
        <w:t>第五百六十三条</w:t>
      </w:r>
      <w:r>
        <w:rPr>
          <w:rFonts w:hint="eastAsia" w:ascii="宋体" w:hAnsi="宋体" w:eastAsia="宋体" w:cs="宋体"/>
          <w:szCs w:val="21"/>
          <w:highlight w:val="none"/>
        </w:rPr>
        <w:t>，因不可抗力致使不能实现合同目的的，当事人可以解除合同。</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结果公告</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31.1</w:t>
      </w:r>
      <w:r>
        <w:rPr>
          <w:rFonts w:hint="eastAsia" w:ascii="宋体" w:hAnsi="宋体" w:eastAsia="宋体" w:cs="宋体"/>
          <w:color w:val="000000"/>
          <w:highlight w:val="none"/>
        </w:rPr>
        <w:t>在中标供应商确定之日起2个工作日内，由采购代理机构</w:t>
      </w:r>
      <w:r>
        <w:rPr>
          <w:rFonts w:hint="eastAsia" w:ascii="宋体" w:hAnsi="宋体" w:eastAsia="宋体" w:cs="宋体"/>
          <w:b/>
          <w:color w:val="000000"/>
          <w:szCs w:val="21"/>
          <w:highlight w:val="none"/>
        </w:rPr>
        <w:t>在招标公告发布媒体上</w:t>
      </w:r>
      <w:r>
        <w:rPr>
          <w:rFonts w:hint="eastAsia" w:ascii="宋体" w:hAnsi="宋体" w:eastAsia="宋体" w:cs="宋体"/>
          <w:color w:val="000000"/>
          <w:highlight w:val="none"/>
        </w:rPr>
        <w:t>发布中标结果公告，中标结果公告期限为1个工作日，发布中标结果公告的同时向中标供应商发出中标通知书。</w:t>
      </w:r>
      <w:r>
        <w:rPr>
          <w:rFonts w:hint="eastAsia" w:ascii="宋体" w:hAnsi="宋体" w:eastAsia="宋体" w:cs="宋体"/>
          <w:b/>
          <w:color w:val="000000"/>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000000"/>
          <w:szCs w:val="21"/>
          <w:highlight w:val="none"/>
        </w:rPr>
        <w:t>排名第二的中标候选人因前款规定的同样原因被取消中标资格的，授权的评标委员会可以确定排名第三的中标候选人为中标人，以此类推。</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以上信息查询记录及相关证据与采购文件一并保存。</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32.发出中标通知书</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32.1在发布中标公告的同时，采购代理机构向中标人通过</w:t>
      </w:r>
      <w:r>
        <w:rPr>
          <w:rFonts w:hint="eastAsia" w:ascii="宋体" w:hAnsi="宋体" w:cs="宋体"/>
          <w:b/>
          <w:color w:val="000000"/>
          <w:szCs w:val="21"/>
          <w:highlight w:val="none"/>
          <w:lang w:eastAsia="zh-CN"/>
        </w:rPr>
        <w:t>广西政府采购云平台</w:t>
      </w:r>
      <w:r>
        <w:rPr>
          <w:rFonts w:hint="eastAsia" w:ascii="宋体" w:hAnsi="宋体" w:eastAsia="宋体" w:cs="宋体"/>
          <w:b/>
          <w:color w:val="000000"/>
          <w:szCs w:val="21"/>
          <w:highlight w:val="none"/>
        </w:rPr>
        <w:t>发出电子中标通知书。</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32.2对未通过资格审查的投标人，采购人或采购机构应当告知其未通过的原因；采用综合评分办法评审的，采购人或采购机构还应当告知未中标人本人的评审得分与排序。</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无义务解释未中标原因</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采购代理机构无义务向未中标的投标人解释未中标原因和退还投标文件。</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34.合同授予标准</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35.履约保证金</w:t>
      </w:r>
    </w:p>
    <w:p>
      <w:pPr>
        <w:spacing w:line="360" w:lineRule="auto"/>
        <w:ind w:firstLine="420" w:firstLineChars="200"/>
        <w:rPr>
          <w:rFonts w:hint="eastAsia" w:ascii="宋体" w:hAnsi="宋体" w:eastAsia="宋体" w:cs="宋体"/>
          <w:szCs w:val="21"/>
          <w:highlight w:val="none"/>
        </w:rPr>
      </w:pPr>
      <w:bookmarkStart w:id="154" w:name="_39.1中标人须于签订合同前按本须知前附表规定的金额转账或电汇到指定账"/>
      <w:bookmarkEnd w:id="154"/>
      <w:r>
        <w:rPr>
          <w:rFonts w:hint="eastAsia" w:ascii="宋体" w:hAnsi="宋体" w:eastAsia="宋体" w:cs="宋体"/>
          <w:szCs w:val="21"/>
          <w:highlight w:val="none"/>
        </w:rPr>
        <w:t>见“投标人须知前附表”。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36.签订合同</w:t>
      </w:r>
    </w:p>
    <w:p>
      <w:pPr>
        <w:pStyle w:val="31"/>
        <w:snapToGrid w:val="0"/>
        <w:spacing w:before="0"/>
        <w:ind w:firstLine="422"/>
        <w:rPr>
          <w:rFonts w:hint="eastAsia" w:ascii="宋体" w:hAnsi="宋体" w:eastAsia="宋体" w:cs="宋体"/>
          <w:kern w:val="0"/>
          <w:sz w:val="21"/>
          <w:szCs w:val="21"/>
          <w:highlight w:val="none"/>
          <w:lang w:val="zh-CN"/>
        </w:rPr>
      </w:pPr>
      <w:bookmarkStart w:id="155" w:name="_40.1投标人接到中标通知书后，按须知前附表规定向采购人出示相关资格证"/>
      <w:bookmarkEnd w:id="155"/>
      <w:r>
        <w:rPr>
          <w:rFonts w:hint="eastAsia" w:ascii="宋体" w:hAnsi="宋体" w:eastAsia="宋体" w:cs="宋体"/>
          <w:b/>
          <w:color w:val="000000"/>
          <w:sz w:val="21"/>
          <w:szCs w:val="21"/>
          <w:highlight w:val="none"/>
        </w:rPr>
        <w:t xml:space="preserve"> 36.1中标人领取中标通知书后，</w:t>
      </w:r>
      <w:r>
        <w:rPr>
          <w:rFonts w:hint="eastAsia" w:ascii="宋体" w:hAnsi="宋体" w:eastAsia="宋体" w:cs="宋体"/>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pPr>
        <w:pStyle w:val="31"/>
        <w:snapToGrid w:val="0"/>
        <w:spacing w:before="0"/>
        <w:ind w:firstLine="42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36.2</w:t>
      </w:r>
      <w:r>
        <w:rPr>
          <w:rFonts w:hint="eastAsia" w:ascii="宋体" w:hAnsi="宋体" w:eastAsia="宋体" w:cs="宋体"/>
          <w:sz w:val="21"/>
          <w:szCs w:val="21"/>
          <w:highlight w:val="none"/>
        </w:rPr>
        <w:t>采购合同由采购人与中标供应商根据招标文件、投标文件等内容通过政府采购电子交易平台在线签订，自动备案。</w:t>
      </w:r>
    </w:p>
    <w:p>
      <w:pPr>
        <w:pStyle w:val="31"/>
        <w:snapToGrid w:val="0"/>
        <w:spacing w:before="0"/>
        <w:ind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36.3签订合同时间：按中标通知书规定的时间与采购人签订合同（最长不能超过25日）。</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36.7</w:t>
      </w:r>
      <w:r>
        <w:rPr>
          <w:rFonts w:hint="eastAsia" w:ascii="宋体" w:hAnsi="宋体" w:eastAsia="宋体" w:cs="宋体"/>
          <w:szCs w:val="21"/>
          <w:highlight w:val="none"/>
        </w:rPr>
        <w:t>如签订合同并生效后，供应商无故拒绝或延期，除按照合同条款处理外，将承担相应的法律责任。</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pPr>
        <w:spacing w:line="360" w:lineRule="auto"/>
        <w:ind w:firstLine="480" w:firstLineChars="200"/>
        <w:rPr>
          <w:rFonts w:hint="eastAsia" w:ascii="宋体" w:hAnsi="宋体" w:eastAsia="宋体" w:cs="宋体"/>
          <w:color w:val="000000"/>
          <w:sz w:val="24"/>
          <w:highlight w:val="none"/>
        </w:rPr>
      </w:pPr>
      <w:bookmarkStart w:id="156" w:name="_41.政府采购合同公告"/>
      <w:bookmarkEnd w:id="156"/>
      <w:r>
        <w:rPr>
          <w:rFonts w:hint="eastAsia" w:ascii="宋体" w:hAnsi="宋体" w:eastAsia="宋体" w:cs="宋体"/>
          <w:color w:val="000000"/>
          <w:sz w:val="24"/>
          <w:highlight w:val="none"/>
        </w:rPr>
        <w:t>37.政府采购合同公告</w:t>
      </w:r>
    </w:p>
    <w:p>
      <w:pPr>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highlight w:val="none"/>
        </w:rPr>
        <w:t>采购人或者受托采购代理机构应当自政府采购合同签订之日起2个工作日内，将政府采购合同</w:t>
      </w:r>
      <w:r>
        <w:rPr>
          <w:rFonts w:hint="eastAsia" w:ascii="宋体" w:hAnsi="宋体" w:eastAsia="宋体" w:cs="宋体"/>
          <w:bCs/>
          <w:highlight w:val="none"/>
        </w:rPr>
        <w:t>在以下媒体上发布</w:t>
      </w:r>
      <w:r>
        <w:rPr>
          <w:rFonts w:hint="eastAsia" w:ascii="宋体" w:hAnsi="宋体" w:eastAsia="宋体" w:cs="宋体"/>
          <w:color w:val="000000"/>
          <w:kern w:val="0"/>
          <w:szCs w:val="21"/>
          <w:highlight w:val="none"/>
        </w:rPr>
        <w:t xml:space="preserve"> “广西政府采购网”（http://zfcg.gxzf.gov.cn）</w:t>
      </w:r>
      <w:r>
        <w:rPr>
          <w:rFonts w:hint="eastAsia" w:ascii="宋体" w:hAnsi="宋体" w:eastAsia="宋体" w:cs="宋体"/>
          <w:color w:val="000000"/>
          <w:highlight w:val="none"/>
        </w:rPr>
        <w:t>上公告，但政府采购合同中涉及国家秘密、商业秘密的内容除外。</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38. 询问、质疑和投诉</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38.1询问</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38.1.1供应商在开标前对政府采购活动事项有疑问的，可以向采购人或采购代理机构项目负责人提出询问。</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38.1.2采购人或采购人委托的采购代理机构自受理询问之日起3个工作日内对供应商依法提出的询问作出答复，</w:t>
      </w:r>
      <w:r>
        <w:rPr>
          <w:rFonts w:hint="eastAsia" w:ascii="宋体" w:hAnsi="宋体" w:eastAsia="宋体" w:cs="宋体"/>
          <w:highlight w:val="none"/>
        </w:rPr>
        <w:t>但答复内容不得涉及商业秘密</w:t>
      </w:r>
      <w:r>
        <w:rPr>
          <w:rFonts w:hint="eastAsia" w:ascii="宋体" w:hAnsi="宋体" w:eastAsia="宋体" w:cs="宋体"/>
          <w:bCs/>
          <w:color w:val="000000"/>
          <w:szCs w:val="21"/>
          <w:highlight w:val="none"/>
        </w:rPr>
        <w:t>。</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38.1.3 询问事项可能影响中标、成交结果的，采购人应当暂停签订合同，已经签订合同的，应当中止履行合同。</w:t>
      </w:r>
    </w:p>
    <w:p>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w:t>
      </w:r>
      <w:r>
        <w:rPr>
          <w:rFonts w:hint="eastAsia" w:ascii="宋体" w:hAnsi="宋体" w:eastAsia="宋体" w:cs="宋体"/>
          <w:color w:val="000000"/>
          <w:szCs w:val="21"/>
          <w:highlight w:val="none"/>
        </w:rPr>
        <w:t>38.2质疑</w:t>
      </w:r>
    </w:p>
    <w:p>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38.2.1</w:t>
      </w:r>
      <w:r>
        <w:rPr>
          <w:rFonts w:hint="eastAsia" w:ascii="宋体" w:hAnsi="宋体" w:eastAsia="宋体" w:cs="宋体"/>
          <w:b/>
          <w:color w:val="000000"/>
          <w:szCs w:val="21"/>
          <w:highlight w:val="none"/>
        </w:rPr>
        <w:t>供应商认为招标文件、采购过程或者中标结果使自己的合法权益受到损害的，必须在知道或者应知其权益受到损害之日起7个工作日内，以</w:t>
      </w:r>
      <w:r>
        <w:rPr>
          <w:rFonts w:hint="eastAsia" w:ascii="宋体" w:hAnsi="宋体" w:eastAsia="宋体" w:cs="宋体"/>
          <w:b/>
          <w:szCs w:val="21"/>
          <w:highlight w:val="none"/>
        </w:rPr>
        <w:t>书面形式向</w:t>
      </w:r>
      <w:r>
        <w:rPr>
          <w:rFonts w:hint="eastAsia" w:ascii="宋体" w:hAnsi="宋体" w:eastAsia="宋体" w:cs="宋体"/>
          <w:b/>
          <w:color w:val="000000"/>
          <w:szCs w:val="21"/>
          <w:highlight w:val="none"/>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highlight w:val="none"/>
        </w:rPr>
        <w:t>委托代理协议无特殊约定的，</w:t>
      </w:r>
      <w:r>
        <w:rPr>
          <w:rFonts w:hint="eastAsia" w:ascii="宋体" w:hAnsi="宋体" w:eastAsia="宋体" w:cs="宋体"/>
          <w:bCs/>
          <w:highlight w:val="none"/>
        </w:rPr>
        <w:t>对公开招标文件中采购需求（含资格要求、采购预算和评分办法）的质疑由采购人受理并负责答复；对公开招标文件中的采购执行程序的质疑由采购代理机构受理并负责答复。</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hint="eastAsia" w:ascii="宋体" w:hAnsi="宋体" w:eastAsia="宋体" w:cs="宋体"/>
          <w:bCs/>
          <w:szCs w:val="21"/>
          <w:highlight w:val="none"/>
        </w:rPr>
      </w:pPr>
      <w:r>
        <w:rPr>
          <w:rFonts w:hint="eastAsia" w:ascii="宋体" w:hAnsi="宋体" w:eastAsia="宋体" w:cs="宋体"/>
          <w:b/>
          <w:bCs/>
          <w:szCs w:val="21"/>
          <w:highlight w:val="none"/>
        </w:rPr>
        <w:t>38.2.2</w:t>
      </w:r>
      <w:r>
        <w:rPr>
          <w:rFonts w:hint="eastAsia" w:ascii="宋体" w:hAnsi="宋体" w:eastAsia="宋体" w:cs="宋体"/>
          <w:bCs/>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eastAsia="宋体" w:cs="宋体"/>
          <w:bCs/>
          <w:highlight w:val="none"/>
        </w:rPr>
      </w:pPr>
      <w:r>
        <w:rPr>
          <w:rFonts w:hint="eastAsia" w:ascii="宋体" w:hAnsi="宋体" w:eastAsia="宋体" w:cs="宋体"/>
          <w:b/>
          <w:bCs/>
          <w:highlight w:val="none"/>
        </w:rPr>
        <w:t>38.2.3</w:t>
      </w:r>
      <w:r>
        <w:rPr>
          <w:rFonts w:hint="eastAsia" w:ascii="宋体" w:hAnsi="宋体" w:eastAsia="宋体" w:cs="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highlight w:val="none"/>
        </w:rPr>
        <w:t>。</w:t>
      </w:r>
    </w:p>
    <w:p>
      <w:pPr>
        <w:spacing w:line="36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38.2.4 质疑供应商提起质疑应当符合下列条件：</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（1）质疑供应商是参与所质疑</w:t>
      </w:r>
      <w:r>
        <w:rPr>
          <w:rFonts w:hint="eastAsia" w:ascii="宋体" w:hAnsi="宋体" w:eastAsia="宋体" w:cs="宋体"/>
          <w:bCs/>
          <w:szCs w:val="21"/>
          <w:highlight w:val="none"/>
        </w:rPr>
        <w:t>项目</w:t>
      </w:r>
      <w:r>
        <w:rPr>
          <w:rFonts w:hint="eastAsia" w:ascii="宋体" w:hAnsi="宋体" w:eastAsia="宋体" w:cs="宋体"/>
          <w:bCs/>
          <w:highlight w:val="none"/>
        </w:rPr>
        <w:t>采购活动的供应商（潜在供应商已依法获取可之一的采购文件的，可以对该采购文件质疑）；</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（2）质疑函内容符合本章第38.2.5项的规定；</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（3）在质疑有效期限内提起质疑；</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（4）属于所质疑的采购人或采购人委托的采购代理机构组织的采购活动；</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 xml:space="preserve">（5）同一质疑事项未经采购人或采购人委托的采购代理机构质疑处理； </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（6）供应商对同一采购程序环节的质疑应当在质疑有效期内一次性提出；</w:t>
      </w:r>
    </w:p>
    <w:p>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（7）供应商提交质疑应当提交必要的证明材料，证明材料应以合法手段取得；</w:t>
      </w:r>
    </w:p>
    <w:p>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（8）财政部门规定的其他条件。</w:t>
      </w:r>
    </w:p>
    <w:p>
      <w:pPr>
        <w:spacing w:line="360" w:lineRule="auto"/>
        <w:ind w:firstLine="420" w:firstLineChars="200"/>
        <w:rPr>
          <w:rFonts w:hint="eastAsia" w:ascii="宋体" w:hAnsi="宋体" w:eastAsia="宋体" w:cs="宋体"/>
          <w:b/>
          <w:color w:val="000000"/>
          <w:szCs w:val="21"/>
          <w:highlight w:val="none"/>
        </w:rPr>
      </w:pPr>
      <w:bookmarkStart w:id="157" w:name="_9.2质疑、投诉应当采用书面形式，质疑函、投诉书均应明确阐述招标文件、"/>
      <w:bookmarkEnd w:id="157"/>
      <w:r>
        <w:rPr>
          <w:rFonts w:hint="eastAsia" w:ascii="宋体" w:hAnsi="宋体" w:eastAsia="宋体" w:cs="宋体"/>
          <w:color w:val="000000"/>
          <w:szCs w:val="21"/>
          <w:highlight w:val="none"/>
        </w:rPr>
        <w:t xml:space="preserve"> 38.2.5 </w:t>
      </w:r>
      <w:r>
        <w:rPr>
          <w:rFonts w:hint="eastAsia" w:ascii="宋体" w:hAnsi="宋体" w:eastAsia="宋体" w:cs="宋体"/>
          <w:bCs/>
          <w:color w:val="000000"/>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（1）供应商的姓名或者名称、地址、邮编、联系人及联系电话；</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（2）质疑项目的名称、编号；</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（3）具体、明确的质疑事项和与质疑事项相关的请求；</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（4）事实依据（列明权益受到损害的事实和理由）；</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（5）必要的法律依据；</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（6）提出质疑的日期。</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hint="eastAsia" w:ascii="宋体" w:hAnsi="宋体" w:eastAsia="宋体" w:cs="宋体"/>
          <w:b/>
          <w:color w:val="000000"/>
          <w:szCs w:val="20"/>
          <w:highlight w:val="none"/>
        </w:rPr>
      </w:pPr>
      <w:r>
        <w:rPr>
          <w:rFonts w:hint="eastAsia" w:ascii="宋体" w:hAnsi="宋体" w:eastAsia="宋体" w:cs="宋体"/>
          <w:b/>
          <w:color w:val="000000"/>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bCs/>
          <w:color w:val="000000"/>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　　（一）对招标文件提出的质疑，依法通过澄清或者修改可以继续开展采购活动的，澄清或者修改招标文件后继续开展采购活动；否则应当修改招标文件后重新开展采购活动。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　　（二）对采购过程、中标结果提出的质疑，合格供应商符合法定数量时，可以从合格的中标候选人中另行确定中标供应商的，应当依法另行确定中标供应商；否则应当重新开展采购活动。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质疑答复导致中标结果改变的，采购人或者采购代理机构应当将有关情况书面报告本级财政部门。</w:t>
      </w:r>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38.3投诉</w:t>
      </w:r>
    </w:p>
    <w:p>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Cs/>
          <w:highlight w:val="none"/>
        </w:rPr>
        <w:t>.</w:t>
      </w:r>
      <w:r>
        <w:rPr>
          <w:rFonts w:hint="eastAsia" w:ascii="宋体" w:hAnsi="宋体" w:eastAsia="宋体" w:cs="宋体"/>
          <w:b/>
          <w:bCs/>
          <w:highlight w:val="none"/>
        </w:rPr>
        <w:t xml:space="preserve">1 </w:t>
      </w:r>
      <w:r>
        <w:rPr>
          <w:rFonts w:hint="eastAsia" w:ascii="宋体" w:hAnsi="宋体" w:eastAsia="宋体" w:cs="宋体"/>
          <w:bCs/>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highlight w:val="none"/>
        </w:rPr>
        <w:t>采购代理机构</w:t>
      </w:r>
      <w:r>
        <w:rPr>
          <w:rFonts w:hint="eastAsia" w:ascii="宋体" w:hAnsi="宋体" w:eastAsia="宋体" w:cs="宋体"/>
          <w:bCs/>
          <w:highlight w:val="none"/>
        </w:rPr>
        <w:t>提出质疑。对采购人、</w:t>
      </w:r>
      <w:r>
        <w:rPr>
          <w:rFonts w:hint="eastAsia" w:ascii="宋体" w:hAnsi="宋体" w:eastAsia="宋体" w:cs="宋体"/>
          <w:highlight w:val="none"/>
        </w:rPr>
        <w:t>采购代理机构</w:t>
      </w:r>
      <w:r>
        <w:rPr>
          <w:rFonts w:hint="eastAsia" w:ascii="宋体" w:hAnsi="宋体" w:eastAsia="宋体" w:cs="宋体"/>
          <w:bCs/>
          <w:highlight w:val="none"/>
        </w:rPr>
        <w:t>的答复不满意，或者采购人、</w:t>
      </w:r>
      <w:r>
        <w:rPr>
          <w:rFonts w:hint="eastAsia" w:ascii="宋体" w:hAnsi="宋体" w:eastAsia="宋体" w:cs="宋体"/>
          <w:highlight w:val="none"/>
        </w:rPr>
        <w:t>采购代理机构</w:t>
      </w:r>
      <w:r>
        <w:rPr>
          <w:rFonts w:hint="eastAsia" w:ascii="宋体" w:hAnsi="宋体" w:eastAsia="宋体" w:cs="宋体"/>
          <w:bCs/>
          <w:highlight w:val="none"/>
        </w:rPr>
        <w:t>未在规定期限内做出答复的，供应商可以在答复期满后15个工作日内向南宁市政府采购监督管理部门提起投诉，投诉方式见“投标人须知前附表”。</w:t>
      </w:r>
    </w:p>
    <w:p>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 xml:space="preserve">.2 </w:t>
      </w:r>
      <w:r>
        <w:rPr>
          <w:rFonts w:hint="eastAsia" w:ascii="宋体" w:hAnsi="宋体" w:eastAsia="宋体" w:cs="宋体"/>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szCs w:val="21"/>
          <w:highlight w:val="none"/>
        </w:rPr>
        <w:t>应当包括下列主要内容</w:t>
      </w:r>
      <w:r>
        <w:rPr>
          <w:rFonts w:hint="eastAsia" w:ascii="宋体" w:hAnsi="宋体" w:eastAsia="宋体" w:cs="宋体"/>
          <w:highlight w:val="none"/>
        </w:rPr>
        <w:t>（如材料中有外文资料应同时附上对应的中文译本）</w:t>
      </w:r>
      <w:r>
        <w:rPr>
          <w:rFonts w:hint="eastAsia" w:ascii="宋体" w:hAnsi="宋体" w:eastAsia="宋体" w:cs="宋体"/>
          <w:bCs/>
          <w:color w:val="000000"/>
          <w:highlight w:val="none"/>
        </w:rPr>
        <w:t>（投诉书格式后附）</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（1）投诉人和被投诉人的名称、地址、邮编、联系人及联系电话等； </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（2）质疑和质疑答复情况及相关证明材料； </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（3）具体、明确的投诉事项和与投诉事项相关的投诉请求；</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（4）事实依据；</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（5）法律依据；</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（6）提起投诉的日期。</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highlight w:val="none"/>
        </w:rPr>
        <w:tab/>
      </w:r>
    </w:p>
    <w:p>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 xml:space="preserve">.3  </w:t>
      </w:r>
      <w:r>
        <w:rPr>
          <w:rFonts w:hint="eastAsia" w:ascii="宋体" w:hAnsi="宋体" w:eastAsia="宋体" w:cs="宋体"/>
          <w:highlight w:val="none"/>
        </w:rPr>
        <w:t>投诉人可以委托代理人办理投诉事务。</w:t>
      </w:r>
      <w:r>
        <w:rPr>
          <w:rFonts w:hint="eastAsia" w:ascii="宋体" w:hAnsi="宋体" w:eastAsia="宋体" w:cs="宋体"/>
          <w:bCs/>
          <w:highlight w:val="none"/>
        </w:rPr>
        <w:t>委托代理人应熟悉相关业务情况。</w:t>
      </w:r>
      <w:r>
        <w:rPr>
          <w:rFonts w:hint="eastAsia" w:ascii="宋体" w:hAnsi="宋体" w:eastAsia="宋体" w:cs="宋体"/>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.4</w:t>
      </w:r>
      <w:r>
        <w:rPr>
          <w:rFonts w:hint="eastAsia" w:ascii="宋体" w:hAnsi="宋体" w:eastAsia="宋体" w:cs="宋体"/>
          <w:highlight w:val="none"/>
        </w:rPr>
        <w:t xml:space="preserve">  投诉人提起投诉应当符合下列条件：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（1）投诉人是参与所投诉政府采购活动的供应商；</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（2）提起投诉前已依法进行质疑；</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（3）投诉书内容符合本章第38.3.2项的规定；</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（4）在投诉有效期限内提起投诉；</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（5）属于南宁市政府采购监督管理部门管辖；</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（6）同一投诉事项未经</w:t>
      </w:r>
      <w:r>
        <w:rPr>
          <w:rFonts w:hint="eastAsia" w:ascii="宋体" w:hAnsi="宋体" w:eastAsia="宋体" w:cs="宋体"/>
          <w:bCs/>
          <w:highlight w:val="none"/>
        </w:rPr>
        <w:t>南宁市政府采购监督管理部门</w:t>
      </w:r>
      <w:r>
        <w:rPr>
          <w:rFonts w:hint="eastAsia" w:ascii="宋体" w:hAnsi="宋体" w:eastAsia="宋体" w:cs="宋体"/>
          <w:highlight w:val="none"/>
        </w:rPr>
        <w:t>投诉处理；</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（7）国务院财政部门规定的其他条件。</w:t>
      </w:r>
    </w:p>
    <w:p>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.5</w:t>
      </w:r>
      <w:r>
        <w:rPr>
          <w:rFonts w:hint="eastAsia" w:ascii="宋体" w:hAnsi="宋体" w:eastAsia="宋体" w:cs="宋体"/>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000000"/>
          <w:kern w:val="0"/>
          <w:szCs w:val="21"/>
          <w:highlight w:val="none"/>
        </w:rPr>
        <w:t>“广西政府采购网”（http://zfcg.gxzf.gov.cn）</w:t>
      </w:r>
      <w:r>
        <w:rPr>
          <w:rFonts w:hint="eastAsia" w:ascii="宋体" w:hAnsi="宋体" w:eastAsia="宋体" w:cs="宋体"/>
          <w:highlight w:val="none"/>
        </w:rPr>
        <w:t>发布。</w:t>
      </w:r>
    </w:p>
    <w:p>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.6</w:t>
      </w:r>
      <w:r>
        <w:rPr>
          <w:rFonts w:hint="eastAsia" w:ascii="宋体" w:hAnsi="宋体" w:eastAsia="宋体" w:cs="宋体"/>
          <w:highlight w:val="none"/>
        </w:rPr>
        <w:t xml:space="preserve">  南宁市政府采购监督管理部门在处理投诉事项期间，可以视具体情况暂停采购活动。</w:t>
      </w:r>
    </w:p>
    <w:p>
      <w:pPr>
        <w:snapToGrid w:val="0"/>
        <w:spacing w:line="360" w:lineRule="auto"/>
        <w:ind w:left="120" w:leftChars="57" w:firstLine="482" w:firstLineChars="150"/>
        <w:jc w:val="center"/>
        <w:outlineLvl w:val="2"/>
        <w:rPr>
          <w:rFonts w:hint="eastAsia" w:ascii="宋体" w:hAnsi="宋体" w:eastAsia="宋体" w:cs="宋体"/>
          <w:b/>
          <w:bCs/>
          <w:sz w:val="32"/>
          <w:szCs w:val="32"/>
          <w:highlight w:val="none"/>
        </w:rPr>
      </w:pPr>
      <w:bookmarkStart w:id="158" w:name="_Toc27653"/>
      <w:r>
        <w:rPr>
          <w:rFonts w:hint="eastAsia" w:ascii="宋体" w:hAnsi="宋体" w:eastAsia="宋体" w:cs="宋体"/>
          <w:b/>
          <w:bCs/>
          <w:sz w:val="32"/>
          <w:szCs w:val="32"/>
          <w:highlight w:val="none"/>
        </w:rPr>
        <w:t>八、验收</w:t>
      </w:r>
      <w:bookmarkEnd w:id="158"/>
    </w:p>
    <w:p>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39.验收</w:t>
      </w:r>
    </w:p>
    <w:p>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11"/>
        <w:snapToGrid w:val="0"/>
        <w:spacing w:line="400" w:lineRule="exact"/>
        <w:rPr>
          <w:rFonts w:hint="eastAsia" w:ascii="宋体" w:hAnsi="宋体" w:eastAsia="宋体" w:cs="宋体"/>
          <w:color w:val="000000"/>
          <w:highlight w:val="none"/>
        </w:rPr>
      </w:pPr>
    </w:p>
    <w:p>
      <w:pPr>
        <w:pStyle w:val="4"/>
        <w:keepNext w:val="0"/>
        <w:keepLines w:val="0"/>
        <w:spacing w:line="360" w:lineRule="auto"/>
        <w:jc w:val="center"/>
        <w:rPr>
          <w:rFonts w:hint="eastAsia" w:ascii="宋体" w:hAnsi="宋体" w:eastAsia="宋体" w:cs="宋体"/>
          <w:highlight w:val="none"/>
        </w:rPr>
      </w:pPr>
      <w:bookmarkStart w:id="159" w:name="_八、其他事项"/>
      <w:bookmarkEnd w:id="159"/>
      <w:bookmarkStart w:id="160" w:name="_Toc16509"/>
      <w:r>
        <w:rPr>
          <w:rFonts w:hint="eastAsia" w:ascii="宋体" w:hAnsi="宋体" w:eastAsia="宋体" w:cs="宋体"/>
          <w:highlight w:val="none"/>
        </w:rPr>
        <w:t>九、其他事项</w:t>
      </w:r>
      <w:bookmarkEnd w:id="160"/>
    </w:p>
    <w:p>
      <w:pPr>
        <w:spacing w:line="360" w:lineRule="auto"/>
        <w:ind w:firstLine="480" w:firstLineChars="200"/>
        <w:rPr>
          <w:rFonts w:hint="eastAsia" w:ascii="宋体" w:hAnsi="宋体" w:eastAsia="宋体" w:cs="宋体"/>
          <w:sz w:val="24"/>
          <w:highlight w:val="none"/>
        </w:rPr>
      </w:pPr>
      <w:bookmarkStart w:id="161" w:name="_42.代理服务费"/>
      <w:bookmarkEnd w:id="161"/>
      <w:r>
        <w:rPr>
          <w:rFonts w:hint="eastAsia" w:ascii="宋体" w:hAnsi="宋体" w:eastAsia="宋体" w:cs="宋体"/>
          <w:sz w:val="24"/>
          <w:highlight w:val="none"/>
        </w:rPr>
        <w:t>40.代理服务费</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代理服务收费标准及缴费账户详见“投标人须知前附表”，投标人为联合体的，可以由联合体中的一方或者多方共同交纳代理服务费。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 需要补充的其他内容</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41.1本招标文件解释规则详见“投标人须知前附表”。</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41.2 其他事项详见“投标人须知前附表”。</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政采贷相关说明</w:t>
      </w:r>
    </w:p>
    <w:p>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2"/>
        </w:num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线下渠道：在“南宁市公共资源交易中心”官网（网址：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highlight w:val="none"/>
        </w:rPr>
        <w:fldChar w:fldCharType="separate"/>
      </w:r>
      <w:r>
        <w:rPr>
          <w:rStyle w:val="23"/>
          <w:rFonts w:hint="eastAsia" w:ascii="宋体" w:hAnsi="宋体" w:eastAsia="宋体" w:cs="宋体"/>
          <w:highlight w:val="none"/>
        </w:rPr>
        <w:t>http://www.nnggzy.org.cn）“交易信息-政府采购-政府采购信用融资”中融资银行和南宁市企业融资服务中心专栏信息申请政府采购信用融资。</w:t>
      </w:r>
      <w:r>
        <w:rPr>
          <w:rFonts w:hint="eastAsia" w:ascii="宋体" w:hAnsi="宋体" w:eastAsia="宋体" w:cs="宋体"/>
          <w:highlight w:val="none"/>
        </w:rPr>
        <w:fldChar w:fldCharType="end"/>
      </w:r>
    </w:p>
    <w:p>
      <w:pPr>
        <w:numPr>
          <w:ilvl w:val="0"/>
          <w:numId w:val="2"/>
        </w:num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highlight w:val="none"/>
        </w:rPr>
        <w:br w:type="page"/>
      </w:r>
      <w:bookmarkStart w:id="162" w:name="_Toc532545043"/>
    </w:p>
    <w:p>
      <w:pPr>
        <w:pStyle w:val="11"/>
        <w:jc w:val="center"/>
        <w:outlineLvl w:val="0"/>
        <w:rPr>
          <w:rFonts w:hint="eastAsia" w:ascii="宋体" w:hAnsi="宋体" w:eastAsia="宋体" w:cs="宋体"/>
          <w:b/>
          <w:sz w:val="36"/>
          <w:highlight w:val="none"/>
        </w:rPr>
      </w:pPr>
      <w:bookmarkStart w:id="163" w:name="_Toc18019"/>
      <w:bookmarkStart w:id="164" w:name="_Toc18631"/>
      <w:r>
        <w:rPr>
          <w:rFonts w:hint="eastAsia" w:ascii="宋体" w:hAnsi="宋体" w:eastAsia="宋体" w:cs="宋体"/>
          <w:b/>
          <w:sz w:val="36"/>
          <w:highlight w:val="none"/>
        </w:rPr>
        <w:t>第四章  评标方法</w:t>
      </w:r>
      <w:bookmarkEnd w:id="162"/>
      <w:r>
        <w:rPr>
          <w:rFonts w:hint="eastAsia" w:ascii="宋体" w:hAnsi="宋体" w:eastAsia="宋体" w:cs="宋体"/>
          <w:b/>
          <w:sz w:val="36"/>
          <w:highlight w:val="none"/>
        </w:rPr>
        <w:t>及评分标准</w:t>
      </w:r>
      <w:bookmarkEnd w:id="163"/>
      <w:bookmarkEnd w:id="164"/>
    </w:p>
    <w:p>
      <w:pPr>
        <w:pStyle w:val="11"/>
        <w:jc w:val="center"/>
        <w:outlineLvl w:val="1"/>
        <w:rPr>
          <w:rFonts w:hint="eastAsia" w:ascii="宋体" w:hAnsi="宋体" w:eastAsia="宋体" w:cs="宋体"/>
          <w:b/>
          <w:bCs/>
          <w:color w:val="000000"/>
          <w:sz w:val="32"/>
          <w:szCs w:val="32"/>
          <w:highlight w:val="none"/>
        </w:rPr>
      </w:pPr>
      <w:bookmarkStart w:id="165" w:name="_Toc9604"/>
      <w:bookmarkStart w:id="166" w:name="_Toc28840"/>
      <w:r>
        <w:rPr>
          <w:rFonts w:hint="eastAsia" w:ascii="宋体" w:hAnsi="宋体" w:eastAsia="宋体" w:cs="宋体"/>
          <w:b/>
          <w:bCs/>
          <w:color w:val="000000"/>
          <w:sz w:val="32"/>
          <w:szCs w:val="32"/>
          <w:highlight w:val="none"/>
        </w:rPr>
        <w:t>第一节 评标方法</w:t>
      </w:r>
      <w:bookmarkEnd w:id="165"/>
      <w:bookmarkEnd w:id="166"/>
    </w:p>
    <w:p>
      <w:pPr>
        <w:pStyle w:val="11"/>
        <w:tabs>
          <w:tab w:val="left" w:pos="2472"/>
        </w:tabs>
        <w:spacing w:line="460" w:lineRule="exact"/>
        <w:ind w:firstLine="420" w:firstLineChars="200"/>
        <w:rPr>
          <w:rFonts w:hint="eastAsia" w:ascii="宋体" w:hAnsi="宋体" w:eastAsia="宋体" w:cs="宋体"/>
          <w:color w:val="FF0000"/>
          <w:szCs w:val="21"/>
          <w:highlight w:val="none"/>
        </w:rPr>
      </w:pPr>
      <w:r>
        <w:rPr>
          <w:rFonts w:hint="eastAsia" w:ascii="宋体" w:hAnsi="宋体" w:eastAsia="宋体" w:cs="宋体"/>
          <w:szCs w:val="21"/>
          <w:highlight w:val="none"/>
        </w:rPr>
        <w:t>本项目采用</w:t>
      </w:r>
      <w:r>
        <w:rPr>
          <w:rFonts w:hint="eastAsia" w:ascii="宋体" w:hAnsi="宋体" w:eastAsia="宋体" w:cs="宋体"/>
          <w:szCs w:val="21"/>
          <w:highlight w:val="none"/>
          <w:u w:val="single"/>
        </w:rPr>
        <w:t xml:space="preserve"> 以下勾选的方式</w:t>
      </w:r>
      <w:r>
        <w:rPr>
          <w:rFonts w:hint="eastAsia" w:ascii="宋体" w:hAnsi="宋体" w:eastAsia="宋体" w:cs="宋体"/>
          <w:szCs w:val="21"/>
          <w:highlight w:val="none"/>
        </w:rPr>
        <w:t>进行评审。</w:t>
      </w:r>
    </w:p>
    <w:p>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rPr>
        <w:t>□最低评标价法，是指投标文件满足招标文件</w:t>
      </w:r>
      <w:r>
        <w:rPr>
          <w:rFonts w:hint="eastAsia" w:ascii="宋体" w:hAnsi="宋体" w:eastAsia="宋体" w:cs="宋体"/>
          <w:color w:val="000000"/>
          <w:highlight w:val="none"/>
        </w:rPr>
        <w:t>全部实质性要求，且投标报价最低的投标人为中标候选人的评标方法。</w:t>
      </w:r>
    </w:p>
    <w:p>
      <w:pPr>
        <w:autoSpaceDE w:val="0"/>
        <w:autoSpaceDN w:val="0"/>
        <w:adjustRightInd w:val="0"/>
        <w:spacing w:line="440" w:lineRule="exact"/>
        <w:ind w:firstLine="420" w:firstLineChars="200"/>
        <w:rPr>
          <w:rFonts w:hint="eastAsia" w:ascii="宋体" w:hAnsi="宋体" w:eastAsia="宋体" w:cs="宋体"/>
          <w:sz w:val="24"/>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综合评分法，</w:t>
      </w:r>
      <w:r>
        <w:rPr>
          <w:rFonts w:hint="eastAsia" w:ascii="宋体" w:hAnsi="宋体" w:eastAsia="宋体" w:cs="宋体"/>
          <w:color w:val="000000"/>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pPr>
        <w:pStyle w:val="11"/>
        <w:spacing w:line="360" w:lineRule="auto"/>
        <w:ind w:firstLine="420"/>
        <w:rPr>
          <w:rFonts w:hint="eastAsia" w:ascii="宋体" w:hAnsi="宋体" w:eastAsia="宋体" w:cs="宋体"/>
          <w:color w:val="000000"/>
          <w:highlight w:val="none"/>
        </w:rPr>
      </w:pPr>
    </w:p>
    <w:p>
      <w:pPr>
        <w:pStyle w:val="11"/>
        <w:tabs>
          <w:tab w:val="left" w:pos="2472"/>
        </w:tabs>
        <w:spacing w:line="460" w:lineRule="exact"/>
        <w:jc w:val="center"/>
        <w:outlineLvl w:val="1"/>
        <w:rPr>
          <w:rFonts w:hint="eastAsia" w:ascii="宋体" w:hAnsi="宋体" w:eastAsia="宋体" w:cs="宋体"/>
          <w:b/>
          <w:bCs/>
          <w:color w:val="000000"/>
          <w:sz w:val="32"/>
          <w:szCs w:val="32"/>
          <w:highlight w:val="none"/>
        </w:rPr>
      </w:pPr>
      <w:bookmarkStart w:id="167" w:name="_Toc23151"/>
      <w:bookmarkStart w:id="168" w:name="_Toc30120"/>
      <w:r>
        <w:rPr>
          <w:rFonts w:hint="eastAsia" w:ascii="宋体" w:hAnsi="宋体" w:eastAsia="宋体" w:cs="宋体"/>
          <w:b/>
          <w:bCs/>
          <w:color w:val="000000"/>
          <w:sz w:val="32"/>
          <w:szCs w:val="32"/>
          <w:highlight w:val="none"/>
        </w:rPr>
        <w:t>第二节 评标程序</w:t>
      </w:r>
      <w:bookmarkEnd w:id="167"/>
      <w:bookmarkEnd w:id="168"/>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1.符合性审查</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2.符合性审查不通过而导致投标无效的情形</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2.1在报价评审时，如发现下列情形之一的，将被视为投标无效：</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（1）投标文件未提供“投标人须知前附表”第13.1条规定中“必须提供”的文件资料的;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（2）未采用人民币报价或者未按照招标文件标明的币种报价的；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（3）报价超出招标文件规定最高限价，或者超出采购预算金额（包括分项预算）的；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（5）修正后的报价，投标人不确认的；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（6）投标人属于本章第5条第（2）项情形的。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2.2在商务评审时，如发现下列情形之一的，将被视为投标无效：</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（1）投标文件未按招标文件要求签署、盖章的；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（2）委托代理人未能出具有效身份证明或者出具的身份证明与授权委托书中的信息不符的； </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（3）投标文件未提供“投标人须知前附表”第13.1条规定中“必须提供”或者“委托时必须提供”的文件资料的;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（4）投标有效期、项目完成时间（交货时间、服务完成时间或者服务期等）、质保期、售后服务等招标文件中标“▲”的商务条款发生负偏离的；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（5）商务条款评审允许负偏离的条款数超过“投标人须知前附表”规定项数的。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（6）投标文件的实质性内容未使用中文表述、使用计量单位不符合招标文件要求的；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（7）投标文件中的文件资料因填写不齐全或者内容虚假或者出现其他情形而导致被评标委员会认定无效的；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（8）投标文件含有采购人不能接受的附加条件的；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（9）未响应招标文件实质性要求的；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（10）属于投标人须知正文第9.2条情形的；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（11）法律、法规和招标文件规定的其他无效情形。</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2.3在技术评审时，如发现下列情形之一的，将被视为投标无效：</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（1）不满足招标文件要求的服务内容、技术要求、安全、质量标准，或者与招标文件中标“▲”的技术需求发生负偏离的；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（2）技术需求评审允许负偏离的条款数超过“投标人须知前附表”规定项数的；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（3）投标文件未提供“投标人须知前附表”第13.1条规定中“必须提供”的文件资料的;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（4）虚假投标，或者出现其他情形而导致被评标委员会认定无效的；</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（5）如招标文件需要提供技术方案的，投标技术方案不明确，招标文件未允许但存在一个或者一个以上备选（替代）投标方案的。</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3.澄清补正、说明或者补正</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对投标文件中含义不明确、同类问题表述不一致或者有明显文字和计算错误的内容，评标委员会应在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发布电子澄清函，要求投标人在规定时间内作出必要的澄清、说明或者补正。投标人在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4.投标文件修正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4.1投标文件报价出现前后不一致的，按照下列规定修正：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（1）报价文件中“开标一览表”内容与投标文件中相应内容不一致的，以“开标一览表”为准；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（2）大写金额和小写金额不一致的，以大写金额为准；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（3）单价金额小数点或者百分比有明显错位的，以开标一览表的总价为准，并修改单价；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（4）总价金额与按单价汇总金额不一致的，以单价金额计算结果为准。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同时出现两种以上不一致的，按照以上（1）-（4）规定的顺序修正。修正后的报价经投标人确认后产生约束力，投标人不确认的，其投标无效。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4.2经投标人确认修正后的报价若超过采购预算金额或者最高限价，投标人的投标文件作无效投标处理。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4.3经投标人确认修正后的报价作为签订合同的依据，并以此报价计算价格分。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5.比较与评价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5.1评标委员会按照招标文件中规定的评标方法和评标标准，对符合性审查合格的投标文件进行商务和技术评估，综合比较与评价。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5.2评标委员会独立对每个投标人的投标文件进行评价，并汇总每个投标人的得分。</w:t>
      </w:r>
    </w:p>
    <w:p>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5.3评标委员会按照招标文件中规定的评标方法和标准计算各投标人的报价得分。在计算过程中，不得去掉最高报价或者最低报价。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5.4各投标人的得分为所有评委的有效评分的算术平均数。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5.5评标委员会按照招标文件中的规定推荐中标候选人。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6.评审复核</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6.2评标结果汇总完成后，除下列情形外，任何人不得修改评标结果：</w:t>
      </w:r>
    </w:p>
    <w:p>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（一）分值汇总计算错误的；</w:t>
      </w:r>
    </w:p>
    <w:p>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（二）分项评分超出评分标准范围的；</w:t>
      </w:r>
    </w:p>
    <w:p>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（三）评标委员会成员对客观评审因素评分不一致的；</w:t>
      </w:r>
    </w:p>
    <w:p>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（四）经评标委员会认定评分畸高、畸低的。</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
        <w:jc w:val="center"/>
        <w:rPr>
          <w:rFonts w:hint="eastAsia" w:ascii="宋体" w:hAnsi="宋体" w:eastAsia="宋体" w:cs="宋体"/>
          <w:b w:val="0"/>
          <w:sz w:val="30"/>
          <w:szCs w:val="30"/>
          <w:highlight w:val="none"/>
        </w:rPr>
      </w:pPr>
      <w:bookmarkStart w:id="169" w:name="_Toc13616"/>
      <w:bookmarkStart w:id="170" w:name="_Toc5755"/>
      <w:r>
        <w:rPr>
          <w:rFonts w:hint="eastAsia" w:ascii="宋体" w:hAnsi="宋体" w:eastAsia="宋体" w:cs="宋体"/>
          <w:b w:val="0"/>
          <w:sz w:val="30"/>
          <w:szCs w:val="30"/>
          <w:highlight w:val="none"/>
        </w:rPr>
        <w:t>第三节 评分标准</w:t>
      </w:r>
      <w:bookmarkEnd w:id="169"/>
      <w:bookmarkEnd w:id="170"/>
    </w:p>
    <w:p>
      <w:pPr>
        <w:spacing w:line="360" w:lineRule="auto"/>
        <w:ind w:firstLine="602" w:firstLineChars="20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一、最低评标价法</w:t>
      </w:r>
    </w:p>
    <w:p>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通过资格审查、符合性审查的投标人，评标委员会将按照有效报价从低到高排序并推荐中标候选人。报价相同的，评标委员会推荐方式见本章“第四节中标候选人推荐原则”。</w:t>
      </w:r>
    </w:p>
    <w:p>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说明：</w:t>
      </w:r>
    </w:p>
    <w:p>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w:t>
      </w:r>
      <w:r>
        <w:rPr>
          <w:rFonts w:hint="eastAsia" w:ascii="宋体" w:hAnsi="宋体" w:eastAsia="宋体" w:cs="宋体"/>
          <w:highlight w:val="none"/>
          <w:lang w:eastAsia="zh-CN"/>
        </w:rPr>
        <w:t>六</w:t>
      </w:r>
      <w:r>
        <w:rPr>
          <w:rFonts w:hint="eastAsia" w:ascii="宋体" w:hAnsi="宋体" w:eastAsia="宋体" w:cs="宋体"/>
          <w:highlight w:val="none"/>
        </w:rPr>
        <w:t>章“投标文件格式”要求提供的《投标报价表》和《中小企业声明函》为评审依据）</w:t>
      </w:r>
    </w:p>
    <w:p>
      <w:pPr>
        <w:pStyle w:val="11"/>
        <w:spacing w:line="400" w:lineRule="exact"/>
        <w:ind w:firstLine="420" w:firstLineChars="200"/>
        <w:rPr>
          <w:rFonts w:hint="eastAsia" w:ascii="宋体" w:hAnsi="宋体" w:eastAsia="宋体" w:cs="宋体"/>
          <w:bCs/>
          <w:highlight w:val="none"/>
          <w:lang w:eastAsia="zh-CN"/>
        </w:rPr>
      </w:pPr>
      <w:r>
        <w:rPr>
          <w:rFonts w:hint="eastAsia" w:ascii="宋体" w:hAnsi="宋体" w:eastAsia="宋体" w:cs="宋体"/>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w:t>
      </w:r>
      <w:r>
        <w:rPr>
          <w:rFonts w:hint="eastAsia" w:ascii="宋体" w:hAnsi="宋体" w:eastAsia="宋体" w:cs="宋体"/>
          <w:highlight w:val="none"/>
          <w:lang w:eastAsia="zh-CN"/>
        </w:rPr>
        <w:t>六</w:t>
      </w:r>
      <w:r>
        <w:rPr>
          <w:rFonts w:hint="eastAsia" w:ascii="宋体" w:hAnsi="宋体" w:eastAsia="宋体" w:cs="宋体"/>
          <w:highlight w:val="none"/>
        </w:rPr>
        <w:t>章“投标文件格式”要求提供的《投标报价表》、《中小企业声明函》和《联合体协议书》为评审依据）</w:t>
      </w:r>
      <w:r>
        <w:rPr>
          <w:rFonts w:hint="eastAsia" w:ascii="宋体" w:hAnsi="宋体" w:eastAsia="宋体" w:cs="宋体"/>
          <w:highlight w:val="none"/>
          <w:lang w:eastAsia="zh-CN"/>
        </w:rPr>
        <w:t>。</w:t>
      </w:r>
    </w:p>
    <w:p>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）按照</w:t>
      </w:r>
      <w:r>
        <w:rPr>
          <w:rFonts w:hint="eastAsia" w:ascii="宋体" w:hAnsi="宋体" w:eastAsia="宋体" w:cs="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szCs w:val="21"/>
          <w:highlight w:val="none"/>
        </w:rPr>
        <w:t>残疾人福利性单位参加政府采购活动时，应当提供《残疾人福利性单位声明函》，并对声明的真实性负责。</w:t>
      </w:r>
      <w:r>
        <w:rPr>
          <w:rFonts w:hint="eastAsia" w:ascii="宋体" w:hAnsi="宋体" w:eastAsia="宋体" w:cs="宋体"/>
          <w:bCs/>
          <w:szCs w:val="21"/>
          <w:highlight w:val="none"/>
        </w:rPr>
        <w:t>残疾人福利性单位属于小型、微型企业的，不重复享受政策。</w:t>
      </w:r>
      <w:r>
        <w:rPr>
          <w:rFonts w:hint="eastAsia" w:ascii="宋体" w:hAnsi="宋体" w:eastAsia="宋体" w:cs="宋体"/>
          <w:bCs/>
          <w:highlight w:val="none"/>
        </w:rPr>
        <w:t>（以投标人按第</w:t>
      </w:r>
      <w:r>
        <w:rPr>
          <w:rFonts w:hint="eastAsia" w:ascii="宋体" w:hAnsi="宋体" w:eastAsia="宋体" w:cs="宋体"/>
          <w:highlight w:val="none"/>
          <w:lang w:eastAsia="zh-CN"/>
        </w:rPr>
        <w:t>六</w:t>
      </w:r>
      <w:r>
        <w:rPr>
          <w:rFonts w:hint="eastAsia" w:ascii="宋体" w:hAnsi="宋体" w:eastAsia="宋体" w:cs="宋体"/>
          <w:bCs/>
          <w:highlight w:val="none"/>
        </w:rPr>
        <w:t>章“投标文件格式”要求提供的《投标报价表》和《</w:t>
      </w:r>
      <w:r>
        <w:rPr>
          <w:rFonts w:hint="eastAsia" w:ascii="宋体" w:hAnsi="宋体" w:eastAsia="宋体" w:cs="宋体"/>
          <w:szCs w:val="21"/>
          <w:highlight w:val="none"/>
        </w:rPr>
        <w:t>残疾人福利性单位声明函</w:t>
      </w:r>
      <w:r>
        <w:rPr>
          <w:rFonts w:hint="eastAsia" w:ascii="宋体" w:hAnsi="宋体" w:eastAsia="宋体" w:cs="宋体"/>
          <w:bCs/>
          <w:highlight w:val="none"/>
        </w:rPr>
        <w:t>》为评审依据）</w:t>
      </w:r>
    </w:p>
    <w:p>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）除上述情况外，评标价＝投标报价；</w:t>
      </w:r>
    </w:p>
    <w:p>
      <w:pPr>
        <w:pStyle w:val="11"/>
        <w:ind w:firstLine="602" w:firstLineChars="20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二、综合评分法</w:t>
      </w:r>
    </w:p>
    <w:p>
      <w:pPr>
        <w:pStyle w:val="11"/>
        <w:spacing w:line="360" w:lineRule="auto"/>
        <w:ind w:firstLine="420"/>
        <w:rPr>
          <w:rFonts w:hint="eastAsia" w:ascii="宋体" w:hAnsi="宋体" w:eastAsia="宋体" w:cs="宋体"/>
          <w:bCs/>
          <w:highlight w:val="none"/>
        </w:rPr>
      </w:pPr>
      <w:bookmarkStart w:id="171" w:name="PO_3000001866_PM051"/>
      <w:r>
        <w:rPr>
          <w:rFonts w:hint="eastAsia" w:ascii="宋体" w:hAnsi="宋体" w:eastAsia="宋体" w:cs="宋体"/>
          <w:bCs/>
          <w:highlight w:val="none"/>
        </w:rPr>
        <w:t>注：</w:t>
      </w:r>
    </w:p>
    <w:p>
      <w:pPr>
        <w:pStyle w:val="11"/>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1、计分方法按四舍五入取至百分位。</w:t>
      </w:r>
    </w:p>
    <w:p>
      <w:pPr>
        <w:pStyle w:val="11"/>
        <w:spacing w:line="360" w:lineRule="auto"/>
        <w:ind w:firstLine="420"/>
        <w:rPr>
          <w:rFonts w:hint="eastAsia" w:ascii="宋体" w:hAnsi="宋体" w:eastAsia="宋体" w:cs="宋体"/>
          <w:bCs/>
          <w:highlight w:val="none"/>
          <w:u w:val="single"/>
          <w:lang w:val="en-US"/>
        </w:rPr>
      </w:pPr>
      <w:r>
        <w:rPr>
          <w:rFonts w:hint="eastAsia" w:ascii="宋体" w:hAnsi="宋体" w:eastAsia="宋体" w:cs="宋体"/>
          <w:bCs/>
          <w:highlight w:val="none"/>
        </w:rPr>
        <w:t>总得分=</w:t>
      </w:r>
      <w:r>
        <w:rPr>
          <w:rFonts w:hint="eastAsia" w:ascii="宋体" w:hAnsi="宋体" w:eastAsia="宋体" w:cs="宋体"/>
          <w:bCs/>
          <w:highlight w:val="none"/>
          <w:u w:val="single"/>
        </w:rPr>
        <w:t xml:space="preserve"> </w:t>
      </w:r>
      <w:r>
        <w:rPr>
          <w:rFonts w:hint="eastAsia" w:ascii="宋体" w:hAnsi="宋体" w:eastAsia="宋体" w:cs="宋体"/>
          <w:bCs/>
          <w:highlight w:val="none"/>
          <w:u w:val="single"/>
          <w:lang w:val="en-US" w:eastAsia="zh-CN"/>
        </w:rPr>
        <w:t>1+2+3</w:t>
      </w:r>
    </w:p>
    <w:p>
      <w:pPr>
        <w:pStyle w:val="11"/>
        <w:spacing w:line="360" w:lineRule="auto"/>
        <w:ind w:firstLine="420"/>
        <w:rPr>
          <w:rFonts w:hint="eastAsia" w:ascii="宋体" w:hAnsi="宋体" w:eastAsia="宋体" w:cs="宋体"/>
          <w:bCs/>
          <w:highlight w:val="none"/>
          <w:u w:val="single"/>
        </w:rPr>
      </w:pPr>
      <w:r>
        <w:rPr>
          <w:rFonts w:hint="eastAsia" w:ascii="宋体" w:hAnsi="宋体" w:eastAsia="宋体" w:cs="宋体"/>
          <w:bCs/>
          <w:highlight w:val="none"/>
        </w:rPr>
        <w:t>2、商务技术评审因素为客观评分项的，应在评分项目或评分标准中予以标注为“客观分”。对投标人的客观评分项目，各评标专家评分应当一致。</w:t>
      </w:r>
    </w:p>
    <w:tbl>
      <w:tblPr>
        <w:tblStyle w:val="1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086"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7110"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772"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86"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价格分（服务项目的价格分值占总分值的比重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即权值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为10%至30%。政务信息系统采购服务的，价格分值占总分值比重应当为10%）</w:t>
            </w:r>
          </w:p>
        </w:tc>
        <w:tc>
          <w:tcPr>
            <w:tcW w:w="7110" w:type="dxa"/>
            <w:vAlign w:val="top"/>
          </w:tcPr>
          <w:p>
            <w:pPr>
              <w:pStyle w:val="11"/>
              <w:keepNext w:val="0"/>
              <w:keepLines w:val="0"/>
              <w:pageBreakBefore w:val="0"/>
              <w:kinsoku/>
              <w:wordWrap/>
              <w:overflowPunct/>
              <w:topLinePunct w:val="0"/>
              <w:autoSpaceDN/>
              <w:bidi w:val="0"/>
              <w:snapToGrid/>
              <w:spacing w:line="400" w:lineRule="exact"/>
              <w:ind w:firstLine="420" w:firstLineChars="200"/>
              <w:rPr>
                <w:rFonts w:hAnsi="宋体" w:cs="宋体"/>
                <w:bCs/>
                <w:szCs w:val="21"/>
                <w:highlight w:val="none"/>
              </w:rPr>
            </w:pPr>
            <w:r>
              <w:rPr>
                <w:rFonts w:hint="eastAsia" w:hAnsi="宋体" w:cs="宋体"/>
                <w:bCs/>
                <w:szCs w:val="21"/>
                <w:highlight w:val="none"/>
              </w:rPr>
              <w:t>（1）本项目为专门面向中小企业采购项目，不执行价格扣除优惠政策；评标价＝投标报价</w:t>
            </w:r>
          </w:p>
          <w:p>
            <w:pPr>
              <w:pStyle w:val="11"/>
              <w:keepNext w:val="0"/>
              <w:keepLines w:val="0"/>
              <w:pageBreakBefore w:val="0"/>
              <w:kinsoku/>
              <w:wordWrap/>
              <w:overflowPunct/>
              <w:topLinePunct w:val="0"/>
              <w:autoSpaceDN/>
              <w:bidi w:val="0"/>
              <w:snapToGrid/>
              <w:spacing w:line="400" w:lineRule="exact"/>
              <w:ind w:firstLine="420" w:firstLineChars="200"/>
              <w:rPr>
                <w:rFonts w:hAnsi="宋体" w:cs="宋体"/>
                <w:bCs/>
                <w:szCs w:val="21"/>
                <w:highlight w:val="none"/>
              </w:rPr>
            </w:pPr>
            <w:r>
              <w:rPr>
                <w:rFonts w:hint="eastAsia" w:hAnsi="宋体" w:cs="宋体"/>
                <w:bCs/>
                <w:szCs w:val="21"/>
                <w:highlight w:val="none"/>
              </w:rPr>
              <w:t>（2）投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pPr>
              <w:pStyle w:val="11"/>
              <w:keepNext w:val="0"/>
              <w:keepLines w:val="0"/>
              <w:pageBreakBefore w:val="0"/>
              <w:kinsoku/>
              <w:wordWrap/>
              <w:overflowPunct/>
              <w:topLinePunct w:val="0"/>
              <w:autoSpaceDN/>
              <w:bidi w:val="0"/>
              <w:snapToGrid/>
              <w:spacing w:line="400" w:lineRule="exact"/>
              <w:ind w:firstLine="420" w:firstLineChars="200"/>
              <w:rPr>
                <w:rFonts w:hAnsi="宋体" w:cs="宋体"/>
                <w:bCs/>
                <w:szCs w:val="21"/>
                <w:highlight w:val="none"/>
              </w:rPr>
            </w:pPr>
            <w:r>
              <w:rPr>
                <w:rFonts w:hint="eastAsia" w:hAnsi="宋体" w:cs="宋体"/>
                <w:bCs/>
                <w:szCs w:val="21"/>
                <w:highlight w:val="none"/>
              </w:rPr>
              <w:t>（3）投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六章 投标文件格式）。</w:t>
            </w:r>
          </w:p>
          <w:p>
            <w:pPr>
              <w:pStyle w:val="11"/>
              <w:keepNext w:val="0"/>
              <w:keepLines w:val="0"/>
              <w:pageBreakBefore w:val="0"/>
              <w:kinsoku/>
              <w:wordWrap/>
              <w:overflowPunct/>
              <w:topLinePunct w:val="0"/>
              <w:autoSpaceDN/>
              <w:bidi w:val="0"/>
              <w:snapToGrid/>
              <w:spacing w:line="400" w:lineRule="exact"/>
              <w:ind w:firstLine="420" w:firstLineChars="200"/>
              <w:rPr>
                <w:rFonts w:hAnsi="宋体" w:cs="宋体"/>
                <w:bCs/>
                <w:szCs w:val="21"/>
                <w:highlight w:val="none"/>
              </w:rPr>
            </w:pPr>
            <w:r>
              <w:rPr>
                <w:rFonts w:hint="eastAsia" w:hAnsi="宋体" w:cs="宋体"/>
                <w:bCs/>
                <w:szCs w:val="21"/>
                <w:highlight w:val="none"/>
              </w:rPr>
              <w:t>（4）以进入比较与评价环节的最低的投标报价为基准价，基准价得分为满分。</w:t>
            </w:r>
          </w:p>
          <w:p>
            <w:pPr>
              <w:pStyle w:val="11"/>
              <w:keepNext w:val="0"/>
              <w:keepLines w:val="0"/>
              <w:pageBreakBefore w:val="0"/>
              <w:kinsoku/>
              <w:wordWrap/>
              <w:overflowPunct/>
              <w:topLinePunct w:val="0"/>
              <w:autoSpaceDN/>
              <w:bidi w:val="0"/>
              <w:snapToGrid/>
              <w:spacing w:line="400" w:lineRule="exact"/>
              <w:ind w:firstLine="420" w:firstLineChars="200"/>
              <w:rPr>
                <w:rFonts w:hAnsi="宋体" w:cs="宋体"/>
                <w:bCs/>
                <w:szCs w:val="21"/>
                <w:highlight w:val="none"/>
              </w:rPr>
            </w:pPr>
            <w:r>
              <w:rPr>
                <w:rFonts w:hint="eastAsia" w:hAnsi="宋体" w:cs="宋体"/>
                <w:bCs/>
                <w:szCs w:val="21"/>
                <w:highlight w:val="none"/>
              </w:rPr>
              <w:t>（5）价格分计算公式：</w:t>
            </w:r>
          </w:p>
          <w:p>
            <w:pPr>
              <w:pStyle w:val="11"/>
              <w:keepNext w:val="0"/>
              <w:keepLines w:val="0"/>
              <w:pageBreakBefore w:val="0"/>
              <w:kinsoku/>
              <w:wordWrap/>
              <w:overflowPunct/>
              <w:topLinePunct w:val="0"/>
              <w:autoSpaceDE/>
              <w:autoSpaceDN/>
              <w:bidi w:val="0"/>
              <w:spacing w:line="360" w:lineRule="exact"/>
              <w:ind w:firstLine="630" w:firstLineChars="300"/>
              <w:rPr>
                <w:rFonts w:hint="eastAsia" w:ascii="宋体" w:hAnsi="宋体" w:eastAsia="宋体" w:cs="宋体"/>
                <w:bCs/>
                <w:color w:val="auto"/>
                <w:kern w:val="2"/>
                <w:sz w:val="21"/>
                <w:highlight w:val="none"/>
                <w:lang w:val="en-US" w:eastAsia="zh-CN"/>
              </w:rPr>
            </w:pPr>
            <w:r>
              <w:rPr>
                <w:rFonts w:hint="eastAsia" w:hAnsi="宋体" w:cs="宋体"/>
                <w:bCs/>
                <w:szCs w:val="21"/>
                <w:highlight w:val="none"/>
              </w:rPr>
              <w:t>报价得分=基准价/投标报价×</w:t>
            </w:r>
            <w:r>
              <w:rPr>
                <w:rFonts w:hint="eastAsia" w:hAnsi="宋体" w:cs="宋体"/>
                <w:bCs/>
                <w:szCs w:val="21"/>
                <w:highlight w:val="none"/>
                <w:u w:val="single"/>
              </w:rPr>
              <w:t xml:space="preserve"> 1</w:t>
            </w:r>
            <w:r>
              <w:rPr>
                <w:rFonts w:hint="eastAsia" w:hAnsi="宋体" w:cs="宋体"/>
                <w:bCs/>
                <w:szCs w:val="21"/>
                <w:highlight w:val="none"/>
                <w:u w:val="single"/>
                <w:lang w:val="en-US" w:eastAsia="zh-CN"/>
              </w:rPr>
              <w:t>0</w:t>
            </w:r>
            <w:r>
              <w:rPr>
                <w:rFonts w:hint="eastAsia" w:hAnsi="宋体" w:cs="宋体"/>
                <w:bCs/>
                <w:szCs w:val="21"/>
                <w:highlight w:val="none"/>
                <w:u w:val="single"/>
              </w:rPr>
              <w:t xml:space="preserve"> </w:t>
            </w:r>
            <w:r>
              <w:rPr>
                <w:rFonts w:hint="eastAsia" w:hAnsi="宋体" w:cs="宋体"/>
                <w:bCs/>
                <w:szCs w:val="21"/>
                <w:highlight w:val="none"/>
              </w:rPr>
              <w:t>分</w:t>
            </w:r>
          </w:p>
        </w:tc>
        <w:tc>
          <w:tcPr>
            <w:tcW w:w="772"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2</w:t>
            </w:r>
          </w:p>
        </w:tc>
        <w:tc>
          <w:tcPr>
            <w:tcW w:w="1086" w:type="dxa"/>
            <w:vAlign w:val="center"/>
          </w:tcPr>
          <w:p>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技术分</w:t>
            </w:r>
          </w:p>
        </w:tc>
        <w:tc>
          <w:tcPr>
            <w:tcW w:w="7110" w:type="dxa"/>
            <w:vAlign w:val="center"/>
          </w:tcPr>
          <w:p>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评审因素</w:t>
            </w:r>
          </w:p>
        </w:tc>
        <w:tc>
          <w:tcPr>
            <w:tcW w:w="772" w:type="dxa"/>
            <w:vAlign w:val="center"/>
          </w:tcPr>
          <w:p>
            <w:pPr>
              <w:widowControl/>
              <w:spacing w:line="320" w:lineRule="exact"/>
              <w:jc w:val="center"/>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70</w:t>
            </w:r>
            <w:r>
              <w:rPr>
                <w:rFonts w:hint="eastAsia" w:ascii="宋体" w:hAnsi="宋体" w:eastAsia="宋体" w:cs="宋体"/>
                <w:b/>
                <w:bCs w:val="0"/>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2.1</w:t>
            </w:r>
          </w:p>
        </w:tc>
        <w:tc>
          <w:tcPr>
            <w:tcW w:w="1086" w:type="dxa"/>
            <w:vAlign w:val="center"/>
          </w:tcPr>
          <w:p>
            <w:pPr>
              <w:adjustRightInd w:val="0"/>
              <w:spacing w:line="360" w:lineRule="exact"/>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主要施工方法</w:t>
            </w:r>
          </w:p>
        </w:tc>
        <w:tc>
          <w:tcPr>
            <w:tcW w:w="7110" w:type="dxa"/>
            <w:vAlign w:val="center"/>
          </w:tcPr>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10分）：各主要分部施工方法符合项目实际，有详尽的施工技术方案，方案能够针对本项目实际情况进行表述，有明显的针对性，拟采用的工艺先进、方法科学详细完整且适用于本项目，表述清晰能非常好的指导具体施工并确保安全。</w:t>
            </w:r>
          </w:p>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二档（7分）：各主要分部施工方法符合项目实际，有完整的施工技术方案，但是缺乏针对本项目实际情况的表述，工艺操作规范成熟、方法科学完整，能指导具体施工并确保安全。</w:t>
            </w:r>
          </w:p>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三档（4分）：各主要分部施工方法符合项目实际，有施工技术方案，工艺落后、方法粗略，能指导施工并确保安全。</w:t>
            </w:r>
          </w:p>
          <w:p>
            <w:pPr>
              <w:spacing w:line="400" w:lineRule="exact"/>
              <w:ind w:firstLine="420"/>
              <w:rPr>
                <w:rFonts w:hint="eastAsia" w:ascii="宋体" w:hAnsi="宋体" w:cs="宋体"/>
                <w:bCs/>
                <w:color w:val="auto"/>
                <w:kern w:val="0"/>
                <w:szCs w:val="21"/>
                <w:highlight w:val="none"/>
                <w:lang w:val="zh-CN" w:eastAsia="zh-CN"/>
              </w:rPr>
            </w:pPr>
            <w:r>
              <w:rPr>
                <w:rFonts w:hint="eastAsia" w:ascii="宋体" w:hAnsi="宋体" w:cs="宋体"/>
                <w:bCs/>
                <w:color w:val="auto"/>
                <w:kern w:val="0"/>
                <w:szCs w:val="21"/>
                <w:highlight w:val="none"/>
                <w:lang w:val="en-US" w:eastAsia="zh-CN"/>
              </w:rPr>
              <w:t>四档（1分）：各主要分部施工方法不符合项目实际，有施工技术方案，工艺落后，不能指导具体施工并确保安全</w:t>
            </w:r>
            <w:r>
              <w:rPr>
                <w:rFonts w:hint="eastAsia" w:ascii="宋体" w:hAnsi="宋体" w:cs="宋体"/>
                <w:bCs/>
                <w:color w:val="auto"/>
                <w:kern w:val="0"/>
                <w:szCs w:val="21"/>
                <w:highlight w:val="none"/>
                <w:lang w:val="zh-CN" w:eastAsia="zh-CN"/>
              </w:rPr>
              <w:t>。</w:t>
            </w:r>
          </w:p>
          <w:p>
            <w:pPr>
              <w:spacing w:line="400" w:lineRule="exact"/>
              <w:ind w:firstLine="420" w:firstLineChars="0"/>
              <w:rPr>
                <w:rFonts w:hint="eastAsia" w:ascii="宋体" w:hAnsi="宋体" w:eastAsia="宋体" w:cs="宋体"/>
                <w:bCs/>
                <w:color w:val="auto"/>
                <w:sz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2.2</w:t>
            </w:r>
          </w:p>
        </w:tc>
        <w:tc>
          <w:tcPr>
            <w:tcW w:w="1086" w:type="dxa"/>
            <w:vAlign w:val="center"/>
          </w:tcPr>
          <w:p>
            <w:pPr>
              <w:adjustRightInd w:val="0"/>
              <w:spacing w:line="320" w:lineRule="exact"/>
              <w:jc w:val="center"/>
              <w:textAlignment w:val="baseline"/>
              <w:rPr>
                <w:rFonts w:hint="eastAsia" w:ascii="宋体" w:hAnsi="宋体" w:eastAsia="宋体" w:cs="宋体"/>
                <w:bCs/>
                <w:color w:val="0000FF"/>
                <w:kern w:val="0"/>
                <w:szCs w:val="21"/>
                <w:highlight w:val="none"/>
                <w:lang w:eastAsia="zh-CN"/>
              </w:rPr>
            </w:pPr>
            <w:r>
              <w:rPr>
                <w:rFonts w:hint="eastAsia" w:ascii="宋体" w:hAnsi="宋体" w:cs="宋体"/>
                <w:bCs/>
                <w:color w:val="auto"/>
                <w:kern w:val="0"/>
                <w:szCs w:val="21"/>
                <w:highlight w:val="none"/>
              </w:rPr>
              <w:t>拟投入的主要物资计划</w:t>
            </w:r>
          </w:p>
        </w:tc>
        <w:tc>
          <w:tcPr>
            <w:tcW w:w="7110" w:type="dxa"/>
            <w:vAlign w:val="center"/>
          </w:tcPr>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一档（10分）：投入的施工材料有详细的组织计划且计划周密贴合施工实际要求，数量、选型配置计划内容详尽、进场时间安排贴合现场需要与进度计划呼应，满足施工需要。</w:t>
            </w:r>
          </w:p>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二档（7分）：投入的施工材料有详细的组织计划但计划不够贴合施工实际要求，数量、选型配置、进场时间安排与进度计划有偏差，但基本满足现场需要，满足施工需要。</w:t>
            </w:r>
          </w:p>
          <w:p>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三档（4分）：投入的施工材料有组织计划但计划粗略，数量、选型配置计划内容有缺项、进场时间安排与进度计划有偏差，基本满足施工需要。</w:t>
            </w:r>
          </w:p>
          <w:p>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四档（1分）：投入的施工材料无组织计划，数量、选型配置、进场时间安排不切实际，不满足施工需要</w:t>
            </w:r>
            <w:r>
              <w:rPr>
                <w:rFonts w:hint="eastAsia" w:ascii="宋体" w:hAnsi="宋体" w:cs="宋体"/>
                <w:bCs/>
                <w:color w:val="auto"/>
                <w:kern w:val="0"/>
                <w:szCs w:val="21"/>
                <w:highlight w:val="none"/>
              </w:rPr>
              <w:t>。</w:t>
            </w:r>
          </w:p>
          <w:p>
            <w:pPr>
              <w:spacing w:line="400" w:lineRule="exact"/>
              <w:ind w:firstLine="420" w:firstLineChars="0"/>
              <w:rPr>
                <w:rFonts w:hint="eastAsia" w:ascii="宋体" w:hAnsi="宋体" w:eastAsia="宋体" w:cs="宋体"/>
                <w:bCs/>
                <w:color w:val="0000FF"/>
                <w:kern w:val="0"/>
                <w:szCs w:val="21"/>
                <w:highlight w:val="none"/>
                <w:lang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60" w:lineRule="exact"/>
              <w:jc w:val="center"/>
              <w:rPr>
                <w:rFonts w:hint="eastAsia" w:ascii="宋体" w:hAnsi="宋体" w:eastAsia="宋体" w:cs="宋体"/>
                <w:color w:val="auto"/>
                <w:kern w:val="0"/>
                <w:szCs w:val="21"/>
                <w:highlight w:val="none"/>
                <w:lang w:val="en-US" w:eastAsia="zh-CN"/>
              </w:rPr>
            </w:pPr>
            <w:r>
              <w:rPr>
                <w:rFonts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2.3</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0"/>
                <w:sz w:val="21"/>
                <w:szCs w:val="21"/>
                <w:highlight w:val="none"/>
                <w:lang w:val="en-US" w:eastAsia="zh-CN" w:bidi="ar-SA"/>
              </w:rPr>
              <w:t>拟投入的主要施工机械、设备计划</w:t>
            </w:r>
          </w:p>
        </w:tc>
        <w:tc>
          <w:tcPr>
            <w:tcW w:w="7110" w:type="dxa"/>
            <w:vAlign w:val="center"/>
          </w:tcPr>
          <w:p>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 xml:space="preserve">一档（10分）：投入的施工机械、设备、机具有详细的组织计划且计划周密，设备数量、选型配置计划内容详尽、进场时间安排贴合现场需要进度计划呼应，满足施工需要。 </w:t>
            </w:r>
          </w:p>
          <w:p>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二档（7分）：投入的施工机械、设备、机具有详细的组织计划但计划不够贴合施工实际要求，设备数量、选型配置计划内容有缺项、进场时间安排与进度计划有偏差，但基本满足现场需要，满足施工需要。</w:t>
            </w:r>
          </w:p>
          <w:p>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三档（4分）：投入的施工机械、设备、机具有组织计划但计划粗略，设备数量、选型配置计划内容有缺项、进场时间安排与进度计划有偏差，基本满足施工需要。</w:t>
            </w:r>
          </w:p>
          <w:p>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四档（1分）：投入的施工机械、设备、机具无组织计划，设备数量、选型配置计划内容有重大缺项、进场时间安排不切实际，不满足施工需要。</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劳动力安排计划</w:t>
            </w:r>
          </w:p>
        </w:tc>
        <w:tc>
          <w:tcPr>
            <w:tcW w:w="7110" w:type="dxa"/>
            <w:vAlign w:val="center"/>
          </w:tcPr>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一档（10分）：各主要施工工序有详细周密的劳动力安排计划，有各工种劳动力安排计划，劳动力投入贴合现场需要与进度计划呼应，较满足施工需要。</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二档（7分）：各主要施工工序有劳动力安排计划，有各工种劳动力安排计划，劳动力投入满足现场需要与进度计划呼应，满足施工需要。</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三档（4分）：各主要施工工序只有劳动力安排计划，无各工种劳动力安排计划，劳动力投入与进度计划有偏差，基本满足施工需要。</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四档（1分）：各主要施工工序无劳动力安排计划，劳动力投入不足，不满足施工需要。</w:t>
            </w:r>
          </w:p>
          <w:p>
            <w:pPr>
              <w:pStyle w:val="11"/>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确保工程质量的技术组织措施</w:t>
            </w:r>
          </w:p>
        </w:tc>
        <w:tc>
          <w:tcPr>
            <w:tcW w:w="7110" w:type="dxa"/>
            <w:vAlign w:val="center"/>
          </w:tcPr>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一档（5分）：有专门的质量技术管理班子和制度，且人员配备完善符合施工需要，制度健全。主要工序有质量技术保证措施和手段，自控体系完整，能有效保证技术质量，达到承诺的质量标准。</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w:t>
            </w:r>
            <w:r>
              <w:rPr>
                <w:rFonts w:hint="eastAsia" w:hAnsi="宋体" w:cs="宋体"/>
                <w:bCs/>
                <w:color w:val="auto"/>
                <w:sz w:val="21"/>
                <w:highlight w:val="none"/>
                <w:lang w:val="en-US" w:eastAsia="zh-CN"/>
              </w:rPr>
              <w:t>3</w:t>
            </w:r>
            <w:r>
              <w:rPr>
                <w:rFonts w:hint="eastAsia" w:ascii="宋体" w:hAnsi="宋体" w:eastAsia="宋体" w:cs="宋体"/>
                <w:bCs/>
                <w:color w:val="auto"/>
                <w:sz w:val="21"/>
                <w:highlight w:val="none"/>
                <w:lang w:val="en-US" w:eastAsia="zh-CN"/>
              </w:rPr>
              <w:t>分）：有质量技术管理班子和制度，且人员配备满足施工需要，制度健全。主要工序有质量技术保证措施和手段，自控体系完整，能有效保证技术质量，达到承诺的质量标准。</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w:t>
            </w:r>
            <w:r>
              <w:rPr>
                <w:rFonts w:hint="eastAsia" w:hAnsi="宋体" w:cs="宋体"/>
                <w:bCs/>
                <w:color w:val="auto"/>
                <w:sz w:val="21"/>
                <w:highlight w:val="none"/>
                <w:lang w:val="en-US" w:eastAsia="zh-CN"/>
              </w:rPr>
              <w:t>2</w:t>
            </w:r>
            <w:r>
              <w:rPr>
                <w:rFonts w:hint="eastAsia" w:ascii="宋体" w:hAnsi="宋体" w:eastAsia="宋体" w:cs="宋体"/>
                <w:bCs/>
                <w:color w:val="auto"/>
                <w:sz w:val="21"/>
                <w:highlight w:val="none"/>
                <w:lang w:val="en-US" w:eastAsia="zh-CN"/>
              </w:rPr>
              <w:t>分）：有质量技术管理班子和制度。主要工序有质量技术保证措施和手段，自控体系有缺漏，基本能保证技术质量，达到承诺的质量标准。</w:t>
            </w:r>
          </w:p>
          <w:p>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四档（1分）：有质量技术管理班子和制度。主要工序无质量技术保证措施和手段，自控体系有重大缺漏，不能有效保证技术质量。</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确保安全生产的技术组织措施</w:t>
            </w:r>
          </w:p>
        </w:tc>
        <w:tc>
          <w:tcPr>
            <w:tcW w:w="7110" w:type="dxa"/>
            <w:vAlign w:val="center"/>
          </w:tcPr>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有专门的安全管理人员和制度，且人员配备完善符合施工需要，制度健全，各道工序安全技术措施针对性强，符合实际且满足有关安全技术标准要求。现场防火、应急救援、社会治安安全措施得力。</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有安全管理人员和制度，且人员配备满足施工需要，制度健全，各道工序安全技术措施针对性强，符合实际且满足有关安全技术标准要求。现场防火、应急救援、社会治安安全措施得力。</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有安全管理人员和制度，各道工序安全技术措施针对性差，满足有关安全技术标准要求。现场防火、应急救援、社会治安安全措施差。</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有安全管理人员和制度，各道工序安全技术措施无针对性，满足有关安全技术标准要求。现场防火、应急救援、社会治安安全措施差。</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确保工期的技术组织措施</w:t>
            </w:r>
          </w:p>
        </w:tc>
        <w:tc>
          <w:tcPr>
            <w:tcW w:w="7110" w:type="dxa"/>
            <w:vAlign w:val="center"/>
          </w:tcPr>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在施工工艺、施工方法、材料选用、劳动力安排、技术等方面有保证工期的具体措施且措施得当。有控制工期的施工进度计划。有施工总进度表或施工网络图，各项计划图表编制完善，安排科学周密，符合本项目施工实际要求。</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施工工艺、施工方法、材料选用、劳动力安排、技术等方面有措施。有控制工期的施工进度计划。有施工总进度表或施工网络图，各项计划图表编制粗略，基本符合本项目施工实际要求。</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val="en-US" w:eastAsia="zh-CN"/>
              </w:rPr>
              <w:t>:</w:t>
            </w:r>
            <w:r>
              <w:rPr>
                <w:rFonts w:hint="eastAsia" w:hAnsi="宋体" w:cs="宋体"/>
                <w:bCs/>
                <w:color w:val="auto"/>
                <w:sz w:val="21"/>
                <w:highlight w:val="none"/>
              </w:rPr>
              <w:t>施工工艺、施工方法、材料选用、劳动力安排、技术等方面有措施。有控制工期的施工进度计划。有施工总进度表或施工网络图，各项计划图表编制差，不符合本项目施工实际要求。</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Style w:val="20"/>
                <w:rFonts w:ascii="宋体" w:hAnsi="宋体" w:eastAsia="宋体" w:cs="宋体"/>
                <w:b w:val="0"/>
                <w:sz w:val="21"/>
                <w:szCs w:val="24"/>
                <w:highlight w:val="none"/>
              </w:rPr>
              <w:t>确保文明施工的技术组织措施</w:t>
            </w:r>
          </w:p>
        </w:tc>
        <w:tc>
          <w:tcPr>
            <w:tcW w:w="7110" w:type="dxa"/>
            <w:vAlign w:val="center"/>
          </w:tcPr>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针对本工程项目特点，有现场文明施工、环境保护措施，且措施内容达到《建筑施工安全生产检查标准》（JGJ59-2011）合格标准并符合《广西壮族自治区建筑工程文明施工导则》要求。有实现现场文明施工目标的承诺。</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有现场文明施工、环境保护措施，且措施内容达到《建筑施工安全生产检查标准》（JGJ59-2011）合格标准并符合《广西壮族自治区建筑工程文明施工导则》要求。有实现现场文明施工目标的承诺。</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eastAsia="zh-CN"/>
              </w:rPr>
              <w:t>：</w:t>
            </w:r>
            <w:r>
              <w:rPr>
                <w:rFonts w:hint="eastAsia" w:hAnsi="宋体" w:cs="宋体"/>
                <w:bCs/>
                <w:color w:val="auto"/>
                <w:sz w:val="21"/>
                <w:highlight w:val="none"/>
              </w:rPr>
              <w:t>有现场文明施工、环境保护措施，且措施内容达到《建筑施工安全生产检查标准》（JGJ59-2011）合格标准并符合《广西壮族自治区建筑工程文明施工导则》要求。无实现现场文明施工目标的承诺。</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2.9</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工程施工的重点和难点及保证措施</w:t>
            </w:r>
          </w:p>
        </w:tc>
        <w:tc>
          <w:tcPr>
            <w:tcW w:w="7110" w:type="dxa"/>
            <w:vAlign w:val="center"/>
          </w:tcPr>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val="en-US" w:eastAsia="zh-CN"/>
              </w:rPr>
              <w:t>:</w:t>
            </w:r>
            <w:r>
              <w:rPr>
                <w:rFonts w:hint="eastAsia" w:hAnsi="宋体" w:cs="宋体"/>
                <w:bCs/>
                <w:color w:val="auto"/>
                <w:sz w:val="21"/>
                <w:highlight w:val="none"/>
              </w:rPr>
              <w:t>针对本工程的特点，详细阐述了本工程的重点和难点，解决重点和难点问题的方法科学、详细贴合项目实际情况，能确保项目顺利实施。</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val="en-US" w:eastAsia="zh-CN"/>
              </w:rPr>
              <w:t>:</w:t>
            </w:r>
            <w:r>
              <w:rPr>
                <w:rFonts w:hint="eastAsia" w:hAnsi="宋体" w:cs="宋体"/>
                <w:bCs/>
                <w:color w:val="auto"/>
                <w:sz w:val="21"/>
                <w:highlight w:val="none"/>
              </w:rPr>
              <w:t>针对本工程的特点，阐述了本工程的重点和难点，解决重点和难点问题的方法有针对性，其内容符合项目情况。</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val="en-US" w:eastAsia="zh-CN"/>
              </w:rPr>
              <w:t>:</w:t>
            </w:r>
            <w:r>
              <w:rPr>
                <w:rFonts w:hint="eastAsia" w:hAnsi="宋体" w:cs="宋体"/>
                <w:bCs/>
                <w:color w:val="auto"/>
                <w:sz w:val="21"/>
                <w:highlight w:val="none"/>
              </w:rPr>
              <w:t>简单阐述了本工程的重点和难点，解决重点和难点问题的方法粗略。</w:t>
            </w:r>
          </w:p>
          <w:p>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四挡（1分）</w:t>
            </w:r>
            <w:r>
              <w:rPr>
                <w:rFonts w:hint="eastAsia" w:hAnsi="宋体" w:cs="宋体"/>
                <w:bCs/>
                <w:color w:val="auto"/>
                <w:sz w:val="21"/>
                <w:highlight w:val="none"/>
                <w:lang w:val="en-US" w:eastAsia="zh-CN"/>
              </w:rPr>
              <w:t>:</w:t>
            </w:r>
            <w:r>
              <w:rPr>
                <w:rFonts w:hint="eastAsia" w:hAnsi="宋体" w:cs="宋体"/>
                <w:bCs/>
                <w:color w:val="auto"/>
                <w:sz w:val="21"/>
                <w:highlight w:val="none"/>
              </w:rPr>
              <w:t>未阐述本工程的重点和难点，无解决重点和难点问题的方法。</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2.10</w:t>
            </w:r>
          </w:p>
        </w:tc>
        <w:tc>
          <w:tcPr>
            <w:tcW w:w="1086" w:type="dxa"/>
            <w:vAlign w:val="center"/>
          </w:tcPr>
          <w:p>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施工总平面布置图</w:t>
            </w:r>
          </w:p>
        </w:tc>
        <w:tc>
          <w:tcPr>
            <w:tcW w:w="7110" w:type="dxa"/>
            <w:vAlign w:val="center"/>
          </w:tcPr>
          <w:p>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有施工总平面布置图，安排科学周密贴切实际，符合本项目施工实际要求。</w:t>
            </w:r>
          </w:p>
          <w:p>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二档（3 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有施工总平面布置图，安排详细，符合本项目施工实际要求。</w:t>
            </w:r>
          </w:p>
          <w:p>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三档（2 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有施工总平面布置图，基本符合本项目施工实际要求。</w:t>
            </w:r>
          </w:p>
          <w:p>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四档（1分）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有施工总平面布置图，但不符合本项目施工实际要求。</w:t>
            </w:r>
          </w:p>
          <w:p>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pPr>
              <w:widowControl/>
              <w:spacing w:line="360" w:lineRule="exact"/>
              <w:jc w:val="center"/>
              <w:rPr>
                <w:rFonts w:hint="eastAsia" w:ascii="宋体" w:hAnsi="宋体" w:eastAsia="宋体" w:cs="宋体"/>
                <w:bCs/>
                <w:color w:val="auto"/>
                <w:szCs w:val="21"/>
                <w:highlight w:val="none"/>
              </w:rPr>
            </w:pPr>
            <w:r>
              <w:rPr>
                <w:rFonts w:hint="eastAsia" w:ascii="宋体" w:hAnsi="宋体" w:cs="宋体"/>
                <w:b/>
                <w:bCs/>
                <w:color w:val="auto"/>
                <w:szCs w:val="21"/>
                <w:highlight w:val="none"/>
              </w:rPr>
              <w:t>商务分</w:t>
            </w:r>
          </w:p>
        </w:tc>
        <w:tc>
          <w:tcPr>
            <w:tcW w:w="7110" w:type="dxa"/>
            <w:vAlign w:val="center"/>
          </w:tcPr>
          <w:p>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评审因素（客观分）</w:t>
            </w:r>
          </w:p>
        </w:tc>
        <w:tc>
          <w:tcPr>
            <w:tcW w:w="772" w:type="dxa"/>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widowControl/>
              <w:spacing w:line="360" w:lineRule="exact"/>
              <w:jc w:val="center"/>
              <w:rPr>
                <w:rFonts w:hint="eastAsia"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rPr>
              <w:t>3.1</w:t>
            </w:r>
          </w:p>
        </w:tc>
        <w:tc>
          <w:tcPr>
            <w:tcW w:w="1086" w:type="dxa"/>
            <w:vAlign w:val="center"/>
          </w:tcPr>
          <w:p>
            <w:pPr>
              <w:widowControl/>
              <w:spacing w:line="360" w:lineRule="exact"/>
              <w:jc w:val="center"/>
              <w:rPr>
                <w:rFonts w:hint="eastAsia" w:ascii="宋体" w:hAnsi="宋体" w:eastAsia="宋体" w:cs="宋体"/>
                <w:bCs/>
                <w:color w:val="auto"/>
                <w:szCs w:val="21"/>
                <w:highlight w:val="none"/>
              </w:rPr>
            </w:pPr>
            <w:r>
              <w:rPr>
                <w:rFonts w:hint="eastAsia" w:ascii="宋体" w:hAnsi="宋体" w:cs="宋体"/>
                <w:color w:val="auto"/>
                <w:kern w:val="0"/>
                <w:szCs w:val="21"/>
                <w:highlight w:val="none"/>
                <w:lang w:bidi="ar"/>
              </w:rPr>
              <w:t>业绩</w:t>
            </w:r>
          </w:p>
        </w:tc>
        <w:tc>
          <w:tcPr>
            <w:tcW w:w="7110" w:type="dxa"/>
            <w:vAlign w:val="top"/>
          </w:tcPr>
          <w:p>
            <w:pPr>
              <w:pStyle w:val="11"/>
              <w:spacing w:line="360" w:lineRule="exact"/>
              <w:ind w:firstLine="420" w:firstLineChars="200"/>
              <w:rPr>
                <w:rFonts w:hAnsi="宋体" w:cs="宋体"/>
                <w:color w:val="auto"/>
                <w:sz w:val="21"/>
                <w:highlight w:val="none"/>
              </w:rPr>
            </w:pPr>
            <w:r>
              <w:rPr>
                <w:rFonts w:hint="eastAsia" w:hAnsi="宋体" w:cs="宋体"/>
                <w:color w:val="auto"/>
                <w:sz w:val="21"/>
                <w:highlight w:val="none"/>
              </w:rPr>
              <w:t>供应商</w:t>
            </w:r>
            <w:r>
              <w:rPr>
                <w:rFonts w:hint="eastAsia" w:hAnsi="宋体" w:cs="宋体"/>
                <w:color w:val="auto"/>
                <w:sz w:val="21"/>
                <w:highlight w:val="none"/>
                <w:lang w:val="en-US" w:eastAsia="zh-CN"/>
              </w:rPr>
              <w:t>承接过或</w:t>
            </w:r>
            <w:r>
              <w:rPr>
                <w:rFonts w:hint="eastAsia" w:hAnsi="宋体" w:cs="宋体"/>
                <w:color w:val="auto"/>
                <w:sz w:val="21"/>
                <w:highlight w:val="none"/>
              </w:rPr>
              <w:t>完成过</w:t>
            </w:r>
            <w:r>
              <w:rPr>
                <w:rFonts w:hint="eastAsia"/>
                <w:highlight w:val="none"/>
                <w:lang w:val="en-US" w:eastAsia="zh-CN"/>
              </w:rPr>
              <w:t>房屋建筑工程</w:t>
            </w:r>
            <w:r>
              <w:rPr>
                <w:rFonts w:hint="eastAsia" w:hAnsi="宋体" w:cs="宋体"/>
                <w:color w:val="auto"/>
                <w:sz w:val="21"/>
                <w:highlight w:val="none"/>
                <w:lang w:val="en-US" w:eastAsia="zh-CN"/>
              </w:rPr>
              <w:t>建设</w:t>
            </w:r>
            <w:r>
              <w:rPr>
                <w:rFonts w:hint="eastAsia" w:hAnsi="宋体" w:cs="宋体"/>
                <w:color w:val="auto"/>
                <w:sz w:val="21"/>
                <w:highlight w:val="none"/>
              </w:rPr>
              <w:t>业绩的，每个</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10</w:t>
            </w:r>
            <w:r>
              <w:rPr>
                <w:rFonts w:hint="eastAsia" w:hAnsi="宋体" w:cs="宋体"/>
                <w:color w:val="auto"/>
                <w:sz w:val="21"/>
                <w:highlight w:val="none"/>
              </w:rPr>
              <w:t>分。</w:t>
            </w:r>
          </w:p>
          <w:p>
            <w:pPr>
              <w:pStyle w:val="11"/>
              <w:spacing w:line="360" w:lineRule="exact"/>
              <w:ind w:firstLine="420" w:firstLineChars="200"/>
              <w:rPr>
                <w:rFonts w:hAnsi="宋体" w:cs="宋体"/>
                <w:color w:val="auto"/>
                <w:sz w:val="21"/>
                <w:highlight w:val="none"/>
              </w:rPr>
            </w:pPr>
            <w:r>
              <w:rPr>
                <w:rFonts w:hint="eastAsia" w:hAnsi="宋体" w:cs="宋体"/>
                <w:color w:val="auto"/>
                <w:sz w:val="21"/>
                <w:highlight w:val="none"/>
              </w:rPr>
              <w:t>注：响应文件中需提供以下对应材料，并加盖竞标人单位公章，不按照要求提供资料不得分。</w:t>
            </w:r>
          </w:p>
          <w:p>
            <w:pPr>
              <w:pStyle w:val="11"/>
              <w:numPr>
                <w:ilvl w:val="0"/>
                <w:numId w:val="0"/>
              </w:numPr>
              <w:spacing w:line="360" w:lineRule="exact"/>
              <w:ind w:left="420" w:left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①提供业绩一览表；</w:t>
            </w:r>
          </w:p>
          <w:p>
            <w:pPr>
              <w:pStyle w:val="11"/>
              <w:spacing w:line="360" w:lineRule="exact"/>
              <w:ind w:firstLine="420" w:firstLineChars="200"/>
              <w:rPr>
                <w:rFonts w:hint="default" w:ascii="宋体" w:hAnsi="宋体" w:eastAsia="宋体" w:cs="宋体"/>
                <w:bCs/>
                <w:color w:val="auto"/>
                <w:kern w:val="0"/>
                <w:szCs w:val="21"/>
                <w:highlight w:val="none"/>
                <w:lang w:val="en-US" w:eastAsia="zh-CN"/>
              </w:rPr>
            </w:pPr>
            <w:r>
              <w:rPr>
                <w:rFonts w:hint="eastAsia" w:asciiTheme="minorEastAsia" w:hAnsiTheme="minorEastAsia" w:eastAsiaTheme="minorEastAsia" w:cstheme="minorEastAsia"/>
                <w:color w:val="auto"/>
                <w:sz w:val="21"/>
                <w:highlight w:val="none"/>
              </w:rPr>
              <w:t>②提供合同或中标通知书复印件。</w:t>
            </w:r>
          </w:p>
        </w:tc>
        <w:tc>
          <w:tcPr>
            <w:tcW w:w="772" w:type="dxa"/>
            <w:vAlign w:val="center"/>
          </w:tcPr>
          <w:p>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widowControl/>
              <w:spacing w:line="360" w:lineRule="exact"/>
              <w:jc w:val="center"/>
              <w:rPr>
                <w:rFonts w:hint="default"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lang w:bidi="ar"/>
              </w:rPr>
              <w:t>3.2</w:t>
            </w:r>
          </w:p>
        </w:tc>
        <w:tc>
          <w:tcPr>
            <w:tcW w:w="1086" w:type="dxa"/>
            <w:vAlign w:val="center"/>
          </w:tcPr>
          <w:p>
            <w:pPr>
              <w:widowControl/>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color w:val="auto"/>
                <w:kern w:val="0"/>
                <w:szCs w:val="21"/>
                <w:highlight w:val="none"/>
                <w:lang w:val="en-US" w:eastAsia="zh-CN" w:bidi="ar"/>
              </w:rPr>
              <w:t>拟投入人员</w:t>
            </w:r>
          </w:p>
        </w:tc>
        <w:tc>
          <w:tcPr>
            <w:tcW w:w="7110" w:type="dxa"/>
            <w:vAlign w:val="top"/>
          </w:tcPr>
          <w:p>
            <w:pPr>
              <w:pStyle w:val="11"/>
              <w:spacing w:line="360" w:lineRule="exact"/>
              <w:ind w:firstLine="420" w:firstLineChars="200"/>
              <w:rPr>
                <w:rFonts w:hint="default" w:hAnsi="宋体" w:cs="宋体"/>
                <w:color w:val="auto"/>
                <w:sz w:val="21"/>
                <w:highlight w:val="none"/>
                <w:lang w:val="en-US" w:eastAsia="zh-CN"/>
              </w:rPr>
            </w:pPr>
            <w:r>
              <w:rPr>
                <w:rFonts w:hint="eastAsia" w:hAnsi="宋体" w:cs="宋体"/>
                <w:color w:val="auto"/>
                <w:sz w:val="21"/>
                <w:highlight w:val="none"/>
                <w:lang w:val="en-US" w:eastAsia="zh-CN"/>
              </w:rPr>
              <w:t>（1）项目经理：</w:t>
            </w:r>
            <w:r>
              <w:rPr>
                <w:rFonts w:hint="eastAsia" w:hAnsi="宋体" w:cs="宋体"/>
                <w:color w:val="auto"/>
                <w:sz w:val="21"/>
                <w:highlight w:val="none"/>
              </w:rPr>
              <w:t>拟投入本项目的</w:t>
            </w:r>
            <w:r>
              <w:rPr>
                <w:rFonts w:hint="eastAsia" w:hAnsi="宋体" w:cs="宋体"/>
                <w:color w:val="auto"/>
                <w:sz w:val="21"/>
                <w:highlight w:val="none"/>
                <w:lang w:val="en-US" w:eastAsia="zh-CN"/>
              </w:rPr>
              <w:t>项目经理具有</w:t>
            </w:r>
            <w:r>
              <w:rPr>
                <w:rFonts w:hint="eastAsia" w:ascii="宋体" w:hAnsi="宋体" w:cs="宋体"/>
                <w:color w:val="auto"/>
                <w:szCs w:val="21"/>
                <w:highlight w:val="none"/>
              </w:rPr>
              <w:t>建筑</w:t>
            </w:r>
            <w:r>
              <w:rPr>
                <w:rFonts w:hint="eastAsia" w:hAnsi="宋体" w:cs="宋体"/>
                <w:color w:val="auto"/>
                <w:sz w:val="21"/>
                <w:highlight w:val="none"/>
                <w:lang w:val="en-US" w:eastAsia="zh-CN"/>
              </w:rPr>
              <w:t>工程类专业中级及以上技术职称得2分。</w:t>
            </w:r>
          </w:p>
          <w:p>
            <w:pPr>
              <w:pStyle w:val="11"/>
              <w:spacing w:line="36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（2）拟投入其他人员（不含项目经理）：拟投入其他人员至少包括安全员、施工员、质量员、材料员，且均具有相应岗位资格证书的，每人得2分，此项满分8分。</w:t>
            </w:r>
          </w:p>
          <w:p>
            <w:pPr>
              <w:widowControl/>
              <w:spacing w:line="36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注：响应文件中需提供以下对应材料，并加盖竞标人单位公章，不按照要求提供资料不得分。</w:t>
            </w:r>
          </w:p>
          <w:p>
            <w:pPr>
              <w:widowControl/>
              <w:spacing w:line="36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w:t>
            </w:r>
            <w:r>
              <w:rPr>
                <w:rFonts w:hint="eastAsia" w:asciiTheme="minorEastAsia" w:hAnsiTheme="minorEastAsia" w:eastAsiaTheme="minorEastAsia" w:cstheme="minorEastAsia"/>
                <w:color w:val="auto"/>
                <w:sz w:val="21"/>
                <w:highlight w:val="none"/>
              </w:rPr>
              <w:t>提供</w:t>
            </w:r>
            <w:r>
              <w:rPr>
                <w:rFonts w:hint="eastAsia" w:ascii="宋体" w:hAnsi="宋体" w:cs="宋体"/>
                <w:color w:val="auto"/>
                <w:kern w:val="0"/>
                <w:szCs w:val="21"/>
                <w:highlight w:val="none"/>
                <w:lang w:val="en-US" w:eastAsia="zh-CN" w:bidi="ar"/>
              </w:rPr>
              <w:t>项目管理机构配备情况表</w:t>
            </w:r>
            <w:r>
              <w:rPr>
                <w:rFonts w:hint="eastAsia" w:ascii="宋体" w:hAnsi="宋体" w:cs="宋体"/>
                <w:color w:val="auto"/>
                <w:kern w:val="0"/>
                <w:sz w:val="21"/>
                <w:szCs w:val="21"/>
                <w:highlight w:val="none"/>
                <w:lang w:val="en-US" w:eastAsia="zh-CN" w:bidi="ar-SA"/>
              </w:rPr>
              <w:t>；</w:t>
            </w:r>
          </w:p>
          <w:p>
            <w:pPr>
              <w:pStyle w:val="11"/>
              <w:spacing w:line="360" w:lineRule="exact"/>
              <w:ind w:firstLine="420" w:firstLineChars="200"/>
              <w:rPr>
                <w:rFonts w:hint="eastAsia" w:hAnsi="宋体" w:cs="宋体"/>
                <w:color w:val="auto"/>
                <w:sz w:val="21"/>
                <w:highlight w:val="none"/>
                <w:lang w:val="en-US" w:eastAsia="zh-CN"/>
              </w:rPr>
            </w:pPr>
            <w:r>
              <w:rPr>
                <w:rFonts w:hint="eastAsia" w:ascii="宋体" w:hAnsi="宋体" w:eastAsia="宋体" w:cs="宋体"/>
                <w:color w:val="auto"/>
                <w:kern w:val="0"/>
                <w:sz w:val="21"/>
                <w:szCs w:val="21"/>
                <w:highlight w:val="none"/>
                <w:lang w:val="en-US" w:eastAsia="zh-CN" w:bidi="ar-SA"/>
              </w:rPr>
              <w:t>②</w:t>
            </w:r>
            <w:r>
              <w:rPr>
                <w:rFonts w:hint="eastAsia" w:ascii="宋体" w:hAnsi="宋体" w:cs="宋体"/>
                <w:color w:val="auto"/>
                <w:kern w:val="0"/>
                <w:sz w:val="21"/>
                <w:szCs w:val="21"/>
                <w:highlight w:val="none"/>
                <w:lang w:val="en-US" w:eastAsia="zh-CN" w:bidi="ar-SA"/>
              </w:rPr>
              <w:t>项目经理提供职称证</w:t>
            </w:r>
            <w:r>
              <w:rPr>
                <w:rFonts w:hint="eastAsia" w:asciiTheme="minorEastAsia" w:hAnsiTheme="minorEastAsia" w:eastAsiaTheme="minorEastAsia" w:cstheme="minorEastAsia"/>
                <w:color w:val="auto"/>
                <w:sz w:val="21"/>
                <w:highlight w:val="none"/>
              </w:rPr>
              <w:t>复印件</w:t>
            </w:r>
            <w:r>
              <w:rPr>
                <w:rFonts w:hint="eastAsia" w:ascii="宋体" w:hAnsi="宋体" w:cs="宋体"/>
                <w:color w:val="auto"/>
                <w:kern w:val="0"/>
                <w:sz w:val="21"/>
                <w:szCs w:val="21"/>
                <w:highlight w:val="none"/>
                <w:lang w:val="en-US" w:eastAsia="zh-CN" w:bidi="ar-SA"/>
              </w:rPr>
              <w:t>，其他人员提供</w:t>
            </w:r>
            <w:r>
              <w:rPr>
                <w:rFonts w:hint="eastAsia" w:hAnsi="宋体" w:cs="宋体"/>
                <w:color w:val="auto"/>
                <w:sz w:val="21"/>
                <w:highlight w:val="none"/>
                <w:lang w:val="en-US" w:eastAsia="zh-CN"/>
              </w:rPr>
              <w:t>岗位资格证书</w:t>
            </w:r>
            <w:r>
              <w:rPr>
                <w:rFonts w:hint="eastAsia" w:asciiTheme="minorEastAsia" w:hAnsiTheme="minorEastAsia" w:eastAsiaTheme="minorEastAsia" w:cstheme="minorEastAsia"/>
                <w:color w:val="auto"/>
                <w:sz w:val="21"/>
                <w:highlight w:val="none"/>
              </w:rPr>
              <w:t>复印件</w:t>
            </w:r>
            <w:r>
              <w:rPr>
                <w:rFonts w:hint="eastAsia" w:hAnsi="宋体" w:cs="宋体"/>
                <w:color w:val="auto"/>
                <w:sz w:val="21"/>
                <w:highlight w:val="none"/>
                <w:lang w:val="en-US" w:eastAsia="zh-CN"/>
              </w:rPr>
              <w:t>；</w:t>
            </w:r>
          </w:p>
          <w:p>
            <w:pPr>
              <w:pStyle w:val="11"/>
              <w:spacing w:line="360" w:lineRule="exact"/>
              <w:ind w:firstLine="420" w:firstLineChars="200"/>
              <w:rPr>
                <w:rFonts w:hint="eastAsia" w:ascii="宋体" w:hAnsi="宋体" w:eastAsia="宋体" w:cs="宋体"/>
                <w:bCs/>
                <w:color w:val="auto"/>
                <w:kern w:val="0"/>
                <w:szCs w:val="21"/>
                <w:highlight w:val="none"/>
                <w:lang w:eastAsia="zh-CN"/>
              </w:rPr>
            </w:pPr>
            <w:r>
              <w:rPr>
                <w:rFonts w:hint="default" w:ascii="宋体" w:hAnsi="宋体" w:eastAsia="宋体" w:cs="宋体"/>
                <w:color w:val="auto"/>
                <w:kern w:val="0"/>
                <w:sz w:val="21"/>
                <w:szCs w:val="21"/>
                <w:highlight w:val="none"/>
                <w:lang w:val="en-US" w:eastAsia="zh-CN" w:bidi="ar-SA"/>
              </w:rPr>
              <w:t>③提供投标人为以上人员依法缴纳的近1个月（202</w:t>
            </w:r>
            <w:r>
              <w:rPr>
                <w:rFonts w:hint="eastAsia" w:hAnsi="宋体" w:cs="宋体"/>
                <w:color w:val="auto"/>
                <w:kern w:val="0"/>
                <w:sz w:val="21"/>
                <w:szCs w:val="21"/>
                <w:highlight w:val="none"/>
                <w:lang w:val="en-US" w:eastAsia="zh-CN" w:bidi="ar-SA"/>
              </w:rPr>
              <w:t>4</w:t>
            </w:r>
            <w:r>
              <w:rPr>
                <w:rFonts w:hint="default" w:ascii="宋体" w:hAnsi="宋体" w:eastAsia="宋体" w:cs="宋体"/>
                <w:color w:val="auto"/>
                <w:kern w:val="0"/>
                <w:sz w:val="21"/>
                <w:szCs w:val="21"/>
                <w:highlight w:val="none"/>
                <w:lang w:val="en-US" w:eastAsia="zh-CN" w:bidi="ar-SA"/>
              </w:rPr>
              <w:t>年</w:t>
            </w:r>
            <w:r>
              <w:rPr>
                <w:rFonts w:hint="eastAsia" w:hAnsi="宋体" w:cs="宋体"/>
                <w:color w:val="auto"/>
                <w:kern w:val="0"/>
                <w:sz w:val="21"/>
                <w:szCs w:val="21"/>
                <w:highlight w:val="none"/>
                <w:lang w:val="en-US" w:eastAsia="zh-CN" w:bidi="ar-SA"/>
              </w:rPr>
              <w:t>4</w:t>
            </w:r>
            <w:r>
              <w:rPr>
                <w:rFonts w:hint="default" w:ascii="宋体" w:hAnsi="宋体" w:eastAsia="宋体" w:cs="宋体"/>
                <w:color w:val="auto"/>
                <w:kern w:val="0"/>
                <w:sz w:val="21"/>
                <w:szCs w:val="21"/>
                <w:highlight w:val="none"/>
                <w:lang w:val="en-US" w:eastAsia="zh-CN" w:bidi="ar-SA"/>
              </w:rPr>
              <w:t>月至投标截止时间内任意一个月）社会保险证明</w:t>
            </w:r>
            <w:r>
              <w:rPr>
                <w:rFonts w:hint="eastAsia" w:asciiTheme="minorEastAsia" w:hAnsiTheme="minorEastAsia" w:eastAsiaTheme="minorEastAsia" w:cstheme="minorEastAsia"/>
                <w:color w:val="auto"/>
                <w:sz w:val="21"/>
                <w:highlight w:val="none"/>
              </w:rPr>
              <w:t>复印件</w:t>
            </w:r>
            <w:r>
              <w:rPr>
                <w:rFonts w:hint="eastAsia" w:hAnsi="宋体" w:cs="宋体"/>
                <w:color w:val="auto"/>
                <w:sz w:val="21"/>
                <w:highlight w:val="none"/>
                <w:lang w:val="en-US" w:eastAsia="zh-CN"/>
              </w:rPr>
              <w:t>。</w:t>
            </w:r>
          </w:p>
        </w:tc>
        <w:tc>
          <w:tcPr>
            <w:tcW w:w="772" w:type="dxa"/>
            <w:vAlign w:val="center"/>
          </w:tcPr>
          <w:p>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vAlign w:val="top"/>
          </w:tcPr>
          <w:p>
            <w:pPr>
              <w:pStyle w:val="11"/>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总得分＝1＋2+3</w:t>
            </w:r>
          </w:p>
        </w:tc>
        <w:tc>
          <w:tcPr>
            <w:tcW w:w="772" w:type="dxa"/>
            <w:vAlign w:val="center"/>
          </w:tcPr>
          <w:p>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p>
        </w:tc>
      </w:tr>
      <w:bookmarkEnd w:id="171"/>
    </w:tbl>
    <w:p>
      <w:pPr>
        <w:pStyle w:val="3"/>
        <w:jc w:val="center"/>
        <w:rPr>
          <w:rFonts w:hint="eastAsia" w:ascii="宋体" w:hAnsi="宋体" w:eastAsia="宋体" w:cs="宋体"/>
          <w:b w:val="0"/>
          <w:sz w:val="30"/>
          <w:szCs w:val="30"/>
          <w:highlight w:val="none"/>
        </w:rPr>
      </w:pPr>
      <w:bookmarkStart w:id="172" w:name="_Toc15667"/>
      <w:bookmarkStart w:id="173" w:name="_Toc23906"/>
      <w:r>
        <w:rPr>
          <w:rFonts w:hint="eastAsia" w:ascii="宋体" w:hAnsi="宋体" w:eastAsia="宋体" w:cs="宋体"/>
          <w:b w:val="0"/>
          <w:sz w:val="30"/>
          <w:szCs w:val="30"/>
          <w:highlight w:val="none"/>
        </w:rPr>
        <w:t>第四节 中标候选人推荐原则</w:t>
      </w:r>
      <w:bookmarkEnd w:id="172"/>
      <w:bookmarkEnd w:id="173"/>
    </w:p>
    <w:p>
      <w:pPr>
        <w:pStyle w:val="11"/>
        <w:numPr>
          <w:ilvl w:val="0"/>
          <w:numId w:val="4"/>
        </w:numPr>
        <w:spacing w:line="360" w:lineRule="auto"/>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综合评分法</w:t>
      </w:r>
    </w:p>
    <w:p>
      <w:pPr>
        <w:pStyle w:val="11"/>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11"/>
        <w:spacing w:line="360" w:lineRule="auto"/>
        <w:ind w:firstLine="482" w:firstLineChars="200"/>
        <w:rPr>
          <w:rFonts w:hint="eastAsia" w:ascii="宋体" w:hAnsi="宋体" w:eastAsia="宋体" w:cs="宋体"/>
          <w:highlight w:val="none"/>
        </w:rPr>
      </w:pPr>
      <w:r>
        <w:rPr>
          <w:rFonts w:hint="eastAsia" w:ascii="宋体" w:hAnsi="宋体" w:eastAsia="宋体" w:cs="宋体"/>
          <w:b/>
          <w:bCs/>
          <w:sz w:val="24"/>
          <w:szCs w:val="24"/>
          <w:highlight w:val="none"/>
        </w:rPr>
        <w:t>（二）最低评标报价法</w:t>
      </w:r>
    </w:p>
    <w:p>
      <w:pPr>
        <w:pStyle w:val="11"/>
        <w:tabs>
          <w:tab w:val="left" w:pos="2472"/>
        </w:tabs>
        <w:spacing w:line="480" w:lineRule="exact"/>
        <w:ind w:firstLine="420" w:firstLineChars="200"/>
        <w:rPr>
          <w:rFonts w:hint="eastAsia" w:ascii="宋体" w:hAnsi="宋体" w:eastAsia="宋体" w:cs="宋体"/>
          <w:highlight w:val="none"/>
        </w:rPr>
      </w:pPr>
      <w:r>
        <w:rPr>
          <w:rFonts w:hint="eastAsia" w:ascii="宋体" w:hAnsi="宋体" w:eastAsia="宋体" w:cs="宋体"/>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pPr>
        <w:pStyle w:val="3"/>
        <w:spacing w:before="0" w:after="0" w:line="360" w:lineRule="auto"/>
        <w:ind w:firstLine="600" w:firstLineChars="200"/>
        <w:jc w:val="center"/>
        <w:rPr>
          <w:rFonts w:hint="eastAsia" w:ascii="宋体" w:hAnsi="宋体" w:eastAsia="宋体" w:cs="宋体"/>
          <w:b w:val="0"/>
          <w:sz w:val="30"/>
          <w:szCs w:val="30"/>
          <w:highlight w:val="none"/>
        </w:rPr>
      </w:pPr>
      <w:bookmarkStart w:id="174" w:name="_Toc13625"/>
      <w:bookmarkStart w:id="175" w:name="_Toc31432"/>
      <w:r>
        <w:rPr>
          <w:rFonts w:hint="eastAsia" w:ascii="宋体" w:hAnsi="宋体" w:eastAsia="宋体" w:cs="宋体"/>
          <w:b w:val="0"/>
          <w:sz w:val="30"/>
          <w:szCs w:val="30"/>
          <w:highlight w:val="none"/>
        </w:rPr>
        <w:t>第五节 评标报告</w:t>
      </w:r>
      <w:bookmarkEnd w:id="174"/>
      <w:bookmarkEnd w:id="175"/>
    </w:p>
    <w:p>
      <w:pPr>
        <w:pStyle w:val="31"/>
        <w:spacing w:before="0"/>
        <w:ind w:firstLine="482"/>
        <w:rPr>
          <w:rFonts w:hint="eastAsia" w:ascii="宋体" w:hAnsi="宋体" w:eastAsia="宋体" w:cs="宋体"/>
          <w:b/>
          <w:bCs/>
          <w:szCs w:val="24"/>
          <w:highlight w:val="none"/>
        </w:rPr>
      </w:pPr>
      <w:r>
        <w:rPr>
          <w:rFonts w:hint="eastAsia" w:ascii="宋体" w:hAnsi="宋体" w:eastAsia="宋体" w:cs="宋体"/>
          <w:b/>
          <w:bCs/>
          <w:szCs w:val="24"/>
          <w:highlight w:val="none"/>
        </w:rPr>
        <w:t>（一）评标报告与推荐中标候选人</w:t>
      </w:r>
    </w:p>
    <w:p>
      <w:pPr>
        <w:pStyle w:val="11"/>
        <w:tabs>
          <w:tab w:val="left" w:pos="2472"/>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（二）评标争议事项处理</w:t>
      </w:r>
    </w:p>
    <w:p>
      <w:pPr>
        <w:pStyle w:val="11"/>
        <w:tabs>
          <w:tab w:val="left" w:pos="2472"/>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rFonts w:hint="eastAsia" w:ascii="宋体" w:hAnsi="宋体" w:eastAsia="宋体" w:cs="宋体"/>
          <w:b/>
          <w:sz w:val="36"/>
          <w:szCs w:val="20"/>
          <w:highlight w:val="none"/>
        </w:rPr>
        <w:sectPr>
          <w:pgSz w:w="11906" w:h="16838"/>
          <w:pgMar w:top="1134" w:right="1134" w:bottom="1134" w:left="1134" w:header="720" w:footer="720" w:gutter="0"/>
          <w:cols w:space="720" w:num="1"/>
          <w:docGrid w:type="lines" w:linePitch="331" w:charSpace="0"/>
        </w:sect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outlineLvl w:val="0"/>
        <w:rPr>
          <w:rFonts w:hint="eastAsia" w:ascii="宋体" w:hAnsi="宋体" w:eastAsia="宋体" w:cs="宋体"/>
          <w:b/>
          <w:sz w:val="36"/>
          <w:highlight w:val="none"/>
        </w:rPr>
      </w:pPr>
      <w:bookmarkStart w:id="176" w:name="_Toc3838"/>
      <w:bookmarkStart w:id="177" w:name="_Toc1248"/>
      <w:r>
        <w:rPr>
          <w:rFonts w:hint="eastAsia" w:ascii="宋体" w:hAnsi="宋体" w:eastAsia="宋体" w:cs="宋体"/>
          <w:b/>
          <w:sz w:val="36"/>
          <w:highlight w:val="none"/>
        </w:rPr>
        <w:t>第五章 拟签订的合同文本</w:t>
      </w:r>
      <w:bookmarkEnd w:id="176"/>
      <w:bookmarkEnd w:id="177"/>
    </w:p>
    <w:p>
      <w:pPr>
        <w:widowControl/>
        <w:jc w:val="left"/>
        <w:rPr>
          <w:rFonts w:hint="eastAsia" w:ascii="宋体" w:hAnsi="宋体" w:eastAsia="宋体" w:cs="宋体"/>
          <w:bCs/>
          <w:szCs w:val="20"/>
          <w:highlight w:val="none"/>
        </w:rPr>
        <w:sectPr>
          <w:pgSz w:w="11906" w:h="16838"/>
          <w:pgMar w:top="1134" w:right="1134" w:bottom="1134" w:left="1134" w:header="720" w:footer="720" w:gutter="0"/>
          <w:cols w:space="720" w:num="1"/>
          <w:docGrid w:type="lines" w:linePitch="331" w:charSpace="0"/>
        </w:sect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u w:val="single"/>
        </w:rPr>
      </w:pPr>
      <w:r>
        <w:rPr>
          <w:rFonts w:hint="eastAsia" w:ascii="宋体" w:hAnsi="宋体" w:cs="宋体"/>
          <w:sz w:val="24"/>
          <w:highlight w:val="none"/>
          <w:lang w:eastAsia="zh-CN"/>
        </w:rPr>
        <w:t>广西政府采购云平台</w:t>
      </w: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w:t>
      </w:r>
    </w:p>
    <w:p>
      <w:pPr>
        <w:spacing w:line="360" w:lineRule="auto"/>
        <w:jc w:val="center"/>
        <w:rPr>
          <w:rFonts w:hint="eastAsia" w:ascii="宋体" w:hAnsi="宋体" w:eastAsia="宋体" w:cs="宋体"/>
          <w:b/>
          <w:bCs/>
          <w:sz w:val="52"/>
          <w:highlight w:val="none"/>
        </w:rPr>
      </w:pPr>
    </w:p>
    <w:p>
      <w:pPr>
        <w:spacing w:line="360" w:lineRule="auto"/>
        <w:jc w:val="center"/>
        <w:rPr>
          <w:rFonts w:hint="eastAsia" w:ascii="宋体" w:hAnsi="宋体" w:eastAsia="宋体" w:cs="宋体"/>
          <w:b/>
          <w:bCs/>
          <w:sz w:val="52"/>
          <w:highlight w:val="none"/>
        </w:rPr>
      </w:pPr>
    </w:p>
    <w:p>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南 宁 市 政 府 采 购</w:t>
      </w:r>
    </w:p>
    <w:p>
      <w:pPr>
        <w:spacing w:line="360" w:lineRule="auto"/>
        <w:ind w:firstLine="420" w:firstLineChars="200"/>
        <w:rPr>
          <w:rFonts w:hint="eastAsia" w:ascii="宋体" w:hAnsi="宋体" w:eastAsia="宋体" w:cs="宋体"/>
          <w:highlight w:val="none"/>
        </w:rPr>
      </w:pP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                                                 </w:t>
      </w:r>
    </w:p>
    <w:p>
      <w:pPr>
        <w:spacing w:line="360" w:lineRule="auto"/>
        <w:jc w:val="center"/>
        <w:outlineLvl w:val="1"/>
        <w:rPr>
          <w:rFonts w:hint="eastAsia" w:ascii="宋体" w:hAnsi="宋体" w:eastAsia="宋体" w:cs="宋体"/>
          <w:b/>
          <w:bCs/>
          <w:sz w:val="44"/>
          <w:highlight w:val="none"/>
        </w:rPr>
      </w:pPr>
      <w:r>
        <w:rPr>
          <w:rFonts w:hint="eastAsia" w:ascii="宋体" w:hAnsi="宋体" w:eastAsia="宋体" w:cs="宋体"/>
          <w:b/>
          <w:bCs/>
          <w:sz w:val="44"/>
          <w:highlight w:val="none"/>
          <w:u w:val="single"/>
        </w:rPr>
        <w:t xml:space="preserve"> </w:t>
      </w:r>
      <w:bookmarkStart w:id="178" w:name="_Toc30642"/>
      <w:r>
        <w:rPr>
          <w:rFonts w:hint="eastAsia" w:ascii="宋体" w:hAnsi="宋体" w:cs="宋体"/>
          <w:b/>
          <w:bCs/>
          <w:sz w:val="44"/>
          <w:highlight w:val="none"/>
          <w:u w:val="single"/>
          <w:lang w:val="en-US" w:eastAsia="zh-CN"/>
        </w:rPr>
        <w:t xml:space="preserve">       </w:t>
      </w:r>
      <w:bookmarkStart w:id="179" w:name="_Toc4863"/>
      <w:r>
        <w:rPr>
          <w:rFonts w:hint="eastAsia" w:ascii="宋体" w:hAnsi="宋体" w:eastAsia="宋体" w:cs="宋体"/>
          <w:b/>
          <w:bCs/>
          <w:sz w:val="44"/>
          <w:highlight w:val="none"/>
        </w:rPr>
        <w:t>合同</w:t>
      </w:r>
      <w:bookmarkEnd w:id="178"/>
      <w:bookmarkEnd w:id="179"/>
    </w:p>
    <w:p>
      <w:pPr>
        <w:spacing w:line="360" w:lineRule="auto"/>
        <w:jc w:val="center"/>
        <w:rPr>
          <w:rFonts w:hint="eastAsia" w:ascii="宋体" w:hAnsi="宋体" w:eastAsia="宋体" w:cs="宋体"/>
          <w:b/>
          <w:bCs/>
          <w:sz w:val="44"/>
          <w:highlight w:val="none"/>
        </w:rPr>
      </w:pPr>
    </w:p>
    <w:p>
      <w:pPr>
        <w:spacing w:line="360" w:lineRule="auto"/>
        <w:jc w:val="center"/>
        <w:rPr>
          <w:rFonts w:hint="eastAsia" w:ascii="宋体" w:hAnsi="宋体" w:eastAsia="宋体" w:cs="宋体"/>
          <w:b/>
          <w:bCs/>
          <w:sz w:val="44"/>
          <w:highlight w:val="none"/>
        </w:rPr>
      </w:pPr>
    </w:p>
    <w:p>
      <w:pPr>
        <w:spacing w:line="360" w:lineRule="auto"/>
        <w:ind w:firstLine="3507" w:firstLineChars="794"/>
        <w:rPr>
          <w:rFonts w:hint="eastAsia" w:ascii="宋体" w:hAnsi="宋体" w:eastAsia="宋体" w:cs="宋体"/>
          <w:b/>
          <w:bCs/>
          <w:sz w:val="44"/>
          <w:highlight w:val="none"/>
        </w:rPr>
      </w:pPr>
    </w:p>
    <w:p>
      <w:pPr>
        <w:spacing w:line="360" w:lineRule="auto"/>
        <w:ind w:firstLine="3507" w:firstLineChars="794"/>
        <w:rPr>
          <w:rFonts w:hint="eastAsia" w:ascii="宋体" w:hAnsi="宋体" w:eastAsia="宋体" w:cs="宋体"/>
          <w:b/>
          <w:bCs/>
          <w:sz w:val="44"/>
          <w:highlight w:val="none"/>
        </w:rPr>
      </w:pPr>
    </w:p>
    <w:p>
      <w:pPr>
        <w:ind w:firstLine="1995" w:firstLineChars="552"/>
        <w:rPr>
          <w:rFonts w:hint="default" w:ascii="宋体" w:hAnsi="宋体" w:eastAsia="宋体" w:cs="宋体"/>
          <w:b/>
          <w:sz w:val="36"/>
          <w:szCs w:val="36"/>
          <w:highlight w:val="none"/>
          <w:lang w:val="en-US" w:eastAsia="zh-CN"/>
        </w:rPr>
      </w:pPr>
      <w:r>
        <w:rPr>
          <w:rFonts w:hint="eastAsia" w:ascii="宋体" w:hAnsi="宋体" w:eastAsia="宋体" w:cs="宋体"/>
          <w:b/>
          <w:sz w:val="36"/>
          <w:szCs w:val="36"/>
          <w:highlight w:val="none"/>
        </w:rPr>
        <w:t>项目编号：</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p>
    <w:p>
      <w:pPr>
        <w:ind w:firstLine="1995" w:firstLineChars="552"/>
        <w:rPr>
          <w:rFonts w:hint="eastAsia" w:ascii="宋体" w:hAnsi="宋体" w:eastAsia="宋体" w:cs="宋体"/>
          <w:b/>
          <w:sz w:val="36"/>
          <w:szCs w:val="36"/>
          <w:highlight w:val="none"/>
        </w:rPr>
      </w:pPr>
      <w:r>
        <w:rPr>
          <w:rFonts w:hint="eastAsia" w:ascii="宋体" w:hAnsi="宋体" w:eastAsia="宋体" w:cs="宋体"/>
          <w:b/>
          <w:sz w:val="36"/>
          <w:szCs w:val="36"/>
          <w:highlight w:val="none"/>
        </w:rPr>
        <w:t>计划编号：</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p>
    <w:p>
      <w:pPr>
        <w:ind w:firstLine="1970" w:firstLineChars="545"/>
        <w:rPr>
          <w:rFonts w:hint="eastAsia" w:ascii="宋体" w:hAnsi="宋体" w:eastAsia="宋体" w:cs="宋体"/>
          <w:b/>
          <w:sz w:val="36"/>
          <w:szCs w:val="36"/>
          <w:highlight w:val="none"/>
          <w:u w:val="single"/>
        </w:rPr>
      </w:pPr>
    </w:p>
    <w:p>
      <w:pPr>
        <w:tabs>
          <w:tab w:val="left" w:pos="7200"/>
        </w:tabs>
        <w:spacing w:line="360" w:lineRule="auto"/>
        <w:ind w:firstLine="1995" w:firstLineChars="552"/>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采购人：</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r>
        <w:rPr>
          <w:rFonts w:hint="eastAsia" w:ascii="宋体" w:hAnsi="宋体" w:eastAsia="宋体" w:cs="宋体"/>
          <w:b/>
          <w:sz w:val="36"/>
          <w:szCs w:val="36"/>
          <w:highlight w:val="none"/>
          <w:u w:val="single"/>
        </w:rPr>
        <w:t xml:space="preserve">  </w:t>
      </w:r>
    </w:p>
    <w:p>
      <w:pPr>
        <w:tabs>
          <w:tab w:val="left" w:pos="7380"/>
        </w:tabs>
        <w:spacing w:line="360" w:lineRule="auto"/>
        <w:ind w:firstLine="1995" w:firstLineChars="552"/>
        <w:rPr>
          <w:rFonts w:hint="eastAsia" w:ascii="宋体" w:hAnsi="宋体" w:eastAsia="宋体" w:cs="宋体"/>
          <w:b/>
          <w:bCs/>
          <w:sz w:val="44"/>
          <w:highlight w:val="none"/>
        </w:rPr>
      </w:pPr>
      <w:r>
        <w:rPr>
          <w:rFonts w:hint="eastAsia" w:ascii="宋体" w:hAnsi="宋体" w:eastAsia="宋体" w:cs="宋体"/>
          <w:b/>
          <w:sz w:val="36"/>
          <w:szCs w:val="36"/>
          <w:highlight w:val="none"/>
        </w:rPr>
        <w:t>中标供应商：</w:t>
      </w:r>
      <w:r>
        <w:rPr>
          <w:rFonts w:hint="eastAsia" w:ascii="宋体" w:hAnsi="宋体" w:eastAsia="宋体" w:cs="宋体"/>
          <w:b/>
          <w:sz w:val="36"/>
          <w:szCs w:val="36"/>
          <w:highlight w:val="none"/>
          <w:u w:val="single"/>
        </w:rPr>
        <w:t xml:space="preserve">                   </w:t>
      </w:r>
    </w:p>
    <w:p>
      <w:pPr>
        <w:tabs>
          <w:tab w:val="left" w:pos="7380"/>
        </w:tabs>
        <w:spacing w:line="360" w:lineRule="auto"/>
        <w:rPr>
          <w:rFonts w:hint="eastAsia" w:ascii="宋体" w:hAnsi="宋体" w:eastAsia="宋体" w:cs="宋体"/>
          <w:b/>
          <w:bCs/>
          <w:sz w:val="44"/>
          <w:highlight w:val="none"/>
        </w:rPr>
      </w:pPr>
    </w:p>
    <w:p>
      <w:pPr>
        <w:spacing w:before="120" w:line="360" w:lineRule="auto"/>
        <w:ind w:firstLine="960" w:firstLineChars="400"/>
        <w:rPr>
          <w:rFonts w:hint="eastAsia" w:ascii="宋体" w:hAnsi="宋体" w:eastAsia="宋体" w:cs="宋体"/>
          <w:sz w:val="24"/>
          <w:highlight w:val="none"/>
        </w:rPr>
      </w:pPr>
    </w:p>
    <w:p>
      <w:pPr>
        <w:spacing w:before="120" w:line="360" w:lineRule="auto"/>
        <w:ind w:firstLine="960" w:firstLineChars="400"/>
        <w:rPr>
          <w:rFonts w:hint="eastAsia" w:ascii="宋体" w:hAnsi="宋体" w:eastAsia="宋体" w:cs="宋体"/>
          <w:sz w:val="24"/>
          <w:highlight w:val="none"/>
        </w:rPr>
      </w:pPr>
    </w:p>
    <w:p>
      <w:pPr>
        <w:spacing w:before="120" w:line="360" w:lineRule="auto"/>
        <w:ind w:firstLine="2280" w:firstLineChars="950"/>
        <w:rPr>
          <w:rFonts w:hint="eastAsia" w:ascii="宋体" w:hAnsi="宋体" w:eastAsia="宋体" w:cs="宋体"/>
          <w:b/>
          <w:bCs/>
          <w:sz w:val="44"/>
          <w:highlight w:val="non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2"/>
        <w:jc w:val="center"/>
        <w:rPr>
          <w:color w:val="auto"/>
          <w:highlight w:val="none"/>
        </w:rPr>
      </w:pPr>
      <w:r>
        <w:rPr>
          <w:rFonts w:hint="eastAsia" w:ascii="宋体" w:hAnsi="宋体" w:eastAsia="宋体" w:cs="宋体"/>
          <w:b/>
          <w:bCs/>
          <w:sz w:val="44"/>
          <w:highlight w:val="none"/>
        </w:rPr>
        <w:br w:type="page"/>
      </w:r>
      <w:bookmarkStart w:id="180" w:name="_Toc1756478213"/>
      <w:bookmarkStart w:id="181" w:name="_Toc351203480"/>
      <w:bookmarkStart w:id="182" w:name="_Toc373478199"/>
      <w:bookmarkStart w:id="183" w:name="_Toc28300"/>
      <w:bookmarkStart w:id="184" w:name="_Toc373227552"/>
      <w:bookmarkStart w:id="185" w:name="_Toc17567"/>
      <w:bookmarkStart w:id="186" w:name="_Toc78449777"/>
      <w:bookmarkStart w:id="187" w:name="_Toc296503025"/>
      <w:bookmarkStart w:id="188" w:name="_Toc407135191"/>
      <w:bookmarkStart w:id="189" w:name="_Toc296890982"/>
      <w:bookmarkStart w:id="190" w:name="_Toc389065255"/>
      <w:bookmarkStart w:id="191" w:name="_Toc724920571"/>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80"/>
      <w:bookmarkEnd w:id="181"/>
      <w:bookmarkEnd w:id="182"/>
      <w:bookmarkEnd w:id="183"/>
      <w:bookmarkEnd w:id="184"/>
      <w:bookmarkEnd w:id="185"/>
      <w:bookmarkEnd w:id="186"/>
      <w:bookmarkEnd w:id="187"/>
      <w:bookmarkEnd w:id="188"/>
      <w:bookmarkEnd w:id="189"/>
      <w:bookmarkEnd w:id="190"/>
      <w:bookmarkEnd w:id="191"/>
    </w:p>
    <w:p>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hAnsi="宋体" w:cs="宋体"/>
          <w:color w:val="auto"/>
          <w:highlight w:val="none"/>
        </w:rPr>
        <w:t>工程施工及有关事项协商一致，共同达成如下协议：</w:t>
      </w:r>
      <w:bookmarkStart w:id="192" w:name="_Toc351203481"/>
    </w:p>
    <w:p>
      <w:pPr>
        <w:spacing w:line="360" w:lineRule="auto"/>
        <w:ind w:firstLine="422" w:firstLineChars="200"/>
        <w:outlineLvl w:val="0"/>
        <w:rPr>
          <w:b/>
          <w:bCs/>
          <w:color w:val="auto"/>
          <w:highlight w:val="none"/>
        </w:rPr>
      </w:pPr>
      <w:bookmarkStart w:id="193" w:name="_Toc14393"/>
      <w:bookmarkStart w:id="194" w:name="_Toc21771"/>
      <w:r>
        <w:rPr>
          <w:rFonts w:hint="eastAsia" w:hAnsi="宋体" w:cs="宋体"/>
          <w:b/>
          <w:bCs/>
          <w:color w:val="auto"/>
          <w:highlight w:val="none"/>
        </w:rPr>
        <w:t>一、工程概况</w:t>
      </w:r>
      <w:bookmarkEnd w:id="192"/>
      <w:bookmarkEnd w:id="193"/>
      <w:bookmarkEnd w:id="194"/>
    </w:p>
    <w:p>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11" w:firstLineChars="196"/>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pPr>
        <w:spacing w:line="360" w:lineRule="auto"/>
        <w:ind w:firstLine="411" w:firstLineChars="196"/>
        <w:rPr>
          <w:color w:val="auto"/>
          <w:highlight w:val="none"/>
        </w:rPr>
      </w:pPr>
      <w:r>
        <w:rPr>
          <w:color w:val="auto"/>
          <w:highlight w:val="none"/>
        </w:rPr>
        <w:t xml:space="preserve">6. </w:t>
      </w:r>
      <w:r>
        <w:rPr>
          <w:rFonts w:hint="eastAsia" w:hAnsi="宋体" w:cs="宋体"/>
          <w:color w:val="auto"/>
          <w:highlight w:val="none"/>
        </w:rPr>
        <w:t>工程承包范围：</w:t>
      </w:r>
    </w:p>
    <w:p>
      <w:pPr>
        <w:spacing w:line="360" w:lineRule="auto"/>
        <w:ind w:firstLine="405" w:firstLineChars="193"/>
        <w:rPr>
          <w:rFonts w:hAnsi="宋体"/>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07" w:firstLineChars="193"/>
        <w:outlineLvl w:val="0"/>
        <w:rPr>
          <w:b/>
          <w:bCs/>
          <w:color w:val="auto"/>
          <w:highlight w:val="none"/>
        </w:rPr>
      </w:pPr>
      <w:bookmarkStart w:id="195" w:name="_Toc11945"/>
      <w:bookmarkStart w:id="196" w:name="_Toc16700"/>
      <w:bookmarkStart w:id="197" w:name="_Toc351203482"/>
      <w:r>
        <w:rPr>
          <w:rFonts w:hint="eastAsia" w:hAnsi="宋体" w:cs="宋体"/>
          <w:b/>
          <w:bCs/>
          <w:color w:val="auto"/>
          <w:highlight w:val="none"/>
        </w:rPr>
        <w:t>二、合同工期</w:t>
      </w:r>
      <w:bookmarkEnd w:id="195"/>
      <w:bookmarkEnd w:id="196"/>
      <w:bookmarkEnd w:id="197"/>
    </w:p>
    <w:p>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pPr>
        <w:spacing w:line="360" w:lineRule="auto"/>
        <w:ind w:firstLine="459"/>
        <w:outlineLvl w:val="0"/>
        <w:rPr>
          <w:b/>
          <w:bCs/>
          <w:color w:val="auto"/>
          <w:highlight w:val="none"/>
        </w:rPr>
      </w:pPr>
      <w:bookmarkStart w:id="198" w:name="_Toc31307"/>
      <w:bookmarkStart w:id="199" w:name="_Toc351203483"/>
      <w:bookmarkStart w:id="200" w:name="_Toc22412"/>
      <w:r>
        <w:rPr>
          <w:rFonts w:hint="eastAsia" w:hAnsi="宋体" w:cs="宋体"/>
          <w:b/>
          <w:bCs/>
          <w:color w:val="auto"/>
          <w:highlight w:val="none"/>
        </w:rPr>
        <w:t>三、质量标准</w:t>
      </w:r>
      <w:bookmarkEnd w:id="198"/>
      <w:bookmarkEnd w:id="199"/>
      <w:bookmarkEnd w:id="200"/>
    </w:p>
    <w:p>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Fonts w:hint="eastAsia" w:eastAsia="仿宋_GB2312"/>
          <w:color w:val="auto"/>
          <w:highlight w:val="none"/>
          <w:u w:val="single"/>
        </w:rPr>
        <w:t xml:space="preserve">           </w:t>
      </w:r>
      <w:r>
        <w:rPr>
          <w:rFonts w:eastAsia="仿宋_GB2312"/>
          <w:color w:val="auto"/>
          <w:highlight w:val="none"/>
          <w:u w:val="single"/>
        </w:rPr>
        <w:t></w:t>
      </w:r>
      <w:r>
        <w:rPr>
          <w:rFonts w:hint="eastAsia" w:hAnsi="宋体" w:cs="宋体"/>
          <w:color w:val="auto"/>
          <w:highlight w:val="none"/>
        </w:rPr>
        <w:t>标准。</w:t>
      </w:r>
    </w:p>
    <w:p>
      <w:pPr>
        <w:spacing w:line="360" w:lineRule="auto"/>
        <w:ind w:firstLine="459"/>
        <w:outlineLvl w:val="0"/>
        <w:rPr>
          <w:rFonts w:hAnsi="宋体"/>
          <w:b/>
          <w:bCs/>
          <w:color w:val="auto"/>
          <w:highlight w:val="none"/>
        </w:rPr>
      </w:pPr>
      <w:bookmarkStart w:id="201" w:name="_Toc351203484"/>
      <w:bookmarkStart w:id="202" w:name="_Toc42"/>
      <w:bookmarkStart w:id="203" w:name="_Toc30845"/>
      <w:r>
        <w:rPr>
          <w:rFonts w:hint="eastAsia" w:hAnsi="宋体" w:cs="宋体"/>
          <w:b/>
          <w:bCs/>
          <w:color w:val="auto"/>
          <w:highlight w:val="none"/>
        </w:rPr>
        <w:t>四、签约合同价与合同价格形式</w:t>
      </w:r>
      <w:bookmarkEnd w:id="201"/>
      <w:bookmarkEnd w:id="202"/>
      <w:bookmarkEnd w:id="203"/>
    </w:p>
    <w:p>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pPr>
        <w:spacing w:line="360" w:lineRule="auto"/>
        <w:ind w:firstLine="525" w:firstLineChars="250"/>
        <w:rPr>
          <w:rFonts w:hAnsi="宋体"/>
          <w:color w:val="auto"/>
          <w:highlight w:val="none"/>
        </w:rPr>
      </w:pPr>
      <w:r>
        <w:rPr>
          <w:rFonts w:hint="eastAsia" w:hAnsi="宋体" w:cs="宋体"/>
          <w:color w:val="auto"/>
          <w:highlight w:val="none"/>
        </w:rPr>
        <w:t>其中：</w:t>
      </w:r>
    </w:p>
    <w:p>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pPr>
        <w:spacing w:line="360" w:lineRule="auto"/>
        <w:ind w:left="420" w:leftChars="200"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pPr>
        <w:spacing w:line="360" w:lineRule="auto"/>
        <w:ind w:firstLine="945" w:firstLineChars="4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2" w:firstLineChars="200"/>
        <w:outlineLvl w:val="0"/>
        <w:rPr>
          <w:b/>
          <w:bCs/>
          <w:color w:val="auto"/>
          <w:highlight w:val="none"/>
        </w:rPr>
      </w:pPr>
      <w:bookmarkStart w:id="204" w:name="_Toc351203485"/>
      <w:bookmarkStart w:id="205" w:name="_Toc7578"/>
      <w:bookmarkStart w:id="206" w:name="_Toc16973"/>
      <w:r>
        <w:rPr>
          <w:rFonts w:hint="eastAsia" w:hAnsi="宋体" w:cs="宋体"/>
          <w:b/>
          <w:bCs/>
          <w:color w:val="auto"/>
          <w:highlight w:val="none"/>
        </w:rPr>
        <w:t>五、</w:t>
      </w:r>
      <w:bookmarkEnd w:id="204"/>
      <w:r>
        <w:rPr>
          <w:rFonts w:hint="eastAsia" w:hAnsi="宋体" w:cs="宋体"/>
          <w:b/>
          <w:bCs/>
          <w:color w:val="auto"/>
          <w:highlight w:val="none"/>
        </w:rPr>
        <w:t>项目经理</w:t>
      </w:r>
      <w:bookmarkEnd w:id="205"/>
      <w:bookmarkEnd w:id="206"/>
    </w:p>
    <w:p>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pPr>
        <w:spacing w:line="360" w:lineRule="auto"/>
        <w:ind w:firstLine="422" w:firstLineChars="200"/>
        <w:outlineLvl w:val="0"/>
        <w:rPr>
          <w:b/>
          <w:bCs/>
          <w:color w:val="auto"/>
          <w:highlight w:val="none"/>
        </w:rPr>
      </w:pPr>
      <w:bookmarkStart w:id="207" w:name="_Toc351203486"/>
      <w:bookmarkStart w:id="208" w:name="_Toc8352"/>
      <w:bookmarkStart w:id="209" w:name="_Toc12684"/>
      <w:r>
        <w:rPr>
          <w:rFonts w:hint="eastAsia" w:hAnsi="宋体" w:cs="宋体"/>
          <w:b/>
          <w:bCs/>
          <w:color w:val="auto"/>
          <w:highlight w:val="none"/>
        </w:rPr>
        <w:t>六、合同文件构成</w:t>
      </w:r>
      <w:bookmarkEnd w:id="207"/>
      <w:bookmarkEnd w:id="208"/>
      <w:bookmarkEnd w:id="209"/>
    </w:p>
    <w:p>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）中标通知书（如有）；</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）投标函及其附录（如有）；</w:t>
      </w:r>
      <w:r>
        <w:rPr>
          <w:color w:val="auto"/>
          <w:highlight w:val="none"/>
        </w:rPr>
        <w:t xml:space="preserve"> </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上述各项合同文件包括合同当事人就该项合同文件所作出的补充和修改，属于同一类内容的文件，应以最新签署的为准（违反招标文件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pPr>
        <w:autoSpaceDE w:val="0"/>
        <w:autoSpaceDN w:val="0"/>
        <w:adjustRightInd w:val="0"/>
        <w:spacing w:line="360" w:lineRule="auto"/>
        <w:ind w:firstLine="422" w:firstLineChars="200"/>
        <w:jc w:val="left"/>
        <w:outlineLvl w:val="0"/>
        <w:rPr>
          <w:b/>
          <w:bCs/>
          <w:color w:val="auto"/>
          <w:highlight w:val="none"/>
        </w:rPr>
      </w:pPr>
      <w:bookmarkStart w:id="210" w:name="_Toc351203487"/>
      <w:bookmarkStart w:id="211" w:name="_Toc1188"/>
      <w:bookmarkStart w:id="212" w:name="_Toc19793"/>
      <w:r>
        <w:rPr>
          <w:rFonts w:hint="eastAsia" w:hAnsi="宋体" w:cs="宋体"/>
          <w:b/>
          <w:bCs/>
          <w:color w:val="auto"/>
          <w:highlight w:val="none"/>
        </w:rPr>
        <w:t>七、承诺</w:t>
      </w:r>
      <w:bookmarkEnd w:id="210"/>
      <w:bookmarkEnd w:id="211"/>
      <w:bookmarkEnd w:id="212"/>
    </w:p>
    <w:p>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213" w:name="_Toc351203488"/>
    </w:p>
    <w:p>
      <w:pPr>
        <w:spacing w:line="360" w:lineRule="auto"/>
        <w:ind w:firstLine="422" w:firstLineChars="200"/>
        <w:outlineLvl w:val="0"/>
        <w:rPr>
          <w:b/>
          <w:bCs/>
          <w:color w:val="auto"/>
          <w:highlight w:val="none"/>
        </w:rPr>
      </w:pPr>
      <w:bookmarkStart w:id="214" w:name="_Toc9094"/>
      <w:bookmarkStart w:id="215" w:name="_Toc16239"/>
      <w:r>
        <w:rPr>
          <w:rFonts w:hint="eastAsia" w:hAnsi="宋体" w:cs="宋体"/>
          <w:b/>
          <w:bCs/>
          <w:color w:val="auto"/>
          <w:highlight w:val="none"/>
        </w:rPr>
        <w:t>八、词语含义</w:t>
      </w:r>
      <w:bookmarkEnd w:id="213"/>
      <w:bookmarkEnd w:id="214"/>
      <w:bookmarkEnd w:id="215"/>
    </w:p>
    <w:p>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pPr>
        <w:spacing w:line="360" w:lineRule="auto"/>
        <w:ind w:firstLine="422" w:firstLineChars="200"/>
        <w:outlineLvl w:val="0"/>
        <w:rPr>
          <w:b/>
          <w:bCs/>
          <w:color w:val="auto"/>
          <w:highlight w:val="none"/>
        </w:rPr>
      </w:pPr>
      <w:bookmarkStart w:id="216" w:name="_Toc21232"/>
      <w:bookmarkStart w:id="217" w:name="_Toc28560"/>
      <w:bookmarkStart w:id="218" w:name="_Toc351203489"/>
      <w:r>
        <w:rPr>
          <w:rFonts w:hint="eastAsia" w:hAnsi="宋体" w:cs="宋体"/>
          <w:b/>
          <w:bCs/>
          <w:color w:val="auto"/>
          <w:highlight w:val="none"/>
        </w:rPr>
        <w:t>九、签订时间</w:t>
      </w:r>
      <w:bookmarkEnd w:id="216"/>
      <w:bookmarkEnd w:id="217"/>
      <w:bookmarkEnd w:id="218"/>
    </w:p>
    <w:p>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pPr>
        <w:spacing w:line="360" w:lineRule="auto"/>
        <w:ind w:firstLine="422" w:firstLineChars="200"/>
        <w:outlineLvl w:val="0"/>
        <w:rPr>
          <w:b/>
          <w:bCs/>
          <w:color w:val="auto"/>
          <w:highlight w:val="none"/>
        </w:rPr>
      </w:pPr>
      <w:bookmarkStart w:id="219" w:name="_Toc32210"/>
      <w:bookmarkStart w:id="220" w:name="_Toc9103"/>
      <w:bookmarkStart w:id="221" w:name="_Toc351203490"/>
      <w:r>
        <w:rPr>
          <w:rFonts w:hint="eastAsia" w:hAnsi="宋体" w:cs="宋体"/>
          <w:b/>
          <w:bCs/>
          <w:color w:val="auto"/>
          <w:highlight w:val="none"/>
        </w:rPr>
        <w:t>十、签订地点</w:t>
      </w:r>
      <w:bookmarkEnd w:id="219"/>
      <w:bookmarkEnd w:id="220"/>
      <w:bookmarkEnd w:id="221"/>
    </w:p>
    <w:p>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pPr>
        <w:spacing w:line="360" w:lineRule="auto"/>
        <w:ind w:firstLine="422" w:firstLineChars="200"/>
        <w:outlineLvl w:val="0"/>
        <w:rPr>
          <w:b/>
          <w:bCs/>
          <w:color w:val="auto"/>
          <w:highlight w:val="none"/>
        </w:rPr>
      </w:pPr>
      <w:bookmarkStart w:id="222" w:name="_Toc30271"/>
      <w:bookmarkStart w:id="223" w:name="_Toc30365"/>
      <w:bookmarkStart w:id="224" w:name="_Toc351203491"/>
      <w:r>
        <w:rPr>
          <w:rFonts w:hint="eastAsia" w:hAnsi="宋体" w:cs="宋体"/>
          <w:b/>
          <w:bCs/>
          <w:color w:val="auto"/>
          <w:highlight w:val="none"/>
        </w:rPr>
        <w:t>十一、补充协议</w:t>
      </w:r>
      <w:bookmarkEnd w:id="222"/>
      <w:bookmarkEnd w:id="223"/>
      <w:bookmarkEnd w:id="224"/>
    </w:p>
    <w:p>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pPr>
        <w:spacing w:line="360" w:lineRule="auto"/>
        <w:ind w:firstLine="422" w:firstLineChars="200"/>
        <w:outlineLvl w:val="0"/>
        <w:rPr>
          <w:b/>
          <w:bCs/>
          <w:color w:val="auto"/>
          <w:highlight w:val="none"/>
        </w:rPr>
      </w:pPr>
      <w:bookmarkStart w:id="225" w:name="_Toc29044"/>
      <w:bookmarkStart w:id="226" w:name="_Toc16054"/>
      <w:bookmarkStart w:id="227" w:name="_Toc351203492"/>
      <w:r>
        <w:rPr>
          <w:rFonts w:hint="eastAsia" w:hAnsi="宋体" w:cs="宋体"/>
          <w:b/>
          <w:bCs/>
          <w:color w:val="auto"/>
          <w:highlight w:val="none"/>
        </w:rPr>
        <w:t>十二、合同生效</w:t>
      </w:r>
      <w:bookmarkEnd w:id="225"/>
      <w:bookmarkEnd w:id="226"/>
      <w:bookmarkEnd w:id="227"/>
    </w:p>
    <w:p>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pPr>
        <w:spacing w:line="360" w:lineRule="auto"/>
        <w:ind w:firstLine="422" w:firstLineChars="200"/>
        <w:outlineLvl w:val="0"/>
        <w:rPr>
          <w:b/>
          <w:bCs/>
          <w:color w:val="auto"/>
          <w:highlight w:val="none"/>
        </w:rPr>
      </w:pPr>
      <w:bookmarkStart w:id="228" w:name="_Toc14637"/>
      <w:bookmarkStart w:id="229" w:name="_Toc351203493"/>
      <w:bookmarkStart w:id="230" w:name="_Toc8572"/>
      <w:r>
        <w:rPr>
          <w:rFonts w:hint="eastAsia" w:hAnsi="宋体" w:cs="宋体"/>
          <w:b/>
          <w:bCs/>
          <w:color w:val="auto"/>
          <w:highlight w:val="none"/>
        </w:rPr>
        <w:t>十三、合同份数</w:t>
      </w:r>
      <w:bookmarkEnd w:id="228"/>
      <w:bookmarkEnd w:id="229"/>
      <w:bookmarkEnd w:id="230"/>
    </w:p>
    <w:p>
      <w:pPr>
        <w:spacing w:line="360" w:lineRule="auto"/>
        <w:ind w:firstLine="420" w:firstLineChars="200"/>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hAnsi="宋体" w:cs="宋体"/>
          <w:color w:val="auto"/>
          <w:highlight w:val="none"/>
        </w:rPr>
        <w:t>份。</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pPr>
        <w:spacing w:line="360" w:lineRule="auto"/>
        <w:rPr>
          <w:color w:val="auto"/>
          <w:highlight w:val="none"/>
          <w:u w:val="single"/>
        </w:rPr>
      </w:pPr>
      <w:r>
        <w:rPr>
          <w:color w:val="auto"/>
          <w:highlight w:val="none"/>
        </w:rPr>
        <w:t xml:space="preserve">                                 </w:t>
      </w:r>
    </w:p>
    <w:p>
      <w:pPr>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pPr>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pPr>
        <w:spacing w:line="360" w:lineRule="auto"/>
        <w:rPr>
          <w:color w:val="auto"/>
          <w:highlight w:val="none"/>
          <w:u w:val="single"/>
        </w:rPr>
      </w:pPr>
    </w:p>
    <w:p>
      <w:pPr>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pPr>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pStyle w:val="2"/>
        <w:spacing w:before="0" w:after="0" w:line="240" w:lineRule="auto"/>
        <w:jc w:val="cente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2"/>
        <w:jc w:val="center"/>
        <w:rPr>
          <w:color w:val="auto"/>
          <w:highlight w:val="none"/>
        </w:rPr>
      </w:pPr>
      <w:bookmarkStart w:id="231" w:name="_Toc389065256"/>
      <w:bookmarkStart w:id="232" w:name="_Toc86847323"/>
      <w:bookmarkStart w:id="233" w:name="_Toc78449778"/>
      <w:bookmarkStart w:id="234" w:name="_Toc1714491818"/>
      <w:bookmarkStart w:id="235" w:name="_Toc407135192"/>
      <w:bookmarkStart w:id="236" w:name="_Toc32557"/>
      <w:bookmarkStart w:id="237" w:name="_Toc19940"/>
      <w:bookmarkStart w:id="238" w:name="_Toc373227691"/>
      <w:bookmarkStart w:id="239" w:name="_Toc351203632"/>
      <w:bookmarkStart w:id="240" w:name="_Toc373478338"/>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231"/>
      <w:bookmarkEnd w:id="232"/>
      <w:bookmarkEnd w:id="233"/>
      <w:bookmarkEnd w:id="234"/>
      <w:bookmarkEnd w:id="235"/>
      <w:bookmarkEnd w:id="236"/>
      <w:bookmarkEnd w:id="237"/>
    </w:p>
    <w:p>
      <w:pPr>
        <w:spacing w:line="360" w:lineRule="auto"/>
        <w:ind w:firstLine="420" w:firstLineChars="200"/>
        <w:rPr>
          <w:rFonts w:hAnsi="宋体"/>
          <w:color w:val="auto"/>
          <w:kern w:val="0"/>
          <w:highlight w:val="none"/>
        </w:rPr>
      </w:pPr>
    </w:p>
    <w:p>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pPr>
        <w:pStyle w:val="2"/>
        <w:keepNext w:val="0"/>
        <w:keepLines w:val="0"/>
        <w:jc w:val="center"/>
        <w:rPr>
          <w:rFonts w:hAnsi="宋体"/>
          <w:color w:val="auto"/>
          <w:sz w:val="30"/>
          <w:szCs w:val="30"/>
          <w:highlight w:val="none"/>
        </w:rPr>
      </w:pPr>
      <w:bookmarkStart w:id="241" w:name="_Toc28270"/>
      <w:bookmarkStart w:id="242" w:name="_Toc389065257"/>
      <w:bookmarkStart w:id="243" w:name="_Toc1204138598"/>
      <w:bookmarkStart w:id="244" w:name="_Toc407135193"/>
      <w:bookmarkStart w:id="245" w:name="_Toc704444909"/>
      <w:bookmarkStart w:id="246" w:name="_Toc17501"/>
      <w:bookmarkStart w:id="247" w:name="_Toc78449779"/>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238"/>
      <w:bookmarkEnd w:id="239"/>
      <w:bookmarkEnd w:id="240"/>
      <w:bookmarkEnd w:id="241"/>
      <w:bookmarkEnd w:id="242"/>
      <w:bookmarkEnd w:id="243"/>
      <w:bookmarkEnd w:id="244"/>
      <w:bookmarkEnd w:id="245"/>
      <w:bookmarkEnd w:id="246"/>
      <w:bookmarkEnd w:id="247"/>
    </w:p>
    <w:p>
      <w:pPr>
        <w:spacing w:line="360" w:lineRule="auto"/>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pPr>
        <w:pStyle w:val="3"/>
        <w:rPr>
          <w:color w:val="auto"/>
          <w:highlight w:val="none"/>
        </w:rPr>
      </w:pPr>
      <w:bookmarkStart w:id="248" w:name="_Toc1516097295"/>
      <w:bookmarkStart w:id="249" w:name="_Toc21146"/>
      <w:bookmarkStart w:id="250" w:name="_Toc16455"/>
      <w:bookmarkStart w:id="251" w:name="_Toc389065258"/>
      <w:bookmarkStart w:id="252" w:name="_Toc78449780"/>
      <w:bookmarkStart w:id="253" w:name="_Toc407135194"/>
      <w:bookmarkStart w:id="254" w:name="_Toc373227692"/>
      <w:bookmarkStart w:id="255" w:name="_Toc351203633"/>
      <w:bookmarkStart w:id="256" w:name="_Toc373478339"/>
      <w:bookmarkStart w:id="257" w:name="_Toc1013968286"/>
      <w:r>
        <w:rPr>
          <w:color w:val="auto"/>
          <w:highlight w:val="none"/>
        </w:rPr>
        <w:t>1</w:t>
      </w:r>
      <w:bookmarkStart w:id="258" w:name="_Toc296944495"/>
      <w:bookmarkStart w:id="259" w:name="_Toc292559866"/>
      <w:bookmarkStart w:id="260" w:name="_Toc296891196"/>
      <w:bookmarkStart w:id="261" w:name="_Toc296347155"/>
      <w:bookmarkStart w:id="262" w:name="_Toc297120456"/>
      <w:bookmarkStart w:id="263" w:name="_Toc292559361"/>
      <w:bookmarkStart w:id="264" w:name="_Toc296346657"/>
      <w:bookmarkStart w:id="265" w:name="_Toc297048342"/>
      <w:bookmarkStart w:id="266" w:name="_Toc296503156"/>
      <w:bookmarkStart w:id="267" w:name="_Toc296890984"/>
      <w:r>
        <w:rPr>
          <w:color w:val="auto"/>
          <w:highlight w:val="none"/>
        </w:rPr>
        <w:t xml:space="preserve">. </w:t>
      </w:r>
      <w:r>
        <w:rPr>
          <w:rFonts w:hint="eastAsia" w:hAnsi="宋体" w:cs="黑体"/>
          <w:color w:val="auto"/>
          <w:highlight w:val="none"/>
        </w:rPr>
        <w:t>一般约定</w:t>
      </w:r>
      <w:bookmarkEnd w:id="248"/>
      <w:bookmarkEnd w:id="249"/>
      <w:bookmarkEnd w:id="250"/>
      <w:bookmarkEnd w:id="251"/>
      <w:bookmarkEnd w:id="252"/>
      <w:bookmarkEnd w:id="253"/>
      <w:bookmarkEnd w:id="254"/>
      <w:bookmarkEnd w:id="255"/>
      <w:bookmarkEnd w:id="256"/>
      <w:bookmarkEnd w:id="257"/>
    </w:p>
    <w:bookmarkEnd w:id="258"/>
    <w:bookmarkEnd w:id="259"/>
    <w:bookmarkEnd w:id="260"/>
    <w:bookmarkEnd w:id="261"/>
    <w:bookmarkEnd w:id="262"/>
    <w:bookmarkEnd w:id="263"/>
    <w:bookmarkEnd w:id="264"/>
    <w:bookmarkEnd w:id="265"/>
    <w:bookmarkEnd w:id="266"/>
    <w:bookmarkEnd w:id="267"/>
    <w:p>
      <w:pPr>
        <w:pStyle w:val="4"/>
        <w:rPr>
          <w:color w:val="auto"/>
          <w:highlight w:val="none"/>
        </w:rPr>
      </w:pPr>
      <w:bookmarkStart w:id="268" w:name="_Toc28540"/>
      <w:bookmarkStart w:id="269" w:name="_Toc155697041"/>
      <w:bookmarkStart w:id="270" w:name="_Toc1618220701"/>
      <w:bookmarkStart w:id="271" w:name="_Toc78449781"/>
      <w:bookmarkStart w:id="272" w:name="_Toc407135195"/>
      <w:bookmarkStart w:id="273" w:name="_Toc373227693"/>
      <w:bookmarkStart w:id="274" w:name="_Toc389065259"/>
      <w:bookmarkStart w:id="275" w:name="_Toc373478340"/>
      <w:r>
        <w:rPr>
          <w:color w:val="auto"/>
          <w:highlight w:val="none"/>
        </w:rPr>
        <w:t xml:space="preserve">1.1 </w:t>
      </w:r>
      <w:r>
        <w:rPr>
          <w:rFonts w:hint="eastAsia" w:hAnsi="宋体" w:cs="黑体"/>
          <w:color w:val="auto"/>
          <w:highlight w:val="none"/>
        </w:rPr>
        <w:t>词语定义</w:t>
      </w:r>
      <w:bookmarkEnd w:id="268"/>
      <w:bookmarkEnd w:id="269"/>
      <w:bookmarkEnd w:id="270"/>
      <w:bookmarkEnd w:id="271"/>
      <w:bookmarkEnd w:id="272"/>
      <w:bookmarkEnd w:id="273"/>
      <w:bookmarkEnd w:id="274"/>
      <w:bookmarkEnd w:id="275"/>
    </w:p>
    <w:p>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履行合同过程中双方法定代表人</w:t>
      </w:r>
      <w:r>
        <w:rPr>
          <w:rFonts w:hint="eastAsia"/>
          <w:color w:val="auto"/>
          <w:highlight w:val="none"/>
          <w:u w:val="single"/>
          <w:lang w:eastAsia="zh-CN"/>
        </w:rPr>
        <w:t>（</w:t>
      </w:r>
      <w:r>
        <w:rPr>
          <w:rFonts w:hint="eastAsia"/>
          <w:color w:val="auto"/>
          <w:highlight w:val="none"/>
          <w:u w:val="single"/>
        </w:rPr>
        <w:t>或经确认被授权的双方工地代表人</w:t>
      </w:r>
      <w:r>
        <w:rPr>
          <w:rFonts w:hint="eastAsia"/>
          <w:color w:val="auto"/>
          <w:highlight w:val="none"/>
          <w:u w:val="single"/>
          <w:lang w:eastAsia="zh-CN"/>
        </w:rPr>
        <w:t>）</w:t>
      </w:r>
      <w:r>
        <w:rPr>
          <w:rFonts w:hint="eastAsia"/>
          <w:color w:val="auto"/>
          <w:highlight w:val="none"/>
          <w:u w:val="single"/>
        </w:rPr>
        <w:t>书面确认的对合同内容有实质性影响的会议纪要、签证、设计变更等资料</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pPr>
        <w:spacing w:line="360" w:lineRule="auto"/>
        <w:ind w:firstLine="420" w:firstLineChars="200"/>
        <w:outlineLvl w:val="0"/>
        <w:rPr>
          <w:color w:val="auto"/>
          <w:highlight w:val="none"/>
        </w:rPr>
      </w:pPr>
      <w:bookmarkStart w:id="276" w:name="_Toc30452"/>
      <w:bookmarkStart w:id="277" w:name="_Toc24341"/>
      <w:r>
        <w:rPr>
          <w:color w:val="auto"/>
          <w:highlight w:val="none"/>
        </w:rPr>
        <w:t xml:space="preserve">1.1.2.4 </w:t>
      </w:r>
      <w:r>
        <w:rPr>
          <w:rFonts w:hint="eastAsia" w:hAnsi="宋体" w:cs="宋体"/>
          <w:color w:val="auto"/>
          <w:highlight w:val="none"/>
        </w:rPr>
        <w:t>监理人：</w:t>
      </w:r>
      <w:bookmarkEnd w:id="276"/>
      <w:bookmarkEnd w:id="277"/>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outlineLvl w:val="0"/>
        <w:rPr>
          <w:color w:val="auto"/>
          <w:highlight w:val="none"/>
        </w:rPr>
      </w:pPr>
      <w:bookmarkStart w:id="278" w:name="_Toc14945"/>
      <w:bookmarkStart w:id="279" w:name="_Toc5694"/>
      <w:r>
        <w:rPr>
          <w:color w:val="auto"/>
          <w:highlight w:val="none"/>
        </w:rPr>
        <w:t xml:space="preserve">1.1.2.5 </w:t>
      </w:r>
      <w:r>
        <w:rPr>
          <w:rFonts w:hint="eastAsia" w:hAnsi="宋体" w:cs="宋体"/>
          <w:color w:val="auto"/>
          <w:highlight w:val="none"/>
        </w:rPr>
        <w:t>设计人：</w:t>
      </w:r>
      <w:bookmarkEnd w:id="278"/>
      <w:bookmarkEnd w:id="279"/>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pPr>
        <w:spacing w:line="360" w:lineRule="auto"/>
        <w:ind w:firstLine="420" w:firstLineChars="200"/>
        <w:outlineLvl w:val="0"/>
        <w:rPr>
          <w:rFonts w:hAnsi="宋体"/>
          <w:color w:val="auto"/>
          <w:highlight w:val="none"/>
        </w:rPr>
      </w:pPr>
      <w:bookmarkStart w:id="280" w:name="_Toc5332"/>
      <w:bookmarkStart w:id="281" w:name="_Toc17843"/>
      <w:r>
        <w:rPr>
          <w:color w:val="auto"/>
          <w:highlight w:val="none"/>
        </w:rPr>
        <w:t xml:space="preserve">1.1.3.7 </w:t>
      </w:r>
      <w:r>
        <w:rPr>
          <w:rFonts w:hint="eastAsia" w:hAnsi="宋体" w:cs="宋体"/>
          <w:color w:val="auto"/>
          <w:highlight w:val="none"/>
        </w:rPr>
        <w:t>作为施工现场组成部分的其他场所包括：</w:t>
      </w:r>
      <w:bookmarkEnd w:id="280"/>
      <w:bookmarkEnd w:id="281"/>
    </w:p>
    <w:p>
      <w:pPr>
        <w:spacing w:line="360" w:lineRule="auto"/>
        <w:ind w:firstLine="420" w:firstLineChars="200"/>
        <w:rPr>
          <w:color w:val="auto"/>
          <w:highlight w:val="none"/>
        </w:rPr>
      </w:pPr>
      <w:r>
        <w:rPr>
          <w:color w:val="auto"/>
          <w:highlight w:val="none"/>
          <w:u w:val="single"/>
        </w:rPr>
        <w:t xml:space="preserve"> </w:t>
      </w:r>
      <w:r>
        <w:rPr>
          <w:rFonts w:hint="eastAsia"/>
          <w:color w:val="auto"/>
          <w:highlight w:val="none"/>
          <w:u w:val="single"/>
        </w:rPr>
        <w:t>符合通用条款规定的发包人提供的施工场地或双方另行确定</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依据设计图纸确定</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双方在合同履行过程中确定</w:t>
      </w:r>
      <w:r>
        <w:rPr>
          <w:color w:val="auto"/>
          <w:highlight w:val="none"/>
          <w:u w:val="single"/>
        </w:rPr>
        <w:t xml:space="preserve">  </w:t>
      </w:r>
      <w:r>
        <w:rPr>
          <w:rFonts w:hint="eastAsia" w:hAnsi="宋体" w:cs="宋体"/>
          <w:color w:val="auto"/>
          <w:kern w:val="0"/>
          <w:highlight w:val="none"/>
        </w:rPr>
        <w:t>。</w:t>
      </w:r>
    </w:p>
    <w:p>
      <w:pPr>
        <w:pStyle w:val="4"/>
        <w:rPr>
          <w:color w:val="auto"/>
          <w:highlight w:val="none"/>
        </w:rPr>
      </w:pPr>
      <w:bookmarkStart w:id="282" w:name="_Toc1162259329"/>
      <w:bookmarkStart w:id="283" w:name="_Toc78449782"/>
      <w:bookmarkStart w:id="284" w:name="_Toc389065260"/>
      <w:bookmarkStart w:id="285" w:name="_Toc373227694"/>
      <w:bookmarkStart w:id="286" w:name="_Toc373478341"/>
      <w:bookmarkStart w:id="287" w:name="_Toc19214"/>
      <w:bookmarkStart w:id="288" w:name="_Toc1182598796"/>
      <w:bookmarkStart w:id="289" w:name="_Toc407135196"/>
      <w:r>
        <w:rPr>
          <w:color w:val="auto"/>
          <w:highlight w:val="none"/>
        </w:rPr>
        <w:t xml:space="preserve">1.3 </w:t>
      </w:r>
      <w:r>
        <w:rPr>
          <w:rFonts w:hint="eastAsia" w:hAnsi="宋体" w:cs="黑体"/>
          <w:color w:val="auto"/>
          <w:highlight w:val="none"/>
        </w:rPr>
        <w:t>法律</w:t>
      </w:r>
      <w:bookmarkEnd w:id="282"/>
      <w:bookmarkEnd w:id="283"/>
      <w:bookmarkEnd w:id="284"/>
      <w:bookmarkEnd w:id="285"/>
      <w:bookmarkEnd w:id="286"/>
      <w:bookmarkEnd w:id="287"/>
      <w:bookmarkEnd w:id="288"/>
      <w:bookmarkEnd w:id="289"/>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 xml:space="preserve"> 《中华人民共和国民法典》、《中华人民共和国建筑法》、《中华人民共和国安全生产法》、《建设工程质量管理条例》、《建设工程安全管理条例》以及合同签订时现行的国家法律和行政法规、工程所在地政府的有关法规和规章及规范性文件</w:t>
      </w:r>
      <w:r>
        <w:rPr>
          <w:color w:val="auto"/>
          <w:highlight w:val="none"/>
          <w:u w:val="single"/>
        </w:rPr>
        <w:t xml:space="preserve"> </w:t>
      </w:r>
      <w:r>
        <w:rPr>
          <w:rFonts w:hint="eastAsia" w:hAnsi="宋体" w:cs="宋体"/>
          <w:color w:val="auto"/>
          <w:highlight w:val="none"/>
        </w:rPr>
        <w:t>。</w:t>
      </w:r>
    </w:p>
    <w:p>
      <w:pPr>
        <w:pStyle w:val="4"/>
        <w:rPr>
          <w:color w:val="auto"/>
          <w:highlight w:val="none"/>
        </w:rPr>
      </w:pPr>
      <w:bookmarkStart w:id="290" w:name="_Toc407135197"/>
      <w:bookmarkStart w:id="291" w:name="_Toc1569433547"/>
      <w:bookmarkStart w:id="292" w:name="_Toc373227695"/>
      <w:bookmarkStart w:id="293" w:name="_Toc373478342"/>
      <w:bookmarkStart w:id="294" w:name="_Toc78449783"/>
      <w:bookmarkStart w:id="295" w:name="_Toc30689"/>
      <w:bookmarkStart w:id="296" w:name="_Toc389065261"/>
      <w:bookmarkStart w:id="297" w:name="_Toc1694357896"/>
      <w:r>
        <w:rPr>
          <w:color w:val="auto"/>
          <w:highlight w:val="none"/>
        </w:rPr>
        <w:t xml:space="preserve">1.4 </w:t>
      </w:r>
      <w:r>
        <w:rPr>
          <w:rFonts w:hint="eastAsia" w:hAnsi="宋体" w:cs="黑体"/>
          <w:color w:val="auto"/>
          <w:highlight w:val="none"/>
        </w:rPr>
        <w:t>标准和规范</w:t>
      </w:r>
      <w:bookmarkEnd w:id="290"/>
      <w:bookmarkEnd w:id="291"/>
      <w:bookmarkEnd w:id="292"/>
      <w:bookmarkEnd w:id="293"/>
      <w:bookmarkEnd w:id="294"/>
      <w:bookmarkEnd w:id="295"/>
      <w:bookmarkEnd w:id="296"/>
      <w:bookmarkEnd w:id="297"/>
    </w:p>
    <w:p>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现行的国家标准、规范，行业标准、规范</w:t>
      </w:r>
      <w:r>
        <w:rPr>
          <w:color w:val="auto"/>
          <w:highlight w:val="none"/>
          <w:u w:val="single"/>
        </w:rPr>
        <w:t xml:space="preserve"> </w:t>
      </w:r>
      <w:r>
        <w:rPr>
          <w:rFonts w:hint="eastAsia" w:hAnsi="宋体" w:cs="宋体"/>
          <w:color w:val="auto"/>
          <w:highlight w:val="none"/>
        </w:rPr>
        <w:t>。</w:t>
      </w:r>
    </w:p>
    <w:p>
      <w:pPr>
        <w:spacing w:line="360" w:lineRule="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pPr>
        <w:spacing w:line="360" w:lineRule="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int="eastAsia" w:hAnsi="宋体" w:cs="宋体"/>
          <w:color w:val="auto"/>
          <w:highlight w:val="none"/>
          <w:u w:val="single"/>
          <w:lang w:val="en-US" w:eastAsia="zh-CN"/>
        </w:rPr>
        <w:t xml:space="preserve"> </w:t>
      </w:r>
      <w:r>
        <w:rPr>
          <w:rFonts w:hint="eastAsia"/>
          <w:color w:val="auto"/>
          <w:highlight w:val="none"/>
          <w:u w:val="single"/>
        </w:rPr>
        <w:t>另行协商</w:t>
      </w:r>
      <w:r>
        <w:rPr>
          <w:rFonts w:hAnsi="宋体"/>
          <w:color w:val="auto"/>
          <w:highlight w:val="none"/>
          <w:u w:val="single"/>
        </w:rPr>
        <w:t xml:space="preserve"> </w:t>
      </w:r>
      <w:r>
        <w:rPr>
          <w:rFonts w:hint="eastAsia" w:hAnsi="宋体" w:cs="宋体"/>
          <w:color w:val="auto"/>
          <w:highlight w:val="none"/>
        </w:rPr>
        <w:t>。</w:t>
      </w:r>
    </w:p>
    <w:p>
      <w:pPr>
        <w:pStyle w:val="4"/>
        <w:rPr>
          <w:color w:val="auto"/>
          <w:highlight w:val="none"/>
        </w:rPr>
      </w:pPr>
      <w:bookmarkStart w:id="298" w:name="_Toc78449784"/>
      <w:bookmarkStart w:id="299" w:name="_Toc373478343"/>
      <w:bookmarkStart w:id="300" w:name="_Toc188277238"/>
      <w:bookmarkStart w:id="301" w:name="_Toc4759"/>
      <w:bookmarkStart w:id="302" w:name="_Toc373227696"/>
      <w:bookmarkStart w:id="303" w:name="_Toc407135198"/>
      <w:bookmarkStart w:id="304" w:name="_Toc389065262"/>
      <w:bookmarkStart w:id="305" w:name="_Toc24431861"/>
      <w:r>
        <w:rPr>
          <w:color w:val="auto"/>
          <w:highlight w:val="none"/>
        </w:rPr>
        <w:t xml:space="preserve">1.5 </w:t>
      </w:r>
      <w:r>
        <w:rPr>
          <w:rFonts w:hint="eastAsia" w:cs="黑体"/>
          <w:color w:val="auto"/>
          <w:highlight w:val="none"/>
        </w:rPr>
        <w:t>合同文件的优先顺序</w:t>
      </w:r>
      <w:bookmarkEnd w:id="298"/>
      <w:bookmarkEnd w:id="299"/>
      <w:bookmarkEnd w:id="300"/>
      <w:bookmarkEnd w:id="301"/>
      <w:bookmarkEnd w:id="302"/>
      <w:bookmarkEnd w:id="303"/>
      <w:bookmarkEnd w:id="304"/>
      <w:bookmarkEnd w:id="305"/>
    </w:p>
    <w:p>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pPr>
        <w:spacing w:line="360" w:lineRule="auto"/>
        <w:ind w:firstLine="420" w:firstLineChars="200"/>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pPr>
        <w:spacing w:line="360" w:lineRule="auto"/>
        <w:ind w:firstLine="420" w:firstLineChars="200"/>
        <w:rPr>
          <w:rFonts w:hint="eastAsia" w:ascii="Times New Roman" w:hAnsi="宋体" w:eastAsia="宋体" w:cs="宋体"/>
          <w:color w:val="auto"/>
          <w:kern w:val="0"/>
          <w:highlight w:val="none"/>
        </w:rPr>
      </w:pPr>
      <w:bookmarkStart w:id="306" w:name="bookmark916"/>
      <w:bookmarkEnd w:id="30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pPr>
        <w:spacing w:line="360" w:lineRule="auto"/>
        <w:ind w:firstLineChars="200"/>
        <w:rPr>
          <w:rFonts w:hint="eastAsia" w:ascii="Times New Roman" w:hAnsi="宋体" w:eastAsia="宋体" w:cs="宋体"/>
          <w:color w:val="auto"/>
          <w:kern w:val="0"/>
          <w:highlight w:val="none"/>
        </w:rPr>
      </w:pPr>
      <w:bookmarkStart w:id="307" w:name="bookmark917"/>
      <w:bookmarkEnd w:id="30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pPr>
        <w:spacing w:line="360" w:lineRule="auto"/>
        <w:ind w:firstLineChars="200"/>
        <w:rPr>
          <w:rFonts w:hint="eastAsia" w:ascii="Times New Roman" w:hAnsi="宋体" w:eastAsia="宋体" w:cs="宋体"/>
          <w:color w:val="auto"/>
          <w:kern w:val="0"/>
          <w:highlight w:val="none"/>
        </w:rPr>
      </w:pPr>
      <w:bookmarkStart w:id="308" w:name="bookmark918"/>
      <w:bookmarkEnd w:id="30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pPr>
        <w:spacing w:line="360" w:lineRule="auto"/>
        <w:ind w:firstLineChars="200"/>
        <w:rPr>
          <w:rFonts w:hint="eastAsia" w:ascii="Times New Roman" w:hAnsi="宋体" w:eastAsia="宋体" w:cs="宋体"/>
          <w:color w:val="auto"/>
          <w:kern w:val="0"/>
          <w:highlight w:val="none"/>
        </w:rPr>
      </w:pPr>
      <w:bookmarkStart w:id="309" w:name="bookmark919"/>
      <w:bookmarkEnd w:id="30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pPr>
        <w:spacing w:line="360" w:lineRule="auto"/>
        <w:ind w:firstLineChars="200"/>
        <w:rPr>
          <w:rFonts w:hint="eastAsia" w:ascii="Times New Roman" w:hAnsi="宋体" w:eastAsia="宋体" w:cs="宋体"/>
          <w:color w:val="auto"/>
          <w:kern w:val="0"/>
          <w:highlight w:val="none"/>
        </w:rPr>
      </w:pPr>
      <w:bookmarkStart w:id="310" w:name="bookmark920"/>
      <w:bookmarkEnd w:id="31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pPr>
        <w:spacing w:line="360" w:lineRule="auto"/>
        <w:ind w:firstLineChars="200"/>
        <w:rPr>
          <w:rFonts w:hint="eastAsia" w:ascii="Times New Roman" w:hAnsi="宋体" w:eastAsia="宋体" w:cs="宋体"/>
          <w:color w:val="auto"/>
          <w:kern w:val="0"/>
          <w:highlight w:val="none"/>
        </w:rPr>
      </w:pPr>
      <w:bookmarkStart w:id="311" w:name="bookmark921"/>
      <w:bookmarkEnd w:id="31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pPr>
        <w:spacing w:line="360" w:lineRule="auto"/>
        <w:ind w:firstLine="420" w:firstLineChars="200"/>
        <w:rPr>
          <w:rFonts w:hint="eastAsia" w:ascii="Times New Roman" w:hAnsi="宋体" w:eastAsia="宋体" w:cs="宋体"/>
          <w:color w:val="auto"/>
          <w:kern w:val="0"/>
          <w:highlight w:val="none"/>
        </w:rPr>
      </w:pPr>
      <w:bookmarkStart w:id="312" w:name="bookmark922"/>
      <w:bookmarkEnd w:id="312"/>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pPr>
        <w:autoSpaceDE/>
        <w:autoSpaceDN/>
        <w:adjustRightInd/>
        <w:spacing w:line="360" w:lineRule="auto"/>
        <w:ind w:firstLine="420" w:firstLineChars="200"/>
        <w:jc w:val="left"/>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pPr>
        <w:pStyle w:val="4"/>
        <w:rPr>
          <w:color w:val="auto"/>
          <w:highlight w:val="none"/>
        </w:rPr>
      </w:pPr>
      <w:bookmarkStart w:id="313" w:name="_Toc1531480704"/>
      <w:bookmarkStart w:id="314" w:name="_Toc28631"/>
      <w:bookmarkStart w:id="315" w:name="_Toc373478344"/>
      <w:bookmarkStart w:id="316" w:name="_Toc1537247101"/>
      <w:bookmarkStart w:id="317" w:name="_Toc373227697"/>
      <w:bookmarkStart w:id="318" w:name="_Toc78449785"/>
      <w:bookmarkStart w:id="319" w:name="_Toc407135199"/>
      <w:bookmarkStart w:id="320" w:name="_Toc389065263"/>
      <w:r>
        <w:rPr>
          <w:color w:val="auto"/>
          <w:highlight w:val="none"/>
        </w:rPr>
        <w:t xml:space="preserve">1.6 </w:t>
      </w:r>
      <w:r>
        <w:rPr>
          <w:rFonts w:hint="eastAsia" w:cs="黑体"/>
          <w:color w:val="auto"/>
          <w:highlight w:val="none"/>
        </w:rPr>
        <w:t>图纸和承包人文件</w:t>
      </w:r>
      <w:bookmarkEnd w:id="313"/>
      <w:bookmarkEnd w:id="314"/>
      <w:bookmarkEnd w:id="315"/>
      <w:bookmarkEnd w:id="316"/>
      <w:bookmarkEnd w:id="317"/>
      <w:bookmarkEnd w:id="318"/>
      <w:bookmarkEnd w:id="319"/>
      <w:bookmarkEnd w:id="320"/>
      <w:r>
        <w:rPr>
          <w:color w:val="auto"/>
          <w:highlight w:val="none"/>
        </w:rPr>
        <w:tab/>
      </w:r>
    </w:p>
    <w:p>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color w:val="auto"/>
          <w:highlight w:val="none"/>
          <w:u w:val="single"/>
        </w:rPr>
        <w:t>合同签订之日起7个工作日内提供施工图</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lang w:val="en-US" w:eastAsia="zh-CN"/>
        </w:rPr>
        <w:t xml:space="preserve"> 1 </w:t>
      </w:r>
      <w:r>
        <w:rPr>
          <w:rFonts w:hint="eastAsia" w:hAnsi="宋体" w:cs="宋体"/>
          <w:color w:val="auto"/>
          <w:highlight w:val="none"/>
        </w:rPr>
        <w:t>套（承包人需要增加图纸套数的，发包人应代为复制，复制费用由承包人承担）；</w:t>
      </w:r>
    </w:p>
    <w:p>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color w:val="auto"/>
          <w:highlight w:val="none"/>
          <w:u w:val="single"/>
        </w:rPr>
        <w:t>本合同发包内容中的全部图纸</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color w:val="auto"/>
          <w:highlight w:val="none"/>
          <w:u w:val="single"/>
        </w:rPr>
        <w:t>开工前3天应提供完善的施工组织设计和安全专项方案，其他需要由承包人提供的文件由双方另行确定</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开工前 7 天</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电子版一份，纸质版四份</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int="eastAsia" w:hAnsi="宋体"/>
          <w:color w:val="auto"/>
          <w:highlight w:val="none"/>
          <w:u w:val="single"/>
        </w:rPr>
        <w:t>书面送达</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收到文件之日起7个工作内批复</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pPr>
        <w:spacing w:line="360" w:lineRule="auto"/>
        <w:ind w:firstLine="420" w:firstLineChars="200"/>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承包人应在施工现场保留一套完整的施工图纸，供工程师及有关人员进行工程检查时使用，未经发包人同意不许将图纸泄露和转让给第三方</w:t>
      </w:r>
      <w:r>
        <w:rPr>
          <w:rFonts w:hAnsi="宋体"/>
          <w:color w:val="auto"/>
          <w:highlight w:val="none"/>
          <w:u w:val="single"/>
        </w:rPr>
        <w:t xml:space="preserve"> </w:t>
      </w:r>
      <w:r>
        <w:rPr>
          <w:rFonts w:hint="eastAsia" w:hAnsi="宋体" w:cs="宋体"/>
          <w:color w:val="auto"/>
          <w:highlight w:val="none"/>
        </w:rPr>
        <w:t>。</w:t>
      </w:r>
    </w:p>
    <w:p>
      <w:pPr>
        <w:pStyle w:val="4"/>
        <w:rPr>
          <w:color w:val="auto"/>
          <w:highlight w:val="none"/>
        </w:rPr>
      </w:pPr>
      <w:bookmarkStart w:id="321" w:name="_Toc78449786"/>
      <w:bookmarkStart w:id="322" w:name="_Toc1944260835"/>
      <w:bookmarkStart w:id="323" w:name="_Toc389065264"/>
      <w:bookmarkStart w:id="324" w:name="_Toc23843"/>
      <w:bookmarkStart w:id="325" w:name="_Toc407135200"/>
      <w:bookmarkStart w:id="326" w:name="_Toc110523719"/>
      <w:bookmarkStart w:id="327" w:name="_Toc373478345"/>
      <w:bookmarkStart w:id="328" w:name="_Toc373227698"/>
      <w:r>
        <w:rPr>
          <w:color w:val="auto"/>
          <w:highlight w:val="none"/>
        </w:rPr>
        <w:t xml:space="preserve">1.7 </w:t>
      </w:r>
      <w:r>
        <w:rPr>
          <w:rFonts w:hint="eastAsia" w:hAnsi="宋体" w:cs="黑体"/>
          <w:color w:val="auto"/>
          <w:highlight w:val="none"/>
        </w:rPr>
        <w:t>联络</w:t>
      </w:r>
      <w:bookmarkEnd w:id="321"/>
      <w:bookmarkEnd w:id="322"/>
      <w:bookmarkEnd w:id="323"/>
      <w:bookmarkEnd w:id="324"/>
      <w:bookmarkEnd w:id="325"/>
      <w:bookmarkEnd w:id="326"/>
      <w:bookmarkEnd w:id="327"/>
      <w:bookmarkEnd w:id="328"/>
    </w:p>
    <w:p>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发包人办公室</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pPr>
        <w:pStyle w:val="4"/>
        <w:rPr>
          <w:color w:val="auto"/>
          <w:highlight w:val="none"/>
        </w:rPr>
      </w:pPr>
      <w:bookmarkStart w:id="329" w:name="_Toc78449787"/>
      <w:bookmarkStart w:id="330" w:name="_Toc407135201"/>
      <w:bookmarkStart w:id="331" w:name="_Toc1387231545"/>
      <w:bookmarkStart w:id="332" w:name="_Toc373478346"/>
      <w:bookmarkStart w:id="333" w:name="_Toc373227699"/>
      <w:bookmarkStart w:id="334" w:name="_Toc7820"/>
      <w:bookmarkStart w:id="335" w:name="_Toc224348539"/>
      <w:bookmarkStart w:id="336" w:name="_Toc389065265"/>
      <w:r>
        <w:rPr>
          <w:color w:val="auto"/>
          <w:highlight w:val="none"/>
        </w:rPr>
        <w:t xml:space="preserve">1.10 </w:t>
      </w:r>
      <w:r>
        <w:rPr>
          <w:rFonts w:hint="eastAsia" w:hAnsi="宋体" w:cs="黑体"/>
          <w:color w:val="auto"/>
          <w:highlight w:val="none"/>
        </w:rPr>
        <w:t>交通运输</w:t>
      </w:r>
      <w:bookmarkEnd w:id="329"/>
      <w:bookmarkEnd w:id="330"/>
      <w:bookmarkEnd w:id="331"/>
      <w:bookmarkEnd w:id="332"/>
      <w:bookmarkEnd w:id="333"/>
      <w:bookmarkEnd w:id="334"/>
      <w:bookmarkEnd w:id="335"/>
      <w:bookmarkEnd w:id="336"/>
    </w:p>
    <w:p>
      <w:pPr>
        <w:spacing w:line="360" w:lineRule="auto"/>
        <w:ind w:firstLine="420" w:firstLineChars="200"/>
        <w:rPr>
          <w:color w:val="auto"/>
          <w:highlight w:val="none"/>
        </w:rPr>
      </w:pPr>
      <w:r>
        <w:rPr>
          <w:color w:val="auto"/>
          <w:highlight w:val="none"/>
        </w:rPr>
        <w:t>1</w:t>
      </w:r>
      <w:bookmarkStart w:id="337" w:name="_Toc318581155"/>
      <w:bookmarkStart w:id="338" w:name="_Toc312677986"/>
      <w:bookmarkStart w:id="339" w:name="_Toc303539100"/>
      <w:bookmarkStart w:id="340" w:name="_Toc300934943"/>
      <w:bookmarkStart w:id="341" w:name="_Toc304295521"/>
      <w:r>
        <w:rPr>
          <w:color w:val="auto"/>
          <w:highlight w:val="none"/>
        </w:rPr>
        <w:t xml:space="preserve">.10.1 </w:t>
      </w:r>
      <w:r>
        <w:rPr>
          <w:rFonts w:hint="eastAsia" w:hAnsi="宋体" w:cs="宋体"/>
          <w:color w:val="auto"/>
          <w:highlight w:val="none"/>
        </w:rPr>
        <w:t>出入现场的权利</w:t>
      </w:r>
    </w:p>
    <w:p>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color w:val="auto"/>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r>
        <w:rPr>
          <w:rFonts w:hint="eastAsia" w:hAnsi="宋体" w:cs="宋体"/>
          <w:color w:val="auto"/>
          <w:highlight w:val="none"/>
        </w:rPr>
        <w:t>。</w:t>
      </w:r>
    </w:p>
    <w:bookmarkEnd w:id="337"/>
    <w:bookmarkEnd w:id="338"/>
    <w:bookmarkEnd w:id="339"/>
    <w:bookmarkEnd w:id="340"/>
    <w:bookmarkEnd w:id="341"/>
    <w:p>
      <w:pPr>
        <w:spacing w:line="360" w:lineRule="auto"/>
        <w:ind w:firstLine="420" w:firstLineChars="200"/>
        <w:jc w:val="left"/>
        <w:rPr>
          <w:color w:val="auto"/>
          <w:highlight w:val="none"/>
        </w:rPr>
      </w:pPr>
      <w:r>
        <w:rPr>
          <w:color w:val="auto"/>
          <w:highlight w:val="none"/>
        </w:rPr>
        <w:t>1</w:t>
      </w:r>
      <w:bookmarkStart w:id="342" w:name="_Toc312677987"/>
      <w:bookmarkStart w:id="343" w:name="_Toc304295522"/>
      <w:bookmarkStart w:id="344" w:name="_Toc303539101"/>
      <w:bookmarkStart w:id="345" w:name="_Toc300934944"/>
      <w:bookmarkStart w:id="346" w:name="_Toc318581156"/>
      <w:r>
        <w:rPr>
          <w:color w:val="auto"/>
          <w:highlight w:val="none"/>
        </w:rPr>
        <w:t xml:space="preserve">.10.3 </w:t>
      </w:r>
      <w:r>
        <w:rPr>
          <w:rFonts w:hint="eastAsia" w:hAnsi="宋体" w:cs="宋体"/>
          <w:color w:val="auto"/>
          <w:highlight w:val="none"/>
        </w:rPr>
        <w:t>场内交通</w:t>
      </w:r>
    </w:p>
    <w:p>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以本合同施工图纸为准</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ascii="宋体" w:hAnsi="宋体" w:eastAsia="宋体" w:cs="宋体"/>
          <w:color w:val="auto"/>
          <w:spacing w:val="0"/>
          <w:highlight w:val="none"/>
          <w:u w:val="single"/>
        </w:rPr>
        <w:t>由承包人自行解决</w:t>
      </w:r>
      <w:r>
        <w:rPr>
          <w:color w:val="auto"/>
          <w:highlight w:val="none"/>
          <w:u w:val="single"/>
        </w:rPr>
        <w:t xml:space="preserve">  </w:t>
      </w:r>
      <w:r>
        <w:rPr>
          <w:rFonts w:hAnsi="宋体"/>
          <w:color w:val="auto"/>
          <w:highlight w:val="none"/>
        </w:rPr>
        <w:t>。</w:t>
      </w:r>
      <w:bookmarkEnd w:id="342"/>
      <w:bookmarkEnd w:id="343"/>
      <w:bookmarkEnd w:id="344"/>
      <w:bookmarkEnd w:id="345"/>
      <w:bookmarkEnd w:id="346"/>
      <w:bookmarkStart w:id="347" w:name="_Toc318581157"/>
    </w:p>
    <w:p>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ascii="宋体" w:hAnsi="宋体" w:eastAsia="宋体" w:cs="宋体"/>
          <w:color w:val="auto"/>
          <w:highlight w:val="none"/>
          <w:u w:val="single"/>
        </w:rPr>
        <w:t xml:space="preserve"> 承包人 </w:t>
      </w:r>
      <w:r>
        <w:rPr>
          <w:rFonts w:hint="eastAsia" w:hAnsi="宋体" w:cs="宋体"/>
          <w:color w:val="auto"/>
          <w:highlight w:val="none"/>
        </w:rPr>
        <w:t>承担。</w:t>
      </w:r>
    </w:p>
    <w:bookmarkEnd w:id="347"/>
    <w:p>
      <w:pPr>
        <w:pStyle w:val="4"/>
        <w:rPr>
          <w:color w:val="auto"/>
          <w:highlight w:val="none"/>
        </w:rPr>
      </w:pPr>
      <w:bookmarkStart w:id="348" w:name="_Toc78449788"/>
      <w:bookmarkStart w:id="349" w:name="_Toc512841653"/>
      <w:bookmarkStart w:id="350" w:name="_Toc373478347"/>
      <w:bookmarkStart w:id="351" w:name="_Toc389065266"/>
      <w:bookmarkStart w:id="352" w:name="_Toc373227700"/>
      <w:bookmarkStart w:id="353" w:name="_Toc407135202"/>
      <w:bookmarkStart w:id="354" w:name="_Toc13591"/>
      <w:bookmarkStart w:id="355" w:name="_Toc1495098807"/>
      <w:r>
        <w:rPr>
          <w:color w:val="auto"/>
          <w:highlight w:val="none"/>
        </w:rPr>
        <w:t xml:space="preserve">1.11 </w:t>
      </w:r>
      <w:r>
        <w:rPr>
          <w:rFonts w:hint="eastAsia" w:hAnsi="宋体" w:cs="黑体"/>
          <w:color w:val="auto"/>
          <w:highlight w:val="none"/>
        </w:rPr>
        <w:t>知识产权</w:t>
      </w:r>
      <w:bookmarkEnd w:id="348"/>
      <w:bookmarkEnd w:id="349"/>
      <w:bookmarkEnd w:id="350"/>
      <w:bookmarkEnd w:id="351"/>
      <w:bookmarkEnd w:id="352"/>
      <w:bookmarkEnd w:id="353"/>
      <w:bookmarkEnd w:id="354"/>
      <w:bookmarkEnd w:id="355"/>
    </w:p>
    <w:p>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ascii="宋体" w:hAnsi="宋体" w:eastAsia="宋体" w:cs="宋体"/>
          <w:color w:val="auto"/>
          <w:highlight w:val="none"/>
          <w:u w:val="single"/>
        </w:rPr>
        <w:t xml:space="preserve"> 发包人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ascii="宋体" w:hAnsi="宋体" w:eastAsia="宋体" w:cs="宋体"/>
          <w:color w:val="auto"/>
          <w:spacing w:val="0"/>
          <w:highlight w:val="none"/>
          <w:u w:val="single"/>
        </w:rPr>
        <w:t>承包人可以为实现合同目的而复制、使用此类文件，但不能用于与合同无关的其他事项。未经发包人书面同意，承包人不得为了合同以外的目的</w:t>
      </w:r>
      <w:r>
        <w:rPr>
          <w:rFonts w:ascii="宋体" w:hAnsi="宋体" w:eastAsia="宋体" w:cs="宋体"/>
          <w:color w:val="auto"/>
          <w:highlight w:val="none"/>
          <w:u w:val="single"/>
        </w:rPr>
        <w:t xml:space="preserve">而复制、使用上述文件或将之提供给任何第三方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ascii="宋体" w:hAnsi="宋体" w:eastAsia="宋体" w:cs="宋体"/>
          <w:color w:val="auto"/>
          <w:spacing w:val="0"/>
          <w:highlight w:val="none"/>
          <w:u w:val="single"/>
        </w:rPr>
        <w:t xml:space="preserve"> 除署名权以外的著作权属于发包人</w:t>
      </w:r>
      <w:r>
        <w:rPr>
          <w:rFonts w:hint="eastAsia" w:hAnsi="宋体" w:cs="宋体"/>
          <w:color w:val="auto"/>
          <w:highlight w:val="none"/>
        </w:rPr>
        <w:t>。</w:t>
      </w:r>
    </w:p>
    <w:p>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ascii="宋体" w:hAnsi="宋体" w:eastAsia="宋体" w:cs="宋体"/>
          <w:color w:val="auto"/>
          <w:highlight w:val="none"/>
          <w:u w:val="single"/>
        </w:rPr>
        <w:t xml:space="preserve"> 按通用条款 </w:t>
      </w:r>
      <w:r>
        <w:rPr>
          <w:rFonts w:ascii="Calibri" w:hAnsi="Calibri" w:eastAsia="Calibri" w:cs="Calibri"/>
          <w:color w:val="auto"/>
          <w:highlight w:val="none"/>
          <w:u w:val="single"/>
        </w:rPr>
        <w:t xml:space="preserve">1.11 </w:t>
      </w:r>
      <w:r>
        <w:rPr>
          <w:rFonts w:ascii="宋体" w:hAnsi="宋体" w:eastAsia="宋体" w:cs="宋体"/>
          <w:color w:val="auto"/>
          <w:highlight w:val="none"/>
          <w:u w:val="single"/>
        </w:rPr>
        <w:t xml:space="preserve">执行 </w:t>
      </w:r>
      <w:r>
        <w:rPr>
          <w:rFonts w:hint="eastAsia" w:hAnsi="宋体" w:cs="宋体"/>
          <w:color w:val="auto"/>
          <w:highlight w:val="none"/>
        </w:rPr>
        <w:t>。</w:t>
      </w:r>
    </w:p>
    <w:p>
      <w:pPr>
        <w:spacing w:line="360" w:lineRule="auto"/>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ascii="宋体" w:hAnsi="宋体" w:eastAsia="宋体" w:cs="宋体"/>
          <w:color w:val="auto"/>
          <w:spacing w:val="0"/>
          <w:highlight w:val="none"/>
          <w:u w:val="single"/>
        </w:rPr>
        <w:t xml:space="preserve"> 由承包人承担</w:t>
      </w:r>
      <w:r>
        <w:rPr>
          <w:rFonts w:ascii="宋体" w:hAnsi="宋体" w:eastAsia="宋体" w:cs="宋体"/>
          <w:color w:val="auto"/>
          <w:highlight w:val="none"/>
          <w:u w:val="single"/>
        </w:rPr>
        <w:t xml:space="preserve">，已包含在签约合同价中，发包人不再另行支付 </w:t>
      </w:r>
      <w:r>
        <w:rPr>
          <w:rFonts w:hint="eastAsia" w:hAnsi="宋体" w:cs="宋体"/>
          <w:color w:val="auto"/>
          <w:kern w:val="0"/>
          <w:highlight w:val="none"/>
        </w:rPr>
        <w:t>。</w:t>
      </w:r>
    </w:p>
    <w:p>
      <w:pPr>
        <w:pStyle w:val="4"/>
        <w:rPr>
          <w:color w:val="auto"/>
          <w:highlight w:val="none"/>
        </w:rPr>
      </w:pPr>
      <w:bookmarkStart w:id="356" w:name="_Toc373478348"/>
      <w:bookmarkStart w:id="357" w:name="_Toc389065267"/>
      <w:bookmarkStart w:id="358" w:name="_Toc407135203"/>
      <w:bookmarkStart w:id="359" w:name="_Toc1194977599"/>
      <w:bookmarkStart w:id="360" w:name="_Toc78449789"/>
      <w:bookmarkStart w:id="361" w:name="_Toc267680563"/>
      <w:bookmarkStart w:id="362" w:name="_Toc15636"/>
      <w:bookmarkStart w:id="363" w:name="_Toc373227701"/>
      <w:r>
        <w:rPr>
          <w:color w:val="auto"/>
          <w:highlight w:val="none"/>
        </w:rPr>
        <w:t>1.13</w:t>
      </w:r>
      <w:r>
        <w:rPr>
          <w:rFonts w:hint="eastAsia" w:cs="黑体"/>
          <w:color w:val="auto"/>
          <w:highlight w:val="none"/>
        </w:rPr>
        <w:t>工程量清单错误的修正</w:t>
      </w:r>
      <w:bookmarkEnd w:id="356"/>
      <w:bookmarkEnd w:id="357"/>
      <w:bookmarkEnd w:id="358"/>
      <w:bookmarkEnd w:id="359"/>
      <w:bookmarkEnd w:id="360"/>
      <w:bookmarkEnd w:id="361"/>
      <w:bookmarkEnd w:id="362"/>
      <w:bookmarkEnd w:id="363"/>
    </w:p>
    <w:p>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pPr>
        <w:spacing w:line="360" w:lineRule="auto"/>
        <w:ind w:firstLine="420" w:firstLineChars="200"/>
        <w:rPr>
          <w:rFonts w:hint="eastAsia" w:hAnsi="宋体" w:cs="宋体"/>
          <w:color w:val="auto"/>
          <w:highlight w:val="none"/>
        </w:rPr>
      </w:pPr>
      <w:r>
        <w:rPr>
          <w:rFonts w:hint="eastAsia" w:hAnsi="宋体" w:cs="宋体"/>
          <w:color w:val="auto"/>
          <w:highlight w:val="none"/>
        </w:rPr>
        <w:t>允许调整合同价格的工程量偏差范围及其调整办法：</w:t>
      </w:r>
    </w:p>
    <w:p>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rPr>
          <w:rFonts w:hint="eastAsia" w:hAnsi="宋体" w:cs="宋体"/>
          <w:color w:val="auto"/>
          <w:highlight w:val="none"/>
          <w:u w:val="single"/>
        </w:rPr>
      </w:pPr>
      <w:r>
        <w:rPr>
          <w:rFonts w:hint="eastAsia" w:ascii="宋体" w:hAnsi="宋体" w:cs="宋体"/>
          <w:color w:val="auto"/>
          <w:highlight w:val="none"/>
        </w:rPr>
        <w:t>□</w:t>
      </w:r>
      <w:r>
        <w:rPr>
          <w:rFonts w:hint="eastAsia" w:ascii="Calibri" w:hAnsi="宋体" w:cs="宋体"/>
          <w:color w:val="auto"/>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pPr>
        <w:pStyle w:val="3"/>
        <w:rPr>
          <w:color w:val="auto"/>
          <w:highlight w:val="none"/>
        </w:rPr>
      </w:pPr>
      <w:bookmarkStart w:id="364" w:name="_Toc143780453"/>
      <w:bookmarkStart w:id="365" w:name="_Toc1415467590"/>
      <w:bookmarkStart w:id="366" w:name="_Toc407135204"/>
      <w:bookmarkStart w:id="367" w:name="_Toc78449790"/>
      <w:bookmarkStart w:id="368" w:name="_Toc16161"/>
      <w:bookmarkStart w:id="369" w:name="_Toc351203634"/>
      <w:bookmarkStart w:id="370" w:name="_Toc389065268"/>
      <w:bookmarkStart w:id="371" w:name="_Toc373227702"/>
      <w:bookmarkStart w:id="372" w:name="_Toc28277"/>
      <w:bookmarkStart w:id="373" w:name="_Toc373478349"/>
      <w:r>
        <w:rPr>
          <w:color w:val="auto"/>
          <w:highlight w:val="none"/>
        </w:rPr>
        <w:t>2</w:t>
      </w:r>
      <w:bookmarkStart w:id="374" w:name="_Toc296503157"/>
      <w:bookmarkStart w:id="375" w:name="_Toc296346658"/>
      <w:bookmarkStart w:id="376" w:name="_Toc296891197"/>
      <w:bookmarkStart w:id="377" w:name="_Toc297120457"/>
      <w:bookmarkStart w:id="378" w:name="_Toc296944496"/>
      <w:bookmarkStart w:id="379" w:name="_Toc292559362"/>
      <w:bookmarkStart w:id="380" w:name="_Toc292559867"/>
      <w:bookmarkStart w:id="381" w:name="_Toc297048343"/>
      <w:bookmarkStart w:id="382" w:name="_Toc296890985"/>
      <w:bookmarkStart w:id="383" w:name="_Toc296347156"/>
      <w:r>
        <w:rPr>
          <w:color w:val="auto"/>
          <w:highlight w:val="none"/>
        </w:rPr>
        <w:t xml:space="preserve">. </w:t>
      </w:r>
      <w:r>
        <w:rPr>
          <w:rFonts w:hint="eastAsia" w:hAnsi="宋体" w:cs="黑体"/>
          <w:color w:val="auto"/>
          <w:highlight w:val="none"/>
        </w:rPr>
        <w:t>发包人</w:t>
      </w:r>
      <w:bookmarkEnd w:id="364"/>
      <w:bookmarkEnd w:id="365"/>
      <w:bookmarkEnd w:id="366"/>
      <w:bookmarkEnd w:id="367"/>
      <w:bookmarkEnd w:id="368"/>
      <w:bookmarkEnd w:id="369"/>
      <w:bookmarkEnd w:id="370"/>
      <w:bookmarkEnd w:id="371"/>
      <w:bookmarkEnd w:id="372"/>
      <w:bookmarkEnd w:id="373"/>
    </w:p>
    <w:bookmarkEnd w:id="374"/>
    <w:bookmarkEnd w:id="375"/>
    <w:bookmarkEnd w:id="376"/>
    <w:bookmarkEnd w:id="377"/>
    <w:bookmarkEnd w:id="378"/>
    <w:bookmarkEnd w:id="379"/>
    <w:bookmarkEnd w:id="380"/>
    <w:bookmarkEnd w:id="381"/>
    <w:bookmarkEnd w:id="382"/>
    <w:bookmarkEnd w:id="383"/>
    <w:p>
      <w:pPr>
        <w:pStyle w:val="4"/>
        <w:rPr>
          <w:color w:val="auto"/>
          <w:highlight w:val="none"/>
        </w:rPr>
      </w:pPr>
      <w:bookmarkStart w:id="384" w:name="_Toc373478350"/>
      <w:bookmarkStart w:id="385" w:name="_Toc389065269"/>
      <w:bookmarkStart w:id="386" w:name="_Toc971240048"/>
      <w:bookmarkStart w:id="387" w:name="_Toc407135205"/>
      <w:bookmarkStart w:id="388" w:name="_Toc14776"/>
      <w:bookmarkStart w:id="389" w:name="_Toc78449791"/>
      <w:bookmarkStart w:id="390" w:name="_Toc547644210"/>
      <w:bookmarkStart w:id="391" w:name="_Toc373227703"/>
      <w:r>
        <w:rPr>
          <w:color w:val="auto"/>
          <w:highlight w:val="none"/>
        </w:rPr>
        <w:t xml:space="preserve">2.2 </w:t>
      </w:r>
      <w:r>
        <w:rPr>
          <w:rFonts w:hint="eastAsia" w:hAnsi="宋体" w:cs="黑体"/>
          <w:color w:val="auto"/>
          <w:highlight w:val="none"/>
        </w:rPr>
        <w:t>发包人代表</w:t>
      </w:r>
      <w:bookmarkEnd w:id="384"/>
      <w:bookmarkEnd w:id="385"/>
      <w:bookmarkEnd w:id="386"/>
      <w:bookmarkEnd w:id="387"/>
      <w:bookmarkEnd w:id="388"/>
      <w:bookmarkEnd w:id="389"/>
      <w:bookmarkEnd w:id="390"/>
      <w:bookmarkEnd w:id="391"/>
    </w:p>
    <w:p>
      <w:pPr>
        <w:spacing w:line="360" w:lineRule="auto"/>
        <w:ind w:firstLine="420" w:firstLineChars="200"/>
        <w:rPr>
          <w:color w:val="auto"/>
          <w:highlight w:val="none"/>
        </w:rPr>
      </w:pPr>
      <w:r>
        <w:rPr>
          <w:rFonts w:hint="eastAsia" w:hAnsi="宋体" w:cs="宋体"/>
          <w:color w:val="auto"/>
          <w:highlight w:val="none"/>
        </w:rPr>
        <w:t>发包人代表：</w:t>
      </w:r>
    </w:p>
    <w:p>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身份证号：</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联系电话：</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电子信箱：</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通信地址：</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督促指导监理工程师行使职权，协调施工现场各方面的关系，协调工程质量，进度和安全文明施工中存在的问题，解决有关设计和技术签证，办理、签认现场经济技术签证</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color w:val="auto"/>
          <w:highlight w:val="none"/>
          <w:u w:val="single"/>
        </w:rPr>
        <w:t>，审核工程进度报表</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hAnsi="宋体" w:cs="宋体"/>
          <w:color w:val="auto"/>
          <w:highlight w:val="none"/>
        </w:rPr>
        <w:t>。</w:t>
      </w:r>
    </w:p>
    <w:p>
      <w:pPr>
        <w:pStyle w:val="4"/>
        <w:rPr>
          <w:color w:val="auto"/>
          <w:highlight w:val="none"/>
        </w:rPr>
      </w:pPr>
      <w:bookmarkStart w:id="392" w:name="_Toc389065270"/>
      <w:bookmarkStart w:id="393" w:name="_Toc2077499244"/>
      <w:bookmarkStart w:id="394" w:name="_Toc78449792"/>
      <w:bookmarkStart w:id="395" w:name="_Toc373227704"/>
      <w:bookmarkStart w:id="396" w:name="_Toc18280"/>
      <w:bookmarkStart w:id="397" w:name="_Toc407135206"/>
      <w:bookmarkStart w:id="398" w:name="_Toc373478351"/>
      <w:bookmarkStart w:id="399" w:name="_Toc2066513957"/>
      <w:r>
        <w:rPr>
          <w:color w:val="auto"/>
          <w:highlight w:val="none"/>
        </w:rPr>
        <w:t xml:space="preserve">2.4 </w:t>
      </w:r>
      <w:r>
        <w:rPr>
          <w:rFonts w:hint="eastAsia" w:cs="黑体"/>
          <w:color w:val="auto"/>
          <w:highlight w:val="none"/>
        </w:rPr>
        <w:t>施工现场、施工条件和基础资料的提供</w:t>
      </w:r>
      <w:bookmarkEnd w:id="392"/>
      <w:bookmarkEnd w:id="393"/>
      <w:bookmarkEnd w:id="394"/>
      <w:bookmarkEnd w:id="395"/>
      <w:bookmarkEnd w:id="396"/>
      <w:bookmarkEnd w:id="397"/>
      <w:bookmarkEnd w:id="398"/>
      <w:bookmarkEnd w:id="399"/>
    </w:p>
    <w:p>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rFonts w:hint="eastAsia"/>
          <w:color w:val="auto"/>
          <w:highlight w:val="none"/>
          <w:u w:val="single"/>
        </w:rPr>
        <w:t>施工场地应当在发包人发出的开工通知中载明的开工日期前三天具备施工条件并移交给承包人</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施工用水、用电由发包人负责接至项目场地接入点，接入点至施工现场段由承包人根据施工需要自行考虑，施工期间产生的水、电费由承包人承担，在投标报价中自行考虑。若供电、供水部门的原因造成停电、停水，承包人必须自行解决施工用电、用水，费用自理</w:t>
      </w:r>
      <w:r>
        <w:rPr>
          <w:color w:val="auto"/>
          <w:highlight w:val="none"/>
          <w:u w:val="single"/>
        </w:rPr>
        <w:t xml:space="preserve"> </w:t>
      </w:r>
      <w:r>
        <w:rPr>
          <w:rFonts w:hint="eastAsia" w:hAnsi="宋体" w:cs="宋体"/>
          <w:color w:val="auto"/>
          <w:highlight w:val="none"/>
        </w:rPr>
        <w:t>。</w:t>
      </w:r>
    </w:p>
    <w:p>
      <w:pPr>
        <w:pStyle w:val="4"/>
        <w:rPr>
          <w:color w:val="auto"/>
          <w:highlight w:val="none"/>
        </w:rPr>
      </w:pPr>
      <w:bookmarkStart w:id="400" w:name="_Toc26335"/>
      <w:bookmarkStart w:id="401" w:name="_Toc78449793"/>
      <w:bookmarkStart w:id="402" w:name="_Toc389065271"/>
      <w:bookmarkStart w:id="403" w:name="_Toc1238195908"/>
      <w:bookmarkStart w:id="404" w:name="_Toc373227705"/>
      <w:bookmarkStart w:id="405" w:name="_Toc373478352"/>
      <w:bookmarkStart w:id="406" w:name="_Toc407135207"/>
      <w:bookmarkStart w:id="407" w:name="_Toc672429943"/>
      <w:r>
        <w:rPr>
          <w:color w:val="auto"/>
          <w:highlight w:val="none"/>
        </w:rPr>
        <w:t xml:space="preserve">2.5 </w:t>
      </w:r>
      <w:r>
        <w:rPr>
          <w:rFonts w:hint="eastAsia" w:cs="黑体"/>
          <w:color w:val="auto"/>
          <w:highlight w:val="none"/>
        </w:rPr>
        <w:t>资金来源证明及支付担保</w:t>
      </w:r>
      <w:bookmarkEnd w:id="400"/>
      <w:bookmarkEnd w:id="401"/>
      <w:bookmarkEnd w:id="402"/>
      <w:bookmarkEnd w:id="403"/>
      <w:bookmarkEnd w:id="404"/>
      <w:bookmarkEnd w:id="405"/>
      <w:bookmarkEnd w:id="406"/>
      <w:bookmarkEnd w:id="407"/>
    </w:p>
    <w:p>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发包人是否提供支付担保：</w:t>
      </w:r>
      <w:r>
        <w:rPr>
          <w:rFonts w:ascii="宋体" w:hAnsi="宋体" w:eastAsia="宋体" w:cs="宋体"/>
          <w:color w:val="auto"/>
          <w:spacing w:val="0"/>
          <w:highlight w:val="none"/>
          <w:u w:val="single"/>
        </w:rPr>
        <w:t xml:space="preserve"> 无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pPr>
        <w:spacing w:line="360" w:lineRule="auto"/>
        <w:ind w:firstLine="420" w:firstLineChars="200"/>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pPr>
        <w:pStyle w:val="3"/>
        <w:rPr>
          <w:color w:val="auto"/>
          <w:highlight w:val="none"/>
        </w:rPr>
      </w:pPr>
      <w:bookmarkStart w:id="408" w:name="_Toc27674"/>
      <w:bookmarkStart w:id="409" w:name="_Toc389065272"/>
      <w:bookmarkStart w:id="410" w:name="_Toc1181400362"/>
      <w:bookmarkStart w:id="411" w:name="_Toc10779"/>
      <w:bookmarkStart w:id="412" w:name="_Toc729657770"/>
      <w:bookmarkStart w:id="413" w:name="_Toc78449794"/>
      <w:bookmarkStart w:id="414" w:name="_Toc373478353"/>
      <w:bookmarkStart w:id="415" w:name="_Toc351203635"/>
      <w:bookmarkStart w:id="416" w:name="_Toc407135208"/>
      <w:bookmarkStart w:id="417" w:name="_Toc373227706"/>
      <w:r>
        <w:rPr>
          <w:color w:val="auto"/>
          <w:highlight w:val="none"/>
        </w:rPr>
        <w:t>3</w:t>
      </w:r>
      <w:bookmarkStart w:id="418" w:name="_Toc296347157"/>
      <w:bookmarkStart w:id="419" w:name="_Toc296891198"/>
      <w:bookmarkStart w:id="420" w:name="_Toc297120458"/>
      <w:bookmarkStart w:id="421" w:name="_Toc296890986"/>
      <w:bookmarkStart w:id="422" w:name="_Toc296346659"/>
      <w:bookmarkStart w:id="423" w:name="_Toc296503158"/>
      <w:bookmarkStart w:id="424" w:name="_Toc292559363"/>
      <w:bookmarkStart w:id="425" w:name="_Toc296944497"/>
      <w:bookmarkStart w:id="426" w:name="_Toc292559868"/>
      <w:bookmarkStart w:id="427" w:name="_Toc297048344"/>
      <w:r>
        <w:rPr>
          <w:color w:val="auto"/>
          <w:highlight w:val="none"/>
        </w:rPr>
        <w:t xml:space="preserve">. </w:t>
      </w:r>
      <w:r>
        <w:rPr>
          <w:rFonts w:hint="eastAsia" w:hAnsi="宋体" w:cs="黑体"/>
          <w:color w:val="auto"/>
          <w:highlight w:val="none"/>
        </w:rPr>
        <w:t>承包人</w:t>
      </w:r>
      <w:bookmarkEnd w:id="408"/>
      <w:bookmarkEnd w:id="409"/>
      <w:bookmarkEnd w:id="410"/>
      <w:bookmarkEnd w:id="411"/>
      <w:bookmarkEnd w:id="412"/>
      <w:bookmarkEnd w:id="413"/>
      <w:bookmarkEnd w:id="414"/>
      <w:bookmarkEnd w:id="415"/>
      <w:bookmarkEnd w:id="416"/>
      <w:bookmarkEnd w:id="417"/>
    </w:p>
    <w:bookmarkEnd w:id="418"/>
    <w:bookmarkEnd w:id="419"/>
    <w:bookmarkEnd w:id="420"/>
    <w:bookmarkEnd w:id="421"/>
    <w:bookmarkEnd w:id="422"/>
    <w:bookmarkEnd w:id="423"/>
    <w:bookmarkEnd w:id="424"/>
    <w:bookmarkEnd w:id="425"/>
    <w:bookmarkEnd w:id="426"/>
    <w:bookmarkEnd w:id="427"/>
    <w:p>
      <w:pPr>
        <w:pStyle w:val="4"/>
        <w:rPr>
          <w:color w:val="auto"/>
          <w:highlight w:val="none"/>
        </w:rPr>
      </w:pPr>
      <w:bookmarkStart w:id="428" w:name="_Toc78449795"/>
      <w:bookmarkStart w:id="429" w:name="_Toc1642190822"/>
      <w:bookmarkStart w:id="430" w:name="_Toc373478354"/>
      <w:bookmarkStart w:id="431" w:name="_Toc18931"/>
      <w:bookmarkStart w:id="432" w:name="_Toc962678435"/>
      <w:bookmarkStart w:id="433" w:name="_Toc373227707"/>
      <w:bookmarkStart w:id="434" w:name="_Toc407135209"/>
      <w:bookmarkStart w:id="435" w:name="_Toc389065273"/>
      <w:r>
        <w:rPr>
          <w:color w:val="auto"/>
          <w:highlight w:val="none"/>
        </w:rPr>
        <w:t xml:space="preserve">3.1 </w:t>
      </w:r>
      <w:r>
        <w:rPr>
          <w:rFonts w:hint="eastAsia" w:cs="黑体"/>
          <w:color w:val="auto"/>
          <w:highlight w:val="none"/>
        </w:rPr>
        <w:t>承包人的一般义务</w:t>
      </w:r>
      <w:bookmarkEnd w:id="428"/>
      <w:bookmarkEnd w:id="429"/>
      <w:bookmarkEnd w:id="430"/>
      <w:bookmarkEnd w:id="431"/>
      <w:bookmarkEnd w:id="432"/>
      <w:bookmarkEnd w:id="433"/>
      <w:bookmarkEnd w:id="434"/>
      <w:bookmarkEnd w:id="435"/>
    </w:p>
    <w:p>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hAnsi="宋体"/>
          <w:color w:val="auto"/>
          <w:highlight w:val="none"/>
          <w:u w:val="single"/>
        </w:rPr>
        <w:t>工程具备竣工验收条件，承包人按工程竣工验收有关规定，向发包人提交完整的竣工资料及竣工验收报告</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 xml:space="preserve"> 一式六份 </w:t>
      </w:r>
      <w:r>
        <w:rPr>
          <w:color w:val="auto"/>
          <w:highlight w:val="none"/>
          <w:u w:val="single"/>
        </w:rPr>
        <w:t xml:space="preserve"> </w:t>
      </w:r>
      <w:r>
        <w:rPr>
          <w:rFonts w:hint="eastAsia" w:hAnsi="宋体" w:cs="宋体"/>
          <w:color w:val="auto"/>
          <w:highlight w:val="none"/>
        </w:rPr>
        <w:t>。</w:t>
      </w:r>
    </w:p>
    <w:p>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rFonts w:hint="eastAsia"/>
          <w:color w:val="auto"/>
          <w:highlight w:val="none"/>
          <w:u w:val="single"/>
        </w:rPr>
        <w:t xml:space="preserve">  由承包人承担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承包人提交的竣工资料移交时间：</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竣工验收正式通过后 5 天，提供竣工图的数量分别为6 套</w:t>
      </w:r>
      <w:r>
        <w:rPr>
          <w:rFonts w:ascii="宋体" w:hAnsi="宋体" w:eastAsia="宋体" w:cs="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完整的经相关部门签字确认并加盖单位公章后的竣工材料纸质版及电子版</w:t>
      </w:r>
      <w:r>
        <w:rPr>
          <w:rFonts w:hint="eastAsia" w:hAnsi="宋体" w:cs="宋体"/>
          <w:color w:val="auto"/>
          <w:highlight w:val="none"/>
        </w:rPr>
        <w:t>。</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w:t>
      </w:r>
      <w:r>
        <w:rPr>
          <w:rFonts w:hint="eastAsia" w:hAnsi="宋体" w:cs="宋体"/>
          <w:color w:val="auto"/>
          <w:kern w:val="0"/>
          <w:highlight w:val="none"/>
          <w:lang w:eastAsia="zh-CN"/>
        </w:rPr>
        <w:t>）</w:t>
      </w:r>
      <w:r>
        <w:rPr>
          <w:rFonts w:hint="eastAsia" w:hAnsi="宋体" w:cs="宋体"/>
          <w:color w:val="auto"/>
          <w:kern w:val="0"/>
          <w:highlight w:val="none"/>
        </w:rPr>
        <w:t>施工场地周围地下管线</w:t>
      </w:r>
      <w:r>
        <w:rPr>
          <w:rFonts w:hint="eastAsia" w:hAnsi="宋体" w:cs="宋体"/>
          <w:color w:val="auto"/>
          <w:kern w:val="0"/>
          <w:highlight w:val="none"/>
          <w:lang w:eastAsia="zh-CN"/>
        </w:rPr>
        <w:t>（</w:t>
      </w:r>
      <w:r>
        <w:rPr>
          <w:rFonts w:hint="eastAsia" w:hAnsi="宋体" w:cs="宋体"/>
          <w:color w:val="auto"/>
          <w:kern w:val="0"/>
          <w:highlight w:val="none"/>
        </w:rPr>
        <w:t>地下管综探测图由发包人提供</w:t>
      </w:r>
      <w:r>
        <w:rPr>
          <w:rFonts w:hint="eastAsia" w:hAnsi="宋体" w:cs="宋体"/>
          <w:color w:val="auto"/>
          <w:kern w:val="0"/>
          <w:highlight w:val="none"/>
          <w:lang w:eastAsia="zh-CN"/>
        </w:rPr>
        <w:t>）</w:t>
      </w:r>
      <w:r>
        <w:rPr>
          <w:rFonts w:hint="eastAsia" w:hAnsi="宋体" w:cs="宋体"/>
          <w:color w:val="auto"/>
          <w:kern w:val="0"/>
          <w:highlight w:val="none"/>
        </w:rPr>
        <w:t>和邻近建筑物、构筑物</w:t>
      </w:r>
      <w:r>
        <w:rPr>
          <w:rFonts w:hint="eastAsia" w:hAnsi="宋体" w:cs="宋体"/>
          <w:color w:val="auto"/>
          <w:kern w:val="0"/>
          <w:highlight w:val="none"/>
          <w:lang w:eastAsia="zh-CN"/>
        </w:rPr>
        <w:t>（</w:t>
      </w:r>
      <w:r>
        <w:rPr>
          <w:rFonts w:hint="eastAsia" w:hAnsi="宋体" w:cs="宋体"/>
          <w:color w:val="auto"/>
          <w:kern w:val="0"/>
          <w:highlight w:val="none"/>
        </w:rPr>
        <w:t>含文物保护建筑</w:t>
      </w:r>
      <w:r>
        <w:rPr>
          <w:rFonts w:hint="eastAsia" w:hAnsi="宋体" w:cs="宋体"/>
          <w:color w:val="auto"/>
          <w:kern w:val="0"/>
          <w:highlight w:val="none"/>
          <w:lang w:eastAsia="zh-CN"/>
        </w:rPr>
        <w:t>）</w:t>
      </w:r>
      <w:r>
        <w:rPr>
          <w:rFonts w:hint="eastAsia" w:hAnsi="宋体" w:cs="宋体"/>
          <w:color w:val="auto"/>
          <w:kern w:val="0"/>
          <w:highlight w:val="none"/>
        </w:rPr>
        <w:t>、古树名木的保护要求及费用承担：</w:t>
      </w:r>
      <w:r>
        <w:rPr>
          <w:rFonts w:hint="eastAsia" w:hAnsi="宋体" w:cs="宋体"/>
          <w:color w:val="auto"/>
          <w:kern w:val="0"/>
          <w:highlight w:val="none"/>
          <w:u w:val="single"/>
        </w:rPr>
        <w:t>承包人施工时应探明并负责保护且承包费用，施工时损坏地下管线、邻近建筑物、构筑物，所发生费用由承包人承担</w:t>
      </w:r>
      <w:r>
        <w:rPr>
          <w:rFonts w:hint="eastAsia" w:hAnsi="宋体" w:cs="宋体"/>
          <w:color w:val="auto"/>
          <w:kern w:val="0"/>
          <w:highlight w:val="none"/>
        </w:rPr>
        <w:t>。</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w:t>
      </w:r>
      <w:r>
        <w:rPr>
          <w:rFonts w:hint="eastAsia" w:hAnsi="宋体" w:cs="宋体"/>
          <w:color w:val="auto"/>
          <w:kern w:val="0"/>
          <w:highlight w:val="none"/>
          <w:lang w:eastAsia="zh-CN"/>
        </w:rPr>
        <w:t>）</w:t>
      </w:r>
      <w:r>
        <w:rPr>
          <w:rFonts w:hint="eastAsia" w:hAnsi="宋体" w:cs="宋体"/>
          <w:color w:val="auto"/>
          <w:kern w:val="0"/>
          <w:highlight w:val="none"/>
        </w:rPr>
        <w:t>取土场及弃土场由承包人自行解决。但不得违反相关管理规定，并承担相关费用。</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3</w:t>
      </w:r>
      <w:r>
        <w:rPr>
          <w:rFonts w:hint="eastAsia" w:hAnsi="宋体" w:cs="宋体"/>
          <w:color w:val="auto"/>
          <w:kern w:val="0"/>
          <w:highlight w:val="none"/>
          <w:lang w:eastAsia="zh-CN"/>
        </w:rPr>
        <w:t>）</w:t>
      </w:r>
      <w:r>
        <w:rPr>
          <w:rFonts w:hint="eastAsia" w:hAnsi="宋体" w:cs="宋体"/>
          <w:color w:val="auto"/>
          <w:kern w:val="0"/>
          <w:highlight w:val="none"/>
        </w:rPr>
        <w:t>向发包人提供的办公和生活房屋及设施的要求：向发包人及监理提供办公室和休息室共3 间，费用由承包人承担。</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4</w:t>
      </w:r>
      <w:r>
        <w:rPr>
          <w:rFonts w:hint="eastAsia" w:hAnsi="宋体" w:cs="宋体"/>
          <w:color w:val="auto"/>
          <w:kern w:val="0"/>
          <w:highlight w:val="none"/>
          <w:lang w:eastAsia="zh-CN"/>
        </w:rPr>
        <w:t>）</w:t>
      </w:r>
      <w:r>
        <w:rPr>
          <w:rFonts w:hint="eastAsia" w:hAnsi="宋体" w:cs="宋体"/>
          <w:color w:val="auto"/>
          <w:kern w:val="0"/>
          <w:highlight w:val="none"/>
        </w:rPr>
        <w:t>已完工程成品保护的特殊要求及费用承担：已竣工工程未交付发包人之前，承包人按协议条款约定负责已完成工程的成品保护工作，保护期间发生损坏，承包人自费予以修复。</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5</w:t>
      </w:r>
      <w:r>
        <w:rPr>
          <w:rFonts w:hint="eastAsia" w:hAnsi="宋体" w:cs="宋体"/>
          <w:color w:val="auto"/>
          <w:kern w:val="0"/>
          <w:highlight w:val="none"/>
          <w:lang w:eastAsia="zh-CN"/>
        </w:rPr>
        <w:t>）</w:t>
      </w:r>
      <w:r>
        <w:rPr>
          <w:rFonts w:hint="eastAsia" w:hAnsi="宋体" w:cs="宋体"/>
          <w:color w:val="auto"/>
          <w:kern w:val="0"/>
          <w:highlight w:val="none"/>
        </w:rPr>
        <w:t>施工场地、水电运输通道及施工便道的修建和维护、清场等费用：</w:t>
      </w:r>
      <w:r>
        <w:rPr>
          <w:rFonts w:hint="eastAsia" w:hAnsi="宋体" w:cs="宋体"/>
          <w:color w:val="auto"/>
          <w:kern w:val="0"/>
          <w:highlight w:val="none"/>
          <w:u w:val="single"/>
        </w:rPr>
        <w:t>由承包人承担</w:t>
      </w:r>
      <w:r>
        <w:rPr>
          <w:rFonts w:hint="eastAsia" w:hAnsi="宋体" w:cs="宋体"/>
          <w:color w:val="auto"/>
          <w:kern w:val="0"/>
          <w:highlight w:val="none"/>
        </w:rPr>
        <w:t>。</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6</w:t>
      </w:r>
      <w:r>
        <w:rPr>
          <w:rFonts w:hint="eastAsia" w:hAnsi="宋体" w:cs="宋体"/>
          <w:color w:val="auto"/>
          <w:kern w:val="0"/>
          <w:highlight w:val="none"/>
          <w:lang w:eastAsia="zh-CN"/>
        </w:rPr>
        <w:t>）</w:t>
      </w:r>
      <w:r>
        <w:rPr>
          <w:rFonts w:hint="eastAsia" w:hAnsi="宋体" w:cs="宋体"/>
          <w:color w:val="auto"/>
          <w:kern w:val="0"/>
          <w:highlight w:val="none"/>
        </w:rPr>
        <w:t>本工程施工场地范围内水、电</w:t>
      </w:r>
      <w:r>
        <w:rPr>
          <w:rFonts w:hint="eastAsia" w:hAnsi="宋体" w:cs="宋体"/>
          <w:color w:val="auto"/>
          <w:kern w:val="0"/>
          <w:highlight w:val="none"/>
          <w:lang w:eastAsia="zh-CN"/>
        </w:rPr>
        <w:t>（</w:t>
      </w:r>
      <w:r>
        <w:rPr>
          <w:rFonts w:hint="eastAsia" w:hAnsi="宋体" w:cs="宋体"/>
          <w:color w:val="auto"/>
          <w:kern w:val="0"/>
          <w:highlight w:val="none"/>
        </w:rPr>
        <w:t>含施工过程中发包人所需的供水、供电部分设备</w:t>
      </w:r>
      <w:r>
        <w:rPr>
          <w:rFonts w:hint="eastAsia" w:hAnsi="宋体" w:cs="宋体"/>
          <w:color w:val="auto"/>
          <w:kern w:val="0"/>
          <w:highlight w:val="none"/>
          <w:lang w:eastAsia="zh-CN"/>
        </w:rPr>
        <w:t>）</w:t>
      </w:r>
      <w:r>
        <w:rPr>
          <w:rFonts w:hint="eastAsia" w:hAnsi="宋体" w:cs="宋体"/>
          <w:color w:val="auto"/>
          <w:kern w:val="0"/>
          <w:highlight w:val="none"/>
        </w:rPr>
        <w:t>使用、维护、拆除、恢复等由承包人负责，以上费用在投标报价中综合考虑。</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7</w:t>
      </w:r>
      <w:r>
        <w:rPr>
          <w:rFonts w:hint="eastAsia" w:hAnsi="宋体" w:cs="宋体"/>
          <w:color w:val="auto"/>
          <w:kern w:val="0"/>
          <w:highlight w:val="none"/>
          <w:lang w:eastAsia="zh-CN"/>
        </w:rPr>
        <w:t>）</w:t>
      </w:r>
      <w:r>
        <w:rPr>
          <w:rFonts w:hint="eastAsia" w:hAnsi="宋体" w:cs="宋体"/>
          <w:color w:val="auto"/>
          <w:kern w:val="0"/>
          <w:highlight w:val="none"/>
        </w:rPr>
        <w:t>承包人的临时占地</w:t>
      </w:r>
      <w:r>
        <w:rPr>
          <w:rFonts w:hint="eastAsia" w:hAnsi="宋体" w:cs="宋体"/>
          <w:color w:val="auto"/>
          <w:kern w:val="0"/>
          <w:highlight w:val="none"/>
          <w:lang w:eastAsia="zh-CN"/>
        </w:rPr>
        <w:t>（</w:t>
      </w:r>
      <w:r>
        <w:rPr>
          <w:rFonts w:hint="eastAsia" w:hAnsi="宋体" w:cs="宋体"/>
          <w:color w:val="auto"/>
          <w:kern w:val="0"/>
          <w:highlight w:val="none"/>
        </w:rPr>
        <w:t>含项目部驻地等</w:t>
      </w:r>
      <w:r>
        <w:rPr>
          <w:rFonts w:hint="eastAsia" w:hAnsi="宋体" w:cs="宋体"/>
          <w:color w:val="auto"/>
          <w:kern w:val="0"/>
          <w:highlight w:val="none"/>
          <w:lang w:eastAsia="zh-CN"/>
        </w:rPr>
        <w:t>）</w:t>
      </w:r>
      <w:r>
        <w:rPr>
          <w:rFonts w:hint="eastAsia" w:hAnsi="宋体" w:cs="宋体"/>
          <w:color w:val="auto"/>
          <w:kern w:val="0"/>
          <w:highlight w:val="none"/>
        </w:rPr>
        <w:t>租用费</w:t>
      </w:r>
      <w:r>
        <w:rPr>
          <w:rFonts w:hint="eastAsia" w:hAnsi="宋体" w:cs="宋体"/>
          <w:color w:val="auto"/>
          <w:kern w:val="0"/>
          <w:highlight w:val="none"/>
          <w:lang w:eastAsia="zh-CN"/>
        </w:rPr>
        <w:t>（</w:t>
      </w:r>
      <w:r>
        <w:rPr>
          <w:rFonts w:hint="eastAsia" w:hAnsi="宋体" w:cs="宋体"/>
          <w:color w:val="auto"/>
          <w:kern w:val="0"/>
          <w:highlight w:val="none"/>
        </w:rPr>
        <w:t>含拆迁补偿</w:t>
      </w:r>
      <w:r>
        <w:rPr>
          <w:rFonts w:hint="eastAsia" w:hAnsi="宋体" w:cs="宋体"/>
          <w:color w:val="auto"/>
          <w:kern w:val="0"/>
          <w:highlight w:val="none"/>
          <w:lang w:eastAsia="zh-CN"/>
        </w:rPr>
        <w:t>）</w:t>
      </w:r>
      <w:r>
        <w:rPr>
          <w:rFonts w:hint="eastAsia" w:hAnsi="宋体" w:cs="宋体"/>
          <w:color w:val="auto"/>
          <w:kern w:val="0"/>
          <w:highlight w:val="none"/>
        </w:rPr>
        <w:t>、临时用地的环保、恢复及施工范围内临时性占地的地面附着物发生的费用均由承包人负责，发生的一切费用已包含在投标报价中。</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8</w:t>
      </w:r>
      <w:r>
        <w:rPr>
          <w:rFonts w:hint="eastAsia" w:hAnsi="宋体" w:cs="宋体"/>
          <w:color w:val="auto"/>
          <w:kern w:val="0"/>
          <w:highlight w:val="none"/>
          <w:lang w:eastAsia="zh-CN"/>
        </w:rPr>
        <w:t>）</w:t>
      </w:r>
      <w:r>
        <w:rPr>
          <w:rFonts w:hint="eastAsia" w:hAnsi="宋体" w:cs="宋体"/>
          <w:color w:val="auto"/>
          <w:kern w:val="0"/>
          <w:highlight w:val="none"/>
        </w:rPr>
        <w:t>承包人应按监理人的指示负责拆除拆迁残留基础和构筑物等，清除本工程施工范围的零星拆迁垃圾、杂物以及场地中的树根等，结算时以实际发生为准。</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9</w:t>
      </w:r>
      <w:r>
        <w:rPr>
          <w:rFonts w:hint="eastAsia" w:hAnsi="宋体" w:cs="宋体"/>
          <w:color w:val="auto"/>
          <w:kern w:val="0"/>
          <w:highlight w:val="none"/>
          <w:lang w:eastAsia="zh-CN"/>
        </w:rPr>
        <w:t>）</w:t>
      </w:r>
      <w:r>
        <w:rPr>
          <w:rFonts w:hint="eastAsia" w:hAnsi="宋体" w:cs="宋体"/>
          <w:color w:val="auto"/>
          <w:kern w:val="0"/>
          <w:highlight w:val="none"/>
        </w:rPr>
        <w:t>本合同承包人施工场地上架设施工用电线路，线路走向由监理人会同承包人共同协商确定。</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10</w:t>
      </w:r>
      <w:r>
        <w:rPr>
          <w:rFonts w:hint="eastAsia" w:hAnsi="宋体" w:cs="宋体"/>
          <w:color w:val="auto"/>
          <w:kern w:val="0"/>
          <w:highlight w:val="none"/>
          <w:lang w:eastAsia="zh-CN"/>
        </w:rPr>
        <w:t>）</w:t>
      </w:r>
      <w:r>
        <w:rPr>
          <w:rFonts w:hint="eastAsia" w:hAnsi="宋体" w:cs="宋体"/>
          <w:color w:val="auto"/>
          <w:kern w:val="0"/>
          <w:highlight w:val="none"/>
        </w:rPr>
        <w:t>承包人应充分理解有一些设施</w:t>
      </w:r>
      <w:r>
        <w:rPr>
          <w:rFonts w:hint="eastAsia" w:hAnsi="宋体" w:cs="宋体"/>
          <w:color w:val="auto"/>
          <w:kern w:val="0"/>
          <w:highlight w:val="none"/>
          <w:lang w:eastAsia="zh-CN"/>
        </w:rPr>
        <w:t>（</w:t>
      </w:r>
      <w:r>
        <w:rPr>
          <w:rFonts w:hint="eastAsia" w:hAnsi="宋体" w:cs="宋体"/>
          <w:color w:val="auto"/>
          <w:kern w:val="0"/>
          <w:highlight w:val="none"/>
        </w:rPr>
        <w:t>如施工道路</w:t>
      </w:r>
      <w:r>
        <w:rPr>
          <w:rFonts w:hint="eastAsia" w:hAnsi="宋体" w:cs="宋体"/>
          <w:color w:val="auto"/>
          <w:kern w:val="0"/>
          <w:highlight w:val="none"/>
          <w:lang w:eastAsia="zh-CN"/>
        </w:rPr>
        <w:t>）</w:t>
      </w:r>
      <w:r>
        <w:rPr>
          <w:rFonts w:hint="eastAsia" w:hAnsi="宋体" w:cs="宋体"/>
          <w:color w:val="auto"/>
          <w:kern w:val="0"/>
          <w:highlight w:val="none"/>
        </w:rPr>
        <w:t>将会由一个以上的承包人使用，如果在使用过程中发生干扰时，应立即通知监理人并服从监理人的决定。</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11</w:t>
      </w:r>
      <w:r>
        <w:rPr>
          <w:rFonts w:hint="eastAsia" w:hAnsi="宋体" w:cs="宋体"/>
          <w:color w:val="auto"/>
          <w:kern w:val="0"/>
          <w:highlight w:val="none"/>
          <w:lang w:eastAsia="zh-CN"/>
        </w:rPr>
        <w:t>）</w:t>
      </w:r>
      <w:r>
        <w:rPr>
          <w:rFonts w:hint="eastAsia" w:hAnsi="宋体" w:cs="宋体"/>
          <w:color w:val="auto"/>
          <w:kern w:val="0"/>
          <w:highlight w:val="none"/>
        </w:rPr>
        <w:t>凡属于承包人交付给其他承包人的工作面以及与其他承包人交叉作业的工作面，承包人必须服从监理人的决定，按规定的完工日期完成并将清理好的工作面移交给发包人，并取得监理人的同意。</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承包人应为监理人、发包人现场代表对施工现场的检查监督提供必要的配合，并对这种配合对施工的影响应有充分的考虑。</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对上述9</w:t>
      </w:r>
      <w:r>
        <w:rPr>
          <w:rFonts w:hint="eastAsia" w:hAnsi="宋体" w:cs="宋体"/>
          <w:color w:val="auto"/>
          <w:kern w:val="0"/>
          <w:highlight w:val="none"/>
          <w:lang w:eastAsia="zh-CN"/>
        </w:rPr>
        <w:t>）</w:t>
      </w: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项工作，费用已包括在有关单价和总价中，发包人不再另行支付由此所发生的一切费用。</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13</w:t>
      </w:r>
      <w:r>
        <w:rPr>
          <w:rFonts w:hint="eastAsia" w:hAnsi="宋体" w:cs="宋体"/>
          <w:color w:val="auto"/>
          <w:kern w:val="0"/>
          <w:highlight w:val="none"/>
          <w:lang w:eastAsia="zh-CN"/>
        </w:rPr>
        <w:t>）</w:t>
      </w:r>
      <w:r>
        <w:rPr>
          <w:rFonts w:hint="eastAsia" w:hAnsi="宋体" w:cs="宋体"/>
          <w:color w:val="auto"/>
          <w:kern w:val="0"/>
          <w:highlight w:val="none"/>
        </w:rPr>
        <w:t>土料场由承包人自行解决，并负责提供经检测合格的土料。</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14</w:t>
      </w:r>
      <w:r>
        <w:rPr>
          <w:rFonts w:hint="eastAsia" w:hAnsi="宋体" w:cs="宋体"/>
          <w:color w:val="auto"/>
          <w:kern w:val="0"/>
          <w:highlight w:val="none"/>
          <w:lang w:eastAsia="zh-CN"/>
        </w:rPr>
        <w:t>）</w:t>
      </w:r>
      <w:r>
        <w:rPr>
          <w:rFonts w:hint="eastAsia" w:hAnsi="宋体" w:cs="宋体"/>
          <w:color w:val="auto"/>
          <w:kern w:val="0"/>
          <w:highlight w:val="none"/>
        </w:rPr>
        <w:t>承包人应负责施工场内交通管制和协调通行工作。连接施工场地内外道路出口处须设洗车场，对从施工场地进入市区道路的所有车辆进行清洗，并派专人在出口处负责看守，严禁与工程施工无关的人员及车辆进出施工场地，所发生的费用由监理人负责协调有关标段共同承担。如承包人违反以上有关规定，由此所造成的一切后果由承包人负责。</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15</w:t>
      </w:r>
      <w:r>
        <w:rPr>
          <w:rFonts w:hint="eastAsia" w:hAnsi="宋体" w:cs="宋体"/>
          <w:color w:val="auto"/>
          <w:kern w:val="0"/>
          <w:highlight w:val="none"/>
          <w:lang w:eastAsia="zh-CN"/>
        </w:rPr>
        <w:t>）</w:t>
      </w:r>
      <w:r>
        <w:rPr>
          <w:rFonts w:hint="eastAsia" w:hAnsi="宋体" w:cs="宋体"/>
          <w:color w:val="auto"/>
          <w:kern w:val="0"/>
          <w:highlight w:val="none"/>
        </w:rPr>
        <w:t>承包人负责其本合同段在合同实施期内临时交通道路</w:t>
      </w:r>
      <w:r>
        <w:rPr>
          <w:rFonts w:hint="eastAsia" w:hAnsi="宋体" w:cs="宋体"/>
          <w:color w:val="auto"/>
          <w:kern w:val="0"/>
          <w:highlight w:val="none"/>
          <w:lang w:eastAsia="zh-CN"/>
        </w:rPr>
        <w:t>（</w:t>
      </w:r>
      <w:r>
        <w:rPr>
          <w:rFonts w:hint="eastAsia" w:hAnsi="宋体" w:cs="宋体"/>
          <w:color w:val="auto"/>
          <w:kern w:val="0"/>
          <w:highlight w:val="none"/>
        </w:rPr>
        <w:t>含场内外连接公共交通道路</w:t>
      </w:r>
      <w:r>
        <w:rPr>
          <w:rFonts w:hint="eastAsia" w:hAnsi="宋体" w:cs="宋体"/>
          <w:color w:val="auto"/>
          <w:kern w:val="0"/>
          <w:highlight w:val="none"/>
          <w:lang w:eastAsia="zh-CN"/>
        </w:rPr>
        <w:t>）</w:t>
      </w:r>
      <w:r>
        <w:rPr>
          <w:rFonts w:hint="eastAsia" w:hAnsi="宋体" w:cs="宋体"/>
          <w:color w:val="auto"/>
          <w:kern w:val="0"/>
          <w:highlight w:val="none"/>
        </w:rPr>
        <w:t>和交通设施的修建、维修、养护和交通管理工作，并承担一切费用。</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16</w:t>
      </w:r>
      <w:r>
        <w:rPr>
          <w:rFonts w:hint="eastAsia" w:hAnsi="宋体" w:cs="宋体"/>
          <w:color w:val="auto"/>
          <w:kern w:val="0"/>
          <w:highlight w:val="none"/>
          <w:lang w:eastAsia="zh-CN"/>
        </w:rPr>
        <w:t>）</w:t>
      </w:r>
      <w:r>
        <w:rPr>
          <w:rFonts w:hint="eastAsia" w:hAnsi="宋体" w:cs="宋体"/>
          <w:color w:val="auto"/>
          <w:kern w:val="0"/>
          <w:highlight w:val="none"/>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17</w:t>
      </w:r>
      <w:r>
        <w:rPr>
          <w:rFonts w:hint="eastAsia" w:hAnsi="宋体" w:cs="宋体"/>
          <w:color w:val="auto"/>
          <w:kern w:val="0"/>
          <w:highlight w:val="none"/>
          <w:lang w:eastAsia="zh-CN"/>
        </w:rPr>
        <w:t>）</w:t>
      </w:r>
      <w:r>
        <w:rPr>
          <w:rFonts w:hint="eastAsia" w:hAnsi="宋体" w:cs="宋体"/>
          <w:color w:val="auto"/>
          <w:kern w:val="0"/>
          <w:highlight w:val="none"/>
        </w:rPr>
        <w:t>承包人在实施合同工程所使用公共道路、水源、公共设施等必须保障发包人及其他人的财产、利益和权利免受损害，造成损害的自费负责维修或赔偿。</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18</w:t>
      </w:r>
      <w:r>
        <w:rPr>
          <w:rFonts w:hint="eastAsia" w:hAnsi="宋体" w:cs="宋体"/>
          <w:color w:val="auto"/>
          <w:kern w:val="0"/>
          <w:highlight w:val="none"/>
          <w:lang w:eastAsia="zh-CN"/>
        </w:rPr>
        <w:t>）</w:t>
      </w:r>
      <w:r>
        <w:rPr>
          <w:rFonts w:hint="eastAsia" w:hAnsi="宋体" w:cs="宋体"/>
          <w:color w:val="auto"/>
          <w:kern w:val="0"/>
          <w:highlight w:val="none"/>
        </w:rPr>
        <w:t>承包人的施工管理区及施工场地应设有临时的污水处理设施和施工排水设施，生活、施工垃圾等处置应妥当，施工材料如涂料、化学品等应妥善存放，并设有防雨、防风等措施，并承担一切费用。</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19</w:t>
      </w:r>
      <w:r>
        <w:rPr>
          <w:rFonts w:hint="eastAsia" w:hAnsi="宋体" w:cs="宋体"/>
          <w:color w:val="auto"/>
          <w:kern w:val="0"/>
          <w:highlight w:val="none"/>
          <w:lang w:eastAsia="zh-CN"/>
        </w:rPr>
        <w:t>）</w:t>
      </w:r>
      <w:r>
        <w:rPr>
          <w:rFonts w:hint="eastAsia" w:hAnsi="宋体" w:cs="宋体"/>
          <w:color w:val="auto"/>
          <w:kern w:val="0"/>
          <w:highlight w:val="none"/>
        </w:rPr>
        <w:t>移交证书签发后，承包人应立即从签发了移交证书的工地上将所有有关的承包人的设备、多余材料、垃圾及各种临时工程清除、移走，并使这一部分工程及工地保持清洁，使发包人满意。</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20</w:t>
      </w:r>
      <w:r>
        <w:rPr>
          <w:rFonts w:hint="eastAsia" w:hAnsi="宋体" w:cs="宋体"/>
          <w:color w:val="auto"/>
          <w:kern w:val="0"/>
          <w:highlight w:val="none"/>
          <w:lang w:eastAsia="zh-CN"/>
        </w:rPr>
        <w:t>）</w:t>
      </w:r>
      <w:r>
        <w:rPr>
          <w:rFonts w:hint="eastAsia" w:hAnsi="宋体" w:cs="宋体"/>
          <w:color w:val="auto"/>
          <w:kern w:val="0"/>
          <w:highlight w:val="none"/>
        </w:rPr>
        <w:t>承包人应全权自费负责其劳务及职员的雇佣、工资的支付、房屋、膳食及运输的安排。承包人在任何时候应采取一切合理的预防措施，以防止其职员发生任何违法的、妨碍治安的行为，并维护治安和保护工程附近的单位、个人或财产免遭上述行为的破坏，否则，由此造成的后果和费用均由承包人承担。</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21</w:t>
      </w:r>
      <w:r>
        <w:rPr>
          <w:rFonts w:hint="eastAsia" w:hAnsi="宋体" w:cs="宋体"/>
          <w:color w:val="auto"/>
          <w:kern w:val="0"/>
          <w:highlight w:val="none"/>
          <w:lang w:eastAsia="zh-CN"/>
        </w:rPr>
        <w:t>）</w:t>
      </w:r>
      <w:r>
        <w:rPr>
          <w:rFonts w:hint="eastAsia" w:hAnsi="宋体" w:cs="宋体"/>
          <w:color w:val="auto"/>
          <w:kern w:val="0"/>
          <w:highlight w:val="none"/>
        </w:rPr>
        <w:t>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22</w:t>
      </w:r>
      <w:r>
        <w:rPr>
          <w:rFonts w:hint="eastAsia" w:hAnsi="宋体" w:cs="宋体"/>
          <w:color w:val="auto"/>
          <w:kern w:val="0"/>
          <w:highlight w:val="none"/>
          <w:lang w:eastAsia="zh-CN"/>
        </w:rPr>
        <w:t>）</w:t>
      </w:r>
      <w:r>
        <w:rPr>
          <w:rFonts w:hint="eastAsia" w:hAnsi="宋体" w:cs="宋体"/>
          <w:color w:val="auto"/>
          <w:kern w:val="0"/>
          <w:highlight w:val="none"/>
        </w:rPr>
        <w:t>承包人在施工期间应协调好与邻近相关单位</w:t>
      </w:r>
      <w:r>
        <w:rPr>
          <w:rFonts w:hint="eastAsia" w:hAnsi="宋体" w:cs="宋体"/>
          <w:color w:val="auto"/>
          <w:kern w:val="0"/>
          <w:highlight w:val="none"/>
          <w:lang w:eastAsia="zh-CN"/>
        </w:rPr>
        <w:t>（</w:t>
      </w:r>
      <w:r>
        <w:rPr>
          <w:rFonts w:hint="eastAsia" w:hAnsi="宋体" w:cs="宋体"/>
          <w:color w:val="auto"/>
          <w:kern w:val="0"/>
          <w:highlight w:val="none"/>
        </w:rPr>
        <w:t>含居民、农民</w:t>
      </w:r>
      <w:r>
        <w:rPr>
          <w:rFonts w:hint="eastAsia" w:hAnsi="宋体" w:cs="宋体"/>
          <w:color w:val="auto"/>
          <w:kern w:val="0"/>
          <w:highlight w:val="none"/>
          <w:lang w:eastAsia="zh-CN"/>
        </w:rPr>
        <w:t>）</w:t>
      </w:r>
      <w:r>
        <w:rPr>
          <w:rFonts w:hint="eastAsia" w:hAnsi="宋体" w:cs="宋体"/>
          <w:color w:val="auto"/>
          <w:kern w:val="0"/>
          <w:highlight w:val="none"/>
        </w:rPr>
        <w:t>的关系、应避免发生矛盾与冲突，否则，由此造成的一切后果由承包人承担。</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23</w:t>
      </w:r>
      <w:r>
        <w:rPr>
          <w:rFonts w:hint="eastAsia" w:hAnsi="宋体" w:cs="宋体"/>
          <w:color w:val="auto"/>
          <w:kern w:val="0"/>
          <w:highlight w:val="none"/>
          <w:lang w:eastAsia="zh-CN"/>
        </w:rPr>
        <w:t>）</w:t>
      </w:r>
      <w:r>
        <w:rPr>
          <w:rFonts w:hint="eastAsia" w:hAnsi="宋体" w:cs="宋体"/>
          <w:color w:val="auto"/>
          <w:kern w:val="0"/>
          <w:highlight w:val="none"/>
        </w:rPr>
        <w:t>按照《中华人民共和国工会法》、《国务院关于进一步做好为农民工服务工作的意见》</w:t>
      </w:r>
      <w:r>
        <w:rPr>
          <w:rFonts w:hint="eastAsia" w:hAnsi="宋体" w:cs="宋体"/>
          <w:color w:val="auto"/>
          <w:kern w:val="0"/>
          <w:highlight w:val="none"/>
        </w:rPr>
        <w:tab/>
      </w:r>
      <w:r>
        <w:rPr>
          <w:rFonts w:hint="eastAsia" w:hAnsi="宋体" w:cs="宋体"/>
          <w:color w:val="auto"/>
          <w:kern w:val="0"/>
          <w:highlight w:val="none"/>
          <w:lang w:eastAsia="zh-CN"/>
        </w:rPr>
        <w:t>（</w:t>
      </w:r>
      <w:r>
        <w:rPr>
          <w:rFonts w:hint="eastAsia" w:hAnsi="宋体" w:cs="宋体"/>
          <w:color w:val="auto"/>
          <w:kern w:val="0"/>
          <w:highlight w:val="none"/>
        </w:rPr>
        <w:t>国发〔2014〕40号</w:t>
      </w:r>
      <w:r>
        <w:rPr>
          <w:rFonts w:hint="eastAsia" w:hAnsi="宋体" w:cs="宋体"/>
          <w:color w:val="auto"/>
          <w:kern w:val="0"/>
          <w:highlight w:val="none"/>
          <w:lang w:eastAsia="zh-CN"/>
        </w:rPr>
        <w:t>）</w:t>
      </w:r>
      <w:r>
        <w:rPr>
          <w:rFonts w:hint="eastAsia" w:hAnsi="宋体" w:cs="宋体"/>
          <w:color w:val="auto"/>
          <w:kern w:val="0"/>
          <w:highlight w:val="none"/>
        </w:rPr>
        <w:t>、《中华全国总工会关于深入贯彻落实&lt;国务院关于进一步做好为农民工服务工作的意见&gt;的实施意见》</w:t>
      </w:r>
      <w:r>
        <w:rPr>
          <w:rFonts w:hint="eastAsia" w:hAnsi="宋体" w:cs="宋体"/>
          <w:color w:val="auto"/>
          <w:kern w:val="0"/>
          <w:highlight w:val="none"/>
          <w:lang w:eastAsia="zh-CN"/>
        </w:rPr>
        <w:t>（</w:t>
      </w:r>
      <w:r>
        <w:rPr>
          <w:rFonts w:hint="eastAsia" w:hAnsi="宋体" w:cs="宋体"/>
          <w:color w:val="auto"/>
          <w:kern w:val="0"/>
          <w:highlight w:val="none"/>
        </w:rPr>
        <w:t>总工发〔2015〕14号</w:t>
      </w:r>
      <w:r>
        <w:rPr>
          <w:rFonts w:hint="eastAsia" w:hAnsi="宋体" w:cs="宋体"/>
          <w:color w:val="auto"/>
          <w:kern w:val="0"/>
          <w:highlight w:val="none"/>
          <w:lang w:eastAsia="zh-CN"/>
        </w:rPr>
        <w:t>）</w:t>
      </w:r>
      <w:r>
        <w:rPr>
          <w:rFonts w:hint="eastAsia" w:hAnsi="宋体" w:cs="宋体"/>
          <w:color w:val="auto"/>
          <w:kern w:val="0"/>
          <w:highlight w:val="none"/>
        </w:rPr>
        <w:t>有关要求，深入开展“农民工入会集中行动”，对开工的项目，须组建项目工会。</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24</w:t>
      </w:r>
      <w:r>
        <w:rPr>
          <w:rFonts w:hint="eastAsia" w:hAnsi="宋体" w:cs="宋体"/>
          <w:color w:val="auto"/>
          <w:kern w:val="0"/>
          <w:highlight w:val="none"/>
          <w:lang w:eastAsia="zh-CN"/>
        </w:rPr>
        <w:t>）</w:t>
      </w:r>
      <w:r>
        <w:rPr>
          <w:rFonts w:hint="eastAsia" w:hAnsi="宋体" w:cs="宋体"/>
          <w:color w:val="auto"/>
          <w:kern w:val="0"/>
          <w:highlight w:val="none"/>
        </w:rPr>
        <w:t>承担施工安全保卫工作及非夜间施工照明的责任和要求：在实施和完成本合同过程中，承包人须①时刻关注和采取适当措施保障现场所有工作人员的安全，保证工程施工安全，现场施工要保持有条不紊，避免上述人员的安全受到威胁；②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25</w:t>
      </w:r>
      <w:r>
        <w:rPr>
          <w:rFonts w:hint="eastAsia" w:hAnsi="宋体" w:cs="宋体"/>
          <w:color w:val="auto"/>
          <w:kern w:val="0"/>
          <w:highlight w:val="none"/>
          <w:lang w:eastAsia="zh-CN"/>
        </w:rPr>
        <w:t>）</w:t>
      </w:r>
      <w:r>
        <w:rPr>
          <w:rFonts w:hint="eastAsia" w:hAnsi="宋体" w:cs="宋体"/>
          <w:color w:val="auto"/>
          <w:kern w:val="0"/>
          <w:highlight w:val="none"/>
        </w:rPr>
        <w:t>需承包人办理的有关施工场地交通、环卫和施工噪音管理等手续：遵守政府有关主管部门对施工场地交通、施工噪音、环境保护和安全生产等的管理规定办理相关手续，并承担费用。承包人对道路占道施工，需向交警部门进行报备，并按交警部门意见完善交通疏导方案，承包人应负责在占道施工路段提供照明、警卫、护栏、警示标志等安全防护措施，所发生费用由承包人在投标报价中综合考虑。</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26</w:t>
      </w:r>
      <w:r>
        <w:rPr>
          <w:rFonts w:hint="eastAsia" w:hAnsi="宋体" w:cs="宋体"/>
          <w:color w:val="auto"/>
          <w:kern w:val="0"/>
          <w:highlight w:val="none"/>
          <w:lang w:eastAsia="zh-CN"/>
        </w:rPr>
        <w:t>）</w:t>
      </w:r>
      <w:r>
        <w:rPr>
          <w:rFonts w:hint="eastAsia" w:hAnsi="宋体" w:cs="宋体"/>
          <w:color w:val="auto"/>
          <w:kern w:val="0"/>
          <w:highlight w:val="none"/>
        </w:rPr>
        <w:t>施工场地清洁卫生的要求：由于施工造成的环境污染，其责任和费用均由承包人承担。</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27</w:t>
      </w:r>
      <w:r>
        <w:rPr>
          <w:rFonts w:hint="eastAsia" w:hAnsi="宋体" w:cs="宋体"/>
          <w:color w:val="auto"/>
          <w:kern w:val="0"/>
          <w:highlight w:val="none"/>
          <w:lang w:eastAsia="zh-CN"/>
        </w:rPr>
        <w:t>）</w:t>
      </w:r>
      <w:r>
        <w:rPr>
          <w:rFonts w:hint="eastAsia" w:hAnsi="宋体" w:cs="宋体"/>
          <w:color w:val="auto"/>
          <w:kern w:val="0"/>
          <w:highlight w:val="none"/>
        </w:rPr>
        <w:t>在办理施工许可手续前，承包人须向银行开设农民工工资支付专用账户，通过银行转账方式，确保按月足额发放农民工工资。</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28</w:t>
      </w:r>
      <w:r>
        <w:rPr>
          <w:rFonts w:hint="eastAsia" w:hAnsi="宋体" w:cs="宋体"/>
          <w:color w:val="auto"/>
          <w:kern w:val="0"/>
          <w:highlight w:val="none"/>
          <w:lang w:eastAsia="zh-CN"/>
        </w:rPr>
        <w:t>）</w:t>
      </w:r>
      <w:r>
        <w:rPr>
          <w:rFonts w:hint="eastAsia" w:hAnsi="宋体" w:cs="宋体"/>
          <w:color w:val="auto"/>
          <w:kern w:val="0"/>
          <w:highlight w:val="none"/>
        </w:rPr>
        <w:t>配合发包人做好安全文明宣传、领导检查宣传等工作，相关费用由承包人承担。</w:t>
      </w:r>
    </w:p>
    <w:p>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29</w:t>
      </w:r>
      <w:r>
        <w:rPr>
          <w:rFonts w:hint="eastAsia" w:hAnsi="宋体" w:cs="宋体"/>
          <w:color w:val="auto"/>
          <w:kern w:val="0"/>
          <w:highlight w:val="none"/>
          <w:lang w:eastAsia="zh-CN"/>
        </w:rPr>
        <w:t>）</w:t>
      </w:r>
      <w:r>
        <w:rPr>
          <w:rFonts w:hint="eastAsia" w:hAnsi="宋体" w:cs="宋体"/>
          <w:color w:val="auto"/>
          <w:kern w:val="0"/>
          <w:highlight w:val="none"/>
        </w:rPr>
        <w:t>发包人对承包人无进度履约能力的部位和部分进行强制分割而形成的相关费用，须及时完善手续，列入承包人成本。发包人需及时组织监理，实施分割作业的队组负责人、承包人代表等对现场形成的费用等共同确认，但承包人人为或故意对此现场费用的缺席确认，并不能免除承包人责任。</w:t>
      </w:r>
    </w:p>
    <w:p>
      <w:pPr>
        <w:spacing w:line="360" w:lineRule="auto"/>
        <w:ind w:firstLine="420" w:firstLineChars="200"/>
        <w:rPr>
          <w:color w:val="auto"/>
          <w:kern w:val="0"/>
          <w:highlight w:val="none"/>
        </w:rPr>
      </w:pPr>
      <w:r>
        <w:rPr>
          <w:rFonts w:hint="eastAsia" w:hAnsi="宋体" w:cs="宋体"/>
          <w:color w:val="auto"/>
          <w:kern w:val="0"/>
          <w:highlight w:val="none"/>
        </w:rPr>
        <w:t>30</w:t>
      </w:r>
      <w:r>
        <w:rPr>
          <w:rFonts w:hint="eastAsia" w:hAnsi="宋体" w:cs="宋体"/>
          <w:color w:val="auto"/>
          <w:kern w:val="0"/>
          <w:highlight w:val="none"/>
          <w:lang w:eastAsia="zh-CN"/>
        </w:rPr>
        <w:t>）</w:t>
      </w:r>
      <w:r>
        <w:rPr>
          <w:rFonts w:hint="eastAsia" w:hAnsi="宋体" w:cs="宋体"/>
          <w:color w:val="auto"/>
          <w:kern w:val="0"/>
          <w:highlight w:val="none"/>
        </w:rPr>
        <w:t>双方约定承包人应做的其他工作：①发包人现场代表或监理工程师应在承包人约定时间到达现场进行隐蔽工程中间验收工作，如果在约定时间超过两小时后工程师未到现场，承包人可拍照发给监理工程师或发包人现场代表，获准后自行隐蔽继续施工。但在约定时间承包人未到现场及超过约定时间两小时，工程师可另定时间验收，承包人不得有异议且承担由此引发的责任。②承包人在签订合同之前已查看了工地及周围的环境，掌握了所有与工程施工有关或对施工有影响的情况，如征地拆迁、道路、交通流量、劳动力的提供范围等。发包人将施工场地移交给承包人后，承包人有责任和义务保护自身合法权益，应对施工场地上发生的一切负责，若发生非政府原因</w:t>
      </w:r>
      <w:r>
        <w:rPr>
          <w:rFonts w:hint="eastAsia" w:hAnsi="宋体" w:cs="宋体"/>
          <w:color w:val="auto"/>
          <w:kern w:val="0"/>
          <w:highlight w:val="none"/>
          <w:lang w:eastAsia="zh-CN"/>
        </w:rPr>
        <w:t>（</w:t>
      </w:r>
      <w:r>
        <w:rPr>
          <w:rFonts w:hint="eastAsia" w:hAnsi="宋体" w:cs="宋体"/>
          <w:color w:val="auto"/>
          <w:kern w:val="0"/>
          <w:highlight w:val="none"/>
        </w:rPr>
        <w:t>如当地居民干扰施工</w:t>
      </w:r>
      <w:r>
        <w:rPr>
          <w:rFonts w:hint="eastAsia" w:hAnsi="宋体" w:cs="宋体"/>
          <w:color w:val="auto"/>
          <w:kern w:val="0"/>
          <w:highlight w:val="none"/>
          <w:lang w:eastAsia="zh-CN"/>
        </w:rPr>
        <w:t>）</w:t>
      </w:r>
      <w:r>
        <w:rPr>
          <w:rFonts w:hint="eastAsia" w:hAnsi="宋体" w:cs="宋体"/>
          <w:color w:val="auto"/>
          <w:kern w:val="0"/>
          <w:highlight w:val="none"/>
        </w:rPr>
        <w:t>，或非发包人原因而影响施工导致工期拖延及财产损失，发包人概不负责，由承包人自行承担</w:t>
      </w:r>
    </w:p>
    <w:p>
      <w:pPr>
        <w:pStyle w:val="4"/>
        <w:rPr>
          <w:color w:val="auto"/>
          <w:highlight w:val="none"/>
        </w:rPr>
      </w:pPr>
      <w:bookmarkStart w:id="436" w:name="_Toc501741485"/>
      <w:bookmarkStart w:id="437" w:name="_Toc407135210"/>
      <w:bookmarkStart w:id="438" w:name="_Toc373227708"/>
      <w:bookmarkStart w:id="439" w:name="_Toc389065274"/>
      <w:bookmarkStart w:id="440" w:name="_Toc626"/>
      <w:bookmarkStart w:id="441" w:name="_Toc1659520837"/>
      <w:bookmarkStart w:id="442" w:name="_Toc78449796"/>
      <w:bookmarkStart w:id="443" w:name="_Toc373478355"/>
      <w:r>
        <w:rPr>
          <w:color w:val="auto"/>
          <w:highlight w:val="none"/>
        </w:rPr>
        <w:t xml:space="preserve">3.2 </w:t>
      </w:r>
      <w:r>
        <w:rPr>
          <w:rFonts w:hint="eastAsia" w:hAnsi="宋体" w:cs="黑体"/>
          <w:color w:val="auto"/>
          <w:highlight w:val="none"/>
        </w:rPr>
        <w:t>项目经理</w:t>
      </w:r>
      <w:bookmarkEnd w:id="436"/>
      <w:bookmarkEnd w:id="437"/>
      <w:bookmarkEnd w:id="438"/>
      <w:bookmarkEnd w:id="439"/>
      <w:bookmarkEnd w:id="440"/>
      <w:bookmarkEnd w:id="441"/>
      <w:bookmarkEnd w:id="442"/>
      <w:bookmarkEnd w:id="443"/>
    </w:p>
    <w:p>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u w:val="single"/>
        </w:rPr>
        <w:t xml:space="preserve"> </w:t>
      </w:r>
      <w:r>
        <w:rPr>
          <w:rFonts w:hint="eastAsia"/>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 ，其他授权以承包人书面授权书为准</w:t>
      </w:r>
      <w:r>
        <w:rPr>
          <w:color w:val="auto"/>
          <w:highlight w:val="none"/>
          <w:u w:val="single"/>
        </w:rPr>
        <w:t xml:space="preserve"> </w:t>
      </w:r>
      <w:r>
        <w:rPr>
          <w:rFonts w:hint="eastAsia" w:hAnsi="宋体" w:cs="宋体"/>
          <w:color w:val="auto"/>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项目经理无正当理由不得请假，到施工现场的时间每月不少于22天，无论什么理由不到位的，每少到一天支付违约金</w:t>
      </w:r>
      <w:r>
        <w:rPr>
          <w:rFonts w:hint="eastAsia"/>
          <w:color w:val="auto"/>
          <w:highlight w:val="none"/>
          <w:u w:val="single"/>
          <w:lang w:val="en-US" w:eastAsia="zh-CN"/>
        </w:rPr>
        <w:t>2</w:t>
      </w:r>
      <w:r>
        <w:rPr>
          <w:rFonts w:hint="eastAsia"/>
          <w:color w:val="auto"/>
          <w:highlight w:val="none"/>
          <w:u w:val="single"/>
        </w:rPr>
        <w:t>00元</w:t>
      </w:r>
      <w:r>
        <w:rPr>
          <w:rFonts w:hint="eastAsia"/>
          <w:color w:val="auto"/>
          <w:highlight w:val="none"/>
          <w:u w:val="single"/>
          <w:lang w:eastAsia="zh-CN"/>
        </w:rPr>
        <w:t>（</w:t>
      </w:r>
      <w:r>
        <w:rPr>
          <w:rFonts w:hint="eastAsia"/>
          <w:color w:val="auto"/>
          <w:highlight w:val="none"/>
          <w:u w:val="single"/>
        </w:rPr>
        <w:t>人民币</w:t>
      </w:r>
      <w:r>
        <w:rPr>
          <w:rFonts w:hint="eastAsia"/>
          <w:color w:val="auto"/>
          <w:highlight w:val="none"/>
          <w:u w:val="single"/>
          <w:lang w:eastAsia="zh-CN"/>
        </w:rPr>
        <w:t>）</w:t>
      </w:r>
      <w:r>
        <w:rPr>
          <w:rFonts w:hint="eastAsia"/>
          <w:color w:val="auto"/>
          <w:highlight w:val="none"/>
          <w:u w:val="single"/>
        </w:rPr>
        <w:t>，违约金须当月向发包人缴清，否则发包人有权延期支付当月工程进度款</w:t>
      </w:r>
      <w:r>
        <w:rPr>
          <w:rFonts w:hint="eastAsia"/>
          <w:color w:val="auto"/>
          <w:highlight w:val="none"/>
          <w:u w:val="single"/>
          <w:lang w:eastAsia="zh-CN"/>
        </w:rPr>
        <w:t>（</w:t>
      </w:r>
      <w:r>
        <w:rPr>
          <w:rFonts w:hint="eastAsia"/>
          <w:color w:val="auto"/>
          <w:highlight w:val="none"/>
          <w:u w:val="single"/>
        </w:rPr>
        <w:t>由发包人现场代表或监理人员以现场签到的形式确认项目经理到场天数</w:t>
      </w:r>
      <w:r>
        <w:rPr>
          <w:rFonts w:hint="eastAsia"/>
          <w:color w:val="auto"/>
          <w:highlight w:val="none"/>
          <w:u w:val="single"/>
          <w:lang w:eastAsia="zh-CN"/>
        </w:rPr>
        <w:t>）</w:t>
      </w:r>
      <w:r>
        <w:rPr>
          <w:rFonts w:hint="eastAsia"/>
          <w:color w:val="auto"/>
          <w:highlight w:val="none"/>
          <w:u w:val="single"/>
        </w:rPr>
        <w:t xml:space="preserve">，并不承担违约责任。项目经理无故连续七天不到的，发包人将本项目视为挂靠工程，有权解除合同并没收履约保证金，同时发包人有权向承包人追索因此造成的实际损失 </w:t>
      </w:r>
      <w:r>
        <w:rPr>
          <w:rFonts w:hint="eastAsia" w:hAnsi="宋体" w:cs="宋体"/>
          <w:color w:val="auto"/>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color w:val="auto"/>
          <w:highlight w:val="none"/>
          <w:u w:val="single"/>
        </w:rPr>
        <w:t>发包人有权对承包人处违约金1万元，并按照相关规定报行政主管部门处理</w:t>
      </w:r>
      <w:r>
        <w:rPr>
          <w:rFonts w:hint="eastAsia" w:hAnsi="宋体"/>
          <w:color w:val="auto"/>
          <w:highlight w:val="none"/>
          <w:u w:val="single"/>
        </w:rPr>
        <w:t xml:space="preserve"> </w:t>
      </w:r>
      <w:r>
        <w:rPr>
          <w:rFonts w:hint="eastAsia" w:hAnsi="宋体" w:cs="宋体"/>
          <w:color w:val="auto"/>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500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4"/>
        <w:rPr>
          <w:color w:val="auto"/>
          <w:highlight w:val="none"/>
        </w:rPr>
      </w:pPr>
      <w:bookmarkStart w:id="444" w:name="_Toc389065275"/>
      <w:bookmarkStart w:id="445" w:name="_Toc373227709"/>
      <w:bookmarkStart w:id="446" w:name="_Toc78449797"/>
      <w:bookmarkStart w:id="447" w:name="_Toc747710271"/>
      <w:bookmarkStart w:id="448" w:name="_Toc407135211"/>
      <w:bookmarkStart w:id="449" w:name="_Toc21200"/>
      <w:bookmarkStart w:id="450" w:name="_Toc373478356"/>
      <w:bookmarkStart w:id="451" w:name="_Toc1443830486"/>
      <w:r>
        <w:rPr>
          <w:color w:val="auto"/>
          <w:highlight w:val="none"/>
        </w:rPr>
        <w:t xml:space="preserve">3.3 </w:t>
      </w:r>
      <w:r>
        <w:rPr>
          <w:rFonts w:hint="eastAsia" w:hAnsi="宋体" w:cs="黑体"/>
          <w:color w:val="auto"/>
          <w:highlight w:val="none"/>
        </w:rPr>
        <w:t>承包人人员</w:t>
      </w:r>
      <w:bookmarkEnd w:id="444"/>
      <w:bookmarkEnd w:id="445"/>
      <w:bookmarkEnd w:id="446"/>
      <w:bookmarkEnd w:id="447"/>
      <w:bookmarkEnd w:id="448"/>
      <w:bookmarkEnd w:id="449"/>
      <w:bookmarkEnd w:id="450"/>
      <w:bookmarkEnd w:id="451"/>
    </w:p>
    <w:p>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pPr>
        <w:spacing w:line="360" w:lineRule="auto"/>
        <w:rPr>
          <w:color w:val="auto"/>
          <w:highlight w:val="none"/>
        </w:rPr>
      </w:pPr>
      <w:r>
        <w:rPr>
          <w:color w:val="auto"/>
          <w:highlight w:val="none"/>
          <w:u w:val="single"/>
        </w:rPr>
        <w:t xml:space="preserve"> </w:t>
      </w:r>
      <w:r>
        <w:rPr>
          <w:rFonts w:hint="eastAsia"/>
          <w:color w:val="auto"/>
          <w:highlight w:val="none"/>
          <w:u w:val="single"/>
        </w:rPr>
        <w:t>开工前 7 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由总监理工程师批准，发包人认可后方可离开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4"/>
        <w:rPr>
          <w:color w:val="auto"/>
          <w:highlight w:val="none"/>
        </w:rPr>
      </w:pPr>
      <w:bookmarkStart w:id="452" w:name="_Toc373478357"/>
      <w:bookmarkStart w:id="453" w:name="_Toc373227710"/>
      <w:bookmarkStart w:id="454" w:name="_Toc28250"/>
      <w:bookmarkStart w:id="455" w:name="_Toc2025600126"/>
      <w:bookmarkStart w:id="456" w:name="_Toc78449798"/>
      <w:bookmarkStart w:id="457" w:name="_Toc407135212"/>
      <w:bookmarkStart w:id="458" w:name="_Toc2066279184"/>
      <w:bookmarkStart w:id="459" w:name="_Toc389065276"/>
      <w:r>
        <w:rPr>
          <w:color w:val="auto"/>
          <w:highlight w:val="none"/>
        </w:rPr>
        <w:t>3</w:t>
      </w:r>
      <w:bookmarkStart w:id="460" w:name="_Toc297123492"/>
      <w:bookmarkStart w:id="461" w:name="_Toc292559364"/>
      <w:bookmarkStart w:id="462" w:name="_Toc300934945"/>
      <w:bookmarkStart w:id="463" w:name="_Toc296347158"/>
      <w:bookmarkStart w:id="464" w:name="_Toc297120459"/>
      <w:bookmarkStart w:id="465" w:name="_Toc303539102"/>
      <w:bookmarkStart w:id="466" w:name="_Toc296891199"/>
      <w:bookmarkStart w:id="467" w:name="_Toc296503159"/>
      <w:bookmarkStart w:id="468" w:name="_Toc297048345"/>
      <w:bookmarkStart w:id="469" w:name="_Toc296944498"/>
      <w:bookmarkStart w:id="470" w:name="_Toc296346660"/>
      <w:bookmarkStart w:id="471" w:name="_Toc304295523"/>
      <w:bookmarkStart w:id="472" w:name="_Toc297216151"/>
      <w:bookmarkStart w:id="473" w:name="_Toc292559869"/>
      <w:bookmarkStart w:id="474" w:name="_Toc296890987"/>
      <w:bookmarkStart w:id="475" w:name="_Toc312677988"/>
      <w:r>
        <w:rPr>
          <w:color w:val="auto"/>
          <w:highlight w:val="none"/>
        </w:rPr>
        <w:t xml:space="preserve">.5 </w:t>
      </w:r>
      <w:r>
        <w:rPr>
          <w:rFonts w:hint="eastAsia" w:hAnsi="宋体" w:cs="黑体"/>
          <w:color w:val="auto"/>
          <w:highlight w:val="none"/>
        </w:rPr>
        <w:t>分包</w:t>
      </w:r>
      <w:bookmarkEnd w:id="452"/>
      <w:bookmarkEnd w:id="453"/>
      <w:bookmarkEnd w:id="454"/>
      <w:bookmarkEnd w:id="455"/>
      <w:bookmarkEnd w:id="456"/>
      <w:bookmarkEnd w:id="457"/>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spacing w:line="360" w:lineRule="auto"/>
        <w:ind w:firstLine="420" w:firstLineChars="200"/>
        <w:rPr>
          <w:color w:val="auto"/>
          <w:highlight w:val="none"/>
        </w:rPr>
      </w:pPr>
      <w:r>
        <w:rPr>
          <w:color w:val="auto"/>
          <w:highlight w:val="none"/>
        </w:rPr>
        <w:t>3</w:t>
      </w:r>
      <w:bookmarkStart w:id="476" w:name="_Toc297123493"/>
      <w:bookmarkStart w:id="477" w:name="_Toc296890988"/>
      <w:bookmarkStart w:id="478" w:name="_Toc297048346"/>
      <w:bookmarkStart w:id="479" w:name="_Toc292559870"/>
      <w:bookmarkStart w:id="480" w:name="_Toc300934946"/>
      <w:bookmarkStart w:id="481" w:name="_Toc296346661"/>
      <w:bookmarkStart w:id="482" w:name="_Toc296944499"/>
      <w:bookmarkStart w:id="483" w:name="_Toc296347159"/>
      <w:bookmarkStart w:id="484" w:name="_Toc318581158"/>
      <w:bookmarkStart w:id="485" w:name="_Toc292559365"/>
      <w:bookmarkStart w:id="486" w:name="_Toc296503160"/>
      <w:bookmarkStart w:id="487" w:name="_Toc303539103"/>
      <w:bookmarkStart w:id="488" w:name="_Toc297120460"/>
      <w:bookmarkStart w:id="489" w:name="_Toc312677989"/>
      <w:bookmarkStart w:id="490" w:name="_Toc296891200"/>
      <w:bookmarkStart w:id="491" w:name="_Toc297216152"/>
      <w:bookmarkStart w:id="492" w:name="_Toc304295524"/>
      <w:r>
        <w:rPr>
          <w:color w:val="auto"/>
          <w:highlight w:val="none"/>
        </w:rPr>
        <w:t xml:space="preserve">.5.1 </w:t>
      </w:r>
      <w:r>
        <w:rPr>
          <w:rFonts w:hint="eastAsia" w:hAnsi="宋体" w:cs="宋体"/>
          <w:color w:val="auto"/>
          <w:highlight w:val="none"/>
        </w:rPr>
        <w:t>分包的一般约定</w:t>
      </w:r>
    </w:p>
    <w:p>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ascii="宋体" w:hAnsi="宋体" w:eastAsia="宋体" w:cs="宋体"/>
          <w:color w:val="auto"/>
          <w:spacing w:val="0"/>
          <w:highlight w:val="none"/>
          <w:u w:val="single"/>
        </w:rPr>
        <w:t xml:space="preserve"> 本工程不得分包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360" w:lineRule="auto"/>
        <w:ind w:firstLine="420" w:firstLineChars="200"/>
        <w:jc w:val="left"/>
        <w:rPr>
          <w:color w:val="auto"/>
          <w:highlight w:val="none"/>
        </w:rPr>
      </w:pPr>
      <w:r>
        <w:rPr>
          <w:color w:val="auto"/>
          <w:highlight w:val="none"/>
        </w:rPr>
        <w:t>3</w:t>
      </w:r>
      <w:bookmarkStart w:id="493" w:name="_Toc312677990"/>
      <w:bookmarkStart w:id="494" w:name="_Toc318581159"/>
      <w:r>
        <w:rPr>
          <w:color w:val="auto"/>
          <w:highlight w:val="none"/>
        </w:rPr>
        <w:t xml:space="preserve">.5.2 </w:t>
      </w:r>
      <w:r>
        <w:rPr>
          <w:rFonts w:hint="eastAsia" w:hAnsi="宋体" w:cs="宋体"/>
          <w:color w:val="auto"/>
          <w:highlight w:val="none"/>
        </w:rPr>
        <w:t>分包的确定</w:t>
      </w:r>
    </w:p>
    <w:p>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其他关于分包的约定：</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pPr>
        <w:pStyle w:val="11"/>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493"/>
    <w:bookmarkEnd w:id="494"/>
    <w:p>
      <w:pPr>
        <w:spacing w:line="360" w:lineRule="auto"/>
        <w:ind w:firstLine="420" w:firstLineChars="200"/>
        <w:rPr>
          <w:color w:val="auto"/>
          <w:highlight w:val="none"/>
        </w:rPr>
      </w:pPr>
      <w:bookmarkStart w:id="495" w:name="_Toc373227711"/>
      <w:bookmarkStart w:id="496" w:name="_Toc389065277"/>
      <w:bookmarkStart w:id="497" w:name="_Toc373478358"/>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pPr>
        <w:pStyle w:val="4"/>
        <w:rPr>
          <w:color w:val="auto"/>
          <w:highlight w:val="none"/>
        </w:rPr>
      </w:pPr>
      <w:bookmarkStart w:id="498" w:name="_Toc18234"/>
      <w:bookmarkStart w:id="499" w:name="_Toc57329529"/>
      <w:bookmarkStart w:id="500" w:name="_Toc407135213"/>
      <w:bookmarkStart w:id="501" w:name="_Toc78449799"/>
      <w:bookmarkStart w:id="502" w:name="_Toc101808609"/>
      <w:r>
        <w:rPr>
          <w:color w:val="auto"/>
          <w:highlight w:val="none"/>
        </w:rPr>
        <w:t xml:space="preserve">3.6 </w:t>
      </w:r>
      <w:r>
        <w:rPr>
          <w:rFonts w:hint="eastAsia" w:cs="黑体"/>
          <w:color w:val="auto"/>
          <w:highlight w:val="none"/>
        </w:rPr>
        <w:t>工程照管与成品、半成品保护</w:t>
      </w:r>
      <w:bookmarkEnd w:id="495"/>
      <w:bookmarkEnd w:id="496"/>
      <w:bookmarkEnd w:id="497"/>
      <w:bookmarkEnd w:id="498"/>
      <w:bookmarkEnd w:id="499"/>
      <w:bookmarkEnd w:id="500"/>
      <w:bookmarkEnd w:id="501"/>
      <w:bookmarkEnd w:id="502"/>
    </w:p>
    <w:p>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从开工之日起至竣工验收合格交付使用之日止</w:t>
      </w:r>
      <w:r>
        <w:rPr>
          <w:color w:val="auto"/>
          <w:kern w:val="0"/>
          <w:highlight w:val="none"/>
          <w:u w:val="single"/>
        </w:rPr>
        <w:t xml:space="preserve"> </w:t>
      </w:r>
      <w:r>
        <w:rPr>
          <w:rFonts w:hint="eastAsia" w:hAnsi="宋体" w:cs="宋体"/>
          <w:color w:val="auto"/>
          <w:kern w:val="0"/>
          <w:highlight w:val="none"/>
        </w:rPr>
        <w:t>。</w:t>
      </w:r>
    </w:p>
    <w:p>
      <w:pPr>
        <w:pStyle w:val="4"/>
        <w:rPr>
          <w:color w:val="auto"/>
          <w:highlight w:val="none"/>
        </w:rPr>
      </w:pPr>
      <w:bookmarkStart w:id="503" w:name="_Toc389065278"/>
      <w:bookmarkStart w:id="504" w:name="_Toc373227712"/>
      <w:bookmarkStart w:id="505" w:name="_Toc373478359"/>
      <w:bookmarkStart w:id="506" w:name="_Toc78449800"/>
      <w:bookmarkStart w:id="507" w:name="_Toc407135214"/>
      <w:bookmarkStart w:id="508" w:name="_Toc1649716734"/>
      <w:bookmarkStart w:id="509" w:name="_Toc1486"/>
      <w:bookmarkStart w:id="510" w:name="_Toc1042049436"/>
      <w:r>
        <w:rPr>
          <w:color w:val="auto"/>
          <w:highlight w:val="none"/>
        </w:rPr>
        <w:t xml:space="preserve">3.7 </w:t>
      </w:r>
      <w:r>
        <w:rPr>
          <w:rFonts w:hint="eastAsia" w:hAnsi="宋体" w:cs="黑体"/>
          <w:color w:val="auto"/>
          <w:highlight w:val="none"/>
        </w:rPr>
        <w:t>履约</w:t>
      </w:r>
      <w:bookmarkEnd w:id="503"/>
      <w:bookmarkEnd w:id="504"/>
      <w:bookmarkEnd w:id="505"/>
      <w:r>
        <w:rPr>
          <w:rFonts w:hint="eastAsia" w:hAnsi="宋体" w:cs="黑体"/>
          <w:color w:val="auto"/>
          <w:highlight w:val="none"/>
        </w:rPr>
        <w:t>保证金</w:t>
      </w:r>
      <w:bookmarkEnd w:id="506"/>
      <w:bookmarkEnd w:id="507"/>
      <w:bookmarkEnd w:id="508"/>
      <w:bookmarkEnd w:id="509"/>
      <w:bookmarkEnd w:id="510"/>
    </w:p>
    <w:p>
      <w:pPr>
        <w:spacing w:line="360" w:lineRule="auto"/>
        <w:ind w:firstLine="420" w:firstLineChars="200"/>
        <w:jc w:val="left"/>
        <w:rPr>
          <w:rFonts w:hint="eastAsia" w:hAnsi="宋体" w:cs="宋体"/>
          <w:color w:val="auto"/>
          <w:highlight w:val="none"/>
          <w:u w:val="single"/>
        </w:rPr>
      </w:pPr>
      <w:bookmarkStart w:id="511" w:name="_Toc373478360"/>
      <w:bookmarkStart w:id="512" w:name="_Toc351203636"/>
      <w:bookmarkStart w:id="513" w:name="_Toc373227713"/>
      <w:bookmarkStart w:id="514" w:name="_Toc389065279"/>
      <w:r>
        <w:rPr>
          <w:rFonts w:hint="eastAsia" w:hAnsi="宋体" w:cs="宋体"/>
          <w:color w:val="auto"/>
          <w:highlight w:val="none"/>
        </w:rPr>
        <w:t>承包人提供履约担保的形式、金额及期限的：</w:t>
      </w:r>
      <w:r>
        <w:rPr>
          <w:rFonts w:hint="eastAsia" w:hAnsi="宋体" w:cs="宋体"/>
          <w:color w:val="auto"/>
          <w:highlight w:val="none"/>
          <w:u w:val="single"/>
        </w:rPr>
        <w:t>承包人在收到中标通知书后，须在</w:t>
      </w:r>
      <w:r>
        <w:rPr>
          <w:rFonts w:hint="eastAsia"/>
          <w:color w:val="auto"/>
          <w:highlight w:val="none"/>
          <w:u w:val="single"/>
          <w:lang w:val="en-US" w:eastAsia="zh-CN"/>
        </w:rPr>
        <w:t>10工作</w:t>
      </w:r>
      <w:r>
        <w:rPr>
          <w:rFonts w:hint="eastAsia" w:hAnsi="宋体" w:cs="宋体"/>
          <w:color w:val="auto"/>
          <w:highlight w:val="none"/>
          <w:u w:val="single"/>
        </w:rPr>
        <w:t>日内向发包人提交合同价款扣除发包人材料设备价款、暂估专业工程、暂列金额后的</w:t>
      </w:r>
      <w:r>
        <w:rPr>
          <w:rFonts w:hint="eastAsia"/>
          <w:color w:val="auto"/>
          <w:highlight w:val="none"/>
          <w:u w:val="single"/>
          <w:lang w:val="en-US" w:eastAsia="zh-CN"/>
        </w:rPr>
        <w:t>3</w:t>
      </w:r>
      <w:r>
        <w:rPr>
          <w:color w:val="auto"/>
          <w:highlight w:val="none"/>
          <w:u w:val="single"/>
        </w:rPr>
        <w:t>%</w:t>
      </w:r>
      <w:r>
        <w:rPr>
          <w:rFonts w:hint="eastAsia" w:hAnsi="宋体" w:cs="宋体"/>
          <w:color w:val="auto"/>
          <w:highlight w:val="none"/>
          <w:u w:val="single"/>
        </w:rPr>
        <w:t>的履约担保（格式见合同附件</w:t>
      </w:r>
      <w:r>
        <w:rPr>
          <w:rFonts w:hint="eastAsia" w:hAnsi="宋体"/>
          <w:color w:val="auto"/>
          <w:highlight w:val="none"/>
          <w:u w:val="single"/>
        </w:rPr>
        <w:t>7</w:t>
      </w:r>
      <w:r>
        <w:rPr>
          <w:rFonts w:hint="eastAsia" w:hAnsi="宋体" w:cs="宋体"/>
          <w:color w:val="auto"/>
          <w:highlight w:val="none"/>
          <w:u w:val="single"/>
        </w:rPr>
        <w:t>）。履约担保的有效期应当自本合同生效之日起至发包人签认并由监理人向承包人出具</w:t>
      </w:r>
      <w:r>
        <w:rPr>
          <w:color w:val="auto"/>
          <w:highlight w:val="none"/>
          <w:u w:val="single"/>
        </w:rPr>
        <w:t xml:space="preserve">        </w:t>
      </w:r>
      <w:r>
        <w:rPr>
          <w:rFonts w:hint="eastAsia" w:hAnsi="宋体" w:cs="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s="宋体"/>
          <w:color w:val="auto"/>
          <w:highlight w:val="none"/>
          <w:u w:val="single"/>
        </w:rPr>
        <w:t>变更工程竣工日期的，保证期间按照变更后的竣工日期做相应调整</w:t>
      </w:r>
      <w:r>
        <w:rPr>
          <w:color w:val="auto"/>
          <w:highlight w:val="none"/>
          <w:u w:val="single"/>
        </w:rPr>
        <w:t>”</w:t>
      </w:r>
      <w:r>
        <w:rPr>
          <w:rFonts w:hint="eastAsia" w:hAnsi="宋体" w:cs="宋体"/>
          <w:color w:val="auto"/>
          <w:highlight w:val="none"/>
          <w:u w:val="single"/>
        </w:rPr>
        <w:t>或类似约定的条款。</w:t>
      </w:r>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lang w:eastAsia="zh-CN"/>
        </w:rPr>
        <w:t>承包人</w:t>
      </w:r>
      <w:r>
        <w:rPr>
          <w:rFonts w:hint="eastAsia" w:hAnsi="宋体" w:cs="宋体"/>
          <w:color w:val="auto"/>
          <w:highlight w:val="none"/>
        </w:rPr>
        <w:t>提供</w:t>
      </w:r>
      <w:r>
        <w:rPr>
          <w:rFonts w:hint="eastAsia" w:hAnsi="宋体" w:cs="宋体"/>
          <w:color w:val="auto"/>
          <w:highlight w:val="none"/>
          <w:lang w:eastAsia="zh-CN"/>
        </w:rPr>
        <w:t>履约</w:t>
      </w:r>
      <w:r>
        <w:rPr>
          <w:rFonts w:hint="eastAsia" w:hAnsi="宋体" w:cs="宋体"/>
          <w:color w:val="auto"/>
          <w:highlight w:val="none"/>
        </w:rPr>
        <w:t>担保的形式：</w:t>
      </w:r>
      <w:r>
        <w:rPr>
          <w:rFonts w:hint="eastAsia"/>
          <w:color w:val="auto"/>
          <w:highlight w:val="none"/>
          <w:u w:val="singl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u w:val="single"/>
        </w:rPr>
        <w:t>工程担保保证人应将出具的保函相关信息录入“广西建筑市场监管云”平台（http://gxjzsc.caihcloud.com），以实现保函查询及验真功能</w:t>
      </w:r>
      <w:r>
        <w:rPr>
          <w:rFonts w:hint="eastAsia" w:hAnsi="宋体" w:cs="宋体"/>
          <w:color w:val="auto"/>
          <w:highlight w:val="none"/>
          <w:u w:val="single"/>
          <w:lang w:eastAsia="zh-CN"/>
        </w:rPr>
        <w:t>。</w:t>
      </w:r>
    </w:p>
    <w:p>
      <w:pPr>
        <w:spacing w:line="360" w:lineRule="auto"/>
        <w:ind w:firstLine="420" w:firstLineChars="200"/>
        <w:rPr>
          <w:color w:val="auto"/>
          <w:highlight w:val="none"/>
          <w:u w:val="single"/>
        </w:rPr>
      </w:pPr>
      <w:r>
        <w:rPr>
          <w:rFonts w:hint="eastAsia" w:hAnsi="宋体" w:cs="宋体"/>
          <w:color w:val="auto"/>
          <w:highlight w:val="none"/>
          <w:u w:val="single"/>
        </w:rPr>
        <w:t>工程竣工验收合格并对验收发现的问题完成整改后的</w:t>
      </w:r>
      <w:r>
        <w:rPr>
          <w:color w:val="auto"/>
          <w:highlight w:val="none"/>
          <w:u w:val="single"/>
        </w:rPr>
        <w:t>7</w:t>
      </w:r>
      <w:r>
        <w:rPr>
          <w:rFonts w:hint="eastAsia" w:hAnsi="宋体" w:cs="宋体"/>
          <w:color w:val="auto"/>
          <w:highlight w:val="none"/>
          <w:u w:val="single"/>
        </w:rPr>
        <w:t>个日历天内，发包人支付履约保证金的</w:t>
      </w:r>
      <w:r>
        <w:rPr>
          <w:color w:val="auto"/>
          <w:highlight w:val="none"/>
          <w:u w:val="single"/>
        </w:rPr>
        <w:t>50%</w:t>
      </w:r>
      <w:r>
        <w:rPr>
          <w:rFonts w:hint="eastAsia" w:hAnsi="宋体" w:cs="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s="宋体"/>
          <w:color w:val="auto"/>
          <w:highlight w:val="none"/>
          <w:u w:val="single"/>
        </w:rPr>
        <w:t>个日历天内扣减承包人赔偿金和其他应从承包人扣回的款项后，将履约保证金的余额退还给承包人。</w:t>
      </w:r>
    </w:p>
    <w:p>
      <w:pPr>
        <w:pStyle w:val="3"/>
        <w:rPr>
          <w:color w:val="auto"/>
          <w:highlight w:val="none"/>
        </w:rPr>
      </w:pPr>
      <w:bookmarkStart w:id="515" w:name="_Toc19305"/>
      <w:bookmarkStart w:id="516" w:name="_Toc78449801"/>
      <w:bookmarkStart w:id="517" w:name="_Toc931514330"/>
      <w:bookmarkStart w:id="518" w:name="_Toc5908"/>
      <w:bookmarkStart w:id="519" w:name="_Toc407135215"/>
      <w:bookmarkStart w:id="520" w:name="_Toc907912356"/>
      <w:r>
        <w:rPr>
          <w:color w:val="auto"/>
          <w:highlight w:val="none"/>
        </w:rPr>
        <w:t>4</w:t>
      </w:r>
      <w:bookmarkStart w:id="521" w:name="_Toc296347161"/>
      <w:bookmarkStart w:id="522" w:name="_Toc297048348"/>
      <w:bookmarkStart w:id="523" w:name="_Toc267251413"/>
      <w:bookmarkStart w:id="524" w:name="_Toc296944501"/>
      <w:bookmarkStart w:id="525" w:name="_Toc292559366"/>
      <w:bookmarkStart w:id="526" w:name="_Toc296891202"/>
      <w:bookmarkStart w:id="527" w:name="_Toc296346663"/>
      <w:bookmarkStart w:id="528" w:name="_Toc296503162"/>
      <w:bookmarkStart w:id="529" w:name="_Toc296890990"/>
      <w:bookmarkStart w:id="530" w:name="_Toc292559871"/>
      <w:bookmarkStart w:id="531" w:name="_Toc297120462"/>
      <w:r>
        <w:rPr>
          <w:color w:val="auto"/>
          <w:highlight w:val="none"/>
        </w:rPr>
        <w:t xml:space="preserve">. </w:t>
      </w:r>
      <w:r>
        <w:rPr>
          <w:rFonts w:hint="eastAsia" w:hAnsi="宋体" w:cs="黑体"/>
          <w:color w:val="auto"/>
          <w:highlight w:val="none"/>
        </w:rPr>
        <w:t>监</w:t>
      </w:r>
      <w:bookmarkEnd w:id="521"/>
      <w:bookmarkEnd w:id="522"/>
      <w:bookmarkEnd w:id="523"/>
      <w:bookmarkEnd w:id="524"/>
      <w:bookmarkEnd w:id="525"/>
      <w:bookmarkEnd w:id="526"/>
      <w:bookmarkEnd w:id="527"/>
      <w:bookmarkEnd w:id="528"/>
      <w:bookmarkEnd w:id="529"/>
      <w:bookmarkEnd w:id="530"/>
      <w:bookmarkEnd w:id="531"/>
      <w:r>
        <w:rPr>
          <w:rFonts w:hint="eastAsia" w:hAnsi="宋体" w:cs="黑体"/>
          <w:color w:val="auto"/>
          <w:highlight w:val="none"/>
        </w:rPr>
        <w:t>理人</w:t>
      </w:r>
      <w:bookmarkEnd w:id="511"/>
      <w:bookmarkEnd w:id="512"/>
      <w:bookmarkEnd w:id="513"/>
      <w:bookmarkEnd w:id="514"/>
      <w:bookmarkEnd w:id="515"/>
      <w:bookmarkEnd w:id="516"/>
      <w:bookmarkEnd w:id="517"/>
      <w:bookmarkEnd w:id="518"/>
      <w:bookmarkEnd w:id="519"/>
      <w:bookmarkEnd w:id="520"/>
    </w:p>
    <w:p>
      <w:pPr>
        <w:pStyle w:val="4"/>
        <w:rPr>
          <w:color w:val="auto"/>
          <w:highlight w:val="none"/>
        </w:rPr>
      </w:pPr>
      <w:bookmarkStart w:id="532" w:name="_Toc1008304989"/>
      <w:bookmarkStart w:id="533" w:name="_Toc78449802"/>
      <w:bookmarkStart w:id="534" w:name="_Toc389065280"/>
      <w:bookmarkStart w:id="535" w:name="_Toc8127"/>
      <w:bookmarkStart w:id="536" w:name="_Toc407135216"/>
      <w:bookmarkStart w:id="537" w:name="_Toc373478361"/>
      <w:bookmarkStart w:id="538" w:name="_Toc373227714"/>
      <w:bookmarkStart w:id="539" w:name="_Toc1595043148"/>
      <w:r>
        <w:rPr>
          <w:color w:val="auto"/>
          <w:highlight w:val="none"/>
        </w:rPr>
        <w:t xml:space="preserve">4.1 </w:t>
      </w:r>
      <w:r>
        <w:rPr>
          <w:rFonts w:hint="eastAsia" w:cs="黑体"/>
          <w:color w:val="auto"/>
          <w:highlight w:val="none"/>
        </w:rPr>
        <w:t>监理人的一般规定</w:t>
      </w:r>
      <w:bookmarkEnd w:id="532"/>
      <w:bookmarkEnd w:id="533"/>
      <w:bookmarkEnd w:id="534"/>
      <w:bookmarkEnd w:id="535"/>
      <w:bookmarkEnd w:id="536"/>
      <w:bookmarkEnd w:id="537"/>
      <w:bookmarkEnd w:id="538"/>
      <w:bookmarkEnd w:id="539"/>
    </w:p>
    <w:p>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color w:val="auto"/>
          <w:highlight w:val="none"/>
          <w:u w:val="single"/>
        </w:rPr>
        <w:t xml:space="preserve"> 按监理合同中约定的条款执行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color w:val="auto"/>
          <w:highlight w:val="none"/>
          <w:u w:val="single"/>
        </w:rPr>
        <w:t xml:space="preserve"> 按监理合同中约定的条款执行 </w:t>
      </w:r>
      <w:r>
        <w:rPr>
          <w:rFonts w:hint="eastAsia" w:hAnsi="宋体" w:cs="宋体"/>
          <w:color w:val="auto"/>
          <w:highlight w:val="none"/>
        </w:rPr>
        <w:t>。</w:t>
      </w:r>
      <w:r>
        <w:rPr>
          <w:color w:val="auto"/>
          <w:highlight w:val="none"/>
        </w:rPr>
        <w:t xml:space="preserve"> </w:t>
      </w:r>
    </w:p>
    <w:p>
      <w:pPr>
        <w:spacing w:line="360" w:lineRule="auto"/>
        <w:ind w:firstLine="420" w:firstLineChars="200"/>
        <w:rPr>
          <w:color w:val="auto"/>
          <w:highlight w:val="none"/>
        </w:rPr>
      </w:pPr>
      <w:r>
        <w:rPr>
          <w:rFonts w:hint="eastAsia" w:hAnsi="宋体" w:cs="宋体"/>
          <w:color w:val="auto"/>
          <w:highlight w:val="none"/>
        </w:rPr>
        <w:t>关于监理人在施工现场的办公场所、生活场所的提供和费用承担的约定：</w:t>
      </w:r>
      <w:r>
        <w:rPr>
          <w:rFonts w:hint="eastAsia"/>
          <w:color w:val="auto"/>
          <w:highlight w:val="none"/>
          <w:u w:val="single"/>
        </w:rPr>
        <w:t xml:space="preserve"> 按监理合同中约定的条款执行 </w:t>
      </w:r>
      <w:r>
        <w:rPr>
          <w:rFonts w:hint="eastAsia" w:hAnsi="宋体" w:cs="宋体"/>
          <w:color w:val="auto"/>
          <w:highlight w:val="none"/>
        </w:rPr>
        <w:t>。</w:t>
      </w:r>
    </w:p>
    <w:p>
      <w:pPr>
        <w:pStyle w:val="4"/>
        <w:rPr>
          <w:color w:val="auto"/>
          <w:highlight w:val="none"/>
        </w:rPr>
      </w:pPr>
      <w:bookmarkStart w:id="540" w:name="_Toc1350458461"/>
      <w:bookmarkStart w:id="541" w:name="_Toc373478362"/>
      <w:bookmarkStart w:id="542" w:name="_Toc407135217"/>
      <w:bookmarkStart w:id="543" w:name="_Toc386397261"/>
      <w:bookmarkStart w:id="544" w:name="_Toc389065281"/>
      <w:bookmarkStart w:id="545" w:name="_Toc373227715"/>
      <w:bookmarkStart w:id="546" w:name="_Toc78449803"/>
      <w:bookmarkStart w:id="547" w:name="_Toc30651"/>
      <w:r>
        <w:rPr>
          <w:color w:val="auto"/>
          <w:highlight w:val="none"/>
        </w:rPr>
        <w:t xml:space="preserve">4.2 </w:t>
      </w:r>
      <w:r>
        <w:rPr>
          <w:rFonts w:hint="eastAsia" w:hAnsi="宋体" w:cs="黑体"/>
          <w:color w:val="auto"/>
          <w:highlight w:val="none"/>
        </w:rPr>
        <w:t>监理人员</w:t>
      </w:r>
      <w:bookmarkEnd w:id="540"/>
      <w:bookmarkEnd w:id="541"/>
      <w:bookmarkEnd w:id="542"/>
      <w:bookmarkEnd w:id="543"/>
      <w:bookmarkEnd w:id="544"/>
      <w:bookmarkEnd w:id="545"/>
      <w:bookmarkEnd w:id="546"/>
      <w:bookmarkEnd w:id="547"/>
    </w:p>
    <w:p>
      <w:pPr>
        <w:spacing w:line="360" w:lineRule="auto"/>
        <w:ind w:firstLine="420" w:firstLineChars="200"/>
        <w:rPr>
          <w:color w:val="auto"/>
          <w:highlight w:val="none"/>
        </w:rPr>
      </w:pPr>
      <w:r>
        <w:rPr>
          <w:rFonts w:hint="eastAsia" w:hAnsi="宋体" w:cs="宋体"/>
          <w:color w:val="auto"/>
          <w:highlight w:val="none"/>
        </w:rPr>
        <w:t>总监理工程师：</w:t>
      </w:r>
    </w:p>
    <w:p>
      <w:pPr>
        <w:spacing w:line="360" w:lineRule="auto"/>
        <w:ind w:firstLine="420" w:firstLineChars="200"/>
        <w:rPr>
          <w:color w:val="auto"/>
          <w:highlight w:val="none"/>
        </w:rPr>
      </w:pPr>
      <w:bookmarkStart w:id="548" w:name="_Toc539923186"/>
      <w:bookmarkStart w:id="549" w:name="_Toc25470"/>
      <w:bookmarkStart w:id="550" w:name="_Toc373478363"/>
      <w:bookmarkStart w:id="551" w:name="_Toc373227716"/>
      <w:bookmarkStart w:id="552" w:name="_Toc389065282"/>
      <w:bookmarkStart w:id="553" w:name="_Toc941562442"/>
      <w:bookmarkStart w:id="554" w:name="_Toc78449804"/>
      <w:bookmarkStart w:id="555" w:name="_Toc407135218"/>
      <w:r>
        <w:rPr>
          <w:rFonts w:hAnsi="宋体"/>
          <w:color w:val="auto"/>
          <w:highlight w:val="none"/>
        </w:rPr>
        <w:t>姓</w:t>
      </w:r>
      <w:r>
        <w:rPr>
          <w:color w:val="auto"/>
          <w:highlight w:val="none"/>
        </w:rPr>
        <w:t xml:space="preserve">    </w:t>
      </w:r>
      <w:r>
        <w:rPr>
          <w:rFonts w:hAnsi="宋体"/>
          <w:color w:val="auto"/>
          <w:highlight w:val="none"/>
        </w:rPr>
        <w:t>名：</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rFonts w:hAnsi="宋体"/>
          <w:color w:val="auto"/>
          <w:highlight w:val="none"/>
        </w:rPr>
      </w:pPr>
      <w:r>
        <w:rPr>
          <w:rFonts w:hAnsi="宋体"/>
          <w:color w:val="auto"/>
          <w:highlight w:val="none"/>
        </w:rPr>
        <w:t>监理工程师注册证书号：</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联系电话：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电子信箱：</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通信地址：</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spacing w:line="360" w:lineRule="auto"/>
        <w:ind w:firstLine="420" w:firstLineChars="200"/>
        <w:rPr>
          <w:color w:val="auto"/>
          <w:highlight w:val="none"/>
        </w:rPr>
      </w:pPr>
      <w:r>
        <w:rPr>
          <w:rFonts w:hAnsi="宋体"/>
          <w:color w:val="auto"/>
          <w:highlight w:val="none"/>
        </w:rPr>
        <w:t>关于监理人的其他约定：</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pPr>
        <w:pStyle w:val="4"/>
        <w:rPr>
          <w:color w:val="auto"/>
          <w:highlight w:val="none"/>
        </w:rPr>
      </w:pPr>
      <w:r>
        <w:rPr>
          <w:color w:val="auto"/>
          <w:highlight w:val="none"/>
        </w:rPr>
        <w:t xml:space="preserve">4.4 </w:t>
      </w:r>
      <w:r>
        <w:rPr>
          <w:rFonts w:hint="eastAsia" w:hAnsi="宋体" w:cs="黑体"/>
          <w:color w:val="auto"/>
          <w:highlight w:val="none"/>
        </w:rPr>
        <w:t>商定或确定</w:t>
      </w:r>
      <w:bookmarkEnd w:id="548"/>
      <w:bookmarkEnd w:id="549"/>
      <w:bookmarkEnd w:id="550"/>
      <w:bookmarkEnd w:id="551"/>
      <w:bookmarkEnd w:id="552"/>
      <w:bookmarkEnd w:id="553"/>
      <w:bookmarkEnd w:id="554"/>
      <w:bookmarkEnd w:id="555"/>
    </w:p>
    <w:p>
      <w:pPr>
        <w:spacing w:line="360" w:lineRule="auto"/>
        <w:ind w:firstLine="420" w:firstLineChars="200"/>
        <w:rPr>
          <w:color w:val="auto"/>
          <w:highlight w:val="none"/>
        </w:rPr>
      </w:pPr>
      <w:bookmarkStart w:id="556" w:name="_Toc267251418"/>
      <w:r>
        <w:rPr>
          <w:rFonts w:hint="eastAsia" w:hAnsi="宋体" w:cs="宋体"/>
          <w:color w:val="auto"/>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pStyle w:val="3"/>
        <w:rPr>
          <w:color w:val="auto"/>
          <w:highlight w:val="none"/>
        </w:rPr>
      </w:pPr>
      <w:bookmarkStart w:id="557" w:name="_Toc373227717"/>
      <w:bookmarkStart w:id="558" w:name="_Toc351203637"/>
      <w:bookmarkStart w:id="559" w:name="_Toc1603077308"/>
      <w:bookmarkStart w:id="560" w:name="_Toc1687297496"/>
      <w:bookmarkStart w:id="561" w:name="_Toc389065283"/>
      <w:bookmarkStart w:id="562" w:name="_Toc11514"/>
      <w:bookmarkStart w:id="563" w:name="_Toc18278"/>
      <w:bookmarkStart w:id="564" w:name="_Toc373478364"/>
      <w:bookmarkStart w:id="565" w:name="_Toc407135219"/>
      <w:bookmarkStart w:id="566" w:name="_Toc78449805"/>
      <w:r>
        <w:rPr>
          <w:color w:val="auto"/>
          <w:highlight w:val="none"/>
        </w:rPr>
        <w:t>5</w:t>
      </w:r>
      <w:bookmarkEnd w:id="556"/>
      <w:bookmarkStart w:id="567" w:name="_Toc297120463"/>
      <w:bookmarkStart w:id="568" w:name="_Toc296346664"/>
      <w:bookmarkStart w:id="569" w:name="_Toc296503163"/>
      <w:bookmarkStart w:id="570" w:name="_Toc292559872"/>
      <w:bookmarkStart w:id="571" w:name="_Toc296347162"/>
      <w:bookmarkStart w:id="572" w:name="_Toc296944502"/>
      <w:bookmarkStart w:id="573" w:name="_Toc292559367"/>
      <w:bookmarkStart w:id="574" w:name="_Toc297048349"/>
      <w:bookmarkStart w:id="575" w:name="_Toc296891203"/>
      <w:bookmarkStart w:id="576" w:name="_Toc296890991"/>
      <w:r>
        <w:rPr>
          <w:color w:val="auto"/>
          <w:highlight w:val="none"/>
        </w:rPr>
        <w:t xml:space="preserve">. </w:t>
      </w:r>
      <w:r>
        <w:rPr>
          <w:rFonts w:hint="eastAsia" w:hAnsi="宋体" w:cs="黑体"/>
          <w:color w:val="auto"/>
          <w:highlight w:val="none"/>
        </w:rPr>
        <w:t>工程质量</w:t>
      </w:r>
      <w:bookmarkEnd w:id="557"/>
      <w:bookmarkEnd w:id="558"/>
      <w:bookmarkEnd w:id="559"/>
      <w:bookmarkEnd w:id="560"/>
      <w:bookmarkEnd w:id="561"/>
      <w:bookmarkEnd w:id="562"/>
      <w:bookmarkEnd w:id="563"/>
      <w:bookmarkEnd w:id="564"/>
      <w:bookmarkEnd w:id="565"/>
      <w:bookmarkEnd w:id="566"/>
    </w:p>
    <w:p>
      <w:pPr>
        <w:pStyle w:val="4"/>
        <w:rPr>
          <w:color w:val="auto"/>
          <w:highlight w:val="none"/>
        </w:rPr>
      </w:pPr>
      <w:bookmarkStart w:id="577" w:name="_Toc373478365"/>
      <w:bookmarkStart w:id="578" w:name="_Toc389065284"/>
      <w:bookmarkStart w:id="579" w:name="_Toc12906"/>
      <w:bookmarkStart w:id="580" w:name="_Toc1835421345"/>
      <w:bookmarkStart w:id="581" w:name="_Toc373227718"/>
      <w:bookmarkStart w:id="582" w:name="_Toc407135220"/>
      <w:bookmarkStart w:id="583" w:name="_Toc1952042622"/>
      <w:bookmarkStart w:id="584" w:name="_Toc78449806"/>
      <w:r>
        <w:rPr>
          <w:color w:val="auto"/>
          <w:highlight w:val="none"/>
        </w:rPr>
        <w:t xml:space="preserve">5.1 </w:t>
      </w:r>
      <w:r>
        <w:rPr>
          <w:rFonts w:hint="eastAsia" w:hAnsi="宋体" w:cs="黑体"/>
          <w:color w:val="auto"/>
          <w:highlight w:val="none"/>
        </w:rPr>
        <w:t>质量要求</w:t>
      </w:r>
      <w:bookmarkEnd w:id="577"/>
      <w:bookmarkEnd w:id="578"/>
      <w:bookmarkEnd w:id="579"/>
      <w:bookmarkEnd w:id="580"/>
      <w:bookmarkEnd w:id="581"/>
      <w:bookmarkEnd w:id="582"/>
      <w:bookmarkEnd w:id="583"/>
      <w:bookmarkEnd w:id="584"/>
    </w:p>
    <w:p>
      <w:pPr>
        <w:spacing w:line="360" w:lineRule="auto"/>
        <w:ind w:firstLine="420" w:firstLineChars="200"/>
        <w:jc w:val="left"/>
        <w:rPr>
          <w:color w:val="auto"/>
          <w:highlight w:val="none"/>
          <w:u w:val="single"/>
        </w:rPr>
      </w:pPr>
      <w:r>
        <w:rPr>
          <w:color w:val="auto"/>
          <w:highlight w:val="none"/>
        </w:rPr>
        <w:t>5</w:t>
      </w:r>
      <w:bookmarkStart w:id="585" w:name="_Toc318581164"/>
      <w:bookmarkStart w:id="586" w:name="_Toc297123496"/>
      <w:bookmarkStart w:id="587" w:name="_Toc304295527"/>
      <w:bookmarkStart w:id="588" w:name="_Toc303539106"/>
      <w:bookmarkStart w:id="589" w:name="_Toc300934949"/>
      <w:bookmarkStart w:id="590" w:name="_Toc312677997"/>
      <w:bookmarkStart w:id="591"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rFonts w:hint="eastAsia"/>
          <w:color w:val="auto"/>
          <w:highlight w:val="none"/>
          <w:u w:val="single"/>
          <w:lang w:val="en-US" w:eastAsia="zh-CN"/>
        </w:rPr>
        <w:t xml:space="preserve"> / </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w:t>
      </w:r>
    </w:p>
    <w:p>
      <w:pPr>
        <w:pStyle w:val="3"/>
        <w:rPr>
          <w:color w:val="auto"/>
          <w:highlight w:val="none"/>
        </w:rPr>
      </w:pPr>
      <w:bookmarkStart w:id="592" w:name="_Toc78449807"/>
      <w:bookmarkStart w:id="593" w:name="_Toc407135221"/>
      <w:bookmarkStart w:id="594" w:name="_Toc373478366"/>
      <w:bookmarkStart w:id="595" w:name="_Toc373227719"/>
      <w:bookmarkStart w:id="596" w:name="_Toc9183"/>
      <w:bookmarkStart w:id="597" w:name="_Toc1259019817"/>
      <w:bookmarkStart w:id="598" w:name="_Toc351203638"/>
      <w:bookmarkStart w:id="599" w:name="_Toc389065285"/>
      <w:bookmarkStart w:id="600" w:name="_Toc3549"/>
      <w:bookmarkStart w:id="601" w:name="_Toc703841976"/>
      <w:r>
        <w:rPr>
          <w:color w:val="auto"/>
          <w:highlight w:val="none"/>
        </w:rPr>
        <w:t xml:space="preserve">6. </w:t>
      </w:r>
      <w:r>
        <w:rPr>
          <w:rFonts w:hint="eastAsia" w:cs="黑体"/>
          <w:color w:val="auto"/>
          <w:highlight w:val="none"/>
        </w:rPr>
        <w:t>安全文明施工与环境保护</w:t>
      </w:r>
      <w:bookmarkEnd w:id="592"/>
      <w:bookmarkEnd w:id="593"/>
      <w:bookmarkEnd w:id="594"/>
      <w:bookmarkEnd w:id="595"/>
      <w:bookmarkEnd w:id="596"/>
      <w:bookmarkEnd w:id="597"/>
      <w:bookmarkEnd w:id="598"/>
      <w:bookmarkEnd w:id="599"/>
      <w:bookmarkEnd w:id="600"/>
      <w:bookmarkEnd w:id="601"/>
    </w:p>
    <w:p>
      <w:pPr>
        <w:pStyle w:val="4"/>
        <w:rPr>
          <w:color w:val="auto"/>
          <w:highlight w:val="none"/>
        </w:rPr>
      </w:pPr>
      <w:bookmarkStart w:id="602" w:name="_Toc407135222"/>
      <w:bookmarkStart w:id="603" w:name="_Toc389065286"/>
      <w:bookmarkStart w:id="604" w:name="_Toc373478367"/>
      <w:bookmarkStart w:id="605" w:name="_Toc180514231"/>
      <w:bookmarkStart w:id="606" w:name="_Toc78449808"/>
      <w:bookmarkStart w:id="607" w:name="_Toc5084"/>
      <w:bookmarkStart w:id="608" w:name="_Toc373227720"/>
      <w:bookmarkStart w:id="609" w:name="_Toc1296292062"/>
      <w:r>
        <w:rPr>
          <w:color w:val="auto"/>
          <w:highlight w:val="none"/>
        </w:rPr>
        <w:t xml:space="preserve">6.1 </w:t>
      </w:r>
      <w:r>
        <w:rPr>
          <w:rFonts w:hint="eastAsia" w:cs="黑体"/>
          <w:color w:val="auto"/>
          <w:highlight w:val="none"/>
        </w:rPr>
        <w:t>安全文明施工</w:t>
      </w:r>
      <w:bookmarkEnd w:id="602"/>
      <w:bookmarkEnd w:id="603"/>
      <w:bookmarkEnd w:id="604"/>
      <w:bookmarkEnd w:id="605"/>
      <w:bookmarkEnd w:id="606"/>
      <w:bookmarkEnd w:id="607"/>
      <w:bookmarkEnd w:id="608"/>
      <w:bookmarkEnd w:id="609"/>
    </w:p>
    <w:p>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color w:val="auto"/>
          <w:highlight w:val="none"/>
          <w:u w:val="single"/>
        </w:rPr>
        <w:t>要求达到《建筑施工安全检查标准》</w:t>
      </w:r>
      <w:r>
        <w:rPr>
          <w:rFonts w:hint="eastAsia"/>
          <w:color w:val="auto"/>
          <w:highlight w:val="none"/>
          <w:u w:val="single"/>
          <w:lang w:eastAsia="zh-CN"/>
        </w:rPr>
        <w:t>（</w:t>
      </w:r>
      <w:r>
        <w:rPr>
          <w:rFonts w:hint="eastAsia"/>
          <w:color w:val="auto"/>
          <w:highlight w:val="none"/>
          <w:u w:val="single"/>
        </w:rPr>
        <w:t>JGJ59-2011</w:t>
      </w:r>
      <w:r>
        <w:rPr>
          <w:rFonts w:hint="eastAsia"/>
          <w:color w:val="auto"/>
          <w:highlight w:val="none"/>
          <w:u w:val="single"/>
          <w:lang w:eastAsia="zh-CN"/>
        </w:rPr>
        <w:t>）</w:t>
      </w:r>
      <w:r>
        <w:rPr>
          <w:rFonts w:hint="eastAsia"/>
          <w:color w:val="auto"/>
          <w:highlight w:val="none"/>
          <w:u w:val="single"/>
        </w:rPr>
        <w:t>的标准，严格执行《大气污染防治法》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南宁市政府令第46号</w:t>
      </w:r>
      <w:r>
        <w:rPr>
          <w:rFonts w:hint="eastAsia"/>
          <w:color w:val="auto"/>
          <w:highlight w:val="none"/>
          <w:u w:val="single"/>
          <w:lang w:eastAsia="zh-CN"/>
        </w:rPr>
        <w:t>）</w:t>
      </w:r>
      <w:r>
        <w:rPr>
          <w:rFonts w:hint="eastAsia"/>
          <w:color w:val="auto"/>
          <w:highlight w:val="none"/>
          <w:u w:val="single"/>
        </w:rPr>
        <w:t>、《关于推进建筑业改革发展提升工程治理水平的若干意见》</w:t>
      </w:r>
      <w:r>
        <w:rPr>
          <w:rFonts w:hint="eastAsia"/>
          <w:color w:val="auto"/>
          <w:highlight w:val="none"/>
          <w:u w:val="single"/>
          <w:lang w:eastAsia="zh-CN"/>
        </w:rPr>
        <w:t>（</w:t>
      </w:r>
      <w:r>
        <w:rPr>
          <w:rFonts w:hint="eastAsia"/>
          <w:color w:val="auto"/>
          <w:highlight w:val="none"/>
          <w:u w:val="single"/>
        </w:rPr>
        <w:t>南府规[2016]24号</w:t>
      </w:r>
      <w:r>
        <w:rPr>
          <w:rFonts w:hint="eastAsia"/>
          <w:color w:val="auto"/>
          <w:highlight w:val="none"/>
          <w:u w:val="single"/>
          <w:lang w:eastAsia="zh-CN"/>
        </w:rPr>
        <w:t>）</w:t>
      </w:r>
      <w:r>
        <w:rPr>
          <w:rFonts w:hint="eastAsia"/>
          <w:color w:val="auto"/>
          <w:highlight w:val="none"/>
          <w:u w:val="single"/>
        </w:rPr>
        <w:t>、《南宁市土方作业文明施工工作导则》、《南宁市建设工程质量安全标准化图集》、《广西壮族自治区建设工程安全文明施工费使用管理细则》</w:t>
      </w:r>
      <w:r>
        <w:rPr>
          <w:rFonts w:hint="eastAsia"/>
          <w:color w:val="auto"/>
          <w:highlight w:val="none"/>
          <w:u w:val="single"/>
          <w:lang w:eastAsia="zh-CN"/>
        </w:rPr>
        <w:t>（</w:t>
      </w:r>
      <w:r>
        <w:rPr>
          <w:rFonts w:hint="eastAsia"/>
          <w:color w:val="auto"/>
          <w:highlight w:val="none"/>
          <w:u w:val="single"/>
        </w:rPr>
        <w:t>桂建质[2015]16号</w:t>
      </w:r>
      <w:r>
        <w:rPr>
          <w:rFonts w:hint="eastAsia"/>
          <w:color w:val="auto"/>
          <w:highlight w:val="none"/>
          <w:u w:val="single"/>
          <w:lang w:eastAsia="zh-CN"/>
        </w:rPr>
        <w:t>）</w:t>
      </w:r>
      <w:r>
        <w:rPr>
          <w:rFonts w:hint="eastAsia"/>
          <w:color w:val="auto"/>
          <w:highlight w:val="none"/>
          <w:u w:val="single"/>
        </w:rPr>
        <w:t>、《南宁市建设工程安全防护、文明施工措施费用管理规定》的有关规定，必须与经城管部门及行业协会核查建立的合法合规运输企业名录当中的企业签订运输合同，保证车辆受管控、服务够专业、利益分配较合理；使用符合密闭规定的合法车辆进行散体物料</w:t>
      </w:r>
      <w:r>
        <w:rPr>
          <w:rFonts w:hint="eastAsia"/>
          <w:color w:val="auto"/>
          <w:highlight w:val="none"/>
          <w:u w:val="single"/>
          <w:lang w:eastAsia="zh-CN"/>
        </w:rPr>
        <w:t>（</w:t>
      </w:r>
      <w:r>
        <w:rPr>
          <w:rFonts w:hint="eastAsia"/>
          <w:color w:val="auto"/>
          <w:highlight w:val="none"/>
          <w:u w:val="single"/>
        </w:rPr>
        <w:t>建筑渣土、垃圾、砂石等</w:t>
      </w:r>
      <w:r>
        <w:rPr>
          <w:rFonts w:hint="eastAsia"/>
          <w:color w:val="auto"/>
          <w:highlight w:val="none"/>
          <w:u w:val="single"/>
          <w:lang w:eastAsia="zh-CN"/>
        </w:rPr>
        <w:t>）</w:t>
      </w:r>
      <w:r>
        <w:rPr>
          <w:rFonts w:hint="eastAsia"/>
          <w:color w:val="auto"/>
          <w:highlight w:val="none"/>
          <w:u w:val="single"/>
        </w:rPr>
        <w:t>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rFonts w:hint="eastAsia"/>
          <w:color w:val="auto"/>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ascii="宋体" w:hAnsi="宋体" w:eastAsia="宋体" w:cs="宋体"/>
          <w:color w:val="auto"/>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rFonts w:hint="eastAsia"/>
          <w:color w:val="auto"/>
          <w:highlight w:val="none"/>
          <w:u w:val="single"/>
        </w:rPr>
        <w:t>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南宁市人民政府令第46号</w:t>
      </w:r>
      <w:r>
        <w:rPr>
          <w:rFonts w:hint="eastAsia"/>
          <w:color w:val="auto"/>
          <w:highlight w:val="none"/>
          <w:u w:val="single"/>
          <w:lang w:eastAsia="zh-CN"/>
        </w:rPr>
        <w:t>）</w:t>
      </w:r>
      <w:r>
        <w:rPr>
          <w:rFonts w:hint="eastAsia"/>
          <w:color w:val="auto"/>
          <w:highlight w:val="none"/>
          <w:u w:val="single"/>
        </w:rPr>
        <w:t>、《南宁市建设工程质量安全标准化图集》、《南宁市建设工程施工现场管理若干规定》</w:t>
      </w:r>
      <w:r>
        <w:rPr>
          <w:rFonts w:hint="eastAsia"/>
          <w:color w:val="auto"/>
          <w:highlight w:val="none"/>
          <w:u w:val="single"/>
          <w:lang w:eastAsia="zh-CN"/>
        </w:rPr>
        <w:t>（</w:t>
      </w:r>
      <w:r>
        <w:rPr>
          <w:rFonts w:hint="eastAsia"/>
          <w:color w:val="auto"/>
          <w:highlight w:val="none"/>
          <w:u w:val="single"/>
        </w:rPr>
        <w:t>南宁市人民政府令第8号</w:t>
      </w:r>
      <w:r>
        <w:rPr>
          <w:rFonts w:hint="eastAsia"/>
          <w:color w:val="auto"/>
          <w:highlight w:val="none"/>
          <w:u w:val="single"/>
          <w:lang w:eastAsia="zh-CN"/>
        </w:rPr>
        <w:t>）</w:t>
      </w:r>
      <w:r>
        <w:rPr>
          <w:rFonts w:hint="eastAsia"/>
          <w:color w:val="auto"/>
          <w:highlight w:val="none"/>
          <w:u w:val="single"/>
        </w:rPr>
        <w:t>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w:t>
      </w:r>
      <w:r>
        <w:rPr>
          <w:rFonts w:hint="eastAsia"/>
          <w:color w:val="auto"/>
          <w:highlight w:val="none"/>
          <w:u w:val="single"/>
          <w:lang w:eastAsia="zh-CN"/>
        </w:rPr>
        <w:t>（</w:t>
      </w:r>
      <w:r>
        <w:rPr>
          <w:rFonts w:hint="eastAsia"/>
          <w:color w:val="auto"/>
          <w:highlight w:val="none"/>
          <w:u w:val="single"/>
        </w:rPr>
        <w:t>种草、绿网</w:t>
      </w:r>
      <w:r>
        <w:rPr>
          <w:rFonts w:hint="eastAsia"/>
          <w:color w:val="auto"/>
          <w:highlight w:val="none"/>
          <w:u w:val="single"/>
          <w:lang w:eastAsia="zh-CN"/>
        </w:rPr>
        <w:t>）</w:t>
      </w:r>
      <w:r>
        <w:rPr>
          <w:rFonts w:hint="eastAsia"/>
          <w:color w:val="auto"/>
          <w:highlight w:val="none"/>
          <w:u w:val="single"/>
        </w:rPr>
        <w:t>、洗车出门、保洁路口、在线监测、抑尘喷淋等有效措施，确保建设工程各项安全防护、文明施工措施及其费用在工地一线按标准落实到位</w:t>
      </w:r>
      <w:r>
        <w:rPr>
          <w:rFonts w:hint="eastAsia" w:cs="宋体"/>
          <w:color w:val="auto"/>
          <w:highlight w:val="none"/>
        </w:rPr>
        <w:t>。</w:t>
      </w:r>
    </w:p>
    <w:p>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南宁</w:t>
      </w:r>
      <w:r>
        <w:rPr>
          <w:rFonts w:hAnsi="宋体"/>
          <w:color w:val="auto"/>
          <w:kern w:val="0"/>
          <w:highlight w:val="none"/>
          <w:u w:val="single"/>
        </w:rPr>
        <w:t xml:space="preserve"> </w:t>
      </w:r>
      <w:r>
        <w:rPr>
          <w:rFonts w:hint="eastAsia" w:hAnsi="宋体" w:cs="宋体"/>
          <w:color w:val="auto"/>
          <w:kern w:val="0"/>
          <w:highlight w:val="none"/>
        </w:rPr>
        <w:t>市相关规定执行。</w:t>
      </w:r>
    </w:p>
    <w:p>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color w:val="auto"/>
          <w:kern w:val="0"/>
          <w:highlight w:val="none"/>
        </w:rPr>
        <w:t xml:space="preserve">    </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pPr>
        <w:pStyle w:val="4"/>
        <w:rPr>
          <w:color w:val="auto"/>
          <w:highlight w:val="none"/>
        </w:rPr>
      </w:pPr>
      <w:bookmarkStart w:id="610" w:name="_Toc407135223"/>
      <w:bookmarkStart w:id="611" w:name="_Toc389065287"/>
      <w:bookmarkStart w:id="612" w:name="_Toc78449809"/>
      <w:bookmarkStart w:id="613" w:name="_Toc1922268668"/>
      <w:bookmarkStart w:id="614" w:name="_Toc373478368"/>
      <w:bookmarkStart w:id="615" w:name="_Toc1519050792"/>
      <w:bookmarkStart w:id="616" w:name="_Toc373227721"/>
      <w:bookmarkStart w:id="617" w:name="_Toc22978"/>
      <w:r>
        <w:rPr>
          <w:color w:val="auto"/>
          <w:highlight w:val="none"/>
        </w:rPr>
        <w:t xml:space="preserve">6.3 </w:t>
      </w:r>
      <w:r>
        <w:rPr>
          <w:rFonts w:hint="eastAsia" w:hAnsi="宋体" w:cs="黑体"/>
          <w:color w:val="auto"/>
          <w:highlight w:val="none"/>
        </w:rPr>
        <w:t>环境保护</w:t>
      </w:r>
      <w:bookmarkEnd w:id="610"/>
      <w:bookmarkEnd w:id="611"/>
      <w:bookmarkEnd w:id="612"/>
      <w:bookmarkEnd w:id="613"/>
      <w:bookmarkEnd w:id="614"/>
      <w:bookmarkEnd w:id="615"/>
      <w:bookmarkEnd w:id="616"/>
      <w:bookmarkEnd w:id="617"/>
    </w:p>
    <w:p>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585"/>
    <w:bookmarkEnd w:id="586"/>
    <w:bookmarkEnd w:id="587"/>
    <w:bookmarkEnd w:id="588"/>
    <w:bookmarkEnd w:id="589"/>
    <w:bookmarkEnd w:id="590"/>
    <w:bookmarkEnd w:id="591"/>
    <w:p>
      <w:pPr>
        <w:pStyle w:val="3"/>
        <w:rPr>
          <w:color w:val="auto"/>
          <w:highlight w:val="none"/>
        </w:rPr>
      </w:pPr>
      <w:bookmarkStart w:id="618" w:name="_Toc78449810"/>
      <w:bookmarkStart w:id="619" w:name="_Toc12961"/>
      <w:bookmarkStart w:id="620" w:name="_Toc407135224"/>
      <w:bookmarkStart w:id="621" w:name="_Toc373227722"/>
      <w:bookmarkStart w:id="622" w:name="_Toc389065288"/>
      <w:bookmarkStart w:id="623" w:name="_Toc315674767"/>
      <w:bookmarkStart w:id="624" w:name="_Toc373478369"/>
      <w:bookmarkStart w:id="625" w:name="_Toc1408286886"/>
      <w:bookmarkStart w:id="626" w:name="_Toc351203639"/>
      <w:bookmarkStart w:id="627" w:name="_Toc23981"/>
      <w:r>
        <w:rPr>
          <w:color w:val="auto"/>
          <w:highlight w:val="none"/>
        </w:rPr>
        <w:t xml:space="preserve">7. </w:t>
      </w:r>
      <w:r>
        <w:rPr>
          <w:rFonts w:hint="eastAsia" w:cs="黑体"/>
          <w:color w:val="auto"/>
          <w:highlight w:val="none"/>
        </w:rPr>
        <w:t>工期和进度</w:t>
      </w:r>
      <w:bookmarkEnd w:id="618"/>
      <w:bookmarkEnd w:id="619"/>
      <w:bookmarkEnd w:id="620"/>
      <w:bookmarkEnd w:id="621"/>
      <w:bookmarkEnd w:id="622"/>
      <w:bookmarkEnd w:id="623"/>
      <w:bookmarkEnd w:id="624"/>
      <w:bookmarkEnd w:id="625"/>
      <w:bookmarkEnd w:id="626"/>
      <w:bookmarkEnd w:id="627"/>
    </w:p>
    <w:p>
      <w:pPr>
        <w:pStyle w:val="4"/>
        <w:rPr>
          <w:color w:val="auto"/>
          <w:highlight w:val="none"/>
        </w:rPr>
      </w:pPr>
      <w:bookmarkStart w:id="628" w:name="_Toc78449811"/>
      <w:bookmarkStart w:id="629" w:name="_Toc389065289"/>
      <w:bookmarkStart w:id="630" w:name="_Toc1194482517"/>
      <w:bookmarkStart w:id="631" w:name="_Toc373478370"/>
      <w:bookmarkStart w:id="632" w:name="_Toc664905709"/>
      <w:bookmarkStart w:id="633" w:name="_Toc19336"/>
      <w:bookmarkStart w:id="634" w:name="_Toc373227723"/>
      <w:bookmarkStart w:id="635" w:name="_Toc407135225"/>
      <w:r>
        <w:rPr>
          <w:color w:val="auto"/>
          <w:highlight w:val="none"/>
        </w:rPr>
        <w:t xml:space="preserve">7.1 </w:t>
      </w:r>
      <w:r>
        <w:rPr>
          <w:rFonts w:hint="eastAsia" w:cs="黑体"/>
          <w:color w:val="auto"/>
          <w:highlight w:val="none"/>
        </w:rPr>
        <w:t>施工组织设计</w:t>
      </w:r>
      <w:bookmarkEnd w:id="628"/>
      <w:bookmarkEnd w:id="629"/>
      <w:bookmarkEnd w:id="630"/>
      <w:bookmarkEnd w:id="631"/>
      <w:bookmarkEnd w:id="632"/>
      <w:bookmarkEnd w:id="633"/>
      <w:bookmarkEnd w:id="634"/>
      <w:bookmarkEnd w:id="635"/>
    </w:p>
    <w:p>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ascii="宋体" w:hAnsi="宋体" w:eastAsia="宋体" w:cs="宋体"/>
          <w:color w:val="auto"/>
          <w:spacing w:val="0"/>
          <w:highlight w:val="none"/>
          <w:u w:val="single"/>
        </w:rPr>
        <w:t xml:space="preserve"> 按照招标文件约定，招标文件无约定的，按通用</w:t>
      </w:r>
      <w:r>
        <w:rPr>
          <w:rFonts w:ascii="宋体" w:hAnsi="宋体" w:eastAsia="宋体" w:cs="宋体"/>
          <w:color w:val="auto"/>
          <w:highlight w:val="none"/>
          <w:u w:val="single"/>
        </w:rPr>
        <w:t xml:space="preserve">合同条款或双方另行约定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rFonts w:ascii="宋体" w:hAnsi="宋体" w:eastAsia="宋体" w:cs="宋体"/>
          <w:color w:val="auto"/>
          <w:spacing w:val="0"/>
          <w:highlight w:val="none"/>
          <w:u w:val="single"/>
        </w:rPr>
        <w:t xml:space="preserve"> 在签订合同后</w:t>
      </w:r>
      <w:r>
        <w:rPr>
          <w:rFonts w:hint="eastAsia" w:ascii="Calibri" w:hAnsi="Calibri" w:eastAsia="宋体" w:cs="Calibri"/>
          <w:color w:val="auto"/>
          <w:spacing w:val="0"/>
          <w:highlight w:val="none"/>
          <w:u w:val="single"/>
          <w:lang w:val="en-US" w:eastAsia="zh-CN"/>
        </w:rPr>
        <w:t>7</w:t>
      </w:r>
      <w:r>
        <w:rPr>
          <w:rFonts w:ascii="宋体" w:hAnsi="宋体" w:eastAsia="宋体" w:cs="宋体"/>
          <w:color w:val="auto"/>
          <w:spacing w:val="0"/>
          <w:highlight w:val="none"/>
          <w:u w:val="single"/>
        </w:rPr>
        <w:t>天内提供施工组织设计</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施工方案</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 xml:space="preserve">和工程进度计划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ascii="宋体" w:hAnsi="宋体" w:eastAsia="宋体" w:cs="宋体"/>
          <w:color w:val="auto"/>
          <w:spacing w:val="0"/>
          <w:highlight w:val="none"/>
        </w:rPr>
        <w:t xml:space="preserve"> </w:t>
      </w:r>
      <w:r>
        <w:rPr>
          <w:rFonts w:ascii="宋体" w:hAnsi="宋体" w:eastAsia="宋体" w:cs="宋体"/>
          <w:color w:val="auto"/>
          <w:spacing w:val="0"/>
          <w:highlight w:val="none"/>
          <w:u w:val="single"/>
        </w:rPr>
        <w:t>于收到之日</w:t>
      </w:r>
      <w:r>
        <w:rPr>
          <w:rFonts w:ascii="宋体" w:hAnsi="宋体" w:eastAsia="宋体" w:cs="宋体"/>
          <w:color w:val="auto"/>
          <w:highlight w:val="none"/>
          <w:u w:val="single"/>
        </w:rPr>
        <w:t>起</w:t>
      </w:r>
      <w:r>
        <w:rPr>
          <w:rFonts w:ascii="Calibri" w:hAnsi="Calibri" w:eastAsia="Calibri" w:cs="Calibri"/>
          <w:color w:val="auto"/>
          <w:spacing w:val="0"/>
          <w:highlight w:val="none"/>
          <w:u w:val="single"/>
        </w:rPr>
        <w:t>7</w:t>
      </w:r>
      <w:r>
        <w:rPr>
          <w:rFonts w:ascii="宋体" w:hAnsi="宋体" w:eastAsia="宋体" w:cs="宋体"/>
          <w:color w:val="auto"/>
          <w:spacing w:val="0"/>
          <w:highlight w:val="none"/>
          <w:u w:val="single"/>
        </w:rPr>
        <w:t>日内确认或提出意见，逾期视为同意</w:t>
      </w:r>
      <w:r>
        <w:rPr>
          <w:rFonts w:hint="eastAsia" w:hAnsi="宋体" w:cs="宋体"/>
          <w:color w:val="auto"/>
          <w:highlight w:val="none"/>
        </w:rPr>
        <w:t>。</w:t>
      </w:r>
    </w:p>
    <w:p>
      <w:pPr>
        <w:pStyle w:val="4"/>
        <w:rPr>
          <w:color w:val="auto"/>
          <w:highlight w:val="none"/>
        </w:rPr>
      </w:pPr>
      <w:bookmarkStart w:id="636" w:name="_Toc1393005721"/>
      <w:bookmarkStart w:id="637" w:name="_Toc407135226"/>
      <w:bookmarkStart w:id="638" w:name="_Toc389065290"/>
      <w:bookmarkStart w:id="639" w:name="_Toc373227724"/>
      <w:bookmarkStart w:id="640" w:name="_Toc26065"/>
      <w:bookmarkStart w:id="641" w:name="_Toc78449812"/>
      <w:bookmarkStart w:id="642" w:name="_Toc1674747833"/>
      <w:bookmarkStart w:id="643" w:name="_Toc373478371"/>
      <w:r>
        <w:rPr>
          <w:color w:val="auto"/>
          <w:highlight w:val="none"/>
        </w:rPr>
        <w:t>7</w:t>
      </w:r>
      <w:bookmarkStart w:id="644" w:name="_Toc312677479"/>
      <w:bookmarkStart w:id="645" w:name="_Toc312678005"/>
      <w:bookmarkStart w:id="646" w:name="_Toc297216173"/>
      <w:bookmarkStart w:id="647" w:name="_Toc304295541"/>
      <w:bookmarkStart w:id="648" w:name="_Toc300934966"/>
      <w:bookmarkStart w:id="649" w:name="_Toc303539123"/>
      <w:bookmarkStart w:id="650" w:name="_Toc297123514"/>
      <w:r>
        <w:rPr>
          <w:color w:val="auto"/>
          <w:highlight w:val="none"/>
        </w:rPr>
        <w:t xml:space="preserve">.2 </w:t>
      </w:r>
      <w:r>
        <w:rPr>
          <w:rFonts w:hint="eastAsia" w:cs="黑体"/>
          <w:color w:val="auto"/>
          <w:highlight w:val="none"/>
        </w:rPr>
        <w:t>施工进度计划</w:t>
      </w:r>
      <w:bookmarkEnd w:id="636"/>
      <w:bookmarkEnd w:id="637"/>
      <w:bookmarkEnd w:id="638"/>
      <w:bookmarkEnd w:id="639"/>
      <w:bookmarkEnd w:id="640"/>
      <w:bookmarkEnd w:id="641"/>
      <w:bookmarkEnd w:id="642"/>
      <w:bookmarkEnd w:id="643"/>
    </w:p>
    <w:p>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rFonts w:ascii="Calibri" w:hAnsi="Calibri" w:eastAsia="Calibri" w:cs="Calibri"/>
          <w:color w:val="auto"/>
          <w:spacing w:val="0"/>
          <w:highlight w:val="none"/>
          <w:u w:val="single"/>
        </w:rPr>
        <w:t xml:space="preserve"> 10 </w:t>
      </w:r>
      <w:r>
        <w:rPr>
          <w:rFonts w:ascii="宋体" w:hAnsi="宋体" w:eastAsia="宋体" w:cs="宋体"/>
          <w:color w:val="auto"/>
          <w:spacing w:val="0"/>
          <w:highlight w:val="none"/>
          <w:u w:val="single"/>
        </w:rPr>
        <w:t xml:space="preserve">个工作日 </w:t>
      </w:r>
      <w:r>
        <w:rPr>
          <w:rFonts w:hint="eastAsia" w:hAnsi="宋体" w:cs="宋体"/>
          <w:color w:val="auto"/>
          <w:highlight w:val="none"/>
        </w:rPr>
        <w:t>。</w:t>
      </w:r>
    </w:p>
    <w:p>
      <w:pPr>
        <w:pStyle w:val="4"/>
        <w:rPr>
          <w:color w:val="auto"/>
          <w:highlight w:val="none"/>
        </w:rPr>
      </w:pPr>
      <w:bookmarkStart w:id="651" w:name="_Toc78449813"/>
      <w:bookmarkStart w:id="652" w:name="_Toc373478372"/>
      <w:bookmarkStart w:id="653" w:name="_Toc14679"/>
      <w:bookmarkStart w:id="654" w:name="_Toc389065291"/>
      <w:bookmarkStart w:id="655" w:name="_Toc407135227"/>
      <w:bookmarkStart w:id="656" w:name="_Toc373227725"/>
      <w:bookmarkStart w:id="657" w:name="_Toc423062567"/>
      <w:bookmarkStart w:id="658" w:name="_Toc1498273563"/>
      <w:r>
        <w:rPr>
          <w:color w:val="auto"/>
          <w:highlight w:val="none"/>
        </w:rPr>
        <w:t xml:space="preserve">7.3 </w:t>
      </w:r>
      <w:r>
        <w:rPr>
          <w:rFonts w:hint="eastAsia" w:cs="黑体"/>
          <w:color w:val="auto"/>
          <w:highlight w:val="none"/>
        </w:rPr>
        <w:t>开工</w:t>
      </w:r>
      <w:bookmarkEnd w:id="651"/>
      <w:bookmarkEnd w:id="652"/>
      <w:bookmarkEnd w:id="653"/>
      <w:bookmarkEnd w:id="654"/>
      <w:bookmarkEnd w:id="655"/>
      <w:bookmarkEnd w:id="656"/>
      <w:bookmarkEnd w:id="657"/>
      <w:bookmarkEnd w:id="658"/>
    </w:p>
    <w:p>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pPr>
        <w:spacing w:before="0" w:line="360" w:lineRule="auto"/>
        <w:ind w:left="0" w:firstLine="420" w:firstLineChars="200"/>
        <w:rPr>
          <w:rFonts w:ascii="宋体" w:hAnsi="宋体" w:eastAsia="宋体" w:cs="宋体"/>
          <w:color w:val="auto"/>
          <w:highlight w:val="none"/>
        </w:rPr>
      </w:pPr>
      <w:r>
        <w:rPr>
          <w:rFonts w:ascii="宋体" w:hAnsi="宋体" w:eastAsia="宋体" w:cs="宋体"/>
          <w:color w:val="auto"/>
          <w:spacing w:val="0"/>
          <w:highlight w:val="none"/>
        </w:rPr>
        <w:t xml:space="preserve">关于承包人提交工程开工报审表的期限： </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p>
    <w:p>
      <w:pPr>
        <w:spacing w:before="0" w:line="360" w:lineRule="auto"/>
        <w:ind w:left="0" w:right="0" w:firstLine="420" w:firstLineChars="200"/>
        <w:rPr>
          <w:rFonts w:ascii="宋体" w:hAnsi="宋体" w:eastAsia="宋体" w:cs="宋体"/>
          <w:color w:val="auto"/>
          <w:highlight w:val="none"/>
        </w:rPr>
      </w:pPr>
      <w:r>
        <w:rPr>
          <w:rFonts w:ascii="宋体" w:hAnsi="宋体" w:eastAsia="宋体" w:cs="宋体"/>
          <w:color w:val="auto"/>
          <w:spacing w:val="0"/>
          <w:highlight w:val="none"/>
        </w:rPr>
        <w:t>关于发包人应完成的其他开工准备工作及期限：</w:t>
      </w:r>
      <w:r>
        <w:rPr>
          <w:rFonts w:ascii="宋体" w:hAnsi="宋体" w:eastAsia="宋体" w:cs="宋体"/>
          <w:color w:val="auto"/>
          <w:spacing w:val="0"/>
          <w:highlight w:val="none"/>
          <w:u w:val="single"/>
        </w:rPr>
        <w:t xml:space="preserve"> 办公、住宿等临时用房、用地由承包人自行负责，用电及报装费用由承包人负责，费用均包含在投标报价中，其他按通用合同条款执行 </w:t>
      </w:r>
      <w:r>
        <w:rPr>
          <w:rFonts w:ascii="宋体" w:hAnsi="宋体" w:eastAsia="宋体" w:cs="宋体"/>
          <w:color w:val="auto"/>
          <w:spacing w:val="0"/>
          <w:highlight w:val="none"/>
        </w:rPr>
        <w:t>。</w:t>
      </w:r>
    </w:p>
    <w:p>
      <w:pPr>
        <w:spacing w:before="0" w:line="360" w:lineRule="auto"/>
        <w:ind w:left="0" w:right="0" w:firstLine="420" w:firstLineChars="200"/>
        <w:rPr>
          <w:color w:val="auto"/>
          <w:highlight w:val="none"/>
          <w:u w:val="single"/>
        </w:rPr>
      </w:pPr>
      <w:r>
        <w:rPr>
          <w:rFonts w:ascii="宋体" w:hAnsi="宋体" w:eastAsia="宋体" w:cs="宋体"/>
          <w:color w:val="auto"/>
          <w:spacing w:val="0"/>
          <w:highlight w:val="none"/>
        </w:rPr>
        <w:t>关于承包人应完成的其他开工准备工作及期限：</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r>
        <w:rPr>
          <w:rFonts w:ascii="宋体" w:hAnsi="宋体" w:eastAsia="宋体" w:cs="宋体"/>
          <w:color w:val="auto"/>
          <w:highlight w:val="none"/>
        </w:rPr>
        <w:t xml:space="preserve"> </w:t>
      </w:r>
    </w:p>
    <w:p>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90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644"/>
    <w:bookmarkEnd w:id="645"/>
    <w:bookmarkEnd w:id="646"/>
    <w:bookmarkEnd w:id="647"/>
    <w:bookmarkEnd w:id="648"/>
    <w:bookmarkEnd w:id="649"/>
    <w:bookmarkEnd w:id="650"/>
    <w:p>
      <w:pPr>
        <w:pStyle w:val="4"/>
        <w:rPr>
          <w:color w:val="auto"/>
          <w:highlight w:val="none"/>
        </w:rPr>
      </w:pPr>
      <w:bookmarkStart w:id="659" w:name="_Toc78449814"/>
      <w:bookmarkStart w:id="660" w:name="_Toc86855608"/>
      <w:bookmarkStart w:id="661" w:name="_Toc373478373"/>
      <w:bookmarkStart w:id="662" w:name="_Toc11734"/>
      <w:bookmarkStart w:id="663" w:name="_Toc389065292"/>
      <w:bookmarkStart w:id="664" w:name="_Toc741356765"/>
      <w:bookmarkStart w:id="665" w:name="_Toc373227726"/>
      <w:bookmarkStart w:id="666" w:name="_Toc407135228"/>
      <w:r>
        <w:rPr>
          <w:color w:val="auto"/>
          <w:highlight w:val="none"/>
        </w:rPr>
        <w:t xml:space="preserve">7.4 </w:t>
      </w:r>
      <w:r>
        <w:rPr>
          <w:rFonts w:hint="eastAsia" w:hAnsi="宋体" w:cs="黑体"/>
          <w:color w:val="auto"/>
          <w:highlight w:val="none"/>
        </w:rPr>
        <w:t>测量放线</w:t>
      </w:r>
      <w:bookmarkEnd w:id="659"/>
      <w:bookmarkEnd w:id="660"/>
      <w:bookmarkEnd w:id="661"/>
      <w:bookmarkEnd w:id="662"/>
      <w:bookmarkEnd w:id="663"/>
      <w:bookmarkEnd w:id="664"/>
      <w:bookmarkEnd w:id="665"/>
      <w:bookmarkEnd w:id="666"/>
    </w:p>
    <w:p>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pPr>
        <w:spacing w:line="360" w:lineRule="auto"/>
        <w:jc w:val="left"/>
        <w:rPr>
          <w:color w:val="auto"/>
          <w:highlight w:val="none"/>
          <w:u w:val="single"/>
        </w:rPr>
      </w:pPr>
      <w:r>
        <w:rPr>
          <w:rFonts w:hint="eastAsia"/>
          <w:color w:val="auto"/>
          <w:highlight w:val="none"/>
          <w:u w:val="single"/>
        </w:rPr>
        <w:t xml:space="preserve">开工日期前 7 天通过监理人向承包人提供测量基准点、基准线和水准点及其书面资料 </w:t>
      </w:r>
      <w:r>
        <w:rPr>
          <w:rFonts w:hint="eastAsia" w:hAnsi="宋体" w:cs="宋体"/>
          <w:color w:val="auto"/>
          <w:highlight w:val="none"/>
        </w:rPr>
        <w:t>。</w:t>
      </w:r>
    </w:p>
    <w:p>
      <w:pPr>
        <w:pStyle w:val="4"/>
        <w:rPr>
          <w:color w:val="auto"/>
          <w:highlight w:val="none"/>
        </w:rPr>
      </w:pPr>
      <w:bookmarkStart w:id="667" w:name="_Toc373227727"/>
      <w:bookmarkStart w:id="668" w:name="_Toc1863025072"/>
      <w:bookmarkStart w:id="669" w:name="_Toc16536"/>
      <w:bookmarkStart w:id="670" w:name="_Toc78449815"/>
      <w:bookmarkStart w:id="671" w:name="_Toc389065293"/>
      <w:bookmarkStart w:id="672" w:name="_Toc373478374"/>
      <w:bookmarkStart w:id="673" w:name="_Toc407135229"/>
      <w:bookmarkStart w:id="674" w:name="_Toc1417437583"/>
      <w:r>
        <w:rPr>
          <w:color w:val="auto"/>
          <w:highlight w:val="none"/>
        </w:rPr>
        <w:t>7</w:t>
      </w:r>
      <w:bookmarkStart w:id="675" w:name="_Toc303539125"/>
      <w:bookmarkStart w:id="676" w:name="_Toc304295546"/>
      <w:bookmarkStart w:id="677" w:name="_Toc297123516"/>
      <w:bookmarkStart w:id="678" w:name="_Toc312677484"/>
      <w:bookmarkStart w:id="679" w:name="_Toc300934968"/>
      <w:bookmarkStart w:id="680" w:name="_Toc312678010"/>
      <w:bookmarkStart w:id="681" w:name="_Toc297216175"/>
      <w:r>
        <w:rPr>
          <w:color w:val="auto"/>
          <w:highlight w:val="none"/>
        </w:rPr>
        <w:t xml:space="preserve">.5 </w:t>
      </w:r>
      <w:r>
        <w:rPr>
          <w:rFonts w:hint="eastAsia" w:hAnsi="宋体" w:cs="黑体"/>
          <w:color w:val="auto"/>
          <w:highlight w:val="none"/>
        </w:rPr>
        <w:t>工期延误</w:t>
      </w:r>
      <w:bookmarkEnd w:id="667"/>
      <w:bookmarkEnd w:id="668"/>
      <w:bookmarkEnd w:id="669"/>
      <w:bookmarkEnd w:id="670"/>
      <w:bookmarkEnd w:id="671"/>
      <w:bookmarkEnd w:id="672"/>
      <w:bookmarkEnd w:id="673"/>
      <w:bookmarkEnd w:id="674"/>
    </w:p>
    <w:bookmarkEnd w:id="675"/>
    <w:bookmarkEnd w:id="676"/>
    <w:bookmarkEnd w:id="677"/>
    <w:bookmarkEnd w:id="678"/>
    <w:bookmarkEnd w:id="679"/>
    <w:bookmarkEnd w:id="680"/>
    <w:bookmarkEnd w:id="681"/>
    <w:p>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7</w:t>
      </w:r>
      <w:bookmarkStart w:id="682" w:name="_Toc312677486"/>
      <w:bookmarkStart w:id="683" w:name="_Toc318581169"/>
      <w:bookmarkStart w:id="684" w:name="_Toc312678012"/>
      <w:bookmarkStart w:id="685" w:name="_Toc297123518"/>
      <w:bookmarkStart w:id="686" w:name="_Toc297216177"/>
      <w:bookmarkStart w:id="687" w:name="_Toc304295548"/>
      <w:bookmarkStart w:id="688" w:name="_Toc303539127"/>
      <w:bookmarkStart w:id="689" w:name="_Toc300934970"/>
      <w:r>
        <w:rPr>
          <w:color w:val="auto"/>
          <w:highlight w:val="none"/>
        </w:rPr>
        <w:t xml:space="preserve">.5.2 </w:t>
      </w:r>
      <w:r>
        <w:rPr>
          <w:rFonts w:hint="eastAsia" w:hAnsi="宋体" w:cs="宋体"/>
          <w:color w:val="auto"/>
          <w:highlight w:val="none"/>
        </w:rPr>
        <w:t>因承包人原因导致工期延误</w:t>
      </w:r>
    </w:p>
    <w:bookmarkEnd w:id="682"/>
    <w:bookmarkEnd w:id="683"/>
    <w:bookmarkEnd w:id="684"/>
    <w:p>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color w:val="auto"/>
          <w:highlight w:val="none"/>
          <w:u w:val="single"/>
        </w:rPr>
        <w:t xml:space="preserve">按通用条款和第7.5.1条款及以及7.6条约定办理。其他不可抗力的原因，发生工期顺延时应在30日内通知发包方和监理方确认，否则视为工期不延误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因</w:t>
      </w:r>
      <w:bookmarkStart w:id="690" w:name="_Toc318581170"/>
      <w:bookmarkStart w:id="691" w:name="_Toc312678013"/>
      <w:bookmarkStart w:id="692" w:name="_Toc312677487"/>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ascii="宋体" w:cs="宋体"/>
          <w:color w:val="auto"/>
          <w:highlight w:val="none"/>
          <w:u w:val="single"/>
        </w:rPr>
        <w:t>,</w:t>
      </w:r>
      <w:r>
        <w:rPr>
          <w:rFonts w:hint="eastAsia" w:ascii="宋体" w:hAnsi="宋体" w:cs="宋体"/>
          <w:color w:val="auto"/>
          <w:highlight w:val="none"/>
          <w:u w:val="single"/>
        </w:rPr>
        <w:t>按单项工程应支付给承包人的结算造价的万分之</w:t>
      </w:r>
      <w:r>
        <w:rPr>
          <w:rFonts w:hint="eastAsia" w:ascii="宋体" w:hAnsi="宋体" w:cs="宋体"/>
          <w:color w:val="auto"/>
          <w:highlight w:val="none"/>
          <w:u w:val="single"/>
          <w:lang w:val="en-US" w:eastAsia="zh-CN"/>
        </w:rPr>
        <w:t>一</w:t>
      </w:r>
      <w:r>
        <w:rPr>
          <w:rFonts w:hint="eastAsia" w:ascii="宋体" w:hAnsi="宋体" w:cs="宋体"/>
          <w:color w:val="auto"/>
          <w:highlight w:val="none"/>
          <w:u w:val="single"/>
        </w:rPr>
        <w:t>处罚</w:t>
      </w:r>
      <w:r>
        <w:rPr>
          <w:rFonts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685"/>
      <w:bookmarkEnd w:id="686"/>
      <w:bookmarkEnd w:id="687"/>
      <w:bookmarkEnd w:id="688"/>
      <w:bookmarkEnd w:id="689"/>
      <w:bookmarkEnd w:id="690"/>
      <w:bookmarkEnd w:id="691"/>
      <w:bookmarkEnd w:id="692"/>
      <w:r>
        <w:rPr>
          <w:rFonts w:hint="eastAsia" w:hAnsi="宋体" w:cs="宋体"/>
          <w:color w:val="auto"/>
          <w:highlight w:val="none"/>
        </w:rPr>
        <w:t>因承包人原因造成工期延误，逾</w:t>
      </w:r>
      <w:bookmarkStart w:id="693" w:name="_Toc318581171"/>
      <w:bookmarkStart w:id="694"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rFonts w:hint="eastAsia"/>
          <w:color w:val="auto"/>
          <w:highlight w:val="none"/>
          <w:u w:val="single"/>
          <w:lang w:val="en-US" w:eastAsia="zh-CN"/>
        </w:rPr>
        <w:t>5</w:t>
      </w:r>
      <w:r>
        <w:rPr>
          <w:color w:val="auto"/>
          <w:highlight w:val="none"/>
          <w:u w:val="single"/>
        </w:rPr>
        <w:t>%</w:t>
      </w:r>
      <w:r>
        <w:rPr>
          <w:rFonts w:hint="eastAsia" w:hAnsi="宋体" w:cs="宋体"/>
          <w:color w:val="auto"/>
          <w:highlight w:val="none"/>
        </w:rPr>
        <w:t>。</w:t>
      </w:r>
    </w:p>
    <w:bookmarkEnd w:id="693"/>
    <w:bookmarkEnd w:id="694"/>
    <w:p>
      <w:pPr>
        <w:pStyle w:val="4"/>
        <w:rPr>
          <w:color w:val="auto"/>
          <w:highlight w:val="none"/>
        </w:rPr>
      </w:pPr>
      <w:bookmarkStart w:id="695" w:name="_Toc888037017"/>
      <w:bookmarkStart w:id="696" w:name="_Toc373227728"/>
      <w:bookmarkStart w:id="697" w:name="_Toc373478375"/>
      <w:bookmarkStart w:id="698" w:name="_Toc16199"/>
      <w:bookmarkStart w:id="699" w:name="_Toc1954543271"/>
      <w:bookmarkStart w:id="700" w:name="_Toc407135230"/>
      <w:bookmarkStart w:id="701" w:name="_Toc78449816"/>
      <w:bookmarkStart w:id="702" w:name="_Toc389065294"/>
      <w:r>
        <w:rPr>
          <w:color w:val="auto"/>
          <w:highlight w:val="none"/>
        </w:rPr>
        <w:t>7</w:t>
      </w:r>
      <w:bookmarkStart w:id="703" w:name="_Toc297216178"/>
      <w:bookmarkStart w:id="704" w:name="_Toc300934971"/>
      <w:bookmarkStart w:id="705" w:name="_Toc303539128"/>
      <w:bookmarkStart w:id="706" w:name="_Toc304295549"/>
      <w:bookmarkStart w:id="707" w:name="_Toc297123519"/>
      <w:bookmarkStart w:id="708" w:name="_Toc312678015"/>
      <w:r>
        <w:rPr>
          <w:color w:val="auto"/>
          <w:highlight w:val="none"/>
        </w:rPr>
        <w:t xml:space="preserve">.6 </w:t>
      </w:r>
      <w:r>
        <w:rPr>
          <w:rFonts w:hint="eastAsia" w:cs="黑体"/>
          <w:color w:val="auto"/>
          <w:highlight w:val="none"/>
        </w:rPr>
        <w:t>不</w:t>
      </w:r>
      <w:bookmarkEnd w:id="703"/>
      <w:bookmarkEnd w:id="704"/>
      <w:bookmarkEnd w:id="705"/>
      <w:bookmarkEnd w:id="706"/>
      <w:bookmarkEnd w:id="707"/>
      <w:bookmarkEnd w:id="708"/>
      <w:r>
        <w:rPr>
          <w:rFonts w:hint="eastAsia" w:cs="黑体"/>
          <w:color w:val="auto"/>
          <w:highlight w:val="none"/>
        </w:rPr>
        <w:t>利物质条件</w:t>
      </w:r>
      <w:bookmarkEnd w:id="695"/>
      <w:bookmarkEnd w:id="696"/>
      <w:bookmarkEnd w:id="697"/>
      <w:bookmarkEnd w:id="698"/>
      <w:bookmarkEnd w:id="699"/>
      <w:bookmarkEnd w:id="700"/>
      <w:bookmarkEnd w:id="701"/>
      <w:bookmarkEnd w:id="702"/>
    </w:p>
    <w:p>
      <w:pPr>
        <w:spacing w:line="360" w:lineRule="auto"/>
        <w:ind w:firstLine="420" w:firstLineChars="200"/>
        <w:jc w:val="left"/>
        <w:rPr>
          <w:color w:val="auto"/>
          <w:highlight w:val="none"/>
          <w:u w:val="single"/>
        </w:rPr>
      </w:pPr>
      <w:bookmarkStart w:id="709" w:name="_Toc304295550"/>
      <w:bookmarkStart w:id="710" w:name="_Toc297216179"/>
      <w:bookmarkStart w:id="711" w:name="_Toc303539129"/>
      <w:bookmarkStart w:id="712" w:name="_Toc300934972"/>
      <w:bookmarkStart w:id="713" w:name="_Toc297123520"/>
      <w:bookmarkStart w:id="714" w:name="_Toc318581172"/>
      <w:bookmarkStart w:id="715" w:name="_Toc312678016"/>
      <w:r>
        <w:rPr>
          <w:rFonts w:hint="eastAsia" w:hAnsi="宋体" w:cs="宋体"/>
          <w:color w:val="auto"/>
          <w:highlight w:val="none"/>
        </w:rPr>
        <w:t>不利物质条件的其他情形和有关约定：</w:t>
      </w:r>
      <w:r>
        <w:rPr>
          <w:rFonts w:ascii="宋体" w:hAnsi="宋体" w:eastAsia="宋体" w:cs="宋体"/>
          <w:color w:val="auto"/>
          <w:highlight w:val="none"/>
          <w:u w:val="single"/>
        </w:rPr>
        <w:t xml:space="preserve"> 以有关部门发布的文告或文件为准 </w:t>
      </w:r>
      <w:r>
        <w:rPr>
          <w:rFonts w:hint="eastAsia" w:hAnsi="宋体" w:cs="宋体"/>
          <w:color w:val="auto"/>
          <w:highlight w:val="none"/>
        </w:rPr>
        <w:t>。</w:t>
      </w:r>
    </w:p>
    <w:bookmarkEnd w:id="709"/>
    <w:bookmarkEnd w:id="710"/>
    <w:bookmarkEnd w:id="711"/>
    <w:bookmarkEnd w:id="712"/>
    <w:bookmarkEnd w:id="713"/>
    <w:bookmarkEnd w:id="714"/>
    <w:bookmarkEnd w:id="715"/>
    <w:p>
      <w:pPr>
        <w:pStyle w:val="4"/>
        <w:rPr>
          <w:color w:val="auto"/>
          <w:highlight w:val="none"/>
        </w:rPr>
      </w:pPr>
      <w:bookmarkStart w:id="716" w:name="_Toc78449817"/>
      <w:bookmarkStart w:id="717" w:name="_Toc851880484"/>
      <w:bookmarkStart w:id="718" w:name="_Toc407135231"/>
      <w:bookmarkStart w:id="719" w:name="_Toc2031116443"/>
      <w:bookmarkStart w:id="720" w:name="_Toc373478376"/>
      <w:bookmarkStart w:id="721" w:name="_Toc18248"/>
      <w:bookmarkStart w:id="722" w:name="_Toc389065295"/>
      <w:bookmarkStart w:id="723" w:name="_Toc373227729"/>
      <w:r>
        <w:rPr>
          <w:color w:val="auto"/>
          <w:highlight w:val="none"/>
        </w:rPr>
        <w:t>7</w:t>
      </w:r>
      <w:bookmarkStart w:id="724" w:name="_Toc297216180"/>
      <w:bookmarkStart w:id="725" w:name="_Toc303539130"/>
      <w:bookmarkStart w:id="726" w:name="_Toc312678017"/>
      <w:bookmarkStart w:id="727" w:name="_Toc297123521"/>
      <w:bookmarkStart w:id="728" w:name="_Toc304295551"/>
      <w:bookmarkStart w:id="729" w:name="_Toc300934973"/>
      <w:r>
        <w:rPr>
          <w:color w:val="auto"/>
          <w:highlight w:val="none"/>
        </w:rPr>
        <w:t xml:space="preserve">.7 </w:t>
      </w:r>
      <w:r>
        <w:rPr>
          <w:rFonts w:hint="eastAsia" w:cs="黑体"/>
          <w:color w:val="auto"/>
          <w:highlight w:val="none"/>
        </w:rPr>
        <w:t>异常恶劣的气候条件</w:t>
      </w:r>
      <w:bookmarkEnd w:id="716"/>
      <w:bookmarkEnd w:id="717"/>
      <w:bookmarkEnd w:id="718"/>
      <w:bookmarkEnd w:id="719"/>
      <w:bookmarkEnd w:id="720"/>
      <w:bookmarkEnd w:id="721"/>
      <w:bookmarkEnd w:id="722"/>
      <w:bookmarkEnd w:id="723"/>
    </w:p>
    <w:bookmarkEnd w:id="724"/>
    <w:bookmarkEnd w:id="725"/>
    <w:bookmarkEnd w:id="726"/>
    <w:bookmarkEnd w:id="727"/>
    <w:bookmarkEnd w:id="728"/>
    <w:bookmarkEnd w:id="729"/>
    <w:p>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1</w:t>
      </w:r>
      <w:r>
        <w:rPr>
          <w:rFonts w:hint="eastAsia"/>
          <w:color w:val="auto"/>
          <w:highlight w:val="none"/>
          <w:u w:val="none"/>
          <w:lang w:eastAsia="zh-CN"/>
        </w:rPr>
        <w:t>）</w:t>
      </w:r>
      <w:r>
        <w:rPr>
          <w:rFonts w:hint="eastAsia"/>
          <w:color w:val="auto"/>
          <w:highlight w:val="none"/>
          <w:u w:val="none"/>
        </w:rPr>
        <w:t>6级以上地震；</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2</w:t>
      </w:r>
      <w:r>
        <w:rPr>
          <w:rFonts w:hint="eastAsia"/>
          <w:color w:val="auto"/>
          <w:highlight w:val="none"/>
          <w:u w:val="none"/>
          <w:lang w:eastAsia="zh-CN"/>
        </w:rPr>
        <w:t>）</w:t>
      </w:r>
      <w:r>
        <w:rPr>
          <w:rFonts w:hint="eastAsia"/>
          <w:color w:val="auto"/>
          <w:highlight w:val="none"/>
          <w:u w:val="none"/>
        </w:rPr>
        <w:t>10级以上持续1天的大风；</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3</w:t>
      </w:r>
      <w:r>
        <w:rPr>
          <w:rFonts w:hint="eastAsia"/>
          <w:color w:val="auto"/>
          <w:highlight w:val="none"/>
          <w:u w:val="none"/>
          <w:lang w:eastAsia="zh-CN"/>
        </w:rPr>
        <w:t>）</w:t>
      </w:r>
      <w:r>
        <w:rPr>
          <w:rFonts w:hint="eastAsia"/>
          <w:color w:val="auto"/>
          <w:highlight w:val="none"/>
          <w:u w:val="none"/>
        </w:rPr>
        <w:t>台风及暴雨天级以上持续1天的大雨；</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4</w:t>
      </w:r>
      <w:r>
        <w:rPr>
          <w:rFonts w:hint="eastAsia"/>
          <w:color w:val="auto"/>
          <w:highlight w:val="none"/>
          <w:u w:val="none"/>
          <w:lang w:eastAsia="zh-CN"/>
        </w:rPr>
        <w:t>）</w:t>
      </w:r>
      <w:r>
        <w:rPr>
          <w:rFonts w:hint="eastAsia"/>
          <w:color w:val="auto"/>
          <w:highlight w:val="none"/>
          <w:u w:val="none"/>
        </w:rPr>
        <w:t>50年以上未发生过，持续2天的高温天气；</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5</w:t>
      </w:r>
      <w:r>
        <w:rPr>
          <w:rFonts w:hint="eastAsia"/>
          <w:color w:val="auto"/>
          <w:highlight w:val="none"/>
          <w:u w:val="none"/>
          <w:lang w:eastAsia="zh-CN"/>
        </w:rPr>
        <w:t>）</w:t>
      </w:r>
      <w:r>
        <w:rPr>
          <w:rFonts w:hint="eastAsia"/>
          <w:color w:val="auto"/>
          <w:highlight w:val="none"/>
          <w:u w:val="none"/>
        </w:rPr>
        <w:t>50年以上未发生过，持续2天的低温天气；</w:t>
      </w:r>
    </w:p>
    <w:p>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6</w:t>
      </w:r>
      <w:r>
        <w:rPr>
          <w:rFonts w:hint="eastAsia"/>
          <w:color w:val="auto"/>
          <w:highlight w:val="none"/>
          <w:u w:val="none"/>
          <w:lang w:eastAsia="zh-CN"/>
        </w:rPr>
        <w:t>）</w:t>
      </w:r>
      <w:r>
        <w:rPr>
          <w:rFonts w:hint="eastAsia"/>
          <w:color w:val="auto"/>
          <w:highlight w:val="none"/>
          <w:u w:val="none"/>
        </w:rPr>
        <w:t>50年以上未发生过的洪水。</w:t>
      </w:r>
    </w:p>
    <w:p>
      <w:pPr>
        <w:spacing w:line="360" w:lineRule="auto"/>
        <w:ind w:firstLine="420" w:firstLineChars="200"/>
        <w:jc w:val="left"/>
        <w:rPr>
          <w:color w:val="auto"/>
          <w:highlight w:val="none"/>
          <w:u w:val="none"/>
        </w:rPr>
      </w:pPr>
      <w:r>
        <w:rPr>
          <w:rFonts w:hint="eastAsia"/>
          <w:color w:val="auto"/>
          <w:highlight w:val="none"/>
          <w:u w:val="none"/>
        </w:rPr>
        <w:t>以上标准均按南宁市气象、地震部门公布为准。</w:t>
      </w:r>
    </w:p>
    <w:p>
      <w:pPr>
        <w:pStyle w:val="4"/>
        <w:rPr>
          <w:color w:val="auto"/>
          <w:highlight w:val="none"/>
          <w:lang w:val="en-US"/>
        </w:rPr>
      </w:pPr>
      <w:bookmarkStart w:id="730" w:name="_Toc407135232"/>
      <w:bookmarkStart w:id="731" w:name="_Toc2087373611"/>
      <w:bookmarkStart w:id="732" w:name="_Toc657185480"/>
      <w:bookmarkStart w:id="733" w:name="_Toc373478377"/>
      <w:bookmarkStart w:id="734" w:name="_Toc389065296"/>
      <w:bookmarkStart w:id="735" w:name="_Toc78449818"/>
      <w:bookmarkStart w:id="736" w:name="_Toc26696"/>
      <w:bookmarkStart w:id="737" w:name="_Toc373227730"/>
      <w:r>
        <w:rPr>
          <w:color w:val="auto"/>
          <w:highlight w:val="none"/>
          <w:lang w:val="en-US"/>
        </w:rPr>
        <w:t xml:space="preserve">7.9 </w:t>
      </w:r>
      <w:r>
        <w:rPr>
          <w:rFonts w:hint="eastAsia" w:hAnsi="宋体" w:cs="黑体"/>
          <w:color w:val="auto"/>
          <w:highlight w:val="none"/>
        </w:rPr>
        <w:t>提前竣工</w:t>
      </w:r>
      <w:bookmarkEnd w:id="730"/>
      <w:bookmarkEnd w:id="731"/>
      <w:bookmarkEnd w:id="732"/>
      <w:bookmarkEnd w:id="733"/>
      <w:bookmarkEnd w:id="734"/>
      <w:bookmarkEnd w:id="735"/>
      <w:bookmarkEnd w:id="736"/>
      <w:bookmarkEnd w:id="737"/>
    </w:p>
    <w:p>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pStyle w:val="3"/>
        <w:rPr>
          <w:color w:val="auto"/>
          <w:highlight w:val="none"/>
        </w:rPr>
      </w:pPr>
      <w:bookmarkStart w:id="738" w:name="_Toc1302158431"/>
      <w:bookmarkStart w:id="739" w:name="_Toc78449819"/>
      <w:bookmarkStart w:id="740" w:name="_Toc407135233"/>
      <w:bookmarkStart w:id="741" w:name="_Toc373478378"/>
      <w:bookmarkStart w:id="742" w:name="_Toc373227731"/>
      <w:bookmarkStart w:id="743" w:name="_Toc8330"/>
      <w:bookmarkStart w:id="744" w:name="_Toc19122"/>
      <w:bookmarkStart w:id="745" w:name="_Toc1400878670"/>
      <w:bookmarkStart w:id="746" w:name="_Toc389065297"/>
      <w:bookmarkStart w:id="747" w:name="_Toc351203640"/>
      <w:r>
        <w:rPr>
          <w:color w:val="auto"/>
          <w:highlight w:val="none"/>
        </w:rPr>
        <w:t xml:space="preserve">8. </w:t>
      </w:r>
      <w:r>
        <w:rPr>
          <w:rFonts w:hint="eastAsia" w:cs="黑体"/>
          <w:color w:val="auto"/>
          <w:highlight w:val="none"/>
        </w:rPr>
        <w:t>材料与设备</w:t>
      </w:r>
      <w:bookmarkEnd w:id="738"/>
      <w:bookmarkEnd w:id="739"/>
      <w:bookmarkEnd w:id="740"/>
      <w:bookmarkEnd w:id="741"/>
      <w:bookmarkEnd w:id="742"/>
      <w:bookmarkEnd w:id="743"/>
      <w:bookmarkEnd w:id="744"/>
      <w:bookmarkEnd w:id="745"/>
      <w:bookmarkEnd w:id="746"/>
      <w:bookmarkEnd w:id="747"/>
    </w:p>
    <w:bookmarkEnd w:id="567"/>
    <w:bookmarkEnd w:id="568"/>
    <w:bookmarkEnd w:id="569"/>
    <w:bookmarkEnd w:id="570"/>
    <w:bookmarkEnd w:id="571"/>
    <w:bookmarkEnd w:id="572"/>
    <w:bookmarkEnd w:id="573"/>
    <w:bookmarkEnd w:id="574"/>
    <w:bookmarkEnd w:id="575"/>
    <w:bookmarkEnd w:id="576"/>
    <w:p>
      <w:pPr>
        <w:pStyle w:val="4"/>
        <w:rPr>
          <w:color w:val="auto"/>
          <w:highlight w:val="none"/>
        </w:rPr>
      </w:pPr>
      <w:bookmarkStart w:id="748" w:name="_Toc78449820"/>
      <w:bookmarkStart w:id="749" w:name="_Toc1119561048"/>
      <w:bookmarkStart w:id="750" w:name="_Toc373478379"/>
      <w:bookmarkStart w:id="751" w:name="_Toc407135234"/>
      <w:bookmarkStart w:id="752" w:name="_Toc373227732"/>
      <w:bookmarkStart w:id="753" w:name="_Toc16865"/>
      <w:bookmarkStart w:id="754" w:name="_Toc389065298"/>
      <w:bookmarkStart w:id="755" w:name="_Toc1078610395"/>
      <w:r>
        <w:rPr>
          <w:color w:val="auto"/>
          <w:highlight w:val="none"/>
        </w:rPr>
        <w:t xml:space="preserve">8.2 </w:t>
      </w:r>
      <w:r>
        <w:rPr>
          <w:rFonts w:hint="eastAsia" w:cs="黑体"/>
          <w:color w:val="auto"/>
          <w:highlight w:val="none"/>
        </w:rPr>
        <w:t>承包人采购材料与工程设备</w:t>
      </w:r>
      <w:bookmarkEnd w:id="748"/>
      <w:bookmarkEnd w:id="749"/>
      <w:bookmarkEnd w:id="750"/>
      <w:bookmarkEnd w:id="751"/>
      <w:bookmarkEnd w:id="752"/>
      <w:bookmarkEnd w:id="753"/>
      <w:bookmarkEnd w:id="754"/>
      <w:bookmarkEnd w:id="755"/>
    </w:p>
    <w:p>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756" w:name="_Toc373478380"/>
      <w:bookmarkStart w:id="757" w:name="_Toc373227733"/>
      <w:bookmarkStart w:id="758" w:name="_Toc389065299"/>
    </w:p>
    <w:p>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pPr>
        <w:pStyle w:val="4"/>
        <w:rPr>
          <w:color w:val="auto"/>
          <w:highlight w:val="none"/>
        </w:rPr>
      </w:pPr>
      <w:bookmarkStart w:id="759" w:name="_Toc78449821"/>
      <w:bookmarkStart w:id="760" w:name="_Toc800965933"/>
      <w:bookmarkStart w:id="761" w:name="_Toc407135235"/>
      <w:bookmarkStart w:id="762" w:name="_Toc1355357553"/>
      <w:bookmarkStart w:id="763" w:name="_Toc29952"/>
      <w:r>
        <w:rPr>
          <w:color w:val="auto"/>
          <w:highlight w:val="none"/>
        </w:rPr>
        <w:t>8</w:t>
      </w:r>
      <w:bookmarkStart w:id="764" w:name="_Toc296890995"/>
      <w:bookmarkStart w:id="765" w:name="_Toc280868654"/>
      <w:bookmarkStart w:id="766" w:name="_Toc297123527"/>
      <w:bookmarkStart w:id="767" w:name="_Toc296891207"/>
      <w:bookmarkStart w:id="768" w:name="_Toc296346668"/>
      <w:bookmarkStart w:id="769" w:name="_Toc297120467"/>
      <w:bookmarkStart w:id="770" w:name="_Toc312678019"/>
      <w:bookmarkStart w:id="771" w:name="_Toc296503167"/>
      <w:bookmarkStart w:id="772" w:name="_Toc297216186"/>
      <w:bookmarkStart w:id="773" w:name="_Toc303539136"/>
      <w:bookmarkStart w:id="774" w:name="_Toc296944506"/>
      <w:bookmarkStart w:id="775" w:name="_Toc292559877"/>
      <w:bookmarkStart w:id="776" w:name="_Toc292559372"/>
      <w:bookmarkStart w:id="777" w:name="_Toc296347166"/>
      <w:bookmarkStart w:id="778" w:name="_Toc304295556"/>
      <w:bookmarkStart w:id="779" w:name="_Toc300934979"/>
      <w:bookmarkStart w:id="780" w:name="_Toc297048353"/>
      <w:bookmarkStart w:id="781" w:name="_Toc312677493"/>
      <w:bookmarkStart w:id="782" w:name="_Toc280868656"/>
      <w:bookmarkStart w:id="783" w:name="_Toc267251424"/>
      <w:bookmarkStart w:id="784" w:name="_Toc280868655"/>
      <w:r>
        <w:rPr>
          <w:color w:val="auto"/>
          <w:highlight w:val="none"/>
        </w:rPr>
        <w:t xml:space="preserve">.4 </w:t>
      </w:r>
      <w:r>
        <w:rPr>
          <w:rFonts w:hint="eastAsia" w:cs="黑体"/>
          <w:color w:val="auto"/>
          <w:highlight w:val="none"/>
        </w:rPr>
        <w:t>材料与工程设备的保管与使用</w:t>
      </w:r>
      <w:bookmarkEnd w:id="756"/>
      <w:bookmarkEnd w:id="757"/>
      <w:bookmarkEnd w:id="758"/>
      <w:bookmarkEnd w:id="759"/>
      <w:bookmarkEnd w:id="760"/>
      <w:bookmarkEnd w:id="761"/>
      <w:bookmarkEnd w:id="762"/>
      <w:bookmarkEnd w:id="763"/>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Pr>
        <w:spacing w:line="360" w:lineRule="auto"/>
        <w:ind w:firstLine="420" w:firstLineChars="200"/>
        <w:jc w:val="left"/>
        <w:rPr>
          <w:color w:val="auto"/>
          <w:highlight w:val="none"/>
          <w:u w:val="single"/>
        </w:rPr>
      </w:pPr>
      <w:r>
        <w:rPr>
          <w:color w:val="auto"/>
          <w:highlight w:val="none"/>
        </w:rPr>
        <w:t>8</w:t>
      </w:r>
      <w:bookmarkStart w:id="785" w:name="_Toc292559373"/>
      <w:bookmarkStart w:id="786" w:name="_Toc292559878"/>
      <w:bookmarkStart w:id="787" w:name="_Toc297120468"/>
      <w:bookmarkStart w:id="788" w:name="_Toc297216187"/>
      <w:bookmarkStart w:id="789" w:name="_Toc297123528"/>
      <w:bookmarkStart w:id="790" w:name="_Toc296890996"/>
      <w:bookmarkStart w:id="791" w:name="_Toc312678020"/>
      <w:bookmarkStart w:id="792" w:name="_Toc296346669"/>
      <w:bookmarkStart w:id="793" w:name="_Toc312677494"/>
      <w:bookmarkStart w:id="794" w:name="_Toc304295557"/>
      <w:bookmarkStart w:id="795" w:name="_Toc303539137"/>
      <w:bookmarkStart w:id="796" w:name="_Toc300934980"/>
      <w:bookmarkStart w:id="797" w:name="_Toc296347167"/>
      <w:bookmarkStart w:id="798" w:name="_Toc318581173"/>
      <w:bookmarkStart w:id="799" w:name="_Toc296944507"/>
      <w:bookmarkStart w:id="800" w:name="_Toc296503168"/>
      <w:bookmarkStart w:id="801" w:name="_Toc297048354"/>
      <w:bookmarkStart w:id="802" w:name="_Toc296891208"/>
      <w:r>
        <w:rPr>
          <w:color w:val="auto"/>
          <w:highlight w:val="none"/>
        </w:rPr>
        <w:t>.4.1</w:t>
      </w:r>
      <w:r>
        <w:rPr>
          <w:rFonts w:hint="eastAsia" w:hAnsi="宋体" w:cs="宋体"/>
          <w:color w:val="auto"/>
          <w:highlight w:val="none"/>
        </w:rPr>
        <w:t>发包人供应的材料设备的保管费用的承担：</w:t>
      </w:r>
      <w:r>
        <w:rPr>
          <w:rFonts w:ascii="宋体" w:hAnsi="宋体" w:eastAsia="宋体" w:cs="宋体"/>
          <w:color w:val="auto"/>
          <w:spacing w:val="0"/>
          <w:highlight w:val="none"/>
          <w:u w:val="single"/>
        </w:rPr>
        <w:t xml:space="preserve"> 移交前由发包人承担，移交后由承包人承担</w:t>
      </w:r>
      <w:r>
        <w:rPr>
          <w:rFonts w:hint="eastAsia" w:hAnsi="宋体" w:cs="宋体"/>
          <w:color w:val="auto"/>
          <w:highlight w:val="none"/>
        </w:rPr>
        <w:t>。</w:t>
      </w:r>
    </w:p>
    <w:bookmarkEnd w:id="785"/>
    <w:bookmarkEnd w:id="786"/>
    <w:p>
      <w:pPr>
        <w:pStyle w:val="4"/>
        <w:rPr>
          <w:color w:val="auto"/>
          <w:highlight w:val="none"/>
        </w:rPr>
      </w:pPr>
      <w:bookmarkStart w:id="803" w:name="_Toc407135236"/>
      <w:bookmarkStart w:id="804" w:name="_Toc389065300"/>
      <w:bookmarkStart w:id="805" w:name="_Toc373478381"/>
      <w:bookmarkStart w:id="806" w:name="_Toc30161"/>
      <w:bookmarkStart w:id="807" w:name="_Toc1948522881"/>
      <w:bookmarkStart w:id="808" w:name="_Toc78449822"/>
      <w:bookmarkStart w:id="809" w:name="_Toc125914831"/>
      <w:bookmarkStart w:id="810" w:name="_Toc373227734"/>
      <w:r>
        <w:rPr>
          <w:color w:val="auto"/>
          <w:highlight w:val="none"/>
        </w:rPr>
        <w:t xml:space="preserve">8.6 </w:t>
      </w:r>
      <w:r>
        <w:rPr>
          <w:rFonts w:hint="eastAsia" w:hAnsi="宋体" w:cs="黑体"/>
          <w:color w:val="auto"/>
          <w:highlight w:val="none"/>
        </w:rPr>
        <w:t>样品</w:t>
      </w:r>
      <w:bookmarkEnd w:id="803"/>
      <w:bookmarkEnd w:id="804"/>
      <w:bookmarkEnd w:id="805"/>
      <w:bookmarkEnd w:id="806"/>
      <w:bookmarkEnd w:id="807"/>
      <w:bookmarkEnd w:id="808"/>
      <w:bookmarkEnd w:id="809"/>
      <w:bookmarkEnd w:id="810"/>
    </w:p>
    <w:p>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pPr>
        <w:pStyle w:val="4"/>
        <w:rPr>
          <w:color w:val="auto"/>
          <w:highlight w:val="none"/>
        </w:rPr>
      </w:pPr>
      <w:bookmarkStart w:id="811" w:name="_Toc78449823"/>
      <w:bookmarkStart w:id="812" w:name="_Toc389065301"/>
      <w:bookmarkStart w:id="813" w:name="_Toc407135237"/>
      <w:bookmarkStart w:id="814" w:name="_Toc373227735"/>
      <w:bookmarkStart w:id="815" w:name="_Toc14404"/>
      <w:bookmarkStart w:id="816" w:name="_Toc997640704"/>
      <w:bookmarkStart w:id="817" w:name="_Toc373478382"/>
      <w:bookmarkStart w:id="818" w:name="_Toc1049576644"/>
      <w:r>
        <w:rPr>
          <w:color w:val="auto"/>
          <w:highlight w:val="none"/>
        </w:rPr>
        <w:t xml:space="preserve">8.8 </w:t>
      </w:r>
      <w:r>
        <w:rPr>
          <w:rFonts w:hint="eastAsia" w:cs="黑体"/>
          <w:color w:val="auto"/>
          <w:highlight w:val="none"/>
        </w:rPr>
        <w:t>施工设备和临时设施</w:t>
      </w:r>
      <w:bookmarkEnd w:id="811"/>
      <w:bookmarkEnd w:id="812"/>
      <w:bookmarkEnd w:id="813"/>
      <w:bookmarkEnd w:id="814"/>
      <w:bookmarkEnd w:id="815"/>
      <w:bookmarkEnd w:id="816"/>
      <w:bookmarkEnd w:id="817"/>
      <w:bookmarkEnd w:id="818"/>
    </w:p>
    <w:p>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rFonts w:ascii="宋体" w:hAnsi="宋体" w:eastAsia="宋体" w:cs="宋体"/>
          <w:color w:val="auto"/>
          <w:highlight w:val="none"/>
          <w:u w:val="single"/>
        </w:rPr>
        <w:t xml:space="preserve"> 无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Pr>
        <w:pStyle w:val="3"/>
        <w:rPr>
          <w:color w:val="auto"/>
          <w:highlight w:val="none"/>
        </w:rPr>
      </w:pPr>
      <w:bookmarkStart w:id="819" w:name="_Toc373478383"/>
      <w:bookmarkStart w:id="820" w:name="_Toc389065302"/>
      <w:bookmarkStart w:id="821" w:name="_Toc2027787496"/>
      <w:bookmarkStart w:id="822" w:name="_Toc13348"/>
      <w:bookmarkStart w:id="823" w:name="_Toc10217"/>
      <w:bookmarkStart w:id="824" w:name="_Toc351203641"/>
      <w:bookmarkStart w:id="825" w:name="_Toc373227736"/>
      <w:bookmarkStart w:id="826" w:name="_Toc2039161841"/>
      <w:bookmarkStart w:id="827" w:name="_Toc78449824"/>
      <w:bookmarkStart w:id="828" w:name="_Toc407135238"/>
      <w:r>
        <w:rPr>
          <w:color w:val="auto"/>
          <w:highlight w:val="none"/>
        </w:rPr>
        <w:t>9</w:t>
      </w:r>
      <w:bookmarkEnd w:id="782"/>
      <w:bookmarkEnd w:id="783"/>
      <w:bookmarkEnd w:id="784"/>
      <w:bookmarkStart w:id="829" w:name="_Toc297216192"/>
      <w:bookmarkStart w:id="830" w:name="_Toc297123533"/>
      <w:bookmarkStart w:id="831" w:name="_Toc312678021"/>
      <w:bookmarkStart w:id="832" w:name="_Toc312677495"/>
      <w:bookmarkStart w:id="833" w:name="_Toc300934982"/>
      <w:bookmarkStart w:id="834" w:name="_Toc303539139"/>
      <w:bookmarkStart w:id="835" w:name="_Toc304295559"/>
      <w:bookmarkStart w:id="836" w:name="_Toc292559883"/>
      <w:bookmarkStart w:id="837" w:name="_Toc296891213"/>
      <w:bookmarkStart w:id="838" w:name="_Toc267251428"/>
      <w:bookmarkStart w:id="839" w:name="_Toc296891001"/>
      <w:bookmarkStart w:id="840" w:name="_Toc296347172"/>
      <w:bookmarkStart w:id="841" w:name="_Toc296944512"/>
      <w:bookmarkStart w:id="842" w:name="_Toc296346674"/>
      <w:bookmarkStart w:id="843" w:name="_Toc267251427"/>
      <w:bookmarkStart w:id="844" w:name="_Toc297120473"/>
      <w:bookmarkStart w:id="845" w:name="_Toc296503173"/>
      <w:bookmarkStart w:id="846" w:name="_Toc292559378"/>
      <w:bookmarkStart w:id="847" w:name="_Toc297048359"/>
      <w:r>
        <w:rPr>
          <w:color w:val="auto"/>
          <w:highlight w:val="none"/>
        </w:rPr>
        <w:t xml:space="preserve">. </w:t>
      </w:r>
      <w:r>
        <w:rPr>
          <w:rFonts w:hint="eastAsia" w:cs="黑体"/>
          <w:color w:val="auto"/>
          <w:highlight w:val="none"/>
        </w:rPr>
        <w:t>试验与检验</w:t>
      </w:r>
      <w:bookmarkEnd w:id="819"/>
      <w:bookmarkEnd w:id="820"/>
      <w:bookmarkEnd w:id="821"/>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p>
      <w:pPr>
        <w:pStyle w:val="4"/>
        <w:rPr>
          <w:color w:val="auto"/>
          <w:highlight w:val="none"/>
        </w:rPr>
      </w:pPr>
      <w:bookmarkStart w:id="848" w:name="_Toc373227737"/>
      <w:bookmarkStart w:id="849" w:name="_Toc530697003"/>
      <w:bookmarkStart w:id="850" w:name="_Toc25325"/>
      <w:bookmarkStart w:id="851" w:name="_Toc373478384"/>
      <w:bookmarkStart w:id="852" w:name="_Toc407135239"/>
      <w:bookmarkStart w:id="853" w:name="_Toc389065303"/>
      <w:bookmarkStart w:id="854" w:name="_Toc1307315193"/>
      <w:bookmarkStart w:id="855" w:name="_Toc78449825"/>
      <w:r>
        <w:rPr>
          <w:color w:val="auto"/>
          <w:highlight w:val="none"/>
        </w:rPr>
        <w:t>9</w:t>
      </w:r>
      <w:bookmarkStart w:id="856" w:name="_Toc300934983"/>
      <w:bookmarkStart w:id="857" w:name="_Toc303539140"/>
      <w:bookmarkStart w:id="858" w:name="_Toc304295560"/>
      <w:bookmarkStart w:id="859" w:name="_Toc312677496"/>
      <w:bookmarkStart w:id="860" w:name="_Toc297216193"/>
      <w:bookmarkStart w:id="861" w:name="_Toc312678022"/>
      <w:bookmarkStart w:id="862" w:name="_Toc297123534"/>
      <w:r>
        <w:rPr>
          <w:color w:val="auto"/>
          <w:highlight w:val="none"/>
        </w:rPr>
        <w:t xml:space="preserve">.1 </w:t>
      </w:r>
      <w:r>
        <w:rPr>
          <w:rFonts w:hint="eastAsia" w:cs="黑体"/>
          <w:color w:val="auto"/>
          <w:highlight w:val="none"/>
        </w:rPr>
        <w:t>试验设备与试验人员</w:t>
      </w:r>
      <w:bookmarkEnd w:id="848"/>
      <w:bookmarkEnd w:id="849"/>
      <w:bookmarkEnd w:id="850"/>
      <w:bookmarkEnd w:id="851"/>
      <w:bookmarkEnd w:id="852"/>
      <w:bookmarkEnd w:id="853"/>
      <w:bookmarkEnd w:id="854"/>
      <w:bookmarkEnd w:id="855"/>
    </w:p>
    <w:bookmarkEnd w:id="856"/>
    <w:bookmarkEnd w:id="857"/>
    <w:bookmarkEnd w:id="858"/>
    <w:bookmarkEnd w:id="859"/>
    <w:bookmarkEnd w:id="860"/>
    <w:bookmarkEnd w:id="861"/>
    <w:bookmarkEnd w:id="862"/>
    <w:p>
      <w:pPr>
        <w:spacing w:line="360" w:lineRule="auto"/>
        <w:ind w:firstLine="420" w:firstLineChars="200"/>
        <w:jc w:val="left"/>
        <w:rPr>
          <w:color w:val="auto"/>
          <w:highlight w:val="none"/>
        </w:rPr>
      </w:pPr>
      <w:r>
        <w:rPr>
          <w:color w:val="auto"/>
          <w:highlight w:val="none"/>
        </w:rPr>
        <w:t>9</w:t>
      </w:r>
      <w:bookmarkStart w:id="863" w:name="_Toc312677497"/>
      <w:bookmarkStart w:id="864" w:name="_Toc297216194"/>
      <w:bookmarkStart w:id="865" w:name="_Toc312678023"/>
      <w:bookmarkStart w:id="866" w:name="_Toc303539141"/>
      <w:bookmarkStart w:id="867" w:name="_Toc297123535"/>
      <w:bookmarkStart w:id="868" w:name="_Toc304295561"/>
      <w:bookmarkStart w:id="869" w:name="_Toc300934984"/>
      <w:bookmarkStart w:id="870" w:name="_Toc318581174"/>
      <w:r>
        <w:rPr>
          <w:color w:val="auto"/>
          <w:highlight w:val="none"/>
        </w:rPr>
        <w:t xml:space="preserve">.1.2 </w:t>
      </w:r>
      <w:r>
        <w:rPr>
          <w:rFonts w:hint="eastAsia" w:hAnsi="宋体" w:cs="宋体"/>
          <w:color w:val="auto"/>
          <w:highlight w:val="none"/>
        </w:rPr>
        <w:t>试验设备</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863"/>
      <w:bookmarkEnd w:id="864"/>
      <w:bookmarkEnd w:id="865"/>
      <w:bookmarkEnd w:id="866"/>
      <w:bookmarkEnd w:id="867"/>
      <w:bookmarkEnd w:id="868"/>
      <w:bookmarkEnd w:id="869"/>
      <w:bookmarkStart w:id="871" w:name="_Toc312677498"/>
      <w:bookmarkStart w:id="872" w:name="_Toc297123536"/>
      <w:bookmarkStart w:id="873" w:name="_Toc297216195"/>
      <w:bookmarkStart w:id="874" w:name="_Toc304295562"/>
      <w:bookmarkStart w:id="875" w:name="_Toc303539142"/>
      <w:bookmarkStart w:id="876" w:name="_Toc312678024"/>
      <w:bookmarkStart w:id="877" w:name="_Toc300934985"/>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pPr>
        <w:pStyle w:val="4"/>
        <w:rPr>
          <w:color w:val="auto"/>
          <w:highlight w:val="none"/>
        </w:rPr>
      </w:pPr>
      <w:bookmarkStart w:id="878" w:name="_Toc407135240"/>
      <w:bookmarkStart w:id="879" w:name="_Toc373478385"/>
      <w:bookmarkStart w:id="880" w:name="_Toc373227738"/>
      <w:bookmarkStart w:id="881" w:name="_Toc492347879"/>
      <w:bookmarkStart w:id="882" w:name="_Toc78449826"/>
      <w:bookmarkStart w:id="883" w:name="_Toc2012255079"/>
      <w:bookmarkStart w:id="884" w:name="_Toc18231"/>
      <w:bookmarkStart w:id="885" w:name="_Toc389065304"/>
      <w:r>
        <w:rPr>
          <w:color w:val="auto"/>
          <w:highlight w:val="none"/>
        </w:rPr>
        <w:t xml:space="preserve">9.4 </w:t>
      </w:r>
      <w:r>
        <w:rPr>
          <w:rFonts w:hint="eastAsia" w:hAnsi="宋体" w:cs="黑体"/>
          <w:color w:val="auto"/>
          <w:highlight w:val="none"/>
        </w:rPr>
        <w:t>现场工艺试验</w:t>
      </w:r>
      <w:bookmarkEnd w:id="878"/>
      <w:bookmarkEnd w:id="879"/>
      <w:bookmarkEnd w:id="880"/>
      <w:bookmarkEnd w:id="881"/>
      <w:bookmarkEnd w:id="882"/>
      <w:bookmarkEnd w:id="883"/>
      <w:bookmarkEnd w:id="884"/>
      <w:bookmarkEnd w:id="885"/>
      <w:r>
        <w:rPr>
          <w:color w:val="auto"/>
          <w:highlight w:val="none"/>
        </w:rPr>
        <w:t xml:space="preserve"> </w:t>
      </w:r>
    </w:p>
    <w:p>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rFonts w:ascii="宋体" w:hAnsi="宋体" w:eastAsia="宋体" w:cs="宋体"/>
          <w:color w:val="auto"/>
          <w:spacing w:val="0"/>
          <w:highlight w:val="none"/>
          <w:u w:val="single"/>
        </w:rPr>
        <w:t xml:space="preserve"> 需要时双方协商 </w:t>
      </w:r>
      <w:r>
        <w:rPr>
          <w:rFonts w:hint="eastAsia" w:hAnsi="宋体" w:cs="宋体"/>
          <w:color w:val="auto"/>
          <w:highlight w:val="none"/>
        </w:rPr>
        <w:t>。</w:t>
      </w:r>
    </w:p>
    <w:p>
      <w:pPr>
        <w:pStyle w:val="4"/>
        <w:rPr>
          <w:color w:val="auto"/>
          <w:highlight w:val="none"/>
        </w:rPr>
      </w:pPr>
      <w:bookmarkStart w:id="886" w:name="_Toc393419678"/>
      <w:bookmarkStart w:id="887" w:name="_Toc1539824686"/>
      <w:bookmarkStart w:id="888" w:name="_Toc197"/>
      <w:bookmarkStart w:id="889" w:name="_Toc407135241"/>
      <w:bookmarkStart w:id="890" w:name="_Toc78449827"/>
      <w:bookmarkStart w:id="891" w:name="OLE_LINK1"/>
      <w:r>
        <w:rPr>
          <w:color w:val="auto"/>
          <w:highlight w:val="none"/>
        </w:rPr>
        <w:t xml:space="preserve">9.5 </w:t>
      </w:r>
      <w:r>
        <w:rPr>
          <w:rFonts w:hint="eastAsia" w:hAnsi="宋体" w:cs="黑体"/>
          <w:color w:val="auto"/>
          <w:highlight w:val="none"/>
        </w:rPr>
        <w:t>检验费用</w:t>
      </w:r>
      <w:bookmarkEnd w:id="886"/>
      <w:bookmarkEnd w:id="887"/>
      <w:bookmarkEnd w:id="888"/>
      <w:bookmarkEnd w:id="889"/>
      <w:bookmarkEnd w:id="890"/>
    </w:p>
    <w:p>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870"/>
    <w:bookmarkEnd w:id="871"/>
    <w:bookmarkEnd w:id="872"/>
    <w:bookmarkEnd w:id="873"/>
    <w:bookmarkEnd w:id="874"/>
    <w:bookmarkEnd w:id="875"/>
    <w:bookmarkEnd w:id="876"/>
    <w:bookmarkEnd w:id="877"/>
    <w:bookmarkEnd w:id="891"/>
    <w:p>
      <w:pPr>
        <w:pStyle w:val="3"/>
        <w:rPr>
          <w:color w:val="auto"/>
          <w:highlight w:val="none"/>
        </w:rPr>
      </w:pPr>
      <w:bookmarkStart w:id="892" w:name="_Toc19335"/>
      <w:bookmarkStart w:id="893" w:name="_Toc373478386"/>
      <w:bookmarkStart w:id="894" w:name="_Toc603662032"/>
      <w:bookmarkStart w:id="895" w:name="_Toc389065305"/>
      <w:bookmarkStart w:id="896" w:name="_Toc351203642"/>
      <w:bookmarkStart w:id="897" w:name="_Toc373227739"/>
      <w:bookmarkStart w:id="898" w:name="_Toc407135242"/>
      <w:bookmarkStart w:id="899" w:name="_Toc1278407274"/>
      <w:bookmarkStart w:id="900" w:name="_Toc28042"/>
      <w:bookmarkStart w:id="901" w:name="_Toc78449828"/>
      <w:r>
        <w:rPr>
          <w:color w:val="auto"/>
          <w:highlight w:val="none"/>
        </w:rPr>
        <w:t>1</w:t>
      </w:r>
      <w:bookmarkEnd w:id="836"/>
      <w:bookmarkEnd w:id="837"/>
      <w:bookmarkEnd w:id="838"/>
      <w:bookmarkEnd w:id="839"/>
      <w:bookmarkEnd w:id="840"/>
      <w:bookmarkEnd w:id="841"/>
      <w:bookmarkEnd w:id="842"/>
      <w:bookmarkEnd w:id="843"/>
      <w:bookmarkEnd w:id="844"/>
      <w:bookmarkEnd w:id="845"/>
      <w:bookmarkEnd w:id="846"/>
      <w:bookmarkEnd w:id="847"/>
      <w:bookmarkStart w:id="902" w:name="_Toc296944532"/>
      <w:bookmarkStart w:id="903" w:name="_Toc296503193"/>
      <w:bookmarkStart w:id="904" w:name="_Toc296346694"/>
      <w:bookmarkStart w:id="905" w:name="_Toc292559903"/>
      <w:bookmarkStart w:id="906" w:name="_Toc296891233"/>
      <w:bookmarkStart w:id="907" w:name="_Toc300934989"/>
      <w:bookmarkStart w:id="908" w:name="_Toc297120493"/>
      <w:bookmarkStart w:id="909" w:name="_Toc296891021"/>
      <w:bookmarkStart w:id="910" w:name="_Toc303539146"/>
      <w:bookmarkStart w:id="911" w:name="_Toc297123540"/>
      <w:bookmarkStart w:id="912" w:name="_Toc296347192"/>
      <w:bookmarkStart w:id="913" w:name="_Toc304295566"/>
      <w:bookmarkStart w:id="914" w:name="_Toc297216199"/>
      <w:bookmarkStart w:id="915" w:name="_Toc297048379"/>
      <w:bookmarkStart w:id="916" w:name="_Toc292559398"/>
      <w:bookmarkStart w:id="917" w:name="_Toc312677499"/>
      <w:bookmarkStart w:id="918" w:name="_Toc312678025"/>
      <w:bookmarkStart w:id="919" w:name="_Toc267251440"/>
      <w:bookmarkStart w:id="920" w:name="_Toc267251435"/>
      <w:bookmarkStart w:id="921" w:name="_Toc267251439"/>
      <w:bookmarkStart w:id="922" w:name="_Toc267251437"/>
      <w:bookmarkStart w:id="923" w:name="_Toc267251433"/>
      <w:bookmarkStart w:id="924" w:name="_Toc267251441"/>
      <w:bookmarkStart w:id="925" w:name="_Toc267251442"/>
      <w:r>
        <w:rPr>
          <w:color w:val="auto"/>
          <w:highlight w:val="none"/>
        </w:rPr>
        <w:t xml:space="preserve">0. </w:t>
      </w:r>
      <w:r>
        <w:rPr>
          <w:rFonts w:hint="eastAsia" w:hAnsi="宋体" w:cs="黑体"/>
          <w:color w:val="auto"/>
          <w:highlight w:val="none"/>
        </w:rPr>
        <w:t>变更</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bookmarkEnd w:id="917"/>
    <w:bookmarkEnd w:id="918"/>
    <w:p>
      <w:pPr>
        <w:pStyle w:val="4"/>
        <w:rPr>
          <w:color w:val="auto"/>
          <w:highlight w:val="none"/>
        </w:rPr>
      </w:pPr>
      <w:bookmarkStart w:id="926" w:name="_Toc389065306"/>
      <w:bookmarkStart w:id="927" w:name="_Toc407135243"/>
      <w:bookmarkStart w:id="928" w:name="_Toc373478387"/>
      <w:bookmarkStart w:id="929" w:name="_Toc411143415"/>
      <w:bookmarkStart w:id="930" w:name="_Toc373227740"/>
      <w:bookmarkStart w:id="931" w:name="_Toc78449829"/>
      <w:bookmarkStart w:id="932" w:name="_Toc1890371558"/>
      <w:bookmarkStart w:id="933" w:name="_Toc13538"/>
      <w:r>
        <w:rPr>
          <w:color w:val="auto"/>
          <w:highlight w:val="none"/>
        </w:rPr>
        <w:t>1</w:t>
      </w:r>
      <w:bookmarkStart w:id="934" w:name="_Toc292559399"/>
      <w:bookmarkStart w:id="935" w:name="_Toc296891234"/>
      <w:bookmarkStart w:id="936" w:name="_Toc296891022"/>
      <w:bookmarkStart w:id="937" w:name="_Toc296347193"/>
      <w:bookmarkStart w:id="938" w:name="_Toc296944533"/>
      <w:bookmarkStart w:id="939" w:name="_Toc312677500"/>
      <w:bookmarkStart w:id="940" w:name="_Toc304295567"/>
      <w:bookmarkStart w:id="941" w:name="_Toc296503194"/>
      <w:bookmarkStart w:id="942" w:name="_Toc297048380"/>
      <w:bookmarkStart w:id="943" w:name="_Toc297216200"/>
      <w:bookmarkStart w:id="944" w:name="_Toc297120494"/>
      <w:bookmarkStart w:id="945" w:name="_Toc297123541"/>
      <w:bookmarkStart w:id="946" w:name="_Toc312678026"/>
      <w:bookmarkStart w:id="947" w:name="_Toc296346695"/>
      <w:bookmarkStart w:id="948" w:name="_Toc303539147"/>
      <w:bookmarkStart w:id="949" w:name="_Toc300934990"/>
      <w:bookmarkStart w:id="950" w:name="_Toc292559904"/>
      <w:r>
        <w:rPr>
          <w:color w:val="auto"/>
          <w:highlight w:val="none"/>
        </w:rPr>
        <w:t xml:space="preserve">0.1 </w:t>
      </w:r>
      <w:r>
        <w:rPr>
          <w:rFonts w:hint="eastAsia" w:hAnsi="宋体" w:cs="黑体"/>
          <w:color w:val="auto"/>
          <w:highlight w:val="none"/>
        </w:rPr>
        <w:t>变更的范围</w:t>
      </w:r>
      <w:bookmarkEnd w:id="926"/>
      <w:bookmarkEnd w:id="927"/>
      <w:bookmarkEnd w:id="928"/>
      <w:bookmarkEnd w:id="929"/>
      <w:bookmarkEnd w:id="930"/>
      <w:bookmarkEnd w:id="931"/>
      <w:bookmarkEnd w:id="932"/>
      <w:bookmarkEnd w:id="933"/>
    </w:p>
    <w:p>
      <w:pPr>
        <w:spacing w:line="360" w:lineRule="auto"/>
        <w:ind w:firstLine="426"/>
        <w:jc w:val="left"/>
        <w:rPr>
          <w:color w:val="auto"/>
          <w:highlight w:val="none"/>
        </w:rPr>
      </w:pPr>
      <w:r>
        <w:rPr>
          <w:rFonts w:hint="eastAsia" w:hAnsi="宋体" w:cs="宋体"/>
          <w:color w:val="auto"/>
          <w:highlight w:val="none"/>
        </w:rPr>
        <w:t>关于变更的范围的约定：</w:t>
      </w:r>
      <w:r>
        <w:rPr>
          <w:rFonts w:ascii="宋体" w:hAnsi="宋体" w:eastAsia="宋体" w:cs="宋体"/>
          <w:color w:val="auto"/>
          <w:spacing w:val="0"/>
          <w:highlight w:val="none"/>
          <w:u w:val="single"/>
        </w:rPr>
        <w:t xml:space="preserve"> 执行通用合同条款</w:t>
      </w:r>
      <w:r>
        <w:rPr>
          <w:rFonts w:ascii="Calibri" w:hAnsi="Calibri" w:eastAsia="Calibri" w:cs="Calibri"/>
          <w:color w:val="auto"/>
          <w:spacing w:val="0"/>
          <w:highlight w:val="none"/>
          <w:u w:val="single"/>
        </w:rPr>
        <w:t>10.1</w:t>
      </w:r>
      <w:r>
        <w:rPr>
          <w:rFonts w:ascii="宋体" w:hAnsi="宋体" w:eastAsia="宋体" w:cs="宋体"/>
          <w:color w:val="auto"/>
          <w:spacing w:val="0"/>
          <w:highlight w:val="none"/>
          <w:u w:val="single"/>
        </w:rPr>
        <w:t>款并经发包人、监理单位、设计单位等有关单位签字</w:t>
      </w:r>
      <w:r>
        <w:rPr>
          <w:rFonts w:ascii="宋体" w:hAnsi="宋体" w:eastAsia="宋体" w:cs="宋体"/>
          <w:color w:val="auto"/>
          <w:highlight w:val="none"/>
          <w:u w:val="single"/>
        </w:rPr>
        <w:t xml:space="preserve">确认后，方可作为工程结算依据 </w:t>
      </w:r>
      <w:r>
        <w:rPr>
          <w:rFonts w:hint="eastAsia" w:hAnsi="宋体" w:cs="宋体"/>
          <w:color w:val="auto"/>
          <w:highlight w:val="none"/>
        </w:rPr>
        <w:t>。</w:t>
      </w:r>
    </w:p>
    <w:p>
      <w:pPr>
        <w:pStyle w:val="4"/>
        <w:rPr>
          <w:color w:val="auto"/>
          <w:highlight w:val="none"/>
        </w:rPr>
      </w:pPr>
      <w:bookmarkStart w:id="951" w:name="_Toc450749207"/>
      <w:bookmarkStart w:id="952" w:name="_Toc1641633295"/>
      <w:bookmarkStart w:id="953" w:name="_Toc389065307"/>
      <w:bookmarkStart w:id="954" w:name="_Toc373227741"/>
      <w:bookmarkStart w:id="955" w:name="_Toc78449830"/>
      <w:bookmarkStart w:id="956" w:name="_Toc26644"/>
      <w:bookmarkStart w:id="957" w:name="_Toc407135244"/>
      <w:bookmarkStart w:id="958" w:name="_Toc373478388"/>
      <w:r>
        <w:rPr>
          <w:color w:val="auto"/>
          <w:highlight w:val="none"/>
        </w:rPr>
        <w:t xml:space="preserve">10.3 </w:t>
      </w:r>
      <w:r>
        <w:rPr>
          <w:rFonts w:hint="eastAsia" w:hAnsi="宋体" w:cs="黑体"/>
          <w:color w:val="auto"/>
          <w:highlight w:val="none"/>
        </w:rPr>
        <w:t>变更程序</w:t>
      </w:r>
      <w:bookmarkEnd w:id="951"/>
      <w:bookmarkEnd w:id="952"/>
      <w:bookmarkEnd w:id="953"/>
      <w:bookmarkEnd w:id="954"/>
      <w:bookmarkEnd w:id="955"/>
      <w:bookmarkEnd w:id="956"/>
      <w:bookmarkEnd w:id="957"/>
      <w:bookmarkEnd w:id="958"/>
    </w:p>
    <w:p>
      <w:pPr>
        <w:pStyle w:val="11"/>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pPr>
        <w:pStyle w:val="4"/>
        <w:rPr>
          <w:color w:val="auto"/>
          <w:highlight w:val="none"/>
        </w:rPr>
      </w:pPr>
      <w:bookmarkStart w:id="959" w:name="_Toc78449831"/>
      <w:bookmarkStart w:id="960" w:name="_Toc389065308"/>
      <w:bookmarkStart w:id="961" w:name="_Toc780640360"/>
      <w:bookmarkStart w:id="962" w:name="_Toc23611"/>
      <w:bookmarkStart w:id="963" w:name="_Toc373227742"/>
      <w:bookmarkStart w:id="964" w:name="_Toc1645711468"/>
      <w:bookmarkStart w:id="965" w:name="_Toc407135245"/>
      <w:bookmarkStart w:id="966" w:name="_Toc373478389"/>
      <w:r>
        <w:rPr>
          <w:color w:val="auto"/>
          <w:highlight w:val="none"/>
        </w:rPr>
        <w:t xml:space="preserve">10.4 </w:t>
      </w:r>
      <w:r>
        <w:rPr>
          <w:rFonts w:hint="eastAsia" w:hAnsi="宋体" w:cs="黑体"/>
          <w:color w:val="auto"/>
          <w:highlight w:val="none"/>
        </w:rPr>
        <w:t>变更估价</w:t>
      </w:r>
      <w:bookmarkEnd w:id="959"/>
      <w:bookmarkEnd w:id="960"/>
      <w:bookmarkEnd w:id="961"/>
      <w:bookmarkEnd w:id="962"/>
      <w:bookmarkEnd w:id="963"/>
      <w:bookmarkEnd w:id="964"/>
      <w:bookmarkEnd w:id="965"/>
      <w:bookmarkEnd w:id="966"/>
    </w:p>
    <w:p>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bookmarkStart w:id="967"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u w:val="single"/>
          <w:lang w:eastAsia="zh-CN"/>
        </w:rPr>
        <w:t>☑</w:t>
      </w:r>
      <w:r>
        <w:rPr>
          <w:rFonts w:hint="eastAsia" w:hAnsi="宋体" w:cs="宋体"/>
          <w:color w:val="auto"/>
          <w:highlight w:val="none"/>
          <w:u w:val="single"/>
        </w:rPr>
        <w:t>乘以下浮系数</w:t>
      </w:r>
      <w:r>
        <w:rPr>
          <w:color w:val="auto"/>
          <w:highlight w:val="none"/>
          <w:u w:val="single"/>
        </w:rPr>
        <w:t xml:space="preserve">      %</w:t>
      </w:r>
      <w:r>
        <w:rPr>
          <w:rFonts w:hint="eastAsia" w:ascii="宋体" w:hAnsi="宋体" w:eastAsia="宋体" w:cs="宋体"/>
          <w:color w:val="auto"/>
          <w:highlight w:val="none"/>
          <w:u w:val="single"/>
          <w:lang w:eastAsia="zh-CN"/>
        </w:rPr>
        <w:t>【</w:t>
      </w:r>
      <w:r>
        <w:rPr>
          <w:rFonts w:hint="eastAsia" w:hAnsi="宋体" w:cs="宋体"/>
          <w:color w:val="auto"/>
          <w:highlight w:val="none"/>
          <w:u w:val="single"/>
        </w:rPr>
        <w:t>下浮系数</w:t>
      </w:r>
      <w:r>
        <w:rPr>
          <w:rFonts w:hint="eastAsia" w:hAnsi="宋体" w:cs="宋体"/>
          <w:color w:val="auto"/>
          <w:highlight w:val="none"/>
          <w:u w:val="single"/>
          <w:lang w:val="en-US" w:eastAsia="zh-CN"/>
        </w:rPr>
        <w:t>=（招标控制价-中标价）/招标控制价*100%</w:t>
      </w:r>
      <w:r>
        <w:rPr>
          <w:rFonts w:hint="eastAsia" w:ascii="宋体" w:hAnsi="宋体" w:eastAsia="宋体" w:cs="宋体"/>
          <w:color w:val="auto"/>
          <w:highlight w:val="none"/>
          <w:u w:val="single"/>
          <w:lang w:val="en-US" w:eastAsia="zh-CN"/>
        </w:rPr>
        <w:t>】</w:t>
      </w:r>
      <w:r>
        <w:rPr>
          <w:rFonts w:hint="eastAsia" w:cs="宋体"/>
          <w:color w:val="auto"/>
          <w:highlight w:val="none"/>
          <w:u w:val="single"/>
        </w:rPr>
        <w:t>，</w:t>
      </w:r>
      <w:r>
        <w:rPr>
          <w:rFonts w:hint="eastAsia" w:cs="宋体"/>
          <w:b/>
          <w:bCs/>
          <w:color w:val="auto"/>
          <w:highlight w:val="none"/>
          <w:u w:val="singl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南宁</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南宁</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967"/>
      <w:r>
        <w:rPr>
          <w:rFonts w:hint="eastAsia" w:hAnsi="宋体" w:cs="宋体"/>
          <w:color w:val="auto"/>
          <w:highlight w:val="none"/>
        </w:rPr>
        <w:t>。以上约定同时适用于招标工程量清单缺项以及工程量清单项目特征与图纸不符时的价款确定。</w:t>
      </w:r>
    </w:p>
    <w:p>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pPr>
        <w:pStyle w:val="4"/>
        <w:rPr>
          <w:color w:val="auto"/>
          <w:highlight w:val="none"/>
        </w:rPr>
      </w:pPr>
      <w:bookmarkStart w:id="968" w:name="_Toc78449832"/>
      <w:bookmarkStart w:id="969" w:name="_Toc6719"/>
      <w:bookmarkStart w:id="970" w:name="_Toc373227743"/>
      <w:bookmarkStart w:id="971" w:name="_Toc373478390"/>
      <w:bookmarkStart w:id="972" w:name="_Toc407135246"/>
      <w:bookmarkStart w:id="973" w:name="_Toc650800266"/>
      <w:bookmarkStart w:id="974" w:name="_Toc389065309"/>
      <w:bookmarkStart w:id="975" w:name="_Toc1342657745"/>
      <w:r>
        <w:rPr>
          <w:color w:val="auto"/>
          <w:highlight w:val="none"/>
        </w:rPr>
        <w:t>1</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Start w:id="976" w:name="_Toc296346698"/>
      <w:bookmarkStart w:id="977" w:name="_Toc296891025"/>
      <w:bookmarkStart w:id="978" w:name="_Toc297048383"/>
      <w:bookmarkStart w:id="979" w:name="_Toc296347196"/>
      <w:bookmarkStart w:id="980" w:name="_Toc296503197"/>
      <w:bookmarkStart w:id="981" w:name="_Toc292559907"/>
      <w:bookmarkStart w:id="982" w:name="_Toc303539150"/>
      <w:bookmarkStart w:id="983" w:name="_Toc292559402"/>
      <w:bookmarkStart w:id="984" w:name="_Toc300934993"/>
      <w:bookmarkStart w:id="985" w:name="_Toc297123544"/>
      <w:bookmarkStart w:id="986" w:name="_Toc297120497"/>
      <w:bookmarkStart w:id="987" w:name="_Toc296891237"/>
      <w:bookmarkStart w:id="988" w:name="_Toc297216203"/>
      <w:bookmarkStart w:id="989" w:name="_Toc296944536"/>
      <w:bookmarkStart w:id="990" w:name="_Toc312677503"/>
      <w:bookmarkStart w:id="991" w:name="_Toc304295570"/>
      <w:bookmarkStart w:id="992" w:name="_Toc312678029"/>
      <w:r>
        <w:rPr>
          <w:color w:val="auto"/>
          <w:highlight w:val="none"/>
        </w:rPr>
        <w:t xml:space="preserve">0.5 </w:t>
      </w:r>
      <w:r>
        <w:rPr>
          <w:rFonts w:hint="eastAsia" w:cs="黑体"/>
          <w:color w:val="auto"/>
          <w:highlight w:val="none"/>
        </w:rPr>
        <w:t>承</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Start w:id="993" w:name="_Toc297123545"/>
      <w:bookmarkStart w:id="994" w:name="_Toc296503203"/>
      <w:bookmarkStart w:id="995" w:name="_Toc297120503"/>
      <w:bookmarkStart w:id="996" w:name="_Toc303539151"/>
      <w:bookmarkStart w:id="997" w:name="_Toc292559913"/>
      <w:bookmarkStart w:id="998" w:name="_Toc296347202"/>
      <w:bookmarkStart w:id="999" w:name="_Toc296891243"/>
      <w:bookmarkStart w:id="1000" w:name="_Toc300934994"/>
      <w:bookmarkStart w:id="1001" w:name="_Toc297048389"/>
      <w:bookmarkStart w:id="1002" w:name="_Toc296346704"/>
      <w:bookmarkStart w:id="1003" w:name="_Toc296944542"/>
      <w:bookmarkStart w:id="1004" w:name="_Toc292559408"/>
      <w:bookmarkStart w:id="1005" w:name="_Toc296891031"/>
      <w:bookmarkStart w:id="1006" w:name="_Toc297216204"/>
      <w:r>
        <w:rPr>
          <w:rFonts w:hint="eastAsia" w:cs="黑体"/>
          <w:color w:val="auto"/>
          <w:highlight w:val="none"/>
        </w:rPr>
        <w:t>包人的合理化建议</w:t>
      </w:r>
      <w:bookmarkEnd w:id="968"/>
      <w:bookmarkEnd w:id="969"/>
      <w:bookmarkEnd w:id="970"/>
      <w:bookmarkEnd w:id="971"/>
      <w:bookmarkEnd w:id="972"/>
      <w:bookmarkEnd w:id="973"/>
      <w:bookmarkEnd w:id="974"/>
      <w:bookmarkEnd w:id="975"/>
    </w:p>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color w:val="auto"/>
          <w:highlight w:val="none"/>
          <w:u w:val="single"/>
        </w:rPr>
        <w:t>监理人应在收到承包人提交的合理化建议后7天内审查完毕并报送发包人，发现其中存在技术上的缺陷，应通知承包人修改</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发包人应在收到监理人报送的合理化建议后7天内审批完毕</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承</w:t>
      </w:r>
      <w:bookmarkStart w:id="1007" w:name="_Toc304295571"/>
      <w:bookmarkStart w:id="1008" w:name="_Toc312678030"/>
      <w:bookmarkStart w:id="1009" w:name="_Toc300934995"/>
      <w:bookmarkStart w:id="1010" w:name="_Toc297216205"/>
      <w:bookmarkStart w:id="1011" w:name="_Toc312677504"/>
      <w:bookmarkStart w:id="1012" w:name="_Toc297048390"/>
      <w:bookmarkStart w:id="1013" w:name="_Toc296891032"/>
      <w:bookmarkStart w:id="1014" w:name="_Toc303539152"/>
      <w:bookmarkStart w:id="1015" w:name="_Toc318581175"/>
      <w:bookmarkStart w:id="1016" w:name="_Toc297120504"/>
      <w:bookmarkStart w:id="1017" w:name="_Toc297123546"/>
      <w:bookmarkStart w:id="1018" w:name="_Toc296503204"/>
      <w:bookmarkStart w:id="1019" w:name="_Toc296891244"/>
      <w:bookmarkStart w:id="1020" w:name="_Toc292559914"/>
      <w:bookmarkStart w:id="1021" w:name="_Toc296346705"/>
      <w:bookmarkStart w:id="1022" w:name="_Toc296944543"/>
      <w:bookmarkStart w:id="1023" w:name="_Toc296347203"/>
      <w:bookmarkStart w:id="1024" w:name="_Toc292559409"/>
      <w:r>
        <w:rPr>
          <w:rFonts w:hint="eastAsia" w:hAnsi="宋体" w:cs="宋体"/>
          <w:color w:val="auto"/>
          <w:highlight w:val="none"/>
        </w:rPr>
        <w:t>包人提出的合理化建议降低了合同价格或者提高了工程经济效益的奖励的方法和金额为：</w:t>
      </w:r>
      <w:r>
        <w:rPr>
          <w:rFonts w:hint="eastAsia"/>
          <w:color w:val="auto"/>
          <w:highlight w:val="none"/>
          <w:u w:val="single"/>
        </w:rPr>
        <w:t>无</w:t>
      </w:r>
      <w:r>
        <w:rPr>
          <w:rFonts w:hint="eastAsia" w:hAnsi="宋体" w:cs="宋体"/>
          <w:color w:val="auto"/>
          <w:highlight w:val="none"/>
        </w:rPr>
        <w:t>。</w:t>
      </w:r>
    </w:p>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Pr>
        <w:pStyle w:val="4"/>
        <w:rPr>
          <w:color w:val="auto"/>
          <w:highlight w:val="none"/>
        </w:rPr>
      </w:pPr>
      <w:bookmarkStart w:id="1025" w:name="_Toc78449833"/>
      <w:bookmarkStart w:id="1026" w:name="_Toc373227744"/>
      <w:bookmarkStart w:id="1027" w:name="_Toc1466"/>
      <w:bookmarkStart w:id="1028" w:name="_Toc2045792355"/>
      <w:bookmarkStart w:id="1029" w:name="_Toc502454636"/>
      <w:bookmarkStart w:id="1030" w:name="_Toc389065310"/>
      <w:bookmarkStart w:id="1031" w:name="_Toc373478391"/>
      <w:bookmarkStart w:id="1032" w:name="_Toc407135247"/>
      <w:r>
        <w:rPr>
          <w:color w:val="auto"/>
          <w:highlight w:val="none"/>
        </w:rPr>
        <w:t>1</w:t>
      </w:r>
      <w:bookmarkStart w:id="1033" w:name="_Toc292559909"/>
      <w:bookmarkStart w:id="1034" w:name="_Toc304295574"/>
      <w:bookmarkStart w:id="1035" w:name="_Toc297120499"/>
      <w:bookmarkStart w:id="1036" w:name="_Toc300934997"/>
      <w:bookmarkStart w:id="1037" w:name="_Toc303539154"/>
      <w:bookmarkStart w:id="1038" w:name="_Toc296347198"/>
      <w:bookmarkStart w:id="1039" w:name="_Toc296503199"/>
      <w:bookmarkStart w:id="1040" w:name="_Toc296891239"/>
      <w:bookmarkStart w:id="1041" w:name="_Toc312677507"/>
      <w:bookmarkStart w:id="1042" w:name="_Toc296891027"/>
      <w:bookmarkStart w:id="1043" w:name="_Toc297216207"/>
      <w:bookmarkStart w:id="1044" w:name="_Toc292559404"/>
      <w:bookmarkStart w:id="1045" w:name="_Toc297123548"/>
      <w:bookmarkStart w:id="1046" w:name="_Toc312678033"/>
      <w:bookmarkStart w:id="1047" w:name="_Toc296944538"/>
      <w:bookmarkStart w:id="1048" w:name="_Toc297048385"/>
      <w:bookmarkStart w:id="1049" w:name="_Toc296346700"/>
      <w:r>
        <w:rPr>
          <w:color w:val="auto"/>
          <w:highlight w:val="none"/>
        </w:rPr>
        <w:t xml:space="preserve">0.7 </w:t>
      </w:r>
      <w:r>
        <w:rPr>
          <w:rFonts w:hint="eastAsia" w:hAnsi="宋体" w:cs="黑体"/>
          <w:color w:val="auto"/>
          <w:highlight w:val="none"/>
        </w:rPr>
        <w:t>暂估价</w:t>
      </w:r>
      <w:bookmarkEnd w:id="1025"/>
      <w:bookmarkEnd w:id="1026"/>
      <w:bookmarkEnd w:id="1027"/>
      <w:bookmarkEnd w:id="1028"/>
      <w:bookmarkEnd w:id="1029"/>
      <w:bookmarkEnd w:id="1030"/>
      <w:bookmarkEnd w:id="1031"/>
      <w:bookmarkEnd w:id="1032"/>
    </w:p>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Pr>
        <w:spacing w:line="360" w:lineRule="auto"/>
        <w:ind w:firstLine="420" w:firstLineChars="200"/>
        <w:jc w:val="left"/>
        <w:rPr>
          <w:color w:val="auto"/>
          <w:highlight w:val="none"/>
        </w:rPr>
      </w:pPr>
      <w:r>
        <w:rPr>
          <w:rFonts w:hint="eastAsia" w:hAnsi="宋体" w:cs="宋体"/>
          <w:color w:val="auto"/>
          <w:kern w:val="0"/>
          <w:highlight w:val="none"/>
        </w:rPr>
        <w:t>暂</w:t>
      </w:r>
      <w:bookmarkStart w:id="1050" w:name="_Toc312677508"/>
      <w:bookmarkStart w:id="1051" w:name="_Toc312678034"/>
      <w:bookmarkStart w:id="1052"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1050"/>
    <w:bookmarkEnd w:id="1051"/>
    <w:bookmarkEnd w:id="1052"/>
    <w:p>
      <w:pPr>
        <w:spacing w:line="360" w:lineRule="auto"/>
        <w:ind w:firstLine="420" w:firstLineChars="200"/>
        <w:jc w:val="left"/>
        <w:rPr>
          <w:color w:val="auto"/>
          <w:highlight w:val="none"/>
        </w:rPr>
      </w:pPr>
      <w:r>
        <w:rPr>
          <w:color w:val="auto"/>
          <w:highlight w:val="none"/>
        </w:rPr>
        <w:t>1</w:t>
      </w:r>
      <w:bookmarkStart w:id="1053" w:name="_Toc318581177"/>
      <w:bookmarkStart w:id="1054" w:name="_Toc312678035"/>
      <w:bookmarkStart w:id="1055" w:name="_Toc312677509"/>
      <w:r>
        <w:rPr>
          <w:color w:val="auto"/>
          <w:highlight w:val="none"/>
        </w:rPr>
        <w:t xml:space="preserve">0.7.1 </w:t>
      </w:r>
      <w:r>
        <w:rPr>
          <w:rFonts w:hint="eastAsia" w:hAnsi="宋体" w:cs="宋体"/>
          <w:color w:val="auto"/>
          <w:highlight w:val="none"/>
        </w:rPr>
        <w:t>依法必须招标的暂估价项目</w:t>
      </w:r>
    </w:p>
    <w:bookmarkEnd w:id="1053"/>
    <w:bookmarkEnd w:id="1054"/>
    <w:bookmarkEnd w:id="1055"/>
    <w:p>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rFonts w:hint="eastAsia"/>
          <w:color w:val="auto"/>
          <w:highlight w:val="none"/>
          <w:u w:val="single"/>
        </w:rPr>
        <w:t xml:space="preserve">    /    </w:t>
      </w:r>
      <w:r>
        <w:rPr>
          <w:rFonts w:hint="eastAsia" w:hAnsi="宋体" w:cs="宋体"/>
          <w:color w:val="auto"/>
          <w:highlight w:val="none"/>
        </w:rPr>
        <w:t>。</w:t>
      </w:r>
    </w:p>
    <w:p>
      <w:pPr>
        <w:pStyle w:val="4"/>
        <w:rPr>
          <w:color w:val="auto"/>
          <w:highlight w:val="none"/>
        </w:rPr>
      </w:pPr>
      <w:bookmarkStart w:id="1056" w:name="_Toc389065311"/>
      <w:bookmarkStart w:id="1057" w:name="_Toc78449834"/>
      <w:bookmarkStart w:id="1058" w:name="_Toc407135248"/>
      <w:bookmarkStart w:id="1059" w:name="_Toc2131098822"/>
      <w:bookmarkStart w:id="1060" w:name="_Toc373478392"/>
      <w:bookmarkStart w:id="1061" w:name="_Toc373227745"/>
      <w:bookmarkStart w:id="1062" w:name="_Toc2032108729"/>
      <w:bookmarkStart w:id="1063" w:name="_Toc13284"/>
      <w:r>
        <w:rPr>
          <w:color w:val="auto"/>
          <w:highlight w:val="none"/>
        </w:rPr>
        <w:t xml:space="preserve">10.8 </w:t>
      </w:r>
      <w:r>
        <w:rPr>
          <w:rFonts w:hint="eastAsia" w:hAnsi="宋体" w:cs="黑体"/>
          <w:color w:val="auto"/>
          <w:highlight w:val="none"/>
        </w:rPr>
        <w:t>暂列金额</w:t>
      </w:r>
      <w:bookmarkEnd w:id="1056"/>
      <w:bookmarkEnd w:id="1057"/>
      <w:bookmarkEnd w:id="1058"/>
      <w:bookmarkEnd w:id="1059"/>
      <w:bookmarkEnd w:id="1060"/>
      <w:bookmarkEnd w:id="1061"/>
      <w:bookmarkEnd w:id="1062"/>
      <w:bookmarkEnd w:id="1063"/>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color w:val="auto"/>
          <w:highlight w:val="none"/>
          <w:u w:val="single"/>
        </w:rPr>
        <w:t>暂列金额是指发包人为可能发生工程变更而暂列的金额，包括因发包人提供的工程量清单漏项、清单有误引起的工程数量增加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不足部分发包人另行支付。暂列金额不计入工程款付款的基数。发包人按照规定所作支付后，暂列金额如有余额归发包人</w:t>
      </w:r>
      <w:r>
        <w:rPr>
          <w:rFonts w:hint="eastAsia" w:hAnsi="宋体" w:cs="宋体"/>
          <w:color w:val="auto"/>
          <w:kern w:val="0"/>
          <w:highlight w:val="none"/>
        </w:rPr>
        <w:t>。</w:t>
      </w:r>
    </w:p>
    <w:p>
      <w:pPr>
        <w:pStyle w:val="3"/>
        <w:numPr>
          <w:ilvl w:val="0"/>
          <w:numId w:val="5"/>
        </w:numPr>
        <w:rPr>
          <w:color w:val="auto"/>
          <w:highlight w:val="none"/>
        </w:rPr>
      </w:pPr>
      <w:bookmarkStart w:id="1064" w:name="_Toc136736539"/>
      <w:bookmarkStart w:id="1065" w:name="_Toc78449835"/>
      <w:bookmarkStart w:id="1066" w:name="_Toc351203643"/>
      <w:bookmarkStart w:id="1067" w:name="_Toc4154"/>
      <w:bookmarkStart w:id="1068" w:name="_Toc373227746"/>
      <w:bookmarkStart w:id="1069" w:name="_Toc29697"/>
      <w:bookmarkStart w:id="1070" w:name="_Toc389065312"/>
      <w:bookmarkStart w:id="1071" w:name="_Toc373478393"/>
      <w:bookmarkStart w:id="1072" w:name="_Toc1190723452"/>
      <w:bookmarkStart w:id="1073" w:name="_Toc407135249"/>
      <w:r>
        <w:rPr>
          <w:rFonts w:hint="eastAsia" w:hAnsi="宋体" w:cs="黑体"/>
          <w:color w:val="auto"/>
          <w:highlight w:val="none"/>
        </w:rPr>
        <w:t>价格调整</w:t>
      </w:r>
      <w:bookmarkEnd w:id="1064"/>
      <w:bookmarkEnd w:id="1065"/>
      <w:bookmarkEnd w:id="1066"/>
      <w:bookmarkEnd w:id="1067"/>
      <w:bookmarkEnd w:id="1068"/>
      <w:bookmarkEnd w:id="1069"/>
      <w:bookmarkEnd w:id="1070"/>
      <w:bookmarkEnd w:id="1071"/>
      <w:bookmarkEnd w:id="1072"/>
      <w:bookmarkEnd w:id="1073"/>
    </w:p>
    <w:p>
      <w:pPr>
        <w:pStyle w:val="4"/>
        <w:rPr>
          <w:color w:val="auto"/>
          <w:highlight w:val="none"/>
        </w:rPr>
      </w:pPr>
      <w:bookmarkStart w:id="1074" w:name="_Toc373478394"/>
      <w:bookmarkStart w:id="1075" w:name="_Toc373227747"/>
      <w:bookmarkStart w:id="1076" w:name="_Toc78449836"/>
      <w:bookmarkStart w:id="1077" w:name="_Toc389065313"/>
      <w:bookmarkStart w:id="1078" w:name="_Toc16011"/>
      <w:bookmarkStart w:id="1079" w:name="_Toc407135250"/>
      <w:bookmarkStart w:id="1080" w:name="_Toc42268484"/>
      <w:bookmarkStart w:id="1081" w:name="_Toc1501386015"/>
      <w:bookmarkStart w:id="1082" w:name="_Toc312678039"/>
      <w:bookmarkStart w:id="1083" w:name="_Toc296891241"/>
      <w:bookmarkStart w:id="1084" w:name="_Toc297120501"/>
      <w:bookmarkStart w:id="1085" w:name="_Toc297048387"/>
      <w:bookmarkStart w:id="1086" w:name="_Toc297123550"/>
      <w:bookmarkStart w:id="1087" w:name="_Toc296346702"/>
      <w:bookmarkStart w:id="1088" w:name="_Toc292559911"/>
      <w:bookmarkStart w:id="1089" w:name="_Toc297216209"/>
      <w:bookmarkStart w:id="1090" w:name="_Toc296503201"/>
      <w:bookmarkStart w:id="1091" w:name="_Toc296347200"/>
      <w:bookmarkStart w:id="1092" w:name="_Toc304295577"/>
      <w:bookmarkStart w:id="1093" w:name="_Toc296944540"/>
      <w:bookmarkStart w:id="1094" w:name="_Toc292559406"/>
      <w:bookmarkStart w:id="1095" w:name="_Toc303539157"/>
      <w:bookmarkStart w:id="1096" w:name="_Toc296891029"/>
      <w:bookmarkStart w:id="1097" w:name="_Toc300935000"/>
      <w:r>
        <w:rPr>
          <w:color w:val="auto"/>
          <w:highlight w:val="none"/>
        </w:rPr>
        <w:t xml:space="preserve">11.1 </w:t>
      </w:r>
      <w:r>
        <w:rPr>
          <w:rFonts w:hint="eastAsia" w:cs="黑体"/>
          <w:color w:val="auto"/>
          <w:highlight w:val="none"/>
        </w:rPr>
        <w:t>市场价格波动引起的调整</w:t>
      </w:r>
      <w:bookmarkEnd w:id="1074"/>
      <w:bookmarkEnd w:id="1075"/>
      <w:bookmarkEnd w:id="1076"/>
      <w:bookmarkEnd w:id="1077"/>
      <w:bookmarkEnd w:id="1078"/>
      <w:bookmarkEnd w:id="1079"/>
      <w:bookmarkEnd w:id="1080"/>
      <w:bookmarkEnd w:id="1081"/>
    </w:p>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种方式对合同价格进行调整：</w:t>
      </w:r>
    </w:p>
    <w:p>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rFonts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u w:val="single"/>
          <w:lang w:val="en-US" w:eastAsia="zh-CN"/>
        </w:rPr>
        <w:t>/</w:t>
      </w:r>
      <w:r>
        <w:rPr>
          <w:rFonts w:ascii="宋体" w:hAnsi="宋体" w:eastAsia="宋体" w:cs="宋体"/>
          <w:color w:val="auto"/>
          <w:spacing w:val="0"/>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南宁</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spacing w:line="360" w:lineRule="auto"/>
        <w:ind w:firstLine="420" w:firstLineChars="200"/>
        <w:jc w:val="left"/>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rFonts w:ascii="Calibri" w:hAnsi="Calibri" w:eastAsia="Calibri" w:cs="Calibri"/>
          <w:color w:val="auto"/>
          <w:spacing w:val="0"/>
          <w:highlight w:val="none"/>
          <w:u w:val="single"/>
        </w:rPr>
        <w:t xml:space="preserve">        /        </w:t>
      </w:r>
      <w:r>
        <w:rPr>
          <w:rFonts w:hint="eastAsia" w:cs="宋体"/>
          <w:color w:val="auto"/>
          <w:highlight w:val="none"/>
        </w:rPr>
        <w:t>。</w:t>
      </w:r>
    </w:p>
    <w:bookmarkEnd w:id="919"/>
    <w:bookmarkEnd w:id="920"/>
    <w:bookmarkEnd w:id="921"/>
    <w:bookmarkEnd w:id="922"/>
    <w:bookmarkEnd w:id="923"/>
    <w:bookmarkEnd w:id="924"/>
    <w:p>
      <w:pPr>
        <w:pStyle w:val="3"/>
        <w:rPr>
          <w:color w:val="auto"/>
          <w:highlight w:val="none"/>
        </w:rPr>
      </w:pPr>
      <w:bookmarkStart w:id="1098" w:name="_Toc296944544"/>
      <w:bookmarkStart w:id="1099" w:name="_Toc296503205"/>
      <w:bookmarkStart w:id="1100" w:name="_Toc292559410"/>
      <w:bookmarkStart w:id="1101" w:name="_Toc296346706"/>
      <w:bookmarkStart w:id="1102" w:name="_Toc297048391"/>
      <w:bookmarkStart w:id="1103" w:name="_Toc292559915"/>
      <w:bookmarkStart w:id="1104" w:name="_Toc297120505"/>
      <w:bookmarkStart w:id="1105" w:name="_Toc296891245"/>
      <w:bookmarkStart w:id="1106" w:name="_Toc296347204"/>
      <w:bookmarkStart w:id="1107" w:name="_Toc296891033"/>
      <w:bookmarkStart w:id="1108" w:name="_Toc1935657796"/>
      <w:bookmarkStart w:id="1109" w:name="_Toc373227748"/>
      <w:bookmarkStart w:id="1110" w:name="_Toc15935"/>
      <w:bookmarkStart w:id="1111" w:name="_Toc78449837"/>
      <w:bookmarkStart w:id="1112" w:name="_Toc407135251"/>
      <w:bookmarkStart w:id="1113" w:name="_Toc1720046426"/>
      <w:bookmarkStart w:id="1114" w:name="_Toc351203644"/>
      <w:bookmarkStart w:id="1115" w:name="_Toc23872"/>
      <w:bookmarkStart w:id="1116" w:name="_Toc373478395"/>
      <w:bookmarkStart w:id="1117" w:name="_Toc312678040"/>
      <w:bookmarkStart w:id="1118" w:name="_Toc303539159"/>
      <w:bookmarkStart w:id="1119" w:name="_Toc297123552"/>
      <w:bookmarkStart w:id="1120" w:name="_Toc297216211"/>
      <w:bookmarkStart w:id="1121" w:name="_Toc300935002"/>
      <w:bookmarkStart w:id="1122" w:name="_Toc304295579"/>
      <w:r>
        <w:rPr>
          <w:color w:val="auto"/>
          <w:highlight w:val="none"/>
        </w:rPr>
        <w:t xml:space="preserve">12. </w:t>
      </w:r>
      <w:bookmarkEnd w:id="1098"/>
      <w:bookmarkEnd w:id="1099"/>
      <w:bookmarkEnd w:id="1100"/>
      <w:bookmarkEnd w:id="1101"/>
      <w:bookmarkEnd w:id="1102"/>
      <w:bookmarkEnd w:id="1103"/>
      <w:bookmarkEnd w:id="1104"/>
      <w:bookmarkEnd w:id="1105"/>
      <w:bookmarkEnd w:id="1106"/>
      <w:bookmarkEnd w:id="1107"/>
      <w:r>
        <w:rPr>
          <w:rFonts w:hint="eastAsia" w:cs="黑体"/>
          <w:color w:val="auto"/>
          <w:highlight w:val="none"/>
        </w:rPr>
        <w:t>合同价格、计量与支付</w:t>
      </w:r>
      <w:bookmarkEnd w:id="1108"/>
      <w:bookmarkEnd w:id="1109"/>
      <w:bookmarkEnd w:id="1110"/>
      <w:bookmarkEnd w:id="1111"/>
      <w:bookmarkEnd w:id="1112"/>
      <w:bookmarkEnd w:id="1113"/>
      <w:bookmarkEnd w:id="1114"/>
      <w:bookmarkEnd w:id="1115"/>
      <w:bookmarkEnd w:id="1116"/>
    </w:p>
    <w:bookmarkEnd w:id="1117"/>
    <w:bookmarkEnd w:id="1118"/>
    <w:bookmarkEnd w:id="1119"/>
    <w:bookmarkEnd w:id="1120"/>
    <w:bookmarkEnd w:id="1121"/>
    <w:bookmarkEnd w:id="1122"/>
    <w:p>
      <w:pPr>
        <w:pStyle w:val="4"/>
        <w:rPr>
          <w:color w:val="auto"/>
          <w:highlight w:val="none"/>
        </w:rPr>
      </w:pPr>
      <w:bookmarkStart w:id="1123" w:name="_Toc292559411"/>
      <w:bookmarkStart w:id="1124" w:name="_Toc292559916"/>
      <w:bookmarkStart w:id="1125" w:name="_Toc267251461"/>
      <w:bookmarkStart w:id="1126" w:name="_Toc297048392"/>
      <w:bookmarkStart w:id="1127" w:name="_Toc296503206"/>
      <w:bookmarkStart w:id="1128" w:name="_Toc296347205"/>
      <w:bookmarkStart w:id="1129" w:name="_Toc296891246"/>
      <w:bookmarkStart w:id="1130" w:name="_Toc296944545"/>
      <w:bookmarkStart w:id="1131" w:name="_Toc297120506"/>
      <w:bookmarkStart w:id="1132" w:name="_Toc296891034"/>
      <w:bookmarkStart w:id="1133" w:name="_Toc296346707"/>
      <w:bookmarkStart w:id="1134" w:name="_Toc1894565429"/>
      <w:bookmarkStart w:id="1135" w:name="_Toc407135252"/>
      <w:bookmarkStart w:id="1136" w:name="_Toc373478396"/>
      <w:bookmarkStart w:id="1137" w:name="_Toc24925"/>
      <w:bookmarkStart w:id="1138" w:name="_Toc373227749"/>
      <w:bookmarkStart w:id="1139" w:name="_Toc78449838"/>
      <w:bookmarkStart w:id="1140" w:name="_Toc389065314"/>
      <w:bookmarkStart w:id="1141" w:name="_Toc1395756356"/>
      <w:bookmarkStart w:id="1142" w:name="_Toc297123553"/>
      <w:bookmarkStart w:id="1143" w:name="_Toc300935003"/>
      <w:bookmarkStart w:id="1144" w:name="_Toc304295580"/>
      <w:bookmarkStart w:id="1145" w:name="_Toc303539160"/>
      <w:bookmarkStart w:id="1146" w:name="_Toc297216212"/>
      <w:bookmarkStart w:id="1147" w:name="_Toc312678041"/>
      <w:r>
        <w:rPr>
          <w:color w:val="auto"/>
          <w:highlight w:val="none"/>
        </w:rPr>
        <w:t xml:space="preserve">12.1 </w:t>
      </w:r>
      <w:r>
        <w:rPr>
          <w:rFonts w:hint="eastAsia" w:hAnsi="宋体" w:cs="黑体"/>
          <w:color w:val="auto"/>
          <w:highlight w:val="none"/>
        </w:rPr>
        <w:t>合</w:t>
      </w:r>
      <w:bookmarkEnd w:id="1123"/>
      <w:bookmarkEnd w:id="1124"/>
      <w:bookmarkEnd w:id="1125"/>
      <w:r>
        <w:rPr>
          <w:rFonts w:hint="eastAsia" w:hAnsi="宋体" w:cs="黑体"/>
          <w:color w:val="auto"/>
          <w:highlight w:val="none"/>
        </w:rPr>
        <w:t>同价</w:t>
      </w:r>
      <w:bookmarkEnd w:id="1126"/>
      <w:bookmarkEnd w:id="1127"/>
      <w:bookmarkEnd w:id="1128"/>
      <w:bookmarkEnd w:id="1129"/>
      <w:bookmarkEnd w:id="1130"/>
      <w:bookmarkEnd w:id="1131"/>
      <w:bookmarkEnd w:id="1132"/>
      <w:bookmarkEnd w:id="1133"/>
      <w:r>
        <w:rPr>
          <w:rFonts w:hint="eastAsia" w:hAnsi="宋体" w:cs="黑体"/>
          <w:color w:val="auto"/>
          <w:highlight w:val="none"/>
        </w:rPr>
        <w:t>格形式</w:t>
      </w:r>
      <w:bookmarkEnd w:id="1134"/>
      <w:bookmarkEnd w:id="1135"/>
      <w:bookmarkEnd w:id="1136"/>
      <w:bookmarkEnd w:id="1137"/>
      <w:bookmarkEnd w:id="1138"/>
      <w:bookmarkEnd w:id="1139"/>
      <w:bookmarkEnd w:id="1140"/>
      <w:bookmarkEnd w:id="1141"/>
    </w:p>
    <w:bookmarkEnd w:id="1142"/>
    <w:bookmarkEnd w:id="1143"/>
    <w:bookmarkEnd w:id="1144"/>
    <w:bookmarkEnd w:id="1145"/>
    <w:bookmarkEnd w:id="1146"/>
    <w:bookmarkEnd w:id="1147"/>
    <w:p>
      <w:pPr>
        <w:spacing w:line="360" w:lineRule="auto"/>
        <w:ind w:firstLine="420" w:firstLineChars="200"/>
        <w:jc w:val="left"/>
        <w:rPr>
          <w:rFonts w:hAnsi="宋体"/>
          <w:color w:val="auto"/>
          <w:highlight w:val="none"/>
        </w:rPr>
      </w:pPr>
      <w:bookmarkStart w:id="1148" w:name="_Toc389065315"/>
      <w:bookmarkStart w:id="1149" w:name="_Toc373478397"/>
      <w:bookmarkStart w:id="1150" w:name="_Toc373227750"/>
      <w:bookmarkStart w:id="1151" w:name="_Toc297123554"/>
      <w:bookmarkStart w:id="1152" w:name="_Toc304295581"/>
      <w:bookmarkStart w:id="1153" w:name="_Toc297216213"/>
      <w:bookmarkStart w:id="1154" w:name="_Toc303539161"/>
      <w:bookmarkStart w:id="1155" w:name="_Toc312678042"/>
      <w:bookmarkStart w:id="1156" w:name="_Toc300935004"/>
      <w:bookmarkStart w:id="1157" w:name="_Toc292559917"/>
      <w:bookmarkStart w:id="1158" w:name="_Toc296346708"/>
      <w:bookmarkStart w:id="1159" w:name="_Toc292559412"/>
      <w:bookmarkStart w:id="1160" w:name="_Toc296503207"/>
      <w:bookmarkStart w:id="1161" w:name="_Toc297120507"/>
      <w:bookmarkStart w:id="1162" w:name="_Toc296891247"/>
      <w:bookmarkStart w:id="1163" w:name="_Toc296944546"/>
      <w:bookmarkStart w:id="1164" w:name="_Toc297048393"/>
      <w:bookmarkStart w:id="1165" w:name="_Toc296347206"/>
      <w:bookmarkStart w:id="1166" w:name="_Toc296891035"/>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固定综合单价方式</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pPr>
        <w:numPr>
          <w:ilvl w:val="0"/>
          <w:numId w:val="0"/>
        </w:num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rFonts w:ascii="宋体" w:hAnsi="宋体" w:eastAsia="宋体" w:cs="宋体"/>
          <w:color w:val="auto"/>
          <w:spacing w:val="0"/>
          <w:highlight w:val="none"/>
          <w:u w:val="single"/>
        </w:rPr>
        <w:t xml:space="preserve">  无  </w:t>
      </w:r>
      <w:r>
        <w:rPr>
          <w:rFonts w:hint="eastAsia" w:cs="宋体"/>
          <w:color w:val="auto"/>
          <w:highlight w:val="none"/>
        </w:rPr>
        <w:t>。</w:t>
      </w:r>
    </w:p>
    <w:p>
      <w:pPr>
        <w:pStyle w:val="4"/>
        <w:rPr>
          <w:color w:val="auto"/>
          <w:highlight w:val="none"/>
        </w:rPr>
      </w:pPr>
      <w:bookmarkStart w:id="1167" w:name="_Toc407135253"/>
      <w:bookmarkStart w:id="1168" w:name="_Toc78449839"/>
      <w:bookmarkStart w:id="1169" w:name="_Toc4295"/>
      <w:bookmarkStart w:id="1170" w:name="_Toc1681900246"/>
      <w:bookmarkStart w:id="1171" w:name="_Toc1338560546"/>
      <w:r>
        <w:rPr>
          <w:color w:val="auto"/>
          <w:highlight w:val="none"/>
        </w:rPr>
        <w:t xml:space="preserve">12.2 </w:t>
      </w:r>
      <w:r>
        <w:rPr>
          <w:rFonts w:hint="eastAsia" w:hAnsi="宋体" w:cs="黑体"/>
          <w:color w:val="auto"/>
          <w:highlight w:val="none"/>
        </w:rPr>
        <w:t>预付款</w:t>
      </w:r>
      <w:bookmarkEnd w:id="1148"/>
      <w:bookmarkEnd w:id="1149"/>
      <w:bookmarkEnd w:id="1150"/>
      <w:bookmarkEnd w:id="1167"/>
      <w:bookmarkEnd w:id="1168"/>
      <w:bookmarkEnd w:id="1169"/>
      <w:bookmarkEnd w:id="1170"/>
      <w:bookmarkEnd w:id="1171"/>
    </w:p>
    <w:bookmarkEnd w:id="1151"/>
    <w:bookmarkEnd w:id="1152"/>
    <w:bookmarkEnd w:id="1153"/>
    <w:bookmarkEnd w:id="1154"/>
    <w:bookmarkEnd w:id="1155"/>
    <w:bookmarkEnd w:id="1156"/>
    <w:p>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hint="eastAsia"/>
          <w:color w:val="auto"/>
          <w:highlight w:val="none"/>
          <w:u w:val="single"/>
        </w:rPr>
        <w:t>合同总价（扣除暂列金额）的</w:t>
      </w:r>
      <w:r>
        <w:rPr>
          <w:rFonts w:hint="eastAsia"/>
          <w:color w:val="auto"/>
          <w:highlight w:val="none"/>
          <w:u w:val="single"/>
          <w:lang w:val="en-US" w:eastAsia="zh-CN"/>
        </w:rPr>
        <w:t>30</w:t>
      </w:r>
      <w:r>
        <w:rPr>
          <w:rFonts w:hint="eastAsia"/>
          <w:color w:val="auto"/>
          <w:highlight w:val="none"/>
          <w:u w:val="single"/>
        </w:rPr>
        <w:t>%</w:t>
      </w:r>
      <w:r>
        <w:rPr>
          <w:rFonts w:hint="eastAsia" w:hAnsi="宋体" w:cs="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施工</w:t>
      </w:r>
      <w:r>
        <w:rPr>
          <w:rFonts w:hint="eastAsia"/>
          <w:color w:val="auto"/>
          <w:highlight w:val="none"/>
          <w:u w:val="single"/>
        </w:rPr>
        <w:t>合同签订后</w:t>
      </w:r>
      <w:r>
        <w:rPr>
          <w:rFonts w:hint="eastAsia"/>
          <w:color w:val="auto"/>
          <w:highlight w:val="none"/>
          <w:u w:val="single"/>
          <w:lang w:val="en-US" w:eastAsia="zh-CN"/>
        </w:rPr>
        <w:t>20</w:t>
      </w:r>
      <w:r>
        <w:rPr>
          <w:rFonts w:hint="eastAsia"/>
          <w:color w:val="auto"/>
          <w:highlight w:val="none"/>
          <w:u w:val="single"/>
        </w:rPr>
        <w:t>天之内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color w:val="auto"/>
          <w:highlight w:val="none"/>
          <w:u w:val="single"/>
        </w:rPr>
        <w:t>甲方已支付进度款达到总工程款20%时，为预付款起扣点，从此之后的每个月进度款中按预付款支付比例扣回</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式。工程担保保证人应将出具的保函相关信息录入“广西建筑市场监管云”平台（http://gxjzsc.caihcloud.com），以实现保函查询及验真功能</w:t>
      </w:r>
      <w:r>
        <w:rPr>
          <w:rFonts w:hint="eastAsia" w:ascii="Times New Roman" w:hAnsi="宋体" w:eastAsia="宋体" w:cs="宋体"/>
          <w:color w:val="auto"/>
          <w:highlight w:val="none"/>
          <w:lang w:eastAsia="zh-CN"/>
        </w:rPr>
        <w:t>。</w:t>
      </w:r>
    </w:p>
    <w:p>
      <w:pPr>
        <w:spacing w:line="360" w:lineRule="auto"/>
        <w:ind w:firstLine="420" w:firstLineChars="200"/>
        <w:jc w:val="left"/>
        <w:rPr>
          <w:color w:val="auto"/>
          <w:highlight w:val="none"/>
        </w:rPr>
      </w:pPr>
      <w:r>
        <w:rPr>
          <w:rFonts w:hint="eastAsia" w:ascii="宋体" w:hAnsi="宋体" w:cs="宋体"/>
          <w:color w:val="auto"/>
          <w:highlight w:val="none"/>
        </w:rPr>
        <w:t>预付款担保格式见合同附件8。预付款支付申请（核准）表见合同附件10</w:t>
      </w:r>
    </w:p>
    <w:bookmarkEnd w:id="1157"/>
    <w:bookmarkEnd w:id="1158"/>
    <w:bookmarkEnd w:id="1159"/>
    <w:bookmarkEnd w:id="1160"/>
    <w:bookmarkEnd w:id="1161"/>
    <w:bookmarkEnd w:id="1162"/>
    <w:bookmarkEnd w:id="1163"/>
    <w:bookmarkEnd w:id="1164"/>
    <w:bookmarkEnd w:id="1165"/>
    <w:bookmarkEnd w:id="1166"/>
    <w:p>
      <w:pPr>
        <w:pStyle w:val="4"/>
        <w:rPr>
          <w:color w:val="auto"/>
          <w:highlight w:val="none"/>
        </w:rPr>
      </w:pPr>
      <w:bookmarkStart w:id="1172" w:name="_Toc31211"/>
      <w:bookmarkStart w:id="1173" w:name="_Toc407135254"/>
      <w:bookmarkStart w:id="1174" w:name="_Toc373478398"/>
      <w:bookmarkStart w:id="1175" w:name="_Toc373227751"/>
      <w:bookmarkStart w:id="1176" w:name="_Toc1307224940"/>
      <w:bookmarkStart w:id="1177" w:name="_Toc389065316"/>
      <w:bookmarkStart w:id="1178" w:name="_Toc1494831447"/>
      <w:bookmarkStart w:id="1179" w:name="_Toc78449840"/>
      <w:r>
        <w:rPr>
          <w:color w:val="auto"/>
          <w:highlight w:val="none"/>
        </w:rPr>
        <w:t xml:space="preserve">12.3 </w:t>
      </w:r>
      <w:r>
        <w:rPr>
          <w:rFonts w:hint="eastAsia" w:hAnsi="宋体" w:cs="黑体"/>
          <w:color w:val="auto"/>
          <w:highlight w:val="none"/>
        </w:rPr>
        <w:t>计量</w:t>
      </w:r>
      <w:bookmarkEnd w:id="1172"/>
      <w:bookmarkEnd w:id="1173"/>
      <w:bookmarkEnd w:id="1174"/>
      <w:bookmarkEnd w:id="1175"/>
      <w:bookmarkEnd w:id="1176"/>
      <w:bookmarkEnd w:id="1177"/>
      <w:bookmarkEnd w:id="1178"/>
      <w:bookmarkEnd w:id="1179"/>
    </w:p>
    <w:p>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pPr>
        <w:spacing w:line="360" w:lineRule="auto"/>
        <w:ind w:firstLine="420" w:firstLineChars="200"/>
        <w:jc w:val="left"/>
        <w:outlineLvl w:val="0"/>
        <w:rPr>
          <w:color w:val="auto"/>
          <w:highlight w:val="none"/>
        </w:rPr>
      </w:pPr>
      <w:bookmarkStart w:id="1180" w:name="_Toc12738"/>
      <w:bookmarkStart w:id="1181" w:name="_Toc21322"/>
      <w:r>
        <w:rPr>
          <w:color w:val="auto"/>
          <w:highlight w:val="none"/>
        </w:rPr>
        <w:t xml:space="preserve">12.3.3 </w:t>
      </w:r>
      <w:r>
        <w:rPr>
          <w:rFonts w:hint="eastAsia" w:hAnsi="宋体" w:cs="宋体"/>
          <w:color w:val="auto"/>
          <w:highlight w:val="none"/>
        </w:rPr>
        <w:t>单价合同的计量</w:t>
      </w:r>
      <w:bookmarkEnd w:id="1180"/>
      <w:bookmarkEnd w:id="1181"/>
    </w:p>
    <w:p>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pPr>
        <w:spacing w:line="360" w:lineRule="auto"/>
        <w:ind w:firstLine="441" w:firstLineChars="210"/>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rFonts w:ascii="宋体" w:hAnsi="宋体" w:eastAsia="宋体" w:cs="宋体"/>
          <w:color w:val="auto"/>
          <w:highlight w:val="none"/>
          <w:u w:val="single"/>
        </w:rPr>
        <w:t xml:space="preserve">     无     </w:t>
      </w:r>
      <w:r>
        <w:rPr>
          <w:rFonts w:hint="eastAsia" w:hAnsi="宋体" w:cs="宋体"/>
          <w:color w:val="auto"/>
          <w:highlight w:val="none"/>
        </w:rPr>
        <w:t>。</w:t>
      </w:r>
    </w:p>
    <w:p>
      <w:pPr>
        <w:pStyle w:val="4"/>
        <w:rPr>
          <w:color w:val="auto"/>
          <w:highlight w:val="none"/>
        </w:rPr>
      </w:pPr>
      <w:bookmarkStart w:id="1182" w:name="_Toc78449841"/>
      <w:bookmarkStart w:id="1183" w:name="_Toc1711431123"/>
      <w:bookmarkStart w:id="1184" w:name="_Toc22527"/>
      <w:bookmarkStart w:id="1185" w:name="_Toc407135255"/>
      <w:bookmarkStart w:id="1186" w:name="_Toc373227752"/>
      <w:bookmarkStart w:id="1187" w:name="_Toc389065317"/>
      <w:bookmarkStart w:id="1188" w:name="_Toc373478399"/>
      <w:bookmarkStart w:id="1189" w:name="_Toc1155368667"/>
      <w:r>
        <w:rPr>
          <w:color w:val="auto"/>
          <w:highlight w:val="none"/>
        </w:rPr>
        <w:t xml:space="preserve">12.4 </w:t>
      </w:r>
      <w:r>
        <w:rPr>
          <w:rFonts w:hint="eastAsia" w:cs="黑体"/>
          <w:color w:val="auto"/>
          <w:highlight w:val="none"/>
        </w:rPr>
        <w:t>工程进度款支付</w:t>
      </w:r>
      <w:bookmarkEnd w:id="1182"/>
      <w:bookmarkEnd w:id="1183"/>
      <w:bookmarkEnd w:id="1184"/>
      <w:bookmarkEnd w:id="1185"/>
      <w:bookmarkEnd w:id="1186"/>
      <w:bookmarkEnd w:id="1187"/>
      <w:bookmarkEnd w:id="1188"/>
      <w:bookmarkEnd w:id="1189"/>
    </w:p>
    <w:p>
      <w:pPr>
        <w:spacing w:line="400" w:lineRule="exact"/>
        <w:ind w:firstLine="440" w:firstLineChars="200"/>
        <w:jc w:val="left"/>
        <w:rPr>
          <w:color w:val="auto"/>
          <w:highlight w:val="none"/>
        </w:rPr>
      </w:pPr>
      <w:bookmarkStart w:id="1190" w:name="_Toc300935006"/>
      <w:bookmarkStart w:id="1191" w:name="_Toc297123556"/>
      <w:bookmarkStart w:id="1192" w:name="_Toc303539163"/>
      <w:bookmarkStart w:id="1193" w:name="_Toc297216215"/>
      <w:bookmarkStart w:id="1194" w:name="_Toc292559416"/>
      <w:bookmarkStart w:id="1195" w:name="_Toc297048397"/>
      <w:bookmarkStart w:id="1196" w:name="_Toc296891251"/>
      <w:bookmarkStart w:id="1197" w:name="_Toc296503211"/>
      <w:bookmarkStart w:id="1198" w:name="_Toc296944550"/>
      <w:bookmarkStart w:id="1199" w:name="_Toc296891039"/>
      <w:bookmarkStart w:id="1200" w:name="_Toc296346712"/>
      <w:bookmarkStart w:id="1201" w:name="_Toc292559921"/>
      <w:bookmarkStart w:id="1202" w:name="_Toc296347210"/>
      <w:bookmarkStart w:id="1203" w:name="_Toc297120511"/>
      <w:r>
        <w:rPr>
          <w:rFonts w:ascii="宋体" w:hAnsi="宋体" w:eastAsia="宋体" w:cs="宋体"/>
          <w:kern w:val="0"/>
          <w:sz w:val="22"/>
          <w:szCs w:val="22"/>
          <w:highlight w:val="none"/>
          <w:lang w:val="en-US" w:eastAsia="zh-CN"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kern w:val="0"/>
          <w:sz w:val="22"/>
          <w:szCs w:val="22"/>
          <w:highlight w:val="none"/>
          <w:lang w:val="en-US" w:eastAsia="zh-CN" w:bidi="ar"/>
        </w:rPr>
        <w:t>。</w:t>
      </w:r>
    </w:p>
    <w:p>
      <w:pPr>
        <w:spacing w:line="360" w:lineRule="auto"/>
        <w:ind w:firstLine="420" w:firstLineChars="200"/>
        <w:jc w:val="left"/>
        <w:rPr>
          <w:color w:val="auto"/>
          <w:highlight w:val="none"/>
        </w:rPr>
      </w:pPr>
      <w:r>
        <w:rPr>
          <w:color w:val="auto"/>
          <w:highlight w:val="none"/>
        </w:rPr>
        <w:t xml:space="preserve">12.4.1 </w:t>
      </w:r>
      <w:r>
        <w:rPr>
          <w:rFonts w:hint="eastAsia" w:hAnsi="宋体" w:cs="宋体"/>
          <w:color w:val="auto"/>
          <w:highlight w:val="none"/>
        </w:rPr>
        <w:t>付款周期</w:t>
      </w:r>
    </w:p>
    <w:p>
      <w:pPr>
        <w:spacing w:line="360" w:lineRule="auto"/>
        <w:ind w:firstLine="420" w:firstLineChars="200"/>
        <w:jc w:val="left"/>
        <w:rPr>
          <w:rFonts w:hint="eastAsia" w:hAnsi="宋体" w:cs="宋体"/>
          <w:color w:val="auto"/>
          <w:highlight w:val="none"/>
          <w:u w:val="singl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1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①</w:t>
      </w:r>
      <w:r>
        <w:rPr>
          <w:rFonts w:hAnsi="宋体" w:cs="宋体"/>
          <w:color w:val="auto"/>
          <w:highlight w:val="none"/>
        </w:rPr>
        <w:fldChar w:fldCharType="end"/>
      </w:r>
      <w:r>
        <w:rPr>
          <w:rFonts w:hint="eastAsia" w:hAnsi="宋体" w:cs="宋体"/>
          <w:color w:val="auto"/>
          <w:highlight w:val="none"/>
          <w:u w:val="single"/>
        </w:rPr>
        <w:t>工程款原则上按月支付，工程进度款支付限额为已完成工程量的</w:t>
      </w:r>
      <w:r>
        <w:rPr>
          <w:rFonts w:hint="eastAsia" w:hAnsi="宋体" w:cs="宋体"/>
          <w:color w:val="auto"/>
          <w:highlight w:val="none"/>
          <w:u w:val="single"/>
          <w:lang w:val="en-US" w:eastAsia="zh-CN"/>
        </w:rPr>
        <w:t>90</w:t>
      </w:r>
      <w:r>
        <w:rPr>
          <w:rFonts w:hint="eastAsia" w:hAnsi="宋体" w:cs="宋体"/>
          <w:color w:val="auto"/>
          <w:highlight w:val="none"/>
          <w:u w:val="single"/>
        </w:rPr>
        <w:t>%，累计不超过合同价的</w:t>
      </w:r>
      <w:r>
        <w:rPr>
          <w:rFonts w:hint="eastAsia" w:hAnsi="宋体" w:cs="宋体"/>
          <w:color w:val="auto"/>
          <w:highlight w:val="none"/>
          <w:u w:val="single"/>
          <w:lang w:val="en-US" w:eastAsia="zh-CN"/>
        </w:rPr>
        <w:t>90</w:t>
      </w:r>
      <w:r>
        <w:rPr>
          <w:rFonts w:hint="eastAsia" w:hAnsi="宋体" w:cs="宋体"/>
          <w:color w:val="auto"/>
          <w:highlight w:val="none"/>
          <w:u w:val="single"/>
        </w:rPr>
        <w:t>%；合同外(设计变更)部分进度款支付限额为：累计增加的变更金额在合同价10%以内(含10%)按照当期计量的60%支付，累计增加的变更金额超出合同价的10%部分不进行进度款计量支付，留待工程结算时一并支付</w:t>
      </w:r>
      <w:r>
        <w:rPr>
          <w:rFonts w:hint="eastAsia" w:hAnsi="宋体" w:cs="宋体"/>
          <w:color w:val="auto"/>
          <w:highlight w:val="none"/>
          <w:u w:val="single"/>
          <w:lang w:eastAsia="zh-CN"/>
        </w:rPr>
        <w:t>。</w:t>
      </w:r>
      <w:r>
        <w:rPr>
          <w:rFonts w:hint="eastAsia" w:hAnsi="宋体" w:cs="宋体"/>
          <w:color w:val="auto"/>
          <w:highlight w:val="none"/>
          <w:u w:val="none"/>
        </w:rPr>
        <w:t>（</w:t>
      </w:r>
      <w:r>
        <w:rPr>
          <w:rFonts w:ascii="宋体" w:hAnsi="宋体" w:eastAsia="宋体" w:cs="宋体"/>
          <w:kern w:val="0"/>
          <w:sz w:val="21"/>
          <w:szCs w:val="21"/>
          <w:highlight w:val="none"/>
          <w:u w:val="none"/>
          <w:lang w:val="en-US" w:eastAsia="zh-CN" w:bidi="ar"/>
        </w:rPr>
        <w:t>政府机关、事业单位、国有企业建设工程进度款支付应不低于已完成工程价款的</w:t>
      </w:r>
      <w:r>
        <w:rPr>
          <w:rFonts w:hAnsi="宋体" w:cs="宋体"/>
          <w:color w:val="auto"/>
          <w:highlight w:val="none"/>
          <w:u w:val="none"/>
        </w:rPr>
        <w:t>80</w:t>
      </w:r>
      <w:r>
        <w:rPr>
          <w:color w:val="auto"/>
          <w:highlight w:val="none"/>
          <w:u w:val="none"/>
        </w:rPr>
        <w:t>%</w:t>
      </w:r>
      <w:r>
        <w:rPr>
          <w:rFonts w:hint="eastAsia" w:hAnsi="宋体" w:cs="宋体"/>
          <w:color w:val="auto"/>
          <w:highlight w:val="none"/>
          <w:u w:val="none"/>
        </w:rPr>
        <w:t>）</w:t>
      </w:r>
    </w:p>
    <w:p>
      <w:pPr>
        <w:spacing w:line="360" w:lineRule="auto"/>
        <w:ind w:firstLine="420" w:firstLineChars="200"/>
        <w:jc w:val="left"/>
        <w:rPr>
          <w:rFonts w:hint="eastAsia" w:hAnsi="宋体" w:cs="宋体"/>
          <w:color w:val="auto"/>
          <w:highlight w:val="none"/>
          <w:u w:val="single"/>
        </w:rPr>
      </w:pP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2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②</w:t>
      </w:r>
      <w:r>
        <w:rPr>
          <w:rFonts w:hAnsi="宋体" w:cs="宋体"/>
          <w:color w:val="auto"/>
          <w:highlight w:val="none"/>
          <w:u w:val="single"/>
        </w:rPr>
        <w:fldChar w:fldCharType="end"/>
      </w:r>
      <w:r>
        <w:rPr>
          <w:rFonts w:hint="eastAsia" w:hAnsi="宋体" w:cs="宋体"/>
          <w:color w:val="auto"/>
          <w:highlight w:val="none"/>
          <w:u w:val="single"/>
        </w:rPr>
        <w:t>工程完工验收达到质量要求，结算经业主及合同约定的财政或审计部门（如有）审定后，工程款支付至结算总价的</w:t>
      </w:r>
      <w:r>
        <w:rPr>
          <w:rFonts w:hint="eastAsia" w:hAnsi="宋体" w:cs="宋体"/>
          <w:color w:val="auto"/>
          <w:highlight w:val="none"/>
          <w:u w:val="single"/>
          <w:lang w:val="en-US" w:eastAsia="zh-CN"/>
        </w:rPr>
        <w:t>97</w:t>
      </w:r>
      <w:r>
        <w:rPr>
          <w:color w:val="auto"/>
          <w:highlight w:val="none"/>
          <w:u w:val="single"/>
        </w:rPr>
        <w:t>%</w:t>
      </w:r>
      <w:r>
        <w:rPr>
          <w:rFonts w:hint="eastAsia" w:hAnsi="宋体" w:cs="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s="宋体"/>
          <w:color w:val="auto"/>
          <w:highlight w:val="none"/>
          <w:u w:val="single"/>
        </w:rPr>
        <w:t>）。</w:t>
      </w:r>
      <w:r>
        <w:rPr>
          <w:rFonts w:hint="eastAsia" w:hAnsi="宋体" w:cs="宋体"/>
          <w:color w:val="auto"/>
          <w:highlight w:val="none"/>
          <w:u w:val="single"/>
        </w:rPr>
        <w:t>发包人按工程价款结算总额的</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u w:val="single"/>
        </w:rPr>
        <w:t>（最高不超过</w:t>
      </w:r>
      <w:r>
        <w:rPr>
          <w:rFonts w:hAnsi="宋体"/>
          <w:color w:val="auto"/>
          <w:highlight w:val="none"/>
          <w:u w:val="single"/>
        </w:rPr>
        <w:t>3%</w:t>
      </w:r>
      <w:r>
        <w:rPr>
          <w:rFonts w:hint="eastAsia" w:cs="宋体"/>
          <w:color w:val="auto"/>
          <w:highlight w:val="none"/>
          <w:u w:val="single"/>
        </w:rPr>
        <w:t>）</w:t>
      </w:r>
      <w:r>
        <w:rPr>
          <w:rFonts w:hint="eastAsia" w:hAnsi="宋体" w:cs="宋体"/>
          <w:color w:val="auto"/>
          <w:highlight w:val="none"/>
          <w:u w:val="single"/>
        </w:rPr>
        <w:t>预留工程质量保证金。</w:t>
      </w:r>
    </w:p>
    <w:p>
      <w:pPr>
        <w:spacing w:line="360" w:lineRule="auto"/>
        <w:ind w:firstLine="420" w:firstLineChars="200"/>
        <w:jc w:val="left"/>
        <w:rPr>
          <w:rFonts w:hint="eastAsia" w:hAnsi="宋体" w:cs="宋体"/>
          <w:color w:val="auto"/>
          <w:highlight w:val="none"/>
          <w:u w:val="single"/>
        </w:rPr>
      </w:pPr>
      <w:r>
        <w:rPr>
          <w:rFonts w:hint="eastAsia" w:hAnsi="宋体" w:cs="宋体"/>
          <w:color w:val="auto"/>
          <w:highlight w:val="none"/>
          <w:u w:val="single"/>
          <w:lang w:val="en-US" w:eastAsia="zh-CN"/>
        </w:rPr>
        <w:t>注：</w:t>
      </w:r>
      <w:r>
        <w:rPr>
          <w:rFonts w:hint="eastAsia" w:hAnsi="宋体" w:cs="宋体"/>
          <w:color w:val="auto"/>
          <w:highlight w:val="none"/>
          <w:u w:val="single"/>
        </w:rPr>
        <w:t>如</w:t>
      </w:r>
      <w:r>
        <w:rPr>
          <w:rFonts w:hint="eastAsia" w:hAnsi="宋体" w:cs="宋体"/>
          <w:color w:val="auto"/>
          <w:highlight w:val="none"/>
          <w:u w:val="single"/>
          <w:lang w:val="en-US" w:eastAsia="zh-CN"/>
        </w:rPr>
        <w:t>以上</w:t>
      </w: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1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①</w:t>
      </w:r>
      <w:r>
        <w:rPr>
          <w:rFonts w:hAnsi="宋体" w:cs="宋体"/>
          <w:color w:val="auto"/>
          <w:highlight w:val="none"/>
          <w:u w:val="single"/>
        </w:rPr>
        <w:fldChar w:fldCharType="end"/>
      </w: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2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②</w:t>
      </w:r>
      <w:r>
        <w:rPr>
          <w:rFonts w:hAnsi="宋体" w:cs="宋体"/>
          <w:color w:val="auto"/>
          <w:highlight w:val="none"/>
          <w:u w:val="single"/>
        </w:rPr>
        <w:fldChar w:fldCharType="end"/>
      </w:r>
      <w:r>
        <w:rPr>
          <w:rFonts w:hint="eastAsia" w:hAnsi="宋体" w:cs="宋体"/>
          <w:color w:val="auto"/>
          <w:highlight w:val="none"/>
          <w:u w:val="single"/>
          <w:lang w:val="en-US" w:eastAsia="zh-CN"/>
        </w:rPr>
        <w:t>付款</w:t>
      </w:r>
      <w:r>
        <w:rPr>
          <w:rFonts w:hint="eastAsia" w:hAnsi="宋体" w:cs="宋体"/>
          <w:color w:val="auto"/>
          <w:highlight w:val="none"/>
          <w:u w:val="single"/>
        </w:rPr>
        <w:t>与南宁市江南区衔接推进乡村振兴补助资金管理办法支付要求不一致的，按照南宁市江南区衔接推进乡村振兴补助资金管理办法支付要求为准。</w:t>
      </w:r>
    </w:p>
    <w:p>
      <w:pPr>
        <w:spacing w:line="360" w:lineRule="auto"/>
        <w:ind w:firstLine="420" w:firstLineChars="200"/>
        <w:jc w:val="left"/>
        <w:rPr>
          <w:rFonts w:hint="eastAsia"/>
          <w:color w:val="auto"/>
          <w:highlight w:val="none"/>
        </w:rPr>
      </w:pPr>
      <w:r>
        <w:rPr>
          <w:rFonts w:hAnsi="宋体" w:cs="宋体"/>
          <w:color w:val="auto"/>
          <w:highlight w:val="none"/>
          <w:u w:val="single"/>
        </w:rPr>
        <w:fldChar w:fldCharType="begin"/>
      </w:r>
      <w:r>
        <w:rPr>
          <w:rFonts w:hAnsi="宋体" w:cs="宋体"/>
          <w:color w:val="auto"/>
          <w:highlight w:val="none"/>
          <w:u w:val="single"/>
        </w:rPr>
        <w:instrText xml:space="preserve"> </w:instrText>
      </w:r>
      <w:r>
        <w:rPr>
          <w:rFonts w:hint="eastAsia" w:hAnsi="宋体" w:cs="宋体"/>
          <w:color w:val="auto"/>
          <w:highlight w:val="none"/>
          <w:u w:val="single"/>
        </w:rPr>
        <w:instrText xml:space="preserve">= 3 \* GB3</w:instrText>
      </w:r>
      <w:r>
        <w:rPr>
          <w:rFonts w:hAnsi="宋体" w:cs="宋体"/>
          <w:color w:val="auto"/>
          <w:highlight w:val="none"/>
          <w:u w:val="single"/>
        </w:rPr>
        <w:instrText xml:space="preserve"> </w:instrText>
      </w:r>
      <w:r>
        <w:rPr>
          <w:rFonts w:hAnsi="宋体" w:cs="宋体"/>
          <w:color w:val="auto"/>
          <w:highlight w:val="none"/>
          <w:u w:val="single"/>
        </w:rPr>
        <w:fldChar w:fldCharType="separate"/>
      </w:r>
      <w:r>
        <w:rPr>
          <w:rFonts w:hint="eastAsia" w:hAnsi="宋体" w:cs="宋体"/>
          <w:color w:val="auto"/>
          <w:highlight w:val="none"/>
          <w:u w:val="single"/>
        </w:rPr>
        <w:t>③</w:t>
      </w:r>
      <w:r>
        <w:rPr>
          <w:rFonts w:hAnsi="宋体" w:cs="宋体"/>
          <w:color w:val="auto"/>
          <w:highlight w:val="none"/>
          <w:u w:val="single"/>
        </w:rPr>
        <w:fldChar w:fldCharType="end"/>
      </w:r>
      <w:r>
        <w:rPr>
          <w:rFonts w:hint="eastAsia" w:hAnsi="宋体" w:cs="宋体"/>
          <w:color w:val="auto"/>
          <w:highlight w:val="none"/>
          <w:u w:val="single"/>
        </w:rPr>
        <w:t>合同约定的工程质量缺陷责任期（最长不超过2年）满后由承包人向发包人提出返还保证金的申请，</w:t>
      </w:r>
      <w:r>
        <w:rPr>
          <w:rFonts w:hAnsi="宋体" w:cs="宋体"/>
          <w:color w:val="auto"/>
          <w:highlight w:val="none"/>
          <w:u w:val="single"/>
        </w:rPr>
        <w:t>发包人</w:t>
      </w:r>
      <w:r>
        <w:rPr>
          <w:rFonts w:hint="eastAsia" w:hAnsi="宋体" w:cs="宋体"/>
          <w:color w:val="auto"/>
          <w:highlight w:val="none"/>
          <w:u w:val="single"/>
        </w:rPr>
        <w:t>在</w:t>
      </w:r>
      <w:r>
        <w:rPr>
          <w:rFonts w:hAnsi="宋体" w:cs="宋体"/>
          <w:color w:val="auto"/>
          <w:highlight w:val="none"/>
          <w:u w:val="single"/>
        </w:rPr>
        <w:t>接到承包人返还保证金申请后，于</w:t>
      </w:r>
      <w:r>
        <w:rPr>
          <w:rFonts w:hint="eastAsia" w:hAnsi="宋体" w:cs="宋体"/>
          <w:color w:val="auto"/>
          <w:highlight w:val="none"/>
          <w:u w:val="single"/>
        </w:rPr>
        <w:t>14天</w:t>
      </w:r>
      <w:r>
        <w:rPr>
          <w:rFonts w:hAnsi="宋体" w:cs="宋体"/>
          <w:color w:val="auto"/>
          <w:highlight w:val="none"/>
          <w:u w:val="single"/>
        </w:rPr>
        <w:t>内会同承包人按照合同约定的内容进行核实。如</w:t>
      </w:r>
      <w:r>
        <w:rPr>
          <w:rFonts w:hint="eastAsia" w:hAnsi="宋体" w:cs="宋体"/>
          <w:color w:val="auto"/>
          <w:highlight w:val="none"/>
          <w:u w:val="single"/>
        </w:rPr>
        <w:t>无异</w:t>
      </w:r>
      <w:r>
        <w:rPr>
          <w:rFonts w:hAnsi="宋体" w:cs="宋体"/>
          <w:color w:val="auto"/>
          <w:highlight w:val="none"/>
          <w:u w:val="single"/>
        </w:rPr>
        <w:t>议，发包人在核实后</w:t>
      </w:r>
      <w:r>
        <w:rPr>
          <w:rFonts w:hint="eastAsia" w:hAnsi="宋体" w:cs="宋体"/>
          <w:color w:val="auto"/>
          <w:highlight w:val="none"/>
          <w:u w:val="single"/>
        </w:rPr>
        <w:t>14天</w:t>
      </w:r>
      <w:r>
        <w:rPr>
          <w:rFonts w:hAnsi="宋体" w:cs="宋体"/>
          <w:color w:val="auto"/>
          <w:highlight w:val="none"/>
          <w:u w:val="single"/>
        </w:rPr>
        <w:t>内将保证金</w:t>
      </w:r>
      <w:r>
        <w:rPr>
          <w:rFonts w:hint="eastAsia" w:hAnsi="宋体" w:cs="宋体"/>
          <w:color w:val="auto"/>
          <w:highlight w:val="none"/>
          <w:u w:val="single"/>
        </w:rPr>
        <w:t>返还承包</w:t>
      </w:r>
      <w:r>
        <w:rPr>
          <w:rFonts w:hAnsi="宋体" w:cs="宋体"/>
          <w:color w:val="auto"/>
          <w:highlight w:val="none"/>
          <w:u w:val="single"/>
        </w:rPr>
        <w:t>人，逾期未返还的，依法承</w:t>
      </w:r>
      <w:r>
        <w:rPr>
          <w:rFonts w:hint="eastAsia" w:hAnsi="宋体" w:cs="宋体"/>
          <w:color w:val="auto"/>
          <w:highlight w:val="none"/>
          <w:u w:val="single"/>
        </w:rPr>
        <w:t>担</w:t>
      </w:r>
      <w:r>
        <w:rPr>
          <w:rFonts w:hAnsi="宋体" w:cs="宋体"/>
          <w:color w:val="auto"/>
          <w:highlight w:val="none"/>
          <w:u w:val="single"/>
        </w:rPr>
        <w:t>违约责任</w:t>
      </w:r>
      <w:r>
        <w:rPr>
          <w:rFonts w:hint="eastAsia" w:hAnsi="宋体" w:cs="宋体"/>
          <w:color w:val="auto"/>
          <w:highlight w:val="none"/>
          <w:u w:val="single"/>
        </w:rPr>
        <w:t>。发</w:t>
      </w:r>
      <w:r>
        <w:rPr>
          <w:rFonts w:hAnsi="宋体" w:cs="宋体"/>
          <w:color w:val="auto"/>
          <w:highlight w:val="none"/>
          <w:u w:val="single"/>
        </w:rPr>
        <w:t>包人在接到承包人返还保证金申请后</w:t>
      </w:r>
      <w:r>
        <w:rPr>
          <w:rFonts w:hint="eastAsia" w:hAnsi="宋体" w:cs="宋体"/>
          <w:color w:val="auto"/>
          <w:highlight w:val="none"/>
          <w:u w:val="single"/>
        </w:rPr>
        <w:t>14天</w:t>
      </w:r>
      <w:r>
        <w:rPr>
          <w:rFonts w:hAnsi="宋体" w:cs="宋体"/>
          <w:color w:val="auto"/>
          <w:highlight w:val="none"/>
          <w:u w:val="single"/>
        </w:rPr>
        <w:t>内不予答复，经催告后</w:t>
      </w:r>
      <w:r>
        <w:rPr>
          <w:rFonts w:hint="eastAsia" w:hAnsi="宋体" w:cs="宋体"/>
          <w:color w:val="auto"/>
          <w:highlight w:val="none"/>
          <w:u w:val="single"/>
        </w:rPr>
        <w:t>14天</w:t>
      </w:r>
      <w:r>
        <w:rPr>
          <w:rFonts w:hAnsi="宋体" w:cs="宋体"/>
          <w:color w:val="auto"/>
          <w:highlight w:val="none"/>
          <w:u w:val="single"/>
        </w:rPr>
        <w:t>内仍不</w:t>
      </w:r>
      <w:r>
        <w:rPr>
          <w:rFonts w:hint="eastAsia" w:hAnsi="宋体" w:cs="宋体"/>
          <w:color w:val="auto"/>
          <w:highlight w:val="none"/>
          <w:u w:val="single"/>
        </w:rPr>
        <w:t>予</w:t>
      </w:r>
      <w:r>
        <w:rPr>
          <w:rFonts w:hAnsi="宋体" w:cs="宋体"/>
          <w:color w:val="auto"/>
          <w:highlight w:val="none"/>
          <w:u w:val="single"/>
        </w:rPr>
        <w:t>答复，</w:t>
      </w:r>
      <w:r>
        <w:rPr>
          <w:rFonts w:hint="eastAsia" w:hAnsi="宋体" w:cs="宋体"/>
          <w:color w:val="auto"/>
          <w:highlight w:val="none"/>
          <w:u w:val="single"/>
        </w:rPr>
        <w:t>视</w:t>
      </w:r>
      <w:r>
        <w:rPr>
          <w:rFonts w:hAnsi="宋体" w:cs="宋体"/>
          <w:color w:val="auto"/>
          <w:highlight w:val="none"/>
          <w:u w:val="single"/>
        </w:rPr>
        <w:t>同认可承包人的返还保证金申请。</w:t>
      </w:r>
    </w:p>
    <w:p>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rFonts w:hint="eastAsia"/>
          <w:color w:val="auto"/>
          <w:highlight w:val="none"/>
          <w:u w:val="single"/>
        </w:rPr>
        <w:t xml:space="preserve">  按发包人要求版本进行编制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1</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r>
        <w:rPr>
          <w:color w:val="auto"/>
          <w:highlight w:val="none"/>
        </w:rPr>
        <w:t xml:space="preserve">2.4.3 </w:t>
      </w:r>
      <w:r>
        <w:rPr>
          <w:rFonts w:hint="eastAsia" w:hAnsi="宋体" w:cs="宋体"/>
          <w:color w:val="auto"/>
          <w:highlight w:val="none"/>
        </w:rPr>
        <w:t>进度付款申请单的提交</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rFonts w:ascii="宋体" w:hAnsi="宋体" w:eastAsia="宋体" w:cs="宋体"/>
          <w:color w:val="auto"/>
          <w:spacing w:val="0"/>
          <w:highlight w:val="none"/>
          <w:u w:val="single"/>
        </w:rPr>
        <w:t xml:space="preserve"> 承包人应配合发包人提供以下资料：①工程项目资金申请审批表；②监理支付凭证；③工程量计量报表；④《施工形象进度现场核实表》；⑤新增项目需提交审核后的新增预算书；⑥合同复印件；⑦经监理单位确认的工程质保证明</w:t>
      </w:r>
      <w:r>
        <w:rPr>
          <w:rFonts w:ascii="宋体" w:hAnsi="宋体" w:eastAsia="宋体" w:cs="宋体"/>
          <w:color w:val="auto"/>
          <w:highlight w:val="none"/>
          <w:u w:val="single"/>
        </w:rPr>
        <w:t>材</w:t>
      </w:r>
      <w:r>
        <w:rPr>
          <w:rFonts w:ascii="宋体" w:hAnsi="宋体" w:eastAsia="宋体" w:cs="宋体"/>
          <w:color w:val="auto"/>
          <w:spacing w:val="0"/>
          <w:highlight w:val="none"/>
          <w:u w:val="single"/>
        </w:rPr>
        <w:t>料；⑧开具与应付金额等额的发包人指定的增值税发票；⑨发包人要求的其他材料或其他需</w:t>
      </w:r>
      <w:r>
        <w:rPr>
          <w:rFonts w:ascii="宋体" w:hAnsi="宋体" w:eastAsia="宋体" w:cs="宋体"/>
          <w:color w:val="auto"/>
          <w:highlight w:val="none"/>
          <w:u w:val="single"/>
        </w:rPr>
        <w:t>要</w:t>
      </w:r>
      <w:r>
        <w:rPr>
          <w:rFonts w:ascii="宋体" w:hAnsi="宋体" w:eastAsia="宋体" w:cs="宋体"/>
          <w:color w:val="auto"/>
          <w:spacing w:val="0"/>
          <w:highlight w:val="none"/>
          <w:u w:val="single"/>
        </w:rPr>
        <w:t>补充说明的</w:t>
      </w:r>
      <w:r>
        <w:rPr>
          <w:rFonts w:ascii="宋体" w:hAnsi="宋体" w:eastAsia="宋体" w:cs="宋体"/>
          <w:color w:val="auto"/>
          <w:highlight w:val="none"/>
          <w:u w:val="single"/>
        </w:rPr>
        <w:t xml:space="preserve">材料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ascii="宋体" w:hAnsi="宋体" w:eastAsia="宋体" w:cs="宋体"/>
          <w:color w:val="auto"/>
          <w:spacing w:val="0"/>
          <w:highlight w:val="none"/>
          <w:u w:val="single"/>
        </w:rPr>
        <w:t xml:space="preserve"> 监理人应在收到承包人进度付款申请单以及相关资料后</w:t>
      </w:r>
      <w:r>
        <w:rPr>
          <w:rFonts w:ascii="Calibri" w:hAnsi="Calibri" w:eastAsia="Calibri" w:cs="Calibri"/>
          <w:color w:val="auto"/>
          <w:spacing w:val="0"/>
          <w:highlight w:val="none"/>
          <w:u w:val="single"/>
        </w:rPr>
        <w:t>3</w:t>
      </w:r>
      <w:r>
        <w:rPr>
          <w:rFonts w:ascii="宋体" w:hAnsi="宋体" w:eastAsia="宋体" w:cs="宋体"/>
          <w:color w:val="auto"/>
          <w:highlight w:val="none"/>
          <w:u w:val="single"/>
        </w:rPr>
        <w:t xml:space="preserve">天内完成审查并报送发包人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rFonts w:ascii="宋体" w:hAnsi="宋体" w:eastAsia="宋体" w:cs="宋体"/>
          <w:color w:val="auto"/>
          <w:spacing w:val="0"/>
          <w:highlight w:val="none"/>
          <w:u w:val="single"/>
        </w:rPr>
        <w:t xml:space="preserve"> 发包人应在收到后 </w:t>
      </w:r>
      <w:r>
        <w:rPr>
          <w:rFonts w:ascii="Calibri" w:hAnsi="Calibri" w:eastAsia="Calibri" w:cs="Calibri"/>
          <w:color w:val="auto"/>
          <w:spacing w:val="0"/>
          <w:highlight w:val="none"/>
          <w:u w:val="single"/>
        </w:rPr>
        <w:t xml:space="preserve">15 </w:t>
      </w:r>
      <w:r>
        <w:rPr>
          <w:rFonts w:ascii="宋体" w:hAnsi="宋体" w:eastAsia="宋体" w:cs="宋体"/>
          <w:color w:val="auto"/>
          <w:spacing w:val="0"/>
          <w:highlight w:val="none"/>
          <w:u w:val="single"/>
        </w:rPr>
        <w:t xml:space="preserve">天内完成审批并签发进度款支付证书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rFonts w:ascii="宋体" w:hAnsi="宋体" w:eastAsia="宋体" w:cs="宋体"/>
          <w:color w:val="auto"/>
          <w:spacing w:val="0"/>
          <w:highlight w:val="none"/>
          <w:u w:val="single"/>
        </w:rPr>
        <w:t xml:space="preserve"> 收到承包人递交的申请单并报送财政审核通过后</w:t>
      </w:r>
      <w:r>
        <w:rPr>
          <w:rFonts w:ascii="Calibri" w:hAnsi="Calibri" w:eastAsia="Calibri" w:cs="Calibri"/>
          <w:color w:val="auto"/>
          <w:highlight w:val="none"/>
          <w:u w:val="single"/>
        </w:rPr>
        <w:t>15</w:t>
      </w:r>
      <w:r>
        <w:rPr>
          <w:rFonts w:ascii="宋体" w:hAnsi="宋体" w:eastAsia="宋体" w:cs="宋体"/>
          <w:color w:val="auto"/>
          <w:highlight w:val="none"/>
          <w:u w:val="single"/>
        </w:rPr>
        <w:t>个工作日内(注：资金支付需要财政审核，承包人需提供相关结算资料报发包人，由发包人向</w:t>
      </w:r>
      <w:r>
        <w:rPr>
          <w:rFonts w:ascii="宋体" w:hAnsi="宋体" w:eastAsia="宋体" w:cs="宋体"/>
          <w:color w:val="auto"/>
          <w:spacing w:val="0"/>
          <w:highlight w:val="none"/>
          <w:u w:val="single"/>
        </w:rPr>
        <w:t>财政申请资金支付审核，审核通过后</w:t>
      </w:r>
      <w:r>
        <w:rPr>
          <w:rFonts w:ascii="Calibri" w:hAnsi="Calibri" w:eastAsia="Calibri" w:cs="Calibri"/>
          <w:color w:val="auto"/>
          <w:spacing w:val="0"/>
          <w:highlight w:val="none"/>
          <w:u w:val="single"/>
        </w:rPr>
        <w:t>15</w:t>
      </w:r>
      <w:r>
        <w:rPr>
          <w:rFonts w:ascii="宋体" w:hAnsi="宋体" w:eastAsia="宋体" w:cs="宋体"/>
          <w:color w:val="auto"/>
          <w:spacing w:val="0"/>
          <w:highlight w:val="none"/>
          <w:u w:val="single"/>
        </w:rPr>
        <w:t xml:space="preserve">个工作日内，由发包人支付给承包人) </w:t>
      </w:r>
      <w:r>
        <w:rPr>
          <w:rFonts w:hint="eastAsia" w:hAnsi="宋体" w:cs="宋体"/>
          <w:color w:val="auto"/>
          <w:highlight w:val="none"/>
        </w:rPr>
        <w:t>。</w:t>
      </w:r>
    </w:p>
    <w:p>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3）发包人依据工程进度，审核承包人申报的工程进度款，按照与承包人约定的人工费支付比例 </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     </w:t>
      </w:r>
      <w:r>
        <w:rPr>
          <w:rFonts w:hint="eastAsia" w:hAnsi="宋体" w:cs="宋体"/>
          <w:color w:val="auto"/>
          <w:kern w:val="0"/>
          <w:highlight w:val="none"/>
        </w:rPr>
        <w:t>。</w:t>
      </w:r>
    </w:p>
    <w:p>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r>
        <w:rPr>
          <w:rFonts w:hint="eastAsia"/>
          <w:color w:val="auto"/>
          <w:highlight w:val="none"/>
          <w:u w:val="single"/>
          <w:lang w:val="en-US" w:eastAsia="zh-CN"/>
        </w:rPr>
        <w:t xml:space="preserve"> </w:t>
      </w:r>
      <w:r>
        <w:rPr>
          <w:rFonts w:hint="eastAsia"/>
          <w:color w:val="auto"/>
          <w:highlight w:val="none"/>
          <w:u w:val="none"/>
        </w:rPr>
        <w:t>。</w:t>
      </w:r>
    </w:p>
    <w:p>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925"/>
    <w:p>
      <w:pPr>
        <w:pStyle w:val="3"/>
        <w:rPr>
          <w:color w:val="auto"/>
          <w:highlight w:val="none"/>
        </w:rPr>
      </w:pPr>
      <w:bookmarkStart w:id="1204" w:name="_Toc2003466256"/>
      <w:bookmarkStart w:id="1205" w:name="_Toc389065318"/>
      <w:bookmarkStart w:id="1206" w:name="_Toc373478400"/>
      <w:bookmarkStart w:id="1207" w:name="_Toc373227753"/>
      <w:bookmarkStart w:id="1208" w:name="_Toc407135256"/>
      <w:bookmarkStart w:id="1209" w:name="_Toc78449842"/>
      <w:bookmarkStart w:id="1210" w:name="_Toc27098"/>
      <w:bookmarkStart w:id="1211" w:name="_Toc728899116"/>
      <w:bookmarkStart w:id="1212" w:name="_Toc351203645"/>
      <w:bookmarkStart w:id="1213" w:name="_Toc6828"/>
      <w:bookmarkStart w:id="1214" w:name="_Toc296944558"/>
      <w:bookmarkStart w:id="1215" w:name="_Toc297048405"/>
      <w:bookmarkStart w:id="1216" w:name="_Toc303539172"/>
      <w:bookmarkStart w:id="1217" w:name="_Toc312678053"/>
      <w:bookmarkStart w:id="1218" w:name="_Toc297120519"/>
      <w:bookmarkStart w:id="1219" w:name="_Toc296503219"/>
      <w:bookmarkStart w:id="1220" w:name="_Toc296891259"/>
      <w:bookmarkStart w:id="1221" w:name="_Toc297123564"/>
      <w:bookmarkStart w:id="1222" w:name="_Toc296347218"/>
      <w:bookmarkStart w:id="1223" w:name="_Toc304295593"/>
      <w:bookmarkStart w:id="1224" w:name="_Toc292559424"/>
      <w:bookmarkStart w:id="1225" w:name="_Toc296346720"/>
      <w:bookmarkStart w:id="1226" w:name="_Toc296891047"/>
      <w:bookmarkStart w:id="1227" w:name="_Toc297216223"/>
      <w:bookmarkStart w:id="1228" w:name="_Toc292559929"/>
      <w:bookmarkStart w:id="1229" w:name="_Toc300935015"/>
      <w:r>
        <w:rPr>
          <w:color w:val="auto"/>
          <w:highlight w:val="none"/>
        </w:rPr>
        <w:t xml:space="preserve">13. </w:t>
      </w:r>
      <w:r>
        <w:rPr>
          <w:rFonts w:hint="eastAsia" w:cs="黑体"/>
          <w:color w:val="auto"/>
          <w:highlight w:val="none"/>
        </w:rPr>
        <w:t>验收和工程试车</w:t>
      </w:r>
      <w:bookmarkEnd w:id="1204"/>
      <w:bookmarkEnd w:id="1205"/>
      <w:bookmarkEnd w:id="1206"/>
      <w:bookmarkEnd w:id="1207"/>
      <w:bookmarkEnd w:id="1208"/>
      <w:bookmarkEnd w:id="1209"/>
      <w:bookmarkEnd w:id="1210"/>
      <w:bookmarkEnd w:id="1211"/>
      <w:bookmarkEnd w:id="1212"/>
      <w:bookmarkEnd w:id="1213"/>
    </w:p>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Pr>
        <w:pStyle w:val="4"/>
        <w:rPr>
          <w:color w:val="auto"/>
          <w:highlight w:val="none"/>
        </w:rPr>
      </w:pPr>
      <w:bookmarkStart w:id="1230" w:name="_Toc78449843"/>
      <w:bookmarkStart w:id="1231" w:name="_Toc7433"/>
      <w:bookmarkStart w:id="1232" w:name="_Toc834489126"/>
      <w:bookmarkStart w:id="1233" w:name="_Toc373227754"/>
      <w:bookmarkStart w:id="1234" w:name="_Toc407135257"/>
      <w:bookmarkStart w:id="1235" w:name="_Toc389065319"/>
      <w:bookmarkStart w:id="1236" w:name="_Toc373478401"/>
      <w:bookmarkStart w:id="1237" w:name="_Toc740353520"/>
      <w:r>
        <w:rPr>
          <w:color w:val="auto"/>
          <w:highlight w:val="none"/>
        </w:rPr>
        <w:t xml:space="preserve">13.1 </w:t>
      </w:r>
      <w:r>
        <w:rPr>
          <w:rFonts w:hint="eastAsia" w:cs="黑体"/>
          <w:color w:val="auto"/>
          <w:highlight w:val="none"/>
        </w:rPr>
        <w:t>分部分项工程验收</w:t>
      </w:r>
      <w:bookmarkEnd w:id="1230"/>
      <w:bookmarkEnd w:id="1231"/>
      <w:bookmarkEnd w:id="1232"/>
      <w:bookmarkEnd w:id="1233"/>
      <w:bookmarkEnd w:id="1234"/>
      <w:bookmarkEnd w:id="1235"/>
      <w:bookmarkEnd w:id="1236"/>
      <w:bookmarkEnd w:id="1237"/>
    </w:p>
    <w:p>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pPr>
        <w:pStyle w:val="4"/>
        <w:rPr>
          <w:color w:val="auto"/>
          <w:highlight w:val="none"/>
        </w:rPr>
      </w:pPr>
      <w:bookmarkStart w:id="1238" w:name="_Toc389065320"/>
      <w:bookmarkStart w:id="1239" w:name="_Toc1578431234"/>
      <w:bookmarkStart w:id="1240" w:name="_Toc1062221039"/>
      <w:bookmarkStart w:id="1241" w:name="_Toc407135258"/>
      <w:bookmarkStart w:id="1242" w:name="_Toc78449844"/>
      <w:bookmarkStart w:id="1243" w:name="_Toc373227755"/>
      <w:bookmarkStart w:id="1244" w:name="_Toc373478402"/>
      <w:bookmarkStart w:id="1245" w:name="_Toc12075"/>
      <w:bookmarkStart w:id="1246" w:name="_Toc297120523"/>
      <w:bookmarkStart w:id="1247" w:name="_Toc296503223"/>
      <w:bookmarkStart w:id="1248" w:name="_Toc296944562"/>
      <w:bookmarkStart w:id="1249" w:name="_Toc292559428"/>
      <w:bookmarkStart w:id="1250" w:name="_Toc296891051"/>
      <w:bookmarkStart w:id="1251" w:name="_Toc303539173"/>
      <w:bookmarkStart w:id="1252" w:name="_Toc296347222"/>
      <w:bookmarkStart w:id="1253" w:name="_Toc296891263"/>
      <w:bookmarkStart w:id="1254" w:name="_Toc297048409"/>
      <w:bookmarkStart w:id="1255" w:name="_Toc312678056"/>
      <w:bookmarkStart w:id="1256" w:name="_Toc292559933"/>
      <w:bookmarkStart w:id="1257" w:name="_Toc297216224"/>
      <w:bookmarkStart w:id="1258" w:name="_Toc296346724"/>
      <w:bookmarkStart w:id="1259" w:name="_Toc300935016"/>
      <w:bookmarkStart w:id="1260" w:name="_Toc304295596"/>
      <w:bookmarkStart w:id="1261" w:name="_Toc297123565"/>
      <w:bookmarkStart w:id="1262" w:name="_Toc267251472"/>
      <w:bookmarkStart w:id="1263" w:name="_Toc267251476"/>
      <w:bookmarkStart w:id="1264" w:name="_Toc267251474"/>
      <w:bookmarkStart w:id="1265" w:name="_Toc267251471"/>
      <w:bookmarkStart w:id="1266" w:name="_Toc267251473"/>
      <w:bookmarkStart w:id="1267" w:name="_Toc267251475"/>
      <w:bookmarkStart w:id="1268" w:name="_Toc267251470"/>
      <w:r>
        <w:rPr>
          <w:color w:val="auto"/>
          <w:highlight w:val="none"/>
        </w:rPr>
        <w:t xml:space="preserve">13.2 </w:t>
      </w:r>
      <w:r>
        <w:rPr>
          <w:rFonts w:hint="eastAsia" w:hAnsi="宋体" w:cs="黑体"/>
          <w:color w:val="auto"/>
          <w:highlight w:val="none"/>
        </w:rPr>
        <w:t>竣工验收</w:t>
      </w:r>
      <w:bookmarkEnd w:id="1238"/>
      <w:bookmarkEnd w:id="1239"/>
      <w:bookmarkEnd w:id="1240"/>
      <w:bookmarkEnd w:id="1241"/>
      <w:bookmarkEnd w:id="1242"/>
      <w:bookmarkEnd w:id="1243"/>
      <w:bookmarkEnd w:id="1244"/>
      <w:bookmarkEnd w:id="1245"/>
    </w:p>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pPr>
        <w:spacing w:line="360" w:lineRule="auto"/>
        <w:ind w:firstLine="420" w:firstLineChars="200"/>
        <w:jc w:val="left"/>
        <w:rPr>
          <w:color w:val="auto"/>
          <w:highlight w:val="none"/>
        </w:rPr>
      </w:pPr>
      <w:bookmarkStart w:id="1269" w:name="_Toc280868704"/>
      <w:bookmarkStart w:id="1270" w:name="_Toc280868705"/>
      <w:bookmarkStart w:id="1271" w:name="_Toc280868706"/>
      <w:bookmarkStart w:id="1272" w:name="_Toc280868707"/>
      <w:bookmarkStart w:id="1273" w:name="_Toc280868708"/>
      <w:bookmarkStart w:id="1274" w:name="_Toc280868709"/>
      <w:r>
        <w:rPr>
          <w:color w:val="auto"/>
          <w:highlight w:val="none"/>
        </w:rPr>
        <w:t>13.2.1</w:t>
      </w:r>
      <w:r>
        <w:rPr>
          <w:rFonts w:hint="eastAsia" w:hAnsi="宋体" w:cs="宋体"/>
          <w:color w:val="auto"/>
          <w:highlight w:val="none"/>
        </w:rPr>
        <w:t>竣工验收条件</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rFonts w:hint="eastAsia"/>
          <w:color w:val="auto"/>
          <w:highlight w:val="none"/>
          <w:u w:val="single"/>
        </w:rPr>
        <w:t xml:space="preserve"> 按通用条款 13.2.1  条及施工竣工图、设计变更、施工日记、各项质保资料及相关竣工资料等满足发包人要求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6 套</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天，提供竣工图的数量分别为</w:t>
      </w:r>
      <w:r>
        <w:rPr>
          <w:color w:val="auto"/>
          <w:highlight w:val="none"/>
          <w:u w:val="single"/>
        </w:rPr>
        <w:t>6</w:t>
      </w:r>
      <w:r>
        <w:rPr>
          <w:rFonts w:hint="eastAsia" w:hAnsi="宋体" w:cs="宋体"/>
          <w:color w:val="auto"/>
          <w:highlight w:val="none"/>
          <w:u w:val="single"/>
        </w:rPr>
        <w:t>套。</w:t>
      </w:r>
    </w:p>
    <w:p>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269"/>
    <w:p>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rFonts w:ascii="宋体" w:hAnsi="宋体" w:eastAsia="宋体" w:cs="宋体"/>
          <w:color w:val="auto"/>
          <w:spacing w:val="0"/>
          <w:highlight w:val="none"/>
          <w:u w:val="single"/>
        </w:rPr>
        <w:t xml:space="preserve"> 按通用条款执行 </w:t>
      </w:r>
      <w:r>
        <w:rPr>
          <w:rFonts w:hint="eastAsia" w:hAnsi="宋体" w:cs="宋体"/>
          <w:color w:val="auto"/>
          <w:highlight w:val="none"/>
        </w:rPr>
        <w:t>。</w:t>
      </w:r>
    </w:p>
    <w:p>
      <w:pPr>
        <w:spacing w:line="360" w:lineRule="auto"/>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70"/>
    <w:p>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271"/>
    <w:p>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颁发工程接收合格证书后 7 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72"/>
    <w:p>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承包人应承担工程照管、成品保护、保管等与工程有关的各项费用，每逾期一天，承包人向发包人支付0.5万/天，总金额不超过10万元</w:t>
      </w:r>
      <w:r>
        <w:rPr>
          <w:color w:val="auto"/>
          <w:highlight w:val="none"/>
          <w:u w:val="single"/>
        </w:rPr>
        <w:t xml:space="preserve"> </w:t>
      </w:r>
      <w:r>
        <w:rPr>
          <w:rFonts w:hint="eastAsia" w:hAnsi="宋体" w:cs="宋体"/>
          <w:color w:val="auto"/>
          <w:highlight w:val="none"/>
        </w:rPr>
        <w:t>。</w:t>
      </w:r>
    </w:p>
    <w:p>
      <w:pPr>
        <w:pStyle w:val="4"/>
        <w:rPr>
          <w:color w:val="auto"/>
          <w:highlight w:val="none"/>
        </w:rPr>
      </w:pPr>
      <w:bookmarkStart w:id="1275" w:name="_Toc389065321"/>
      <w:bookmarkStart w:id="1276" w:name="_Toc1470255881"/>
      <w:bookmarkStart w:id="1277" w:name="_Toc407135259"/>
      <w:bookmarkStart w:id="1278" w:name="_Toc373478403"/>
      <w:bookmarkStart w:id="1279" w:name="_Toc1003"/>
      <w:bookmarkStart w:id="1280" w:name="_Toc78449845"/>
      <w:bookmarkStart w:id="1281" w:name="_Toc2090321864"/>
      <w:bookmarkStart w:id="1282" w:name="_Toc373227756"/>
      <w:r>
        <w:rPr>
          <w:color w:val="auto"/>
          <w:highlight w:val="none"/>
        </w:rPr>
        <w:t xml:space="preserve">13.3 </w:t>
      </w:r>
      <w:r>
        <w:rPr>
          <w:rFonts w:hint="eastAsia" w:hAnsi="宋体" w:cs="黑体"/>
          <w:color w:val="auto"/>
          <w:highlight w:val="none"/>
        </w:rPr>
        <w:t>工程试车</w:t>
      </w:r>
      <w:bookmarkEnd w:id="1275"/>
      <w:bookmarkEnd w:id="1276"/>
      <w:bookmarkEnd w:id="1277"/>
      <w:bookmarkEnd w:id="1278"/>
      <w:bookmarkEnd w:id="1279"/>
      <w:bookmarkEnd w:id="1280"/>
      <w:bookmarkEnd w:id="1281"/>
      <w:bookmarkEnd w:id="1282"/>
    </w:p>
    <w:bookmarkEnd w:id="1273"/>
    <w:p>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按通用条款 13.3.1  条执行</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rFonts w:hint="eastAsia" w:hAnsi="宋体" w:cs="宋体"/>
          <w:color w:val="auto"/>
          <w:kern w:val="0"/>
          <w:highlight w:val="none"/>
          <w:u w:val="single"/>
        </w:rPr>
        <w:t xml:space="preserve"> 按通用条款第 13.3 条执行 </w:t>
      </w:r>
      <w:r>
        <w:rPr>
          <w:rFonts w:hint="eastAsia" w:hAnsi="宋体" w:cs="宋体"/>
          <w:color w:val="auto"/>
          <w:highlight w:val="none"/>
        </w:rPr>
        <w:t>。</w:t>
      </w:r>
    </w:p>
    <w:p>
      <w:pPr>
        <w:pStyle w:val="4"/>
        <w:rPr>
          <w:color w:val="auto"/>
          <w:highlight w:val="none"/>
        </w:rPr>
      </w:pPr>
      <w:bookmarkStart w:id="1283" w:name="_Toc389065322"/>
      <w:bookmarkStart w:id="1284" w:name="_Toc550030550"/>
      <w:bookmarkStart w:id="1285" w:name="_Toc373227757"/>
      <w:bookmarkStart w:id="1286" w:name="_Toc31142"/>
      <w:bookmarkStart w:id="1287" w:name="_Toc373478404"/>
      <w:bookmarkStart w:id="1288" w:name="_Toc10307455"/>
      <w:bookmarkStart w:id="1289" w:name="_Toc407135260"/>
      <w:bookmarkStart w:id="1290" w:name="_Toc78449846"/>
      <w:r>
        <w:rPr>
          <w:color w:val="auto"/>
          <w:highlight w:val="none"/>
        </w:rPr>
        <w:t xml:space="preserve">13.6 </w:t>
      </w:r>
      <w:r>
        <w:rPr>
          <w:rFonts w:hint="eastAsia" w:hAnsi="宋体" w:cs="黑体"/>
          <w:color w:val="auto"/>
          <w:highlight w:val="none"/>
        </w:rPr>
        <w:t>竣工退场</w:t>
      </w:r>
      <w:bookmarkEnd w:id="1283"/>
      <w:bookmarkEnd w:id="1284"/>
      <w:bookmarkEnd w:id="1285"/>
      <w:bookmarkEnd w:id="1286"/>
      <w:bookmarkEnd w:id="1287"/>
      <w:bookmarkEnd w:id="1288"/>
      <w:bookmarkEnd w:id="1289"/>
      <w:bookmarkEnd w:id="1290"/>
    </w:p>
    <w:p>
      <w:pPr>
        <w:spacing w:line="360" w:lineRule="auto"/>
        <w:ind w:firstLine="420" w:firstLineChars="200"/>
        <w:jc w:val="left"/>
        <w:outlineLvl w:val="0"/>
        <w:rPr>
          <w:color w:val="auto"/>
          <w:kern w:val="0"/>
          <w:highlight w:val="none"/>
        </w:rPr>
      </w:pPr>
      <w:bookmarkStart w:id="1291" w:name="_Toc8456"/>
      <w:bookmarkStart w:id="1292" w:name="_Toc15410"/>
      <w:r>
        <w:rPr>
          <w:color w:val="auto"/>
          <w:kern w:val="0"/>
          <w:highlight w:val="none"/>
        </w:rPr>
        <w:t xml:space="preserve">13.6.1 </w:t>
      </w:r>
      <w:r>
        <w:rPr>
          <w:rFonts w:hint="eastAsia" w:hAnsi="宋体" w:cs="宋体"/>
          <w:color w:val="auto"/>
          <w:kern w:val="0"/>
          <w:highlight w:val="none"/>
        </w:rPr>
        <w:t>竣工退场</w:t>
      </w:r>
      <w:bookmarkEnd w:id="1291"/>
      <w:bookmarkEnd w:id="1292"/>
    </w:p>
    <w:p>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监理人颁发(出具)工程接收证书后，承包人负责按照通用合同条款本项约定的要求对施工场地进行清理并承担相关费用，直至监理人检验合格后7日内，如承包人到期后不退场，发包人有权安排其他人员进行清理，费用从承包人工程款中扣除</w:t>
      </w:r>
      <w:r>
        <w:rPr>
          <w:color w:val="auto"/>
          <w:highlight w:val="none"/>
          <w:u w:val="single"/>
        </w:rPr>
        <w:t xml:space="preserve">  </w:t>
      </w:r>
      <w:r>
        <w:rPr>
          <w:rFonts w:hint="eastAsia" w:hAnsi="宋体" w:cs="宋体"/>
          <w:color w:val="auto"/>
          <w:kern w:val="0"/>
          <w:highlight w:val="none"/>
        </w:rPr>
        <w:t>。</w:t>
      </w:r>
    </w:p>
    <w:p>
      <w:pPr>
        <w:pStyle w:val="3"/>
        <w:rPr>
          <w:color w:val="auto"/>
          <w:highlight w:val="none"/>
        </w:rPr>
      </w:pPr>
      <w:bookmarkStart w:id="1293" w:name="_Toc1950258056"/>
      <w:bookmarkStart w:id="1294" w:name="_Toc1385490858"/>
      <w:bookmarkStart w:id="1295" w:name="_Toc11610"/>
      <w:bookmarkStart w:id="1296" w:name="_Toc19018"/>
      <w:bookmarkStart w:id="1297" w:name="_Toc407135261"/>
      <w:bookmarkStart w:id="1298" w:name="_Toc373478405"/>
      <w:bookmarkStart w:id="1299" w:name="_Toc351203646"/>
      <w:bookmarkStart w:id="1300" w:name="_Toc389065323"/>
      <w:bookmarkStart w:id="1301" w:name="_Toc373227758"/>
      <w:bookmarkStart w:id="1302" w:name="_Toc78449847"/>
      <w:r>
        <w:rPr>
          <w:color w:val="auto"/>
          <w:highlight w:val="none"/>
        </w:rPr>
        <w:t xml:space="preserve">14. </w:t>
      </w:r>
      <w:r>
        <w:rPr>
          <w:rFonts w:hint="eastAsia" w:hAnsi="宋体" w:cs="黑体"/>
          <w:color w:val="auto"/>
          <w:highlight w:val="none"/>
        </w:rPr>
        <w:t>竣工结算</w:t>
      </w:r>
      <w:bookmarkEnd w:id="1293"/>
      <w:bookmarkEnd w:id="1294"/>
      <w:bookmarkEnd w:id="1295"/>
      <w:bookmarkEnd w:id="1296"/>
      <w:bookmarkEnd w:id="1297"/>
      <w:bookmarkEnd w:id="1298"/>
      <w:bookmarkEnd w:id="1299"/>
      <w:bookmarkEnd w:id="1300"/>
      <w:bookmarkEnd w:id="1301"/>
      <w:bookmarkEnd w:id="1302"/>
    </w:p>
    <w:p>
      <w:pPr>
        <w:pStyle w:val="4"/>
        <w:rPr>
          <w:color w:val="auto"/>
          <w:highlight w:val="none"/>
        </w:rPr>
      </w:pPr>
      <w:bookmarkStart w:id="1303" w:name="_Toc389065324"/>
      <w:bookmarkStart w:id="1304" w:name="_Toc174652718"/>
      <w:bookmarkStart w:id="1305" w:name="_Toc7160"/>
      <w:bookmarkStart w:id="1306" w:name="_Toc78449848"/>
      <w:bookmarkStart w:id="1307" w:name="_Toc373478406"/>
      <w:bookmarkStart w:id="1308" w:name="_Toc1973954660"/>
      <w:bookmarkStart w:id="1309" w:name="_Toc407135262"/>
      <w:bookmarkStart w:id="1310" w:name="_Toc373227759"/>
      <w:r>
        <w:rPr>
          <w:color w:val="auto"/>
          <w:highlight w:val="none"/>
        </w:rPr>
        <w:t xml:space="preserve">14.1 </w:t>
      </w:r>
      <w:r>
        <w:rPr>
          <w:rFonts w:hint="eastAsia" w:hAnsi="宋体" w:cs="黑体"/>
          <w:color w:val="auto"/>
          <w:highlight w:val="none"/>
        </w:rPr>
        <w:t>竣工付款申请</w:t>
      </w:r>
      <w:bookmarkEnd w:id="1303"/>
      <w:bookmarkEnd w:id="1304"/>
      <w:bookmarkEnd w:id="1305"/>
      <w:bookmarkEnd w:id="1306"/>
      <w:bookmarkEnd w:id="1307"/>
      <w:bookmarkEnd w:id="1308"/>
      <w:bookmarkEnd w:id="1309"/>
      <w:bookmarkEnd w:id="1310"/>
    </w:p>
    <w:p>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承包人应在工程竣工验收合格后28天内向发包人和监理人提交竣工结算申请单，并提交完整的结算资料</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按通用条款 14.1 执行</w:t>
      </w:r>
      <w:r>
        <w:rPr>
          <w:color w:val="auto"/>
          <w:highlight w:val="none"/>
          <w:u w:val="single"/>
        </w:rPr>
        <w:t xml:space="preserve">  </w:t>
      </w:r>
      <w:r>
        <w:rPr>
          <w:rFonts w:hint="eastAsia" w:hAnsi="宋体" w:cs="宋体"/>
          <w:color w:val="auto"/>
          <w:highlight w:val="none"/>
        </w:rPr>
        <w:t>。竣工结算款支付申请（核准）表见合同附件12。</w:t>
      </w:r>
    </w:p>
    <w:p>
      <w:pPr>
        <w:pStyle w:val="4"/>
        <w:rPr>
          <w:color w:val="auto"/>
          <w:highlight w:val="none"/>
        </w:rPr>
      </w:pPr>
      <w:bookmarkStart w:id="1311" w:name="_Toc667492935"/>
      <w:bookmarkStart w:id="1312" w:name="_Toc489920513"/>
      <w:bookmarkStart w:id="1313" w:name="_Toc373227760"/>
      <w:bookmarkStart w:id="1314" w:name="_Toc31609"/>
      <w:bookmarkStart w:id="1315" w:name="_Toc389065325"/>
      <w:bookmarkStart w:id="1316" w:name="_Toc407135263"/>
      <w:bookmarkStart w:id="1317" w:name="_Toc373478407"/>
      <w:bookmarkStart w:id="1318" w:name="_Toc78449849"/>
      <w:r>
        <w:rPr>
          <w:color w:val="auto"/>
          <w:highlight w:val="none"/>
        </w:rPr>
        <w:t xml:space="preserve">14.2 </w:t>
      </w:r>
      <w:r>
        <w:rPr>
          <w:rFonts w:hint="eastAsia" w:hAnsi="宋体" w:cs="黑体"/>
          <w:color w:val="auto"/>
          <w:highlight w:val="none"/>
        </w:rPr>
        <w:t>竣工结算审核</w:t>
      </w:r>
      <w:bookmarkEnd w:id="1311"/>
      <w:bookmarkEnd w:id="1312"/>
      <w:bookmarkEnd w:id="1313"/>
      <w:bookmarkEnd w:id="1314"/>
      <w:bookmarkEnd w:id="1315"/>
      <w:bookmarkEnd w:id="1316"/>
      <w:bookmarkEnd w:id="1317"/>
      <w:bookmarkEnd w:id="1318"/>
    </w:p>
    <w:p>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1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1</w:t>
            </w: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2</w:t>
            </w: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3</w:t>
            </w: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4</w:t>
            </w: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rFonts w:hint="eastAsia"/>
                <w:color w:val="auto"/>
                <w:highlight w:val="none"/>
              </w:rPr>
              <w:t>5</w:t>
            </w:r>
          </w:p>
        </w:tc>
        <w:tc>
          <w:tcPr>
            <w:tcW w:w="24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rFonts w:hint="eastAsia" w:hAnsi="宋体" w:cs="宋体"/>
                <w:color w:val="auto"/>
                <w:highlight w:val="none"/>
              </w:rPr>
            </w:pPr>
            <w:r>
              <w:rPr>
                <w:rFonts w:hint="eastAsia" w:hAnsi="宋体" w:cs="宋体"/>
                <w:color w:val="auto"/>
                <w:highlight w:val="none"/>
              </w:rPr>
              <w:t>增加10天</w:t>
            </w:r>
          </w:p>
        </w:tc>
      </w:tr>
    </w:tbl>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hAnsi="宋体" w:cs="宋体"/>
          <w:color w:val="auto"/>
          <w:highlight w:val="none"/>
        </w:rPr>
      </w:pPr>
    </w:p>
    <w:p>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pPr>
        <w:spacing w:line="400" w:lineRule="exact"/>
        <w:ind w:firstLine="411" w:firstLineChars="196"/>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pPr>
        <w:spacing w:line="400" w:lineRule="exact"/>
        <w:ind w:firstLine="431" w:firstLineChars="196"/>
        <w:rPr>
          <w:rFonts w:hint="eastAsia" w:ascii="Times New Roman" w:hAnsi="宋体" w:eastAsia="宋体" w:cs="宋体"/>
          <w:color w:val="auto"/>
          <w:highlight w:val="none"/>
        </w:rPr>
      </w:pPr>
      <w:r>
        <w:rPr>
          <w:rFonts w:ascii="宋体" w:hAnsi="宋体" w:eastAsia="宋体" w:cs="宋体"/>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20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60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7</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20</w:t>
      </w:r>
      <w:r>
        <w:rPr>
          <w:rFonts w:hint="eastAsia" w:hAnsi="宋体" w:cs="宋体"/>
          <w:color w:val="auto"/>
          <w:highlight w:val="none"/>
          <w:u w:val="single"/>
        </w:rPr>
        <w:t>天内，发包人按审定后的竣工结算价款，通知经办银行向承包人支付结算价款。</w:t>
      </w:r>
    </w:p>
    <w:p>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pPr>
        <w:pStyle w:val="4"/>
        <w:rPr>
          <w:color w:val="auto"/>
          <w:highlight w:val="none"/>
        </w:rPr>
      </w:pPr>
      <w:bookmarkStart w:id="1319" w:name="_Toc407135264"/>
      <w:bookmarkStart w:id="1320" w:name="_Toc78449850"/>
      <w:bookmarkStart w:id="1321" w:name="_Toc17930"/>
      <w:bookmarkStart w:id="1322" w:name="_Toc373478408"/>
      <w:bookmarkStart w:id="1323" w:name="_Toc1203653078"/>
      <w:bookmarkStart w:id="1324" w:name="_Toc389065326"/>
      <w:bookmarkStart w:id="1325" w:name="_Toc373227761"/>
      <w:bookmarkStart w:id="1326" w:name="_Toc540165641"/>
      <w:r>
        <w:rPr>
          <w:color w:val="auto"/>
          <w:highlight w:val="none"/>
        </w:rPr>
        <w:t xml:space="preserve">14.4 </w:t>
      </w:r>
      <w:r>
        <w:rPr>
          <w:rFonts w:hint="eastAsia" w:hAnsi="宋体" w:cs="黑体"/>
          <w:color w:val="auto"/>
          <w:highlight w:val="none"/>
        </w:rPr>
        <w:t>最终结清</w:t>
      </w:r>
      <w:bookmarkEnd w:id="1319"/>
      <w:bookmarkEnd w:id="1320"/>
      <w:bookmarkEnd w:id="1321"/>
      <w:bookmarkEnd w:id="1322"/>
      <w:bookmarkEnd w:id="1323"/>
      <w:bookmarkEnd w:id="1324"/>
      <w:bookmarkEnd w:id="1325"/>
      <w:bookmarkEnd w:id="1326"/>
    </w:p>
    <w:p>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ascii="宋体" w:hAnsi="宋体" w:eastAsia="宋体" w:cs="宋体"/>
          <w:color w:val="auto"/>
          <w:spacing w:val="0"/>
          <w:highlight w:val="none"/>
          <w:u w:val="single"/>
        </w:rPr>
        <w:t>一式六份</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ascii="宋体" w:hAnsi="宋体" w:eastAsia="宋体" w:cs="宋体"/>
          <w:color w:val="auto"/>
          <w:spacing w:val="0"/>
          <w:highlight w:val="none"/>
          <w:u w:val="single"/>
        </w:rPr>
        <w:t>质量保修期期满后 14 天内</w:t>
      </w:r>
      <w:r>
        <w:rPr>
          <w:rFonts w:hint="eastAsia" w:hAnsi="宋体" w:cs="宋体"/>
          <w:color w:val="auto"/>
          <w:highlight w:val="none"/>
        </w:rPr>
        <w:t>。</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最终结算款支付申请（核准）表见合同附件13。</w:t>
      </w:r>
    </w:p>
    <w:p>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rFonts w:hint="eastAsia"/>
          <w:color w:val="auto"/>
          <w:highlight w:val="none"/>
          <w:u w:val="single"/>
        </w:rPr>
        <w:t>收到该申请 14</w:t>
      </w:r>
      <w:r>
        <w:rPr>
          <w:rFonts w:hint="eastAsia"/>
          <w:color w:val="auto"/>
          <w:highlight w:val="none"/>
          <w:u w:val="single"/>
          <w:lang w:val="en-US" w:eastAsia="zh-CN"/>
        </w:rPr>
        <w:t>天内</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如无质量问题，在质量保修期期满2年后，退付工程质量保修金70%(无息)；质量保修期期满5年后，退付至工程质量保修金100% (无息)</w:t>
      </w:r>
      <w:r>
        <w:rPr>
          <w:color w:val="auto"/>
          <w:highlight w:val="none"/>
          <w:u w:val="single"/>
        </w:rPr>
        <w:t xml:space="preserve"> </w:t>
      </w:r>
      <w:r>
        <w:rPr>
          <w:rFonts w:hint="eastAsia" w:hAnsi="宋体" w:cs="宋体"/>
          <w:color w:val="auto"/>
          <w:highlight w:val="none"/>
        </w:rPr>
        <w:t>。</w:t>
      </w:r>
    </w:p>
    <w:bookmarkEnd w:id="1262"/>
    <w:bookmarkEnd w:id="1263"/>
    <w:bookmarkEnd w:id="1264"/>
    <w:bookmarkEnd w:id="1265"/>
    <w:bookmarkEnd w:id="1266"/>
    <w:bookmarkEnd w:id="1267"/>
    <w:bookmarkEnd w:id="1268"/>
    <w:bookmarkEnd w:id="1274"/>
    <w:p>
      <w:pPr>
        <w:pStyle w:val="3"/>
        <w:rPr>
          <w:color w:val="auto"/>
          <w:highlight w:val="none"/>
        </w:rPr>
      </w:pPr>
      <w:bookmarkStart w:id="1327" w:name="_Toc373227762"/>
      <w:bookmarkStart w:id="1328" w:name="_Toc14095"/>
      <w:bookmarkStart w:id="1329" w:name="_Toc905081407"/>
      <w:bookmarkStart w:id="1330" w:name="_Toc351203647"/>
      <w:bookmarkStart w:id="1331" w:name="_Toc407135265"/>
      <w:bookmarkStart w:id="1332" w:name="_Toc16932"/>
      <w:bookmarkStart w:id="1333" w:name="_Toc78449851"/>
      <w:bookmarkStart w:id="1334" w:name="_Toc389065327"/>
      <w:bookmarkStart w:id="1335" w:name="_Toc373478409"/>
      <w:bookmarkStart w:id="1336" w:name="_Toc1294213766"/>
      <w:bookmarkStart w:id="1337" w:name="_Toc267251483"/>
      <w:bookmarkStart w:id="1338" w:name="_Toc267251484"/>
      <w:bookmarkStart w:id="1339" w:name="_Toc267251482"/>
      <w:bookmarkStart w:id="1340" w:name="_Toc267251485"/>
      <w:bookmarkStart w:id="1341" w:name="_Toc267251488"/>
      <w:bookmarkStart w:id="1342" w:name="_Toc267251490"/>
      <w:bookmarkStart w:id="1343" w:name="_Toc267251489"/>
      <w:bookmarkStart w:id="1344" w:name="_Toc267251486"/>
      <w:bookmarkStart w:id="1345" w:name="_Toc267251503"/>
      <w:bookmarkStart w:id="1346" w:name="_Toc267251499"/>
      <w:bookmarkStart w:id="1347" w:name="_Toc267251502"/>
      <w:bookmarkStart w:id="1348" w:name="_Toc267251496"/>
      <w:bookmarkStart w:id="1349" w:name="_Toc267251497"/>
      <w:bookmarkStart w:id="1350" w:name="_Toc267251491"/>
      <w:bookmarkStart w:id="1351" w:name="_Toc267251494"/>
      <w:bookmarkStart w:id="1352" w:name="_Toc267251495"/>
      <w:bookmarkStart w:id="1353" w:name="_Toc267251501"/>
      <w:bookmarkStart w:id="1354" w:name="_Toc267251498"/>
      <w:bookmarkStart w:id="1355" w:name="_Toc267251493"/>
      <w:bookmarkStart w:id="1356" w:name="_Toc267251492"/>
      <w:bookmarkStart w:id="1357" w:name="_Toc267251504"/>
      <w:bookmarkStart w:id="1358" w:name="_Toc267251506"/>
      <w:bookmarkStart w:id="1359" w:name="_Toc267251507"/>
      <w:bookmarkStart w:id="1360" w:name="_Toc267251508"/>
      <w:bookmarkStart w:id="1361" w:name="_Toc267251515"/>
      <w:bookmarkStart w:id="1362" w:name="_Toc267251514"/>
      <w:bookmarkStart w:id="1363" w:name="_Toc267251509"/>
      <w:bookmarkStart w:id="1364" w:name="_Toc267251510"/>
      <w:bookmarkStart w:id="1365" w:name="_Toc267251513"/>
      <w:bookmarkStart w:id="1366" w:name="_Toc267251511"/>
      <w:r>
        <w:rPr>
          <w:color w:val="auto"/>
          <w:highlight w:val="none"/>
        </w:rPr>
        <w:t xml:space="preserve">15. </w:t>
      </w:r>
      <w:r>
        <w:rPr>
          <w:rFonts w:hint="eastAsia" w:cs="黑体"/>
          <w:color w:val="auto"/>
          <w:highlight w:val="none"/>
        </w:rPr>
        <w:t>缺陷责任期与保修</w:t>
      </w:r>
      <w:bookmarkEnd w:id="1327"/>
      <w:bookmarkEnd w:id="1328"/>
      <w:bookmarkEnd w:id="1329"/>
      <w:bookmarkEnd w:id="1330"/>
      <w:bookmarkEnd w:id="1331"/>
      <w:bookmarkEnd w:id="1332"/>
      <w:bookmarkEnd w:id="1333"/>
      <w:bookmarkEnd w:id="1334"/>
      <w:bookmarkEnd w:id="1335"/>
      <w:bookmarkEnd w:id="1336"/>
    </w:p>
    <w:p>
      <w:pPr>
        <w:pStyle w:val="4"/>
        <w:rPr>
          <w:color w:val="auto"/>
          <w:highlight w:val="none"/>
        </w:rPr>
      </w:pPr>
      <w:bookmarkStart w:id="1367" w:name="_Toc373227763"/>
      <w:bookmarkStart w:id="1368" w:name="_Toc1468458868"/>
      <w:bookmarkStart w:id="1369" w:name="_Toc407135266"/>
      <w:bookmarkStart w:id="1370" w:name="_Toc373478410"/>
      <w:bookmarkStart w:id="1371" w:name="_Toc3588"/>
      <w:bookmarkStart w:id="1372" w:name="_Toc78449852"/>
      <w:bookmarkStart w:id="1373" w:name="_Toc389065328"/>
      <w:bookmarkStart w:id="1374" w:name="_Toc1845278067"/>
      <w:r>
        <w:rPr>
          <w:color w:val="auto"/>
          <w:highlight w:val="none"/>
        </w:rPr>
        <w:t xml:space="preserve">15.2 </w:t>
      </w:r>
      <w:r>
        <w:rPr>
          <w:rFonts w:hint="eastAsia" w:hAnsi="宋体" w:cs="黑体"/>
          <w:color w:val="auto"/>
          <w:highlight w:val="none"/>
        </w:rPr>
        <w:t>缺陷责任期</w:t>
      </w:r>
      <w:bookmarkEnd w:id="1337"/>
      <w:bookmarkEnd w:id="1367"/>
      <w:bookmarkEnd w:id="1368"/>
      <w:bookmarkEnd w:id="1369"/>
      <w:bookmarkEnd w:id="1370"/>
      <w:bookmarkEnd w:id="1371"/>
      <w:bookmarkEnd w:id="1372"/>
      <w:bookmarkEnd w:id="1373"/>
      <w:bookmarkEnd w:id="1374"/>
    </w:p>
    <w:p>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 xml:space="preserve"> 24 个月 </w:t>
      </w:r>
      <w:r>
        <w:rPr>
          <w:color w:val="auto"/>
          <w:highlight w:val="none"/>
          <w:u w:val="single"/>
        </w:rPr>
        <w:t xml:space="preserve"> </w:t>
      </w:r>
      <w:r>
        <w:rPr>
          <w:rFonts w:hint="eastAsia" w:hAnsi="宋体" w:cs="宋体"/>
          <w:color w:val="auto"/>
          <w:highlight w:val="none"/>
        </w:rPr>
        <w:t>。</w:t>
      </w:r>
    </w:p>
    <w:p>
      <w:pPr>
        <w:pStyle w:val="4"/>
        <w:rPr>
          <w:color w:val="auto"/>
          <w:highlight w:val="none"/>
        </w:rPr>
      </w:pPr>
      <w:bookmarkStart w:id="1375" w:name="_Toc666080472"/>
      <w:bookmarkStart w:id="1376" w:name="_Toc373227764"/>
      <w:bookmarkStart w:id="1377" w:name="_Toc1004692311"/>
      <w:bookmarkStart w:id="1378" w:name="_Toc373478411"/>
      <w:bookmarkStart w:id="1379" w:name="_Toc30345"/>
      <w:bookmarkStart w:id="1380" w:name="_Toc389065329"/>
      <w:bookmarkStart w:id="1381" w:name="_Toc407135267"/>
      <w:bookmarkStart w:id="1382" w:name="_Toc78449853"/>
      <w:r>
        <w:rPr>
          <w:color w:val="auto"/>
          <w:highlight w:val="none"/>
        </w:rPr>
        <w:t xml:space="preserve">15.3 </w:t>
      </w:r>
      <w:r>
        <w:rPr>
          <w:rFonts w:hint="eastAsia" w:hAnsi="宋体" w:cs="黑体"/>
          <w:color w:val="auto"/>
          <w:highlight w:val="none"/>
        </w:rPr>
        <w:t>质量保证金</w:t>
      </w:r>
      <w:bookmarkEnd w:id="1375"/>
      <w:bookmarkEnd w:id="1376"/>
      <w:bookmarkEnd w:id="1377"/>
      <w:bookmarkEnd w:id="1378"/>
      <w:bookmarkEnd w:id="1379"/>
      <w:bookmarkEnd w:id="1380"/>
      <w:bookmarkEnd w:id="1381"/>
      <w:bookmarkEnd w:id="1382"/>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rFonts w:hint="eastAsia"/>
          <w:color w:val="auto"/>
          <w:highlight w:val="none"/>
          <w:u w:val="single"/>
        </w:rPr>
        <w:t>承包人按工程价款结算总额的3%(最高不超过3%)缴纳工程质量保证金至发包人指定账户</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pPr>
        <w:spacing w:line="360" w:lineRule="auto"/>
        <w:ind w:firstLine="420" w:firstLineChars="200"/>
        <w:jc w:val="left"/>
        <w:outlineLvl w:val="0"/>
        <w:rPr>
          <w:color w:val="auto"/>
          <w:highlight w:val="none"/>
        </w:rPr>
      </w:pPr>
      <w:bookmarkStart w:id="1383" w:name="_Toc20148"/>
      <w:bookmarkStart w:id="1384" w:name="_Toc29310"/>
      <w:r>
        <w:rPr>
          <w:color w:val="auto"/>
          <w:highlight w:val="none"/>
        </w:rPr>
        <w:t xml:space="preserve">15.3.1 </w:t>
      </w:r>
      <w:r>
        <w:rPr>
          <w:rFonts w:hint="eastAsia" w:hAnsi="宋体" w:cs="宋体"/>
          <w:color w:val="auto"/>
          <w:highlight w:val="none"/>
        </w:rPr>
        <w:t>承包人提供质量保证金的方式</w:t>
      </w:r>
      <w:bookmarkEnd w:id="1383"/>
      <w:bookmarkEnd w:id="1384"/>
    </w:p>
    <w:p>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工程担保保证人应将出具的保函相关信息录入“广西建筑市场监管云”平台（http://gxjzsc.caihcloud.com），以实现保函查询及验真功能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rPr>
        <w:t>银行转账、电汇或网上支付等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hAnsi="宋体" w:cs="宋体"/>
          <w:color w:val="auto"/>
          <w:kern w:val="0"/>
          <w:highlight w:val="none"/>
        </w:rPr>
        <w:t>。</w:t>
      </w:r>
    </w:p>
    <w:bookmarkEnd w:id="1338"/>
    <w:bookmarkEnd w:id="1339"/>
    <w:p>
      <w:pPr>
        <w:pStyle w:val="4"/>
        <w:rPr>
          <w:color w:val="auto"/>
          <w:highlight w:val="none"/>
        </w:rPr>
      </w:pPr>
      <w:bookmarkStart w:id="1385" w:name="_Toc389065330"/>
      <w:bookmarkStart w:id="1386" w:name="_Toc9472"/>
      <w:bookmarkStart w:id="1387" w:name="_Toc78449854"/>
      <w:bookmarkStart w:id="1388" w:name="_Toc407135268"/>
      <w:bookmarkStart w:id="1389" w:name="_Toc1902722111"/>
      <w:bookmarkStart w:id="1390" w:name="_Toc373227765"/>
      <w:bookmarkStart w:id="1391" w:name="_Toc373478412"/>
      <w:bookmarkStart w:id="1392" w:name="_Toc196306762"/>
      <w:r>
        <w:rPr>
          <w:color w:val="auto"/>
          <w:highlight w:val="none"/>
        </w:rPr>
        <w:t xml:space="preserve">15.4 </w:t>
      </w:r>
      <w:r>
        <w:rPr>
          <w:rFonts w:hint="eastAsia" w:hAnsi="宋体" w:cs="黑体"/>
          <w:color w:val="auto"/>
          <w:highlight w:val="none"/>
        </w:rPr>
        <w:t>保修</w:t>
      </w:r>
      <w:bookmarkEnd w:id="1385"/>
      <w:bookmarkEnd w:id="1386"/>
      <w:bookmarkEnd w:id="1387"/>
      <w:bookmarkEnd w:id="1388"/>
      <w:bookmarkEnd w:id="1389"/>
      <w:bookmarkEnd w:id="1390"/>
      <w:bookmarkEnd w:id="1391"/>
      <w:bookmarkEnd w:id="1392"/>
    </w:p>
    <w:bookmarkEnd w:id="1340"/>
    <w:p>
      <w:pPr>
        <w:spacing w:line="360" w:lineRule="auto"/>
        <w:ind w:firstLine="409" w:firstLineChars="195"/>
        <w:jc w:val="left"/>
        <w:outlineLvl w:val="0"/>
        <w:rPr>
          <w:color w:val="auto"/>
          <w:highlight w:val="none"/>
        </w:rPr>
      </w:pPr>
      <w:bookmarkStart w:id="1393" w:name="_Toc1416"/>
      <w:bookmarkStart w:id="1394" w:name="_Toc8103"/>
      <w:r>
        <w:rPr>
          <w:color w:val="auto"/>
          <w:highlight w:val="none"/>
        </w:rPr>
        <w:t xml:space="preserve">15.4.1 </w:t>
      </w:r>
      <w:r>
        <w:rPr>
          <w:rFonts w:hint="eastAsia" w:hAnsi="宋体" w:cs="宋体"/>
          <w:color w:val="auto"/>
          <w:highlight w:val="none"/>
        </w:rPr>
        <w:t>保修责任</w:t>
      </w:r>
      <w:bookmarkEnd w:id="1393"/>
      <w:bookmarkEnd w:id="1394"/>
    </w:p>
    <w:p>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rFonts w:hint="eastAsia"/>
          <w:color w:val="auto"/>
          <w:kern w:val="0"/>
          <w:highlight w:val="none"/>
          <w:u w:val="single"/>
        </w:rPr>
        <w:t xml:space="preserve">见工程质量保修书 </w:t>
      </w:r>
      <w:r>
        <w:rPr>
          <w:rFonts w:hint="eastAsia" w:hAnsi="宋体" w:cs="宋体"/>
          <w:color w:val="auto"/>
          <w:kern w:val="0"/>
          <w:highlight w:val="none"/>
        </w:rPr>
        <w:t>。</w:t>
      </w:r>
    </w:p>
    <w:p>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rFonts w:hint="eastAsia"/>
          <w:color w:val="auto"/>
          <w:kern w:val="0"/>
          <w:highlight w:val="none"/>
          <w:u w:val="single"/>
        </w:rPr>
        <w:t xml:space="preserve"> 收到通知后 24 小时内 </w:t>
      </w:r>
      <w:r>
        <w:rPr>
          <w:rFonts w:hint="eastAsia" w:hAnsi="宋体" w:cs="宋体"/>
          <w:color w:val="auto"/>
          <w:kern w:val="0"/>
          <w:highlight w:val="none"/>
        </w:rPr>
        <w:t>。</w:t>
      </w:r>
    </w:p>
    <w:bookmarkEnd w:id="1341"/>
    <w:bookmarkEnd w:id="1342"/>
    <w:bookmarkEnd w:id="1343"/>
    <w:bookmarkEnd w:id="1344"/>
    <w:p>
      <w:pPr>
        <w:pStyle w:val="3"/>
        <w:rPr>
          <w:color w:val="auto"/>
          <w:highlight w:val="none"/>
        </w:rPr>
      </w:pPr>
      <w:bookmarkStart w:id="1395" w:name="_Toc78449855"/>
      <w:bookmarkStart w:id="1396" w:name="_Toc373478413"/>
      <w:bookmarkStart w:id="1397" w:name="_Toc31289"/>
      <w:bookmarkStart w:id="1398" w:name="_Toc663"/>
      <w:bookmarkStart w:id="1399" w:name="_Toc351203648"/>
      <w:bookmarkStart w:id="1400" w:name="_Toc1360137061"/>
      <w:bookmarkStart w:id="1401" w:name="_Toc1725581915"/>
      <w:bookmarkStart w:id="1402" w:name="_Toc407135269"/>
      <w:bookmarkStart w:id="1403" w:name="_Toc373227766"/>
      <w:bookmarkStart w:id="1404" w:name="_Toc389065331"/>
      <w:bookmarkStart w:id="1405" w:name="_Toc280868717"/>
      <w:bookmarkStart w:id="1406" w:name="_Toc280868718"/>
      <w:r>
        <w:rPr>
          <w:color w:val="auto"/>
          <w:highlight w:val="none"/>
        </w:rPr>
        <w:t xml:space="preserve">16. </w:t>
      </w:r>
      <w:r>
        <w:rPr>
          <w:rFonts w:hint="eastAsia" w:hAnsi="宋体" w:cs="黑体"/>
          <w:color w:val="auto"/>
          <w:highlight w:val="none"/>
        </w:rPr>
        <w:t>违约</w:t>
      </w:r>
      <w:bookmarkEnd w:id="1395"/>
      <w:bookmarkEnd w:id="1396"/>
      <w:bookmarkEnd w:id="1397"/>
      <w:bookmarkEnd w:id="1398"/>
      <w:bookmarkEnd w:id="1399"/>
      <w:bookmarkEnd w:id="1400"/>
      <w:bookmarkEnd w:id="1401"/>
      <w:bookmarkEnd w:id="1402"/>
      <w:bookmarkEnd w:id="1403"/>
      <w:bookmarkEnd w:id="1404"/>
    </w:p>
    <w:p>
      <w:pPr>
        <w:pStyle w:val="4"/>
        <w:rPr>
          <w:color w:val="auto"/>
          <w:highlight w:val="none"/>
        </w:rPr>
      </w:pPr>
      <w:bookmarkStart w:id="1407" w:name="_Toc389065332"/>
      <w:bookmarkStart w:id="1408" w:name="_Toc373227767"/>
      <w:bookmarkStart w:id="1409" w:name="_Toc407135270"/>
      <w:bookmarkStart w:id="1410" w:name="_Toc78449856"/>
      <w:bookmarkStart w:id="1411" w:name="_Toc7675"/>
      <w:bookmarkStart w:id="1412" w:name="_Toc1535389315"/>
      <w:bookmarkStart w:id="1413" w:name="_Toc1973395665"/>
      <w:bookmarkStart w:id="1414" w:name="_Toc373478414"/>
      <w:r>
        <w:rPr>
          <w:color w:val="auto"/>
          <w:highlight w:val="none"/>
        </w:rPr>
        <w:t xml:space="preserve">16.1 </w:t>
      </w:r>
      <w:r>
        <w:rPr>
          <w:rFonts w:hint="eastAsia" w:hAnsi="宋体" w:cs="黑体"/>
          <w:color w:val="auto"/>
          <w:highlight w:val="none"/>
        </w:rPr>
        <w:t>发包人违约</w:t>
      </w:r>
      <w:bookmarkEnd w:id="1407"/>
      <w:bookmarkEnd w:id="1408"/>
      <w:bookmarkEnd w:id="1409"/>
      <w:bookmarkEnd w:id="1410"/>
      <w:bookmarkEnd w:id="1411"/>
      <w:bookmarkEnd w:id="1412"/>
      <w:bookmarkEnd w:id="1413"/>
      <w:bookmarkEnd w:id="1414"/>
    </w:p>
    <w:p>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rFonts w:hint="eastAsia"/>
          <w:color w:val="auto"/>
          <w:kern w:val="0"/>
          <w:highlight w:val="none"/>
          <w:u w:val="single"/>
        </w:rPr>
        <w:t xml:space="preserve">    无   </w:t>
      </w:r>
      <w:r>
        <w:rPr>
          <w:rFonts w:hint="eastAsia" w:hAnsi="宋体" w:cs="宋体"/>
          <w:color w:val="auto"/>
          <w:kern w:val="0"/>
          <w:highlight w:val="none"/>
        </w:rPr>
        <w:t>。</w:t>
      </w:r>
    </w:p>
    <w:p>
      <w:pPr>
        <w:spacing w:line="360" w:lineRule="auto"/>
        <w:ind w:firstLine="420" w:firstLineChars="200"/>
        <w:jc w:val="left"/>
        <w:outlineLvl w:val="0"/>
        <w:rPr>
          <w:color w:val="auto"/>
          <w:kern w:val="0"/>
          <w:highlight w:val="none"/>
        </w:rPr>
      </w:pPr>
      <w:bookmarkStart w:id="1415" w:name="_Toc7977"/>
      <w:bookmarkStart w:id="1416" w:name="_Toc27486"/>
      <w:r>
        <w:rPr>
          <w:color w:val="auto"/>
          <w:kern w:val="0"/>
          <w:highlight w:val="none"/>
        </w:rPr>
        <w:t xml:space="preserve">16.1.2 </w:t>
      </w:r>
      <w:r>
        <w:rPr>
          <w:rFonts w:hint="eastAsia" w:hAnsi="宋体" w:cs="宋体"/>
          <w:color w:val="auto"/>
          <w:kern w:val="0"/>
          <w:highlight w:val="none"/>
        </w:rPr>
        <w:t>发包人违约的责任</w:t>
      </w:r>
      <w:bookmarkEnd w:id="1415"/>
      <w:bookmarkEnd w:id="1416"/>
    </w:p>
    <w:p>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ascii="宋体" w:hAnsi="宋体" w:eastAsia="宋体" w:cs="宋体"/>
          <w:color w:val="auto"/>
          <w:spacing w:val="0"/>
          <w:highlight w:val="none"/>
          <w:u w:val="single"/>
        </w:rPr>
        <w:t xml:space="preserve"> 顺延工期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ascii="宋体" w:hAnsi="宋体" w:eastAsia="宋体" w:cs="宋体"/>
          <w:color w:val="auto"/>
          <w:spacing w:val="0"/>
          <w:highlight w:val="none"/>
          <w:u w:val="single"/>
        </w:rPr>
        <w:t>承包人与发包人签订延期付款协议，延期付款协议须经承包人认可</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ascii="宋体" w:hAnsi="宋体" w:eastAsia="宋体" w:cs="宋体"/>
          <w:color w:val="auto"/>
          <w:highlight w:val="none"/>
          <w:u w:val="single"/>
        </w:rPr>
        <w:t>双方另行协商</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按本合同《通用合同条款》的相关规定执行</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pPr>
        <w:pStyle w:val="4"/>
        <w:rPr>
          <w:color w:val="auto"/>
          <w:highlight w:val="none"/>
        </w:rPr>
      </w:pPr>
      <w:bookmarkStart w:id="1417" w:name="_Toc407135271"/>
      <w:bookmarkStart w:id="1418" w:name="_Toc78449857"/>
      <w:bookmarkStart w:id="1419" w:name="_Toc16495"/>
      <w:bookmarkStart w:id="1420" w:name="_Toc373478415"/>
      <w:bookmarkStart w:id="1421" w:name="_Toc389065333"/>
      <w:bookmarkStart w:id="1422" w:name="_Toc373227768"/>
      <w:bookmarkStart w:id="1423" w:name="_Toc61078193"/>
      <w:bookmarkStart w:id="1424" w:name="_Toc247586342"/>
      <w:r>
        <w:rPr>
          <w:color w:val="auto"/>
          <w:highlight w:val="none"/>
        </w:rPr>
        <w:t xml:space="preserve">16.2 </w:t>
      </w:r>
      <w:r>
        <w:rPr>
          <w:rFonts w:hint="eastAsia" w:hAnsi="宋体" w:cs="黑体"/>
          <w:color w:val="auto"/>
          <w:highlight w:val="none"/>
        </w:rPr>
        <w:t>承包人违约</w:t>
      </w:r>
      <w:bookmarkEnd w:id="1417"/>
      <w:bookmarkEnd w:id="1418"/>
      <w:bookmarkEnd w:id="1419"/>
      <w:bookmarkEnd w:id="1420"/>
      <w:bookmarkEnd w:id="1421"/>
      <w:bookmarkEnd w:id="1422"/>
      <w:bookmarkEnd w:id="1423"/>
      <w:bookmarkEnd w:id="1424"/>
    </w:p>
    <w:p>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pPr>
        <w:spacing w:line="360" w:lineRule="auto"/>
        <w:ind w:firstLine="420" w:firstLineChars="200"/>
        <w:jc w:val="left"/>
        <w:outlineLvl w:val="0"/>
        <w:rPr>
          <w:rFonts w:hint="eastAsia" w:hAnsi="宋体" w:cs="宋体"/>
          <w:color w:val="auto"/>
          <w:kern w:val="0"/>
          <w:highlight w:val="none"/>
        </w:rPr>
      </w:pPr>
      <w:bookmarkStart w:id="1425" w:name="_Toc28568"/>
      <w:bookmarkStart w:id="1426" w:name="_Toc882"/>
      <w:r>
        <w:rPr>
          <w:rFonts w:hint="eastAsia" w:hAnsi="宋体" w:cs="宋体"/>
          <w:color w:val="auto"/>
          <w:kern w:val="0"/>
          <w:highlight w:val="none"/>
        </w:rPr>
        <w:t>承包人除本合同通用条款 16.2.1 约定的承包人违约的情形外违约的其他情形：</w:t>
      </w:r>
      <w:bookmarkEnd w:id="1425"/>
      <w:bookmarkEnd w:id="1426"/>
    </w:p>
    <w:p>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27" w:name="_Toc25821"/>
      <w:bookmarkStart w:id="1428" w:name="_Toc28269"/>
      <w:r>
        <w:rPr>
          <w:rFonts w:hint="eastAsia" w:hAnsi="宋体" w:cs="宋体"/>
          <w:color w:val="auto"/>
          <w:kern w:val="0"/>
          <w:highlight w:val="none"/>
        </w:rPr>
        <w:t>(1) 承包人在保修期内拒绝按规定进行修复，或经监理人或发包人检验认为修复质量不合格而承包人拒绝再进行修补的，发包人将扣除承包人全部质量保修金；</w:t>
      </w:r>
      <w:bookmarkEnd w:id="1427"/>
      <w:bookmarkEnd w:id="1428"/>
      <w:r>
        <w:rPr>
          <w:rFonts w:hint="eastAsia" w:hAnsi="宋体" w:cs="宋体"/>
          <w:color w:val="auto"/>
          <w:kern w:val="0"/>
          <w:highlight w:val="none"/>
        </w:rPr>
        <w:t xml:space="preserve">  </w:t>
      </w:r>
    </w:p>
    <w:p>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29" w:name="_Toc21637"/>
      <w:bookmarkStart w:id="1430" w:name="_Toc2497"/>
      <w:r>
        <w:rPr>
          <w:rFonts w:hint="eastAsia" w:hAnsi="宋体" w:cs="宋体"/>
          <w:color w:val="auto"/>
          <w:kern w:val="0"/>
          <w:highlight w:val="none"/>
        </w:rPr>
        <w:t>(2) 承包人违约有以下情况之一者，发包人有权采取合同规定的以下措施处理，并视情节轻重予以罚款：</w:t>
      </w:r>
      <w:bookmarkEnd w:id="1429"/>
      <w:bookmarkEnd w:id="1430"/>
      <w:r>
        <w:rPr>
          <w:rFonts w:hint="eastAsia" w:hAnsi="宋体" w:cs="宋体"/>
          <w:color w:val="auto"/>
          <w:kern w:val="0"/>
          <w:highlight w:val="none"/>
        </w:rPr>
        <w:t xml:space="preserve">  </w:t>
      </w:r>
    </w:p>
    <w:p>
      <w:pPr>
        <w:spacing w:line="360" w:lineRule="auto"/>
        <w:ind w:firstLine="420" w:firstLineChars="200"/>
        <w:jc w:val="left"/>
        <w:outlineLvl w:val="0"/>
        <w:rPr>
          <w:rFonts w:hint="eastAsia" w:hAnsi="宋体" w:cs="宋体"/>
          <w:color w:val="auto"/>
          <w:kern w:val="0"/>
          <w:highlight w:val="none"/>
        </w:rPr>
      </w:pPr>
      <w:bookmarkStart w:id="1431" w:name="_Toc11032"/>
      <w:bookmarkStart w:id="1432" w:name="_Toc9769"/>
      <w:r>
        <w:rPr>
          <w:rFonts w:hint="eastAsia" w:hAnsi="宋体" w:cs="宋体"/>
          <w:color w:val="auto"/>
          <w:kern w:val="0"/>
          <w:highlight w:val="none"/>
        </w:rPr>
        <w:t>a、未经监理工程师审查批准，施工期内自行调走主要施工机械，经发现不及时调回的，视为承包人违约，发包人有权收取违约金，金额为履约保证金的10％~50％(视情节严重而定)。</w:t>
      </w:r>
      <w:bookmarkEnd w:id="1431"/>
      <w:bookmarkEnd w:id="1432"/>
    </w:p>
    <w:p>
      <w:pPr>
        <w:spacing w:line="360" w:lineRule="auto"/>
        <w:ind w:firstLine="420" w:firstLineChars="200"/>
        <w:jc w:val="left"/>
        <w:outlineLvl w:val="0"/>
        <w:rPr>
          <w:rFonts w:hint="eastAsia" w:hAnsi="宋体" w:cs="宋体"/>
          <w:color w:val="auto"/>
          <w:kern w:val="0"/>
          <w:highlight w:val="none"/>
        </w:rPr>
      </w:pPr>
      <w:bookmarkStart w:id="1433" w:name="_Toc21242"/>
      <w:bookmarkStart w:id="1434" w:name="_Toc9258"/>
      <w:r>
        <w:rPr>
          <w:rFonts w:hint="eastAsia" w:hAnsi="宋体" w:cs="宋体"/>
          <w:color w:val="auto"/>
          <w:kern w:val="0"/>
          <w:highlight w:val="none"/>
        </w:rPr>
        <w:t>b、所有违约金金额均在承包人的履约保证金及计量支付款内扣除。监理工程师预先下发含有罚款意向的指令，如承包人不及时采取措施纠正，则在指令下达后15天内下发罚款通知书</w:t>
      </w:r>
      <w:r>
        <w:rPr>
          <w:rFonts w:hint="eastAsia" w:hAnsi="宋体" w:cs="宋体"/>
          <w:color w:val="auto"/>
          <w:kern w:val="0"/>
          <w:highlight w:val="none"/>
        </w:rPr>
        <w:tab/>
      </w:r>
      <w:r>
        <w:rPr>
          <w:rFonts w:hint="eastAsia" w:hAnsi="宋体" w:cs="宋体"/>
          <w:color w:val="auto"/>
          <w:kern w:val="0"/>
          <w:highlight w:val="none"/>
        </w:rPr>
        <w:t>(不再陈述罚款理由)，承包人履约保证金被罚款后由发包人从最后一次计量支付时扣相应金额补足履约保证金。</w:t>
      </w:r>
      <w:bookmarkEnd w:id="1433"/>
      <w:bookmarkEnd w:id="1434"/>
    </w:p>
    <w:p>
      <w:pPr>
        <w:spacing w:line="360" w:lineRule="auto"/>
        <w:ind w:firstLine="420" w:firstLineChars="200"/>
        <w:jc w:val="left"/>
        <w:outlineLvl w:val="0"/>
        <w:rPr>
          <w:rFonts w:hint="eastAsia" w:hAnsi="宋体" w:cs="宋体"/>
          <w:color w:val="auto"/>
          <w:kern w:val="0"/>
          <w:highlight w:val="none"/>
        </w:rPr>
      </w:pPr>
      <w:bookmarkStart w:id="1435" w:name="_Toc4907"/>
      <w:bookmarkStart w:id="1436" w:name="_Toc17903"/>
      <w:r>
        <w:rPr>
          <w:rFonts w:hint="eastAsia" w:hAnsi="宋体" w:cs="宋体"/>
          <w:color w:val="auto"/>
          <w:kern w:val="0"/>
          <w:highlight w:val="none"/>
        </w:rPr>
        <w:t>C、承包人在合同期内完成合同规定的全部工程且质量合格,可于工程竣工验收后15天内申请返还全部或部分罚款，返还金额由监理工程师审核，发包人批准，罚款金额返还时不包括银行利息。</w:t>
      </w:r>
      <w:bookmarkEnd w:id="1435"/>
      <w:bookmarkEnd w:id="1436"/>
    </w:p>
    <w:p>
      <w:pPr>
        <w:spacing w:line="360" w:lineRule="auto"/>
        <w:ind w:firstLine="420" w:firstLineChars="200"/>
        <w:jc w:val="left"/>
        <w:outlineLvl w:val="0"/>
        <w:rPr>
          <w:color w:val="auto"/>
          <w:kern w:val="0"/>
          <w:highlight w:val="none"/>
        </w:rPr>
      </w:pPr>
      <w:bookmarkStart w:id="1437" w:name="_Toc9457"/>
      <w:bookmarkStart w:id="1438" w:name="_Toc8970"/>
      <w:r>
        <w:rPr>
          <w:color w:val="auto"/>
          <w:kern w:val="0"/>
          <w:highlight w:val="none"/>
        </w:rPr>
        <w:t>16.2.2</w:t>
      </w:r>
      <w:r>
        <w:rPr>
          <w:rFonts w:hint="eastAsia" w:hAnsi="宋体" w:cs="宋体"/>
          <w:color w:val="auto"/>
          <w:kern w:val="0"/>
          <w:highlight w:val="none"/>
        </w:rPr>
        <w:t>承包人违约的责任</w:t>
      </w:r>
      <w:bookmarkEnd w:id="1437"/>
      <w:bookmarkEnd w:id="1438"/>
    </w:p>
    <w:p>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pPr>
        <w:spacing w:line="360" w:lineRule="auto"/>
        <w:ind w:firstLine="420" w:firstLineChars="200"/>
        <w:jc w:val="left"/>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hAnsi="宋体" w:cs="宋体"/>
          <w:color w:val="auto"/>
          <w:kern w:val="0"/>
          <w:highlight w:val="none"/>
          <w:u w:val="single"/>
          <w:lang w:val="en-US" w:eastAsia="zh-CN"/>
        </w:rPr>
        <w:t xml:space="preserve"> </w:t>
      </w:r>
      <w:r>
        <w:rPr>
          <w:rFonts w:hint="eastAsia"/>
          <w:color w:val="auto"/>
          <w:kern w:val="0"/>
          <w:highlight w:val="none"/>
          <w:u w:val="single"/>
        </w:rPr>
        <w:t xml:space="preserve">承包人承担 </w:t>
      </w:r>
      <w:r>
        <w:rPr>
          <w:rFonts w:hint="eastAsia" w:hAnsi="宋体" w:cs="宋体"/>
          <w:color w:val="auto"/>
          <w:kern w:val="0"/>
          <w:highlight w:val="none"/>
        </w:rPr>
        <w:t>。</w:t>
      </w:r>
    </w:p>
    <w:p>
      <w:pPr>
        <w:pStyle w:val="3"/>
        <w:rPr>
          <w:color w:val="auto"/>
          <w:highlight w:val="none"/>
        </w:rPr>
      </w:pPr>
      <w:bookmarkStart w:id="1439" w:name="_Toc21755"/>
      <w:bookmarkStart w:id="1440" w:name="_Toc1753556740"/>
      <w:bookmarkStart w:id="1441" w:name="_Toc373478416"/>
      <w:bookmarkStart w:id="1442" w:name="_Toc351203649"/>
      <w:bookmarkStart w:id="1443" w:name="_Toc78449858"/>
      <w:bookmarkStart w:id="1444" w:name="_Toc14647"/>
      <w:bookmarkStart w:id="1445" w:name="_Toc373227769"/>
      <w:bookmarkStart w:id="1446" w:name="_Toc407135272"/>
      <w:bookmarkStart w:id="1447" w:name="_Toc1117922953"/>
      <w:bookmarkStart w:id="1448" w:name="_Toc389065334"/>
      <w:r>
        <w:rPr>
          <w:color w:val="auto"/>
          <w:highlight w:val="none"/>
        </w:rPr>
        <w:t xml:space="preserve">17. </w:t>
      </w:r>
      <w:r>
        <w:rPr>
          <w:rFonts w:hint="eastAsia" w:hAnsi="宋体" w:cs="黑体"/>
          <w:color w:val="auto"/>
          <w:highlight w:val="none"/>
        </w:rPr>
        <w:t>不可抗力</w:t>
      </w:r>
      <w:bookmarkEnd w:id="1439"/>
      <w:bookmarkEnd w:id="1440"/>
      <w:bookmarkEnd w:id="1441"/>
      <w:bookmarkEnd w:id="1442"/>
      <w:bookmarkEnd w:id="1443"/>
      <w:bookmarkEnd w:id="1444"/>
      <w:bookmarkEnd w:id="1445"/>
      <w:bookmarkEnd w:id="1446"/>
      <w:bookmarkEnd w:id="1447"/>
      <w:bookmarkEnd w:id="1448"/>
      <w:r>
        <w:rPr>
          <w:color w:val="auto"/>
          <w:highlight w:val="none"/>
        </w:rPr>
        <w:t xml:space="preserve"> </w:t>
      </w:r>
      <w:bookmarkEnd w:id="1405"/>
    </w:p>
    <w:p>
      <w:pPr>
        <w:pStyle w:val="4"/>
        <w:rPr>
          <w:color w:val="auto"/>
          <w:highlight w:val="none"/>
        </w:rPr>
      </w:pPr>
      <w:bookmarkStart w:id="1449" w:name="_Toc407135273"/>
      <w:bookmarkStart w:id="1450" w:name="_Toc29164"/>
      <w:bookmarkStart w:id="1451" w:name="_Toc373227770"/>
      <w:bookmarkStart w:id="1452" w:name="_Toc429574049"/>
      <w:bookmarkStart w:id="1453" w:name="_Toc373478417"/>
      <w:bookmarkStart w:id="1454" w:name="_Toc78449859"/>
      <w:bookmarkStart w:id="1455" w:name="_Toc389065335"/>
      <w:bookmarkStart w:id="1456" w:name="_Toc666312941"/>
      <w:r>
        <w:rPr>
          <w:color w:val="auto"/>
          <w:highlight w:val="none"/>
        </w:rPr>
        <w:t xml:space="preserve">17.1 </w:t>
      </w:r>
      <w:r>
        <w:rPr>
          <w:rFonts w:hint="eastAsia" w:cs="黑体"/>
          <w:color w:val="auto"/>
          <w:highlight w:val="none"/>
        </w:rPr>
        <w:t>不可抗力的确认</w:t>
      </w:r>
      <w:bookmarkEnd w:id="1449"/>
      <w:bookmarkEnd w:id="1450"/>
      <w:bookmarkEnd w:id="1451"/>
      <w:bookmarkEnd w:id="1452"/>
      <w:bookmarkEnd w:id="1453"/>
      <w:bookmarkEnd w:id="1454"/>
      <w:bookmarkEnd w:id="1455"/>
      <w:bookmarkEnd w:id="1456"/>
    </w:p>
    <w:p>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(1)不可抗力的自然灾害认定标准，以政府有关部门的规定为准且必须得到相关权威部门的书面认定方可视为有效；(2)因政府或相关主管部门要求导致项目中断施工</w:t>
      </w:r>
      <w:r>
        <w:rPr>
          <w:color w:val="auto"/>
          <w:kern w:val="0"/>
          <w:highlight w:val="none"/>
          <w:u w:val="single"/>
        </w:rPr>
        <w:t xml:space="preserve"> </w:t>
      </w:r>
      <w:r>
        <w:rPr>
          <w:rFonts w:hint="eastAsia" w:hAnsi="宋体" w:cs="宋体"/>
          <w:color w:val="auto"/>
          <w:kern w:val="0"/>
          <w:highlight w:val="none"/>
        </w:rPr>
        <w:t>。</w:t>
      </w:r>
    </w:p>
    <w:p>
      <w:pPr>
        <w:pStyle w:val="4"/>
        <w:rPr>
          <w:color w:val="auto"/>
          <w:highlight w:val="none"/>
        </w:rPr>
      </w:pPr>
      <w:bookmarkStart w:id="1457" w:name="_Toc373478418"/>
      <w:bookmarkStart w:id="1458" w:name="_Toc389065336"/>
      <w:bookmarkStart w:id="1459" w:name="_Toc15489"/>
      <w:bookmarkStart w:id="1460" w:name="_Toc1951449751"/>
      <w:bookmarkStart w:id="1461" w:name="_Toc658729758"/>
      <w:bookmarkStart w:id="1462" w:name="_Toc407135274"/>
      <w:bookmarkStart w:id="1463" w:name="_Toc373227771"/>
      <w:bookmarkStart w:id="1464" w:name="_Toc78449860"/>
      <w:r>
        <w:rPr>
          <w:color w:val="auto"/>
          <w:highlight w:val="none"/>
        </w:rPr>
        <w:t xml:space="preserve">17.4 </w:t>
      </w:r>
      <w:r>
        <w:rPr>
          <w:rFonts w:hint="eastAsia" w:cs="黑体"/>
          <w:color w:val="auto"/>
          <w:highlight w:val="none"/>
        </w:rPr>
        <w:t>因不可抗力解除合同</w:t>
      </w:r>
      <w:bookmarkEnd w:id="1457"/>
      <w:bookmarkEnd w:id="1458"/>
      <w:bookmarkEnd w:id="1459"/>
      <w:bookmarkEnd w:id="1460"/>
      <w:bookmarkEnd w:id="1461"/>
      <w:bookmarkEnd w:id="1462"/>
      <w:bookmarkEnd w:id="1463"/>
      <w:bookmarkEnd w:id="1464"/>
    </w:p>
    <w:p>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28</w:t>
      </w:r>
      <w:r>
        <w:rPr>
          <w:color w:val="auto"/>
          <w:highlight w:val="none"/>
          <w:u w:val="single"/>
        </w:rPr>
        <w:t xml:space="preserve"> </w:t>
      </w:r>
      <w:r>
        <w:rPr>
          <w:rFonts w:hint="eastAsia" w:hAnsi="宋体" w:cs="宋体"/>
          <w:color w:val="auto"/>
          <w:highlight w:val="none"/>
        </w:rPr>
        <w:t>天内完成款项的支付。</w:t>
      </w:r>
    </w:p>
    <w:p>
      <w:pPr>
        <w:pStyle w:val="3"/>
        <w:rPr>
          <w:color w:val="auto"/>
          <w:highlight w:val="none"/>
        </w:rPr>
      </w:pPr>
      <w:bookmarkStart w:id="1465" w:name="_Toc373227772"/>
      <w:bookmarkStart w:id="1466" w:name="_Toc78449861"/>
      <w:bookmarkStart w:id="1467" w:name="_Toc373478419"/>
      <w:bookmarkStart w:id="1468" w:name="_Toc351203650"/>
      <w:bookmarkStart w:id="1469" w:name="_Toc407135275"/>
      <w:bookmarkStart w:id="1470" w:name="_Toc2937"/>
      <w:bookmarkStart w:id="1471" w:name="_Toc389065337"/>
      <w:bookmarkStart w:id="1472" w:name="_Toc612072600"/>
      <w:bookmarkStart w:id="1473" w:name="_Toc7603"/>
      <w:bookmarkStart w:id="1474" w:name="_Toc56822299"/>
      <w:r>
        <w:rPr>
          <w:color w:val="auto"/>
          <w:highlight w:val="none"/>
        </w:rPr>
        <w:t xml:space="preserve">18. </w:t>
      </w:r>
      <w:r>
        <w:rPr>
          <w:rFonts w:hint="eastAsia" w:hAnsi="宋体" w:cs="黑体"/>
          <w:color w:val="auto"/>
          <w:highlight w:val="none"/>
        </w:rPr>
        <w:t>保险</w:t>
      </w:r>
      <w:bookmarkEnd w:id="1465"/>
      <w:bookmarkEnd w:id="1466"/>
      <w:bookmarkEnd w:id="1467"/>
      <w:bookmarkEnd w:id="1468"/>
      <w:bookmarkEnd w:id="1469"/>
      <w:bookmarkEnd w:id="1470"/>
      <w:bookmarkEnd w:id="1471"/>
      <w:bookmarkEnd w:id="1472"/>
      <w:bookmarkEnd w:id="1473"/>
      <w:bookmarkEnd w:id="1474"/>
    </w:p>
    <w:bookmarkEnd w:id="1406"/>
    <w:p>
      <w:pPr>
        <w:pStyle w:val="4"/>
        <w:rPr>
          <w:color w:val="auto"/>
          <w:highlight w:val="none"/>
        </w:rPr>
      </w:pPr>
      <w:bookmarkStart w:id="1475" w:name="_Toc2075285517"/>
      <w:bookmarkStart w:id="1476" w:name="_Toc6553"/>
      <w:bookmarkStart w:id="1477" w:name="_Toc389065338"/>
      <w:bookmarkStart w:id="1478" w:name="_Toc407135276"/>
      <w:bookmarkStart w:id="1479" w:name="_Toc373227773"/>
      <w:bookmarkStart w:id="1480" w:name="_Toc1446953302"/>
      <w:bookmarkStart w:id="1481" w:name="_Toc373478420"/>
      <w:bookmarkStart w:id="1482" w:name="_Toc78449862"/>
      <w:r>
        <w:rPr>
          <w:color w:val="auto"/>
          <w:highlight w:val="none"/>
        </w:rPr>
        <w:t xml:space="preserve">18.1 </w:t>
      </w:r>
      <w:r>
        <w:rPr>
          <w:rFonts w:hint="eastAsia" w:hAnsi="宋体" w:cs="黑体"/>
          <w:color w:val="auto"/>
          <w:highlight w:val="none"/>
        </w:rPr>
        <w:t>工程保险</w:t>
      </w:r>
      <w:bookmarkEnd w:id="1475"/>
      <w:bookmarkEnd w:id="1476"/>
      <w:bookmarkEnd w:id="1477"/>
      <w:bookmarkEnd w:id="1478"/>
      <w:bookmarkEnd w:id="1479"/>
      <w:bookmarkEnd w:id="1480"/>
      <w:bookmarkEnd w:id="1481"/>
      <w:bookmarkEnd w:id="1482"/>
    </w:p>
    <w:p>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ascii="宋体" w:hAnsi="宋体" w:eastAsia="宋体" w:cs="宋体"/>
          <w:color w:val="auto"/>
          <w:spacing w:val="0"/>
          <w:highlight w:val="none"/>
          <w:u w:val="single"/>
        </w:rPr>
        <w:t xml:space="preserve"> 由承包人根据需要自行办理，费用由承包人负责 </w:t>
      </w:r>
      <w:r>
        <w:rPr>
          <w:rFonts w:hint="eastAsia" w:hAnsi="宋体" w:cs="宋体"/>
          <w:color w:val="auto"/>
          <w:kern w:val="0"/>
          <w:highlight w:val="none"/>
        </w:rPr>
        <w:t>。</w:t>
      </w:r>
    </w:p>
    <w:p>
      <w:pPr>
        <w:pStyle w:val="4"/>
        <w:rPr>
          <w:color w:val="auto"/>
          <w:highlight w:val="none"/>
        </w:rPr>
      </w:pPr>
      <w:bookmarkStart w:id="1483" w:name="_Toc389065339"/>
      <w:bookmarkStart w:id="1484" w:name="_Toc407135277"/>
      <w:bookmarkStart w:id="1485" w:name="_Toc10386"/>
      <w:bookmarkStart w:id="1486" w:name="_Toc2001387503"/>
      <w:bookmarkStart w:id="1487" w:name="_Toc373478421"/>
      <w:bookmarkStart w:id="1488" w:name="_Toc78449863"/>
      <w:bookmarkStart w:id="1489" w:name="_Toc454766369"/>
      <w:bookmarkStart w:id="1490" w:name="_Toc373227774"/>
      <w:r>
        <w:rPr>
          <w:color w:val="auto"/>
          <w:highlight w:val="none"/>
        </w:rPr>
        <w:t xml:space="preserve">18.3 </w:t>
      </w:r>
      <w:r>
        <w:rPr>
          <w:rFonts w:hint="eastAsia" w:hAnsi="宋体" w:cs="黑体"/>
          <w:color w:val="auto"/>
          <w:highlight w:val="none"/>
        </w:rPr>
        <w:t>其他保险</w:t>
      </w:r>
      <w:bookmarkEnd w:id="1483"/>
      <w:bookmarkEnd w:id="1484"/>
      <w:bookmarkEnd w:id="1485"/>
      <w:bookmarkEnd w:id="1486"/>
      <w:bookmarkEnd w:id="1487"/>
      <w:bookmarkEnd w:id="1488"/>
      <w:bookmarkEnd w:id="1489"/>
      <w:bookmarkEnd w:id="1490"/>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关于其他保险的约定：</w:t>
      </w:r>
      <w:r>
        <w:rPr>
          <w:rFonts w:ascii="宋体" w:hAnsi="宋体" w:eastAsia="宋体" w:cs="宋体"/>
          <w:color w:val="auto"/>
          <w:spacing w:val="0"/>
          <w:highlight w:val="none"/>
          <w:u w:val="single"/>
        </w:rPr>
        <w:t xml:space="preserve"> 承包人必须为施工现场从事施工的所有作业人员和管理人员办理意外伤害保险或工伤保险，并支付保险费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highlight w:val="none"/>
          <w:u w:val="single"/>
        </w:rPr>
        <w:t>承包人根据《自治区住房城乡建设厅关于印发广西壮族自治区房屋建筑和市政基础设施工程安全生产责任保险计价规定的通知》（桂建发〔2023〕6号）相关条款，以工程项目为单元参保安全生产责任保险费，并承担相关保险费用</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ascii="宋体" w:hAnsi="宋体" w:eastAsia="宋体" w:cs="宋体"/>
          <w:color w:val="auto"/>
          <w:spacing w:val="0"/>
          <w:highlight w:val="none"/>
          <w:u w:val="single"/>
        </w:rPr>
        <w:t xml:space="preserve"> 由承包人自行考虑 </w:t>
      </w:r>
      <w:r>
        <w:rPr>
          <w:rFonts w:hint="eastAsia" w:hAnsi="宋体" w:cs="宋体"/>
          <w:color w:val="auto"/>
          <w:highlight w:val="none"/>
        </w:rPr>
        <w:t>。</w:t>
      </w:r>
    </w:p>
    <w:p>
      <w:pPr>
        <w:pStyle w:val="4"/>
        <w:rPr>
          <w:color w:val="auto"/>
          <w:highlight w:val="none"/>
        </w:rPr>
      </w:pPr>
      <w:bookmarkStart w:id="1491" w:name="_Toc78449864"/>
      <w:bookmarkStart w:id="1492" w:name="_Toc1114527236"/>
      <w:bookmarkStart w:id="1493" w:name="_Toc373227775"/>
      <w:bookmarkStart w:id="1494" w:name="_Toc2102614655"/>
      <w:bookmarkStart w:id="1495" w:name="_Toc4173"/>
      <w:bookmarkStart w:id="1496" w:name="_Toc389065340"/>
      <w:bookmarkStart w:id="1497" w:name="_Toc407135278"/>
      <w:bookmarkStart w:id="1498" w:name="_Toc373478422"/>
      <w:r>
        <w:rPr>
          <w:color w:val="auto"/>
          <w:highlight w:val="none"/>
        </w:rPr>
        <w:t xml:space="preserve">18.7 </w:t>
      </w:r>
      <w:r>
        <w:rPr>
          <w:rFonts w:hint="eastAsia" w:hAnsi="宋体" w:cs="黑体"/>
          <w:color w:val="auto"/>
          <w:highlight w:val="none"/>
        </w:rPr>
        <w:t>通知义务</w:t>
      </w:r>
      <w:bookmarkEnd w:id="1491"/>
      <w:bookmarkEnd w:id="1492"/>
      <w:bookmarkEnd w:id="1493"/>
      <w:bookmarkEnd w:id="1494"/>
      <w:bookmarkEnd w:id="1495"/>
      <w:bookmarkEnd w:id="1496"/>
      <w:bookmarkEnd w:id="1497"/>
      <w:bookmarkEnd w:id="1498"/>
    </w:p>
    <w:p>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345"/>
    <w:bookmarkEnd w:id="1346"/>
    <w:bookmarkEnd w:id="1347"/>
    <w:bookmarkEnd w:id="1348"/>
    <w:bookmarkEnd w:id="1349"/>
    <w:bookmarkEnd w:id="1350"/>
    <w:bookmarkEnd w:id="1351"/>
    <w:bookmarkEnd w:id="1352"/>
    <w:bookmarkEnd w:id="1353"/>
    <w:bookmarkEnd w:id="1354"/>
    <w:bookmarkEnd w:id="1355"/>
    <w:bookmarkEnd w:id="1356"/>
    <w:p>
      <w:pPr>
        <w:pStyle w:val="3"/>
        <w:rPr>
          <w:color w:val="auto"/>
          <w:highlight w:val="none"/>
        </w:rPr>
      </w:pPr>
      <w:bookmarkStart w:id="1499" w:name="_Toc373478423"/>
      <w:bookmarkStart w:id="1500" w:name="_Toc6423"/>
      <w:bookmarkStart w:id="1501" w:name="_Toc373227776"/>
      <w:bookmarkStart w:id="1502" w:name="_Toc407135279"/>
      <w:bookmarkStart w:id="1503" w:name="_Toc351203651"/>
      <w:bookmarkStart w:id="1504" w:name="_Toc1959910599"/>
      <w:bookmarkStart w:id="1505" w:name="_Toc78449865"/>
      <w:bookmarkStart w:id="1506" w:name="_Toc389065341"/>
      <w:bookmarkStart w:id="1507" w:name="_Toc1430568476"/>
      <w:bookmarkStart w:id="1508" w:name="_Toc11463"/>
      <w:r>
        <w:rPr>
          <w:color w:val="auto"/>
          <w:highlight w:val="none"/>
        </w:rPr>
        <w:t xml:space="preserve">20. </w:t>
      </w:r>
      <w:r>
        <w:rPr>
          <w:rFonts w:hint="eastAsia" w:hAnsi="宋体" w:cs="黑体"/>
          <w:color w:val="auto"/>
          <w:highlight w:val="none"/>
        </w:rPr>
        <w:t>争议解决</w:t>
      </w:r>
      <w:bookmarkEnd w:id="1499"/>
      <w:bookmarkEnd w:id="1500"/>
      <w:bookmarkEnd w:id="1501"/>
      <w:bookmarkEnd w:id="1502"/>
      <w:bookmarkEnd w:id="1503"/>
      <w:bookmarkEnd w:id="1504"/>
      <w:bookmarkEnd w:id="1505"/>
      <w:bookmarkEnd w:id="1506"/>
      <w:bookmarkEnd w:id="1507"/>
      <w:bookmarkEnd w:id="1508"/>
    </w:p>
    <w:bookmarkEnd w:id="1357"/>
    <w:bookmarkEnd w:id="1358"/>
    <w:p>
      <w:pPr>
        <w:pStyle w:val="4"/>
        <w:rPr>
          <w:color w:val="auto"/>
          <w:highlight w:val="none"/>
        </w:rPr>
      </w:pPr>
      <w:bookmarkStart w:id="1509" w:name="_Toc2138124043"/>
      <w:bookmarkStart w:id="1510" w:name="_Toc373227777"/>
      <w:bookmarkStart w:id="1511" w:name="_Toc373478424"/>
      <w:bookmarkStart w:id="1512" w:name="_Toc407135280"/>
      <w:bookmarkStart w:id="1513" w:name="_Toc1645489822"/>
      <w:bookmarkStart w:id="1514" w:name="_Toc78449866"/>
      <w:bookmarkStart w:id="1515" w:name="_Toc389065342"/>
      <w:bookmarkStart w:id="1516" w:name="_Toc1270"/>
      <w:r>
        <w:rPr>
          <w:color w:val="auto"/>
          <w:highlight w:val="none"/>
        </w:rPr>
        <w:t xml:space="preserve">20.3 </w:t>
      </w:r>
      <w:r>
        <w:rPr>
          <w:rFonts w:hint="eastAsia" w:hAnsi="宋体" w:cs="黑体"/>
          <w:color w:val="auto"/>
          <w:highlight w:val="none"/>
        </w:rPr>
        <w:t>争</w:t>
      </w:r>
      <w:bookmarkEnd w:id="1359"/>
      <w:r>
        <w:rPr>
          <w:rFonts w:hint="eastAsia" w:hAnsi="宋体" w:cs="黑体"/>
          <w:color w:val="auto"/>
          <w:highlight w:val="none"/>
        </w:rPr>
        <w:t>议评审</w:t>
      </w:r>
      <w:bookmarkEnd w:id="1509"/>
      <w:bookmarkEnd w:id="1510"/>
      <w:bookmarkEnd w:id="1511"/>
      <w:bookmarkEnd w:id="1512"/>
      <w:bookmarkEnd w:id="1513"/>
      <w:bookmarkEnd w:id="1514"/>
      <w:bookmarkEnd w:id="1515"/>
      <w:bookmarkEnd w:id="1516"/>
    </w:p>
    <w:p>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rFonts w:ascii="宋体" w:hAnsi="宋体" w:eastAsia="宋体" w:cs="宋体"/>
          <w:color w:val="auto"/>
          <w:highlight w:val="none"/>
          <w:u w:val="single"/>
        </w:rPr>
        <w:t xml:space="preserve"> 不同意 </w:t>
      </w:r>
      <w:r>
        <w:rPr>
          <w:rFonts w:hint="eastAsia" w:hAnsi="宋体" w:cs="宋体"/>
          <w:color w:val="auto"/>
          <w:highlight w:val="none"/>
        </w:rPr>
        <w:t>。</w:t>
      </w:r>
    </w:p>
    <w:p>
      <w:pPr>
        <w:spacing w:line="360" w:lineRule="auto"/>
        <w:ind w:firstLine="420" w:firstLineChars="200"/>
        <w:jc w:val="left"/>
        <w:outlineLvl w:val="0"/>
        <w:rPr>
          <w:color w:val="auto"/>
          <w:highlight w:val="none"/>
        </w:rPr>
      </w:pPr>
      <w:bookmarkStart w:id="1517" w:name="_Toc10402"/>
      <w:bookmarkStart w:id="1518" w:name="_Toc7187"/>
      <w:r>
        <w:rPr>
          <w:color w:val="auto"/>
          <w:highlight w:val="none"/>
        </w:rPr>
        <w:t xml:space="preserve">20.3.1 </w:t>
      </w:r>
      <w:r>
        <w:rPr>
          <w:rFonts w:hint="eastAsia" w:hAnsi="宋体" w:cs="宋体"/>
          <w:color w:val="auto"/>
          <w:highlight w:val="none"/>
        </w:rPr>
        <w:t>争议评审小组的确定</w:t>
      </w:r>
      <w:bookmarkEnd w:id="1517"/>
      <w:bookmarkEnd w:id="1518"/>
    </w:p>
    <w:p>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其他事项的约定：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pPr>
        <w:pStyle w:val="4"/>
        <w:rPr>
          <w:color w:val="auto"/>
          <w:highlight w:val="none"/>
        </w:rPr>
      </w:pPr>
      <w:bookmarkStart w:id="1519" w:name="_Toc389065343"/>
      <w:bookmarkStart w:id="1520" w:name="_Toc373478425"/>
      <w:bookmarkStart w:id="1521" w:name="_Toc15934"/>
      <w:bookmarkStart w:id="1522" w:name="_Toc373227778"/>
      <w:bookmarkStart w:id="1523" w:name="_Toc78449867"/>
      <w:bookmarkStart w:id="1524" w:name="_Toc1156795721"/>
      <w:bookmarkStart w:id="1525" w:name="_Toc1456517022"/>
      <w:bookmarkStart w:id="1526" w:name="_Toc407135281"/>
      <w:r>
        <w:rPr>
          <w:color w:val="auto"/>
          <w:highlight w:val="none"/>
        </w:rPr>
        <w:t xml:space="preserve">20.4 </w:t>
      </w:r>
      <w:r>
        <w:rPr>
          <w:rFonts w:hint="eastAsia" w:hAnsi="宋体" w:cs="黑体"/>
          <w:color w:val="auto"/>
          <w:highlight w:val="none"/>
        </w:rPr>
        <w:t>仲裁或诉讼</w:t>
      </w:r>
      <w:bookmarkEnd w:id="1360"/>
      <w:bookmarkEnd w:id="1519"/>
      <w:bookmarkEnd w:id="1520"/>
      <w:bookmarkEnd w:id="1521"/>
      <w:bookmarkEnd w:id="1522"/>
      <w:bookmarkEnd w:id="1523"/>
      <w:bookmarkEnd w:id="1524"/>
      <w:bookmarkEnd w:id="1525"/>
      <w:bookmarkEnd w:id="1526"/>
    </w:p>
    <w:p>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种方式解决：</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工程项目所在地</w:t>
      </w:r>
      <w:r>
        <w:rPr>
          <w:color w:val="auto"/>
          <w:highlight w:val="none"/>
          <w:u w:val="single"/>
        </w:rPr>
        <w:t xml:space="preserve">  </w:t>
      </w:r>
      <w:r>
        <w:rPr>
          <w:rFonts w:hint="eastAsia" w:hAnsi="宋体" w:cs="宋体"/>
          <w:color w:val="auto"/>
          <w:highlight w:val="none"/>
        </w:rPr>
        <w:t>人民法院起诉。</w:t>
      </w:r>
      <w:bookmarkEnd w:id="1361"/>
      <w:bookmarkEnd w:id="1362"/>
      <w:bookmarkEnd w:id="1363"/>
      <w:bookmarkEnd w:id="1364"/>
      <w:bookmarkEnd w:id="1365"/>
      <w:bookmarkEnd w:id="1366"/>
    </w:p>
    <w:p>
      <w:pPr>
        <w:spacing w:line="360" w:lineRule="auto"/>
        <w:jc w:val="left"/>
        <w:rPr>
          <w:rFonts w:hint="eastAsia" w:eastAsia="黑体" w:cs="黑体"/>
          <w:b/>
          <w:bCs/>
          <w:color w:val="auto"/>
          <w:sz w:val="28"/>
          <w:szCs w:val="28"/>
          <w:highlight w:val="none"/>
        </w:rPr>
      </w:pPr>
      <w:bookmarkStart w:id="1527" w:name="_Toc351203652"/>
    </w:p>
    <w:p>
      <w:pPr>
        <w:spacing w:line="360" w:lineRule="auto"/>
        <w:jc w:val="left"/>
        <w:rPr>
          <w:rFonts w:hint="eastAsia" w:eastAsia="黑体" w:cs="黑体"/>
          <w:b/>
          <w:bCs/>
          <w:color w:val="auto"/>
          <w:sz w:val="28"/>
          <w:szCs w:val="28"/>
          <w:highlight w:val="none"/>
        </w:rPr>
      </w:pPr>
    </w:p>
    <w:p>
      <w:pPr>
        <w:spacing w:line="360" w:lineRule="auto"/>
        <w:jc w:val="left"/>
        <w:rPr>
          <w:rFonts w:hint="eastAsia" w:eastAsia="黑体" w:cs="黑体"/>
          <w:b/>
          <w:bCs/>
          <w:color w:val="auto"/>
          <w:sz w:val="28"/>
          <w:szCs w:val="28"/>
          <w:highlight w:val="none"/>
        </w:rPr>
      </w:pPr>
    </w:p>
    <w:p>
      <w:pPr>
        <w:spacing w:line="360" w:lineRule="auto"/>
        <w:jc w:val="left"/>
        <w:rPr>
          <w:rFonts w:hint="eastAsia" w:eastAsia="黑体" w:cs="黑体"/>
          <w:b/>
          <w:bCs/>
          <w:color w:val="auto"/>
          <w:sz w:val="28"/>
          <w:szCs w:val="28"/>
          <w:highlight w:val="none"/>
        </w:rPr>
      </w:pPr>
    </w:p>
    <w:p>
      <w:pPr>
        <w:spacing w:line="360" w:lineRule="auto"/>
        <w:jc w:val="left"/>
        <w:rPr>
          <w:rFonts w:hint="eastAsia" w:eastAsia="黑体" w:cs="黑体"/>
          <w:b/>
          <w:bCs/>
          <w:color w:val="auto"/>
          <w:sz w:val="28"/>
          <w:szCs w:val="28"/>
          <w:highlight w:val="none"/>
        </w:rPr>
      </w:pPr>
    </w:p>
    <w:p>
      <w:pPr>
        <w:spacing w:line="360" w:lineRule="auto"/>
        <w:jc w:val="left"/>
        <w:rPr>
          <w:rFonts w:hint="eastAsia" w:eastAsia="黑体" w:cs="黑体"/>
          <w:b/>
          <w:bCs/>
          <w:color w:val="auto"/>
          <w:sz w:val="28"/>
          <w:szCs w:val="28"/>
          <w:highlight w:val="none"/>
        </w:rPr>
      </w:pPr>
    </w:p>
    <w:p>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bookmarkEnd w:id="1527"/>
    </w:p>
    <w:p>
      <w:pPr>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pPr>
        <w:spacing w:line="360" w:lineRule="auto"/>
        <w:jc w:val="left"/>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pPr>
        <w:spacing w:line="360" w:lineRule="auto"/>
        <w:jc w:val="left"/>
        <w:rPr>
          <w:rFonts w:ascii="宋体" w:hAnsi="宋体" w:cs="宋体"/>
          <w:color w:val="auto"/>
          <w:highlight w:val="none"/>
        </w:rPr>
      </w:pPr>
      <w:r>
        <w:rPr>
          <w:rFonts w:hint="eastAsia" w:ascii="宋体" w:hAnsi="宋体" w:cs="宋体"/>
          <w:color w:val="auto"/>
          <w:highlight w:val="none"/>
        </w:rPr>
        <w:t>附件4：承包人用于本工程施工的机械设备表</w:t>
      </w:r>
    </w:p>
    <w:p>
      <w:pPr>
        <w:spacing w:line="360" w:lineRule="auto"/>
        <w:jc w:val="left"/>
        <w:rPr>
          <w:rFonts w:ascii="宋体"/>
          <w:color w:val="auto"/>
          <w:highlight w:val="none"/>
        </w:rPr>
      </w:pPr>
      <w:r>
        <w:rPr>
          <w:rFonts w:hint="eastAsia" w:ascii="宋体" w:hAnsi="宋体" w:cs="宋体"/>
          <w:color w:val="auto"/>
          <w:highlight w:val="none"/>
        </w:rPr>
        <w:t>附件5：承包人主要施工管理人员表</w:t>
      </w:r>
    </w:p>
    <w:p>
      <w:pPr>
        <w:spacing w:line="360" w:lineRule="auto"/>
        <w:jc w:val="left"/>
        <w:rPr>
          <w:rFonts w:ascii="宋体"/>
          <w:color w:val="auto"/>
          <w:highlight w:val="none"/>
        </w:rPr>
      </w:pPr>
      <w:r>
        <w:rPr>
          <w:rFonts w:hint="eastAsia" w:ascii="宋体" w:hAnsi="宋体" w:cs="宋体"/>
          <w:color w:val="auto"/>
          <w:highlight w:val="none"/>
        </w:rPr>
        <w:t>附件6：分包人主要施工管理人员表</w:t>
      </w:r>
    </w:p>
    <w:p>
      <w:pPr>
        <w:spacing w:line="360" w:lineRule="auto"/>
        <w:jc w:val="left"/>
        <w:rPr>
          <w:rFonts w:ascii="宋体"/>
          <w:color w:val="auto"/>
          <w:highlight w:val="none"/>
        </w:rPr>
      </w:pPr>
      <w:r>
        <w:rPr>
          <w:rFonts w:hint="eastAsia" w:ascii="宋体" w:hAnsi="宋体" w:cs="宋体"/>
          <w:color w:val="auto"/>
          <w:highlight w:val="none"/>
        </w:rPr>
        <w:t>附件7：履约担保格式（独立保函、非独立保函）</w:t>
      </w:r>
    </w:p>
    <w:p>
      <w:pPr>
        <w:spacing w:line="360" w:lineRule="auto"/>
        <w:jc w:val="left"/>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pPr>
        <w:spacing w:line="360" w:lineRule="auto"/>
        <w:jc w:val="left"/>
        <w:rPr>
          <w:rFonts w:ascii="宋体" w:hAnsi="宋体" w:cs="宋体"/>
          <w:color w:val="auto"/>
          <w:highlight w:val="none"/>
        </w:rPr>
      </w:pPr>
      <w:r>
        <w:rPr>
          <w:rFonts w:hint="eastAsia" w:ascii="宋体" w:hAnsi="宋体" w:cs="宋体"/>
          <w:color w:val="auto"/>
          <w:highlight w:val="none"/>
        </w:rPr>
        <w:t>附件9：支付担保格式（独立保函、非独立保函）</w:t>
      </w:r>
    </w:p>
    <w:p>
      <w:pPr>
        <w:spacing w:line="360" w:lineRule="auto"/>
        <w:jc w:val="left"/>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pPr>
        <w:spacing w:line="360" w:lineRule="auto"/>
        <w:jc w:val="left"/>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pPr>
        <w:spacing w:line="360" w:lineRule="auto"/>
        <w:jc w:val="left"/>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pPr>
        <w:spacing w:line="360" w:lineRule="auto"/>
        <w:jc w:val="left"/>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pPr>
        <w:spacing w:line="360" w:lineRule="auto"/>
        <w:jc w:val="left"/>
        <w:rPr>
          <w:rFonts w:hint="eastAsia"/>
          <w:color w:val="auto"/>
          <w:highlight w:val="none"/>
        </w:rPr>
      </w:pPr>
      <w:r>
        <w:rPr>
          <w:rFonts w:hint="eastAsia"/>
          <w:color w:val="auto"/>
          <w:highlight w:val="none"/>
        </w:rPr>
        <w:t>附件14：总价合同进度款支付分解表</w:t>
      </w:r>
    </w:p>
    <w:p>
      <w:pPr>
        <w:spacing w:line="460" w:lineRule="exact"/>
        <w:ind w:firstLine="420" w:firstLineChars="200"/>
        <w:rPr>
          <w:color w:val="auto"/>
          <w:highlight w:val="none"/>
        </w:rPr>
      </w:pPr>
    </w:p>
    <w:p>
      <w:pPr>
        <w:spacing w:line="460" w:lineRule="exact"/>
        <w:ind w:firstLine="420" w:firstLineChars="200"/>
        <w:rPr>
          <w:color w:val="auto"/>
          <w:highlight w:val="none"/>
        </w:rPr>
      </w:pPr>
    </w:p>
    <w:p>
      <w:pPr>
        <w:spacing w:line="460" w:lineRule="exact"/>
        <w:ind w:firstLine="420" w:firstLineChars="200"/>
        <w:rPr>
          <w:color w:val="auto"/>
          <w:highlight w:val="none"/>
        </w:rPr>
        <w:sectPr>
          <w:pgSz w:w="11907" w:h="16840"/>
          <w:pgMar w:top="1440" w:right="1440" w:bottom="1440" w:left="1797" w:header="851" w:footer="851" w:gutter="0"/>
          <w:cols w:space="720" w:num="1"/>
          <w:docGrid w:linePitch="312" w:charSpace="0"/>
        </w:sectPr>
      </w:pPr>
    </w:p>
    <w:p>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pPr>
              <w:pStyle w:val="9"/>
              <w:keepNext/>
              <w:spacing w:after="0" w:line="440" w:lineRule="exact"/>
              <w:ind w:left="63" w:right="63"/>
              <w:rPr>
                <w:rFonts w:hint="eastAsia" w:eastAsia="仿宋_GB2312"/>
                <w:color w:val="auto"/>
                <w:sz w:val="28"/>
                <w:szCs w:val="28"/>
                <w:highlight w:val="none"/>
                <w:lang w:eastAsia="zh-CN"/>
              </w:rPr>
            </w:pPr>
            <w:r>
              <w:rPr>
                <w:rFonts w:hint="eastAsia" w:eastAsia="仿宋_GB2312" w:cs="仿宋_GB2312"/>
                <w:color w:val="auto"/>
                <w:sz w:val="28"/>
                <w:szCs w:val="28"/>
                <w:highlight w:val="none"/>
              </w:rPr>
              <w:t>建筑面积</w:t>
            </w:r>
            <w:r>
              <w:rPr>
                <w:rFonts w:hint="eastAsia" w:eastAsia="仿宋_GB2312"/>
                <w:color w:val="auto"/>
                <w:sz w:val="28"/>
                <w:szCs w:val="28"/>
                <w:highlight w:val="none"/>
                <w:lang w:eastAsia="zh-CN"/>
              </w:rPr>
              <w:t>（</w:t>
            </w:r>
            <w:r>
              <w:rPr>
                <w:rFonts w:hint="eastAsia" w:eastAsia="仿宋_GB2312" w:cs="仿宋_GB2312"/>
                <w:color w:val="auto"/>
                <w:sz w:val="28"/>
                <w:szCs w:val="28"/>
                <w:highlight w:val="none"/>
              </w:rPr>
              <w:t>平方米</w:t>
            </w:r>
            <w:r>
              <w:rPr>
                <w:rFonts w:hint="eastAsia" w:eastAsia="仿宋_GB2312"/>
                <w:color w:val="auto"/>
                <w:sz w:val="28"/>
                <w:szCs w:val="28"/>
                <w:highlight w:val="none"/>
                <w:lang w:eastAsia="zh-CN"/>
              </w:rPr>
              <w:t>）</w:t>
            </w:r>
          </w:p>
        </w:tc>
        <w:tc>
          <w:tcPr>
            <w:tcW w:w="166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pPr>
              <w:pStyle w:val="9"/>
              <w:keepNext/>
              <w:spacing w:after="0" w:line="440" w:lineRule="exact"/>
              <w:ind w:left="63" w:right="63"/>
              <w:rPr>
                <w:rFonts w:eastAsia="仿宋_GB2312"/>
                <w:color w:val="auto"/>
                <w:sz w:val="30"/>
                <w:szCs w:val="30"/>
                <w:highlight w:val="none"/>
              </w:rPr>
            </w:pPr>
          </w:p>
        </w:tc>
        <w:tc>
          <w:tcPr>
            <w:tcW w:w="851"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r>
    </w:tbl>
    <w:p>
      <w:pPr>
        <w:spacing w:line="460" w:lineRule="exact"/>
        <w:ind w:firstLine="420" w:firstLineChars="200"/>
        <w:rPr>
          <w:color w:val="auto"/>
          <w:highlight w:val="none"/>
        </w:rPr>
      </w:pPr>
    </w:p>
    <w:p>
      <w:pPr>
        <w:spacing w:line="460" w:lineRule="exact"/>
        <w:ind w:firstLine="420" w:firstLineChars="200"/>
        <w:rPr>
          <w:color w:val="auto"/>
          <w:highlight w:val="none"/>
        </w:rPr>
      </w:pPr>
    </w:p>
    <w:p>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pPr>
        <w:spacing w:line="440" w:lineRule="exact"/>
        <w:rPr>
          <w:color w:val="auto"/>
          <w:highlight w:val="none"/>
        </w:rPr>
      </w:pPr>
    </w:p>
    <w:p>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Fonts w:hint="eastAsia" w:hAnsi="宋体" w:cs="宋体"/>
          <w:color w:val="auto"/>
          <w:highlight w:val="none"/>
          <w:u w:val="single"/>
          <w:lang w:val="en-US" w:eastAsia="zh-CN"/>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none"/>
        </w:rPr>
        <w:t>满</w:t>
      </w:r>
      <w:r>
        <w:rPr>
          <w:rFonts w:hint="eastAsia" w:ascii="仿宋_GB2312" w:hAnsi="宋体"/>
          <w:color w:val="auto"/>
          <w:highlight w:val="none"/>
        </w:rPr>
        <w:t>之日起</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pPr>
        <w:spacing w:line="360" w:lineRule="auto"/>
        <w:ind w:firstLine="420"/>
        <w:rPr>
          <w:color w:val="auto"/>
          <w:highlight w:val="none"/>
        </w:rPr>
      </w:pPr>
    </w:p>
    <w:p>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ascii="黑体" w:hAnsi="宋体" w:eastAsia="黑体"/>
          <w:color w:val="auto"/>
          <w:sz w:val="32"/>
          <w:szCs w:val="32"/>
          <w:highlight w:val="none"/>
        </w:rPr>
      </w:pPr>
    </w:p>
    <w:p>
      <w:pPr>
        <w:spacing w:before="120" w:beforeLines="50" w:after="120" w:afterLines="50" w:line="440" w:lineRule="exact"/>
        <w:jc w:val="center"/>
        <w:rPr>
          <w:rFonts w:hint="eastAsia" w:ascii="黑体" w:hAnsi="宋体" w:eastAsia="黑体" w:cs="黑体"/>
          <w:color w:val="auto"/>
          <w:sz w:val="32"/>
          <w:szCs w:val="32"/>
          <w:highlight w:val="none"/>
        </w:rPr>
      </w:pPr>
    </w:p>
    <w:p>
      <w:pPr>
        <w:spacing w:before="120" w:beforeLines="50" w:after="120" w:afterLines="50" w:line="440" w:lineRule="exact"/>
        <w:jc w:val="center"/>
        <w:rPr>
          <w:rFonts w:hint="eastAsia" w:ascii="黑体" w:hAnsi="宋体" w:eastAsia="黑体" w:cs="黑体"/>
          <w:color w:val="auto"/>
          <w:sz w:val="32"/>
          <w:szCs w:val="32"/>
          <w:highlight w:val="none"/>
        </w:rPr>
      </w:pPr>
    </w:p>
    <w:p>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eastAsia="仿宋_GB2312"/>
                <w:color w:val="auto"/>
                <w:sz w:val="30"/>
                <w:szCs w:val="30"/>
                <w:highlight w:val="none"/>
              </w:rPr>
            </w:pPr>
          </w:p>
        </w:tc>
        <w:tc>
          <w:tcPr>
            <w:tcW w:w="1276"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243" w:type="dxa"/>
            <w:noWrap w:val="0"/>
            <w:vAlign w:val="top"/>
          </w:tcPr>
          <w:p>
            <w:pPr>
              <w:rPr>
                <w:rFonts w:eastAsia="仿宋_GB2312"/>
                <w:color w:val="auto"/>
                <w:sz w:val="30"/>
                <w:szCs w:val="30"/>
                <w:highlight w:val="none"/>
              </w:rPr>
            </w:pPr>
          </w:p>
        </w:tc>
        <w:tc>
          <w:tcPr>
            <w:tcW w:w="1450" w:type="dxa"/>
            <w:noWrap w:val="0"/>
            <w:vAlign w:val="top"/>
          </w:tcPr>
          <w:p>
            <w:pPr>
              <w:rPr>
                <w:rFonts w:eastAsia="仿宋_GB2312"/>
                <w:color w:val="auto"/>
                <w:sz w:val="30"/>
                <w:szCs w:val="30"/>
                <w:highlight w:val="none"/>
              </w:rPr>
            </w:pPr>
          </w:p>
        </w:tc>
        <w:tc>
          <w:tcPr>
            <w:tcW w:w="1667" w:type="dxa"/>
            <w:noWrap w:val="0"/>
            <w:vAlign w:val="top"/>
          </w:tcPr>
          <w:p>
            <w:pPr>
              <w:rPr>
                <w:rFonts w:eastAsia="仿宋_GB2312"/>
                <w:color w:val="auto"/>
                <w:sz w:val="30"/>
                <w:szCs w:val="30"/>
                <w:highlight w:val="none"/>
              </w:rPr>
            </w:pPr>
          </w:p>
        </w:tc>
      </w:tr>
    </w:tbl>
    <w:p>
      <w:pPr>
        <w:spacing w:line="440" w:lineRule="exact"/>
        <w:rPr>
          <w:rFonts w:hint="eastAsia" w:eastAsia="仿宋_GB2312"/>
          <w:color w:val="auto"/>
          <w:sz w:val="30"/>
          <w:szCs w:val="30"/>
          <w:highlight w:val="none"/>
        </w:rPr>
      </w:pPr>
    </w:p>
    <w:p>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pPr>
              <w:pStyle w:val="9"/>
              <w:keepNext/>
              <w:spacing w:after="0" w:line="440" w:lineRule="exact"/>
              <w:ind w:left="63" w:right="63"/>
              <w:rPr>
                <w:rFonts w:eastAsia="仿宋_GB2312"/>
                <w:color w:val="auto"/>
                <w:sz w:val="30"/>
                <w:szCs w:val="30"/>
                <w:highlight w:val="none"/>
              </w:rPr>
            </w:pPr>
          </w:p>
        </w:tc>
        <w:tc>
          <w:tcPr>
            <w:tcW w:w="850" w:type="dxa"/>
            <w:noWrap w:val="0"/>
            <w:vAlign w:val="center"/>
          </w:tcPr>
          <w:p>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pPr>
              <w:pStyle w:val="9"/>
              <w:keepNext/>
              <w:spacing w:after="0" w:line="440" w:lineRule="exact"/>
              <w:ind w:left="63" w:right="63"/>
              <w:rPr>
                <w:rFonts w:eastAsia="仿宋_GB2312"/>
                <w:color w:val="auto"/>
                <w:sz w:val="30"/>
                <w:szCs w:val="30"/>
                <w:highlight w:val="none"/>
              </w:rPr>
            </w:pPr>
          </w:p>
        </w:tc>
        <w:tc>
          <w:tcPr>
            <w:tcW w:w="8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pPr>
              <w:pStyle w:val="9"/>
              <w:keepNext/>
              <w:spacing w:after="0" w:line="440" w:lineRule="exact"/>
              <w:ind w:left="63" w:right="63"/>
              <w:rPr>
                <w:rFonts w:eastAsia="仿宋_GB2312"/>
                <w:color w:val="auto"/>
                <w:sz w:val="30"/>
                <w:szCs w:val="30"/>
                <w:highlight w:val="none"/>
              </w:rPr>
            </w:pPr>
          </w:p>
        </w:tc>
        <w:tc>
          <w:tcPr>
            <w:tcW w:w="921"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bl>
    <w:p>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528" w:name="_Toc296891268"/>
      <w:bookmarkStart w:id="1529" w:name="_Toc296346729"/>
      <w:bookmarkStart w:id="1530" w:name="_Toc296891056"/>
      <w:bookmarkStart w:id="1531" w:name="_Toc296347227"/>
      <w:bookmarkStart w:id="1532" w:name="_Toc296503228"/>
      <w:bookmarkStart w:id="1533" w:name="_Toc296944567"/>
      <w:bookmarkStart w:id="1534" w:name="_Toc267261699"/>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528"/>
    <w:bookmarkEnd w:id="1529"/>
    <w:bookmarkEnd w:id="1530"/>
    <w:bookmarkEnd w:id="1531"/>
    <w:bookmarkEnd w:id="1532"/>
    <w:bookmarkEnd w:id="1533"/>
    <w:bookmarkEnd w:id="1534"/>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pStyle w:val="9"/>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535" w:name="_Toc296891057"/>
      <w:bookmarkStart w:id="1536" w:name="_Toc296944568"/>
      <w:bookmarkStart w:id="1537" w:name="_Toc296503229"/>
      <w:bookmarkStart w:id="1538" w:name="_Toc296891269"/>
      <w:bookmarkStart w:id="1539" w:name="_Toc296346730"/>
      <w:bookmarkStart w:id="1540" w:name="_Toc296347228"/>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535"/>
    <w:bookmarkEnd w:id="1536"/>
    <w:bookmarkEnd w:id="1537"/>
    <w:bookmarkEnd w:id="1538"/>
    <w:bookmarkEnd w:id="1539"/>
    <w:bookmarkEnd w:id="1540"/>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pPr>
              <w:pStyle w:val="9"/>
              <w:keepNext/>
              <w:spacing w:after="0" w:line="440" w:lineRule="exact"/>
              <w:ind w:left="63" w:right="63"/>
              <w:rPr>
                <w:rFonts w:eastAsia="仿宋_GB2312"/>
                <w:color w:val="auto"/>
                <w:sz w:val="30"/>
                <w:szCs w:val="30"/>
                <w:highlight w:val="none"/>
              </w:rPr>
            </w:pPr>
          </w:p>
        </w:tc>
      </w:tr>
    </w:tbl>
    <w:p>
      <w:pPr>
        <w:pStyle w:val="11"/>
        <w:tabs>
          <w:tab w:val="left" w:pos="2472"/>
        </w:tabs>
        <w:spacing w:line="460" w:lineRule="exact"/>
        <w:jc w:val="center"/>
        <w:outlineLvl w:val="0"/>
        <w:rPr>
          <w:rFonts w:hint="eastAsia" w:ascii="宋体" w:hAnsi="宋体" w:eastAsia="宋体" w:cs="宋体"/>
          <w:b/>
          <w:sz w:val="36"/>
          <w:highlight w:val="none"/>
        </w:rPr>
      </w:pPr>
      <w:r>
        <w:rPr>
          <w:rFonts w:eastAsia="仿宋_GB2312"/>
          <w:color w:val="auto"/>
          <w:sz w:val="30"/>
          <w:szCs w:val="30"/>
          <w:highlight w:val="none"/>
        </w:rPr>
        <w:br w:type="page"/>
      </w:r>
      <w:bookmarkStart w:id="1541" w:name="_Toc23994"/>
      <w:bookmarkStart w:id="1542" w:name="_Toc26884"/>
      <w:r>
        <w:rPr>
          <w:rFonts w:hint="eastAsia" w:ascii="宋体" w:hAnsi="宋体" w:eastAsia="宋体" w:cs="宋体"/>
          <w:b/>
          <w:sz w:val="36"/>
          <w:highlight w:val="none"/>
        </w:rPr>
        <w:t>第六章 投标文件格式</w:t>
      </w:r>
      <w:bookmarkEnd w:id="1541"/>
      <w:bookmarkEnd w:id="1542"/>
    </w:p>
    <w:p>
      <w:pPr>
        <w:widowControl/>
        <w:spacing w:beforeAutospacing="1" w:line="360" w:lineRule="auto"/>
        <w:jc w:val="left"/>
        <w:rPr>
          <w:rFonts w:hint="eastAsia" w:ascii="宋体" w:hAnsi="宋体" w:eastAsia="宋体" w:cs="宋体"/>
          <w:szCs w:val="20"/>
          <w:highlight w:val="none"/>
        </w:rPr>
        <w:sectPr>
          <w:pgSz w:w="11906" w:h="16838"/>
          <w:pgMar w:top="1134" w:right="1134" w:bottom="1134" w:left="1134" w:header="720" w:footer="720" w:gutter="0"/>
          <w:cols w:space="720" w:num="1"/>
          <w:docGrid w:type="lines" w:linePitch="331" w:charSpace="0"/>
        </w:sectPr>
      </w:pPr>
    </w:p>
    <w:p>
      <w:pPr>
        <w:pStyle w:val="11"/>
        <w:ind w:firstLine="551" w:firstLineChars="196"/>
        <w:jc w:val="center"/>
        <w:outlineLvl w:val="1"/>
        <w:rPr>
          <w:rFonts w:hint="eastAsia" w:ascii="宋体" w:hAnsi="宋体" w:eastAsia="宋体" w:cs="宋体"/>
          <w:b/>
          <w:bCs/>
          <w:color w:val="000000"/>
          <w:sz w:val="28"/>
          <w:szCs w:val="28"/>
          <w:highlight w:val="none"/>
        </w:rPr>
      </w:pPr>
      <w:bookmarkStart w:id="1543" w:name="_Toc17250"/>
      <w:bookmarkStart w:id="1544" w:name="_Toc6317"/>
      <w:r>
        <w:rPr>
          <w:rFonts w:hint="eastAsia" w:ascii="宋体" w:hAnsi="宋体" w:eastAsia="宋体" w:cs="宋体"/>
          <w:b/>
          <w:bCs/>
          <w:color w:val="000000"/>
          <w:sz w:val="28"/>
          <w:szCs w:val="28"/>
          <w:highlight w:val="none"/>
        </w:rPr>
        <w:t>第一节 投标文件外层包装封面</w:t>
      </w:r>
      <w:bookmarkEnd w:id="1543"/>
      <w:bookmarkEnd w:id="1544"/>
    </w:p>
    <w:p>
      <w:pPr>
        <w:spacing w:before="120" w:beforeLines="50" w:after="120" w:afterLines="50"/>
        <w:jc w:val="center"/>
        <w:rPr>
          <w:rFonts w:hint="eastAsia" w:ascii="宋体" w:hAnsi="宋体" w:eastAsia="宋体" w:cs="宋体"/>
          <w:spacing w:val="20"/>
          <w:sz w:val="44"/>
          <w:szCs w:val="44"/>
          <w:highlight w:val="none"/>
        </w:rPr>
      </w:pPr>
    </w:p>
    <w:p>
      <w:pPr>
        <w:spacing w:before="120" w:beforeLines="50" w:after="120" w:afterLines="50"/>
        <w:jc w:val="center"/>
        <w:rPr>
          <w:rFonts w:hint="eastAsia" w:ascii="宋体" w:hAnsi="宋体" w:eastAsia="宋体" w:cs="宋体"/>
          <w:spacing w:val="20"/>
          <w:sz w:val="44"/>
          <w:szCs w:val="44"/>
          <w:highlight w:val="none"/>
        </w:rPr>
      </w:pPr>
    </w:p>
    <w:p>
      <w:pPr>
        <w:spacing w:before="120" w:beforeLines="50" w:after="120" w:afterLines="50"/>
        <w:jc w:val="center"/>
        <w:rPr>
          <w:rFonts w:hint="eastAsia" w:ascii="宋体" w:hAnsi="宋体" w:eastAsia="宋体" w:cs="宋体"/>
          <w:spacing w:val="20"/>
          <w:sz w:val="44"/>
          <w:szCs w:val="44"/>
          <w:highlight w:val="none"/>
        </w:rPr>
      </w:pPr>
    </w:p>
    <w:p>
      <w:pPr>
        <w:spacing w:before="120" w:beforeLines="50" w:after="120" w:afterLines="50"/>
        <w:jc w:val="center"/>
        <w:rPr>
          <w:rFonts w:hint="eastAsia" w:ascii="宋体" w:hAnsi="宋体" w:eastAsia="宋体" w:cs="宋体"/>
          <w:spacing w:val="20"/>
          <w:sz w:val="44"/>
          <w:szCs w:val="44"/>
          <w:highlight w:val="none"/>
        </w:rPr>
      </w:pPr>
    </w:p>
    <w:p>
      <w:pPr>
        <w:spacing w:before="120" w:beforeLines="50" w:after="120" w:afterLines="50"/>
        <w:jc w:val="center"/>
        <w:rPr>
          <w:rFonts w:hint="eastAsia" w:ascii="宋体" w:hAnsi="宋体" w:eastAsia="宋体" w:cs="宋体"/>
          <w:spacing w:val="20"/>
          <w:sz w:val="44"/>
          <w:szCs w:val="44"/>
          <w:highlight w:val="none"/>
        </w:rPr>
      </w:pPr>
      <w:bookmarkStart w:id="1545" w:name="PO_3000001866_PM002_12"/>
      <w:r>
        <w:rPr>
          <w:rFonts w:hint="eastAsia" w:ascii="宋体" w:hAnsi="宋体" w:eastAsia="宋体" w:cs="宋体"/>
          <w:spacing w:val="20"/>
          <w:sz w:val="44"/>
          <w:szCs w:val="44"/>
          <w:highlight w:val="none"/>
        </w:rPr>
        <w:t>[项目名称]</w:t>
      </w:r>
      <w:bookmarkEnd w:id="1545"/>
    </w:p>
    <w:p>
      <w:pPr>
        <w:spacing w:before="120" w:beforeLines="50" w:after="120" w:afterLines="50"/>
        <w:jc w:val="center"/>
        <w:rPr>
          <w:rFonts w:hint="eastAsia" w:ascii="宋体" w:hAnsi="宋体" w:eastAsia="宋体" w:cs="宋体"/>
          <w:spacing w:val="40"/>
          <w:w w:val="110"/>
          <w:sz w:val="44"/>
          <w:szCs w:val="44"/>
          <w:highlight w:val="none"/>
        </w:rPr>
      </w:pPr>
      <w:r>
        <w:rPr>
          <w:rFonts w:hint="eastAsia" w:ascii="宋体" w:hAnsi="宋体" w:eastAsia="宋体" w:cs="宋体"/>
          <w:spacing w:val="40"/>
          <w:w w:val="110"/>
          <w:sz w:val="44"/>
          <w:szCs w:val="44"/>
          <w:highlight w:val="none"/>
        </w:rPr>
        <w:t>投标文件</w:t>
      </w:r>
    </w:p>
    <w:p>
      <w:pPr>
        <w:jc w:val="center"/>
        <w:rPr>
          <w:rFonts w:hint="eastAsia" w:ascii="宋体" w:hAnsi="宋体" w:eastAsia="宋体" w:cs="宋体"/>
          <w:sz w:val="24"/>
          <w:highlight w:val="none"/>
        </w:rPr>
      </w:pPr>
      <w:r>
        <w:rPr>
          <w:rFonts w:hint="eastAsia" w:ascii="宋体" w:hAnsi="宋体" w:eastAsia="宋体" w:cs="宋体"/>
          <w:sz w:val="24"/>
          <w:highlight w:val="none"/>
        </w:rPr>
        <w:t>（电子投标文件）</w:t>
      </w:r>
    </w:p>
    <w:tbl>
      <w:tblPr>
        <w:tblStyle w:val="18"/>
        <w:tblW w:w="7773" w:type="dxa"/>
        <w:jc w:val="center"/>
        <w:tblLayout w:type="fixed"/>
        <w:tblCellMar>
          <w:top w:w="0" w:type="dxa"/>
          <w:left w:w="108" w:type="dxa"/>
          <w:bottom w:w="0" w:type="dxa"/>
          <w:right w:w="108" w:type="dxa"/>
        </w:tblCellMar>
      </w:tblPr>
      <w:tblGrid>
        <w:gridCol w:w="1601"/>
        <w:gridCol w:w="6172"/>
      </w:tblGrid>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172" w:type="dxa"/>
            <w:tcBorders>
              <w:top w:val="nil"/>
              <w:left w:val="nil"/>
              <w:bottom w:val="single" w:color="000000" w:sz="4" w:space="0"/>
              <w:right w:val="nil"/>
            </w:tcBorders>
            <w:vAlign w:val="bottom"/>
          </w:tcPr>
          <w:p>
            <w:pPr>
              <w:jc w:val="left"/>
              <w:rPr>
                <w:rFonts w:hint="eastAsia" w:ascii="宋体" w:hAnsi="宋体" w:eastAsia="宋体" w:cs="宋体"/>
                <w:sz w:val="24"/>
                <w:highlight w:val="none"/>
              </w:rPr>
            </w:pPr>
          </w:p>
        </w:tc>
      </w:tr>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6172" w:type="dxa"/>
            <w:tcBorders>
              <w:top w:val="single" w:color="000000" w:sz="4" w:space="0"/>
              <w:left w:val="nil"/>
              <w:bottom w:val="single" w:color="000000" w:sz="4" w:space="0"/>
              <w:right w:val="nil"/>
            </w:tcBorders>
            <w:vAlign w:val="bottom"/>
          </w:tcPr>
          <w:p>
            <w:pPr>
              <w:jc w:val="left"/>
              <w:rPr>
                <w:rFonts w:hint="eastAsia" w:ascii="宋体" w:hAnsi="宋体" w:eastAsia="宋体" w:cs="宋体"/>
                <w:sz w:val="24"/>
                <w:highlight w:val="none"/>
              </w:rPr>
            </w:pPr>
          </w:p>
        </w:tc>
      </w:tr>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6172" w:type="dxa"/>
            <w:tcBorders>
              <w:top w:val="single" w:color="000000" w:sz="4" w:space="0"/>
              <w:left w:val="nil"/>
              <w:bottom w:val="single" w:color="000000" w:sz="4" w:space="0"/>
              <w:right w:val="nil"/>
            </w:tcBorders>
            <w:vAlign w:val="bottom"/>
          </w:tcPr>
          <w:p>
            <w:pPr>
              <w:jc w:val="left"/>
              <w:rPr>
                <w:rFonts w:hint="eastAsia" w:ascii="宋体" w:hAnsi="宋体" w:eastAsia="宋体" w:cs="宋体"/>
                <w:sz w:val="24"/>
                <w:highlight w:val="none"/>
              </w:rPr>
            </w:pPr>
          </w:p>
        </w:tc>
      </w:tr>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所投分标：</w:t>
            </w:r>
          </w:p>
        </w:tc>
        <w:tc>
          <w:tcPr>
            <w:tcW w:w="6172" w:type="dxa"/>
            <w:tcBorders>
              <w:top w:val="single" w:color="000000" w:sz="4" w:space="0"/>
              <w:left w:val="nil"/>
              <w:bottom w:val="single" w:color="000000" w:sz="4" w:space="0"/>
              <w:right w:val="nil"/>
            </w:tcBorders>
            <w:vAlign w:val="bottom"/>
          </w:tcPr>
          <w:p>
            <w:pPr>
              <w:jc w:val="left"/>
              <w:rPr>
                <w:rFonts w:hint="eastAsia" w:ascii="宋体" w:hAnsi="宋体" w:eastAsia="宋体" w:cs="宋体"/>
                <w:sz w:val="24"/>
                <w:highlight w:val="none"/>
              </w:rPr>
            </w:pPr>
          </w:p>
        </w:tc>
      </w:tr>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投标人名称：</w:t>
            </w:r>
          </w:p>
        </w:tc>
        <w:tc>
          <w:tcPr>
            <w:tcW w:w="6172" w:type="dxa"/>
            <w:tcBorders>
              <w:top w:val="single" w:color="000000" w:sz="4" w:space="0"/>
              <w:left w:val="nil"/>
              <w:bottom w:val="single" w:color="000000" w:sz="4" w:space="0"/>
              <w:right w:val="nil"/>
            </w:tcBorders>
            <w:vAlign w:val="bottom"/>
          </w:tcPr>
          <w:p>
            <w:pPr>
              <w:jc w:val="left"/>
              <w:rPr>
                <w:rFonts w:hint="eastAsia" w:ascii="宋体" w:hAnsi="宋体" w:eastAsia="宋体" w:cs="宋体"/>
                <w:sz w:val="24"/>
                <w:highlight w:val="none"/>
              </w:rPr>
            </w:pPr>
          </w:p>
        </w:tc>
      </w:tr>
      <w:tr>
        <w:tblPrEx>
          <w:tblCellMar>
            <w:top w:w="0" w:type="dxa"/>
            <w:left w:w="108" w:type="dxa"/>
            <w:bottom w:w="0" w:type="dxa"/>
            <w:right w:w="108" w:type="dxa"/>
          </w:tblCellMar>
        </w:tblPrEx>
        <w:trPr>
          <w:jc w:val="center"/>
        </w:trPr>
        <w:tc>
          <w:tcPr>
            <w:tcW w:w="1601" w:type="dxa"/>
            <w:vAlign w:val="bottom"/>
          </w:tcPr>
          <w:p>
            <w:pPr>
              <w:jc w:val="distribute"/>
              <w:rPr>
                <w:rFonts w:hint="eastAsia" w:ascii="宋体" w:hAnsi="宋体" w:eastAsia="宋体" w:cs="宋体"/>
                <w:sz w:val="24"/>
                <w:highlight w:val="none"/>
              </w:rPr>
            </w:pPr>
            <w:r>
              <w:rPr>
                <w:rFonts w:hint="eastAsia" w:ascii="宋体" w:hAnsi="宋体" w:eastAsia="宋体" w:cs="宋体"/>
                <w:sz w:val="24"/>
                <w:highlight w:val="none"/>
              </w:rPr>
              <w:t>投标人地址：</w:t>
            </w:r>
          </w:p>
        </w:tc>
        <w:tc>
          <w:tcPr>
            <w:tcW w:w="6172" w:type="dxa"/>
            <w:tcBorders>
              <w:top w:val="single" w:color="000000" w:sz="4" w:space="0"/>
              <w:left w:val="nil"/>
              <w:bottom w:val="single" w:color="000000" w:sz="4" w:space="0"/>
              <w:right w:val="nil"/>
            </w:tcBorders>
            <w:vAlign w:val="bottom"/>
          </w:tcPr>
          <w:p>
            <w:pPr>
              <w:jc w:val="left"/>
              <w:rPr>
                <w:rFonts w:hint="eastAsia" w:ascii="宋体" w:hAnsi="宋体" w:eastAsia="宋体" w:cs="宋体"/>
                <w:sz w:val="24"/>
                <w:highlight w:val="none"/>
              </w:rPr>
            </w:pPr>
          </w:p>
        </w:tc>
      </w:tr>
    </w:tbl>
    <w:p>
      <w:pPr>
        <w:ind w:firstLine="4200" w:firstLineChars="1750"/>
        <w:rPr>
          <w:rFonts w:hint="eastAsia" w:ascii="宋体" w:hAnsi="宋体" w:eastAsia="宋体" w:cs="宋体"/>
          <w:sz w:val="24"/>
          <w:highlight w:val="none"/>
        </w:rPr>
      </w:pPr>
    </w:p>
    <w:p>
      <w:pPr>
        <w:ind w:firstLine="4200" w:firstLineChars="1750"/>
        <w:rPr>
          <w:rFonts w:hint="eastAsia" w:ascii="宋体" w:hAnsi="宋体" w:eastAsia="宋体" w:cs="宋体"/>
          <w:sz w:val="24"/>
          <w:highlight w:val="none"/>
        </w:rPr>
      </w:pPr>
    </w:p>
    <w:p>
      <w:pPr>
        <w:ind w:firstLine="4200" w:firstLineChars="1750"/>
        <w:rPr>
          <w:rFonts w:hint="eastAsia" w:ascii="宋体" w:hAnsi="宋体" w:eastAsia="宋体" w:cs="宋体"/>
          <w:sz w:val="24"/>
          <w:highlight w:val="none"/>
        </w:rPr>
      </w:pPr>
    </w:p>
    <w:p>
      <w:pPr>
        <w:ind w:firstLine="5880" w:firstLineChars="2450"/>
        <w:rPr>
          <w:rFonts w:hint="eastAsia" w:ascii="宋体" w:hAnsi="宋体" w:eastAsia="宋体" w:cs="宋体"/>
          <w:sz w:val="24"/>
          <w:highlight w:val="none"/>
        </w:rPr>
      </w:pPr>
      <w:r>
        <w:rPr>
          <w:rFonts w:hint="eastAsia" w:ascii="宋体" w:hAnsi="宋体" w:eastAsia="宋体" w:cs="宋体"/>
          <w:sz w:val="24"/>
          <w:highlight w:val="none"/>
        </w:rPr>
        <w:t>投标截止时间前不得解密</w:t>
      </w:r>
    </w:p>
    <w:p>
      <w:pPr>
        <w:ind w:firstLine="6480" w:firstLineChars="2700"/>
        <w:rPr>
          <w:rFonts w:hint="eastAsia" w:ascii="宋体" w:hAnsi="宋体" w:eastAsia="宋体" w:cs="宋体"/>
          <w:sz w:val="24"/>
          <w:highlight w:val="none"/>
        </w:rPr>
      </w:pPr>
      <w:r>
        <w:rPr>
          <w:rFonts w:hint="eastAsia" w:ascii="宋体" w:hAnsi="宋体" w:eastAsia="宋体" w:cs="宋体"/>
          <w:sz w:val="24"/>
          <w:highlight w:val="none"/>
        </w:rPr>
        <w:t>年   月   日</w:t>
      </w:r>
    </w:p>
    <w:p>
      <w:pPr>
        <w:widowControl/>
        <w:jc w:val="left"/>
        <w:rPr>
          <w:rFonts w:hint="eastAsia" w:ascii="宋体" w:hAnsi="宋体" w:eastAsia="宋体" w:cs="宋体"/>
          <w:sz w:val="24"/>
          <w:highlight w:val="none"/>
        </w:rPr>
        <w:sectPr>
          <w:pgSz w:w="11907" w:h="16840"/>
          <w:pgMar w:top="1531" w:right="1418" w:bottom="1361" w:left="1418" w:header="720" w:footer="720" w:gutter="0"/>
          <w:cols w:space="720" w:num="1"/>
        </w:sectPr>
      </w:pPr>
    </w:p>
    <w:p>
      <w:pPr>
        <w:pStyle w:val="11"/>
        <w:jc w:val="center"/>
        <w:outlineLvl w:val="1"/>
        <w:rPr>
          <w:rFonts w:hint="eastAsia" w:ascii="宋体" w:hAnsi="宋体" w:eastAsia="宋体" w:cs="宋体"/>
          <w:b/>
          <w:bCs/>
          <w:color w:val="000000"/>
          <w:sz w:val="28"/>
          <w:szCs w:val="28"/>
          <w:highlight w:val="none"/>
        </w:rPr>
      </w:pPr>
      <w:bookmarkStart w:id="1546" w:name="_Toc7317"/>
      <w:bookmarkStart w:id="1547" w:name="_Toc24486"/>
      <w:r>
        <w:rPr>
          <w:rFonts w:hint="eastAsia" w:ascii="宋体" w:hAnsi="宋体" w:eastAsia="宋体" w:cs="宋体"/>
          <w:b/>
          <w:bCs/>
          <w:color w:val="000000"/>
          <w:sz w:val="28"/>
          <w:szCs w:val="28"/>
          <w:highlight w:val="none"/>
        </w:rPr>
        <w:t>第二节 资格证明文件格式</w:t>
      </w:r>
      <w:bookmarkEnd w:id="1546"/>
      <w:bookmarkEnd w:id="1547"/>
    </w:p>
    <w:p>
      <w:pPr>
        <w:pStyle w:val="11"/>
        <w:spacing w:line="360" w:lineRule="auto"/>
        <w:ind w:firstLine="420"/>
        <w:rPr>
          <w:rFonts w:hint="eastAsia" w:ascii="宋体" w:hAnsi="宋体" w:eastAsia="宋体" w:cs="宋体"/>
          <w:color w:val="000000"/>
          <w:sz w:val="30"/>
          <w:highlight w:val="none"/>
        </w:rPr>
      </w:pPr>
    </w:p>
    <w:p>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pPr>
        <w:snapToGrid w:val="0"/>
        <w:spacing w:before="165" w:beforeLines="50" w:after="50"/>
        <w:rPr>
          <w:rFonts w:hint="eastAsia" w:ascii="宋体" w:hAnsi="宋体" w:eastAsia="宋体" w:cs="宋体"/>
          <w:color w:val="000000"/>
          <w:sz w:val="24"/>
          <w:szCs w:val="20"/>
          <w:highlight w:val="none"/>
        </w:rPr>
      </w:pPr>
    </w:p>
    <w:p>
      <w:pPr>
        <w:snapToGrid w:val="0"/>
        <w:spacing w:before="165" w:beforeLines="50" w:after="5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32"/>
          <w:szCs w:val="32"/>
          <w:highlight w:val="none"/>
        </w:rPr>
        <w:t>资格证明文件（封面）</w:t>
      </w: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p>
    <w:p>
      <w:pPr>
        <w:snapToGrid w:val="0"/>
        <w:spacing w:before="165" w:beforeLines="50" w:after="50"/>
        <w:ind w:firstLine="540" w:firstLineChars="225"/>
        <w:rPr>
          <w:rFonts w:hint="eastAsia" w:ascii="宋体" w:hAnsi="宋体" w:eastAsia="宋体" w:cs="宋体"/>
          <w:bCs/>
          <w:color w:val="000000"/>
          <w:sz w:val="24"/>
          <w:szCs w:val="20"/>
          <w:highlight w:val="none"/>
        </w:rPr>
      </w:pP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项目编号：</w:t>
      </w:r>
    </w:p>
    <w:p>
      <w:pPr>
        <w:snapToGrid w:val="0"/>
        <w:spacing w:before="165" w:beforeLines="50" w:after="50"/>
        <w:ind w:firstLine="540" w:firstLineChars="225"/>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 </w:t>
      </w: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pPr>
        <w:pStyle w:val="7"/>
        <w:snapToGrid w:val="0"/>
        <w:spacing w:before="50" w:after="50"/>
        <w:ind w:firstLine="540" w:firstLineChars="225"/>
        <w:rPr>
          <w:rFonts w:hint="eastAsia" w:ascii="宋体" w:hAnsi="宋体" w:eastAsia="宋体" w:cs="宋体"/>
          <w:bCs/>
          <w:color w:val="000000"/>
          <w:sz w:val="24"/>
          <w:szCs w:val="24"/>
          <w:highlight w:val="none"/>
        </w:rPr>
      </w:pPr>
    </w:p>
    <w:p>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w:t>
      </w:r>
    </w:p>
    <w:p>
      <w:pPr>
        <w:pStyle w:val="7"/>
        <w:snapToGrid w:val="0"/>
        <w:spacing w:before="50" w:after="50"/>
        <w:ind w:firstLine="540" w:firstLineChars="225"/>
        <w:rPr>
          <w:rFonts w:hint="eastAsia" w:ascii="宋体" w:hAnsi="宋体" w:eastAsia="宋体" w:cs="宋体"/>
          <w:bCs/>
          <w:color w:val="000000"/>
          <w:sz w:val="24"/>
          <w:szCs w:val="24"/>
          <w:highlight w:val="none"/>
        </w:rPr>
      </w:pPr>
    </w:p>
    <w:p>
      <w:pPr>
        <w:pStyle w:val="7"/>
        <w:snapToGrid w:val="0"/>
        <w:spacing w:before="50" w:after="50"/>
        <w:ind w:firstLine="960" w:firstLineChars="400"/>
        <w:rPr>
          <w:rFonts w:hint="eastAsia" w:ascii="宋体" w:hAnsi="宋体" w:eastAsia="宋体" w:cs="宋体"/>
          <w:bCs/>
          <w:color w:val="000000"/>
          <w:sz w:val="24"/>
          <w:szCs w:val="24"/>
          <w:highlight w:val="none"/>
        </w:rPr>
      </w:pPr>
    </w:p>
    <w:p>
      <w:pPr>
        <w:snapToGrid w:val="0"/>
        <w:spacing w:before="165" w:beforeLines="50" w:after="50"/>
        <w:ind w:firstLine="645"/>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年  月  日</w:t>
      </w:r>
    </w:p>
    <w:p>
      <w:pPr>
        <w:widowControl/>
        <w:spacing w:line="360" w:lineRule="auto"/>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资格证明文件目录</w:t>
      </w:r>
    </w:p>
    <w:p>
      <w:pPr>
        <w:snapToGrid w:val="0"/>
        <w:spacing w:line="360" w:lineRule="auto"/>
        <w:rPr>
          <w:rFonts w:hint="eastAsia" w:ascii="宋体" w:hAnsi="宋体" w:eastAsia="宋体" w:cs="宋体"/>
          <w:kern w:val="0"/>
          <w:sz w:val="24"/>
          <w:highlight w:val="none"/>
        </w:rPr>
      </w:pP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一、</w:t>
      </w:r>
      <w:r>
        <w:rPr>
          <w:rFonts w:hint="eastAsia" w:ascii="宋体" w:hAnsi="宋体" w:eastAsia="宋体" w:cs="宋体"/>
          <w:sz w:val="24"/>
          <w:highlight w:val="none"/>
        </w:rPr>
        <w:t>营业执照</w:t>
      </w:r>
      <w:r>
        <w:rPr>
          <w:rFonts w:hint="eastAsia" w:ascii="宋体" w:hAnsi="宋体" w:eastAsia="宋体" w:cs="宋体"/>
          <w:sz w:val="24"/>
          <w:highlight w:val="none"/>
          <w:lang w:eastAsia="zh-CN"/>
        </w:rPr>
        <w:t>（</w:t>
      </w:r>
      <w:r>
        <w:rPr>
          <w:rFonts w:hint="eastAsia" w:ascii="宋体" w:hAnsi="宋体" w:eastAsia="宋体" w:cs="宋体"/>
          <w:sz w:val="24"/>
          <w:highlight w:val="none"/>
        </w:rPr>
        <w:t>或事业法人登记证或其他工商等登记证明材料</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复印件（投标人为自然人的，须提供</w:t>
      </w:r>
      <w:r>
        <w:rPr>
          <w:rFonts w:hint="eastAsia" w:ascii="宋体" w:hAnsi="宋体" w:eastAsia="宋体" w:cs="宋体"/>
          <w:kern w:val="0"/>
          <w:sz w:val="24"/>
          <w:highlight w:val="none"/>
        </w:rPr>
        <w:t>自然人的身份证明</w:t>
      </w:r>
      <w:r>
        <w:rPr>
          <w:rFonts w:hint="eastAsia" w:ascii="宋体" w:hAnsi="宋体" w:eastAsia="宋体" w:cs="宋体"/>
          <w:sz w:val="24"/>
          <w:highlight w:val="none"/>
        </w:rPr>
        <w:t>）</w:t>
      </w:r>
      <w:r>
        <w:rPr>
          <w:rFonts w:hint="eastAsia" w:ascii="宋体" w:hAnsi="宋体" w:eastAsia="宋体" w:cs="宋体"/>
          <w:kern w:val="0"/>
          <w:sz w:val="24"/>
          <w:highlight w:val="none"/>
        </w:rPr>
        <w:t>……………………………………………………………（页码）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二、符合参与政府采购活动的资格条件依法缴纳税收、社会保障资金等方面的材料…………………………………………………………………………………………（页码）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三、财务状况报告方面的材料…………………………………………………………（页码）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四、投标人直接控股股东信息</w:t>
      </w:r>
      <w:r>
        <w:rPr>
          <w:rFonts w:hint="eastAsia" w:ascii="宋体" w:hAnsi="宋体" w:eastAsia="宋体" w:cs="宋体"/>
          <w:kern w:val="0"/>
          <w:sz w:val="24"/>
          <w:highlight w:val="none"/>
        </w:rPr>
        <w:t>…………………………………………………………（页码）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五、投标人直接关联关系信息表</w:t>
      </w:r>
      <w:r>
        <w:rPr>
          <w:rFonts w:hint="eastAsia" w:ascii="宋体" w:hAnsi="宋体" w:eastAsia="宋体" w:cs="宋体"/>
          <w:kern w:val="0"/>
          <w:sz w:val="24"/>
          <w:highlight w:val="none"/>
        </w:rPr>
        <w:t>………………………………………………………（页码）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六、投标资格声明函……………………………………………………………………（页码）</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七、联合体协议书（</w:t>
      </w:r>
      <w:r>
        <w:rPr>
          <w:rFonts w:hint="eastAsia" w:ascii="宋体" w:hAnsi="宋体" w:eastAsia="宋体" w:cs="宋体"/>
          <w:sz w:val="24"/>
          <w:highlight w:val="none"/>
        </w:rPr>
        <w:t>以联合体形式投标的，提供联合体协议；本项目不接受联合体投标或者投标人不以联合体形式投标的，则不需要提供</w:t>
      </w:r>
      <w:r>
        <w:rPr>
          <w:rFonts w:hint="eastAsia" w:ascii="宋体" w:hAnsi="宋体" w:eastAsia="宋体" w:cs="宋体"/>
          <w:kern w:val="0"/>
          <w:sz w:val="24"/>
          <w:highlight w:val="none"/>
        </w:rPr>
        <w:t>）……………………………………（页码）</w:t>
      </w:r>
    </w:p>
    <w:p>
      <w:pPr>
        <w:spacing w:line="360" w:lineRule="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八</w:t>
      </w:r>
      <w:r>
        <w:rPr>
          <w:rFonts w:hint="eastAsia" w:ascii="宋体" w:hAnsi="宋体" w:eastAsia="宋体" w:cs="宋体"/>
          <w:kern w:val="0"/>
          <w:sz w:val="24"/>
          <w:highlight w:val="none"/>
        </w:rPr>
        <w:t>、中小企业声明函或残疾人福利性单位声明函或属于监狱企业的证明文件……（页码）</w:t>
      </w:r>
    </w:p>
    <w:p>
      <w:pPr>
        <w:snapToGrid w:val="0"/>
        <w:spacing w:line="360" w:lineRule="auto"/>
        <w:rPr>
          <w:rFonts w:hint="eastAsia" w:ascii="宋体" w:hAnsi="宋体" w:eastAsia="宋体" w:cs="宋体"/>
          <w:kern w:val="0"/>
          <w:sz w:val="24"/>
          <w:highlight w:val="none"/>
        </w:rPr>
      </w:pPr>
      <w:r>
        <w:rPr>
          <w:rFonts w:hint="eastAsia" w:ascii="宋体" w:hAnsi="宋体" w:cs="宋体"/>
          <w:sz w:val="24"/>
          <w:highlight w:val="none"/>
          <w:lang w:val="en-US" w:eastAsia="zh-CN"/>
        </w:rPr>
        <w:t>九</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符合特定资格条件的有关证明材料</w:t>
      </w:r>
      <w:r>
        <w:rPr>
          <w:rFonts w:hint="eastAsia" w:ascii="宋体" w:hAnsi="宋体" w:eastAsia="宋体" w:cs="宋体"/>
          <w:kern w:val="0"/>
          <w:sz w:val="24"/>
          <w:highlight w:val="none"/>
        </w:rPr>
        <w:t>………………………………………………（页码）</w:t>
      </w:r>
    </w:p>
    <w:p>
      <w:pPr>
        <w:snapToGrid w:val="0"/>
        <w:spacing w:line="360" w:lineRule="auto"/>
        <w:rPr>
          <w:rFonts w:hint="eastAsia" w:ascii="宋体" w:hAnsi="宋体" w:eastAsia="宋体" w:cs="宋体"/>
          <w:kern w:val="0"/>
          <w:sz w:val="24"/>
          <w:highlight w:val="none"/>
        </w:rPr>
      </w:pPr>
      <w:r>
        <w:rPr>
          <w:rFonts w:hint="eastAsia" w:ascii="宋体" w:hAnsi="宋体" w:cs="宋体"/>
          <w:sz w:val="24"/>
          <w:highlight w:val="none"/>
          <w:lang w:val="en-US" w:eastAsia="zh-CN"/>
        </w:rPr>
        <w:t>十</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建设工程项目管理承诺书</w:t>
      </w:r>
      <w:r>
        <w:rPr>
          <w:rFonts w:hint="eastAsia" w:ascii="宋体" w:hAnsi="宋体" w:eastAsia="宋体" w:cs="宋体"/>
          <w:kern w:val="0"/>
          <w:sz w:val="24"/>
          <w:highlight w:val="none"/>
        </w:rPr>
        <w:t>…………………………………………………………（页码）</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pPr>
        <w:widowControl/>
        <w:spacing w:line="360" w:lineRule="auto"/>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highlight w:val="none"/>
        </w:rPr>
      </w:pPr>
      <w:r>
        <w:rPr>
          <w:rFonts w:hint="eastAsia" w:ascii="宋体" w:hAnsi="宋体" w:eastAsia="宋体" w:cs="宋体"/>
          <w:b/>
          <w:kern w:val="0"/>
          <w:sz w:val="32"/>
          <w:szCs w:val="32"/>
          <w:highlight w:val="none"/>
          <w:lang w:val="zh-CN"/>
        </w:rPr>
        <w:t>一、</w:t>
      </w:r>
      <w:r>
        <w:rPr>
          <w:rFonts w:hint="eastAsia" w:ascii="宋体" w:hAnsi="宋体" w:eastAsia="宋体" w:cs="宋体"/>
          <w:b/>
          <w:sz w:val="30"/>
          <w:szCs w:val="30"/>
          <w:highlight w:val="none"/>
        </w:rPr>
        <w:t>营业执照</w:t>
      </w:r>
      <w:r>
        <w:rPr>
          <w:rFonts w:hint="eastAsia" w:ascii="宋体" w:hAnsi="宋体" w:eastAsia="宋体" w:cs="宋体"/>
          <w:b/>
          <w:sz w:val="30"/>
          <w:szCs w:val="30"/>
          <w:highlight w:val="none"/>
          <w:lang w:eastAsia="zh-CN"/>
        </w:rPr>
        <w:t>（</w:t>
      </w:r>
      <w:r>
        <w:rPr>
          <w:rFonts w:hint="eastAsia" w:ascii="宋体" w:hAnsi="宋体" w:eastAsia="宋体" w:cs="宋体"/>
          <w:b/>
          <w:sz w:val="30"/>
          <w:szCs w:val="30"/>
          <w:highlight w:val="none"/>
        </w:rPr>
        <w:t>或事业法人登记证或其他工商等登记证明材料</w:t>
      </w:r>
      <w:r>
        <w:rPr>
          <w:rFonts w:hint="eastAsia" w:ascii="宋体" w:hAnsi="宋体" w:eastAsia="宋体" w:cs="宋体"/>
          <w:b/>
          <w:sz w:val="30"/>
          <w:szCs w:val="30"/>
          <w:highlight w:val="none"/>
          <w:lang w:eastAsia="zh-CN"/>
        </w:rPr>
        <w:t>）</w:t>
      </w:r>
      <w:r>
        <w:rPr>
          <w:rFonts w:hint="eastAsia" w:ascii="宋体" w:hAnsi="宋体" w:eastAsia="宋体" w:cs="宋体"/>
          <w:b/>
          <w:sz w:val="30"/>
          <w:szCs w:val="30"/>
          <w:highlight w:val="none"/>
        </w:rPr>
        <w:t>复印件（投标人为自然人的，提供自然人的身份证明）</w:t>
      </w:r>
    </w:p>
    <w:p>
      <w:pPr>
        <w:spacing w:line="360" w:lineRule="auto"/>
        <w:rPr>
          <w:rFonts w:hint="eastAsia" w:ascii="宋体" w:hAnsi="宋体" w:eastAsia="宋体" w:cs="宋体"/>
          <w:b/>
          <w:sz w:val="30"/>
          <w:szCs w:val="30"/>
          <w:highlight w:val="none"/>
        </w:rPr>
      </w:pPr>
    </w:p>
    <w:p>
      <w:pPr>
        <w:snapToGrid w:val="0"/>
        <w:spacing w:line="360" w:lineRule="auto"/>
        <w:ind w:firstLine="576"/>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投标人名称（电子签章）：                              </w:t>
      </w:r>
    </w:p>
    <w:p>
      <w:pPr>
        <w:spacing w:line="360" w:lineRule="auto"/>
        <w:jc w:val="center"/>
        <w:rPr>
          <w:rFonts w:hint="eastAsia" w:ascii="宋体" w:hAnsi="宋体" w:eastAsia="宋体" w:cs="宋体"/>
          <w:b/>
          <w:sz w:val="30"/>
          <w:szCs w:val="30"/>
          <w:highlight w:val="none"/>
        </w:rPr>
      </w:pPr>
      <w:r>
        <w:rPr>
          <w:rFonts w:hint="eastAsia" w:ascii="宋体" w:hAnsi="宋体" w:eastAsia="宋体" w:cs="宋体"/>
          <w:kern w:val="0"/>
          <w:sz w:val="24"/>
          <w:highlight w:val="none"/>
          <w:lang w:val="zh-CN"/>
        </w:rPr>
        <w:t xml:space="preserve">                   日期：  年  月</w:t>
      </w:r>
    </w:p>
    <w:p>
      <w:pPr>
        <w:spacing w:line="360" w:lineRule="auto"/>
        <w:jc w:val="center"/>
        <w:rPr>
          <w:rFonts w:hint="eastAsia" w:ascii="宋体" w:hAnsi="宋体" w:eastAsia="宋体" w:cs="宋体"/>
          <w:b/>
          <w:sz w:val="30"/>
          <w:szCs w:val="30"/>
          <w:highlight w:val="none"/>
        </w:rPr>
      </w:pPr>
    </w:p>
    <w:p>
      <w:pPr>
        <w:snapToGrid w:val="0"/>
        <w:spacing w:line="360" w:lineRule="auto"/>
        <w:ind w:right="480"/>
        <w:jc w:val="center"/>
        <w:rPr>
          <w:rFonts w:hint="eastAsia" w:ascii="宋体" w:hAnsi="宋体" w:eastAsia="宋体" w:cs="宋体"/>
          <w:b/>
          <w:kern w:val="0"/>
          <w:sz w:val="32"/>
          <w:szCs w:val="32"/>
          <w:highlight w:val="none"/>
        </w:rPr>
      </w:pPr>
      <w:r>
        <w:rPr>
          <w:rFonts w:hint="eastAsia" w:ascii="宋体" w:hAnsi="宋体" w:eastAsia="宋体" w:cs="宋体"/>
          <w:b/>
          <w:sz w:val="30"/>
          <w:szCs w:val="30"/>
          <w:highlight w:val="none"/>
        </w:rPr>
        <w:t>二、</w:t>
      </w:r>
      <w:r>
        <w:rPr>
          <w:rFonts w:hint="eastAsia" w:ascii="宋体" w:hAnsi="宋体" w:eastAsia="宋体" w:cs="宋体"/>
          <w:b/>
          <w:kern w:val="0"/>
          <w:sz w:val="32"/>
          <w:szCs w:val="32"/>
          <w:highlight w:val="none"/>
        </w:rPr>
        <w:t>符合参与政府采购活动的资格条件依法缴纳税收、社会保障资金等方面的材料</w:t>
      </w:r>
    </w:p>
    <w:p>
      <w:pPr>
        <w:snapToGrid w:val="0"/>
        <w:spacing w:line="360" w:lineRule="auto"/>
        <w:ind w:firstLine="480" w:firstLineChars="200"/>
        <w:rPr>
          <w:rFonts w:hint="eastAsia" w:ascii="宋体" w:hAnsi="宋体" w:eastAsia="宋体" w:cs="宋体"/>
          <w:sz w:val="24"/>
          <w:highlight w:val="none"/>
        </w:rPr>
      </w:pPr>
    </w:p>
    <w:p>
      <w:pPr>
        <w:snapToGrid w:val="0"/>
        <w:spacing w:line="360" w:lineRule="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line="360" w:lineRule="auto"/>
        <w:ind w:right="480"/>
        <w:jc w:val="center"/>
        <w:rPr>
          <w:rFonts w:hint="eastAsia" w:ascii="宋体" w:hAnsi="宋体" w:eastAsia="宋体" w:cs="宋体"/>
          <w:b/>
          <w:kern w:val="0"/>
          <w:sz w:val="32"/>
          <w:szCs w:val="32"/>
          <w:highlight w:val="none"/>
        </w:rPr>
      </w:pPr>
      <w:r>
        <w:rPr>
          <w:rFonts w:hint="eastAsia" w:ascii="宋体" w:hAnsi="宋体" w:eastAsia="宋体" w:cs="宋体"/>
          <w:b/>
          <w:sz w:val="30"/>
          <w:szCs w:val="30"/>
          <w:highlight w:val="none"/>
        </w:rPr>
        <w:t>三、</w:t>
      </w:r>
      <w:r>
        <w:rPr>
          <w:rFonts w:hint="eastAsia" w:ascii="宋体" w:hAnsi="宋体" w:eastAsia="宋体" w:cs="宋体"/>
          <w:b/>
          <w:kern w:val="0"/>
          <w:sz w:val="32"/>
          <w:szCs w:val="32"/>
          <w:highlight w:val="none"/>
        </w:rPr>
        <w:t>财务状况报告方面的材料</w:t>
      </w:r>
    </w:p>
    <w:p>
      <w:pPr>
        <w:snapToGrid w:val="0"/>
        <w:spacing w:line="360" w:lineRule="auto"/>
        <w:ind w:firstLine="480" w:firstLineChars="200"/>
        <w:rPr>
          <w:rFonts w:hint="eastAsia" w:ascii="宋体" w:hAnsi="宋体" w:eastAsia="宋体" w:cs="宋体"/>
          <w:sz w:val="24"/>
          <w:highlight w:val="none"/>
        </w:rPr>
      </w:pPr>
    </w:p>
    <w:p>
      <w:pPr>
        <w:snapToGrid w:val="0"/>
        <w:spacing w:line="360" w:lineRule="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line="360" w:lineRule="auto"/>
        <w:ind w:firstLine="5160" w:firstLineChars="2150"/>
        <w:rPr>
          <w:rFonts w:hint="eastAsia" w:ascii="宋体" w:hAnsi="宋体" w:eastAsia="宋体" w:cs="宋体"/>
          <w:kern w:val="0"/>
          <w:sz w:val="24"/>
          <w:highlight w:val="none"/>
          <w:lang w:val="zh-CN"/>
        </w:rPr>
      </w:pPr>
    </w:p>
    <w:p>
      <w:pPr>
        <w:snapToGrid w:val="0"/>
        <w:spacing w:line="360" w:lineRule="auto"/>
        <w:ind w:right="480"/>
        <w:jc w:val="center"/>
        <w:rPr>
          <w:rFonts w:hint="eastAsia" w:ascii="宋体" w:hAnsi="宋体" w:eastAsia="宋体" w:cs="宋体"/>
          <w:b/>
          <w:kern w:val="0"/>
          <w:sz w:val="32"/>
          <w:szCs w:val="32"/>
          <w:highlight w:val="none"/>
          <w:lang w:val="zh-CN"/>
        </w:rPr>
      </w:pPr>
    </w:p>
    <w:p>
      <w:pPr>
        <w:snapToGrid w:val="0"/>
        <w:spacing w:line="360" w:lineRule="auto"/>
        <w:ind w:right="480"/>
        <w:jc w:val="center"/>
        <w:rPr>
          <w:rFonts w:hint="eastAsia" w:ascii="宋体" w:hAnsi="宋体" w:eastAsia="宋体" w:cs="宋体"/>
          <w:b/>
          <w:color w:val="000000"/>
          <w:sz w:val="28"/>
          <w:szCs w:val="28"/>
          <w:highlight w:val="none"/>
        </w:rPr>
      </w:pPr>
      <w:r>
        <w:rPr>
          <w:rFonts w:hint="eastAsia" w:ascii="宋体" w:hAnsi="宋体" w:eastAsia="宋体" w:cs="宋体"/>
          <w:b/>
          <w:kern w:val="0"/>
          <w:sz w:val="32"/>
          <w:szCs w:val="32"/>
          <w:highlight w:val="none"/>
        </w:rPr>
        <w:br w:type="page"/>
      </w:r>
    </w:p>
    <w:p>
      <w:pPr>
        <w:snapToGrid w:val="0"/>
        <w:spacing w:before="50" w:after="165"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四、投标人直接控股股东信息表</w:t>
      </w:r>
    </w:p>
    <w:tbl>
      <w:tblPr>
        <w:tblStyle w:val="18"/>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bl>
    <w:p>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3.供应商不存在直接控股股东的，则填“无”。</w:t>
      </w: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p>
    <w:p>
      <w:pPr>
        <w:snapToGrid w:val="0"/>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rPr>
        <w:t>五、投标人直接管理关系信息表</w:t>
      </w:r>
    </w:p>
    <w:tbl>
      <w:tblPr>
        <w:tblStyle w:val="18"/>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highlight w:val="none"/>
              </w:rPr>
            </w:pPr>
          </w:p>
        </w:tc>
      </w:tr>
    </w:tbl>
    <w:p>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3.供应商不存在直接管理关系的，则填“无”。</w:t>
      </w: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jc w:val="left"/>
        <w:rPr>
          <w:rFonts w:hint="eastAsia" w:ascii="宋体" w:hAnsi="宋体" w:eastAsia="宋体" w:cs="宋体"/>
          <w:color w:val="000000"/>
          <w:sz w:val="24"/>
          <w:highlight w:val="none"/>
        </w:rPr>
      </w:pP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before="50" w:after="165" w:afterLines="50"/>
        <w:jc w:val="left"/>
        <w:rPr>
          <w:rFonts w:hint="eastAsia" w:ascii="宋体" w:hAnsi="宋体" w:eastAsia="宋体" w:cs="宋体"/>
          <w:color w:val="000000"/>
          <w:szCs w:val="21"/>
          <w:highlight w:val="none"/>
        </w:rPr>
      </w:pPr>
    </w:p>
    <w:p>
      <w:pPr>
        <w:snapToGrid w:val="0"/>
        <w:spacing w:before="165" w:beforeLines="50" w:after="50"/>
        <w:jc w:val="left"/>
        <w:rPr>
          <w:rFonts w:hint="eastAsia" w:ascii="宋体" w:hAnsi="宋体" w:eastAsia="宋体" w:cs="宋体"/>
          <w:b/>
          <w:color w:val="000000"/>
          <w:sz w:val="24"/>
          <w:szCs w:val="20"/>
          <w:highlight w:val="none"/>
        </w:rPr>
      </w:pPr>
    </w:p>
    <w:p>
      <w:pPr>
        <w:snapToGrid w:val="0"/>
        <w:spacing w:before="165" w:beforeLines="50" w:after="50"/>
        <w:jc w:val="left"/>
        <w:rPr>
          <w:rFonts w:hint="eastAsia" w:ascii="宋体" w:hAnsi="宋体" w:eastAsia="宋体" w:cs="宋体"/>
          <w:b/>
          <w:color w:val="000000"/>
          <w:sz w:val="24"/>
          <w:highlight w:val="none"/>
        </w:rPr>
      </w:pPr>
    </w:p>
    <w:p>
      <w:pPr>
        <w:snapToGrid w:val="0"/>
        <w:spacing w:before="165" w:beforeLines="50" w:after="50"/>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 xml:space="preserve"> </w:t>
      </w:r>
    </w:p>
    <w:p>
      <w:pPr>
        <w:snapToGrid w:val="0"/>
        <w:spacing w:before="165" w:beforeLines="50" w:after="50"/>
        <w:jc w:val="left"/>
        <w:rPr>
          <w:rFonts w:hint="eastAsia" w:ascii="宋体" w:hAnsi="宋体" w:eastAsia="宋体" w:cs="宋体"/>
          <w:b/>
          <w:color w:val="000000"/>
          <w:sz w:val="24"/>
          <w:szCs w:val="20"/>
          <w:highlight w:val="none"/>
        </w:rPr>
      </w:pPr>
    </w:p>
    <w:p>
      <w:pPr>
        <w:pStyle w:val="27"/>
        <w:rPr>
          <w:rFonts w:hint="eastAsia" w:ascii="宋体" w:hAnsi="宋体" w:eastAsia="宋体" w:cs="宋体"/>
          <w:highlight w:val="none"/>
        </w:rPr>
      </w:pPr>
    </w:p>
    <w:p>
      <w:pPr>
        <w:snapToGrid w:val="0"/>
        <w:spacing w:before="50" w:after="165" w:afterLines="50"/>
        <w:jc w:val="left"/>
        <w:rPr>
          <w:rFonts w:hint="eastAsia" w:ascii="宋体" w:hAnsi="宋体" w:eastAsia="宋体" w:cs="宋体"/>
          <w:color w:val="000000"/>
          <w:highlight w:val="none"/>
        </w:rPr>
      </w:pPr>
    </w:p>
    <w:p>
      <w:pPr>
        <w:snapToGrid w:val="0"/>
        <w:spacing w:before="50" w:after="165" w:afterLines="5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六、投标资格声明函</w:t>
      </w:r>
    </w:p>
    <w:p>
      <w:pPr>
        <w:tabs>
          <w:tab w:val="left" w:pos="7200"/>
        </w:tabs>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致：</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我方愿意参加贵方组织的</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color w:val="000000"/>
          <w:szCs w:val="21"/>
          <w:highlight w:val="none"/>
        </w:rPr>
        <w:t>（项目编号：</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）项目的投标，为便于贵方公正、择优地确定中标人，我方就本次投标有关事项郑重声明如下：</w:t>
      </w:r>
    </w:p>
    <w:p>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4.以上事项如有虚假或隐瞒，我方愿意承担一切后果，并不再寻求任何旨在减轻或免除法律责任的辩解。 </w:t>
      </w:r>
    </w:p>
    <w:p>
      <w:pPr>
        <w:tabs>
          <w:tab w:val="left" w:pos="7200"/>
        </w:tabs>
        <w:ind w:firstLine="270" w:firstLineChars="150"/>
        <w:rPr>
          <w:rFonts w:hint="eastAsia" w:ascii="宋体" w:hAnsi="宋体" w:eastAsia="宋体" w:cs="宋体"/>
          <w:sz w:val="18"/>
          <w:szCs w:val="18"/>
          <w:highlight w:val="none"/>
        </w:rPr>
      </w:pPr>
      <w:r>
        <w:rPr>
          <w:rFonts w:hint="eastAsia" w:ascii="宋体" w:hAnsi="宋体" w:eastAsia="宋体" w:cs="宋体"/>
          <w:sz w:val="18"/>
          <w:szCs w:val="18"/>
          <w:highlight w:val="none"/>
        </w:rPr>
        <w:t>说明：</w:t>
      </w:r>
    </w:p>
    <w:p>
      <w:p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p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65" w:afterLines="5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w:t>
      </w:r>
      <w:r>
        <w:rPr>
          <w:rFonts w:hint="eastAsia" w:ascii="宋体" w:hAnsi="宋体" w:eastAsia="宋体" w:cs="宋体"/>
          <w:b/>
          <w:sz w:val="18"/>
          <w:szCs w:val="18"/>
          <w:highlight w:val="none"/>
        </w:rPr>
        <w:t xml:space="preserve">  3.如为联合体投标，盖章处须加盖联合体各方公章并由联合体各方法定代表人分别签署，否则投标无效。</w:t>
      </w:r>
    </w:p>
    <w:p>
      <w:pPr>
        <w:snapToGrid w:val="0"/>
        <w:spacing w:before="50" w:after="331" w:afterLines="100"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napToGrid w:val="0"/>
        <w:spacing w:before="50" w:after="331" w:afterLines="100" w:line="360" w:lineRule="auto"/>
        <w:ind w:left="7428" w:leftChars="2223" w:hanging="2760" w:hangingChars="1150"/>
        <w:jc w:val="left"/>
        <w:rPr>
          <w:rFonts w:hint="eastAsia" w:ascii="宋体" w:hAnsi="宋体" w:eastAsia="宋体" w:cs="宋体"/>
          <w:kern w:val="0"/>
          <w:sz w:val="24"/>
          <w:highlight w:val="none"/>
          <w:lang w:val="zh-CN"/>
        </w:rPr>
      </w:pPr>
      <w:r>
        <w:rPr>
          <w:rFonts w:hint="eastAsia" w:ascii="宋体" w:hAnsi="宋体" w:eastAsia="宋体" w:cs="宋体"/>
          <w:color w:val="000000"/>
          <w:sz w:val="24"/>
          <w:highlight w:val="none"/>
        </w:rPr>
        <w:t xml:space="preserve">  </w:t>
      </w:r>
      <w:r>
        <w:rPr>
          <w:rFonts w:hint="eastAsia" w:ascii="宋体" w:hAnsi="宋体" w:eastAsia="宋体" w:cs="宋体"/>
          <w:kern w:val="0"/>
          <w:sz w:val="24"/>
          <w:highlight w:val="none"/>
          <w:lang w:val="zh-CN"/>
        </w:rPr>
        <w:t>投标人名称（电子签章）：</w:t>
      </w:r>
      <w:r>
        <w:rPr>
          <w:rFonts w:hint="eastAsia" w:ascii="宋体" w:hAnsi="宋体" w:eastAsia="宋体" w:cs="宋体"/>
          <w:color w:val="000000"/>
          <w:szCs w:val="21"/>
          <w:highlight w:val="none"/>
        </w:rPr>
        <w:t xml:space="preserve">                                     年    月    日</w:t>
      </w:r>
    </w:p>
    <w:p>
      <w:pPr>
        <w:pStyle w:val="11"/>
        <w:spacing w:line="600" w:lineRule="exact"/>
        <w:jc w:val="center"/>
        <w:rPr>
          <w:rFonts w:hint="eastAsia" w:ascii="宋体" w:hAnsi="宋体" w:eastAsia="宋体" w:cs="宋体"/>
          <w:b/>
          <w:bCs/>
          <w:sz w:val="30"/>
          <w:szCs w:val="30"/>
          <w:highlight w:val="none"/>
        </w:rPr>
      </w:pPr>
    </w:p>
    <w:p>
      <w:pPr>
        <w:pStyle w:val="11"/>
        <w:spacing w:line="600" w:lineRule="exact"/>
        <w:jc w:val="center"/>
        <w:rPr>
          <w:rFonts w:hint="eastAsia" w:ascii="宋体" w:hAnsi="宋体" w:eastAsia="宋体" w:cs="宋体"/>
          <w:b/>
          <w:bCs/>
          <w:sz w:val="30"/>
          <w:szCs w:val="30"/>
          <w:highlight w:val="none"/>
        </w:rPr>
      </w:pPr>
    </w:p>
    <w:p>
      <w:pPr>
        <w:widowControl/>
        <w:jc w:val="left"/>
        <w:rPr>
          <w:rFonts w:hint="eastAsia" w:ascii="宋体" w:hAnsi="宋体" w:eastAsia="宋体" w:cs="宋体"/>
          <w:b/>
          <w:bCs/>
          <w:sz w:val="30"/>
          <w:szCs w:val="30"/>
          <w:highlight w:val="none"/>
        </w:rPr>
        <w:sectPr>
          <w:pgSz w:w="11906" w:h="16838"/>
          <w:pgMar w:top="1134" w:right="1134" w:bottom="1134" w:left="1134" w:header="720" w:footer="720" w:gutter="0"/>
          <w:cols w:space="720" w:num="1"/>
          <w:docGrid w:type="lines" w:linePitch="331" w:charSpace="0"/>
        </w:sectPr>
      </w:pPr>
    </w:p>
    <w:p>
      <w:pPr>
        <w:pStyle w:val="11"/>
        <w:spacing w:line="60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七、联合体协议书</w:t>
      </w:r>
    </w:p>
    <w:p>
      <w:pPr>
        <w:autoSpaceDE w:val="0"/>
        <w:autoSpaceDN w:val="0"/>
        <w:adjustRightInd w:val="0"/>
        <w:spacing w:line="360" w:lineRule="auto"/>
        <w:jc w:val="left"/>
        <w:rPr>
          <w:rFonts w:hint="eastAsia" w:ascii="宋体" w:hAnsi="宋体" w:eastAsia="宋体" w:cs="宋体"/>
          <w:kern w:val="0"/>
          <w:szCs w:val="21"/>
          <w:highlight w:val="none"/>
          <w:u w:val="single"/>
        </w:rPr>
      </w:pP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（所有成员单位名称）自愿组成联合体，共同参加</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组织的</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rPr>
        <w:t>）投标。现就联合体投标事宜订立如下协议：</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highlight w:val="none"/>
        </w:rPr>
        <w:t>________________________</w:t>
      </w:r>
      <w:r>
        <w:rPr>
          <w:rFonts w:hint="eastAsia" w:ascii="宋体" w:hAnsi="宋体" w:eastAsia="宋体" w:cs="宋体"/>
          <w:kern w:val="0"/>
          <w:szCs w:val="21"/>
          <w:highlight w:val="none"/>
        </w:rPr>
        <w:t>（某成员单位名称）为联合体名称牵头人。</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4、联合体各成员单位内部的职责分工如下</w:t>
      </w:r>
      <w:r>
        <w:rPr>
          <w:rFonts w:hint="eastAsia" w:ascii="宋体" w:hAnsi="宋体" w:eastAsia="宋体" w:cs="宋体"/>
          <w:kern w:val="0"/>
          <w:szCs w:val="21"/>
          <w:highlight w:val="none"/>
          <w:u w:val="single"/>
        </w:rPr>
        <w:t>：</w:t>
      </w:r>
      <w:r>
        <w:rPr>
          <w:rFonts w:hint="eastAsia" w:ascii="宋体" w:hAnsi="宋体" w:eastAsia="宋体" w:cs="宋体"/>
          <w:szCs w:val="21"/>
          <w:highlight w:val="none"/>
          <w:u w:val="single"/>
        </w:rPr>
        <w:t>________________________________________________</w:t>
      </w:r>
      <w:r>
        <w:rPr>
          <w:rFonts w:hint="eastAsia" w:ascii="宋体" w:hAnsi="宋体" w:eastAsia="宋体" w:cs="宋体"/>
          <w:kern w:val="0"/>
          <w:szCs w:val="21"/>
          <w:highlight w:val="none"/>
        </w:rPr>
        <w:t>。</w:t>
      </w:r>
    </w:p>
    <w:p>
      <w:pPr>
        <w:pStyle w:val="11"/>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highlight w:val="none"/>
        </w:rPr>
        <w:t>5、本联合体中</w:t>
      </w:r>
      <w:r>
        <w:rPr>
          <w:rFonts w:hint="eastAsia" w:ascii="宋体" w:hAnsi="宋体" w:eastAsia="宋体" w:cs="宋体"/>
          <w:kern w:val="0"/>
          <w:highlight w:val="none"/>
          <w:u w:val="single"/>
        </w:rPr>
        <w:t>，</w:t>
      </w:r>
      <w:r>
        <w:rPr>
          <w:rFonts w:hint="eastAsia" w:ascii="宋体" w:hAnsi="宋体" w:eastAsia="宋体" w:cs="宋体"/>
          <w:highlight w:val="none"/>
          <w:u w:val="single"/>
        </w:rPr>
        <w:t>________________________</w:t>
      </w:r>
      <w:r>
        <w:rPr>
          <w:rFonts w:hint="eastAsia" w:ascii="宋体" w:hAnsi="宋体" w:eastAsia="宋体" w:cs="宋体"/>
          <w:kern w:val="0"/>
          <w:highlight w:val="none"/>
          <w:u w:val="single"/>
        </w:rPr>
        <w:t>（某成员单位名称）为</w:t>
      </w:r>
      <w:r>
        <w:rPr>
          <w:rFonts w:hint="eastAsia" w:ascii="宋体" w:hAnsi="宋体" w:eastAsia="宋体" w:cs="宋体"/>
          <w:highlight w:val="none"/>
          <w:u w:val="single"/>
        </w:rPr>
        <w:t>______</w:t>
      </w:r>
      <w:r>
        <w:rPr>
          <w:rFonts w:hint="eastAsia" w:ascii="宋体" w:hAnsi="宋体" w:eastAsia="宋体" w:cs="宋体"/>
          <w:highlight w:val="none"/>
        </w:rPr>
        <w:t>（请填写：中型、小型、微型）企业，其协议合同金额占联合体协议合同总金额的</w:t>
      </w:r>
      <w:r>
        <w:rPr>
          <w:rFonts w:hint="eastAsia" w:ascii="宋体" w:hAnsi="宋体" w:eastAsia="宋体" w:cs="宋体"/>
          <w:highlight w:val="none"/>
          <w:u w:val="single"/>
        </w:rPr>
        <w:t>______</w:t>
      </w:r>
      <w:r>
        <w:rPr>
          <w:rFonts w:hint="eastAsia" w:ascii="宋体" w:hAnsi="宋体" w:eastAsia="宋体" w:cs="宋体"/>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6、本协议书自签署之日起生效，合同履行完毕后自动失效。</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7、本协议书一式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份，联合体成员和采购代理机构各执一份。</w:t>
      </w:r>
    </w:p>
    <w:p>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牵头人名称：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pPr>
        <w:autoSpaceDE w:val="0"/>
        <w:autoSpaceDN w:val="0"/>
        <w:adjustRightInd w:val="0"/>
        <w:spacing w:line="360" w:lineRule="auto"/>
        <w:jc w:val="left"/>
        <w:rPr>
          <w:rFonts w:hint="eastAsia" w:ascii="宋体" w:hAnsi="宋体" w:eastAsia="宋体" w:cs="宋体"/>
          <w:kern w:val="0"/>
          <w:szCs w:val="21"/>
          <w:highlight w:val="none"/>
        </w:rPr>
      </w:pP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成员一名称：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pPr>
        <w:autoSpaceDE w:val="0"/>
        <w:autoSpaceDN w:val="0"/>
        <w:adjustRightInd w:val="0"/>
        <w:spacing w:line="360" w:lineRule="auto"/>
        <w:jc w:val="left"/>
        <w:rPr>
          <w:rFonts w:hint="eastAsia" w:ascii="宋体" w:hAnsi="宋体" w:eastAsia="宋体" w:cs="宋体"/>
          <w:kern w:val="0"/>
          <w:szCs w:val="21"/>
          <w:highlight w:val="none"/>
        </w:rPr>
      </w:pPr>
    </w:p>
    <w:p>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成员二名称：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pPr>
        <w:pStyle w:val="11"/>
        <w:spacing w:line="6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pPr>
        <w:pStyle w:val="11"/>
        <w:spacing w:line="600" w:lineRule="exact"/>
        <w:jc w:val="center"/>
        <w:rPr>
          <w:rFonts w:hint="eastAsia" w:ascii="宋体" w:hAnsi="宋体" w:eastAsia="宋体" w:cs="宋体"/>
          <w:b/>
          <w:bCs/>
          <w:sz w:val="30"/>
          <w:szCs w:val="30"/>
          <w:highlight w:val="none"/>
          <w:lang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ascii="宋体" w:hAnsi="宋体" w:eastAsia="宋体" w:cs="宋体"/>
          <w:highlight w:val="none"/>
        </w:rPr>
      </w:pPr>
      <w:r>
        <w:rPr>
          <w:rFonts w:hint="eastAsia" w:hAnsi="宋体" w:cs="宋体"/>
          <w:b/>
          <w:bCs/>
          <w:sz w:val="30"/>
          <w:szCs w:val="30"/>
          <w:highlight w:val="none"/>
          <w:lang w:val="en-US" w:eastAsia="zh-CN"/>
        </w:rPr>
        <w:t>八</w:t>
      </w:r>
      <w:r>
        <w:rPr>
          <w:rFonts w:hint="eastAsia" w:ascii="宋体" w:hAnsi="宋体" w:eastAsia="宋体" w:cs="宋体"/>
          <w:b/>
          <w:bCs/>
          <w:sz w:val="30"/>
          <w:szCs w:val="30"/>
          <w:highlight w:val="none"/>
        </w:rPr>
        <w:t>、中小企业声明函或残疾人福利性单位声明函或属于监狱企业的证明文件</w:t>
      </w:r>
    </w:p>
    <w:p>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中小企业声明函（工程、服务）</w:t>
      </w:r>
    </w:p>
    <w:p>
      <w:pPr>
        <w:spacing w:line="360" w:lineRule="auto"/>
        <w:ind w:firstLine="550"/>
        <w:rPr>
          <w:rFonts w:hint="eastAsia" w:ascii="宋体" w:hAnsi="宋体" w:eastAsia="宋体" w:cs="宋体"/>
          <w:color w:val="auto"/>
          <w:kern w:val="0"/>
          <w:sz w:val="24"/>
          <w:highlight w:val="none"/>
        </w:rPr>
      </w:pP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pPr>
        <w:ind w:firstLine="552"/>
        <w:rPr>
          <w:rFonts w:hint="eastAsia" w:ascii="宋体" w:hAnsi="宋体" w:eastAsia="宋体" w:cs="宋体"/>
          <w:color w:val="auto"/>
          <w:kern w:val="0"/>
          <w:szCs w:val="21"/>
          <w:highlight w:val="none"/>
        </w:rPr>
      </w:pPr>
    </w:p>
    <w:p>
      <w:pPr>
        <w:pStyle w:val="9"/>
        <w:spacing w:after="0" w:line="360" w:lineRule="auto"/>
        <w:contextualSpacing/>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1从业人员、营业收入、资产总额填报上一年度数据，无上一年度数据的新成立企业可不填报。</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9"/>
        <w:spacing w:after="0" w:line="360" w:lineRule="auto"/>
        <w:ind w:left="3960" w:right="1808"/>
        <w:contextualSpacing/>
        <w:rPr>
          <w:rFonts w:hint="eastAsia" w:ascii="宋体" w:hAnsi="宋体" w:eastAsia="宋体" w:cs="宋体"/>
          <w:color w:val="auto"/>
          <w:highlight w:val="none"/>
        </w:rPr>
      </w:pPr>
    </w:p>
    <w:p>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pPr>
        <w:spacing w:line="520" w:lineRule="exact"/>
        <w:rPr>
          <w:rFonts w:hint="eastAsia" w:ascii="宋体" w:hAnsi="宋体" w:eastAsia="宋体" w:cs="宋体"/>
          <w:color w:val="auto"/>
          <w:sz w:val="32"/>
          <w:szCs w:val="32"/>
          <w:highlight w:val="none"/>
        </w:rPr>
      </w:pP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p>
    <w:p>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p>
    <w:p>
      <w:pPr>
        <w:spacing w:line="360" w:lineRule="auto"/>
        <w:contextualSpacing/>
        <w:rPr>
          <w:rFonts w:hint="eastAsia" w:ascii="宋体" w:hAnsi="宋体" w:eastAsia="宋体" w:cs="宋体"/>
          <w:color w:val="auto"/>
          <w:sz w:val="24"/>
          <w:highlight w:val="none"/>
        </w:rPr>
      </w:pPr>
    </w:p>
    <w:p>
      <w:pPr>
        <w:pStyle w:val="11"/>
        <w:spacing w:line="600" w:lineRule="exact"/>
        <w:jc w:val="center"/>
        <w:rPr>
          <w:rFonts w:hint="eastAsia" w:ascii="宋体" w:hAnsi="宋体" w:eastAsia="宋体" w:cs="宋体"/>
          <w:b/>
          <w:bCs/>
          <w:sz w:val="30"/>
          <w:szCs w:val="30"/>
          <w:highlight w:val="none"/>
          <w:lang w:val="en-US" w:eastAsia="zh-CN"/>
        </w:rPr>
      </w:pPr>
      <w:r>
        <w:rPr>
          <w:rFonts w:hint="eastAsia" w:ascii="宋体" w:hAnsi="宋体" w:eastAsia="宋体" w:cs="宋体"/>
          <w:color w:val="auto"/>
          <w:sz w:val="24"/>
          <w:highlight w:val="none"/>
        </w:rPr>
        <w:t>注：请根据自己的真实情况出具《残疾人福利性单位声明函》。依法享受</w:t>
      </w:r>
      <w:r>
        <w:rPr>
          <w:rFonts w:hint="eastAsia" w:ascii="宋体" w:hAnsi="宋体" w:eastAsia="宋体" w:cs="宋体"/>
          <w:color w:val="auto"/>
          <w:kern w:val="2"/>
          <w:sz w:val="24"/>
          <w:highlight w:val="none"/>
        </w:rPr>
        <w:t>中小</w:t>
      </w:r>
      <w:r>
        <w:rPr>
          <w:rFonts w:hint="eastAsia" w:ascii="宋体" w:hAnsi="宋体" w:eastAsia="宋体" w:cs="宋体"/>
          <w:color w:val="auto"/>
          <w:sz w:val="24"/>
          <w:highlight w:val="none"/>
        </w:rPr>
        <w:t>企业优惠政策的，采购人或者采购代理机构在公告中标结果时，同时公告其《残疾人福利性单位声明函》，接受社会监督。</w:t>
      </w: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hAnsi="宋体" w:cs="宋体"/>
          <w:b/>
          <w:bCs/>
          <w:sz w:val="30"/>
          <w:szCs w:val="30"/>
          <w:highlight w:val="none"/>
          <w:lang w:val="en-US" w:eastAsia="zh-CN"/>
        </w:rPr>
      </w:pPr>
    </w:p>
    <w:p>
      <w:pPr>
        <w:pStyle w:val="11"/>
        <w:spacing w:line="600" w:lineRule="exact"/>
        <w:jc w:val="center"/>
        <w:rPr>
          <w:rFonts w:hint="eastAsia" w:ascii="宋体" w:hAnsi="宋体" w:eastAsia="宋体" w:cs="宋体"/>
          <w:b/>
          <w:bCs/>
          <w:sz w:val="30"/>
          <w:szCs w:val="30"/>
          <w:highlight w:val="none"/>
        </w:rPr>
      </w:pPr>
      <w:r>
        <w:rPr>
          <w:rFonts w:hint="eastAsia" w:hAnsi="宋体" w:cs="宋体"/>
          <w:b/>
          <w:bCs/>
          <w:sz w:val="30"/>
          <w:szCs w:val="30"/>
          <w:highlight w:val="none"/>
          <w:lang w:val="en-US" w:eastAsia="zh-CN"/>
        </w:rPr>
        <w:t>九</w:t>
      </w:r>
      <w:r>
        <w:rPr>
          <w:rFonts w:hint="eastAsia" w:ascii="宋体" w:hAnsi="宋体" w:eastAsia="宋体" w:cs="宋体"/>
          <w:b/>
          <w:bCs/>
          <w:sz w:val="30"/>
          <w:szCs w:val="30"/>
          <w:highlight w:val="none"/>
        </w:rPr>
        <w:t>、符合特定资格条件的有关证明材料</w:t>
      </w:r>
    </w:p>
    <w:p>
      <w:pPr>
        <w:pStyle w:val="11"/>
        <w:spacing w:line="600" w:lineRule="exact"/>
        <w:jc w:val="center"/>
        <w:rPr>
          <w:rFonts w:hint="eastAsia" w:ascii="宋体" w:hAnsi="宋体" w:eastAsia="宋体" w:cs="宋体"/>
          <w:b/>
          <w:bCs/>
          <w:sz w:val="30"/>
          <w:szCs w:val="30"/>
          <w:highlight w:val="none"/>
        </w:rPr>
      </w:pPr>
    </w:p>
    <w:p>
      <w:pPr>
        <w:pStyle w:val="11"/>
        <w:spacing w:line="600" w:lineRule="exact"/>
        <w:jc w:val="center"/>
        <w:rPr>
          <w:rFonts w:hint="eastAsia" w:ascii="宋体" w:hAnsi="宋体" w:eastAsia="宋体" w:cs="宋体"/>
          <w:b/>
          <w:bCs/>
          <w:sz w:val="30"/>
          <w:szCs w:val="30"/>
          <w:highlight w:val="none"/>
        </w:rPr>
      </w:pP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spacing w:line="360" w:lineRule="auto"/>
        <w:jc w:val="left"/>
        <w:rPr>
          <w:rFonts w:hint="eastAsia" w:ascii="宋体" w:hAnsi="宋体" w:eastAsia="宋体" w:cs="宋体"/>
          <w:color w:val="000000"/>
          <w:szCs w:val="21"/>
          <w:highlight w:val="none"/>
        </w:rPr>
        <w:sectPr>
          <w:pgSz w:w="11906" w:h="16838"/>
          <w:pgMar w:top="1134" w:right="1134" w:bottom="1134" w:left="1134" w:header="720" w:footer="720" w:gutter="0"/>
          <w:cols w:space="720" w:num="1"/>
          <w:docGrid w:type="lines" w:linePitch="331" w:charSpace="0"/>
        </w:sectPr>
      </w:pPr>
    </w:p>
    <w:p>
      <w:pPr>
        <w:numPr>
          <w:ilvl w:val="0"/>
          <w:numId w:val="0"/>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十、</w:t>
      </w:r>
      <w:r>
        <w:rPr>
          <w:rFonts w:hint="eastAsia" w:ascii="宋体" w:hAnsi="宋体" w:eastAsia="宋体" w:cs="宋体"/>
          <w:b/>
          <w:color w:val="auto"/>
          <w:sz w:val="30"/>
          <w:szCs w:val="30"/>
          <w:highlight w:val="none"/>
          <w:lang w:val="en-US" w:eastAsia="zh-CN"/>
        </w:rPr>
        <w:t>建设工程项目管理承诺书</w:t>
      </w:r>
    </w:p>
    <w:p>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建设工程项目管理承诺书</w:t>
      </w:r>
    </w:p>
    <w:p>
      <w:pPr>
        <w:pStyle w:val="34"/>
        <w:spacing w:line="480" w:lineRule="auto"/>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致</w:t>
      </w:r>
      <w:r>
        <w:rPr>
          <w:rStyle w:val="20"/>
          <w:rFonts w:hint="eastAsia" w:asciiTheme="minorEastAsia" w:hAnsiTheme="minorEastAsia" w:eastAsiaTheme="minorEastAsia" w:cstheme="minorEastAsia"/>
          <w:sz w:val="24"/>
          <w:szCs w:val="24"/>
          <w:highlight w:val="none"/>
          <w:u w:val="single"/>
        </w:rPr>
        <w:t xml:space="preserve">                        </w:t>
      </w:r>
      <w:r>
        <w:rPr>
          <w:rStyle w:val="20"/>
          <w:rFonts w:hint="eastAsia" w:asciiTheme="minorEastAsia" w:hAnsiTheme="minorEastAsia" w:eastAsiaTheme="minorEastAsia" w:cstheme="minorEastAsia"/>
          <w:sz w:val="24"/>
          <w:szCs w:val="24"/>
          <w:highlight w:val="none"/>
        </w:rPr>
        <w:t>（招标人名称）：</w:t>
      </w:r>
    </w:p>
    <w:p>
      <w:pPr>
        <w:pStyle w:val="34"/>
        <w:spacing w:line="520" w:lineRule="exact"/>
        <w:ind w:left="-10" w:firstLine="520" w:firstLineChars="217"/>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作为参与</w:t>
      </w:r>
      <w:r>
        <w:rPr>
          <w:rStyle w:val="20"/>
          <w:rFonts w:hint="eastAsia" w:asciiTheme="minorEastAsia" w:hAnsiTheme="minorEastAsia" w:eastAsiaTheme="minorEastAsia" w:cstheme="minorEastAsia"/>
          <w:sz w:val="24"/>
          <w:szCs w:val="24"/>
          <w:highlight w:val="none"/>
          <w:u w:val="single"/>
        </w:rPr>
        <w:t xml:space="preserve">                  </w:t>
      </w:r>
      <w:r>
        <w:rPr>
          <w:rStyle w:val="20"/>
          <w:rFonts w:hint="eastAsia" w:asciiTheme="minorEastAsia" w:hAnsiTheme="minorEastAsia" w:eastAsiaTheme="minorEastAsia" w:cstheme="minorEastAsia"/>
          <w:sz w:val="24"/>
          <w:szCs w:val="24"/>
          <w:highlight w:val="none"/>
        </w:rPr>
        <w:t>（工程名称）项目的投标方，根据国家、自治区相关文件规定，我方在此向招标人承诺：</w:t>
      </w:r>
    </w:p>
    <w:p>
      <w:pPr>
        <w:pStyle w:val="34"/>
        <w:spacing w:line="520" w:lineRule="exact"/>
        <w:ind w:left="-10" w:firstLine="520" w:firstLineChars="217"/>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1、一旦中标，我方保证按照政府相关部门的规定，在中标后7个工作日内，按照《保障农民工工资支付条例》规定及广西壮族自治区有关规定开设农民工工资专用账户，并按</w:t>
      </w:r>
      <w:r>
        <w:rPr>
          <w:rStyle w:val="20"/>
          <w:rFonts w:hint="eastAsia" w:asciiTheme="minorEastAsia" w:hAnsiTheme="minorEastAsia" w:eastAsiaTheme="minorEastAsia" w:cstheme="minorEastAsia"/>
          <w:sz w:val="24"/>
          <w:szCs w:val="24"/>
          <w:highlight w:val="none"/>
          <w:u w:val="single"/>
        </w:rPr>
        <w:t>要求</w:t>
      </w:r>
      <w:r>
        <w:rPr>
          <w:rStyle w:val="20"/>
          <w:rFonts w:hint="eastAsia" w:asciiTheme="minorEastAsia" w:hAnsiTheme="minorEastAsia" w:eastAsiaTheme="minorEastAsia" w:cstheme="minorEastAsia"/>
          <w:sz w:val="24"/>
          <w:szCs w:val="24"/>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pPr>
        <w:pStyle w:val="34"/>
        <w:spacing w:line="520" w:lineRule="exact"/>
        <w:ind w:left="-10" w:firstLine="520" w:firstLineChars="217"/>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pStyle w:val="34"/>
        <w:spacing w:line="520" w:lineRule="exact"/>
        <w:ind w:left="-2" w:leftChars="-1" w:firstLine="513" w:firstLineChars="214"/>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pStyle w:val="34"/>
        <w:spacing w:line="520" w:lineRule="exact"/>
        <w:ind w:left="-10" w:firstLine="520" w:firstLineChars="217"/>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pStyle w:val="34"/>
        <w:spacing w:line="520" w:lineRule="exact"/>
        <w:ind w:left="-10" w:firstLine="520" w:firstLineChars="217"/>
        <w:jc w:val="left"/>
        <w:rPr>
          <w:rStyle w:val="20"/>
          <w:rFonts w:hint="eastAsia" w:asciiTheme="minorEastAsia" w:hAnsiTheme="minorEastAsia" w:eastAsiaTheme="minorEastAsia" w:cstheme="minorEastAsia"/>
          <w:sz w:val="24"/>
          <w:szCs w:val="24"/>
          <w:highlight w:val="none"/>
        </w:rPr>
      </w:pPr>
      <w:r>
        <w:rPr>
          <w:rStyle w:val="20"/>
          <w:rFonts w:hint="eastAsia" w:asciiTheme="minorEastAsia" w:hAnsiTheme="minorEastAsia" w:eastAsiaTheme="minorEastAsia" w:cstheme="minorEastAsia"/>
          <w:sz w:val="24"/>
          <w:szCs w:val="24"/>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pStyle w:val="34"/>
        <w:spacing w:line="520" w:lineRule="exact"/>
        <w:jc w:val="left"/>
        <w:rPr>
          <w:rStyle w:val="20"/>
          <w:rFonts w:hint="eastAsia" w:asciiTheme="minorEastAsia" w:hAnsiTheme="minorEastAsia" w:eastAsiaTheme="minorEastAsia" w:cstheme="minorEastAsia"/>
          <w:sz w:val="24"/>
          <w:szCs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pStyle w:val="11"/>
        <w:jc w:val="both"/>
        <w:outlineLvl w:val="9"/>
        <w:rPr>
          <w:rFonts w:hint="eastAsia" w:ascii="宋体" w:hAnsi="宋体" w:eastAsia="宋体" w:cs="宋体"/>
          <w:color w:val="000000"/>
          <w:szCs w:val="21"/>
          <w:highlight w:val="none"/>
        </w:rPr>
      </w:pPr>
    </w:p>
    <w:p>
      <w:pPr>
        <w:pStyle w:val="34"/>
        <w:spacing w:line="360" w:lineRule="auto"/>
        <w:jc w:val="center"/>
        <w:rPr>
          <w:rStyle w:val="20"/>
          <w:rFonts w:ascii="Times New Roman" w:hAnsi="Times New Roman" w:eastAsia="宋体" w:cs="Times New Roman"/>
          <w:szCs w:val="21"/>
          <w:highlight w:val="none"/>
        </w:rPr>
      </w:pPr>
      <w:r>
        <w:rPr>
          <w:rStyle w:val="20"/>
          <w:rFonts w:hint="eastAsia" w:ascii="Times New Roman" w:hAnsi="Times New Roman" w:eastAsia="宋体" w:cs="宋体"/>
          <w:b/>
          <w:bCs/>
          <w:sz w:val="28"/>
          <w:szCs w:val="28"/>
          <w:highlight w:val="none"/>
        </w:rPr>
        <w:t>广西壮族自治区建筑工程安全文明施工措施项目清单内容</w:t>
      </w:r>
    </w:p>
    <w:p>
      <w:pPr>
        <w:pStyle w:val="34"/>
        <w:spacing w:line="360" w:lineRule="auto"/>
        <w:ind w:firstLine="600" w:firstLineChars="250"/>
        <w:jc w:val="center"/>
        <w:rPr>
          <w:rStyle w:val="20"/>
          <w:rFonts w:ascii="Times New Roman" w:hAnsi="Times New Roman" w:eastAsia="宋体" w:cs="Times New Roman"/>
          <w:sz w:val="24"/>
          <w:szCs w:val="24"/>
          <w:highlight w:val="none"/>
        </w:rPr>
      </w:pPr>
      <w:r>
        <w:rPr>
          <w:rStyle w:val="20"/>
          <w:rFonts w:hint="eastAsia" w:ascii="Times New Roman" w:hAnsi="Times New Roman" w:eastAsia="宋体" w:cs="宋体"/>
          <w:sz w:val="24"/>
          <w:szCs w:val="24"/>
          <w:highlight w:val="none"/>
        </w:rPr>
        <w:t>（桂建质〔</w:t>
      </w:r>
      <w:r>
        <w:rPr>
          <w:rStyle w:val="20"/>
          <w:rFonts w:ascii="Times New Roman" w:hAnsi="Times New Roman" w:eastAsia="宋体" w:cs="Times New Roman"/>
          <w:sz w:val="24"/>
          <w:szCs w:val="24"/>
          <w:highlight w:val="none"/>
        </w:rPr>
        <w:t>2015</w:t>
      </w:r>
      <w:r>
        <w:rPr>
          <w:rStyle w:val="20"/>
          <w:rFonts w:hint="eastAsia" w:ascii="Times New Roman" w:hAnsi="Times New Roman" w:eastAsia="宋体" w:cs="宋体"/>
          <w:sz w:val="24"/>
          <w:szCs w:val="24"/>
          <w:highlight w:val="none"/>
        </w:rPr>
        <w:t>〕</w:t>
      </w:r>
      <w:r>
        <w:rPr>
          <w:rStyle w:val="20"/>
          <w:rFonts w:ascii="Times New Roman" w:hAnsi="Times New Roman" w:eastAsia="宋体" w:cs="Times New Roman"/>
          <w:sz w:val="24"/>
          <w:szCs w:val="24"/>
          <w:highlight w:val="none"/>
        </w:rPr>
        <w:t>16</w:t>
      </w:r>
      <w:r>
        <w:rPr>
          <w:rStyle w:val="20"/>
          <w:rFonts w:hint="eastAsia" w:ascii="Times New Roman" w:hAnsi="Times New Roman" w:eastAsia="宋体" w:cs="宋体"/>
          <w:sz w:val="24"/>
          <w:szCs w:val="24"/>
          <w:highlight w:val="none"/>
        </w:rPr>
        <w:t>号文附件一）</w:t>
      </w:r>
    </w:p>
    <w:p>
      <w:pPr>
        <w:pStyle w:val="34"/>
        <w:spacing w:line="240" w:lineRule="atLeast"/>
        <w:jc w:val="center"/>
        <w:rPr>
          <w:rStyle w:val="20"/>
          <w:rFonts w:ascii="Times New Roman" w:hAnsi="Times New Roman" w:eastAsia="宋体" w:cs="Times New Roman"/>
          <w:b/>
          <w:bCs/>
          <w:w w:val="90"/>
          <w:sz w:val="24"/>
          <w:szCs w:val="24"/>
          <w:highlight w:val="none"/>
        </w:rPr>
      </w:pPr>
      <w:r>
        <w:rPr>
          <w:rStyle w:val="20"/>
          <w:rFonts w:hint="eastAsia" w:ascii="宋体" w:hAnsi="宋体" w:eastAsia="宋体" w:cs="宋体"/>
          <w:b/>
          <w:bCs/>
          <w:sz w:val="24"/>
          <w:szCs w:val="24"/>
          <w:highlight w:val="none"/>
        </w:rPr>
        <w:t>广西壮族自治区</w:t>
      </w:r>
      <w:r>
        <w:rPr>
          <w:rStyle w:val="20"/>
          <w:rFonts w:hint="eastAsia" w:ascii="Times New Roman" w:hAnsi="Times New Roman" w:eastAsia="宋体" w:cs="宋体"/>
          <w:b/>
          <w:bCs/>
          <w:w w:val="90"/>
          <w:sz w:val="24"/>
          <w:szCs w:val="24"/>
          <w:highlight w:val="none"/>
        </w:rPr>
        <w:t>建设工程安全文明施工措施项目清单内容</w:t>
      </w:r>
    </w:p>
    <w:p>
      <w:pPr>
        <w:pStyle w:val="34"/>
        <w:spacing w:line="240" w:lineRule="atLeast"/>
        <w:ind w:firstLine="546"/>
        <w:jc w:val="center"/>
        <w:rPr>
          <w:rStyle w:val="20"/>
          <w:rFonts w:ascii="Times New Roman" w:hAnsi="Times New Roman" w:eastAsia="宋体" w:cs="Times New Roman"/>
          <w:b/>
          <w:bCs/>
          <w:w w:val="90"/>
          <w:sz w:val="24"/>
          <w:szCs w:val="24"/>
          <w:highlight w:val="none"/>
        </w:rPr>
      </w:pPr>
    </w:p>
    <w:tbl>
      <w:tblPr>
        <w:tblStyle w:val="18"/>
        <w:tblW w:w="94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类别</w:t>
            </w:r>
          </w:p>
        </w:tc>
        <w:tc>
          <w:tcPr>
            <w:tcW w:w="2070" w:type="dxa"/>
            <w:gridSpan w:val="2"/>
            <w:tcBorders>
              <w:top w:val="single" w:color="auto" w:sz="12" w:space="0"/>
            </w:tcBorders>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项目名称</w:t>
            </w:r>
          </w:p>
        </w:tc>
        <w:tc>
          <w:tcPr>
            <w:tcW w:w="6645" w:type="dxa"/>
            <w:tcBorders>
              <w:top w:val="single" w:color="auto" w:sz="12" w:space="0"/>
            </w:tcBorders>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文明</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施工</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与</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环境</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保护</w:t>
            </w: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安全警示</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标志牌</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现场围挡</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现场采用封闭围挡，高度不小于</w:t>
            </w:r>
            <w:r>
              <w:rPr>
                <w:rStyle w:val="20"/>
                <w:rFonts w:ascii="方正仿宋_GBK" w:hAnsi="Times New Roman" w:eastAsia="方正仿宋_GBK" w:cs="方正仿宋_GBK"/>
                <w:kern w:val="2"/>
                <w:sz w:val="21"/>
                <w:szCs w:val="21"/>
                <w:highlight w:val="none"/>
                <w:lang w:val="en-US" w:eastAsia="zh-CN" w:bidi="ar-SA"/>
              </w:rPr>
              <w:t>1.8m</w:t>
            </w:r>
            <w:r>
              <w:rPr>
                <w:rStyle w:val="20"/>
                <w:rFonts w:hint="eastAsia" w:ascii="方正仿宋_GBK" w:hAnsi="Times New Roman" w:eastAsia="方正仿宋_GBK" w:cs="方正仿宋_GBK"/>
                <w:kern w:val="2"/>
                <w:sz w:val="21"/>
                <w:szCs w:val="21"/>
                <w:highlight w:val="none"/>
                <w:lang w:val="en-US" w:eastAsia="zh-CN" w:bidi="ar-SA"/>
              </w:rPr>
              <w:t>。</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七牌二图</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企业标志</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场容场貌</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道路畅通。</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排水设施齐全畅通。</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3. </w:t>
            </w:r>
            <w:r>
              <w:rPr>
                <w:rStyle w:val="20"/>
                <w:rFonts w:hint="eastAsia" w:ascii="方正仿宋_GBK" w:hAnsi="Times New Roman" w:eastAsia="方正仿宋_GBK" w:cs="方正仿宋_GBK"/>
                <w:kern w:val="2"/>
                <w:sz w:val="21"/>
                <w:szCs w:val="21"/>
                <w:highlight w:val="none"/>
                <w:lang w:val="en-US" w:eastAsia="zh-CN" w:bidi="ar-SA"/>
              </w:rPr>
              <w:t>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材料堆放</w:t>
            </w:r>
          </w:p>
        </w:tc>
        <w:tc>
          <w:tcPr>
            <w:tcW w:w="6645" w:type="dxa"/>
            <w:noWrap w:val="0"/>
            <w:vAlign w:val="center"/>
          </w:tcPr>
          <w:p>
            <w:pPr>
              <w:pStyle w:val="34"/>
              <w:widowControl w:val="0"/>
              <w:numPr>
                <w:ilvl w:val="0"/>
                <w:numId w:val="6"/>
              </w:numPr>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材料、构件、料具等堆放时，应有名称、品种、规格等标牌。</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水泥和其它易飞扬细颗粒建筑材料应封闭存放或采取覆盖等措施。</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3. </w:t>
            </w:r>
            <w:r>
              <w:rPr>
                <w:rStyle w:val="20"/>
                <w:rFonts w:hint="eastAsia" w:ascii="方正仿宋_GBK" w:hAnsi="Times New Roman" w:eastAsia="方正仿宋_GBK" w:cs="方正仿宋_GBK"/>
                <w:kern w:val="2"/>
                <w:sz w:val="21"/>
                <w:szCs w:val="21"/>
                <w:highlight w:val="none"/>
                <w:lang w:val="en-US" w:eastAsia="zh-CN" w:bidi="ar-SA"/>
              </w:rPr>
              <w:t>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现场防火</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垃圾清运</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施工现场应设置密闭式垃圾站，施工垃圾、生活垃圾应分类存放。</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宣传栏、环保及不扰民措施</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临时设施</w:t>
            </w: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现场办公</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生活设施</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施工现场办公、生活区与作业区分开设置，保持安全距离。</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施工现场</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临时用电</w:t>
            </w: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配电线路</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按照</w:t>
            </w:r>
            <w:r>
              <w:rPr>
                <w:rStyle w:val="20"/>
                <w:rFonts w:ascii="方正仿宋_GBK" w:hAnsi="Times New Roman" w:eastAsia="方正仿宋_GBK" w:cs="方正仿宋_GBK"/>
                <w:kern w:val="2"/>
                <w:sz w:val="21"/>
                <w:szCs w:val="21"/>
                <w:highlight w:val="none"/>
                <w:lang w:val="en-US" w:eastAsia="zh-CN" w:bidi="ar-SA"/>
              </w:rPr>
              <w:t>TN-S</w:t>
            </w:r>
            <w:r>
              <w:rPr>
                <w:rStyle w:val="20"/>
                <w:rFonts w:hint="eastAsia" w:ascii="方正仿宋_GBK" w:hAnsi="Times New Roman" w:eastAsia="方正仿宋_GBK" w:cs="方正仿宋_GBK"/>
                <w:kern w:val="2"/>
                <w:sz w:val="21"/>
                <w:szCs w:val="21"/>
                <w:highlight w:val="none"/>
                <w:lang w:val="en-US" w:eastAsia="zh-CN" w:bidi="ar-SA"/>
              </w:rPr>
              <w:t>系统要求配备五芯电缆、四芯电缆和三芯电缆。</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按要求架设临时用电线路的电杆、横担、瓷夹、瓷瓶等，或电缆埋地的地沟。</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3. </w:t>
            </w:r>
            <w:r>
              <w:rPr>
                <w:rStyle w:val="20"/>
                <w:rFonts w:hint="eastAsia" w:ascii="方正仿宋_GBK" w:hAnsi="Times New Roman" w:eastAsia="方正仿宋_GBK" w:cs="方正仿宋_GBK"/>
                <w:kern w:val="2"/>
                <w:sz w:val="21"/>
                <w:szCs w:val="21"/>
                <w:highlight w:val="none"/>
                <w:lang w:val="en-US" w:eastAsia="zh-CN" w:bidi="ar-SA"/>
              </w:rPr>
              <w:t>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配电箱</w:t>
            </w:r>
          </w:p>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开关箱</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按三级配电要求，配备总配电箱、分配电箱、开关箱三类（铁质）标准电箱，开关箱应符合“一机、一箱、一闸、一漏”，三类电箱中的各类电器应是合格品。</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按两级保护的要求，选取符合容量要求和质量合格的总配电箱和开关箱中的漏电保护器。</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3. </w:t>
            </w:r>
            <w:r>
              <w:rPr>
                <w:rStyle w:val="20"/>
                <w:rFonts w:hint="eastAsia" w:ascii="方正仿宋_GBK" w:hAnsi="Times New Roman" w:eastAsia="方正仿宋_GBK" w:cs="方正仿宋_GBK"/>
                <w:kern w:val="2"/>
                <w:sz w:val="21"/>
                <w:szCs w:val="21"/>
                <w:highlight w:val="none"/>
                <w:lang w:val="en-US" w:eastAsia="zh-CN" w:bidi="ar-SA"/>
              </w:rPr>
              <w:t>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接地装置</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现场变配电装置</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类别</w:t>
            </w: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项目名称</w:t>
            </w:r>
          </w:p>
        </w:tc>
        <w:tc>
          <w:tcPr>
            <w:tcW w:w="6645" w:type="dxa"/>
            <w:noWrap w:val="0"/>
            <w:vAlign w:val="center"/>
          </w:tcPr>
          <w:p>
            <w:pPr>
              <w:pStyle w:val="34"/>
              <w:widowControl w:val="0"/>
              <w:spacing w:line="300" w:lineRule="exact"/>
              <w:jc w:val="center"/>
              <w:rPr>
                <w:rStyle w:val="20"/>
                <w:rFonts w:ascii="方正仿宋_GBK" w:hAnsi="Times New Roman" w:eastAsia="方正仿宋_GBK" w:cs="Times New Roman"/>
                <w:b/>
                <w:bCs/>
                <w:kern w:val="2"/>
                <w:sz w:val="21"/>
                <w:szCs w:val="21"/>
                <w:highlight w:val="none"/>
                <w:lang w:val="en-US" w:eastAsia="zh-CN" w:bidi="ar-SA"/>
              </w:rPr>
            </w:pPr>
            <w:r>
              <w:rPr>
                <w:rStyle w:val="20"/>
                <w:rFonts w:hint="eastAsia" w:ascii="方正仿宋_GBK" w:hAnsi="Times New Roman" w:eastAsia="方正仿宋_GBK" w:cs="方正仿宋_GBK"/>
                <w:b/>
                <w:bCs/>
                <w:kern w:val="2"/>
                <w:sz w:val="21"/>
                <w:szCs w:val="21"/>
                <w:highlight w:val="none"/>
                <w:lang w:val="en-US" w:eastAsia="zh-CN" w:bidi="ar-SA"/>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安全施工</w:t>
            </w:r>
          </w:p>
        </w:tc>
        <w:tc>
          <w:tcPr>
            <w:tcW w:w="525"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高处作业防护</w:t>
            </w: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楼层、屋面、阳台等临边</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设两道防护栏杆和</w:t>
            </w:r>
            <w:r>
              <w:rPr>
                <w:rStyle w:val="20"/>
                <w:rFonts w:ascii="方正仿宋_GBK" w:hAnsi="Times New Roman" w:eastAsia="方正仿宋_GBK" w:cs="方正仿宋_GBK"/>
                <w:kern w:val="2"/>
                <w:sz w:val="21"/>
                <w:szCs w:val="21"/>
                <w:highlight w:val="none"/>
                <w:lang w:val="en-US" w:eastAsia="zh-CN" w:bidi="ar-SA"/>
              </w:rPr>
              <w:t>18cm</w:t>
            </w:r>
            <w:r>
              <w:rPr>
                <w:rStyle w:val="20"/>
                <w:rFonts w:hint="eastAsia" w:ascii="方正仿宋_GBK" w:hAnsi="Times New Roman" w:eastAsia="方正仿宋_GBK" w:cs="方正仿宋_GBK"/>
                <w:kern w:val="2"/>
                <w:sz w:val="21"/>
                <w:szCs w:val="21"/>
                <w:highlight w:val="none"/>
                <w:lang w:val="en-US" w:eastAsia="zh-CN" w:bidi="ar-SA"/>
              </w:rPr>
              <w:t>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通道口</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设防护棚，防护棚应为不小于</w:t>
            </w:r>
            <w:r>
              <w:rPr>
                <w:rStyle w:val="20"/>
                <w:rFonts w:ascii="方正仿宋_GBK" w:hAnsi="Times New Roman" w:eastAsia="方正仿宋_GBK" w:cs="方正仿宋_GBK"/>
                <w:kern w:val="2"/>
                <w:sz w:val="21"/>
                <w:szCs w:val="21"/>
                <w:highlight w:val="none"/>
                <w:lang w:val="en-US" w:eastAsia="zh-CN" w:bidi="ar-SA"/>
              </w:rPr>
              <w:t>5cm</w:t>
            </w:r>
            <w:r>
              <w:rPr>
                <w:rStyle w:val="20"/>
                <w:rFonts w:hint="eastAsia" w:ascii="方正仿宋_GBK" w:hAnsi="Times New Roman" w:eastAsia="方正仿宋_GBK" w:cs="方正仿宋_GBK"/>
                <w:kern w:val="2"/>
                <w:sz w:val="21"/>
                <w:szCs w:val="21"/>
                <w:highlight w:val="none"/>
                <w:lang w:val="en-US" w:eastAsia="zh-CN" w:bidi="ar-SA"/>
              </w:rPr>
              <w:t>厚的木板或两道相距</w:t>
            </w:r>
            <w:r>
              <w:rPr>
                <w:rStyle w:val="20"/>
                <w:rFonts w:ascii="方正仿宋_GBK" w:hAnsi="Times New Roman" w:eastAsia="方正仿宋_GBK" w:cs="方正仿宋_GBK"/>
                <w:kern w:val="2"/>
                <w:sz w:val="21"/>
                <w:szCs w:val="21"/>
                <w:highlight w:val="none"/>
                <w:lang w:val="en-US" w:eastAsia="zh-CN" w:bidi="ar-SA"/>
              </w:rPr>
              <w:t>50cm</w:t>
            </w:r>
            <w:r>
              <w:rPr>
                <w:rStyle w:val="20"/>
                <w:rFonts w:hint="eastAsia" w:ascii="方正仿宋_GBK" w:hAnsi="Times New Roman" w:eastAsia="方正仿宋_GBK" w:cs="方正仿宋_GBK"/>
                <w:kern w:val="2"/>
                <w:sz w:val="21"/>
                <w:szCs w:val="21"/>
                <w:highlight w:val="none"/>
                <w:lang w:val="en-US" w:eastAsia="zh-CN" w:bidi="ar-SA"/>
              </w:rPr>
              <w:t>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预留洞口</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用硬质材料全封闭，短边超过</w:t>
            </w:r>
            <w:r>
              <w:rPr>
                <w:rStyle w:val="20"/>
                <w:rFonts w:ascii="方正仿宋_GBK" w:hAnsi="Times New Roman" w:eastAsia="方正仿宋_GBK" w:cs="方正仿宋_GBK"/>
                <w:kern w:val="2"/>
                <w:sz w:val="21"/>
                <w:szCs w:val="21"/>
                <w:highlight w:val="none"/>
                <w:lang w:val="en-US" w:eastAsia="zh-CN" w:bidi="ar-SA"/>
              </w:rPr>
              <w:t>1.5m</w:t>
            </w:r>
            <w:r>
              <w:rPr>
                <w:rStyle w:val="20"/>
                <w:rFonts w:hint="eastAsia" w:ascii="方正仿宋_GBK" w:hAnsi="Times New Roman" w:eastAsia="方正仿宋_GBK" w:cs="方正仿宋_GBK"/>
                <w:kern w:val="2"/>
                <w:sz w:val="21"/>
                <w:szCs w:val="21"/>
                <w:highlight w:val="none"/>
                <w:lang w:val="en-US" w:eastAsia="zh-CN" w:bidi="ar-SA"/>
              </w:rPr>
              <w:t>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电梯井口</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设置定型化、工具化的防护门，在电梯井内每隔</w:t>
            </w:r>
            <w:r>
              <w:rPr>
                <w:rStyle w:val="20"/>
                <w:rFonts w:ascii="方正仿宋_GBK" w:hAnsi="Times New Roman" w:eastAsia="方正仿宋_GBK" w:cs="方正仿宋_GBK"/>
                <w:kern w:val="2"/>
                <w:sz w:val="21"/>
                <w:szCs w:val="21"/>
                <w:highlight w:val="none"/>
                <w:lang w:val="en-US" w:eastAsia="zh-CN" w:bidi="ar-SA"/>
              </w:rPr>
              <w:t>2</w:t>
            </w:r>
            <w:r>
              <w:rPr>
                <w:rStyle w:val="20"/>
                <w:rFonts w:hint="eastAsia" w:ascii="方正仿宋_GBK" w:hAnsi="Times New Roman" w:eastAsia="方正仿宋_GBK" w:cs="方正仿宋_GBK"/>
                <w:kern w:val="2"/>
                <w:sz w:val="21"/>
                <w:szCs w:val="21"/>
                <w:highlight w:val="none"/>
                <w:lang w:val="en-US" w:eastAsia="zh-CN" w:bidi="ar-SA"/>
              </w:rPr>
              <w:t>层（不大于</w:t>
            </w:r>
            <w:r>
              <w:rPr>
                <w:rStyle w:val="20"/>
                <w:rFonts w:ascii="方正仿宋_GBK" w:hAnsi="Times New Roman" w:eastAsia="方正仿宋_GBK" w:cs="方正仿宋_GBK"/>
                <w:kern w:val="2"/>
                <w:sz w:val="21"/>
                <w:szCs w:val="21"/>
                <w:highlight w:val="none"/>
                <w:lang w:val="en-US" w:eastAsia="zh-CN" w:bidi="ar-SA"/>
              </w:rPr>
              <w:t>10m</w:t>
            </w:r>
            <w:r>
              <w:rPr>
                <w:rStyle w:val="20"/>
                <w:rFonts w:hint="eastAsia" w:ascii="方正仿宋_GBK" w:hAnsi="Times New Roman" w:eastAsia="方正仿宋_GBK" w:cs="方正仿宋_GBK"/>
                <w:kern w:val="2"/>
                <w:sz w:val="21"/>
                <w:szCs w:val="21"/>
                <w:highlight w:val="none"/>
                <w:lang w:val="en-US" w:eastAsia="zh-CN" w:bidi="ar-SA"/>
              </w:rPr>
              <w:t>）设置一道水平防护。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楼梯边</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w:t>
            </w:r>
            <w:r>
              <w:rPr>
                <w:rStyle w:val="20"/>
                <w:rFonts w:ascii="方正仿宋_GBK" w:hAnsi="Times New Roman" w:eastAsia="方正仿宋_GBK" w:cs="方正仿宋_GBK"/>
                <w:kern w:val="2"/>
                <w:sz w:val="21"/>
                <w:szCs w:val="21"/>
                <w:highlight w:val="none"/>
                <w:lang w:val="en-US" w:eastAsia="zh-CN" w:bidi="ar-SA"/>
              </w:rPr>
              <w:t>1.2m</w:t>
            </w:r>
            <w:r>
              <w:rPr>
                <w:rStyle w:val="20"/>
                <w:rFonts w:hint="eastAsia" w:ascii="方正仿宋_GBK" w:hAnsi="Times New Roman" w:eastAsia="方正仿宋_GBK" w:cs="方正仿宋_GBK"/>
                <w:kern w:val="2"/>
                <w:sz w:val="21"/>
                <w:szCs w:val="21"/>
                <w:highlight w:val="none"/>
                <w:lang w:val="en-US" w:eastAsia="zh-CN" w:bidi="ar-SA"/>
              </w:rPr>
              <w:t>高的定型化、工具化的防护栏，</w:t>
            </w:r>
            <w:r>
              <w:rPr>
                <w:rStyle w:val="20"/>
                <w:rFonts w:ascii="方正仿宋_GBK" w:hAnsi="Times New Roman" w:eastAsia="方正仿宋_GBK" w:cs="方正仿宋_GBK"/>
                <w:kern w:val="2"/>
                <w:sz w:val="21"/>
                <w:szCs w:val="21"/>
                <w:highlight w:val="none"/>
                <w:lang w:val="en-US" w:eastAsia="zh-CN" w:bidi="ar-SA"/>
              </w:rPr>
              <w:t>18cm</w:t>
            </w:r>
            <w:r>
              <w:rPr>
                <w:rStyle w:val="20"/>
                <w:rFonts w:hint="eastAsia" w:ascii="方正仿宋_GBK" w:hAnsi="Times New Roman" w:eastAsia="方正仿宋_GBK" w:cs="方正仿宋_GBK"/>
                <w:kern w:val="2"/>
                <w:sz w:val="21"/>
                <w:szCs w:val="21"/>
                <w:highlight w:val="none"/>
                <w:lang w:val="en-US" w:eastAsia="zh-CN" w:bidi="ar-SA"/>
              </w:rPr>
              <w:t>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垂直方向交叉作业</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高处作业</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基坑、物料平台</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w:t>
            </w:r>
            <w:r>
              <w:rPr>
                <w:rStyle w:val="20"/>
                <w:rFonts w:ascii="方正仿宋_GBK" w:hAnsi="Times New Roman" w:eastAsia="方正仿宋_GBK" w:cs="方正仿宋_GBK"/>
                <w:kern w:val="2"/>
                <w:sz w:val="21"/>
                <w:szCs w:val="21"/>
                <w:highlight w:val="none"/>
                <w:lang w:val="en-US" w:eastAsia="zh-CN" w:bidi="ar-SA"/>
              </w:rPr>
              <w:t>1.2m</w:t>
            </w:r>
            <w:r>
              <w:rPr>
                <w:rStyle w:val="20"/>
                <w:rFonts w:hint="eastAsia" w:ascii="方正仿宋_GBK" w:hAnsi="Times New Roman" w:eastAsia="方正仿宋_GBK" w:cs="方正仿宋_GBK"/>
                <w:kern w:val="2"/>
                <w:sz w:val="21"/>
                <w:szCs w:val="21"/>
                <w:highlight w:val="none"/>
                <w:lang w:val="en-US" w:eastAsia="zh-CN" w:bidi="ar-SA"/>
              </w:rPr>
              <w:t>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安全防护用品</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其它</w:t>
            </w:r>
          </w:p>
        </w:tc>
        <w:tc>
          <w:tcPr>
            <w:tcW w:w="525" w:type="dxa"/>
            <w:vMerge w:val="restart"/>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机械设备防护</w:t>
            </w: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中小型机械</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垂直运输设备</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1. </w:t>
            </w:r>
            <w:r>
              <w:rPr>
                <w:rStyle w:val="20"/>
                <w:rFonts w:hint="eastAsia" w:ascii="方正仿宋_GBK" w:hAnsi="Times New Roman" w:eastAsia="方正仿宋_GBK" w:cs="方正仿宋_GBK"/>
                <w:kern w:val="2"/>
                <w:sz w:val="21"/>
                <w:szCs w:val="21"/>
                <w:highlight w:val="none"/>
                <w:lang w:val="en-US" w:eastAsia="zh-CN" w:bidi="ar-SA"/>
              </w:rPr>
              <w:t>垂直运输设备检测、检验、日常维护、保养等。</w:t>
            </w:r>
          </w:p>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ascii="方正仿宋_GBK" w:hAnsi="Times New Roman" w:eastAsia="方正仿宋_GBK" w:cs="方正仿宋_GBK"/>
                <w:kern w:val="2"/>
                <w:sz w:val="21"/>
                <w:szCs w:val="21"/>
                <w:highlight w:val="none"/>
                <w:lang w:val="en-US" w:eastAsia="zh-CN" w:bidi="ar-SA"/>
              </w:rPr>
              <w:t xml:space="preserve">2. </w:t>
            </w:r>
            <w:r>
              <w:rPr>
                <w:rStyle w:val="20"/>
                <w:rFonts w:hint="eastAsia" w:ascii="方正仿宋_GBK" w:hAnsi="Times New Roman" w:eastAsia="方正仿宋_GBK" w:cs="方正仿宋_GBK"/>
                <w:kern w:val="2"/>
                <w:sz w:val="21"/>
                <w:szCs w:val="21"/>
                <w:highlight w:val="none"/>
                <w:lang w:val="en-US" w:eastAsia="zh-CN" w:bidi="ar-SA"/>
              </w:rPr>
              <w:t>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专家论证审查</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应急救援预案</w:t>
            </w:r>
          </w:p>
        </w:tc>
        <w:tc>
          <w:tcPr>
            <w:tcW w:w="6645" w:type="dxa"/>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p>
        </w:tc>
        <w:tc>
          <w:tcPr>
            <w:tcW w:w="2070" w:type="dxa"/>
            <w:gridSpan w:val="2"/>
            <w:tcBorders>
              <w:bottom w:val="single" w:color="auto" w:sz="12" w:space="0"/>
            </w:tcBorders>
            <w:noWrap w:val="0"/>
            <w:vAlign w:val="center"/>
          </w:tcPr>
          <w:p>
            <w:pPr>
              <w:pStyle w:val="34"/>
              <w:widowControl w:val="0"/>
              <w:spacing w:line="300" w:lineRule="exact"/>
              <w:jc w:val="center"/>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非正常情况施工</w:t>
            </w:r>
          </w:p>
        </w:tc>
        <w:tc>
          <w:tcPr>
            <w:tcW w:w="6645" w:type="dxa"/>
            <w:tcBorders>
              <w:bottom w:val="single" w:color="auto" w:sz="12" w:space="0"/>
            </w:tcBorders>
            <w:noWrap w:val="0"/>
            <w:vAlign w:val="center"/>
          </w:tcPr>
          <w:p>
            <w:pPr>
              <w:pStyle w:val="34"/>
              <w:widowControl w:val="0"/>
              <w:spacing w:line="300" w:lineRule="exact"/>
              <w:jc w:val="both"/>
              <w:rPr>
                <w:rStyle w:val="20"/>
                <w:rFonts w:ascii="方正仿宋_GBK" w:hAnsi="Times New Roman" w:eastAsia="方正仿宋_GBK" w:cs="Times New Roman"/>
                <w:kern w:val="2"/>
                <w:sz w:val="21"/>
                <w:szCs w:val="21"/>
                <w:highlight w:val="none"/>
                <w:lang w:val="en-US" w:eastAsia="zh-CN" w:bidi="ar-SA"/>
              </w:rPr>
            </w:pPr>
            <w:r>
              <w:rPr>
                <w:rStyle w:val="20"/>
                <w:rFonts w:hint="eastAsia" w:ascii="方正仿宋_GBK" w:hAnsi="Times New Roman" w:eastAsia="方正仿宋_GBK" w:cs="方正仿宋_GBK"/>
                <w:kern w:val="2"/>
                <w:sz w:val="21"/>
                <w:szCs w:val="21"/>
                <w:highlight w:val="none"/>
                <w:lang w:val="en-US" w:eastAsia="zh-CN" w:bidi="ar-SA"/>
              </w:rPr>
              <w:t>其它特殊情况下的防护费用，如：城市主干道、人流密集、河边等处施工及文物、古建筑、古树保护等。</w:t>
            </w:r>
          </w:p>
        </w:tc>
      </w:tr>
    </w:tbl>
    <w:p>
      <w:pPr>
        <w:pStyle w:val="34"/>
        <w:spacing w:line="240" w:lineRule="atLeast"/>
        <w:ind w:firstLine="546"/>
        <w:jc w:val="center"/>
        <w:rPr>
          <w:rStyle w:val="20"/>
          <w:rFonts w:ascii="Times New Roman" w:hAnsi="Times New Roman" w:eastAsia="宋体" w:cs="Times New Roman"/>
          <w:b/>
          <w:bCs/>
          <w:w w:val="90"/>
          <w:sz w:val="24"/>
          <w:szCs w:val="24"/>
          <w:highlight w:val="none"/>
        </w:rPr>
      </w:pPr>
    </w:p>
    <w:p>
      <w:pPr>
        <w:pStyle w:val="11"/>
        <w:jc w:val="both"/>
        <w:outlineLvl w:val="9"/>
        <w:rPr>
          <w:rFonts w:hint="eastAsia" w:ascii="宋体" w:hAnsi="宋体" w:eastAsia="宋体" w:cs="宋体"/>
          <w:color w:val="000000"/>
          <w:szCs w:val="21"/>
          <w:highlight w:val="none"/>
        </w:rPr>
      </w:pPr>
      <w:r>
        <w:rPr>
          <w:rStyle w:val="20"/>
          <w:rFonts w:hint="eastAsia" w:ascii="Times New Roman" w:hAnsi="Times New Roman" w:eastAsia="宋体" w:cs="宋体"/>
          <w:szCs w:val="21"/>
          <w:highlight w:val="none"/>
        </w:rPr>
        <w:t>注：本表所列建筑工程安全文明施工费，是依据现行法律法规及标准规范确定的。如法律法规和标准规范修订，本表所列项目应按照修订后的法律法规和标准规范进行调整。</w:t>
      </w:r>
    </w:p>
    <w:p>
      <w:pPr>
        <w:pStyle w:val="11"/>
        <w:jc w:val="both"/>
        <w:outlineLvl w:val="9"/>
        <w:rPr>
          <w:rFonts w:hint="eastAsia" w:ascii="宋体" w:hAnsi="宋体" w:eastAsia="宋体" w:cs="宋体"/>
          <w:color w:val="000000"/>
          <w:szCs w:val="21"/>
          <w:highlight w:val="none"/>
        </w:rPr>
      </w:pPr>
    </w:p>
    <w:p>
      <w:pPr>
        <w:pStyle w:val="11"/>
        <w:jc w:val="center"/>
        <w:outlineLvl w:val="1"/>
        <w:rPr>
          <w:rFonts w:hint="eastAsia" w:ascii="宋体" w:hAnsi="宋体" w:eastAsia="宋体" w:cs="宋体"/>
          <w:b/>
          <w:bCs/>
          <w:color w:val="000000"/>
          <w:sz w:val="28"/>
          <w:szCs w:val="28"/>
          <w:highlight w:val="none"/>
        </w:rPr>
      </w:pPr>
      <w:bookmarkStart w:id="1548" w:name="_Toc19686838"/>
      <w:bookmarkStart w:id="1549" w:name="_Toc6839"/>
    </w:p>
    <w:p>
      <w:pPr>
        <w:pStyle w:val="11"/>
        <w:jc w:val="center"/>
        <w:outlineLvl w:val="1"/>
        <w:rPr>
          <w:rFonts w:hint="eastAsia" w:ascii="宋体" w:hAnsi="宋体" w:eastAsia="宋体" w:cs="宋体"/>
          <w:b/>
          <w:bCs/>
          <w:color w:val="000000"/>
          <w:sz w:val="28"/>
          <w:szCs w:val="28"/>
          <w:highlight w:val="none"/>
        </w:rPr>
      </w:pPr>
    </w:p>
    <w:p>
      <w:pPr>
        <w:pStyle w:val="11"/>
        <w:jc w:val="center"/>
        <w:outlineLvl w:val="1"/>
        <w:rPr>
          <w:rFonts w:hint="eastAsia" w:ascii="宋体" w:hAnsi="宋体" w:eastAsia="宋体" w:cs="宋体"/>
          <w:b/>
          <w:bCs/>
          <w:color w:val="000000"/>
          <w:sz w:val="28"/>
          <w:szCs w:val="28"/>
          <w:highlight w:val="none"/>
        </w:rPr>
      </w:pPr>
    </w:p>
    <w:p>
      <w:pPr>
        <w:pStyle w:val="11"/>
        <w:jc w:val="center"/>
        <w:outlineLvl w:val="1"/>
        <w:rPr>
          <w:rFonts w:hint="eastAsia" w:ascii="宋体" w:hAnsi="宋体" w:eastAsia="宋体" w:cs="宋体"/>
          <w:b/>
          <w:bCs/>
          <w:color w:val="000000"/>
          <w:sz w:val="28"/>
          <w:szCs w:val="28"/>
          <w:highlight w:val="none"/>
        </w:rPr>
      </w:pPr>
    </w:p>
    <w:p>
      <w:pPr>
        <w:pStyle w:val="11"/>
        <w:jc w:val="center"/>
        <w:outlineLvl w:val="1"/>
        <w:rPr>
          <w:rFonts w:hint="eastAsia" w:ascii="宋体" w:hAnsi="宋体" w:eastAsia="宋体" w:cs="宋体"/>
          <w:b/>
          <w:bCs/>
          <w:color w:val="000000"/>
          <w:sz w:val="28"/>
          <w:szCs w:val="28"/>
          <w:highlight w:val="none"/>
        </w:rPr>
      </w:pPr>
    </w:p>
    <w:p>
      <w:pPr>
        <w:pStyle w:val="11"/>
        <w:jc w:val="center"/>
        <w:outlineLvl w:val="1"/>
        <w:rPr>
          <w:rFonts w:hint="eastAsia" w:ascii="宋体" w:hAnsi="宋体" w:eastAsia="宋体" w:cs="宋体"/>
          <w:b/>
          <w:bCs/>
          <w:color w:val="000000"/>
          <w:sz w:val="28"/>
          <w:szCs w:val="28"/>
          <w:highlight w:val="none"/>
        </w:rPr>
      </w:pPr>
    </w:p>
    <w:p>
      <w:pPr>
        <w:pStyle w:val="11"/>
        <w:jc w:val="center"/>
        <w:outlineLvl w:val="1"/>
        <w:rPr>
          <w:rFonts w:hint="eastAsia" w:ascii="宋体" w:hAnsi="宋体" w:eastAsia="宋体" w:cs="宋体"/>
          <w:b/>
          <w:bCs/>
          <w:color w:val="000000"/>
          <w:sz w:val="28"/>
          <w:szCs w:val="28"/>
          <w:highlight w:val="none"/>
        </w:rPr>
      </w:pPr>
      <w:bookmarkStart w:id="1550" w:name="_Toc26695"/>
      <w:r>
        <w:rPr>
          <w:rFonts w:hint="eastAsia" w:ascii="宋体" w:hAnsi="宋体" w:eastAsia="宋体" w:cs="宋体"/>
          <w:b/>
          <w:bCs/>
          <w:color w:val="000000"/>
          <w:sz w:val="28"/>
          <w:szCs w:val="28"/>
          <w:highlight w:val="none"/>
        </w:rPr>
        <w:t>第三节 商务文件格式</w:t>
      </w:r>
      <w:bookmarkEnd w:id="1548"/>
      <w:bookmarkEnd w:id="1549"/>
      <w:bookmarkEnd w:id="1550"/>
    </w:p>
    <w:p>
      <w:pPr>
        <w:snapToGrid w:val="0"/>
        <w:spacing w:before="165" w:beforeLines="50" w:after="50"/>
        <w:rPr>
          <w:rFonts w:hint="eastAsia" w:ascii="宋体" w:hAnsi="宋体" w:eastAsia="宋体" w:cs="宋体"/>
          <w:color w:val="000000"/>
          <w:sz w:val="30"/>
          <w:szCs w:val="20"/>
          <w:highlight w:val="none"/>
        </w:rPr>
      </w:pPr>
    </w:p>
    <w:p>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 xml:space="preserve">             电子投标文件</w:t>
      </w:r>
    </w:p>
    <w:p>
      <w:pPr>
        <w:snapToGrid w:val="0"/>
        <w:spacing w:before="165" w:beforeLines="50" w:after="50"/>
        <w:rPr>
          <w:rFonts w:hint="eastAsia" w:ascii="宋体" w:hAnsi="宋体" w:eastAsia="宋体" w:cs="宋体"/>
          <w:color w:val="000000"/>
          <w:sz w:val="24"/>
          <w:szCs w:val="20"/>
          <w:highlight w:val="none"/>
        </w:rPr>
      </w:pPr>
    </w:p>
    <w:p>
      <w:pPr>
        <w:snapToGrid w:val="0"/>
        <w:spacing w:before="165" w:beforeLines="50" w:after="5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32"/>
          <w:szCs w:val="32"/>
          <w:highlight w:val="none"/>
        </w:rPr>
        <w:t>商务文件（封面）</w:t>
      </w: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p>
    <w:p>
      <w:pPr>
        <w:snapToGrid w:val="0"/>
        <w:spacing w:before="165" w:beforeLines="50" w:after="50"/>
        <w:ind w:firstLine="540" w:firstLineChars="225"/>
        <w:rPr>
          <w:rFonts w:hint="eastAsia" w:ascii="宋体" w:hAnsi="宋体" w:eastAsia="宋体" w:cs="宋体"/>
          <w:bCs/>
          <w:color w:val="000000"/>
          <w:sz w:val="24"/>
          <w:szCs w:val="20"/>
          <w:highlight w:val="none"/>
        </w:rPr>
      </w:pP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项目编号：</w:t>
      </w:r>
    </w:p>
    <w:p>
      <w:pPr>
        <w:snapToGrid w:val="0"/>
        <w:spacing w:before="165" w:beforeLines="50" w:after="50"/>
        <w:ind w:firstLine="540" w:firstLineChars="225"/>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 </w:t>
      </w:r>
    </w:p>
    <w:p>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pPr>
        <w:snapToGrid w:val="0"/>
        <w:spacing w:before="165" w:beforeLines="50" w:after="50"/>
        <w:ind w:firstLine="540" w:firstLineChars="225"/>
        <w:rPr>
          <w:rFonts w:hint="eastAsia" w:ascii="宋体" w:hAnsi="宋体" w:eastAsia="宋体" w:cs="宋体"/>
          <w:bCs/>
          <w:color w:val="000000"/>
          <w:sz w:val="24"/>
          <w:szCs w:val="20"/>
          <w:highlight w:val="none"/>
        </w:rPr>
      </w:pPr>
    </w:p>
    <w:p>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w:t>
      </w:r>
    </w:p>
    <w:p>
      <w:pPr>
        <w:pStyle w:val="7"/>
        <w:snapToGrid w:val="0"/>
        <w:spacing w:before="50" w:after="50"/>
        <w:ind w:firstLine="540" w:firstLineChars="225"/>
        <w:rPr>
          <w:rFonts w:hint="eastAsia" w:ascii="宋体" w:hAnsi="宋体" w:eastAsia="宋体" w:cs="宋体"/>
          <w:bCs/>
          <w:color w:val="000000"/>
          <w:sz w:val="24"/>
          <w:szCs w:val="24"/>
          <w:highlight w:val="none"/>
        </w:rPr>
      </w:pPr>
    </w:p>
    <w:p>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投标人地址：</w:t>
      </w:r>
    </w:p>
    <w:p>
      <w:pPr>
        <w:pStyle w:val="7"/>
        <w:snapToGrid w:val="0"/>
        <w:spacing w:before="50" w:after="50"/>
        <w:ind w:firstLine="960" w:firstLineChars="400"/>
        <w:rPr>
          <w:rFonts w:hint="eastAsia" w:ascii="宋体" w:hAnsi="宋体" w:eastAsia="宋体" w:cs="宋体"/>
          <w:bCs/>
          <w:color w:val="000000"/>
          <w:sz w:val="24"/>
          <w:szCs w:val="24"/>
          <w:highlight w:val="none"/>
        </w:rPr>
      </w:pPr>
    </w:p>
    <w:p>
      <w:pPr>
        <w:snapToGrid w:val="0"/>
        <w:spacing w:before="165" w:beforeLines="50" w:after="50"/>
        <w:ind w:firstLine="645"/>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snapToGrid w:val="0"/>
        <w:spacing w:before="165" w:beforeLines="50" w:after="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 </w:t>
      </w: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color w:val="000000"/>
          <w:sz w:val="24"/>
          <w:szCs w:val="20"/>
          <w:highlight w:val="none"/>
        </w:rPr>
      </w:pPr>
    </w:p>
    <w:p>
      <w:pPr>
        <w:spacing w:line="360" w:lineRule="auto"/>
        <w:ind w:right="42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 xml:space="preserve"> </w:t>
      </w:r>
    </w:p>
    <w:p>
      <w:pPr>
        <w:rPr>
          <w:rFonts w:hint="eastAsia" w:ascii="宋体" w:hAnsi="宋体" w:eastAsia="宋体" w:cs="宋体"/>
          <w:b/>
          <w:kern w:val="0"/>
          <w:sz w:val="24"/>
          <w:highlight w:val="none"/>
        </w:rPr>
      </w:pPr>
    </w:p>
    <w:p>
      <w:pPr>
        <w:rPr>
          <w:rFonts w:hint="eastAsia" w:ascii="宋体" w:hAnsi="宋体" w:eastAsia="宋体" w:cs="宋体"/>
          <w:b/>
          <w:kern w:val="0"/>
          <w:sz w:val="24"/>
          <w:highlight w:val="none"/>
        </w:rPr>
      </w:pPr>
    </w:p>
    <w:p>
      <w:pPr>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商务文件目录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一、无串标行为承诺函…………………………………………………………………（页码）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bookmarkStart w:id="1551" w:name="OLE_LINK6"/>
      <w:bookmarkStart w:id="1552" w:name="OLE_LINK7"/>
      <w:bookmarkStart w:id="1553" w:name="OLE_LINK5"/>
      <w:r>
        <w:rPr>
          <w:rFonts w:hint="eastAsia" w:ascii="宋体" w:hAnsi="宋体" w:eastAsia="宋体" w:cs="宋体"/>
          <w:highlight w:val="none"/>
        </w:rPr>
        <w:t>五、投标人情况介绍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六、投标人类似业绩的证明文件（如有要求）</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bookmarkEnd w:id="1551"/>
      <w:bookmarkEnd w:id="1552"/>
    </w:p>
    <w:p>
      <w:pPr>
        <w:pStyle w:val="33"/>
        <w:spacing w:line="360" w:lineRule="auto"/>
        <w:rPr>
          <w:rFonts w:hint="eastAsia" w:ascii="宋体" w:hAnsi="宋体" w:eastAsia="宋体" w:cs="宋体"/>
          <w:highlight w:val="none"/>
        </w:rPr>
      </w:pPr>
      <w:r>
        <w:rPr>
          <w:rFonts w:hint="eastAsia" w:ascii="宋体" w:hAnsi="宋体" w:eastAsia="宋体" w:cs="宋体"/>
          <w:highlight w:val="none"/>
        </w:rPr>
        <w:t>七、其他商务文件或说明</w:t>
      </w:r>
      <w:r>
        <w:rPr>
          <w:rFonts w:hint="eastAsia" w:ascii="宋体" w:hAnsi="宋体" w:eastAsia="宋体" w:cs="宋体"/>
          <w:highlight w:val="none"/>
          <w:lang w:val="zh-CN"/>
        </w:rPr>
        <w:t>…………………………………………………………</w:t>
      </w:r>
      <w:r>
        <w:rPr>
          <w:rFonts w:hint="eastAsia" w:ascii="宋体" w:hAnsi="宋体" w:eastAsia="宋体" w:cs="宋体"/>
          <w:highlight w:val="none"/>
        </w:rPr>
        <w:t>……（页码）</w:t>
      </w:r>
    </w:p>
    <w:bookmarkEnd w:id="1553"/>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pPr>
        <w:widowControl/>
        <w:spacing w:line="360" w:lineRule="auto"/>
        <w:jc w:val="left"/>
        <w:rPr>
          <w:rFonts w:hint="eastAsia" w:ascii="宋体" w:hAnsi="宋体" w:eastAsia="宋体" w:cs="宋体"/>
          <w:color w:val="000000"/>
          <w:highlight w:val="none"/>
        </w:rPr>
        <w:sectPr>
          <w:pgSz w:w="11906" w:h="16838"/>
          <w:pgMar w:top="1134" w:right="1134" w:bottom="1134" w:left="1134" w:header="720" w:footer="720" w:gutter="0"/>
          <w:cols w:space="720" w:num="1"/>
          <w:docGrid w:type="lines" w:linePitch="331" w:charSpace="0"/>
        </w:sectPr>
      </w:pPr>
    </w:p>
    <w:p>
      <w:pPr>
        <w:snapToGrid w:val="0"/>
        <w:spacing w:before="120" w:beforeLines="50" w:after="50"/>
        <w:ind w:left="42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一、无串标行为承诺函</w:t>
      </w:r>
    </w:p>
    <w:p>
      <w:pPr>
        <w:snapToGrid w:val="0"/>
        <w:spacing w:before="120" w:beforeLines="50" w:after="50"/>
        <w:ind w:left="42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投标人参加本项目无围标串标行为的承诺函</w:t>
      </w:r>
    </w:p>
    <w:p>
      <w:pPr>
        <w:snapToGrid w:val="0"/>
        <w:spacing w:before="120" w:beforeLines="50" w:after="50"/>
        <w:rPr>
          <w:rFonts w:hint="eastAsia" w:ascii="宋体" w:hAnsi="宋体" w:eastAsia="宋体" w:cs="宋体"/>
          <w:b/>
          <w:color w:val="000000"/>
          <w:szCs w:val="21"/>
          <w:highlight w:val="none"/>
        </w:rPr>
      </w:pPr>
    </w:p>
    <w:p>
      <w:pPr>
        <w:snapToGrid w:val="0"/>
        <w:spacing w:before="120" w:beforeLines="50" w:after="50"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一、我方承诺无下列相互串通投标的情形：</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1.不同投标人的投标文件由同一单位或者个人编制；或者不同投标人报名的IP地址一致的；或者编制标书硬件设备CPU编号、硬盘编号、网卡地址一致的情况。</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2.不同投标人委托同一单位或者个人办理投标事宜；</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5.不同投标人的投标文件相互混装；</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6.不同投标人的投标保证金从同一单位或者个人账户转出。</w:t>
      </w:r>
    </w:p>
    <w:p>
      <w:pPr>
        <w:snapToGrid w:val="0"/>
        <w:spacing w:before="120" w:beforeLines="50" w:after="50" w:line="360" w:lineRule="auto"/>
        <w:jc w:val="left"/>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1.投标人直接或者间接从采购人或者采购代理机构处获得其他投标人的相关信息并修改其投标文件或者投标文件；</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2.投标人按照采购人或者采购代理机构的授意撤换、修改投标文件或者投标文件；</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3.投标人之间协商报价、技术方案等投标文件或者投标文件的实质性内容；</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以上情形一经核查属实，我方愿意承担一切后果，接受政府采购监管部门对我方认定存在围标串标行为，并不再寻求任何旨在减轻或者免除法律责任的辩解。</w:t>
      </w:r>
    </w:p>
    <w:p>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pStyle w:val="11"/>
        <w:snapToGrid w:val="0"/>
        <w:spacing w:before="295" w:after="295"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bCs/>
          <w:sz w:val="30"/>
          <w:szCs w:val="30"/>
          <w:highlight w:val="none"/>
        </w:rPr>
        <w:t>二、法定代表人身份证明</w:t>
      </w:r>
    </w:p>
    <w:p>
      <w:pPr>
        <w:spacing w:before="240" w:beforeLines="100" w:after="120" w:afterLines="50"/>
        <w:ind w:left="540"/>
        <w:jc w:val="center"/>
        <w:rPr>
          <w:rFonts w:hint="eastAsia" w:ascii="宋体" w:hAnsi="宋体" w:eastAsia="宋体" w:cs="宋体"/>
          <w:b/>
          <w:color w:val="000000"/>
          <w:sz w:val="32"/>
          <w:szCs w:val="32"/>
          <w:highlight w:val="none"/>
        </w:rPr>
      </w:pPr>
    </w:p>
    <w:p>
      <w:pPr>
        <w:spacing w:before="240" w:beforeLines="100" w:after="120" w:afterLines="50"/>
        <w:ind w:left="540"/>
        <w:jc w:val="center"/>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rPr>
        <w:t>法定代表人身份证明</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 标 人：</w:t>
      </w:r>
      <w:r>
        <w:rPr>
          <w:rFonts w:hint="eastAsia" w:ascii="宋体" w:hAnsi="宋体" w:eastAsia="宋体" w:cs="宋体"/>
          <w:color w:val="000000"/>
          <w:sz w:val="24"/>
          <w:highlight w:val="none"/>
          <w:u w:val="single"/>
        </w:rPr>
        <w:t xml:space="preserve">                                                        </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      别：</w:t>
      </w:r>
      <w:r>
        <w:rPr>
          <w:rFonts w:hint="eastAsia" w:ascii="宋体" w:hAnsi="宋体" w:eastAsia="宋体" w:cs="宋体"/>
          <w:color w:val="000000"/>
          <w:sz w:val="24"/>
          <w:highlight w:val="none"/>
          <w:u w:val="single"/>
        </w:rPr>
        <w:t xml:space="preserve">                </w:t>
      </w:r>
    </w:p>
    <w:p>
      <w:pPr>
        <w:spacing w:line="500" w:lineRule="exact"/>
        <w:ind w:left="5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年    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xml:space="preserve">                </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（投标人名称）              </w:t>
      </w:r>
      <w:r>
        <w:rPr>
          <w:rFonts w:hint="eastAsia" w:ascii="宋体" w:hAnsi="宋体" w:eastAsia="宋体" w:cs="宋体"/>
          <w:color w:val="000000"/>
          <w:sz w:val="24"/>
          <w:highlight w:val="none"/>
        </w:rPr>
        <w:t>的法定代表人。</w:t>
      </w: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spacing w:line="500" w:lineRule="exact"/>
        <w:ind w:left="540"/>
        <w:rPr>
          <w:rFonts w:hint="eastAsia" w:ascii="宋体" w:hAnsi="宋体" w:eastAsia="宋体" w:cs="宋体"/>
          <w:color w:val="000000"/>
          <w:sz w:val="24"/>
          <w:highlight w:val="none"/>
        </w:rPr>
      </w:pPr>
    </w:p>
    <w:p>
      <w:pPr>
        <w:spacing w:line="500" w:lineRule="exact"/>
        <w:ind w:left="540"/>
        <w:rPr>
          <w:rFonts w:hint="eastAsia" w:ascii="宋体" w:hAnsi="宋体" w:eastAsia="宋体" w:cs="宋体"/>
          <w:color w:val="000000"/>
          <w:sz w:val="24"/>
          <w:highlight w:val="none"/>
        </w:rPr>
      </w:pPr>
    </w:p>
    <w:p>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附件：法定代表人有效身份证正反面复印件</w:t>
      </w:r>
    </w:p>
    <w:p>
      <w:pPr>
        <w:spacing w:line="500" w:lineRule="exact"/>
        <w:ind w:left="540"/>
        <w:rPr>
          <w:rFonts w:hint="eastAsia" w:ascii="宋体" w:hAnsi="宋体" w:eastAsia="宋体" w:cs="宋体"/>
          <w:color w:val="000000"/>
          <w:sz w:val="24"/>
          <w:highlight w:val="none"/>
        </w:rPr>
      </w:pPr>
    </w:p>
    <w:p>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before="120" w:beforeLines="50" w:after="50"/>
        <w:jc w:val="center"/>
        <w:rPr>
          <w:rFonts w:hint="eastAsia" w:ascii="宋体" w:hAnsi="宋体" w:eastAsia="宋体" w:cs="宋体"/>
          <w:b/>
          <w:color w:val="000000"/>
          <w:sz w:val="24"/>
          <w:highlight w:val="none"/>
        </w:rPr>
      </w:pPr>
    </w:p>
    <w:p>
      <w:pPr>
        <w:snapToGrid w:val="0"/>
        <w:spacing w:before="120" w:beforeLines="50" w:after="50"/>
        <w:ind w:firstLine="600" w:firstLineChars="2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注：自然人投标的无需提供</w:t>
      </w:r>
    </w:p>
    <w:p>
      <w:pPr>
        <w:snapToGrid w:val="0"/>
        <w:spacing w:before="120" w:beforeLines="50" w:after="50"/>
        <w:ind w:firstLine="600" w:firstLineChars="250"/>
        <w:jc w:val="left"/>
        <w:rPr>
          <w:rFonts w:hint="eastAsia" w:ascii="宋体" w:hAnsi="宋体" w:eastAsia="宋体" w:cs="宋体"/>
          <w:color w:val="000000"/>
          <w:sz w:val="24"/>
          <w:highlight w:val="none"/>
        </w:rPr>
      </w:pPr>
    </w:p>
    <w:p>
      <w:pPr>
        <w:snapToGrid w:val="0"/>
        <w:spacing w:before="120" w:beforeLines="50" w:after="50"/>
        <w:ind w:firstLine="602" w:firstLineChars="250"/>
        <w:jc w:val="left"/>
        <w:rPr>
          <w:rFonts w:hint="eastAsia" w:ascii="宋体" w:hAnsi="宋体" w:eastAsia="宋体" w:cs="宋体"/>
          <w:b/>
          <w:color w:val="000000"/>
          <w:sz w:val="24"/>
          <w:szCs w:val="20"/>
          <w:highlight w:val="none"/>
        </w:rPr>
      </w:pPr>
    </w:p>
    <w:tbl>
      <w:tblPr>
        <w:tblStyle w:val="18"/>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法定代表身份证复印件粘帖处（正、反面）</w:t>
            </w:r>
          </w:p>
        </w:tc>
      </w:tr>
    </w:tbl>
    <w:p>
      <w:pPr>
        <w:pStyle w:val="11"/>
        <w:snapToGrid w:val="0"/>
        <w:spacing w:before="295" w:after="295"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rPr>
        <w:br w:type="page"/>
      </w:r>
      <w:r>
        <w:rPr>
          <w:rFonts w:hint="eastAsia" w:ascii="宋体" w:hAnsi="宋体" w:eastAsia="宋体" w:cs="宋体"/>
          <w:b/>
          <w:bCs/>
          <w:sz w:val="30"/>
          <w:szCs w:val="30"/>
          <w:highlight w:val="none"/>
        </w:rPr>
        <w:t>三、法定代表人授权委托书（如有委托时）</w:t>
      </w:r>
    </w:p>
    <w:p>
      <w:pPr>
        <w:snapToGrid w:val="0"/>
        <w:spacing w:before="120" w:beforeLines="50" w:after="5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法定代表人授权委托书</w:t>
      </w:r>
    </w:p>
    <w:p>
      <w:pPr>
        <w:snapToGrid w:val="0"/>
        <w:spacing w:before="120" w:beforeLines="50" w:after="50"/>
        <w:jc w:val="center"/>
        <w:rPr>
          <w:rFonts w:hint="eastAsia" w:ascii="宋体" w:hAnsi="宋体" w:eastAsia="宋体" w:cs="宋体"/>
          <w:b/>
          <w:color w:val="000000"/>
          <w:sz w:val="24"/>
          <w:highlight w:val="none"/>
        </w:rPr>
      </w:pP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（投标人名称）的法定代表人，现授权我单位在职正式员工</w:t>
      </w:r>
      <w:r>
        <w:rPr>
          <w:rFonts w:hint="eastAsia" w:ascii="宋体" w:hAnsi="宋体" w:eastAsia="宋体" w:cs="宋体"/>
          <w:highlight w:val="none"/>
          <w:u w:val="single"/>
        </w:rPr>
        <w:t xml:space="preserve">        </w:t>
      </w:r>
      <w:r>
        <w:rPr>
          <w:rFonts w:hint="eastAsia" w:ascii="宋体" w:hAnsi="宋体" w:eastAsia="宋体" w:cs="宋体"/>
          <w:highlight w:val="none"/>
        </w:rPr>
        <w:t>（姓名和职务）为我方代理人。代理人根据授权，以我方名义签署、澄清、说明、补正、递交、撤回、修改贵方组织的</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）的投标文件、签订合同和处理一切有关事宜，其法律后果由我方承担。</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年</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月</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日签字生效，委托期限：</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w:t>
      </w:r>
    </w:p>
    <w:p>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代理人无转委托权。</w:t>
      </w:r>
    </w:p>
    <w:p>
      <w:pPr>
        <w:pStyle w:val="11"/>
        <w:spacing w:line="360" w:lineRule="auto"/>
        <w:ind w:firstLine="420"/>
        <w:rPr>
          <w:rFonts w:hint="eastAsia" w:ascii="宋体" w:hAnsi="宋体" w:eastAsia="宋体" w:cs="宋体"/>
          <w:highlight w:val="none"/>
        </w:rPr>
      </w:pP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投标人（或联合体投标</w:t>
      </w:r>
      <w:r>
        <w:rPr>
          <w:rFonts w:hint="eastAsia" w:ascii="宋体" w:hAnsi="宋体" w:eastAsia="宋体" w:cs="宋体"/>
          <w:kern w:val="0"/>
          <w:szCs w:val="21"/>
          <w:highlight w:val="none"/>
        </w:rPr>
        <w:t>牵头人名称</w:t>
      </w:r>
      <w:r>
        <w:rPr>
          <w:rFonts w:hint="eastAsia" w:ascii="宋体" w:hAnsi="宋体" w:eastAsia="宋体" w:cs="宋体"/>
          <w:highlight w:val="none"/>
        </w:rPr>
        <w:t>）（盖单位公章）：</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法定代表人（签字）：</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法定代表人身份证号码：</w:t>
      </w:r>
      <w:r>
        <w:rPr>
          <w:rFonts w:hint="eastAsia" w:ascii="宋体" w:hAnsi="宋体" w:eastAsia="宋体" w:cs="宋体"/>
          <w:highlight w:val="none"/>
          <w:u w:val="single"/>
        </w:rPr>
        <w:t xml:space="preserve">                                   </w:t>
      </w:r>
    </w:p>
    <w:p>
      <w:pPr>
        <w:pStyle w:val="11"/>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委托代理人（签字）：</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委托代理人身份证号码：</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kern w:val="0"/>
          <w:szCs w:val="21"/>
          <w:highlight w:val="none"/>
        </w:rPr>
        <w:t>成员一名称：</w:t>
      </w:r>
      <w:r>
        <w:rPr>
          <w:rFonts w:hint="eastAsia" w:ascii="宋体" w:hAnsi="宋体" w:eastAsia="宋体" w:cs="宋体"/>
          <w:highlight w:val="none"/>
        </w:rPr>
        <w:t>（盖单位公章）：</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法定代表人（签字）：</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成员二名称：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（盖单位公章）</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（签字）</w:t>
      </w:r>
    </w:p>
    <w:p>
      <w:pPr>
        <w:pStyle w:val="11"/>
        <w:ind w:firstLine="420" w:firstLineChars="200"/>
        <w:rPr>
          <w:rFonts w:hint="eastAsia" w:ascii="宋体" w:hAnsi="宋体" w:eastAsia="宋体" w:cs="宋体"/>
          <w:highlight w:val="none"/>
        </w:rPr>
      </w:pPr>
      <w:r>
        <w:rPr>
          <w:rFonts w:hint="eastAsia" w:ascii="宋体" w:hAnsi="宋体" w:eastAsia="宋体" w:cs="宋体"/>
          <w:highlight w:val="none"/>
        </w:rPr>
        <w:t>......</w:t>
      </w:r>
    </w:p>
    <w:p>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w:t>
      </w:r>
    </w:p>
    <w:p>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000000"/>
          <w:szCs w:val="21"/>
          <w:highlight w:val="none"/>
        </w:rPr>
        <w:t>否则作无效投标处理</w:t>
      </w:r>
      <w:r>
        <w:rPr>
          <w:rFonts w:hint="eastAsia" w:ascii="宋体" w:hAnsi="宋体" w:eastAsia="宋体" w:cs="宋体"/>
          <w:color w:val="000000"/>
          <w:szCs w:val="21"/>
          <w:highlight w:val="none"/>
        </w:rPr>
        <w:t>；</w:t>
      </w:r>
    </w:p>
    <w:p>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2.以联合体形式投标的，本授权委托书应由联合体牵头人的法定代表人按上述规定签署。</w:t>
      </w:r>
    </w:p>
    <w:p>
      <w:pPr>
        <w:snapToGrid w:val="0"/>
        <w:spacing w:before="50" w:after="120" w:afterLines="5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若为联合体投标须各方签字或盖章。</w:t>
      </w: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附件：</w:t>
      </w:r>
    </w:p>
    <w:tbl>
      <w:tblPr>
        <w:tblStyle w:val="18"/>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全权代表身份证复印件粘帖处（正、反面）</w:t>
            </w:r>
          </w:p>
        </w:tc>
      </w:tr>
    </w:tbl>
    <w:p>
      <w:pPr>
        <w:snapToGrid w:val="0"/>
        <w:spacing w:before="50" w:after="120" w:afterLines="50" w:line="360" w:lineRule="auto"/>
        <w:jc w:val="left"/>
        <w:rPr>
          <w:rFonts w:hint="eastAsia" w:ascii="宋体" w:hAnsi="宋体" w:eastAsia="宋体" w:cs="宋体"/>
          <w:color w:val="000000"/>
          <w:szCs w:val="21"/>
          <w:highlight w:val="none"/>
        </w:rPr>
      </w:pPr>
    </w:p>
    <w:p>
      <w:pPr>
        <w:snapToGrid w:val="0"/>
        <w:spacing w:before="120" w:beforeLines="50" w:after="50"/>
        <w:ind w:firstLine="566" w:firstLineChars="236"/>
        <w:jc w:val="center"/>
        <w:rPr>
          <w:rFonts w:hint="eastAsia" w:ascii="宋体" w:hAnsi="宋体" w:eastAsia="宋体" w:cs="宋体"/>
          <w:color w:val="000000"/>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rPr>
        <w:br w:type="page"/>
      </w:r>
    </w:p>
    <w:p>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四、商务条款偏离表</w:t>
      </w:r>
    </w:p>
    <w:p>
      <w:pPr>
        <w:jc w:val="center"/>
        <w:rPr>
          <w:rFonts w:hint="eastAsia" w:ascii="宋体" w:hAnsi="宋体" w:eastAsia="宋体" w:cs="宋体"/>
          <w:b/>
          <w:color w:val="000000"/>
          <w:sz w:val="24"/>
          <w:szCs w:val="20"/>
          <w:highlight w:val="none"/>
          <w:lang w:eastAsia="zh-CN"/>
        </w:rPr>
      </w:pPr>
      <w:r>
        <w:rPr>
          <w:rFonts w:hint="eastAsia" w:ascii="宋体" w:hAnsi="宋体" w:eastAsia="宋体" w:cs="宋体"/>
          <w:color w:val="000000"/>
          <w:sz w:val="30"/>
          <w:szCs w:val="20"/>
          <w:highlight w:val="none"/>
          <w:lang w:eastAsia="zh-CN"/>
        </w:rPr>
        <w:t>（</w:t>
      </w:r>
      <w:r>
        <w:rPr>
          <w:rFonts w:hint="eastAsia" w:ascii="宋体" w:hAnsi="宋体" w:eastAsia="宋体" w:cs="宋体"/>
          <w:color w:val="000000"/>
          <w:sz w:val="30"/>
          <w:szCs w:val="20"/>
          <w:highlight w:val="none"/>
        </w:rPr>
        <w:t>注：按项目需求表具体项目修改</w:t>
      </w:r>
      <w:r>
        <w:rPr>
          <w:rFonts w:hint="eastAsia" w:ascii="宋体" w:hAnsi="宋体" w:eastAsia="宋体" w:cs="宋体"/>
          <w:color w:val="000000"/>
          <w:sz w:val="30"/>
          <w:szCs w:val="20"/>
          <w:highlight w:val="none"/>
          <w:lang w:eastAsia="zh-CN"/>
        </w:rPr>
        <w:t>）</w:t>
      </w:r>
    </w:p>
    <w:p>
      <w:pPr>
        <w:snapToGrid w:val="0"/>
        <w:spacing w:before="50"/>
        <w:jc w:val="left"/>
        <w:rPr>
          <w:rFonts w:hint="eastAsia" w:ascii="宋体" w:hAnsi="宋体" w:eastAsia="宋体" w:cs="宋体"/>
          <w:color w:val="000000"/>
          <w:sz w:val="24"/>
          <w:highlight w:val="none"/>
        </w:rPr>
      </w:pPr>
    </w:p>
    <w:p>
      <w:pPr>
        <w:pStyle w:val="11"/>
        <w:spacing w:line="360" w:lineRule="auto"/>
        <w:ind w:left="-424" w:leftChars="-202" w:firstLine="846"/>
        <w:rPr>
          <w:rFonts w:hint="eastAsia" w:ascii="宋体" w:hAnsi="宋体" w:eastAsia="宋体" w:cs="宋体"/>
          <w:color w:val="000000"/>
          <w:sz w:val="24"/>
          <w:szCs w:val="24"/>
          <w:highlight w:val="none"/>
        </w:rPr>
      </w:pPr>
      <w:r>
        <w:rPr>
          <w:rFonts w:hint="eastAsia" w:ascii="宋体" w:hAnsi="宋体" w:eastAsia="宋体" w:cs="宋体"/>
          <w:highlight w:val="none"/>
        </w:rPr>
        <w:t>请逐条对应本项目招标文件第二章“服务需求一览表”中“商务条款”的要求，详细填写相应的具体内容。“偏离说明”一栏应当选择“正偏离”、“负偏离”或“无偏离”进行填写。</w:t>
      </w:r>
    </w:p>
    <w:tbl>
      <w:tblPr>
        <w:tblStyle w:val="1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vAlign w:val="top"/>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招标文件的商务需求</w:t>
            </w:r>
          </w:p>
        </w:tc>
        <w:tc>
          <w:tcPr>
            <w:tcW w:w="2516" w:type="dxa"/>
            <w:tcBorders>
              <w:top w:val="single" w:color="auto" w:sz="4" w:space="0"/>
              <w:left w:val="single" w:color="auto" w:sz="4" w:space="0"/>
              <w:right w:val="single" w:color="auto" w:sz="4" w:space="0"/>
            </w:tcBorders>
            <w:vAlign w:val="top"/>
          </w:tcPr>
          <w:p>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投标文件承诺的商务条款</w:t>
            </w:r>
          </w:p>
        </w:tc>
        <w:tc>
          <w:tcPr>
            <w:tcW w:w="2516" w:type="dxa"/>
            <w:tcBorders>
              <w:top w:val="single" w:color="auto" w:sz="4" w:space="0"/>
              <w:left w:val="single" w:color="auto" w:sz="4" w:space="0"/>
              <w:right w:val="single" w:color="auto" w:sz="4" w:space="0"/>
            </w:tcBorders>
            <w:vAlign w:val="top"/>
          </w:tcPr>
          <w:p>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pPr>
              <w:spacing w:line="300" w:lineRule="exac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szCs w:val="21"/>
                <w:highlight w:val="none"/>
              </w:rPr>
            </w:pPr>
            <w:r>
              <w:rPr>
                <w:rFonts w:hint="eastAsia" w:ascii="宋体" w:hAnsi="宋体" w:eastAsia="宋体" w:cs="宋体"/>
                <w:szCs w:val="21"/>
                <w:highlight w:val="none"/>
                <w:u w:val="single"/>
              </w:rPr>
              <w:t>　　</w:t>
            </w:r>
            <w:r>
              <w:rPr>
                <w:rFonts w:hint="eastAsia" w:ascii="宋体" w:hAnsi="宋体" w:eastAsia="宋体" w:cs="宋体"/>
                <w:szCs w:val="21"/>
                <w:highlight w:val="none"/>
              </w:rPr>
              <w:t>分标（此处有分标时填写具体分标号，无分标时填写“无”）</w:t>
            </w:r>
          </w:p>
        </w:tc>
      </w:tr>
    </w:tbl>
    <w:p>
      <w:pPr>
        <w:pStyle w:val="11"/>
        <w:spacing w:line="360" w:lineRule="auto"/>
        <w:ind w:left="-708" w:leftChars="-337"/>
        <w:rPr>
          <w:rFonts w:hint="eastAsia" w:ascii="宋体" w:hAnsi="宋体" w:eastAsia="宋体" w:cs="宋体"/>
          <w:highlight w:val="none"/>
        </w:rPr>
      </w:pPr>
    </w:p>
    <w:p>
      <w:pPr>
        <w:pStyle w:val="11"/>
        <w:spacing w:line="360" w:lineRule="auto"/>
        <w:ind w:left="-708" w:leftChars="-337"/>
        <w:rPr>
          <w:rFonts w:hint="eastAsia" w:ascii="宋体" w:hAnsi="宋体" w:eastAsia="宋体" w:cs="宋体"/>
          <w:highlight w:val="none"/>
        </w:rPr>
      </w:pPr>
      <w:r>
        <w:rPr>
          <w:rFonts w:hint="eastAsia" w:ascii="宋体" w:hAnsi="宋体" w:eastAsia="宋体" w:cs="宋体"/>
          <w:highlight w:val="none"/>
        </w:rPr>
        <w:t>注：</w:t>
      </w:r>
    </w:p>
    <w:p>
      <w:pPr>
        <w:pStyle w:val="11"/>
        <w:spacing w:line="360" w:lineRule="auto"/>
        <w:ind w:left="-708" w:leftChars="-337" w:firstLine="420" w:firstLineChars="200"/>
        <w:rPr>
          <w:rFonts w:hint="eastAsia" w:ascii="宋体" w:hAnsi="宋体" w:eastAsia="宋体" w:cs="宋体"/>
          <w:highlight w:val="none"/>
        </w:rPr>
      </w:pPr>
      <w:r>
        <w:rPr>
          <w:rFonts w:hint="eastAsia" w:ascii="宋体" w:hAnsi="宋体" w:eastAsia="宋体" w:cs="宋体"/>
          <w:highlight w:val="none"/>
        </w:rPr>
        <w:t>1.表格内容均需按要求填写并盖章，不得留空，否则按投标无效处理。</w:t>
      </w:r>
    </w:p>
    <w:p>
      <w:pPr>
        <w:pStyle w:val="11"/>
        <w:spacing w:line="360" w:lineRule="auto"/>
        <w:ind w:left="-603" w:leftChars="-287" w:firstLine="315" w:firstLineChars="150"/>
        <w:rPr>
          <w:rFonts w:hint="eastAsia" w:ascii="宋体" w:hAnsi="宋体" w:eastAsia="宋体" w:cs="宋体"/>
          <w:highlight w:val="none"/>
        </w:rPr>
      </w:pPr>
      <w:r>
        <w:rPr>
          <w:rFonts w:hint="eastAsia" w:ascii="宋体" w:hAnsi="宋体" w:eastAsia="宋体" w:cs="宋体"/>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ascii="宋体" w:hAnsi="宋体" w:eastAsia="宋体" w:cs="宋体"/>
          <w:highlight w:val="none"/>
          <w:lang w:eastAsia="zh-CN"/>
        </w:rPr>
        <w:t>投标</w:t>
      </w:r>
      <w:r>
        <w:rPr>
          <w:rFonts w:hint="eastAsia" w:ascii="宋体" w:hAnsi="宋体" w:eastAsia="宋体" w:cs="宋体"/>
          <w:highlight w:val="none"/>
        </w:rPr>
        <w:t>无效”条款。</w:t>
      </w:r>
    </w:p>
    <w:p>
      <w:pPr>
        <w:pStyle w:val="11"/>
        <w:spacing w:line="360" w:lineRule="auto"/>
        <w:ind w:left="-603" w:leftChars="-287" w:firstLine="315" w:firstLineChars="150"/>
        <w:rPr>
          <w:rFonts w:hint="eastAsia" w:ascii="宋体" w:hAnsi="宋体" w:eastAsia="宋体" w:cs="宋体"/>
          <w:highlight w:val="none"/>
        </w:rPr>
      </w:pPr>
      <w:r>
        <w:rPr>
          <w:rFonts w:hint="eastAsia" w:ascii="宋体" w:hAnsi="宋体" w:eastAsia="宋体" w:cs="宋体"/>
          <w:highlight w:val="none"/>
        </w:rPr>
        <w:t>3.当投标文件的商务内容低于招标文件要求时，投标人应当如实写明“负偏离”，否则视为虚假应标。</w:t>
      </w:r>
    </w:p>
    <w:p>
      <w:pPr>
        <w:pStyle w:val="11"/>
        <w:spacing w:line="360" w:lineRule="auto"/>
        <w:ind w:left="-708" w:leftChars="-337" w:firstLine="420" w:firstLineChars="200"/>
        <w:rPr>
          <w:rFonts w:hint="eastAsia" w:ascii="宋体" w:hAnsi="宋体" w:eastAsia="宋体" w:cs="宋体"/>
          <w:highlight w:val="none"/>
        </w:rPr>
      </w:pPr>
      <w:r>
        <w:rPr>
          <w:rFonts w:hint="eastAsia" w:ascii="宋体" w:hAnsi="宋体" w:eastAsia="宋体" w:cs="宋体"/>
          <w:szCs w:val="21"/>
          <w:highlight w:val="none"/>
        </w:rPr>
        <w:t>4.采购需求中带“▲”及“★”的条款，也要分别在本表“投标文件的商务需求”、“投标文件承诺的商务条款”中标记。</w:t>
      </w:r>
    </w:p>
    <w:p>
      <w:pPr>
        <w:snapToGrid w:val="0"/>
        <w:spacing w:before="50" w:after="50"/>
        <w:rPr>
          <w:rFonts w:hint="eastAsia" w:ascii="宋体" w:hAnsi="宋体" w:eastAsia="宋体" w:cs="宋体"/>
          <w:color w:val="000000"/>
          <w:sz w:val="24"/>
          <w:highlight w:val="none"/>
        </w:rPr>
      </w:pPr>
    </w:p>
    <w:p>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jc w:val="left"/>
        <w:rPr>
          <w:rFonts w:hint="eastAsia" w:ascii="宋体" w:hAnsi="宋体" w:eastAsia="宋体" w:cs="宋体"/>
          <w:szCs w:val="21"/>
          <w:highlight w:val="none"/>
        </w:rPr>
        <w:sectPr>
          <w:pgSz w:w="11906" w:h="16838"/>
          <w:pgMar w:top="1440" w:right="1797" w:bottom="1440" w:left="1797" w:header="851" w:footer="992" w:gutter="0"/>
          <w:cols w:space="720" w:num="1"/>
        </w:sectPr>
      </w:pPr>
    </w:p>
    <w:p>
      <w:pPr>
        <w:snapToGrid w:val="0"/>
        <w:spacing w:before="165" w:beforeLines="50" w:after="50"/>
        <w:ind w:firstLine="602" w:firstLineChars="20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五、投标人情况介绍</w:t>
      </w:r>
    </w:p>
    <w:p>
      <w:pPr>
        <w:spacing w:line="360" w:lineRule="auto"/>
        <w:ind w:firstLine="4048" w:firstLineChars="1687"/>
        <w:rPr>
          <w:rFonts w:hint="eastAsia" w:ascii="宋体" w:hAnsi="宋体" w:eastAsia="宋体" w:cs="宋体"/>
          <w:kern w:val="0"/>
          <w:sz w:val="24"/>
          <w:highlight w:val="none"/>
        </w:rPr>
      </w:pPr>
      <w:r>
        <w:rPr>
          <w:rFonts w:hint="eastAsia" w:ascii="宋体" w:hAnsi="宋体" w:eastAsia="宋体" w:cs="宋体"/>
          <w:sz w:val="24"/>
          <w:highlight w:val="none"/>
        </w:rPr>
        <w:t>（格式自拟）</w:t>
      </w:r>
    </w:p>
    <w:p>
      <w:pPr>
        <w:snapToGrid w:val="0"/>
        <w:spacing w:line="360" w:lineRule="auto"/>
        <w:ind w:firstLine="4935" w:firstLineChars="2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pPr>
        <w:snapToGrid w:val="0"/>
        <w:spacing w:line="360" w:lineRule="auto"/>
        <w:ind w:firstLine="4935" w:firstLineChars="2350"/>
        <w:rPr>
          <w:rFonts w:hint="eastAsia" w:ascii="宋体" w:hAnsi="宋体" w:eastAsia="宋体" w:cs="宋体"/>
          <w:color w:val="000000"/>
          <w:szCs w:val="21"/>
          <w:highlight w:val="none"/>
        </w:rPr>
      </w:pPr>
    </w:p>
    <w:p>
      <w:pPr>
        <w:snapToGrid w:val="0"/>
        <w:spacing w:line="360" w:lineRule="auto"/>
        <w:ind w:firstLine="4935" w:firstLineChars="2350"/>
        <w:rPr>
          <w:rFonts w:hint="eastAsia" w:ascii="宋体" w:hAnsi="宋体" w:eastAsia="宋体" w:cs="宋体"/>
          <w:color w:val="000000"/>
          <w:szCs w:val="21"/>
          <w:highlight w:val="none"/>
        </w:rPr>
      </w:pPr>
    </w:p>
    <w:p>
      <w:pPr>
        <w:snapToGrid w:val="0"/>
        <w:spacing w:line="360" w:lineRule="auto"/>
        <w:ind w:firstLine="4935" w:firstLineChars="2350"/>
        <w:rPr>
          <w:rFonts w:hint="eastAsia" w:ascii="宋体" w:hAnsi="宋体" w:eastAsia="宋体" w:cs="宋体"/>
          <w:color w:val="000000"/>
          <w:szCs w:val="21"/>
          <w:highlight w:val="none"/>
        </w:rPr>
      </w:pPr>
    </w:p>
    <w:p>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before="165" w:beforeLines="50" w:after="50"/>
        <w:ind w:firstLine="602" w:firstLineChars="200"/>
        <w:jc w:val="center"/>
        <w:rPr>
          <w:rFonts w:hint="eastAsia" w:ascii="宋体" w:hAnsi="宋体" w:eastAsia="宋体" w:cs="宋体"/>
          <w:b/>
          <w:bCs/>
          <w:sz w:val="30"/>
          <w:szCs w:val="30"/>
          <w:highlight w:val="none"/>
        </w:rPr>
      </w:pPr>
    </w:p>
    <w:p>
      <w:pPr>
        <w:widowControl/>
        <w:jc w:val="left"/>
        <w:rPr>
          <w:rFonts w:hint="eastAsia" w:ascii="宋体" w:hAnsi="宋体" w:eastAsia="宋体" w:cs="宋体"/>
          <w:b/>
          <w:bCs/>
          <w:sz w:val="30"/>
          <w:szCs w:val="30"/>
          <w:highlight w:val="none"/>
        </w:rPr>
        <w:sectPr>
          <w:pgSz w:w="11906" w:h="16838"/>
          <w:pgMar w:top="1134" w:right="1134" w:bottom="1134" w:left="1134" w:header="720" w:footer="720" w:gutter="0"/>
          <w:cols w:space="720" w:num="1"/>
          <w:docGrid w:type="lines" w:linePitch="331" w:charSpace="0"/>
        </w:sectPr>
      </w:pPr>
    </w:p>
    <w:p>
      <w:pPr>
        <w:snapToGrid w:val="0"/>
        <w:spacing w:before="165" w:beforeLines="50" w:after="50"/>
        <w:ind w:firstLine="602" w:firstLineChars="20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六、投标人类似的业绩证明文件（如有要求）</w:t>
      </w:r>
    </w:p>
    <w:p>
      <w:pPr>
        <w:pStyle w:val="15"/>
        <w:snapToGrid w:val="0"/>
        <w:ind w:left="480" w:hanging="480"/>
        <w:rPr>
          <w:rFonts w:hint="eastAsia" w:ascii="宋体" w:hAnsi="宋体" w:eastAsia="宋体" w:cs="宋体"/>
          <w:color w:val="000000"/>
          <w:sz w:val="24"/>
          <w:highlight w:val="none"/>
        </w:rPr>
      </w:pPr>
    </w:p>
    <w:p>
      <w:pPr>
        <w:pStyle w:val="15"/>
        <w:snapToGrid w:val="0"/>
        <w:ind w:left="480" w:hanging="480"/>
        <w:rPr>
          <w:rFonts w:hint="eastAsia" w:ascii="宋体" w:hAnsi="宋体" w:eastAsia="宋体" w:cs="宋体"/>
          <w:color w:val="000000"/>
          <w:sz w:val="24"/>
          <w:highlight w:val="none"/>
        </w:rPr>
      </w:pPr>
    </w:p>
    <w:p>
      <w:pPr>
        <w:pStyle w:val="15"/>
        <w:snapToGrid w:val="0"/>
        <w:ind w:left="480" w:hanging="480"/>
        <w:rPr>
          <w:rFonts w:hint="eastAsia" w:ascii="宋体" w:hAnsi="宋体" w:eastAsia="宋体" w:cs="宋体"/>
          <w:color w:val="000000"/>
          <w:sz w:val="24"/>
          <w:highlight w:val="none"/>
        </w:rPr>
      </w:pPr>
    </w:p>
    <w:p>
      <w:pPr>
        <w:autoSpaceDE w:val="0"/>
        <w:autoSpaceDN w:val="0"/>
        <w:spacing w:line="360" w:lineRule="auto"/>
        <w:ind w:firstLine="120"/>
        <w:rPr>
          <w:rFonts w:hint="eastAsia" w:ascii="宋体" w:hAnsi="宋体" w:eastAsia="宋体" w:cs="宋体"/>
          <w:color w:val="000000"/>
          <w:sz w:val="24"/>
          <w:highlight w:val="none"/>
        </w:rPr>
      </w:pPr>
      <w:r>
        <w:rPr>
          <w:rFonts w:hint="eastAsia" w:ascii="宋体" w:hAnsi="宋体" w:eastAsia="宋体" w:cs="宋体"/>
          <w:b/>
          <w:sz w:val="24"/>
          <w:highlight w:val="none"/>
        </w:rPr>
        <w:t>附表 :相关项目业绩一览表（投标人同类项目合同复印件、用户验收报告、用户评价意见格式自拟）</w:t>
      </w:r>
    </w:p>
    <w:tbl>
      <w:tblPr>
        <w:tblStyle w:val="18"/>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w:t>
            </w:r>
          </w:p>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金额</w:t>
            </w:r>
          </w:p>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采购人联系人及</w:t>
            </w:r>
          </w:p>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pPr>
              <w:snapToGrid w:val="0"/>
              <w:spacing w:before="50" w:after="165" w:afterLines="50" w:line="400" w:lineRule="exact"/>
              <w:jc w:val="left"/>
              <w:rPr>
                <w:rFonts w:hint="eastAsia" w:ascii="宋体" w:hAnsi="宋体" w:eastAsia="宋体" w:cs="宋体"/>
                <w:color w:val="000000"/>
                <w:sz w:val="24"/>
                <w:highlight w:val="none"/>
              </w:rPr>
            </w:pPr>
          </w:p>
        </w:tc>
      </w:tr>
    </w:tbl>
    <w:p>
      <w:pPr>
        <w:pStyle w:val="11"/>
        <w:spacing w:line="360" w:lineRule="auto"/>
        <w:ind w:left="72"/>
        <w:rPr>
          <w:rFonts w:hint="eastAsia" w:ascii="宋体" w:hAnsi="宋体" w:eastAsia="宋体" w:cs="宋体"/>
          <w:highlight w:val="none"/>
        </w:rPr>
      </w:pPr>
      <w:r>
        <w:rPr>
          <w:rFonts w:hint="eastAsia" w:ascii="宋体" w:hAnsi="宋体" w:eastAsia="宋体" w:cs="宋体"/>
          <w:highlight w:val="none"/>
        </w:rPr>
        <w:t>注：投标人可按上述的格式自行编制，须随表提交相应的合同复印件和用户单位验收证明并注明所在投标人商务技术文件页码。</w:t>
      </w:r>
    </w:p>
    <w:p>
      <w:pPr>
        <w:snapToGrid w:val="0"/>
        <w:spacing w:line="360" w:lineRule="auto"/>
        <w:ind w:firstLine="4935" w:firstLineChars="2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pPr>
        <w:snapToGrid w:val="0"/>
        <w:spacing w:line="360" w:lineRule="auto"/>
        <w:ind w:firstLine="4935" w:firstLineChars="2350"/>
        <w:rPr>
          <w:rFonts w:hint="eastAsia" w:ascii="宋体" w:hAnsi="宋体" w:eastAsia="宋体" w:cs="宋体"/>
          <w:color w:val="000000"/>
          <w:szCs w:val="21"/>
          <w:highlight w:val="none"/>
        </w:rPr>
      </w:pPr>
    </w:p>
    <w:p>
      <w:pPr>
        <w:snapToGrid w:val="0"/>
        <w:spacing w:line="360" w:lineRule="auto"/>
        <w:ind w:firstLine="10080" w:firstLineChars="480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10080" w:firstLineChars="4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spacing w:line="360" w:lineRule="auto"/>
        <w:jc w:val="left"/>
        <w:rPr>
          <w:rFonts w:hint="eastAsia" w:ascii="宋体" w:hAnsi="宋体" w:eastAsia="宋体" w:cs="宋体"/>
          <w:kern w:val="0"/>
          <w:sz w:val="24"/>
          <w:highlight w:val="none"/>
          <w:lang w:val="zh-CN"/>
        </w:rPr>
        <w:sectPr>
          <w:pgSz w:w="16838" w:h="11906" w:orient="landscape"/>
          <w:pgMar w:top="1134" w:right="1134" w:bottom="1134" w:left="1134" w:header="720" w:footer="720" w:gutter="0"/>
          <w:cols w:space="720" w:num="1"/>
          <w:docGrid w:type="lines" w:linePitch="331" w:charSpace="0"/>
        </w:sectPr>
      </w:pPr>
    </w:p>
    <w:p>
      <w:pPr>
        <w:pStyle w:val="11"/>
        <w:jc w:val="center"/>
        <w:outlineLvl w:val="1"/>
        <w:rPr>
          <w:rFonts w:hint="eastAsia" w:ascii="宋体" w:hAnsi="宋体" w:eastAsia="宋体" w:cs="宋体"/>
          <w:b/>
          <w:bCs/>
          <w:color w:val="000000"/>
          <w:sz w:val="28"/>
          <w:szCs w:val="28"/>
          <w:highlight w:val="none"/>
        </w:rPr>
      </w:pPr>
      <w:bookmarkStart w:id="1554" w:name="_Toc24033"/>
      <w:bookmarkStart w:id="1555" w:name="_Toc17437"/>
      <w:bookmarkStart w:id="1556" w:name="_Toc19686839"/>
      <w:r>
        <w:rPr>
          <w:rFonts w:hint="eastAsia" w:ascii="宋体" w:hAnsi="宋体" w:eastAsia="宋体" w:cs="宋体"/>
          <w:b/>
          <w:bCs/>
          <w:color w:val="000000"/>
          <w:sz w:val="28"/>
          <w:szCs w:val="28"/>
          <w:highlight w:val="none"/>
        </w:rPr>
        <w:t>第四节 技术文件格式</w:t>
      </w:r>
      <w:bookmarkEnd w:id="1554"/>
      <w:bookmarkEnd w:id="1555"/>
      <w:bookmarkEnd w:id="1556"/>
    </w:p>
    <w:p>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pPr>
        <w:snapToGrid w:val="0"/>
        <w:spacing w:before="165" w:beforeLines="50" w:after="50"/>
        <w:rPr>
          <w:rFonts w:hint="eastAsia" w:ascii="宋体" w:hAnsi="宋体" w:eastAsia="宋体" w:cs="宋体"/>
          <w:color w:val="000000"/>
          <w:sz w:val="24"/>
          <w:szCs w:val="20"/>
          <w:highlight w:val="none"/>
        </w:rPr>
      </w:pPr>
    </w:p>
    <w:p>
      <w:pPr>
        <w:snapToGrid w:val="0"/>
        <w:spacing w:before="165" w:beforeLines="50" w:after="50"/>
        <w:jc w:val="center"/>
        <w:rPr>
          <w:rFonts w:hint="eastAsia" w:ascii="宋体" w:hAnsi="宋体" w:eastAsia="宋体" w:cs="宋体"/>
          <w:b/>
          <w:bCs/>
          <w:color w:val="000000"/>
          <w:sz w:val="32"/>
          <w:szCs w:val="32"/>
          <w:highlight w:val="none"/>
        </w:rPr>
      </w:pPr>
    </w:p>
    <w:p>
      <w:pPr>
        <w:snapToGrid w:val="0"/>
        <w:spacing w:before="165" w:beforeLines="50" w:after="50"/>
        <w:jc w:val="center"/>
        <w:rPr>
          <w:rFonts w:hint="eastAsia" w:ascii="宋体" w:hAnsi="宋体" w:eastAsia="宋体" w:cs="宋体"/>
          <w:b/>
          <w:bCs/>
          <w:color w:val="000000"/>
          <w:sz w:val="32"/>
          <w:szCs w:val="32"/>
          <w:highlight w:val="none"/>
        </w:rPr>
      </w:pPr>
    </w:p>
    <w:p>
      <w:pPr>
        <w:snapToGrid w:val="0"/>
        <w:spacing w:before="165" w:beforeLines="50" w:after="50"/>
        <w:jc w:val="center"/>
        <w:rPr>
          <w:rFonts w:hint="eastAsia" w:ascii="宋体" w:hAnsi="宋体" w:eastAsia="宋体" w:cs="宋体"/>
          <w:b/>
          <w:bCs/>
          <w:color w:val="000000"/>
          <w:sz w:val="32"/>
          <w:szCs w:val="32"/>
          <w:highlight w:val="none"/>
        </w:rPr>
      </w:pPr>
    </w:p>
    <w:p>
      <w:pPr>
        <w:snapToGrid w:val="0"/>
        <w:spacing w:before="165" w:beforeLines="50" w:after="5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技术文件（封面）</w:t>
      </w:r>
    </w:p>
    <w:p>
      <w:pPr>
        <w:snapToGrid w:val="0"/>
        <w:spacing w:before="165" w:beforeLines="50" w:after="50"/>
        <w:rPr>
          <w:rFonts w:hint="eastAsia" w:ascii="宋体" w:hAnsi="宋体" w:eastAsia="宋体" w:cs="宋体"/>
          <w:bCs/>
          <w:color w:val="000000"/>
          <w:sz w:val="24"/>
          <w:szCs w:val="20"/>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pPr>
        <w:snapToGrid w:val="0"/>
        <w:spacing w:before="165" w:beforeLines="50" w:after="50"/>
        <w:ind w:firstLine="645"/>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snapToGrid w:val="0"/>
        <w:spacing w:before="165" w:beforeLines="50" w:after="50"/>
        <w:ind w:firstLine="645"/>
        <w:jc w:val="center"/>
        <w:rPr>
          <w:rFonts w:hint="eastAsia" w:ascii="宋体" w:hAnsi="宋体" w:eastAsia="宋体" w:cs="宋体"/>
          <w:color w:val="000000"/>
          <w:sz w:val="24"/>
          <w:szCs w:val="20"/>
          <w:highlight w:val="none"/>
        </w:rPr>
      </w:pPr>
    </w:p>
    <w:p>
      <w:pPr>
        <w:jc w:val="center"/>
        <w:rPr>
          <w:rFonts w:hint="eastAsia" w:ascii="宋体" w:hAnsi="宋体" w:eastAsia="宋体" w:cs="宋体"/>
          <w:b/>
          <w:kern w:val="0"/>
          <w:sz w:val="28"/>
          <w:szCs w:val="28"/>
          <w:highlight w:val="none"/>
        </w:rPr>
      </w:pPr>
      <w:r>
        <w:rPr>
          <w:rFonts w:hint="eastAsia" w:ascii="宋体" w:hAnsi="宋体" w:eastAsia="宋体" w:cs="宋体"/>
          <w:b/>
          <w:bCs/>
          <w:color w:val="000000"/>
          <w:sz w:val="24"/>
          <w:highlight w:val="none"/>
        </w:rPr>
        <w:br w:type="page"/>
      </w:r>
      <w:r>
        <w:rPr>
          <w:rFonts w:hint="eastAsia" w:ascii="宋体" w:hAnsi="宋体" w:eastAsia="宋体" w:cs="宋体"/>
          <w:b/>
          <w:kern w:val="0"/>
          <w:sz w:val="28"/>
          <w:szCs w:val="28"/>
          <w:highlight w:val="none"/>
        </w:rPr>
        <w:t>技术文件目录</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一、投标服务技术需求偏离表……………………………………………………（页码）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二、组织服务方案…………………………………………………………………（页码）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三、售后服务方案………………………………</w:t>
      </w:r>
      <w:r>
        <w:rPr>
          <w:rFonts w:hint="eastAsia" w:ascii="宋体" w:hAnsi="宋体" w:eastAsia="宋体" w:cs="宋体"/>
          <w:highlight w:val="none"/>
          <w:lang w:val="zh-CN"/>
        </w:rPr>
        <w:t>………</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项目实施人员一览表………………………………</w:t>
      </w:r>
      <w:r>
        <w:rPr>
          <w:rFonts w:hint="eastAsia" w:ascii="宋体" w:hAnsi="宋体" w:eastAsia="宋体" w:cs="宋体"/>
          <w:highlight w:val="none"/>
        </w:rPr>
        <w:t>…………………………（页码）</w:t>
      </w:r>
    </w:p>
    <w:p>
      <w:pPr>
        <w:pStyle w:val="33"/>
        <w:spacing w:line="360" w:lineRule="auto"/>
        <w:rPr>
          <w:rFonts w:hint="eastAsia" w:ascii="宋体" w:hAnsi="宋体" w:eastAsia="宋体" w:cs="宋体"/>
          <w:highlight w:val="none"/>
        </w:rPr>
      </w:pPr>
      <w:r>
        <w:rPr>
          <w:rFonts w:hint="eastAsia" w:ascii="宋体" w:hAnsi="宋体" w:eastAsia="宋体" w:cs="宋体"/>
          <w:highlight w:val="none"/>
        </w:rPr>
        <w:t>五、认为需要的其他技术文件或说明（如有）</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pPr>
        <w:snapToGrid w:val="0"/>
        <w:spacing w:before="165" w:beforeLines="50" w:after="50"/>
        <w:ind w:left="143" w:leftChars="68" w:firstLine="472" w:firstLineChars="196"/>
        <w:jc w:val="left"/>
        <w:rPr>
          <w:rFonts w:hint="eastAsia" w:ascii="宋体" w:hAnsi="宋体" w:eastAsia="宋体" w:cs="宋体"/>
          <w:b/>
          <w:color w:val="000000"/>
          <w:sz w:val="24"/>
          <w:highlight w:val="none"/>
        </w:rPr>
      </w:pPr>
    </w:p>
    <w:p>
      <w:pPr>
        <w:snapToGrid w:val="0"/>
        <w:spacing w:before="165" w:beforeLines="50" w:after="50"/>
        <w:ind w:left="143" w:leftChars="68" w:firstLine="472" w:firstLineChars="196"/>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 xml:space="preserve"> </w:t>
      </w:r>
    </w:p>
    <w:p>
      <w:pPr>
        <w:pStyle w:val="11"/>
        <w:spacing w:line="50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一、投标服务技术需求偏离表</w:t>
      </w:r>
    </w:p>
    <w:p>
      <w:pPr>
        <w:pStyle w:val="11"/>
        <w:spacing w:line="440" w:lineRule="exact"/>
        <w:ind w:firstLine="420" w:firstLineChars="200"/>
        <w:rPr>
          <w:rFonts w:hint="eastAsia" w:ascii="宋体" w:hAnsi="宋体" w:eastAsia="宋体" w:cs="宋体"/>
          <w:highlight w:val="none"/>
        </w:rPr>
      </w:pPr>
    </w:p>
    <w:p>
      <w:pPr>
        <w:pStyle w:val="11"/>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请根据所投服务的实际技术参数，</w:t>
      </w:r>
      <w:r>
        <w:rPr>
          <w:rFonts w:hint="eastAsia" w:ascii="宋体" w:hAnsi="宋体" w:eastAsia="宋体" w:cs="宋体"/>
          <w:b/>
          <w:sz w:val="28"/>
          <w:szCs w:val="28"/>
          <w:highlight w:val="none"/>
        </w:rPr>
        <w:t>逐条对应</w:t>
      </w:r>
      <w:r>
        <w:rPr>
          <w:rFonts w:hint="eastAsia" w:ascii="宋体" w:hAnsi="宋体" w:eastAsia="宋体" w:cs="宋体"/>
          <w:sz w:val="24"/>
          <w:szCs w:val="24"/>
          <w:highlight w:val="none"/>
        </w:rPr>
        <w:t>本项目招标文件第二章“服务需求一览表”中的</w:t>
      </w:r>
      <w:r>
        <w:rPr>
          <w:rFonts w:hint="eastAsia" w:ascii="宋体" w:hAnsi="宋体" w:eastAsia="宋体" w:cs="宋体"/>
          <w:b/>
          <w:sz w:val="28"/>
          <w:szCs w:val="28"/>
          <w:highlight w:val="none"/>
        </w:rPr>
        <w:t>采购清单及服务参数</w:t>
      </w:r>
      <w:r>
        <w:rPr>
          <w:rFonts w:hint="eastAsia" w:ascii="宋体" w:hAnsi="宋体" w:eastAsia="宋体" w:cs="宋体"/>
          <w:sz w:val="24"/>
          <w:szCs w:val="24"/>
          <w:highlight w:val="none"/>
        </w:rPr>
        <w:t>详细填写相应的具体内容。“偏离说明”一栏应当选择“正偏离”、“负偏离”或“无偏离”进行填写。</w:t>
      </w:r>
    </w:p>
    <w:tbl>
      <w:tblPr>
        <w:tblStyle w:val="1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1  ……</w:t>
            </w:r>
          </w:p>
          <w:p>
            <w:pPr>
              <w:rPr>
                <w:rFonts w:hint="eastAsia" w:ascii="宋体" w:hAnsi="宋体" w:eastAsia="宋体" w:cs="宋体"/>
                <w:szCs w:val="21"/>
                <w:highlight w:val="none"/>
              </w:rPr>
            </w:pPr>
            <w:r>
              <w:rPr>
                <w:rFonts w:hint="eastAsia" w:ascii="宋体" w:hAnsi="宋体" w:eastAsia="宋体" w:cs="宋体"/>
                <w:szCs w:val="21"/>
                <w:highlight w:val="none"/>
              </w:rPr>
              <w:t>2  ……</w:t>
            </w:r>
          </w:p>
          <w:p>
            <w:pPr>
              <w:rPr>
                <w:rFonts w:hint="eastAsia" w:ascii="宋体" w:hAnsi="宋体" w:eastAsia="宋体" w:cs="宋体"/>
                <w:szCs w:val="21"/>
                <w:highlight w:val="none"/>
              </w:rPr>
            </w:pPr>
            <w:r>
              <w:rPr>
                <w:rFonts w:hint="eastAsia" w:ascii="宋体" w:hAnsi="宋体" w:eastAsia="宋体" w:cs="宋体"/>
                <w:szCs w:val="21"/>
                <w:highlight w:val="none"/>
              </w:rPr>
              <w:t>3  ……</w:t>
            </w:r>
          </w:p>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1  ……</w:t>
            </w:r>
          </w:p>
          <w:p>
            <w:pPr>
              <w:rPr>
                <w:rFonts w:hint="eastAsia" w:ascii="宋体" w:hAnsi="宋体" w:eastAsia="宋体" w:cs="宋体"/>
                <w:szCs w:val="21"/>
                <w:highlight w:val="none"/>
              </w:rPr>
            </w:pPr>
            <w:r>
              <w:rPr>
                <w:rFonts w:hint="eastAsia" w:ascii="宋体" w:hAnsi="宋体" w:eastAsia="宋体" w:cs="宋体"/>
                <w:szCs w:val="21"/>
                <w:highlight w:val="none"/>
              </w:rPr>
              <w:t>2  ……</w:t>
            </w:r>
          </w:p>
          <w:p>
            <w:pPr>
              <w:rPr>
                <w:rFonts w:hint="eastAsia" w:ascii="宋体" w:hAnsi="宋体" w:eastAsia="宋体" w:cs="宋体"/>
                <w:szCs w:val="21"/>
                <w:highlight w:val="none"/>
              </w:rPr>
            </w:pPr>
            <w:r>
              <w:rPr>
                <w:rFonts w:hint="eastAsia" w:ascii="宋体" w:hAnsi="宋体" w:eastAsia="宋体" w:cs="宋体"/>
                <w:szCs w:val="21"/>
                <w:highlight w:val="none"/>
              </w:rPr>
              <w:t>3  ……</w:t>
            </w:r>
          </w:p>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1  ……</w:t>
            </w:r>
          </w:p>
          <w:p>
            <w:pPr>
              <w:rPr>
                <w:rFonts w:hint="eastAsia" w:ascii="宋体" w:hAnsi="宋体" w:eastAsia="宋体" w:cs="宋体"/>
                <w:szCs w:val="21"/>
                <w:highlight w:val="none"/>
              </w:rPr>
            </w:pPr>
            <w:r>
              <w:rPr>
                <w:rFonts w:hint="eastAsia" w:ascii="宋体" w:hAnsi="宋体" w:eastAsia="宋体" w:cs="宋体"/>
                <w:szCs w:val="21"/>
                <w:highlight w:val="none"/>
              </w:rPr>
              <w:t>2  ……</w:t>
            </w:r>
          </w:p>
          <w:p>
            <w:pPr>
              <w:rPr>
                <w:rFonts w:hint="eastAsia" w:ascii="宋体" w:hAnsi="宋体" w:eastAsia="宋体" w:cs="宋体"/>
                <w:szCs w:val="21"/>
                <w:highlight w:val="none"/>
              </w:rPr>
            </w:pPr>
            <w:r>
              <w:rPr>
                <w:rFonts w:hint="eastAsia" w:ascii="宋体" w:hAnsi="宋体" w:eastAsia="宋体" w:cs="宋体"/>
                <w:szCs w:val="21"/>
                <w:highlight w:val="none"/>
              </w:rPr>
              <w:t>3  ……</w:t>
            </w:r>
          </w:p>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1  ……</w:t>
            </w:r>
          </w:p>
          <w:p>
            <w:pPr>
              <w:rPr>
                <w:rFonts w:hint="eastAsia" w:ascii="宋体" w:hAnsi="宋体" w:eastAsia="宋体" w:cs="宋体"/>
                <w:szCs w:val="21"/>
                <w:highlight w:val="none"/>
              </w:rPr>
            </w:pPr>
            <w:r>
              <w:rPr>
                <w:rFonts w:hint="eastAsia" w:ascii="宋体" w:hAnsi="宋体" w:eastAsia="宋体" w:cs="宋体"/>
                <w:szCs w:val="21"/>
                <w:highlight w:val="none"/>
              </w:rPr>
              <w:t>2  ……</w:t>
            </w:r>
          </w:p>
          <w:p>
            <w:pPr>
              <w:rPr>
                <w:rFonts w:hint="eastAsia" w:ascii="宋体" w:hAnsi="宋体" w:eastAsia="宋体" w:cs="宋体"/>
                <w:szCs w:val="21"/>
                <w:highlight w:val="none"/>
              </w:rPr>
            </w:pPr>
            <w:r>
              <w:rPr>
                <w:rFonts w:hint="eastAsia" w:ascii="宋体" w:hAnsi="宋体" w:eastAsia="宋体" w:cs="宋体"/>
                <w:szCs w:val="21"/>
                <w:highlight w:val="none"/>
              </w:rPr>
              <w:t>3  ……</w:t>
            </w:r>
          </w:p>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u w:val="single"/>
              </w:rPr>
              <w:t>　　</w:t>
            </w:r>
            <w:r>
              <w:rPr>
                <w:rFonts w:hint="eastAsia" w:ascii="宋体" w:hAnsi="宋体" w:eastAsia="宋体" w:cs="宋体"/>
                <w:szCs w:val="21"/>
                <w:highlight w:val="none"/>
              </w:rPr>
              <w:t>分标（此处有分标时填写具体分标号，无分标时填写“无”）</w:t>
            </w:r>
          </w:p>
        </w:tc>
      </w:tr>
    </w:tbl>
    <w:p>
      <w:pPr>
        <w:pStyle w:val="11"/>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pPr>
        <w:pStyle w:val="11"/>
        <w:spacing w:line="360" w:lineRule="auto"/>
        <w:rPr>
          <w:rFonts w:hint="eastAsia" w:ascii="宋体" w:hAnsi="宋体" w:eastAsia="宋体" w:cs="宋体"/>
          <w:szCs w:val="21"/>
          <w:highlight w:val="none"/>
        </w:rPr>
      </w:pPr>
      <w:r>
        <w:rPr>
          <w:rFonts w:hint="eastAsia" w:ascii="宋体" w:hAnsi="宋体" w:eastAsia="宋体" w:cs="宋体"/>
          <w:szCs w:val="21"/>
          <w:highlight w:val="none"/>
        </w:rPr>
        <w:t>1.表格内容均需按要求填写并盖章，不得留空，</w:t>
      </w:r>
      <w:r>
        <w:rPr>
          <w:rFonts w:hint="eastAsia" w:ascii="宋体" w:hAnsi="宋体" w:eastAsia="宋体" w:cs="宋体"/>
          <w:bCs/>
          <w:szCs w:val="21"/>
          <w:highlight w:val="none"/>
        </w:rPr>
        <w:t>否则按投标无效处理</w:t>
      </w:r>
      <w:r>
        <w:rPr>
          <w:rFonts w:hint="eastAsia" w:ascii="宋体" w:hAnsi="宋体" w:eastAsia="宋体" w:cs="宋体"/>
          <w:szCs w:val="21"/>
          <w:highlight w:val="none"/>
        </w:rPr>
        <w:t>。</w:t>
      </w:r>
    </w:p>
    <w:p>
      <w:pPr>
        <w:pStyle w:val="11"/>
        <w:spacing w:line="360" w:lineRule="auto"/>
        <w:rPr>
          <w:rFonts w:hint="eastAsia" w:ascii="宋体" w:hAnsi="宋体" w:eastAsia="宋体" w:cs="宋体"/>
          <w:szCs w:val="21"/>
          <w:highlight w:val="none"/>
        </w:rPr>
      </w:pPr>
      <w:r>
        <w:rPr>
          <w:rFonts w:hint="eastAsia" w:ascii="宋体" w:hAnsi="宋体" w:eastAsia="宋体" w:cs="宋体"/>
          <w:bCs/>
          <w:szCs w:val="21"/>
          <w:highlight w:val="none"/>
        </w:rPr>
        <w:t>2.当投标文件的服务内容低于招标文件要求时，投标人应当如实写明“负偏离”，否则视为虚假应标。</w:t>
      </w:r>
    </w:p>
    <w:p>
      <w:pPr>
        <w:pStyle w:val="11"/>
        <w:spacing w:line="360" w:lineRule="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szCs w:val="21"/>
          <w:highlight w:val="none"/>
        </w:rPr>
        <w:t>采购需求中带“▲”及“★”的条款，也要分别在本表“服务参数”、“所提供服务的内容”中标记。</w:t>
      </w:r>
    </w:p>
    <w:p>
      <w:pPr>
        <w:snapToGrid w:val="0"/>
        <w:spacing w:line="360" w:lineRule="auto"/>
        <w:ind w:firstLine="5640" w:firstLineChars="2350"/>
        <w:rPr>
          <w:rFonts w:hint="eastAsia" w:ascii="宋体" w:hAnsi="宋体" w:eastAsia="宋体" w:cs="宋体"/>
          <w:kern w:val="0"/>
          <w:sz w:val="24"/>
          <w:highlight w:val="none"/>
          <w:lang w:val="zh-CN"/>
        </w:rPr>
      </w:pPr>
    </w:p>
    <w:p>
      <w:pPr>
        <w:snapToGrid w:val="0"/>
        <w:spacing w:line="360" w:lineRule="auto"/>
        <w:ind w:firstLine="5640" w:firstLineChars="235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pPr>
        <w:snapToGrid w:val="0"/>
        <w:spacing w:before="165" w:beforeLines="50" w:after="5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二、组织服务方案</w:t>
      </w:r>
    </w:p>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（由投标人根据采购需求及招标文件要求编制）</w:t>
      </w:r>
    </w:p>
    <w:p>
      <w:pPr>
        <w:rPr>
          <w:rFonts w:hint="eastAsia" w:ascii="宋体" w:hAnsi="宋体" w:eastAsia="宋体" w:cs="宋体"/>
          <w:b/>
          <w:bCs/>
          <w:kern w:val="0"/>
          <w:sz w:val="24"/>
          <w:highlight w:val="none"/>
          <w:lang w:val="zh-CN"/>
        </w:rPr>
      </w:pPr>
    </w:p>
    <w:p>
      <w:pPr>
        <w:rPr>
          <w:rFonts w:hint="eastAsia" w:ascii="宋体" w:hAnsi="宋体" w:eastAsia="宋体" w:cs="宋体"/>
          <w:b/>
          <w:bCs/>
          <w:kern w:val="0"/>
          <w:sz w:val="24"/>
          <w:highlight w:val="none"/>
          <w:lang w:val="zh-CN"/>
        </w:rPr>
      </w:pPr>
    </w:p>
    <w:p>
      <w:pPr>
        <w:rPr>
          <w:rFonts w:hint="eastAsia" w:ascii="宋体" w:hAnsi="宋体" w:eastAsia="宋体" w:cs="宋体"/>
          <w:b/>
          <w:bCs/>
          <w:kern w:val="0"/>
          <w:sz w:val="24"/>
          <w:highlight w:val="none"/>
          <w:lang w:val="zh-CN"/>
        </w:rPr>
      </w:pPr>
    </w:p>
    <w:p>
      <w:pPr>
        <w:snapToGrid w:val="0"/>
        <w:spacing w:line="360" w:lineRule="auto"/>
        <w:ind w:firstLine="4935" w:firstLineChars="2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p>
    <w:p>
      <w:pPr>
        <w:snapToGrid w:val="0"/>
        <w:spacing w:before="165" w:beforeLines="50" w:after="5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三、售后服务方案</w:t>
      </w:r>
    </w:p>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（由投标人根据采购需求及招标文件要求编制）</w:t>
      </w:r>
    </w:p>
    <w:p>
      <w:pPr>
        <w:snapToGrid w:val="0"/>
        <w:spacing w:before="165" w:beforeLines="50" w:after="50"/>
        <w:ind w:left="142"/>
        <w:jc w:val="center"/>
        <w:rPr>
          <w:rFonts w:hint="eastAsia" w:ascii="宋体" w:hAnsi="宋体" w:eastAsia="宋体" w:cs="宋体"/>
          <w:b/>
          <w:color w:val="000000"/>
          <w:sz w:val="32"/>
          <w:szCs w:val="32"/>
          <w:highlight w:val="none"/>
        </w:rPr>
      </w:pPr>
    </w:p>
    <w:p>
      <w:pPr>
        <w:snapToGrid w:val="0"/>
        <w:spacing w:before="165"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1、售后服务承诺</w:t>
      </w:r>
    </w:p>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（由投标人根据采购需求及招标文件要求编制）</w:t>
      </w:r>
    </w:p>
    <w:p>
      <w:pPr>
        <w:autoSpaceDE w:val="0"/>
        <w:autoSpaceDN w:val="0"/>
        <w:spacing w:line="360" w:lineRule="auto"/>
        <w:rPr>
          <w:rFonts w:hint="eastAsia" w:ascii="宋体" w:hAnsi="宋体" w:eastAsia="宋体" w:cs="宋体"/>
          <w:b/>
          <w:sz w:val="24"/>
          <w:highlight w:val="none"/>
        </w:rPr>
      </w:pPr>
    </w:p>
    <w:p>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附表A:售后服务机构情况表</w:t>
      </w:r>
      <w:r>
        <w:rPr>
          <w:rFonts w:hint="eastAsia" w:ascii="宋体" w:hAnsi="宋体" w:eastAsia="宋体" w:cs="宋体"/>
          <w:sz w:val="24"/>
          <w:highlight w:val="none"/>
        </w:rPr>
        <w:t>（按此格式自制）</w:t>
      </w:r>
    </w:p>
    <w:tbl>
      <w:tblPr>
        <w:tblStyle w:val="18"/>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r>
    </w:tbl>
    <w:p>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注：关于项目涉及的所有售后服务机构均在本表注明，包括投标人本单位和符合条件的第三方服务机构；</w:t>
      </w:r>
    </w:p>
    <w:p>
      <w:pPr>
        <w:autoSpaceDE w:val="0"/>
        <w:autoSpaceDN w:val="0"/>
        <w:spacing w:line="360" w:lineRule="auto"/>
        <w:rPr>
          <w:rFonts w:hint="eastAsia" w:ascii="宋体" w:hAnsi="宋体" w:eastAsia="宋体" w:cs="宋体"/>
          <w:kern w:val="0"/>
          <w:sz w:val="24"/>
          <w:highlight w:val="none"/>
        </w:rPr>
      </w:pPr>
    </w:p>
    <w:p>
      <w:pPr>
        <w:autoSpaceDE w:val="0"/>
        <w:autoSpaceDN w:val="0"/>
        <w:spacing w:line="360" w:lineRule="auto"/>
        <w:rPr>
          <w:rFonts w:hint="eastAsia" w:ascii="宋体" w:hAnsi="宋体" w:eastAsia="宋体" w:cs="宋体"/>
          <w:kern w:val="0"/>
          <w:sz w:val="24"/>
          <w:highlight w:val="none"/>
        </w:rPr>
      </w:pPr>
      <w:r>
        <w:rPr>
          <w:rFonts w:hint="eastAsia" w:ascii="宋体" w:hAnsi="宋体" w:eastAsia="宋体" w:cs="宋体"/>
          <w:b/>
          <w:kern w:val="0"/>
          <w:sz w:val="24"/>
          <w:highlight w:val="none"/>
        </w:rPr>
        <w:t>附表B：售后服务人员情况表</w:t>
      </w:r>
      <w:r>
        <w:rPr>
          <w:rFonts w:hint="eastAsia" w:ascii="宋体" w:hAnsi="宋体" w:eastAsia="宋体" w:cs="宋体"/>
          <w:sz w:val="24"/>
          <w:highlight w:val="none"/>
        </w:rPr>
        <w:t>（按此格式自制）</w:t>
      </w:r>
    </w:p>
    <w:tbl>
      <w:tblPr>
        <w:tblStyle w:val="18"/>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p>
            <w:pPr>
              <w:autoSpaceDE w:val="0"/>
              <w:autoSpaceDN w:val="0"/>
              <w:spacing w:line="360" w:lineRule="auto"/>
              <w:jc w:val="center"/>
              <w:rPr>
                <w:rFonts w:hint="eastAsia" w:ascii="宋体" w:hAnsi="宋体" w:eastAsia="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sz w:val="24"/>
                <w:highlight w:val="none"/>
              </w:rPr>
            </w:pPr>
          </w:p>
        </w:tc>
      </w:tr>
    </w:tbl>
    <w:p>
      <w:pPr>
        <w:snapToGrid w:val="0"/>
        <w:spacing w:line="360" w:lineRule="auto"/>
        <w:ind w:firstLine="5160" w:firstLineChars="215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spacing w:line="360" w:lineRule="auto"/>
        <w:jc w:val="left"/>
        <w:rPr>
          <w:rFonts w:hint="eastAsia" w:ascii="宋体" w:hAnsi="宋体" w:eastAsia="宋体" w:cs="宋体"/>
          <w:sz w:val="24"/>
          <w:highlight w:val="none"/>
        </w:rPr>
        <w:sectPr>
          <w:pgSz w:w="11906" w:h="16838"/>
          <w:pgMar w:top="1134" w:right="1134" w:bottom="1134" w:left="1134" w:header="720" w:footer="720" w:gutter="0"/>
          <w:cols w:space="720" w:num="1"/>
          <w:docGrid w:type="lines" w:linePitch="331" w:charSpace="0"/>
        </w:sectPr>
      </w:pPr>
    </w:p>
    <w:p>
      <w:pPr>
        <w:snapToGrid w:val="0"/>
        <w:spacing w:before="165"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四、项目实施人员一览表</w:t>
      </w:r>
    </w:p>
    <w:p>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eastAsia="宋体" w:cs="宋体"/>
          <w:sz w:val="24"/>
          <w:highlight w:val="none"/>
        </w:rPr>
        <w:t>由投标人根据采购需求及招标文件要求编制</w:t>
      </w:r>
      <w:r>
        <w:rPr>
          <w:rFonts w:hint="eastAsia" w:ascii="宋体" w:hAnsi="宋体" w:cs="宋体"/>
          <w:color w:val="auto"/>
          <w:sz w:val="24"/>
          <w:highlight w:val="none"/>
        </w:rPr>
        <w:t>）</w:t>
      </w:r>
    </w:p>
    <w:p>
      <w:pPr>
        <w:pStyle w:val="34"/>
        <w:spacing w:before="120" w:beforeLines="50"/>
        <w:ind w:firstLine="643" w:firstLineChars="200"/>
        <w:jc w:val="center"/>
        <w:rPr>
          <w:rStyle w:val="20"/>
          <w:rFonts w:ascii="Times New Roman" w:hAnsi="Times New Roman" w:eastAsia="宋体" w:cs="宋体"/>
          <w:b/>
          <w:sz w:val="32"/>
          <w:szCs w:val="32"/>
          <w:highlight w:val="none"/>
        </w:rPr>
      </w:pPr>
      <w:r>
        <w:rPr>
          <w:rStyle w:val="20"/>
          <w:rFonts w:hint="eastAsia" w:ascii="Times New Roman" w:hAnsi="Times New Roman" w:eastAsia="宋体" w:cs="宋体"/>
          <w:b/>
          <w:sz w:val="32"/>
          <w:szCs w:val="32"/>
          <w:highlight w:val="none"/>
        </w:rPr>
        <w:t>项目经理简历表</w:t>
      </w:r>
    </w:p>
    <w:p>
      <w:pPr>
        <w:pStyle w:val="34"/>
        <w:rPr>
          <w:rStyle w:val="20"/>
          <w:rFonts w:ascii="Times New Roman" w:hAnsi="Times New Roman" w:eastAsia="宋体" w:cs="Times New Roman"/>
          <w:szCs w:val="21"/>
          <w:highlight w:val="none"/>
          <w:u w:val="single"/>
        </w:rPr>
      </w:pPr>
    </w:p>
    <w:p>
      <w:pPr>
        <w:pStyle w:val="34"/>
        <w:rPr>
          <w:rStyle w:val="20"/>
          <w:rFonts w:hint="eastAsia" w:ascii="Times New Roman" w:hAnsi="Times New Roman" w:cs="宋体"/>
          <w:szCs w:val="21"/>
          <w:highlight w:val="none"/>
          <w:u w:val="none"/>
          <w:lang w:eastAsia="zh-CN"/>
        </w:rPr>
      </w:pPr>
      <w:r>
        <w:rPr>
          <w:rStyle w:val="20"/>
          <w:rFonts w:hint="eastAsia" w:ascii="Times New Roman" w:hAnsi="Times New Roman" w:eastAsia="宋体" w:cs="宋体"/>
          <w:szCs w:val="21"/>
          <w:highlight w:val="none"/>
          <w:u w:val="none"/>
        </w:rPr>
        <w:t>项目名称</w:t>
      </w:r>
      <w:r>
        <w:rPr>
          <w:rStyle w:val="20"/>
          <w:rFonts w:hint="eastAsia" w:ascii="Times New Roman" w:hAnsi="Times New Roman" w:cs="宋体"/>
          <w:szCs w:val="21"/>
          <w:highlight w:val="none"/>
          <w:u w:val="none"/>
          <w:lang w:eastAsia="zh-CN"/>
        </w:rPr>
        <w:t>：</w:t>
      </w:r>
    </w:p>
    <w:p>
      <w:pPr>
        <w:pStyle w:val="34"/>
        <w:rPr>
          <w:rStyle w:val="20"/>
          <w:rFonts w:ascii="Times New Roman" w:hAnsi="Times New Roman" w:eastAsia="宋体" w:cs="Times New Roman"/>
          <w:szCs w:val="21"/>
          <w:highlight w:val="none"/>
          <w:u w:val="none"/>
        </w:rPr>
      </w:pPr>
      <w:r>
        <w:rPr>
          <w:rStyle w:val="20"/>
          <w:rFonts w:hint="eastAsia" w:ascii="Times New Roman" w:hAnsi="Times New Roman" w:eastAsia="宋体" w:cs="宋体"/>
          <w:szCs w:val="21"/>
          <w:highlight w:val="none"/>
          <w:u w:val="none"/>
        </w:rPr>
        <w:t>项目</w:t>
      </w:r>
      <w:r>
        <w:rPr>
          <w:rStyle w:val="20"/>
          <w:rFonts w:hint="eastAsia" w:ascii="Times New Roman" w:hAnsi="Times New Roman" w:cs="宋体"/>
          <w:szCs w:val="21"/>
          <w:highlight w:val="none"/>
          <w:u w:val="none"/>
          <w:lang w:val="en-US" w:eastAsia="zh-CN"/>
        </w:rPr>
        <w:t>编号</w:t>
      </w:r>
      <w:r>
        <w:rPr>
          <w:rStyle w:val="20"/>
          <w:rFonts w:hint="eastAsia" w:ascii="Times New Roman" w:hAnsi="Times New Roman" w:cs="宋体"/>
          <w:szCs w:val="21"/>
          <w:highlight w:val="none"/>
          <w:u w:val="none"/>
          <w:lang w:eastAsia="zh-CN"/>
        </w:rPr>
        <w:t>：</w:t>
      </w:r>
      <w:r>
        <w:rPr>
          <w:rStyle w:val="20"/>
          <w:rFonts w:ascii="Times New Roman" w:hAnsi="Times New Roman" w:eastAsia="宋体" w:cs="Times New Roman"/>
          <w:szCs w:val="21"/>
          <w:highlight w:val="none"/>
          <w:u w:val="none"/>
        </w:rPr>
        <w:t xml:space="preserve"> </w:t>
      </w:r>
    </w:p>
    <w:tbl>
      <w:tblPr>
        <w:tblStyle w:val="18"/>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54"/>
        <w:gridCol w:w="972"/>
        <w:gridCol w:w="596"/>
        <w:gridCol w:w="795"/>
        <w:gridCol w:w="773"/>
        <w:gridCol w:w="482"/>
        <w:gridCol w:w="1086"/>
        <w:gridCol w:w="331"/>
        <w:gridCol w:w="1237"/>
        <w:gridCol w:w="39"/>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姓名</w:t>
            </w:r>
          </w:p>
        </w:tc>
        <w:tc>
          <w:tcPr>
            <w:tcW w:w="2717" w:type="dxa"/>
            <w:gridSpan w:val="4"/>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55"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性别</w:t>
            </w: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年龄</w:t>
            </w: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岗位</w:t>
            </w:r>
          </w:p>
        </w:tc>
        <w:tc>
          <w:tcPr>
            <w:tcW w:w="2717" w:type="dxa"/>
            <w:gridSpan w:val="4"/>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项目经理</w:t>
            </w:r>
          </w:p>
        </w:tc>
        <w:tc>
          <w:tcPr>
            <w:tcW w:w="1255"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职称</w:t>
            </w: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学历</w:t>
            </w: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pPr>
              <w:pStyle w:val="34"/>
              <w:widowControl w:val="0"/>
              <w:jc w:val="center"/>
              <w:rPr>
                <w:rStyle w:val="20"/>
                <w:rFonts w:ascii="Times New Roman" w:hAnsi="Times New Roman" w:eastAsia="宋体" w:cs="宋体"/>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从业开始时间</w:t>
            </w:r>
          </w:p>
        </w:tc>
        <w:tc>
          <w:tcPr>
            <w:tcW w:w="2717" w:type="dxa"/>
            <w:gridSpan w:val="4"/>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55" w:type="dxa"/>
            <w:gridSpan w:val="2"/>
            <w:noWrap w:val="0"/>
            <w:vAlign w:val="center"/>
          </w:tcPr>
          <w:p>
            <w:pPr>
              <w:pStyle w:val="34"/>
              <w:widowControl w:val="0"/>
              <w:jc w:val="center"/>
              <w:rPr>
                <w:rStyle w:val="20"/>
                <w:rFonts w:ascii="Times New Roman" w:hAnsi="Times New Roman" w:eastAsia="宋体" w:cs="宋体"/>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职称</w:t>
            </w:r>
            <w:r>
              <w:rPr>
                <w:rStyle w:val="20"/>
                <w:rFonts w:ascii="Times New Roman" w:hAnsi="Times New Roman" w:eastAsia="宋体" w:cs="宋体"/>
                <w:kern w:val="2"/>
                <w:sz w:val="21"/>
                <w:szCs w:val="21"/>
                <w:highlight w:val="none"/>
                <w:lang w:val="en-US" w:eastAsia="zh-CN" w:bidi="ar-SA"/>
              </w:rPr>
              <w:t>获</w:t>
            </w:r>
            <w:r>
              <w:rPr>
                <w:rStyle w:val="20"/>
                <w:rFonts w:hint="eastAsia" w:ascii="Times New Roman" w:hAnsi="Times New Roman" w:eastAsia="宋体" w:cs="宋体"/>
                <w:kern w:val="2"/>
                <w:sz w:val="21"/>
                <w:szCs w:val="21"/>
                <w:highlight w:val="none"/>
                <w:lang w:val="en-US" w:eastAsia="zh-CN" w:bidi="ar-SA"/>
              </w:rPr>
              <w:t>得</w:t>
            </w:r>
            <w:r>
              <w:rPr>
                <w:rStyle w:val="20"/>
                <w:rFonts w:ascii="Times New Roman" w:hAnsi="Times New Roman" w:eastAsia="宋体" w:cs="宋体"/>
                <w:kern w:val="2"/>
                <w:sz w:val="21"/>
                <w:szCs w:val="21"/>
                <w:highlight w:val="none"/>
                <w:lang w:val="en-US" w:eastAsia="zh-CN" w:bidi="ar-SA"/>
              </w:rPr>
              <w:t>时间</w:t>
            </w: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宋体"/>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毕业时间</w:t>
            </w: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担任项目经理年限</w:t>
            </w:r>
          </w:p>
        </w:tc>
        <w:tc>
          <w:tcPr>
            <w:tcW w:w="132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身份</w:t>
            </w:r>
            <w:r>
              <w:rPr>
                <w:rStyle w:val="20"/>
                <w:rFonts w:ascii="Times New Roman" w:hAnsi="Times New Roman" w:eastAsia="宋体" w:cs="Times New Roman"/>
                <w:kern w:val="2"/>
                <w:sz w:val="21"/>
                <w:szCs w:val="21"/>
                <w:highlight w:val="none"/>
                <w:lang w:val="en-US" w:eastAsia="zh-CN" w:bidi="ar-SA"/>
              </w:rPr>
              <w:t>证号码</w:t>
            </w:r>
          </w:p>
        </w:tc>
        <w:tc>
          <w:tcPr>
            <w:tcW w:w="2672" w:type="dxa"/>
            <w:gridSpan w:val="4"/>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社保所附证明材料索引号</w:t>
            </w: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证书名称</w:t>
            </w:r>
          </w:p>
        </w:tc>
        <w:tc>
          <w:tcPr>
            <w:tcW w:w="132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注册专业</w:t>
            </w:r>
          </w:p>
        </w:tc>
        <w:tc>
          <w:tcPr>
            <w:tcW w:w="1391"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级别</w:t>
            </w:r>
          </w:p>
        </w:tc>
        <w:tc>
          <w:tcPr>
            <w:tcW w:w="1255"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证书编号</w:t>
            </w: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注册时间</w:t>
            </w: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注册单位</w:t>
            </w: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32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pPr>
              <w:pStyle w:val="34"/>
              <w:widowControl w:val="0"/>
              <w:jc w:val="center"/>
              <w:rPr>
                <w:rStyle w:val="20"/>
                <w:rFonts w:ascii="Times New Roman" w:hAnsi="Times New Roman" w:eastAsia="宋体" w:cs="宋体"/>
                <w:kern w:val="2"/>
                <w:sz w:val="21"/>
                <w:szCs w:val="21"/>
                <w:highlight w:val="none"/>
                <w:lang w:val="en-US" w:eastAsia="zh-CN" w:bidi="ar-SA"/>
              </w:rPr>
            </w:pPr>
          </w:p>
        </w:tc>
        <w:tc>
          <w:tcPr>
            <w:tcW w:w="1255"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安全生产考核合格证书</w:t>
            </w:r>
          </w:p>
        </w:tc>
        <w:tc>
          <w:tcPr>
            <w:tcW w:w="132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pPr>
              <w:pStyle w:val="34"/>
              <w:widowControl w:val="0"/>
              <w:jc w:val="center"/>
              <w:rPr>
                <w:rStyle w:val="20"/>
                <w:rFonts w:ascii="Times New Roman" w:hAnsi="Times New Roman" w:eastAsia="宋体" w:cs="宋体"/>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B类</w:t>
            </w:r>
          </w:p>
        </w:tc>
        <w:tc>
          <w:tcPr>
            <w:tcW w:w="1255"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417"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c>
          <w:tcPr>
            <w:tcW w:w="1531"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10" w:type="dxa"/>
            <w:gridSpan w:val="1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宋体"/>
                <w:kern w:val="2"/>
                <w:sz w:val="21"/>
                <w:szCs w:val="21"/>
                <w:highlight w:val="none"/>
                <w:lang w:val="en-US" w:eastAsia="zh-CN" w:bidi="ar-S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建设单位</w:t>
            </w:r>
          </w:p>
        </w:tc>
        <w:tc>
          <w:tcPr>
            <w:tcW w:w="1568"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项目名称</w:t>
            </w:r>
          </w:p>
        </w:tc>
        <w:tc>
          <w:tcPr>
            <w:tcW w:w="1568"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建设规模</w:t>
            </w:r>
          </w:p>
        </w:tc>
        <w:tc>
          <w:tcPr>
            <w:tcW w:w="1568"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结构类型</w:t>
            </w:r>
          </w:p>
        </w:tc>
        <w:tc>
          <w:tcPr>
            <w:tcW w:w="1568"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开、竣工日期</w:t>
            </w:r>
          </w:p>
        </w:tc>
        <w:tc>
          <w:tcPr>
            <w:tcW w:w="1570" w:type="dxa"/>
            <w:gridSpan w:val="2"/>
            <w:noWrap w:val="0"/>
            <w:vAlign w:val="top"/>
          </w:tcPr>
          <w:p>
            <w:pPr>
              <w:autoSpaceDE w:val="0"/>
              <w:autoSpaceDN w:val="0"/>
              <w:spacing w:line="480" w:lineRule="exact"/>
              <w:jc w:val="center"/>
              <w:rPr>
                <w:rStyle w:val="20"/>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pPr>
              <w:autoSpaceDE w:val="0"/>
              <w:autoSpaceDN w:val="0"/>
              <w:spacing w:line="480" w:lineRule="exact"/>
              <w:jc w:val="center"/>
              <w:rPr>
                <w:rFonts w:hint="eastAsia" w:ascii="宋体" w:hAnsi="宋体" w:cs="宋体"/>
                <w:color w:val="auto"/>
                <w:sz w:val="21"/>
                <w:szCs w:val="21"/>
                <w:highlight w:val="none"/>
              </w:rPr>
            </w:pPr>
          </w:p>
        </w:tc>
      </w:tr>
    </w:tbl>
    <w:p>
      <w:pPr>
        <w:pStyle w:val="34"/>
        <w:spacing w:line="360" w:lineRule="auto"/>
        <w:rPr>
          <w:rStyle w:val="20"/>
          <w:rFonts w:ascii="Times New Roman" w:hAnsi="Times New Roman" w:eastAsia="楷体_GB2312" w:cs="Times New Roman"/>
          <w:szCs w:val="21"/>
          <w:highlight w:val="none"/>
        </w:rPr>
      </w:pPr>
      <w:r>
        <w:rPr>
          <w:rStyle w:val="20"/>
          <w:rFonts w:hint="eastAsia" w:ascii="Times New Roman" w:hAnsi="Times New Roman" w:eastAsia="楷体_GB2312" w:cs="楷体_GB2312"/>
          <w:szCs w:val="21"/>
          <w:highlight w:val="none"/>
        </w:rPr>
        <w:t>备注：</w:t>
      </w:r>
    </w:p>
    <w:p>
      <w:pPr>
        <w:pStyle w:val="34"/>
        <w:spacing w:line="360" w:lineRule="auto"/>
        <w:ind w:firstLine="420" w:firstLineChars="200"/>
        <w:rPr>
          <w:rStyle w:val="20"/>
          <w:rFonts w:hint="eastAsia" w:ascii="Times New Roman" w:hAnsi="Times New Roman" w:eastAsia="楷体_GB2312" w:cs="Times New Roman"/>
          <w:szCs w:val="21"/>
          <w:highlight w:val="none"/>
        </w:rPr>
      </w:pPr>
      <w:r>
        <w:rPr>
          <w:rStyle w:val="20"/>
          <w:rFonts w:hint="eastAsia" w:ascii="Times New Roman" w:hAnsi="Times New Roman" w:eastAsia="楷体_GB2312" w:cs="Times New Roman"/>
          <w:szCs w:val="21"/>
          <w:highlight w:val="none"/>
        </w:rPr>
        <w:t>1、项目经理提供职称证复印件</w:t>
      </w:r>
      <w:r>
        <w:rPr>
          <w:rStyle w:val="20"/>
          <w:rFonts w:hint="eastAsia" w:ascii="Times New Roman" w:hAnsi="Times New Roman" w:eastAsia="楷体_GB2312" w:cs="Times New Roman"/>
          <w:szCs w:val="21"/>
          <w:highlight w:val="none"/>
          <w:lang w:eastAsia="zh-CN"/>
        </w:rPr>
        <w:t>。</w:t>
      </w:r>
    </w:p>
    <w:p>
      <w:pPr>
        <w:pStyle w:val="34"/>
        <w:spacing w:line="360" w:lineRule="auto"/>
        <w:ind w:firstLine="420" w:firstLineChars="200"/>
        <w:rPr>
          <w:rStyle w:val="20"/>
          <w:rFonts w:ascii="Times New Roman" w:hAnsi="Times New Roman" w:eastAsia="楷体_GB2312" w:cs="Times New Roman"/>
          <w:szCs w:val="21"/>
          <w:highlight w:val="none"/>
        </w:rPr>
      </w:pPr>
      <w:r>
        <w:rPr>
          <w:rStyle w:val="20"/>
          <w:rFonts w:hint="eastAsia" w:ascii="Times New Roman" w:hAnsi="Times New Roman" w:eastAsia="楷体_GB2312" w:cs="Times New Roman"/>
          <w:szCs w:val="21"/>
          <w:highlight w:val="none"/>
        </w:rPr>
        <w:t>2、近1个月（2024年</w:t>
      </w:r>
      <w:r>
        <w:rPr>
          <w:rStyle w:val="20"/>
          <w:rFonts w:hint="eastAsia" w:ascii="Times New Roman" w:hAnsi="Times New Roman" w:eastAsia="楷体_GB2312" w:cs="Times New Roman"/>
          <w:szCs w:val="21"/>
          <w:highlight w:val="none"/>
          <w:lang w:val="en-US" w:eastAsia="zh-CN"/>
        </w:rPr>
        <w:t>4</w:t>
      </w:r>
      <w:r>
        <w:rPr>
          <w:rStyle w:val="20"/>
          <w:rFonts w:hint="eastAsia" w:ascii="Times New Roman" w:hAnsi="Times New Roman" w:eastAsia="楷体_GB2312" w:cs="Times New Roman"/>
          <w:szCs w:val="21"/>
          <w:highlight w:val="none"/>
        </w:rPr>
        <w:t>月至投标截止时间内任意一个月）社会保险证明复印件（社保证明材料应清晰显示单位名称），否则评审时不予承认。</w:t>
      </w:r>
    </w:p>
    <w:p>
      <w:pPr>
        <w:autoSpaceDE w:val="0"/>
        <w:autoSpaceDN w:val="0"/>
        <w:spacing w:line="360" w:lineRule="auto"/>
        <w:rPr>
          <w:rFonts w:ascii="宋体" w:hAnsi="宋体" w:cs="宋体"/>
          <w:b/>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rPr>
          <w:rFonts w:hint="eastAsia" w:ascii="宋体" w:hAnsi="宋体" w:eastAsia="宋体" w:cs="宋体"/>
          <w:b/>
          <w:sz w:val="24"/>
          <w:highlight w:val="none"/>
        </w:rPr>
      </w:pPr>
    </w:p>
    <w:p>
      <w:pPr>
        <w:pStyle w:val="34"/>
        <w:spacing w:before="120" w:beforeLines="50"/>
        <w:ind w:firstLine="643" w:firstLineChars="200"/>
        <w:jc w:val="center"/>
        <w:rPr>
          <w:rStyle w:val="20"/>
          <w:rFonts w:hint="eastAsia" w:ascii="Times New Roman" w:hAnsi="Times New Roman" w:eastAsia="宋体" w:cs="宋体"/>
          <w:b/>
          <w:sz w:val="32"/>
          <w:szCs w:val="32"/>
          <w:highlight w:val="none"/>
        </w:rPr>
      </w:pPr>
      <w:r>
        <w:rPr>
          <w:rStyle w:val="20"/>
          <w:rFonts w:hint="eastAsia" w:ascii="Times New Roman" w:hAnsi="Times New Roman" w:eastAsia="宋体" w:cs="宋体"/>
          <w:b/>
          <w:sz w:val="32"/>
          <w:szCs w:val="32"/>
          <w:highlight w:val="none"/>
        </w:rPr>
        <w:t>项目管理机构配备情况表</w:t>
      </w:r>
    </w:p>
    <w:p>
      <w:pPr>
        <w:autoSpaceDE w:val="0"/>
        <w:autoSpaceDN w:val="0"/>
        <w:spacing w:line="360" w:lineRule="auto"/>
        <w:jc w:val="center"/>
        <w:rPr>
          <w:rFonts w:ascii="宋体" w:hAnsi="宋体" w:cs="宋体"/>
          <w:b/>
          <w:color w:val="auto"/>
          <w:sz w:val="24"/>
          <w:highlight w:val="none"/>
        </w:rPr>
      </w:pPr>
      <w:r>
        <w:rPr>
          <w:rFonts w:hint="eastAsia" w:ascii="宋体" w:hAnsi="宋体" w:cs="宋体"/>
          <w:color w:val="auto"/>
          <w:sz w:val="24"/>
          <w:highlight w:val="none"/>
        </w:rPr>
        <w:t>（按此格式自制）</w:t>
      </w:r>
    </w:p>
    <w:p>
      <w:pPr>
        <w:pStyle w:val="34"/>
        <w:jc w:val="center"/>
        <w:rPr>
          <w:rStyle w:val="20"/>
          <w:rFonts w:hint="eastAsia" w:ascii="宋体" w:hAnsi="宋体" w:eastAsia="宋体" w:cs="Times New Roman"/>
          <w:b/>
          <w:szCs w:val="21"/>
          <w:highlight w:val="none"/>
          <w:lang w:eastAsia="zh-CN"/>
        </w:rPr>
      </w:pPr>
      <w:r>
        <w:rPr>
          <w:rStyle w:val="20"/>
          <w:rFonts w:hint="eastAsia" w:ascii="宋体" w:hAnsi="宋体" w:cs="Times New Roman"/>
          <w:b/>
          <w:szCs w:val="21"/>
          <w:highlight w:val="none"/>
          <w:lang w:eastAsia="zh-CN"/>
        </w:rPr>
        <w:t>（</w:t>
      </w:r>
      <w:r>
        <w:rPr>
          <w:rStyle w:val="20"/>
          <w:rFonts w:hint="eastAsia" w:ascii="宋体" w:hAnsi="宋体" w:eastAsia="宋体" w:cs="Times New Roman"/>
          <w:b/>
          <w:szCs w:val="21"/>
          <w:highlight w:val="none"/>
        </w:rPr>
        <w:t>含专职投标员、项目经理、技术负责人、专职安全生产管理人员和主要管理人员情况</w:t>
      </w:r>
      <w:r>
        <w:rPr>
          <w:rStyle w:val="20"/>
          <w:rFonts w:hint="eastAsia" w:ascii="宋体" w:hAnsi="宋体" w:cs="Times New Roman"/>
          <w:b/>
          <w:szCs w:val="21"/>
          <w:highlight w:val="none"/>
          <w:lang w:eastAsia="zh-CN"/>
        </w:rPr>
        <w:t>）</w:t>
      </w:r>
    </w:p>
    <w:p>
      <w:pPr>
        <w:pStyle w:val="34"/>
        <w:jc w:val="center"/>
        <w:rPr>
          <w:rStyle w:val="20"/>
          <w:rFonts w:hint="eastAsia" w:ascii="宋体" w:hAnsi="宋体" w:eastAsia="宋体" w:cs="Times New Roman"/>
          <w:b/>
          <w:szCs w:val="21"/>
          <w:highlight w:val="none"/>
        </w:rPr>
      </w:pPr>
    </w:p>
    <w:p>
      <w:pPr>
        <w:pStyle w:val="34"/>
        <w:rPr>
          <w:rStyle w:val="20"/>
          <w:rFonts w:hint="eastAsia" w:ascii="Times New Roman" w:hAnsi="Times New Roman" w:cs="宋体"/>
          <w:szCs w:val="21"/>
          <w:highlight w:val="none"/>
          <w:u w:val="none"/>
          <w:lang w:eastAsia="zh-CN"/>
        </w:rPr>
      </w:pPr>
      <w:r>
        <w:rPr>
          <w:rStyle w:val="20"/>
          <w:rFonts w:hint="eastAsia" w:ascii="Times New Roman" w:hAnsi="Times New Roman" w:eastAsia="宋体" w:cs="宋体"/>
          <w:szCs w:val="21"/>
          <w:highlight w:val="none"/>
          <w:u w:val="none"/>
        </w:rPr>
        <w:t>项目名称</w:t>
      </w:r>
      <w:r>
        <w:rPr>
          <w:rStyle w:val="20"/>
          <w:rFonts w:hint="eastAsia" w:ascii="Times New Roman" w:hAnsi="Times New Roman" w:cs="宋体"/>
          <w:szCs w:val="21"/>
          <w:highlight w:val="none"/>
          <w:u w:val="none"/>
          <w:lang w:eastAsia="zh-CN"/>
        </w:rPr>
        <w:t>：</w:t>
      </w:r>
    </w:p>
    <w:p>
      <w:pPr>
        <w:pStyle w:val="34"/>
        <w:rPr>
          <w:rStyle w:val="20"/>
          <w:rFonts w:ascii="Times New Roman" w:hAnsi="Times New Roman" w:eastAsia="宋体" w:cs="Times New Roman"/>
          <w:szCs w:val="21"/>
          <w:highlight w:val="none"/>
          <w:u w:val="none"/>
        </w:rPr>
      </w:pPr>
      <w:r>
        <w:rPr>
          <w:rStyle w:val="20"/>
          <w:rFonts w:hint="eastAsia" w:ascii="Times New Roman" w:hAnsi="Times New Roman" w:eastAsia="宋体" w:cs="宋体"/>
          <w:szCs w:val="21"/>
          <w:highlight w:val="none"/>
          <w:u w:val="none"/>
        </w:rPr>
        <w:t>项目</w:t>
      </w:r>
      <w:r>
        <w:rPr>
          <w:rStyle w:val="20"/>
          <w:rFonts w:hint="eastAsia" w:ascii="Times New Roman" w:hAnsi="Times New Roman" w:cs="宋体"/>
          <w:szCs w:val="21"/>
          <w:highlight w:val="none"/>
          <w:u w:val="none"/>
          <w:lang w:val="en-US" w:eastAsia="zh-CN"/>
        </w:rPr>
        <w:t>编号</w:t>
      </w:r>
      <w:r>
        <w:rPr>
          <w:rStyle w:val="20"/>
          <w:rFonts w:hint="eastAsia" w:ascii="Times New Roman" w:hAnsi="Times New Roman" w:cs="宋体"/>
          <w:szCs w:val="21"/>
          <w:highlight w:val="none"/>
          <w:u w:val="none"/>
          <w:lang w:eastAsia="zh-CN"/>
        </w:rPr>
        <w:t>：</w:t>
      </w:r>
      <w:r>
        <w:rPr>
          <w:rStyle w:val="20"/>
          <w:rFonts w:ascii="Times New Roman" w:hAnsi="Times New Roman" w:eastAsia="宋体" w:cs="Times New Roman"/>
          <w:szCs w:val="21"/>
          <w:highlight w:val="none"/>
          <w:u w:val="none"/>
        </w:rPr>
        <w:t xml:space="preserve"> </w:t>
      </w:r>
    </w:p>
    <w:tbl>
      <w:tblPr>
        <w:tblStyle w:val="18"/>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29"/>
        <w:gridCol w:w="816"/>
        <w:gridCol w:w="1148"/>
        <w:gridCol w:w="1148"/>
        <w:gridCol w:w="1148"/>
        <w:gridCol w:w="744"/>
        <w:gridCol w:w="870"/>
        <w:gridCol w:w="117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岗位</w:t>
            </w:r>
          </w:p>
        </w:tc>
        <w:tc>
          <w:tcPr>
            <w:tcW w:w="829" w:type="dxa"/>
            <w:vMerge w:val="restart"/>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姓名</w:t>
            </w:r>
          </w:p>
        </w:tc>
        <w:tc>
          <w:tcPr>
            <w:tcW w:w="829" w:type="dxa"/>
            <w:vMerge w:val="restart"/>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身份证号</w:t>
            </w:r>
          </w:p>
        </w:tc>
        <w:tc>
          <w:tcPr>
            <w:tcW w:w="816" w:type="dxa"/>
            <w:vMerge w:val="restart"/>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职称</w:t>
            </w:r>
          </w:p>
        </w:tc>
        <w:tc>
          <w:tcPr>
            <w:tcW w:w="4188" w:type="dxa"/>
            <w:gridSpan w:val="4"/>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执业或职业资格</w:t>
            </w:r>
          </w:p>
        </w:tc>
        <w:tc>
          <w:tcPr>
            <w:tcW w:w="2040" w:type="dxa"/>
            <w:gridSpan w:val="2"/>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承担完工</w:t>
            </w:r>
            <w:r>
              <w:rPr>
                <w:rStyle w:val="20"/>
                <w:rFonts w:hint="eastAsia" w:ascii="Times New Roman" w:hAnsi="Times New Roman" w:eastAsia="宋体" w:cs="Times New Roman"/>
                <w:kern w:val="2"/>
                <w:sz w:val="21"/>
                <w:szCs w:val="21"/>
                <w:highlight w:val="none"/>
                <w:lang w:val="en-US" w:eastAsia="zh-CN" w:bidi="ar-SA"/>
              </w:rPr>
              <w:t>、</w:t>
            </w:r>
            <w:r>
              <w:rPr>
                <w:rStyle w:val="20"/>
                <w:rFonts w:ascii="Times New Roman" w:hAnsi="Times New Roman" w:eastAsia="宋体" w:cs="Times New Roman"/>
                <w:kern w:val="2"/>
                <w:sz w:val="21"/>
                <w:szCs w:val="21"/>
                <w:highlight w:val="none"/>
                <w:lang w:val="en-US" w:eastAsia="zh-CN" w:bidi="ar-SA"/>
              </w:rPr>
              <w:t>在建工程情况</w:t>
            </w:r>
          </w:p>
        </w:tc>
        <w:tc>
          <w:tcPr>
            <w:tcW w:w="720" w:type="dxa"/>
            <w:vMerge w:val="restart"/>
            <w:noWrap w:val="0"/>
            <w:vAlign w:val="top"/>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社保所附证明材料索引号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vMerge w:val="continue"/>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vMerge w:val="continue"/>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16" w:type="dxa"/>
            <w:vMerge w:val="continue"/>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证书名称</w:t>
            </w: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级别</w:t>
            </w: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证号</w:t>
            </w:r>
          </w:p>
        </w:tc>
        <w:tc>
          <w:tcPr>
            <w:tcW w:w="744"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专业</w:t>
            </w:r>
          </w:p>
        </w:tc>
        <w:tc>
          <w:tcPr>
            <w:tcW w:w="870"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完工/在建</w:t>
            </w:r>
          </w:p>
        </w:tc>
        <w:tc>
          <w:tcPr>
            <w:tcW w:w="1170" w:type="dxa"/>
            <w:noWrap w:val="0"/>
            <w:vAlign w:val="center"/>
          </w:tcPr>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主要项目</w:t>
            </w:r>
          </w:p>
          <w:p>
            <w:pPr>
              <w:pStyle w:val="34"/>
              <w:widowControl w:val="0"/>
              <w:jc w:val="center"/>
              <w:rPr>
                <w:rStyle w:val="20"/>
                <w:rFonts w:ascii="Times New Roman" w:hAnsi="Times New Roman" w:eastAsia="宋体" w:cs="Times New Roman"/>
                <w:kern w:val="2"/>
                <w:sz w:val="21"/>
                <w:szCs w:val="21"/>
                <w:highlight w:val="none"/>
                <w:lang w:val="en-US" w:eastAsia="zh-CN" w:bidi="ar-SA"/>
              </w:rPr>
            </w:pPr>
            <w:r>
              <w:rPr>
                <w:rStyle w:val="20"/>
                <w:rFonts w:ascii="Times New Roman" w:hAnsi="Times New Roman" w:eastAsia="宋体" w:cs="Times New Roman"/>
                <w:kern w:val="2"/>
                <w:sz w:val="21"/>
                <w:szCs w:val="21"/>
                <w:highlight w:val="none"/>
                <w:lang w:val="en-US" w:eastAsia="zh-CN" w:bidi="ar-SA"/>
              </w:rPr>
              <w:t>名称</w:t>
            </w:r>
          </w:p>
        </w:tc>
        <w:tc>
          <w:tcPr>
            <w:tcW w:w="720" w:type="dxa"/>
            <w:vMerge w:val="continue"/>
            <w:noWrap w:val="0"/>
            <w:vAlign w:val="top"/>
          </w:tcPr>
          <w:p>
            <w:pPr>
              <w:pStyle w:val="34"/>
              <w:widowControl w:val="0"/>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16"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44"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20" w:type="dxa"/>
            <w:noWrap w:val="0"/>
            <w:vAlign w:val="top"/>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16"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44"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20" w:type="dxa"/>
            <w:noWrap w:val="0"/>
            <w:vAlign w:val="top"/>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16"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44"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20" w:type="dxa"/>
            <w:noWrap w:val="0"/>
            <w:vAlign w:val="top"/>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29"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16"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48"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44"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8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1170" w:type="dxa"/>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c>
          <w:tcPr>
            <w:tcW w:w="720" w:type="dxa"/>
            <w:noWrap w:val="0"/>
            <w:vAlign w:val="top"/>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83" w:type="dxa"/>
            <w:gridSpan w:val="11"/>
            <w:noWrap w:val="0"/>
            <w:vAlign w:val="center"/>
          </w:tcPr>
          <w:p>
            <w:pPr>
              <w:pStyle w:val="34"/>
              <w:widowControl w:val="0"/>
              <w:ind w:left="223" w:hanging="222" w:hangingChars="106"/>
              <w:jc w:val="center"/>
              <w:rPr>
                <w:rStyle w:val="20"/>
                <w:rFonts w:ascii="Times New Roman" w:hAnsi="Times New Roman" w:eastAsia="宋体" w:cs="Times New Roman"/>
                <w:kern w:val="2"/>
                <w:sz w:val="21"/>
                <w:szCs w:val="21"/>
                <w:highlight w:val="none"/>
                <w:lang w:val="en-US" w:eastAsia="zh-CN" w:bidi="ar-SA"/>
              </w:rPr>
            </w:pPr>
            <w:r>
              <w:rPr>
                <w:rStyle w:val="20"/>
                <w:rFonts w:hint="eastAsia" w:ascii="Times New Roman" w:hAnsi="Times New Roman" w:eastAsia="宋体" w:cs="Times New Roman"/>
                <w:kern w:val="2"/>
                <w:sz w:val="21"/>
                <w:szCs w:val="21"/>
                <w:highlight w:val="none"/>
                <w:lang w:val="en-US" w:eastAsia="zh-CN" w:bidi="ar-SA"/>
              </w:rPr>
              <w:t>一旦我单位</w:t>
            </w:r>
            <w:r>
              <w:rPr>
                <w:rStyle w:val="20"/>
                <w:rFonts w:hint="eastAsia" w:ascii="Times New Roman" w:hAnsi="Times New Roman" w:cs="Times New Roman"/>
                <w:kern w:val="2"/>
                <w:sz w:val="21"/>
                <w:szCs w:val="21"/>
                <w:highlight w:val="none"/>
                <w:lang w:val="en-US" w:eastAsia="zh-CN" w:bidi="ar-SA"/>
              </w:rPr>
              <w:t>成交</w:t>
            </w:r>
            <w:r>
              <w:rPr>
                <w:rStyle w:val="20"/>
                <w:rFonts w:hint="eastAsia" w:ascii="Times New Roman" w:hAnsi="Times New Roman" w:eastAsia="宋体" w:cs="Times New Roman"/>
                <w:kern w:val="2"/>
                <w:sz w:val="21"/>
                <w:szCs w:val="21"/>
                <w:highlight w:val="none"/>
                <w:lang w:val="en-US" w:eastAsia="zh-CN" w:bidi="ar-SA"/>
              </w:rPr>
              <w:t>，将实行项目经理负责制，我方保证并配备上述项目管理机构。上述填报内容真实，若不真实，愿按有关规定接受处理。项目管理班子机构设置、职责分工等情况另附资料说明。</w:t>
            </w:r>
          </w:p>
        </w:tc>
      </w:tr>
    </w:tbl>
    <w:p>
      <w:pPr>
        <w:pStyle w:val="34"/>
        <w:spacing w:line="360" w:lineRule="auto"/>
        <w:rPr>
          <w:rStyle w:val="20"/>
          <w:rFonts w:ascii="Times New Roman" w:hAnsi="Times New Roman" w:eastAsia="楷体_GB2312" w:cs="Times New Roman"/>
          <w:szCs w:val="21"/>
          <w:highlight w:val="none"/>
        </w:rPr>
      </w:pPr>
      <w:r>
        <w:rPr>
          <w:rStyle w:val="20"/>
          <w:rFonts w:hint="eastAsia" w:ascii="Times New Roman" w:hAnsi="Times New Roman" w:eastAsia="楷体_GB2312" w:cs="楷体_GB2312"/>
          <w:szCs w:val="21"/>
          <w:highlight w:val="none"/>
        </w:rPr>
        <w:t>备注：</w:t>
      </w:r>
    </w:p>
    <w:p>
      <w:pPr>
        <w:pStyle w:val="34"/>
        <w:numPr>
          <w:ilvl w:val="0"/>
          <w:numId w:val="0"/>
        </w:numPr>
        <w:spacing w:line="360" w:lineRule="auto"/>
        <w:ind w:firstLine="420" w:firstLineChars="200"/>
        <w:rPr>
          <w:rStyle w:val="20"/>
          <w:rFonts w:ascii="Times New Roman" w:hAnsi="Times New Roman" w:eastAsia="楷体_GB2312" w:cs="楷体_GB2312"/>
          <w:szCs w:val="21"/>
          <w:highlight w:val="none"/>
        </w:rPr>
      </w:pPr>
      <w:r>
        <w:rPr>
          <w:rStyle w:val="20"/>
          <w:rFonts w:hint="eastAsia" w:ascii="Times New Roman" w:hAnsi="Times New Roman" w:eastAsia="楷体_GB2312" w:cs="楷体_GB2312"/>
          <w:szCs w:val="21"/>
          <w:highlight w:val="none"/>
          <w:lang w:val="en-US" w:eastAsia="zh-CN"/>
        </w:rPr>
        <w:t>1、</w:t>
      </w:r>
      <w:r>
        <w:rPr>
          <w:rStyle w:val="20"/>
          <w:rFonts w:hint="eastAsia" w:ascii="Times New Roman" w:hAnsi="Times New Roman" w:eastAsia="楷体_GB2312" w:cs="楷体_GB2312"/>
          <w:szCs w:val="21"/>
          <w:highlight w:val="none"/>
        </w:rPr>
        <w:t>提供职称证复印件</w:t>
      </w:r>
      <w:r>
        <w:rPr>
          <w:rStyle w:val="20"/>
          <w:rFonts w:hint="eastAsia" w:ascii="Times New Roman" w:hAnsi="Times New Roman" w:eastAsia="楷体_GB2312" w:cs="楷体_GB2312"/>
          <w:szCs w:val="21"/>
          <w:highlight w:val="none"/>
          <w:lang w:eastAsia="zh-CN"/>
        </w:rPr>
        <w:t>。</w:t>
      </w:r>
    </w:p>
    <w:p>
      <w:pPr>
        <w:pStyle w:val="34"/>
        <w:numPr>
          <w:ilvl w:val="0"/>
          <w:numId w:val="0"/>
        </w:numPr>
        <w:spacing w:line="360" w:lineRule="auto"/>
        <w:ind w:firstLine="420" w:firstLineChars="200"/>
        <w:rPr>
          <w:rStyle w:val="20"/>
          <w:rFonts w:ascii="Times New Roman" w:hAnsi="Times New Roman" w:eastAsia="楷体_GB2312" w:cs="楷体_GB2312"/>
          <w:szCs w:val="21"/>
          <w:highlight w:val="none"/>
        </w:rPr>
      </w:pPr>
      <w:r>
        <w:rPr>
          <w:rStyle w:val="20"/>
          <w:rFonts w:hint="eastAsia" w:ascii="Times New Roman" w:hAnsi="Times New Roman" w:eastAsia="楷体_GB2312" w:cs="楷体_GB2312"/>
          <w:szCs w:val="21"/>
          <w:highlight w:val="none"/>
          <w:lang w:val="en-US" w:eastAsia="zh-CN"/>
        </w:rPr>
        <w:t>2、</w:t>
      </w:r>
      <w:r>
        <w:rPr>
          <w:rStyle w:val="20"/>
          <w:rFonts w:hint="eastAsia" w:ascii="Times New Roman" w:hAnsi="Times New Roman" w:eastAsia="楷体_GB2312" w:cs="楷体_GB2312"/>
          <w:szCs w:val="21"/>
          <w:highlight w:val="none"/>
        </w:rPr>
        <w:t>近1个月（2024年</w:t>
      </w:r>
      <w:r>
        <w:rPr>
          <w:rStyle w:val="20"/>
          <w:rFonts w:hint="eastAsia" w:ascii="Times New Roman" w:hAnsi="Times New Roman" w:eastAsia="楷体_GB2312" w:cs="楷体_GB2312"/>
          <w:szCs w:val="21"/>
          <w:highlight w:val="none"/>
          <w:lang w:val="en-US" w:eastAsia="zh-CN"/>
        </w:rPr>
        <w:t>4</w:t>
      </w:r>
      <w:r>
        <w:rPr>
          <w:rStyle w:val="20"/>
          <w:rFonts w:hint="eastAsia" w:ascii="Times New Roman" w:hAnsi="Times New Roman" w:eastAsia="楷体_GB2312" w:cs="楷体_GB2312"/>
          <w:szCs w:val="21"/>
          <w:highlight w:val="none"/>
        </w:rPr>
        <w:t>月至投标截止时间内任意一个月）社会保险证明复印件（社保证明材料应清晰显示单位名称），</w:t>
      </w:r>
      <w:r>
        <w:rPr>
          <w:rStyle w:val="20"/>
          <w:rFonts w:ascii="Times New Roman" w:hAnsi="Times New Roman" w:eastAsia="楷体_GB2312" w:cs="楷体_GB2312"/>
          <w:szCs w:val="21"/>
          <w:highlight w:val="none"/>
        </w:rPr>
        <w:t>否则</w:t>
      </w:r>
      <w:r>
        <w:rPr>
          <w:rStyle w:val="20"/>
          <w:rFonts w:hint="eastAsia" w:ascii="Times New Roman" w:hAnsi="Times New Roman" w:eastAsia="楷体_GB2312" w:cs="楷体_GB2312"/>
          <w:szCs w:val="21"/>
          <w:highlight w:val="none"/>
        </w:rPr>
        <w:t>评审时不予承认。</w:t>
      </w:r>
    </w:p>
    <w:p>
      <w:pPr>
        <w:pStyle w:val="34"/>
        <w:numPr>
          <w:ilvl w:val="0"/>
          <w:numId w:val="0"/>
        </w:numPr>
        <w:spacing w:line="360" w:lineRule="auto"/>
        <w:ind w:firstLine="420" w:firstLineChars="200"/>
        <w:rPr>
          <w:rStyle w:val="20"/>
          <w:rFonts w:ascii="Times New Roman" w:hAnsi="Times New Roman" w:eastAsia="楷体_GB2312" w:cs="楷体_GB2312"/>
          <w:szCs w:val="21"/>
          <w:highlight w:val="none"/>
        </w:rPr>
      </w:pPr>
      <w:r>
        <w:rPr>
          <w:rStyle w:val="20"/>
          <w:rFonts w:hint="eastAsia" w:ascii="Times New Roman" w:hAnsi="Times New Roman" w:eastAsia="楷体_GB2312" w:cs="楷体_GB2312"/>
          <w:szCs w:val="21"/>
          <w:highlight w:val="none"/>
          <w:lang w:val="en-US" w:eastAsia="zh-CN"/>
        </w:rPr>
        <w:t>3、</w:t>
      </w:r>
      <w:r>
        <w:rPr>
          <w:rStyle w:val="20"/>
          <w:rFonts w:hint="eastAsia" w:ascii="Times New Roman" w:hAnsi="Times New Roman" w:eastAsia="楷体_GB2312" w:cs="楷体_GB2312"/>
          <w:szCs w:val="21"/>
          <w:highlight w:val="none"/>
        </w:rPr>
        <w:t>专职投标员只需要填写岗位、姓名、身份证号。</w:t>
      </w:r>
    </w:p>
    <w:p>
      <w:pPr>
        <w:snapToGrid w:val="0"/>
        <w:spacing w:line="360" w:lineRule="auto"/>
        <w:ind w:firstLine="602" w:firstLineChars="200"/>
        <w:rPr>
          <w:rFonts w:ascii="宋体" w:hAnsi="宋体" w:cs="宋体"/>
          <w:b/>
          <w:color w:val="auto"/>
          <w:sz w:val="30"/>
          <w:szCs w:val="30"/>
          <w:highlight w:val="none"/>
        </w:rPr>
      </w:pPr>
    </w:p>
    <w:p>
      <w:pPr>
        <w:autoSpaceDE w:val="0"/>
        <w:autoSpaceDN w:val="0"/>
        <w:spacing w:line="360" w:lineRule="auto"/>
        <w:ind w:firstLine="6505" w:firstLineChars="2700"/>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napToGrid w:val="0"/>
        <w:spacing w:before="165" w:beforeLines="50" w:after="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napToGrid w:val="0"/>
        <w:spacing w:before="165" w:beforeLines="50" w:after="50"/>
        <w:ind w:left="142"/>
        <w:jc w:val="center"/>
        <w:rPr>
          <w:rFonts w:hint="eastAsia" w:ascii="宋体" w:hAnsi="宋体" w:eastAsia="宋体" w:cs="宋体"/>
          <w:b/>
          <w:color w:val="000000"/>
          <w:sz w:val="32"/>
          <w:szCs w:val="32"/>
          <w:highlight w:val="none"/>
        </w:rPr>
      </w:pPr>
    </w:p>
    <w:p>
      <w:pPr>
        <w:snapToGrid w:val="0"/>
        <w:spacing w:before="165" w:beforeLines="50" w:after="50"/>
        <w:ind w:left="142"/>
        <w:jc w:val="center"/>
        <w:rPr>
          <w:rFonts w:hint="eastAsia" w:ascii="宋体" w:hAnsi="宋体" w:eastAsia="宋体" w:cs="宋体"/>
          <w:b/>
          <w:color w:val="000000"/>
          <w:sz w:val="32"/>
          <w:szCs w:val="32"/>
          <w:highlight w:val="none"/>
        </w:rPr>
      </w:pPr>
    </w:p>
    <w:p>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五、认为需要的其他技术文件或说明</w:t>
      </w:r>
    </w:p>
    <w:p>
      <w:pPr>
        <w:spacing w:line="360" w:lineRule="auto"/>
        <w:jc w:val="center"/>
        <w:outlineLvl w:val="1"/>
        <w:rPr>
          <w:rFonts w:hint="eastAsia" w:ascii="宋体" w:hAnsi="宋体" w:eastAsia="宋体" w:cs="宋体"/>
          <w:sz w:val="24"/>
          <w:highlight w:val="none"/>
        </w:rPr>
      </w:pPr>
      <w:bookmarkStart w:id="1557" w:name="_Toc5684"/>
      <w:bookmarkStart w:id="1558" w:name="_Toc4376"/>
      <w:r>
        <w:rPr>
          <w:rFonts w:hint="eastAsia" w:ascii="宋体" w:hAnsi="宋体" w:eastAsia="宋体" w:cs="宋体"/>
          <w:sz w:val="24"/>
          <w:highlight w:val="none"/>
        </w:rPr>
        <w:t>（由投标人根据采购需求自行编制）</w:t>
      </w:r>
      <w:bookmarkEnd w:id="1557"/>
      <w:bookmarkEnd w:id="1558"/>
    </w:p>
    <w:p>
      <w:pPr>
        <w:spacing w:line="360" w:lineRule="auto"/>
        <w:jc w:val="center"/>
        <w:rPr>
          <w:rFonts w:hint="eastAsia" w:ascii="宋体" w:hAnsi="宋体" w:eastAsia="宋体" w:cs="宋体"/>
          <w:sz w:val="24"/>
          <w:highlight w:val="none"/>
        </w:rPr>
      </w:pPr>
    </w:p>
    <w:p>
      <w:pPr>
        <w:autoSpaceDE w:val="0"/>
        <w:autoSpaceDN w:val="0"/>
        <w:spacing w:line="360" w:lineRule="auto"/>
        <w:ind w:firstLine="4800" w:firstLineChars="2000"/>
        <w:rPr>
          <w:rFonts w:hint="eastAsia" w:ascii="宋体" w:hAnsi="宋体" w:eastAsia="宋体" w:cs="宋体"/>
          <w:sz w:val="24"/>
          <w:highlight w:val="none"/>
        </w:rPr>
      </w:pPr>
      <w:r>
        <w:rPr>
          <w:rFonts w:hint="eastAsia" w:ascii="宋体" w:hAnsi="宋体" w:eastAsia="宋体" w:cs="宋体"/>
          <w:kern w:val="0"/>
          <w:sz w:val="24"/>
          <w:highlight w:val="none"/>
        </w:rPr>
        <w:t>投标人名称（电子</w:t>
      </w:r>
      <w:r>
        <w:rPr>
          <w:rFonts w:hint="eastAsia" w:ascii="宋体" w:hAnsi="宋体" w:eastAsia="宋体" w:cs="宋体"/>
          <w:kern w:val="0"/>
          <w:sz w:val="24"/>
          <w:highlight w:val="none"/>
          <w:lang w:val="zh-CN"/>
        </w:rPr>
        <w:t>签章</w:t>
      </w:r>
      <w:r>
        <w:rPr>
          <w:rFonts w:hint="eastAsia" w:ascii="宋体" w:hAnsi="宋体" w:eastAsia="宋体" w:cs="宋体"/>
          <w:kern w:val="0"/>
          <w:sz w:val="24"/>
          <w:highlight w:val="none"/>
        </w:rPr>
        <w:t xml:space="preserve">）：                       </w:t>
      </w:r>
    </w:p>
    <w:p>
      <w:pPr>
        <w:autoSpaceDE w:val="0"/>
        <w:autoSpaceDN w:val="0"/>
        <w:spacing w:line="360" w:lineRule="auto"/>
        <w:rPr>
          <w:rFonts w:hint="eastAsia" w:ascii="宋体" w:hAnsi="宋体" w:eastAsia="宋体" w:cs="宋体"/>
          <w:b/>
          <w:bCs/>
          <w:sz w:val="30"/>
          <w:szCs w:val="30"/>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  年  月   日</w:t>
      </w:r>
    </w:p>
    <w:p>
      <w:pPr>
        <w:widowControl/>
        <w:jc w:val="left"/>
        <w:rPr>
          <w:rFonts w:hint="eastAsia" w:ascii="宋体" w:hAnsi="宋体" w:eastAsia="宋体" w:cs="宋体"/>
          <w:b/>
          <w:bCs/>
          <w:color w:val="000000"/>
          <w:sz w:val="24"/>
          <w:highlight w:val="none"/>
        </w:rPr>
        <w:sectPr>
          <w:pgSz w:w="11906" w:h="16838"/>
          <w:pgMar w:top="1134" w:right="1134" w:bottom="1134" w:left="1134" w:header="720" w:footer="720" w:gutter="0"/>
          <w:cols w:space="720" w:num="1"/>
          <w:docGrid w:type="lines" w:linePitch="331" w:charSpace="0"/>
        </w:sectPr>
      </w:pPr>
    </w:p>
    <w:p>
      <w:pPr>
        <w:pStyle w:val="11"/>
        <w:jc w:val="center"/>
        <w:outlineLvl w:val="1"/>
        <w:rPr>
          <w:rFonts w:hint="eastAsia" w:ascii="宋体" w:hAnsi="宋体" w:eastAsia="宋体" w:cs="宋体"/>
          <w:b/>
          <w:bCs/>
          <w:color w:val="000000"/>
          <w:sz w:val="28"/>
          <w:szCs w:val="28"/>
          <w:highlight w:val="none"/>
        </w:rPr>
      </w:pPr>
      <w:bookmarkStart w:id="1559" w:name="_Toc22926"/>
      <w:bookmarkStart w:id="1560" w:name="_Toc30788"/>
      <w:r>
        <w:rPr>
          <w:rFonts w:hint="eastAsia" w:ascii="宋体" w:hAnsi="宋体" w:eastAsia="宋体" w:cs="宋体"/>
          <w:b/>
          <w:bCs/>
          <w:color w:val="000000"/>
          <w:sz w:val="28"/>
          <w:szCs w:val="28"/>
          <w:highlight w:val="none"/>
        </w:rPr>
        <w:t>第五节 报价文件格式</w:t>
      </w:r>
      <w:bookmarkEnd w:id="1559"/>
      <w:bookmarkEnd w:id="1560"/>
    </w:p>
    <w:p>
      <w:pPr>
        <w:snapToGrid w:val="0"/>
        <w:spacing w:before="165" w:beforeLines="50" w:after="50" w:line="400" w:lineRule="exact"/>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pPr>
        <w:snapToGrid w:val="0"/>
        <w:spacing w:before="165" w:beforeLines="50" w:after="50" w:line="400" w:lineRule="exact"/>
        <w:jc w:val="center"/>
        <w:rPr>
          <w:rFonts w:hint="eastAsia" w:ascii="宋体" w:hAnsi="宋体" w:eastAsia="宋体" w:cs="宋体"/>
          <w:bCs/>
          <w:color w:val="000000"/>
          <w:sz w:val="24"/>
          <w:szCs w:val="20"/>
          <w:highlight w:val="none"/>
        </w:rPr>
      </w:pPr>
    </w:p>
    <w:p>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报价文件（封面）</w:t>
      </w:r>
    </w:p>
    <w:p>
      <w:pPr>
        <w:snapToGrid w:val="0"/>
        <w:spacing w:before="165" w:beforeLines="50" w:after="50" w:line="400" w:lineRule="exact"/>
        <w:rPr>
          <w:rFonts w:hint="eastAsia" w:ascii="宋体" w:hAnsi="宋体" w:eastAsia="宋体" w:cs="宋体"/>
          <w:bCs/>
          <w:color w:val="000000"/>
          <w:sz w:val="24"/>
          <w:szCs w:val="20"/>
          <w:highlight w:val="none"/>
        </w:rPr>
      </w:pPr>
    </w:p>
    <w:p>
      <w:pPr>
        <w:snapToGrid w:val="0"/>
        <w:spacing w:before="165" w:beforeLines="50" w:after="50" w:line="400" w:lineRule="exact"/>
        <w:rPr>
          <w:rFonts w:hint="eastAsia" w:ascii="宋体" w:hAnsi="宋体" w:eastAsia="宋体" w:cs="宋体"/>
          <w:bCs/>
          <w:color w:val="000000"/>
          <w:sz w:val="24"/>
          <w:szCs w:val="20"/>
          <w:highlight w:val="none"/>
        </w:rPr>
      </w:pPr>
    </w:p>
    <w:p>
      <w:pPr>
        <w:snapToGrid w:val="0"/>
        <w:spacing w:before="165" w:beforeLines="50" w:after="50" w:line="400" w:lineRule="exact"/>
        <w:rPr>
          <w:rFonts w:hint="eastAsia" w:ascii="宋体" w:hAnsi="宋体" w:eastAsia="宋体" w:cs="宋体"/>
          <w:bCs/>
          <w:color w:val="000000"/>
          <w:sz w:val="24"/>
          <w:szCs w:val="20"/>
          <w:highlight w:val="none"/>
        </w:rPr>
      </w:pPr>
    </w:p>
    <w:p>
      <w:pPr>
        <w:snapToGrid w:val="0"/>
        <w:spacing w:before="165" w:beforeLines="50" w:after="50" w:line="400" w:lineRule="exact"/>
        <w:rPr>
          <w:rFonts w:hint="eastAsia" w:ascii="宋体" w:hAnsi="宋体" w:eastAsia="宋体" w:cs="宋体"/>
          <w:bCs/>
          <w:color w:val="000000"/>
          <w:sz w:val="24"/>
          <w:szCs w:val="20"/>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w:t>
      </w: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pPr>
        <w:pStyle w:val="7"/>
        <w:snapToGrid w:val="0"/>
        <w:spacing w:before="50" w:after="50" w:line="400" w:lineRule="exact"/>
        <w:ind w:firstLine="960" w:firstLineChars="400"/>
        <w:rPr>
          <w:rFonts w:hint="eastAsia" w:ascii="宋体" w:hAnsi="宋体" w:eastAsia="宋体" w:cs="宋体"/>
          <w:bCs/>
          <w:color w:val="000000"/>
          <w:sz w:val="24"/>
          <w:szCs w:val="24"/>
          <w:highlight w:val="none"/>
        </w:rPr>
      </w:pPr>
    </w:p>
    <w:p>
      <w:pPr>
        <w:snapToGrid w:val="0"/>
        <w:spacing w:before="165" w:beforeLines="50" w:after="50"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widowControl/>
        <w:jc w:val="left"/>
        <w:rPr>
          <w:rFonts w:hint="eastAsia" w:ascii="宋体" w:hAnsi="宋体" w:eastAsia="宋体" w:cs="宋体"/>
          <w:color w:val="000000"/>
          <w:sz w:val="24"/>
          <w:highlight w:val="none"/>
        </w:rPr>
        <w:sectPr>
          <w:pgSz w:w="11906" w:h="16838"/>
          <w:pgMar w:top="1134" w:right="1134" w:bottom="1134" w:left="1134" w:header="720" w:footer="720" w:gutter="0"/>
          <w:cols w:space="720" w:num="1"/>
          <w:docGrid w:type="lines" w:linePitch="331" w:charSpace="0"/>
        </w:sectPr>
      </w:pPr>
    </w:p>
    <w:p>
      <w:pPr>
        <w:rPr>
          <w:rFonts w:hint="eastAsia" w:ascii="宋体" w:hAnsi="宋体" w:eastAsia="宋体" w:cs="宋体"/>
          <w:highlight w:val="none"/>
        </w:rPr>
      </w:pPr>
    </w:p>
    <w:p>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报价文件目录</w:t>
      </w:r>
    </w:p>
    <w:p>
      <w:pPr>
        <w:rPr>
          <w:rFonts w:hint="eastAsia" w:ascii="宋体" w:hAnsi="宋体" w:eastAsia="宋体" w:cs="宋体"/>
          <w:highlight w:val="none"/>
        </w:rPr>
      </w:pPr>
    </w:p>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一、投标函………………………………………………………（页码）</w:t>
      </w:r>
    </w:p>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二、开标一览表…………………………………………………（页码）</w:t>
      </w:r>
    </w:p>
    <w:p>
      <w:pPr>
        <w:spacing w:line="360" w:lineRule="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三</w:t>
      </w:r>
      <w:r>
        <w:rPr>
          <w:rFonts w:hint="eastAsia" w:ascii="宋体" w:hAnsi="宋体" w:eastAsia="宋体" w:cs="宋体"/>
          <w:kern w:val="0"/>
          <w:sz w:val="24"/>
          <w:highlight w:val="none"/>
        </w:rPr>
        <w:t>、已标价的工程量清单………………………………………（页码）</w:t>
      </w: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p>
    <w:p>
      <w:pPr>
        <w:pStyle w:val="11"/>
        <w:spacing w:line="50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一、投标函</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致：</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我方已仔细阅读了贵方组织的</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）的招标文件的全部内容，授权</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全权代表姓名</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职务、职称</w:t>
      </w:r>
      <w:r>
        <w:rPr>
          <w:rFonts w:hint="eastAsia" w:ascii="宋体" w:hAnsi="宋体" w:eastAsia="宋体" w:cs="宋体"/>
          <w:highlight w:val="none"/>
          <w:lang w:eastAsia="zh-CN"/>
        </w:rPr>
        <w:t>）</w:t>
      </w:r>
      <w:r>
        <w:rPr>
          <w:rFonts w:hint="eastAsia" w:ascii="宋体" w:hAnsi="宋体" w:eastAsia="宋体" w:cs="宋体"/>
          <w:highlight w:val="none"/>
        </w:rPr>
        <w:t xml:space="preserve">为全权代表，现正式递交下述文件参加贵方组织的本次政府采购活动： </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一、报价文件电子版一份（包含按投标人须知前附表要求提交的全部文件）；</w:t>
      </w:r>
    </w:p>
    <w:p>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二、资格文件电子版一份（包含按投标人须知前附表要求提交的全部文件）；</w:t>
      </w:r>
    </w:p>
    <w:p>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三、技术文件电子版一份（包含按投标人须知前附表要求提交的全部文件）；</w:t>
      </w:r>
    </w:p>
    <w:p>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四、商务文件电子版一份（包含按投标人须知前附表要求提交的全部文件）；</w:t>
      </w:r>
    </w:p>
    <w:p>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据此函，签字人兹宣布：</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1、我方愿意以（大写）人民币</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的投标总报价，</w:t>
      </w:r>
      <w:r>
        <w:rPr>
          <w:rFonts w:hint="eastAsia" w:hAnsi="宋体" w:cs="宋体"/>
          <w:highlight w:val="none"/>
          <w:lang w:val="en-US" w:eastAsia="zh-CN"/>
        </w:rPr>
        <w:t>工期</w:t>
      </w:r>
      <w:r>
        <w:rPr>
          <w:rFonts w:hint="eastAsia" w:ascii="宋体" w:hAnsi="宋体" w:eastAsia="宋体" w:cs="宋体"/>
          <w:highlight w:val="none"/>
        </w:rPr>
        <w:t>（无分标时填写）</w:t>
      </w:r>
      <w:r>
        <w:rPr>
          <w:rFonts w:hint="eastAsia" w:ascii="宋体" w:hAnsi="宋体" w:eastAsia="宋体" w:cs="宋体"/>
          <w:highlight w:val="none"/>
          <w:u w:val="single"/>
        </w:rPr>
        <w:t xml:space="preserve">              </w:t>
      </w:r>
      <w:r>
        <w:rPr>
          <w:rFonts w:hint="eastAsia" w:ascii="宋体" w:hAnsi="宋体" w:eastAsia="宋体" w:cs="宋体"/>
          <w:highlight w:val="none"/>
        </w:rPr>
        <w:t>，提供本项目招标文件第二章“服务需求”中的相应的采购内容。</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其中（有分标时填写）：</w:t>
      </w:r>
    </w:p>
    <w:p>
      <w:pPr>
        <w:pStyle w:val="11"/>
        <w:spacing w:line="360" w:lineRule="exact"/>
        <w:ind w:firstLine="420" w:firstLineChars="200"/>
        <w:rPr>
          <w:rFonts w:hint="eastAsia" w:ascii="宋体" w:hAnsi="宋体" w:eastAsia="宋体" w:cs="宋体"/>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highlight w:val="none"/>
          <w:lang w:val="en-US" w:eastAsia="zh-CN"/>
        </w:rPr>
        <w:t>工期</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w:t>
      </w:r>
    </w:p>
    <w:p>
      <w:pPr>
        <w:pStyle w:val="11"/>
        <w:spacing w:line="360" w:lineRule="exact"/>
        <w:ind w:firstLine="420" w:firstLineChars="200"/>
        <w:rPr>
          <w:rFonts w:hint="eastAsia" w:ascii="宋体" w:hAnsi="宋体" w:eastAsia="宋体" w:cs="宋体"/>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highlight w:val="none"/>
          <w:lang w:val="en-US" w:eastAsia="zh-CN"/>
        </w:rPr>
        <w:t>工期</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w:t>
      </w:r>
    </w:p>
    <w:p>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w:t>
      </w:r>
    </w:p>
    <w:p>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3、我方所递交的投标文件及有关资料都是内容完整、真实和准确的。</w:t>
      </w:r>
    </w:p>
    <w:p>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szCs w:val="21"/>
          <w:highlight w:val="none"/>
        </w:rPr>
        <w:t>如本项目采购内容涉及须符合国家强制规定的，我方承诺我方本次投标（包括资格条件和所投产品）均符合国家有关强制规定。</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6、我方已详细审核招标文件，我方知道必须放弃提出含糊不清或误解问题的权利。</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7、我方同意应贵方要求提供与本投标有关的任何数据或资料。若贵方需要，我方愿意提供我方作出的一切承诺的证明材料。</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8、我方完全理解贵方不一定接受投标报价最低的投标人为中标供应商的行为。</w:t>
      </w:r>
    </w:p>
    <w:p>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提供虚假材料谋取中标、成交的；</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采取不正当手段诋毁、排挤其他供应商的；</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与采购人、其他供应商或者采购代理机构恶意串通的；</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向采购人、采购代理机构行贿或者提供其他不正当利益的；</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在招标采购过程中与采购人进行协商谈判的；</w:t>
      </w:r>
    </w:p>
    <w:p>
      <w:pPr>
        <w:pStyle w:val="11"/>
        <w:numPr>
          <w:ilvl w:val="0"/>
          <w:numId w:val="7"/>
        </w:numPr>
        <w:spacing w:line="440" w:lineRule="exact"/>
        <w:rPr>
          <w:rFonts w:hint="eastAsia" w:ascii="宋体" w:hAnsi="宋体" w:eastAsia="宋体" w:cs="宋体"/>
          <w:highlight w:val="none"/>
        </w:rPr>
      </w:pPr>
      <w:r>
        <w:rPr>
          <w:rFonts w:hint="eastAsia" w:ascii="宋体" w:hAnsi="宋体" w:eastAsia="宋体" w:cs="宋体"/>
          <w:highlight w:val="none"/>
        </w:rPr>
        <w:t>拒绝有关部门监督检查或提供虚假情况的。</w:t>
      </w:r>
    </w:p>
    <w:p>
      <w:pPr>
        <w:pStyle w:val="11"/>
        <w:spacing w:line="440" w:lineRule="exact"/>
        <w:ind w:left="420"/>
        <w:rPr>
          <w:rFonts w:hint="eastAsia" w:ascii="宋体" w:hAnsi="宋体" w:eastAsia="宋体" w:cs="宋体"/>
          <w:color w:val="000000"/>
          <w:highlight w:val="none"/>
        </w:rPr>
      </w:pPr>
      <w:r>
        <w:rPr>
          <w:rFonts w:hint="eastAsia" w:ascii="宋体" w:hAnsi="宋体" w:eastAsia="宋体" w:cs="宋体"/>
          <w:color w:val="000000"/>
          <w:highlight w:val="none"/>
        </w:rPr>
        <w:t>10、我方及由本人担任法定代表人的其他机构最近三年内被处罚的违法行为有：</w:t>
      </w:r>
      <w:r>
        <w:rPr>
          <w:rFonts w:hint="eastAsia" w:ascii="宋体" w:hAnsi="宋体" w:eastAsia="宋体" w:cs="宋体"/>
          <w:color w:val="000000"/>
          <w:highlight w:val="none"/>
          <w:u w:val="single"/>
        </w:rPr>
        <w:t xml:space="preserve">                                        </w:t>
      </w:r>
    </w:p>
    <w:p>
      <w:pPr>
        <w:pStyle w:val="11"/>
        <w:spacing w:line="440" w:lineRule="exact"/>
        <w:ind w:left="42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p>
    <w:p>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11、以上事项如有虚假或隐瞒，我方愿意承担一切后果，并不再寻求任何旨在减轻或免除法律责任的辩解。</w:t>
      </w:r>
    </w:p>
    <w:p>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12、与本投标有关的一切正式往来信函请寄：</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传真：</w:t>
      </w:r>
      <w:r>
        <w:rPr>
          <w:rFonts w:hint="eastAsia" w:ascii="宋体" w:hAnsi="宋体" w:eastAsia="宋体" w:cs="宋体"/>
          <w:highlight w:val="none"/>
          <w:u w:val="single"/>
        </w:rPr>
        <w:t>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邮政编码：</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银行账号：</w:t>
      </w:r>
      <w:r>
        <w:rPr>
          <w:rFonts w:hint="eastAsia" w:ascii="宋体" w:hAnsi="宋体" w:eastAsia="宋体" w:cs="宋体"/>
          <w:highlight w:val="none"/>
          <w:u w:val="single"/>
        </w:rPr>
        <w:t xml:space="preserve">                                                    </w:t>
      </w: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spacing w:line="360" w:lineRule="auto"/>
        <w:jc w:val="left"/>
        <w:rPr>
          <w:rFonts w:hint="eastAsia" w:ascii="宋体" w:hAnsi="宋体" w:eastAsia="宋体" w:cs="宋体"/>
          <w:kern w:val="0"/>
          <w:sz w:val="24"/>
          <w:highlight w:val="none"/>
          <w:lang w:val="zh-CN"/>
        </w:rPr>
        <w:sectPr>
          <w:pgSz w:w="11906" w:h="16838"/>
          <w:pgMar w:top="1134" w:right="1134" w:bottom="1134" w:left="1134" w:header="720" w:footer="720" w:gutter="0"/>
          <w:cols w:space="720" w:num="1"/>
          <w:docGrid w:type="lines" w:linePitch="331" w:charSpace="0"/>
        </w:sectPr>
      </w:pPr>
    </w:p>
    <w:p>
      <w:pPr>
        <w:pStyle w:val="11"/>
        <w:spacing w:line="360" w:lineRule="auto"/>
        <w:jc w:val="center"/>
        <w:rPr>
          <w:rFonts w:hint="eastAsia" w:ascii="宋体" w:hAnsi="宋体" w:eastAsia="宋体" w:cs="宋体"/>
          <w:b/>
          <w:sz w:val="30"/>
          <w:szCs w:val="30"/>
          <w:highlight w:val="none"/>
        </w:rPr>
      </w:pPr>
      <w:r>
        <w:rPr>
          <w:rFonts w:hint="eastAsia" w:ascii="宋体" w:hAnsi="宋体" w:eastAsia="宋体" w:cs="宋体"/>
          <w:color w:val="000000"/>
          <w:sz w:val="30"/>
          <w:highlight w:val="none"/>
        </w:rPr>
        <w:t>二、</w:t>
      </w:r>
      <w:r>
        <w:rPr>
          <w:rFonts w:hint="eastAsia" w:ascii="宋体" w:hAnsi="宋体" w:eastAsia="宋体" w:cs="宋体"/>
          <w:b/>
          <w:sz w:val="30"/>
          <w:szCs w:val="30"/>
          <w:highlight w:val="none"/>
        </w:rPr>
        <w:t>开标一览表</w:t>
      </w:r>
      <w:r>
        <w:rPr>
          <w:rFonts w:hint="eastAsia" w:ascii="宋体" w:hAnsi="宋体" w:eastAsia="宋体" w:cs="宋体"/>
          <w:b/>
          <w:kern w:val="0"/>
          <w:sz w:val="24"/>
          <w:highlight w:val="none"/>
          <w:lang w:val="zh-CN"/>
        </w:rPr>
        <w:t>（单位均为人民币元）</w:t>
      </w:r>
    </w:p>
    <w:p>
      <w:pPr>
        <w:snapToGrid w:val="0"/>
        <w:spacing w:before="50" w:after="50" w:line="360" w:lineRule="auto"/>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sz w:val="24"/>
          <w:highlight w:val="none"/>
        </w:rPr>
        <w:t xml:space="preserve">  项目编号：</w:t>
      </w:r>
      <w:r>
        <w:rPr>
          <w:rFonts w:hint="eastAsia" w:ascii="宋体" w:hAnsi="宋体" w:eastAsia="宋体" w:cs="宋体"/>
          <w:sz w:val="24"/>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分标：</w:t>
      </w:r>
      <w:r>
        <w:rPr>
          <w:rFonts w:hint="eastAsia" w:ascii="宋体" w:hAnsi="宋体" w:eastAsia="宋体" w:cs="宋体"/>
          <w:sz w:val="24"/>
          <w:highlight w:val="none"/>
          <w:u w:val="single"/>
        </w:rPr>
        <w:t xml:space="preserve">           </w:t>
      </w:r>
    </w:p>
    <w:p>
      <w:pPr>
        <w:pStyle w:val="11"/>
        <w:spacing w:line="360" w:lineRule="auto"/>
        <w:rPr>
          <w:rFonts w:hint="eastAsia" w:ascii="宋体" w:hAnsi="宋体" w:eastAsia="宋体" w:cs="宋体"/>
          <w:b/>
          <w:sz w:val="32"/>
          <w:highlight w:val="non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18"/>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lang w:val="en-US" w:eastAsia="zh-CN"/>
              </w:rPr>
              <w:t>工程</w:t>
            </w:r>
            <w:r>
              <w:rPr>
                <w:rFonts w:hint="eastAsia" w:ascii="宋体" w:hAnsi="宋体" w:cs="宋体"/>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lang w:val="en-US" w:eastAsia="zh-CN"/>
              </w:rPr>
              <w:t>工程</w:t>
            </w:r>
            <w:r>
              <w:rPr>
                <w:rFonts w:hint="eastAsia" w:ascii="宋体" w:hAnsi="宋体" w:cs="宋体"/>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2"/>
                <w:highlight w:val="none"/>
                <w:lang w:val="en-US" w:eastAsia="zh-CN"/>
              </w:rPr>
            </w:pPr>
            <w:r>
              <w:rPr>
                <w:rFonts w:hint="eastAsia" w:ascii="宋体" w:hAnsi="宋体" w:cs="宋体"/>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highlight w:val="none"/>
              </w:rPr>
            </w:pPr>
            <w:r>
              <w:rPr>
                <w:rFonts w:hint="eastAsia" w:ascii="宋体" w:hAnsi="宋体" w:cs="宋体"/>
                <w:szCs w:val="22"/>
                <w:highlight w:val="none"/>
                <w:lang w:val="en-US" w:eastAsia="zh-CN"/>
              </w:rPr>
              <w:t>投标总</w:t>
            </w:r>
            <w:r>
              <w:rPr>
                <w:rFonts w:hint="eastAsia" w:ascii="宋体" w:hAnsi="宋体" w:cs="宋体"/>
                <w:szCs w:val="22"/>
                <w:highlight w:val="none"/>
              </w:rPr>
              <w:t>报价</w:t>
            </w:r>
            <w:r>
              <w:rPr>
                <w:rFonts w:hint="eastAsia" w:ascii="宋体" w:hAnsi="宋体" w:cs="宋体"/>
                <w:szCs w:val="22"/>
                <w:highlight w:val="none"/>
                <w:lang w:eastAsia="zh-CN"/>
              </w:rPr>
              <w:t>（</w:t>
            </w:r>
            <w:r>
              <w:rPr>
                <w:rFonts w:hint="eastAsia" w:ascii="宋体" w:hAnsi="宋体" w:cs="宋体"/>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2"/>
                <w:highlight w:val="none"/>
                <w:lang w:eastAsia="zh-CN"/>
              </w:rPr>
            </w:pPr>
            <w:r>
              <w:rPr>
                <w:rFonts w:hint="eastAsia" w:ascii="宋体" w:hAnsi="宋体" w:cs="宋体"/>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r>
              <w:rPr>
                <w:rFonts w:hint="eastAsia" w:ascii="宋体" w:hAnsi="宋体" w:cs="宋体"/>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lang w:val="en-US" w:eastAsia="zh-CN"/>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2"/>
                <w:highlight w:val="none"/>
              </w:rPr>
            </w:pPr>
            <w:r>
              <w:rPr>
                <w:rFonts w:hint="eastAsia" w:ascii="宋体" w:hAnsi="宋体" w:cs="宋体"/>
                <w:szCs w:val="22"/>
                <w:highlight w:val="none"/>
                <w:lang w:val="en-US" w:eastAsia="zh-CN"/>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pPr>
              <w:rPr>
                <w:rFonts w:ascii="宋体" w:hAnsi="宋体" w:cs="宋体"/>
                <w:szCs w:val="22"/>
                <w:highlight w:val="none"/>
              </w:rPr>
            </w:pPr>
            <w:r>
              <w:rPr>
                <w:rFonts w:hint="eastAsia" w:ascii="宋体" w:hAnsi="宋体" w:cs="宋体"/>
                <w:szCs w:val="22"/>
                <w:highlight w:val="none"/>
              </w:rPr>
              <w:t>报价合计（包含税费等所有费用）：</w:t>
            </w:r>
            <w:r>
              <w:rPr>
                <w:rFonts w:hint="eastAsia" w:ascii="宋体" w:hAnsi="宋体" w:cs="宋体"/>
                <w:szCs w:val="22"/>
                <w:highlight w:val="none"/>
                <w:lang w:val="en-US" w:eastAsia="zh-CN"/>
              </w:rPr>
              <w:t>（大写）人民币         （￥       ）</w:t>
            </w:r>
            <w:r>
              <w:rPr>
                <w:rFonts w:hint="eastAsia" w:ascii="宋体" w:hAnsi="宋体" w:cs="宋体"/>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pPr>
              <w:rPr>
                <w:rFonts w:ascii="宋体" w:hAnsi="宋体" w:cs="宋体"/>
                <w:szCs w:val="22"/>
                <w:highlight w:val="none"/>
              </w:rPr>
            </w:pPr>
            <w:r>
              <w:rPr>
                <w:rFonts w:hint="eastAsia" w:ascii="宋体" w:hAnsi="宋体" w:cs="宋体"/>
                <w:szCs w:val="21"/>
                <w:highlight w:val="none"/>
                <w:u w:val="single"/>
              </w:rPr>
              <w:t>　</w:t>
            </w:r>
            <w:r>
              <w:rPr>
                <w:rFonts w:hint="eastAsia" w:ascii="宋体" w:hAnsi="宋体" w:cs="宋体"/>
                <w:szCs w:val="21"/>
                <w:highlight w:val="none"/>
                <w:u w:val="single"/>
                <w:lang w:val="en-US" w:eastAsia="zh-CN"/>
              </w:rPr>
              <w:t>无</w:t>
            </w: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2"/>
                <w:highlight w:val="none"/>
                <w:lang w:val="en-US" w:eastAsia="zh-CN"/>
              </w:rPr>
            </w:pPr>
            <w:r>
              <w:rPr>
                <w:rFonts w:hint="eastAsia" w:ascii="宋体" w:hAnsi="宋体" w:cs="宋体"/>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pPr>
              <w:rPr>
                <w:rFonts w:ascii="宋体" w:hAnsi="宋体" w:cs="宋体"/>
                <w:szCs w:val="22"/>
                <w:highlight w:val="none"/>
              </w:rPr>
            </w:pPr>
            <w:r>
              <w:rPr>
                <w:rFonts w:hint="eastAsia" w:ascii="宋体" w:hAnsi="宋体" w:cs="宋体"/>
                <w:szCs w:val="22"/>
                <w:highlight w:val="none"/>
              </w:rPr>
              <w:t>优惠及其它</w:t>
            </w:r>
            <w:r>
              <w:rPr>
                <w:rFonts w:hint="eastAsia" w:ascii="宋体" w:hAnsi="宋体" w:cs="宋体"/>
                <w:szCs w:val="22"/>
                <w:highlight w:val="none"/>
                <w:lang w:eastAsia="zh-CN"/>
              </w:rPr>
              <w:t>（</w:t>
            </w:r>
            <w:r>
              <w:rPr>
                <w:rFonts w:hint="eastAsia" w:ascii="宋体" w:hAnsi="宋体" w:cs="宋体"/>
                <w:szCs w:val="22"/>
                <w:highlight w:val="none"/>
                <w:lang w:val="en-US" w:eastAsia="zh-CN"/>
              </w:rPr>
              <w:t>如有，没有写无）</w:t>
            </w:r>
            <w:r>
              <w:rPr>
                <w:rFonts w:hint="eastAsia" w:ascii="宋体" w:hAnsi="宋体" w:cs="宋体"/>
                <w:szCs w:val="22"/>
                <w:highlight w:val="none"/>
              </w:rPr>
              <w:t>：</w:t>
            </w:r>
          </w:p>
        </w:tc>
      </w:tr>
    </w:tbl>
    <w:p>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注： </w:t>
      </w:r>
    </w:p>
    <w:p>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宋体"/>
          <w:b/>
          <w:kern w:val="0"/>
          <w:sz w:val="21"/>
          <w:szCs w:val="21"/>
          <w:highlight w:val="none"/>
          <w:lang w:val="zh-CN"/>
        </w:rPr>
        <w:t>。</w:t>
      </w:r>
    </w:p>
    <w:p>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2、本表内容均不能涂改</w:t>
      </w:r>
      <w:r>
        <w:rPr>
          <w:rFonts w:hint="eastAsia" w:ascii="宋体" w:hAnsi="宋体" w:eastAsia="宋体" w:cs="宋体"/>
          <w:b/>
          <w:kern w:val="0"/>
          <w:sz w:val="21"/>
          <w:szCs w:val="21"/>
          <w:highlight w:val="none"/>
          <w:lang w:val="zh-CN"/>
        </w:rPr>
        <w:t>。</w:t>
      </w:r>
    </w:p>
    <w:p>
      <w:pPr>
        <w:snapToGrid w:val="0"/>
        <w:spacing w:before="50" w:after="50" w:line="360" w:lineRule="auto"/>
        <w:ind w:firstLine="420" w:firstLineChars="200"/>
        <w:jc w:val="left"/>
        <w:rPr>
          <w:rFonts w:hint="eastAsia" w:ascii="宋体" w:hAnsi="宋体" w:eastAsia="宋体" w:cs="宋体"/>
          <w:b/>
          <w:kern w:val="0"/>
          <w:sz w:val="21"/>
          <w:szCs w:val="21"/>
          <w:highlight w:val="none"/>
          <w:lang w:val="zh-CN"/>
        </w:rPr>
      </w:pPr>
      <w:r>
        <w:rPr>
          <w:rFonts w:hint="eastAsia" w:ascii="宋体" w:hAnsi="宋体" w:eastAsia="宋体" w:cs="宋体"/>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kern w:val="0"/>
          <w:sz w:val="21"/>
          <w:szCs w:val="21"/>
          <w:highlight w:val="none"/>
          <w:lang w:val="zh-CN"/>
        </w:rPr>
        <w:t>否则其投标作无效标处理。</w:t>
      </w:r>
    </w:p>
    <w:p>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4、在“工程内容”一栏中，填写具体建设规模</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建设内容。</w:t>
      </w:r>
    </w:p>
    <w:p>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5、特别提示：采购机构将对项目名称和项目编号，中标供应商名称、地址和中标金额，主要中标标的的名称、</w:t>
      </w:r>
      <w:r>
        <w:rPr>
          <w:rFonts w:hint="eastAsia" w:ascii="宋体" w:hAnsi="宋体" w:cs="宋体"/>
          <w:kern w:val="0"/>
          <w:sz w:val="21"/>
          <w:szCs w:val="21"/>
          <w:highlight w:val="none"/>
          <w:lang w:val="en-US" w:eastAsia="zh-CN"/>
        </w:rPr>
        <w:t>工程</w:t>
      </w:r>
      <w:r>
        <w:rPr>
          <w:rFonts w:hint="eastAsia" w:ascii="宋体" w:hAnsi="宋体" w:eastAsia="宋体" w:cs="宋体"/>
          <w:kern w:val="0"/>
          <w:sz w:val="21"/>
          <w:szCs w:val="21"/>
          <w:highlight w:val="none"/>
          <w:lang w:val="zh-CN"/>
        </w:rPr>
        <w:t>范围、</w:t>
      </w:r>
      <w:r>
        <w:rPr>
          <w:rFonts w:hint="eastAsia" w:ascii="宋体" w:hAnsi="宋体" w:cs="宋体"/>
          <w:kern w:val="0"/>
          <w:sz w:val="21"/>
          <w:szCs w:val="21"/>
          <w:highlight w:val="none"/>
          <w:lang w:val="en-US" w:eastAsia="zh-CN"/>
        </w:rPr>
        <w:t>质量</w:t>
      </w:r>
      <w:r>
        <w:rPr>
          <w:rFonts w:hint="eastAsia" w:ascii="宋体" w:hAnsi="宋体" w:eastAsia="宋体" w:cs="宋体"/>
          <w:kern w:val="0"/>
          <w:sz w:val="21"/>
          <w:szCs w:val="21"/>
          <w:highlight w:val="none"/>
          <w:lang w:val="zh-CN"/>
        </w:rPr>
        <w:t>要求、</w:t>
      </w:r>
      <w:r>
        <w:rPr>
          <w:rFonts w:hint="eastAsia" w:ascii="宋体" w:hAnsi="宋体" w:cs="宋体"/>
          <w:kern w:val="0"/>
          <w:sz w:val="21"/>
          <w:szCs w:val="21"/>
          <w:highlight w:val="none"/>
          <w:lang w:val="en-US" w:eastAsia="zh-CN"/>
        </w:rPr>
        <w:t>工期</w:t>
      </w:r>
      <w:r>
        <w:rPr>
          <w:rFonts w:hint="eastAsia" w:ascii="宋体" w:hAnsi="宋体" w:eastAsia="宋体" w:cs="宋体"/>
          <w:kern w:val="0"/>
          <w:sz w:val="21"/>
          <w:szCs w:val="21"/>
          <w:highlight w:val="none"/>
          <w:lang w:val="zh-CN"/>
        </w:rPr>
        <w:t>等予以公示。</w:t>
      </w:r>
    </w:p>
    <w:p>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widowControl/>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pPr>
        <w:pStyle w:val="11"/>
        <w:spacing w:line="500" w:lineRule="exact"/>
        <w:jc w:val="center"/>
        <w:rPr>
          <w:rFonts w:hint="eastAsia" w:ascii="宋体" w:hAnsi="宋体" w:eastAsia="宋体" w:cs="宋体"/>
          <w:b/>
          <w:bCs/>
          <w:sz w:val="30"/>
          <w:szCs w:val="30"/>
          <w:highlight w:val="none"/>
        </w:rPr>
      </w:pPr>
      <w:bookmarkStart w:id="1561" w:name="_Toc16384"/>
      <w:bookmarkStart w:id="1562" w:name="_Toc28077"/>
      <w:bookmarkStart w:id="1563" w:name="_Toc19686840"/>
      <w:r>
        <w:rPr>
          <w:rFonts w:hint="eastAsia" w:hAnsi="宋体" w:cs="宋体"/>
          <w:b/>
          <w:bCs/>
          <w:sz w:val="30"/>
          <w:szCs w:val="30"/>
          <w:highlight w:val="none"/>
          <w:lang w:val="en-US" w:eastAsia="zh-CN"/>
        </w:rPr>
        <w:t>三</w:t>
      </w:r>
      <w:r>
        <w:rPr>
          <w:rFonts w:hint="eastAsia" w:ascii="宋体" w:hAnsi="宋体" w:eastAsia="宋体" w:cs="宋体"/>
          <w:b/>
          <w:bCs/>
          <w:sz w:val="30"/>
          <w:szCs w:val="30"/>
          <w:highlight w:val="none"/>
        </w:rPr>
        <w:t>、已标价的工程量清单</w:t>
      </w:r>
    </w:p>
    <w:p>
      <w:pPr>
        <w:snapToGrid w:val="0"/>
        <w:spacing w:before="165" w:beforeLines="50" w:after="50"/>
        <w:ind w:firstLine="420" w:firstLineChars="200"/>
        <w:jc w:val="left"/>
        <w:outlineLvl w:val="1"/>
        <w:rPr>
          <w:rFonts w:hint="eastAsia" w:ascii="宋体" w:hAnsi="宋体" w:eastAsia="宋体" w:cs="宋体"/>
          <w:kern w:val="2"/>
          <w:sz w:val="21"/>
          <w:szCs w:val="20"/>
          <w:highlight w:val="none"/>
          <w:lang w:val="en-US" w:eastAsia="zh-CN" w:bidi="ar-SA"/>
        </w:rPr>
      </w:pPr>
      <w:r>
        <w:rPr>
          <w:rFonts w:hint="eastAsia" w:ascii="宋体" w:hAnsi="宋体" w:eastAsia="宋体" w:cs="宋体"/>
          <w:kern w:val="2"/>
          <w:sz w:val="21"/>
          <w:szCs w:val="20"/>
          <w:highlight w:val="none"/>
          <w:lang w:val="en-US" w:eastAsia="zh-CN" w:bidi="ar-SA"/>
        </w:rPr>
        <w:t>供应商应按照第七章“工程量清单、图纸”的要求逐项填报工程量清单，包括工程量清单说明、投标报价说明、计日工说明、其他说明及工程量清单各项表格。</w:t>
      </w: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p>
    <w:p>
      <w:pPr>
        <w:snapToGrid w:val="0"/>
        <w:spacing w:before="165" w:beforeLines="50" w:after="50"/>
        <w:jc w:val="center"/>
        <w:outlineLvl w:val="1"/>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第六节 其他文书、文件格式</w:t>
      </w:r>
      <w:bookmarkEnd w:id="1561"/>
      <w:bookmarkEnd w:id="1562"/>
      <w:bookmarkEnd w:id="1563"/>
    </w:p>
    <w:p>
      <w:pPr>
        <w:jc w:val="center"/>
        <w:rPr>
          <w:rFonts w:hint="eastAsia" w:ascii="宋体" w:hAnsi="宋体" w:eastAsia="宋体" w:cs="宋体"/>
          <w:b/>
          <w:bCs/>
          <w:sz w:val="32"/>
          <w:szCs w:val="32"/>
          <w:highlight w:val="none"/>
          <w:lang w:val="en"/>
        </w:rPr>
      </w:pPr>
    </w:p>
    <w:p>
      <w:pPr>
        <w:jc w:val="center"/>
        <w:rPr>
          <w:rFonts w:hint="eastAsia" w:ascii="宋体" w:hAnsi="宋体" w:eastAsia="宋体" w:cs="宋体"/>
          <w:b/>
          <w:bCs/>
          <w:sz w:val="32"/>
          <w:szCs w:val="32"/>
          <w:highlight w:val="none"/>
          <w:lang w:val="en"/>
        </w:rPr>
      </w:pPr>
      <w:r>
        <w:rPr>
          <w:rFonts w:hint="eastAsia" w:ascii="宋体" w:hAnsi="宋体" w:eastAsia="宋体" w:cs="宋体"/>
          <w:b/>
          <w:bCs/>
          <w:sz w:val="32"/>
          <w:szCs w:val="32"/>
          <w:highlight w:val="none"/>
          <w:lang w:val="en"/>
        </w:rPr>
        <w:t>知识产权合规性声明</w:t>
      </w:r>
    </w:p>
    <w:p>
      <w:pPr>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lang w:val="en"/>
        </w:rPr>
        <w:t>企业自愿参与政府投资政府采购的</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lang w:val="en"/>
        </w:rPr>
        <w:t>项目，</w:t>
      </w:r>
      <w:r>
        <w:rPr>
          <w:rFonts w:hint="eastAsia" w:ascii="宋体" w:hAnsi="宋体" w:eastAsia="宋体" w:cs="宋体"/>
          <w:b/>
          <w:bCs/>
          <w:sz w:val="21"/>
          <w:szCs w:val="21"/>
          <w:highlight w:val="none"/>
          <w:lang w:val="en"/>
        </w:rPr>
        <w:t>在此郑重承诺：</w:t>
      </w:r>
      <w:r>
        <w:rPr>
          <w:rFonts w:hint="eastAsia" w:ascii="宋体" w:hAnsi="宋体" w:eastAsia="宋体" w:cs="宋体"/>
          <w:sz w:val="21"/>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7" w:leftChars="1736" w:hanging="1491" w:hangingChars="825"/>
        <w:rPr>
          <w:rFonts w:hint="eastAsia" w:ascii="宋体" w:hAnsi="宋体" w:eastAsia="宋体" w:cs="宋体"/>
          <w:b/>
          <w:sz w:val="18"/>
          <w:szCs w:val="18"/>
          <w:highlight w:val="none"/>
        </w:rPr>
      </w:pPr>
    </w:p>
    <w:p>
      <w:pPr>
        <w:snapToGrid w:val="0"/>
        <w:spacing w:line="360" w:lineRule="auto"/>
        <w:ind w:left="5137" w:leftChars="1736" w:hanging="1491" w:hangingChars="825"/>
        <w:rPr>
          <w:rFonts w:hint="eastAsia" w:ascii="宋体" w:hAnsi="宋体" w:eastAsia="宋体" w:cs="宋体"/>
          <w:b/>
          <w:sz w:val="18"/>
          <w:szCs w:val="18"/>
          <w:highlight w:val="none"/>
        </w:rPr>
      </w:pPr>
    </w:p>
    <w:p>
      <w:pPr>
        <w:snapToGrid w:val="0"/>
        <w:spacing w:line="360" w:lineRule="auto"/>
        <w:ind w:left="5137" w:leftChars="1736" w:hanging="1491" w:hangingChars="825"/>
        <w:rPr>
          <w:rFonts w:hint="eastAsia" w:ascii="宋体" w:hAnsi="宋体" w:eastAsia="宋体" w:cs="宋体"/>
          <w:kern w:val="0"/>
          <w:sz w:val="24"/>
          <w:highlight w:val="none"/>
        </w:rPr>
      </w:pPr>
      <w:r>
        <w:rPr>
          <w:rFonts w:hint="eastAsia" w:ascii="宋体" w:hAnsi="宋体" w:eastAsia="宋体" w:cs="宋体"/>
          <w:b/>
          <w:sz w:val="18"/>
          <w:szCs w:val="18"/>
          <w:highlight w:val="none"/>
        </w:rPr>
        <w:t xml:space="preserve">      </w:t>
      </w:r>
      <w:r>
        <w:rPr>
          <w:rFonts w:hint="eastAsia" w:ascii="宋体" w:hAnsi="宋体" w:eastAsia="宋体" w:cs="宋体"/>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pPr>
        <w:snapToGrid w:val="0"/>
        <w:spacing w:before="50" w:after="165" w:afterLines="50" w:line="360" w:lineRule="auto"/>
        <w:jc w:val="left"/>
        <w:rPr>
          <w:rFonts w:hint="eastAsia" w:ascii="宋体" w:hAnsi="宋体" w:eastAsia="宋体" w:cs="宋体"/>
          <w:sz w:val="20"/>
          <w:highlight w:val="none"/>
        </w:rPr>
      </w:pPr>
      <w:r>
        <w:rPr>
          <w:rFonts w:hint="eastAsia" w:ascii="宋体" w:hAnsi="宋体" w:eastAsia="宋体" w:cs="宋体"/>
          <w:b/>
          <w:sz w:val="30"/>
          <w:szCs w:val="30"/>
          <w:highlight w:val="none"/>
        </w:rPr>
        <w:br w:type="page"/>
      </w:r>
    </w:p>
    <w:p>
      <w:pPr>
        <w:pStyle w:val="11"/>
        <w:tabs>
          <w:tab w:val="left" w:pos="2472"/>
        </w:tabs>
        <w:spacing w:line="460" w:lineRule="exact"/>
        <w:jc w:val="center"/>
        <w:outlineLvl w:val="0"/>
        <w:rPr>
          <w:rFonts w:hint="eastAsia" w:ascii="宋体" w:hAnsi="宋体" w:eastAsia="宋体" w:cs="宋体"/>
          <w:b/>
          <w:sz w:val="36"/>
          <w:highlight w:val="none"/>
        </w:rPr>
      </w:pPr>
      <w:bookmarkStart w:id="1564" w:name="_Toc31271"/>
      <w:bookmarkStart w:id="1565" w:name="_Toc17557"/>
      <w:r>
        <w:rPr>
          <w:rFonts w:hint="eastAsia" w:ascii="宋体" w:hAnsi="宋体" w:eastAsia="宋体" w:cs="宋体"/>
          <w:b/>
          <w:sz w:val="36"/>
          <w:highlight w:val="none"/>
        </w:rPr>
        <w:t>第七章 工程量清单、图纸</w:t>
      </w:r>
      <w:bookmarkEnd w:id="1564"/>
      <w:bookmarkEnd w:id="1565"/>
    </w:p>
    <w:p>
      <w:pPr>
        <w:pStyle w:val="3"/>
        <w:rPr>
          <w:color w:val="auto"/>
          <w:kern w:val="44"/>
          <w:highlight w:val="none"/>
        </w:rPr>
      </w:pPr>
      <w:bookmarkStart w:id="1566" w:name="_Toc15525"/>
      <w:bookmarkStart w:id="1567" w:name="_Toc78449869"/>
      <w:bookmarkStart w:id="1568" w:name="_Toc407135284"/>
      <w:bookmarkStart w:id="1569" w:name="_Toc1392571603"/>
      <w:bookmarkStart w:id="1570" w:name="_Toc1386396751"/>
      <w:r>
        <w:rPr>
          <w:color w:val="auto"/>
          <w:highlight w:val="none"/>
        </w:rPr>
        <w:t xml:space="preserve">1 </w:t>
      </w:r>
      <w:r>
        <w:rPr>
          <w:rFonts w:hint="eastAsia" w:cs="黑体"/>
          <w:color w:val="auto"/>
          <w:highlight w:val="none"/>
        </w:rPr>
        <w:t>工程量清单编制说明</w:t>
      </w:r>
      <w:bookmarkEnd w:id="1566"/>
      <w:bookmarkEnd w:id="1567"/>
      <w:bookmarkEnd w:id="1568"/>
      <w:bookmarkEnd w:id="1569"/>
      <w:bookmarkEnd w:id="1570"/>
    </w:p>
    <w:p>
      <w:pPr>
        <w:spacing w:line="360" w:lineRule="auto"/>
        <w:ind w:firstLine="420" w:firstLineChars="200"/>
        <w:rPr>
          <w:color w:val="auto"/>
          <w:highlight w:val="none"/>
        </w:rPr>
      </w:pPr>
      <w:bookmarkStart w:id="1571" w:name="_Toc8119"/>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号）、招</w:t>
      </w:r>
      <w:r>
        <w:rPr>
          <w:rFonts w:hint="eastAsia" w:hAnsi="宋体" w:cs="宋体"/>
          <w:color w:val="auto"/>
          <w:highlight w:val="none"/>
        </w:rPr>
        <w:t>标文件、施工图等编制。计算规范中没有的清单项目，应在本章第</w:t>
      </w:r>
      <w:r>
        <w:rPr>
          <w:color w:val="auto"/>
          <w:highlight w:val="none"/>
        </w:rPr>
        <w:t>1.4</w:t>
      </w:r>
      <w:r>
        <w:rPr>
          <w:rFonts w:hint="eastAsia" w:hAnsi="宋体" w:cs="宋体"/>
          <w:color w:val="auto"/>
          <w:highlight w:val="none"/>
        </w:rPr>
        <w:t>款约定。</w:t>
      </w:r>
    </w:p>
    <w:p>
      <w:pPr>
        <w:spacing w:line="360" w:lineRule="auto"/>
        <w:ind w:firstLine="420" w:firstLineChars="200"/>
        <w:outlineLvl w:val="9"/>
        <w:rPr>
          <w:color w:val="auto"/>
          <w:highlight w:val="none"/>
        </w:rPr>
      </w:pPr>
      <w:r>
        <w:rPr>
          <w:color w:val="auto"/>
          <w:highlight w:val="none"/>
        </w:rPr>
        <w:t xml:space="preserve">1.2 </w:t>
      </w:r>
      <w:r>
        <w:rPr>
          <w:rFonts w:hint="eastAsia"/>
          <w:color w:val="auto"/>
          <w:highlight w:val="none"/>
        </w:rPr>
        <w:t>工程量清单应与投标须知、合同协议条款、合同的通用条款、合同专用条款、技术规范及图纸等文件一起结合使用。</w:t>
      </w:r>
    </w:p>
    <w:p>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工程量清单是招标文件的组成部分，是工程量清单计价的基础，作为编制招标控制价、投标报价、计算或调整工程量、索赔等的依据之一。</w:t>
      </w:r>
    </w:p>
    <w:p>
      <w:pPr>
        <w:spacing w:line="360" w:lineRule="auto"/>
        <w:ind w:left="2"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cs="宋体"/>
          <w:color w:val="auto"/>
          <w:highlight w:val="none"/>
          <w:u w:val="single"/>
          <w:lang w:val="en-US" w:eastAsia="zh-CN"/>
        </w:rPr>
        <w:t xml:space="preserve"> </w:t>
      </w:r>
      <w:r>
        <w:rPr>
          <w:rFonts w:hint="eastAsia"/>
          <w:color w:val="auto"/>
          <w:highlight w:val="none"/>
          <w:u w:val="single"/>
        </w:rPr>
        <w:t>详见</w:t>
      </w:r>
      <w:r>
        <w:rPr>
          <w:rFonts w:hint="eastAsia"/>
          <w:color w:val="auto"/>
          <w:highlight w:val="none"/>
          <w:u w:val="single"/>
          <w:lang w:val="en-US" w:eastAsia="zh-CN"/>
        </w:rPr>
        <w:t>工程量清单或招标控制价</w:t>
      </w:r>
      <w:r>
        <w:rPr>
          <w:color w:val="auto"/>
          <w:highlight w:val="none"/>
          <w:u w:val="single"/>
        </w:rPr>
        <w:t xml:space="preserve"> </w:t>
      </w:r>
      <w:r>
        <w:rPr>
          <w:rFonts w:hint="eastAsia" w:hAnsi="宋体" w:cs="宋体"/>
          <w:color w:val="auto"/>
          <w:highlight w:val="none"/>
        </w:rPr>
        <w:t>。</w:t>
      </w:r>
    </w:p>
    <w:p>
      <w:pPr>
        <w:pStyle w:val="11"/>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1.5 </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允许调整</w:t>
      </w:r>
      <w:r>
        <w:rPr>
          <w:rFonts w:hint="eastAsia" w:ascii="Times New Roman" w:hAnsi="Times New Roman"/>
          <w:color w:val="auto"/>
          <w:sz w:val="21"/>
          <w:szCs w:val="21"/>
          <w:highlight w:val="none"/>
        </w:rPr>
        <w:t>主要材料和</w:t>
      </w:r>
      <w:r>
        <w:rPr>
          <w:rFonts w:hint="eastAsia" w:ascii="Times New Roman" w:hAnsi="Times New Roman"/>
          <w:color w:val="auto"/>
          <w:sz w:val="21"/>
          <w:szCs w:val="21"/>
          <w:highlight w:val="none"/>
          <w:lang w:eastAsia="zh-CN"/>
        </w:rPr>
        <w:t>工程</w:t>
      </w:r>
      <w:r>
        <w:rPr>
          <w:rFonts w:hint="eastAsia" w:ascii="Times New Roman" w:hAnsi="Times New Roman"/>
          <w:color w:val="auto"/>
          <w:sz w:val="21"/>
          <w:szCs w:val="21"/>
          <w:highlight w:val="none"/>
        </w:rPr>
        <w:t>设备一览表》（表</w:t>
      </w:r>
      <w:r>
        <w:rPr>
          <w:rFonts w:ascii="Times New Roman" w:hAnsi="Times New Roman"/>
          <w:color w:val="auto"/>
          <w:sz w:val="21"/>
          <w:szCs w:val="21"/>
          <w:highlight w:val="none"/>
        </w:rPr>
        <w:t>-22</w:t>
      </w:r>
      <w:r>
        <w:rPr>
          <w:rFonts w:hint="eastAsia" w:ascii="Times New Roman" w:hAnsi="Times New Roman"/>
          <w:color w:val="auto"/>
          <w:sz w:val="21"/>
          <w:szCs w:val="21"/>
          <w:highlight w:val="none"/>
        </w:rPr>
        <w:t>，表格编号为计价规范相应表格编号，下同）作为项目实施过程中材料和设备价格风险调整依据。</w:t>
      </w:r>
    </w:p>
    <w:p>
      <w:pPr>
        <w:pStyle w:val="11"/>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1.6 </w:t>
      </w:r>
      <w:r>
        <w:rPr>
          <w:rFonts w:hint="eastAsia" w:ascii="Times New Roman" w:hAnsi="Times New Roman"/>
          <w:color w:val="auto"/>
          <w:sz w:val="21"/>
          <w:szCs w:val="21"/>
          <w:highlight w:val="none"/>
        </w:rPr>
        <w:t>本工程暂列金额（约按合同造价</w:t>
      </w:r>
      <w:r>
        <w:rPr>
          <w:rFonts w:ascii="Times New Roman" w:hAnsi="Times New Roman"/>
          <w:color w:val="auto"/>
          <w:sz w:val="21"/>
          <w:szCs w:val="21"/>
          <w:highlight w:val="none"/>
          <w:u w:val="single"/>
        </w:rPr>
        <w:t xml:space="preserve"> </w:t>
      </w:r>
      <w:r>
        <w:rPr>
          <w:rFonts w:hint="eastAsia"/>
          <w:color w:val="auto"/>
          <w:highlight w:val="none"/>
          <w:u w:val="single"/>
        </w:rPr>
        <w:t>详见</w:t>
      </w:r>
      <w:r>
        <w:rPr>
          <w:rFonts w:hint="eastAsia"/>
          <w:color w:val="auto"/>
          <w:highlight w:val="none"/>
          <w:u w:val="single"/>
          <w:lang w:val="en-US" w:eastAsia="zh-CN"/>
        </w:rPr>
        <w:t>招标控制价</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计算），共</w:t>
      </w:r>
      <w:r>
        <w:rPr>
          <w:rFonts w:ascii="Times New Roman" w:hAnsi="Times New Roman"/>
          <w:color w:val="auto"/>
          <w:sz w:val="21"/>
          <w:szCs w:val="21"/>
          <w:highlight w:val="none"/>
          <w:u w:val="single"/>
        </w:rPr>
        <w:t xml:space="preserve"> </w:t>
      </w:r>
      <w:r>
        <w:rPr>
          <w:rFonts w:hint="eastAsia"/>
          <w:color w:val="auto"/>
          <w:highlight w:val="none"/>
          <w:u w:val="single"/>
        </w:rPr>
        <w:t>详见</w:t>
      </w:r>
      <w:r>
        <w:rPr>
          <w:rFonts w:hint="eastAsia"/>
          <w:color w:val="auto"/>
          <w:highlight w:val="none"/>
          <w:u w:val="single"/>
          <w:lang w:val="en-US" w:eastAsia="zh-CN"/>
        </w:rPr>
        <w:t>招标控制价</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rPr>
        <w:t>元，作为合同签订时尚未确定或者不可预见但施工中可能发生的费用。</w:t>
      </w:r>
    </w:p>
    <w:p>
      <w:pPr>
        <w:pStyle w:val="11"/>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1.7 </w:t>
      </w:r>
      <w:r>
        <w:rPr>
          <w:rFonts w:hint="eastAsia" w:ascii="Times New Roman" w:hAnsi="Times New Roman"/>
          <w:color w:val="auto"/>
          <w:sz w:val="21"/>
          <w:szCs w:val="21"/>
          <w:highlight w:val="none"/>
        </w:rPr>
        <w:t>本工程发包人提供的材料和设备详见《发包人提供的主要材料和工程设备一览表》（表</w:t>
      </w:r>
      <w:r>
        <w:rPr>
          <w:rFonts w:ascii="Times New Roman" w:hAnsi="Times New Roman"/>
          <w:color w:val="auto"/>
          <w:sz w:val="21"/>
          <w:szCs w:val="21"/>
          <w:highlight w:val="none"/>
        </w:rPr>
        <w:t>-21</w:t>
      </w:r>
      <w:r>
        <w:rPr>
          <w:rFonts w:hint="eastAsia" w:ascii="Times New Roman" w:hAnsi="Times New Roman"/>
          <w:color w:val="auto"/>
          <w:sz w:val="21"/>
          <w:szCs w:val="21"/>
          <w:highlight w:val="none"/>
        </w:rPr>
        <w:t>）。</w:t>
      </w:r>
    </w:p>
    <w:p>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号的清单项目作为主要清单项目，需要投标人提供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pPr>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其它需要说明的问题：</w:t>
      </w:r>
      <w:r>
        <w:rPr>
          <w:rFonts w:hint="eastAsia" w:cs="宋体"/>
          <w:color w:val="auto"/>
          <w:highlight w:val="none"/>
          <w:u w:val="single"/>
          <w:lang w:val="en-US" w:eastAsia="zh-CN"/>
        </w:rPr>
        <w:t xml:space="preserve"> </w:t>
      </w:r>
      <w:r>
        <w:rPr>
          <w:rFonts w:hint="eastAsia"/>
          <w:color w:val="auto"/>
          <w:highlight w:val="none"/>
          <w:u w:val="single"/>
        </w:rPr>
        <w:t>详见</w:t>
      </w:r>
      <w:r>
        <w:rPr>
          <w:rFonts w:hint="eastAsia"/>
          <w:color w:val="auto"/>
          <w:highlight w:val="none"/>
          <w:u w:val="single"/>
          <w:lang w:val="en-US" w:eastAsia="zh-CN"/>
        </w:rPr>
        <w:t>工程量清单或招标控制价</w:t>
      </w:r>
      <w:r>
        <w:rPr>
          <w:color w:val="auto"/>
          <w:highlight w:val="none"/>
          <w:u w:val="single"/>
        </w:rPr>
        <w:t xml:space="preserve"> </w:t>
      </w:r>
      <w:r>
        <w:rPr>
          <w:rFonts w:hint="eastAsia" w:cs="宋体"/>
          <w:color w:val="auto"/>
          <w:highlight w:val="none"/>
        </w:rPr>
        <w:t>。</w:t>
      </w:r>
    </w:p>
    <w:p>
      <w:pPr>
        <w:spacing w:line="360" w:lineRule="auto"/>
        <w:ind w:firstLine="420" w:firstLineChars="200"/>
        <w:jc w:val="left"/>
        <w:rPr>
          <w:color w:val="auto"/>
          <w:highlight w:val="none"/>
        </w:rPr>
      </w:pPr>
      <w:r>
        <w:rPr>
          <w:color w:val="auto"/>
          <w:highlight w:val="none"/>
        </w:rPr>
        <w:t xml:space="preserve">1.12 </w:t>
      </w:r>
      <w:r>
        <w:rPr>
          <w:rFonts w:hint="eastAsia" w:cs="宋体"/>
          <w:color w:val="auto"/>
          <w:highlight w:val="none"/>
        </w:rPr>
        <w:t>工程量清单在</w:t>
      </w:r>
      <w:r>
        <w:rPr>
          <w:rFonts w:hint="eastAsia" w:ascii="宋体" w:hAnsi="宋体" w:eastAsia="宋体" w:cs="宋体"/>
          <w:color w:val="auto"/>
          <w:szCs w:val="21"/>
          <w:highlight w:val="none"/>
        </w:rPr>
        <w:t>广西政府采购云平台</w:t>
      </w:r>
      <w:r>
        <w:rPr>
          <w:rFonts w:hint="eastAsia" w:cs="宋体"/>
          <w:color w:val="auto"/>
          <w:highlight w:val="none"/>
        </w:rPr>
        <w:t>发布，潜在投标人可登陆系统自行下载。</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1.8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1.9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1.10 </w:t>
      </w:r>
      <w:r>
        <w:rPr>
          <w:rFonts w:hint="eastAsia" w:cs="宋体"/>
          <w:color w:val="auto"/>
          <w:highlight w:val="none"/>
        </w:rPr>
        <w:t>暂列金额明细表（表</w:t>
      </w:r>
      <w:r>
        <w:rPr>
          <w:color w:val="auto"/>
          <w:highlight w:val="none"/>
        </w:rPr>
        <w:t>12-1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1.11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1.12 </w:t>
      </w:r>
      <w:r>
        <w:rPr>
          <w:rFonts w:hint="eastAsia" w:cs="宋体"/>
          <w:color w:val="auto"/>
          <w:highlight w:val="none"/>
        </w:rPr>
        <w:t>专业工程暂估价</w:t>
      </w:r>
      <w:r>
        <w:rPr>
          <w:rFonts w:hint="eastAsia"/>
          <w:color w:val="auto"/>
          <w:highlight w:val="none"/>
        </w:rPr>
        <w:t>及结算价</w:t>
      </w:r>
      <w:r>
        <w:rPr>
          <w:rFonts w:hint="eastAsia" w:cs="宋体"/>
          <w:color w:val="auto"/>
          <w:highlight w:val="none"/>
        </w:rPr>
        <w:t>表（表</w:t>
      </w:r>
      <w:r>
        <w:rPr>
          <w:color w:val="auto"/>
          <w:highlight w:val="none"/>
        </w:rPr>
        <w:t>12-3</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1.13 </w:t>
      </w:r>
      <w:r>
        <w:rPr>
          <w:rFonts w:hint="eastAsia" w:cs="宋体"/>
          <w:color w:val="auto"/>
          <w:highlight w:val="none"/>
        </w:rPr>
        <w:t>计日工表（表</w:t>
      </w:r>
      <w:r>
        <w:rPr>
          <w:color w:val="auto"/>
          <w:highlight w:val="none"/>
        </w:rPr>
        <w:t>12-4</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1.14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1.15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1.16 </w:t>
      </w:r>
      <w:r>
        <w:rPr>
          <w:rFonts w:hint="eastAsia" w:cs="宋体"/>
          <w:color w:val="auto"/>
          <w:highlight w:val="none"/>
        </w:rPr>
        <w:t>规费、增值税计价表（表</w:t>
      </w:r>
      <w:r>
        <w:rPr>
          <w:color w:val="auto"/>
          <w:highlight w:val="none"/>
        </w:rPr>
        <w:t>-15</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1.17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pPr>
        <w:spacing w:line="360" w:lineRule="auto"/>
        <w:ind w:firstLine="630" w:firstLineChars="300"/>
        <w:jc w:val="left"/>
        <w:rPr>
          <w:color w:val="auto"/>
          <w:highlight w:val="none"/>
        </w:rPr>
      </w:pPr>
      <w:r>
        <w:rPr>
          <w:color w:val="auto"/>
          <w:highlight w:val="none"/>
        </w:rPr>
        <w:t xml:space="preserve">1.18 </w:t>
      </w:r>
      <w:r>
        <w:rPr>
          <w:rFonts w:hint="eastAsia" w:cs="宋体"/>
          <w:color w:val="auto"/>
          <w:highlight w:val="none"/>
          <w:lang w:eastAsia="zh-CN"/>
        </w:rPr>
        <w:t>允许调整</w:t>
      </w:r>
      <w:r>
        <w:rPr>
          <w:rFonts w:hint="eastAsia" w:cs="宋体"/>
          <w:color w:val="auto"/>
          <w:highlight w:val="none"/>
        </w:rPr>
        <w:t>主要材料和工程设备一览表（适用于造价信息差额调整法）（表</w:t>
      </w:r>
      <w:r>
        <w:rPr>
          <w:color w:val="auto"/>
          <w:highlight w:val="none"/>
        </w:rPr>
        <w:t>-22</w:t>
      </w:r>
      <w:r>
        <w:rPr>
          <w:rFonts w:hint="eastAsia" w:cs="宋体"/>
          <w:color w:val="auto"/>
          <w:highlight w:val="none"/>
        </w:rPr>
        <w:t>）</w:t>
      </w:r>
    </w:p>
    <w:p>
      <w:pPr>
        <w:spacing w:line="360" w:lineRule="auto"/>
        <w:ind w:firstLine="630" w:firstLineChars="300"/>
        <w:jc w:val="left"/>
        <w:rPr>
          <w:rFonts w:hint="eastAsia" w:cs="宋体"/>
          <w:color w:val="auto"/>
          <w:highlight w:val="none"/>
        </w:rPr>
      </w:pPr>
      <w:r>
        <w:rPr>
          <w:color w:val="auto"/>
          <w:highlight w:val="none"/>
        </w:rPr>
        <w:t>1.19</w:t>
      </w:r>
      <w:r>
        <w:rPr>
          <w:rFonts w:hint="eastAsia" w:cs="宋体"/>
          <w:color w:val="auto"/>
          <w:highlight w:val="none"/>
          <w:lang w:eastAsia="zh-CN"/>
        </w:rPr>
        <w:t>允许调整</w:t>
      </w:r>
      <w:r>
        <w:rPr>
          <w:rFonts w:hint="eastAsia" w:cs="宋体"/>
          <w:color w:val="auto"/>
          <w:highlight w:val="none"/>
        </w:rPr>
        <w:t>主要材料和工程设备一览表（适用于价格指数差额调整法）（表</w:t>
      </w:r>
      <w:r>
        <w:rPr>
          <w:color w:val="auto"/>
          <w:highlight w:val="none"/>
        </w:rPr>
        <w:t>-23</w:t>
      </w:r>
      <w:r>
        <w:rPr>
          <w:rFonts w:hint="eastAsia" w:cs="宋体"/>
          <w:color w:val="auto"/>
          <w:highlight w:val="none"/>
        </w:rPr>
        <w:t>）</w:t>
      </w:r>
    </w:p>
    <w:p>
      <w:pPr>
        <w:spacing w:line="360" w:lineRule="auto"/>
        <w:ind w:firstLine="630" w:firstLineChars="300"/>
        <w:jc w:val="left"/>
        <w:rPr>
          <w:rFonts w:hint="eastAsia" w:cs="宋体"/>
          <w:color w:val="auto"/>
          <w:highlight w:val="none"/>
        </w:rPr>
      </w:pPr>
      <w:r>
        <w:rPr>
          <w:rFonts w:hint="eastAsia" w:cs="宋体"/>
          <w:color w:val="auto"/>
          <w:highlight w:val="none"/>
          <w:lang w:val="en-US" w:eastAsia="zh-CN"/>
        </w:rPr>
        <w:t>1.20本工程</w:t>
      </w:r>
      <w:r>
        <w:rPr>
          <w:rFonts w:hint="default" w:cs="宋体"/>
          <w:color w:val="auto"/>
          <w:highlight w:val="none"/>
          <w:lang w:val="en" w:eastAsia="zh-CN"/>
        </w:rPr>
        <w:t>材料和工程设备</w:t>
      </w:r>
      <w:r>
        <w:rPr>
          <w:rFonts w:hint="eastAsia" w:cs="宋体"/>
          <w:color w:val="auto"/>
          <w:highlight w:val="none"/>
          <w:lang w:val="en-US" w:eastAsia="zh-CN"/>
        </w:rPr>
        <w:t>一览表（表-24）</w:t>
      </w:r>
    </w:p>
    <w:p>
      <w:pPr>
        <w:spacing w:line="360" w:lineRule="auto"/>
        <w:ind w:firstLine="630" w:firstLineChars="300"/>
        <w:jc w:val="left"/>
        <w:rPr>
          <w:rFonts w:cs="宋体"/>
          <w:color w:val="auto"/>
          <w:highlight w:val="none"/>
        </w:rPr>
      </w:pPr>
      <w:r>
        <w:rPr>
          <w:rFonts w:hint="eastAsia" w:cs="宋体"/>
          <w:color w:val="auto"/>
          <w:highlight w:val="none"/>
        </w:rPr>
        <w:t>注：如本工程在合同中约定采用造价信息价差调整法，1.</w:t>
      </w:r>
      <w:r>
        <w:rPr>
          <w:color w:val="auto"/>
          <w:highlight w:val="none"/>
        </w:rPr>
        <w:t xml:space="preserve">18 </w:t>
      </w:r>
      <w:r>
        <w:rPr>
          <w:rFonts w:hint="default" w:cs="宋体"/>
          <w:color w:val="auto"/>
          <w:highlight w:val="none"/>
          <w:lang w:val="en" w:eastAsia="zh-CN"/>
        </w:rPr>
        <w:t>允许调整</w:t>
      </w:r>
      <w:r>
        <w:rPr>
          <w:rFonts w:hint="eastAsia" w:cs="宋体"/>
          <w:color w:val="auto"/>
          <w:highlight w:val="none"/>
        </w:rPr>
        <w:t>主要材料和工程设备一览表（适用于造价信息差额调整法）（表</w:t>
      </w:r>
      <w:r>
        <w:rPr>
          <w:color w:val="auto"/>
          <w:highlight w:val="none"/>
        </w:rPr>
        <w:t>-22</w:t>
      </w:r>
      <w:r>
        <w:rPr>
          <w:rFonts w:hint="eastAsia" w:cs="宋体"/>
          <w:color w:val="auto"/>
          <w:highlight w:val="none"/>
        </w:rPr>
        <w:t>）载明的主要材料和</w:t>
      </w:r>
      <w:r>
        <w:rPr>
          <w:rFonts w:hint="eastAsia" w:cs="宋体"/>
          <w:color w:val="auto"/>
          <w:highlight w:val="none"/>
          <w:lang w:eastAsia="zh-CN"/>
        </w:rPr>
        <w:t>工程</w:t>
      </w:r>
      <w:r>
        <w:rPr>
          <w:rFonts w:hint="eastAsia" w:cs="宋体"/>
          <w:color w:val="auto"/>
          <w:highlight w:val="none"/>
        </w:rPr>
        <w:t>设备为本工程允许调整材料和</w:t>
      </w:r>
      <w:r>
        <w:rPr>
          <w:rFonts w:hint="eastAsia" w:cs="宋体"/>
          <w:color w:val="auto"/>
          <w:highlight w:val="none"/>
          <w:lang w:eastAsia="zh-CN"/>
        </w:rPr>
        <w:t>工程</w:t>
      </w:r>
      <w:r>
        <w:rPr>
          <w:rFonts w:hint="eastAsia" w:cs="宋体"/>
          <w:color w:val="auto"/>
          <w:highlight w:val="none"/>
        </w:rPr>
        <w:t>设备，招标工程量清单必须提供该表格，并应载明允许调整材料和</w:t>
      </w:r>
      <w:r>
        <w:rPr>
          <w:rFonts w:hint="eastAsia" w:cs="宋体"/>
          <w:color w:val="auto"/>
          <w:highlight w:val="none"/>
          <w:lang w:eastAsia="zh-CN"/>
        </w:rPr>
        <w:t>工程</w:t>
      </w:r>
      <w:r>
        <w:rPr>
          <w:rFonts w:hint="eastAsia" w:cs="宋体"/>
          <w:color w:val="auto"/>
          <w:highlight w:val="none"/>
        </w:rPr>
        <w:t>设备名称型号规格、单位、风险系数、基准单价等内容，且不能提供空白表。</w:t>
      </w:r>
    </w:p>
    <w:p>
      <w:pPr>
        <w:spacing w:line="360" w:lineRule="auto"/>
        <w:ind w:firstLine="630" w:firstLineChars="300"/>
        <w:jc w:val="left"/>
        <w:rPr>
          <w:color w:val="auto"/>
          <w:highlight w:val="none"/>
        </w:rPr>
      </w:pPr>
      <w:r>
        <w:rPr>
          <w:rFonts w:hint="eastAsia" w:cs="宋体"/>
          <w:color w:val="auto"/>
          <w:highlight w:val="none"/>
        </w:rPr>
        <w:t>以下表格视工程实际需要选用，如该工程不发生如下表格相关项目和费用，所编制招标工程量清单则不需列入相应表格：</w:t>
      </w:r>
    </w:p>
    <w:p>
      <w:pPr>
        <w:spacing w:line="360" w:lineRule="auto"/>
        <w:ind w:firstLine="630" w:firstLineChars="300"/>
        <w:jc w:val="left"/>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pPr>
        <w:spacing w:line="360" w:lineRule="auto"/>
        <w:ind w:firstLine="630" w:firstLineChars="300"/>
        <w:jc w:val="left"/>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pPr>
        <w:spacing w:line="360" w:lineRule="auto"/>
        <w:ind w:firstLine="630" w:firstLineChars="300"/>
        <w:jc w:val="left"/>
        <w:rPr>
          <w:color w:val="auto"/>
          <w:highlight w:val="none"/>
        </w:rPr>
      </w:pPr>
      <w:r>
        <w:rPr>
          <w:rFonts w:hint="eastAsia" w:cs="宋体"/>
          <w:color w:val="auto"/>
          <w:highlight w:val="none"/>
        </w:rPr>
        <w:t>③材料（工程设备）暂估单价及调整表（表</w:t>
      </w:r>
      <w:r>
        <w:rPr>
          <w:color w:val="auto"/>
          <w:highlight w:val="none"/>
        </w:rPr>
        <w:t>12-2</w:t>
      </w:r>
      <w:r>
        <w:rPr>
          <w:rFonts w:hint="eastAsia" w:cs="宋体"/>
          <w:color w:val="auto"/>
          <w:highlight w:val="none"/>
        </w:rPr>
        <w:t>）</w:t>
      </w:r>
    </w:p>
    <w:p>
      <w:pPr>
        <w:spacing w:line="360" w:lineRule="auto"/>
        <w:ind w:firstLine="630" w:firstLineChars="300"/>
        <w:jc w:val="left"/>
        <w:rPr>
          <w:color w:val="auto"/>
          <w:highlight w:val="none"/>
        </w:rPr>
      </w:pPr>
      <w:r>
        <w:rPr>
          <w:rFonts w:hint="eastAsia" w:cs="宋体"/>
          <w:color w:val="auto"/>
          <w:highlight w:val="none"/>
        </w:rPr>
        <w:t>④专业工程暂估价表（表</w:t>
      </w:r>
      <w:r>
        <w:rPr>
          <w:color w:val="auto"/>
          <w:highlight w:val="none"/>
        </w:rPr>
        <w:t>12-3</w:t>
      </w:r>
      <w:r>
        <w:rPr>
          <w:rFonts w:hint="eastAsia" w:cs="宋体"/>
          <w:color w:val="auto"/>
          <w:highlight w:val="none"/>
        </w:rPr>
        <w:t>）</w:t>
      </w:r>
    </w:p>
    <w:p>
      <w:pPr>
        <w:spacing w:line="360" w:lineRule="auto"/>
        <w:ind w:firstLine="630" w:firstLineChars="300"/>
        <w:jc w:val="left"/>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pPr>
        <w:spacing w:line="360" w:lineRule="auto"/>
        <w:ind w:firstLine="630" w:firstLineChars="300"/>
        <w:jc w:val="left"/>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pPr>
        <w:spacing w:line="360" w:lineRule="auto"/>
        <w:ind w:firstLine="630" w:firstLineChars="300"/>
        <w:jc w:val="left"/>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pPr>
        <w:spacing w:line="360" w:lineRule="auto"/>
        <w:ind w:firstLine="630" w:firstLineChars="300"/>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lang w:eastAsia="zh-CN"/>
        </w:rPr>
        <w:t>允许调整</w:t>
      </w:r>
      <w:r>
        <w:rPr>
          <w:rFonts w:hint="eastAsia" w:cs="宋体"/>
          <w:color w:val="auto"/>
          <w:highlight w:val="none"/>
        </w:rPr>
        <w:t>主要材料和工程设备一览表（适用于价格指数差额调整法）（表</w:t>
      </w:r>
      <w:r>
        <w:rPr>
          <w:color w:val="auto"/>
          <w:highlight w:val="none"/>
        </w:rPr>
        <w:t>-23</w:t>
      </w:r>
      <w:r>
        <w:rPr>
          <w:rFonts w:hint="eastAsia" w:cs="宋体"/>
          <w:color w:val="auto"/>
          <w:highlight w:val="none"/>
        </w:rPr>
        <w:t>）</w:t>
      </w:r>
    </w:p>
    <w:p>
      <w:pPr>
        <w:pStyle w:val="3"/>
        <w:rPr>
          <w:color w:val="auto"/>
          <w:highlight w:val="none"/>
        </w:rPr>
      </w:pPr>
      <w:bookmarkStart w:id="1572" w:name="_Toc78449870"/>
      <w:bookmarkStart w:id="1573" w:name="_Toc347872619"/>
      <w:bookmarkStart w:id="1574" w:name="_Toc407135285"/>
      <w:bookmarkStart w:id="1575" w:name="_Toc990933621"/>
      <w:bookmarkStart w:id="1576" w:name="_Toc14223"/>
      <w:r>
        <w:rPr>
          <w:color w:val="auto"/>
          <w:highlight w:val="none"/>
        </w:rPr>
        <w:t xml:space="preserve">2 </w:t>
      </w:r>
      <w:r>
        <w:rPr>
          <w:rFonts w:hint="eastAsia" w:cs="黑体"/>
          <w:color w:val="auto"/>
          <w:highlight w:val="none"/>
        </w:rPr>
        <w:t>招标控制价编制说明</w:t>
      </w:r>
      <w:bookmarkEnd w:id="1572"/>
      <w:bookmarkEnd w:id="1573"/>
      <w:bookmarkEnd w:id="1574"/>
      <w:bookmarkEnd w:id="1575"/>
      <w:bookmarkEnd w:id="1576"/>
    </w:p>
    <w:p>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w:t>
      </w:r>
      <w:r>
        <w:rPr>
          <w:rFonts w:hint="eastAsia" w:cs="宋体"/>
          <w:color w:val="auto"/>
          <w:highlight w:val="none"/>
          <w:u w:val="single"/>
          <w:lang w:val="en-US" w:eastAsia="zh-CN"/>
        </w:rPr>
        <w:t xml:space="preserve"> </w:t>
      </w:r>
      <w:r>
        <w:rPr>
          <w:rFonts w:hint="eastAsia"/>
          <w:color w:val="auto"/>
          <w:highlight w:val="none"/>
          <w:u w:val="single"/>
        </w:rPr>
        <w:t>详见</w:t>
      </w:r>
      <w:r>
        <w:rPr>
          <w:rFonts w:hint="eastAsia"/>
          <w:color w:val="auto"/>
          <w:highlight w:val="none"/>
          <w:u w:val="single"/>
          <w:lang w:val="en-US" w:eastAsia="zh-CN"/>
        </w:rPr>
        <w:t>招标控制价</w:t>
      </w:r>
      <w:r>
        <w:rPr>
          <w:color w:val="auto"/>
          <w:highlight w:val="none"/>
          <w:u w:val="single"/>
        </w:rPr>
        <w:t xml:space="preserve"> </w:t>
      </w:r>
      <w:r>
        <w:rPr>
          <w:rFonts w:hint="eastAsia" w:cs="宋体"/>
          <w:color w:val="auto"/>
          <w:highlight w:val="none"/>
        </w:rPr>
        <w:t>。</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rFonts w:hint="eastAsia" w:cs="宋体"/>
          <w:color w:val="auto"/>
          <w:highlight w:val="none"/>
          <w:u w:val="single"/>
          <w:lang w:val="en-US" w:eastAsia="zh-CN"/>
        </w:rPr>
        <w:t xml:space="preserve"> </w:t>
      </w:r>
      <w:r>
        <w:rPr>
          <w:rFonts w:hint="eastAsia"/>
          <w:color w:val="auto"/>
          <w:highlight w:val="none"/>
          <w:u w:val="single"/>
        </w:rPr>
        <w:t>详见</w:t>
      </w:r>
      <w:r>
        <w:rPr>
          <w:rFonts w:hint="eastAsia"/>
          <w:color w:val="auto"/>
          <w:highlight w:val="none"/>
          <w:u w:val="single"/>
          <w:lang w:val="en-US" w:eastAsia="zh-CN"/>
        </w:rPr>
        <w:t>招标控制价</w:t>
      </w:r>
      <w:r>
        <w:rPr>
          <w:color w:val="auto"/>
          <w:highlight w:val="none"/>
          <w:u w:val="single"/>
        </w:rPr>
        <w:t xml:space="preserve"> </w:t>
      </w:r>
      <w:r>
        <w:rPr>
          <w:rFonts w:hint="eastAsia" w:cs="宋体"/>
          <w:color w:val="auto"/>
          <w:highlight w:val="none"/>
        </w:rPr>
        <w:t>。</w:t>
      </w:r>
      <w:r>
        <w:rPr>
          <w:color w:val="auto"/>
          <w:highlight w:val="none"/>
        </w:rPr>
        <w:t xml:space="preserve"> </w:t>
      </w:r>
    </w:p>
    <w:p>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）本工程招标文件及工程量清单；</w:t>
      </w:r>
    </w:p>
    <w:p>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：材料价格主要按照</w:t>
      </w:r>
      <w:r>
        <w:rPr>
          <w:color w:val="auto"/>
          <w:highlight w:val="none"/>
          <w:u w:val="single"/>
        </w:rPr>
        <w:t xml:space="preserve"> </w:t>
      </w:r>
      <w:r>
        <w:rPr>
          <w:rFonts w:hint="eastAsia"/>
          <w:color w:val="auto"/>
          <w:highlight w:val="none"/>
          <w:u w:val="single"/>
          <w:lang w:val="en-US" w:eastAsia="zh-CN"/>
        </w:rPr>
        <w:t>南宁</w:t>
      </w:r>
      <w:r>
        <w:rPr>
          <w:color w:val="auto"/>
          <w:highlight w:val="none"/>
          <w:u w:val="single"/>
        </w:rPr>
        <w:t xml:space="preserve"> </w:t>
      </w:r>
      <w:r>
        <w:rPr>
          <w:rFonts w:hint="eastAsia" w:cs="宋体"/>
          <w:color w:val="auto"/>
          <w:highlight w:val="none"/>
        </w:rPr>
        <w:t>市建设工程造价管理机构发布的工程造价信息</w:t>
      </w:r>
      <w:r>
        <w:rPr>
          <w:color w:val="auto"/>
          <w:highlight w:val="none"/>
          <w:u w:val="single"/>
        </w:rPr>
        <w:t xml:space="preserve"> </w:t>
      </w:r>
      <w:r>
        <w:rPr>
          <w:rFonts w:hint="eastAsia"/>
          <w:color w:val="auto"/>
          <w:highlight w:val="none"/>
          <w:u w:val="single"/>
          <w:lang w:val="en-US" w:eastAsia="zh-CN"/>
        </w:rPr>
        <w:t>2024</w:t>
      </w:r>
      <w:r>
        <w:rPr>
          <w:color w:val="auto"/>
          <w:highlight w:val="none"/>
          <w:u w:val="single"/>
        </w:rPr>
        <w:t xml:space="preserve"> </w:t>
      </w:r>
      <w:r>
        <w:rPr>
          <w:rFonts w:hint="eastAsia" w:cs="宋体"/>
          <w:color w:val="auto"/>
          <w:highlight w:val="none"/>
        </w:rPr>
        <w:t>年第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期</w:t>
      </w:r>
      <w:r>
        <w:rPr>
          <w:rFonts w:hint="eastAsia" w:cs="宋体"/>
          <w:color w:val="auto"/>
          <w:highlight w:val="none"/>
          <w:lang w:eastAsia="zh-CN"/>
        </w:rPr>
        <w:t>（</w:t>
      </w:r>
      <w:r>
        <w:rPr>
          <w:rFonts w:hint="eastAsia" w:cs="宋体"/>
          <w:color w:val="auto"/>
          <w:highlight w:val="none"/>
          <w:lang w:val="en-US" w:eastAsia="zh-CN"/>
        </w:rPr>
        <w:t>下</w:t>
      </w:r>
      <w:r>
        <w:rPr>
          <w:rFonts w:hint="eastAsia" w:cs="宋体"/>
          <w:color w:val="auto"/>
          <w:highlight w:val="none"/>
          <w:lang w:eastAsia="zh-CN"/>
        </w:rPr>
        <w:t>半月）</w:t>
      </w:r>
      <w:r>
        <w:rPr>
          <w:rFonts w:hint="eastAsia" w:cs="宋体"/>
          <w:color w:val="auto"/>
          <w:highlight w:val="none"/>
        </w:rPr>
        <w:t>，不足部分参考市场定价</w:t>
      </w:r>
      <w:r>
        <w:rPr>
          <w:rFonts w:hint="eastAsia" w:hAnsi="宋体" w:cs="宋体"/>
          <w:color w:val="auto"/>
          <w:highlight w:val="none"/>
        </w:rPr>
        <w:t>。</w:t>
      </w:r>
    </w:p>
    <w:p>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分部分项及单价措施项目综合单价应包括招标文件中招标人要求投标人所承担的风险内容及其范围（幅度）产生的风险费用。</w:t>
      </w:r>
    </w:p>
    <w:p>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总价措施项目应根据拟定的招标文件和常规施工方案按《计价规范》和《计算规范》规定编制。</w:t>
      </w:r>
    </w:p>
    <w:p>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）暂列金额应按招标工程量清单中列出的金额填写；</w:t>
      </w:r>
    </w:p>
    <w:p>
      <w:pPr>
        <w:pStyle w:val="3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）材料、工程设备暂估价应按招标工程量清单中列出的单价计入综合单价；</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）专业工程暂估价应按招标工程量清单中列出的金额填写；</w:t>
      </w:r>
    </w:p>
    <w:p>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）计日工应按招标工程量清单中列出的项目和数量，根据工程特点和有关计价依据确定的综合单价计算；</w:t>
      </w:r>
    </w:p>
    <w:p>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pPr>
        <w:spacing w:line="360" w:lineRule="auto"/>
        <w:ind w:firstLine="420" w:firstLineChars="200"/>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rFonts w:hint="eastAsia" w:cs="宋体"/>
          <w:color w:val="auto"/>
          <w:highlight w:val="none"/>
          <w:u w:val="single"/>
          <w:lang w:val="en-US" w:eastAsia="zh-CN"/>
        </w:rPr>
        <w:t xml:space="preserve"> </w:t>
      </w:r>
      <w:r>
        <w:rPr>
          <w:rFonts w:hint="eastAsia"/>
          <w:color w:val="auto"/>
          <w:highlight w:val="none"/>
          <w:u w:val="single"/>
        </w:rPr>
        <w:t>详见</w:t>
      </w:r>
      <w:r>
        <w:rPr>
          <w:rFonts w:hint="eastAsia"/>
          <w:color w:val="auto"/>
          <w:highlight w:val="none"/>
          <w:u w:val="single"/>
          <w:lang w:val="en-US" w:eastAsia="zh-CN"/>
        </w:rPr>
        <w:t>招标控制价</w:t>
      </w:r>
      <w:r>
        <w:rPr>
          <w:color w:val="auto"/>
          <w:highlight w:val="none"/>
          <w:u w:val="single"/>
        </w:rPr>
        <w:t xml:space="preserve"> </w:t>
      </w:r>
      <w:r>
        <w:rPr>
          <w:rFonts w:hint="eastAsia" w:hAnsi="宋体" w:cs="宋体"/>
          <w:color w:val="auto"/>
          <w:highlight w:val="none"/>
        </w:rPr>
        <w:t>。</w:t>
      </w:r>
    </w:p>
    <w:p>
      <w:pPr>
        <w:pStyle w:val="3"/>
        <w:rPr>
          <w:color w:val="auto"/>
          <w:highlight w:val="none"/>
        </w:rPr>
      </w:pPr>
      <w:bookmarkStart w:id="1577" w:name="_Toc879821176"/>
      <w:bookmarkStart w:id="1578" w:name="_Toc78449871"/>
      <w:bookmarkStart w:id="1579" w:name="_Toc407135286"/>
      <w:bookmarkStart w:id="1580" w:name="_Toc20789"/>
      <w:bookmarkStart w:id="1581" w:name="_Toc378483916"/>
      <w:r>
        <w:rPr>
          <w:color w:val="auto"/>
          <w:highlight w:val="none"/>
        </w:rPr>
        <w:t xml:space="preserve">3 </w:t>
      </w:r>
      <w:r>
        <w:rPr>
          <w:rFonts w:hint="eastAsia" w:cs="黑体"/>
          <w:color w:val="auto"/>
          <w:highlight w:val="none"/>
        </w:rPr>
        <w:t>投标报价（已标价工程量清单）编制说明</w:t>
      </w:r>
      <w:bookmarkEnd w:id="1577"/>
      <w:bookmarkEnd w:id="1578"/>
      <w:bookmarkEnd w:id="1579"/>
      <w:bookmarkEnd w:id="1580"/>
      <w:bookmarkEnd w:id="1581"/>
    </w:p>
    <w:p>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投标人应依据招标文件、招标工程量清单以及《计价规范》、《计算规范》自主报价，自主报价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投标人不得采用总价让利或以百分比让利等形式进行报价，任何优惠（或降价、让利）均应反映在相应清单项目的综合单价中。同时，不得出现任意一项单价重大让利，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投标人应按招标工程量清单填报价格。项目编码、项目名称、项目特征、计量单位、工程量必须与招标工程量清单一致，</w:t>
      </w:r>
      <w:r>
        <w:rPr>
          <w:rFonts w:hint="eastAsia" w:hAnsi="宋体" w:cs="宋体"/>
          <w:color w:val="auto"/>
          <w:highlight w:val="none"/>
        </w:rPr>
        <w:t>投标人不得对招标工程量清单项目进行增减调整。</w:t>
      </w:r>
    </w:p>
    <w:p>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综合单价中应包含招标文件中划分的应由投标人承担的风险范围及其费用。</w:t>
      </w:r>
    </w:p>
    <w:p>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总价措施项目的金额应根据招标文件及投标时拟定的施工组织设计或施工方案，按计价规范的规定自主确定。但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）暂列金额应按招标工程量清单中列出的金额填写；</w:t>
      </w:r>
    </w:p>
    <w:p>
      <w:pPr>
        <w:pStyle w:val="3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）材料、工程设备暂估价应按招标工程量清单中列出的单价计入综合单价；</w:t>
      </w:r>
    </w:p>
    <w:p>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）专业工程暂估价应按招标工程量清单中列出的金额填写；</w:t>
      </w:r>
    </w:p>
    <w:p>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）计日工应按招标工程量清单中列出的项目和估算数量，自主确定综合单价并计算计日工总额；计日工单价均不含规费和税金；</w:t>
      </w:r>
    </w:p>
    <w:p>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）总承包服务费应根据招标工程量清单中列出的内容</w:t>
      </w:r>
      <w:r>
        <w:rPr>
          <w:rFonts w:hint="eastAsia" w:hAnsi="宋体" w:cs="宋体"/>
          <w:color w:val="auto"/>
          <w:highlight w:val="none"/>
        </w:rPr>
        <w:t>和供应材料、设备情况，按照招标人提出的协调、配合与服务要求和施工现场管理需要</w:t>
      </w:r>
      <w:r>
        <w:rPr>
          <w:rFonts w:hint="eastAsia" w:cs="宋体"/>
          <w:color w:val="auto"/>
          <w:highlight w:val="none"/>
        </w:rPr>
        <w:t>自主确定。</w:t>
      </w:r>
    </w:p>
    <w:p>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pPr>
        <w:spacing w:line="360" w:lineRule="auto"/>
        <w:ind w:firstLine="420" w:firstLineChars="200"/>
        <w:rPr>
          <w:color w:val="auto"/>
          <w:highlight w:val="none"/>
        </w:rPr>
      </w:pPr>
      <w:r>
        <w:rPr>
          <w:color w:val="auto"/>
          <w:highlight w:val="none"/>
        </w:rPr>
        <w:t xml:space="preserve">3.9 </w:t>
      </w:r>
      <w:r>
        <w:rPr>
          <w:rFonts w:hint="eastAsia" w:cs="宋体"/>
          <w:color w:val="auto"/>
          <w:highlight w:val="none"/>
        </w:rPr>
        <w:t>投标总价应当与分部分项工程费、措施项目费、其他项目费和规费、增值税的合计金额一致。</w:t>
      </w:r>
    </w:p>
    <w:p>
      <w:pPr>
        <w:spacing w:line="360" w:lineRule="auto"/>
        <w:ind w:firstLine="420" w:firstLineChars="200"/>
        <w:rPr>
          <w:color w:val="auto"/>
          <w:highlight w:val="none"/>
        </w:rPr>
      </w:pPr>
      <w:r>
        <w:rPr>
          <w:color w:val="auto"/>
          <w:highlight w:val="none"/>
        </w:rPr>
        <w:t>3.1</w:t>
      </w:r>
      <w:r>
        <w:rPr>
          <w:rFonts w:hint="eastAsia"/>
          <w:color w:val="auto"/>
          <w:highlight w:val="none"/>
        </w:rPr>
        <w:t>0</w:t>
      </w:r>
      <w:r>
        <w:rPr>
          <w:color w:val="auto"/>
          <w:highlight w:val="none"/>
        </w:rPr>
        <w:t xml:space="preserve"> </w:t>
      </w:r>
      <w:r>
        <w:rPr>
          <w:rFonts w:hint="eastAsia" w:cs="宋体"/>
          <w:color w:val="auto"/>
          <w:highlight w:val="none"/>
        </w:rPr>
        <w:t>投标人应按《</w:t>
      </w:r>
      <w:r>
        <w:rPr>
          <w:rFonts w:hint="eastAsia" w:cs="宋体"/>
          <w:color w:val="auto"/>
          <w:highlight w:val="none"/>
          <w:lang w:eastAsia="zh-CN"/>
        </w:rPr>
        <w:t>允许调整</w:t>
      </w:r>
      <w:r>
        <w:rPr>
          <w:rFonts w:hint="eastAsia" w:cs="宋体"/>
          <w:color w:val="auto"/>
          <w:highlight w:val="none"/>
        </w:rPr>
        <w:t>主要材料和</w:t>
      </w:r>
      <w:r>
        <w:rPr>
          <w:rFonts w:hint="eastAsia" w:cs="宋体"/>
          <w:color w:val="auto"/>
          <w:highlight w:val="none"/>
          <w:lang w:eastAsia="zh-CN"/>
        </w:rPr>
        <w:t>工程</w:t>
      </w:r>
      <w:r>
        <w:rPr>
          <w:rFonts w:hint="eastAsia" w:cs="宋体"/>
          <w:color w:val="auto"/>
          <w:highlight w:val="none"/>
        </w:rPr>
        <w:t>设备一览表》的内容填报，不得擅自调整材料和设备名称型号规格、单位、风险系数、基准单价。</w:t>
      </w:r>
    </w:p>
    <w:p>
      <w:pPr>
        <w:spacing w:line="360" w:lineRule="auto"/>
        <w:ind w:firstLine="420" w:firstLineChars="200"/>
        <w:rPr>
          <w:rFonts w:hAnsi="宋体"/>
          <w:color w:val="auto"/>
          <w:highlight w:val="none"/>
        </w:rPr>
      </w:pPr>
      <w:r>
        <w:rPr>
          <w:color w:val="auto"/>
          <w:highlight w:val="none"/>
        </w:rPr>
        <w:t>3.1</w:t>
      </w:r>
      <w:r>
        <w:rPr>
          <w:rFonts w:hint="eastAsia"/>
          <w:color w:val="auto"/>
          <w:highlight w:val="none"/>
        </w:rPr>
        <w:t>1</w:t>
      </w:r>
      <w:r>
        <w:rPr>
          <w:rFonts w:hint="eastAsia" w:hAnsi="宋体" w:cs="宋体"/>
          <w:color w:val="auto"/>
          <w:highlight w:val="none"/>
        </w:rPr>
        <w:t>投标报价</w:t>
      </w:r>
      <w:r>
        <w:rPr>
          <w:rFonts w:hint="eastAsia" w:cs="宋体"/>
          <w:color w:val="auto"/>
          <w:highlight w:val="none"/>
        </w:rPr>
        <w:t>表格按本工程工程量清单表格要求填写，并</w:t>
      </w:r>
      <w:r>
        <w:rPr>
          <w:rFonts w:hint="eastAsia" w:hAnsi="宋体" w:cs="宋体"/>
          <w:color w:val="auto"/>
          <w:highlight w:val="none"/>
        </w:rPr>
        <w:t>应按招标文件的要求，附上《工程量清单综合单价分析表》（表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pPr>
        <w:spacing w:line="360" w:lineRule="auto"/>
        <w:ind w:firstLine="420" w:firstLineChars="200"/>
        <w:rPr>
          <w:color w:val="auto"/>
          <w:highlight w:val="none"/>
          <w:u w:val="single"/>
        </w:rPr>
      </w:pPr>
      <w:r>
        <w:rPr>
          <w:rFonts w:hint="eastAsia" w:cs="宋体"/>
          <w:color w:val="auto"/>
          <w:highlight w:val="none"/>
        </w:rPr>
        <w:t>未尽事宜详见本工程招标工程量清单、招标控制价编制说明以及现行《计价规范》等有关规定执行。</w:t>
      </w:r>
    </w:p>
    <w:p>
      <w:pPr>
        <w:spacing w:line="360" w:lineRule="auto"/>
        <w:ind w:firstLine="420" w:firstLineChars="200"/>
        <w:jc w:val="left"/>
        <w:rPr>
          <w:rFonts w:hint="eastAsia" w:ascii="Times New Roman" w:hAnsi="宋体" w:eastAsia="宋体" w:cs="宋体"/>
          <w:color w:val="auto"/>
          <w:kern w:val="0"/>
          <w:highlight w:val="none"/>
          <w:lang w:val="en" w:eastAsia="zh-CN"/>
        </w:rPr>
      </w:pPr>
      <w:r>
        <w:rPr>
          <w:rFonts w:hint="eastAsia" w:ascii="Times New Roman" w:hAnsi="宋体" w:eastAsia="宋体" w:cs="宋体"/>
          <w:color w:val="auto"/>
          <w:kern w:val="0"/>
          <w:highlight w:val="none"/>
          <w:lang w:val="en" w:eastAsia="zh-CN"/>
        </w:rPr>
        <w:t>注：因</w:t>
      </w:r>
      <w:r>
        <w:rPr>
          <w:rFonts w:hint="eastAsia" w:ascii="Times New Roman" w:hAnsi="宋体" w:eastAsia="宋体" w:cs="宋体"/>
          <w:color w:val="auto"/>
          <w:kern w:val="0"/>
          <w:highlight w:val="none"/>
          <w:lang w:val="en-US" w:eastAsia="zh-CN"/>
        </w:rPr>
        <w:t>2021年《广西壮族自治区</w:t>
      </w:r>
      <w:r>
        <w:rPr>
          <w:rFonts w:hint="eastAsia" w:ascii="Times New Roman" w:hAnsi="宋体" w:eastAsia="宋体" w:cs="宋体"/>
          <w:color w:val="auto"/>
          <w:kern w:val="0"/>
          <w:highlight w:val="none"/>
          <w:lang w:val="en" w:eastAsia="zh-CN"/>
        </w:rPr>
        <w:t>园林绿化及仿古建筑工程费用定额</w:t>
      </w:r>
      <w:r>
        <w:rPr>
          <w:rFonts w:hint="eastAsia" w:ascii="Times New Roman" w:hAnsi="宋体" w:eastAsia="宋体" w:cs="宋体"/>
          <w:color w:val="auto"/>
          <w:kern w:val="0"/>
          <w:highlight w:val="none"/>
          <w:lang w:val="en-US" w:eastAsia="zh-CN"/>
        </w:rPr>
        <w:t>》采用全费用综合单价形式，故园林绿化及仿古建筑工程的工程量清单及计价</w:t>
      </w:r>
      <w:r>
        <w:rPr>
          <w:rFonts w:hint="eastAsia" w:cs="黑体"/>
          <w:color w:val="auto"/>
          <w:highlight w:val="none"/>
          <w:lang w:eastAsia="zh-CN"/>
        </w:rPr>
        <w:t>采用</w:t>
      </w:r>
      <w:r>
        <w:rPr>
          <w:rFonts w:hint="eastAsia" w:ascii="Times New Roman" w:hAnsi="宋体" w:eastAsia="宋体" w:cs="宋体"/>
          <w:color w:val="auto"/>
          <w:kern w:val="0"/>
          <w:highlight w:val="none"/>
          <w:lang w:val="en" w:eastAsia="zh-CN"/>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招标人另册发放的招标工程工程量清单及相关说明为准。</w:t>
      </w:r>
    </w:p>
    <w:p>
      <w:pPr>
        <w:pStyle w:val="3"/>
        <w:rPr>
          <w:rFonts w:hint="eastAsia"/>
          <w:color w:val="auto"/>
          <w:highlight w:val="none"/>
        </w:rPr>
      </w:pPr>
      <w:r>
        <w:rPr>
          <w:rFonts w:hint="eastAsia"/>
          <w:color w:val="auto"/>
          <w:highlight w:val="none"/>
          <w:lang w:val="en-US" w:eastAsia="zh-CN"/>
        </w:rPr>
        <w:t>4</w:t>
      </w:r>
      <w:r>
        <w:rPr>
          <w:rFonts w:hint="eastAsia"/>
          <w:color w:val="auto"/>
          <w:highlight w:val="none"/>
        </w:rPr>
        <w:t>工程量清单、图纸获取</w:t>
      </w:r>
      <w:bookmarkEnd w:id="1571"/>
    </w:p>
    <w:p>
      <w:pPr>
        <w:spacing w:line="360" w:lineRule="auto"/>
        <w:ind w:firstLine="420" w:firstLineChars="200"/>
        <w:rPr>
          <w:rFonts w:hint="eastAsia" w:eastAsia="宋体" w:cs="宋体"/>
          <w:color w:val="auto"/>
          <w:highlight w:val="none"/>
        </w:rPr>
      </w:pPr>
      <w:r>
        <w:rPr>
          <w:rFonts w:hint="eastAsia" w:eastAsia="宋体" w:cs="宋体"/>
          <w:color w:val="auto"/>
          <w:highlight w:val="none"/>
        </w:rPr>
        <w:t>获取方式：</w:t>
      </w:r>
      <w:r>
        <w:rPr>
          <w:rFonts w:hint="eastAsia" w:eastAsia="宋体" w:cs="宋体"/>
          <w:color w:val="auto"/>
          <w:highlight w:val="none"/>
          <w:lang w:val="en-US" w:eastAsia="zh-CN"/>
        </w:rPr>
        <w:t>网上下载</w:t>
      </w:r>
      <w:r>
        <w:rPr>
          <w:rFonts w:hint="eastAsia" w:eastAsia="宋体" w:cs="宋体"/>
          <w:color w:val="auto"/>
          <w:highlight w:val="none"/>
        </w:rPr>
        <w:t>广西政府采购云平台。本项目不发放</w:t>
      </w:r>
      <w:r>
        <w:rPr>
          <w:rFonts w:hint="eastAsia" w:eastAsia="宋体" w:cs="宋体"/>
          <w:color w:val="auto"/>
          <w:highlight w:val="none"/>
          <w:lang w:eastAsia="zh-CN"/>
        </w:rPr>
        <w:t>纸质版的</w:t>
      </w:r>
      <w:r>
        <w:rPr>
          <w:rFonts w:hint="eastAsia" w:eastAsia="宋体" w:cs="宋体"/>
          <w:color w:val="auto"/>
          <w:highlight w:val="none"/>
        </w:rPr>
        <w:t>工程量清单及图纸，由潜在供应商自行在广西政府采购云平台下载。</w:t>
      </w: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rPr>
          <w:rFonts w:hint="eastAsia" w:ascii="宋体" w:hAnsi="宋体" w:eastAsia="宋体" w:cs="宋体"/>
          <w:b/>
          <w:sz w:val="36"/>
          <w:highlight w:val="none"/>
        </w:rPr>
      </w:pPr>
    </w:p>
    <w:p>
      <w:pPr>
        <w:pStyle w:val="11"/>
        <w:tabs>
          <w:tab w:val="left" w:pos="2472"/>
        </w:tabs>
        <w:spacing w:line="460" w:lineRule="exact"/>
        <w:jc w:val="center"/>
        <w:outlineLvl w:val="0"/>
        <w:rPr>
          <w:rFonts w:hint="eastAsia" w:ascii="宋体" w:hAnsi="宋体" w:eastAsia="宋体" w:cs="宋体"/>
          <w:b/>
          <w:sz w:val="36"/>
          <w:highlight w:val="none"/>
        </w:rPr>
      </w:pPr>
      <w:bookmarkStart w:id="1582" w:name="_Toc17736"/>
      <w:bookmarkStart w:id="1583" w:name="_Toc2564"/>
      <w:r>
        <w:rPr>
          <w:rFonts w:hint="eastAsia" w:ascii="宋体" w:hAnsi="宋体" w:eastAsia="宋体" w:cs="宋体"/>
          <w:b/>
          <w:sz w:val="36"/>
          <w:highlight w:val="none"/>
        </w:rPr>
        <w:t>第</w:t>
      </w:r>
      <w:r>
        <w:rPr>
          <w:rFonts w:hint="eastAsia" w:hAnsi="宋体" w:cs="宋体"/>
          <w:b/>
          <w:sz w:val="36"/>
          <w:highlight w:val="none"/>
          <w:lang w:val="en-US" w:eastAsia="zh-CN"/>
        </w:rPr>
        <w:t>八</w:t>
      </w:r>
      <w:r>
        <w:rPr>
          <w:rFonts w:hint="eastAsia" w:ascii="宋体" w:hAnsi="宋体" w:eastAsia="宋体" w:cs="宋体"/>
          <w:b/>
          <w:sz w:val="36"/>
          <w:highlight w:val="none"/>
        </w:rPr>
        <w:t>章 质疑、投诉证明材料格式</w:t>
      </w:r>
      <w:bookmarkEnd w:id="1582"/>
      <w:bookmarkEnd w:id="1583"/>
    </w:p>
    <w:p>
      <w:pPr>
        <w:widowControl/>
        <w:spacing w:line="360" w:lineRule="auto"/>
        <w:jc w:val="left"/>
        <w:rPr>
          <w:rFonts w:hint="eastAsia" w:ascii="宋体" w:hAnsi="宋体" w:eastAsia="宋体" w:cs="宋体"/>
          <w:sz w:val="20"/>
          <w:highlight w:val="none"/>
        </w:rPr>
        <w:sectPr>
          <w:pgSz w:w="11906" w:h="16838"/>
          <w:pgMar w:top="1134" w:right="1134" w:bottom="1134" w:left="1134" w:header="720" w:footer="720" w:gutter="0"/>
          <w:cols w:space="720" w:num="1"/>
          <w:docGrid w:type="lines" w:linePitch="331" w:charSpace="0"/>
        </w:sectPr>
      </w:pPr>
    </w:p>
    <w:p>
      <w:pPr>
        <w:widowControl/>
        <w:shd w:val="clear" w:color="auto" w:fill="FFFFFF"/>
        <w:spacing w:line="260" w:lineRule="exact"/>
        <w:jc w:val="left"/>
        <w:rPr>
          <w:rFonts w:hint="eastAsia" w:ascii="宋体" w:hAnsi="宋体" w:eastAsia="宋体" w:cs="宋体"/>
          <w:b/>
          <w:bCs/>
          <w:color w:val="000000"/>
          <w:sz w:val="28"/>
          <w:szCs w:val="28"/>
          <w:highlight w:val="none"/>
        </w:rPr>
      </w:pPr>
    </w:p>
    <w:p>
      <w:pPr>
        <w:pStyle w:val="3"/>
        <w:jc w:val="center"/>
        <w:rPr>
          <w:rFonts w:hint="eastAsia" w:ascii="宋体" w:hAnsi="宋体" w:eastAsia="宋体" w:cs="宋体"/>
          <w:b w:val="0"/>
          <w:bCs w:val="0"/>
          <w:color w:val="000000"/>
          <w:highlight w:val="none"/>
        </w:rPr>
      </w:pPr>
      <w:bookmarkStart w:id="1584" w:name="_Toc17610"/>
      <w:bookmarkStart w:id="1585" w:name="_Toc8064"/>
      <w:r>
        <w:rPr>
          <w:rFonts w:hint="eastAsia" w:ascii="宋体" w:hAnsi="宋体" w:eastAsia="宋体" w:cs="宋体"/>
          <w:b w:val="0"/>
          <w:bCs w:val="0"/>
          <w:color w:val="000000"/>
          <w:highlight w:val="none"/>
        </w:rPr>
        <w:t>第一节 质疑函（格式）</w:t>
      </w:r>
      <w:bookmarkEnd w:id="1584"/>
      <w:bookmarkEnd w:id="1585"/>
    </w:p>
    <w:p>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331" w:before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质疑函制作说明：</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1.供应商提出质疑时，应提交质疑函和必要的证明材料。</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szCs w:val="24"/>
          <w:highlight w:val="none"/>
        </w:rPr>
        <w:t>供应商签署的授权委托书。授权委托书应载明代理人的姓名或者名称、代理事项、具体权限、期限和相关事项。</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3.质疑供应商若对项目的某一分包进行质疑，质疑函中应列明具体分包号。</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6.质疑供应商为自然人的，质疑函应由本人签字；质疑供应商为法人或者其他组织的，质疑函应由法定代表人、主要负责人，或者其授权代表签字或者盖章，并加盖公章。</w:t>
      </w:r>
    </w:p>
    <w:p>
      <w:pPr>
        <w:widowControl/>
        <w:ind w:firstLine="600" w:firstLineChars="200"/>
        <w:jc w:val="left"/>
        <w:rPr>
          <w:rFonts w:hint="eastAsia" w:ascii="宋体" w:hAnsi="宋体" w:eastAsia="宋体" w:cs="宋体"/>
          <w:sz w:val="30"/>
          <w:szCs w:val="30"/>
          <w:highlight w:val="none"/>
        </w:rPr>
      </w:pPr>
    </w:p>
    <w:p>
      <w:pPr>
        <w:widowControl/>
        <w:spacing w:line="360" w:lineRule="auto"/>
        <w:jc w:val="left"/>
        <w:rPr>
          <w:rFonts w:hint="eastAsia" w:ascii="宋体" w:hAnsi="宋体" w:eastAsia="宋体" w:cs="宋体"/>
          <w:color w:val="000000"/>
          <w:kern w:val="0"/>
          <w:sz w:val="24"/>
          <w:highlight w:val="none"/>
        </w:rPr>
        <w:sectPr>
          <w:pgSz w:w="11906" w:h="16838"/>
          <w:pgMar w:top="1134" w:right="1134" w:bottom="1134" w:left="1134" w:header="720" w:footer="720" w:gutter="0"/>
          <w:cols w:space="720" w:num="1"/>
          <w:docGrid w:type="lines" w:linePitch="331" w:charSpace="0"/>
        </w:sectPr>
      </w:pPr>
    </w:p>
    <w:p>
      <w:pPr>
        <w:pStyle w:val="3"/>
        <w:jc w:val="center"/>
        <w:rPr>
          <w:rFonts w:hint="eastAsia" w:ascii="宋体" w:hAnsi="宋体" w:eastAsia="宋体" w:cs="宋体"/>
          <w:b w:val="0"/>
          <w:bCs w:val="0"/>
          <w:color w:val="000000"/>
          <w:highlight w:val="none"/>
        </w:rPr>
      </w:pPr>
      <w:bookmarkStart w:id="1586" w:name="_Toc27587"/>
      <w:bookmarkStart w:id="1587" w:name="_Toc11428"/>
      <w:r>
        <w:rPr>
          <w:rFonts w:hint="eastAsia" w:ascii="宋体" w:hAnsi="宋体" w:eastAsia="宋体" w:cs="宋体"/>
          <w:b w:val="0"/>
          <w:bCs w:val="0"/>
          <w:color w:val="000000"/>
          <w:highlight w:val="none"/>
        </w:rPr>
        <w:t>第二节 投诉书（格式）</w:t>
      </w:r>
      <w:bookmarkEnd w:id="1586"/>
      <w:bookmarkEnd w:id="1587"/>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投诉书制作说明：</w:t>
      </w:r>
    </w:p>
    <w:p>
      <w:pPr>
        <w:widowControl/>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1.投诉人提起投诉时，应当提交投诉书和必要的证明材料，并按照被投诉人和与投诉事项有关的供应商数量提供投诉书副本。</w:t>
      </w:r>
    </w:p>
    <w:p>
      <w:pPr>
        <w:widowControl/>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2.投诉人若委托代理人进行投诉的，投诉书应按照要求列明“授权代表”的有关内容，并在附件中提交由</w:t>
      </w:r>
      <w:r>
        <w:rPr>
          <w:rFonts w:hint="eastAsia" w:ascii="宋体" w:hAnsi="宋体" w:eastAsia="宋体" w:cs="宋体"/>
          <w:kern w:val="0"/>
          <w:sz w:val="24"/>
          <w:szCs w:val="24"/>
          <w:highlight w:val="none"/>
        </w:rPr>
        <w:t>投诉人签署的授权委托书。授权委托书应当载明代理人的姓名或者名称、代理事项、具体权限、期限和相关事项。</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3.投诉人若对项目的某一分包进行投诉，投诉书应列明具体分包号。</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4.投诉书应简要列明质疑事项，质疑函、质疑答复等作为附件材料提供。</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5.投诉书的投诉事项应具体、明确，并有必要的事实依据和法律依据。</w:t>
      </w:r>
    </w:p>
    <w:p>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6.投诉书的投诉请求应与投诉事项相关。</w:t>
      </w:r>
    </w:p>
    <w:p>
      <w:pPr>
        <w:widowControl/>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7.投诉人为自然人的，投诉书应当由本人签字；投诉人为法人或者其他组织的，投诉书应当由法定代表人、主要负责人，或者其授权代表签字或者盖章，并加盖公章。</w:t>
      </w:r>
    </w:p>
    <w:p>
      <w:pPr>
        <w:snapToGrid w:val="0"/>
        <w:spacing w:before="50" w:after="165" w:afterLines="50" w:line="360" w:lineRule="auto"/>
        <w:ind w:firstLine="480" w:firstLineChars="200"/>
        <w:jc w:val="left"/>
        <w:rPr>
          <w:rFonts w:hint="eastAsia" w:ascii="宋体" w:hAnsi="宋体" w:eastAsia="宋体" w:cs="宋体"/>
          <w:sz w:val="24"/>
          <w:highlight w:val="none"/>
        </w:rPr>
      </w:pPr>
    </w:p>
    <w:p>
      <w:pPr>
        <w:rPr>
          <w:rFonts w:hint="eastAsia" w:ascii="宋体" w:hAnsi="宋体" w:eastAsia="宋体" w:cs="宋体"/>
          <w:highlight w:val="none"/>
        </w:rPr>
      </w:pPr>
    </w:p>
    <w:p>
      <w:pPr>
        <w:rPr>
          <w:rFonts w:hint="eastAsia" w:ascii="宋体" w:hAnsi="宋体" w:eastAsia="宋体" w:cs="宋体"/>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pPr>
                          <w:r>
                            <w:fldChar w:fldCharType="begin"/>
                          </w:r>
                          <w:r>
                            <w:instrText xml:space="preserve"> PAGE   \* MERGEFORMAT </w:instrText>
                          </w:r>
                          <w:r>
                            <w:fldChar w:fldCharType="separate"/>
                          </w:r>
                          <w:r>
                            <w:rPr>
                              <w:lang w:val="zh-CN"/>
                            </w:rPr>
                            <w:t>104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pPr>
      <w:pStyle w:val="1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南宁市政府采购公开招标采购文件（项目编号：</w:t>
    </w:r>
    <w:r>
      <w:rPr>
        <w:rFonts w:hint="eastAsia"/>
        <w:lang w:eastAsia="zh-CN"/>
      </w:rPr>
      <w:t>NNZC2024-G2-050183-GXHM</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0"/>
        <w:tab w:val="clear" w:pos="4153"/>
      </w:tabs>
    </w:pPr>
    <w:r>
      <w:rPr>
        <w:rFonts w:hint="eastAsia"/>
      </w:rPr>
      <w:t>项目编号：@采购文件模板实体.项目编号1@</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1536378"/>
    <w:multiLevelType w:val="singleLevel"/>
    <w:tmpl w:val="51536378"/>
    <w:lvl w:ilvl="0" w:tentative="0">
      <w:start w:val="1"/>
      <w:numFmt w:val="decimal"/>
      <w:suff w:val="nothing"/>
      <w:lvlText w:val="（%1）"/>
      <w:lvlJc w:val="left"/>
      <w:pPr>
        <w:ind w:left="0" w:firstLine="0"/>
      </w:pPr>
    </w:lvl>
  </w:abstractNum>
  <w:abstractNum w:abstractNumId="3">
    <w:nsid w:val="5498E193"/>
    <w:multiLevelType w:val="singleLevel"/>
    <w:tmpl w:val="5498E193"/>
    <w:lvl w:ilvl="0" w:tentative="0">
      <w:start w:val="11"/>
      <w:numFmt w:val="decimal"/>
      <w:suff w:val="space"/>
      <w:lvlText w:val="%1."/>
      <w:lvlJc w:val="left"/>
    </w:lvl>
  </w:abstractNum>
  <w:abstractNum w:abstractNumId="4">
    <w:nsid w:val="704FD9C0"/>
    <w:multiLevelType w:val="singleLevel"/>
    <w:tmpl w:val="704FD9C0"/>
    <w:lvl w:ilvl="0" w:tentative="0">
      <w:start w:val="2"/>
      <w:numFmt w:val="decimal"/>
      <w:lvlText w:val="%1."/>
      <w:lvlJc w:val="left"/>
      <w:pPr>
        <w:tabs>
          <w:tab w:val="left" w:pos="312"/>
        </w:tabs>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6">
    <w:nsid w:val="7D335EF9"/>
    <w:multiLevelType w:val="singleLevel"/>
    <w:tmpl w:val="7D335EF9"/>
    <w:lvl w:ilvl="0" w:tentative="0">
      <w:start w:val="1"/>
      <w:numFmt w:val="decimal"/>
      <w:suff w:val="space"/>
      <w:lvlText w:val="%1."/>
      <w:lvlJc w:val="left"/>
    </w:lvl>
  </w:abstractNum>
  <w:num w:numId="1">
    <w:abstractNumId w:val="4"/>
  </w:num>
  <w:num w:numId="2">
    <w:abstractNumId w:val="0"/>
  </w:num>
  <w:num w:numId="3">
    <w:abstractNumId w:val="2"/>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TllMzkwNzIyMjJiZGFlY2Y0NmNiOTcwZjBkZGQifQ=="/>
  </w:docVars>
  <w:rsids>
    <w:rsidRoot w:val="35653D79"/>
    <w:rsid w:val="02D97086"/>
    <w:rsid w:val="03191B07"/>
    <w:rsid w:val="03E03EBF"/>
    <w:rsid w:val="046E4892"/>
    <w:rsid w:val="06BA6DAD"/>
    <w:rsid w:val="0748283D"/>
    <w:rsid w:val="07F74137"/>
    <w:rsid w:val="08C534D0"/>
    <w:rsid w:val="092654A8"/>
    <w:rsid w:val="09B35362"/>
    <w:rsid w:val="09F04BF7"/>
    <w:rsid w:val="0A715EC3"/>
    <w:rsid w:val="0BB13DD9"/>
    <w:rsid w:val="0C384922"/>
    <w:rsid w:val="0E2A646C"/>
    <w:rsid w:val="0F3865A4"/>
    <w:rsid w:val="0F625510"/>
    <w:rsid w:val="0F750D17"/>
    <w:rsid w:val="106A6FF4"/>
    <w:rsid w:val="10A1053B"/>
    <w:rsid w:val="13792D78"/>
    <w:rsid w:val="13C12D12"/>
    <w:rsid w:val="14AE102E"/>
    <w:rsid w:val="15A85EC8"/>
    <w:rsid w:val="15BF7741"/>
    <w:rsid w:val="15EE2D41"/>
    <w:rsid w:val="15FD705D"/>
    <w:rsid w:val="16E21AEE"/>
    <w:rsid w:val="18786866"/>
    <w:rsid w:val="19500EB9"/>
    <w:rsid w:val="1CAB5520"/>
    <w:rsid w:val="1E3F244D"/>
    <w:rsid w:val="1FE55E27"/>
    <w:rsid w:val="21010877"/>
    <w:rsid w:val="2169593A"/>
    <w:rsid w:val="21E70D7C"/>
    <w:rsid w:val="24F4362A"/>
    <w:rsid w:val="25A113CC"/>
    <w:rsid w:val="25EA7504"/>
    <w:rsid w:val="25F82554"/>
    <w:rsid w:val="2628108B"/>
    <w:rsid w:val="27752A93"/>
    <w:rsid w:val="28B250E9"/>
    <w:rsid w:val="298A2467"/>
    <w:rsid w:val="29E8368F"/>
    <w:rsid w:val="2B0C582D"/>
    <w:rsid w:val="2BE27137"/>
    <w:rsid w:val="2C8B5ED0"/>
    <w:rsid w:val="2EAE198B"/>
    <w:rsid w:val="2F4B06C8"/>
    <w:rsid w:val="31F25C3E"/>
    <w:rsid w:val="32D80744"/>
    <w:rsid w:val="32E46260"/>
    <w:rsid w:val="33CC0578"/>
    <w:rsid w:val="34A55F9D"/>
    <w:rsid w:val="35571211"/>
    <w:rsid w:val="35653D79"/>
    <w:rsid w:val="35B2636C"/>
    <w:rsid w:val="36714388"/>
    <w:rsid w:val="36F6663C"/>
    <w:rsid w:val="37B3452D"/>
    <w:rsid w:val="38312021"/>
    <w:rsid w:val="38D808D8"/>
    <w:rsid w:val="39C271AC"/>
    <w:rsid w:val="3B3E144C"/>
    <w:rsid w:val="3C333E8E"/>
    <w:rsid w:val="3C5979A7"/>
    <w:rsid w:val="3C743954"/>
    <w:rsid w:val="3D155515"/>
    <w:rsid w:val="3EC25994"/>
    <w:rsid w:val="3EFF80CA"/>
    <w:rsid w:val="3FFD5829"/>
    <w:rsid w:val="3FFFC4A1"/>
    <w:rsid w:val="40C136BD"/>
    <w:rsid w:val="4178626F"/>
    <w:rsid w:val="42864D18"/>
    <w:rsid w:val="42CF1CE3"/>
    <w:rsid w:val="44B86946"/>
    <w:rsid w:val="450A6DE4"/>
    <w:rsid w:val="451C6362"/>
    <w:rsid w:val="4554651D"/>
    <w:rsid w:val="46796857"/>
    <w:rsid w:val="47271ACB"/>
    <w:rsid w:val="47F00E85"/>
    <w:rsid w:val="483A514E"/>
    <w:rsid w:val="48751710"/>
    <w:rsid w:val="499618FC"/>
    <w:rsid w:val="49F5266D"/>
    <w:rsid w:val="4B1F21AD"/>
    <w:rsid w:val="4B7C6D62"/>
    <w:rsid w:val="4D310A8D"/>
    <w:rsid w:val="4D863AFE"/>
    <w:rsid w:val="4DBF2BE4"/>
    <w:rsid w:val="4E2E734F"/>
    <w:rsid w:val="506C6B51"/>
    <w:rsid w:val="51FA302C"/>
    <w:rsid w:val="527A416D"/>
    <w:rsid w:val="52C11B46"/>
    <w:rsid w:val="53C02C3D"/>
    <w:rsid w:val="565C745A"/>
    <w:rsid w:val="56CD18F4"/>
    <w:rsid w:val="577A2526"/>
    <w:rsid w:val="57DF5F8B"/>
    <w:rsid w:val="57DF6DD5"/>
    <w:rsid w:val="59355667"/>
    <w:rsid w:val="59401B3D"/>
    <w:rsid w:val="5ACB37B8"/>
    <w:rsid w:val="5B2C7AD8"/>
    <w:rsid w:val="5BAB338F"/>
    <w:rsid w:val="5CA54909"/>
    <w:rsid w:val="5EAA7B89"/>
    <w:rsid w:val="5EDC6E45"/>
    <w:rsid w:val="603358AD"/>
    <w:rsid w:val="61BA1C46"/>
    <w:rsid w:val="61F2A027"/>
    <w:rsid w:val="63975485"/>
    <w:rsid w:val="63F82BBA"/>
    <w:rsid w:val="641A6652"/>
    <w:rsid w:val="660364FC"/>
    <w:rsid w:val="6A5F58D0"/>
    <w:rsid w:val="6ABB3975"/>
    <w:rsid w:val="6B39476E"/>
    <w:rsid w:val="6BFC4E08"/>
    <w:rsid w:val="6D08089B"/>
    <w:rsid w:val="6D113C78"/>
    <w:rsid w:val="6E1C70A2"/>
    <w:rsid w:val="6E3547AC"/>
    <w:rsid w:val="6EF68499"/>
    <w:rsid w:val="6FA06FBD"/>
    <w:rsid w:val="70074E3A"/>
    <w:rsid w:val="700D42D6"/>
    <w:rsid w:val="710C559B"/>
    <w:rsid w:val="72421DFA"/>
    <w:rsid w:val="72E74AAF"/>
    <w:rsid w:val="738015D2"/>
    <w:rsid w:val="75A66EA3"/>
    <w:rsid w:val="76D552CD"/>
    <w:rsid w:val="776F6FC2"/>
    <w:rsid w:val="782D2DDA"/>
    <w:rsid w:val="78A35F4E"/>
    <w:rsid w:val="78A71B34"/>
    <w:rsid w:val="7D1E37C3"/>
    <w:rsid w:val="7DAC6794"/>
    <w:rsid w:val="7EF0118F"/>
    <w:rsid w:val="F9FF0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5">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unhideWhenUsed/>
    <w:qFormat/>
    <w:uiPriority w:val="99"/>
    <w:pPr>
      <w:spacing w:after="120"/>
    </w:pPr>
  </w:style>
  <w:style w:type="paragraph" w:styleId="10">
    <w:name w:val="Body Text Indent"/>
    <w:basedOn w:val="1"/>
    <w:autoRedefine/>
    <w:qFormat/>
    <w:uiPriority w:val="0"/>
    <w:pPr>
      <w:spacing w:line="200" w:lineRule="exact"/>
      <w:ind w:firstLine="301"/>
    </w:pPr>
    <w:rPr>
      <w:rFonts w:ascii="宋体" w:hAnsi="Courier New"/>
      <w:spacing w:val="-4"/>
      <w:sz w:val="18"/>
      <w:szCs w:val="20"/>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200" w:hanging="200" w:hangingChars="200"/>
    </w:pPr>
    <w:rPr>
      <w:sz w:val="28"/>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character" w:styleId="24">
    <w:name w:val="annotation reference"/>
    <w:basedOn w:val="20"/>
    <w:autoRedefine/>
    <w:qFormat/>
    <w:uiPriority w:val="99"/>
    <w:rPr>
      <w:sz w:val="21"/>
      <w:szCs w:val="21"/>
    </w:rPr>
  </w:style>
  <w:style w:type="paragraph" w:customStyle="1" w:styleId="25">
    <w:name w:val="Title1"/>
    <w:basedOn w:val="1"/>
    <w:next w:val="1"/>
    <w:autoRedefine/>
    <w:qFormat/>
    <w:uiPriority w:val="0"/>
    <w:pPr>
      <w:jc w:val="center"/>
      <w:outlineLvl w:val="0"/>
    </w:pPr>
    <w:rPr>
      <w:rFonts w:ascii="Calibri Light" w:hAnsi="Calibri Light" w:eastAsia="Arial Unicode MS" w:cs="Times New Roman"/>
      <w:b/>
    </w:rPr>
  </w:style>
  <w:style w:type="paragraph" w:customStyle="1" w:styleId="26">
    <w:name w:val="表格文字115"/>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27">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basedOn w:val="1"/>
    <w:autoRedefine/>
    <w:qFormat/>
    <w:uiPriority w:val="0"/>
    <w:pPr>
      <w:adjustRightInd w:val="0"/>
      <w:spacing w:before="156" w:line="360" w:lineRule="auto"/>
      <w:ind w:firstLine="510" w:firstLineChars="200"/>
    </w:pPr>
    <w:rPr>
      <w:sz w:val="24"/>
      <w:szCs w:val="20"/>
    </w:rPr>
  </w:style>
  <w:style w:type="paragraph" w:customStyle="1" w:styleId="32">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3">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4">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51867</Words>
  <Characters>55523</Characters>
  <Lines>0</Lines>
  <Paragraphs>0</Paragraphs>
  <TotalTime>9</TotalTime>
  <ScaleCrop>false</ScaleCrop>
  <LinksUpToDate>false</LinksUpToDate>
  <CharactersWithSpaces>61989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2022-12-30T03:11:00Z</dcterms:created>
  <dc:creator>Max</dc:creator>
  <cp:lastModifiedBy>Max</cp:lastModifiedBy>
  <cp:lastPrinted>2023-09-18T02:42:00Z</cp:lastPrinted>
  <dcterms:modified xsi:type="dcterms:W3CDTF">2024-05-21T02:01:15Z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267587A280284649A4BF551471D05E6F_13</vt:lpwstr>
  </property>
</Properties>
</file>