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inorEastAsia" w:hAnsiTheme="minorEastAsia" w:eastAsiaTheme="minorEastAsia"/>
          <w:b/>
          <w:bCs/>
          <w:color w:val="auto"/>
          <w:sz w:val="52"/>
          <w:szCs w:val="52"/>
          <w:highlight w:val="none"/>
        </w:rPr>
      </w:pPr>
    </w:p>
    <w:p>
      <w:pPr>
        <w:spacing w:line="360" w:lineRule="auto"/>
        <w:jc w:val="center"/>
        <w:rPr>
          <w:rFonts w:cs="方正小标宋简体" w:asciiTheme="minorEastAsia" w:hAnsiTheme="minorEastAsia" w:eastAsiaTheme="minorEastAsia"/>
          <w:b/>
          <w:bCs/>
          <w:color w:val="auto"/>
          <w:sz w:val="52"/>
          <w:szCs w:val="52"/>
          <w:highlight w:val="none"/>
        </w:rPr>
      </w:pPr>
      <w:r>
        <w:rPr>
          <w:rFonts w:hint="eastAsia" w:cs="宋体" w:asciiTheme="minorEastAsia" w:hAnsiTheme="minorEastAsia" w:eastAsiaTheme="minorEastAsia"/>
          <w:b/>
          <w:bCs/>
          <w:color w:val="auto"/>
          <w:sz w:val="52"/>
          <w:szCs w:val="52"/>
          <w:highlight w:val="none"/>
        </w:rPr>
        <w:t>广西城建咨询设计有限公司</w:t>
      </w:r>
    </w:p>
    <w:p>
      <w:pPr>
        <w:pStyle w:val="3"/>
        <w:ind w:firstLine="1126"/>
        <w:rPr>
          <w:color w:val="auto"/>
          <w:highlight w:val="none"/>
        </w:rPr>
      </w:pPr>
    </w:p>
    <w:p>
      <w:pPr>
        <w:rPr>
          <w:color w:val="auto"/>
          <w:highlight w:val="none"/>
        </w:rPr>
      </w:pPr>
    </w:p>
    <w:p>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w:t>
      </w:r>
      <w:r>
        <w:rPr>
          <w:rFonts w:hint="eastAsia" w:ascii="宋体" w:hAnsi="宋体"/>
          <w:b/>
          <w:color w:val="auto"/>
          <w:sz w:val="48"/>
          <w:szCs w:val="48"/>
          <w:highlight w:val="none"/>
        </w:rPr>
        <w:t>全流程电子化采购</w:t>
      </w:r>
      <w:r>
        <w:rPr>
          <w:rFonts w:hint="eastAsia" w:ascii="仿宋_GB2312" w:hAnsi="宋体" w:eastAsia="仿宋_GB2312"/>
          <w:b/>
          <w:color w:val="auto"/>
          <w:sz w:val="48"/>
          <w:szCs w:val="48"/>
          <w:highlight w:val="none"/>
        </w:rPr>
        <w:t>）</w:t>
      </w:r>
    </w:p>
    <w:p>
      <w:pPr>
        <w:snapToGrid w:val="0"/>
        <w:spacing w:line="360" w:lineRule="auto"/>
        <w:rPr>
          <w:rFonts w:ascii="仿宋_GB2312" w:hAnsi="宋体" w:eastAsia="仿宋_GB2312"/>
          <w:color w:val="auto"/>
          <w:sz w:val="30"/>
          <w:szCs w:val="72"/>
          <w:highlight w:val="none"/>
        </w:rPr>
      </w:pPr>
    </w:p>
    <w:p>
      <w:pPr>
        <w:pStyle w:val="21"/>
        <w:snapToGrid w:val="0"/>
        <w:spacing w:line="360" w:lineRule="auto"/>
        <w:ind w:firstLine="1193" w:firstLineChars="396"/>
        <w:rPr>
          <w:rFonts w:hint="eastAsia" w:asciiTheme="minorEastAsia" w:hAnsiTheme="minorEastAsia" w:eastAsiaTheme="minorEastAsia"/>
          <w:b/>
          <w:bCs/>
          <w:color w:val="auto"/>
          <w:sz w:val="30"/>
          <w:szCs w:val="30"/>
          <w:highlight w:val="none"/>
          <w:lang w:eastAsia="zh-CN"/>
        </w:rPr>
      </w:pPr>
      <w:r>
        <w:rPr>
          <w:rFonts w:hint="eastAsia" w:asciiTheme="minorEastAsia" w:hAnsiTheme="minorEastAsia" w:eastAsiaTheme="minorEastAsia"/>
          <w:b/>
          <w:bCs/>
          <w:color w:val="auto"/>
          <w:sz w:val="30"/>
          <w:szCs w:val="30"/>
          <w:highlight w:val="none"/>
        </w:rPr>
        <w:t>项目</w:t>
      </w:r>
      <w:r>
        <w:rPr>
          <w:rFonts w:hint="eastAsia" w:cs="Courier New" w:asciiTheme="minorEastAsia" w:hAnsiTheme="minorEastAsia" w:eastAsiaTheme="minorEastAsia"/>
          <w:b/>
          <w:bCs/>
          <w:color w:val="auto"/>
          <w:w w:val="95"/>
          <w:sz w:val="30"/>
          <w:szCs w:val="30"/>
          <w:highlight w:val="none"/>
        </w:rPr>
        <w:t>名称：</w:t>
      </w:r>
      <w:r>
        <w:rPr>
          <w:rFonts w:hint="eastAsia" w:asciiTheme="minorEastAsia" w:hAnsiTheme="minorEastAsia" w:eastAsiaTheme="minorEastAsia"/>
          <w:b/>
          <w:bCs/>
          <w:color w:val="auto"/>
          <w:sz w:val="30"/>
          <w:szCs w:val="30"/>
          <w:highlight w:val="none"/>
          <w:lang w:eastAsia="zh-CN"/>
        </w:rPr>
        <w:t>广西壮族自治区医疗保障局2024短信服务项目</w:t>
      </w:r>
    </w:p>
    <w:p>
      <w:pPr>
        <w:pStyle w:val="21"/>
        <w:snapToGrid w:val="0"/>
        <w:spacing w:line="360" w:lineRule="auto"/>
        <w:ind w:firstLine="1133" w:firstLineChars="396"/>
        <w:rPr>
          <w:rFonts w:hint="eastAsia" w:asciiTheme="minorEastAsia" w:hAnsiTheme="minorEastAsia" w:eastAsiaTheme="minorEastAsia"/>
          <w:color w:val="auto"/>
          <w:sz w:val="30"/>
          <w:szCs w:val="72"/>
          <w:highlight w:val="none"/>
          <w:lang w:eastAsia="zh-CN"/>
        </w:rPr>
      </w:pPr>
      <w:r>
        <w:rPr>
          <w:rFonts w:hint="eastAsia" w:cs="Courier New" w:asciiTheme="minorEastAsia" w:hAnsiTheme="minorEastAsia" w:eastAsiaTheme="minorEastAsia"/>
          <w:b/>
          <w:bCs/>
          <w:color w:val="auto"/>
          <w:w w:val="95"/>
          <w:sz w:val="30"/>
          <w:szCs w:val="30"/>
          <w:highlight w:val="none"/>
        </w:rPr>
        <w:t>项目</w:t>
      </w:r>
      <w:r>
        <w:rPr>
          <w:rFonts w:hint="eastAsia" w:asciiTheme="minorEastAsia" w:hAnsiTheme="minorEastAsia" w:eastAsiaTheme="minorEastAsia"/>
          <w:b/>
          <w:bCs/>
          <w:color w:val="auto"/>
          <w:sz w:val="30"/>
          <w:szCs w:val="30"/>
          <w:highlight w:val="none"/>
        </w:rPr>
        <w:t>编号</w:t>
      </w:r>
      <w:r>
        <w:rPr>
          <w:rFonts w:hint="eastAsia" w:cs="Courier New" w:asciiTheme="minorEastAsia" w:hAnsiTheme="minorEastAsia" w:eastAsiaTheme="minorEastAsia"/>
          <w:b/>
          <w:bCs/>
          <w:color w:val="auto"/>
          <w:w w:val="95"/>
          <w:sz w:val="30"/>
          <w:szCs w:val="30"/>
          <w:highlight w:val="none"/>
        </w:rPr>
        <w:t>：</w:t>
      </w:r>
      <w:r>
        <w:rPr>
          <w:rFonts w:hint="eastAsia" w:cs="Courier New" w:asciiTheme="minorEastAsia" w:hAnsiTheme="minorEastAsia" w:eastAsiaTheme="minorEastAsia"/>
          <w:b/>
          <w:bCs/>
          <w:color w:val="auto"/>
          <w:w w:val="95"/>
          <w:sz w:val="30"/>
          <w:szCs w:val="30"/>
          <w:highlight w:val="none"/>
          <w:lang w:eastAsia="zh-CN"/>
        </w:rPr>
        <w:t>GXZC2024-C3-002707-GXCJ</w:t>
      </w:r>
    </w:p>
    <w:p>
      <w:pPr>
        <w:pStyle w:val="21"/>
        <w:snapToGrid w:val="0"/>
        <w:spacing w:line="360" w:lineRule="auto"/>
        <w:ind w:firstLine="1125" w:firstLineChars="393"/>
        <w:rPr>
          <w:rFonts w:hint="eastAsia" w:asciiTheme="minorEastAsia" w:hAnsiTheme="minorEastAsia" w:eastAsiaTheme="minorEastAsia"/>
          <w:b/>
          <w:bCs/>
          <w:color w:val="auto"/>
          <w:w w:val="95"/>
          <w:sz w:val="30"/>
          <w:szCs w:val="30"/>
          <w:highlight w:val="none"/>
          <w:lang w:eastAsia="zh-CN"/>
        </w:rPr>
      </w:pPr>
      <w:r>
        <w:rPr>
          <w:rFonts w:hint="eastAsia" w:asciiTheme="minorEastAsia" w:hAnsiTheme="minorEastAsia" w:eastAsiaTheme="minorEastAsia"/>
          <w:b/>
          <w:bCs/>
          <w:color w:val="auto"/>
          <w:w w:val="95"/>
          <w:sz w:val="30"/>
          <w:szCs w:val="30"/>
          <w:highlight w:val="none"/>
        </w:rPr>
        <w:t>采购人：</w:t>
      </w:r>
      <w:r>
        <w:rPr>
          <w:rFonts w:hint="eastAsia" w:asciiTheme="minorEastAsia" w:hAnsiTheme="minorEastAsia" w:eastAsiaTheme="minorEastAsia"/>
          <w:b/>
          <w:bCs/>
          <w:color w:val="auto"/>
          <w:w w:val="95"/>
          <w:sz w:val="30"/>
          <w:szCs w:val="30"/>
          <w:highlight w:val="none"/>
          <w:lang w:eastAsia="zh-CN"/>
        </w:rPr>
        <w:t>广西壮族自治区医疗保障局</w:t>
      </w:r>
    </w:p>
    <w:p>
      <w:pPr>
        <w:pStyle w:val="21"/>
        <w:snapToGrid w:val="0"/>
        <w:spacing w:line="360" w:lineRule="auto"/>
        <w:ind w:firstLine="1125" w:firstLineChars="393"/>
        <w:rPr>
          <w:rFonts w:asciiTheme="minorEastAsia" w:hAnsiTheme="minorEastAsia" w:eastAsiaTheme="minorEastAsia"/>
          <w:b/>
          <w:bCs/>
          <w:color w:val="auto"/>
          <w:w w:val="95"/>
          <w:sz w:val="30"/>
          <w:szCs w:val="30"/>
          <w:highlight w:val="none"/>
        </w:rPr>
      </w:pPr>
      <w:r>
        <w:rPr>
          <w:rFonts w:hint="eastAsia" w:asciiTheme="minorEastAsia" w:hAnsiTheme="minorEastAsia" w:eastAsiaTheme="minorEastAsia"/>
          <w:b/>
          <w:bCs/>
          <w:color w:val="auto"/>
          <w:w w:val="95"/>
          <w:sz w:val="30"/>
          <w:szCs w:val="30"/>
          <w:highlight w:val="none"/>
        </w:rPr>
        <w:t>采购代理机构：广西城建咨询设计有限公司</w:t>
      </w:r>
    </w:p>
    <w:p>
      <w:pPr>
        <w:pStyle w:val="21"/>
        <w:snapToGrid w:val="0"/>
        <w:spacing w:line="360" w:lineRule="auto"/>
        <w:rPr>
          <w:rFonts w:asciiTheme="minorEastAsia" w:hAnsiTheme="minorEastAsia" w:eastAsiaTheme="minorEastAsia"/>
          <w:b/>
          <w:bCs/>
          <w:color w:val="auto"/>
          <w:w w:val="95"/>
          <w:sz w:val="30"/>
          <w:szCs w:val="30"/>
          <w:highlight w:val="none"/>
        </w:rPr>
      </w:pPr>
    </w:p>
    <w:p>
      <w:pPr>
        <w:pStyle w:val="21"/>
        <w:snapToGrid w:val="0"/>
        <w:spacing w:line="360" w:lineRule="auto"/>
        <w:jc w:val="center"/>
        <w:rPr>
          <w:rFonts w:ascii="仿宋_GB2312" w:eastAsia="仿宋_GB2312"/>
          <w:color w:val="auto"/>
          <w:szCs w:val="20"/>
          <w:highlight w:val="none"/>
        </w:rPr>
      </w:pPr>
      <w:r>
        <w:rPr>
          <w:rFonts w:asciiTheme="minorEastAsia" w:hAnsiTheme="minorEastAsia" w:eastAsiaTheme="minorEastAsia"/>
          <w:b/>
          <w:bCs/>
          <w:color w:val="auto"/>
          <w:w w:val="95"/>
          <w:sz w:val="30"/>
          <w:szCs w:val="30"/>
          <w:highlight w:val="none"/>
        </w:rPr>
        <w:t>202</w:t>
      </w:r>
      <w:r>
        <w:rPr>
          <w:rFonts w:hint="eastAsia" w:asciiTheme="minorEastAsia" w:hAnsiTheme="minorEastAsia" w:eastAsiaTheme="minorEastAsia"/>
          <w:b/>
          <w:bCs/>
          <w:color w:val="auto"/>
          <w:w w:val="95"/>
          <w:sz w:val="30"/>
          <w:szCs w:val="30"/>
          <w:highlight w:val="none"/>
          <w:lang w:val="en-US" w:eastAsia="zh-CN"/>
        </w:rPr>
        <w:t>4</w:t>
      </w:r>
      <w:r>
        <w:rPr>
          <w:rFonts w:hint="eastAsia" w:asciiTheme="minorEastAsia" w:hAnsiTheme="minorEastAsia" w:eastAsiaTheme="minorEastAsia"/>
          <w:b/>
          <w:bCs/>
          <w:color w:val="auto"/>
          <w:w w:val="95"/>
          <w:sz w:val="30"/>
          <w:szCs w:val="30"/>
          <w:highlight w:val="none"/>
        </w:rPr>
        <w:t>年</w:t>
      </w:r>
      <w:r>
        <w:rPr>
          <w:rFonts w:hint="eastAsia" w:asciiTheme="minorEastAsia" w:hAnsiTheme="minorEastAsia" w:eastAsiaTheme="minorEastAsia"/>
          <w:b/>
          <w:bCs/>
          <w:color w:val="auto"/>
          <w:w w:val="95"/>
          <w:sz w:val="30"/>
          <w:szCs w:val="30"/>
          <w:highlight w:val="none"/>
          <w:lang w:val="en-US" w:eastAsia="zh-CN"/>
        </w:rPr>
        <w:t>4</w:t>
      </w:r>
      <w:r>
        <w:rPr>
          <w:rFonts w:hint="eastAsia" w:asciiTheme="minorEastAsia" w:hAnsiTheme="minorEastAsia" w:eastAsiaTheme="minorEastAsia"/>
          <w:b/>
          <w:bCs/>
          <w:color w:val="auto"/>
          <w:w w:val="95"/>
          <w:sz w:val="30"/>
          <w:szCs w:val="30"/>
          <w:highlight w:val="none"/>
        </w:rPr>
        <w:t>月</w:t>
      </w:r>
    </w:p>
    <w:p>
      <w:pPr>
        <w:spacing w:line="360" w:lineRule="auto"/>
        <w:jc w:val="center"/>
        <w:rPr>
          <w:rFonts w:ascii="宋体" w:hAnsi="宋体" w:cs="宋体"/>
          <w:b/>
          <w:bCs/>
          <w:color w:val="auto"/>
          <w:kern w:val="0"/>
          <w:sz w:val="32"/>
          <w:szCs w:val="32"/>
          <w:highlight w:val="none"/>
        </w:rPr>
      </w:pPr>
    </w:p>
    <w:p>
      <w:pPr>
        <w:spacing w:line="360" w:lineRule="auto"/>
        <w:jc w:val="center"/>
        <w:rPr>
          <w:rFonts w:ascii="宋体" w:hAnsi="宋体" w:cs="宋体"/>
          <w:b/>
          <w:bCs/>
          <w:color w:val="auto"/>
          <w:kern w:val="0"/>
          <w:sz w:val="32"/>
          <w:szCs w:val="32"/>
          <w:highlight w:val="none"/>
        </w:rPr>
      </w:pPr>
    </w:p>
    <w:p>
      <w:pPr>
        <w:spacing w:line="360" w:lineRule="auto"/>
        <w:jc w:val="center"/>
        <w:rPr>
          <w:rFonts w:ascii="宋体" w:hAnsi="宋体" w:cs="宋体"/>
          <w:b/>
          <w:bCs/>
          <w:color w:val="auto"/>
          <w:kern w:val="0"/>
          <w:sz w:val="32"/>
          <w:szCs w:val="32"/>
          <w:highlight w:val="none"/>
        </w:rPr>
      </w:pPr>
    </w:p>
    <w:p>
      <w:pPr>
        <w:spacing w:line="360" w:lineRule="auto"/>
        <w:jc w:val="center"/>
        <w:rPr>
          <w:rFonts w:ascii="宋体" w:hAnsi="宋体"/>
          <w:b/>
          <w:color w:val="auto"/>
          <w:sz w:val="44"/>
          <w:szCs w:val="44"/>
          <w:highlight w:val="none"/>
        </w:rPr>
      </w:pPr>
      <w:r>
        <w:rPr>
          <w:rFonts w:ascii="黑体" w:hAnsi="黑体" w:eastAsia="黑体" w:cs="宋体"/>
          <w:b/>
          <w:bCs/>
          <w:color w:val="auto"/>
          <w:kern w:val="0"/>
          <w:sz w:val="32"/>
          <w:szCs w:val="32"/>
          <w:highlight w:val="none"/>
        </w:rPr>
        <w:br w:type="page"/>
      </w: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目录</w:t>
      </w:r>
    </w:p>
    <w:p>
      <w:pPr>
        <w:spacing w:line="400" w:lineRule="exact"/>
        <w:jc w:val="center"/>
        <w:rPr>
          <w:rFonts w:ascii="宋体" w:hAnsi="宋体"/>
          <w:b/>
          <w:color w:val="auto"/>
          <w:sz w:val="44"/>
          <w:szCs w:val="44"/>
          <w:highlight w:val="none"/>
        </w:rPr>
      </w:pPr>
    </w:p>
    <w:p>
      <w:pPr>
        <w:pStyle w:val="26"/>
        <w:tabs>
          <w:tab w:val="right" w:leader="dot" w:pos="8869"/>
        </w:tabs>
        <w:rPr>
          <w:rFonts w:asciiTheme="minorEastAsia" w:hAnsiTheme="minorEastAsia" w:eastAsiaTheme="minorEastAsia" w:cstheme="minorBidi"/>
          <w:color w:val="auto"/>
          <w:sz w:val="28"/>
          <w:szCs w:val="32"/>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"_Toc151675536" </w:instrText>
      </w:r>
      <w:r>
        <w:rPr>
          <w:color w:val="auto"/>
          <w:highlight w:val="none"/>
        </w:rPr>
        <w:fldChar w:fldCharType="separate"/>
      </w:r>
      <w:r>
        <w:rPr>
          <w:rStyle w:val="39"/>
          <w:rFonts w:asciiTheme="minorEastAsia" w:hAnsiTheme="minorEastAsia" w:eastAsiaTheme="minorEastAsia"/>
          <w:color w:val="auto"/>
          <w:sz w:val="28"/>
          <w:szCs w:val="36"/>
          <w:highlight w:val="none"/>
        </w:rPr>
        <w:t>第一章  竞争性磋商公告</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_Toc151675536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1</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pPr>
        <w:pStyle w:val="26"/>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"_Toc151675537" </w:instrText>
      </w:r>
      <w:r>
        <w:rPr>
          <w:color w:val="auto"/>
          <w:highlight w:val="none"/>
        </w:rPr>
        <w:fldChar w:fldCharType="separate"/>
      </w:r>
      <w:r>
        <w:rPr>
          <w:rStyle w:val="39"/>
          <w:rFonts w:asciiTheme="minorEastAsia" w:hAnsiTheme="minorEastAsia" w:eastAsiaTheme="minorEastAsia"/>
          <w:color w:val="auto"/>
          <w:sz w:val="28"/>
          <w:szCs w:val="36"/>
          <w:highlight w:val="none"/>
        </w:rPr>
        <w:t>第二章  供应商须知</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_Toc151675537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4</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pPr>
        <w:pStyle w:val="26"/>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"_Toc151675538" </w:instrText>
      </w:r>
      <w:r>
        <w:rPr>
          <w:color w:val="auto"/>
          <w:highlight w:val="none"/>
        </w:rPr>
        <w:fldChar w:fldCharType="separate"/>
      </w:r>
      <w:r>
        <w:rPr>
          <w:rStyle w:val="39"/>
          <w:rFonts w:asciiTheme="minorEastAsia" w:hAnsiTheme="minorEastAsia" w:eastAsiaTheme="minorEastAsia"/>
          <w:color w:val="auto"/>
          <w:sz w:val="28"/>
          <w:szCs w:val="36"/>
          <w:highlight w:val="none"/>
        </w:rPr>
        <w:t>第三章  采购需求</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_Toc151675538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26</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pPr>
        <w:pStyle w:val="26"/>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"_Toc151675539" </w:instrText>
      </w:r>
      <w:r>
        <w:rPr>
          <w:color w:val="auto"/>
          <w:highlight w:val="none"/>
        </w:rPr>
        <w:fldChar w:fldCharType="separate"/>
      </w:r>
      <w:r>
        <w:rPr>
          <w:rStyle w:val="39"/>
          <w:rFonts w:asciiTheme="minorEastAsia" w:hAnsiTheme="minorEastAsia" w:eastAsiaTheme="minorEastAsia"/>
          <w:color w:val="auto"/>
          <w:sz w:val="28"/>
          <w:szCs w:val="36"/>
          <w:highlight w:val="none"/>
        </w:rPr>
        <w:t>第四章  评审程序、评审方法和评审标准</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_Toc151675539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31</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pPr>
        <w:pStyle w:val="26"/>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"_Toc151675540" </w:instrText>
      </w:r>
      <w:r>
        <w:rPr>
          <w:color w:val="auto"/>
          <w:highlight w:val="none"/>
        </w:rPr>
        <w:fldChar w:fldCharType="separate"/>
      </w:r>
      <w:r>
        <w:rPr>
          <w:rStyle w:val="39"/>
          <w:rFonts w:asciiTheme="minorEastAsia" w:hAnsiTheme="minorEastAsia" w:eastAsiaTheme="minorEastAsia"/>
          <w:color w:val="auto"/>
          <w:sz w:val="28"/>
          <w:szCs w:val="36"/>
          <w:highlight w:val="none"/>
        </w:rPr>
        <w:t>第五章  响应文件格式</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_Toc151675540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40</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pPr>
        <w:pStyle w:val="26"/>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"_Toc151675541" </w:instrText>
      </w:r>
      <w:r>
        <w:rPr>
          <w:color w:val="auto"/>
          <w:highlight w:val="none"/>
        </w:rPr>
        <w:fldChar w:fldCharType="separate"/>
      </w:r>
      <w:r>
        <w:rPr>
          <w:rStyle w:val="39"/>
          <w:rFonts w:asciiTheme="minorEastAsia" w:hAnsiTheme="minorEastAsia" w:eastAsiaTheme="minorEastAsia"/>
          <w:color w:val="auto"/>
          <w:sz w:val="28"/>
          <w:szCs w:val="36"/>
          <w:highlight w:val="none"/>
        </w:rPr>
        <w:t>第六章  合同文本</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_Toc151675541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68</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pPr>
        <w:pStyle w:val="27"/>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4"/>
        <w:jc w:val="center"/>
        <w:rPr>
          <w:color w:val="auto"/>
          <w:highlight w:val="none"/>
        </w:rPr>
      </w:pPr>
      <w:bookmarkStart w:id="0" w:name="_Toc151675536"/>
      <w:r>
        <w:rPr>
          <w:rFonts w:hint="eastAsia"/>
          <w:color w:val="auto"/>
          <w:highlight w:val="none"/>
        </w:rPr>
        <w:t xml:space="preserve">第一章 </w:t>
      </w:r>
      <w:r>
        <w:rPr>
          <w:color w:val="auto"/>
          <w:highlight w:val="none"/>
        </w:rPr>
        <w:t xml:space="preserve"> </w:t>
      </w:r>
      <w:r>
        <w:rPr>
          <w:rFonts w:hint="eastAsia"/>
          <w:color w:val="auto"/>
          <w:highlight w:val="none"/>
        </w:rPr>
        <w:t>竞争性磋商公告</w:t>
      </w:r>
      <w:bookmarkEnd w:id="0"/>
    </w:p>
    <w:p>
      <w:pPr>
        <w:spacing w:line="400" w:lineRule="exact"/>
        <w:jc w:val="center"/>
        <w:rPr>
          <w:rFonts w:ascii="宋体" w:hAnsi="宋体"/>
          <w:color w:val="auto"/>
          <w:szCs w:val="21"/>
          <w:highlight w:val="none"/>
        </w:rPr>
      </w:pPr>
      <w:r>
        <w:rPr>
          <w:rFonts w:hint="eastAsia" w:ascii="宋体" w:hAnsi="宋体"/>
          <w:b/>
          <w:bCs/>
          <w:color w:val="auto"/>
          <w:sz w:val="32"/>
          <w:szCs w:val="32"/>
          <w:highlight w:val="none"/>
        </w:rPr>
        <w:t>竞争性磋商公告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广西壮族自治区医疗保障局2024短信服务项目</w:t>
      </w:r>
      <w:r>
        <w:rPr>
          <w:rFonts w:hint="eastAsia" w:ascii="宋体" w:hAnsi="宋体"/>
          <w:color w:val="auto"/>
          <w:szCs w:val="21"/>
          <w:highlight w:val="none"/>
        </w:rPr>
        <w:t>的潜在供</w:t>
      </w:r>
      <w:r>
        <w:rPr>
          <w:rFonts w:hint="eastAsia" w:ascii="宋体" w:hAnsi="宋体"/>
          <w:color w:val="auto"/>
          <w:szCs w:val="21"/>
          <w:highlight w:val="none"/>
        </w:rPr>
        <w:t>应商应在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）获取（下载）竞争性磋商文件</w:t>
      </w:r>
      <w:r>
        <w:rPr>
          <w:rFonts w:hint="eastAsia" w:ascii="宋体" w:hAnsi="宋体"/>
          <w:color w:val="auto"/>
          <w:szCs w:val="21"/>
          <w:highlight w:val="none"/>
        </w:rPr>
        <w:t>，并于</w:t>
      </w:r>
      <w:r>
        <w:rPr>
          <w:rFonts w:hint="eastAsia" w:ascii="宋体" w:hAnsi="宋体"/>
          <w:color w:val="auto"/>
          <w:szCs w:val="21"/>
          <w:highlight w:val="none"/>
        </w:rPr>
        <w:t>2</w:t>
      </w:r>
      <w:r>
        <w:rPr>
          <w:rFonts w:ascii="宋体" w:hAnsi="宋体"/>
          <w:color w:val="auto"/>
          <w:szCs w:val="21"/>
          <w:highlight w:val="none"/>
        </w:rPr>
        <w:t>024</w:t>
      </w:r>
      <w:r>
        <w:rPr>
          <w:rFonts w:hint="eastAsia" w:ascii="宋体" w:hAnsi="宋体"/>
          <w:bCs/>
          <w:color w:val="auto"/>
          <w:szCs w:val="21"/>
          <w:highlight w:val="none"/>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16</w:t>
      </w:r>
      <w:r>
        <w:rPr>
          <w:rFonts w:hint="eastAsia" w:ascii="宋体" w:hAnsi="宋体"/>
          <w:bCs/>
          <w:color w:val="auto"/>
          <w:szCs w:val="21"/>
          <w:highlight w:val="none"/>
        </w:rPr>
        <w:t>日</w:t>
      </w:r>
      <w:r>
        <w:rPr>
          <w:rFonts w:hint="eastAsia" w:ascii="宋体" w:hAnsi="宋体"/>
          <w:bCs/>
          <w:color w:val="auto"/>
          <w:szCs w:val="21"/>
          <w:highlight w:val="none"/>
          <w:u w:val="none"/>
          <w:lang w:val="en-US" w:eastAsia="zh-CN"/>
        </w:rPr>
        <w:t>09</w:t>
      </w:r>
      <w:r>
        <w:rPr>
          <w:rFonts w:hint="eastAsia" w:ascii="宋体" w:hAnsi="宋体"/>
          <w:bCs/>
          <w:color w:val="auto"/>
          <w:szCs w:val="21"/>
          <w:highlight w:val="none"/>
          <w:u w:val="none"/>
        </w:rPr>
        <w:t>时</w:t>
      </w:r>
      <w:r>
        <w:rPr>
          <w:rFonts w:hint="eastAsia" w:ascii="宋体" w:hAnsi="宋体"/>
          <w:bCs/>
          <w:color w:val="auto"/>
          <w:szCs w:val="21"/>
          <w:highlight w:val="none"/>
          <w:u w:val="none"/>
          <w:lang w:val="en-US" w:eastAsia="zh-CN"/>
        </w:rPr>
        <w:t>30</w:t>
      </w:r>
      <w:r>
        <w:rPr>
          <w:rFonts w:hint="eastAsia" w:ascii="宋体" w:hAnsi="宋体"/>
          <w:bCs/>
          <w:color w:val="auto"/>
          <w:szCs w:val="21"/>
          <w:highlight w:val="none"/>
          <w:u w:val="none"/>
        </w:rPr>
        <w:t>分</w:t>
      </w:r>
      <w:r>
        <w:rPr>
          <w:rFonts w:hint="eastAsia" w:ascii="宋体" w:hAnsi="宋体"/>
          <w:bCs/>
          <w:color w:val="auto"/>
          <w:szCs w:val="21"/>
          <w:highlight w:val="none"/>
          <w:u w:val="none"/>
        </w:rPr>
        <w:t>（</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pPr>
        <w:ind w:firstLine="354" w:firstLineChars="147"/>
        <w:rPr>
          <w:rFonts w:ascii="黑体" w:hAnsi="黑体" w:eastAsia="黑体"/>
          <w:b/>
          <w:color w:val="auto"/>
          <w:sz w:val="24"/>
          <w:highlight w:val="none"/>
        </w:rPr>
      </w:pPr>
      <w:bookmarkStart w:id="2" w:name="_Toc35393629"/>
      <w:bookmarkStart w:id="3" w:name="_Toc28359089"/>
      <w:bookmarkStart w:id="4" w:name="_Toc71365905"/>
      <w:bookmarkStart w:id="5" w:name="_Toc28359012"/>
      <w:bookmarkStart w:id="6" w:name="_Toc44229878"/>
      <w:bookmarkStart w:id="7" w:name="_Toc35393798"/>
      <w:r>
        <w:rPr>
          <w:rFonts w:hint="eastAsia" w:ascii="黑体" w:hAnsi="黑体" w:eastAsia="黑体"/>
          <w:b/>
          <w:color w:val="auto"/>
          <w:sz w:val="24"/>
          <w:highlight w:val="none"/>
        </w:rPr>
        <w:t>一、项目基本情况</w:t>
      </w:r>
      <w:bookmarkEnd w:id="2"/>
      <w:bookmarkEnd w:id="3"/>
      <w:bookmarkEnd w:id="4"/>
      <w:bookmarkEnd w:id="5"/>
      <w:bookmarkEnd w:id="6"/>
      <w:bookmarkEnd w:id="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GXZC2024-C3-002707-GXCJ</w:t>
      </w:r>
      <w:r>
        <w:rPr>
          <w:rFonts w:hint="eastAsia" w:ascii="宋体" w:hAnsi="宋体"/>
          <w:color w:val="auto"/>
          <w:szCs w:val="21"/>
          <w:highlight w:val="none"/>
        </w:rPr>
        <w:t>（政府采购计划编号：广西政采[202</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1681</w:t>
      </w:r>
      <w:r>
        <w:rPr>
          <w:rFonts w:hint="eastAsia" w:ascii="宋体" w:hAnsi="宋体"/>
          <w:color w:val="auto"/>
          <w:szCs w:val="21"/>
          <w:highlight w:val="none"/>
        </w:rPr>
        <w:t>号）</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广西壮族自治区医疗保障局2024短信服务项目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102</w:t>
      </w:r>
      <w:r>
        <w:rPr>
          <w:rFonts w:ascii="宋体" w:hAnsi="宋体"/>
          <w:color w:val="auto"/>
          <w:szCs w:val="21"/>
          <w:highlight w:val="none"/>
        </w:rPr>
        <w:t>.00</w:t>
      </w:r>
      <w:r>
        <w:rPr>
          <w:rFonts w:hint="eastAsia" w:ascii="宋体" w:hAnsi="宋体"/>
          <w:color w:val="auto"/>
          <w:szCs w:val="21"/>
          <w:highlight w:val="none"/>
        </w:rPr>
        <w:t>万元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ascii="宋体" w:hAnsi="宋体"/>
          <w:color w:val="auto"/>
          <w:szCs w:val="21"/>
          <w:highlight w:val="none"/>
        </w:rPr>
        <w:t>1</w:t>
      </w:r>
      <w:r>
        <w:rPr>
          <w:rFonts w:hint="eastAsia" w:ascii="宋体" w:hAnsi="宋体"/>
          <w:color w:val="auto"/>
          <w:szCs w:val="21"/>
          <w:highlight w:val="none"/>
          <w:lang w:val="en-US" w:eastAsia="zh-CN"/>
        </w:rPr>
        <w:t>02</w:t>
      </w:r>
      <w:r>
        <w:rPr>
          <w:rFonts w:ascii="宋体" w:hAnsi="宋体"/>
          <w:color w:val="auto"/>
          <w:szCs w:val="21"/>
          <w:highlight w:val="none"/>
        </w:rPr>
        <w:t>.00</w:t>
      </w:r>
      <w:r>
        <w:rPr>
          <w:rFonts w:hint="eastAsia" w:ascii="宋体" w:hAnsi="宋体"/>
          <w:color w:val="auto"/>
          <w:szCs w:val="21"/>
          <w:highlight w:val="none"/>
        </w:rPr>
        <w:t>万元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32"/>
        <w:tblW w:w="90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599"/>
        <w:gridCol w:w="1087"/>
        <w:gridCol w:w="47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5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数量单位</w:t>
            </w:r>
          </w:p>
        </w:tc>
        <w:tc>
          <w:tcPr>
            <w:tcW w:w="47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5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广西壮族自治区医疗保障局2024短信服务项目</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7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default"/>
                <w:color w:val="auto"/>
                <w:highlight w:val="none"/>
                <w:lang w:val="en-US"/>
              </w:rPr>
            </w:pPr>
            <w:r>
              <w:rPr>
                <w:rFonts w:hint="eastAsia"/>
                <w:color w:val="auto"/>
                <w:highlight w:val="none"/>
                <w:lang w:val="en-US" w:eastAsia="zh-CN"/>
              </w:rPr>
              <w:t>我局通过广西医保信息平台为社会公众提供医疗保障公共服务，范围辐射各医保经办机构、各定点医药机构、各参保单位和全区参保人。其中核心业务经办、网上服务大厅、综合办公平台等系统在业务受理、公文办理、用户注册网厅等多个业务场景需使用短信发送服务。具体详见竞争性磋商文件。</w:t>
            </w:r>
          </w:p>
        </w:tc>
      </w:tr>
    </w:tbl>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自合同签订之日起至2024年12月31日。</w:t>
      </w:r>
    </w:p>
    <w:p>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本项目是接受联合体</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否</w:t>
      </w:r>
    </w:p>
    <w:p>
      <w:pPr>
        <w:spacing w:line="360" w:lineRule="exact"/>
        <w:ind w:firstLine="354" w:firstLineChars="147"/>
        <w:rPr>
          <w:rFonts w:ascii="黑体" w:hAnsi="黑体" w:eastAsia="黑体"/>
          <w:b/>
          <w:color w:val="auto"/>
          <w:sz w:val="24"/>
          <w:highlight w:val="none"/>
        </w:rPr>
      </w:pPr>
      <w:bookmarkStart w:id="8" w:name="_Toc71365906"/>
      <w:bookmarkStart w:id="9" w:name="_Toc28359090"/>
      <w:bookmarkStart w:id="10" w:name="_Toc35393799"/>
      <w:bookmarkStart w:id="11" w:name="_Toc44229879"/>
      <w:bookmarkStart w:id="12" w:name="_Toc28359013"/>
      <w:bookmarkStart w:id="13" w:name="_Toc35393630"/>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pPr>
        <w:spacing w:line="360" w:lineRule="exact"/>
        <w:ind w:firstLine="420" w:firstLineChars="200"/>
        <w:rPr>
          <w:rFonts w:ascii="宋体" w:hAnsi="宋体"/>
          <w:color w:val="auto"/>
          <w:szCs w:val="21"/>
          <w:highlight w:val="none"/>
        </w:rPr>
      </w:pPr>
      <w:bookmarkStart w:id="14" w:name="_Toc44229880"/>
      <w:bookmarkStart w:id="15" w:name="_Toc35393631"/>
      <w:bookmarkStart w:id="16" w:name="_Toc35393800"/>
      <w:bookmarkStart w:id="17" w:name="_Toc28359091"/>
      <w:bookmarkStart w:id="18" w:name="_Toc28359014"/>
      <w:r>
        <w:rPr>
          <w:rFonts w:hint="eastAsia" w:ascii="宋体" w:hAnsi="宋体"/>
          <w:color w:val="auto"/>
          <w:szCs w:val="21"/>
          <w:highlight w:val="none"/>
        </w:rPr>
        <w:t>1.满足《中华人民共和国政府采购法》第二十二条规定；</w:t>
      </w:r>
    </w:p>
    <w:p>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非专门面向中小企业采购的项目；</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Start w:id="19" w:name="_Toc71365907"/>
      <w:r>
        <w:rPr>
          <w:rFonts w:hint="eastAsia" w:ascii="宋体" w:hAnsi="宋体"/>
          <w:color w:val="auto"/>
          <w:szCs w:val="21"/>
          <w:highlight w:val="none"/>
          <w:lang w:val="en-US" w:eastAsia="zh-CN"/>
        </w:rPr>
        <w:t>供应商具有有效期内的《基础电信业务经营许可证》或《增值电信业务经营许可证》（非基础运营商还须提供有效期内的《电信网码号资源使用证书》）</w:t>
      </w:r>
    </w:p>
    <w:p>
      <w:pPr>
        <w:spacing w:line="360" w:lineRule="exact"/>
        <w:ind w:firstLine="420" w:firstLineChars="200"/>
        <w:rPr>
          <w:rFonts w:ascii="宋体" w:hAnsi="宋体"/>
          <w:color w:val="auto"/>
          <w:highlight w:val="none"/>
        </w:rPr>
      </w:pPr>
    </w:p>
    <w:p>
      <w:pPr>
        <w:spacing w:line="360" w:lineRule="exact"/>
        <w:ind w:firstLine="482" w:firstLineChars="200"/>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pPr>
        <w:spacing w:line="360" w:lineRule="exact"/>
        <w:ind w:firstLine="420" w:firstLineChars="200"/>
        <w:rPr>
          <w:rFonts w:ascii="宋体" w:hAnsi="宋体" w:cs="宋体"/>
          <w:bCs/>
          <w:color w:val="auto"/>
          <w:kern w:val="0"/>
          <w:szCs w:val="21"/>
          <w:highlight w:val="none"/>
        </w:rPr>
      </w:pPr>
      <w:bookmarkStart w:id="20" w:name="_Toc35393801"/>
      <w:bookmarkStart w:id="21" w:name="_Toc28359092"/>
      <w:bookmarkStart w:id="22" w:name="_Toc28359015"/>
      <w:bookmarkStart w:id="23" w:name="_Toc44229881"/>
      <w:bookmarkStart w:id="24" w:name="_Toc35393632"/>
      <w:r>
        <w:rPr>
          <w:rFonts w:hint="eastAsia" w:ascii="宋体" w:hAnsi="宋体" w:cs="宋体"/>
          <w:bCs/>
          <w:color w:val="auto"/>
          <w:kern w:val="0"/>
          <w:szCs w:val="21"/>
          <w:highlight w:val="none"/>
        </w:rPr>
        <w:t>时间：</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至1</w:t>
      </w:r>
      <w:r>
        <w:rPr>
          <w:rFonts w:ascii="宋体" w:hAnsi="宋体" w:cs="宋体"/>
          <w:bCs/>
          <w:color w:val="auto"/>
          <w:kern w:val="0"/>
          <w:szCs w:val="21"/>
          <w:highlight w:val="none"/>
        </w:rPr>
        <w:t>2</w:t>
      </w:r>
      <w:r>
        <w:rPr>
          <w:rFonts w:hint="eastAsia" w:ascii="宋体" w:hAnsi="宋体" w:cs="宋体"/>
          <w:bCs/>
          <w:color w:val="auto"/>
          <w:kern w:val="0"/>
          <w:szCs w:val="21"/>
          <w:highlight w:val="none"/>
        </w:rPr>
        <w:t>:0</w:t>
      </w:r>
      <w:r>
        <w:rPr>
          <w:rFonts w:ascii="宋体" w:hAnsi="宋体" w:cs="宋体"/>
          <w:bCs/>
          <w:color w:val="auto"/>
          <w:kern w:val="0"/>
          <w:szCs w:val="21"/>
          <w:highlight w:val="none"/>
        </w:rPr>
        <w:t>0</w:t>
      </w:r>
      <w:r>
        <w:rPr>
          <w:rFonts w:hint="eastAsia" w:ascii="宋体" w:hAnsi="宋体" w:cs="宋体"/>
          <w:bCs/>
          <w:color w:val="auto"/>
          <w:kern w:val="0"/>
          <w:szCs w:val="21"/>
          <w:highlight w:val="none"/>
        </w:rPr>
        <w:t>，下午</w:t>
      </w:r>
      <w:r>
        <w:rPr>
          <w:rFonts w:ascii="宋体" w:hAnsi="宋体" w:cs="宋体"/>
          <w:bCs/>
          <w:color w:val="auto"/>
          <w:kern w:val="0"/>
          <w:szCs w:val="21"/>
          <w:highlight w:val="none"/>
        </w:rPr>
        <w:t>12</w:t>
      </w:r>
      <w:r>
        <w:rPr>
          <w:rFonts w:hint="eastAsia" w:ascii="宋体" w:hAnsi="宋体" w:cs="宋体"/>
          <w:bCs/>
          <w:color w:val="auto"/>
          <w:kern w:val="0"/>
          <w:szCs w:val="21"/>
          <w:highlight w:val="none"/>
        </w:rPr>
        <w:t>:0</w:t>
      </w:r>
      <w:r>
        <w:rPr>
          <w:rFonts w:ascii="宋体" w:hAnsi="宋体" w:cs="宋体"/>
          <w:bCs/>
          <w:color w:val="auto"/>
          <w:kern w:val="0"/>
          <w:szCs w:val="21"/>
          <w:highlight w:val="none"/>
        </w:rPr>
        <w:t>0</w:t>
      </w:r>
      <w:r>
        <w:rPr>
          <w:rFonts w:hint="eastAsia" w:ascii="宋体" w:hAnsi="宋体" w:cs="宋体"/>
          <w:bCs/>
          <w:color w:val="auto"/>
          <w:kern w:val="0"/>
          <w:szCs w:val="21"/>
          <w:highlight w:val="none"/>
        </w:rPr>
        <w:t>至</w:t>
      </w:r>
      <w:r>
        <w:rPr>
          <w:rFonts w:ascii="宋体" w:hAnsi="宋体" w:cs="宋体"/>
          <w:bCs/>
          <w:color w:val="auto"/>
          <w:kern w:val="0"/>
          <w:szCs w:val="21"/>
          <w:highlight w:val="none"/>
        </w:rPr>
        <w:t>23</w:t>
      </w:r>
      <w:r>
        <w:rPr>
          <w:rFonts w:hint="eastAsia" w:ascii="宋体" w:hAnsi="宋体" w:cs="宋体"/>
          <w:bCs/>
          <w:color w:val="auto"/>
          <w:kern w:val="0"/>
          <w:szCs w:val="21"/>
          <w:highlight w:val="none"/>
        </w:rPr>
        <w:t>:</w:t>
      </w:r>
      <w:r>
        <w:rPr>
          <w:rFonts w:ascii="宋体" w:hAnsi="宋体" w:cs="宋体"/>
          <w:bCs/>
          <w:color w:val="auto"/>
          <w:kern w:val="0"/>
          <w:szCs w:val="21"/>
          <w:highlight w:val="none"/>
        </w:rPr>
        <w:t>59</w:t>
      </w:r>
      <w:r>
        <w:rPr>
          <w:rFonts w:hint="eastAsia" w:ascii="宋体" w:hAnsi="宋体" w:cs="宋体"/>
          <w:bCs/>
          <w:color w:val="auto"/>
          <w:kern w:val="0"/>
          <w:szCs w:val="21"/>
          <w:highlight w:val="none"/>
        </w:rPr>
        <w:t>（北京时间）</w:t>
      </w:r>
    </w:p>
    <w:p>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pPr>
        <w:spacing w:line="360" w:lineRule="exact"/>
        <w:ind w:firstLine="420" w:firstLineChars="200"/>
        <w:rPr>
          <w:rFonts w:hint="eastAsia" w:ascii="Arial" w:hAnsi="Arial" w:eastAsia="宋体" w:cs="Arial"/>
          <w:color w:val="auto"/>
          <w:kern w:val="0"/>
          <w:szCs w:val="21"/>
          <w:highlight w:val="none"/>
          <w:lang w:eastAsia="zh-CN"/>
        </w:rPr>
      </w:pPr>
      <w:bookmarkStart w:id="25" w:name="_Toc71365908"/>
      <w:r>
        <w:rPr>
          <w:rFonts w:hint="eastAsia" w:ascii="宋体" w:hAnsi="宋体"/>
          <w:color w:val="auto"/>
          <w:szCs w:val="21"/>
          <w:highlight w:val="none"/>
        </w:rPr>
        <w:t>获取方式:网上下载。本项目不发放纸质采购文件，供应商登录广西政府采购云平台https://www.gcy.zfcg.gxzf.gov.cn/在线申请获取采购文件（进入“项目采购”应用，在获取采购文件菜单中选择项目，申请获取采购文件）</w:t>
      </w:r>
      <w:r>
        <w:rPr>
          <w:rFonts w:hint="eastAsia" w:ascii="宋体" w:hAnsi="宋体"/>
          <w:color w:val="auto"/>
          <w:szCs w:val="21"/>
          <w:highlight w:val="none"/>
          <w:lang w:eastAsia="zh-CN"/>
        </w:rPr>
        <w:t>。</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采购文件售价：</w:t>
      </w:r>
      <w:r>
        <w:rPr>
          <w:rFonts w:ascii="宋体" w:hAnsi="宋体"/>
          <w:color w:val="auto"/>
          <w:szCs w:val="21"/>
          <w:highlight w:val="none"/>
        </w:rPr>
        <w:t>0</w:t>
      </w:r>
      <w:r>
        <w:rPr>
          <w:rFonts w:hint="eastAsia" w:ascii="宋体" w:hAnsi="宋体"/>
          <w:color w:val="auto"/>
          <w:szCs w:val="21"/>
          <w:highlight w:val="none"/>
        </w:rPr>
        <w:t>元。</w:t>
      </w:r>
    </w:p>
    <w:p>
      <w:pPr>
        <w:spacing w:line="36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20"/>
      <w:bookmarkEnd w:id="21"/>
      <w:bookmarkEnd w:id="22"/>
      <w:bookmarkEnd w:id="23"/>
      <w:bookmarkEnd w:id="24"/>
      <w:bookmarkEnd w:id="25"/>
    </w:p>
    <w:p>
      <w:pPr>
        <w:spacing w:line="360" w:lineRule="exact"/>
        <w:ind w:firstLine="420" w:firstLineChars="200"/>
        <w:rPr>
          <w:rFonts w:ascii="宋体" w:hAnsi="宋体"/>
          <w:bCs/>
          <w:color w:val="auto"/>
          <w:szCs w:val="21"/>
          <w:highlight w:val="none"/>
        </w:rPr>
      </w:pPr>
      <w:bookmarkStart w:id="26" w:name="_Toc44229882"/>
      <w:bookmarkStart w:id="27" w:name="_Toc28359093"/>
      <w:bookmarkStart w:id="28" w:name="_Toc35393633"/>
      <w:bookmarkStart w:id="29" w:name="_Toc28359016"/>
      <w:bookmarkStart w:id="30" w:name="_Toc35393802"/>
      <w:r>
        <w:rPr>
          <w:rFonts w:hint="eastAsia" w:ascii="宋体" w:hAnsi="宋体"/>
          <w:color w:val="auto"/>
          <w:szCs w:val="21"/>
          <w:highlight w:val="none"/>
        </w:rPr>
        <w:t>截止时间：</w:t>
      </w:r>
      <w:r>
        <w:rPr>
          <w:rFonts w:ascii="宋体" w:hAnsi="宋体"/>
          <w:bCs/>
          <w:color w:val="auto"/>
          <w:szCs w:val="21"/>
          <w:highlight w:val="none"/>
          <w:u w:val="single"/>
        </w:rPr>
        <w:t>2024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地点：</w:t>
      </w:r>
      <w:r>
        <w:rPr>
          <w:rFonts w:hint="eastAsia" w:ascii="宋体" w:hAnsi="宋体"/>
          <w:color w:val="auto"/>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pPr>
        <w:spacing w:line="360" w:lineRule="exact"/>
        <w:ind w:firstLine="354" w:firstLineChars="147"/>
        <w:rPr>
          <w:rFonts w:ascii="黑体" w:hAnsi="黑体" w:eastAsia="黑体"/>
          <w:b/>
          <w:color w:val="auto"/>
          <w:sz w:val="24"/>
          <w:highlight w:val="none"/>
        </w:rPr>
      </w:pPr>
      <w:bookmarkStart w:id="31" w:name="_Toc71365909"/>
      <w:r>
        <w:rPr>
          <w:rFonts w:hint="eastAsia" w:ascii="黑体" w:hAnsi="黑体" w:eastAsia="黑体"/>
          <w:b/>
          <w:color w:val="auto"/>
          <w:sz w:val="24"/>
          <w:highlight w:val="none"/>
        </w:rPr>
        <w:t>五、开启</w:t>
      </w:r>
      <w:bookmarkEnd w:id="26"/>
      <w:bookmarkEnd w:id="27"/>
      <w:bookmarkEnd w:id="28"/>
      <w:bookmarkEnd w:id="29"/>
      <w:bookmarkEnd w:id="30"/>
      <w:bookmarkEnd w:id="31"/>
    </w:p>
    <w:p>
      <w:pP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ascii="宋体" w:hAnsi="宋体"/>
          <w:bCs/>
          <w:color w:val="auto"/>
          <w:szCs w:val="21"/>
          <w:highlight w:val="none"/>
          <w:u w:val="single"/>
        </w:rPr>
        <w:t>2024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pP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color w:val="auto"/>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pPr>
        <w:spacing w:line="360" w:lineRule="exact"/>
        <w:ind w:firstLine="354" w:firstLineChars="147"/>
        <w:rPr>
          <w:rFonts w:ascii="黑体" w:hAnsi="黑体" w:eastAsia="黑体"/>
          <w:b/>
          <w:color w:val="auto"/>
          <w:sz w:val="24"/>
          <w:highlight w:val="none"/>
        </w:rPr>
      </w:pPr>
      <w:bookmarkStart w:id="32" w:name="_Toc28359094"/>
      <w:bookmarkStart w:id="33" w:name="_Toc28359017"/>
      <w:bookmarkStart w:id="34" w:name="_Toc44229883"/>
      <w:bookmarkStart w:id="35" w:name="_Toc35393803"/>
      <w:bookmarkStart w:id="36" w:name="_Toc35393634"/>
      <w:bookmarkStart w:id="37" w:name="_Toc71365910"/>
      <w:r>
        <w:rPr>
          <w:rFonts w:hint="eastAsia" w:ascii="黑体" w:hAnsi="黑体" w:eastAsia="黑体"/>
          <w:b/>
          <w:color w:val="auto"/>
          <w:sz w:val="24"/>
          <w:highlight w:val="none"/>
        </w:rPr>
        <w:t>六、公告期限</w:t>
      </w:r>
      <w:bookmarkEnd w:id="32"/>
      <w:bookmarkEnd w:id="33"/>
      <w:bookmarkEnd w:id="34"/>
      <w:bookmarkEnd w:id="35"/>
      <w:bookmarkEnd w:id="36"/>
      <w:bookmarkEnd w:id="37"/>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spacing w:line="360" w:lineRule="exact"/>
        <w:ind w:firstLine="354" w:firstLineChars="147"/>
        <w:rPr>
          <w:rFonts w:ascii="黑体" w:hAnsi="黑体" w:eastAsia="黑体"/>
          <w:b/>
          <w:color w:val="auto"/>
          <w:sz w:val="24"/>
          <w:highlight w:val="none"/>
        </w:rPr>
      </w:pPr>
      <w:bookmarkStart w:id="38" w:name="_Toc44229884"/>
      <w:bookmarkStart w:id="39" w:name="_Toc35393635"/>
      <w:bookmarkStart w:id="40" w:name="_Toc71365911"/>
      <w:bookmarkStart w:id="41" w:name="_Toc35393804"/>
      <w:r>
        <w:rPr>
          <w:rFonts w:hint="eastAsia" w:ascii="黑体" w:hAnsi="黑体" w:eastAsia="黑体"/>
          <w:b/>
          <w:color w:val="auto"/>
          <w:sz w:val="24"/>
          <w:highlight w:val="none"/>
        </w:rPr>
        <w:t>七、其他补充事宜</w:t>
      </w:r>
      <w:bookmarkEnd w:id="38"/>
      <w:bookmarkEnd w:id="39"/>
      <w:bookmarkEnd w:id="40"/>
      <w:bookmarkEnd w:id="41"/>
    </w:p>
    <w:p>
      <w:pPr>
        <w:spacing w:line="360" w:lineRule="exact"/>
        <w:ind w:firstLine="420" w:firstLineChars="200"/>
        <w:rPr>
          <w:rFonts w:hint="eastAsia" w:ascii="宋体" w:hAnsi="宋体" w:eastAsia="宋体" w:cs="Times New Roman"/>
          <w:color w:val="auto"/>
          <w:szCs w:val="21"/>
          <w:highlight w:val="none"/>
        </w:rPr>
      </w:pPr>
      <w:bookmarkStart w:id="42" w:name="_Toc35393805"/>
      <w:bookmarkStart w:id="43" w:name="_Toc35393636"/>
      <w:bookmarkStart w:id="44" w:name="_Toc28359095"/>
      <w:bookmarkStart w:id="45" w:name="_Toc28359018"/>
      <w:bookmarkStart w:id="46" w:name="_Toc44229885"/>
      <w:r>
        <w:rPr>
          <w:rFonts w:hint="eastAsia" w:ascii="宋体" w:hAnsi="宋体" w:eastAsia="宋体" w:cs="Times New Roman"/>
          <w:color w:val="auto"/>
          <w:szCs w:val="21"/>
          <w:highlight w:val="none"/>
        </w:rPr>
        <w:t>1、磋商保证金（人民币）：</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000.00元整。</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保证金的交纳方式：银行转账、支票、汇票、本票或者银行、保险机构出具的保函，禁止采用现钞方式。采用银行转账方式的，在投标文件递交截止时间前交至采购代理机构指定账户并且到账（开户银行：</w:t>
      </w:r>
      <w:r>
        <w:rPr>
          <w:rFonts w:hint="eastAsia" w:ascii="宋体" w:hAnsi="宋体" w:eastAsia="宋体" w:cs="Times New Roman"/>
          <w:color w:val="auto"/>
          <w:szCs w:val="21"/>
          <w:highlight w:val="none"/>
          <w:lang w:eastAsia="zh-CN"/>
        </w:rPr>
        <w:t>中国建设银行股份有限公司南宁市民族大道东分理处</w:t>
      </w:r>
      <w:r>
        <w:rPr>
          <w:rFonts w:hint="eastAsia" w:ascii="宋体" w:hAnsi="宋体" w:eastAsia="宋体" w:cs="Times New Roman"/>
          <w:color w:val="auto"/>
          <w:szCs w:val="21"/>
          <w:highlight w:val="none"/>
        </w:rPr>
        <w:t>，开户名称：</w:t>
      </w:r>
      <w:r>
        <w:rPr>
          <w:rFonts w:hint="eastAsia" w:ascii="宋体" w:hAnsi="宋体" w:eastAsia="宋体" w:cs="Times New Roman"/>
          <w:color w:val="auto"/>
          <w:szCs w:val="21"/>
          <w:highlight w:val="none"/>
          <w:lang w:eastAsia="zh-CN"/>
        </w:rPr>
        <w:t>广西城建咨询设计有限公司</w:t>
      </w:r>
      <w:r>
        <w:rPr>
          <w:rFonts w:hint="eastAsia" w:ascii="宋体" w:hAnsi="宋体" w:eastAsia="宋体" w:cs="Times New Roman"/>
          <w:color w:val="auto"/>
          <w:szCs w:val="21"/>
          <w:highlight w:val="none"/>
        </w:rPr>
        <w:t>，银行账号：</w:t>
      </w:r>
      <w:r>
        <w:rPr>
          <w:rFonts w:hint="eastAsia" w:ascii="宋体" w:hAnsi="宋体" w:eastAsia="宋体" w:cs="Times New Roman"/>
          <w:color w:val="auto"/>
          <w:szCs w:val="21"/>
          <w:highlight w:val="none"/>
          <w:lang w:eastAsia="zh-CN"/>
        </w:rPr>
        <w:t>4500 1604 6530 5070 3663</w:t>
      </w:r>
      <w:r>
        <w:rPr>
          <w:rFonts w:hint="eastAsia" w:ascii="宋体" w:hAnsi="宋体" w:eastAsia="宋体" w:cs="Times New Roman"/>
          <w:color w:val="auto"/>
          <w:szCs w:val="21"/>
          <w:highlight w:val="none"/>
        </w:rPr>
        <w:t>）。</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、发布公告的媒介：中国政府采购网、广西壮族自治区政府采购网。</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、本项目需要落实的政府采购政策：</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（1）政府采购促进中小企业发展；</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（2）政府采购支持监狱企业发展；</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（3）政府采购促进残疾人就业政策；</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（4）本项目为服务项目，不涉及强制采购节能产品；</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（5）政府采购支持采用本国产品的政策；</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（6）优先采购节能产品、环境标志产品。</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、资格条件特别说明：</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(3)已获取磋商文件的供应商不等于符合本项目的供应商资格条件。</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电子竞标相关事宜：</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项目为全流程电子化采购项目，通过“广西政府采购云平台”（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 “广西政府采购云平台”，供应商在“广西政府采购云平台”提交</w:t>
      </w:r>
      <w:bookmarkStart w:id="125" w:name="_GoBack"/>
      <w:r>
        <w:rPr>
          <w:rFonts w:hint="eastAsia" w:ascii="宋体" w:hAnsi="宋体" w:eastAsia="宋体" w:cs="Times New Roman"/>
          <w:color w:val="auto"/>
          <w:szCs w:val="21"/>
          <w:highlight w:val="none"/>
        </w:rPr>
        <w:t>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Times New Roman"/>
          <w:color w:val="auto"/>
          <w:szCs w:val="21"/>
          <w:highlight w:val="none"/>
        </w:rPr>
        <w:br w:type="textWrapping"/>
      </w:r>
      <w:r>
        <w:rPr>
          <w:rFonts w:hint="eastAsia" w:ascii="宋体" w:hAnsi="宋体" w:eastAsia="宋体" w:cs="Times New Roman"/>
          <w:color w:val="auto"/>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r>
        <w:rPr>
          <w:rFonts w:hint="eastAsia" w:ascii="宋体" w:hAnsi="宋体" w:eastAsia="宋体" w:cs="Times New Roman"/>
          <w:color w:val="auto"/>
          <w:szCs w:val="21"/>
          <w:highlight w:val="none"/>
        </w:rPr>
        <w:br w:type="textWrapping"/>
      </w:r>
      <w:r>
        <w:rPr>
          <w:rFonts w:hint="eastAsia" w:ascii="宋体" w:hAnsi="宋体" w:eastAsia="宋体" w:cs="Times New Roman"/>
          <w:color w:val="auto"/>
          <w:szCs w:val="21"/>
          <w:highlight w:val="none"/>
        </w:rPr>
        <w:t>（3）CA证书在线解密：供应商投标时，需凭制作响应文件时用来加密的有效数字证书（CA认证）登录“广西政府采购云平台”电子开标大厅现场按规定时间对加密的响应文件进行解密，否则后果自负。</w:t>
      </w:r>
      <w:r>
        <w:rPr>
          <w:rFonts w:hint="eastAsia" w:ascii="宋体" w:hAnsi="宋体" w:eastAsia="宋体" w:cs="Times New Roman"/>
          <w:color w:val="auto"/>
          <w:szCs w:val="21"/>
          <w:highlight w:val="none"/>
        </w:rPr>
        <w:br w:type="textWrapping"/>
      </w:r>
      <w:r>
        <w:rPr>
          <w:rFonts w:hint="eastAsia" w:ascii="宋体" w:hAnsi="宋体" w:eastAsia="宋体" w:cs="Times New Roman"/>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竞标截止时间前完成电子响应文件的上传、提交，竞标截止时间前可以补充、修改或者撤回响应文件。补充或者修改响应文件的，应当先行撤回原响应文件，补充、修改后</w:t>
      </w:r>
      <w:bookmarkEnd w:id="125"/>
      <w:r>
        <w:rPr>
          <w:rFonts w:hint="eastAsia" w:ascii="宋体" w:hAnsi="宋体" w:eastAsia="宋体" w:cs="Times New Roman"/>
          <w:color w:val="auto"/>
          <w:szCs w:val="21"/>
          <w:highlight w:val="none"/>
        </w:rPr>
        <w:t>重新上传、提交，提交响应文件截止时间前未完成上传、提交的，视为撤回响应文件。提交响应文件截止时间以后上传递交的响应文件，“广西政府采购云平台”将予以拒收。</w:t>
      </w:r>
      <w:r>
        <w:rPr>
          <w:rFonts w:hint="eastAsia" w:ascii="宋体" w:hAnsi="宋体" w:eastAsia="宋体" w:cs="Times New Roman"/>
          <w:color w:val="auto"/>
          <w:szCs w:val="21"/>
          <w:highlight w:val="none"/>
        </w:rPr>
        <w:br w:type="textWrapping"/>
      </w:r>
      <w:r>
        <w:rPr>
          <w:rFonts w:hint="eastAsia" w:ascii="宋体" w:hAnsi="宋体" w:eastAsia="宋体" w:cs="Times New Roman"/>
          <w:color w:val="auto"/>
          <w:szCs w:val="21"/>
          <w:highlight w:val="none"/>
        </w:rPr>
        <w:t>（4）供应商需要在具备有摄像头及语音功能且互联网网络状况良好的电脑登录“广西政府采购云平台”远程开标大厅参与本次磋商，否则后果自负。</w:t>
      </w:r>
      <w:r>
        <w:rPr>
          <w:rFonts w:hint="eastAsia" w:ascii="宋体" w:hAnsi="宋体" w:eastAsia="宋体" w:cs="Times New Roman"/>
          <w:color w:val="auto"/>
          <w:szCs w:val="21"/>
          <w:highlight w:val="none"/>
        </w:rPr>
        <w:br w:type="textWrapping"/>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若对项目采购电子交易系统操作有疑问，可登录“广西政府采购云平台”（https://www.gcy.zfcg.gxzf.gov.cn/），点击右侧咨询小采，获取采小蜜智能服务管家帮助，或拨打政采云服务热线95763获取热线服务帮助。</w:t>
      </w:r>
    </w:p>
    <w:p>
      <w:pPr>
        <w:spacing w:line="36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bookmarkEnd w:id="1"/>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广西壮族自治区医疗保障局</w:t>
      </w:r>
    </w:p>
    <w:p>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广西壮族自治区星湖路 26 号</w:t>
      </w:r>
    </w:p>
    <w:p>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梁洁冰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0771-2428316</w:t>
      </w:r>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    称：广西城建咨询设计有限公司</w:t>
      </w:r>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　　址：南宁市青秀区金湖路58号广西建设大厦三楼</w:t>
      </w:r>
    </w:p>
    <w:p>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廖启迪</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13617881090</w:t>
      </w:r>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廖启迪</w:t>
      </w:r>
    </w:p>
    <w:p>
      <w:pPr>
        <w:spacing w:line="360" w:lineRule="exact"/>
        <w:ind w:firstLine="420" w:firstLineChars="200"/>
        <w:rPr>
          <w:rFonts w:hint="eastAsia" w:ascii="宋体" w:hAnsi="宋体" w:eastAsia="宋体" w:cs="仿宋"/>
          <w:color w:val="auto"/>
          <w:kern w:val="0"/>
          <w:szCs w:val="21"/>
          <w:highlight w:val="none"/>
          <w:lang w:eastAsia="zh-CN"/>
        </w:rPr>
      </w:pPr>
      <w:r>
        <w:rPr>
          <w:rFonts w:hint="eastAsia" w:ascii="宋体" w:hAnsi="宋体" w:cs="宋体"/>
          <w:color w:val="auto"/>
          <w:kern w:val="0"/>
          <w:szCs w:val="21"/>
          <w:highlight w:val="none"/>
        </w:rPr>
        <w:t>电　　话：</w:t>
      </w:r>
      <w:r>
        <w:rPr>
          <w:rFonts w:hint="eastAsia" w:ascii="宋体" w:hAnsi="宋体" w:cs="宋体"/>
          <w:color w:val="auto"/>
          <w:kern w:val="0"/>
          <w:szCs w:val="21"/>
          <w:highlight w:val="none"/>
          <w:lang w:eastAsia="zh-CN"/>
        </w:rPr>
        <w:t>13617881090</w:t>
      </w:r>
    </w:p>
    <w:p>
      <w:pPr>
        <w:pStyle w:val="41"/>
        <w:ind w:firstLine="480"/>
        <w:rPr>
          <w:color w:val="auto"/>
          <w:highlight w:val="none"/>
        </w:rPr>
      </w:pPr>
    </w:p>
    <w:p>
      <w:pPr>
        <w:pStyle w:val="4"/>
        <w:jc w:val="center"/>
        <w:rPr>
          <w:color w:val="auto"/>
          <w:highlight w:val="none"/>
        </w:rPr>
      </w:pPr>
      <w:bookmarkStart w:id="47" w:name="_Toc151675537"/>
      <w:r>
        <w:rPr>
          <w:rFonts w:hint="eastAsia"/>
          <w:color w:val="auto"/>
          <w:highlight w:val="none"/>
        </w:rPr>
        <w:t xml:space="preserve">第二章 </w:t>
      </w:r>
      <w:r>
        <w:rPr>
          <w:color w:val="auto"/>
          <w:highlight w:val="none"/>
        </w:rPr>
        <w:t xml:space="preserve"> </w:t>
      </w:r>
      <w:r>
        <w:rPr>
          <w:rFonts w:hint="eastAsia"/>
          <w:color w:val="auto"/>
          <w:highlight w:val="none"/>
        </w:rPr>
        <w:t>供应商须知</w:t>
      </w:r>
      <w:bookmarkEnd w:id="47"/>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ascii="宋体" w:hAnsi="宋体"/>
          <w:b/>
          <w:color w:val="auto"/>
          <w:sz w:val="32"/>
          <w:szCs w:val="32"/>
          <w:highlight w:val="none"/>
        </w:rPr>
      </w:pPr>
    </w:p>
    <w:tbl>
      <w:tblPr>
        <w:tblStyle w:val="32"/>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9"/>
        <w:gridCol w:w="8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tcPr>
          <w:p>
            <w:pPr>
              <w:spacing w:line="430" w:lineRule="exact"/>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条款号</w:t>
            </w:r>
          </w:p>
        </w:tc>
        <w:tc>
          <w:tcPr>
            <w:tcW w:w="8359" w:type="dxa"/>
          </w:tcPr>
          <w:p>
            <w:pPr>
              <w:spacing w:line="430" w:lineRule="exact"/>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8359" w:type="dxa"/>
            <w:vAlign w:val="center"/>
          </w:tcPr>
          <w:p>
            <w:pPr>
              <w:spacing w:line="43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1.供应商的资格条件</w:t>
            </w:r>
            <w:r>
              <w:rPr>
                <w:rFonts w:hint="eastAsia" w:cs="宋体" w:asciiTheme="minorEastAsia" w:hAnsiTheme="minorEastAsia" w:eastAsiaTheme="minorEastAsia"/>
                <w:color w:val="auto"/>
                <w:szCs w:val="21"/>
                <w:highlight w:val="none"/>
              </w:rPr>
              <w:t>：详见竞争性磋商公告</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Cs/>
                <w:color w:val="auto"/>
                <w:szCs w:val="21"/>
                <w:highlight w:val="none"/>
              </w:rPr>
              <w:t>供应商</w:t>
            </w:r>
            <w:r>
              <w:rPr>
                <w:rFonts w:hint="eastAsia" w:cs="宋体" w:asciiTheme="minorEastAsia" w:hAnsiTheme="minorEastAsia" w:eastAsiaTheme="minorEastAsia"/>
                <w:color w:val="auto"/>
                <w:szCs w:val="21"/>
                <w:highlight w:val="none"/>
              </w:rPr>
              <w:t>出现下列情形之一的，不得参加政府采购活动：</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5.1</w:t>
            </w:r>
          </w:p>
        </w:tc>
        <w:tc>
          <w:tcPr>
            <w:tcW w:w="8359" w:type="dxa"/>
            <w:vAlign w:val="center"/>
          </w:tcPr>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.2</w:t>
            </w:r>
          </w:p>
        </w:tc>
        <w:tc>
          <w:tcPr>
            <w:tcW w:w="8359" w:type="dxa"/>
            <w:vAlign w:val="center"/>
          </w:tcPr>
          <w:p>
            <w:pPr>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如接受联合体磋商，联合体磋商要求如下：</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两个以上供应商可以组成一个磋商联合体，以一个供应商的身份共同参加磋商。联合体磋商的，须提供《联合体竞标协议书》（格式后附）。</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以联合体形式参加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联合体各方之间必须签订联合磋商协议，协议书必须明确主体方（或者牵头方）并明确约定联合体各方承担的工作和相应的责任（</w:t>
            </w:r>
            <w:r>
              <w:rPr>
                <w:rFonts w:hint="eastAsia" w:cs="宋体" w:asciiTheme="minorEastAsia" w:hAnsiTheme="minorEastAsia" w:eastAsiaTheme="minorEastAsia"/>
                <w:b/>
                <w:color w:val="auto"/>
                <w:szCs w:val="21"/>
                <w:highlight w:val="none"/>
              </w:rPr>
              <w:t>各方承担责任与义务的分工必须符合采购需求，否则，联合体竞标无效</w:t>
            </w:r>
            <w:r>
              <w:rPr>
                <w:rFonts w:hint="eastAsia" w:cs="宋体" w:asciiTheme="minorEastAsia" w:hAnsiTheme="minorEastAsia" w:eastAsiaTheme="minorEastAsia"/>
                <w:color w:val="auto"/>
                <w:szCs w:val="21"/>
                <w:highlight w:val="none"/>
              </w:rPr>
              <w:t>），并将联合竞标协议放入响应文件。联合体各方必须共同与采购人签订采购合同，就采购合同约定的事项对采购人承担连带责任。</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以联合体形式参加政府采购活动的，联合体各方不得再单独参加或者与其他供应商另外组成联合体参加同一合同项下的政府采购活动。</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联合体中有同类资质的供应商按照联合体分工承担相同工作的，应当按照资质等级较低的供应商确定资质等级。</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联合体磋商业绩、履约能力按照联合体各方中较高的一方认定并计算（磋商文件另有规定的除外）。</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供应商为联合体的，可以由联合体中的一方或者多方共同交纳磋商保证金，其交纳的保证金对联合体各方均具有约束力。</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6.2</w:t>
            </w:r>
          </w:p>
        </w:tc>
        <w:tc>
          <w:tcPr>
            <w:tcW w:w="8359" w:type="dxa"/>
            <w:vAlign w:val="center"/>
          </w:tcPr>
          <w:p>
            <w:pPr>
              <w:pStyle w:val="16"/>
              <w:spacing w:line="430" w:lineRule="exac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√不允许分包</w:t>
            </w:r>
          </w:p>
          <w:p>
            <w:pPr>
              <w:pStyle w:val="16"/>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□允许分包</w:t>
            </w:r>
          </w:p>
          <w:p>
            <w:pPr>
              <w:pStyle w:val="16"/>
              <w:spacing w:line="430" w:lineRule="exac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分包内容：</w:t>
            </w:r>
            <w:r>
              <w:rPr>
                <w:rFonts w:hint="eastAsia" w:asciiTheme="minorEastAsia" w:hAnsiTheme="minorEastAsia" w:eastAsiaTheme="minorEastAsia"/>
                <w:color w:val="auto"/>
                <w:szCs w:val="21"/>
                <w:highlight w:val="none"/>
                <w:u w:val="single"/>
              </w:rPr>
              <w:t>/。</w:t>
            </w:r>
          </w:p>
          <w:p>
            <w:pPr>
              <w:pStyle w:val="16"/>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分包金额或者比例：</w:t>
            </w:r>
            <w:r>
              <w:rPr>
                <w:rFonts w:hint="eastAsia" w:asciiTheme="minorEastAsia" w:hAnsiTheme="minorEastAsia" w:eastAsiaTheme="minorEastAsia"/>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12.1.</w:t>
            </w:r>
            <w:r>
              <w:rPr>
                <w:rFonts w:cs="宋体" w:asciiTheme="minorEastAsia" w:hAnsiTheme="minorEastAsia" w:eastAsiaTheme="minorEastAsia"/>
                <w:color w:val="auto"/>
                <w:szCs w:val="21"/>
                <w:highlight w:val="none"/>
              </w:rPr>
              <w:t>1</w:t>
            </w:r>
          </w:p>
        </w:tc>
        <w:tc>
          <w:tcPr>
            <w:tcW w:w="8359" w:type="dxa"/>
            <w:vAlign w:val="center"/>
          </w:tcPr>
          <w:p>
            <w:pP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资格证明文件</w:t>
            </w:r>
          </w:p>
          <w:p>
            <w:pPr>
              <w:pStyle w:val="16"/>
              <w:spacing w:line="43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 供应商依法缴纳税收的相关材料（</w:t>
            </w:r>
            <w:r>
              <w:rPr>
                <w:rFonts w:hint="eastAsia" w:ascii="宋体" w:hAnsi="宋体" w:cs="宋体"/>
                <w:color w:val="auto"/>
                <w:szCs w:val="21"/>
                <w:highlight w:val="none"/>
              </w:rPr>
              <w:t>提交响应文件截止时间前半年内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ascii="宋体" w:hAnsi="宋体" w:cs="宋体"/>
                <w:color w:val="auto"/>
                <w:szCs w:val="21"/>
                <w:highlight w:val="none"/>
              </w:rPr>
              <w:t>3</w:t>
            </w:r>
            <w:r>
              <w:rPr>
                <w:rFonts w:hint="eastAsia" w:ascii="宋体" w:hAnsi="宋体" w:cs="宋体"/>
                <w:color w:val="auto"/>
                <w:szCs w:val="21"/>
                <w:highlight w:val="none"/>
              </w:rPr>
              <w:t>个月的</w:t>
            </w:r>
            <w:r>
              <w:rPr>
                <w:rFonts w:hint="eastAsia" w:cs="宋体" w:asciiTheme="minorEastAsia" w:hAnsiTheme="minorEastAsia" w:eastAsiaTheme="minorEastAsia"/>
                <w:color w:val="auto"/>
                <w:szCs w:val="21"/>
                <w:highlight w:val="none"/>
              </w:rPr>
              <w:t>依法缴纳税收的凭据复印件；</w:t>
            </w:r>
            <w:r>
              <w:rPr>
                <w:rFonts w:hint="eastAsia" w:asciiTheme="minorEastAsia" w:hAnsiTheme="minorEastAsia" w:eastAsiaTheme="minorEastAsia"/>
                <w:color w:val="auto"/>
                <w:szCs w:val="21"/>
                <w:highlight w:val="none"/>
              </w:rPr>
              <w:t>依法免税的，必须提供相应文件证明其依法免税。</w:t>
            </w:r>
            <w:r>
              <w:rPr>
                <w:rFonts w:hint="eastAsia" w:cs="宋体" w:asciiTheme="minorEastAsia" w:hAnsiTheme="minorEastAsia" w:eastAsiaTheme="minorEastAsia"/>
                <w:color w:val="auto"/>
                <w:szCs w:val="21"/>
                <w:highlight w:val="none"/>
              </w:rPr>
              <w:t>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到响应文件提交截止时间止不足要求月数的，只需提供从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的依法缴纳税收</w:t>
            </w:r>
            <w:r>
              <w:rPr>
                <w:rFonts w:hint="eastAsia" w:asciiTheme="minorEastAsia" w:hAnsiTheme="minorEastAsia" w:eastAsiaTheme="minorEastAsia"/>
                <w:color w:val="auto"/>
                <w:szCs w:val="21"/>
                <w:highlight w:val="none"/>
              </w:rPr>
              <w:t>相应证明文件</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 供应商依法缴纳社会保障资金的相关材料</w:t>
            </w:r>
            <w:r>
              <w:rPr>
                <w:rFonts w:hint="eastAsia" w:ascii="宋体" w:hAnsi="宋体" w:cs="宋体"/>
                <w:color w:val="auto"/>
                <w:szCs w:val="21"/>
                <w:highlight w:val="none"/>
              </w:rPr>
              <w:t>[提交响应文件截止时间前半年内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ascii="宋体" w:hAnsi="宋体" w:cs="宋体"/>
                <w:color w:val="auto"/>
                <w:szCs w:val="21"/>
                <w:highlight w:val="none"/>
              </w:rPr>
              <w:t>3</w:t>
            </w:r>
            <w:r>
              <w:rPr>
                <w:rFonts w:hint="eastAsia" w:ascii="宋体" w:hAnsi="宋体" w:cs="宋体"/>
                <w:color w:val="auto"/>
                <w:szCs w:val="21"/>
                <w:highlight w:val="none"/>
              </w:rPr>
              <w:t>个月的</w:t>
            </w:r>
            <w:r>
              <w:rPr>
                <w:rFonts w:hint="eastAsia" w:cs="宋体" w:asciiTheme="minorEastAsia" w:hAnsiTheme="minorEastAsia" w:eastAsiaTheme="minorEastAsia"/>
                <w:color w:val="auto"/>
                <w:szCs w:val="21"/>
                <w:highlight w:val="none"/>
              </w:rPr>
              <w:t>依法缴纳社会保障资金的缴费凭证（专用收据或者社会保险缴纳清单）复印件；</w:t>
            </w:r>
            <w:r>
              <w:rPr>
                <w:rFonts w:hint="eastAsia" w:asciiTheme="minorEastAsia" w:hAnsiTheme="minorEastAsia" w:eastAsiaTheme="minorEastAsia"/>
                <w:color w:val="auto"/>
                <w:szCs w:val="21"/>
                <w:highlight w:val="none"/>
              </w:rPr>
              <w:t>依法不需要缴纳社会保障资金的，必须提供相应文件证明不需要缴纳社会保障资金。</w:t>
            </w:r>
            <w:r>
              <w:rPr>
                <w:rFonts w:hint="eastAsia" w:cs="宋体" w:asciiTheme="minorEastAsia" w:hAnsiTheme="minorEastAsia" w:eastAsiaTheme="minorEastAsia"/>
                <w:color w:val="auto"/>
                <w:szCs w:val="21"/>
                <w:highlight w:val="none"/>
              </w:rPr>
              <w:t>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到响应文件提交截止时间止不足要求月数的只需提供从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的依法缴纳社会保障资金的</w:t>
            </w:r>
            <w:r>
              <w:rPr>
                <w:rFonts w:hint="eastAsia" w:asciiTheme="minorEastAsia" w:hAnsiTheme="minorEastAsia" w:eastAsiaTheme="minorEastAsia"/>
                <w:color w:val="auto"/>
                <w:szCs w:val="21"/>
                <w:highlight w:val="none"/>
              </w:rPr>
              <w:t>相应证明文件</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contextualSpacing/>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4. 供应商</w:t>
            </w:r>
            <w:r>
              <w:rPr>
                <w:rFonts w:hint="eastAsia" w:asciiTheme="minorEastAsia" w:hAnsiTheme="minorEastAsia" w:eastAsiaTheme="minorEastAsia"/>
                <w:color w:val="auto"/>
                <w:szCs w:val="21"/>
                <w:highlight w:val="none"/>
              </w:rPr>
              <w:t>财务状况报告（</w:t>
            </w:r>
            <w:r>
              <w:rPr>
                <w:rFonts w:hint="eastAsia" w:asciiTheme="minorEastAsia" w:hAnsiTheme="minorEastAsia" w:eastAsiaTheme="minorEastAsia"/>
                <w:color w:val="auto"/>
                <w:szCs w:val="21"/>
                <w:highlight w:val="none"/>
                <w:u w:val="single"/>
              </w:rPr>
              <w:t>2</w:t>
            </w:r>
            <w:r>
              <w:rPr>
                <w:rFonts w:asciiTheme="minorEastAsia" w:hAnsiTheme="minorEastAsia" w:eastAsiaTheme="minorEastAsia"/>
                <w:color w:val="auto"/>
                <w:szCs w:val="21"/>
                <w:highlight w:val="none"/>
                <w:u w:val="single"/>
              </w:rPr>
              <w:t>022</w:t>
            </w:r>
            <w:r>
              <w:rPr>
                <w:rFonts w:hint="eastAsia" w:asciiTheme="minorEastAsia" w:hAnsiTheme="minorEastAsia" w:eastAsiaTheme="minorEastAsia"/>
                <w:color w:val="auto"/>
                <w:szCs w:val="21"/>
                <w:highlight w:val="none"/>
              </w:rPr>
              <w:t>年度财务</w:t>
            </w:r>
            <w:r>
              <w:rPr>
                <w:rFonts w:hint="eastAsia" w:asciiTheme="minorEastAsia" w:hAnsiTheme="minorEastAsia" w:eastAsiaTheme="minorEastAsia"/>
                <w:color w:val="auto"/>
                <w:szCs w:val="21"/>
                <w:highlight w:val="none"/>
                <w:lang w:val="en-US" w:eastAsia="zh-CN"/>
              </w:rPr>
              <w:t>报告</w:t>
            </w:r>
            <w:r>
              <w:rPr>
                <w:rFonts w:hint="eastAsia" w:asciiTheme="minorEastAsia" w:hAnsiTheme="minorEastAsia" w:eastAsiaTheme="minorEastAsia"/>
                <w:color w:val="auto"/>
                <w:szCs w:val="21"/>
                <w:highlight w:val="none"/>
              </w:rPr>
              <w:t>复印件，或者银行出具的资信证明，或者中国人民银行征信中心出具的信用报告（企业竞标的提供企业信用报告，自然人竞标的提供个人信用报告）；供应商属于成立时间</w:t>
            </w:r>
            <w:r>
              <w:rPr>
                <w:rFonts w:hint="eastAsia" w:asciiTheme="minorEastAsia" w:hAnsiTheme="minorEastAsia" w:eastAsiaTheme="minorEastAsia"/>
                <w:color w:val="auto"/>
                <w:kern w:val="0"/>
                <w:szCs w:val="21"/>
                <w:highlight w:val="none"/>
              </w:rPr>
              <w:t>在规定年度之后</w:t>
            </w:r>
            <w:r>
              <w:rPr>
                <w:rFonts w:hint="eastAsia" w:asciiTheme="minorEastAsia" w:hAnsiTheme="minorEastAsia" w:eastAsiaTheme="minorEastAsia"/>
                <w:color w:val="auto"/>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w:t>
            </w:r>
            <w:r>
              <w:rPr>
                <w:rFonts w:hint="eastAsia" w:asciiTheme="minorEastAsia" w:hAnsiTheme="minorEastAsia" w:eastAsiaTheme="minorEastAsia"/>
                <w:b/>
                <w:color w:val="auto"/>
                <w:szCs w:val="21"/>
                <w:highlight w:val="none"/>
              </w:rPr>
              <w:t>必须提供</w:t>
            </w:r>
            <w:r>
              <w:rPr>
                <w:rFonts w:hint="eastAsia" w:cs="宋体" w:asciiTheme="minorEastAsia" w:hAnsiTheme="minorEastAsia" w:eastAsiaTheme="minorEastAsia"/>
                <w:b/>
                <w:color w:val="auto"/>
                <w:szCs w:val="21"/>
                <w:highlight w:val="none"/>
              </w:rPr>
              <w:t>，否则响应文件按无效响应处理</w:t>
            </w:r>
            <w:r>
              <w:rPr>
                <w:rFonts w:hint="eastAsia" w:cs="宋体" w:asciiTheme="minorEastAsia" w:hAnsiTheme="minorEastAsia" w:eastAsiaTheme="minorEastAsia"/>
                <w:bCs/>
                <w:color w:val="auto"/>
                <w:szCs w:val="21"/>
                <w:highlight w:val="none"/>
              </w:rPr>
              <w:t>）</w:t>
            </w:r>
          </w:p>
          <w:p>
            <w:pP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5.供应商直接控股、管理关系信息表（格式后附）；（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6.竞标声明（格式后附）；（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napToGrid w:val="0"/>
              <w:spacing w:line="430" w:lineRule="exact"/>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.联合体竞标协议书（格式后附）；（</w:t>
            </w:r>
            <w:r>
              <w:rPr>
                <w:rFonts w:hint="eastAsia" w:cs="宋体" w:asciiTheme="minorEastAsia" w:hAnsiTheme="minorEastAsia" w:eastAsiaTheme="minorEastAsia"/>
                <w:b/>
                <w:color w:val="auto"/>
                <w:szCs w:val="21"/>
                <w:highlight w:val="none"/>
              </w:rPr>
              <w:t>联合体竞标时必须提供，否则响应文件按无效响应处理</w:t>
            </w:r>
            <w:r>
              <w:rPr>
                <w:rFonts w:hint="eastAsia" w:cs="宋体" w:asciiTheme="minorEastAsia" w:hAnsiTheme="minorEastAsia" w:eastAsiaTheme="minorEastAsia"/>
                <w:color w:val="auto"/>
                <w:szCs w:val="21"/>
                <w:highlight w:val="none"/>
              </w:rPr>
              <w:t>）</w:t>
            </w:r>
          </w:p>
          <w:p>
            <w:pP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本项目的特定资格要求：</w:t>
            </w:r>
            <w:r>
              <w:rPr>
                <w:rFonts w:hint="eastAsia" w:cs="宋体" w:asciiTheme="minorEastAsia" w:hAnsiTheme="minorEastAsia" w:eastAsiaTheme="minorEastAsia"/>
                <w:color w:val="auto"/>
                <w:szCs w:val="21"/>
                <w:highlight w:val="none"/>
                <w:lang w:val="en-US" w:eastAsia="zh-CN"/>
              </w:rPr>
              <w:t>供应商具有有效期内的《基础电信业务经营许可证》或《增值电信业务经营许可证》（非基础运营商还须提供有效期内的《电信网码号资源使用证书》）</w:t>
            </w:r>
          </w:p>
          <w:p>
            <w:pP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9</w:t>
            </w:r>
            <w:r>
              <w:rPr>
                <w:rFonts w:hint="eastAsia" w:cs="宋体" w:asciiTheme="minorEastAsia" w:hAnsiTheme="minorEastAsia" w:eastAsiaTheme="minorEastAsia"/>
                <w:color w:val="auto"/>
                <w:szCs w:val="21"/>
                <w:highlight w:val="none"/>
              </w:rPr>
              <w:t>.除磋商文件规定必须提供以外，供应商认为需要提供的其他证明材料。（如有，请提供）</w:t>
            </w:r>
          </w:p>
          <w:p>
            <w:pP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w:t>
            </w:r>
          </w:p>
          <w:p>
            <w:pPr>
              <w:snapToGrid w:val="0"/>
              <w:spacing w:line="430" w:lineRule="exact"/>
              <w:ind w:firstLine="413" w:firstLineChars="196"/>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1.以上标明“必须提供”的材料属于复印件的，必须加盖供应商</w:t>
            </w:r>
            <w:r>
              <w:rPr>
                <w:rFonts w:hint="eastAsia" w:asciiTheme="minorEastAsia" w:hAnsiTheme="minorEastAsia" w:eastAsiaTheme="minorEastAsia"/>
                <w:b/>
                <w:color w:val="auto"/>
                <w:szCs w:val="21"/>
                <w:highlight w:val="none"/>
              </w:rPr>
              <w:t>电子签章</w:t>
            </w:r>
            <w:r>
              <w:rPr>
                <w:rFonts w:hint="eastAsia" w:cs="宋体" w:asciiTheme="minorEastAsia" w:hAnsiTheme="minorEastAsia" w:eastAsiaTheme="minorEastAsia"/>
                <w:b/>
                <w:color w:val="auto"/>
                <w:szCs w:val="21"/>
                <w:highlight w:val="none"/>
              </w:rPr>
              <w:t>，否则响应文件按无效处理。</w:t>
            </w:r>
          </w:p>
          <w:p>
            <w:pPr>
              <w:pStyle w:val="16"/>
              <w:spacing w:line="43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2.联合体竞标时，第1-5项资格证明文件联合体各方均必须分别提供，</w:t>
            </w:r>
            <w:r>
              <w:rPr>
                <w:rFonts w:hint="eastAsia" w:asciiTheme="minorEastAsia" w:hAnsiTheme="minorEastAsia" w:eastAsiaTheme="minorEastAsia"/>
                <w:b/>
                <w:color w:val="auto"/>
                <w:szCs w:val="21"/>
                <w:highlight w:val="none"/>
              </w:rPr>
              <w:t>并由</w:t>
            </w:r>
            <w:r>
              <w:rPr>
                <w:rFonts w:hint="eastAsia" w:cs="宋体" w:asciiTheme="minorEastAsia" w:hAnsiTheme="minorEastAsia" w:eastAsiaTheme="minorEastAsia"/>
                <w:b/>
                <w:color w:val="auto"/>
                <w:szCs w:val="21"/>
                <w:highlight w:val="none"/>
              </w:rPr>
              <w:t>联合体</w:t>
            </w:r>
            <w:r>
              <w:rPr>
                <w:rFonts w:hint="eastAsia" w:asciiTheme="minorEastAsia" w:hAnsiTheme="minorEastAsia" w:eastAsiaTheme="minorEastAsia"/>
                <w:b/>
                <w:color w:val="auto"/>
                <w:szCs w:val="21"/>
                <w:highlight w:val="none"/>
              </w:rPr>
              <w:t>牵头人加盖电子签章</w:t>
            </w:r>
            <w:r>
              <w:rPr>
                <w:rFonts w:hint="eastAsia" w:cs="宋体" w:asciiTheme="minorEastAsia" w:hAnsiTheme="minorEastAsia" w:eastAsiaTheme="minorEastAsia"/>
                <w:b/>
                <w:color w:val="auto"/>
                <w:szCs w:val="21"/>
                <w:highlight w:val="none"/>
              </w:rPr>
              <w:t>，</w:t>
            </w:r>
            <w:r>
              <w:rPr>
                <w:rFonts w:hint="eastAsia" w:asciiTheme="minorEastAsia" w:hAnsiTheme="minorEastAsia" w:eastAsiaTheme="minorEastAsia"/>
                <w:b/>
                <w:color w:val="auto"/>
                <w:szCs w:val="21"/>
                <w:highlight w:val="none"/>
              </w:rPr>
              <w:t>规定签字</w:t>
            </w:r>
            <w:r>
              <w:rPr>
                <w:rFonts w:hint="eastAsia" w:cs="宋体" w:asciiTheme="minorEastAsia" w:hAnsiTheme="minorEastAsia" w:eastAsiaTheme="minorEastAsia"/>
                <w:b/>
                <w:color w:val="auto"/>
                <w:szCs w:val="21"/>
                <w:highlight w:val="none"/>
              </w:rPr>
              <w:t>处签字</w:t>
            </w:r>
            <w:r>
              <w:rPr>
                <w:rFonts w:hint="eastAsia" w:asciiTheme="minorEastAsia" w:hAnsiTheme="minorEastAsia" w:eastAsiaTheme="minorEastAsia"/>
                <w:b/>
                <w:bCs/>
                <w:color w:val="auto"/>
                <w:szCs w:val="21"/>
                <w:highlight w:val="none"/>
              </w:rPr>
              <w:t>（或者电子签名）</w:t>
            </w:r>
            <w:r>
              <w:rPr>
                <w:rFonts w:hint="eastAsia" w:cs="宋体" w:asciiTheme="minorEastAsia" w:hAnsiTheme="minorEastAsia" w:eastAsiaTheme="minorEastAsia"/>
                <w:b/>
                <w:color w:val="auto"/>
                <w:szCs w:val="21"/>
                <w:highlight w:val="none"/>
              </w:rPr>
              <w:t>，否则响应文件按无效处理。</w:t>
            </w:r>
          </w:p>
          <w:p>
            <w:pPr>
              <w:pStyle w:val="16"/>
              <w:spacing w:line="430" w:lineRule="exact"/>
              <w:ind w:firstLine="422" w:firstLineChars="200"/>
              <w:rPr>
                <w:rFonts w:cs="宋体" w:asciiTheme="minorEastAsia" w:hAnsiTheme="minorEastAsia" w:eastAsiaTheme="minorEastAsia"/>
                <w:b/>
                <w:color w:val="auto"/>
                <w:szCs w:val="21"/>
                <w:highlight w:val="none"/>
              </w:rPr>
            </w:pPr>
            <w:r>
              <w:rPr>
                <w:rFonts w:asciiTheme="minorEastAsia" w:hAnsiTheme="minorEastAsia" w:eastAsiaTheme="minorEastAsia"/>
                <w:b/>
                <w:bCs/>
                <w:color w:val="auto"/>
                <w:szCs w:val="21"/>
                <w:highlight w:val="none"/>
              </w:rPr>
              <w:t>3</w:t>
            </w:r>
            <w:r>
              <w:rPr>
                <w:rFonts w:hint="eastAsia" w:asciiTheme="minorEastAsia" w:hAnsiTheme="minorEastAsia" w:eastAsiaTheme="minorEastAsia"/>
                <w:b/>
                <w:bCs/>
                <w:color w:val="auto"/>
                <w:szCs w:val="21"/>
                <w:highlight w:val="none"/>
              </w:rPr>
              <w:t>.分公司参加竞标的，应当取得总公司授权；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12.1.2</w:t>
            </w:r>
          </w:p>
        </w:tc>
        <w:tc>
          <w:tcPr>
            <w:tcW w:w="8359" w:type="dxa"/>
            <w:vAlign w:val="center"/>
          </w:tcPr>
          <w:p>
            <w:pPr>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报价文件</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1.响应函（格式后附）；（</w:t>
            </w:r>
            <w:r>
              <w:rPr>
                <w:rFonts w:hint="eastAsia" w:cs="宋体" w:asciiTheme="minorEastAsia" w:hAnsiTheme="minorEastAsia" w:eastAsiaTheme="minorEastAsia"/>
                <w:b/>
                <w:color w:val="auto"/>
                <w:szCs w:val="21"/>
                <w:highlight w:val="none"/>
              </w:rPr>
              <w:t>必须提供，否则响应文件按无效处理</w:t>
            </w:r>
            <w:r>
              <w:rPr>
                <w:rFonts w:hint="eastAsia" w:cs="宋体" w:asciiTheme="minorEastAsia" w:hAnsiTheme="minorEastAsia" w:eastAsiaTheme="minorEastAsia"/>
                <w:color w:val="auto"/>
                <w:szCs w:val="21"/>
                <w:highlight w:val="none"/>
              </w:rPr>
              <w:t>）</w:t>
            </w:r>
          </w:p>
          <w:p>
            <w:pPr>
              <w:spacing w:line="43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2.磋商报价表（格式后附）；（</w:t>
            </w:r>
            <w:r>
              <w:rPr>
                <w:rFonts w:hint="eastAsia" w:cs="宋体" w:asciiTheme="minorEastAsia" w:hAnsiTheme="minorEastAsia" w:eastAsiaTheme="minorEastAsia"/>
                <w:b/>
                <w:color w:val="auto"/>
                <w:szCs w:val="21"/>
                <w:highlight w:val="none"/>
              </w:rPr>
              <w:t>必须提供，否则响应文件按无效处理</w:t>
            </w:r>
            <w:r>
              <w:rPr>
                <w:rFonts w:hint="eastAsia" w:cs="宋体" w:asciiTheme="minorEastAsia" w:hAnsiTheme="minorEastAsia" w:eastAsiaTheme="minorEastAsia"/>
                <w:color w:val="auto"/>
                <w:szCs w:val="21"/>
                <w:highlight w:val="none"/>
              </w:rPr>
              <w:t>）</w:t>
            </w:r>
          </w:p>
          <w:p>
            <w:pPr>
              <w:spacing w:line="430" w:lineRule="exact"/>
              <w:rPr>
                <w:color w:val="auto"/>
                <w:highlight w:val="none"/>
              </w:rPr>
            </w:pP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.供应商认为需要提供的其他有关资料。</w:t>
            </w:r>
          </w:p>
          <w:p>
            <w:pP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w:t>
            </w:r>
          </w:p>
          <w:p>
            <w:pPr>
              <w:snapToGrid w:val="0"/>
              <w:spacing w:line="430" w:lineRule="exact"/>
              <w:ind w:firstLine="413" w:firstLineChars="196"/>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1.以上标明“必须提供”的材料属于复印件的，必须加盖供应商</w:t>
            </w:r>
            <w:r>
              <w:rPr>
                <w:rFonts w:hint="eastAsia" w:asciiTheme="minorEastAsia" w:hAnsiTheme="minorEastAsia" w:eastAsiaTheme="minorEastAsia"/>
                <w:b/>
                <w:color w:val="auto"/>
                <w:szCs w:val="21"/>
                <w:highlight w:val="none"/>
              </w:rPr>
              <w:t>电子签章</w:t>
            </w:r>
            <w:r>
              <w:rPr>
                <w:rFonts w:hint="eastAsia" w:cs="宋体" w:asciiTheme="minorEastAsia" w:hAnsiTheme="minorEastAsia" w:eastAsiaTheme="minorEastAsia"/>
                <w:b/>
                <w:color w:val="auto"/>
                <w:szCs w:val="21"/>
                <w:highlight w:val="none"/>
              </w:rPr>
              <w:t>，否则响应文件按无效处理。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.3</w:t>
            </w:r>
          </w:p>
        </w:tc>
        <w:tc>
          <w:tcPr>
            <w:tcW w:w="8359" w:type="dxa"/>
            <w:vAlign w:val="center"/>
          </w:tcPr>
          <w:p>
            <w:pPr>
              <w:spacing w:line="430" w:lineRule="exac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商务技术文件</w:t>
            </w:r>
          </w:p>
          <w:p>
            <w:pP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1.无串通竞标行为的承诺函（格式后附）；（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.法定代表人身份证明书及法定代表人有效身份证正反面复印件（格式后附）；（</w:t>
            </w:r>
            <w:r>
              <w:rPr>
                <w:rFonts w:hint="eastAsia" w:cs="宋体" w:asciiTheme="minorEastAsia" w:hAnsiTheme="minorEastAsia" w:eastAsiaTheme="minorEastAsia"/>
                <w:b/>
                <w:bCs/>
                <w:color w:val="auto"/>
                <w:szCs w:val="21"/>
                <w:highlight w:val="none"/>
              </w:rPr>
              <w:t>除自然人竞标外</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.授权委托书及委托代理人有效身份证正反面复印件（格式后附）；（</w:t>
            </w:r>
            <w:r>
              <w:rPr>
                <w:rFonts w:hint="eastAsia" w:cs="宋体" w:asciiTheme="minorEastAsia" w:hAnsiTheme="minorEastAsia" w:eastAsiaTheme="minorEastAsia"/>
                <w:b/>
                <w:color w:val="auto"/>
                <w:szCs w:val="21"/>
                <w:highlight w:val="none"/>
              </w:rPr>
              <w:t>委托时必须提供，否则响应文件按无效响应处理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.磋商保证金提交凭证；（</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.商务要求偏离表（格式后附）；（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对接</w:t>
            </w:r>
            <w:r>
              <w:rPr>
                <w:rFonts w:hint="eastAsia" w:cs="宋体" w:asciiTheme="minorEastAsia" w:hAnsiTheme="minorEastAsia" w:eastAsiaTheme="minorEastAsia"/>
                <w:color w:val="auto"/>
                <w:szCs w:val="21"/>
                <w:highlight w:val="none"/>
              </w:rPr>
              <w:t>方案（格式自拟）；（</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.技术要求偏离表（格式后附）；（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8</w:t>
            </w:r>
            <w:r>
              <w:rPr>
                <w:rFonts w:hint="eastAsia" w:cs="宋体" w:asciiTheme="minorEastAsia" w:hAnsiTheme="minorEastAsia" w:eastAsiaTheme="minorEastAsia"/>
                <w:color w:val="auto"/>
                <w:szCs w:val="21"/>
                <w:highlight w:val="none"/>
              </w:rPr>
              <w:t>.项目实施人员一览表（格式自拟）；（</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9</w:t>
            </w:r>
            <w:r>
              <w:rPr>
                <w:rFonts w:hint="eastAsia" w:cs="宋体" w:asciiTheme="minorEastAsia" w:hAnsiTheme="minorEastAsia" w:eastAsiaTheme="minorEastAsia"/>
                <w:color w:val="auto"/>
                <w:szCs w:val="21"/>
                <w:highlight w:val="none"/>
              </w:rPr>
              <w:t>.对应采购需求的技术要求、商务要求提供的其他文件资料（格式自拟）；</w:t>
            </w:r>
          </w:p>
          <w:p>
            <w:pP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.供应商认为需要提供的其他有关资料。</w:t>
            </w:r>
          </w:p>
          <w:p>
            <w:pP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注：以上标明“必须提供”的材料属于复印件的，必须加盖供应商</w:t>
            </w:r>
            <w:r>
              <w:rPr>
                <w:rFonts w:hint="eastAsia" w:asciiTheme="minorEastAsia" w:hAnsiTheme="minorEastAsia" w:eastAsiaTheme="minorEastAsia"/>
                <w:b/>
                <w:bCs/>
                <w:color w:val="auto"/>
                <w:szCs w:val="21"/>
                <w:highlight w:val="none"/>
              </w:rPr>
              <w:t>电子签章</w:t>
            </w:r>
            <w:r>
              <w:rPr>
                <w:rFonts w:hint="eastAsia" w:cs="宋体" w:asciiTheme="minorEastAsia" w:hAnsiTheme="minorEastAsia" w:eastAsiaTheme="minorEastAsia"/>
                <w:b/>
                <w:color w:val="auto"/>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15.2</w:t>
            </w:r>
          </w:p>
        </w:tc>
        <w:tc>
          <w:tcPr>
            <w:tcW w:w="8359" w:type="dxa"/>
            <w:vAlign w:val="center"/>
          </w:tcPr>
          <w:p>
            <w:pPr>
              <w:spacing w:line="430" w:lineRule="exact"/>
              <w:contextualSpacing/>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磋商报价是供应商完成本项目的全部服务内容及其相关工作所需的全部费用：</w:t>
            </w:r>
            <w:r>
              <w:rPr>
                <w:rFonts w:hint="eastAsia" w:cs="宋体" w:asciiTheme="minorEastAsia" w:hAnsiTheme="minorEastAsia" w:eastAsiaTheme="minorEastAsia"/>
                <w:color w:val="auto"/>
                <w:szCs w:val="21"/>
                <w:highlight w:val="none"/>
              </w:rPr>
              <w:t>应</w:t>
            </w:r>
            <w:r>
              <w:rPr>
                <w:rFonts w:hint="eastAsia" w:asciiTheme="minorEastAsia" w:hAnsiTheme="minorEastAsia" w:eastAsiaTheme="minorEastAsia"/>
                <w:color w:val="auto"/>
                <w:szCs w:val="21"/>
                <w:highlight w:val="none"/>
              </w:rPr>
              <w:t>包括服务价款，备件、技术培训及技术资料和税费等全部费用。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16.</w:t>
            </w:r>
            <w:r>
              <w:rPr>
                <w:rFonts w:cs="宋体" w:asciiTheme="minorEastAsia" w:hAnsiTheme="minorEastAsia" w:eastAsiaTheme="minorEastAsia"/>
                <w:color w:val="auto"/>
                <w:szCs w:val="21"/>
                <w:highlight w:val="none"/>
              </w:rPr>
              <w:t>2</w:t>
            </w:r>
          </w:p>
        </w:tc>
        <w:tc>
          <w:tcPr>
            <w:tcW w:w="8359" w:type="dxa"/>
            <w:vAlign w:val="center"/>
          </w:tcPr>
          <w:p>
            <w:pPr>
              <w:pStyle w:val="14"/>
              <w:widowControl w:val="0"/>
              <w:tabs>
                <w:tab w:val="clear" w:pos="454"/>
              </w:tabs>
              <w:snapToGrid w:val="0"/>
              <w:spacing w:afterLines="0" w:line="430" w:lineRule="exact"/>
              <w:ind w:left="283" w:hanging="283" w:hangingChars="135"/>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竞标有效期：自首次响应文件提交截止之日起</w:t>
            </w:r>
            <w:r>
              <w:rPr>
                <w:rFonts w:cs="宋体" w:asciiTheme="minorEastAsia" w:hAnsiTheme="minorEastAsia" w:eastAsiaTheme="minorEastAsia"/>
                <w:color w:val="auto"/>
                <w:kern w:val="2"/>
                <w:sz w:val="21"/>
                <w:szCs w:val="21"/>
                <w:highlight w:val="none"/>
                <w:u w:val="single"/>
              </w:rPr>
              <w:t>60</w:t>
            </w:r>
            <w:r>
              <w:rPr>
                <w:rFonts w:hint="eastAsia" w:cs="宋体" w:asciiTheme="minorEastAsia" w:hAnsiTheme="minorEastAsia" w:eastAsiaTheme="minorEastAsia"/>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17.1</w:t>
            </w:r>
          </w:p>
        </w:tc>
        <w:tc>
          <w:tcPr>
            <w:tcW w:w="8359" w:type="dxa"/>
            <w:vAlign w:val="center"/>
          </w:tcPr>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□本项目不收取磋商保证金。</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ascii="Segoe UI Symbol" w:hAnsi="Segoe UI Symbol" w:cs="Segoe UI Symbol" w:eastAsiaTheme="minorEastAsia"/>
                <w:color w:val="auto"/>
                <w:szCs w:val="21"/>
                <w:highlight w:val="none"/>
              </w:rPr>
              <w:t>☑</w:t>
            </w:r>
            <w:r>
              <w:rPr>
                <w:rFonts w:hint="eastAsia" w:asciiTheme="minorEastAsia" w:hAnsiTheme="minorEastAsia" w:eastAsiaTheme="minorEastAsia"/>
                <w:color w:val="auto"/>
                <w:szCs w:val="21"/>
                <w:highlight w:val="none"/>
              </w:rPr>
              <w:t>本项目收取磋商保证金，具体规定如下：</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磋商保证金人民币</w:t>
            </w:r>
            <w:r>
              <w:rPr>
                <w:rFonts w:hint="eastAsia" w:cs="宋体" w:asciiTheme="minorEastAsia" w:hAnsiTheme="minorEastAsia" w:eastAsiaTheme="minorEastAsia"/>
                <w:color w:val="auto"/>
                <w:kern w:val="0"/>
                <w:szCs w:val="21"/>
                <w:highlight w:val="none"/>
                <w:u w:val="single"/>
                <w:lang w:val="en-US" w:eastAsia="zh-CN"/>
              </w:rPr>
              <w:t>5</w:t>
            </w:r>
            <w:r>
              <w:rPr>
                <w:rFonts w:cs="宋体" w:asciiTheme="minorEastAsia" w:hAnsiTheme="minorEastAsia" w:eastAsiaTheme="minorEastAsia"/>
                <w:color w:val="auto"/>
                <w:kern w:val="0"/>
                <w:szCs w:val="21"/>
                <w:highlight w:val="none"/>
                <w:u w:val="single"/>
              </w:rPr>
              <w:t>000.00</w:t>
            </w:r>
            <w:r>
              <w:rPr>
                <w:rFonts w:hint="eastAsia" w:cs="宋体" w:asciiTheme="minorEastAsia" w:hAnsiTheme="minorEastAsia" w:eastAsiaTheme="minorEastAsia"/>
                <w:color w:val="auto"/>
                <w:kern w:val="0"/>
                <w:szCs w:val="21"/>
                <w:highlight w:val="none"/>
              </w:rPr>
              <w:t>元。</w:t>
            </w:r>
          </w:p>
          <w:p>
            <w:pPr>
              <w:snapToGrid w:val="0"/>
              <w:spacing w:line="430" w:lineRule="exac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办理磋商保证金手续时，请务必在银行进账单或电汇单的用途或空白栏上注明项目编号）【开户银行：</w:t>
            </w:r>
            <w:r>
              <w:rPr>
                <w:rFonts w:hint="eastAsia" w:cs="宋体" w:asciiTheme="minorEastAsia" w:hAnsiTheme="minorEastAsia" w:eastAsiaTheme="minorEastAsia"/>
                <w:color w:val="auto"/>
                <w:kern w:val="0"/>
                <w:szCs w:val="21"/>
                <w:highlight w:val="none"/>
                <w:u w:val="single"/>
              </w:rPr>
              <w:t>建行南宁民族大道东支行</w:t>
            </w:r>
            <w:r>
              <w:rPr>
                <w:rFonts w:hint="eastAsia" w:cs="宋体" w:asciiTheme="minorEastAsia" w:hAnsiTheme="minorEastAsia" w:eastAsiaTheme="minorEastAsia"/>
                <w:color w:val="auto"/>
                <w:kern w:val="0"/>
                <w:szCs w:val="21"/>
                <w:highlight w:val="none"/>
              </w:rPr>
              <w:t>，开户名称：</w:t>
            </w:r>
            <w:r>
              <w:rPr>
                <w:rFonts w:hint="eastAsia" w:cs="宋体" w:asciiTheme="minorEastAsia" w:hAnsiTheme="minorEastAsia" w:eastAsiaTheme="minorEastAsia"/>
                <w:color w:val="auto"/>
                <w:kern w:val="0"/>
                <w:szCs w:val="21"/>
                <w:highlight w:val="none"/>
                <w:u w:val="single"/>
              </w:rPr>
              <w:t>广西城建咨询设计有限公司</w:t>
            </w:r>
            <w:r>
              <w:rPr>
                <w:rFonts w:hint="eastAsia" w:cs="宋体" w:asciiTheme="minorEastAsia" w:hAnsiTheme="minorEastAsia" w:eastAsiaTheme="minorEastAsia"/>
                <w:color w:val="auto"/>
                <w:kern w:val="0"/>
                <w:szCs w:val="21"/>
                <w:highlight w:val="none"/>
              </w:rPr>
              <w:t>，银行账号：</w:t>
            </w:r>
            <w:r>
              <w:rPr>
                <w:rFonts w:cs="宋体" w:asciiTheme="minorEastAsia" w:hAnsiTheme="minorEastAsia" w:eastAsiaTheme="minorEastAsia"/>
                <w:color w:val="auto"/>
                <w:kern w:val="0"/>
                <w:szCs w:val="21"/>
                <w:highlight w:val="none"/>
                <w:u w:val="single"/>
              </w:rPr>
              <w:t>4500 1604 6530 5070 3663</w:t>
            </w:r>
            <w:r>
              <w:rPr>
                <w:rFonts w:hint="eastAsia" w:cs="宋体" w:asciiTheme="minorEastAsia" w:hAnsiTheme="minorEastAsia" w:eastAsiaTheme="minorEastAsia"/>
                <w:color w:val="auto"/>
                <w:kern w:val="0"/>
                <w:szCs w:val="21"/>
                <w:highlight w:val="none"/>
              </w:rPr>
              <w:t>】；采用支票、汇票、本票或者保函等方式的，在响应文件提交截止时间前，供应商必须提交单独密封的支票、汇票、本票或者保函原件。否则视为无效磋商保证金。</w:t>
            </w:r>
          </w:p>
          <w:p>
            <w:pPr>
              <w:snapToGrid w:val="0"/>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相关要求：</w:t>
            </w:r>
          </w:p>
          <w:p>
            <w:pPr>
              <w:snapToGrid w:val="0"/>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cs="宋体" w:asciiTheme="minorEastAsia" w:hAnsiTheme="minorEastAsia" w:eastAsiaTheme="minorEastAsia"/>
                <w:b/>
                <w:color w:val="auto"/>
                <w:szCs w:val="21"/>
                <w:highlight w:val="none"/>
              </w:rPr>
              <w:t>否则响应文件按无效响应处理</w:t>
            </w:r>
            <w:r>
              <w:rPr>
                <w:rFonts w:hint="eastAsia" w:cs="宋体" w:asciiTheme="minorEastAsia" w:hAnsiTheme="minorEastAsia" w:eastAsiaTheme="minorEastAsia"/>
                <w:color w:val="auto"/>
                <w:szCs w:val="21"/>
                <w:highlight w:val="none"/>
              </w:rPr>
              <w:t>。</w:t>
            </w:r>
          </w:p>
          <w:p>
            <w:pPr>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2.磋商保证金采用支票、汇票、本票或者银行、保险机构出具的保函交纳方式的，供应商应将支票、汇票、本票或者银行、保险机构出具的保函的复印件作为磋商保证金提交凭证，放置于</w:t>
            </w:r>
            <w:r>
              <w:rPr>
                <w:rFonts w:hint="eastAsia" w:cs="宋体" w:asciiTheme="minorEastAsia" w:hAnsiTheme="minorEastAsia" w:eastAsiaTheme="minorEastAsia"/>
                <w:color w:val="auto"/>
                <w:szCs w:val="21"/>
                <w:highlight w:val="none"/>
              </w:rPr>
              <w:t>商务技术文件</w:t>
            </w:r>
            <w:r>
              <w:rPr>
                <w:rFonts w:hint="eastAsia" w:asciiTheme="minorEastAsia" w:hAnsiTheme="minorEastAsia" w:eastAsiaTheme="minorEastAsia"/>
                <w:color w:val="auto"/>
                <w:szCs w:val="21"/>
                <w:highlight w:val="none"/>
              </w:rPr>
              <w:t>中，</w:t>
            </w:r>
            <w:r>
              <w:rPr>
                <w:rFonts w:hint="eastAsia" w:cs="宋体" w:asciiTheme="minorEastAsia" w:hAnsiTheme="minorEastAsia" w:eastAsiaTheme="minorEastAsia"/>
                <w:b/>
                <w:color w:val="auto"/>
                <w:szCs w:val="21"/>
                <w:highlight w:val="none"/>
              </w:rPr>
              <w:t>否则响应文件按无效处理</w:t>
            </w:r>
            <w:r>
              <w:rPr>
                <w:rFonts w:hint="eastAsia" w:asciiTheme="minorEastAsia" w:hAnsiTheme="minorEastAsia" w:eastAsiaTheme="minorEastAsia"/>
                <w:color w:val="auto"/>
                <w:szCs w:val="21"/>
                <w:highlight w:val="none"/>
              </w:rPr>
              <w:t>。供应商必须在响应文件提交截止时间前采用现场或邮寄方式（现场提交地址：</w:t>
            </w:r>
            <w:r>
              <w:rPr>
                <w:rFonts w:hint="eastAsia" w:asciiTheme="minorEastAsia" w:hAnsiTheme="minorEastAsia" w:eastAsiaTheme="minorEastAsia"/>
                <w:color w:val="auto"/>
                <w:szCs w:val="21"/>
                <w:highlight w:val="none"/>
                <w:u w:val="single"/>
              </w:rPr>
              <w:t>广西城建咨询设计有限公司</w:t>
            </w:r>
            <w:r>
              <w:rPr>
                <w:rFonts w:hint="eastAsia" w:asciiTheme="minorEastAsia" w:hAnsiTheme="minorEastAsia" w:eastAsiaTheme="minorEastAsia"/>
                <w:color w:val="auto"/>
                <w:szCs w:val="21"/>
                <w:highlight w:val="none"/>
              </w:rPr>
              <w:t>；邮寄地址：</w:t>
            </w:r>
            <w:r>
              <w:rPr>
                <w:rFonts w:hint="eastAsia" w:asciiTheme="minorEastAsia" w:hAnsiTheme="minorEastAsia" w:eastAsiaTheme="minorEastAsia"/>
                <w:color w:val="auto"/>
                <w:szCs w:val="21"/>
                <w:highlight w:val="none"/>
                <w:u w:val="single"/>
              </w:rPr>
              <w:t>南宁市青秀区金湖路58号广西建设大厦三楼</w:t>
            </w:r>
            <w:r>
              <w:rPr>
                <w:rFonts w:hint="eastAsia" w:asciiTheme="minorEastAsia" w:hAnsiTheme="minorEastAsia" w:eastAsiaTheme="minorEastAsia"/>
                <w:color w:val="auto"/>
                <w:szCs w:val="21"/>
                <w:highlight w:val="none"/>
              </w:rPr>
              <w:t>，收件人：</w:t>
            </w:r>
            <w:r>
              <w:rPr>
                <w:rFonts w:hint="eastAsia" w:asciiTheme="minorEastAsia" w:hAnsiTheme="minorEastAsia" w:eastAsiaTheme="minorEastAsia"/>
                <w:color w:val="auto"/>
                <w:szCs w:val="21"/>
                <w:highlight w:val="none"/>
                <w:u w:val="single"/>
                <w:lang w:eastAsia="zh-CN"/>
              </w:rPr>
              <w:t>廖启迪</w:t>
            </w:r>
            <w:r>
              <w:rPr>
                <w:rFonts w:hint="eastAsia" w:asciiTheme="minorEastAsia" w:hAnsiTheme="minorEastAsia" w:eastAsiaTheme="minorEastAsia"/>
                <w:color w:val="auto"/>
                <w:szCs w:val="21"/>
                <w:highlight w:val="none"/>
              </w:rPr>
              <w:t>，联系方式：</w:t>
            </w:r>
            <w:r>
              <w:rPr>
                <w:rFonts w:hint="eastAsia" w:asciiTheme="minorEastAsia" w:hAnsiTheme="minorEastAsia" w:eastAsiaTheme="minorEastAsia"/>
                <w:color w:val="auto"/>
                <w:szCs w:val="21"/>
                <w:highlight w:val="none"/>
                <w:u w:val="single"/>
                <w:lang w:eastAsia="zh-CN"/>
              </w:rPr>
              <w:t>13617881090</w:t>
            </w:r>
            <w:r>
              <w:rPr>
                <w:rFonts w:hint="eastAsia" w:asciiTheme="minorEastAsia" w:hAnsiTheme="minorEastAsia" w:eastAsiaTheme="minorEastAsia"/>
                <w:color w:val="auto"/>
                <w:szCs w:val="21"/>
                <w:highlight w:val="none"/>
              </w:rPr>
              <w:t>）将</w:t>
            </w:r>
            <w:r>
              <w:rPr>
                <w:rFonts w:hint="eastAsia" w:cs="宋体" w:asciiTheme="minorEastAsia" w:hAnsiTheme="minorEastAsia" w:eastAsiaTheme="minorEastAsia"/>
                <w:color w:val="auto"/>
                <w:kern w:val="0"/>
                <w:szCs w:val="21"/>
                <w:highlight w:val="none"/>
              </w:rPr>
              <w:t>单独密封的</w:t>
            </w:r>
            <w:r>
              <w:rPr>
                <w:rFonts w:hint="eastAsia" w:asciiTheme="minorEastAsia" w:hAnsiTheme="minorEastAsia" w:eastAsiaTheme="minorEastAsia"/>
                <w:color w:val="auto"/>
                <w:szCs w:val="21"/>
                <w:highlight w:val="none"/>
              </w:rPr>
              <w:t>支票、汇票、本票或者银行、保险机构出具的保函原件提交给采购人或者采购代理机构，由采购人或者采购代理机构向供应商出具回执（邮寄方式的除外），并妥善保管。</w:t>
            </w:r>
          </w:p>
          <w:p>
            <w:pP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3.供应商为联合体的，可以由联合体中的一方或者多方共同交纳磋商保证金，其交纳的保证金对联合体各方均具有约束力。</w:t>
            </w:r>
          </w:p>
          <w:p>
            <w:pP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备注：</w:t>
            </w:r>
          </w:p>
          <w:p>
            <w:pP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1.磋商保证金在响应文件提交截止时间后提交的，或者不按规定交纳方式交纳的，或者未足额交纳的（包含保函额度不足的），视为无效磋商保证金。</w:t>
            </w:r>
          </w:p>
          <w:p>
            <w:pP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2.供应商采用现钞方式或者从个人账户（自然人竞标除外）转出的磋商保证金，视为无效磋商保证金。</w:t>
            </w:r>
          </w:p>
          <w:p>
            <w:pP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3.支票、汇票或者本票出现无效或者背书情形的，视为无效磋商保证金。</w:t>
            </w:r>
          </w:p>
          <w:p>
            <w:pP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4.保函有效期低于竞标有效期的，视为无效磋商保证金。</w:t>
            </w:r>
          </w:p>
          <w:p>
            <w:pP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5.采用银行、保险机构出具保函的，必须为无条件保函，否则视为无效磋商保证金。</w:t>
            </w:r>
          </w:p>
          <w:p>
            <w:pPr>
              <w:snapToGrid w:val="0"/>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6</w:t>
            </w:r>
            <w:r>
              <w:rPr>
                <w:rFonts w:asciiTheme="minorEastAsia" w:hAnsiTheme="minorEastAsia" w:eastAsiaTheme="minorEastAsia"/>
                <w:b/>
                <w:color w:val="auto"/>
                <w:szCs w:val="21"/>
                <w:highlight w:val="none"/>
              </w:rPr>
              <w:t>.</w:t>
            </w:r>
            <w:r>
              <w:rPr>
                <w:rFonts w:hint="eastAsia" w:asciiTheme="minorEastAsia" w:hAnsiTheme="minorEastAsia" w:eastAsiaTheme="minorEastAsia"/>
                <w:b/>
                <w:color w:val="auto"/>
                <w:szCs w:val="21"/>
                <w:highlight w:val="none"/>
                <w:lang w:eastAsia="zh-CN"/>
              </w:rPr>
              <w:t>广西政府采购云平台</w:t>
            </w:r>
            <w:r>
              <w:rPr>
                <w:rFonts w:hint="eastAsia" w:asciiTheme="minorEastAsia" w:hAnsiTheme="minorEastAsia" w:eastAsiaTheme="minorEastAsia"/>
                <w:b/>
                <w:color w:val="auto"/>
                <w:szCs w:val="21"/>
                <w:highlight w:val="none"/>
              </w:rPr>
              <w:t>暂未</w:t>
            </w:r>
            <w:r>
              <w:rPr>
                <w:rFonts w:asciiTheme="minorEastAsia" w:hAnsiTheme="minorEastAsia" w:eastAsiaTheme="minorEastAsia"/>
                <w:b/>
                <w:color w:val="auto"/>
                <w:szCs w:val="21"/>
                <w:highlight w:val="none"/>
              </w:rPr>
              <w:t>支持电子保函功能</w:t>
            </w:r>
            <w:r>
              <w:rPr>
                <w:rFonts w:hint="eastAsia" w:asciiTheme="minorEastAsia" w:hAnsiTheme="minorEastAsia" w:eastAsiaTheme="minorEastAsia"/>
                <w:b/>
                <w:color w:val="auto"/>
                <w:szCs w:val="21"/>
                <w:highlight w:val="none"/>
              </w:rPr>
              <w:t>，</w:t>
            </w:r>
            <w:r>
              <w:rPr>
                <w:rFonts w:asciiTheme="minorEastAsia" w:hAnsiTheme="minorEastAsia" w:eastAsiaTheme="minorEastAsia"/>
                <w:b/>
                <w:color w:val="auto"/>
                <w:szCs w:val="21"/>
                <w:highlight w:val="none"/>
              </w:rPr>
              <w:t>故本项目暂不接受电子保函形式的保证金</w:t>
            </w:r>
            <w:r>
              <w:rPr>
                <w:rFonts w:hint="eastAsia" w:asciiTheme="minorEastAsia" w:hAnsiTheme="minorEastAsia" w:eastAsiaTheme="minorEastAsia"/>
                <w:b/>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19</w:t>
            </w:r>
          </w:p>
        </w:tc>
        <w:tc>
          <w:tcPr>
            <w:tcW w:w="8359" w:type="dxa"/>
            <w:vAlign w:val="center"/>
          </w:tcPr>
          <w:p>
            <w:pPr>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本项目不接受电子备份响应文件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20.1</w:t>
            </w:r>
          </w:p>
        </w:tc>
        <w:tc>
          <w:tcPr>
            <w:tcW w:w="8359" w:type="dxa"/>
            <w:vAlign w:val="center"/>
          </w:tcPr>
          <w:p>
            <w:pPr>
              <w:spacing w:line="430" w:lineRule="exact"/>
              <w:contextualSpacing/>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响应文件提交截止时间：详见竞争性磋商公告。</w:t>
            </w:r>
          </w:p>
          <w:p>
            <w:pPr>
              <w:spacing w:line="430" w:lineRule="exact"/>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24.1</w:t>
            </w:r>
          </w:p>
        </w:tc>
        <w:tc>
          <w:tcPr>
            <w:tcW w:w="8359" w:type="dxa"/>
            <w:vAlign w:val="center"/>
          </w:tcPr>
          <w:p>
            <w:pPr>
              <w:snapToGrid w:val="0"/>
              <w:spacing w:line="430" w:lineRule="exact"/>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磋商小组的人数：</w:t>
            </w:r>
            <w:r>
              <w:rPr>
                <w:rFonts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人或以上单数。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5</w:t>
            </w:r>
          </w:p>
        </w:tc>
        <w:tc>
          <w:tcPr>
            <w:tcW w:w="8359" w:type="dxa"/>
            <w:vAlign w:val="center"/>
          </w:tcPr>
          <w:p>
            <w:pP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首次响应文件开启时间详见“竞争性磋商公告”</w:t>
            </w:r>
          </w:p>
          <w:p>
            <w:pP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首次响应文件解密时间：</w:t>
            </w:r>
            <w:r>
              <w:rPr>
                <w:rFonts w:asciiTheme="minorEastAsia" w:hAnsiTheme="minorEastAsia" w:eastAsiaTheme="minorEastAsia"/>
                <w:color w:val="auto"/>
                <w:szCs w:val="21"/>
                <w:highlight w:val="none"/>
                <w:u w:val="single"/>
              </w:rPr>
              <w:t xml:space="preserve">30 </w:t>
            </w:r>
            <w:r>
              <w:rPr>
                <w:rFonts w:hint="eastAsia" w:asciiTheme="minorEastAsia" w:hAnsiTheme="minorEastAsia" w:eastAsiaTheme="minorEastAsia"/>
                <w:color w:val="auto"/>
                <w:szCs w:val="21"/>
                <w:highlight w:val="none"/>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6.3</w:t>
            </w:r>
          </w:p>
        </w:tc>
        <w:tc>
          <w:tcPr>
            <w:tcW w:w="8359" w:type="dxa"/>
            <w:vAlign w:val="center"/>
          </w:tcPr>
          <w:p>
            <w:pPr>
              <w:snapToGrid w:val="0"/>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商务要求评审中允许负偏离的条款数为</w:t>
            </w:r>
            <w:r>
              <w:rPr>
                <w:rFonts w:cs="宋体" w:asciiTheme="minorEastAsia" w:hAnsiTheme="minorEastAsia" w:eastAsiaTheme="minorEastAsia"/>
                <w:color w:val="auto"/>
                <w:szCs w:val="21"/>
                <w:highlight w:val="none"/>
                <w:u w:val="single"/>
              </w:rPr>
              <w:t>0</w:t>
            </w:r>
            <w:r>
              <w:rPr>
                <w:rFonts w:hint="eastAsia" w:cs="宋体" w:asciiTheme="minorEastAsia" w:hAnsiTheme="minorEastAsia" w:eastAsiaTheme="minorEastAsia"/>
                <w:color w:val="auto"/>
                <w:szCs w:val="21"/>
                <w:highlight w:val="none"/>
              </w:rPr>
              <w:t>项。</w:t>
            </w:r>
          </w:p>
          <w:p>
            <w:pPr>
              <w:snapToGrid w:val="0"/>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技术要求评审中允许负偏离的条款数为</w:t>
            </w:r>
            <w:r>
              <w:rPr>
                <w:rFonts w:cs="宋体" w:asciiTheme="minorEastAsia" w:hAnsiTheme="minorEastAsia" w:eastAsiaTheme="minorEastAsia"/>
                <w:color w:val="auto"/>
                <w:szCs w:val="21"/>
                <w:highlight w:val="none"/>
                <w:u w:val="single"/>
              </w:rPr>
              <w:t>0</w:t>
            </w:r>
            <w:r>
              <w:rPr>
                <w:rFonts w:hint="eastAsia" w:cs="宋体" w:asciiTheme="minorEastAsia" w:hAnsiTheme="minorEastAsia" w:eastAsiaTheme="minorEastAsia"/>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28.1</w:t>
            </w:r>
          </w:p>
        </w:tc>
        <w:tc>
          <w:tcPr>
            <w:tcW w:w="8359" w:type="dxa"/>
            <w:vAlign w:val="center"/>
          </w:tcPr>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Segoe UI Symbol"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本项目不收取履约保证金。</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Segoe UI Symbol" w:hAnsi="Segoe UI Symbol" w:cs="Segoe UI Symbol" w:eastAsiaTheme="minorEastAsia"/>
                <w:color w:val="auto"/>
                <w:szCs w:val="21"/>
                <w:highlight w:val="none"/>
                <w:lang w:eastAsia="zh-CN"/>
              </w:rPr>
              <w:t>□</w:t>
            </w:r>
            <w:r>
              <w:rPr>
                <w:rFonts w:hint="eastAsia" w:asciiTheme="minorEastAsia" w:hAnsiTheme="minorEastAsia" w:eastAsiaTheme="minorEastAsia"/>
                <w:color w:val="auto"/>
                <w:szCs w:val="21"/>
                <w:highlight w:val="none"/>
              </w:rPr>
              <w:t>本项目收取履约保证金，具体规定如下：</w:t>
            </w:r>
          </w:p>
          <w:p>
            <w:pPr>
              <w:autoSpaceDE w:val="0"/>
              <w:autoSpaceDN w:val="0"/>
              <w:snapToGrid w:val="0"/>
              <w:spacing w:line="430" w:lineRule="exact"/>
              <w:textAlignment w:val="bottom"/>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履约保证金金额：合同金额的</w:t>
            </w:r>
            <w:r>
              <w:rPr>
                <w:rFonts w:hint="eastAsia" w:cs="宋体" w:asciiTheme="minorEastAsia" w:hAnsiTheme="minorEastAsia" w:eastAsiaTheme="minorEastAsia"/>
                <w:color w:val="auto"/>
                <w:szCs w:val="21"/>
                <w:highlight w:val="none"/>
                <w:u w:val="single"/>
                <w:lang w:val="en-US" w:eastAsia="zh-CN"/>
              </w:rPr>
              <w:t xml:space="preserve"> / </w:t>
            </w:r>
            <w:r>
              <w:rPr>
                <w:rFonts w:hint="eastAsia" w:cs="宋体" w:asciiTheme="minorEastAsia" w:hAnsiTheme="minorEastAsia" w:eastAsiaTheme="minorEastAsia"/>
                <w:color w:val="auto"/>
                <w:szCs w:val="21"/>
                <w:highlight w:val="none"/>
              </w:rPr>
              <w:t>%</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签订合同前交至采购人指定账户，否则不予签订合同</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履约保证金递交方式：银行转账、电汇或网上支付、支票、汇票、本票或者银行、保险机构出具的保函等非现金方式</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履约保证金退付方式、时间及条件：试运行期满验收合格后无息退付。</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由成交供应商向履约保证金收取单位提供《广西壮族自治区政府采购项目合同验收书》（详见桂财采〔2015〕22号），保证金收取单位在收到合格材料后5个工作日内办理退还手续（不计利息）。</w:t>
            </w:r>
          </w:p>
          <w:p>
            <w:pPr>
              <w:autoSpaceDE w:val="0"/>
              <w:autoSpaceDN w:val="0"/>
              <w:snapToGrid w:val="0"/>
              <w:spacing w:line="430" w:lineRule="exact"/>
              <w:textAlignment w:val="bottom"/>
              <w:rPr>
                <w:rFonts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履约保证金收取单位指定账户：由采购人提供</w:t>
            </w:r>
          </w:p>
          <w:p>
            <w:pPr>
              <w:autoSpaceDE w:val="0"/>
              <w:autoSpaceDN w:val="0"/>
              <w:snapToGrid w:val="0"/>
              <w:spacing w:line="430" w:lineRule="exact"/>
              <w:textAlignment w:val="bottom"/>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1.</w:t>
            </w:r>
            <w:bookmarkStart w:id="48" w:name="_Hlk54170335"/>
            <w:r>
              <w:rPr>
                <w:rFonts w:hint="eastAsia" w:asciiTheme="minorEastAsia" w:hAnsiTheme="minorEastAsia" w:eastAsiaTheme="minorEastAsia"/>
                <w:b/>
                <w:color w:val="auto"/>
                <w:szCs w:val="21"/>
                <w:highlight w:val="none"/>
              </w:rPr>
              <w:t>根据桂财规〔2022〕8号广西壮族自治区财政厅关于规范政府采购货物和服务项目保证金管理的通知的规定，</w:t>
            </w:r>
            <w:bookmarkEnd w:id="48"/>
            <w:r>
              <w:rPr>
                <w:rFonts w:hint="eastAsia" w:asciiTheme="minorEastAsia" w:hAnsiTheme="minorEastAsia" w:eastAsiaTheme="minorEastAsia"/>
                <w:b/>
                <w:color w:val="auto"/>
                <w:szCs w:val="21"/>
                <w:highlight w:val="none"/>
              </w:rPr>
              <w:t>采购人在采购文件中要求提交履约保证金的，履约保证金数额不得超过政府采购合同金额的5%；政府采购要加大对中小企业发展的扶持力度，对中小企业收取的履约保证金数额不得超过政府采购合同金额的2%。</w:t>
            </w:r>
          </w:p>
          <w:p>
            <w:pPr>
              <w:autoSpaceDE w:val="0"/>
              <w:autoSpaceDN w:val="0"/>
              <w:snapToGrid w:val="0"/>
              <w:spacing w:line="430" w:lineRule="exact"/>
              <w:textAlignment w:val="bottom"/>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3.采用银行、保险机构出具的保函的，必须为无条件保函，否则不予签订合同。</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4.供应商为联合体的，由联合体任意一方按规定提交的履约保证金，视为有效履约保证金。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29.1</w:t>
            </w:r>
          </w:p>
        </w:tc>
        <w:tc>
          <w:tcPr>
            <w:tcW w:w="8359" w:type="dxa"/>
            <w:vAlign w:val="center"/>
          </w:tcPr>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签订合同携带的证明材料：</w:t>
            </w:r>
          </w:p>
          <w:p>
            <w:pP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委托代理人负责签订合同的，须携带授权委托书及委托代理人身份证原件等其他资格证件。</w:t>
            </w:r>
          </w:p>
          <w:p>
            <w:pPr>
              <w:snapToGrid w:val="0"/>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法定代表人负责签订合同的，须携带法定代表人</w:t>
            </w:r>
            <w:r>
              <w:rPr>
                <w:rFonts w:asciiTheme="minorEastAsia" w:hAnsiTheme="minorEastAsia" w:eastAsiaTheme="minorEastAsia"/>
                <w:color w:val="auto"/>
                <w:szCs w:val="21"/>
                <w:highlight w:val="none"/>
              </w:rPr>
              <w:t>身份证明原件</w:t>
            </w:r>
            <w:r>
              <w:rPr>
                <w:rFonts w:hint="eastAsia" w:asciiTheme="minorEastAsia" w:hAnsiTheme="minorEastAsia" w:eastAsiaTheme="minorEastAsia"/>
                <w:color w:val="auto"/>
                <w:szCs w:val="21"/>
                <w:highlight w:val="none"/>
              </w:rPr>
              <w:t>及</w:t>
            </w:r>
            <w:r>
              <w:rPr>
                <w:rFonts w:asciiTheme="minorEastAsia" w:hAnsiTheme="minorEastAsia" w:eastAsiaTheme="minorEastAsia"/>
                <w:color w:val="auto"/>
                <w:szCs w:val="21"/>
                <w:highlight w:val="none"/>
              </w:rPr>
              <w:t>身份证原件</w:t>
            </w:r>
            <w:r>
              <w:rPr>
                <w:rFonts w:hint="eastAsia" w:asciiTheme="minorEastAsia" w:hAnsiTheme="minorEastAsia" w:eastAsiaTheme="minorEastAsia"/>
                <w:color w:val="auto"/>
                <w:szCs w:val="21"/>
                <w:highlight w:val="none"/>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1.2</w:t>
            </w:r>
          </w:p>
        </w:tc>
        <w:tc>
          <w:tcPr>
            <w:tcW w:w="8359" w:type="dxa"/>
            <w:vAlign w:val="center"/>
          </w:tcPr>
          <w:p>
            <w:pPr>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接收质疑函方式：以书面形式。</w:t>
            </w:r>
          </w:p>
          <w:p>
            <w:pPr>
              <w:snapToGrid w:val="0"/>
              <w:spacing w:line="430" w:lineRule="exac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质疑联系部门及联系方式：</w:t>
            </w:r>
            <w:r>
              <w:rPr>
                <w:rFonts w:hint="eastAsia" w:cs="宋体" w:asciiTheme="minorEastAsia" w:hAnsiTheme="minorEastAsia" w:eastAsiaTheme="minorEastAsia"/>
                <w:color w:val="auto"/>
                <w:szCs w:val="21"/>
                <w:highlight w:val="none"/>
                <w:u w:val="single"/>
              </w:rPr>
              <w:t>广西城建咨询设计有限公司</w:t>
            </w:r>
          </w:p>
          <w:p>
            <w:pPr>
              <w:snapToGrid w:val="0"/>
              <w:spacing w:line="430" w:lineRule="exac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联系电话：</w:t>
            </w:r>
            <w:r>
              <w:rPr>
                <w:rFonts w:hint="eastAsia" w:asciiTheme="minorEastAsia" w:hAnsiTheme="minorEastAsia" w:eastAsiaTheme="minorEastAsia"/>
                <w:color w:val="auto"/>
                <w:szCs w:val="21"/>
                <w:highlight w:val="none"/>
                <w:u w:val="single"/>
              </w:rPr>
              <w:t>详见采购公告</w:t>
            </w:r>
          </w:p>
          <w:p>
            <w:pPr>
              <w:snapToGrid w:val="0"/>
              <w:spacing w:line="430" w:lineRule="exac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通讯地址：</w:t>
            </w:r>
            <w:r>
              <w:rPr>
                <w:rFonts w:hint="eastAsia" w:asciiTheme="minorEastAsia" w:hAnsiTheme="minorEastAsia" w:eastAsiaTheme="minorEastAsia"/>
                <w:color w:val="auto"/>
                <w:szCs w:val="21"/>
                <w:highlight w:val="none"/>
                <w:u w:val="single"/>
              </w:rPr>
              <w:t>详见采购公告</w:t>
            </w:r>
          </w:p>
          <w:p>
            <w:pPr>
              <w:snapToGrid w:val="0"/>
              <w:spacing w:line="43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业务时间：工作日每天上午</w:t>
            </w:r>
            <w:r>
              <w:rPr>
                <w:rFonts w:cs="宋体" w:asciiTheme="minorEastAsia" w:hAnsiTheme="minorEastAsia" w:eastAsiaTheme="minorEastAsia"/>
                <w:color w:val="auto"/>
                <w:szCs w:val="21"/>
                <w:highlight w:val="none"/>
              </w:rPr>
              <w:t>8</w:t>
            </w:r>
            <w:r>
              <w:rPr>
                <w:rFonts w:hint="eastAsia" w:cs="宋体" w:asciiTheme="minorEastAsia" w:hAnsiTheme="minorEastAsia" w:eastAsiaTheme="minorEastAsia"/>
                <w:color w:val="auto"/>
                <w:szCs w:val="21"/>
                <w:highlight w:val="none"/>
              </w:rPr>
              <w:t>时</w:t>
            </w:r>
            <w:r>
              <w:rPr>
                <w:rFonts w:hint="eastAsia" w:cs="宋体" w:asciiTheme="minorEastAsia" w:hAnsiTheme="minorEastAsia" w:eastAsiaTheme="minorEastAsia"/>
                <w:color w:val="auto"/>
                <w:szCs w:val="21"/>
                <w:highlight w:val="none"/>
                <w:lang w:val="en-US" w:eastAsia="zh-CN"/>
              </w:rPr>
              <w:t>3</w:t>
            </w:r>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分到</w:t>
            </w:r>
            <w:r>
              <w:rPr>
                <w:rFonts w:cs="宋体" w:asciiTheme="minorEastAsia" w:hAnsiTheme="minorEastAsia" w:eastAsiaTheme="minorEastAsia"/>
                <w:color w:val="auto"/>
                <w:szCs w:val="21"/>
                <w:highlight w:val="none"/>
              </w:rPr>
              <w:t>12</w:t>
            </w:r>
            <w:r>
              <w:rPr>
                <w:rFonts w:hint="eastAsia" w:cs="宋体" w:asciiTheme="minorEastAsia" w:hAnsiTheme="minorEastAsia" w:eastAsiaTheme="minorEastAsia"/>
                <w:color w:val="auto"/>
                <w:szCs w:val="21"/>
                <w:highlight w:val="none"/>
              </w:rPr>
              <w:t>时</w:t>
            </w:r>
            <w:r>
              <w:rPr>
                <w:rFonts w:cs="宋体" w:asciiTheme="minorEastAsia" w:hAnsiTheme="minorEastAsia" w:eastAsiaTheme="minorEastAsia"/>
                <w:color w:val="auto"/>
                <w:szCs w:val="21"/>
                <w:highlight w:val="none"/>
              </w:rPr>
              <w:t>00</w:t>
            </w:r>
            <w:r>
              <w:rPr>
                <w:rFonts w:hint="eastAsia" w:cs="宋体" w:asciiTheme="minorEastAsia" w:hAnsiTheme="minorEastAsia" w:eastAsiaTheme="minorEastAsia"/>
                <w:color w:val="auto"/>
                <w:szCs w:val="21"/>
                <w:highlight w:val="none"/>
              </w:rPr>
              <w:t>分，下午</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时</w:t>
            </w:r>
            <w:r>
              <w:rPr>
                <w:rFonts w:cs="宋体" w:asciiTheme="minorEastAsia" w:hAnsiTheme="minorEastAsia" w:eastAsiaTheme="minorEastAsia"/>
                <w:color w:val="auto"/>
                <w:szCs w:val="21"/>
                <w:highlight w:val="none"/>
              </w:rPr>
              <w:t>00</w:t>
            </w:r>
            <w:r>
              <w:rPr>
                <w:rFonts w:hint="eastAsia" w:cs="宋体" w:asciiTheme="minorEastAsia" w:hAnsiTheme="minorEastAsia" w:eastAsiaTheme="minorEastAsia"/>
                <w:color w:val="auto"/>
                <w:szCs w:val="21"/>
                <w:highlight w:val="none"/>
              </w:rPr>
              <w:t>分到</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时</w:t>
            </w:r>
            <w:r>
              <w:rPr>
                <w:rFonts w:cs="宋体" w:asciiTheme="minorEastAsia" w:hAnsiTheme="minorEastAsia" w:eastAsiaTheme="minorEastAsia"/>
                <w:color w:val="auto"/>
                <w:szCs w:val="21"/>
                <w:highlight w:val="none"/>
              </w:rPr>
              <w:t>00</w:t>
            </w:r>
            <w:r>
              <w:rPr>
                <w:rFonts w:hint="eastAsia" w:cs="宋体"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t>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32.1</w:t>
            </w:r>
          </w:p>
        </w:tc>
        <w:tc>
          <w:tcPr>
            <w:tcW w:w="8359" w:type="dxa"/>
            <w:vAlign w:val="center"/>
          </w:tcPr>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1.采购代理费支付方式：</w:t>
            </w:r>
          </w:p>
          <w:p>
            <w:pPr>
              <w:pStyle w:val="21"/>
              <w:snapToGrid w:val="0"/>
              <w:spacing w:line="430" w:lineRule="exact"/>
              <w:rPr>
                <w:rFonts w:cs="宋体" w:asciiTheme="minorEastAsia" w:hAnsiTheme="minorEastAsia" w:eastAsiaTheme="minorEastAsia"/>
                <w:color w:val="auto"/>
                <w:sz w:val="21"/>
                <w:highlight w:val="none"/>
              </w:rPr>
            </w:pPr>
            <w:r>
              <w:rPr>
                <w:rFonts w:ascii="Segoe UI Symbol" w:hAnsi="Segoe UI Symbol" w:cs="Segoe UI Symbol" w:eastAsiaTheme="minorEastAsia"/>
                <w:color w:val="auto"/>
                <w:sz w:val="21"/>
                <w:highlight w:val="none"/>
              </w:rPr>
              <w:t>☑</w:t>
            </w:r>
            <w:r>
              <w:rPr>
                <w:rFonts w:hint="eastAsia" w:cs="宋体" w:asciiTheme="minorEastAsia" w:hAnsiTheme="minorEastAsia" w:eastAsiaTheme="minorEastAsia"/>
                <w:color w:val="auto"/>
                <w:sz w:val="21"/>
                <w:highlight w:val="none"/>
              </w:rPr>
              <w:t>本项目代理服务费按如下规定由</w:t>
            </w:r>
            <w:r>
              <w:rPr>
                <w:rFonts w:hint="eastAsia" w:cs="宋体" w:asciiTheme="minorEastAsia" w:hAnsiTheme="minorEastAsia" w:eastAsiaTheme="minorEastAsia"/>
                <w:color w:val="auto"/>
                <w:sz w:val="21"/>
                <w:highlight w:val="none"/>
                <w:u w:val="single"/>
              </w:rPr>
              <w:t>成交供应商</w:t>
            </w:r>
            <w:r>
              <w:rPr>
                <w:rFonts w:hint="eastAsia" w:cs="宋体" w:asciiTheme="minorEastAsia" w:hAnsiTheme="minorEastAsia" w:eastAsiaTheme="minorEastAsia"/>
                <w:color w:val="auto"/>
                <w:sz w:val="21"/>
                <w:highlight w:val="none"/>
              </w:rPr>
              <w:t>在领取成交通知书前，一次性向采购代理机构支付。</w:t>
            </w:r>
          </w:p>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□采购人支付。</w:t>
            </w:r>
          </w:p>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2.采购代理费收取标准：</w:t>
            </w:r>
          </w:p>
          <w:p>
            <w:pPr>
              <w:pStyle w:val="21"/>
              <w:snapToGrid w:val="0"/>
              <w:spacing w:line="430" w:lineRule="exact"/>
              <w:rPr>
                <w:rFonts w:cs="宋体" w:asciiTheme="minorEastAsia" w:hAnsiTheme="minorEastAsia" w:eastAsiaTheme="minorEastAsia"/>
                <w:color w:val="auto"/>
                <w:sz w:val="21"/>
                <w:highlight w:val="none"/>
              </w:rPr>
            </w:pPr>
            <w:r>
              <w:rPr>
                <w:rFonts w:ascii="Segoe UI Symbol" w:hAnsi="Segoe UI Symbol" w:cs="Segoe UI Symbol" w:eastAsiaTheme="minorEastAsia"/>
                <w:color w:val="auto"/>
                <w:sz w:val="21"/>
                <w:highlight w:val="none"/>
              </w:rPr>
              <w:t>☑</w:t>
            </w:r>
            <w:r>
              <w:rPr>
                <w:rFonts w:hint="eastAsia" w:cs="宋体" w:asciiTheme="minorEastAsia" w:hAnsiTheme="minorEastAsia" w:eastAsiaTheme="minorEastAsia"/>
                <w:color w:val="auto"/>
                <w:sz w:val="21"/>
                <w:highlight w:val="none"/>
              </w:rPr>
              <w:t>以分标（</w:t>
            </w:r>
            <w:r>
              <w:rPr>
                <w:rFonts w:ascii="Segoe UI Symbol" w:hAnsi="Segoe UI Symbol" w:cs="Segoe UI Symbol" w:eastAsiaTheme="minorEastAsia"/>
                <w:color w:val="auto"/>
                <w:sz w:val="21"/>
                <w:highlight w:val="none"/>
              </w:rPr>
              <w:t>☑</w:t>
            </w:r>
            <w:r>
              <w:rPr>
                <w:rFonts w:hint="eastAsia" w:cs="宋体" w:asciiTheme="minorEastAsia" w:hAnsiTheme="minorEastAsia" w:eastAsiaTheme="minorEastAsia"/>
                <w:color w:val="auto"/>
                <w:sz w:val="21"/>
                <w:highlight w:val="none"/>
              </w:rPr>
              <w:t>成交金额/□采购预算/□暂定成交金额/□其他</w:t>
            </w:r>
            <w:r>
              <w:rPr>
                <w:rFonts w:hint="eastAsia" w:cs="宋体" w:asciiTheme="minorEastAsia" w:hAnsiTheme="minorEastAsia" w:eastAsiaTheme="minorEastAsia"/>
                <w:color w:val="auto"/>
                <w:sz w:val="21"/>
                <w:highlight w:val="none"/>
                <w:u w:val="single"/>
              </w:rPr>
              <w:t xml:space="preserve"> /</w:t>
            </w:r>
            <w:r>
              <w:rPr>
                <w:rFonts w:cs="宋体" w:asciiTheme="minorEastAsia" w:hAnsiTheme="minorEastAsia" w:eastAsiaTheme="minorEastAsia"/>
                <w:color w:val="auto"/>
                <w:sz w:val="21"/>
                <w:highlight w:val="none"/>
                <w:u w:val="single"/>
              </w:rPr>
              <w:t xml:space="preserve"> </w:t>
            </w:r>
            <w:r>
              <w:rPr>
                <w:rFonts w:hint="eastAsia" w:cs="宋体" w:asciiTheme="minorEastAsia" w:hAnsiTheme="minorEastAsia" w:eastAsiaTheme="minorEastAsia"/>
                <w:color w:val="auto"/>
                <w:sz w:val="21"/>
                <w:highlight w:val="none"/>
              </w:rPr>
              <w:t>）为计费额，按本须知正文第3</w:t>
            </w:r>
            <w:r>
              <w:rPr>
                <w:rFonts w:cs="宋体" w:asciiTheme="minorEastAsia" w:hAnsiTheme="minorEastAsia" w:eastAsiaTheme="minorEastAsia"/>
                <w:color w:val="auto"/>
                <w:sz w:val="21"/>
                <w:highlight w:val="none"/>
              </w:rPr>
              <w:t>5</w:t>
            </w:r>
            <w:r>
              <w:rPr>
                <w:rFonts w:hint="eastAsia" w:cs="宋体" w:asciiTheme="minorEastAsia" w:hAnsiTheme="minorEastAsia" w:eastAsiaTheme="minorEastAsia"/>
                <w:color w:val="auto"/>
                <w:sz w:val="21"/>
                <w:highlight w:val="none"/>
              </w:rPr>
              <w:t>.1条规定的（□货物类/</w:t>
            </w:r>
            <w:r>
              <w:rPr>
                <w:rFonts w:ascii="Segoe UI Symbol" w:hAnsi="Segoe UI Symbol" w:cs="Segoe UI Symbol" w:eastAsiaTheme="minorEastAsia"/>
                <w:color w:val="auto"/>
                <w:sz w:val="21"/>
                <w:highlight w:val="none"/>
              </w:rPr>
              <w:t>☑</w:t>
            </w:r>
            <w:r>
              <w:rPr>
                <w:rFonts w:hint="eastAsia" w:cs="宋体" w:asciiTheme="minorEastAsia" w:hAnsiTheme="minorEastAsia" w:eastAsiaTheme="minorEastAsia"/>
                <w:color w:val="auto"/>
                <w:sz w:val="21"/>
                <w:highlight w:val="none"/>
              </w:rPr>
              <w:t>服务类/□工程类）标准采用差额定率累进法计算出收费基准价格，采购代理收费以（</w:t>
            </w:r>
            <w:r>
              <w:rPr>
                <w:rFonts w:ascii="Segoe UI Symbol" w:hAnsi="Segoe UI Symbol" w:cs="Segoe UI Symbol" w:eastAsiaTheme="minorEastAsia"/>
                <w:color w:val="auto"/>
                <w:sz w:val="21"/>
                <w:highlight w:val="none"/>
              </w:rPr>
              <w:t>☑</w:t>
            </w:r>
            <w:r>
              <w:rPr>
                <w:rFonts w:hint="eastAsia" w:cs="宋体" w:asciiTheme="minorEastAsia" w:hAnsiTheme="minorEastAsia" w:eastAsiaTheme="minorEastAsia"/>
                <w:color w:val="auto"/>
                <w:sz w:val="21"/>
                <w:highlight w:val="none"/>
              </w:rPr>
              <w:t>收费基准价格/□收费基准价格下浮</w:t>
            </w:r>
            <w:r>
              <w:rPr>
                <w:rFonts w:hint="eastAsia" w:cs="宋体" w:asciiTheme="minorEastAsia" w:hAnsiTheme="minorEastAsia" w:eastAsiaTheme="minorEastAsia"/>
                <w:color w:val="auto"/>
                <w:sz w:val="21"/>
                <w:highlight w:val="none"/>
                <w:u w:val="single"/>
              </w:rPr>
              <w:t xml:space="preserve"> /</w:t>
            </w:r>
            <w:r>
              <w:rPr>
                <w:rFonts w:cs="宋体" w:asciiTheme="minorEastAsia" w:hAnsiTheme="minorEastAsia" w:eastAsiaTheme="minorEastAsia"/>
                <w:color w:val="auto"/>
                <w:sz w:val="21"/>
                <w:highlight w:val="none"/>
                <w:u w:val="single"/>
              </w:rPr>
              <w:t xml:space="preserve"> </w:t>
            </w:r>
            <w:r>
              <w:rPr>
                <w:rFonts w:hint="eastAsia" w:cs="宋体" w:asciiTheme="minorEastAsia" w:hAnsiTheme="minorEastAsia" w:eastAsiaTheme="minorEastAsia"/>
                <w:color w:val="auto"/>
                <w:sz w:val="21"/>
                <w:highlight w:val="none"/>
                <w:u w:val="single"/>
              </w:rPr>
              <w:t>%</w:t>
            </w:r>
            <w:r>
              <w:rPr>
                <w:rFonts w:cs="宋体" w:asciiTheme="minorEastAsia" w:hAnsiTheme="minorEastAsia" w:eastAsiaTheme="minorEastAsia"/>
                <w:color w:val="auto"/>
                <w:sz w:val="21"/>
                <w:highlight w:val="none"/>
              </w:rPr>
              <w:t>/</w:t>
            </w:r>
            <w:r>
              <w:rPr>
                <w:rFonts w:hint="eastAsia" w:cs="宋体" w:asciiTheme="minorEastAsia" w:hAnsiTheme="minorEastAsia" w:eastAsiaTheme="minorEastAsia"/>
                <w:color w:val="auto"/>
                <w:sz w:val="21"/>
                <w:highlight w:val="none"/>
              </w:rPr>
              <w:t>□收费基准价格上浮</w:t>
            </w:r>
            <w:r>
              <w:rPr>
                <w:rFonts w:hint="eastAsia" w:cs="宋体" w:asciiTheme="minorEastAsia" w:hAnsiTheme="minorEastAsia" w:eastAsiaTheme="minorEastAsia"/>
                <w:color w:val="auto"/>
                <w:sz w:val="21"/>
                <w:highlight w:val="none"/>
                <w:u w:val="single"/>
              </w:rPr>
              <w:t xml:space="preserve"> /</w:t>
            </w:r>
            <w:r>
              <w:rPr>
                <w:rFonts w:cs="宋体" w:asciiTheme="minorEastAsia" w:hAnsiTheme="minorEastAsia" w:eastAsiaTheme="minorEastAsia"/>
                <w:color w:val="auto"/>
                <w:sz w:val="21"/>
                <w:highlight w:val="none"/>
                <w:u w:val="single"/>
              </w:rPr>
              <w:t xml:space="preserve"> </w:t>
            </w:r>
            <w:r>
              <w:rPr>
                <w:rFonts w:hint="eastAsia" w:cs="宋体" w:asciiTheme="minorEastAsia" w:hAnsiTheme="minorEastAsia" w:eastAsiaTheme="minorEastAsia"/>
                <w:color w:val="auto"/>
                <w:sz w:val="21"/>
                <w:highlight w:val="none"/>
                <w:u w:val="single"/>
              </w:rPr>
              <w:t>%</w:t>
            </w:r>
            <w:r>
              <w:rPr>
                <w:rFonts w:hint="eastAsia" w:cs="宋体" w:asciiTheme="minorEastAsia" w:hAnsiTheme="minorEastAsia" w:eastAsiaTheme="minorEastAsia"/>
                <w:color w:val="auto"/>
                <w:sz w:val="21"/>
                <w:highlight w:val="none"/>
              </w:rPr>
              <w:t>）收取。</w:t>
            </w:r>
          </w:p>
          <w:p>
            <w:pPr>
              <w:pStyle w:val="21"/>
              <w:snapToGrid w:val="0"/>
              <w:spacing w:line="430" w:lineRule="exact"/>
              <w:rPr>
                <w:rFonts w:cs="宋体" w:asciiTheme="minorEastAsia" w:hAnsiTheme="minorEastAsia" w:eastAsiaTheme="minorEastAsia"/>
                <w:color w:val="auto"/>
                <w:sz w:val="21"/>
                <w:highlight w:val="none"/>
                <w:u w:val="single"/>
              </w:rPr>
            </w:pPr>
            <w:r>
              <w:rPr>
                <w:rFonts w:hint="eastAsia" w:cs="宋体" w:asciiTheme="minorEastAsia" w:hAnsiTheme="minorEastAsia" w:eastAsiaTheme="minorEastAsia"/>
                <w:color w:val="auto"/>
                <w:sz w:val="21"/>
                <w:highlight w:val="none"/>
              </w:rPr>
              <w:t>□固定采购代理收费：</w:t>
            </w:r>
          </w:p>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3. 采购代理费收取银行账户</w:t>
            </w:r>
          </w:p>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开户名称：</w:t>
            </w:r>
            <w:r>
              <w:rPr>
                <w:rFonts w:hint="eastAsia" w:cs="宋体" w:asciiTheme="minorEastAsia" w:hAnsiTheme="minorEastAsia" w:eastAsiaTheme="minorEastAsia"/>
                <w:color w:val="auto"/>
                <w:sz w:val="21"/>
                <w:highlight w:val="none"/>
                <w:u w:val="single"/>
              </w:rPr>
              <w:t>广西城建咨询设计有限公司</w:t>
            </w:r>
          </w:p>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开户银行：</w:t>
            </w:r>
            <w:r>
              <w:rPr>
                <w:rFonts w:hint="eastAsia" w:cs="宋体" w:asciiTheme="minorEastAsia" w:hAnsiTheme="minorEastAsia" w:eastAsiaTheme="minorEastAsia"/>
                <w:color w:val="auto"/>
                <w:sz w:val="21"/>
                <w:highlight w:val="none"/>
                <w:u w:val="single"/>
              </w:rPr>
              <w:t>建设银行南宁锦春支行</w:t>
            </w:r>
          </w:p>
          <w:p>
            <w:pPr>
              <w:pStyle w:val="21"/>
              <w:snapToGrid w:val="0"/>
              <w:spacing w:line="430" w:lineRule="exact"/>
              <w:rPr>
                <w:rFonts w:cs="宋体" w:asciiTheme="minorEastAsia" w:hAnsiTheme="minorEastAsia" w:eastAsiaTheme="minorEastAsia"/>
                <w:color w:val="auto"/>
                <w:sz w:val="21"/>
                <w:highlight w:val="none"/>
                <w:u w:val="single"/>
              </w:rPr>
            </w:pPr>
            <w:r>
              <w:rPr>
                <w:rFonts w:hint="eastAsia" w:cs="宋体" w:asciiTheme="minorEastAsia" w:hAnsiTheme="minorEastAsia" w:eastAsiaTheme="minorEastAsia"/>
                <w:color w:val="auto"/>
                <w:sz w:val="21"/>
                <w:highlight w:val="none"/>
              </w:rPr>
              <w:t>银行账号：</w:t>
            </w:r>
            <w:r>
              <w:rPr>
                <w:rFonts w:cs="宋体" w:asciiTheme="minorEastAsia" w:hAnsiTheme="minorEastAsia" w:eastAsiaTheme="minorEastAsia"/>
                <w:color w:val="auto"/>
                <w:sz w:val="21"/>
                <w:highlight w:val="none"/>
                <w:u w:val="single"/>
              </w:rPr>
              <w:t>4505 0160 4783 0000 0080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3.1</w:t>
            </w:r>
          </w:p>
        </w:tc>
        <w:tc>
          <w:tcPr>
            <w:tcW w:w="8359" w:type="dxa"/>
            <w:vAlign w:val="center"/>
          </w:tcPr>
          <w:p>
            <w:pPr>
              <w:pStyle w:val="21"/>
              <w:snapToGrid w:val="0"/>
              <w:spacing w:line="430" w:lineRule="exact"/>
              <w:rPr>
                <w:rFonts w:cs="宋体" w:asciiTheme="minorEastAsia" w:hAnsiTheme="minorEastAsia" w:eastAsiaTheme="minorEastAsia"/>
                <w:color w:val="auto"/>
                <w:kern w:val="2"/>
                <w:sz w:val="21"/>
                <w:highlight w:val="none"/>
              </w:rPr>
            </w:pPr>
            <w:r>
              <w:rPr>
                <w:rFonts w:hint="eastAsia" w:asciiTheme="minorEastAsia" w:hAnsiTheme="minorEastAsia" w:eastAsiaTheme="minorEastAsia"/>
                <w:color w:val="auto"/>
                <w:sz w:val="21"/>
                <w:highlight w:val="none"/>
              </w:rPr>
              <w:t>解释：</w:t>
            </w:r>
            <w:r>
              <w:rPr>
                <w:rFonts w:asciiTheme="minorEastAsia" w:hAnsiTheme="minorEastAsia" w:eastAsiaTheme="minorEastAsia"/>
                <w:color w:val="auto"/>
                <w:sz w:val="21"/>
                <w:highlight w:val="none"/>
              </w:rPr>
              <w:t>构成本</w:t>
            </w:r>
            <w:r>
              <w:rPr>
                <w:rFonts w:hint="eastAsia" w:asciiTheme="minorEastAsia" w:hAnsiTheme="minorEastAsia" w:eastAsiaTheme="minorEastAsia"/>
                <w:color w:val="auto"/>
                <w:sz w:val="21"/>
                <w:highlight w:val="none"/>
              </w:rPr>
              <w:t>磋商文件</w:t>
            </w:r>
            <w:r>
              <w:rPr>
                <w:rFonts w:asciiTheme="minorEastAsia" w:hAnsiTheme="minorEastAsia" w:eastAsiaTheme="minorEastAsia"/>
                <w:color w:val="auto"/>
                <w:sz w:val="21"/>
                <w:highlight w:val="none"/>
              </w:rPr>
              <w:t>的各个组成文件应互为解释，互为说明；除</w:t>
            </w:r>
            <w:r>
              <w:rPr>
                <w:rFonts w:hint="eastAsia" w:asciiTheme="minorEastAsia" w:hAnsiTheme="minorEastAsia" w:eastAsiaTheme="minorEastAsia"/>
                <w:color w:val="auto"/>
                <w:sz w:val="21"/>
                <w:highlight w:val="none"/>
              </w:rPr>
              <w:t>磋商文件</w:t>
            </w:r>
            <w:r>
              <w:rPr>
                <w:rFonts w:asciiTheme="minorEastAsia" w:hAnsiTheme="minorEastAsia" w:eastAsiaTheme="minorEastAsia"/>
                <w:color w:val="auto"/>
                <w:sz w:val="21"/>
                <w:highlight w:val="none"/>
              </w:rPr>
              <w:t>中有特别规定外，仅适用于</w:t>
            </w:r>
            <w:r>
              <w:rPr>
                <w:rFonts w:hint="eastAsia" w:asciiTheme="minorEastAsia" w:hAnsiTheme="minorEastAsia" w:eastAsiaTheme="minorEastAsia"/>
                <w:color w:val="auto"/>
                <w:sz w:val="21"/>
                <w:highlight w:val="none"/>
              </w:rPr>
              <w:t>竞标</w:t>
            </w:r>
            <w:r>
              <w:rPr>
                <w:rFonts w:asciiTheme="minorEastAsia" w:hAnsiTheme="minorEastAsia" w:eastAsiaTheme="minorEastAsia"/>
                <w:color w:val="auto"/>
                <w:sz w:val="21"/>
                <w:highlight w:val="none"/>
              </w:rPr>
              <w:t>阶段的规定，按</w:t>
            </w:r>
            <w:r>
              <w:rPr>
                <w:rFonts w:hint="eastAsia" w:asciiTheme="minorEastAsia" w:hAnsiTheme="minorEastAsia" w:eastAsiaTheme="minorEastAsia"/>
                <w:color w:val="auto"/>
                <w:sz w:val="21"/>
                <w:highlight w:val="none"/>
              </w:rPr>
              <w:t>更正公告（澄清公告）</w:t>
            </w: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竞争性磋商</w:t>
            </w:r>
            <w:r>
              <w:rPr>
                <w:rFonts w:asciiTheme="minorEastAsia" w:hAnsiTheme="minorEastAsia" w:eastAsiaTheme="minorEastAsia"/>
                <w:color w:val="auto"/>
                <w:sz w:val="21"/>
                <w:highlight w:val="none"/>
              </w:rPr>
              <w:t>公告、</w:t>
            </w:r>
            <w:r>
              <w:rPr>
                <w:rFonts w:hint="eastAsia" w:asciiTheme="minorEastAsia" w:hAnsiTheme="minorEastAsia" w:eastAsiaTheme="minorEastAsia"/>
                <w:color w:val="auto"/>
                <w:sz w:val="21"/>
                <w:highlight w:val="none"/>
              </w:rPr>
              <w:t>供应商</w:t>
            </w:r>
            <w:r>
              <w:rPr>
                <w:rFonts w:asciiTheme="minorEastAsia" w:hAnsiTheme="minorEastAsia" w:eastAsiaTheme="minorEastAsia"/>
                <w:color w:val="auto"/>
                <w:sz w:val="21"/>
                <w:highlight w:val="none"/>
              </w:rPr>
              <w:t>须知</w:t>
            </w:r>
            <w:r>
              <w:rPr>
                <w:rFonts w:hint="eastAsia" w:asciiTheme="minorEastAsia" w:hAnsiTheme="minorEastAsia" w:eastAsiaTheme="minorEastAsia"/>
                <w:color w:val="auto"/>
                <w:sz w:val="21"/>
                <w:highlight w:val="none"/>
              </w:rPr>
              <w:t>、采购需求</w:t>
            </w: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评审程序、评审方法和评审标准</w:t>
            </w: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响应</w:t>
            </w:r>
            <w:r>
              <w:rPr>
                <w:rFonts w:asciiTheme="minorEastAsia" w:hAnsiTheme="minorEastAsia" w:eastAsiaTheme="minorEastAsia"/>
                <w:color w:val="auto"/>
                <w:sz w:val="21"/>
                <w:highlight w:val="none"/>
              </w:rPr>
              <w:t>文件格式</w:t>
            </w:r>
            <w:r>
              <w:rPr>
                <w:rFonts w:hint="eastAsia" w:asciiTheme="minorEastAsia" w:hAnsiTheme="minorEastAsia" w:eastAsiaTheme="minorEastAsia"/>
                <w:color w:val="auto"/>
                <w:sz w:val="21"/>
                <w:highlight w:val="none"/>
              </w:rPr>
              <w:t>、合同文本</w:t>
            </w:r>
            <w:r>
              <w:rPr>
                <w:rFonts w:asciiTheme="minorEastAsia" w:hAnsiTheme="minorEastAsia" w:eastAsiaTheme="minorEastAsia"/>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asciiTheme="minorEastAsia" w:hAnsiTheme="minorEastAsia" w:eastAsiaTheme="minorEastAsia"/>
                <w:color w:val="auto"/>
                <w:sz w:val="21"/>
                <w:highlight w:val="none"/>
              </w:rPr>
              <w:t>更正公告（澄清公告）</w:t>
            </w:r>
            <w:r>
              <w:rPr>
                <w:rFonts w:asciiTheme="minorEastAsia" w:hAnsiTheme="minorEastAsia" w:eastAsiaTheme="minorEastAsia"/>
                <w:color w:val="auto"/>
                <w:sz w:val="21"/>
                <w:highlight w:val="none"/>
              </w:rPr>
              <w:t>与同步更新的</w:t>
            </w:r>
            <w:r>
              <w:rPr>
                <w:rFonts w:hint="eastAsia" w:asciiTheme="minorEastAsia" w:hAnsiTheme="minorEastAsia" w:eastAsiaTheme="minorEastAsia"/>
                <w:color w:val="auto"/>
                <w:sz w:val="21"/>
                <w:highlight w:val="none"/>
              </w:rPr>
              <w:t>磋商文件</w:t>
            </w:r>
            <w:r>
              <w:rPr>
                <w:rFonts w:asciiTheme="minorEastAsia" w:hAnsiTheme="minorEastAsia" w:eastAsiaTheme="minorEastAsia"/>
                <w:color w:val="auto"/>
                <w:sz w:val="21"/>
                <w:highlight w:val="none"/>
              </w:rPr>
              <w:t>不一致时以</w:t>
            </w:r>
            <w:r>
              <w:rPr>
                <w:rFonts w:hint="eastAsia" w:asciiTheme="minorEastAsia" w:hAnsiTheme="minorEastAsia" w:eastAsiaTheme="minorEastAsia"/>
                <w:color w:val="auto"/>
                <w:sz w:val="21"/>
                <w:highlight w:val="none"/>
              </w:rPr>
              <w:t>更正公告（澄清公告）</w:t>
            </w:r>
            <w:r>
              <w:rPr>
                <w:rFonts w:asciiTheme="minorEastAsia" w:hAnsiTheme="minorEastAsia" w:eastAsiaTheme="minorEastAsia"/>
                <w:color w:val="auto"/>
                <w:sz w:val="21"/>
                <w:highlight w:val="none"/>
              </w:rPr>
              <w:t>为准。按本款前述规定仍不能形成结论的，由</w:t>
            </w:r>
            <w:r>
              <w:rPr>
                <w:rFonts w:hint="eastAsia" w:asciiTheme="minorEastAsia" w:hAnsiTheme="minorEastAsia" w:eastAsiaTheme="minorEastAsia"/>
                <w:color w:val="auto"/>
                <w:sz w:val="21"/>
                <w:highlight w:val="none"/>
              </w:rPr>
              <w:t>采购</w:t>
            </w:r>
            <w:r>
              <w:rPr>
                <w:rFonts w:asciiTheme="minorEastAsia" w:hAnsiTheme="minorEastAsia" w:eastAsiaTheme="minorEastAsia"/>
                <w:color w:val="auto"/>
                <w:sz w:val="21"/>
                <w:highlight w:val="none"/>
              </w:rPr>
              <w:t>人</w:t>
            </w:r>
            <w:r>
              <w:rPr>
                <w:rFonts w:hint="eastAsia" w:asciiTheme="minorEastAsia" w:hAnsiTheme="minorEastAsia" w:eastAsiaTheme="minorEastAsia"/>
                <w:color w:val="auto"/>
                <w:sz w:val="21"/>
                <w:highlight w:val="none"/>
              </w:rPr>
              <w:t>或者采购代理机构</w:t>
            </w:r>
            <w:r>
              <w:rPr>
                <w:rFonts w:asciiTheme="minorEastAsia" w:hAnsiTheme="minorEastAsia" w:eastAsiaTheme="minorEastAsia"/>
                <w:color w:val="auto"/>
                <w:sz w:val="21"/>
                <w:highlight w:val="none"/>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3.2</w:t>
            </w:r>
          </w:p>
        </w:tc>
        <w:tc>
          <w:tcPr>
            <w:tcW w:w="8359" w:type="dxa"/>
            <w:vAlign w:val="center"/>
          </w:tcPr>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bCs/>
                <w:color w:val="auto"/>
                <w:sz w:val="21"/>
                <w:highlight w:val="none"/>
              </w:rPr>
              <w:t>2.本磋商文件所称的“</w:t>
            </w:r>
            <w:r>
              <w:rPr>
                <w:rFonts w:hint="eastAsia" w:asciiTheme="minorEastAsia" w:hAnsiTheme="minorEastAsia" w:eastAsiaTheme="minorEastAsia"/>
                <w:color w:val="auto"/>
                <w:sz w:val="21"/>
                <w:highlight w:val="none"/>
              </w:rPr>
              <w:t>电子签章</w:t>
            </w:r>
            <w:r>
              <w:rPr>
                <w:rFonts w:hint="eastAsia" w:cs="宋体" w:asciiTheme="minorEastAsia" w:hAnsiTheme="minorEastAsia" w:eastAsiaTheme="minorEastAsia"/>
                <w:bCs/>
                <w:color w:val="auto"/>
                <w:sz w:val="21"/>
                <w:highlight w:val="none"/>
              </w:rPr>
              <w:t>”、“电子签名”</w:t>
            </w:r>
            <w:r>
              <w:rPr>
                <w:rFonts w:hint="eastAsia" w:asciiTheme="minorEastAsia" w:hAnsiTheme="minorEastAsia" w:eastAsiaTheme="minorEastAsia"/>
                <w:color w:val="auto"/>
                <w:sz w:val="21"/>
                <w:highlight w:val="none"/>
              </w:rPr>
              <w:t>，是指经</w:t>
            </w:r>
            <w:r>
              <w:rPr>
                <w:rFonts w:hint="eastAsia" w:asciiTheme="minorEastAsia" w:hAnsiTheme="minorEastAsia" w:eastAsiaTheme="minorEastAsia"/>
                <w:color w:val="auto"/>
                <w:sz w:val="21"/>
                <w:highlight w:val="none"/>
                <w:lang w:eastAsia="zh-CN"/>
              </w:rPr>
              <w:t>广西政府采购云平台</w:t>
            </w:r>
            <w:r>
              <w:rPr>
                <w:rFonts w:hint="eastAsia" w:asciiTheme="minorEastAsia" w:hAnsiTheme="minorEastAsia" w:eastAsiaTheme="minorEastAsia"/>
                <w:color w:val="auto"/>
                <w:sz w:val="21"/>
                <w:highlight w:val="none"/>
              </w:rPr>
              <w:t>认可的CA认证的电子签名数据为表现形式的印章，可用于签署电子响应文件，电子印章与实物印章具有同等法律效力，不因其采用电子化表现形式而否定其法律效力。</w:t>
            </w:r>
          </w:p>
          <w:p>
            <w:pPr>
              <w:pStyle w:val="21"/>
              <w:snapToGrid w:val="0"/>
              <w:spacing w:line="430" w:lineRule="exact"/>
              <w:rPr>
                <w:rFonts w:cs="宋体" w:asciiTheme="minorEastAsia" w:hAnsiTheme="minorEastAsia" w:eastAsiaTheme="minorEastAsia"/>
                <w:bCs/>
                <w:color w:val="auto"/>
                <w:sz w:val="21"/>
                <w:highlight w:val="none"/>
              </w:rPr>
            </w:pPr>
            <w:r>
              <w:rPr>
                <w:rFonts w:cs="宋体" w:asciiTheme="minorEastAsia" w:hAnsiTheme="minorEastAsia" w:eastAsiaTheme="minorEastAsia"/>
                <w:color w:val="auto"/>
                <w:sz w:val="21"/>
                <w:highlight w:val="none"/>
              </w:rPr>
              <w:t>3</w:t>
            </w:r>
            <w:r>
              <w:rPr>
                <w:rFonts w:hint="eastAsia" w:cs="宋体" w:asciiTheme="minorEastAsia" w:hAnsiTheme="minorEastAsia" w:eastAsiaTheme="minorEastAsia"/>
                <w:color w:val="auto"/>
                <w:sz w:val="21"/>
                <w:highlight w:val="none"/>
              </w:rPr>
              <w:t>.供应商为其他组织或者自然人时，本磋商文件规定的法定代表人指负责人或者自然人。本磋商文件所称负责人是指参加竞标的其他组织</w:t>
            </w:r>
            <w:r>
              <w:rPr>
                <w:rFonts w:hint="eastAsia" w:cs="宋体" w:asciiTheme="minorEastAsia" w:hAnsiTheme="minorEastAsia" w:eastAsiaTheme="minorEastAsia"/>
                <w:bCs/>
                <w:color w:val="auto"/>
                <w:sz w:val="21"/>
                <w:highlight w:val="none"/>
              </w:rPr>
              <w:t>营业执照或者执业许可证等证照上的</w:t>
            </w:r>
            <w:r>
              <w:rPr>
                <w:rFonts w:hint="eastAsia" w:cs="宋体" w:asciiTheme="minorEastAsia" w:hAnsiTheme="minorEastAsia" w:eastAsiaTheme="minorEastAsia"/>
                <w:color w:val="auto"/>
                <w:sz w:val="21"/>
                <w:highlight w:val="none"/>
              </w:rPr>
              <w:t>负责人，本磋商文件所称自然人指参与竞标的自然人本人，</w:t>
            </w:r>
            <w:r>
              <w:rPr>
                <w:rFonts w:hint="eastAsia" w:cs="宋体" w:asciiTheme="minorEastAsia" w:hAnsiTheme="minorEastAsia" w:eastAsiaTheme="minorEastAsia"/>
                <w:bCs/>
                <w:color w:val="auto"/>
                <w:sz w:val="21"/>
                <w:highlight w:val="none"/>
              </w:rPr>
              <w:t>且应具备独立承担民事责任能力，自然人应当为年满18岁以上成年人（十六周岁以上的未成年人，以自己的劳动收入为主要生活来源的，视为完全民事行为能力人）。</w:t>
            </w:r>
          </w:p>
          <w:p>
            <w:pPr>
              <w:pStyle w:val="21"/>
              <w:snapToGrid w:val="0"/>
              <w:spacing w:line="430" w:lineRule="exact"/>
              <w:rPr>
                <w:rFonts w:cs="宋体" w:asciiTheme="minorEastAsia" w:hAnsiTheme="minorEastAsia" w:eastAsiaTheme="minorEastAsia"/>
                <w:color w:val="auto"/>
                <w:sz w:val="21"/>
                <w:highlight w:val="none"/>
              </w:rPr>
            </w:pPr>
            <w:r>
              <w:rPr>
                <w:rFonts w:cs="宋体" w:asciiTheme="minorEastAsia" w:hAnsiTheme="minorEastAsia" w:eastAsiaTheme="minorEastAsia"/>
                <w:color w:val="auto"/>
                <w:sz w:val="21"/>
                <w:highlight w:val="none"/>
              </w:rPr>
              <w:t>4.</w:t>
            </w:r>
            <w:r>
              <w:rPr>
                <w:rFonts w:hint="eastAsia" w:cs="宋体" w:asciiTheme="minorEastAsia" w:hAnsiTheme="minorEastAsia" w:eastAsiaTheme="minorEastAsia"/>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pPr>
              <w:pStyle w:val="21"/>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5</w:t>
            </w:r>
            <w:r>
              <w:rPr>
                <w:rFonts w:cs="宋体" w:asciiTheme="minorEastAsia" w:hAnsiTheme="minorEastAsia" w:eastAsiaTheme="minorEastAsia"/>
                <w:color w:val="auto"/>
                <w:sz w:val="21"/>
                <w:highlight w:val="none"/>
              </w:rPr>
              <w:t>.</w:t>
            </w:r>
            <w:r>
              <w:rPr>
                <w:rFonts w:hint="eastAsia" w:cs="宋体" w:asciiTheme="minorEastAsia" w:hAnsiTheme="minorEastAsia" w:eastAsiaTheme="minorEastAsia"/>
                <w:color w:val="auto"/>
                <w:sz w:val="21"/>
                <w:highlight w:val="none"/>
              </w:rPr>
              <w:t>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pP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特别说明</w:t>
            </w:r>
          </w:p>
        </w:tc>
        <w:tc>
          <w:tcPr>
            <w:tcW w:w="8359" w:type="dxa"/>
            <w:vAlign w:val="center"/>
          </w:tcPr>
          <w:p>
            <w:pP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截标后将进行磋商：</w:t>
            </w:r>
          </w:p>
          <w:p>
            <w:pP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）委托代理人（法定代表人）请注意预留的手机号码中</w:t>
            </w:r>
            <w:r>
              <w:rPr>
                <w:rFonts w:hint="eastAsia" w:asciiTheme="minorEastAsia" w:hAnsiTheme="minorEastAsia" w:eastAsiaTheme="minorEastAsia"/>
                <w:color w:val="auto"/>
                <w:szCs w:val="21"/>
                <w:highlight w:val="none"/>
                <w:lang w:eastAsia="zh-CN"/>
              </w:rPr>
              <w:t>广西政府采购云平台</w:t>
            </w:r>
            <w:r>
              <w:rPr>
                <w:rFonts w:hint="eastAsia" w:asciiTheme="minorEastAsia" w:hAnsiTheme="minorEastAsia" w:eastAsiaTheme="minorEastAsia"/>
                <w:color w:val="auto"/>
                <w:szCs w:val="21"/>
                <w:highlight w:val="none"/>
              </w:rPr>
              <w:t>系统发送的短信提示，并按照要求进行响应及报价。</w:t>
            </w:r>
          </w:p>
          <w:p>
            <w:pP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）进入</w:t>
            </w:r>
            <w:r>
              <w:rPr>
                <w:rFonts w:hint="eastAsia" w:asciiTheme="minorEastAsia" w:hAnsiTheme="minorEastAsia" w:eastAsiaTheme="minorEastAsia"/>
                <w:color w:val="auto"/>
                <w:szCs w:val="21"/>
                <w:highlight w:val="none"/>
                <w:lang w:eastAsia="zh-CN"/>
              </w:rPr>
              <w:t>广西政府采购云平台</w:t>
            </w:r>
            <w:r>
              <w:rPr>
                <w:rFonts w:hint="eastAsia" w:asciiTheme="minorEastAsia" w:hAnsiTheme="minorEastAsia" w:eastAsiaTheme="minorEastAsia"/>
                <w:color w:val="auto"/>
                <w:szCs w:val="21"/>
                <w:highlight w:val="none"/>
              </w:rPr>
              <w:t>系统，点击页面右上角的</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待办</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，找到对应的项目，按系统提示操作。</w:t>
            </w:r>
          </w:p>
          <w:p>
            <w:pP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）如仍无法找到，请电话咨询广西城建咨询设计有限公司。</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pPr>
        <w:spacing w:line="400" w:lineRule="exact"/>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49" w:name="_Hlk66782192"/>
      <w:r>
        <w:rPr>
          <w:rFonts w:hint="eastAsia" w:ascii="宋体" w:hAnsi="宋体"/>
          <w:color w:val="auto"/>
          <w:szCs w:val="21"/>
          <w:highlight w:val="none"/>
        </w:rPr>
        <w:t>根据《政府采购促进中小企业发展管理办法》（财库〔2020〕46号）第九条第二款及桂财采〔2022〕30号广西壮族自治区财政厅关于进一步发挥政府采购政策功能促进企业发展的通知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%的扣除，用扣除后的价格参加评审。</w:t>
      </w:r>
      <w:bookmarkEnd w:id="49"/>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p>
    <w:p>
      <w:pPr>
        <w:pStyle w:val="8"/>
        <w:keepNext w:val="0"/>
        <w:keepLines w:val="0"/>
        <w:spacing w:before="0" w:after="0" w:line="360" w:lineRule="auto"/>
        <w:ind w:left="420" w:leftChars="200"/>
        <w:rPr>
          <w:rFonts w:ascii="宋体" w:hAnsi="宋体"/>
          <w:b w:val="0"/>
          <w:color w:val="auto"/>
          <w:sz w:val="21"/>
          <w:szCs w:val="21"/>
          <w:highlight w:val="none"/>
        </w:rPr>
      </w:pPr>
      <w:bookmarkStart w:id="50" w:name="_Toc254970532"/>
      <w:bookmarkStart w:id="51" w:name="_Toc254970673"/>
      <w:r>
        <w:rPr>
          <w:rFonts w:hint="eastAsia" w:ascii="宋体" w:hAnsi="宋体"/>
          <w:b w:val="0"/>
          <w:color w:val="auto"/>
          <w:sz w:val="21"/>
          <w:szCs w:val="21"/>
          <w:highlight w:val="none"/>
        </w:rPr>
        <w:t>6.1本项目不允许转包。</w:t>
      </w:r>
    </w:p>
    <w:p>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0"/>
      <w:bookmarkEnd w:id="51"/>
    </w:p>
    <w:p>
      <w:pPr>
        <w:spacing w:line="360" w:lineRule="auto"/>
        <w:ind w:firstLine="420" w:firstLineChars="200"/>
        <w:rPr>
          <w:rFonts w:ascii="宋体" w:hAnsi="宋体" w:cs="宋体"/>
          <w:color w:val="auto"/>
          <w:szCs w:val="21"/>
          <w:highlight w:val="none"/>
        </w:rPr>
      </w:pPr>
      <w:bookmarkStart w:id="52" w:name="_8.1提供相同品牌产品且通过资格审查、符合性审查的不同投标人参加同一合"/>
      <w:bookmarkEnd w:id="52"/>
      <w:r>
        <w:rPr>
          <w:rFonts w:hint="eastAsia" w:ascii="宋体" w:hAnsi="宋体" w:cs="宋体"/>
          <w:color w:val="auto"/>
          <w:szCs w:val="21"/>
          <w:highlight w:val="none"/>
        </w:rPr>
        <w:t>7.</w:t>
      </w:r>
      <w:r>
        <w:rPr>
          <w:rFonts w:ascii="宋体" w:hAnsi="宋体" w:cs="宋体"/>
          <w:color w:val="auto"/>
          <w:szCs w:val="21"/>
          <w:highlight w:val="none"/>
        </w:rPr>
        <w:t>1</w:t>
      </w:r>
      <w:bookmarkStart w:id="53" w:name="_Hlk65832145"/>
      <w:r>
        <w:rPr>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53"/>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pPr>
        <w:spacing w:line="360" w:lineRule="auto"/>
        <w:rPr>
          <w:rFonts w:ascii="宋体" w:hAnsi="宋体"/>
          <w:color w:val="auto"/>
          <w:highlight w:val="none"/>
        </w:rPr>
      </w:pPr>
      <w:bookmarkStart w:id="54" w:name="_Toc254970534"/>
      <w:bookmarkStart w:id="55" w:name="_Toc254970675"/>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54"/>
      <w:bookmarkEnd w:id="55"/>
    </w:p>
    <w:p>
      <w:pPr>
        <w:spacing w:line="360" w:lineRule="auto"/>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（2）供应商须知；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pPr>
        <w:spacing w:line="360" w:lineRule="auto"/>
        <w:rPr>
          <w:rFonts w:ascii="宋体" w:hAnsi="宋体"/>
          <w:color w:val="auto"/>
          <w:szCs w:val="21"/>
          <w:highlight w:val="none"/>
        </w:rPr>
      </w:pPr>
    </w:p>
    <w:p>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pPr>
        <w:spacing w:line="360" w:lineRule="auto"/>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14.磋商的风险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15.磋商报价</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15.1磋商报价应按磋商文件中“磋商报价表”格式填写。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15.2磋商报价的内容见“供应商须知前附表”。</w:t>
      </w:r>
    </w:p>
    <w:p>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15.3磋商报价要求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供应商的磋商报价应符合以下要求，否则响应文件按无效响应处理：</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磋商报价（包含首次报价、最后报价）超过所磋商分标规定的采购预算金额或者最高限价的，其响应文件将按无效处理。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56" w:name="_Hlk42592874"/>
      <w:r>
        <w:rPr>
          <w:rFonts w:hint="eastAsia" w:ascii="宋体" w:hAnsi="宋体" w:cs="宋体"/>
          <w:color w:val="auto"/>
          <w:szCs w:val="21"/>
          <w:highlight w:val="none"/>
        </w:rPr>
        <w:t>磋商报价（包含首次报价、最后报价）超过分项采购预算金额或者最高限价的，其响应文件将按无效处理。</w:t>
      </w:r>
    </w:p>
    <w:bookmarkEnd w:id="56"/>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ascii="宋体" w:hAnsi="宋体" w:cs="宋体"/>
          <w:color w:val="auto"/>
          <w:szCs w:val="21"/>
          <w:highlight w:val="none"/>
        </w:rPr>
      </w:pPr>
      <w:bookmarkStart w:id="5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w:t>
      </w:r>
      <w:r>
        <w:rPr>
          <w:rFonts w:ascii="宋体" w:hAnsi="宋体" w:cs="宋体"/>
          <w:color w:val="auto"/>
          <w:spacing w:val="-6"/>
          <w:szCs w:val="21"/>
          <w:highlight w:val="none"/>
        </w:rPr>
        <w:t>4</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ascii="宋体" w:hAnsi="宋体" w:cs="宋体"/>
          <w:color w:val="auto"/>
          <w:szCs w:val="21"/>
          <w:highlight w:val="none"/>
        </w:rPr>
        <w:t>4</w:t>
      </w:r>
      <w:r>
        <w:rPr>
          <w:rFonts w:hint="eastAsia" w:ascii="宋体" w:hAnsi="宋体" w:cs="宋体"/>
          <w:color w:val="auto"/>
          <w:szCs w:val="21"/>
          <w:highlight w:val="none"/>
        </w:rPr>
        <w:t>个工作日内退还。</w:t>
      </w:r>
      <w:bookmarkEnd w:id="57"/>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17.4供应商有下列情形之一的，磋商保证金将不予退还：</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18.1供应商应先安装“广西政府采购云平台新版客户端”（请自行前往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广西政府采购云平台新版客户端</w:t>
      </w:r>
      <w:r>
        <w:rPr>
          <w:rFonts w:hint="eastAsia"/>
          <w:color w:val="auto"/>
          <w:highlight w:val="none"/>
        </w:rPr>
        <w:t>”在线编制生成且后缀名为“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lang w:eastAsia="zh-CN"/>
        </w:rPr>
        <w:t>广西政府采购云平台</w:t>
      </w:r>
      <w:r>
        <w:rPr>
          <w:rFonts w:hint="eastAsia" w:hAnsi="宋体"/>
          <w:bCs/>
          <w:color w:val="auto"/>
          <w:szCs w:val="21"/>
          <w:highlight w:val="none"/>
        </w:rPr>
        <w:t>。</w:t>
      </w:r>
    </w:p>
    <w:p>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snapToGrid w:val="0"/>
        <w:spacing w:line="360" w:lineRule="auto"/>
        <w:ind w:firstLine="420"/>
        <w:jc w:val="left"/>
        <w:rPr>
          <w:rFonts w:ascii="宋体" w:hAnsi="宋体"/>
          <w:color w:val="auto"/>
          <w:szCs w:val="21"/>
          <w:highlight w:val="none"/>
        </w:rPr>
      </w:pPr>
      <w:bookmarkStart w:id="58" w:name="_Toc254970684"/>
      <w:bookmarkStart w:id="59"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“电子投标文件制作与投送教程”）</w:t>
      </w:r>
    </w:p>
    <w:bookmarkEnd w:id="58"/>
    <w:bookmarkEnd w:id="59"/>
    <w:p>
      <w:pPr>
        <w:pStyle w:val="59"/>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pPr>
        <w:spacing w:line="360" w:lineRule="auto"/>
        <w:ind w:firstLine="482" w:firstLineChars="200"/>
        <w:rPr>
          <w:rFonts w:ascii="黑体" w:hAnsi="黑体" w:eastAsia="黑体" w:cs="宋体"/>
          <w:b/>
          <w:bCs/>
          <w:color w:val="auto"/>
          <w:sz w:val="24"/>
          <w:highlight w:val="none"/>
        </w:rPr>
      </w:pPr>
      <w:bookmarkStart w:id="60" w:name="_Hlk45702405"/>
      <w:r>
        <w:rPr>
          <w:rFonts w:hint="eastAsia" w:ascii="黑体" w:hAnsi="黑体" w:eastAsia="黑体" w:cs="宋体"/>
          <w:b/>
          <w:bCs/>
          <w:color w:val="auto"/>
          <w:sz w:val="24"/>
          <w:highlight w:val="none"/>
        </w:rPr>
        <w:t>22.响应文件的退回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0"/>
    <w:p>
      <w:pPr>
        <w:spacing w:line="360" w:lineRule="auto"/>
        <w:rPr>
          <w:rFonts w:ascii="宋体" w:hAnsi="宋体"/>
          <w:color w:val="auto"/>
          <w:szCs w:val="21"/>
          <w:highlight w:val="none"/>
        </w:rPr>
      </w:pPr>
    </w:p>
    <w:p>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pPr>
        <w:spacing w:line="360" w:lineRule="auto"/>
        <w:ind w:left="420" w:firstLine="420"/>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hAnsi="宋体"/>
          <w:bCs/>
          <w:color w:val="auto"/>
          <w:szCs w:val="21"/>
          <w:highlight w:val="none"/>
          <w:lang w:eastAsia="zh-CN"/>
        </w:rPr>
        <w:t>广西政府采购云平台</w:t>
      </w:r>
      <w:r>
        <w:rPr>
          <w:rFonts w:hint="eastAsia" w:hAnsi="宋体"/>
          <w:bCs/>
          <w:color w:val="auto"/>
          <w:highlight w:val="none"/>
        </w:rPr>
        <w:t>抽（选）取</w:t>
      </w:r>
      <w:r>
        <w:rPr>
          <w:rFonts w:hint="eastAsia" w:hAnsi="宋体"/>
          <w:bCs/>
          <w:color w:val="auto"/>
          <w:szCs w:val="21"/>
          <w:highlight w:val="none"/>
        </w:rPr>
        <w:t>评审专家。</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hAnsi="宋体"/>
          <w:color w:val="auto"/>
          <w:highlight w:val="none"/>
          <w:lang w:eastAsia="zh-CN"/>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color w:val="auto"/>
          <w:highlight w:val="none"/>
          <w:lang w:eastAsia="zh-CN"/>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auto"/>
          <w:highlight w:val="none"/>
        </w:rPr>
      </w:pPr>
      <w:r>
        <w:rPr>
          <w:rFonts w:hint="eastAsia" w:hAnsi="宋体"/>
          <w:color w:val="auto"/>
          <w:highlight w:val="none"/>
        </w:rPr>
        <w:t>（1）电子交易平台发生故障而无法登录访问的；</w:t>
      </w:r>
    </w:p>
    <w:p>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pPr>
        <w:spacing w:line="360" w:lineRule="auto"/>
        <w:ind w:firstLine="420" w:firstLineChars="200"/>
        <w:rPr>
          <w:rFonts w:hAnsi="宋体"/>
          <w:color w:val="auto"/>
          <w:highlight w:val="none"/>
        </w:rPr>
      </w:pPr>
      <w:r>
        <w:rPr>
          <w:rFonts w:hint="eastAsia" w:hAnsi="宋体"/>
          <w:color w:val="auto"/>
          <w:highlight w:val="none"/>
        </w:rPr>
        <w:t>（4）病毒发作导致不能进行正常操作的；</w:t>
      </w:r>
    </w:p>
    <w:p>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1"/>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pStyle w:val="9"/>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rPr>
        <w:t>接收质疑函的方式、联系部门、联系电话和通讯地址等信息</w:t>
      </w:r>
      <w:r>
        <w:rPr>
          <w:rFonts w:hint="eastAsia" w:ascii="宋体" w:hAnsi="宋体" w:cs="Arial"/>
          <w:color w:val="auto"/>
          <w:highlight w:val="none"/>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cs="宋体"/>
          <w:color w:val="auto"/>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7"/>
        <w:gridCol w:w="1837"/>
        <w:gridCol w:w="1697"/>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Borders>
              <w:tl2br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010" w:type="pct"/>
            <w:vAlign w:val="center"/>
          </w:tcPr>
          <w:p>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933"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942"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010" w:type="pct"/>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942"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010"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942"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010" w:type="pct"/>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942"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010"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942"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010"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942"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010"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93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9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010" w:type="pct"/>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933"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942" w:type="pct"/>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010" w:type="pct"/>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942" w:type="pct"/>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01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942" w:type="pct"/>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010"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933" w:type="pct"/>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942" w:type="pct"/>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pPr>
        <w:tabs>
          <w:tab w:val="left" w:pos="2835"/>
        </w:tabs>
        <w:spacing w:line="360" w:lineRule="auto"/>
        <w:ind w:firstLine="420" w:firstLineChars="200"/>
        <w:rPr>
          <w:rFonts w:ascii="宋体" w:hAnsi="宋体" w:cs="宋体"/>
          <w:color w:val="auto"/>
          <w:highlight w:val="none"/>
        </w:rPr>
      </w:pPr>
      <w:r>
        <w:rPr>
          <w:rFonts w:ascii="宋体" w:hAnsi="宋体" w:cs="宋体"/>
          <w:color w:val="auto"/>
          <w:highlight w:val="none"/>
        </w:rPr>
        <w:t>合计收费＝ 1.5 ＋ 0.55＝ 2.05 （万元）</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pPr>
        <w:pStyle w:val="21"/>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pPr>
        <w:pStyle w:val="21"/>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其他事项详见“供应商须知前附表”。</w:t>
      </w:r>
    </w:p>
    <w:p>
      <w:pPr>
        <w:pStyle w:val="21"/>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21"/>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pPr>
        <w:pStyle w:val="21"/>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pPr>
        <w:pStyle w:val="21"/>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21"/>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pStyle w:val="21"/>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pPr>
        <w:pStyle w:val="3"/>
        <w:ind w:firstLine="1126"/>
        <w:rPr>
          <w:rFonts w:ascii="宋体"/>
          <w:color w:val="auto"/>
          <w:szCs w:val="21"/>
          <w:highlight w:val="none"/>
        </w:rPr>
      </w:pPr>
      <w:r>
        <w:rPr>
          <w:color w:val="auto"/>
          <w:highlight w:val="none"/>
        </w:rPr>
        <w:br w:type="page"/>
      </w:r>
    </w:p>
    <w:p>
      <w:pPr>
        <w:pStyle w:val="21"/>
        <w:snapToGrid w:val="0"/>
        <w:spacing w:line="360" w:lineRule="auto"/>
        <w:ind w:left="840" w:hanging="420"/>
        <w:rPr>
          <w:rFonts w:hAnsi="宋体"/>
          <w:color w:val="auto"/>
          <w:highlight w:val="none"/>
        </w:rPr>
      </w:pPr>
      <w:r>
        <w:rPr>
          <w:rFonts w:hint="eastAsia" w:ascii="黑体" w:hAnsi="黑体" w:eastAsia="黑体" w:cs="黑体"/>
          <w:bCs/>
          <w:color w:val="auto"/>
          <w:sz w:val="32"/>
          <w:szCs w:val="32"/>
          <w:highlight w:val="none"/>
        </w:rPr>
        <w:t>附件1：</w:t>
      </w:r>
    </w:p>
    <w:p>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广西壮族自治区政府采购项目合同验收书（格式参考）</w:t>
      </w:r>
    </w:p>
    <w:p>
      <w:pPr>
        <w:widowControl/>
        <w:shd w:val="clear" w:color="auto" w:fill="FFFFFF"/>
        <w:spacing w:line="480" w:lineRule="atLeast"/>
        <w:jc w:val="center"/>
        <w:rPr>
          <w:rFonts w:ascii="仿宋" w:hAnsi="仿宋" w:eastAsia="仿宋" w:cs="宋体"/>
          <w:color w:val="auto"/>
          <w:kern w:val="0"/>
          <w:sz w:val="32"/>
          <w:szCs w:val="32"/>
          <w:highlight w:val="none"/>
        </w:rPr>
      </w:pPr>
    </w:p>
    <w:p>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 xml:space="preserve">合计大写金额：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仟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佰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拾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万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仟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佰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拾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监督人员或者其他相关人员签字：</w:t>
            </w:r>
          </w:p>
          <w:p>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或者受邀机构的意见（盖章）：</w:t>
            </w:r>
          </w:p>
        </w:tc>
      </w:tr>
      <w:tr>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成交供应商负责人签字或者盖章：</w:t>
            </w:r>
          </w:p>
          <w:p>
            <w:pPr>
              <w:widowControl/>
              <w:spacing w:before="100" w:beforeAutospacing="1" w:after="100" w:afterAutospacing="1" w:line="320" w:lineRule="atLeast"/>
              <w:jc w:val="left"/>
              <w:rPr>
                <w:rFonts w:ascii="宋体" w:hAnsi="宋体" w:cs="宋体"/>
                <w:color w:val="auto"/>
                <w:kern w:val="0"/>
                <w:szCs w:val="21"/>
                <w:highlight w:val="none"/>
              </w:rPr>
            </w:pPr>
          </w:p>
          <w:p>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r>
    </w:tbl>
    <w:p>
      <w:pPr>
        <w:pStyle w:val="21"/>
        <w:snapToGrid w:val="0"/>
        <w:ind w:left="840" w:hanging="420"/>
        <w:rPr>
          <w:rFonts w:hAnsi="宋体"/>
          <w:color w:val="auto"/>
          <w:highlight w:val="none"/>
        </w:rPr>
      </w:pPr>
      <w:r>
        <w:rPr>
          <w:rFonts w:hAnsi="宋体"/>
          <w:color w:val="auto"/>
          <w:highlight w:val="none"/>
        </w:rPr>
        <w:br w:type="page"/>
      </w:r>
    </w:p>
    <w:p>
      <w:pPr>
        <w:pStyle w:val="21"/>
        <w:snapToGrid w:val="0"/>
        <w:ind w:left="1060" w:hanging="640"/>
        <w:rPr>
          <w:rFonts w:ascii="黑体" w:hAnsi="黑体" w:eastAsia="黑体" w:cs="黑体"/>
          <w:color w:val="auto"/>
          <w:sz w:val="32"/>
          <w:szCs w:val="32"/>
          <w:highlight w:val="none"/>
        </w:rPr>
      </w:pPr>
    </w:p>
    <w:p>
      <w:pPr>
        <w:pStyle w:val="21"/>
        <w:snapToGrid w:val="0"/>
        <w:ind w:left="1060" w:hanging="64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pPr>
        <w:jc w:val="center"/>
        <w:rPr>
          <w:rFonts w:ascii="黑体" w:hAnsi="黑体" w:eastAsia="黑体"/>
          <w:color w:val="auto"/>
          <w:sz w:val="36"/>
          <w:szCs w:val="36"/>
          <w:highlight w:val="none"/>
        </w:rPr>
      </w:pPr>
      <w:r>
        <w:rPr>
          <w:rFonts w:hint="eastAsia" w:ascii="宋体" w:hAnsi="宋体" w:cs="宋体"/>
          <w:b/>
          <w:bCs/>
          <w:color w:val="auto"/>
          <w:kern w:val="0"/>
          <w:sz w:val="18"/>
          <w:szCs w:val="18"/>
          <w:highlight w:val="none"/>
        </w:rPr>
        <w:t>（本项目如有，可以参考使用）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817" w:type="dxa"/>
            <w:vMerge w:val="restart"/>
            <w:vAlign w:val="center"/>
          </w:tcPr>
          <w:p>
            <w:pPr>
              <w:jc w:val="center"/>
              <w:rPr>
                <w:color w:val="auto"/>
                <w:sz w:val="24"/>
                <w:highlight w:val="none"/>
              </w:rPr>
            </w:pPr>
            <w:r>
              <w:rPr>
                <w:rFonts w:hint="eastAsia"/>
                <w:color w:val="auto"/>
                <w:sz w:val="24"/>
                <w:highlight w:val="none"/>
              </w:rPr>
              <w:t>供</w:t>
            </w:r>
          </w:p>
          <w:p>
            <w:pPr>
              <w:jc w:val="center"/>
              <w:rPr>
                <w:color w:val="auto"/>
                <w:sz w:val="24"/>
                <w:highlight w:val="none"/>
              </w:rPr>
            </w:pPr>
            <w:r>
              <w:rPr>
                <w:rFonts w:hint="eastAsia"/>
                <w:color w:val="auto"/>
                <w:sz w:val="24"/>
                <w:highlight w:val="none"/>
              </w:rPr>
              <w:t>应</w:t>
            </w:r>
          </w:p>
          <w:p>
            <w:pPr>
              <w:jc w:val="center"/>
              <w:rPr>
                <w:color w:val="auto"/>
                <w:sz w:val="24"/>
                <w:highlight w:val="none"/>
              </w:rPr>
            </w:pPr>
            <w:r>
              <w:rPr>
                <w:rFonts w:hint="eastAsia"/>
                <w:color w:val="auto"/>
                <w:sz w:val="24"/>
                <w:highlight w:val="none"/>
              </w:rPr>
              <w:t>商</w:t>
            </w:r>
          </w:p>
          <w:p>
            <w:pPr>
              <w:jc w:val="center"/>
              <w:rPr>
                <w:color w:val="auto"/>
                <w:sz w:val="24"/>
                <w:highlight w:val="none"/>
              </w:rPr>
            </w:pPr>
            <w:r>
              <w:rPr>
                <w:rFonts w:hint="eastAsia"/>
                <w:color w:val="auto"/>
                <w:sz w:val="24"/>
                <w:highlight w:val="none"/>
              </w:rPr>
              <w:t>申</w:t>
            </w:r>
          </w:p>
          <w:p>
            <w:pPr>
              <w:jc w:val="center"/>
              <w:rPr>
                <w:color w:val="auto"/>
                <w:sz w:val="24"/>
                <w:highlight w:val="none"/>
              </w:rPr>
            </w:pPr>
            <w:r>
              <w:rPr>
                <w:rFonts w:hint="eastAsia"/>
                <w:color w:val="auto"/>
                <w:sz w:val="24"/>
                <w:highlight w:val="none"/>
              </w:rPr>
              <w:t>请</w:t>
            </w:r>
          </w:p>
        </w:tc>
        <w:tc>
          <w:tcPr>
            <w:tcW w:w="8009" w:type="dxa"/>
            <w:vAlign w:val="center"/>
          </w:tcPr>
          <w:p>
            <w:pPr>
              <w:rPr>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highlight w:val="none"/>
              </w:rPr>
            </w:pPr>
          </w:p>
        </w:tc>
        <w:tc>
          <w:tcPr>
            <w:tcW w:w="8009" w:type="dxa"/>
          </w:tcPr>
          <w:p>
            <w:pPr>
              <w:rPr>
                <w:color w:val="auto"/>
                <w:sz w:val="24"/>
                <w:highlight w:val="none"/>
              </w:rPr>
            </w:pPr>
            <w:r>
              <w:rPr>
                <w:rFonts w:hint="eastAsia"/>
                <w:color w:val="auto"/>
                <w:sz w:val="24"/>
                <w:highlight w:val="none"/>
              </w:rPr>
              <w:t xml:space="preserve">  </w:t>
            </w:r>
          </w:p>
          <w:p>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pP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（小写）退付到达以下帐户。</w:t>
            </w:r>
          </w:p>
          <w:p>
            <w:pPr>
              <w:rPr>
                <w:color w:val="auto"/>
                <w:sz w:val="24"/>
                <w:highlight w:val="none"/>
              </w:rPr>
            </w:pPr>
            <w:r>
              <w:rPr>
                <w:rFonts w:hint="eastAsia"/>
                <w:color w:val="auto"/>
                <w:sz w:val="24"/>
                <w:highlight w:val="none"/>
              </w:rPr>
              <w:t>单位名称：</w:t>
            </w:r>
          </w:p>
          <w:p>
            <w:pPr>
              <w:rPr>
                <w:color w:val="auto"/>
                <w:sz w:val="24"/>
                <w:highlight w:val="none"/>
              </w:rPr>
            </w:pPr>
            <w:r>
              <w:rPr>
                <w:rFonts w:hint="eastAsia"/>
                <w:color w:val="auto"/>
                <w:sz w:val="24"/>
                <w:highlight w:val="none"/>
              </w:rPr>
              <w:t>开户银行：</w:t>
            </w:r>
          </w:p>
          <w:p>
            <w:pPr>
              <w:rPr>
                <w:color w:val="auto"/>
                <w:sz w:val="24"/>
                <w:highlight w:val="none"/>
              </w:rPr>
            </w:pPr>
            <w:r>
              <w:rPr>
                <w:rFonts w:hint="eastAsia"/>
                <w:color w:val="auto"/>
                <w:sz w:val="24"/>
                <w:highlight w:val="none"/>
              </w:rPr>
              <w:t>帐    号：</w:t>
            </w:r>
          </w:p>
          <w:p>
            <w:pPr>
              <w:rPr>
                <w:color w:val="auto"/>
                <w:sz w:val="24"/>
                <w:highlight w:val="none"/>
              </w:rPr>
            </w:pPr>
            <w:r>
              <w:rPr>
                <w:rFonts w:hint="eastAsia"/>
                <w:color w:val="auto"/>
                <w:sz w:val="24"/>
                <w:highlight w:val="none"/>
              </w:rPr>
              <w:t>联系人及电话：</w:t>
            </w:r>
          </w:p>
          <w:p>
            <w:pPr>
              <w:rPr>
                <w:color w:val="auto"/>
                <w:sz w:val="24"/>
                <w:highlight w:val="none"/>
              </w:rPr>
            </w:pPr>
          </w:p>
          <w:p>
            <w:pPr>
              <w:jc w:val="center"/>
              <w:rPr>
                <w:color w:val="auto"/>
                <w:sz w:val="24"/>
                <w:highlight w:val="none"/>
              </w:rPr>
            </w:pPr>
            <w:r>
              <w:rPr>
                <w:rFonts w:hint="eastAsia"/>
                <w:color w:val="auto"/>
                <w:sz w:val="24"/>
                <w:highlight w:val="none"/>
              </w:rPr>
              <w:t xml:space="preserve">                           供应商公章：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highlight w:val="none"/>
              </w:rPr>
            </w:pPr>
            <w:r>
              <w:rPr>
                <w:rFonts w:hint="eastAsia"/>
                <w:color w:val="auto"/>
                <w:sz w:val="24"/>
                <w:highlight w:val="none"/>
              </w:rPr>
              <w:t>采</w:t>
            </w:r>
          </w:p>
          <w:p>
            <w:pPr>
              <w:jc w:val="center"/>
              <w:rPr>
                <w:color w:val="auto"/>
                <w:sz w:val="24"/>
                <w:highlight w:val="none"/>
              </w:rPr>
            </w:pPr>
            <w:r>
              <w:rPr>
                <w:rFonts w:hint="eastAsia"/>
                <w:color w:val="auto"/>
                <w:sz w:val="24"/>
                <w:highlight w:val="none"/>
              </w:rPr>
              <w:t>购</w:t>
            </w:r>
          </w:p>
          <w:p>
            <w:pPr>
              <w:jc w:val="center"/>
              <w:rPr>
                <w:color w:val="auto"/>
                <w:sz w:val="24"/>
                <w:highlight w:val="none"/>
              </w:rPr>
            </w:pPr>
            <w:r>
              <w:rPr>
                <w:rFonts w:hint="eastAsia"/>
                <w:color w:val="auto"/>
                <w:sz w:val="24"/>
                <w:highlight w:val="none"/>
              </w:rPr>
              <w:t>单</w:t>
            </w:r>
          </w:p>
          <w:p>
            <w:pPr>
              <w:jc w:val="center"/>
              <w:rPr>
                <w:color w:val="auto"/>
                <w:sz w:val="24"/>
                <w:highlight w:val="none"/>
              </w:rPr>
            </w:pPr>
            <w:r>
              <w:rPr>
                <w:rFonts w:hint="eastAsia"/>
                <w:color w:val="auto"/>
                <w:sz w:val="24"/>
                <w:highlight w:val="none"/>
              </w:rPr>
              <w:t>位</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p>
          <w:p>
            <w:pPr>
              <w:rPr>
                <w:color w:val="auto"/>
                <w:sz w:val="24"/>
                <w:highlight w:val="none"/>
              </w:rPr>
            </w:pPr>
            <w:r>
              <w:rPr>
                <w:rFonts w:hint="eastAsia"/>
                <w:color w:val="auto"/>
                <w:sz w:val="24"/>
                <w:highlight w:val="none"/>
              </w:rPr>
              <w:t>退付意见：是否同意退付履约保证金及退付金额：</w:t>
            </w: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 xml:space="preserve">联系人及电话：                                </w:t>
            </w:r>
          </w:p>
          <w:p>
            <w:pPr>
              <w:rPr>
                <w:color w:val="auto"/>
                <w:sz w:val="24"/>
                <w:highlight w:val="none"/>
              </w:rPr>
            </w:pPr>
          </w:p>
          <w:p>
            <w:pPr>
              <w:ind w:firstLine="4560" w:firstLineChars="1900"/>
              <w:rPr>
                <w:color w:val="auto"/>
                <w:sz w:val="24"/>
                <w:highlight w:val="none"/>
              </w:rPr>
            </w:pPr>
            <w:r>
              <w:rPr>
                <w:rFonts w:hint="eastAsia"/>
                <w:color w:val="auto"/>
                <w:sz w:val="24"/>
                <w:highlight w:val="none"/>
              </w:rPr>
              <w:t xml:space="preserve"> 采购单位公章：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highlight w:val="none"/>
              </w:rPr>
            </w:pPr>
            <w:r>
              <w:rPr>
                <w:rFonts w:hint="eastAsia"/>
                <w:color w:val="auto"/>
                <w:sz w:val="24"/>
                <w:highlight w:val="none"/>
              </w:rPr>
              <w:t>财</w:t>
            </w:r>
          </w:p>
          <w:p>
            <w:pPr>
              <w:jc w:val="center"/>
              <w:rPr>
                <w:color w:val="auto"/>
                <w:sz w:val="24"/>
                <w:highlight w:val="none"/>
              </w:rPr>
            </w:pPr>
            <w:r>
              <w:rPr>
                <w:rFonts w:hint="eastAsia"/>
                <w:color w:val="auto"/>
                <w:sz w:val="24"/>
                <w:highlight w:val="none"/>
              </w:rPr>
              <w:t>务</w:t>
            </w:r>
          </w:p>
          <w:p>
            <w:pPr>
              <w:jc w:val="center"/>
              <w:rPr>
                <w:color w:val="auto"/>
                <w:sz w:val="24"/>
                <w:highlight w:val="none"/>
              </w:rPr>
            </w:pPr>
            <w:r>
              <w:rPr>
                <w:rFonts w:hint="eastAsia"/>
                <w:color w:val="auto"/>
                <w:sz w:val="24"/>
                <w:highlight w:val="none"/>
              </w:rPr>
              <w:t>部</w:t>
            </w:r>
          </w:p>
          <w:p>
            <w:pPr>
              <w:jc w:val="center"/>
              <w:rPr>
                <w:color w:val="auto"/>
                <w:sz w:val="24"/>
                <w:highlight w:val="none"/>
              </w:rPr>
            </w:pPr>
            <w:r>
              <w:rPr>
                <w:rFonts w:hint="eastAsia"/>
                <w:color w:val="auto"/>
                <w:sz w:val="24"/>
                <w:highlight w:val="none"/>
              </w:rPr>
              <w:t>门</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pPr>
              <w:rPr>
                <w:color w:val="auto"/>
                <w:sz w:val="24"/>
                <w:highlight w:val="none"/>
              </w:rPr>
            </w:pPr>
          </w:p>
          <w:p>
            <w:pPr>
              <w:rPr>
                <w:color w:val="auto"/>
                <w:sz w:val="24"/>
                <w:highlight w:val="none"/>
              </w:rPr>
            </w:pPr>
            <w:r>
              <w:rPr>
                <w:rFonts w:hint="eastAsia"/>
                <w:color w:val="auto"/>
                <w:sz w:val="24"/>
                <w:highlight w:val="none"/>
              </w:rPr>
              <w:t>会计审核：</w:t>
            </w:r>
          </w:p>
          <w:p>
            <w:pPr>
              <w:rPr>
                <w:color w:val="auto"/>
                <w:sz w:val="24"/>
                <w:highlight w:val="none"/>
              </w:rPr>
            </w:pPr>
          </w:p>
          <w:p>
            <w:pPr>
              <w:rPr>
                <w:color w:val="auto"/>
                <w:sz w:val="24"/>
                <w:highlight w:val="none"/>
              </w:rPr>
            </w:pPr>
            <w:r>
              <w:rPr>
                <w:rFonts w:hint="eastAsia"/>
                <w:color w:val="auto"/>
                <w:sz w:val="24"/>
                <w:highlight w:val="none"/>
              </w:rPr>
              <w:t>财务负责人审核：</w:t>
            </w:r>
          </w:p>
          <w:p>
            <w:pPr>
              <w:rPr>
                <w:color w:val="auto"/>
                <w:sz w:val="24"/>
                <w:highlight w:val="none"/>
              </w:rPr>
            </w:pPr>
          </w:p>
          <w:p>
            <w:pPr>
              <w:rPr>
                <w:color w:val="auto"/>
                <w:sz w:val="24"/>
                <w:highlight w:val="none"/>
              </w:rPr>
            </w:pPr>
            <w:r>
              <w:rPr>
                <w:rFonts w:hint="eastAsia"/>
                <w:color w:val="auto"/>
                <w:sz w:val="24"/>
                <w:highlight w:val="none"/>
              </w:rPr>
              <w:t>单位负责人签字：</w:t>
            </w:r>
          </w:p>
          <w:p>
            <w:pPr>
              <w:rPr>
                <w:color w:val="auto"/>
                <w:sz w:val="24"/>
                <w:highlight w:val="none"/>
              </w:rPr>
            </w:pPr>
          </w:p>
          <w:p>
            <w:pPr>
              <w:rPr>
                <w:color w:val="auto"/>
                <w:sz w:val="24"/>
                <w:highlight w:val="none"/>
              </w:rPr>
            </w:pPr>
            <w:r>
              <w:rPr>
                <w:rFonts w:hint="eastAsia"/>
                <w:color w:val="auto"/>
                <w:sz w:val="24"/>
                <w:highlight w:val="none"/>
              </w:rPr>
              <w:t>出纳办理转帐日期：</w:t>
            </w:r>
          </w:p>
        </w:tc>
      </w:tr>
    </w:tbl>
    <w:p>
      <w:pPr>
        <w:pStyle w:val="18"/>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注：供应商凭经采购单位审批的退付意见书到履约保证金收取单位财务部门办理履约保证金退付事宜。</w:t>
      </w:r>
    </w:p>
    <w:p>
      <w:pPr>
        <w:pStyle w:val="21"/>
        <w:spacing w:line="360" w:lineRule="auto"/>
        <w:ind w:firstLine="402" w:firstLineChars="200"/>
        <w:textAlignment w:val="center"/>
        <w:rPr>
          <w:rFonts w:hAnsi="宋体"/>
          <w:b/>
          <w:color w:val="auto"/>
          <w:sz w:val="32"/>
          <w:szCs w:val="32"/>
          <w:highlight w:val="none"/>
        </w:rPr>
      </w:pPr>
      <w:r>
        <w:rPr>
          <w:rFonts w:hAnsi="宋体"/>
          <w:b/>
          <w:color w:val="auto"/>
          <w:highlight w:val="none"/>
        </w:rPr>
        <w:br w:type="page"/>
      </w:r>
    </w:p>
    <w:p>
      <w:pPr>
        <w:pStyle w:val="4"/>
        <w:jc w:val="center"/>
        <w:rPr>
          <w:color w:val="auto"/>
          <w:highlight w:val="none"/>
        </w:rPr>
      </w:pPr>
      <w:bookmarkStart w:id="62" w:name="_Toc151675538"/>
      <w:r>
        <w:rPr>
          <w:rFonts w:hint="eastAsia"/>
          <w:color w:val="auto"/>
          <w:highlight w:val="none"/>
        </w:rPr>
        <w:t xml:space="preserve">第三章 </w:t>
      </w:r>
      <w:r>
        <w:rPr>
          <w:color w:val="auto"/>
          <w:highlight w:val="none"/>
        </w:rPr>
        <w:t xml:space="preserve"> </w:t>
      </w:r>
      <w:r>
        <w:rPr>
          <w:rFonts w:hint="eastAsia"/>
          <w:color w:val="auto"/>
          <w:highlight w:val="none"/>
        </w:rPr>
        <w:t>采购需求</w:t>
      </w:r>
      <w:bookmarkEnd w:id="62"/>
    </w:p>
    <w:p>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说明：</w:t>
      </w:r>
    </w:p>
    <w:p>
      <w:pPr>
        <w:spacing w:line="360" w:lineRule="exact"/>
        <w:ind w:firstLine="420" w:firstLineChars="200"/>
        <w:jc w:val="left"/>
        <w:rPr>
          <w:rFonts w:ascii="宋体" w:hAnsi="宋体" w:cs="宋体"/>
          <w:color w:val="auto"/>
          <w:szCs w:val="21"/>
          <w:highlight w:val="none"/>
        </w:rPr>
      </w:pPr>
      <w:r>
        <w:rPr>
          <w:rFonts w:ascii="宋体" w:hAnsi="宋体"/>
          <w:color w:val="auto"/>
          <w:highlight w:val="none"/>
        </w:rPr>
        <w:t>1.</w:t>
      </w:r>
      <w:r>
        <w:rPr>
          <w:rFonts w:hint="eastAsia"/>
          <w:color w:val="auto"/>
          <w:highlight w:val="none"/>
        </w:rPr>
        <w:t>为落实政府采购政策需满足的要求</w:t>
      </w:r>
    </w:p>
    <w:p>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pPr>
        <w:spacing w:line="36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本采购需求表凡标注“▲”的条款或要求不响应或不满足的，其响应文件即作无效竞标处理。</w:t>
      </w:r>
    </w:p>
    <w:p>
      <w:pPr>
        <w:spacing w:line="360" w:lineRule="exact"/>
        <w:ind w:firstLine="424" w:firstLineChars="202"/>
        <w:jc w:val="left"/>
        <w:rPr>
          <w:color w:val="auto"/>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hint="eastAsia"/>
          <w:color w:val="auto"/>
          <w:highlight w:val="none"/>
        </w:rPr>
        <w:t>供应商必须自行为其竞标产品侵犯他人的知识产权或者专利成果的行为承担相应法律责任。</w:t>
      </w:r>
    </w:p>
    <w:p>
      <w:pPr>
        <w:spacing w:line="360" w:lineRule="exact"/>
        <w:ind w:firstLine="424" w:firstLineChars="202"/>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.所属行业依照《中小企业划型标准规定》（工信部联企业〔2011〕300号）及《国民经济行业分类》（GB/T4754-2017）的有关规定执行。</w:t>
      </w:r>
    </w:p>
    <w:p>
      <w:pPr>
        <w:spacing w:line="360" w:lineRule="exact"/>
        <w:ind w:firstLine="426" w:firstLineChars="202"/>
        <w:jc w:val="left"/>
        <w:rPr>
          <w:rFonts w:ascii="宋体" w:hAnsi="宋体"/>
          <w:b/>
          <w:color w:val="auto"/>
          <w:szCs w:val="21"/>
          <w:highlight w:val="none"/>
          <w:u w:val="single"/>
        </w:rPr>
      </w:pPr>
      <w:r>
        <w:rPr>
          <w:rFonts w:ascii="宋体" w:hAnsi="宋体"/>
          <w:b/>
          <w:color w:val="auto"/>
          <w:szCs w:val="21"/>
          <w:highlight w:val="none"/>
        </w:rPr>
        <w:t>5</w:t>
      </w:r>
      <w:r>
        <w:rPr>
          <w:rFonts w:hint="eastAsia" w:ascii="宋体" w:hAnsi="宋体"/>
          <w:b/>
          <w:color w:val="auto"/>
          <w:szCs w:val="21"/>
          <w:highlight w:val="none"/>
        </w:rPr>
        <w:t>.</w:t>
      </w:r>
      <w:r>
        <w:rPr>
          <w:rFonts w:hint="eastAsia" w:ascii="宋体" w:hAnsi="宋体"/>
          <w:b/>
          <w:color w:val="auto"/>
          <w:szCs w:val="21"/>
          <w:highlight w:val="none"/>
          <w:u w:val="single"/>
        </w:rPr>
        <w:t>本项目采购需求表中要求提供的文件材料或承诺书（如有），请在《技术要求偏离表》或《商务要求偏离表》中应答时，注明相关文件材料或承诺书放置的页码。</w:t>
      </w:r>
    </w:p>
    <w:p>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 xml:space="preserve"> </w:t>
      </w:r>
      <w:r>
        <w:rPr>
          <w:rFonts w:ascii="宋体" w:hAnsi="宋体" w:cs="Arial"/>
          <w:bCs/>
          <w:color w:val="auto"/>
          <w:szCs w:val="21"/>
          <w:highlight w:val="none"/>
          <w:u w:val="single"/>
        </w:rPr>
        <w:t>/</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 </w:t>
      </w:r>
      <w:r>
        <w:rPr>
          <w:rFonts w:hint="eastAsia" w:ascii="宋体" w:hAnsi="宋体"/>
          <w:iCs/>
          <w:color w:val="auto"/>
          <w:szCs w:val="21"/>
          <w:highlight w:val="none"/>
          <w:u w:val="single"/>
          <w:lang w:val="en-US" w:eastAsia="zh-CN"/>
        </w:rPr>
        <w:t>102</w:t>
      </w:r>
      <w:r>
        <w:rPr>
          <w:rFonts w:ascii="宋体" w:hAnsi="宋体"/>
          <w:iCs/>
          <w:color w:val="auto"/>
          <w:szCs w:val="21"/>
          <w:highlight w:val="none"/>
          <w:u w:val="single"/>
        </w:rPr>
        <w:t>.00</w:t>
      </w:r>
      <w:r>
        <w:rPr>
          <w:rFonts w:hint="eastAsia" w:ascii="宋体" w:hAnsi="宋体"/>
          <w:iCs/>
          <w:color w:val="auto"/>
          <w:szCs w:val="21"/>
          <w:highlight w:val="none"/>
          <w:u w:val="single"/>
        </w:rPr>
        <w:t>万元</w:t>
      </w:r>
      <w:r>
        <w:rPr>
          <w:rFonts w:hint="eastAsia" w:ascii="宋体" w:hAnsi="宋体" w:cs="Arial"/>
          <w:bCs/>
          <w:color w:val="auto"/>
          <w:szCs w:val="21"/>
          <w:highlight w:val="none"/>
          <w:u w:val="single"/>
        </w:rPr>
        <w:t xml:space="preserve"> </w:t>
      </w:r>
    </w:p>
    <w:tbl>
      <w:tblPr>
        <w:tblStyle w:val="3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050"/>
        <w:gridCol w:w="885"/>
        <w:gridCol w:w="870"/>
        <w:gridCol w:w="5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67" w:type="dxa"/>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项号</w:t>
            </w:r>
          </w:p>
        </w:tc>
        <w:tc>
          <w:tcPr>
            <w:tcW w:w="1050" w:type="dxa"/>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标的名称</w:t>
            </w:r>
          </w:p>
        </w:tc>
        <w:tc>
          <w:tcPr>
            <w:tcW w:w="885" w:type="dxa"/>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数量及单位</w:t>
            </w:r>
          </w:p>
        </w:tc>
        <w:tc>
          <w:tcPr>
            <w:tcW w:w="870" w:type="dxa"/>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所属</w:t>
            </w:r>
          </w:p>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行业</w:t>
            </w:r>
          </w:p>
        </w:tc>
        <w:tc>
          <w:tcPr>
            <w:tcW w:w="5979" w:type="dxa"/>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广西壮族自治区医疗保障局2024短信服务项目</w:t>
            </w:r>
          </w:p>
        </w:tc>
        <w:tc>
          <w:tcPr>
            <w:tcW w:w="8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w:t>
            </w:r>
          </w:p>
        </w:tc>
        <w:tc>
          <w:tcPr>
            <w:tcW w:w="870" w:type="dxa"/>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软件和信息技术服务业</w:t>
            </w:r>
          </w:p>
          <w:p>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p>
        </w:tc>
        <w:tc>
          <w:tcPr>
            <w:tcW w:w="5979"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一、基本情况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我局通过广西医保信息平台为社会公众提供医疗保障公共服务，范围辐射各医保经办机构、各定点医药机构、各参保单位和全区参保人。其中核心业务经办、网上服务大厅、综合办公平台等系统在业务受理、公文办理、用户注册网厅等多个业务场景需使用短信发送服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二、服务要求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（一）平台能力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1、四网接入。支持联通、移动、电信、广电的四网畅通到达，可保证数据更新及时；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2、长短信能力。短信平台支持长短信能力，避免出现类似“第1/2页、第2/2页”较差用户体验；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3、短信到达率。有效号码短信到达率在99％以上；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4、短信时效性。平台具有优先级控制机制，发送过程中可以根据业务类型和通道配方式做优先级的配置。紧急时效性高可优先发送出去；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5、通道保障能力。所有信息通过专属通道发送，短信通道每条通道可达到1000条/秒，有效保障大信息发送要求；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6、分域控制及子账务管理。对登录平台的用户可以分级分权限的分配业务能力，支持多部门多账号单独管理；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7、平台接口能力。为了更好的支持平台运行，可为机构短信应用系统提供API、Webservices、URL接口等连接方式，供客户具体的业务系统调用，实现各种业务系统的移动信息化；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8、平台良好的可操作性及安全性。可详细的查看短信发送日志，并且日志完善，清晰。对于未送达的短信可详细查看对应状态，平台具有一定的防攻击能力；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9、链接短信功能（服务信息或推入信息）；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10、支持黑名单和白名单机制；</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11、短信条数：3000万条，≤0.034元/条。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（二）平台主要功能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1、信息发送。信息发送管理主要包括短信创建与发送、信息编辑、常用短信、动态数据（支持\csv\xls外部信息导入）、信息发送、预约发送、企业自动签名等；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2、短信回复/交互能力。针对操作员发送的短信信息，如有上行回复内容，可通过查看短信回复了解相应手机号的回复内容。如：回复时间、通道号码、手机号码、是否被获取状态 以及上行回复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内容和操作。后续可与客户业务系统对接，实现上行回复内容的同步展现；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3、发送统计查看。操作员可通过查看发送统计状态，了解单位或部门月发送量和日发送量情况，同时可以查看短信发送状态情况。并且可以以表格的方式导出查看；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4、用户管理。操作员可通过用户管理操作对自己的账号信息进行修改，和部门人员查看、修改密码、联系人、联系号码等操作。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（三）系统对接</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lang w:val="en-US" w:eastAsia="zh-CN"/>
              </w:rPr>
              <w:t>需保证短信服务可以与广西医疗保障信息平台系统对接，在投标文件中提供对接方案。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b/>
                <w:color w:val="auto"/>
                <w:szCs w:val="21"/>
                <w:highlight w:val="none"/>
                <w:lang w:eastAsia="zh-CN"/>
              </w:rPr>
            </w:pPr>
            <w:r>
              <w:rPr>
                <w:rFonts w:hint="eastAsia" w:ascii="宋体" w:hAnsi="宋体"/>
                <w:b/>
                <w:color w:val="auto"/>
                <w:szCs w:val="21"/>
                <w:highlight w:val="none"/>
              </w:rPr>
              <w:t>商务</w:t>
            </w:r>
            <w:r>
              <w:rPr>
                <w:rFonts w:hint="eastAsia" w:ascii="宋体" w:hAnsi="宋体"/>
                <w:b/>
                <w:color w:val="auto"/>
                <w:szCs w:val="21"/>
                <w:highlight w:val="none"/>
                <w:lang w:val="en-US" w:eastAsia="zh-CN"/>
              </w:rPr>
              <w:t>条款</w:t>
            </w:r>
          </w:p>
        </w:tc>
        <w:tc>
          <w:tcPr>
            <w:tcW w:w="8784"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 xml:space="preserve">▲一、合同签订期：自成交通知书发出之日起25日历日内签订合同。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 xml:space="preserve">▲二、服务期：自合同签订之日起至2024年12 月31日。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三、服务地点：采购人指定地点。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 xml:space="preserve">四、售后服务要求：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 xml:space="preserve">1、响应时间：接到采购人通知后30分钟内响应，1小时内派技术人员到达现场处理。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 xml:space="preserve">2、售后服务技术人员要求：有专职人员负责售后服务，服务积极热情，能妥善处理各种售后问题。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3、电话客服提供 7*24 小时技术问题咨询热线以及故障申报热线。</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b w:val="0"/>
                <w:bCs/>
                <w:color w:val="auto"/>
                <w:highlight w:val="none"/>
                <w:lang w:val="en-US" w:eastAsia="zh-CN"/>
              </w:rPr>
            </w:pPr>
            <w:r>
              <w:rPr>
                <w:rFonts w:hint="eastAsia"/>
                <w:b w:val="0"/>
                <w:bCs/>
                <w:color w:val="auto"/>
                <w:highlight w:val="none"/>
                <w:lang w:val="en-US" w:eastAsia="zh-CN"/>
              </w:rPr>
              <w:t>五、付款方式：</w:t>
            </w:r>
            <w:r>
              <w:rPr>
                <w:rFonts w:hint="eastAsia"/>
                <w:bCs/>
                <w:color w:val="auto"/>
                <w:highlight w:val="none"/>
              </w:rPr>
              <w:t>首付款：合同签订之日起20个工作日内支付合同款40%；进度款：完成发送2000万条短信通过验收且收到发票20个工作日内，支付合同款的50%；验收款：完成发送3000万条短信通过验收且收到发票20个工作日内，支付合同款的10%。</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b w:val="0"/>
                <w:bCs/>
                <w:color w:val="auto"/>
                <w:highlight w:val="none"/>
                <w:lang w:val="en-US" w:eastAsia="zh-CN"/>
              </w:rPr>
            </w:pPr>
            <w:r>
              <w:rPr>
                <w:rFonts w:hint="eastAsia"/>
                <w:b w:val="0"/>
                <w:bCs/>
                <w:color w:val="auto"/>
                <w:highlight w:val="none"/>
                <w:lang w:val="en-US" w:eastAsia="zh-CN"/>
              </w:rPr>
              <w:t>六、其他</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color w:val="auto"/>
                <w:highlight w:val="none"/>
                <w:lang w:val="en-US" w:eastAsia="zh-CN"/>
              </w:rPr>
            </w:pPr>
            <w:r>
              <w:rPr>
                <w:rFonts w:hint="eastAsia" w:ascii="宋体" w:hAnsi="宋体"/>
                <w:b w:val="0"/>
                <w:bCs/>
                <w:color w:val="auto"/>
                <w:szCs w:val="21"/>
                <w:highlight w:val="none"/>
                <w:lang w:val="en-US" w:eastAsia="zh-CN"/>
              </w:rPr>
              <w:t>▲</w:t>
            </w:r>
            <w:r>
              <w:rPr>
                <w:rFonts w:hint="eastAsia"/>
                <w:b w:val="0"/>
                <w:bCs/>
                <w:color w:val="auto"/>
                <w:highlight w:val="none"/>
                <w:lang w:val="en-US" w:eastAsia="zh-CN"/>
              </w:rPr>
              <w:t xml:space="preserve">1、报价必须含以下部分，包括：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color w:val="auto"/>
                <w:highlight w:val="none"/>
                <w:lang w:val="en-US" w:eastAsia="zh-CN"/>
              </w:rPr>
            </w:pPr>
            <w:r>
              <w:rPr>
                <w:rFonts w:hint="eastAsia"/>
                <w:b w:val="0"/>
                <w:bCs/>
                <w:color w:val="auto"/>
                <w:highlight w:val="none"/>
                <w:lang w:val="en-US" w:eastAsia="zh-CN"/>
              </w:rPr>
              <w:t xml:space="preserve">（1）服务的价格；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color w:val="auto"/>
                <w:highlight w:val="none"/>
                <w:lang w:val="en-US" w:eastAsia="zh-CN"/>
              </w:rPr>
            </w:pPr>
            <w:r>
              <w:rPr>
                <w:rFonts w:hint="eastAsia"/>
                <w:b w:val="0"/>
                <w:bCs/>
                <w:color w:val="auto"/>
                <w:highlight w:val="none"/>
                <w:lang w:val="en-US" w:eastAsia="zh-CN"/>
              </w:rPr>
              <w:t xml:space="preserve">（2）必要的保险费用和各项税金；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color w:val="auto"/>
                <w:highlight w:val="none"/>
                <w:lang w:val="en-US" w:eastAsia="zh-CN"/>
              </w:rPr>
            </w:pPr>
            <w:r>
              <w:rPr>
                <w:rFonts w:hint="eastAsia"/>
                <w:b w:val="0"/>
                <w:bCs/>
                <w:color w:val="auto"/>
                <w:highlight w:val="none"/>
                <w:lang w:val="en-US" w:eastAsia="zh-CN"/>
              </w:rPr>
              <w:t>（3）其他（如备品备件、运输装卸、劳务、管理、安装调试、培训、技术支持、售后服务、更新升级等费用）。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color w:val="auto"/>
                <w:highlight w:val="none"/>
                <w:lang w:val="en-US" w:eastAsia="zh-CN"/>
              </w:rPr>
            </w:pPr>
            <w:r>
              <w:rPr>
                <w:rFonts w:hint="eastAsia" w:ascii="宋体" w:hAnsi="宋体"/>
                <w:b w:val="0"/>
                <w:bCs/>
                <w:color w:val="auto"/>
                <w:szCs w:val="21"/>
                <w:highlight w:val="none"/>
                <w:lang w:val="en-US" w:eastAsia="zh-CN"/>
              </w:rPr>
              <w:t>▲</w:t>
            </w:r>
            <w:r>
              <w:rPr>
                <w:rFonts w:hint="eastAsia"/>
                <w:b w:val="0"/>
                <w:bCs/>
                <w:color w:val="auto"/>
                <w:highlight w:val="none"/>
                <w:lang w:val="en-US" w:eastAsia="zh-CN"/>
              </w:rPr>
              <w:t>2、最高限价（人民币）：102.0 万元（单价：≤0.034 元/条）；报价超过单价最高限价和总价最高限价的作无效竞标处理。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b w:val="0"/>
                <w:bCs/>
                <w:color w:val="auto"/>
                <w:highlight w:val="none"/>
                <w:lang w:val="en-US" w:eastAsia="zh-CN"/>
              </w:rPr>
              <w:t>3、</w:t>
            </w:r>
            <w:r>
              <w:rPr>
                <w:rFonts w:hint="eastAsia" w:ascii="宋体" w:hAnsi="宋体"/>
                <w:b w:val="0"/>
                <w:bCs/>
                <w:color w:val="auto"/>
                <w:szCs w:val="21"/>
                <w:highlight w:val="none"/>
              </w:rPr>
              <w:t>验收要求</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b w:val="0"/>
                <w:bCs/>
                <w:color w:val="auto"/>
                <w:highlight w:val="none"/>
                <w:lang w:val="en-US" w:eastAsia="zh-CN"/>
              </w:rPr>
            </w:pPr>
            <w:r>
              <w:rPr>
                <w:rFonts w:hint="eastAsia"/>
                <w:b w:val="0"/>
                <w:bCs/>
                <w:color w:val="auto"/>
                <w:highlight w:val="none"/>
                <w:lang w:val="en-US" w:eastAsia="zh-CN"/>
              </w:rPr>
              <w:t>（1）</w:t>
            </w:r>
            <w:r>
              <w:rPr>
                <w:rFonts w:hint="default"/>
                <w:b w:val="0"/>
                <w:bCs/>
                <w:color w:val="auto"/>
                <w:highlight w:val="none"/>
                <w:lang w:val="en-US" w:eastAsia="zh-CN"/>
              </w:rPr>
              <w:t>严格按照《关于印发广西壮族自治区政府采购项目履约验收管理办法的通知》[桂财采〔2015〕22号]以及《财政部关于进一步加强政府采购需求和履约验收管理的指导意见》[财库〔2016〕205号]规定执行。</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b w:val="0"/>
                <w:bCs/>
                <w:color w:val="auto"/>
                <w:highlight w:val="none"/>
                <w:lang w:val="en-US" w:eastAsia="zh-CN"/>
              </w:rPr>
            </w:pPr>
            <w:r>
              <w:rPr>
                <w:rFonts w:hint="eastAsia"/>
                <w:b w:val="0"/>
                <w:bCs/>
                <w:color w:val="auto"/>
                <w:highlight w:val="none"/>
                <w:lang w:val="en-US" w:eastAsia="zh-CN"/>
              </w:rPr>
              <w:t>（2）</w:t>
            </w:r>
            <w:r>
              <w:rPr>
                <w:rFonts w:hint="default"/>
                <w:b w:val="0"/>
                <w:bCs/>
                <w:color w:val="auto"/>
                <w:highlight w:val="none"/>
                <w:lang w:val="en-US" w:eastAsia="zh-CN"/>
              </w:rPr>
              <w:t>其它按合同条款的约定。</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b w:val="0"/>
                <w:bCs/>
                <w:color w:val="auto"/>
                <w:highlight w:val="none"/>
                <w:lang w:val="en-US" w:eastAsia="zh-CN"/>
              </w:rPr>
            </w:pPr>
            <w:r>
              <w:rPr>
                <w:rFonts w:hint="eastAsia"/>
                <w:b w:val="0"/>
                <w:bCs/>
                <w:color w:val="auto"/>
                <w:highlight w:val="none"/>
                <w:lang w:val="en-US" w:eastAsia="zh-CN"/>
              </w:rPr>
              <w:t>（3）</w:t>
            </w:r>
            <w:r>
              <w:rPr>
                <w:rFonts w:hint="default"/>
                <w:b w:val="0"/>
                <w:bCs/>
                <w:color w:val="auto"/>
                <w:highlight w:val="none"/>
                <w:lang w:val="en-US" w:eastAsia="zh-CN"/>
              </w:rPr>
              <w:t>合同履行过程中，采购人根据成交供应商所提供的技术服务，对照采购文件要求及成交供应商响应文件承诺进行检验并记录，发现成交供应商在响应文件中有弄虚作假的行为，或在响应文件中针对技术、商务条款有虚假响应情况的，采购人将终止合同或不予验收，并追究成交供应商的责任，由此带来的一切损失由成交供应商自行承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color w:val="auto"/>
                <w:szCs w:val="21"/>
                <w:highlight w:val="none"/>
              </w:rPr>
            </w:pPr>
            <w:r>
              <w:rPr>
                <w:rFonts w:hint="eastAsia"/>
                <w:b w:val="0"/>
                <w:bCs/>
                <w:color w:val="auto"/>
                <w:highlight w:val="none"/>
                <w:lang w:val="en-US" w:eastAsia="zh-CN"/>
              </w:rPr>
              <w:t>4、</w:t>
            </w:r>
            <w:r>
              <w:rPr>
                <w:rFonts w:hint="eastAsia" w:ascii="宋体" w:hAnsi="宋体"/>
                <w:b w:val="0"/>
                <w:bCs/>
                <w:color w:val="auto"/>
                <w:szCs w:val="21"/>
                <w:highlight w:val="none"/>
              </w:rPr>
              <w:t>知识产权</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b w:val="0"/>
                <w:bCs/>
                <w:color w:val="auto"/>
                <w:highlight w:val="none"/>
                <w:lang w:val="en-US" w:eastAsia="zh-CN"/>
              </w:rPr>
            </w:pPr>
            <w:r>
              <w:rPr>
                <w:rFonts w:hint="eastAsia"/>
                <w:b w:val="0"/>
                <w:bCs/>
                <w:color w:val="auto"/>
                <w:highlight w:val="none"/>
                <w:lang w:val="en-US" w:eastAsia="zh-CN"/>
              </w:rPr>
              <w:t>（1）</w:t>
            </w:r>
            <w:r>
              <w:rPr>
                <w:rFonts w:hint="default"/>
                <w:b w:val="0"/>
                <w:bCs/>
                <w:color w:val="auto"/>
                <w:highlight w:val="none"/>
                <w:lang w:val="en-US" w:eastAsia="zh-CN"/>
              </w:rPr>
              <w:t>采购人在中华人民共和国境内使用供应商提供的服务时免受第三方提出的侵犯其专利权或其它知识产权的起诉。如果第三方提出侵权指控，成交供应商应承担由此而引起的一切法律责任和费用。</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b w:val="0"/>
                <w:bCs/>
                <w:color w:val="auto"/>
                <w:highlight w:val="none"/>
                <w:lang w:val="en-US" w:eastAsia="zh-CN"/>
              </w:rPr>
            </w:pPr>
            <w:r>
              <w:rPr>
                <w:rFonts w:hint="eastAsia"/>
                <w:b w:val="0"/>
                <w:bCs/>
                <w:color w:val="auto"/>
                <w:highlight w:val="none"/>
                <w:lang w:val="en-US" w:eastAsia="zh-CN"/>
              </w:rPr>
              <w:t>（2）</w:t>
            </w:r>
            <w:r>
              <w:rPr>
                <w:rFonts w:hint="default"/>
                <w:b w:val="0"/>
                <w:bCs/>
                <w:color w:val="auto"/>
                <w:highlight w:val="none"/>
                <w:lang w:val="en-US" w:eastAsia="zh-CN"/>
              </w:rPr>
              <w:t>保密要求：成交供应商在项目实施过程中，必须对本项目所有项目信息以及接触到的材料予以保密，未经采购人书面许可，成交供应商不得以任何形式向第三方透露本项目的任何内容。</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b w:val="0"/>
                <w:bCs/>
                <w:color w:val="auto"/>
                <w:highlight w:val="none"/>
                <w:lang w:val="en-US" w:eastAsia="zh-CN"/>
              </w:rPr>
            </w:pPr>
            <w:r>
              <w:rPr>
                <w:rFonts w:hint="eastAsia"/>
                <w:b w:val="0"/>
                <w:bCs/>
                <w:color w:val="auto"/>
                <w:highlight w:val="none"/>
                <w:lang w:val="en-US" w:eastAsia="zh-CN"/>
              </w:rPr>
              <w:t>（3）</w:t>
            </w:r>
            <w:r>
              <w:rPr>
                <w:rFonts w:hint="default"/>
                <w:b w:val="0"/>
                <w:bCs/>
                <w:color w:val="auto"/>
                <w:highlight w:val="none"/>
                <w:lang w:val="en-US" w:eastAsia="zh-CN"/>
              </w:rPr>
              <w:t>供应商必须承诺自行实施、维护本项目，不得转让或转包。</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b w:val="0"/>
                <w:bCs/>
                <w:color w:val="auto"/>
                <w:highlight w:val="none"/>
                <w:lang w:val="en-US" w:eastAsia="zh-CN"/>
              </w:rPr>
            </w:pPr>
            <w:r>
              <w:rPr>
                <w:rFonts w:hint="eastAsia"/>
                <w:b w:val="0"/>
                <w:bCs/>
                <w:color w:val="auto"/>
                <w:highlight w:val="none"/>
                <w:lang w:val="en-US" w:eastAsia="zh-CN"/>
              </w:rPr>
              <w:t>（4）</w:t>
            </w:r>
            <w:r>
              <w:rPr>
                <w:rFonts w:hint="default"/>
                <w:b w:val="0"/>
                <w:bCs/>
                <w:color w:val="auto"/>
                <w:highlight w:val="none"/>
                <w:lang w:val="en-US" w:eastAsia="zh-CN"/>
              </w:rPr>
              <w:t>采购人在中华人民共和国境内使用成交供应商提供的产品及服务时免受第三方提出的侵犯其专利权或其它知识产权的起诉。如果第三方提出侵权指控，成交供应商应承担由此而引起的一切法律责任和费用。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b w:val="0"/>
                <w:bCs/>
                <w:color w:val="auto"/>
                <w:highlight w:val="none"/>
                <w:lang w:val="en-US" w:eastAsia="zh-CN"/>
              </w:rPr>
            </w:pPr>
            <w:r>
              <w:rPr>
                <w:rFonts w:hint="eastAsia"/>
                <w:b w:val="0"/>
                <w:bCs/>
                <w:color w:val="auto"/>
                <w:highlight w:val="none"/>
                <w:lang w:val="en-US" w:eastAsia="zh-CN"/>
              </w:rPr>
              <w:t>5、成交供应商必须遵守采购人有关管理规定，否则采购人有权终止合同。如不符合磋商采购文件的要求或者提供虚假承诺的，按相关规定做违约处理，成交人承担所有责任和费用，采购人保留进一步追究责任的权利。</w:t>
            </w:r>
          </w:p>
        </w:tc>
      </w:tr>
    </w:tbl>
    <w:p>
      <w:pPr>
        <w:pStyle w:val="3"/>
        <w:ind w:firstLine="1126"/>
        <w:rPr>
          <w:color w:val="auto"/>
          <w:highlight w:val="none"/>
        </w:rPr>
      </w:pPr>
      <w:r>
        <w:rPr>
          <w:color w:val="auto"/>
          <w:highlight w:val="none"/>
        </w:rPr>
        <w:br w:type="page"/>
      </w:r>
    </w:p>
    <w:p>
      <w:pPr>
        <w:spacing w:line="428" w:lineRule="exact"/>
        <w:ind w:left="11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spacing w:line="528" w:lineRule="exact"/>
        <w:jc w:val="center"/>
        <w:rPr>
          <w:rFonts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2"/>
        <w:tblW w:w="5000" w:type="pct"/>
        <w:tblInd w:w="0" w:type="dxa"/>
        <w:tblLayout w:type="autofit"/>
        <w:tblCellMar>
          <w:top w:w="0" w:type="dxa"/>
          <w:left w:w="108" w:type="dxa"/>
          <w:bottom w:w="0" w:type="dxa"/>
          <w:right w:w="108" w:type="dxa"/>
        </w:tblCellMar>
      </w:tblPr>
      <w:tblGrid>
        <w:gridCol w:w="1778"/>
        <w:gridCol w:w="1512"/>
        <w:gridCol w:w="1361"/>
        <w:gridCol w:w="1750"/>
        <w:gridCol w:w="1641"/>
        <w:gridCol w:w="1053"/>
      </w:tblGrid>
      <w:tr>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行业</w:t>
            </w:r>
            <w:r>
              <w:rPr>
                <w:rFonts w:hint="eastAsia" w:ascii="___WRD_EMBED_SUB_45" w:hAnsi="___WRD_EMBED_SUB_45" w:eastAsia="___WRD_EMBED_SUB_45" w:cs="___WRD_EMBED_SUB_45"/>
                <w:b/>
                <w:color w:val="auto"/>
                <w:kern w:val="0"/>
                <w:sz w:val="24"/>
                <w:highlight w:val="none"/>
              </w:rPr>
              <w:t>名称</w:t>
            </w:r>
          </w:p>
        </w:tc>
        <w:tc>
          <w:tcPr>
            <w:tcW w:w="831" w:type="pct"/>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指标</w:t>
            </w:r>
            <w:r>
              <w:rPr>
                <w:rFonts w:hint="eastAsia" w:ascii="___WRD_EMBED_SUB_45" w:hAnsi="___WRD_EMBED_SUB_45" w:eastAsia="___WRD_EMBED_SUB_45" w:cs="___WRD_EMBED_SUB_45"/>
                <w:b/>
                <w:color w:val="auto"/>
                <w:kern w:val="0"/>
                <w:sz w:val="24"/>
                <w:highlight w:val="none"/>
              </w:rPr>
              <w:t>名称</w:t>
            </w:r>
          </w:p>
        </w:tc>
        <w:tc>
          <w:tcPr>
            <w:tcW w:w="748" w:type="pct"/>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计量单位</w:t>
            </w:r>
          </w:p>
        </w:tc>
        <w:tc>
          <w:tcPr>
            <w:tcW w:w="962" w:type="pct"/>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中型</w:t>
            </w:r>
          </w:p>
        </w:tc>
        <w:tc>
          <w:tcPr>
            <w:tcW w:w="902" w:type="pct"/>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pPr>
              <w:widowControl/>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农、林、牧、渔</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工业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40000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w:t>
            </w:r>
            <w:r>
              <w:rPr>
                <w:rFonts w:hint="eastAsia" w:ascii="微软雅黑" w:hAnsi="微软雅黑" w:eastAsia="微软雅黑" w:cs="微软雅黑"/>
                <w:b/>
                <w:bCs/>
                <w:color w:val="auto"/>
                <w:kern w:val="0"/>
                <w:sz w:val="18"/>
                <w:szCs w:val="18"/>
                <w:highlight w:val="none"/>
              </w:rPr>
              <w:t>筑业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80000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6000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资产总额</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Z）</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80000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批发业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40000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零售业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交通运输业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仓储业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邮政业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仿宋_GB2312" w:hAnsi="仿宋" w:eastAsia="仿宋_GB2312" w:cs="宋体"/>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住宿业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餐饮业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w:t>
            </w:r>
            <w:r>
              <w:rPr>
                <w:rFonts w:hint="eastAsia" w:ascii="微软雅黑" w:hAnsi="微软雅黑" w:eastAsia="微软雅黑" w:cs="微软雅黑"/>
                <w:b/>
                <w:bCs/>
                <w:color w:val="auto"/>
                <w:kern w:val="0"/>
                <w:sz w:val="18"/>
                <w:szCs w:val="18"/>
                <w:highlight w:val="none"/>
              </w:rPr>
              <w:t>息传输业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软件和</w:t>
            </w:r>
            <w:r>
              <w:rPr>
                <w:rFonts w:hint="eastAsia" w:ascii="___WRD_EMBED_SUB_45" w:hAnsi="___WRD_EMBED_SUB_45" w:eastAsia="___WRD_EMBED_SUB_45" w:cs="___WRD_EMBED_SUB_45"/>
                <w:b/>
                <w:bCs/>
                <w:color w:val="auto"/>
                <w:kern w:val="0"/>
                <w:sz w:val="18"/>
                <w:szCs w:val="18"/>
                <w:highlight w:val="none"/>
              </w:rPr>
              <w:t>信</w:t>
            </w:r>
            <w:r>
              <w:rPr>
                <w:rFonts w:hint="eastAsia" w:ascii="微软雅黑" w:hAnsi="微软雅黑" w:eastAsia="微软雅黑" w:cs="微软雅黑"/>
                <w:b/>
                <w:bCs/>
                <w:color w:val="auto"/>
                <w:kern w:val="0"/>
                <w:sz w:val="18"/>
                <w:szCs w:val="18"/>
                <w:highlight w:val="none"/>
              </w:rPr>
              <w:t>息技术服务业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房地产开发经营</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资产总额</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Z）</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物业管</w:t>
            </w:r>
            <w:r>
              <w:rPr>
                <w:rFonts w:hint="eastAsia" w:ascii="___WRD_EMBED_SUB_45" w:hAnsi="___WRD_EMBED_SUB_45" w:eastAsia="___WRD_EMBED_SUB_45" w:cs="___WRD_EMBED_SUB_45"/>
                <w:b/>
                <w:bCs/>
                <w:color w:val="auto"/>
                <w:kern w:val="0"/>
                <w:sz w:val="18"/>
                <w:szCs w:val="18"/>
                <w:highlight w:val="none"/>
              </w:rPr>
              <w:t>理</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租赁和商务服务业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资产总额</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Z）</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120000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8000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其他未列明行业</w:t>
            </w:r>
          </w:p>
        </w:tc>
        <w:tc>
          <w:tcPr>
            <w:tcW w:w="831"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748"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902"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579" w:type="pct"/>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bl>
    <w:p>
      <w:pPr>
        <w:spacing w:line="528"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b/>
          <w:bCs/>
          <w:color w:val="auto"/>
          <w:kern w:val="44"/>
          <w:sz w:val="44"/>
          <w:szCs w:val="44"/>
          <w:highlight w:val="none"/>
        </w:rPr>
      </w:pPr>
      <w:r>
        <w:rPr>
          <w:color w:val="auto"/>
          <w:highlight w:val="none"/>
        </w:rPr>
        <w:br w:type="page"/>
      </w:r>
    </w:p>
    <w:p>
      <w:pPr>
        <w:pStyle w:val="4"/>
        <w:jc w:val="center"/>
        <w:rPr>
          <w:color w:val="auto"/>
          <w:highlight w:val="none"/>
        </w:rPr>
      </w:pPr>
      <w:bookmarkStart w:id="63" w:name="_Toc151675539"/>
      <w:r>
        <w:rPr>
          <w:rFonts w:hint="eastAsia"/>
          <w:color w:val="auto"/>
          <w:highlight w:val="none"/>
        </w:rPr>
        <w:t xml:space="preserve">第四章 </w:t>
      </w:r>
      <w:r>
        <w:rPr>
          <w:color w:val="auto"/>
          <w:highlight w:val="none"/>
        </w:rPr>
        <w:t xml:space="preserve"> </w:t>
      </w:r>
      <w:r>
        <w:rPr>
          <w:rFonts w:hint="eastAsia"/>
          <w:color w:val="auto"/>
          <w:highlight w:val="none"/>
        </w:rPr>
        <w:t>评审程序、评审方法和评审标准</w:t>
      </w:r>
      <w:bookmarkEnd w:id="63"/>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“信用中国”网站(www.creditchina.gov.cn)、中国政府采购网(www.ccgp.gov.cn)链接入口。</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pPr>
        <w:spacing w:line="360" w:lineRule="auto"/>
        <w:ind w:firstLine="420" w:firstLineChars="200"/>
        <w:rPr>
          <w:rFonts w:ascii="宋体" w:hAnsi="宋体" w:cs="宋体"/>
          <w:color w:val="auto"/>
          <w:szCs w:val="21"/>
          <w:highlight w:val="none"/>
        </w:rPr>
      </w:pPr>
      <w:bookmarkStart w:id="64"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64"/>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3）委托代理人未能出具有效身份证或者出具的身份证与授权委托书中的信息不符的；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）商务要求允许负偏离的条款数超过“供应商须知前附表”规定项数的；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2）技术要求允许负偏离的条款数超过“供应商须知前附表”规定项数；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65"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65"/>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）响应文件标注的项目名称或者项目编号与磋商文件标注的项目名称或者项目编号不一致的；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b/>
          <w:color w:val="auto"/>
          <w:szCs w:val="21"/>
          <w:highlight w:val="none"/>
        </w:rPr>
        <w:t>竞争性磋商文件明确不允许分包，响应文件拟分包的；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）未响应磋商文件实质性要求；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）法律、法规和磋商文件规定的其他无效情形。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66" w:name="_Hlk42596405"/>
      <w:r>
        <w:rPr>
          <w:rFonts w:hint="eastAsia" w:ascii="宋体" w:hAnsi="宋体" w:cs="宋体"/>
          <w:color w:val="auto"/>
          <w:szCs w:val="21"/>
          <w:highlight w:val="none"/>
        </w:rPr>
        <w:t>竞标报价（包含首次报价、最后报价）</w:t>
      </w:r>
      <w:bookmarkEnd w:id="66"/>
      <w:bookmarkStart w:id="67" w:name="_Hlk42596276"/>
      <w:r>
        <w:rPr>
          <w:rFonts w:hint="eastAsia" w:ascii="宋体" w:hAnsi="宋体" w:cs="宋体"/>
          <w:color w:val="auto"/>
          <w:szCs w:val="21"/>
          <w:highlight w:val="none"/>
        </w:rPr>
        <w:t>超过磋商文件分项采购预算金额或者最高限价的</w:t>
      </w:r>
      <w:bookmarkEnd w:id="67"/>
      <w:r>
        <w:rPr>
          <w:rFonts w:hint="eastAsia" w:ascii="宋体" w:hAnsi="宋体" w:cs="宋体"/>
          <w:color w:val="auto"/>
          <w:szCs w:val="21"/>
          <w:highlight w:val="none"/>
        </w:rPr>
        <w:t>（如本项目公布了最高限价）；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条的规定修正。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3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75"/>
        <w:gridCol w:w="632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275" w:type="dxa"/>
            <w:vAlign w:val="center"/>
          </w:tcPr>
          <w:p>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320" w:type="dxa"/>
            <w:vAlign w:val="center"/>
          </w:tcPr>
          <w:p>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1417" w:type="dxa"/>
            <w:vAlign w:val="center"/>
          </w:tcPr>
          <w:p>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275" w:type="dxa"/>
            <w:vAlign w:val="center"/>
          </w:tcPr>
          <w:p>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价格分</w:t>
            </w:r>
          </w:p>
        </w:tc>
        <w:tc>
          <w:tcPr>
            <w:tcW w:w="6320"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（1）评审价为供应商的最后报价进行政策性扣除后的价格，评审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价只是作为评审时使用。最终成交供应商的成交金额等于最后报价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（如有修正，以确认修正后的最后报价为准）。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（2）政府采购政策性扣除计算方法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根据《政府采购促进中小企业发展管理办法》（财库〔2020〕46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号）</w:t>
            </w:r>
            <w:r>
              <w:rPr>
                <w:rFonts w:hint="eastAsia" w:ascii="宋体" w:hAnsi="宋体" w:eastAsia="宋体" w:cs="宋体"/>
                <w:bCs/>
                <w:color w:val="auto"/>
                <w:kern w:val="2"/>
                <w:sz w:val="21"/>
                <w:szCs w:val="21"/>
                <w:highlight w:val="none"/>
              </w:rPr>
              <w:t>、广西壮族自治区财政厅关于进一步发挥政府采购政策功能促进企业发展的通知-桂财采〔2022〕30号</w:t>
            </w:r>
            <w:r>
              <w:rPr>
                <w:rFonts w:hint="eastAsia" w:ascii="宋体" w:hAnsi="宋体"/>
                <w:color w:val="auto"/>
                <w:szCs w:val="21"/>
                <w:highlight w:val="none"/>
                <w:lang w:val="en-US" w:eastAsia="zh-CN"/>
              </w:rPr>
              <w:t xml:space="preserve">的规定，供应商在其响应文件中提供《中小企业声明函》，且服务全部由小微企业承接，对供应商的竞标报价给予 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 6%的扣除，用扣除后的价格参加评审，扣除后的价格为评审价，即评审价=竞标报价×（1-6%）。除上述情况外，评审价=竞标报价。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（3）按照《财政部、司法部关于政府采购支持监狱企业发展有关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（4）按照《关于促进残疾人就业政府采购政策的通知》（财库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（5）以进入比较与评价环节的最低的评审价为基准价，基准价得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分为 10 分。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（6）价格分计算公式： </w:t>
            </w:r>
          </w:p>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报价得分=（基准价/评审报价）× 10 分 </w:t>
            </w:r>
          </w:p>
          <w:p>
            <w:pPr>
              <w:spacing w:line="400" w:lineRule="exact"/>
              <w:rPr>
                <w:rFonts w:ascii="宋体" w:hAnsi="宋体"/>
                <w:color w:val="auto"/>
                <w:szCs w:val="21"/>
                <w:highlight w:val="none"/>
              </w:rPr>
            </w:pPr>
            <w:r>
              <w:rPr>
                <w:rFonts w:hint="eastAsia" w:ascii="宋体" w:hAnsi="宋体"/>
                <w:b/>
                <w:bCs/>
                <w:color w:val="auto"/>
                <w:szCs w:val="21"/>
                <w:highlight w:val="none"/>
                <w:lang w:val="en-US" w:eastAsia="zh-CN"/>
              </w:rPr>
              <w:t>注：磋商小组认为竞标人的报价明显低于其他通过符合性审查竞标人的报价，有可能影响产品质量或者不能诚信履约的，应当要求其在评标现场合理的时间内提供书面说明，必要时提交相关证明材料；竞标人不能证明其报价合理性的，磋商小组应当将其作为无效响应处理。</w:t>
            </w:r>
          </w:p>
        </w:tc>
        <w:tc>
          <w:tcPr>
            <w:tcW w:w="1417" w:type="dxa"/>
            <w:vAlign w:val="center"/>
          </w:tcPr>
          <w:p>
            <w:pPr>
              <w:widowControl/>
              <w:spacing w:line="400" w:lineRule="exact"/>
              <w:jc w:val="center"/>
              <w:rPr>
                <w:rFonts w:ascii="宋体" w:hAnsi="宋体" w:cs="Tahoma"/>
                <w:b/>
                <w:bCs/>
                <w:color w:val="auto"/>
                <w:kern w:val="0"/>
                <w:szCs w:val="21"/>
                <w:highlight w:val="none"/>
              </w:rPr>
            </w:pPr>
            <w:r>
              <w:rPr>
                <w:rFonts w:ascii="宋体" w:hAnsi="宋体" w:cs="Tahoma"/>
                <w:b/>
                <w:bCs/>
                <w:color w:val="auto"/>
                <w:kern w:val="0"/>
                <w:szCs w:val="21"/>
                <w:highlight w:val="none"/>
              </w:rPr>
              <w:t>10</w:t>
            </w:r>
            <w:r>
              <w:rPr>
                <w:rFonts w:hint="eastAsia" w:ascii="宋体" w:hAnsi="宋体" w:cs="Tahoma"/>
                <w:b/>
                <w:bCs/>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widowControl/>
              <w:spacing w:line="40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2</w:t>
            </w:r>
          </w:p>
        </w:tc>
        <w:tc>
          <w:tcPr>
            <w:tcW w:w="1275" w:type="dxa"/>
            <w:vAlign w:val="center"/>
          </w:tcPr>
          <w:p>
            <w:pPr>
              <w:widowControl/>
              <w:spacing w:line="400" w:lineRule="exact"/>
              <w:jc w:val="center"/>
              <w:rPr>
                <w:rFonts w:ascii="宋体" w:hAnsi="宋体" w:cs="Tahoma"/>
                <w:b/>
                <w:color w:val="auto"/>
                <w:kern w:val="0"/>
                <w:szCs w:val="21"/>
                <w:highlight w:val="none"/>
              </w:rPr>
            </w:pPr>
            <w:r>
              <w:rPr>
                <w:rFonts w:hint="eastAsia" w:ascii="宋体" w:hAnsi="宋体"/>
                <w:b/>
                <w:bCs/>
                <w:color w:val="auto"/>
                <w:kern w:val="0"/>
                <w:szCs w:val="21"/>
                <w:highlight w:val="none"/>
              </w:rPr>
              <w:t>技术分</w:t>
            </w:r>
          </w:p>
        </w:tc>
        <w:tc>
          <w:tcPr>
            <w:tcW w:w="6320" w:type="dxa"/>
          </w:tcPr>
          <w:p>
            <w:pPr>
              <w:widowControl/>
              <w:spacing w:line="40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417" w:type="dxa"/>
          </w:tcPr>
          <w:p>
            <w:pPr>
              <w:widowControl/>
              <w:spacing w:line="40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满分7</w:t>
            </w:r>
            <w:r>
              <w:rPr>
                <w:rFonts w:hint="eastAsia" w:ascii="宋体" w:hAnsi="宋体" w:cs="Tahoma"/>
                <w:b/>
                <w:color w:val="auto"/>
                <w:kern w:val="0"/>
                <w:szCs w:val="21"/>
                <w:highlight w:val="none"/>
                <w:lang w:val="en-US" w:eastAsia="zh-CN"/>
              </w:rPr>
              <w:t>8</w:t>
            </w:r>
            <w:r>
              <w:rPr>
                <w:rFonts w:hint="eastAsia" w:ascii="宋体" w:hAnsi="宋体" w:cs="Tahoma"/>
                <w:b/>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adjustRightInd w:val="0"/>
              <w:spacing w:line="40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275" w:type="dxa"/>
            <w:vAlign w:val="center"/>
          </w:tcPr>
          <w:p>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lang w:val="en-US" w:eastAsia="zh-CN"/>
              </w:rPr>
              <w:t>对接方案</w:t>
            </w:r>
            <w:r>
              <w:rPr>
                <w:rFonts w:hint="eastAsia" w:ascii="宋体" w:hAnsi="宋体"/>
                <w:color w:val="auto"/>
                <w:szCs w:val="21"/>
                <w:highlight w:val="none"/>
              </w:rPr>
              <w:t>分</w:t>
            </w:r>
          </w:p>
        </w:tc>
        <w:tc>
          <w:tcPr>
            <w:tcW w:w="6320" w:type="dxa"/>
            <w:vAlign w:val="center"/>
          </w:tcPr>
          <w:p>
            <w:pPr>
              <w:spacing w:line="400" w:lineRule="exact"/>
              <w:rPr>
                <w:rFonts w:hint="eastAsia" w:ascii="宋体" w:hAnsi="宋体" w:eastAsia="宋体" w:cs="Courier New"/>
                <w:bCs/>
                <w:color w:val="auto"/>
                <w:szCs w:val="21"/>
                <w:highlight w:val="none"/>
                <w:lang w:eastAsia="zh-CN"/>
              </w:rPr>
            </w:pPr>
            <w:r>
              <w:rPr>
                <w:rFonts w:hint="eastAsia" w:ascii="宋体" w:hAnsi="宋体" w:cs="Courier New"/>
                <w:bCs/>
                <w:color w:val="auto"/>
                <w:szCs w:val="21"/>
                <w:highlight w:val="none"/>
              </w:rPr>
              <w:t>由磋商小组根据供应商的响应文件中所提供的</w:t>
            </w:r>
            <w:r>
              <w:rPr>
                <w:rFonts w:hint="eastAsia" w:ascii="宋体" w:hAnsi="宋体"/>
                <w:color w:val="auto"/>
                <w:szCs w:val="21"/>
                <w:highlight w:val="none"/>
                <w:lang w:val="en-US" w:eastAsia="zh-CN"/>
              </w:rPr>
              <w:t>对接</w:t>
            </w:r>
            <w:r>
              <w:rPr>
                <w:rFonts w:hint="eastAsia" w:ascii="宋体" w:hAnsi="宋体"/>
                <w:color w:val="auto"/>
                <w:szCs w:val="21"/>
                <w:highlight w:val="none"/>
              </w:rPr>
              <w:t>方案</w:t>
            </w:r>
            <w:r>
              <w:rPr>
                <w:rFonts w:hint="eastAsia" w:ascii="宋体" w:hAnsi="宋体" w:cs="Courier New"/>
                <w:bCs/>
                <w:color w:val="auto"/>
                <w:szCs w:val="21"/>
                <w:highlight w:val="none"/>
              </w:rPr>
              <w:t>进行评价</w:t>
            </w:r>
            <w:r>
              <w:rPr>
                <w:rFonts w:hint="eastAsia" w:ascii="宋体" w:hAnsi="宋体" w:cs="Courier New"/>
                <w:bCs/>
                <w:color w:val="auto"/>
                <w:szCs w:val="21"/>
                <w:highlight w:val="none"/>
                <w:lang w:eastAsia="zh-CN"/>
              </w:rPr>
              <w:t>：</w:t>
            </w:r>
          </w:p>
          <w:p>
            <w:pPr>
              <w:spacing w:line="400" w:lineRule="exact"/>
              <w:rPr>
                <w:rFonts w:ascii="宋体" w:hAnsi="宋体" w:cs="Courier New"/>
                <w:bCs/>
                <w:color w:val="auto"/>
                <w:szCs w:val="21"/>
                <w:highlight w:val="none"/>
              </w:rPr>
            </w:pPr>
            <w:r>
              <w:rPr>
                <w:rFonts w:hint="eastAsia" w:ascii="宋体" w:hAnsi="宋体" w:cs="Courier New"/>
                <w:bCs/>
                <w:color w:val="auto"/>
                <w:szCs w:val="21"/>
                <w:highlight w:val="none"/>
              </w:rPr>
              <w:t>一档（</w:t>
            </w: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分）：</w:t>
            </w:r>
            <w:r>
              <w:rPr>
                <w:rFonts w:hint="eastAsia" w:ascii="宋体" w:hAnsi="宋体"/>
                <w:color w:val="auto"/>
                <w:szCs w:val="21"/>
                <w:highlight w:val="none"/>
                <w:lang w:val="en-US" w:eastAsia="zh-CN"/>
              </w:rPr>
              <w:t>对接</w:t>
            </w:r>
            <w:r>
              <w:rPr>
                <w:rFonts w:hint="eastAsia" w:ascii="宋体" w:hAnsi="宋体"/>
                <w:color w:val="auto"/>
                <w:szCs w:val="21"/>
                <w:highlight w:val="none"/>
              </w:rPr>
              <w:t>方案</w:t>
            </w:r>
            <w:r>
              <w:rPr>
                <w:rFonts w:hint="eastAsia" w:ascii="宋体" w:hAnsi="宋体" w:cs="Courier New"/>
                <w:bCs/>
                <w:color w:val="auto"/>
                <w:szCs w:val="21"/>
                <w:highlight w:val="none"/>
              </w:rPr>
              <w:t>简单，整体构思含糊不明确，展示内容不全或不突出，可行性不高。</w:t>
            </w:r>
          </w:p>
          <w:p>
            <w:pPr>
              <w:spacing w:line="400" w:lineRule="exact"/>
              <w:rPr>
                <w:rFonts w:ascii="宋体" w:hAnsi="宋体" w:cs="Courier New"/>
                <w:bCs/>
                <w:color w:val="auto"/>
                <w:szCs w:val="21"/>
                <w:highlight w:val="none"/>
              </w:rPr>
            </w:pPr>
            <w:r>
              <w:rPr>
                <w:rFonts w:hint="eastAsia" w:ascii="宋体" w:hAnsi="宋体" w:cs="Courier New"/>
                <w:bCs/>
                <w:color w:val="auto"/>
                <w:szCs w:val="21"/>
                <w:highlight w:val="none"/>
              </w:rPr>
              <w:t>二档（</w:t>
            </w:r>
            <w:r>
              <w:rPr>
                <w:rFonts w:hint="eastAsia" w:ascii="宋体" w:hAnsi="宋体" w:cs="Courier New"/>
                <w:bCs/>
                <w:color w:val="auto"/>
                <w:szCs w:val="21"/>
                <w:highlight w:val="none"/>
                <w:lang w:val="en-US" w:eastAsia="zh-CN"/>
              </w:rPr>
              <w:t>9</w:t>
            </w:r>
            <w:r>
              <w:rPr>
                <w:rFonts w:hint="eastAsia" w:ascii="宋体" w:hAnsi="宋体" w:cs="Courier New"/>
                <w:bCs/>
                <w:color w:val="auto"/>
                <w:szCs w:val="21"/>
                <w:highlight w:val="none"/>
              </w:rPr>
              <w:t>分）：</w:t>
            </w:r>
            <w:r>
              <w:rPr>
                <w:rFonts w:hint="eastAsia" w:ascii="宋体" w:hAnsi="宋体" w:cs="Courier New"/>
                <w:bCs/>
                <w:color w:val="auto"/>
                <w:szCs w:val="21"/>
                <w:highlight w:val="none"/>
                <w:lang w:val="en-US" w:eastAsia="zh-CN"/>
              </w:rPr>
              <w:t>提供的对接方案优于一档</w:t>
            </w:r>
            <w:r>
              <w:rPr>
                <w:rFonts w:hint="eastAsia" w:ascii="宋体" w:hAnsi="宋体" w:cs="宋体"/>
                <w:color w:val="auto"/>
                <w:szCs w:val="21"/>
                <w:highlight w:val="none"/>
              </w:rPr>
              <w:t>，</w:t>
            </w:r>
            <w:r>
              <w:rPr>
                <w:rFonts w:hint="eastAsia" w:ascii="宋体" w:hAnsi="宋体"/>
                <w:color w:val="auto"/>
                <w:szCs w:val="21"/>
                <w:highlight w:val="none"/>
                <w:lang w:val="en-US" w:eastAsia="zh-CN"/>
              </w:rPr>
              <w:t>对接</w:t>
            </w:r>
            <w:r>
              <w:rPr>
                <w:rFonts w:hint="eastAsia" w:ascii="宋体" w:hAnsi="宋体"/>
                <w:color w:val="auto"/>
                <w:szCs w:val="21"/>
                <w:highlight w:val="none"/>
              </w:rPr>
              <w:t>方案</w:t>
            </w:r>
            <w:r>
              <w:rPr>
                <w:rFonts w:hint="eastAsia" w:ascii="宋体" w:hAnsi="宋体" w:cs="Courier New"/>
                <w:bCs/>
                <w:color w:val="auto"/>
                <w:szCs w:val="21"/>
                <w:highlight w:val="none"/>
                <w:lang w:val="en-US" w:eastAsia="zh-CN"/>
              </w:rPr>
              <w:t>一般</w:t>
            </w:r>
            <w:r>
              <w:rPr>
                <w:rFonts w:hint="eastAsia" w:ascii="宋体" w:hAnsi="宋体" w:cs="Courier New"/>
                <w:bCs/>
                <w:color w:val="auto"/>
                <w:szCs w:val="21"/>
                <w:highlight w:val="none"/>
              </w:rPr>
              <w:t>，整体构思</w:t>
            </w:r>
            <w:r>
              <w:rPr>
                <w:rFonts w:hint="eastAsia" w:ascii="宋体" w:hAnsi="宋体" w:cs="Courier New"/>
                <w:bCs/>
                <w:color w:val="auto"/>
                <w:szCs w:val="21"/>
                <w:highlight w:val="none"/>
                <w:lang w:val="en-US" w:eastAsia="zh-CN"/>
              </w:rPr>
              <w:t>一般</w:t>
            </w:r>
            <w:r>
              <w:rPr>
                <w:rFonts w:hint="eastAsia" w:ascii="宋体" w:hAnsi="宋体" w:cs="Courier New"/>
                <w:bCs/>
                <w:color w:val="auto"/>
                <w:szCs w:val="21"/>
                <w:highlight w:val="none"/>
              </w:rPr>
              <w:t>，展示形式</w:t>
            </w:r>
            <w:r>
              <w:rPr>
                <w:rFonts w:hint="eastAsia" w:ascii="宋体" w:hAnsi="宋体" w:cs="Courier New"/>
                <w:bCs/>
                <w:color w:val="auto"/>
                <w:szCs w:val="21"/>
                <w:highlight w:val="none"/>
                <w:lang w:val="en-US" w:eastAsia="zh-CN"/>
              </w:rPr>
              <w:t>一般</w:t>
            </w:r>
            <w:r>
              <w:rPr>
                <w:rFonts w:hint="eastAsia" w:ascii="宋体" w:hAnsi="宋体" w:cs="Courier New"/>
                <w:bCs/>
                <w:color w:val="auto"/>
                <w:szCs w:val="21"/>
                <w:highlight w:val="none"/>
              </w:rPr>
              <w:t>，方案重点内容</w:t>
            </w:r>
            <w:r>
              <w:rPr>
                <w:rFonts w:hint="eastAsia" w:ascii="宋体" w:hAnsi="宋体" w:cs="Courier New"/>
                <w:bCs/>
                <w:color w:val="auto"/>
                <w:szCs w:val="21"/>
                <w:highlight w:val="none"/>
                <w:lang w:val="en-US" w:eastAsia="zh-CN"/>
              </w:rPr>
              <w:t>一般</w:t>
            </w:r>
            <w:r>
              <w:rPr>
                <w:rFonts w:hint="eastAsia" w:ascii="宋体" w:hAnsi="宋体" w:cs="Courier New"/>
                <w:bCs/>
                <w:color w:val="auto"/>
                <w:szCs w:val="21"/>
                <w:highlight w:val="none"/>
              </w:rPr>
              <w:t>，措施</w:t>
            </w:r>
            <w:r>
              <w:rPr>
                <w:rFonts w:hint="eastAsia" w:ascii="宋体" w:hAnsi="宋体" w:cs="Courier New"/>
                <w:bCs/>
                <w:color w:val="auto"/>
                <w:szCs w:val="21"/>
                <w:highlight w:val="none"/>
                <w:lang w:val="en-US" w:eastAsia="zh-CN"/>
              </w:rPr>
              <w:t>一般</w:t>
            </w:r>
            <w:r>
              <w:rPr>
                <w:rFonts w:hint="eastAsia" w:ascii="宋体" w:hAnsi="宋体" w:cs="Courier New"/>
                <w:bCs/>
                <w:color w:val="auto"/>
                <w:szCs w:val="21"/>
                <w:highlight w:val="none"/>
              </w:rPr>
              <w:t>，方案可行性</w:t>
            </w:r>
            <w:r>
              <w:rPr>
                <w:rFonts w:hint="eastAsia" w:ascii="宋体" w:hAnsi="宋体" w:cs="Courier New"/>
                <w:bCs/>
                <w:color w:val="auto"/>
                <w:szCs w:val="21"/>
                <w:highlight w:val="none"/>
                <w:lang w:val="en-US" w:eastAsia="zh-CN"/>
              </w:rPr>
              <w:t>一般</w:t>
            </w:r>
            <w:r>
              <w:rPr>
                <w:rFonts w:hint="eastAsia" w:ascii="宋体" w:hAnsi="宋体" w:cs="Courier New"/>
                <w:bCs/>
                <w:color w:val="auto"/>
                <w:szCs w:val="21"/>
                <w:highlight w:val="none"/>
              </w:rPr>
              <w:t>。</w:t>
            </w:r>
          </w:p>
          <w:p>
            <w:pPr>
              <w:spacing w:line="400" w:lineRule="exact"/>
              <w:rPr>
                <w:rFonts w:ascii="宋体" w:hAnsi="宋体" w:cs="Courier New"/>
                <w:bCs/>
                <w:color w:val="auto"/>
                <w:szCs w:val="21"/>
                <w:highlight w:val="none"/>
              </w:rPr>
            </w:pPr>
            <w:r>
              <w:rPr>
                <w:rFonts w:hint="eastAsia" w:ascii="宋体" w:hAnsi="宋体" w:cs="Courier New"/>
                <w:bCs/>
                <w:color w:val="auto"/>
                <w:szCs w:val="21"/>
                <w:highlight w:val="none"/>
                <w:lang w:val="en-US" w:eastAsia="zh-CN"/>
              </w:rPr>
              <w:t>三</w:t>
            </w:r>
            <w:r>
              <w:rPr>
                <w:rFonts w:hint="eastAsia" w:ascii="宋体" w:hAnsi="宋体" w:cs="Courier New"/>
                <w:bCs/>
                <w:color w:val="auto"/>
                <w:szCs w:val="21"/>
                <w:highlight w:val="none"/>
              </w:rPr>
              <w:t>档（</w:t>
            </w:r>
            <w:r>
              <w:rPr>
                <w:rFonts w:ascii="宋体" w:hAnsi="宋体" w:cs="Courier New"/>
                <w:bCs/>
                <w:color w:val="auto"/>
                <w:szCs w:val="21"/>
                <w:highlight w:val="none"/>
              </w:rPr>
              <w:t>1</w:t>
            </w:r>
            <w:r>
              <w:rPr>
                <w:rFonts w:hint="eastAsia" w:ascii="宋体" w:hAnsi="宋体" w:cs="Courier New"/>
                <w:bCs/>
                <w:color w:val="auto"/>
                <w:szCs w:val="21"/>
                <w:highlight w:val="none"/>
                <w:lang w:val="en-US" w:eastAsia="zh-CN"/>
              </w:rPr>
              <w:t>5</w:t>
            </w:r>
            <w:r>
              <w:rPr>
                <w:rFonts w:hint="eastAsia" w:ascii="宋体" w:hAnsi="宋体" w:cs="Courier New"/>
                <w:bCs/>
                <w:color w:val="auto"/>
                <w:szCs w:val="21"/>
                <w:highlight w:val="none"/>
              </w:rPr>
              <w:t>分）：</w:t>
            </w:r>
            <w:r>
              <w:rPr>
                <w:rFonts w:hint="eastAsia" w:ascii="宋体" w:hAnsi="宋体" w:cs="Courier New"/>
                <w:bCs/>
                <w:color w:val="auto"/>
                <w:szCs w:val="21"/>
                <w:highlight w:val="none"/>
                <w:lang w:val="en-US" w:eastAsia="zh-CN"/>
              </w:rPr>
              <w:t>提供的对接方案优于二档</w:t>
            </w:r>
            <w:r>
              <w:rPr>
                <w:rFonts w:hint="eastAsia" w:ascii="宋体" w:hAnsi="宋体" w:cs="宋体"/>
                <w:color w:val="auto"/>
                <w:szCs w:val="21"/>
                <w:highlight w:val="none"/>
              </w:rPr>
              <w:t>，</w:t>
            </w:r>
            <w:r>
              <w:rPr>
                <w:rFonts w:hint="eastAsia" w:ascii="宋体" w:hAnsi="宋体"/>
                <w:color w:val="auto"/>
                <w:szCs w:val="21"/>
                <w:highlight w:val="none"/>
                <w:lang w:val="en-US" w:eastAsia="zh-CN"/>
              </w:rPr>
              <w:t>对接</w:t>
            </w:r>
            <w:r>
              <w:rPr>
                <w:rFonts w:hint="eastAsia" w:ascii="宋体" w:hAnsi="宋体"/>
                <w:color w:val="auto"/>
                <w:szCs w:val="21"/>
                <w:highlight w:val="none"/>
              </w:rPr>
              <w:t>方案</w:t>
            </w:r>
            <w:r>
              <w:rPr>
                <w:rFonts w:hint="eastAsia" w:ascii="宋体" w:hAnsi="宋体" w:cs="Courier New"/>
                <w:bCs/>
                <w:color w:val="auto"/>
                <w:szCs w:val="21"/>
                <w:highlight w:val="none"/>
                <w:lang w:val="en-US" w:eastAsia="zh-CN"/>
              </w:rPr>
              <w:t>良好</w:t>
            </w:r>
            <w:r>
              <w:rPr>
                <w:rFonts w:hint="eastAsia" w:ascii="宋体" w:hAnsi="宋体" w:cs="Courier New"/>
                <w:bCs/>
                <w:color w:val="auto"/>
                <w:szCs w:val="21"/>
                <w:highlight w:val="none"/>
              </w:rPr>
              <w:t>，整体构思良好，展示形式良好，方案重点内容良好，措施良好，方案可行性良好。</w:t>
            </w:r>
          </w:p>
          <w:p>
            <w:pPr>
              <w:spacing w:line="400" w:lineRule="exact"/>
              <w:rPr>
                <w:rFonts w:ascii="宋体" w:hAnsi="宋体" w:cs="Courier New"/>
                <w:bCs/>
                <w:color w:val="auto"/>
                <w:szCs w:val="21"/>
                <w:highlight w:val="none"/>
              </w:rPr>
            </w:pPr>
            <w:r>
              <w:rPr>
                <w:rFonts w:hint="eastAsia" w:ascii="宋体" w:hAnsi="宋体" w:cs="Courier New"/>
                <w:bCs/>
                <w:color w:val="auto"/>
                <w:szCs w:val="21"/>
                <w:highlight w:val="none"/>
                <w:lang w:val="en-US" w:eastAsia="zh-CN"/>
              </w:rPr>
              <w:t>四</w:t>
            </w:r>
            <w:r>
              <w:rPr>
                <w:rFonts w:hint="eastAsia" w:ascii="宋体" w:hAnsi="宋体" w:cs="Courier New"/>
                <w:bCs/>
                <w:color w:val="auto"/>
                <w:szCs w:val="21"/>
                <w:highlight w:val="none"/>
              </w:rPr>
              <w:t>档（</w:t>
            </w:r>
            <w:r>
              <w:rPr>
                <w:rFonts w:ascii="宋体" w:hAnsi="宋体" w:cs="Courier New"/>
                <w:bCs/>
                <w:color w:val="auto"/>
                <w:szCs w:val="21"/>
                <w:highlight w:val="none"/>
              </w:rPr>
              <w:t>2</w:t>
            </w:r>
            <w:r>
              <w:rPr>
                <w:rFonts w:hint="eastAsia" w:ascii="宋体" w:hAnsi="宋体" w:cs="Courier New"/>
                <w:bCs/>
                <w:color w:val="auto"/>
                <w:szCs w:val="21"/>
                <w:highlight w:val="none"/>
                <w:lang w:val="en-US" w:eastAsia="zh-CN"/>
              </w:rPr>
              <w:t>0</w:t>
            </w:r>
            <w:r>
              <w:rPr>
                <w:rFonts w:hint="eastAsia" w:ascii="宋体" w:hAnsi="宋体" w:cs="Courier New"/>
                <w:bCs/>
                <w:color w:val="auto"/>
                <w:szCs w:val="21"/>
                <w:highlight w:val="none"/>
              </w:rPr>
              <w:t>分）：</w:t>
            </w:r>
            <w:r>
              <w:rPr>
                <w:rFonts w:hint="eastAsia" w:ascii="宋体" w:hAnsi="宋体" w:cs="Courier New"/>
                <w:bCs/>
                <w:color w:val="auto"/>
                <w:szCs w:val="21"/>
                <w:highlight w:val="none"/>
                <w:lang w:val="en-US" w:eastAsia="zh-CN"/>
              </w:rPr>
              <w:t>提供的对接方案优于三档</w:t>
            </w:r>
            <w:r>
              <w:rPr>
                <w:rFonts w:hint="eastAsia" w:ascii="宋体" w:hAnsi="宋体" w:cs="宋体"/>
                <w:color w:val="auto"/>
                <w:szCs w:val="21"/>
                <w:highlight w:val="none"/>
              </w:rPr>
              <w:t>，</w:t>
            </w:r>
            <w:r>
              <w:rPr>
                <w:rFonts w:hint="eastAsia" w:ascii="宋体" w:hAnsi="宋体"/>
                <w:color w:val="auto"/>
                <w:szCs w:val="21"/>
                <w:highlight w:val="none"/>
              </w:rPr>
              <w:t>策划方案</w:t>
            </w:r>
            <w:r>
              <w:rPr>
                <w:rFonts w:hint="eastAsia" w:ascii="宋体" w:hAnsi="宋体" w:cs="Courier New"/>
                <w:bCs/>
                <w:color w:val="auto"/>
                <w:szCs w:val="21"/>
                <w:highlight w:val="none"/>
              </w:rPr>
              <w:t>清晰完整，整体构思新颖、目标明确，展示形式灵活多样，方案重点内容突出，措施具体，方案可执行性强，完全能达到采购方的采购目的。</w:t>
            </w:r>
          </w:p>
          <w:p>
            <w:pPr>
              <w:spacing w:line="400" w:lineRule="exact"/>
              <w:rPr>
                <w:rFonts w:ascii="宋体" w:hAnsi="宋体" w:cs="Courier New"/>
                <w:b/>
                <w:bCs/>
                <w:color w:val="auto"/>
                <w:szCs w:val="21"/>
                <w:highlight w:val="none"/>
              </w:rPr>
            </w:pPr>
            <w:r>
              <w:rPr>
                <w:rFonts w:hint="eastAsia" w:ascii="宋体" w:hAnsi="宋体" w:cs="宋体"/>
                <w:b/>
                <w:bCs/>
                <w:color w:val="auto"/>
                <w:szCs w:val="21"/>
                <w:highlight w:val="none"/>
              </w:rPr>
              <w:t>注：未提供</w:t>
            </w:r>
            <w:r>
              <w:rPr>
                <w:rFonts w:hint="eastAsia" w:ascii="宋体" w:hAnsi="宋体" w:cs="宋体"/>
                <w:b/>
                <w:bCs/>
                <w:color w:val="auto"/>
                <w:szCs w:val="21"/>
                <w:highlight w:val="none"/>
                <w:lang w:val="en-US" w:eastAsia="zh-CN"/>
              </w:rPr>
              <w:t>对接方案</w:t>
            </w:r>
            <w:r>
              <w:rPr>
                <w:rFonts w:hint="eastAsia" w:ascii="宋体" w:hAnsi="宋体" w:cs="宋体"/>
                <w:b/>
                <w:bCs/>
                <w:color w:val="auto"/>
                <w:szCs w:val="21"/>
                <w:highlight w:val="none"/>
              </w:rPr>
              <w:t>方案或</w:t>
            </w:r>
            <w:r>
              <w:rPr>
                <w:rFonts w:hint="eastAsia" w:ascii="宋体" w:hAnsi="宋体" w:cs="宋体"/>
                <w:b/>
                <w:bCs/>
                <w:color w:val="auto"/>
                <w:szCs w:val="21"/>
                <w:highlight w:val="none"/>
                <w:lang w:val="en-US" w:eastAsia="zh-CN"/>
              </w:rPr>
              <w:t>对接方案</w:t>
            </w:r>
            <w:r>
              <w:rPr>
                <w:rFonts w:hint="eastAsia" w:ascii="宋体" w:hAnsi="宋体" w:cs="宋体"/>
                <w:b/>
                <w:bCs/>
                <w:color w:val="auto"/>
                <w:szCs w:val="21"/>
                <w:highlight w:val="none"/>
              </w:rPr>
              <w:t>方案未达到一档标准要求的，得0分。</w:t>
            </w:r>
          </w:p>
        </w:tc>
        <w:tc>
          <w:tcPr>
            <w:tcW w:w="1417" w:type="dxa"/>
            <w:vAlign w:val="center"/>
          </w:tcPr>
          <w:p>
            <w:pPr>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adjustRightInd w:val="0"/>
              <w:spacing w:line="40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2.2</w:t>
            </w:r>
          </w:p>
        </w:tc>
        <w:tc>
          <w:tcPr>
            <w:tcW w:w="1275" w:type="dxa"/>
            <w:vAlign w:val="center"/>
          </w:tcPr>
          <w:p>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lang w:val="en-US" w:eastAsia="zh-CN"/>
              </w:rPr>
              <w:t>服务方案</w:t>
            </w:r>
            <w:r>
              <w:rPr>
                <w:rFonts w:hint="eastAsia" w:ascii="宋体" w:hAnsi="宋体"/>
                <w:color w:val="auto"/>
                <w:szCs w:val="21"/>
                <w:highlight w:val="none"/>
              </w:rPr>
              <w:t>分</w:t>
            </w:r>
          </w:p>
        </w:tc>
        <w:tc>
          <w:tcPr>
            <w:tcW w:w="6320" w:type="dxa"/>
            <w:vAlign w:val="center"/>
          </w:tcPr>
          <w:p>
            <w:pPr>
              <w:spacing w:line="400" w:lineRule="exact"/>
              <w:rPr>
                <w:rFonts w:ascii="宋体" w:hAnsi="宋体" w:cs="宋体"/>
                <w:color w:val="auto"/>
                <w:szCs w:val="21"/>
                <w:highlight w:val="none"/>
              </w:rPr>
            </w:pPr>
            <w:r>
              <w:rPr>
                <w:rFonts w:hint="eastAsia" w:ascii="宋体" w:hAnsi="宋体" w:cs="Courier New"/>
                <w:bCs/>
                <w:color w:val="auto"/>
                <w:szCs w:val="21"/>
                <w:highlight w:val="none"/>
              </w:rPr>
              <w:t>由磋商小组根据供应商的响应文件中所提供的</w:t>
            </w:r>
            <w:r>
              <w:rPr>
                <w:rFonts w:hint="eastAsia" w:ascii="宋体" w:hAnsi="宋体"/>
                <w:color w:val="auto"/>
                <w:szCs w:val="21"/>
                <w:highlight w:val="none"/>
              </w:rPr>
              <w:t>项目</w:t>
            </w:r>
            <w:r>
              <w:rPr>
                <w:rFonts w:hint="eastAsia" w:ascii="宋体" w:hAnsi="宋体"/>
                <w:color w:val="auto"/>
                <w:szCs w:val="21"/>
                <w:highlight w:val="none"/>
                <w:lang w:val="en-US" w:eastAsia="zh-CN"/>
              </w:rPr>
              <w:t>服务方案</w:t>
            </w:r>
            <w:r>
              <w:rPr>
                <w:rFonts w:hint="eastAsia" w:ascii="宋体" w:hAnsi="宋体" w:cs="宋体"/>
                <w:color w:val="auto"/>
                <w:szCs w:val="21"/>
                <w:highlight w:val="none"/>
              </w:rPr>
              <w:t>进行评价</w:t>
            </w:r>
            <w:r>
              <w:rPr>
                <w:rFonts w:hint="eastAsia" w:ascii="宋体" w:hAnsi="宋体" w:cs="宋体"/>
                <w:color w:val="auto"/>
                <w:szCs w:val="21"/>
                <w:highlight w:val="none"/>
                <w:lang w:eastAsia="zh-CN"/>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提供的服务方案简单，对项目情况有基本的了解，对需求进行简单的分析；</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提供的服务方案优于一档，对项目情况基本了解，建设思路及需求分析基本符合要求，对建设目标及要求有简单描述，系统总体层次及模式相对清晰；</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提供的服务方案优于二档，对项目环境及情况把握较准确，建设思路及需求分析较合理，对建设目标及要求有较详细的描述，系统总体层次及模式较清晰，对平台系统体系结构、功能方面有较详细的描述，业务模式满足采购要求。</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提供的服务方案优于三档，对项目环境及情况把握准确，建设思路及需求分析合理，对建设目标及要求有详细的描述，系统总体层次及模式清晰，对平台系统体系结构、功能方面有详细描述，业务模式满足采购要求，技术成熟先进，设计全面完善，具有一定的先进性。</w:t>
            </w:r>
          </w:p>
          <w:p>
            <w:pPr>
              <w:spacing w:line="400" w:lineRule="exact"/>
              <w:rPr>
                <w:rFonts w:ascii="宋体" w:hAnsi="宋体"/>
                <w:bCs/>
                <w:color w:val="auto"/>
                <w:szCs w:val="21"/>
                <w:highlight w:val="none"/>
              </w:rPr>
            </w:pPr>
            <w:r>
              <w:rPr>
                <w:rFonts w:hint="eastAsia" w:ascii="宋体" w:hAnsi="宋体" w:cs="宋体"/>
                <w:b/>
                <w:bCs/>
                <w:color w:val="auto"/>
                <w:szCs w:val="21"/>
                <w:highlight w:val="none"/>
              </w:rPr>
              <w:t>注：未提供</w:t>
            </w:r>
            <w:r>
              <w:rPr>
                <w:rFonts w:hint="eastAsia" w:ascii="宋体" w:hAnsi="宋体" w:cs="宋体"/>
                <w:b/>
                <w:bCs/>
                <w:color w:val="auto"/>
                <w:szCs w:val="21"/>
                <w:highlight w:val="none"/>
                <w:lang w:val="en-US" w:eastAsia="zh-CN"/>
              </w:rPr>
              <w:t>服务方案</w:t>
            </w:r>
            <w:r>
              <w:rPr>
                <w:rFonts w:hint="eastAsia" w:ascii="宋体" w:hAnsi="宋体" w:cs="宋体"/>
                <w:b/>
                <w:bCs/>
                <w:color w:val="auto"/>
                <w:szCs w:val="21"/>
                <w:highlight w:val="none"/>
              </w:rPr>
              <w:t>或</w:t>
            </w:r>
            <w:r>
              <w:rPr>
                <w:rFonts w:hint="eastAsia" w:ascii="宋体" w:hAnsi="宋体" w:cs="宋体"/>
                <w:b/>
                <w:bCs/>
                <w:color w:val="auto"/>
                <w:szCs w:val="21"/>
                <w:highlight w:val="none"/>
                <w:lang w:val="en-US" w:eastAsia="zh-CN"/>
              </w:rPr>
              <w:t>服务方案</w:t>
            </w:r>
            <w:r>
              <w:rPr>
                <w:rFonts w:hint="eastAsia" w:ascii="宋体" w:hAnsi="宋体" w:cs="宋体"/>
                <w:b/>
                <w:bCs/>
                <w:color w:val="auto"/>
                <w:szCs w:val="21"/>
                <w:highlight w:val="none"/>
              </w:rPr>
              <w:t>未达到一档标准要求的，得0分。</w:t>
            </w:r>
          </w:p>
        </w:tc>
        <w:tc>
          <w:tcPr>
            <w:tcW w:w="1417" w:type="dxa"/>
            <w:vAlign w:val="center"/>
          </w:tcPr>
          <w:p>
            <w:pPr>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adjustRightInd w:val="0"/>
              <w:spacing w:line="400" w:lineRule="exact"/>
              <w:ind w:left="-105" w:leftChars="-50" w:right="-105" w:rightChars="-50"/>
              <w:jc w:val="center"/>
              <w:textAlignment w:val="baseline"/>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rPr>
              <w:t>2.</w:t>
            </w:r>
            <w:r>
              <w:rPr>
                <w:rFonts w:hint="eastAsia" w:ascii="宋体" w:hAnsi="宋体"/>
                <w:bCs/>
                <w:color w:val="auto"/>
                <w:kern w:val="0"/>
                <w:szCs w:val="21"/>
                <w:highlight w:val="none"/>
                <w:lang w:val="en-US" w:eastAsia="zh-CN"/>
              </w:rPr>
              <w:t>3</w:t>
            </w:r>
          </w:p>
        </w:tc>
        <w:tc>
          <w:tcPr>
            <w:tcW w:w="1275" w:type="dxa"/>
            <w:vAlign w:val="center"/>
          </w:tcPr>
          <w:p>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售后服务方案分</w:t>
            </w:r>
          </w:p>
        </w:tc>
        <w:tc>
          <w:tcPr>
            <w:tcW w:w="6320" w:type="dxa"/>
            <w:vAlign w:val="center"/>
          </w:tcPr>
          <w:p>
            <w:pPr>
              <w:spacing w:line="400" w:lineRule="exact"/>
              <w:rPr>
                <w:rFonts w:ascii="宋体" w:hAnsi="宋体" w:cs="宋体"/>
                <w:color w:val="auto"/>
                <w:szCs w:val="21"/>
                <w:highlight w:val="none"/>
              </w:rPr>
            </w:pPr>
            <w:r>
              <w:rPr>
                <w:rFonts w:hint="eastAsia" w:ascii="宋体" w:hAnsi="宋体" w:cs="Courier New"/>
                <w:bCs/>
                <w:color w:val="auto"/>
                <w:szCs w:val="21"/>
                <w:highlight w:val="none"/>
              </w:rPr>
              <w:t>由磋商小组根据供应商的响应文件中所提供的</w:t>
            </w:r>
            <w:r>
              <w:rPr>
                <w:rFonts w:hint="eastAsia" w:ascii="宋体" w:hAnsi="宋体"/>
                <w:color w:val="auto"/>
                <w:szCs w:val="21"/>
                <w:highlight w:val="none"/>
              </w:rPr>
              <w:t>售后服务方案</w:t>
            </w:r>
            <w:r>
              <w:rPr>
                <w:rFonts w:hint="eastAsia" w:ascii="宋体" w:hAnsi="宋体" w:cs="Courier New"/>
                <w:bCs/>
                <w:color w:val="auto"/>
                <w:szCs w:val="21"/>
                <w:highlight w:val="none"/>
              </w:rPr>
              <w:t>进行评价</w:t>
            </w:r>
            <w:r>
              <w:rPr>
                <w:rFonts w:hint="eastAsia" w:ascii="宋体" w:hAnsi="宋体" w:cs="Courier New"/>
                <w:bCs/>
                <w:color w:val="auto"/>
                <w:szCs w:val="21"/>
                <w:highlight w:val="none"/>
                <w:lang w:eastAsia="zh-CN"/>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 xml:space="preserve">满足磋商文件售后服务各项要求，售后服务方案简单， </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提供的售后保障措施简单。</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提供的售后服务方案优于一档，售后服务方案一般，提供的售后保障措施一般。</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提供的售后服务方案优于二档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售后服务方案良好，提供的售后保障措施良好，有简单的系统维护解决方案和运行维护应急预案</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提供的售后服务方案优于三档，售后服务方案优秀，论述准确，售后保障措施表述清晰、完整，对系统的维护提供整体维护解决方案和运行维护应急预案，提供专业的本地化维护服务，能提供故障申告途径及绿色通道，有详细的培训计划和定期回访计划。</w:t>
            </w:r>
          </w:p>
          <w:p>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注：未提供售后服务方案或售后服务方案未达到一档标准要求的，得0分。</w:t>
            </w:r>
          </w:p>
        </w:tc>
        <w:tc>
          <w:tcPr>
            <w:tcW w:w="1417" w:type="dxa"/>
            <w:vAlign w:val="center"/>
          </w:tcPr>
          <w:p>
            <w:pPr>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adjustRightInd w:val="0"/>
              <w:spacing w:line="400" w:lineRule="exact"/>
              <w:ind w:left="-105" w:leftChars="-50" w:right="-105" w:rightChars="-50"/>
              <w:jc w:val="center"/>
              <w:textAlignment w:val="baseline"/>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2.4</w:t>
            </w:r>
          </w:p>
        </w:tc>
        <w:tc>
          <w:tcPr>
            <w:tcW w:w="1275" w:type="dxa"/>
            <w:vAlign w:val="center"/>
          </w:tcPr>
          <w:p>
            <w:pPr>
              <w:adjustRightInd w:val="0"/>
              <w:spacing w:line="400" w:lineRule="exact"/>
              <w:jc w:val="center"/>
              <w:textAlignment w:val="baseline"/>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增值服务分</w:t>
            </w:r>
          </w:p>
        </w:tc>
        <w:tc>
          <w:tcPr>
            <w:tcW w:w="6320" w:type="dxa"/>
            <w:vAlign w:val="center"/>
          </w:tcPr>
          <w:p>
            <w:pPr>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在满足采购需求中短信条数 3000 万条短信数量的基础上，每增加20万条短信加0.2分，满分10分。竞标人提供承诺书原件加盖公章，承诺书需明确增加的短信数量不再额外收费，否则不计分。</w:t>
            </w:r>
          </w:p>
        </w:tc>
        <w:tc>
          <w:tcPr>
            <w:tcW w:w="1417" w:type="dxa"/>
            <w:vAlign w:val="center"/>
          </w:tcPr>
          <w:p>
            <w:pPr>
              <w:spacing w:line="400" w:lineRule="exact"/>
              <w:jc w:val="center"/>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adjustRightInd w:val="0"/>
              <w:spacing w:line="400" w:lineRule="exact"/>
              <w:ind w:left="-105" w:leftChars="-50" w:right="-105" w:rightChars="-50"/>
              <w:jc w:val="center"/>
              <w:textAlignment w:val="baseline"/>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2.5</w:t>
            </w:r>
          </w:p>
        </w:tc>
        <w:tc>
          <w:tcPr>
            <w:tcW w:w="1275" w:type="dxa"/>
            <w:vAlign w:val="center"/>
          </w:tcPr>
          <w:p>
            <w:pPr>
              <w:adjustRightInd w:val="0"/>
              <w:spacing w:line="400" w:lineRule="exact"/>
              <w:jc w:val="center"/>
              <w:textAlignment w:val="baseline"/>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项目人员分</w:t>
            </w:r>
          </w:p>
        </w:tc>
        <w:tc>
          <w:tcPr>
            <w:tcW w:w="6320" w:type="dxa"/>
            <w:vAlign w:val="center"/>
          </w:tcPr>
          <w:p>
            <w:pPr>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 xml:space="preserve">①拟投入的项目负责人具有信息系统项目管理师、系统架构设计师、系统分析师证书，每项 3 分，满分 9 分； </w:t>
            </w:r>
          </w:p>
          <w:p>
            <w:pPr>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 xml:space="preserve">②拟投入的技术负责人具有信息系统项目管理师、系统规划与管理 </w:t>
            </w:r>
          </w:p>
          <w:p>
            <w:pPr>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 xml:space="preserve">师、注册信息安全工程师，每项 2 分，满分 6 分； </w:t>
            </w:r>
          </w:p>
          <w:p>
            <w:pPr>
              <w:spacing w:line="40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 xml:space="preserve">③除项目负责人和技术负责人外，拟投入的项目实施人员具备工信部部属单位颁发的系统管理专业知识测评证书，每提供 1 人得 2 分，满分 8 分； </w:t>
            </w:r>
          </w:p>
        </w:tc>
        <w:tc>
          <w:tcPr>
            <w:tcW w:w="1417" w:type="dxa"/>
            <w:vAlign w:val="center"/>
          </w:tcPr>
          <w:p>
            <w:pPr>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widowControl/>
              <w:spacing w:line="40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3</w:t>
            </w:r>
          </w:p>
        </w:tc>
        <w:tc>
          <w:tcPr>
            <w:tcW w:w="1275" w:type="dxa"/>
            <w:vAlign w:val="center"/>
          </w:tcPr>
          <w:p>
            <w:pPr>
              <w:widowControl/>
              <w:spacing w:line="400" w:lineRule="exact"/>
              <w:jc w:val="center"/>
              <w:rPr>
                <w:rFonts w:ascii="宋体" w:hAnsi="宋体" w:cs="Courier New"/>
                <w:b/>
                <w:bCs/>
                <w:color w:val="auto"/>
                <w:szCs w:val="21"/>
                <w:highlight w:val="none"/>
              </w:rPr>
            </w:pPr>
            <w:r>
              <w:rPr>
                <w:rFonts w:hint="eastAsia" w:ascii="宋体" w:hAnsi="宋体" w:cs="Courier New"/>
                <w:b/>
                <w:bCs/>
                <w:color w:val="auto"/>
                <w:szCs w:val="21"/>
                <w:highlight w:val="none"/>
              </w:rPr>
              <w:t>商务分</w:t>
            </w:r>
          </w:p>
        </w:tc>
        <w:tc>
          <w:tcPr>
            <w:tcW w:w="6320" w:type="dxa"/>
            <w:vAlign w:val="center"/>
          </w:tcPr>
          <w:p>
            <w:pPr>
              <w:widowControl/>
              <w:spacing w:line="40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417" w:type="dxa"/>
            <w:vAlign w:val="center"/>
          </w:tcPr>
          <w:p>
            <w:pPr>
              <w:widowControl/>
              <w:spacing w:line="40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满分1</w:t>
            </w:r>
            <w:r>
              <w:rPr>
                <w:rFonts w:hint="eastAsia" w:ascii="宋体" w:hAnsi="宋体" w:cs="Tahoma"/>
                <w:b/>
                <w:color w:val="auto"/>
                <w:kern w:val="0"/>
                <w:szCs w:val="21"/>
                <w:highlight w:val="none"/>
                <w:lang w:val="en-US" w:eastAsia="zh-CN"/>
              </w:rPr>
              <w:t>2</w:t>
            </w:r>
            <w:r>
              <w:rPr>
                <w:rFonts w:hint="eastAsia" w:ascii="宋体" w:hAnsi="宋体" w:cs="Tahoma"/>
                <w:b/>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widowControl/>
              <w:spacing w:line="400" w:lineRule="exact"/>
              <w:jc w:val="center"/>
              <w:rPr>
                <w:rFonts w:ascii="宋体" w:hAnsi="宋体" w:cs="Tahoma"/>
                <w:color w:val="auto"/>
                <w:kern w:val="0"/>
                <w:szCs w:val="21"/>
                <w:highlight w:val="none"/>
              </w:rPr>
            </w:pPr>
            <w:r>
              <w:rPr>
                <w:rFonts w:ascii="宋体" w:hAnsi="宋体" w:cs="Tahoma"/>
                <w:color w:val="auto"/>
                <w:kern w:val="0"/>
                <w:szCs w:val="21"/>
                <w:highlight w:val="none"/>
              </w:rPr>
              <w:t>3.1</w:t>
            </w:r>
          </w:p>
        </w:tc>
        <w:tc>
          <w:tcPr>
            <w:tcW w:w="1275" w:type="dxa"/>
            <w:vAlign w:val="center"/>
          </w:tcPr>
          <w:p>
            <w:pPr>
              <w:widowControl/>
              <w:spacing w:line="400" w:lineRule="exact"/>
              <w:jc w:val="center"/>
              <w:rPr>
                <w:rFonts w:ascii="宋体" w:hAnsi="宋体" w:cs="Tahoma"/>
                <w:color w:val="auto"/>
                <w:kern w:val="0"/>
                <w:szCs w:val="21"/>
                <w:highlight w:val="none"/>
              </w:rPr>
            </w:pPr>
            <w:r>
              <w:rPr>
                <w:rFonts w:hint="eastAsia" w:ascii="宋体" w:hAnsi="宋体" w:cs="Courier New"/>
                <w:bCs/>
                <w:color w:val="auto"/>
                <w:szCs w:val="21"/>
                <w:highlight w:val="none"/>
                <w:lang w:val="en-US" w:eastAsia="zh-CN"/>
              </w:rPr>
              <w:t>信誉</w:t>
            </w:r>
            <w:r>
              <w:rPr>
                <w:rFonts w:hint="eastAsia" w:ascii="宋体" w:hAnsi="宋体" w:cs="Courier New"/>
                <w:bCs/>
                <w:color w:val="auto"/>
                <w:szCs w:val="21"/>
                <w:highlight w:val="none"/>
              </w:rPr>
              <w:t>分</w:t>
            </w:r>
          </w:p>
        </w:tc>
        <w:tc>
          <w:tcPr>
            <w:tcW w:w="6320" w:type="dxa"/>
          </w:tcPr>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 xml:space="preserve">竞标人具有效的 ISO9001 质量管理体系认证证书、ISO20000 信息技术服务管理体系认证证书、ISO27001 信息安全管理体系认证证书的，每个得2分，满分 6 分，提供有效的证书复印件。 </w:t>
            </w:r>
          </w:p>
        </w:tc>
        <w:tc>
          <w:tcPr>
            <w:tcW w:w="1417" w:type="dxa"/>
            <w:vAlign w:val="center"/>
          </w:tcPr>
          <w:p>
            <w:pPr>
              <w:widowControl/>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6</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widowControl/>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r>
              <w:rPr>
                <w:rFonts w:ascii="宋体" w:hAnsi="宋体" w:cs="Tahoma"/>
                <w:color w:val="auto"/>
                <w:kern w:val="0"/>
                <w:szCs w:val="21"/>
                <w:highlight w:val="none"/>
              </w:rPr>
              <w:t>.2</w:t>
            </w:r>
          </w:p>
        </w:tc>
        <w:tc>
          <w:tcPr>
            <w:tcW w:w="1275" w:type="dxa"/>
            <w:vAlign w:val="center"/>
          </w:tcPr>
          <w:p>
            <w:pPr>
              <w:widowControl/>
              <w:spacing w:line="400" w:lineRule="exact"/>
              <w:jc w:val="center"/>
              <w:rPr>
                <w:rFonts w:ascii="宋体" w:hAnsi="宋体" w:cs="Courier New"/>
                <w:bCs/>
                <w:color w:val="auto"/>
                <w:szCs w:val="21"/>
                <w:highlight w:val="none"/>
              </w:rPr>
            </w:pPr>
            <w:r>
              <w:rPr>
                <w:rFonts w:hint="eastAsia" w:ascii="宋体" w:hAnsi="宋体" w:cs="Courier New"/>
                <w:bCs/>
                <w:color w:val="auto"/>
                <w:szCs w:val="21"/>
                <w:highlight w:val="none"/>
              </w:rPr>
              <w:t>业绩分</w:t>
            </w:r>
          </w:p>
        </w:tc>
        <w:tc>
          <w:tcPr>
            <w:tcW w:w="6320"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2021 年 1 月 1 日至今，供应商承接或完成过同类项目的，每个项目得2 分，满分 6 分。响应文件提供合同或中标（成交）通知书复印件，未按要求提供不得分。</w:t>
            </w:r>
          </w:p>
        </w:tc>
        <w:tc>
          <w:tcPr>
            <w:tcW w:w="1417" w:type="dxa"/>
            <w:vAlign w:val="center"/>
          </w:tcPr>
          <w:p>
            <w:pPr>
              <w:widowControl/>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6</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4" w:type="dxa"/>
            <w:gridSpan w:val="4"/>
          </w:tcPr>
          <w:p>
            <w:pPr>
              <w:widowControl/>
              <w:spacing w:line="400" w:lineRule="exact"/>
              <w:jc w:val="left"/>
              <w:rPr>
                <w:rFonts w:ascii="宋体" w:hAnsi="宋体" w:cs="Tahoma"/>
                <w:b/>
                <w:color w:val="auto"/>
                <w:kern w:val="0"/>
                <w:szCs w:val="21"/>
                <w:highlight w:val="none"/>
              </w:rPr>
            </w:pPr>
            <w:r>
              <w:rPr>
                <w:rFonts w:hint="eastAsia" w:ascii="宋体" w:hAnsi="宋体" w:cs="Courier New"/>
                <w:b/>
                <w:bCs/>
                <w:color w:val="auto"/>
                <w:szCs w:val="21"/>
                <w:highlight w:val="none"/>
              </w:rPr>
              <w:t>总得分＝1＋2＋3</w:t>
            </w:r>
          </w:p>
        </w:tc>
      </w:tr>
    </w:tbl>
    <w:p>
      <w:pPr>
        <w:pStyle w:val="21"/>
        <w:spacing w:line="360" w:lineRule="atLeast"/>
        <w:ind w:firstLine="413" w:firstLineChars="196"/>
        <w:rPr>
          <w:rFonts w:hAnsi="宋体"/>
          <w:b/>
          <w:bCs/>
          <w:color w:val="auto"/>
          <w:sz w:val="21"/>
          <w:highlight w:val="none"/>
        </w:rPr>
      </w:pPr>
      <w:r>
        <w:rPr>
          <w:rFonts w:hint="eastAsia" w:hAnsi="宋体"/>
          <w:b/>
          <w:color w:val="auto"/>
          <w:kern w:val="2"/>
          <w:sz w:val="21"/>
          <w:highlight w:val="none"/>
        </w:rPr>
        <w:t>注：</w:t>
      </w:r>
      <w:r>
        <w:rPr>
          <w:rFonts w:hint="eastAsia" w:hAnsi="宋体"/>
          <w:b/>
          <w:color w:val="auto"/>
          <w:sz w:val="21"/>
          <w:highlight w:val="none"/>
        </w:rPr>
        <w:t>本项目为政府服务类采购，无节能产品、环境标志产品要求。</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jc w:val="center"/>
        <w:rPr>
          <w:color w:val="auto"/>
          <w:highlight w:val="none"/>
        </w:rPr>
      </w:pPr>
      <w:bookmarkStart w:id="68" w:name="_Toc151675540"/>
      <w:r>
        <w:rPr>
          <w:rFonts w:hint="eastAsia"/>
          <w:color w:val="auto"/>
          <w:highlight w:val="none"/>
        </w:rPr>
        <w:t xml:space="preserve">第五章 </w:t>
      </w:r>
      <w:r>
        <w:rPr>
          <w:color w:val="auto"/>
          <w:highlight w:val="none"/>
        </w:rPr>
        <w:t xml:space="preserve"> </w:t>
      </w:r>
      <w:r>
        <w:rPr>
          <w:rFonts w:hint="eastAsia"/>
          <w:color w:val="auto"/>
          <w:highlight w:val="none"/>
        </w:rPr>
        <w:t>响应文件格式</w:t>
      </w:r>
      <w:bookmarkEnd w:id="68"/>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napToGrid w:val="0"/>
        <w:spacing w:before="50" w:after="50"/>
        <w:outlineLvl w:val="1"/>
        <w:rPr>
          <w:rFonts w:ascii="宋体" w:hAnsi="宋体"/>
          <w:b/>
          <w:bCs/>
          <w:color w:val="auto"/>
          <w:sz w:val="24"/>
          <w:highlight w:val="none"/>
        </w:rPr>
      </w:pPr>
    </w:p>
    <w:p>
      <w:pPr>
        <w:snapToGrid w:val="0"/>
        <w:spacing w:before="50" w:after="50"/>
        <w:outlineLvl w:val="1"/>
        <w:rPr>
          <w:rFonts w:ascii="宋体" w:hAnsi="宋体"/>
          <w:b/>
          <w:bCs/>
          <w:color w:val="auto"/>
          <w:sz w:val="24"/>
          <w:highlight w:val="none"/>
        </w:rPr>
      </w:pPr>
    </w:p>
    <w:p>
      <w:pPr>
        <w:snapToGrid w:val="0"/>
        <w:spacing w:before="156" w:beforeLines="50" w:after="50"/>
        <w:jc w:val="center"/>
        <w:rPr>
          <w:rFonts w:ascii="仿宋_GB2312" w:hAnsi="仿宋_GB2312" w:eastAsia="仿宋_GB2312" w:cs="仿宋_GB2312"/>
          <w:bCs/>
          <w:color w:val="auto"/>
          <w:sz w:val="32"/>
          <w:szCs w:val="32"/>
          <w:highlight w:val="none"/>
        </w:rPr>
      </w:pPr>
    </w:p>
    <w:p>
      <w:pPr>
        <w:rPr>
          <w:b/>
          <w:color w:val="auto"/>
          <w:sz w:val="32"/>
          <w:szCs w:val="32"/>
          <w:highlight w:val="none"/>
        </w:rPr>
      </w:pPr>
      <w:bookmarkStart w:id="69" w:name="_Toc31723070"/>
      <w:bookmarkStart w:id="70" w:name="_Toc44229899"/>
      <w:bookmarkStart w:id="71" w:name="_Toc31728084"/>
      <w:bookmarkStart w:id="72" w:name="_Toc35611438"/>
      <w:bookmarkStart w:id="73" w:name="_Toc35611516"/>
      <w:bookmarkStart w:id="74" w:name="_Toc71366186"/>
      <w:r>
        <w:rPr>
          <w:rFonts w:hint="eastAsia"/>
          <w:b/>
          <w:color w:val="auto"/>
          <w:sz w:val="32"/>
          <w:szCs w:val="32"/>
          <w:highlight w:val="none"/>
        </w:rPr>
        <w:t>一、资格证明文件格式</w:t>
      </w:r>
      <w:bookmarkEnd w:id="69"/>
      <w:bookmarkEnd w:id="70"/>
      <w:bookmarkEnd w:id="71"/>
      <w:bookmarkEnd w:id="72"/>
      <w:bookmarkEnd w:id="73"/>
      <w:bookmarkEnd w:id="74"/>
    </w:p>
    <w:p>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pPr>
        <w:snapToGrid w:val="0"/>
        <w:spacing w:before="156" w:beforeLines="50" w:after="50"/>
        <w:jc w:val="center"/>
        <w:rPr>
          <w:rFonts w:ascii="宋体" w:hAnsi="宋体"/>
          <w:color w:val="auto"/>
          <w:sz w:val="44"/>
          <w:szCs w:val="44"/>
          <w:highlight w:val="none"/>
        </w:rPr>
      </w:pPr>
    </w:p>
    <w:p>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电子响应文件</w:t>
      </w: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资格证明文件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宋体" w:hAnsi="宋体" w:cs="仿宋_GB2312"/>
          <w:bCs/>
          <w:color w:val="auto"/>
          <w:sz w:val="32"/>
          <w:szCs w:val="32"/>
          <w:highlight w:val="none"/>
        </w:rPr>
      </w:pPr>
    </w:p>
    <w:p>
      <w:pPr>
        <w:pStyle w:val="9"/>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snapToGrid w:val="0"/>
        <w:spacing w:before="156" w:beforeLines="50" w:after="50"/>
        <w:ind w:firstLine="640" w:firstLineChars="200"/>
        <w:rPr>
          <w:rFonts w:ascii="宋体" w:hAnsi="宋体" w:cs="仿宋_GB2312"/>
          <w:bCs/>
          <w:color w:val="auto"/>
          <w:sz w:val="32"/>
          <w:szCs w:val="32"/>
          <w:highlight w:val="none"/>
        </w:rPr>
      </w:pPr>
    </w:p>
    <w:p>
      <w:pPr>
        <w:pStyle w:val="9"/>
        <w:snapToGrid w:val="0"/>
        <w:spacing w:before="50" w:after="50"/>
        <w:ind w:firstLine="720" w:firstLineChars="225"/>
        <w:rPr>
          <w:rFonts w:ascii="宋体" w:hAnsi="宋体" w:cs="仿宋_GB2312"/>
          <w:bCs/>
          <w:color w:val="auto"/>
          <w:sz w:val="32"/>
          <w:szCs w:val="32"/>
          <w:highlight w:val="none"/>
        </w:rPr>
      </w:pPr>
    </w:p>
    <w:p>
      <w:pPr>
        <w:pStyle w:val="9"/>
        <w:snapToGrid w:val="0"/>
        <w:spacing w:before="50" w:after="50"/>
        <w:ind w:firstLine="720" w:firstLineChars="225"/>
        <w:rPr>
          <w:rFonts w:ascii="宋体" w:hAnsi="宋体" w:cs="仿宋_GB2312"/>
          <w:bCs/>
          <w:color w:val="auto"/>
          <w:sz w:val="32"/>
          <w:szCs w:val="32"/>
          <w:highlight w:val="none"/>
        </w:rPr>
      </w:pPr>
    </w:p>
    <w:p>
      <w:pPr>
        <w:pStyle w:val="9"/>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年月日</w:t>
      </w:r>
    </w:p>
    <w:p>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napToGrid w:val="0"/>
        <w:spacing w:before="156" w:beforeLines="50" w:after="50"/>
        <w:rPr>
          <w:rFonts w:ascii="宋体" w:hAnsi="宋体"/>
          <w:color w:val="auto"/>
          <w:sz w:val="24"/>
          <w:szCs w:val="20"/>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20" w:lineRule="exact"/>
        <w:jc w:val="left"/>
        <w:rPr>
          <w:rFonts w:ascii="宋体" w:hAnsi="宋体"/>
          <w:color w:val="auto"/>
          <w:szCs w:val="21"/>
          <w:highlight w:val="none"/>
        </w:rPr>
      </w:pPr>
      <w:r>
        <w:rPr>
          <w:rFonts w:ascii="宋体" w:hAnsi="宋体"/>
          <w:color w:val="auto"/>
          <w:szCs w:val="21"/>
          <w:highlight w:val="none"/>
        </w:rPr>
        <w:br w:type="page"/>
      </w:r>
    </w:p>
    <w:p>
      <w:pPr>
        <w:wordWrap w:val="0"/>
        <w:spacing w:before="156" w:beforeLines="50" w:after="50" w:line="320" w:lineRule="exact"/>
        <w:ind w:right="482" w:firstLine="210" w:firstLineChars="100"/>
        <w:contextualSpacing/>
        <w:jc w:val="center"/>
        <w:rPr>
          <w:rFonts w:ascii="宋体" w:hAnsi="宋体"/>
          <w:color w:val="auto"/>
          <w:szCs w:val="21"/>
          <w:highlight w:val="none"/>
        </w:rPr>
      </w:pP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pPr>
        <w:snapToGrid w:val="0"/>
        <w:spacing w:before="156" w:beforeLines="50" w:after="50" w:line="360" w:lineRule="auto"/>
        <w:jc w:val="center"/>
        <w:rPr>
          <w:rFonts w:ascii="宋体" w:hAnsi="宋体"/>
          <w:b/>
          <w:color w:val="auto"/>
          <w:sz w:val="24"/>
          <w:highlight w:val="none"/>
        </w:rPr>
      </w:pPr>
    </w:p>
    <w:p>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pPr>
        <w:spacing w:line="360" w:lineRule="auto"/>
        <w:contextualSpacing/>
        <w:jc w:val="center"/>
        <w:rPr>
          <w:rFonts w:ascii="宋体" w:hAnsi="宋体"/>
          <w:b/>
          <w:color w:val="auto"/>
          <w:sz w:val="24"/>
          <w:highlight w:val="none"/>
        </w:rPr>
      </w:pPr>
    </w:p>
    <w:tbl>
      <w:tblPr>
        <w:tblStyle w:val="3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pPr>
        <w:spacing w:line="360" w:lineRule="auto"/>
        <w:ind w:firstLine="420" w:firstLineChars="200"/>
        <w:contextualSpacing/>
        <w:jc w:val="left"/>
        <w:rPr>
          <w:rFonts w:ascii="宋体" w:hAnsi="宋体" w:cs="宋体"/>
          <w:color w:val="auto"/>
          <w:szCs w:val="21"/>
          <w:highlight w:val="none"/>
        </w:rPr>
      </w:pPr>
    </w:p>
    <w:p>
      <w:pPr>
        <w:spacing w:line="360" w:lineRule="auto"/>
        <w:ind w:firstLine="560" w:firstLineChars="200"/>
        <w:contextualSpacing/>
        <w:jc w:val="left"/>
        <w:rPr>
          <w:rFonts w:ascii="宋体" w:hAnsi="宋体" w:cs="宋体"/>
          <w:color w:val="auto"/>
          <w:sz w:val="28"/>
          <w:szCs w:val="28"/>
          <w:highlight w:val="none"/>
        </w:rPr>
      </w:pPr>
    </w:p>
    <w:p>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w:t>
      </w:r>
    </w:p>
    <w:p>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年月日</w:t>
      </w:r>
    </w:p>
    <w:p>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pPr>
        <w:snapToGrid w:val="0"/>
        <w:spacing w:line="360" w:lineRule="auto"/>
        <w:jc w:val="center"/>
        <w:rPr>
          <w:rFonts w:ascii="宋体" w:hAnsi="宋体"/>
          <w:b/>
          <w:color w:val="auto"/>
          <w:sz w:val="24"/>
          <w:highlight w:val="none"/>
        </w:rPr>
      </w:pPr>
    </w:p>
    <w:tbl>
      <w:tblPr>
        <w:tblStyle w:val="3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pPr>
        <w:spacing w:line="360" w:lineRule="auto"/>
        <w:contextualSpacing/>
        <w:jc w:val="left"/>
        <w:rPr>
          <w:rFonts w:ascii="宋体" w:hAnsi="宋体"/>
          <w:color w:val="auto"/>
          <w:sz w:val="28"/>
          <w:szCs w:val="28"/>
          <w:highlight w:val="none"/>
        </w:rPr>
      </w:pPr>
    </w:p>
    <w:p>
      <w:pPr>
        <w:spacing w:line="360" w:lineRule="auto"/>
        <w:contextualSpacing/>
        <w:jc w:val="left"/>
        <w:rPr>
          <w:rFonts w:ascii="宋体" w:hAnsi="宋体"/>
          <w:color w:val="auto"/>
          <w:sz w:val="28"/>
          <w:szCs w:val="28"/>
          <w:highlight w:val="none"/>
        </w:rPr>
      </w:pPr>
    </w:p>
    <w:p>
      <w:pPr>
        <w:spacing w:line="360" w:lineRule="auto"/>
        <w:contextualSpacing/>
        <w:jc w:val="left"/>
        <w:rPr>
          <w:color w:val="auto"/>
          <w:sz w:val="28"/>
          <w:szCs w:val="28"/>
          <w:highlight w:val="none"/>
        </w:rPr>
      </w:pPr>
    </w:p>
    <w:p>
      <w:pPr>
        <w:spacing w:line="360" w:lineRule="auto"/>
        <w:contextualSpacing/>
        <w:jc w:val="left"/>
        <w:rPr>
          <w:color w:val="auto"/>
          <w:sz w:val="28"/>
          <w:szCs w:val="28"/>
          <w:highlight w:val="none"/>
        </w:rPr>
      </w:pPr>
    </w:p>
    <w:p>
      <w:pPr>
        <w:spacing w:line="360" w:lineRule="auto"/>
        <w:contextualSpacing/>
        <w:jc w:val="left"/>
        <w:rPr>
          <w:color w:val="auto"/>
          <w:sz w:val="28"/>
          <w:szCs w:val="28"/>
          <w:highlight w:val="none"/>
        </w:rPr>
      </w:pPr>
    </w:p>
    <w:p>
      <w:pPr>
        <w:spacing w:line="360" w:lineRule="auto"/>
        <w:contextualSpacing/>
        <w:jc w:val="left"/>
        <w:rPr>
          <w:rFonts w:ascii="宋体" w:hAnsi="宋体"/>
          <w:color w:val="auto"/>
          <w:sz w:val="28"/>
          <w:szCs w:val="28"/>
          <w:highlight w:val="none"/>
        </w:rPr>
      </w:pPr>
    </w:p>
    <w:p>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pPr>
        <w:spacing w:line="360" w:lineRule="auto"/>
        <w:ind w:firstLine="4320" w:firstLineChars="1800"/>
        <w:contextualSpacing/>
        <w:jc w:val="left"/>
        <w:rPr>
          <w:rFonts w:ascii="宋体" w:hAnsi="宋体"/>
          <w:color w:val="auto"/>
          <w:sz w:val="28"/>
          <w:szCs w:val="28"/>
          <w:highlight w:val="none"/>
        </w:rPr>
      </w:pPr>
      <w:r>
        <w:rPr>
          <w:rFonts w:hint="eastAsia" w:ascii="宋体" w:hAnsi="宋体"/>
          <w:color w:val="auto"/>
          <w:sz w:val="24"/>
          <w:highlight w:val="none"/>
        </w:rPr>
        <w:t>年月日</w:t>
      </w:r>
    </w:p>
    <w:p>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pPr>
        <w:spacing w:line="320" w:lineRule="exact"/>
        <w:jc w:val="center"/>
        <w:rPr>
          <w:rFonts w:ascii="宋体" w:hAnsi="宋体"/>
          <w:color w:val="auto"/>
          <w:sz w:val="24"/>
          <w:szCs w:val="20"/>
          <w:highlight w:val="none"/>
        </w:rPr>
      </w:pP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pPr>
        <w:pStyle w:val="21"/>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pPr>
        <w:pStyle w:val="21"/>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电话/传真：电子邮箱：</w:t>
      </w:r>
    </w:p>
    <w:p>
      <w:pPr>
        <w:pStyle w:val="19"/>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开户银行：帐号：</w:t>
      </w:r>
    </w:p>
    <w:p>
      <w:pPr>
        <w:pStyle w:val="19"/>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pPr>
        <w:pStyle w:val="19"/>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pPr>
        <w:spacing w:line="360" w:lineRule="auto"/>
        <w:contextualSpacing/>
        <w:jc w:val="left"/>
        <w:rPr>
          <w:rFonts w:ascii="宋体" w:hAnsi="宋体" w:cs="宋体"/>
          <w:color w:val="auto"/>
          <w:szCs w:val="21"/>
          <w:highlight w:val="none"/>
        </w:rPr>
      </w:pPr>
    </w:p>
    <w:p>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p>
    <w:p>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p>
    <w:p>
      <w:pPr>
        <w:pStyle w:val="19"/>
        <w:tabs>
          <w:tab w:val="left" w:pos="939"/>
        </w:tabs>
        <w:spacing w:line="360" w:lineRule="auto"/>
        <w:ind w:left="0" w:leftChars="0" w:firstLine="3780" w:firstLineChars="1800"/>
        <w:rPr>
          <w:color w:val="auto"/>
          <w:sz w:val="24"/>
          <w:highlight w:val="none"/>
        </w:rPr>
      </w:pPr>
      <w:r>
        <w:rPr>
          <w:rFonts w:hint="eastAsia"/>
          <w:color w:val="auto"/>
          <w:highlight w:val="none"/>
        </w:rPr>
        <w:t>年月日</w:t>
      </w:r>
    </w:p>
    <w:p>
      <w:pPr>
        <w:pStyle w:val="9"/>
        <w:overflowPunct w:val="0"/>
        <w:spacing w:line="520" w:lineRule="exact"/>
        <w:ind w:firstLine="0"/>
        <w:jc w:val="center"/>
        <w:rPr>
          <w:rFonts w:ascii="方正小标宋简体" w:hAnsi="方正小标宋简体" w:eastAsia="方正小标宋简体" w:cs="方正小标宋简体"/>
          <w:color w:val="auto"/>
          <w:sz w:val="44"/>
          <w:szCs w:val="44"/>
          <w:highlight w:val="none"/>
        </w:rPr>
      </w:pPr>
      <w:r>
        <w:rPr>
          <w:rFonts w:hint="eastAsia"/>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联合体竞标协议书</w:t>
      </w:r>
    </w:p>
    <w:p>
      <w:pPr>
        <w:pStyle w:val="9"/>
        <w:overflowPunct w:val="0"/>
        <w:spacing w:line="360" w:lineRule="auto"/>
        <w:ind w:firstLine="0"/>
        <w:rPr>
          <w:rFonts w:ascii="宋体" w:hAnsi="宋体"/>
          <w:color w:val="auto"/>
          <w:sz w:val="24"/>
          <w:szCs w:val="24"/>
          <w:highlight w:val="none"/>
        </w:rPr>
      </w:pP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（所有成员单位名称）自愿组成（联合体名称）联合体，共同参加（项目名称）采购项目竞标。现就联合体竞标事宜订立如下协议。</w:t>
      </w: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（某成员单位名称）为（联合体名称）牵头人。</w:t>
      </w: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pPr>
        <w:pStyle w:val="9"/>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pPr>
        <w:pStyle w:val="9"/>
        <w:overflowPunct w:val="0"/>
        <w:spacing w:line="360" w:lineRule="auto"/>
        <w:ind w:firstLineChars="175"/>
        <w:contextualSpacing/>
        <w:rPr>
          <w:rFonts w:ascii="宋体" w:hAnsi="宋体" w:cs="仿宋_GB2312"/>
          <w:color w:val="auto"/>
          <w:sz w:val="24"/>
          <w:szCs w:val="24"/>
          <w:highlight w:val="none"/>
        </w:rPr>
      </w:pPr>
    </w:p>
    <w:p>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9"/>
        <w:overflowPunct w:val="0"/>
        <w:spacing w:line="360" w:lineRule="auto"/>
        <w:ind w:firstLine="0"/>
        <w:contextualSpacing/>
        <w:rPr>
          <w:rFonts w:ascii="宋体" w:hAnsi="宋体" w:cs="仿宋_GB2312"/>
          <w:color w:val="auto"/>
          <w:sz w:val="24"/>
          <w:szCs w:val="24"/>
          <w:highlight w:val="none"/>
        </w:rPr>
      </w:pPr>
    </w:p>
    <w:p>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9"/>
        <w:overflowPunct w:val="0"/>
        <w:spacing w:line="360" w:lineRule="auto"/>
        <w:ind w:firstLine="0"/>
        <w:contextualSpacing/>
        <w:rPr>
          <w:rFonts w:ascii="宋体" w:hAnsi="宋体" w:cs="仿宋_GB2312"/>
          <w:color w:val="auto"/>
          <w:sz w:val="24"/>
          <w:szCs w:val="24"/>
          <w:highlight w:val="none"/>
        </w:rPr>
      </w:pPr>
    </w:p>
    <w:p>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9"/>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pPr>
        <w:spacing w:line="360" w:lineRule="auto"/>
        <w:ind w:right="480" w:firstLine="240" w:firstLineChars="100"/>
        <w:contextualSpacing/>
        <w:jc w:val="center"/>
        <w:rPr>
          <w:rFonts w:ascii="宋体" w:hAnsi="宋体" w:cs="仿宋_GB2312"/>
          <w:color w:val="auto"/>
          <w:sz w:val="24"/>
          <w:highlight w:val="none"/>
        </w:rPr>
      </w:pPr>
    </w:p>
    <w:p>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年</w:t>
      </w:r>
      <w:r>
        <w:rPr>
          <w:rFonts w:hint="eastAsia" w:ascii="宋体" w:hAnsi="宋体" w:cs="仿宋_GB2312"/>
          <w:color w:val="auto"/>
          <w:sz w:val="24"/>
          <w:highlight w:val="none"/>
        </w:rPr>
        <w:tab/>
      </w:r>
      <w:r>
        <w:rPr>
          <w:rFonts w:hint="eastAsia" w:ascii="宋体" w:hAnsi="宋体" w:cs="仿宋_GB2312"/>
          <w:color w:val="auto"/>
          <w:sz w:val="24"/>
          <w:highlight w:val="none"/>
        </w:rPr>
        <w:t>月</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pPr>
        <w:jc w:val="center"/>
        <w:rPr>
          <w:rFonts w:ascii="方正小标宋简体" w:hAnsi="方正小标宋简体" w:eastAsia="方正小标宋简体" w:cs="方正小标宋简体"/>
          <w:color w:val="auto"/>
          <w:sz w:val="44"/>
          <w:szCs w:val="44"/>
          <w:highlight w:val="none"/>
        </w:rPr>
      </w:pPr>
      <w:r>
        <w:rPr>
          <w:rFonts w:ascii="宋体" w:hAnsi="宋体"/>
          <w:b/>
          <w:bCs/>
          <w:color w:val="auto"/>
          <w:sz w:val="32"/>
          <w:szCs w:val="32"/>
          <w:highlight w:val="none"/>
        </w:rPr>
        <w:br w:type="page"/>
      </w:r>
      <w:bookmarkStart w:id="75" w:name="_Toc71365926"/>
      <w:r>
        <w:rPr>
          <w:rFonts w:hint="eastAsia" w:ascii="方正小标宋简体" w:hAnsi="方正小标宋简体" w:eastAsia="方正小标宋简体" w:cs="方正小标宋简体"/>
          <w:color w:val="auto"/>
          <w:sz w:val="44"/>
          <w:szCs w:val="44"/>
          <w:highlight w:val="none"/>
        </w:rPr>
        <w:t>中小企业声明函（服务）</w:t>
      </w:r>
      <w:bookmarkEnd w:id="75"/>
    </w:p>
    <w:p>
      <w:pPr>
        <w:spacing w:before="2" w:line="500" w:lineRule="exact"/>
        <w:ind w:firstLine="708" w:firstLineChars="294"/>
        <w:rPr>
          <w:rFonts w:ascii="宋体" w:hAnsi="宋体" w:cs="宋体"/>
          <w:b/>
          <w:bCs/>
          <w:color w:val="auto"/>
          <w:sz w:val="24"/>
          <w:highlight w:val="none"/>
        </w:rPr>
      </w:pPr>
    </w:p>
    <w:p>
      <w:pPr>
        <w:pStyle w:val="18"/>
        <w:spacing w:line="500" w:lineRule="exact"/>
        <w:ind w:right="142" w:firstLine="705" w:firstLineChars="294"/>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hint="eastAsia" w:ascii="宋体" w:hAnsi="宋体"/>
          <w:color w:val="auto"/>
          <w:sz w:val="24"/>
          <w:highlight w:val="none"/>
        </w:rPr>
        <w:t>2.</w:t>
      </w:r>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pPr>
        <w:pStyle w:val="18"/>
        <w:spacing w:before="34" w:line="500" w:lineRule="exact"/>
        <w:ind w:right="142" w:firstLine="705" w:firstLineChars="294"/>
        <w:rPr>
          <w:rFonts w:ascii="宋体" w:hAnsi="宋体"/>
          <w:color w:val="auto"/>
          <w:sz w:val="24"/>
          <w:highlight w:val="none"/>
        </w:rPr>
      </w:pPr>
      <w:r>
        <w:rPr>
          <w:rFonts w:hint="eastAsia" w:ascii="宋体" w:hAnsi="宋体"/>
          <w:color w:val="auto"/>
          <w:sz w:val="24"/>
          <w:highlight w:val="none"/>
        </w:rPr>
        <w:t>……</w:t>
      </w:r>
    </w:p>
    <w:p>
      <w:pPr>
        <w:pStyle w:val="18"/>
        <w:spacing w:before="34" w:line="500" w:lineRule="exact"/>
        <w:ind w:right="142" w:firstLine="705" w:firstLineChars="294"/>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pPr>
        <w:pStyle w:val="18"/>
        <w:spacing w:before="25" w:line="500" w:lineRule="exact"/>
        <w:ind w:right="142" w:firstLine="705" w:firstLineChars="294"/>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pPr>
        <w:pStyle w:val="18"/>
        <w:spacing w:before="56" w:line="500" w:lineRule="exact"/>
        <w:ind w:right="1808" w:firstLine="705" w:firstLineChars="294"/>
        <w:rPr>
          <w:rFonts w:ascii="宋体" w:hAnsi="宋体"/>
          <w:color w:val="auto"/>
          <w:sz w:val="24"/>
          <w:highlight w:val="none"/>
        </w:rPr>
      </w:pPr>
    </w:p>
    <w:p>
      <w:pPr>
        <w:pStyle w:val="18"/>
        <w:spacing w:before="56" w:line="500" w:lineRule="exact"/>
        <w:ind w:right="650" w:firstLine="5625" w:firstLineChars="2344"/>
        <w:rPr>
          <w:rFonts w:ascii="宋体" w:hAnsi="宋体"/>
          <w:color w:val="auto"/>
          <w:sz w:val="24"/>
          <w:highlight w:val="none"/>
        </w:rPr>
      </w:pPr>
      <w:r>
        <w:rPr>
          <w:rFonts w:hint="eastAsia" w:ascii="宋体" w:hAnsi="宋体"/>
          <w:color w:val="auto"/>
          <w:sz w:val="24"/>
          <w:highlight w:val="none"/>
        </w:rPr>
        <w:t>企业名称（章）：</w:t>
      </w:r>
    </w:p>
    <w:p>
      <w:pPr>
        <w:pStyle w:val="18"/>
        <w:spacing w:before="56" w:line="500" w:lineRule="exact"/>
        <w:ind w:right="1808" w:firstLine="5625" w:firstLineChars="2344"/>
        <w:rPr>
          <w:rFonts w:ascii="宋体" w:hAnsi="宋体"/>
          <w:color w:val="auto"/>
          <w:sz w:val="24"/>
          <w:highlight w:val="none"/>
        </w:rPr>
      </w:pPr>
      <w:r>
        <w:rPr>
          <w:rFonts w:hint="eastAsia" w:ascii="宋体" w:hAnsi="宋体"/>
          <w:color w:val="auto"/>
          <w:sz w:val="24"/>
          <w:highlight w:val="none"/>
        </w:rPr>
        <w:t>日期：</w:t>
      </w:r>
    </w:p>
    <w:p>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ascii="仿宋_GB2312" w:hAnsi="仿宋_GB2312" w:eastAsia="仿宋_GB2312" w:cs="仿宋_GB2312"/>
          <w:color w:val="auto"/>
          <w:sz w:val="32"/>
          <w:szCs w:val="32"/>
          <w:highlight w:val="none"/>
        </w:rPr>
      </w:pPr>
      <w:r>
        <w:rPr>
          <w:rFonts w:hint="eastAsia"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pPr>
        <w:spacing w:line="360" w:lineRule="auto"/>
        <w:rPr>
          <w:rFonts w:ascii="仿宋_GB2312" w:hAnsi="仿宋_GB2312" w:eastAsia="仿宋_GB2312" w:cs="仿宋_GB2312"/>
          <w:color w:val="auto"/>
          <w:sz w:val="32"/>
          <w:szCs w:val="32"/>
          <w:highlight w:val="none"/>
        </w:rPr>
      </w:pP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ind w:firstLine="2400" w:firstLineChars="1000"/>
        <w:rPr>
          <w:rFonts w:ascii="宋体" w:hAnsi="宋体" w:cs="仿宋_GB2312"/>
          <w:color w:val="auto"/>
          <w:sz w:val="24"/>
          <w:highlight w:val="none"/>
        </w:rPr>
      </w:pPr>
      <w:r>
        <w:rPr>
          <w:rFonts w:hint="eastAsia" w:ascii="宋体" w:hAnsi="宋体" w:cs="仿宋_GB2312"/>
          <w:color w:val="auto"/>
          <w:sz w:val="24"/>
          <w:highlight w:val="none"/>
        </w:rPr>
        <w:t>单位名称（盖章）：</w:t>
      </w:r>
    </w:p>
    <w:p>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日期：</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ind w:right="420"/>
        <w:contextualSpacing/>
        <w:jc w:val="left"/>
        <w:rPr>
          <w:rFonts w:ascii="宋体" w:hAnsi="宋体"/>
          <w:b/>
          <w:bCs/>
          <w:color w:val="auto"/>
          <w:sz w:val="32"/>
          <w:szCs w:val="32"/>
          <w:highlight w:val="none"/>
        </w:rPr>
      </w:pPr>
    </w:p>
    <w:p>
      <w:pPr>
        <w:spacing w:line="360" w:lineRule="auto"/>
        <w:ind w:right="420"/>
        <w:contextualSpacing/>
        <w:jc w:val="left"/>
        <w:rPr>
          <w:rFonts w:ascii="宋体" w:hAnsi="宋体"/>
          <w:b/>
          <w:bCs/>
          <w:color w:val="auto"/>
          <w:sz w:val="32"/>
          <w:szCs w:val="32"/>
          <w:highlight w:val="none"/>
        </w:rPr>
      </w:pPr>
    </w:p>
    <w:p>
      <w:pPr>
        <w:pStyle w:val="41"/>
        <w:ind w:firstLine="480"/>
        <w:rPr>
          <w:color w:val="auto"/>
          <w:highlight w:val="none"/>
        </w:rPr>
      </w:pPr>
    </w:p>
    <w:p>
      <w:pPr>
        <w:rPr>
          <w:color w:val="auto"/>
          <w:highlight w:val="none"/>
        </w:rPr>
      </w:pPr>
    </w:p>
    <w:p>
      <w:pPr>
        <w:pStyle w:val="41"/>
        <w:ind w:firstLine="480"/>
        <w:rPr>
          <w:color w:val="auto"/>
          <w:highlight w:val="none"/>
        </w:rPr>
      </w:pPr>
    </w:p>
    <w:p>
      <w:pPr>
        <w:rPr>
          <w:color w:val="auto"/>
          <w:highlight w:val="none"/>
        </w:rPr>
      </w:pPr>
    </w:p>
    <w:p>
      <w:pPr>
        <w:pStyle w:val="41"/>
        <w:ind w:firstLine="480"/>
        <w:rPr>
          <w:color w:val="auto"/>
          <w:highlight w:val="none"/>
        </w:rPr>
      </w:pPr>
    </w:p>
    <w:p>
      <w:pPr>
        <w:rPr>
          <w:color w:val="auto"/>
          <w:highlight w:val="none"/>
        </w:rPr>
      </w:pPr>
    </w:p>
    <w:p>
      <w:pPr>
        <w:pStyle w:val="41"/>
        <w:ind w:firstLine="480"/>
        <w:rPr>
          <w:color w:val="auto"/>
          <w:highlight w:val="none"/>
        </w:rPr>
      </w:pPr>
    </w:p>
    <w:p>
      <w:pPr>
        <w:rPr>
          <w:color w:val="auto"/>
          <w:highlight w:val="none"/>
        </w:rPr>
      </w:pPr>
    </w:p>
    <w:p>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pPr>
        <w:snapToGrid w:val="0"/>
        <w:spacing w:before="156" w:beforeLines="50" w:after="50"/>
        <w:rPr>
          <w:rFonts w:ascii="宋体" w:hAnsi="宋体"/>
          <w:bCs/>
          <w:color w:val="auto"/>
          <w:sz w:val="32"/>
          <w:szCs w:val="20"/>
          <w:highlight w:val="none"/>
        </w:rPr>
      </w:pPr>
    </w:p>
    <w:p>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电子响应文件</w:t>
      </w:r>
    </w:p>
    <w:p>
      <w:pPr>
        <w:snapToGrid w:val="0"/>
        <w:spacing w:before="156" w:beforeLines="50" w:after="50"/>
        <w:rPr>
          <w:rFonts w:ascii="宋体" w:hAnsi="宋体"/>
          <w:color w:val="auto"/>
          <w:sz w:val="24"/>
          <w:szCs w:val="20"/>
          <w:highlight w:val="none"/>
        </w:rPr>
      </w:pP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报价文件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宋体" w:hAnsi="宋体" w:cs="仿宋_GB2312"/>
          <w:bCs/>
          <w:color w:val="auto"/>
          <w:sz w:val="32"/>
          <w:szCs w:val="32"/>
          <w:highlight w:val="none"/>
        </w:rPr>
      </w:pPr>
    </w:p>
    <w:p>
      <w:pPr>
        <w:pStyle w:val="9"/>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9"/>
        <w:snapToGrid w:val="0"/>
        <w:spacing w:before="50" w:after="50"/>
        <w:ind w:firstLine="640" w:firstLineChars="200"/>
        <w:rPr>
          <w:rFonts w:ascii="宋体" w:hAnsi="宋体" w:cs="仿宋_GB2312"/>
          <w:bCs/>
          <w:color w:val="auto"/>
          <w:sz w:val="32"/>
          <w:szCs w:val="32"/>
          <w:highlight w:val="none"/>
        </w:rPr>
      </w:pPr>
    </w:p>
    <w:p>
      <w:pPr>
        <w:pStyle w:val="9"/>
        <w:snapToGrid w:val="0"/>
        <w:spacing w:before="50" w:after="50"/>
        <w:ind w:firstLine="720" w:firstLineChars="225"/>
        <w:rPr>
          <w:rFonts w:ascii="宋体" w:hAnsi="宋体" w:cs="仿宋_GB2312"/>
          <w:bCs/>
          <w:color w:val="auto"/>
          <w:sz w:val="32"/>
          <w:szCs w:val="32"/>
          <w:highlight w:val="none"/>
        </w:rPr>
      </w:pPr>
    </w:p>
    <w:p>
      <w:pPr>
        <w:pStyle w:val="9"/>
        <w:snapToGrid w:val="0"/>
        <w:spacing w:before="50" w:after="50"/>
        <w:ind w:firstLine="0"/>
        <w:rPr>
          <w:rFonts w:ascii="宋体" w:hAnsi="宋体" w:cs="仿宋_GB2312"/>
          <w:bCs/>
          <w:color w:val="auto"/>
          <w:sz w:val="32"/>
          <w:szCs w:val="32"/>
          <w:highlight w:val="none"/>
        </w:rPr>
      </w:pPr>
    </w:p>
    <w:p>
      <w:pPr>
        <w:pStyle w:val="9"/>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年月日</w:t>
      </w:r>
    </w:p>
    <w:p>
      <w:pPr>
        <w:snapToGrid w:val="0"/>
        <w:spacing w:before="156"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pPr>
        <w:pStyle w:val="21"/>
        <w:spacing w:line="500" w:lineRule="exact"/>
        <w:jc w:val="center"/>
        <w:rPr>
          <w:rFonts w:hint="eastAsia" w:ascii="方正小标宋简体" w:hAnsi="方正小标宋简体" w:eastAsia="方正小标宋简体" w:cs="方正小标宋简体"/>
          <w:bCs/>
          <w:color w:val="auto"/>
          <w:kern w:val="2"/>
          <w:sz w:val="44"/>
          <w:szCs w:val="44"/>
          <w:highlight w:val="none"/>
          <w:lang w:val="en-US" w:eastAsia="zh-CN" w:bidi="ar-SA"/>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kern w:val="2"/>
          <w:sz w:val="44"/>
          <w:szCs w:val="44"/>
          <w:highlight w:val="none"/>
          <w:lang w:val="en-US" w:eastAsia="zh-CN" w:bidi="ar-SA"/>
        </w:rPr>
        <w:t>响应函</w:t>
      </w:r>
    </w:p>
    <w:p>
      <w:pPr>
        <w:pStyle w:val="21"/>
        <w:spacing w:line="500" w:lineRule="exact"/>
        <w:rPr>
          <w:rFonts w:hint="eastAsia" w:hAnsi="宋体" w:cs="宋体"/>
          <w:color w:val="auto"/>
          <w:sz w:val="32"/>
          <w:highlight w:val="none"/>
        </w:rPr>
      </w:pPr>
    </w:p>
    <w:p>
      <w:pPr>
        <w:spacing w:line="360" w:lineRule="auto"/>
        <w:contextualSpacing/>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[采购组织机构]：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我方已仔细阅读了贵方组织的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项目</w:t>
      </w:r>
      <w:r>
        <w:rPr>
          <w:rFonts w:hint="eastAsia" w:ascii="宋体" w:hAnsi="宋体" w:cs="宋体"/>
          <w:color w:val="auto"/>
          <w:sz w:val="24"/>
          <w:szCs w:val="24"/>
          <w:highlight w:val="none"/>
          <w:u w:val="single"/>
        </w:rPr>
        <w:t>（项目编号）</w:t>
      </w:r>
      <w:r>
        <w:rPr>
          <w:rFonts w:hint="eastAsia" w:ascii="宋体" w:hAnsi="宋体" w:cs="宋体"/>
          <w:color w:val="auto"/>
          <w:sz w:val="24"/>
          <w:szCs w:val="24"/>
          <w:highlight w:val="none"/>
        </w:rPr>
        <w:t>的竞争性磋商采购文件的全部内容，现正式递交下述文件参加贵方组织的本次政府采购活动：</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一、报价文件电子版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份（包含按“</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章 供应商须知”提交的全部文件</w:t>
      </w:r>
      <w:r>
        <w:rPr>
          <w:rFonts w:hint="eastAsia" w:ascii="宋体" w:hAnsi="宋体" w:cs="宋体"/>
          <w:color w:val="auto"/>
          <w:sz w:val="24"/>
          <w:szCs w:val="24"/>
          <w:highlight w:val="none"/>
        </w:rPr>
        <w:t>）；</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二、技术文件电子版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份（包含按“</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章 供应商须知”提交的全部文件</w:t>
      </w:r>
      <w:r>
        <w:rPr>
          <w:rFonts w:hint="eastAsia" w:ascii="宋体" w:hAnsi="宋体" w:cs="宋体"/>
          <w:color w:val="auto"/>
          <w:sz w:val="24"/>
          <w:szCs w:val="24"/>
          <w:highlight w:val="none"/>
        </w:rPr>
        <w:t>）；商务文件电子版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份（包含按“</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章 供应商须知”提交的全部文件</w:t>
      </w:r>
      <w:r>
        <w:rPr>
          <w:rFonts w:hint="eastAsia" w:ascii="宋体" w:hAnsi="宋体" w:cs="宋体"/>
          <w:color w:val="auto"/>
          <w:sz w:val="24"/>
          <w:szCs w:val="24"/>
          <w:highlight w:val="none"/>
        </w:rPr>
        <w:t>）；（商务技术文件已合并装订成册）</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三、资格证明文件电子版（包含按“</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章供应商须知”提交的全部文件</w:t>
      </w:r>
      <w:r>
        <w:rPr>
          <w:rFonts w:hint="eastAsia" w:ascii="宋体" w:hAnsi="宋体" w:cs="宋体"/>
          <w:color w:val="auto"/>
          <w:sz w:val="24"/>
          <w:szCs w:val="24"/>
          <w:highlight w:val="none"/>
        </w:rPr>
        <w:t>）；</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据此函，签字人兹宣布：</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1、我方愿意</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u w:val="single"/>
        </w:rPr>
        <w:t>（大写）人民币              （￥          元)</w:t>
      </w:r>
      <w:r>
        <w:rPr>
          <w:rFonts w:hint="eastAsia" w:ascii="宋体" w:hAnsi="宋体" w:cs="宋体"/>
          <w:color w:val="auto"/>
          <w:sz w:val="24"/>
          <w:szCs w:val="24"/>
          <w:highlight w:val="none"/>
        </w:rPr>
        <w:t>的竞标总报价，提供本项目竞争性磋商采购文件</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章“服务需求一览表”</w:t>
      </w:r>
      <w:r>
        <w:rPr>
          <w:rFonts w:hint="eastAsia" w:ascii="宋体" w:hAnsi="宋体" w:cs="宋体"/>
          <w:color w:val="auto"/>
          <w:sz w:val="24"/>
          <w:szCs w:val="24"/>
          <w:highlight w:val="none"/>
        </w:rPr>
        <w:t>中相应的采购内容：</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2、我方同意自本项目竞争性磋商采购文件采购公告规定的递交响应文件截止时间起遵循本响应函，并承诺</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章 供应商须知</w:t>
      </w:r>
      <w:r>
        <w:rPr>
          <w:rFonts w:hint="eastAsia" w:ascii="宋体" w:hAnsi="宋体" w:cs="宋体"/>
          <w:color w:val="auto"/>
          <w:sz w:val="24"/>
          <w:szCs w:val="24"/>
          <w:highlight w:val="none"/>
        </w:rPr>
        <w:t>”规定的响应有效期内不修改、撤销响应文件。</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3、我方在此声明，所递交的响应文件及有关资料内容完整、真实和准确。</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4、如本项目采购内容涉及须符合国家强制规定的，我方承诺我方本次竞标均符合国家有关强制规定。</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5、如我方成交，我方承诺在收到成交通知书后，在成交通知书规定的期限内，根据竞争性磋商采购文件、</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我方的响应文件及有关澄清承诺书的要求按第六章“合同文本”与采购人订立书面合同，并按照合同约定承担</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完成合同的责任和义务。</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6、我方已详细审核竞争性磋商采购文件，我方知道必须放弃提出含糊不清或误解问题的权利。</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7、我方承诺满足竞争性磋商采购文件第六章“合同文本”的条款，承担完成合同的责任和义务。</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8、我方同意应贵方要求提供与本竞标有关的任何数据或资料。若贵方需要，我方愿意提供我方作出的一切</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承诺的证明材料。</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9、我方完全理解贵方不一定接受响应报价最低的竞标人为成交供应商的行为。</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10、我方将严格遵守《中华人民共和国政府采购法》第七十七条的规定，即供应商有下列情形之一的，处以</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采购金额千分之五以上千分之十以下的罚款，列入不良行为记录名单，在一至三年内禁止参加政府采购活动，</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有违法所得的，并处没收违法所得，情节严重的，由工商行政管理机关吊销营业执照；构成犯罪的，依法追究</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刑事责任：</w:t>
      </w:r>
    </w:p>
    <w:p>
      <w:pPr>
        <w:spacing w:line="360" w:lineRule="auto"/>
        <w:ind w:firstLine="480" w:firstLineChars="200"/>
        <w:contextualSpacing/>
        <w:rPr>
          <w:rFonts w:hint="eastAsia" w:ascii="宋体" w:hAnsi="宋体" w:cs="宋体"/>
          <w:color w:val="auto"/>
          <w:sz w:val="24"/>
          <w:szCs w:val="24"/>
          <w:highlight w:val="none"/>
        </w:rPr>
      </w:pP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 提供虚假材料谋取中标、成交的；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 采取不正当手段诋毁、排挤其他供应商的；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 与采购人、其他供应商或者采购代理机构恶意串通的；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 向采购人、采购代理机构行贿或者提供其他不正当利益的；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 在采购过程中与采购人进行协商磋商的；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（5） 拒绝有关部门监督检查或提供虚假情况的。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11.与本磋商有关的一切正式往来信函请寄：</w:t>
      </w:r>
    </w:p>
    <w:p>
      <w:pPr>
        <w:pStyle w:val="21"/>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pPr>
        <w:pStyle w:val="21"/>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pPr>
        <w:pStyle w:val="21"/>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pPr>
        <w:pStyle w:val="21"/>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pPr>
        <w:pStyle w:val="21"/>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pPr>
        <w:pStyle w:val="21"/>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pPr>
        <w:pStyle w:val="21"/>
        <w:spacing w:line="360" w:lineRule="auto"/>
        <w:ind w:firstLine="420"/>
        <w:rPr>
          <w:rFonts w:hint="eastAsia"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pPr>
        <w:spacing w:line="360" w:lineRule="auto"/>
        <w:ind w:firstLine="480" w:firstLineChars="200"/>
        <w:contextualSpacing/>
        <w:rPr>
          <w:rFonts w:hint="eastAsia" w:ascii="宋体" w:hAnsi="宋体" w:cs="宋体"/>
          <w:color w:val="auto"/>
          <w:sz w:val="24"/>
          <w:szCs w:val="24"/>
          <w:highlight w:val="none"/>
        </w:rPr>
      </w:pPr>
    </w:p>
    <w:p>
      <w:pPr>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供应商名称（电子签章）：</w:t>
      </w:r>
    </w:p>
    <w:p>
      <w:pPr>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spacing w:line="520" w:lineRule="exact"/>
        <w:jc w:val="center"/>
        <w:rPr>
          <w:rFonts w:hint="eastAsia" w:ascii="方正小标宋简体" w:hAnsi="方正小标宋简体" w:eastAsia="方正小标宋简体" w:cs="方正小标宋简体"/>
          <w:bCs/>
          <w:color w:val="auto"/>
          <w:sz w:val="44"/>
          <w:szCs w:val="44"/>
          <w:highlight w:val="none"/>
        </w:rPr>
      </w:pPr>
    </w:p>
    <w:p>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磋商报价表</w:t>
      </w:r>
    </w:p>
    <w:p>
      <w:pPr>
        <w:spacing w:line="440" w:lineRule="exact"/>
        <w:jc w:val="center"/>
        <w:rPr>
          <w:rFonts w:ascii="方正小标宋简体" w:hAnsi="方正小标宋简体" w:eastAsia="方正小标宋简体" w:cs="方正小标宋简体"/>
          <w:bCs/>
          <w:color w:val="auto"/>
          <w:sz w:val="32"/>
          <w:szCs w:val="32"/>
          <w:highlight w:val="none"/>
        </w:rPr>
      </w:pP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项目编号：</w:t>
      </w: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3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单价</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lang w:eastAsia="zh-CN"/>
              </w:rPr>
              <w:t>广西壮族自治区医疗保障局2024短信服务项目</w:t>
            </w:r>
          </w:p>
        </w:tc>
        <w:tc>
          <w:tcPr>
            <w:tcW w:w="15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项</w:t>
            </w: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20"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lang w:val="en-US" w:eastAsia="zh-CN"/>
              </w:rPr>
              <w:t>总价</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小写：¥</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20"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hint="default" w:ascii="宋体" w:hAnsi="宋体" w:cs="仿宋_GB2312"/>
                <w:color w:val="auto"/>
                <w:sz w:val="24"/>
                <w:highlight w:val="none"/>
                <w:lang w:val="en-US"/>
              </w:rPr>
            </w:pPr>
            <w:r>
              <w:rPr>
                <w:rFonts w:hint="eastAsia" w:ascii="宋体" w:hAnsi="宋体" w:cs="仿宋_GB2312"/>
                <w:color w:val="auto"/>
                <w:sz w:val="24"/>
                <w:highlight w:val="none"/>
              </w:rPr>
              <w:t>合同履行期限：</w:t>
            </w:r>
            <w:r>
              <w:rPr>
                <w:rFonts w:hint="eastAsia" w:ascii="宋体" w:hAnsi="宋体" w:cs="仿宋_GB2312"/>
                <w:color w:val="auto"/>
                <w:sz w:val="24"/>
                <w:highlight w:val="none"/>
                <w:u w:val="single"/>
                <w:lang w:val="en-US" w:eastAsia="zh-CN"/>
              </w:rPr>
              <w:t xml:space="preserve">              </w:t>
            </w:r>
          </w:p>
        </w:tc>
      </w:tr>
    </w:tbl>
    <w:p>
      <w:pPr>
        <w:spacing w:line="360" w:lineRule="auto"/>
        <w:contextualSpacing/>
        <w:jc w:val="left"/>
        <w:rPr>
          <w:rFonts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pPr>
        <w:spacing w:line="360" w:lineRule="auto"/>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日期：年月日</w:t>
      </w:r>
    </w:p>
    <w:p>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pPr>
        <w:snapToGrid w:val="0"/>
        <w:spacing w:before="156" w:beforeLines="50" w:after="50"/>
        <w:rPr>
          <w:rFonts w:ascii="宋体" w:hAnsi="宋体"/>
          <w:bCs/>
          <w:color w:val="auto"/>
          <w:sz w:val="32"/>
          <w:szCs w:val="20"/>
          <w:highlight w:val="none"/>
        </w:rPr>
      </w:pPr>
    </w:p>
    <w:p>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电子响应文件</w:t>
      </w:r>
    </w:p>
    <w:p>
      <w:pPr>
        <w:snapToGrid w:val="0"/>
        <w:spacing w:before="156" w:beforeLines="50" w:after="50"/>
        <w:rPr>
          <w:rFonts w:ascii="宋体" w:hAnsi="宋体"/>
          <w:color w:val="auto"/>
          <w:sz w:val="24"/>
          <w:szCs w:val="20"/>
          <w:highlight w:val="none"/>
        </w:rPr>
      </w:pP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商务技术文件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宋体" w:hAnsi="宋体" w:cs="仿宋_GB2312"/>
          <w:bCs/>
          <w:color w:val="auto"/>
          <w:sz w:val="32"/>
          <w:szCs w:val="32"/>
          <w:highlight w:val="none"/>
        </w:rPr>
      </w:pPr>
    </w:p>
    <w:p>
      <w:pPr>
        <w:pStyle w:val="9"/>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9"/>
        <w:snapToGrid w:val="0"/>
        <w:spacing w:before="50" w:after="50"/>
        <w:ind w:firstLine="640" w:firstLineChars="200"/>
        <w:rPr>
          <w:rFonts w:ascii="宋体" w:hAnsi="宋体" w:cs="仿宋_GB2312"/>
          <w:bCs/>
          <w:color w:val="auto"/>
          <w:sz w:val="32"/>
          <w:szCs w:val="32"/>
          <w:highlight w:val="none"/>
        </w:rPr>
      </w:pPr>
    </w:p>
    <w:p>
      <w:pPr>
        <w:pStyle w:val="9"/>
        <w:snapToGrid w:val="0"/>
        <w:spacing w:before="50" w:after="50"/>
        <w:ind w:firstLine="720" w:firstLineChars="225"/>
        <w:rPr>
          <w:rFonts w:ascii="宋体" w:hAnsi="宋体" w:cs="仿宋_GB2312"/>
          <w:bCs/>
          <w:color w:val="auto"/>
          <w:sz w:val="32"/>
          <w:szCs w:val="32"/>
          <w:highlight w:val="none"/>
        </w:rPr>
      </w:pPr>
    </w:p>
    <w:p>
      <w:pPr>
        <w:pStyle w:val="9"/>
        <w:snapToGrid w:val="0"/>
        <w:spacing w:before="50" w:after="50"/>
        <w:ind w:firstLine="0"/>
        <w:rPr>
          <w:rFonts w:ascii="宋体" w:hAnsi="宋体" w:cs="仿宋_GB2312"/>
          <w:bCs/>
          <w:color w:val="auto"/>
          <w:sz w:val="32"/>
          <w:szCs w:val="32"/>
          <w:highlight w:val="none"/>
        </w:rPr>
      </w:pPr>
    </w:p>
    <w:p>
      <w:pPr>
        <w:pStyle w:val="9"/>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年月日</w:t>
      </w:r>
    </w:p>
    <w:p>
      <w:pPr>
        <w:snapToGrid w:val="0"/>
        <w:spacing w:before="156"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pacing w:line="400" w:lineRule="exact"/>
        <w:rPr>
          <w:rFonts w:ascii="仿宋_GB2312" w:hAnsi="仿宋_GB2312" w:eastAsia="仿宋_GB2312" w:cs="仿宋_GB2312"/>
          <w:color w:val="auto"/>
          <w:sz w:val="32"/>
          <w:szCs w:val="32"/>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pPr>
        <w:spacing w:line="360" w:lineRule="auto"/>
        <w:ind w:firstLine="640" w:firstLineChars="200"/>
        <w:contextualSpacing/>
        <w:rPr>
          <w:rFonts w:ascii="仿宋_GB2312" w:hAnsi="仿宋_GB2312" w:eastAsia="仿宋_GB2312" w:cs="仿宋_GB2312"/>
          <w:color w:val="auto"/>
          <w:sz w:val="32"/>
          <w:szCs w:val="32"/>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cs="仿宋_GB2312"/>
          <w:color w:val="auto"/>
          <w:sz w:val="24"/>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4"/>
          <w:highlight w:val="none"/>
        </w:rPr>
      </w:pPr>
    </w:p>
    <w:p>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年月日</w:t>
      </w: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地址：</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姓名：性别：</w:t>
      </w:r>
    </w:p>
    <w:p>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年龄：职务：</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pPr>
        <w:spacing w:line="360" w:lineRule="auto"/>
        <w:ind w:left="540"/>
        <w:contextualSpacing/>
        <w:rPr>
          <w:rFonts w:ascii="宋体" w:hAnsi="宋体" w:cs="仿宋_GB2312"/>
          <w:color w:val="auto"/>
          <w:sz w:val="24"/>
          <w:highlight w:val="none"/>
        </w:rPr>
      </w:pPr>
    </w:p>
    <w:p>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ind w:firstLine="4080" w:firstLineChars="1700"/>
        <w:contextualSpacing/>
        <w:jc w:val="right"/>
        <w:rPr>
          <w:rFonts w:ascii="宋体" w:hAnsi="宋体" w:cs="仿宋_GB2312"/>
          <w:color w:val="auto"/>
          <w:sz w:val="24"/>
          <w:highlight w:val="none"/>
        </w:rPr>
      </w:pPr>
      <w:r>
        <w:rPr>
          <w:rFonts w:hint="eastAsia" w:ascii="宋体" w:hAnsi="宋体" w:cs="仿宋_GB2312"/>
          <w:color w:val="auto"/>
          <w:sz w:val="24"/>
          <w:highlight w:val="none"/>
        </w:rPr>
        <w:t>年月日</w:t>
      </w:r>
    </w:p>
    <w:p>
      <w:pPr>
        <w:spacing w:line="360" w:lineRule="auto"/>
        <w:contextualSpacing/>
        <w:jc w:val="center"/>
        <w:rPr>
          <w:rFonts w:ascii="宋体" w:hAnsi="宋体" w:cs="仿宋_GB2312"/>
          <w:b/>
          <w:color w:val="auto"/>
          <w:sz w:val="24"/>
          <w:highlight w:val="none"/>
        </w:rPr>
      </w:pPr>
    </w:p>
    <w:p>
      <w:pPr>
        <w:spacing w:line="360" w:lineRule="auto"/>
        <w:contextualSpacing/>
        <w:jc w:val="left"/>
        <w:rPr>
          <w:rFonts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pPr>
        <w:adjustRightInd w:val="0"/>
        <w:snapToGrid w:val="0"/>
        <w:spacing w:line="300" w:lineRule="auto"/>
        <w:jc w:val="left"/>
        <w:rPr>
          <w:rFonts w:ascii="宋体" w:hAnsi="宋体"/>
          <w:b/>
          <w:color w:val="auto"/>
          <w:szCs w:val="21"/>
          <w:highlight w:val="none"/>
        </w:rPr>
      </w:pP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pPr>
        <w:spacing w:line="520" w:lineRule="exact"/>
        <w:jc w:val="center"/>
        <w:rPr>
          <w:rFonts w:ascii="方正小标宋简体" w:hAnsi="方正小标宋简体" w:eastAsia="方正小标宋简体" w:cs="方正小标宋简体"/>
          <w:color w:val="auto"/>
          <w:sz w:val="44"/>
          <w:szCs w:val="44"/>
          <w:highlight w:val="none"/>
        </w:rPr>
      </w:pPr>
      <w:bookmarkStart w:id="76" w:name="_Hlk65853643"/>
      <w:r>
        <w:rPr>
          <w:rFonts w:hint="eastAsia" w:ascii="方正小标宋简体" w:hAnsi="方正小标宋简体" w:eastAsia="方正小标宋简体" w:cs="方正小标宋简体"/>
          <w:color w:val="auto"/>
          <w:sz w:val="44"/>
          <w:szCs w:val="44"/>
          <w:highlight w:val="none"/>
        </w:rPr>
        <w:t>授权委托书</w:t>
      </w:r>
    </w:p>
    <w:p>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）：法定代表人（签字或者盖章或者电子签名）：</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委托代理人身份证号码：</w:t>
      </w:r>
    </w:p>
    <w:p>
      <w:pPr>
        <w:spacing w:line="360" w:lineRule="auto"/>
        <w:contextualSpacing/>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年月日</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77" w:name="_Hlk65853109"/>
      <w:bookmarkStart w:id="78" w:name="_Hlk65853542"/>
      <w:r>
        <w:rPr>
          <w:rFonts w:hint="eastAsia" w:ascii="宋体" w:hAnsi="宋体" w:cs="仿宋_GB2312"/>
          <w:color w:val="auto"/>
          <w:sz w:val="24"/>
          <w:highlight w:val="none"/>
        </w:rPr>
        <w:t>法人、其他组织竞标时“我方”是指“我单位”，自然人竞标时“我方”是指“本人”。</w:t>
      </w:r>
      <w:bookmarkEnd w:id="77"/>
    </w:p>
    <w:bookmarkEnd w:id="78"/>
    <w:p>
      <w:pPr>
        <w:spacing w:line="360" w:lineRule="auto"/>
        <w:ind w:firstLine="420" w:firstLineChars="200"/>
        <w:jc w:val="left"/>
        <w:rPr>
          <w:rFonts w:ascii="仿宋_GB2312" w:hAnsi="仿宋_GB2312" w:eastAsia="仿宋_GB2312" w:cs="仿宋_GB2312"/>
          <w:color w:val="auto"/>
          <w:szCs w:val="21"/>
          <w:highlight w:val="none"/>
        </w:rPr>
      </w:pPr>
    </w:p>
    <w:p>
      <w:pP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日期：年月日</w:t>
      </w:r>
    </w:p>
    <w:p>
      <w:pPr>
        <w:spacing w:line="360" w:lineRule="auto"/>
        <w:contextualSpacing/>
        <w:rPr>
          <w:rFonts w:ascii="宋体" w:hAnsi="宋体" w:cs="仿宋_GB2312"/>
          <w:color w:val="auto"/>
          <w:sz w:val="24"/>
          <w:highlight w:val="none"/>
        </w:rPr>
      </w:pPr>
    </w:p>
    <w:p>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日期：年月日</w:t>
      </w: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76"/>
    <w:p>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pPr>
        <w:spacing w:line="360" w:lineRule="auto"/>
        <w:contextualSpacing/>
        <w:jc w:val="left"/>
        <w:rPr>
          <w:rFonts w:ascii="宋体" w:hAnsi="宋体"/>
          <w:color w:val="auto"/>
          <w:sz w:val="24"/>
          <w:highlight w:val="none"/>
        </w:rPr>
      </w:pPr>
    </w:p>
    <w:p>
      <w:pPr>
        <w:pStyle w:val="21"/>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p>
    <w:p>
      <w:pPr>
        <w:spacing w:line="360" w:lineRule="auto"/>
        <w:contextualSpacing/>
        <w:jc w:val="left"/>
        <w:rPr>
          <w:rFonts w:ascii="宋体" w:hAnsi="宋体" w:cs="仿宋_GB2312"/>
          <w:color w:val="auto"/>
          <w:sz w:val="24"/>
          <w:highlight w:val="none"/>
          <w:u w:val="single"/>
        </w:rPr>
      </w:pPr>
    </w:p>
    <w:tbl>
      <w:tblPr>
        <w:tblStyle w:val="3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9"/>
        <w:gridCol w:w="1089"/>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序号</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r>
    </w:tbl>
    <w:p>
      <w:pPr>
        <w:pStyle w:val="17"/>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pPr>
        <w:pStyle w:val="17"/>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说明：应对照磋商文件“第三章采购需求”中的商务</w:t>
      </w:r>
      <w:r>
        <w:rPr>
          <w:rFonts w:hint="eastAsia" w:ascii="宋体" w:hAnsi="宋体"/>
          <w:color w:val="auto"/>
          <w:kern w:val="0"/>
          <w:sz w:val="24"/>
          <w:szCs w:val="24"/>
          <w:highlight w:val="none"/>
          <w:lang w:val="en-US" w:eastAsia="zh-CN"/>
        </w:rPr>
        <w:t>条款</w:t>
      </w:r>
      <w:r>
        <w:rPr>
          <w:rFonts w:hint="eastAsia" w:ascii="宋体" w:hAnsi="宋体"/>
          <w:color w:val="auto"/>
          <w:kern w:val="0"/>
          <w:sz w:val="24"/>
          <w:szCs w:val="24"/>
          <w:highlight w:val="none"/>
        </w:rPr>
        <w:t>逐条作出明确响应，并作出偏离说明。</w:t>
      </w:r>
    </w:p>
    <w:p>
      <w:pPr>
        <w:spacing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ind w:right="-817" w:rightChars="-389" w:firstLine="4080" w:firstLineChars="17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日期：年月日</w:t>
      </w: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rPr>
          <w:rFonts w:ascii="宋体" w:hAnsi="宋体"/>
          <w:color w:val="auto"/>
          <w:szCs w:val="21"/>
          <w:highlight w:val="none"/>
          <w:u w:val="single"/>
        </w:rPr>
      </w:pPr>
    </w:p>
    <w:p>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pPr>
        <w:spacing w:line="520" w:lineRule="exact"/>
        <w:rPr>
          <w:rFonts w:ascii="仿宋_GB2312" w:hAnsi="仿宋_GB2312" w:eastAsia="仿宋_GB2312" w:cs="仿宋_GB2312"/>
          <w:color w:val="auto"/>
          <w:sz w:val="32"/>
          <w:szCs w:val="32"/>
          <w:highlight w:val="none"/>
        </w:rPr>
      </w:pP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32"/>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bookmarkStart w:id="79" w:name="_Toc383699906"/>
            <w:bookmarkStart w:id="80" w:name="_Toc297193185"/>
            <w:bookmarkStart w:id="81" w:name="_Toc254970729"/>
            <w:bookmarkStart w:id="82" w:name="_Toc373333689"/>
            <w:bookmarkStart w:id="83" w:name="_Toc254970588"/>
            <w:bookmarkStart w:id="84" w:name="_Toc173066401"/>
            <w:bookmarkStart w:id="85" w:name="_Toc295404981"/>
            <w:bookmarkStart w:id="86" w:name="_Toc173211900"/>
            <w:bookmarkStart w:id="87" w:name="_Toc301781611"/>
            <w:r>
              <w:rPr>
                <w:rFonts w:hint="eastAsia" w:ascii="宋体" w:hAnsi="宋体" w:eastAsia="宋体" w:cs="仿宋_GB2312"/>
                <w:color w:val="auto"/>
                <w:kern w:val="2"/>
                <w:sz w:val="24"/>
                <w:szCs w:val="24"/>
                <w:highlight w:val="none"/>
              </w:rPr>
              <w:t>序号</w:t>
            </w:r>
            <w:bookmarkEnd w:id="79"/>
            <w:bookmarkEnd w:id="80"/>
            <w:bookmarkEnd w:id="81"/>
            <w:bookmarkEnd w:id="82"/>
            <w:bookmarkEnd w:id="83"/>
            <w:bookmarkEnd w:id="84"/>
            <w:bookmarkEnd w:id="85"/>
            <w:bookmarkEnd w:id="86"/>
            <w:bookmarkEnd w:id="87"/>
          </w:p>
        </w:tc>
        <w:tc>
          <w:tcPr>
            <w:tcW w:w="915"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bookmarkStart w:id="88" w:name="_Toc295404983"/>
            <w:bookmarkStart w:id="89" w:name="_Toc254970590"/>
            <w:bookmarkStart w:id="90" w:name="_Toc173066403"/>
            <w:bookmarkStart w:id="91" w:name="_Toc373333691"/>
            <w:bookmarkStart w:id="92" w:name="_Toc254970731"/>
            <w:bookmarkStart w:id="93" w:name="_Toc383699908"/>
            <w:bookmarkStart w:id="94" w:name="_Toc173211902"/>
            <w:bookmarkStart w:id="95" w:name="_Toc301781613"/>
            <w:bookmarkStart w:id="96" w:name="_Toc297193187"/>
            <w:r>
              <w:rPr>
                <w:rFonts w:hint="eastAsia" w:ascii="宋体" w:hAnsi="宋体" w:eastAsia="宋体" w:cs="仿宋_GB2312"/>
                <w:color w:val="auto"/>
                <w:kern w:val="2"/>
                <w:sz w:val="24"/>
                <w:szCs w:val="24"/>
                <w:highlight w:val="none"/>
              </w:rPr>
              <w:t>竞标响应</w:t>
            </w:r>
            <w:bookmarkEnd w:id="88"/>
            <w:bookmarkEnd w:id="89"/>
            <w:bookmarkEnd w:id="90"/>
            <w:bookmarkEnd w:id="91"/>
            <w:bookmarkEnd w:id="92"/>
            <w:bookmarkEnd w:id="93"/>
            <w:bookmarkEnd w:id="94"/>
            <w:bookmarkEnd w:id="95"/>
            <w:bookmarkEnd w:id="96"/>
          </w:p>
        </w:tc>
        <w:tc>
          <w:tcPr>
            <w:tcW w:w="1492"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bookmarkStart w:id="97" w:name="_Toc173211903"/>
            <w:bookmarkStart w:id="98" w:name="_Toc383699909"/>
            <w:bookmarkStart w:id="99" w:name="_Toc254970591"/>
            <w:bookmarkStart w:id="100" w:name="_Toc295404984"/>
            <w:bookmarkStart w:id="101" w:name="_Toc254970732"/>
            <w:bookmarkStart w:id="102" w:name="_Toc373333692"/>
            <w:bookmarkStart w:id="103" w:name="_Toc301781614"/>
            <w:bookmarkStart w:id="104" w:name="_Toc297193188"/>
            <w:bookmarkStart w:id="105" w:name="_Toc173066404"/>
            <w:r>
              <w:rPr>
                <w:rFonts w:hint="eastAsia" w:ascii="宋体" w:hAnsi="宋体" w:eastAsia="宋体" w:cs="仿宋_GB2312"/>
                <w:color w:val="auto"/>
                <w:kern w:val="2"/>
                <w:sz w:val="24"/>
                <w:szCs w:val="24"/>
                <w:highlight w:val="none"/>
              </w:rPr>
              <w:t>偏离</w:t>
            </w:r>
            <w:bookmarkEnd w:id="97"/>
            <w:bookmarkEnd w:id="98"/>
            <w:bookmarkEnd w:id="99"/>
            <w:bookmarkEnd w:id="100"/>
            <w:bookmarkEnd w:id="101"/>
            <w:bookmarkEnd w:id="102"/>
            <w:bookmarkEnd w:id="103"/>
            <w:bookmarkEnd w:id="104"/>
            <w:bookmarkEnd w:id="105"/>
            <w:bookmarkStart w:id="106" w:name="_Toc173066405"/>
            <w:bookmarkStart w:id="107" w:name="_Toc173211904"/>
            <w:bookmarkStart w:id="108" w:name="_Toc383699910"/>
            <w:bookmarkStart w:id="109" w:name="_Toc297193189"/>
            <w:bookmarkStart w:id="110" w:name="_Toc373333693"/>
            <w:bookmarkStart w:id="111" w:name="_Toc254970592"/>
            <w:bookmarkStart w:id="112" w:name="_Toc295404985"/>
            <w:bookmarkStart w:id="113" w:name="_Toc301781615"/>
            <w:bookmarkStart w:id="114" w:name="_Toc254970733"/>
            <w:r>
              <w:rPr>
                <w:rFonts w:hint="eastAsia" w:ascii="宋体" w:hAnsi="宋体" w:eastAsia="宋体" w:cs="仿宋_GB2312"/>
                <w:color w:val="auto"/>
                <w:kern w:val="2"/>
                <w:sz w:val="24"/>
                <w:szCs w:val="24"/>
                <w:highlight w:val="none"/>
              </w:rPr>
              <w:t>说明</w:t>
            </w:r>
            <w:bookmarkEnd w:id="106"/>
            <w:bookmarkEnd w:id="107"/>
            <w:bookmarkEnd w:id="108"/>
            <w:bookmarkEnd w:id="109"/>
            <w:bookmarkEnd w:id="110"/>
            <w:bookmarkEnd w:id="111"/>
            <w:bookmarkEnd w:id="112"/>
            <w:bookmarkEnd w:id="113"/>
            <w:bookmarkEnd w:id="114"/>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bookmarkStart w:id="115" w:name="_Toc301781621"/>
            <w:bookmarkStart w:id="116" w:name="_Toc254970602"/>
            <w:bookmarkStart w:id="117" w:name="_Toc373333699"/>
            <w:bookmarkStart w:id="118" w:name="_Toc383699916"/>
            <w:bookmarkStart w:id="119" w:name="_Toc173066415"/>
            <w:bookmarkStart w:id="120" w:name="_Toc297193195"/>
            <w:bookmarkStart w:id="121" w:name="_Toc295404991"/>
            <w:bookmarkStart w:id="122" w:name="_Toc173211914"/>
            <w:bookmarkStart w:id="123" w:name="_Toc254970743"/>
            <w:r>
              <w:rPr>
                <w:rFonts w:hint="eastAsia" w:ascii="宋体" w:hAnsi="宋体" w:eastAsia="宋体" w:cs="仿宋_GB2312"/>
                <w:color w:val="auto"/>
                <w:kern w:val="2"/>
                <w:sz w:val="24"/>
                <w:szCs w:val="24"/>
                <w:highlight w:val="none"/>
              </w:rPr>
              <w:t>…</w:t>
            </w:r>
            <w:bookmarkEnd w:id="115"/>
            <w:bookmarkEnd w:id="116"/>
            <w:bookmarkEnd w:id="117"/>
            <w:bookmarkEnd w:id="118"/>
            <w:bookmarkEnd w:id="119"/>
            <w:bookmarkEnd w:id="120"/>
            <w:bookmarkEnd w:id="121"/>
            <w:bookmarkEnd w:id="122"/>
            <w:bookmarkEnd w:id="123"/>
          </w:p>
        </w:tc>
        <w:tc>
          <w:tcPr>
            <w:tcW w:w="915"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tcBorders>
              <w:right w:val="single" w:color="auto" w:sz="4" w:space="0"/>
            </w:tcBorders>
            <w:vAlign w:val="center"/>
          </w:tcPr>
          <w:p>
            <w:pPr>
              <w:pStyle w:val="3"/>
              <w:spacing w:line="360" w:lineRule="auto"/>
              <w:ind w:firstLine="0" w:firstLineChars="0"/>
              <w:contextualSpacing/>
              <w:jc w:val="center"/>
              <w:rPr>
                <w:rFonts w:ascii="宋体" w:hAnsi="宋体" w:eastAsia="宋体" w:cs="仿宋_GB2312"/>
                <w:color w:val="auto"/>
                <w:kern w:val="2"/>
                <w:sz w:val="24"/>
                <w:szCs w:val="24"/>
                <w:highlight w:val="none"/>
              </w:rPr>
            </w:pPr>
          </w:p>
        </w:tc>
      </w:tr>
    </w:tbl>
    <w:p>
      <w:pPr>
        <w:adjustRightInd w:val="0"/>
        <w:spacing w:line="360" w:lineRule="auto"/>
        <w:contextualSpacing/>
        <w:rPr>
          <w:rFonts w:ascii="宋体" w:hAnsi="宋体" w:cs="仿宋_GB2312"/>
          <w:color w:val="auto"/>
          <w:sz w:val="24"/>
          <w:highlight w:val="none"/>
        </w:rPr>
      </w:pPr>
    </w:p>
    <w:p>
      <w:pPr>
        <w:pStyle w:val="3"/>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3"/>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说明：应对照磋商文件“第三章采购需求”中的技术要求逐条作出明确响应，并作出偏离说明。</w:t>
      </w:r>
    </w:p>
    <w:p>
      <w:pPr>
        <w:pStyle w:val="3"/>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日期：年月日</w:t>
      </w:r>
    </w:p>
    <w:p>
      <w:pPr>
        <w:snapToGrid w:val="0"/>
        <w:spacing w:before="156"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pPr>
        <w:snapToGrid w:val="0"/>
        <w:spacing w:before="156" w:beforeLines="50" w:after="50"/>
        <w:ind w:left="142"/>
        <w:jc w:val="left"/>
        <w:rPr>
          <w:rFonts w:ascii="宋体" w:hAnsi="宋体"/>
          <w:b/>
          <w:color w:val="auto"/>
          <w:sz w:val="24"/>
          <w:highlight w:val="none"/>
        </w:rPr>
      </w:pPr>
    </w:p>
    <w:p>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pPr>
        <w:pStyle w:val="21"/>
        <w:spacing w:line="360" w:lineRule="auto"/>
        <w:contextualSpacing/>
        <w:rPr>
          <w:color w:val="auto"/>
          <w:sz w:val="24"/>
          <w:szCs w:val="24"/>
          <w:highlight w:val="none"/>
        </w:rPr>
      </w:pPr>
      <w:r>
        <w:rPr>
          <w:rFonts w:hint="eastAsia"/>
          <w:color w:val="auto"/>
          <w:sz w:val="24"/>
          <w:szCs w:val="24"/>
          <w:highlight w:val="none"/>
        </w:rPr>
        <w:t xml:space="preserve">所竞分标： </w:t>
      </w:r>
      <w:r>
        <w:rPr>
          <w:color w:val="auto"/>
          <w:sz w:val="24"/>
          <w:szCs w:val="24"/>
          <w:highlight w:val="none"/>
        </w:rPr>
        <w:t xml:space="preserve">  </w:t>
      </w:r>
      <w:r>
        <w:rPr>
          <w:rFonts w:hint="eastAsia"/>
          <w:color w:val="auto"/>
          <w:sz w:val="24"/>
          <w:szCs w:val="24"/>
          <w:highlight w:val="none"/>
        </w:rPr>
        <w:t>分标</w:t>
      </w:r>
    </w:p>
    <w:tbl>
      <w:tblPr>
        <w:tblStyle w:val="3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bl>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供应商（电子签章）：日期：</w:t>
      </w:r>
    </w:p>
    <w:p>
      <w:pPr>
        <w:snapToGrid w:val="0"/>
        <w:spacing w:before="50" w:after="156" w:afterLines="50"/>
        <w:jc w:val="left"/>
        <w:rPr>
          <w:rFonts w:ascii="宋体" w:hAnsi="宋体"/>
          <w:color w:val="auto"/>
          <w:sz w:val="24"/>
          <w:szCs w:val="20"/>
          <w:highlight w:val="none"/>
        </w:rPr>
      </w:pPr>
    </w:p>
    <w:p>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pPr>
        <w:spacing w:line="360" w:lineRule="auto"/>
        <w:jc w:val="center"/>
        <w:rPr>
          <w:rFonts w:ascii="宋体" w:hAnsi="宋体" w:cs="仿宋_GB2312"/>
          <w:color w:val="auto"/>
          <w:sz w:val="24"/>
          <w:highlight w:val="none"/>
        </w:rPr>
      </w:pPr>
    </w:p>
    <w:p>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pPr>
        <w:pStyle w:val="21"/>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21"/>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pPr>
        <w:pStyle w:val="21"/>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21"/>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pPr>
        <w:pStyle w:val="21"/>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pPr>
        <w:pStyle w:val="21"/>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pPr>
        <w:pStyle w:val="21"/>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21"/>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pPr>
        <w:pStyle w:val="21"/>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□采购文件采购文件获取日期：</w:t>
      </w:r>
    </w:p>
    <w:p>
      <w:pPr>
        <w:pStyle w:val="21"/>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□采购过程</w:t>
      </w:r>
    </w:p>
    <w:p>
      <w:pPr>
        <w:pStyle w:val="21"/>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□成交结果</w:t>
      </w:r>
    </w:p>
    <w:p>
      <w:pPr>
        <w:pStyle w:val="21"/>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pPr>
        <w:pStyle w:val="21"/>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pPr>
        <w:pStyle w:val="21"/>
        <w:spacing w:line="360" w:lineRule="auto"/>
        <w:ind w:left="25" w:leftChars="12" w:firstLine="352" w:firstLineChars="147"/>
        <w:contextualSpacing/>
        <w:rPr>
          <w:rFonts w:hAnsi="宋体"/>
          <w:color w:val="auto"/>
          <w:sz w:val="24"/>
          <w:szCs w:val="24"/>
          <w:highlight w:val="none"/>
        </w:rPr>
      </w:pPr>
    </w:p>
    <w:p>
      <w:pPr>
        <w:pStyle w:val="21"/>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签字（签章）：公章：</w:t>
      </w:r>
    </w:p>
    <w:p>
      <w:pPr>
        <w:pStyle w:val="21"/>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pPr>
        <w:pStyle w:val="21"/>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pPr>
        <w:pStyle w:val="21"/>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21"/>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1"/>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21"/>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pPr>
        <w:pStyle w:val="21"/>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pStyle w:val="21"/>
        <w:snapToGrid w:val="0"/>
        <w:rPr>
          <w:b/>
          <w:color w:val="auto"/>
          <w:sz w:val="24"/>
          <w:szCs w:val="24"/>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pStyle w:val="41"/>
        <w:ind w:firstLine="480"/>
        <w:rPr>
          <w:color w:val="auto"/>
          <w:highlight w:val="none"/>
        </w:rPr>
      </w:pPr>
    </w:p>
    <w:p>
      <w:pPr>
        <w:rPr>
          <w:color w:val="auto"/>
          <w:highlight w:val="none"/>
        </w:rPr>
      </w:pPr>
    </w:p>
    <w:p>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pPr>
        <w:pStyle w:val="21"/>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pPr>
        <w:pStyle w:val="2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pPr>
        <w:pStyle w:val="2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2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pPr>
        <w:pStyle w:val="2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pPr>
        <w:pStyle w:val="2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pPr>
        <w:pStyle w:val="21"/>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pPr>
        <w:pStyle w:val="2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pPr>
        <w:pStyle w:val="21"/>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pPr>
        <w:pStyle w:val="2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pPr>
        <w:pStyle w:val="2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pPr>
        <w:pStyle w:val="2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pPr>
        <w:pStyle w:val="21"/>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pPr>
        <w:pStyle w:val="21"/>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pPr>
        <w:pStyle w:val="21"/>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pPr>
        <w:pStyle w:val="21"/>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21"/>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pPr>
        <w:pStyle w:val="21"/>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pPr>
        <w:pStyle w:val="21"/>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pPr>
        <w:pStyle w:val="21"/>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pPr>
        <w:pStyle w:val="21"/>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pPr>
        <w:pStyle w:val="21"/>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pPr>
        <w:pStyle w:val="21"/>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pPr>
        <w:pStyle w:val="21"/>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pPr>
        <w:pStyle w:val="21"/>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pPr>
        <w:pStyle w:val="21"/>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pPr>
        <w:pStyle w:val="21"/>
        <w:spacing w:line="360" w:lineRule="auto"/>
        <w:ind w:firstLine="241"/>
        <w:rPr>
          <w:rFonts w:hAnsi="宋体"/>
          <w:bCs/>
          <w:color w:val="auto"/>
          <w:sz w:val="24"/>
          <w:szCs w:val="24"/>
          <w:highlight w:val="none"/>
          <w:u w:val="single"/>
        </w:rPr>
      </w:pPr>
    </w:p>
    <w:p>
      <w:pPr>
        <w:pStyle w:val="21"/>
        <w:spacing w:line="360" w:lineRule="auto"/>
        <w:ind w:firstLine="241"/>
        <w:rPr>
          <w:rFonts w:hAnsi="宋体"/>
          <w:bCs/>
          <w:color w:val="auto"/>
          <w:sz w:val="24"/>
          <w:szCs w:val="24"/>
          <w:highlight w:val="none"/>
          <w:u w:val="single"/>
        </w:rPr>
      </w:pPr>
    </w:p>
    <w:p>
      <w:pPr>
        <w:pStyle w:val="21"/>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就质疑事项作出了答复/没有在法定期限内作出答复。</w:t>
      </w:r>
    </w:p>
    <w:p>
      <w:pPr>
        <w:pStyle w:val="21"/>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pPr>
        <w:pStyle w:val="21"/>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pPr>
        <w:pStyle w:val="21"/>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pPr>
        <w:pStyle w:val="21"/>
        <w:spacing w:line="360" w:lineRule="auto"/>
        <w:ind w:left="25" w:leftChars="12" w:firstLine="472" w:firstLineChars="197"/>
        <w:rPr>
          <w:rFonts w:hAnsi="宋体"/>
          <w:color w:val="auto"/>
          <w:sz w:val="24"/>
          <w:szCs w:val="24"/>
          <w:highlight w:val="none"/>
        </w:rPr>
      </w:pPr>
    </w:p>
    <w:p>
      <w:pPr>
        <w:pStyle w:val="21"/>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pPr>
        <w:pStyle w:val="21"/>
        <w:spacing w:line="360" w:lineRule="auto"/>
        <w:ind w:left="25" w:leftChars="12" w:firstLine="352" w:firstLineChars="147"/>
        <w:rPr>
          <w:rFonts w:hAnsi="宋体"/>
          <w:bCs/>
          <w:color w:val="auto"/>
          <w:sz w:val="24"/>
          <w:szCs w:val="24"/>
          <w:highlight w:val="none"/>
          <w:u w:val="single"/>
        </w:rPr>
      </w:pPr>
    </w:p>
    <w:p>
      <w:pPr>
        <w:pStyle w:val="21"/>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pPr>
        <w:pStyle w:val="21"/>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pPr>
        <w:pStyle w:val="21"/>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pPr>
        <w:pStyle w:val="21"/>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pPr>
        <w:pStyle w:val="21"/>
        <w:spacing w:line="360" w:lineRule="auto"/>
        <w:ind w:left="25" w:leftChars="12" w:firstLine="352" w:firstLineChars="147"/>
        <w:rPr>
          <w:rFonts w:hAnsi="宋体"/>
          <w:color w:val="auto"/>
          <w:sz w:val="24"/>
          <w:szCs w:val="24"/>
          <w:highlight w:val="none"/>
        </w:rPr>
      </w:pPr>
    </w:p>
    <w:p>
      <w:pPr>
        <w:pStyle w:val="21"/>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签字（签章）：公章：</w:t>
      </w:r>
    </w:p>
    <w:p>
      <w:pPr>
        <w:pStyle w:val="21"/>
        <w:spacing w:line="360" w:lineRule="auto"/>
        <w:ind w:left="25" w:leftChars="12" w:firstLine="352" w:firstLineChars="147"/>
        <w:rPr>
          <w:rFonts w:hAnsi="宋体"/>
          <w:color w:val="auto"/>
          <w:sz w:val="24"/>
          <w:szCs w:val="24"/>
          <w:highlight w:val="none"/>
        </w:rPr>
      </w:pPr>
    </w:p>
    <w:p>
      <w:pPr>
        <w:pStyle w:val="21"/>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pPr>
        <w:pStyle w:val="21"/>
        <w:spacing w:line="360" w:lineRule="auto"/>
        <w:ind w:left="25" w:leftChars="12" w:firstLine="475" w:firstLineChars="197"/>
        <w:rPr>
          <w:rFonts w:hAnsi="宋体"/>
          <w:b/>
          <w:color w:val="auto"/>
          <w:sz w:val="24"/>
          <w:szCs w:val="24"/>
          <w:highlight w:val="none"/>
        </w:rPr>
      </w:pPr>
    </w:p>
    <w:p>
      <w:pPr>
        <w:pStyle w:val="21"/>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pPr>
        <w:pStyle w:val="21"/>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pPr>
        <w:pStyle w:val="2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pPr>
        <w:pStyle w:val="2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pPr>
        <w:pStyle w:val="21"/>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pPr>
        <w:pStyle w:val="21"/>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pPr>
        <w:pStyle w:val="4"/>
        <w:jc w:val="center"/>
        <w:rPr>
          <w:color w:val="auto"/>
          <w:highlight w:val="none"/>
        </w:rPr>
      </w:pPr>
      <w:bookmarkStart w:id="124" w:name="_Toc151675541"/>
      <w:r>
        <w:rPr>
          <w:rFonts w:hint="eastAsia"/>
          <w:color w:val="auto"/>
          <w:highlight w:val="none"/>
        </w:rPr>
        <w:t xml:space="preserve">第六章 </w:t>
      </w:r>
      <w:r>
        <w:rPr>
          <w:color w:val="auto"/>
          <w:highlight w:val="none"/>
        </w:rPr>
        <w:t xml:space="preserve"> </w:t>
      </w:r>
      <w:r>
        <w:rPr>
          <w:rFonts w:hint="eastAsia"/>
          <w:color w:val="auto"/>
          <w:highlight w:val="none"/>
        </w:rPr>
        <w:t>合同文本</w:t>
      </w:r>
      <w:bookmarkEnd w:id="124"/>
    </w:p>
    <w:p>
      <w:pPr>
        <w:spacing w:line="520" w:lineRule="exact"/>
        <w:rPr>
          <w:rFonts w:ascii="宋体" w:hAnsi="宋体" w:cs="Courier New"/>
          <w:b/>
          <w:color w:val="auto"/>
          <w:sz w:val="32"/>
          <w:szCs w:val="32"/>
          <w:highlight w:val="none"/>
        </w:rPr>
      </w:pPr>
    </w:p>
    <w:p>
      <w:pPr>
        <w:snapToGrid w:val="0"/>
        <w:spacing w:line="400" w:lineRule="exact"/>
        <w:jc w:val="center"/>
        <w:rPr>
          <w:rFonts w:cs="宋体"/>
          <w:b/>
          <w:bCs/>
          <w:color w:val="auto"/>
          <w:sz w:val="32"/>
          <w:szCs w:val="32"/>
          <w:highlight w:val="none"/>
        </w:rPr>
      </w:pPr>
      <w:r>
        <w:rPr>
          <w:rFonts w:hint="eastAsia" w:cs="宋体"/>
          <w:b/>
          <w:bCs/>
          <w:color w:val="auto"/>
          <w:sz w:val="32"/>
          <w:szCs w:val="32"/>
          <w:highlight w:val="none"/>
        </w:rPr>
        <w:t>《广西壮族自治区政府采购合同》</w:t>
      </w:r>
    </w:p>
    <w:p>
      <w:pPr>
        <w:spacing w:line="520" w:lineRule="exact"/>
        <w:rPr>
          <w:rFonts w:ascii="宋体" w:hAnsi="宋体" w:cs="Courier New"/>
          <w:b/>
          <w:color w:val="auto"/>
          <w:sz w:val="32"/>
          <w:szCs w:val="32"/>
          <w:highlight w:val="none"/>
        </w:rPr>
      </w:pPr>
    </w:p>
    <w:p>
      <w:pPr>
        <w:snapToGrid w:val="0"/>
        <w:spacing w:line="360" w:lineRule="exact"/>
        <w:ind w:right="48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合同编号：                                           </w:t>
      </w:r>
    </w:p>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20"/>
          <w:sz w:val="24"/>
          <w:szCs w:val="24"/>
          <w:highlight w:val="none"/>
        </w:rPr>
        <w:t>采购计划号</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pacing w:val="-20"/>
          <w:sz w:val="24"/>
          <w:szCs w:val="24"/>
          <w:highlight w:val="none"/>
        </w:rPr>
        <w:t>编号</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pPr>
        <w:snapToGrid w:val="0"/>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月  日 </w:t>
      </w:r>
    </w:p>
    <w:p>
      <w:pPr>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根据《中华人民共和国政府采购法》、《政府采购货物和服务招标投标管理办法》、《中华人民共和国民法典》等法律、法规规定，按照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规定和乙方投标文件及其承诺，甲乙双方签订本合同。</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1.服务内容一览表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2"/>
        <w:gridCol w:w="2508"/>
        <w:gridCol w:w="850"/>
        <w:gridCol w:w="759"/>
        <w:gridCol w:w="127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636" w:type="dxa"/>
            <w:noWrap w:val="0"/>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32" w:type="dxa"/>
            <w:noWrap w:val="0"/>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名称</w:t>
            </w:r>
          </w:p>
        </w:tc>
        <w:tc>
          <w:tcPr>
            <w:tcW w:w="2508" w:type="dxa"/>
            <w:noWrap w:val="0"/>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w:t>
            </w:r>
          </w:p>
        </w:tc>
        <w:tc>
          <w:tcPr>
            <w:tcW w:w="850" w:type="dxa"/>
            <w:noWrap w:val="0"/>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759" w:type="dxa"/>
            <w:noWrap w:val="0"/>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1276" w:type="dxa"/>
            <w:noWrap w:val="0"/>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单价（元）</w:t>
            </w:r>
          </w:p>
        </w:tc>
        <w:tc>
          <w:tcPr>
            <w:tcW w:w="1296" w:type="dxa"/>
            <w:noWrap w:val="0"/>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36" w:type="dxa"/>
            <w:noWrap w:val="0"/>
            <w:vAlign w:val="center"/>
          </w:tcPr>
          <w:p>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2"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2508"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850"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759"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1276"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1296"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36" w:type="dxa"/>
            <w:noWrap w:val="0"/>
            <w:vAlign w:val="center"/>
          </w:tcPr>
          <w:p>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32"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2508"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850"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759"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1276"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c>
          <w:tcPr>
            <w:tcW w:w="1296" w:type="dxa"/>
            <w:noWrap w:val="0"/>
            <w:vAlign w:val="center"/>
          </w:tcPr>
          <w:p>
            <w:pPr>
              <w:snapToGrid w:val="0"/>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57" w:type="dxa"/>
            <w:gridSpan w:val="7"/>
            <w:noWrap w:val="0"/>
            <w:vAlign w:val="center"/>
          </w:tcPr>
          <w:p>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人民币合计金额（大写）                          （小写）            </w:t>
            </w:r>
          </w:p>
        </w:tc>
      </w:tr>
    </w:tbl>
    <w:p>
      <w:pPr>
        <w:pStyle w:val="21"/>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.合同合计金额包括</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、备件、</w:t>
      </w:r>
      <w:r>
        <w:rPr>
          <w:rFonts w:hint="eastAsia" w:ascii="宋体" w:hAnsi="宋体" w:eastAsia="宋体" w:cs="宋体"/>
          <w:color w:val="auto"/>
          <w:sz w:val="24"/>
          <w:szCs w:val="24"/>
          <w:highlight w:val="none"/>
          <w:lang w:eastAsia="zh-CN"/>
        </w:rPr>
        <w:t>专用工具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安装调试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检验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技术培训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技术资料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包装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税金</w:t>
      </w:r>
      <w:r>
        <w:rPr>
          <w:rFonts w:hint="eastAsia" w:ascii="宋体" w:hAnsi="宋体" w:eastAsia="宋体" w:cs="宋体"/>
          <w:color w:val="auto"/>
          <w:sz w:val="24"/>
          <w:szCs w:val="24"/>
          <w:highlight w:val="none"/>
        </w:rPr>
        <w:t>等类似服务内容的全部费用。如</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对其另有规定的，从其规定。</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质量保证</w:t>
      </w:r>
    </w:p>
    <w:p>
      <w:pPr>
        <w:pStyle w:val="21"/>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乙方所提供的</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必须与采购文件、投标（响应）文件及其承诺相一致且符合相应的服务规范及标准。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2.乙方提供不符合采购文件、投标（响应）文件及其承诺和本合同规定的服务内容，甲方有权拒绝接受。</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pPr>
        <w:pStyle w:val="21"/>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乙方应保证所提供</w:t>
      </w:r>
      <w:r>
        <w:rPr>
          <w:rFonts w:hint="eastAsia" w:ascii="宋体" w:hAnsi="宋体" w:eastAsia="宋体" w:cs="宋体"/>
          <w:color w:val="auto"/>
          <w:sz w:val="24"/>
          <w:szCs w:val="24"/>
          <w:highlight w:val="none"/>
          <w:lang w:val="en-US" w:eastAsia="zh-CN"/>
        </w:rPr>
        <w:t>的服务</w:t>
      </w:r>
      <w:r>
        <w:rPr>
          <w:rFonts w:hint="eastAsia" w:ascii="宋体" w:hAnsi="宋体" w:eastAsia="宋体" w:cs="宋体"/>
          <w:color w:val="auto"/>
          <w:sz w:val="24"/>
          <w:szCs w:val="24"/>
          <w:highlight w:val="none"/>
        </w:rPr>
        <w:t>在使用时不会侵犯任何第三方的专利权、商标权、工业设计权或其他权利。</w:t>
      </w:r>
    </w:p>
    <w:p>
      <w:pPr>
        <w:pStyle w:val="21"/>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乙方应按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文件规定的时间向甲方提供</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的有关技术资料。</w:t>
      </w:r>
    </w:p>
    <w:p>
      <w:pPr>
        <w:pStyle w:val="21"/>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pPr>
        <w:pStyle w:val="21"/>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如采购项目涉及采购标的的知识产权归属的，产权归属为：</w:t>
      </w:r>
      <w:r>
        <w:rPr>
          <w:rFonts w:hint="eastAsia" w:ascii="宋体" w:hAnsi="宋体" w:eastAsia="宋体" w:cs="宋体"/>
          <w:color w:val="auto"/>
          <w:sz w:val="24"/>
          <w:szCs w:val="24"/>
          <w:highlight w:val="none"/>
          <w:u w:val="single"/>
        </w:rPr>
        <w:t>甲方所有</w:t>
      </w:r>
      <w:r>
        <w:rPr>
          <w:rFonts w:hint="eastAsia" w:ascii="宋体" w:hAnsi="宋体" w:eastAsia="宋体" w:cs="宋体"/>
          <w:color w:val="auto"/>
          <w:sz w:val="24"/>
          <w:szCs w:val="24"/>
          <w:highlight w:val="none"/>
          <w:u w:val="none"/>
        </w:rPr>
        <w:t>。</w:t>
      </w:r>
    </w:p>
    <w:p>
      <w:pPr>
        <w:pStyle w:val="21"/>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如果甲方在使用乙方提供的服务时，受到第三方提出的侵犯其知识产权的起诉，给甲方造成经济损失的，乙方应当赔偿甲方的经济损失。</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b/>
          <w:color w:val="auto"/>
          <w:sz w:val="24"/>
          <w:szCs w:val="24"/>
          <w:highlight w:val="none"/>
          <w:lang w:val="en-US" w:eastAsia="zh-CN"/>
        </w:rPr>
        <w:t>服务期限、服务内容</w:t>
      </w:r>
      <w:r>
        <w:rPr>
          <w:rFonts w:hint="eastAsia" w:ascii="宋体" w:hAnsi="宋体" w:eastAsia="宋体" w:cs="宋体"/>
          <w:b/>
          <w:color w:val="auto"/>
          <w:sz w:val="24"/>
          <w:szCs w:val="24"/>
          <w:highlight w:val="none"/>
        </w:rPr>
        <w:t>和验收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 xml:space="preserve">服务期限： </w:t>
      </w:r>
      <w:r>
        <w:rPr>
          <w:rFonts w:hint="eastAsia" w:ascii="宋体" w:hAnsi="宋体" w:eastAsia="宋体" w:cs="宋体"/>
          <w:b w:val="0"/>
          <w:bCs/>
          <w:color w:val="auto"/>
          <w:sz w:val="24"/>
          <w:szCs w:val="24"/>
          <w:highlight w:val="none"/>
          <w:u w:val="single"/>
        </w:rPr>
        <w:t xml:space="preserve">         起至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服务</w:t>
      </w:r>
      <w:r>
        <w:rPr>
          <w:rFonts w:hint="eastAsia" w:ascii="宋体" w:hAnsi="宋体" w:eastAsia="宋体" w:cs="宋体"/>
          <w:b w:val="0"/>
          <w:bCs/>
          <w:color w:val="auto"/>
          <w:sz w:val="24"/>
          <w:szCs w:val="24"/>
          <w:highlight w:val="none"/>
        </w:rPr>
        <w:t xml:space="preserve">地点：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乙方应按</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文件的承诺向甲方提供相应的服务，并提供所服务内容的相关技术资料。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乙方提供不符合</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文件和本合同规定的服务成果，甲方有权拒绝接受。</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乙方完成服务后应及时书面通知甲方进行验收，验收合格后由甲乙双方签署验收单并加盖采购人公章，甲乙双方各执一份。</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甲乙双方应按照《广西壮族自治区政府采购项目履约验收管理办法》、</w:t>
      </w:r>
      <w:r>
        <w:rPr>
          <w:rFonts w:hint="eastAsia" w:ascii="宋体" w:hAnsi="宋体" w:eastAsia="宋体" w:cs="宋体"/>
          <w:b w:val="0"/>
          <w:bCs/>
          <w:color w:val="auto"/>
          <w:sz w:val="24"/>
          <w:szCs w:val="24"/>
          <w:highlight w:val="none"/>
          <w:lang w:val="en-US" w:eastAsia="zh-CN"/>
        </w:rPr>
        <w:t>采购文件、</w:t>
      </w:r>
      <w:r>
        <w:rPr>
          <w:rFonts w:hint="eastAsia" w:ascii="宋体" w:hAnsi="宋体" w:eastAsia="宋体" w:cs="宋体"/>
          <w:b w:val="0"/>
          <w:bCs/>
          <w:color w:val="auto"/>
          <w:sz w:val="24"/>
          <w:szCs w:val="24"/>
          <w:highlight w:val="none"/>
        </w:rPr>
        <w:t>双方</w:t>
      </w:r>
      <w:r>
        <w:rPr>
          <w:rFonts w:hint="eastAsia" w:ascii="宋体" w:hAnsi="宋体" w:eastAsia="宋体" w:cs="宋体"/>
          <w:b w:val="0"/>
          <w:bCs/>
          <w:color w:val="auto"/>
          <w:sz w:val="24"/>
          <w:szCs w:val="24"/>
          <w:highlight w:val="none"/>
          <w:lang w:val="en-US" w:eastAsia="zh-CN"/>
        </w:rPr>
        <w:t>政府采购</w:t>
      </w:r>
      <w:r>
        <w:rPr>
          <w:rFonts w:hint="eastAsia" w:ascii="宋体" w:hAnsi="宋体" w:eastAsia="宋体" w:cs="宋体"/>
          <w:b w:val="0"/>
          <w:bCs/>
          <w:color w:val="auto"/>
          <w:sz w:val="24"/>
          <w:szCs w:val="24"/>
          <w:highlight w:val="none"/>
        </w:rPr>
        <w:t>合同、</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文件验收。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甲方验收时以书面形式提出异议的，乙方应自收到甲方书面异议后五个工作日内及时予以解决，否则甲方有权不出具服务验收合格单。</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履约保证金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本合同履约保证金金额：</w:t>
      </w:r>
      <w:r>
        <w:rPr>
          <w:rFonts w:hint="eastAsia" w:ascii="宋体" w:hAnsi="宋体"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税费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付款方式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1.资金性质：</w:t>
      </w:r>
      <w:r>
        <w:rPr>
          <w:rFonts w:hint="eastAsia" w:ascii="宋体" w:hAnsi="宋体" w:eastAsia="宋体" w:cs="宋体"/>
          <w:color w:val="auto"/>
          <w:sz w:val="24"/>
          <w:szCs w:val="24"/>
          <w:highlight w:val="none"/>
          <w:u w:val="single"/>
        </w:rPr>
        <w:t>财政性资金</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rPr>
        <w:t>首付款：合同签订之日起20个工作日内支付合同款40%；进度款：完成发送2000万条短信通过验收且收到发票20个工作日内，支付合同款的50%；验收款：完成发送3000万条短信通过验收且收到发票20个工作日内，支付合同款的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货款支付形式为：</w:t>
      </w:r>
      <w:r>
        <w:rPr>
          <w:rFonts w:hint="eastAsia" w:ascii="宋体" w:hAnsi="宋体" w:eastAsia="宋体" w:cs="宋体"/>
          <w:color w:val="auto"/>
          <w:sz w:val="24"/>
          <w:szCs w:val="24"/>
          <w:highlight w:val="none"/>
          <w:u w:val="single"/>
          <w:lang w:val="en-US" w:eastAsia="zh-CN"/>
        </w:rPr>
        <w:t>转账</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违约责任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乙方提供的服务如侵犯了第三方合法</w:t>
      </w:r>
      <w:r>
        <w:rPr>
          <w:rFonts w:hint="eastAsia" w:ascii="宋体" w:hAnsi="宋体" w:eastAsia="宋体" w:cs="宋体"/>
          <w:b w:val="0"/>
          <w:bCs/>
          <w:color w:val="auto"/>
          <w:sz w:val="24"/>
          <w:highlight w:val="none"/>
          <w:lang w:val="en-US" w:eastAsia="zh-CN"/>
        </w:rPr>
        <w:t>权</w:t>
      </w:r>
      <w:r>
        <w:rPr>
          <w:rFonts w:hint="eastAsia" w:ascii="宋体" w:hAnsi="宋体" w:eastAsia="宋体" w:cs="宋体"/>
          <w:b w:val="0"/>
          <w:bCs/>
          <w:color w:val="auto"/>
          <w:sz w:val="24"/>
          <w:highlight w:val="none"/>
        </w:rPr>
        <w:t>益而引发的任何纠纷或诉讼，均由乙方负责交涉并承担全部责任。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lang w:eastAsia="zh-CN"/>
        </w:rPr>
        <w:t>2</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乙方未按本合同和投标文件中规定的服务承诺提供服务</w:t>
      </w:r>
      <w:r>
        <w:rPr>
          <w:rFonts w:hint="eastAsia" w:ascii="宋体" w:hAnsi="宋体" w:eastAsia="宋体" w:cs="宋体"/>
          <w:b w:val="0"/>
          <w:bCs/>
          <w:color w:val="auto"/>
          <w:sz w:val="24"/>
          <w:highlight w:val="none"/>
          <w:lang w:val="en-US" w:eastAsia="zh-CN"/>
        </w:rPr>
        <w:t>或</w:t>
      </w:r>
      <w:r>
        <w:rPr>
          <w:rFonts w:hint="eastAsia" w:ascii="宋体" w:hAnsi="宋体" w:eastAsia="宋体" w:cs="宋体"/>
          <w:b w:val="0"/>
          <w:bCs/>
          <w:color w:val="auto"/>
          <w:sz w:val="24"/>
          <w:highlight w:val="none"/>
        </w:rPr>
        <w:t>所提供的服务质量不合格的，乙方应按本合同合计金额 5% 向甲方支付违约金并赔偿甲方经济损失。</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highlight w:val="none"/>
        </w:rPr>
        <w:t>不可抗力事件处理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2.不可抗力事件发生后，应立即</w:t>
      </w:r>
      <w:r>
        <w:rPr>
          <w:rFonts w:hint="eastAsia" w:ascii="宋体" w:hAnsi="宋体" w:eastAsia="宋体" w:cs="宋体"/>
          <w:b w:val="0"/>
          <w:bCs/>
          <w:color w:val="auto"/>
          <w:sz w:val="24"/>
          <w:highlight w:val="none"/>
          <w:lang w:eastAsia="zh-CN"/>
        </w:rPr>
        <w:t>书面</w:t>
      </w:r>
      <w:r>
        <w:rPr>
          <w:rFonts w:hint="eastAsia" w:ascii="宋体" w:hAnsi="宋体" w:eastAsia="宋体" w:cs="宋体"/>
          <w:b w:val="0"/>
          <w:bCs/>
          <w:color w:val="auto"/>
          <w:sz w:val="24"/>
          <w:highlight w:val="none"/>
        </w:rPr>
        <w:t>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合同争议解决</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因履行本合同引起的或与本合同有关的争议，甲乙双方应首先通过友好协商解决，如果协商不能解决，可向甲方所在地人民法院提起诉讼。</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诉讼期间，本合同继续履行。</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bCs w:val="0"/>
          <w:color w:val="auto"/>
          <w:sz w:val="24"/>
          <w:highlight w:val="none"/>
        </w:rPr>
        <w:t>第十</w:t>
      </w:r>
      <w:r>
        <w:rPr>
          <w:rFonts w:hint="eastAsia" w:ascii="宋体" w:hAnsi="宋体" w:eastAsia="宋体" w:cs="宋体"/>
          <w:b/>
          <w:bCs w:val="0"/>
          <w:color w:val="auto"/>
          <w:sz w:val="24"/>
          <w:highlight w:val="none"/>
          <w:lang w:val="en-US" w:eastAsia="zh-CN"/>
        </w:rPr>
        <w:t>一</w:t>
      </w:r>
      <w:r>
        <w:rPr>
          <w:rFonts w:hint="eastAsia" w:ascii="宋体" w:hAnsi="宋体" w:eastAsia="宋体" w:cs="宋体"/>
          <w:b/>
          <w:bCs w:val="0"/>
          <w:color w:val="auto"/>
          <w:sz w:val="24"/>
          <w:highlight w:val="none"/>
        </w:rPr>
        <w:t xml:space="preserve">条 </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合同生效及其它</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1．合同经双方法定代表人或授权代表签字并加盖单位公章后生效。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kern w:val="21"/>
          <w:sz w:val="24"/>
          <w:highlight w:val="none"/>
        </w:rPr>
      </w:pPr>
      <w:r>
        <w:rPr>
          <w:rFonts w:hint="eastAsia" w:ascii="宋体" w:hAnsi="宋体" w:eastAsia="宋体" w:cs="宋体"/>
          <w:b w:val="0"/>
          <w:bCs/>
          <w:color w:val="auto"/>
          <w:kern w:val="21"/>
          <w:sz w:val="24"/>
          <w:highlight w:val="none"/>
          <w:lang w:eastAsia="zh-CN"/>
        </w:rPr>
        <w:t>2．合同执行中涉及采购资金和采购内容修改或补充的，须经财政部门审批，</w:t>
      </w:r>
      <w:r>
        <w:rPr>
          <w:rFonts w:hint="eastAsia" w:ascii="宋体" w:hAnsi="宋体" w:eastAsia="宋体" w:cs="宋体"/>
          <w:b w:val="0"/>
          <w:bCs/>
          <w:color w:val="auto"/>
          <w:kern w:val="21"/>
          <w:sz w:val="24"/>
          <w:highlight w:val="none"/>
        </w:rPr>
        <w:t>并签书面补充协议报财政部门备案，方可作为主合同不可分割的一部分。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color w:val="auto"/>
          <w:kern w:val="21"/>
          <w:sz w:val="24"/>
          <w:highlight w:val="none"/>
        </w:rPr>
      </w:pPr>
      <w:r>
        <w:rPr>
          <w:rFonts w:hint="eastAsia" w:ascii="宋体" w:hAnsi="宋体" w:eastAsia="宋体" w:cs="宋体"/>
          <w:b w:val="0"/>
          <w:bCs/>
          <w:color w:val="auto"/>
          <w:kern w:val="21"/>
          <w:sz w:val="24"/>
          <w:highlight w:val="none"/>
        </w:rPr>
        <w:t>3．本合同未尽事宜，由双方协商，签订补充协议。</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 xml:space="preserve">条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签订本合同依据</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1.采购文件；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2.乙方提供的投标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highlight w:val="none"/>
        </w:rPr>
        <w:t>文件；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3.投标资格声明函（竞标声明函）；</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4.中标（成交）通知书。</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 xml:space="preserve">条 </w:t>
      </w:r>
      <w:r>
        <w:rPr>
          <w:rFonts w:hint="eastAsia" w:ascii="宋体" w:hAnsi="宋体" w:eastAsia="宋体" w:cs="宋体"/>
          <w:b w:val="0"/>
          <w:bCs/>
          <w:color w:val="auto"/>
          <w:sz w:val="24"/>
          <w:highlight w:val="none"/>
        </w:rPr>
        <w:t>本合同一式</w:t>
      </w:r>
      <w:r>
        <w:rPr>
          <w:rFonts w:hint="eastAsia" w:ascii="宋体" w:hAnsi="宋体" w:cs="宋体"/>
          <w:b w:val="0"/>
          <w:bCs/>
          <w:color w:val="auto"/>
          <w:sz w:val="24"/>
          <w:highlight w:val="none"/>
          <w:lang w:val="en-US" w:eastAsia="zh-CN"/>
        </w:rPr>
        <w:t>六</w:t>
      </w:r>
      <w:r>
        <w:rPr>
          <w:rFonts w:hint="eastAsia" w:ascii="宋体" w:hAnsi="宋体" w:eastAsia="宋体" w:cs="宋体"/>
          <w:b w:val="0"/>
          <w:bCs/>
          <w:color w:val="auto"/>
          <w:sz w:val="24"/>
          <w:highlight w:val="none"/>
        </w:rPr>
        <w:t>份，具有同等法律效力。政府采购监督管理部门、采购代理机构各一份，甲方</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份，乙方二份。</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highlight w:val="none"/>
        </w:rPr>
        <w:t>本合同经甲乙双方法定代表人或授权代表签字并加盖单位公章后生效。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p>
          <w:p>
            <w:pPr>
              <w:snapToGrid w:val="0"/>
              <w:spacing w:line="360" w:lineRule="exact"/>
              <w:ind w:right="105" w:firstLine="1080" w:firstLineChars="450"/>
              <w:jc w:val="right"/>
              <w:rPr>
                <w:rFonts w:hint="eastAsia" w:ascii="宋体" w:hAnsi="宋体" w:eastAsia="宋体" w:cs="宋体"/>
                <w:color w:val="auto"/>
                <w:sz w:val="24"/>
                <w:szCs w:val="24"/>
                <w:highlight w:val="none"/>
              </w:rPr>
            </w:pP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pPr>
              <w:snapToGrid w:val="0"/>
              <w:spacing w:line="360" w:lineRule="exact"/>
              <w:jc w:val="righ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688"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25"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ind w:firstLine="720" w:firstLineChars="300"/>
              <w:jc w:val="right"/>
              <w:rPr>
                <w:rFonts w:hint="eastAsia" w:ascii="宋体" w:hAnsi="宋体" w:eastAsia="宋体" w:cs="宋体"/>
                <w:color w:val="auto"/>
                <w:sz w:val="24"/>
                <w:szCs w:val="24"/>
                <w:highlight w:val="none"/>
              </w:rPr>
            </w:pPr>
          </w:p>
          <w:p>
            <w:pPr>
              <w:snapToGrid w:val="0"/>
              <w:spacing w:line="360" w:lineRule="exact"/>
              <w:ind w:firstLine="720" w:firstLineChars="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签订日期：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bl>
    <w:p>
      <w:pPr>
        <w:snapToGrid w:val="0"/>
        <w:spacing w:line="400" w:lineRule="exact"/>
        <w:ind w:left="120" w:hanging="120" w:hangingChars="200"/>
        <w:rPr>
          <w:rFonts w:ascii="方正小标宋简体" w:hAnsi="方正小标宋简体" w:eastAsia="方正小标宋简体" w:cs="方正小标宋简体"/>
          <w:color w:val="auto"/>
          <w:sz w:val="6"/>
          <w:szCs w:val="6"/>
          <w:highlight w:val="none"/>
        </w:rPr>
      </w:pPr>
    </w:p>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C840C1-4B80-4E70-BF1B-C1271887C910}"/>
  </w:font>
  <w:font w:name="黑体">
    <w:panose1 w:val="02010609060101010101"/>
    <w:charset w:val="86"/>
    <w:family w:val="auto"/>
    <w:pitch w:val="default"/>
    <w:sig w:usb0="800002BF" w:usb1="38CF7CFA" w:usb2="00000016" w:usb3="00000000" w:csb0="00040001" w:csb1="00000000"/>
    <w:embedRegular r:id="rId2" w:fontKey="{7DE8E45F-AC3D-4F5C-8C1D-F81A74CF0498}"/>
  </w:font>
  <w:font w:name="Courier New">
    <w:panose1 w:val="02070309020205020404"/>
    <w:charset w:val="01"/>
    <w:family w:val="modern"/>
    <w:pitch w:val="default"/>
    <w:sig w:usb0="E0002EFF" w:usb1="C0007843" w:usb2="00000009" w:usb3="00000000" w:csb0="400001FF" w:csb1="FFFF0000"/>
    <w:embedRegular r:id="rId3" w:fontKey="{90DA6DA1-56E3-46B0-B933-592F9CF5E4F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FA025BF1-CE18-458B-9C69-CC93E90C9E93}"/>
  </w:font>
  <w:font w:name="Tahoma">
    <w:panose1 w:val="020B0604030504040204"/>
    <w:charset w:val="00"/>
    <w:family w:val="swiss"/>
    <w:pitch w:val="default"/>
    <w:sig w:usb0="E1002EFF" w:usb1="C000605B" w:usb2="00000029" w:usb3="00000000" w:csb0="200101FF" w:csb1="20280000"/>
    <w:embedRegular r:id="rId5" w:fontKey="{757E161F-315E-4C12-A478-40E122603D8C}"/>
  </w:font>
  <w:font w:name="仿宋">
    <w:panose1 w:val="02010609060101010101"/>
    <w:charset w:val="86"/>
    <w:family w:val="auto"/>
    <w:pitch w:val="default"/>
    <w:sig w:usb0="800002BF" w:usb1="38CF7CFA" w:usb2="00000016" w:usb3="00000000" w:csb0="00040001" w:csb1="00000000"/>
    <w:embedRegular r:id="rId6" w:fontKey="{829B6227-7A6F-412E-BD23-673C46E99544}"/>
  </w:font>
  <w:font w:name="Helvetica">
    <w:panose1 w:val="020B0604020202020204"/>
    <w:charset w:val="00"/>
    <w:family w:val="swiss"/>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embedRegular r:id="rId7" w:fontKey="{6E4D5ED9-54E4-47AA-BE08-18D13532EABD}"/>
  </w:font>
  <w:font w:name="华文新魏">
    <w:panose1 w:val="02010800040101010101"/>
    <w:charset w:val="86"/>
    <w:family w:val="auto"/>
    <w:pitch w:val="default"/>
    <w:sig w:usb0="00000001" w:usb1="080F0000" w:usb2="00000000" w:usb3="00000000" w:csb0="00040000" w:csb1="00000000"/>
    <w:embedRegular r:id="rId8" w:fontKey="{27F80080-F1C1-4A04-AC34-A73CE706BAE7}"/>
  </w:font>
  <w:font w:name="Segoe UI Symbol">
    <w:panose1 w:val="020B0502040204020203"/>
    <w:charset w:val="00"/>
    <w:family w:val="swiss"/>
    <w:pitch w:val="default"/>
    <w:sig w:usb0="800001E3" w:usb1="1200FFEF" w:usb2="00040000" w:usb3="04000000" w:csb0="00000001" w:csb1="40000000"/>
    <w:embedRegular r:id="rId9" w:fontKey="{471004EB-A729-4D21-B406-1EBCFB2BE0F9}"/>
  </w:font>
  <w:font w:name="微软雅黑">
    <w:panose1 w:val="020B0503020204020204"/>
    <w:charset w:val="86"/>
    <w:family w:val="swiss"/>
    <w:pitch w:val="default"/>
    <w:sig w:usb0="80000287" w:usb1="2ACF3C50" w:usb2="00000016" w:usb3="00000000" w:csb0="0004001F" w:csb1="00000000"/>
    <w:embedRegular r:id="rId10" w:fontKey="{8185FEB0-2506-41E1-9B66-F6CA79A32084}"/>
  </w:font>
  <w:font w:name="___WRD_EMBED_SUB_45">
    <w:altName w:val="宋体"/>
    <w:panose1 w:val="00000000000000000000"/>
    <w:charset w:val="86"/>
    <w:family w:val="modern"/>
    <w:pitch w:val="default"/>
    <w:sig w:usb0="00000000" w:usb1="00000000" w:usb2="00000000" w:usb3="00000000" w:csb0="00040000" w:csb1="00000000"/>
    <w:embedRegular r:id="rId11" w:fontKey="{6BF07E36-72E7-40E2-B2EF-409C0B9FA74E}"/>
  </w:font>
  <w:font w:name="Wingdings 2">
    <w:panose1 w:val="05020102010507070707"/>
    <w:charset w:val="02"/>
    <w:family w:val="roman"/>
    <w:pitch w:val="default"/>
    <w:sig w:usb0="00000000" w:usb1="00000000" w:usb2="00000000" w:usb3="00000000" w:csb0="80000000" w:csb1="00000000"/>
    <w:embedRegular r:id="rId12" w:fontKey="{83171A55-1C18-48E0-BA7E-0A6510D317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39"/>
        <w:tab w:val="clear" w:pos="4153"/>
      </w:tabs>
      <w:jc w:val="both"/>
    </w:pP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txbxContent>
                    </wps:txbx>
                    <wps:bodyPr wrap="none" lIns="0" tIns="0" rIns="0" bIns="0" anchor="t" anchorCtr="0">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JBU+a0AAAAAMBAAAPAAAAAAAAAAEAIAAA&#10;ACIAAABkcnMvZG93bnJldi54bWxQSwECFAAUAAAACACHTuJAWTzIctsBAAC1AwAADgAAAAAAAAAB&#10;ACAAAAAfAQAAZHJzL2Uyb0RvYy54bWxQSwUGAAAAAAYABgBZAQAAbAU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w:t>
                    </w:r>
                    <w:r>
                      <w:fldChar w:fldCharType="end"/>
                    </w:r>
                  </w:p>
                </w:txbxContent>
              </v:textbox>
            </v:shape>
          </w:pict>
        </mc:Fallback>
      </mc:AlternateContent>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32D5D"/>
    <w:multiLevelType w:val="multilevel"/>
    <w:tmpl w:val="2A232D5D"/>
    <w:lvl w:ilvl="0" w:tentative="0">
      <w:start w:val="1"/>
      <w:numFmt w:val="decimal"/>
      <w:pStyle w:val="105"/>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39A5395"/>
    <w:multiLevelType w:val="multilevel"/>
    <w:tmpl w:val="339A5395"/>
    <w:lvl w:ilvl="0" w:tentative="0">
      <w:start w:val="1"/>
      <w:numFmt w:val="decimal"/>
      <w:pStyle w:val="104"/>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5557BB"/>
    <w:multiLevelType w:val="multilevel"/>
    <w:tmpl w:val="5D5557BB"/>
    <w:lvl w:ilvl="0" w:tentative="0">
      <w:start w:val="1"/>
      <w:numFmt w:val="decimal"/>
      <w:pStyle w:val="102"/>
      <w:lvlText w:val="%1."/>
      <w:lvlJc w:val="left"/>
      <w:pPr>
        <w:ind w:left="0" w:firstLine="0"/>
      </w:p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
    <w:nsid w:val="69233C06"/>
    <w:multiLevelType w:val="multilevel"/>
    <w:tmpl w:val="69233C06"/>
    <w:lvl w:ilvl="0" w:tentative="0">
      <w:start w:val="1"/>
      <w:numFmt w:val="bullet"/>
      <w:pStyle w:val="103"/>
      <w:lvlText w:val=""/>
      <w:lvlJc w:val="left"/>
      <w:pPr>
        <w:ind w:left="0" w:firstLine="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B3173AD"/>
    <w:multiLevelType w:val="multilevel"/>
    <w:tmpl w:val="6B3173AD"/>
    <w:lvl w:ilvl="0" w:tentative="0">
      <w:start w:val="1"/>
      <w:numFmt w:val="decimal"/>
      <w:pStyle w:val="106"/>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1EF22EB"/>
    <w:multiLevelType w:val="multilevel"/>
    <w:tmpl w:val="71EF22EB"/>
    <w:lvl w:ilvl="0" w:tentative="0">
      <w:start w:val="1"/>
      <w:numFmt w:val="bullet"/>
      <w:pStyle w:val="107"/>
      <w:lvlText w:val=""/>
      <w:lvlJc w:val="left"/>
      <w:pPr>
        <w:ind w:left="0" w:firstLine="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hM2JhMjViNGU0NTcyZDJlM2Q3Y2E3ZWY1ZWUyNjA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053"/>
    <w:rsid w:val="00012854"/>
    <w:rsid w:val="00012C21"/>
    <w:rsid w:val="00012EA6"/>
    <w:rsid w:val="00013359"/>
    <w:rsid w:val="000139CF"/>
    <w:rsid w:val="00013AA4"/>
    <w:rsid w:val="00013DFE"/>
    <w:rsid w:val="000141EA"/>
    <w:rsid w:val="0001469F"/>
    <w:rsid w:val="00016ABC"/>
    <w:rsid w:val="000177DB"/>
    <w:rsid w:val="000179C9"/>
    <w:rsid w:val="00017CCC"/>
    <w:rsid w:val="00020227"/>
    <w:rsid w:val="00020263"/>
    <w:rsid w:val="000203B7"/>
    <w:rsid w:val="00020455"/>
    <w:rsid w:val="00020813"/>
    <w:rsid w:val="000215D0"/>
    <w:rsid w:val="00021813"/>
    <w:rsid w:val="000220B2"/>
    <w:rsid w:val="0002264C"/>
    <w:rsid w:val="00022731"/>
    <w:rsid w:val="00022792"/>
    <w:rsid w:val="00023E38"/>
    <w:rsid w:val="00024463"/>
    <w:rsid w:val="00025461"/>
    <w:rsid w:val="00025636"/>
    <w:rsid w:val="00025E36"/>
    <w:rsid w:val="00026855"/>
    <w:rsid w:val="00026886"/>
    <w:rsid w:val="0002785D"/>
    <w:rsid w:val="000279D2"/>
    <w:rsid w:val="000307BE"/>
    <w:rsid w:val="000329E0"/>
    <w:rsid w:val="000352E9"/>
    <w:rsid w:val="00035494"/>
    <w:rsid w:val="00035DD6"/>
    <w:rsid w:val="00036125"/>
    <w:rsid w:val="00036A07"/>
    <w:rsid w:val="0003780B"/>
    <w:rsid w:val="00040571"/>
    <w:rsid w:val="00040973"/>
    <w:rsid w:val="0004156E"/>
    <w:rsid w:val="00041713"/>
    <w:rsid w:val="00042B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6C2B"/>
    <w:rsid w:val="000673E2"/>
    <w:rsid w:val="000677E3"/>
    <w:rsid w:val="00067EF1"/>
    <w:rsid w:val="0007063F"/>
    <w:rsid w:val="000707FD"/>
    <w:rsid w:val="00070949"/>
    <w:rsid w:val="000711E4"/>
    <w:rsid w:val="00071E9B"/>
    <w:rsid w:val="000720A1"/>
    <w:rsid w:val="000724D9"/>
    <w:rsid w:val="00072AED"/>
    <w:rsid w:val="00073F47"/>
    <w:rsid w:val="00074604"/>
    <w:rsid w:val="0007492F"/>
    <w:rsid w:val="00074ED8"/>
    <w:rsid w:val="00075B7E"/>
    <w:rsid w:val="00077ACA"/>
    <w:rsid w:val="00077C70"/>
    <w:rsid w:val="000802FA"/>
    <w:rsid w:val="00080468"/>
    <w:rsid w:val="00080FD3"/>
    <w:rsid w:val="000813B5"/>
    <w:rsid w:val="0008191E"/>
    <w:rsid w:val="00081AFA"/>
    <w:rsid w:val="00081BA3"/>
    <w:rsid w:val="00081D2E"/>
    <w:rsid w:val="00081F89"/>
    <w:rsid w:val="00082619"/>
    <w:rsid w:val="00082D02"/>
    <w:rsid w:val="0008381A"/>
    <w:rsid w:val="00083871"/>
    <w:rsid w:val="00083AD2"/>
    <w:rsid w:val="00083B91"/>
    <w:rsid w:val="00084104"/>
    <w:rsid w:val="0008473C"/>
    <w:rsid w:val="00084BB3"/>
    <w:rsid w:val="0008520B"/>
    <w:rsid w:val="000857DE"/>
    <w:rsid w:val="000860BD"/>
    <w:rsid w:val="00086286"/>
    <w:rsid w:val="000871B8"/>
    <w:rsid w:val="00087B0A"/>
    <w:rsid w:val="000916DA"/>
    <w:rsid w:val="00091AAB"/>
    <w:rsid w:val="00092442"/>
    <w:rsid w:val="000929EF"/>
    <w:rsid w:val="00092C26"/>
    <w:rsid w:val="000933BE"/>
    <w:rsid w:val="00093B37"/>
    <w:rsid w:val="0009560F"/>
    <w:rsid w:val="0009588E"/>
    <w:rsid w:val="000959EE"/>
    <w:rsid w:val="00096DB9"/>
    <w:rsid w:val="00097183"/>
    <w:rsid w:val="000972CB"/>
    <w:rsid w:val="00097608"/>
    <w:rsid w:val="000A0E76"/>
    <w:rsid w:val="000A0F35"/>
    <w:rsid w:val="000A1175"/>
    <w:rsid w:val="000A13F3"/>
    <w:rsid w:val="000A23B1"/>
    <w:rsid w:val="000A2B0E"/>
    <w:rsid w:val="000A398F"/>
    <w:rsid w:val="000A448C"/>
    <w:rsid w:val="000A509C"/>
    <w:rsid w:val="000A54A7"/>
    <w:rsid w:val="000A5A17"/>
    <w:rsid w:val="000A5DF3"/>
    <w:rsid w:val="000A6007"/>
    <w:rsid w:val="000A65A6"/>
    <w:rsid w:val="000A70E3"/>
    <w:rsid w:val="000A7275"/>
    <w:rsid w:val="000A7A12"/>
    <w:rsid w:val="000A7A72"/>
    <w:rsid w:val="000A7DAC"/>
    <w:rsid w:val="000A7F5C"/>
    <w:rsid w:val="000B1202"/>
    <w:rsid w:val="000B1801"/>
    <w:rsid w:val="000B1D0C"/>
    <w:rsid w:val="000B2273"/>
    <w:rsid w:val="000B2BC6"/>
    <w:rsid w:val="000B2D03"/>
    <w:rsid w:val="000B37F2"/>
    <w:rsid w:val="000B3815"/>
    <w:rsid w:val="000B3C7B"/>
    <w:rsid w:val="000B3E68"/>
    <w:rsid w:val="000B4321"/>
    <w:rsid w:val="000B4AC4"/>
    <w:rsid w:val="000B6A6B"/>
    <w:rsid w:val="000B6C95"/>
    <w:rsid w:val="000B79FC"/>
    <w:rsid w:val="000C1679"/>
    <w:rsid w:val="000C1DAF"/>
    <w:rsid w:val="000C1EE3"/>
    <w:rsid w:val="000C3AE7"/>
    <w:rsid w:val="000C3CC9"/>
    <w:rsid w:val="000C446C"/>
    <w:rsid w:val="000C59C6"/>
    <w:rsid w:val="000C59FD"/>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5C8B"/>
    <w:rsid w:val="000E693B"/>
    <w:rsid w:val="000E6D5C"/>
    <w:rsid w:val="000E6EC9"/>
    <w:rsid w:val="000E70B4"/>
    <w:rsid w:val="000E725F"/>
    <w:rsid w:val="000E7B62"/>
    <w:rsid w:val="000F0E1E"/>
    <w:rsid w:val="000F1A1B"/>
    <w:rsid w:val="000F2A95"/>
    <w:rsid w:val="000F3281"/>
    <w:rsid w:val="000F32FD"/>
    <w:rsid w:val="000F3733"/>
    <w:rsid w:val="000F5F8B"/>
    <w:rsid w:val="000F6153"/>
    <w:rsid w:val="000F64AA"/>
    <w:rsid w:val="000F74C6"/>
    <w:rsid w:val="000F7AF4"/>
    <w:rsid w:val="000F7C33"/>
    <w:rsid w:val="000F7F0C"/>
    <w:rsid w:val="001004D6"/>
    <w:rsid w:val="00101D1B"/>
    <w:rsid w:val="00102676"/>
    <w:rsid w:val="00103646"/>
    <w:rsid w:val="00103918"/>
    <w:rsid w:val="00104185"/>
    <w:rsid w:val="00104897"/>
    <w:rsid w:val="00104EDE"/>
    <w:rsid w:val="00104F54"/>
    <w:rsid w:val="00105CDA"/>
    <w:rsid w:val="00106BEE"/>
    <w:rsid w:val="001070E4"/>
    <w:rsid w:val="0010711C"/>
    <w:rsid w:val="00107368"/>
    <w:rsid w:val="00107BDF"/>
    <w:rsid w:val="00107C74"/>
    <w:rsid w:val="001104B2"/>
    <w:rsid w:val="0011091C"/>
    <w:rsid w:val="00111266"/>
    <w:rsid w:val="001112EB"/>
    <w:rsid w:val="0011247D"/>
    <w:rsid w:val="00112C88"/>
    <w:rsid w:val="0011352D"/>
    <w:rsid w:val="00113678"/>
    <w:rsid w:val="00113A7D"/>
    <w:rsid w:val="00113C3E"/>
    <w:rsid w:val="00114202"/>
    <w:rsid w:val="00114254"/>
    <w:rsid w:val="0011465D"/>
    <w:rsid w:val="00115E11"/>
    <w:rsid w:val="00115EEE"/>
    <w:rsid w:val="00115F56"/>
    <w:rsid w:val="00116CA9"/>
    <w:rsid w:val="00116F38"/>
    <w:rsid w:val="001170A4"/>
    <w:rsid w:val="00117AE7"/>
    <w:rsid w:val="00117B85"/>
    <w:rsid w:val="00117CBD"/>
    <w:rsid w:val="0012006A"/>
    <w:rsid w:val="001203BD"/>
    <w:rsid w:val="00121979"/>
    <w:rsid w:val="00122064"/>
    <w:rsid w:val="001223BF"/>
    <w:rsid w:val="00123CCB"/>
    <w:rsid w:val="00124341"/>
    <w:rsid w:val="00124492"/>
    <w:rsid w:val="00124B12"/>
    <w:rsid w:val="001250A0"/>
    <w:rsid w:val="001263B8"/>
    <w:rsid w:val="001268D1"/>
    <w:rsid w:val="00127F8A"/>
    <w:rsid w:val="00130217"/>
    <w:rsid w:val="00130783"/>
    <w:rsid w:val="00130A47"/>
    <w:rsid w:val="00130FB0"/>
    <w:rsid w:val="00132B47"/>
    <w:rsid w:val="001337F8"/>
    <w:rsid w:val="001348B4"/>
    <w:rsid w:val="001351CB"/>
    <w:rsid w:val="00135530"/>
    <w:rsid w:val="00135947"/>
    <w:rsid w:val="001359A2"/>
    <w:rsid w:val="00135F92"/>
    <w:rsid w:val="00136020"/>
    <w:rsid w:val="00136445"/>
    <w:rsid w:val="00136A9C"/>
    <w:rsid w:val="00137389"/>
    <w:rsid w:val="00140132"/>
    <w:rsid w:val="00141C3A"/>
    <w:rsid w:val="00141C9C"/>
    <w:rsid w:val="00142344"/>
    <w:rsid w:val="00142351"/>
    <w:rsid w:val="0014277F"/>
    <w:rsid w:val="001434BE"/>
    <w:rsid w:val="00143AAD"/>
    <w:rsid w:val="00144050"/>
    <w:rsid w:val="00144369"/>
    <w:rsid w:val="0014479F"/>
    <w:rsid w:val="001452B4"/>
    <w:rsid w:val="00145320"/>
    <w:rsid w:val="001476D3"/>
    <w:rsid w:val="0014786A"/>
    <w:rsid w:val="001509CF"/>
    <w:rsid w:val="00150D1D"/>
    <w:rsid w:val="001525AA"/>
    <w:rsid w:val="00152A87"/>
    <w:rsid w:val="00152AC1"/>
    <w:rsid w:val="00153BB5"/>
    <w:rsid w:val="00154396"/>
    <w:rsid w:val="00154518"/>
    <w:rsid w:val="00156359"/>
    <w:rsid w:val="00156DD6"/>
    <w:rsid w:val="0016086E"/>
    <w:rsid w:val="001609B9"/>
    <w:rsid w:val="00160D0C"/>
    <w:rsid w:val="00160DD1"/>
    <w:rsid w:val="00161172"/>
    <w:rsid w:val="0016186C"/>
    <w:rsid w:val="00161998"/>
    <w:rsid w:val="00161E65"/>
    <w:rsid w:val="00162597"/>
    <w:rsid w:val="001629AF"/>
    <w:rsid w:val="001629FD"/>
    <w:rsid w:val="0016428A"/>
    <w:rsid w:val="001647C9"/>
    <w:rsid w:val="00165627"/>
    <w:rsid w:val="00166033"/>
    <w:rsid w:val="001661A3"/>
    <w:rsid w:val="00166F19"/>
    <w:rsid w:val="00167226"/>
    <w:rsid w:val="0016782B"/>
    <w:rsid w:val="0016784D"/>
    <w:rsid w:val="00167853"/>
    <w:rsid w:val="00167887"/>
    <w:rsid w:val="00172CA8"/>
    <w:rsid w:val="00173256"/>
    <w:rsid w:val="001737B9"/>
    <w:rsid w:val="00173B0E"/>
    <w:rsid w:val="00173E03"/>
    <w:rsid w:val="0017512C"/>
    <w:rsid w:val="001756AF"/>
    <w:rsid w:val="0017586A"/>
    <w:rsid w:val="00175BA6"/>
    <w:rsid w:val="00176CA7"/>
    <w:rsid w:val="00176D0C"/>
    <w:rsid w:val="00176F8E"/>
    <w:rsid w:val="001778C5"/>
    <w:rsid w:val="00177E56"/>
    <w:rsid w:val="00177F0A"/>
    <w:rsid w:val="00180DA0"/>
    <w:rsid w:val="00181014"/>
    <w:rsid w:val="00181EAD"/>
    <w:rsid w:val="00182862"/>
    <w:rsid w:val="00184F57"/>
    <w:rsid w:val="00185091"/>
    <w:rsid w:val="00185544"/>
    <w:rsid w:val="00185617"/>
    <w:rsid w:val="00186FE1"/>
    <w:rsid w:val="00187A14"/>
    <w:rsid w:val="0019171E"/>
    <w:rsid w:val="00192368"/>
    <w:rsid w:val="001923A0"/>
    <w:rsid w:val="001928B1"/>
    <w:rsid w:val="00192AE9"/>
    <w:rsid w:val="00193537"/>
    <w:rsid w:val="00193846"/>
    <w:rsid w:val="00195379"/>
    <w:rsid w:val="00195424"/>
    <w:rsid w:val="001955FF"/>
    <w:rsid w:val="00197EDD"/>
    <w:rsid w:val="001A02B3"/>
    <w:rsid w:val="001A04BB"/>
    <w:rsid w:val="001A08D0"/>
    <w:rsid w:val="001A194B"/>
    <w:rsid w:val="001A1B39"/>
    <w:rsid w:val="001A2120"/>
    <w:rsid w:val="001A28C6"/>
    <w:rsid w:val="001A2E69"/>
    <w:rsid w:val="001A3C34"/>
    <w:rsid w:val="001A3EDE"/>
    <w:rsid w:val="001A4222"/>
    <w:rsid w:val="001A50EA"/>
    <w:rsid w:val="001A5E24"/>
    <w:rsid w:val="001A661D"/>
    <w:rsid w:val="001A6795"/>
    <w:rsid w:val="001A681D"/>
    <w:rsid w:val="001A6B27"/>
    <w:rsid w:val="001A6D8B"/>
    <w:rsid w:val="001A6DAA"/>
    <w:rsid w:val="001A7717"/>
    <w:rsid w:val="001A793A"/>
    <w:rsid w:val="001B125A"/>
    <w:rsid w:val="001B1EBA"/>
    <w:rsid w:val="001B2142"/>
    <w:rsid w:val="001B2F2B"/>
    <w:rsid w:val="001B327A"/>
    <w:rsid w:val="001B35DE"/>
    <w:rsid w:val="001B3A13"/>
    <w:rsid w:val="001B3F5C"/>
    <w:rsid w:val="001B49C7"/>
    <w:rsid w:val="001B57C9"/>
    <w:rsid w:val="001B59FF"/>
    <w:rsid w:val="001B6512"/>
    <w:rsid w:val="001B65D7"/>
    <w:rsid w:val="001B6752"/>
    <w:rsid w:val="001B6768"/>
    <w:rsid w:val="001B6F1F"/>
    <w:rsid w:val="001B7ECC"/>
    <w:rsid w:val="001C025B"/>
    <w:rsid w:val="001C115F"/>
    <w:rsid w:val="001C1EAB"/>
    <w:rsid w:val="001C25A7"/>
    <w:rsid w:val="001C2775"/>
    <w:rsid w:val="001C318C"/>
    <w:rsid w:val="001C35C4"/>
    <w:rsid w:val="001C3613"/>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E129E"/>
    <w:rsid w:val="001E175C"/>
    <w:rsid w:val="001E1B0E"/>
    <w:rsid w:val="001E1C7C"/>
    <w:rsid w:val="001E3B63"/>
    <w:rsid w:val="001E544E"/>
    <w:rsid w:val="001E55ED"/>
    <w:rsid w:val="001E5607"/>
    <w:rsid w:val="001E5A94"/>
    <w:rsid w:val="001E66C7"/>
    <w:rsid w:val="001E7D7E"/>
    <w:rsid w:val="001F1107"/>
    <w:rsid w:val="001F13FD"/>
    <w:rsid w:val="001F18F9"/>
    <w:rsid w:val="001F24F3"/>
    <w:rsid w:val="001F2A2E"/>
    <w:rsid w:val="001F3356"/>
    <w:rsid w:val="001F3A05"/>
    <w:rsid w:val="001F3C63"/>
    <w:rsid w:val="001F4460"/>
    <w:rsid w:val="001F68CB"/>
    <w:rsid w:val="001F6C96"/>
    <w:rsid w:val="001F711A"/>
    <w:rsid w:val="001F75B0"/>
    <w:rsid w:val="0020057C"/>
    <w:rsid w:val="0020083C"/>
    <w:rsid w:val="00200CE5"/>
    <w:rsid w:val="00200F7C"/>
    <w:rsid w:val="002014DB"/>
    <w:rsid w:val="0020150B"/>
    <w:rsid w:val="00201E12"/>
    <w:rsid w:val="00202295"/>
    <w:rsid w:val="00203122"/>
    <w:rsid w:val="002033B5"/>
    <w:rsid w:val="0020382C"/>
    <w:rsid w:val="0020437A"/>
    <w:rsid w:val="0020454C"/>
    <w:rsid w:val="00204740"/>
    <w:rsid w:val="002048C7"/>
    <w:rsid w:val="00205129"/>
    <w:rsid w:val="0020521F"/>
    <w:rsid w:val="0020532C"/>
    <w:rsid w:val="002062C1"/>
    <w:rsid w:val="002114C7"/>
    <w:rsid w:val="0021302C"/>
    <w:rsid w:val="00213B1C"/>
    <w:rsid w:val="00213F1E"/>
    <w:rsid w:val="00214202"/>
    <w:rsid w:val="002148E3"/>
    <w:rsid w:val="0021492A"/>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1E9"/>
    <w:rsid w:val="0022663D"/>
    <w:rsid w:val="00226A46"/>
    <w:rsid w:val="00226CB3"/>
    <w:rsid w:val="00227C56"/>
    <w:rsid w:val="00227F2D"/>
    <w:rsid w:val="00231851"/>
    <w:rsid w:val="0023186A"/>
    <w:rsid w:val="002319FB"/>
    <w:rsid w:val="00231B89"/>
    <w:rsid w:val="00231F11"/>
    <w:rsid w:val="00231F5E"/>
    <w:rsid w:val="00232FF3"/>
    <w:rsid w:val="002346B4"/>
    <w:rsid w:val="00234F6E"/>
    <w:rsid w:val="002355BE"/>
    <w:rsid w:val="002358EA"/>
    <w:rsid w:val="00236578"/>
    <w:rsid w:val="00236DE9"/>
    <w:rsid w:val="00237342"/>
    <w:rsid w:val="002377AE"/>
    <w:rsid w:val="00237810"/>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E5A"/>
    <w:rsid w:val="00251043"/>
    <w:rsid w:val="00251423"/>
    <w:rsid w:val="00251C4A"/>
    <w:rsid w:val="0025271C"/>
    <w:rsid w:val="0025277A"/>
    <w:rsid w:val="002530AC"/>
    <w:rsid w:val="002533CD"/>
    <w:rsid w:val="002535EA"/>
    <w:rsid w:val="00254AF9"/>
    <w:rsid w:val="00254EAB"/>
    <w:rsid w:val="002557AF"/>
    <w:rsid w:val="0025589C"/>
    <w:rsid w:val="00255B62"/>
    <w:rsid w:val="002566B1"/>
    <w:rsid w:val="00256D0F"/>
    <w:rsid w:val="002575E3"/>
    <w:rsid w:val="00257A74"/>
    <w:rsid w:val="00257C5D"/>
    <w:rsid w:val="002603C1"/>
    <w:rsid w:val="002609A1"/>
    <w:rsid w:val="002612B1"/>
    <w:rsid w:val="00262416"/>
    <w:rsid w:val="00265A12"/>
    <w:rsid w:val="00265C2F"/>
    <w:rsid w:val="00266165"/>
    <w:rsid w:val="00266F2C"/>
    <w:rsid w:val="0027125E"/>
    <w:rsid w:val="00271767"/>
    <w:rsid w:val="00272293"/>
    <w:rsid w:val="002723B3"/>
    <w:rsid w:val="002723C8"/>
    <w:rsid w:val="00273C2A"/>
    <w:rsid w:val="00273CBE"/>
    <w:rsid w:val="002746B1"/>
    <w:rsid w:val="00274BAD"/>
    <w:rsid w:val="002750C2"/>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C86"/>
    <w:rsid w:val="00294F10"/>
    <w:rsid w:val="002952B1"/>
    <w:rsid w:val="00295D11"/>
    <w:rsid w:val="00296FB6"/>
    <w:rsid w:val="002A0001"/>
    <w:rsid w:val="002A0BD9"/>
    <w:rsid w:val="002A0C3A"/>
    <w:rsid w:val="002A0DF8"/>
    <w:rsid w:val="002A0F1C"/>
    <w:rsid w:val="002A1130"/>
    <w:rsid w:val="002A1880"/>
    <w:rsid w:val="002A23B7"/>
    <w:rsid w:val="002A2763"/>
    <w:rsid w:val="002A3A57"/>
    <w:rsid w:val="002A4B4F"/>
    <w:rsid w:val="002A57A8"/>
    <w:rsid w:val="002A6DEF"/>
    <w:rsid w:val="002A770B"/>
    <w:rsid w:val="002A7F9C"/>
    <w:rsid w:val="002B013E"/>
    <w:rsid w:val="002B058D"/>
    <w:rsid w:val="002B0C16"/>
    <w:rsid w:val="002B2456"/>
    <w:rsid w:val="002B2799"/>
    <w:rsid w:val="002B2891"/>
    <w:rsid w:val="002B2AC5"/>
    <w:rsid w:val="002B32ED"/>
    <w:rsid w:val="002B3528"/>
    <w:rsid w:val="002B3539"/>
    <w:rsid w:val="002B4395"/>
    <w:rsid w:val="002B4532"/>
    <w:rsid w:val="002B4DD9"/>
    <w:rsid w:val="002B5042"/>
    <w:rsid w:val="002B69CC"/>
    <w:rsid w:val="002B6D71"/>
    <w:rsid w:val="002C03AE"/>
    <w:rsid w:val="002C0C1C"/>
    <w:rsid w:val="002C16AE"/>
    <w:rsid w:val="002C362C"/>
    <w:rsid w:val="002C41BF"/>
    <w:rsid w:val="002C54C2"/>
    <w:rsid w:val="002C5D34"/>
    <w:rsid w:val="002C60BB"/>
    <w:rsid w:val="002C6131"/>
    <w:rsid w:val="002C661A"/>
    <w:rsid w:val="002D0D6F"/>
    <w:rsid w:val="002D1796"/>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E6E76"/>
    <w:rsid w:val="002F016E"/>
    <w:rsid w:val="002F051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0F23"/>
    <w:rsid w:val="00302AFC"/>
    <w:rsid w:val="00302EFC"/>
    <w:rsid w:val="00303243"/>
    <w:rsid w:val="00303BCC"/>
    <w:rsid w:val="00303F2B"/>
    <w:rsid w:val="00303F8D"/>
    <w:rsid w:val="003047EB"/>
    <w:rsid w:val="0030572D"/>
    <w:rsid w:val="0030586A"/>
    <w:rsid w:val="0030622D"/>
    <w:rsid w:val="00306811"/>
    <w:rsid w:val="00306F32"/>
    <w:rsid w:val="003074C5"/>
    <w:rsid w:val="00307A3C"/>
    <w:rsid w:val="00307FA4"/>
    <w:rsid w:val="00310290"/>
    <w:rsid w:val="00310CC1"/>
    <w:rsid w:val="003119D1"/>
    <w:rsid w:val="00312504"/>
    <w:rsid w:val="00312B89"/>
    <w:rsid w:val="00313026"/>
    <w:rsid w:val="00313913"/>
    <w:rsid w:val="0031421F"/>
    <w:rsid w:val="00314B31"/>
    <w:rsid w:val="00315A65"/>
    <w:rsid w:val="003165D7"/>
    <w:rsid w:val="0031666B"/>
    <w:rsid w:val="00316ABE"/>
    <w:rsid w:val="00317247"/>
    <w:rsid w:val="00317A77"/>
    <w:rsid w:val="00317BA7"/>
    <w:rsid w:val="003202F6"/>
    <w:rsid w:val="00320BE2"/>
    <w:rsid w:val="00321886"/>
    <w:rsid w:val="00321EDC"/>
    <w:rsid w:val="00322ACB"/>
    <w:rsid w:val="00322D02"/>
    <w:rsid w:val="00323694"/>
    <w:rsid w:val="00323BE7"/>
    <w:rsid w:val="00324C3A"/>
    <w:rsid w:val="00324D63"/>
    <w:rsid w:val="003255AF"/>
    <w:rsid w:val="003256EB"/>
    <w:rsid w:val="003259DB"/>
    <w:rsid w:val="0032795B"/>
    <w:rsid w:val="0033025D"/>
    <w:rsid w:val="003303CD"/>
    <w:rsid w:val="003314D9"/>
    <w:rsid w:val="00331653"/>
    <w:rsid w:val="00331939"/>
    <w:rsid w:val="00331A48"/>
    <w:rsid w:val="00331BCC"/>
    <w:rsid w:val="00331C2F"/>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737"/>
    <w:rsid w:val="00354AE9"/>
    <w:rsid w:val="00355C0D"/>
    <w:rsid w:val="003566A9"/>
    <w:rsid w:val="00356988"/>
    <w:rsid w:val="003569D3"/>
    <w:rsid w:val="00356CE9"/>
    <w:rsid w:val="003570BB"/>
    <w:rsid w:val="00357128"/>
    <w:rsid w:val="003573D1"/>
    <w:rsid w:val="0035755E"/>
    <w:rsid w:val="00357A80"/>
    <w:rsid w:val="003608ED"/>
    <w:rsid w:val="00361441"/>
    <w:rsid w:val="00361B8B"/>
    <w:rsid w:val="00363F39"/>
    <w:rsid w:val="003640FC"/>
    <w:rsid w:val="0036445C"/>
    <w:rsid w:val="00364627"/>
    <w:rsid w:val="00364AB0"/>
    <w:rsid w:val="00364D71"/>
    <w:rsid w:val="003667B0"/>
    <w:rsid w:val="003667DD"/>
    <w:rsid w:val="00366B48"/>
    <w:rsid w:val="0036766E"/>
    <w:rsid w:val="00367764"/>
    <w:rsid w:val="00370316"/>
    <w:rsid w:val="00370DC7"/>
    <w:rsid w:val="00371CBD"/>
    <w:rsid w:val="00371F20"/>
    <w:rsid w:val="003721E3"/>
    <w:rsid w:val="00372B98"/>
    <w:rsid w:val="003737B7"/>
    <w:rsid w:val="003740CC"/>
    <w:rsid w:val="00374163"/>
    <w:rsid w:val="003745F4"/>
    <w:rsid w:val="0037491A"/>
    <w:rsid w:val="00374E79"/>
    <w:rsid w:val="0037529A"/>
    <w:rsid w:val="00375388"/>
    <w:rsid w:val="00375559"/>
    <w:rsid w:val="00375FB9"/>
    <w:rsid w:val="00376170"/>
    <w:rsid w:val="003761B2"/>
    <w:rsid w:val="00376851"/>
    <w:rsid w:val="00376FA2"/>
    <w:rsid w:val="00377133"/>
    <w:rsid w:val="00377A3B"/>
    <w:rsid w:val="00377E3C"/>
    <w:rsid w:val="00380874"/>
    <w:rsid w:val="00380BBE"/>
    <w:rsid w:val="00381BF4"/>
    <w:rsid w:val="00381D70"/>
    <w:rsid w:val="0038235E"/>
    <w:rsid w:val="003829D0"/>
    <w:rsid w:val="0038326A"/>
    <w:rsid w:val="00383D5E"/>
    <w:rsid w:val="0038444F"/>
    <w:rsid w:val="003861F0"/>
    <w:rsid w:val="00387051"/>
    <w:rsid w:val="003870BF"/>
    <w:rsid w:val="00387ECF"/>
    <w:rsid w:val="00390133"/>
    <w:rsid w:val="0039021B"/>
    <w:rsid w:val="00390429"/>
    <w:rsid w:val="003906A0"/>
    <w:rsid w:val="00391682"/>
    <w:rsid w:val="003923D5"/>
    <w:rsid w:val="003931AF"/>
    <w:rsid w:val="0039366C"/>
    <w:rsid w:val="00393EC8"/>
    <w:rsid w:val="003943CC"/>
    <w:rsid w:val="00394E3C"/>
    <w:rsid w:val="00395C11"/>
    <w:rsid w:val="00395E42"/>
    <w:rsid w:val="0039621E"/>
    <w:rsid w:val="00396409"/>
    <w:rsid w:val="00396A2D"/>
    <w:rsid w:val="00396FC3"/>
    <w:rsid w:val="003A1431"/>
    <w:rsid w:val="003A1A94"/>
    <w:rsid w:val="003A204E"/>
    <w:rsid w:val="003A2D25"/>
    <w:rsid w:val="003A5101"/>
    <w:rsid w:val="003A5728"/>
    <w:rsid w:val="003A60E7"/>
    <w:rsid w:val="003A66A3"/>
    <w:rsid w:val="003A7092"/>
    <w:rsid w:val="003A72A1"/>
    <w:rsid w:val="003A7611"/>
    <w:rsid w:val="003A7D1F"/>
    <w:rsid w:val="003B0B6A"/>
    <w:rsid w:val="003B10E3"/>
    <w:rsid w:val="003B22F7"/>
    <w:rsid w:val="003B29CF"/>
    <w:rsid w:val="003B3A90"/>
    <w:rsid w:val="003B3D01"/>
    <w:rsid w:val="003B534F"/>
    <w:rsid w:val="003B7A79"/>
    <w:rsid w:val="003B7D00"/>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268"/>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331"/>
    <w:rsid w:val="003F1FC6"/>
    <w:rsid w:val="003F1FE3"/>
    <w:rsid w:val="003F2359"/>
    <w:rsid w:val="003F3232"/>
    <w:rsid w:val="003F335D"/>
    <w:rsid w:val="003F3865"/>
    <w:rsid w:val="003F38AC"/>
    <w:rsid w:val="003F3D55"/>
    <w:rsid w:val="003F44E2"/>
    <w:rsid w:val="003F4632"/>
    <w:rsid w:val="003F47BA"/>
    <w:rsid w:val="003F4FE6"/>
    <w:rsid w:val="003F5638"/>
    <w:rsid w:val="003F6617"/>
    <w:rsid w:val="003F7F03"/>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503"/>
    <w:rsid w:val="0041582F"/>
    <w:rsid w:val="00416112"/>
    <w:rsid w:val="00417296"/>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10F2"/>
    <w:rsid w:val="004322D6"/>
    <w:rsid w:val="00432589"/>
    <w:rsid w:val="00432A94"/>
    <w:rsid w:val="00432C95"/>
    <w:rsid w:val="00432F1D"/>
    <w:rsid w:val="00433827"/>
    <w:rsid w:val="00433A40"/>
    <w:rsid w:val="00434B70"/>
    <w:rsid w:val="004360C8"/>
    <w:rsid w:val="004365DF"/>
    <w:rsid w:val="00436823"/>
    <w:rsid w:val="004371D5"/>
    <w:rsid w:val="0044006B"/>
    <w:rsid w:val="0044033F"/>
    <w:rsid w:val="00440630"/>
    <w:rsid w:val="004417EC"/>
    <w:rsid w:val="00441F0F"/>
    <w:rsid w:val="00442965"/>
    <w:rsid w:val="004432B6"/>
    <w:rsid w:val="00444157"/>
    <w:rsid w:val="0044417C"/>
    <w:rsid w:val="00444DB3"/>
    <w:rsid w:val="00445023"/>
    <w:rsid w:val="00445617"/>
    <w:rsid w:val="00445A2F"/>
    <w:rsid w:val="004462D6"/>
    <w:rsid w:val="0044684E"/>
    <w:rsid w:val="00446F22"/>
    <w:rsid w:val="00447E4E"/>
    <w:rsid w:val="0045019F"/>
    <w:rsid w:val="004503A4"/>
    <w:rsid w:val="004504E4"/>
    <w:rsid w:val="00450555"/>
    <w:rsid w:val="004506FA"/>
    <w:rsid w:val="00450B54"/>
    <w:rsid w:val="00450DC6"/>
    <w:rsid w:val="004516A5"/>
    <w:rsid w:val="00451E9C"/>
    <w:rsid w:val="0045280F"/>
    <w:rsid w:val="004535AE"/>
    <w:rsid w:val="0045422B"/>
    <w:rsid w:val="0045444D"/>
    <w:rsid w:val="0045463A"/>
    <w:rsid w:val="00454AC9"/>
    <w:rsid w:val="00455050"/>
    <w:rsid w:val="004554A3"/>
    <w:rsid w:val="00455A6E"/>
    <w:rsid w:val="00455EAD"/>
    <w:rsid w:val="004561E1"/>
    <w:rsid w:val="004578EB"/>
    <w:rsid w:val="004604D5"/>
    <w:rsid w:val="00460697"/>
    <w:rsid w:val="0046117B"/>
    <w:rsid w:val="00461FC2"/>
    <w:rsid w:val="00464AB7"/>
    <w:rsid w:val="00464BE6"/>
    <w:rsid w:val="00464EA0"/>
    <w:rsid w:val="00465DE5"/>
    <w:rsid w:val="00466EE8"/>
    <w:rsid w:val="00467EF8"/>
    <w:rsid w:val="00470385"/>
    <w:rsid w:val="00471AC3"/>
    <w:rsid w:val="00472429"/>
    <w:rsid w:val="004725E5"/>
    <w:rsid w:val="00472751"/>
    <w:rsid w:val="00473128"/>
    <w:rsid w:val="00475078"/>
    <w:rsid w:val="00475767"/>
    <w:rsid w:val="004779A0"/>
    <w:rsid w:val="00480857"/>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3CA"/>
    <w:rsid w:val="00486D60"/>
    <w:rsid w:val="00491FA1"/>
    <w:rsid w:val="00492A25"/>
    <w:rsid w:val="004938A3"/>
    <w:rsid w:val="0049392E"/>
    <w:rsid w:val="0049558B"/>
    <w:rsid w:val="00496350"/>
    <w:rsid w:val="0049797C"/>
    <w:rsid w:val="004A0D52"/>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398"/>
    <w:rsid w:val="004A7EDE"/>
    <w:rsid w:val="004B0D93"/>
    <w:rsid w:val="004B1FA4"/>
    <w:rsid w:val="004B29AC"/>
    <w:rsid w:val="004B2B0B"/>
    <w:rsid w:val="004B35DF"/>
    <w:rsid w:val="004B3627"/>
    <w:rsid w:val="004B4922"/>
    <w:rsid w:val="004B4BFE"/>
    <w:rsid w:val="004B57DF"/>
    <w:rsid w:val="004B5976"/>
    <w:rsid w:val="004B722E"/>
    <w:rsid w:val="004B72E8"/>
    <w:rsid w:val="004B7E4F"/>
    <w:rsid w:val="004C01A5"/>
    <w:rsid w:val="004C0412"/>
    <w:rsid w:val="004C2138"/>
    <w:rsid w:val="004C3940"/>
    <w:rsid w:val="004C51FD"/>
    <w:rsid w:val="004C65A8"/>
    <w:rsid w:val="004C6689"/>
    <w:rsid w:val="004D0196"/>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279"/>
    <w:rsid w:val="004E3930"/>
    <w:rsid w:val="004E3ED9"/>
    <w:rsid w:val="004E5866"/>
    <w:rsid w:val="004E6097"/>
    <w:rsid w:val="004E61EF"/>
    <w:rsid w:val="004E63C6"/>
    <w:rsid w:val="004E76A7"/>
    <w:rsid w:val="004E7B03"/>
    <w:rsid w:val="004F0064"/>
    <w:rsid w:val="004F06AC"/>
    <w:rsid w:val="004F0B05"/>
    <w:rsid w:val="004F0E50"/>
    <w:rsid w:val="004F1D2A"/>
    <w:rsid w:val="004F243F"/>
    <w:rsid w:val="004F252C"/>
    <w:rsid w:val="004F36A3"/>
    <w:rsid w:val="004F3E0C"/>
    <w:rsid w:val="004F4308"/>
    <w:rsid w:val="004F49E3"/>
    <w:rsid w:val="004F7160"/>
    <w:rsid w:val="004F7DD0"/>
    <w:rsid w:val="00500258"/>
    <w:rsid w:val="00500B2D"/>
    <w:rsid w:val="00501A99"/>
    <w:rsid w:val="005026DA"/>
    <w:rsid w:val="00503180"/>
    <w:rsid w:val="005038A4"/>
    <w:rsid w:val="005048D1"/>
    <w:rsid w:val="00504CD4"/>
    <w:rsid w:val="0050524B"/>
    <w:rsid w:val="00505450"/>
    <w:rsid w:val="00505FC6"/>
    <w:rsid w:val="00506449"/>
    <w:rsid w:val="00506C5E"/>
    <w:rsid w:val="00507C85"/>
    <w:rsid w:val="005100B7"/>
    <w:rsid w:val="005105DE"/>
    <w:rsid w:val="005113C9"/>
    <w:rsid w:val="00511D0F"/>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2B3"/>
    <w:rsid w:val="0052239D"/>
    <w:rsid w:val="005224EE"/>
    <w:rsid w:val="00522879"/>
    <w:rsid w:val="00523BB1"/>
    <w:rsid w:val="00524B23"/>
    <w:rsid w:val="0052570E"/>
    <w:rsid w:val="005260CD"/>
    <w:rsid w:val="00526265"/>
    <w:rsid w:val="0052655D"/>
    <w:rsid w:val="005265E0"/>
    <w:rsid w:val="00526BC3"/>
    <w:rsid w:val="00526FA3"/>
    <w:rsid w:val="00530064"/>
    <w:rsid w:val="00531761"/>
    <w:rsid w:val="0053248F"/>
    <w:rsid w:val="005327AB"/>
    <w:rsid w:val="00533307"/>
    <w:rsid w:val="0053332A"/>
    <w:rsid w:val="0053358A"/>
    <w:rsid w:val="00534668"/>
    <w:rsid w:val="00534DDD"/>
    <w:rsid w:val="00534F6B"/>
    <w:rsid w:val="00535291"/>
    <w:rsid w:val="00535A94"/>
    <w:rsid w:val="00537874"/>
    <w:rsid w:val="0053795F"/>
    <w:rsid w:val="00537D3D"/>
    <w:rsid w:val="00540112"/>
    <w:rsid w:val="00540511"/>
    <w:rsid w:val="00540578"/>
    <w:rsid w:val="00540808"/>
    <w:rsid w:val="0054080E"/>
    <w:rsid w:val="00540D1A"/>
    <w:rsid w:val="00540DE5"/>
    <w:rsid w:val="00540EA1"/>
    <w:rsid w:val="00541E5A"/>
    <w:rsid w:val="0054358E"/>
    <w:rsid w:val="00543AF4"/>
    <w:rsid w:val="00543F53"/>
    <w:rsid w:val="00544191"/>
    <w:rsid w:val="0054440C"/>
    <w:rsid w:val="00544838"/>
    <w:rsid w:val="005448EC"/>
    <w:rsid w:val="00544C0A"/>
    <w:rsid w:val="00544F39"/>
    <w:rsid w:val="005457FB"/>
    <w:rsid w:val="00545891"/>
    <w:rsid w:val="00546B96"/>
    <w:rsid w:val="00546F90"/>
    <w:rsid w:val="00547EFB"/>
    <w:rsid w:val="00550192"/>
    <w:rsid w:val="005522F2"/>
    <w:rsid w:val="00552D0F"/>
    <w:rsid w:val="005531DF"/>
    <w:rsid w:val="00553874"/>
    <w:rsid w:val="00553DCE"/>
    <w:rsid w:val="00554577"/>
    <w:rsid w:val="00554AD8"/>
    <w:rsid w:val="00554F78"/>
    <w:rsid w:val="00555DA1"/>
    <w:rsid w:val="00556BF7"/>
    <w:rsid w:val="00556E53"/>
    <w:rsid w:val="00556F1B"/>
    <w:rsid w:val="00557F60"/>
    <w:rsid w:val="00560244"/>
    <w:rsid w:val="00560E2E"/>
    <w:rsid w:val="00561730"/>
    <w:rsid w:val="00561B97"/>
    <w:rsid w:val="00562149"/>
    <w:rsid w:val="005640EB"/>
    <w:rsid w:val="005666A4"/>
    <w:rsid w:val="00566791"/>
    <w:rsid w:val="00567B5D"/>
    <w:rsid w:val="00570757"/>
    <w:rsid w:val="00573733"/>
    <w:rsid w:val="00573F8B"/>
    <w:rsid w:val="00574554"/>
    <w:rsid w:val="00574E06"/>
    <w:rsid w:val="005751BB"/>
    <w:rsid w:val="005751CF"/>
    <w:rsid w:val="00576089"/>
    <w:rsid w:val="005764B1"/>
    <w:rsid w:val="00576852"/>
    <w:rsid w:val="005769E3"/>
    <w:rsid w:val="00576D06"/>
    <w:rsid w:val="005779E4"/>
    <w:rsid w:val="00580EC7"/>
    <w:rsid w:val="0058289C"/>
    <w:rsid w:val="005836C7"/>
    <w:rsid w:val="0058408E"/>
    <w:rsid w:val="005844C3"/>
    <w:rsid w:val="00585374"/>
    <w:rsid w:val="005854CA"/>
    <w:rsid w:val="00585FAB"/>
    <w:rsid w:val="00586E74"/>
    <w:rsid w:val="00587916"/>
    <w:rsid w:val="00590B77"/>
    <w:rsid w:val="00590D9A"/>
    <w:rsid w:val="005913A3"/>
    <w:rsid w:val="00591A5A"/>
    <w:rsid w:val="005940D4"/>
    <w:rsid w:val="00594A7B"/>
    <w:rsid w:val="0059580E"/>
    <w:rsid w:val="00595D90"/>
    <w:rsid w:val="00596A6F"/>
    <w:rsid w:val="00596FCE"/>
    <w:rsid w:val="00597771"/>
    <w:rsid w:val="005A11BC"/>
    <w:rsid w:val="005A1525"/>
    <w:rsid w:val="005A1E17"/>
    <w:rsid w:val="005A2254"/>
    <w:rsid w:val="005A252B"/>
    <w:rsid w:val="005A2A8F"/>
    <w:rsid w:val="005A3008"/>
    <w:rsid w:val="005A3204"/>
    <w:rsid w:val="005A3341"/>
    <w:rsid w:val="005A3C3D"/>
    <w:rsid w:val="005A46EC"/>
    <w:rsid w:val="005A5EAE"/>
    <w:rsid w:val="005A6407"/>
    <w:rsid w:val="005A726C"/>
    <w:rsid w:val="005B0458"/>
    <w:rsid w:val="005B07EC"/>
    <w:rsid w:val="005B2285"/>
    <w:rsid w:val="005B2B11"/>
    <w:rsid w:val="005B32A4"/>
    <w:rsid w:val="005B3371"/>
    <w:rsid w:val="005B338D"/>
    <w:rsid w:val="005B33A1"/>
    <w:rsid w:val="005B3852"/>
    <w:rsid w:val="005B3BAF"/>
    <w:rsid w:val="005B4DA3"/>
    <w:rsid w:val="005B5BEE"/>
    <w:rsid w:val="005B77D2"/>
    <w:rsid w:val="005C0195"/>
    <w:rsid w:val="005C019B"/>
    <w:rsid w:val="005C08D0"/>
    <w:rsid w:val="005C1603"/>
    <w:rsid w:val="005C1AED"/>
    <w:rsid w:val="005C2136"/>
    <w:rsid w:val="005C30F5"/>
    <w:rsid w:val="005C3840"/>
    <w:rsid w:val="005C51A5"/>
    <w:rsid w:val="005C557A"/>
    <w:rsid w:val="005C566F"/>
    <w:rsid w:val="005C5C47"/>
    <w:rsid w:val="005C61DD"/>
    <w:rsid w:val="005C6438"/>
    <w:rsid w:val="005C6B8B"/>
    <w:rsid w:val="005C727F"/>
    <w:rsid w:val="005C76FB"/>
    <w:rsid w:val="005D02E3"/>
    <w:rsid w:val="005D1F34"/>
    <w:rsid w:val="005D2C1F"/>
    <w:rsid w:val="005D34B2"/>
    <w:rsid w:val="005D3B54"/>
    <w:rsid w:val="005D40CD"/>
    <w:rsid w:val="005D4979"/>
    <w:rsid w:val="005D6B59"/>
    <w:rsid w:val="005D784B"/>
    <w:rsid w:val="005E03E4"/>
    <w:rsid w:val="005E0454"/>
    <w:rsid w:val="005E05F6"/>
    <w:rsid w:val="005E1B9D"/>
    <w:rsid w:val="005E1BDA"/>
    <w:rsid w:val="005E2442"/>
    <w:rsid w:val="005E3111"/>
    <w:rsid w:val="005E3CA0"/>
    <w:rsid w:val="005E3F85"/>
    <w:rsid w:val="005E472F"/>
    <w:rsid w:val="005E4A5F"/>
    <w:rsid w:val="005E516A"/>
    <w:rsid w:val="005E57B0"/>
    <w:rsid w:val="005E5B01"/>
    <w:rsid w:val="005E6D3B"/>
    <w:rsid w:val="005E7538"/>
    <w:rsid w:val="005E7D97"/>
    <w:rsid w:val="005F009E"/>
    <w:rsid w:val="005F0DF1"/>
    <w:rsid w:val="005F1516"/>
    <w:rsid w:val="005F1A6F"/>
    <w:rsid w:val="005F229E"/>
    <w:rsid w:val="005F2564"/>
    <w:rsid w:val="005F3822"/>
    <w:rsid w:val="005F4635"/>
    <w:rsid w:val="005F4900"/>
    <w:rsid w:val="005F4E52"/>
    <w:rsid w:val="005F5D0C"/>
    <w:rsid w:val="005F6D58"/>
    <w:rsid w:val="005F7383"/>
    <w:rsid w:val="0060058E"/>
    <w:rsid w:val="006009F6"/>
    <w:rsid w:val="00600C9D"/>
    <w:rsid w:val="00602A3C"/>
    <w:rsid w:val="00603CBD"/>
    <w:rsid w:val="00603EFD"/>
    <w:rsid w:val="0060475B"/>
    <w:rsid w:val="00604BED"/>
    <w:rsid w:val="00604FB6"/>
    <w:rsid w:val="006052E4"/>
    <w:rsid w:val="00605387"/>
    <w:rsid w:val="00605E40"/>
    <w:rsid w:val="00606302"/>
    <w:rsid w:val="00606C59"/>
    <w:rsid w:val="006076FD"/>
    <w:rsid w:val="00610357"/>
    <w:rsid w:val="0061077B"/>
    <w:rsid w:val="00610811"/>
    <w:rsid w:val="0061143F"/>
    <w:rsid w:val="006114D8"/>
    <w:rsid w:val="00612F5F"/>
    <w:rsid w:val="00613553"/>
    <w:rsid w:val="00613601"/>
    <w:rsid w:val="00613791"/>
    <w:rsid w:val="006150D6"/>
    <w:rsid w:val="00615245"/>
    <w:rsid w:val="0061590D"/>
    <w:rsid w:val="00615AAB"/>
    <w:rsid w:val="00617EEE"/>
    <w:rsid w:val="00620A1F"/>
    <w:rsid w:val="0062114B"/>
    <w:rsid w:val="0062169D"/>
    <w:rsid w:val="0062181E"/>
    <w:rsid w:val="006218DD"/>
    <w:rsid w:val="0062211B"/>
    <w:rsid w:val="00622BB7"/>
    <w:rsid w:val="00622C1E"/>
    <w:rsid w:val="00623389"/>
    <w:rsid w:val="00623DAA"/>
    <w:rsid w:val="00623FAF"/>
    <w:rsid w:val="006265C4"/>
    <w:rsid w:val="0062678A"/>
    <w:rsid w:val="006270AF"/>
    <w:rsid w:val="00632950"/>
    <w:rsid w:val="00634367"/>
    <w:rsid w:val="00635C0A"/>
    <w:rsid w:val="00636CE3"/>
    <w:rsid w:val="00640082"/>
    <w:rsid w:val="00640291"/>
    <w:rsid w:val="00640CE0"/>
    <w:rsid w:val="00640EFE"/>
    <w:rsid w:val="00641573"/>
    <w:rsid w:val="00641D6D"/>
    <w:rsid w:val="00641FAC"/>
    <w:rsid w:val="00642B2C"/>
    <w:rsid w:val="00643664"/>
    <w:rsid w:val="00643CAA"/>
    <w:rsid w:val="00644740"/>
    <w:rsid w:val="00644F16"/>
    <w:rsid w:val="006455EB"/>
    <w:rsid w:val="006456C2"/>
    <w:rsid w:val="00645A65"/>
    <w:rsid w:val="00646959"/>
    <w:rsid w:val="00646A71"/>
    <w:rsid w:val="006477F0"/>
    <w:rsid w:val="006478E4"/>
    <w:rsid w:val="00650475"/>
    <w:rsid w:val="0065171A"/>
    <w:rsid w:val="00652680"/>
    <w:rsid w:val="00653CDE"/>
    <w:rsid w:val="00654585"/>
    <w:rsid w:val="0065566E"/>
    <w:rsid w:val="00655A89"/>
    <w:rsid w:val="00655AB6"/>
    <w:rsid w:val="00655EFA"/>
    <w:rsid w:val="00656061"/>
    <w:rsid w:val="00656281"/>
    <w:rsid w:val="0065636A"/>
    <w:rsid w:val="00657003"/>
    <w:rsid w:val="00660238"/>
    <w:rsid w:val="006602EF"/>
    <w:rsid w:val="00660B0C"/>
    <w:rsid w:val="00661277"/>
    <w:rsid w:val="006619E0"/>
    <w:rsid w:val="00663FEA"/>
    <w:rsid w:val="00664803"/>
    <w:rsid w:val="006657C5"/>
    <w:rsid w:val="006661A4"/>
    <w:rsid w:val="00666AC0"/>
    <w:rsid w:val="00666C51"/>
    <w:rsid w:val="006670E0"/>
    <w:rsid w:val="006671B8"/>
    <w:rsid w:val="00667275"/>
    <w:rsid w:val="00667532"/>
    <w:rsid w:val="0066783E"/>
    <w:rsid w:val="00667E53"/>
    <w:rsid w:val="006706C3"/>
    <w:rsid w:val="006711C4"/>
    <w:rsid w:val="006713AB"/>
    <w:rsid w:val="00672CA5"/>
    <w:rsid w:val="00673711"/>
    <w:rsid w:val="00673F82"/>
    <w:rsid w:val="00674F74"/>
    <w:rsid w:val="0067508F"/>
    <w:rsid w:val="00677576"/>
    <w:rsid w:val="0068051E"/>
    <w:rsid w:val="00680B9D"/>
    <w:rsid w:val="00681F13"/>
    <w:rsid w:val="0068231C"/>
    <w:rsid w:val="00682332"/>
    <w:rsid w:val="00682344"/>
    <w:rsid w:val="00682F28"/>
    <w:rsid w:val="00683515"/>
    <w:rsid w:val="00683804"/>
    <w:rsid w:val="00684842"/>
    <w:rsid w:val="006854D9"/>
    <w:rsid w:val="006859AA"/>
    <w:rsid w:val="00685BD6"/>
    <w:rsid w:val="00687116"/>
    <w:rsid w:val="006878A6"/>
    <w:rsid w:val="00687D5F"/>
    <w:rsid w:val="00690437"/>
    <w:rsid w:val="00690830"/>
    <w:rsid w:val="00690DC3"/>
    <w:rsid w:val="00690E65"/>
    <w:rsid w:val="006911B7"/>
    <w:rsid w:val="00691387"/>
    <w:rsid w:val="0069188E"/>
    <w:rsid w:val="00691974"/>
    <w:rsid w:val="00692BF6"/>
    <w:rsid w:val="00692CE6"/>
    <w:rsid w:val="00693186"/>
    <w:rsid w:val="00693381"/>
    <w:rsid w:val="00693B6C"/>
    <w:rsid w:val="006942AE"/>
    <w:rsid w:val="00694C82"/>
    <w:rsid w:val="00695421"/>
    <w:rsid w:val="00697626"/>
    <w:rsid w:val="00697BD3"/>
    <w:rsid w:val="00697DFA"/>
    <w:rsid w:val="006A16D5"/>
    <w:rsid w:val="006A1772"/>
    <w:rsid w:val="006A1780"/>
    <w:rsid w:val="006A21DD"/>
    <w:rsid w:val="006A26C6"/>
    <w:rsid w:val="006A3302"/>
    <w:rsid w:val="006A3B28"/>
    <w:rsid w:val="006A4FEE"/>
    <w:rsid w:val="006A5549"/>
    <w:rsid w:val="006A703E"/>
    <w:rsid w:val="006A7721"/>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0A8"/>
    <w:rsid w:val="006C16C3"/>
    <w:rsid w:val="006C2187"/>
    <w:rsid w:val="006C27D9"/>
    <w:rsid w:val="006C32F4"/>
    <w:rsid w:val="006C3C54"/>
    <w:rsid w:val="006C4657"/>
    <w:rsid w:val="006C4B6B"/>
    <w:rsid w:val="006C4CE1"/>
    <w:rsid w:val="006C4F9F"/>
    <w:rsid w:val="006C5FE5"/>
    <w:rsid w:val="006C71A2"/>
    <w:rsid w:val="006C73EC"/>
    <w:rsid w:val="006D0C1D"/>
    <w:rsid w:val="006D28F3"/>
    <w:rsid w:val="006D2E9D"/>
    <w:rsid w:val="006D4A4E"/>
    <w:rsid w:val="006D4C42"/>
    <w:rsid w:val="006D4F79"/>
    <w:rsid w:val="006D5389"/>
    <w:rsid w:val="006D53A2"/>
    <w:rsid w:val="006D5809"/>
    <w:rsid w:val="006D607E"/>
    <w:rsid w:val="006D6E12"/>
    <w:rsid w:val="006D70CB"/>
    <w:rsid w:val="006D715C"/>
    <w:rsid w:val="006D7363"/>
    <w:rsid w:val="006D774E"/>
    <w:rsid w:val="006E04A1"/>
    <w:rsid w:val="006E0754"/>
    <w:rsid w:val="006E2668"/>
    <w:rsid w:val="006E2D39"/>
    <w:rsid w:val="006E2FE9"/>
    <w:rsid w:val="006E32B0"/>
    <w:rsid w:val="006E348E"/>
    <w:rsid w:val="006E396A"/>
    <w:rsid w:val="006E3D63"/>
    <w:rsid w:val="006E42EC"/>
    <w:rsid w:val="006E58BF"/>
    <w:rsid w:val="006E5DD8"/>
    <w:rsid w:val="006E5EA1"/>
    <w:rsid w:val="006E6DEE"/>
    <w:rsid w:val="006E7D4B"/>
    <w:rsid w:val="006F018A"/>
    <w:rsid w:val="006F0760"/>
    <w:rsid w:val="006F11E2"/>
    <w:rsid w:val="006F168D"/>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676B"/>
    <w:rsid w:val="0070796C"/>
    <w:rsid w:val="007106C8"/>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2DA"/>
    <w:rsid w:val="00725378"/>
    <w:rsid w:val="00727A43"/>
    <w:rsid w:val="00727FF2"/>
    <w:rsid w:val="00730550"/>
    <w:rsid w:val="00730C2A"/>
    <w:rsid w:val="00731434"/>
    <w:rsid w:val="00731E59"/>
    <w:rsid w:val="00732022"/>
    <w:rsid w:val="00732337"/>
    <w:rsid w:val="007323E0"/>
    <w:rsid w:val="00732911"/>
    <w:rsid w:val="00733721"/>
    <w:rsid w:val="00733DE2"/>
    <w:rsid w:val="00734142"/>
    <w:rsid w:val="007352EA"/>
    <w:rsid w:val="00737267"/>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56A"/>
    <w:rsid w:val="00756AB7"/>
    <w:rsid w:val="0076106D"/>
    <w:rsid w:val="00761863"/>
    <w:rsid w:val="007623FB"/>
    <w:rsid w:val="00762517"/>
    <w:rsid w:val="00763240"/>
    <w:rsid w:val="0076376A"/>
    <w:rsid w:val="007648AD"/>
    <w:rsid w:val="0076504E"/>
    <w:rsid w:val="00765437"/>
    <w:rsid w:val="007656D8"/>
    <w:rsid w:val="00767BFD"/>
    <w:rsid w:val="00767EA0"/>
    <w:rsid w:val="0077068F"/>
    <w:rsid w:val="00771439"/>
    <w:rsid w:val="00771EDF"/>
    <w:rsid w:val="00772A90"/>
    <w:rsid w:val="00772F8D"/>
    <w:rsid w:val="0077408D"/>
    <w:rsid w:val="00774270"/>
    <w:rsid w:val="007743F6"/>
    <w:rsid w:val="0077478A"/>
    <w:rsid w:val="00775679"/>
    <w:rsid w:val="0077574F"/>
    <w:rsid w:val="00775823"/>
    <w:rsid w:val="00777153"/>
    <w:rsid w:val="007777CC"/>
    <w:rsid w:val="00777B32"/>
    <w:rsid w:val="0078051E"/>
    <w:rsid w:val="00781089"/>
    <w:rsid w:val="00782B59"/>
    <w:rsid w:val="007838F3"/>
    <w:rsid w:val="007856FE"/>
    <w:rsid w:val="00785F46"/>
    <w:rsid w:val="007865F4"/>
    <w:rsid w:val="00786D5C"/>
    <w:rsid w:val="00786E96"/>
    <w:rsid w:val="00787BB6"/>
    <w:rsid w:val="00787BEB"/>
    <w:rsid w:val="00787DFF"/>
    <w:rsid w:val="00787F93"/>
    <w:rsid w:val="00791E6D"/>
    <w:rsid w:val="00791EB5"/>
    <w:rsid w:val="0079343F"/>
    <w:rsid w:val="00793696"/>
    <w:rsid w:val="007955DA"/>
    <w:rsid w:val="00796CDD"/>
    <w:rsid w:val="00796DDF"/>
    <w:rsid w:val="00796F65"/>
    <w:rsid w:val="007A11C2"/>
    <w:rsid w:val="007A18BB"/>
    <w:rsid w:val="007A2714"/>
    <w:rsid w:val="007A27DD"/>
    <w:rsid w:val="007A338C"/>
    <w:rsid w:val="007A41BF"/>
    <w:rsid w:val="007A490A"/>
    <w:rsid w:val="007A7B95"/>
    <w:rsid w:val="007B0297"/>
    <w:rsid w:val="007B02FA"/>
    <w:rsid w:val="007B0F53"/>
    <w:rsid w:val="007B21AE"/>
    <w:rsid w:val="007B2570"/>
    <w:rsid w:val="007B3113"/>
    <w:rsid w:val="007B3304"/>
    <w:rsid w:val="007B3BF0"/>
    <w:rsid w:val="007B5FE6"/>
    <w:rsid w:val="007B7490"/>
    <w:rsid w:val="007C007F"/>
    <w:rsid w:val="007C03B6"/>
    <w:rsid w:val="007C0525"/>
    <w:rsid w:val="007C13F7"/>
    <w:rsid w:val="007C1D77"/>
    <w:rsid w:val="007C218D"/>
    <w:rsid w:val="007C2D28"/>
    <w:rsid w:val="007C3E22"/>
    <w:rsid w:val="007C4801"/>
    <w:rsid w:val="007C58C1"/>
    <w:rsid w:val="007C6218"/>
    <w:rsid w:val="007C6484"/>
    <w:rsid w:val="007C67C6"/>
    <w:rsid w:val="007C76F4"/>
    <w:rsid w:val="007C78BE"/>
    <w:rsid w:val="007C7A5D"/>
    <w:rsid w:val="007C7E59"/>
    <w:rsid w:val="007D0476"/>
    <w:rsid w:val="007D0B91"/>
    <w:rsid w:val="007D0FE7"/>
    <w:rsid w:val="007D1452"/>
    <w:rsid w:val="007D1563"/>
    <w:rsid w:val="007D1FC5"/>
    <w:rsid w:val="007D3DCB"/>
    <w:rsid w:val="007D460C"/>
    <w:rsid w:val="007D4996"/>
    <w:rsid w:val="007D4AD3"/>
    <w:rsid w:val="007D5D19"/>
    <w:rsid w:val="007D5FDC"/>
    <w:rsid w:val="007D6176"/>
    <w:rsid w:val="007D69CD"/>
    <w:rsid w:val="007D6C3F"/>
    <w:rsid w:val="007D6D68"/>
    <w:rsid w:val="007E1015"/>
    <w:rsid w:val="007E194F"/>
    <w:rsid w:val="007E32DA"/>
    <w:rsid w:val="007E4998"/>
    <w:rsid w:val="007E4A9C"/>
    <w:rsid w:val="007E567C"/>
    <w:rsid w:val="007E6914"/>
    <w:rsid w:val="007E7A0F"/>
    <w:rsid w:val="007E7F78"/>
    <w:rsid w:val="007F0179"/>
    <w:rsid w:val="007F01BC"/>
    <w:rsid w:val="007F1326"/>
    <w:rsid w:val="007F17AF"/>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472"/>
    <w:rsid w:val="00810BB6"/>
    <w:rsid w:val="00810E8E"/>
    <w:rsid w:val="00812C44"/>
    <w:rsid w:val="008135E1"/>
    <w:rsid w:val="00813779"/>
    <w:rsid w:val="00813E26"/>
    <w:rsid w:val="0081481D"/>
    <w:rsid w:val="00814BE8"/>
    <w:rsid w:val="00814F6E"/>
    <w:rsid w:val="00815ADF"/>
    <w:rsid w:val="00815B84"/>
    <w:rsid w:val="00816342"/>
    <w:rsid w:val="008166F6"/>
    <w:rsid w:val="00816BE9"/>
    <w:rsid w:val="00817113"/>
    <w:rsid w:val="00817D10"/>
    <w:rsid w:val="00822518"/>
    <w:rsid w:val="008226F5"/>
    <w:rsid w:val="00823FC6"/>
    <w:rsid w:val="00824189"/>
    <w:rsid w:val="00824306"/>
    <w:rsid w:val="0082465B"/>
    <w:rsid w:val="00825C74"/>
    <w:rsid w:val="00825CFA"/>
    <w:rsid w:val="00826AB9"/>
    <w:rsid w:val="00826E0E"/>
    <w:rsid w:val="00827D11"/>
    <w:rsid w:val="00827E0F"/>
    <w:rsid w:val="00827F6E"/>
    <w:rsid w:val="00830DD8"/>
    <w:rsid w:val="00831758"/>
    <w:rsid w:val="008317D9"/>
    <w:rsid w:val="00831AEC"/>
    <w:rsid w:val="0083279F"/>
    <w:rsid w:val="00832CE9"/>
    <w:rsid w:val="008334DB"/>
    <w:rsid w:val="00833B7F"/>
    <w:rsid w:val="00833E8E"/>
    <w:rsid w:val="00834906"/>
    <w:rsid w:val="00836075"/>
    <w:rsid w:val="00836417"/>
    <w:rsid w:val="00837526"/>
    <w:rsid w:val="008407A7"/>
    <w:rsid w:val="0084322B"/>
    <w:rsid w:val="00843F81"/>
    <w:rsid w:val="00844087"/>
    <w:rsid w:val="008444DE"/>
    <w:rsid w:val="008448F1"/>
    <w:rsid w:val="0084519E"/>
    <w:rsid w:val="00845CAE"/>
    <w:rsid w:val="008462C5"/>
    <w:rsid w:val="008462FA"/>
    <w:rsid w:val="00846370"/>
    <w:rsid w:val="00846873"/>
    <w:rsid w:val="008477E7"/>
    <w:rsid w:val="00847C2B"/>
    <w:rsid w:val="00850272"/>
    <w:rsid w:val="008506B9"/>
    <w:rsid w:val="0085086F"/>
    <w:rsid w:val="00851822"/>
    <w:rsid w:val="008518D6"/>
    <w:rsid w:val="00851C16"/>
    <w:rsid w:val="00851D27"/>
    <w:rsid w:val="008532BF"/>
    <w:rsid w:val="008539B2"/>
    <w:rsid w:val="00853BF4"/>
    <w:rsid w:val="00854294"/>
    <w:rsid w:val="00854295"/>
    <w:rsid w:val="0085572E"/>
    <w:rsid w:val="0085788B"/>
    <w:rsid w:val="00857A9E"/>
    <w:rsid w:val="00857DE2"/>
    <w:rsid w:val="0086003D"/>
    <w:rsid w:val="00861521"/>
    <w:rsid w:val="008631A2"/>
    <w:rsid w:val="00863A8E"/>
    <w:rsid w:val="0086407F"/>
    <w:rsid w:val="008645E3"/>
    <w:rsid w:val="00864E79"/>
    <w:rsid w:val="0086572B"/>
    <w:rsid w:val="00866615"/>
    <w:rsid w:val="0086661F"/>
    <w:rsid w:val="00866A0D"/>
    <w:rsid w:val="00866DB5"/>
    <w:rsid w:val="0086701D"/>
    <w:rsid w:val="0086702B"/>
    <w:rsid w:val="008672E2"/>
    <w:rsid w:val="0086784E"/>
    <w:rsid w:val="008709D1"/>
    <w:rsid w:val="0087121C"/>
    <w:rsid w:val="00871FD2"/>
    <w:rsid w:val="00872084"/>
    <w:rsid w:val="00872827"/>
    <w:rsid w:val="00872A32"/>
    <w:rsid w:val="0087377C"/>
    <w:rsid w:val="008743E3"/>
    <w:rsid w:val="00874911"/>
    <w:rsid w:val="008754E4"/>
    <w:rsid w:val="00876EAE"/>
    <w:rsid w:val="00880106"/>
    <w:rsid w:val="00880F95"/>
    <w:rsid w:val="00882B44"/>
    <w:rsid w:val="008838AD"/>
    <w:rsid w:val="00885BC9"/>
    <w:rsid w:val="008864B3"/>
    <w:rsid w:val="008865E5"/>
    <w:rsid w:val="008871B0"/>
    <w:rsid w:val="00890B57"/>
    <w:rsid w:val="008916BA"/>
    <w:rsid w:val="00891A93"/>
    <w:rsid w:val="00891F64"/>
    <w:rsid w:val="0089217C"/>
    <w:rsid w:val="00892790"/>
    <w:rsid w:val="00893261"/>
    <w:rsid w:val="00893671"/>
    <w:rsid w:val="00895838"/>
    <w:rsid w:val="00895A1E"/>
    <w:rsid w:val="00895A72"/>
    <w:rsid w:val="00895CDF"/>
    <w:rsid w:val="00895DF6"/>
    <w:rsid w:val="00896679"/>
    <w:rsid w:val="00896D8C"/>
    <w:rsid w:val="008973B2"/>
    <w:rsid w:val="008A0FC9"/>
    <w:rsid w:val="008A1956"/>
    <w:rsid w:val="008A1A7C"/>
    <w:rsid w:val="008A248A"/>
    <w:rsid w:val="008A2CE2"/>
    <w:rsid w:val="008A392F"/>
    <w:rsid w:val="008A3BEC"/>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214"/>
    <w:rsid w:val="008C6341"/>
    <w:rsid w:val="008C653D"/>
    <w:rsid w:val="008C731F"/>
    <w:rsid w:val="008C74D9"/>
    <w:rsid w:val="008D19DA"/>
    <w:rsid w:val="008D2050"/>
    <w:rsid w:val="008D3B2D"/>
    <w:rsid w:val="008D4819"/>
    <w:rsid w:val="008D58D9"/>
    <w:rsid w:val="008D5AD4"/>
    <w:rsid w:val="008D5E24"/>
    <w:rsid w:val="008D695E"/>
    <w:rsid w:val="008D6DD5"/>
    <w:rsid w:val="008D6E59"/>
    <w:rsid w:val="008D7155"/>
    <w:rsid w:val="008D76E0"/>
    <w:rsid w:val="008D7A3C"/>
    <w:rsid w:val="008E08F5"/>
    <w:rsid w:val="008E0B29"/>
    <w:rsid w:val="008E141A"/>
    <w:rsid w:val="008E1A44"/>
    <w:rsid w:val="008E28E6"/>
    <w:rsid w:val="008E3232"/>
    <w:rsid w:val="008E3674"/>
    <w:rsid w:val="008E3B6C"/>
    <w:rsid w:val="008E3DE7"/>
    <w:rsid w:val="008E5227"/>
    <w:rsid w:val="008E562C"/>
    <w:rsid w:val="008E6540"/>
    <w:rsid w:val="008E77D4"/>
    <w:rsid w:val="008E7ADD"/>
    <w:rsid w:val="008F091F"/>
    <w:rsid w:val="008F17B2"/>
    <w:rsid w:val="008F22B3"/>
    <w:rsid w:val="008F357B"/>
    <w:rsid w:val="008F44CA"/>
    <w:rsid w:val="008F49D3"/>
    <w:rsid w:val="008F5921"/>
    <w:rsid w:val="008F6519"/>
    <w:rsid w:val="008F7012"/>
    <w:rsid w:val="008F7ADA"/>
    <w:rsid w:val="008F7B17"/>
    <w:rsid w:val="00900042"/>
    <w:rsid w:val="0090034B"/>
    <w:rsid w:val="0090087C"/>
    <w:rsid w:val="00901121"/>
    <w:rsid w:val="00901547"/>
    <w:rsid w:val="00902623"/>
    <w:rsid w:val="00902A67"/>
    <w:rsid w:val="00902C5E"/>
    <w:rsid w:val="00904BE4"/>
    <w:rsid w:val="0090504A"/>
    <w:rsid w:val="009051F5"/>
    <w:rsid w:val="00905221"/>
    <w:rsid w:val="00905664"/>
    <w:rsid w:val="0090596F"/>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6E66"/>
    <w:rsid w:val="00927028"/>
    <w:rsid w:val="0092756F"/>
    <w:rsid w:val="00927763"/>
    <w:rsid w:val="00927A2D"/>
    <w:rsid w:val="00927B37"/>
    <w:rsid w:val="009321B1"/>
    <w:rsid w:val="009327F0"/>
    <w:rsid w:val="00932ED7"/>
    <w:rsid w:val="0093422D"/>
    <w:rsid w:val="0093483B"/>
    <w:rsid w:val="00934CF9"/>
    <w:rsid w:val="00934DD7"/>
    <w:rsid w:val="0093555C"/>
    <w:rsid w:val="00935CB2"/>
    <w:rsid w:val="009369A9"/>
    <w:rsid w:val="00936CF7"/>
    <w:rsid w:val="00937783"/>
    <w:rsid w:val="00937EAD"/>
    <w:rsid w:val="00937F28"/>
    <w:rsid w:val="00940FE1"/>
    <w:rsid w:val="00941474"/>
    <w:rsid w:val="00942306"/>
    <w:rsid w:val="009424B8"/>
    <w:rsid w:val="009432E2"/>
    <w:rsid w:val="00944668"/>
    <w:rsid w:val="00944DC6"/>
    <w:rsid w:val="0094545B"/>
    <w:rsid w:val="00945644"/>
    <w:rsid w:val="0094579F"/>
    <w:rsid w:val="009458B0"/>
    <w:rsid w:val="00945B52"/>
    <w:rsid w:val="00945B7A"/>
    <w:rsid w:val="00945F05"/>
    <w:rsid w:val="00946348"/>
    <w:rsid w:val="00946D8A"/>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5789E"/>
    <w:rsid w:val="009608E6"/>
    <w:rsid w:val="00960F57"/>
    <w:rsid w:val="00961C90"/>
    <w:rsid w:val="00965443"/>
    <w:rsid w:val="00965954"/>
    <w:rsid w:val="00965A21"/>
    <w:rsid w:val="00965E55"/>
    <w:rsid w:val="0096608E"/>
    <w:rsid w:val="00966522"/>
    <w:rsid w:val="00966C33"/>
    <w:rsid w:val="00970F18"/>
    <w:rsid w:val="00971CF1"/>
    <w:rsid w:val="00971F5D"/>
    <w:rsid w:val="0097206B"/>
    <w:rsid w:val="009721E9"/>
    <w:rsid w:val="00973772"/>
    <w:rsid w:val="009739F8"/>
    <w:rsid w:val="00974C8A"/>
    <w:rsid w:val="0097560A"/>
    <w:rsid w:val="00975E1E"/>
    <w:rsid w:val="00975E70"/>
    <w:rsid w:val="009761DE"/>
    <w:rsid w:val="009766FA"/>
    <w:rsid w:val="009779D8"/>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1A4"/>
    <w:rsid w:val="00995D67"/>
    <w:rsid w:val="00997613"/>
    <w:rsid w:val="009A013B"/>
    <w:rsid w:val="009A02F4"/>
    <w:rsid w:val="009A06BF"/>
    <w:rsid w:val="009A0D17"/>
    <w:rsid w:val="009A1FD8"/>
    <w:rsid w:val="009A2494"/>
    <w:rsid w:val="009A32B1"/>
    <w:rsid w:val="009A33A3"/>
    <w:rsid w:val="009A36F2"/>
    <w:rsid w:val="009A383D"/>
    <w:rsid w:val="009A3BCA"/>
    <w:rsid w:val="009A3C81"/>
    <w:rsid w:val="009A40C3"/>
    <w:rsid w:val="009A40D5"/>
    <w:rsid w:val="009A5268"/>
    <w:rsid w:val="009A56B1"/>
    <w:rsid w:val="009A57D0"/>
    <w:rsid w:val="009A6559"/>
    <w:rsid w:val="009A68FC"/>
    <w:rsid w:val="009A6CE4"/>
    <w:rsid w:val="009A7514"/>
    <w:rsid w:val="009A7E7A"/>
    <w:rsid w:val="009B0925"/>
    <w:rsid w:val="009B1584"/>
    <w:rsid w:val="009B18F0"/>
    <w:rsid w:val="009B1F4C"/>
    <w:rsid w:val="009B2471"/>
    <w:rsid w:val="009B2515"/>
    <w:rsid w:val="009B2A25"/>
    <w:rsid w:val="009B314F"/>
    <w:rsid w:val="009B439C"/>
    <w:rsid w:val="009B49A1"/>
    <w:rsid w:val="009B4A6C"/>
    <w:rsid w:val="009B4B06"/>
    <w:rsid w:val="009B4DA8"/>
    <w:rsid w:val="009B519A"/>
    <w:rsid w:val="009B620C"/>
    <w:rsid w:val="009B6753"/>
    <w:rsid w:val="009B676C"/>
    <w:rsid w:val="009B6A26"/>
    <w:rsid w:val="009B6B20"/>
    <w:rsid w:val="009B6BD0"/>
    <w:rsid w:val="009C079D"/>
    <w:rsid w:val="009C0D70"/>
    <w:rsid w:val="009C13D1"/>
    <w:rsid w:val="009C2913"/>
    <w:rsid w:val="009C2BD4"/>
    <w:rsid w:val="009C3001"/>
    <w:rsid w:val="009C5AFE"/>
    <w:rsid w:val="009C6606"/>
    <w:rsid w:val="009C6CE5"/>
    <w:rsid w:val="009C6D50"/>
    <w:rsid w:val="009C7547"/>
    <w:rsid w:val="009D05EC"/>
    <w:rsid w:val="009D18D4"/>
    <w:rsid w:val="009D1FCF"/>
    <w:rsid w:val="009D2F60"/>
    <w:rsid w:val="009D3485"/>
    <w:rsid w:val="009D3A2E"/>
    <w:rsid w:val="009D5ADE"/>
    <w:rsid w:val="009D5BAC"/>
    <w:rsid w:val="009D5C56"/>
    <w:rsid w:val="009D6265"/>
    <w:rsid w:val="009D64BD"/>
    <w:rsid w:val="009D6CB1"/>
    <w:rsid w:val="009E0286"/>
    <w:rsid w:val="009E153F"/>
    <w:rsid w:val="009E18C5"/>
    <w:rsid w:val="009E277F"/>
    <w:rsid w:val="009E322A"/>
    <w:rsid w:val="009E393E"/>
    <w:rsid w:val="009E444E"/>
    <w:rsid w:val="009E4968"/>
    <w:rsid w:val="009E663C"/>
    <w:rsid w:val="009E684A"/>
    <w:rsid w:val="009E6BB1"/>
    <w:rsid w:val="009E6DB2"/>
    <w:rsid w:val="009E6E14"/>
    <w:rsid w:val="009E71FF"/>
    <w:rsid w:val="009E794A"/>
    <w:rsid w:val="009E7C14"/>
    <w:rsid w:val="009F0494"/>
    <w:rsid w:val="009F0CD9"/>
    <w:rsid w:val="009F1A79"/>
    <w:rsid w:val="009F1F57"/>
    <w:rsid w:val="009F2DDD"/>
    <w:rsid w:val="009F2F84"/>
    <w:rsid w:val="009F3447"/>
    <w:rsid w:val="009F4D20"/>
    <w:rsid w:val="009F65F4"/>
    <w:rsid w:val="009F676B"/>
    <w:rsid w:val="009F6D2D"/>
    <w:rsid w:val="009F6D54"/>
    <w:rsid w:val="009F7758"/>
    <w:rsid w:val="009F7F7D"/>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67B"/>
    <w:rsid w:val="00A10CA8"/>
    <w:rsid w:val="00A11042"/>
    <w:rsid w:val="00A12260"/>
    <w:rsid w:val="00A12579"/>
    <w:rsid w:val="00A12CDC"/>
    <w:rsid w:val="00A133D8"/>
    <w:rsid w:val="00A15655"/>
    <w:rsid w:val="00A160B0"/>
    <w:rsid w:val="00A1740C"/>
    <w:rsid w:val="00A17904"/>
    <w:rsid w:val="00A20069"/>
    <w:rsid w:val="00A21787"/>
    <w:rsid w:val="00A2244D"/>
    <w:rsid w:val="00A2253D"/>
    <w:rsid w:val="00A2267F"/>
    <w:rsid w:val="00A22CDB"/>
    <w:rsid w:val="00A247B8"/>
    <w:rsid w:val="00A2495A"/>
    <w:rsid w:val="00A24C7A"/>
    <w:rsid w:val="00A24D85"/>
    <w:rsid w:val="00A24D8F"/>
    <w:rsid w:val="00A25B8B"/>
    <w:rsid w:val="00A2689F"/>
    <w:rsid w:val="00A26ECA"/>
    <w:rsid w:val="00A27461"/>
    <w:rsid w:val="00A27D67"/>
    <w:rsid w:val="00A30ABC"/>
    <w:rsid w:val="00A32760"/>
    <w:rsid w:val="00A3297E"/>
    <w:rsid w:val="00A33B74"/>
    <w:rsid w:val="00A3467F"/>
    <w:rsid w:val="00A34B4C"/>
    <w:rsid w:val="00A35030"/>
    <w:rsid w:val="00A3551A"/>
    <w:rsid w:val="00A35F6F"/>
    <w:rsid w:val="00A366A0"/>
    <w:rsid w:val="00A37209"/>
    <w:rsid w:val="00A37584"/>
    <w:rsid w:val="00A376E8"/>
    <w:rsid w:val="00A37EE0"/>
    <w:rsid w:val="00A37F8E"/>
    <w:rsid w:val="00A41537"/>
    <w:rsid w:val="00A41737"/>
    <w:rsid w:val="00A42B8F"/>
    <w:rsid w:val="00A42D15"/>
    <w:rsid w:val="00A42D8E"/>
    <w:rsid w:val="00A43254"/>
    <w:rsid w:val="00A43896"/>
    <w:rsid w:val="00A43951"/>
    <w:rsid w:val="00A43A26"/>
    <w:rsid w:val="00A447A0"/>
    <w:rsid w:val="00A459F5"/>
    <w:rsid w:val="00A45FC0"/>
    <w:rsid w:val="00A46B74"/>
    <w:rsid w:val="00A47BF7"/>
    <w:rsid w:val="00A47ECC"/>
    <w:rsid w:val="00A50171"/>
    <w:rsid w:val="00A50444"/>
    <w:rsid w:val="00A504FA"/>
    <w:rsid w:val="00A5102E"/>
    <w:rsid w:val="00A5132E"/>
    <w:rsid w:val="00A51375"/>
    <w:rsid w:val="00A51533"/>
    <w:rsid w:val="00A531D4"/>
    <w:rsid w:val="00A54572"/>
    <w:rsid w:val="00A569A4"/>
    <w:rsid w:val="00A571A5"/>
    <w:rsid w:val="00A575B8"/>
    <w:rsid w:val="00A619BB"/>
    <w:rsid w:val="00A61BC6"/>
    <w:rsid w:val="00A61C60"/>
    <w:rsid w:val="00A61E78"/>
    <w:rsid w:val="00A61ECB"/>
    <w:rsid w:val="00A6410C"/>
    <w:rsid w:val="00A64604"/>
    <w:rsid w:val="00A647B1"/>
    <w:rsid w:val="00A64DEF"/>
    <w:rsid w:val="00A654D2"/>
    <w:rsid w:val="00A654F3"/>
    <w:rsid w:val="00A665DF"/>
    <w:rsid w:val="00A66767"/>
    <w:rsid w:val="00A67CB9"/>
    <w:rsid w:val="00A67FCC"/>
    <w:rsid w:val="00A70AA5"/>
    <w:rsid w:val="00A70C03"/>
    <w:rsid w:val="00A71256"/>
    <w:rsid w:val="00A7217B"/>
    <w:rsid w:val="00A722D7"/>
    <w:rsid w:val="00A723A3"/>
    <w:rsid w:val="00A73861"/>
    <w:rsid w:val="00A739A6"/>
    <w:rsid w:val="00A740ED"/>
    <w:rsid w:val="00A749A9"/>
    <w:rsid w:val="00A74C29"/>
    <w:rsid w:val="00A74C62"/>
    <w:rsid w:val="00A75EF9"/>
    <w:rsid w:val="00A7657C"/>
    <w:rsid w:val="00A8311C"/>
    <w:rsid w:val="00A835D0"/>
    <w:rsid w:val="00A83754"/>
    <w:rsid w:val="00A849A0"/>
    <w:rsid w:val="00A84C5F"/>
    <w:rsid w:val="00A84CFA"/>
    <w:rsid w:val="00A85930"/>
    <w:rsid w:val="00A861BE"/>
    <w:rsid w:val="00A863F7"/>
    <w:rsid w:val="00A86604"/>
    <w:rsid w:val="00A87519"/>
    <w:rsid w:val="00A9246D"/>
    <w:rsid w:val="00A92B11"/>
    <w:rsid w:val="00A92CCA"/>
    <w:rsid w:val="00A93BD0"/>
    <w:rsid w:val="00A93CC2"/>
    <w:rsid w:val="00A94D4B"/>
    <w:rsid w:val="00A9509F"/>
    <w:rsid w:val="00A95F11"/>
    <w:rsid w:val="00A974CC"/>
    <w:rsid w:val="00AA1738"/>
    <w:rsid w:val="00AA1D03"/>
    <w:rsid w:val="00AA2001"/>
    <w:rsid w:val="00AA2B5C"/>
    <w:rsid w:val="00AA32D2"/>
    <w:rsid w:val="00AA3B8B"/>
    <w:rsid w:val="00AA4016"/>
    <w:rsid w:val="00AA4C1F"/>
    <w:rsid w:val="00AA5328"/>
    <w:rsid w:val="00AA536E"/>
    <w:rsid w:val="00AA5393"/>
    <w:rsid w:val="00AA63D4"/>
    <w:rsid w:val="00AB01C2"/>
    <w:rsid w:val="00AB03FD"/>
    <w:rsid w:val="00AB2000"/>
    <w:rsid w:val="00AB38CB"/>
    <w:rsid w:val="00AB3BEC"/>
    <w:rsid w:val="00AB44E4"/>
    <w:rsid w:val="00AB4AEB"/>
    <w:rsid w:val="00AB4E5F"/>
    <w:rsid w:val="00AB5352"/>
    <w:rsid w:val="00AB56AE"/>
    <w:rsid w:val="00AB62D5"/>
    <w:rsid w:val="00AB65B5"/>
    <w:rsid w:val="00AB68D5"/>
    <w:rsid w:val="00AB6DCD"/>
    <w:rsid w:val="00AB6EE0"/>
    <w:rsid w:val="00AC166D"/>
    <w:rsid w:val="00AC17A2"/>
    <w:rsid w:val="00AC272D"/>
    <w:rsid w:val="00AC40B7"/>
    <w:rsid w:val="00AC531F"/>
    <w:rsid w:val="00AC58DF"/>
    <w:rsid w:val="00AC5B36"/>
    <w:rsid w:val="00AC6104"/>
    <w:rsid w:val="00AC6377"/>
    <w:rsid w:val="00AC66A4"/>
    <w:rsid w:val="00AC6CB1"/>
    <w:rsid w:val="00AC6D38"/>
    <w:rsid w:val="00AC75E9"/>
    <w:rsid w:val="00AC7D6D"/>
    <w:rsid w:val="00AD0091"/>
    <w:rsid w:val="00AD23EF"/>
    <w:rsid w:val="00AD2662"/>
    <w:rsid w:val="00AD307B"/>
    <w:rsid w:val="00AD4014"/>
    <w:rsid w:val="00AD41B3"/>
    <w:rsid w:val="00AD5721"/>
    <w:rsid w:val="00AD69F0"/>
    <w:rsid w:val="00AD7127"/>
    <w:rsid w:val="00AD730C"/>
    <w:rsid w:val="00AE0FC2"/>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2F"/>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3B58"/>
    <w:rsid w:val="00B04721"/>
    <w:rsid w:val="00B04935"/>
    <w:rsid w:val="00B04B15"/>
    <w:rsid w:val="00B04B46"/>
    <w:rsid w:val="00B0523D"/>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014"/>
    <w:rsid w:val="00B20F18"/>
    <w:rsid w:val="00B21516"/>
    <w:rsid w:val="00B21A37"/>
    <w:rsid w:val="00B21D23"/>
    <w:rsid w:val="00B21F62"/>
    <w:rsid w:val="00B22418"/>
    <w:rsid w:val="00B22CE0"/>
    <w:rsid w:val="00B23738"/>
    <w:rsid w:val="00B23BEF"/>
    <w:rsid w:val="00B247BB"/>
    <w:rsid w:val="00B2504A"/>
    <w:rsid w:val="00B2519B"/>
    <w:rsid w:val="00B25EE6"/>
    <w:rsid w:val="00B307D6"/>
    <w:rsid w:val="00B3115A"/>
    <w:rsid w:val="00B3178B"/>
    <w:rsid w:val="00B31825"/>
    <w:rsid w:val="00B31A5C"/>
    <w:rsid w:val="00B32265"/>
    <w:rsid w:val="00B3276D"/>
    <w:rsid w:val="00B3344B"/>
    <w:rsid w:val="00B33B06"/>
    <w:rsid w:val="00B33C19"/>
    <w:rsid w:val="00B34608"/>
    <w:rsid w:val="00B35684"/>
    <w:rsid w:val="00B35A15"/>
    <w:rsid w:val="00B35B45"/>
    <w:rsid w:val="00B35CA6"/>
    <w:rsid w:val="00B36165"/>
    <w:rsid w:val="00B36A99"/>
    <w:rsid w:val="00B42264"/>
    <w:rsid w:val="00B42DDF"/>
    <w:rsid w:val="00B434B2"/>
    <w:rsid w:val="00B43D45"/>
    <w:rsid w:val="00B459AF"/>
    <w:rsid w:val="00B468F2"/>
    <w:rsid w:val="00B469DE"/>
    <w:rsid w:val="00B47286"/>
    <w:rsid w:val="00B47EB4"/>
    <w:rsid w:val="00B50234"/>
    <w:rsid w:val="00B51BF4"/>
    <w:rsid w:val="00B52C68"/>
    <w:rsid w:val="00B5372B"/>
    <w:rsid w:val="00B5384B"/>
    <w:rsid w:val="00B542FE"/>
    <w:rsid w:val="00B55A1B"/>
    <w:rsid w:val="00B561DB"/>
    <w:rsid w:val="00B56DF9"/>
    <w:rsid w:val="00B56E80"/>
    <w:rsid w:val="00B571F1"/>
    <w:rsid w:val="00B600BD"/>
    <w:rsid w:val="00B604A2"/>
    <w:rsid w:val="00B60E4E"/>
    <w:rsid w:val="00B61274"/>
    <w:rsid w:val="00B61DCE"/>
    <w:rsid w:val="00B62188"/>
    <w:rsid w:val="00B62F79"/>
    <w:rsid w:val="00B62F82"/>
    <w:rsid w:val="00B6306A"/>
    <w:rsid w:val="00B633AB"/>
    <w:rsid w:val="00B635E3"/>
    <w:rsid w:val="00B6567B"/>
    <w:rsid w:val="00B662FF"/>
    <w:rsid w:val="00B66679"/>
    <w:rsid w:val="00B70145"/>
    <w:rsid w:val="00B701D1"/>
    <w:rsid w:val="00B71293"/>
    <w:rsid w:val="00B71A92"/>
    <w:rsid w:val="00B721D8"/>
    <w:rsid w:val="00B730CA"/>
    <w:rsid w:val="00B732EA"/>
    <w:rsid w:val="00B73747"/>
    <w:rsid w:val="00B747C5"/>
    <w:rsid w:val="00B74F2F"/>
    <w:rsid w:val="00B753ED"/>
    <w:rsid w:val="00B758E7"/>
    <w:rsid w:val="00B7665F"/>
    <w:rsid w:val="00B769BC"/>
    <w:rsid w:val="00B770F7"/>
    <w:rsid w:val="00B77349"/>
    <w:rsid w:val="00B7761E"/>
    <w:rsid w:val="00B77953"/>
    <w:rsid w:val="00B80A3D"/>
    <w:rsid w:val="00B80B04"/>
    <w:rsid w:val="00B81103"/>
    <w:rsid w:val="00B821E4"/>
    <w:rsid w:val="00B823E0"/>
    <w:rsid w:val="00B8260D"/>
    <w:rsid w:val="00B82B78"/>
    <w:rsid w:val="00B82DE9"/>
    <w:rsid w:val="00B838FD"/>
    <w:rsid w:val="00B845B4"/>
    <w:rsid w:val="00B84662"/>
    <w:rsid w:val="00B84C74"/>
    <w:rsid w:val="00B84CE9"/>
    <w:rsid w:val="00B85191"/>
    <w:rsid w:val="00B858A1"/>
    <w:rsid w:val="00B85FEC"/>
    <w:rsid w:val="00B864A3"/>
    <w:rsid w:val="00B86728"/>
    <w:rsid w:val="00B86C2A"/>
    <w:rsid w:val="00B8759A"/>
    <w:rsid w:val="00B902A5"/>
    <w:rsid w:val="00B90420"/>
    <w:rsid w:val="00B90848"/>
    <w:rsid w:val="00B91146"/>
    <w:rsid w:val="00B913E4"/>
    <w:rsid w:val="00B91DB9"/>
    <w:rsid w:val="00B91FF3"/>
    <w:rsid w:val="00B925F8"/>
    <w:rsid w:val="00B93EFE"/>
    <w:rsid w:val="00B944B9"/>
    <w:rsid w:val="00B94956"/>
    <w:rsid w:val="00B949EB"/>
    <w:rsid w:val="00B94C7F"/>
    <w:rsid w:val="00B94E93"/>
    <w:rsid w:val="00B956B5"/>
    <w:rsid w:val="00B95956"/>
    <w:rsid w:val="00B96DF2"/>
    <w:rsid w:val="00B96E18"/>
    <w:rsid w:val="00B96F5A"/>
    <w:rsid w:val="00B970CA"/>
    <w:rsid w:val="00BA0B39"/>
    <w:rsid w:val="00BA0CB2"/>
    <w:rsid w:val="00BA0E26"/>
    <w:rsid w:val="00BA138B"/>
    <w:rsid w:val="00BA305B"/>
    <w:rsid w:val="00BA31BF"/>
    <w:rsid w:val="00BA3C0F"/>
    <w:rsid w:val="00BA3FC7"/>
    <w:rsid w:val="00BA478B"/>
    <w:rsid w:val="00BA4ABD"/>
    <w:rsid w:val="00BA4BB4"/>
    <w:rsid w:val="00BA5224"/>
    <w:rsid w:val="00BA575E"/>
    <w:rsid w:val="00BA76B7"/>
    <w:rsid w:val="00BA7E3B"/>
    <w:rsid w:val="00BB078D"/>
    <w:rsid w:val="00BB079C"/>
    <w:rsid w:val="00BB0D7A"/>
    <w:rsid w:val="00BB10E1"/>
    <w:rsid w:val="00BB2471"/>
    <w:rsid w:val="00BB3035"/>
    <w:rsid w:val="00BB366E"/>
    <w:rsid w:val="00BB39C1"/>
    <w:rsid w:val="00BB3DF5"/>
    <w:rsid w:val="00BB3EA7"/>
    <w:rsid w:val="00BB5D16"/>
    <w:rsid w:val="00BB6180"/>
    <w:rsid w:val="00BB64CA"/>
    <w:rsid w:val="00BB69E6"/>
    <w:rsid w:val="00BB6DC3"/>
    <w:rsid w:val="00BB7323"/>
    <w:rsid w:val="00BB7BE5"/>
    <w:rsid w:val="00BC07C8"/>
    <w:rsid w:val="00BC08BD"/>
    <w:rsid w:val="00BC11E8"/>
    <w:rsid w:val="00BC1B7A"/>
    <w:rsid w:val="00BC2C17"/>
    <w:rsid w:val="00BC3ACD"/>
    <w:rsid w:val="00BC3B20"/>
    <w:rsid w:val="00BC3EE4"/>
    <w:rsid w:val="00BC4577"/>
    <w:rsid w:val="00BC588C"/>
    <w:rsid w:val="00BC6E73"/>
    <w:rsid w:val="00BC74D3"/>
    <w:rsid w:val="00BD0014"/>
    <w:rsid w:val="00BD01D8"/>
    <w:rsid w:val="00BD255F"/>
    <w:rsid w:val="00BD2895"/>
    <w:rsid w:val="00BD4236"/>
    <w:rsid w:val="00BD483B"/>
    <w:rsid w:val="00BD51F9"/>
    <w:rsid w:val="00BD5977"/>
    <w:rsid w:val="00BD5CD4"/>
    <w:rsid w:val="00BD5D1D"/>
    <w:rsid w:val="00BD65D9"/>
    <w:rsid w:val="00BD6DF3"/>
    <w:rsid w:val="00BD6E09"/>
    <w:rsid w:val="00BD6EF9"/>
    <w:rsid w:val="00BE0ACB"/>
    <w:rsid w:val="00BE1C07"/>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3AFD"/>
    <w:rsid w:val="00BF4342"/>
    <w:rsid w:val="00BF4704"/>
    <w:rsid w:val="00BF4A1A"/>
    <w:rsid w:val="00BF4FFC"/>
    <w:rsid w:val="00BF5050"/>
    <w:rsid w:val="00BF50D1"/>
    <w:rsid w:val="00BF5422"/>
    <w:rsid w:val="00BF59B1"/>
    <w:rsid w:val="00BF606A"/>
    <w:rsid w:val="00BF6163"/>
    <w:rsid w:val="00BF6625"/>
    <w:rsid w:val="00BF6A78"/>
    <w:rsid w:val="00BF7114"/>
    <w:rsid w:val="00BF7695"/>
    <w:rsid w:val="00BF79B4"/>
    <w:rsid w:val="00BF7C61"/>
    <w:rsid w:val="00C01427"/>
    <w:rsid w:val="00C014C7"/>
    <w:rsid w:val="00C01CD4"/>
    <w:rsid w:val="00C031CF"/>
    <w:rsid w:val="00C047AB"/>
    <w:rsid w:val="00C04895"/>
    <w:rsid w:val="00C058AF"/>
    <w:rsid w:val="00C075B6"/>
    <w:rsid w:val="00C1066D"/>
    <w:rsid w:val="00C124C1"/>
    <w:rsid w:val="00C128AE"/>
    <w:rsid w:val="00C12BA8"/>
    <w:rsid w:val="00C13094"/>
    <w:rsid w:val="00C136D6"/>
    <w:rsid w:val="00C13D5B"/>
    <w:rsid w:val="00C141D7"/>
    <w:rsid w:val="00C14329"/>
    <w:rsid w:val="00C1711B"/>
    <w:rsid w:val="00C17AE2"/>
    <w:rsid w:val="00C20140"/>
    <w:rsid w:val="00C20537"/>
    <w:rsid w:val="00C20E7C"/>
    <w:rsid w:val="00C20F27"/>
    <w:rsid w:val="00C215CF"/>
    <w:rsid w:val="00C2244B"/>
    <w:rsid w:val="00C22711"/>
    <w:rsid w:val="00C2280A"/>
    <w:rsid w:val="00C22B0D"/>
    <w:rsid w:val="00C22BFF"/>
    <w:rsid w:val="00C23522"/>
    <w:rsid w:val="00C240C1"/>
    <w:rsid w:val="00C244A1"/>
    <w:rsid w:val="00C24AED"/>
    <w:rsid w:val="00C250D0"/>
    <w:rsid w:val="00C252AC"/>
    <w:rsid w:val="00C25B30"/>
    <w:rsid w:val="00C25C0F"/>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A39"/>
    <w:rsid w:val="00C341D1"/>
    <w:rsid w:val="00C34619"/>
    <w:rsid w:val="00C348D9"/>
    <w:rsid w:val="00C35D01"/>
    <w:rsid w:val="00C360B3"/>
    <w:rsid w:val="00C368FB"/>
    <w:rsid w:val="00C37027"/>
    <w:rsid w:val="00C373BF"/>
    <w:rsid w:val="00C37B19"/>
    <w:rsid w:val="00C4031E"/>
    <w:rsid w:val="00C40993"/>
    <w:rsid w:val="00C41349"/>
    <w:rsid w:val="00C413CB"/>
    <w:rsid w:val="00C42752"/>
    <w:rsid w:val="00C42973"/>
    <w:rsid w:val="00C46B95"/>
    <w:rsid w:val="00C4712A"/>
    <w:rsid w:val="00C5034F"/>
    <w:rsid w:val="00C50830"/>
    <w:rsid w:val="00C52479"/>
    <w:rsid w:val="00C5266E"/>
    <w:rsid w:val="00C52C59"/>
    <w:rsid w:val="00C533F8"/>
    <w:rsid w:val="00C5349E"/>
    <w:rsid w:val="00C539FF"/>
    <w:rsid w:val="00C544BD"/>
    <w:rsid w:val="00C54D3D"/>
    <w:rsid w:val="00C55127"/>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5F32"/>
    <w:rsid w:val="00C77818"/>
    <w:rsid w:val="00C778A2"/>
    <w:rsid w:val="00C8063F"/>
    <w:rsid w:val="00C81282"/>
    <w:rsid w:val="00C827B4"/>
    <w:rsid w:val="00C83214"/>
    <w:rsid w:val="00C8329F"/>
    <w:rsid w:val="00C84F8A"/>
    <w:rsid w:val="00C85BA4"/>
    <w:rsid w:val="00C8618F"/>
    <w:rsid w:val="00C8625D"/>
    <w:rsid w:val="00C8744E"/>
    <w:rsid w:val="00C90372"/>
    <w:rsid w:val="00C9041F"/>
    <w:rsid w:val="00C9166B"/>
    <w:rsid w:val="00C91945"/>
    <w:rsid w:val="00C91A45"/>
    <w:rsid w:val="00C91FB4"/>
    <w:rsid w:val="00C92150"/>
    <w:rsid w:val="00C92328"/>
    <w:rsid w:val="00C92D42"/>
    <w:rsid w:val="00C92F22"/>
    <w:rsid w:val="00C938C2"/>
    <w:rsid w:val="00C93F8A"/>
    <w:rsid w:val="00C94EA1"/>
    <w:rsid w:val="00C95745"/>
    <w:rsid w:val="00C95902"/>
    <w:rsid w:val="00C962E3"/>
    <w:rsid w:val="00C978E2"/>
    <w:rsid w:val="00C97997"/>
    <w:rsid w:val="00CA0284"/>
    <w:rsid w:val="00CA10A2"/>
    <w:rsid w:val="00CA1D83"/>
    <w:rsid w:val="00CA1ED3"/>
    <w:rsid w:val="00CA25C0"/>
    <w:rsid w:val="00CA3451"/>
    <w:rsid w:val="00CA35C6"/>
    <w:rsid w:val="00CA4948"/>
    <w:rsid w:val="00CA52F9"/>
    <w:rsid w:val="00CA5368"/>
    <w:rsid w:val="00CA568B"/>
    <w:rsid w:val="00CA573A"/>
    <w:rsid w:val="00CA5C58"/>
    <w:rsid w:val="00CB19D7"/>
    <w:rsid w:val="00CB19FE"/>
    <w:rsid w:val="00CB1C3F"/>
    <w:rsid w:val="00CB2364"/>
    <w:rsid w:val="00CB2580"/>
    <w:rsid w:val="00CB304C"/>
    <w:rsid w:val="00CB3933"/>
    <w:rsid w:val="00CB5010"/>
    <w:rsid w:val="00CB53E8"/>
    <w:rsid w:val="00CB594A"/>
    <w:rsid w:val="00CB5CB2"/>
    <w:rsid w:val="00CB6979"/>
    <w:rsid w:val="00CB722D"/>
    <w:rsid w:val="00CB7DDE"/>
    <w:rsid w:val="00CC0A3D"/>
    <w:rsid w:val="00CC1F5E"/>
    <w:rsid w:val="00CC2840"/>
    <w:rsid w:val="00CC2A24"/>
    <w:rsid w:val="00CC2FF0"/>
    <w:rsid w:val="00CC3C53"/>
    <w:rsid w:val="00CC3D24"/>
    <w:rsid w:val="00CC3F91"/>
    <w:rsid w:val="00CC47EE"/>
    <w:rsid w:val="00CC4ACD"/>
    <w:rsid w:val="00CC4B0A"/>
    <w:rsid w:val="00CC4ED8"/>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4AAC"/>
    <w:rsid w:val="00CD5DAD"/>
    <w:rsid w:val="00CD72C5"/>
    <w:rsid w:val="00CD79A7"/>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8AD"/>
    <w:rsid w:val="00CE6F9B"/>
    <w:rsid w:val="00CE6F9F"/>
    <w:rsid w:val="00CE781A"/>
    <w:rsid w:val="00CE7B08"/>
    <w:rsid w:val="00CE7D52"/>
    <w:rsid w:val="00CF0AB7"/>
    <w:rsid w:val="00CF1D74"/>
    <w:rsid w:val="00CF2BE2"/>
    <w:rsid w:val="00CF3DEB"/>
    <w:rsid w:val="00CF55F9"/>
    <w:rsid w:val="00CF7074"/>
    <w:rsid w:val="00CF7495"/>
    <w:rsid w:val="00CF7D8D"/>
    <w:rsid w:val="00D01CF9"/>
    <w:rsid w:val="00D0334D"/>
    <w:rsid w:val="00D0374D"/>
    <w:rsid w:val="00D06D7B"/>
    <w:rsid w:val="00D06DA5"/>
    <w:rsid w:val="00D07191"/>
    <w:rsid w:val="00D07F1D"/>
    <w:rsid w:val="00D10558"/>
    <w:rsid w:val="00D10E7D"/>
    <w:rsid w:val="00D11D4D"/>
    <w:rsid w:val="00D11DB1"/>
    <w:rsid w:val="00D126DC"/>
    <w:rsid w:val="00D12B03"/>
    <w:rsid w:val="00D13E70"/>
    <w:rsid w:val="00D13EE7"/>
    <w:rsid w:val="00D15FCD"/>
    <w:rsid w:val="00D16C58"/>
    <w:rsid w:val="00D17019"/>
    <w:rsid w:val="00D17FC8"/>
    <w:rsid w:val="00D2015B"/>
    <w:rsid w:val="00D20B44"/>
    <w:rsid w:val="00D21168"/>
    <w:rsid w:val="00D2438C"/>
    <w:rsid w:val="00D2585A"/>
    <w:rsid w:val="00D259B0"/>
    <w:rsid w:val="00D259C2"/>
    <w:rsid w:val="00D25C88"/>
    <w:rsid w:val="00D26471"/>
    <w:rsid w:val="00D26C3F"/>
    <w:rsid w:val="00D27185"/>
    <w:rsid w:val="00D3028A"/>
    <w:rsid w:val="00D30AC5"/>
    <w:rsid w:val="00D31618"/>
    <w:rsid w:val="00D33488"/>
    <w:rsid w:val="00D33AB3"/>
    <w:rsid w:val="00D33F24"/>
    <w:rsid w:val="00D34160"/>
    <w:rsid w:val="00D346B8"/>
    <w:rsid w:val="00D34DCA"/>
    <w:rsid w:val="00D35AC8"/>
    <w:rsid w:val="00D35E80"/>
    <w:rsid w:val="00D36165"/>
    <w:rsid w:val="00D36F87"/>
    <w:rsid w:val="00D37E4E"/>
    <w:rsid w:val="00D411EC"/>
    <w:rsid w:val="00D417D8"/>
    <w:rsid w:val="00D41CAB"/>
    <w:rsid w:val="00D41F78"/>
    <w:rsid w:val="00D42E6C"/>
    <w:rsid w:val="00D4351C"/>
    <w:rsid w:val="00D43B80"/>
    <w:rsid w:val="00D440FE"/>
    <w:rsid w:val="00D44988"/>
    <w:rsid w:val="00D45B4C"/>
    <w:rsid w:val="00D45BA4"/>
    <w:rsid w:val="00D471AF"/>
    <w:rsid w:val="00D471E2"/>
    <w:rsid w:val="00D4724F"/>
    <w:rsid w:val="00D50519"/>
    <w:rsid w:val="00D50779"/>
    <w:rsid w:val="00D51601"/>
    <w:rsid w:val="00D51ECB"/>
    <w:rsid w:val="00D5264C"/>
    <w:rsid w:val="00D52BBC"/>
    <w:rsid w:val="00D537FE"/>
    <w:rsid w:val="00D53BE5"/>
    <w:rsid w:val="00D53CC9"/>
    <w:rsid w:val="00D54A6A"/>
    <w:rsid w:val="00D54B8F"/>
    <w:rsid w:val="00D55848"/>
    <w:rsid w:val="00D55951"/>
    <w:rsid w:val="00D559F0"/>
    <w:rsid w:val="00D55BCC"/>
    <w:rsid w:val="00D5650F"/>
    <w:rsid w:val="00D57EB6"/>
    <w:rsid w:val="00D608C0"/>
    <w:rsid w:val="00D60BC2"/>
    <w:rsid w:val="00D60D6D"/>
    <w:rsid w:val="00D6128C"/>
    <w:rsid w:val="00D63B22"/>
    <w:rsid w:val="00D63C98"/>
    <w:rsid w:val="00D63EA5"/>
    <w:rsid w:val="00D66D8B"/>
    <w:rsid w:val="00D70849"/>
    <w:rsid w:val="00D71B08"/>
    <w:rsid w:val="00D72297"/>
    <w:rsid w:val="00D726FF"/>
    <w:rsid w:val="00D72A1C"/>
    <w:rsid w:val="00D7308F"/>
    <w:rsid w:val="00D7313E"/>
    <w:rsid w:val="00D73580"/>
    <w:rsid w:val="00D73802"/>
    <w:rsid w:val="00D73C2C"/>
    <w:rsid w:val="00D73D52"/>
    <w:rsid w:val="00D745E7"/>
    <w:rsid w:val="00D75758"/>
    <w:rsid w:val="00D75FDA"/>
    <w:rsid w:val="00D774ED"/>
    <w:rsid w:val="00D777C3"/>
    <w:rsid w:val="00D7797C"/>
    <w:rsid w:val="00D77C44"/>
    <w:rsid w:val="00D77F88"/>
    <w:rsid w:val="00D81AFA"/>
    <w:rsid w:val="00D81EAA"/>
    <w:rsid w:val="00D81F04"/>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A52"/>
    <w:rsid w:val="00D86C88"/>
    <w:rsid w:val="00D86D47"/>
    <w:rsid w:val="00D8710C"/>
    <w:rsid w:val="00D873C6"/>
    <w:rsid w:val="00D9074A"/>
    <w:rsid w:val="00D9099E"/>
    <w:rsid w:val="00D9193A"/>
    <w:rsid w:val="00D91DED"/>
    <w:rsid w:val="00D923B2"/>
    <w:rsid w:val="00D92463"/>
    <w:rsid w:val="00D936B5"/>
    <w:rsid w:val="00D93E64"/>
    <w:rsid w:val="00D93F64"/>
    <w:rsid w:val="00D94CA4"/>
    <w:rsid w:val="00D95E99"/>
    <w:rsid w:val="00D965D5"/>
    <w:rsid w:val="00D96D7E"/>
    <w:rsid w:val="00D97DA2"/>
    <w:rsid w:val="00DA0485"/>
    <w:rsid w:val="00DA1A3A"/>
    <w:rsid w:val="00DA2351"/>
    <w:rsid w:val="00DA249E"/>
    <w:rsid w:val="00DA2D3D"/>
    <w:rsid w:val="00DA3855"/>
    <w:rsid w:val="00DA39BA"/>
    <w:rsid w:val="00DA3FBF"/>
    <w:rsid w:val="00DA4C30"/>
    <w:rsid w:val="00DA641B"/>
    <w:rsid w:val="00DA6A44"/>
    <w:rsid w:val="00DA6EF0"/>
    <w:rsid w:val="00DA7A3C"/>
    <w:rsid w:val="00DB069C"/>
    <w:rsid w:val="00DB145E"/>
    <w:rsid w:val="00DB1966"/>
    <w:rsid w:val="00DB19CB"/>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1445"/>
    <w:rsid w:val="00DC21D8"/>
    <w:rsid w:val="00DC282A"/>
    <w:rsid w:val="00DC2DE8"/>
    <w:rsid w:val="00DC34DC"/>
    <w:rsid w:val="00DC3780"/>
    <w:rsid w:val="00DC3ADA"/>
    <w:rsid w:val="00DC3CC6"/>
    <w:rsid w:val="00DC3F55"/>
    <w:rsid w:val="00DC468B"/>
    <w:rsid w:val="00DC4782"/>
    <w:rsid w:val="00DC488D"/>
    <w:rsid w:val="00DC514A"/>
    <w:rsid w:val="00DC67B1"/>
    <w:rsid w:val="00DC7FBC"/>
    <w:rsid w:val="00DD0019"/>
    <w:rsid w:val="00DD132B"/>
    <w:rsid w:val="00DD1725"/>
    <w:rsid w:val="00DD2159"/>
    <w:rsid w:val="00DD218B"/>
    <w:rsid w:val="00DD2A18"/>
    <w:rsid w:val="00DD3044"/>
    <w:rsid w:val="00DD3737"/>
    <w:rsid w:val="00DD3985"/>
    <w:rsid w:val="00DD3FEE"/>
    <w:rsid w:val="00DD4676"/>
    <w:rsid w:val="00DD61E8"/>
    <w:rsid w:val="00DD62C0"/>
    <w:rsid w:val="00DD64DE"/>
    <w:rsid w:val="00DD66DE"/>
    <w:rsid w:val="00DD7859"/>
    <w:rsid w:val="00DD7B41"/>
    <w:rsid w:val="00DE0784"/>
    <w:rsid w:val="00DE0A1D"/>
    <w:rsid w:val="00DE15B2"/>
    <w:rsid w:val="00DE1A9A"/>
    <w:rsid w:val="00DE2108"/>
    <w:rsid w:val="00DE2800"/>
    <w:rsid w:val="00DE3D2C"/>
    <w:rsid w:val="00DE4513"/>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A8B"/>
    <w:rsid w:val="00E01C9C"/>
    <w:rsid w:val="00E0219D"/>
    <w:rsid w:val="00E03662"/>
    <w:rsid w:val="00E04B0B"/>
    <w:rsid w:val="00E04BF4"/>
    <w:rsid w:val="00E04C0F"/>
    <w:rsid w:val="00E0570B"/>
    <w:rsid w:val="00E069C5"/>
    <w:rsid w:val="00E10913"/>
    <w:rsid w:val="00E10B87"/>
    <w:rsid w:val="00E121CE"/>
    <w:rsid w:val="00E12209"/>
    <w:rsid w:val="00E1478B"/>
    <w:rsid w:val="00E14FAC"/>
    <w:rsid w:val="00E15007"/>
    <w:rsid w:val="00E16277"/>
    <w:rsid w:val="00E16EC7"/>
    <w:rsid w:val="00E17DCC"/>
    <w:rsid w:val="00E21832"/>
    <w:rsid w:val="00E219CE"/>
    <w:rsid w:val="00E21D93"/>
    <w:rsid w:val="00E22D2A"/>
    <w:rsid w:val="00E24071"/>
    <w:rsid w:val="00E24DCA"/>
    <w:rsid w:val="00E24EBC"/>
    <w:rsid w:val="00E2522C"/>
    <w:rsid w:val="00E2552F"/>
    <w:rsid w:val="00E2599B"/>
    <w:rsid w:val="00E2710C"/>
    <w:rsid w:val="00E272BD"/>
    <w:rsid w:val="00E27428"/>
    <w:rsid w:val="00E305B4"/>
    <w:rsid w:val="00E3132E"/>
    <w:rsid w:val="00E31AFA"/>
    <w:rsid w:val="00E31CB7"/>
    <w:rsid w:val="00E324EE"/>
    <w:rsid w:val="00E34DB1"/>
    <w:rsid w:val="00E35931"/>
    <w:rsid w:val="00E359FF"/>
    <w:rsid w:val="00E3699A"/>
    <w:rsid w:val="00E402C5"/>
    <w:rsid w:val="00E402F4"/>
    <w:rsid w:val="00E405F1"/>
    <w:rsid w:val="00E40F9A"/>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5DD1"/>
    <w:rsid w:val="00E57577"/>
    <w:rsid w:val="00E57593"/>
    <w:rsid w:val="00E619AA"/>
    <w:rsid w:val="00E62043"/>
    <w:rsid w:val="00E626B9"/>
    <w:rsid w:val="00E627C9"/>
    <w:rsid w:val="00E62EB6"/>
    <w:rsid w:val="00E630F3"/>
    <w:rsid w:val="00E6330F"/>
    <w:rsid w:val="00E6332F"/>
    <w:rsid w:val="00E637C9"/>
    <w:rsid w:val="00E6402D"/>
    <w:rsid w:val="00E6680A"/>
    <w:rsid w:val="00E66F0D"/>
    <w:rsid w:val="00E67747"/>
    <w:rsid w:val="00E70615"/>
    <w:rsid w:val="00E7161E"/>
    <w:rsid w:val="00E7207B"/>
    <w:rsid w:val="00E721A3"/>
    <w:rsid w:val="00E7347A"/>
    <w:rsid w:val="00E7507A"/>
    <w:rsid w:val="00E75A47"/>
    <w:rsid w:val="00E75BB6"/>
    <w:rsid w:val="00E75D8C"/>
    <w:rsid w:val="00E777F2"/>
    <w:rsid w:val="00E802C9"/>
    <w:rsid w:val="00E804B4"/>
    <w:rsid w:val="00E80BFB"/>
    <w:rsid w:val="00E80EC2"/>
    <w:rsid w:val="00E80F0A"/>
    <w:rsid w:val="00E814F9"/>
    <w:rsid w:val="00E815D4"/>
    <w:rsid w:val="00E8291B"/>
    <w:rsid w:val="00E82E70"/>
    <w:rsid w:val="00E82F92"/>
    <w:rsid w:val="00E830C6"/>
    <w:rsid w:val="00E8395F"/>
    <w:rsid w:val="00E8410F"/>
    <w:rsid w:val="00E849D7"/>
    <w:rsid w:val="00E85E41"/>
    <w:rsid w:val="00E85E95"/>
    <w:rsid w:val="00E85EA1"/>
    <w:rsid w:val="00E86703"/>
    <w:rsid w:val="00E900DA"/>
    <w:rsid w:val="00E91044"/>
    <w:rsid w:val="00E910D3"/>
    <w:rsid w:val="00E92097"/>
    <w:rsid w:val="00E92154"/>
    <w:rsid w:val="00E923CF"/>
    <w:rsid w:val="00E93685"/>
    <w:rsid w:val="00E93B65"/>
    <w:rsid w:val="00E93C8C"/>
    <w:rsid w:val="00E95111"/>
    <w:rsid w:val="00E95FDF"/>
    <w:rsid w:val="00E96ED8"/>
    <w:rsid w:val="00E97B69"/>
    <w:rsid w:val="00EA14C8"/>
    <w:rsid w:val="00EA2110"/>
    <w:rsid w:val="00EA283A"/>
    <w:rsid w:val="00EA2AE0"/>
    <w:rsid w:val="00EA2C90"/>
    <w:rsid w:val="00EA2E07"/>
    <w:rsid w:val="00EA383B"/>
    <w:rsid w:val="00EA48F3"/>
    <w:rsid w:val="00EA60BF"/>
    <w:rsid w:val="00EA7365"/>
    <w:rsid w:val="00EA763F"/>
    <w:rsid w:val="00EA77E9"/>
    <w:rsid w:val="00EB05D0"/>
    <w:rsid w:val="00EB1151"/>
    <w:rsid w:val="00EB11DF"/>
    <w:rsid w:val="00EB1D49"/>
    <w:rsid w:val="00EB23D9"/>
    <w:rsid w:val="00EB39A0"/>
    <w:rsid w:val="00EB430A"/>
    <w:rsid w:val="00EB5447"/>
    <w:rsid w:val="00EB559F"/>
    <w:rsid w:val="00EB566C"/>
    <w:rsid w:val="00EB5A18"/>
    <w:rsid w:val="00EB5DDB"/>
    <w:rsid w:val="00EB5F3D"/>
    <w:rsid w:val="00EB6A88"/>
    <w:rsid w:val="00EB6C97"/>
    <w:rsid w:val="00EB778A"/>
    <w:rsid w:val="00EC1CEB"/>
    <w:rsid w:val="00EC1DC0"/>
    <w:rsid w:val="00EC1DC2"/>
    <w:rsid w:val="00EC1E09"/>
    <w:rsid w:val="00EC210E"/>
    <w:rsid w:val="00EC21EC"/>
    <w:rsid w:val="00EC24B8"/>
    <w:rsid w:val="00EC268C"/>
    <w:rsid w:val="00EC2CCB"/>
    <w:rsid w:val="00EC3692"/>
    <w:rsid w:val="00EC3753"/>
    <w:rsid w:val="00EC4E71"/>
    <w:rsid w:val="00EC5F1C"/>
    <w:rsid w:val="00EC740C"/>
    <w:rsid w:val="00EC7F06"/>
    <w:rsid w:val="00ED0365"/>
    <w:rsid w:val="00ED0865"/>
    <w:rsid w:val="00ED0C1C"/>
    <w:rsid w:val="00ED0D3F"/>
    <w:rsid w:val="00ED1C60"/>
    <w:rsid w:val="00ED2EB9"/>
    <w:rsid w:val="00ED3722"/>
    <w:rsid w:val="00ED3A31"/>
    <w:rsid w:val="00ED4469"/>
    <w:rsid w:val="00ED5424"/>
    <w:rsid w:val="00ED5B5C"/>
    <w:rsid w:val="00ED5F23"/>
    <w:rsid w:val="00ED6A17"/>
    <w:rsid w:val="00ED6DC0"/>
    <w:rsid w:val="00ED73D6"/>
    <w:rsid w:val="00ED7A7A"/>
    <w:rsid w:val="00EE0327"/>
    <w:rsid w:val="00EE038C"/>
    <w:rsid w:val="00EE0A71"/>
    <w:rsid w:val="00EE10A9"/>
    <w:rsid w:val="00EE15B3"/>
    <w:rsid w:val="00EE1985"/>
    <w:rsid w:val="00EE28C5"/>
    <w:rsid w:val="00EE2F09"/>
    <w:rsid w:val="00EE47C5"/>
    <w:rsid w:val="00EE490C"/>
    <w:rsid w:val="00EE4E57"/>
    <w:rsid w:val="00EE5738"/>
    <w:rsid w:val="00EE58BD"/>
    <w:rsid w:val="00EE5E59"/>
    <w:rsid w:val="00EE73D0"/>
    <w:rsid w:val="00EE76AC"/>
    <w:rsid w:val="00EE7CB0"/>
    <w:rsid w:val="00EF08A8"/>
    <w:rsid w:val="00EF167B"/>
    <w:rsid w:val="00EF186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2A99"/>
    <w:rsid w:val="00F12C04"/>
    <w:rsid w:val="00F13599"/>
    <w:rsid w:val="00F13B28"/>
    <w:rsid w:val="00F14C13"/>
    <w:rsid w:val="00F156A0"/>
    <w:rsid w:val="00F15730"/>
    <w:rsid w:val="00F176A6"/>
    <w:rsid w:val="00F202C2"/>
    <w:rsid w:val="00F212F6"/>
    <w:rsid w:val="00F2260B"/>
    <w:rsid w:val="00F22756"/>
    <w:rsid w:val="00F2282D"/>
    <w:rsid w:val="00F23248"/>
    <w:rsid w:val="00F23890"/>
    <w:rsid w:val="00F2504D"/>
    <w:rsid w:val="00F2637F"/>
    <w:rsid w:val="00F268F7"/>
    <w:rsid w:val="00F30043"/>
    <w:rsid w:val="00F30B83"/>
    <w:rsid w:val="00F30BDB"/>
    <w:rsid w:val="00F30CF8"/>
    <w:rsid w:val="00F31EDF"/>
    <w:rsid w:val="00F32CDE"/>
    <w:rsid w:val="00F32D4C"/>
    <w:rsid w:val="00F3327E"/>
    <w:rsid w:val="00F338C3"/>
    <w:rsid w:val="00F34B14"/>
    <w:rsid w:val="00F34F58"/>
    <w:rsid w:val="00F35DA7"/>
    <w:rsid w:val="00F36619"/>
    <w:rsid w:val="00F36A6A"/>
    <w:rsid w:val="00F40101"/>
    <w:rsid w:val="00F404F7"/>
    <w:rsid w:val="00F40CCA"/>
    <w:rsid w:val="00F42D97"/>
    <w:rsid w:val="00F42FCF"/>
    <w:rsid w:val="00F436B2"/>
    <w:rsid w:val="00F43813"/>
    <w:rsid w:val="00F43FEE"/>
    <w:rsid w:val="00F4492F"/>
    <w:rsid w:val="00F44DFD"/>
    <w:rsid w:val="00F45A72"/>
    <w:rsid w:val="00F46723"/>
    <w:rsid w:val="00F4706D"/>
    <w:rsid w:val="00F476E1"/>
    <w:rsid w:val="00F47D1D"/>
    <w:rsid w:val="00F47F29"/>
    <w:rsid w:val="00F50016"/>
    <w:rsid w:val="00F5118A"/>
    <w:rsid w:val="00F51A21"/>
    <w:rsid w:val="00F52614"/>
    <w:rsid w:val="00F52742"/>
    <w:rsid w:val="00F5276E"/>
    <w:rsid w:val="00F52E9F"/>
    <w:rsid w:val="00F53304"/>
    <w:rsid w:val="00F53B81"/>
    <w:rsid w:val="00F540FE"/>
    <w:rsid w:val="00F5459A"/>
    <w:rsid w:val="00F556FF"/>
    <w:rsid w:val="00F55D12"/>
    <w:rsid w:val="00F5687F"/>
    <w:rsid w:val="00F56A6D"/>
    <w:rsid w:val="00F56D3F"/>
    <w:rsid w:val="00F575C7"/>
    <w:rsid w:val="00F57FD0"/>
    <w:rsid w:val="00F60305"/>
    <w:rsid w:val="00F61725"/>
    <w:rsid w:val="00F61B12"/>
    <w:rsid w:val="00F61C70"/>
    <w:rsid w:val="00F63264"/>
    <w:rsid w:val="00F634E4"/>
    <w:rsid w:val="00F6379E"/>
    <w:rsid w:val="00F64047"/>
    <w:rsid w:val="00F65171"/>
    <w:rsid w:val="00F6560D"/>
    <w:rsid w:val="00F67844"/>
    <w:rsid w:val="00F67AFD"/>
    <w:rsid w:val="00F70799"/>
    <w:rsid w:val="00F70A8B"/>
    <w:rsid w:val="00F70B8D"/>
    <w:rsid w:val="00F712A2"/>
    <w:rsid w:val="00F7138B"/>
    <w:rsid w:val="00F7162F"/>
    <w:rsid w:val="00F71936"/>
    <w:rsid w:val="00F724FB"/>
    <w:rsid w:val="00F726B8"/>
    <w:rsid w:val="00F72A26"/>
    <w:rsid w:val="00F733C3"/>
    <w:rsid w:val="00F738BE"/>
    <w:rsid w:val="00F746A1"/>
    <w:rsid w:val="00F74820"/>
    <w:rsid w:val="00F756DD"/>
    <w:rsid w:val="00F77F4E"/>
    <w:rsid w:val="00F80047"/>
    <w:rsid w:val="00F800C7"/>
    <w:rsid w:val="00F80AA9"/>
    <w:rsid w:val="00F8104D"/>
    <w:rsid w:val="00F8153F"/>
    <w:rsid w:val="00F81587"/>
    <w:rsid w:val="00F8288F"/>
    <w:rsid w:val="00F8376E"/>
    <w:rsid w:val="00F83C52"/>
    <w:rsid w:val="00F84802"/>
    <w:rsid w:val="00F84BF9"/>
    <w:rsid w:val="00F85B72"/>
    <w:rsid w:val="00F86540"/>
    <w:rsid w:val="00F865CE"/>
    <w:rsid w:val="00F8766F"/>
    <w:rsid w:val="00F87D5C"/>
    <w:rsid w:val="00F90282"/>
    <w:rsid w:val="00F91082"/>
    <w:rsid w:val="00F9116D"/>
    <w:rsid w:val="00F91342"/>
    <w:rsid w:val="00F9194D"/>
    <w:rsid w:val="00F91A9A"/>
    <w:rsid w:val="00F92634"/>
    <w:rsid w:val="00F926D6"/>
    <w:rsid w:val="00F933F3"/>
    <w:rsid w:val="00F93ABB"/>
    <w:rsid w:val="00F94213"/>
    <w:rsid w:val="00F94D79"/>
    <w:rsid w:val="00F9658C"/>
    <w:rsid w:val="00F96EEB"/>
    <w:rsid w:val="00F97A7F"/>
    <w:rsid w:val="00F97CD0"/>
    <w:rsid w:val="00FA0889"/>
    <w:rsid w:val="00FA16E7"/>
    <w:rsid w:val="00FA31C7"/>
    <w:rsid w:val="00FA42E4"/>
    <w:rsid w:val="00FA472D"/>
    <w:rsid w:val="00FA681F"/>
    <w:rsid w:val="00FA6CBC"/>
    <w:rsid w:val="00FB05D9"/>
    <w:rsid w:val="00FB0CBF"/>
    <w:rsid w:val="00FB18F6"/>
    <w:rsid w:val="00FB286A"/>
    <w:rsid w:val="00FB2A52"/>
    <w:rsid w:val="00FB3F92"/>
    <w:rsid w:val="00FB52C7"/>
    <w:rsid w:val="00FB57DC"/>
    <w:rsid w:val="00FB6E19"/>
    <w:rsid w:val="00FB71F6"/>
    <w:rsid w:val="00FC07AF"/>
    <w:rsid w:val="00FC0AF8"/>
    <w:rsid w:val="00FC0B69"/>
    <w:rsid w:val="00FC1483"/>
    <w:rsid w:val="00FC1C47"/>
    <w:rsid w:val="00FC3102"/>
    <w:rsid w:val="00FC39ED"/>
    <w:rsid w:val="00FC4195"/>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3B00"/>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9D2"/>
    <w:rsid w:val="00FF1C9B"/>
    <w:rsid w:val="00FF1D49"/>
    <w:rsid w:val="00FF203B"/>
    <w:rsid w:val="00FF2562"/>
    <w:rsid w:val="00FF3A41"/>
    <w:rsid w:val="00FF3E5B"/>
    <w:rsid w:val="00FF57E4"/>
    <w:rsid w:val="00FF78E5"/>
    <w:rsid w:val="012C5FAF"/>
    <w:rsid w:val="01AF3D99"/>
    <w:rsid w:val="02511F9D"/>
    <w:rsid w:val="03A314B8"/>
    <w:rsid w:val="03D82B98"/>
    <w:rsid w:val="03F83E8B"/>
    <w:rsid w:val="04297968"/>
    <w:rsid w:val="04ED0B8D"/>
    <w:rsid w:val="05C56868"/>
    <w:rsid w:val="0677683B"/>
    <w:rsid w:val="07A539BD"/>
    <w:rsid w:val="07B72767"/>
    <w:rsid w:val="08077E72"/>
    <w:rsid w:val="08882DD0"/>
    <w:rsid w:val="09224C05"/>
    <w:rsid w:val="09390F9C"/>
    <w:rsid w:val="09CC2AAC"/>
    <w:rsid w:val="0A652D3E"/>
    <w:rsid w:val="0B326F2A"/>
    <w:rsid w:val="0B7B218C"/>
    <w:rsid w:val="0C1E2888"/>
    <w:rsid w:val="0C92213C"/>
    <w:rsid w:val="0CC2027E"/>
    <w:rsid w:val="0CEC743A"/>
    <w:rsid w:val="0D84032B"/>
    <w:rsid w:val="0F2A74C4"/>
    <w:rsid w:val="0F401BB1"/>
    <w:rsid w:val="10377635"/>
    <w:rsid w:val="106E2403"/>
    <w:rsid w:val="10A27F31"/>
    <w:rsid w:val="113F6753"/>
    <w:rsid w:val="11927058"/>
    <w:rsid w:val="120E171E"/>
    <w:rsid w:val="12273735"/>
    <w:rsid w:val="13AF4F03"/>
    <w:rsid w:val="14736E66"/>
    <w:rsid w:val="147F458F"/>
    <w:rsid w:val="14AB6523"/>
    <w:rsid w:val="1534169A"/>
    <w:rsid w:val="15C03E03"/>
    <w:rsid w:val="162A25EB"/>
    <w:rsid w:val="16503754"/>
    <w:rsid w:val="16735895"/>
    <w:rsid w:val="16FD2A55"/>
    <w:rsid w:val="17067C1A"/>
    <w:rsid w:val="17366761"/>
    <w:rsid w:val="177C01F0"/>
    <w:rsid w:val="179E3EFA"/>
    <w:rsid w:val="17CE6630"/>
    <w:rsid w:val="188B7BF3"/>
    <w:rsid w:val="1AFF0AFE"/>
    <w:rsid w:val="1B48113B"/>
    <w:rsid w:val="1B4F19F8"/>
    <w:rsid w:val="1D58102D"/>
    <w:rsid w:val="1ECC44FA"/>
    <w:rsid w:val="1F063325"/>
    <w:rsid w:val="1FBC5DF5"/>
    <w:rsid w:val="1FF90588"/>
    <w:rsid w:val="206C78B8"/>
    <w:rsid w:val="209B547F"/>
    <w:rsid w:val="20C3623F"/>
    <w:rsid w:val="21781212"/>
    <w:rsid w:val="21B83F86"/>
    <w:rsid w:val="221178A8"/>
    <w:rsid w:val="221213CF"/>
    <w:rsid w:val="22327A92"/>
    <w:rsid w:val="231D53A2"/>
    <w:rsid w:val="233A0AA7"/>
    <w:rsid w:val="236D5383"/>
    <w:rsid w:val="23B7504C"/>
    <w:rsid w:val="24205E37"/>
    <w:rsid w:val="24571307"/>
    <w:rsid w:val="25110A2A"/>
    <w:rsid w:val="256C0944"/>
    <w:rsid w:val="26446DE3"/>
    <w:rsid w:val="26877DFE"/>
    <w:rsid w:val="269669E7"/>
    <w:rsid w:val="26A270C1"/>
    <w:rsid w:val="26D7699F"/>
    <w:rsid w:val="273A5E93"/>
    <w:rsid w:val="27F52125"/>
    <w:rsid w:val="29D75F7F"/>
    <w:rsid w:val="2A295228"/>
    <w:rsid w:val="2B774624"/>
    <w:rsid w:val="2C617F2D"/>
    <w:rsid w:val="2C7A72BE"/>
    <w:rsid w:val="2C9A7D75"/>
    <w:rsid w:val="2CC17412"/>
    <w:rsid w:val="2D7C1E99"/>
    <w:rsid w:val="2E9976CE"/>
    <w:rsid w:val="2EF01DEE"/>
    <w:rsid w:val="2F401D3C"/>
    <w:rsid w:val="2F5B24E1"/>
    <w:rsid w:val="2FA95C88"/>
    <w:rsid w:val="2FE542C2"/>
    <w:rsid w:val="3041370F"/>
    <w:rsid w:val="30965447"/>
    <w:rsid w:val="30B87FED"/>
    <w:rsid w:val="312B50A3"/>
    <w:rsid w:val="31894FD2"/>
    <w:rsid w:val="32453A27"/>
    <w:rsid w:val="32586D8C"/>
    <w:rsid w:val="3263064A"/>
    <w:rsid w:val="32A43132"/>
    <w:rsid w:val="32AC0C06"/>
    <w:rsid w:val="33344EF5"/>
    <w:rsid w:val="333539E1"/>
    <w:rsid w:val="3537750C"/>
    <w:rsid w:val="3537798C"/>
    <w:rsid w:val="35C13FC9"/>
    <w:rsid w:val="35CB2A79"/>
    <w:rsid w:val="36372B05"/>
    <w:rsid w:val="364257B6"/>
    <w:rsid w:val="37054F3D"/>
    <w:rsid w:val="371655CD"/>
    <w:rsid w:val="3786388E"/>
    <w:rsid w:val="37EA5922"/>
    <w:rsid w:val="38276B93"/>
    <w:rsid w:val="382E58B8"/>
    <w:rsid w:val="386E1496"/>
    <w:rsid w:val="38AB7BD0"/>
    <w:rsid w:val="38AC3431"/>
    <w:rsid w:val="392F2E16"/>
    <w:rsid w:val="39B03534"/>
    <w:rsid w:val="39E00529"/>
    <w:rsid w:val="3A0B64A7"/>
    <w:rsid w:val="3A574DDA"/>
    <w:rsid w:val="3AD3075A"/>
    <w:rsid w:val="3AF74C02"/>
    <w:rsid w:val="3B9E4223"/>
    <w:rsid w:val="3C0059A5"/>
    <w:rsid w:val="3C134E78"/>
    <w:rsid w:val="3D3003AC"/>
    <w:rsid w:val="3D6F3A97"/>
    <w:rsid w:val="3DF6345D"/>
    <w:rsid w:val="3E2B5515"/>
    <w:rsid w:val="3E4D4F28"/>
    <w:rsid w:val="3EB66C42"/>
    <w:rsid w:val="3ED92EC4"/>
    <w:rsid w:val="3EE13701"/>
    <w:rsid w:val="3F1A4BB3"/>
    <w:rsid w:val="3F632CDC"/>
    <w:rsid w:val="3F9116F6"/>
    <w:rsid w:val="3FBF6807"/>
    <w:rsid w:val="40192BA6"/>
    <w:rsid w:val="40572841"/>
    <w:rsid w:val="416C57BC"/>
    <w:rsid w:val="41766EA9"/>
    <w:rsid w:val="42550A18"/>
    <w:rsid w:val="429D496A"/>
    <w:rsid w:val="42F473A1"/>
    <w:rsid w:val="432924BB"/>
    <w:rsid w:val="437217EA"/>
    <w:rsid w:val="43AB7156"/>
    <w:rsid w:val="441E62C0"/>
    <w:rsid w:val="449235DA"/>
    <w:rsid w:val="45325D14"/>
    <w:rsid w:val="45811C7C"/>
    <w:rsid w:val="45906116"/>
    <w:rsid w:val="45931B8C"/>
    <w:rsid w:val="45AF648D"/>
    <w:rsid w:val="45DC3E93"/>
    <w:rsid w:val="45EF2552"/>
    <w:rsid w:val="468B3EFB"/>
    <w:rsid w:val="470A6193"/>
    <w:rsid w:val="47385210"/>
    <w:rsid w:val="475510F8"/>
    <w:rsid w:val="4764092B"/>
    <w:rsid w:val="47940848"/>
    <w:rsid w:val="47DC4F5C"/>
    <w:rsid w:val="480D0DB2"/>
    <w:rsid w:val="482577C1"/>
    <w:rsid w:val="48B40671"/>
    <w:rsid w:val="499B5738"/>
    <w:rsid w:val="499F244D"/>
    <w:rsid w:val="4A473705"/>
    <w:rsid w:val="4A973F3F"/>
    <w:rsid w:val="4AEB59AA"/>
    <w:rsid w:val="4AF96BC7"/>
    <w:rsid w:val="4B5C0D0B"/>
    <w:rsid w:val="4B862A85"/>
    <w:rsid w:val="4C952A0B"/>
    <w:rsid w:val="4CEF36E2"/>
    <w:rsid w:val="4CEF4DC5"/>
    <w:rsid w:val="4E257655"/>
    <w:rsid w:val="4F0C47F7"/>
    <w:rsid w:val="4F372380"/>
    <w:rsid w:val="4F372FFB"/>
    <w:rsid w:val="4F982BE8"/>
    <w:rsid w:val="5025116D"/>
    <w:rsid w:val="505748CA"/>
    <w:rsid w:val="52395ECD"/>
    <w:rsid w:val="527A0585"/>
    <w:rsid w:val="52C10D75"/>
    <w:rsid w:val="53C27FF8"/>
    <w:rsid w:val="54806794"/>
    <w:rsid w:val="549E1A80"/>
    <w:rsid w:val="54C658F4"/>
    <w:rsid w:val="550C4BD7"/>
    <w:rsid w:val="554C1D56"/>
    <w:rsid w:val="55572986"/>
    <w:rsid w:val="56403B91"/>
    <w:rsid w:val="565340FA"/>
    <w:rsid w:val="56AD2D63"/>
    <w:rsid w:val="56AD5F59"/>
    <w:rsid w:val="56C60774"/>
    <w:rsid w:val="57B12A52"/>
    <w:rsid w:val="57FE765E"/>
    <w:rsid w:val="58462D6F"/>
    <w:rsid w:val="5A2F2CC8"/>
    <w:rsid w:val="5B143D77"/>
    <w:rsid w:val="5BF2638F"/>
    <w:rsid w:val="5C10702D"/>
    <w:rsid w:val="5C152601"/>
    <w:rsid w:val="5C591F03"/>
    <w:rsid w:val="5C8A1B2F"/>
    <w:rsid w:val="5CE17AD2"/>
    <w:rsid w:val="5D2F32EF"/>
    <w:rsid w:val="5EA37071"/>
    <w:rsid w:val="5F561B72"/>
    <w:rsid w:val="606007BB"/>
    <w:rsid w:val="60AC7F66"/>
    <w:rsid w:val="60DA7449"/>
    <w:rsid w:val="61BF10D9"/>
    <w:rsid w:val="62782477"/>
    <w:rsid w:val="62AC22DC"/>
    <w:rsid w:val="63A22BFD"/>
    <w:rsid w:val="647F358F"/>
    <w:rsid w:val="64E45EF7"/>
    <w:rsid w:val="64F74FD4"/>
    <w:rsid w:val="6691014E"/>
    <w:rsid w:val="66955BDE"/>
    <w:rsid w:val="66C87CCE"/>
    <w:rsid w:val="677435B2"/>
    <w:rsid w:val="67955138"/>
    <w:rsid w:val="67EF75F1"/>
    <w:rsid w:val="684F4F11"/>
    <w:rsid w:val="69124F16"/>
    <w:rsid w:val="69CD5C14"/>
    <w:rsid w:val="69CF0D33"/>
    <w:rsid w:val="6A3E2228"/>
    <w:rsid w:val="6A6E1A38"/>
    <w:rsid w:val="6B9946B3"/>
    <w:rsid w:val="6BE518DA"/>
    <w:rsid w:val="6C276F3A"/>
    <w:rsid w:val="6C7007C7"/>
    <w:rsid w:val="6C701104"/>
    <w:rsid w:val="6C896FE9"/>
    <w:rsid w:val="6DE76850"/>
    <w:rsid w:val="6E220F6C"/>
    <w:rsid w:val="6FB20BD4"/>
    <w:rsid w:val="6FBA59BE"/>
    <w:rsid w:val="6FFB5CAF"/>
    <w:rsid w:val="70296B3E"/>
    <w:rsid w:val="702E1F53"/>
    <w:rsid w:val="70611204"/>
    <w:rsid w:val="70C86B24"/>
    <w:rsid w:val="7165620F"/>
    <w:rsid w:val="717039F8"/>
    <w:rsid w:val="71A41DC6"/>
    <w:rsid w:val="737541F2"/>
    <w:rsid w:val="74844CAB"/>
    <w:rsid w:val="74D13AD5"/>
    <w:rsid w:val="74FA2C30"/>
    <w:rsid w:val="754D5C4B"/>
    <w:rsid w:val="761622C0"/>
    <w:rsid w:val="76C240A7"/>
    <w:rsid w:val="76DA416A"/>
    <w:rsid w:val="775246B7"/>
    <w:rsid w:val="77A954CC"/>
    <w:rsid w:val="781E69D1"/>
    <w:rsid w:val="784C72E1"/>
    <w:rsid w:val="7901747F"/>
    <w:rsid w:val="7A263B6B"/>
    <w:rsid w:val="7AEE489F"/>
    <w:rsid w:val="7AF46346"/>
    <w:rsid w:val="7B0F5EBF"/>
    <w:rsid w:val="7B130FB9"/>
    <w:rsid w:val="7B18614D"/>
    <w:rsid w:val="7BD71E38"/>
    <w:rsid w:val="7BF64EDE"/>
    <w:rsid w:val="7C400C1E"/>
    <w:rsid w:val="7CFE636D"/>
    <w:rsid w:val="7DD11708"/>
    <w:rsid w:val="7DEE4A4F"/>
    <w:rsid w:val="7EAE6230"/>
    <w:rsid w:val="7EBD579E"/>
    <w:rsid w:val="7EC167BD"/>
    <w:rsid w:val="7EEF4B84"/>
    <w:rsid w:val="7EF35613"/>
    <w:rsid w:val="7F272D9E"/>
    <w:rsid w:val="BAFE33D7"/>
    <w:rsid w:val="E6CFF7DE"/>
    <w:rsid w:val="EFDD103F"/>
    <w:rsid w:val="F9ABFCB9"/>
    <w:rsid w:val="FD69E651"/>
    <w:rsid w:val="FEDB9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name="Body Text First Indent"/>
    <w:lsdException w:qFormat="1" w:uiPriority="99" w:semiHidden="0" w:name="Body Text First Indent 2"/>
    <w:lsdException w:uiPriority="99" w:name="Note Heading"/>
    <w:lsdException w:qFormat="1" w:uiPriority="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4"/>
    <w:autoRedefine/>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78"/>
    <w:autoRedefine/>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7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9"/>
    <w:link w:val="45"/>
    <w:autoRedefine/>
    <w:qFormat/>
    <w:uiPriority w:val="9"/>
    <w:pPr>
      <w:keepNext/>
      <w:keepLines/>
      <w:spacing w:before="280" w:after="290" w:line="376" w:lineRule="auto"/>
      <w:outlineLvl w:val="4"/>
    </w:pPr>
    <w:rPr>
      <w:b/>
      <w:bCs/>
      <w:sz w:val="28"/>
      <w:szCs w:val="28"/>
    </w:rPr>
  </w:style>
  <w:style w:type="paragraph" w:styleId="10">
    <w:name w:val="heading 6"/>
    <w:basedOn w:val="1"/>
    <w:next w:val="1"/>
    <w:link w:val="87"/>
    <w:autoRedefine/>
    <w:semiHidden/>
    <w:unhideWhenUsed/>
    <w:qFormat/>
    <w:uiPriority w:val="9"/>
    <w:pPr>
      <w:keepNext/>
      <w:keepLines/>
      <w:spacing w:before="240" w:after="64" w:line="316" w:lineRule="auto"/>
      <w:ind w:left="1151"/>
      <w:outlineLvl w:val="5"/>
    </w:pPr>
    <w:rPr>
      <w:rFonts w:ascii="Arial" w:hAnsi="Arial" w:eastAsia="黑体" w:cstheme="minorBidi"/>
      <w:b/>
      <w:sz w:val="24"/>
    </w:rPr>
  </w:style>
  <w:style w:type="paragraph" w:styleId="11">
    <w:name w:val="heading 7"/>
    <w:basedOn w:val="1"/>
    <w:next w:val="1"/>
    <w:link w:val="88"/>
    <w:autoRedefine/>
    <w:semiHidden/>
    <w:unhideWhenUsed/>
    <w:qFormat/>
    <w:uiPriority w:val="9"/>
    <w:pPr>
      <w:keepNext/>
      <w:keepLines/>
      <w:spacing w:before="240" w:after="64" w:line="316" w:lineRule="auto"/>
      <w:ind w:left="1296"/>
      <w:outlineLvl w:val="6"/>
    </w:pPr>
    <w:rPr>
      <w:rFonts w:cstheme="minorBidi"/>
      <w:b/>
      <w:sz w:val="24"/>
    </w:rPr>
  </w:style>
  <w:style w:type="paragraph" w:styleId="12">
    <w:name w:val="heading 8"/>
    <w:basedOn w:val="1"/>
    <w:next w:val="1"/>
    <w:link w:val="46"/>
    <w:autoRedefine/>
    <w:qFormat/>
    <w:uiPriority w:val="9"/>
    <w:pPr>
      <w:keepNext/>
      <w:keepLines/>
      <w:spacing w:before="240" w:after="64" w:line="320" w:lineRule="auto"/>
      <w:outlineLvl w:val="7"/>
    </w:pPr>
    <w:rPr>
      <w:rFonts w:ascii="等线 Light" w:hAnsi="等线 Light" w:eastAsia="等线 Light"/>
      <w:sz w:val="24"/>
    </w:rPr>
  </w:style>
  <w:style w:type="paragraph" w:styleId="13">
    <w:name w:val="heading 9"/>
    <w:basedOn w:val="1"/>
    <w:next w:val="1"/>
    <w:link w:val="89"/>
    <w:autoRedefine/>
    <w:semiHidden/>
    <w:unhideWhenUsed/>
    <w:qFormat/>
    <w:uiPriority w:val="9"/>
    <w:pPr>
      <w:keepNext/>
      <w:keepLines/>
      <w:spacing w:before="240" w:after="64" w:line="316" w:lineRule="auto"/>
      <w:ind w:left="1583"/>
      <w:outlineLvl w:val="8"/>
    </w:pPr>
    <w:rPr>
      <w:rFonts w:ascii="Arial" w:hAnsi="Arial" w:eastAsia="黑体" w:cstheme="minorBidi"/>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ascii="Times New Roman" w:eastAsia="宋体"/>
      <w:kern w:val="2"/>
      <w:sz w:val="21"/>
      <w:szCs w:val="24"/>
    </w:rPr>
  </w:style>
  <w:style w:type="paragraph" w:styleId="3">
    <w:name w:val="Body Text Indent"/>
    <w:basedOn w:val="1"/>
    <w:link w:val="50"/>
    <w:autoRedefine/>
    <w:qFormat/>
    <w:uiPriority w:val="0"/>
    <w:pPr>
      <w:ind w:firstLine="830" w:firstLineChars="352"/>
    </w:pPr>
    <w:rPr>
      <w:rFonts w:ascii="仿宋_GB2312" w:eastAsia="仿宋_GB2312"/>
      <w:kern w:val="0"/>
      <w:sz w:val="32"/>
      <w:szCs w:val="20"/>
    </w:rPr>
  </w:style>
  <w:style w:type="paragraph" w:styleId="9">
    <w:name w:val="Normal Indent"/>
    <w:basedOn w:val="1"/>
    <w:autoRedefine/>
    <w:qFormat/>
    <w:uiPriority w:val="0"/>
    <w:pPr>
      <w:ind w:firstLine="420"/>
    </w:pPr>
    <w:rPr>
      <w:szCs w:val="20"/>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semiHidden/>
    <w:unhideWhenUsed/>
    <w:qFormat/>
    <w:uiPriority w:val="35"/>
    <w:pPr>
      <w:spacing w:line="360" w:lineRule="auto"/>
      <w:jc w:val="center"/>
    </w:pPr>
    <w:rPr>
      <w:rFonts w:eastAsia="黑体" w:asciiTheme="majorHAnsi" w:hAnsiTheme="majorHAnsi" w:cstheme="majorBidi"/>
      <w:sz w:val="20"/>
      <w:szCs w:val="20"/>
    </w:rPr>
  </w:style>
  <w:style w:type="paragraph" w:styleId="16">
    <w:name w:val="annotation text"/>
    <w:basedOn w:val="1"/>
    <w:link w:val="47"/>
    <w:autoRedefine/>
    <w:qFormat/>
    <w:uiPriority w:val="0"/>
    <w:pPr>
      <w:jc w:val="left"/>
    </w:pPr>
  </w:style>
  <w:style w:type="paragraph" w:styleId="17">
    <w:name w:val="Body Text 3"/>
    <w:basedOn w:val="1"/>
    <w:link w:val="48"/>
    <w:autoRedefine/>
    <w:unhideWhenUsed/>
    <w:qFormat/>
    <w:uiPriority w:val="99"/>
    <w:pPr>
      <w:spacing w:after="120"/>
    </w:pPr>
    <w:rPr>
      <w:sz w:val="16"/>
      <w:szCs w:val="16"/>
    </w:rPr>
  </w:style>
  <w:style w:type="paragraph" w:styleId="18">
    <w:name w:val="Body Text"/>
    <w:basedOn w:val="1"/>
    <w:next w:val="1"/>
    <w:link w:val="49"/>
    <w:autoRedefine/>
    <w:unhideWhenUsed/>
    <w:qFormat/>
    <w:uiPriority w:val="0"/>
    <w:pPr>
      <w:spacing w:after="120"/>
    </w:pPr>
  </w:style>
  <w:style w:type="paragraph" w:styleId="19">
    <w:name w:val="List 2"/>
    <w:basedOn w:val="1"/>
    <w:autoRedefine/>
    <w:unhideWhenUsed/>
    <w:qFormat/>
    <w:uiPriority w:val="99"/>
    <w:pPr>
      <w:ind w:left="100" w:leftChars="200" w:hanging="200" w:hangingChars="200"/>
      <w:contextualSpacing/>
    </w:pPr>
  </w:style>
  <w:style w:type="paragraph" w:styleId="20">
    <w:name w:val="toc 3"/>
    <w:basedOn w:val="1"/>
    <w:next w:val="1"/>
    <w:autoRedefine/>
    <w:semiHidden/>
    <w:unhideWhenUsed/>
    <w:qFormat/>
    <w:uiPriority w:val="39"/>
    <w:pPr>
      <w:spacing w:line="360" w:lineRule="auto"/>
      <w:ind w:left="400" w:leftChars="400" w:firstLine="560" w:firstLineChars="200"/>
    </w:pPr>
    <w:rPr>
      <w:rFonts w:eastAsia="黑体" w:cstheme="minorBidi"/>
      <w:sz w:val="28"/>
    </w:rPr>
  </w:style>
  <w:style w:type="paragraph" w:styleId="21">
    <w:name w:val="Plain Text"/>
    <w:basedOn w:val="1"/>
    <w:next w:val="7"/>
    <w:link w:val="51"/>
    <w:autoRedefine/>
    <w:qFormat/>
    <w:uiPriority w:val="0"/>
    <w:rPr>
      <w:rFonts w:ascii="宋体" w:hAnsi="Courier New"/>
      <w:kern w:val="0"/>
      <w:sz w:val="20"/>
      <w:szCs w:val="21"/>
    </w:rPr>
  </w:style>
  <w:style w:type="paragraph" w:styleId="22">
    <w:name w:val="Date"/>
    <w:basedOn w:val="1"/>
    <w:next w:val="1"/>
    <w:link w:val="52"/>
    <w:autoRedefine/>
    <w:unhideWhenUsed/>
    <w:qFormat/>
    <w:uiPriority w:val="99"/>
    <w:pPr>
      <w:ind w:left="100" w:leftChars="2500"/>
    </w:pPr>
  </w:style>
  <w:style w:type="paragraph" w:styleId="23">
    <w:name w:val="Balloon Text"/>
    <w:basedOn w:val="1"/>
    <w:link w:val="93"/>
    <w:autoRedefine/>
    <w:semiHidden/>
    <w:qFormat/>
    <w:uiPriority w:val="99"/>
    <w:rPr>
      <w:sz w:val="18"/>
      <w:szCs w:val="18"/>
    </w:rPr>
  </w:style>
  <w:style w:type="paragraph" w:styleId="24">
    <w:name w:val="footer"/>
    <w:basedOn w:val="1"/>
    <w:next w:val="1"/>
    <w:link w:val="53"/>
    <w:autoRedefine/>
    <w:unhideWhenUsed/>
    <w:qFormat/>
    <w:uiPriority w:val="99"/>
    <w:pPr>
      <w:tabs>
        <w:tab w:val="center" w:pos="4153"/>
        <w:tab w:val="right" w:pos="8306"/>
      </w:tabs>
      <w:snapToGrid w:val="0"/>
      <w:jc w:val="left"/>
    </w:pPr>
    <w:rPr>
      <w:kern w:val="0"/>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autoRedefine/>
    <w:unhideWhenUsed/>
    <w:qFormat/>
    <w:uiPriority w:val="39"/>
  </w:style>
  <w:style w:type="paragraph" w:styleId="27">
    <w:name w:val="toc 2"/>
    <w:basedOn w:val="1"/>
    <w:next w:val="1"/>
    <w:autoRedefine/>
    <w:unhideWhenUsed/>
    <w:qFormat/>
    <w:uiPriority w:val="39"/>
    <w:pPr>
      <w:tabs>
        <w:tab w:val="right" w:leader="dot" w:pos="8296"/>
      </w:tabs>
      <w:ind w:left="420" w:leftChars="200"/>
    </w:pPr>
  </w:style>
  <w:style w:type="paragraph" w:styleId="28">
    <w:name w:val="Body Text 2"/>
    <w:basedOn w:val="1"/>
    <w:link w:val="92"/>
    <w:autoRedefine/>
    <w:semiHidden/>
    <w:unhideWhenUsed/>
    <w:qFormat/>
    <w:uiPriority w:val="0"/>
    <w:pPr>
      <w:spacing w:after="120" w:line="480" w:lineRule="auto"/>
      <w:ind w:firstLine="560" w:firstLineChars="200"/>
    </w:pPr>
    <w:rPr>
      <w:rFonts w:cstheme="minorBidi"/>
      <w:sz w:val="28"/>
    </w:rPr>
  </w:style>
  <w:style w:type="paragraph" w:styleId="29">
    <w:name w:val="Normal (Web)"/>
    <w:basedOn w:val="1"/>
    <w:autoRedefine/>
    <w:unhideWhenUsed/>
    <w:qFormat/>
    <w:uiPriority w:val="99"/>
    <w:rPr>
      <w:rFonts w:ascii="Calibri" w:hAnsi="Calibri"/>
      <w:kern w:val="0"/>
      <w:sz w:val="24"/>
    </w:rPr>
  </w:style>
  <w:style w:type="paragraph" w:styleId="30">
    <w:name w:val="annotation subject"/>
    <w:basedOn w:val="16"/>
    <w:next w:val="16"/>
    <w:link w:val="55"/>
    <w:autoRedefine/>
    <w:qFormat/>
    <w:uiPriority w:val="99"/>
    <w:rPr>
      <w:b/>
      <w:bCs/>
    </w:rPr>
  </w:style>
  <w:style w:type="paragraph" w:styleId="31">
    <w:name w:val="Body Text First Indent"/>
    <w:basedOn w:val="18"/>
    <w:link w:val="91"/>
    <w:autoRedefine/>
    <w:semiHidden/>
    <w:unhideWhenUsed/>
    <w:qFormat/>
    <w:uiPriority w:val="0"/>
    <w:pPr>
      <w:spacing w:line="360" w:lineRule="auto"/>
      <w:ind w:firstLine="420" w:firstLineChars="100"/>
    </w:pPr>
    <w:rPr>
      <w:rFonts w:cstheme="minorBidi"/>
      <w:sz w:val="28"/>
    </w:rPr>
  </w:style>
  <w:style w:type="table" w:styleId="33">
    <w:name w:val="Table Grid"/>
    <w:basedOn w:val="32"/>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autoRedefine/>
    <w:qFormat/>
    <w:uiPriority w:val="22"/>
    <w:rPr>
      <w:b/>
    </w:rPr>
  </w:style>
  <w:style w:type="character" w:styleId="36">
    <w:name w:val="endnote reference"/>
    <w:autoRedefine/>
    <w:unhideWhenUsed/>
    <w:qFormat/>
    <w:uiPriority w:val="99"/>
    <w:rPr>
      <w:vertAlign w:val="superscript"/>
    </w:rPr>
  </w:style>
  <w:style w:type="character" w:styleId="37">
    <w:name w:val="page number"/>
    <w:basedOn w:val="34"/>
    <w:autoRedefine/>
    <w:semiHidden/>
    <w:unhideWhenUsed/>
    <w:qFormat/>
    <w:uiPriority w:val="99"/>
    <w:rPr>
      <w:rFonts w:hint="default" w:ascii="Times New Roman" w:hAnsi="Times New Roman" w:eastAsia="宋体" w:cs="Times New Roman"/>
      <w:color w:val="auto"/>
      <w:sz w:val="21"/>
    </w:rPr>
  </w:style>
  <w:style w:type="character" w:styleId="38">
    <w:name w:val="FollowedHyperlink"/>
    <w:basedOn w:val="34"/>
    <w:autoRedefine/>
    <w:semiHidden/>
    <w:unhideWhenUsed/>
    <w:qFormat/>
    <w:uiPriority w:val="99"/>
    <w:rPr>
      <w:color w:val="800080" w:themeColor="followedHyperlink"/>
      <w:u w:val="single"/>
      <w14:textFill>
        <w14:solidFill>
          <w14:schemeClr w14:val="folHlink"/>
        </w14:solidFill>
      </w14:textFill>
    </w:rPr>
  </w:style>
  <w:style w:type="character" w:styleId="39">
    <w:name w:val="Hyperlink"/>
    <w:autoRedefine/>
    <w:unhideWhenUsed/>
    <w:qFormat/>
    <w:uiPriority w:val="99"/>
    <w:rPr>
      <w:color w:val="0000FF"/>
      <w:u w:val="single"/>
    </w:rPr>
  </w:style>
  <w:style w:type="character" w:styleId="40">
    <w:name w:val="annotation reference"/>
    <w:autoRedefine/>
    <w:qFormat/>
    <w:uiPriority w:val="99"/>
    <w:rPr>
      <w:sz w:val="21"/>
      <w:szCs w:val="21"/>
    </w:rPr>
  </w:style>
  <w:style w:type="paragraph" w:customStyle="1" w:styleId="41">
    <w:name w:val="段"/>
    <w:next w:val="1"/>
    <w:autoRedefine/>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2">
    <w:name w:val="标题 2 Char"/>
    <w:autoRedefine/>
    <w:qFormat/>
    <w:uiPriority w:val="9"/>
    <w:rPr>
      <w:rFonts w:ascii="Cambria" w:hAnsi="Cambria" w:eastAsia="宋体" w:cs="Times New Roman"/>
      <w:b/>
      <w:bCs/>
      <w:kern w:val="2"/>
      <w:sz w:val="32"/>
      <w:szCs w:val="32"/>
    </w:rPr>
  </w:style>
  <w:style w:type="character" w:customStyle="1" w:styleId="43">
    <w:name w:val="标题 1 字符"/>
    <w:link w:val="4"/>
    <w:autoRedefine/>
    <w:qFormat/>
    <w:uiPriority w:val="9"/>
    <w:rPr>
      <w:b/>
      <w:bCs/>
      <w:kern w:val="44"/>
      <w:sz w:val="44"/>
      <w:szCs w:val="44"/>
    </w:rPr>
  </w:style>
  <w:style w:type="character" w:customStyle="1" w:styleId="44">
    <w:name w:val="标题 2 字符"/>
    <w:link w:val="5"/>
    <w:autoRedefine/>
    <w:qFormat/>
    <w:uiPriority w:val="9"/>
    <w:rPr>
      <w:rFonts w:ascii="Cambria" w:hAnsi="Cambria" w:eastAsia="宋体" w:cs="Times New Roman"/>
      <w:b/>
      <w:bCs/>
      <w:kern w:val="2"/>
      <w:sz w:val="32"/>
      <w:szCs w:val="32"/>
    </w:rPr>
  </w:style>
  <w:style w:type="character" w:customStyle="1" w:styleId="45">
    <w:name w:val="标题 5 字符"/>
    <w:link w:val="8"/>
    <w:autoRedefine/>
    <w:semiHidden/>
    <w:qFormat/>
    <w:uiPriority w:val="9"/>
    <w:rPr>
      <w:rFonts w:ascii="Times New Roman" w:hAnsi="Times New Roman"/>
      <w:b/>
      <w:bCs/>
      <w:kern w:val="2"/>
      <w:sz w:val="28"/>
      <w:szCs w:val="28"/>
    </w:rPr>
  </w:style>
  <w:style w:type="character" w:customStyle="1" w:styleId="46">
    <w:name w:val="标题 8 字符"/>
    <w:link w:val="12"/>
    <w:autoRedefine/>
    <w:semiHidden/>
    <w:qFormat/>
    <w:uiPriority w:val="9"/>
    <w:rPr>
      <w:rFonts w:ascii="等线 Light" w:hAnsi="等线 Light" w:eastAsia="等线 Light" w:cs="Times New Roman"/>
      <w:kern w:val="2"/>
      <w:sz w:val="24"/>
      <w:szCs w:val="24"/>
    </w:rPr>
  </w:style>
  <w:style w:type="character" w:customStyle="1" w:styleId="47">
    <w:name w:val="批注文字 字符2"/>
    <w:link w:val="16"/>
    <w:autoRedefine/>
    <w:qFormat/>
    <w:uiPriority w:val="0"/>
    <w:rPr>
      <w:rFonts w:ascii="Times New Roman" w:hAnsi="Times New Roman"/>
      <w:kern w:val="2"/>
      <w:sz w:val="21"/>
      <w:szCs w:val="24"/>
    </w:rPr>
  </w:style>
  <w:style w:type="character" w:customStyle="1" w:styleId="48">
    <w:name w:val="正文文本 3 字符"/>
    <w:link w:val="17"/>
    <w:autoRedefine/>
    <w:semiHidden/>
    <w:qFormat/>
    <w:uiPriority w:val="99"/>
    <w:rPr>
      <w:kern w:val="2"/>
      <w:sz w:val="16"/>
      <w:szCs w:val="16"/>
    </w:rPr>
  </w:style>
  <w:style w:type="character" w:customStyle="1" w:styleId="49">
    <w:name w:val="正文文本 字符1"/>
    <w:link w:val="18"/>
    <w:autoRedefine/>
    <w:qFormat/>
    <w:uiPriority w:val="0"/>
    <w:rPr>
      <w:rFonts w:ascii="Times New Roman" w:hAnsi="Times New Roman"/>
      <w:kern w:val="2"/>
      <w:sz w:val="21"/>
      <w:szCs w:val="24"/>
    </w:rPr>
  </w:style>
  <w:style w:type="character" w:customStyle="1" w:styleId="50">
    <w:name w:val="正文文本缩进 字符"/>
    <w:link w:val="3"/>
    <w:autoRedefine/>
    <w:qFormat/>
    <w:uiPriority w:val="0"/>
    <w:rPr>
      <w:rFonts w:ascii="仿宋_GB2312" w:hAnsi="Times New Roman" w:eastAsia="仿宋_GB2312" w:cs="Times New Roman"/>
      <w:sz w:val="32"/>
      <w:szCs w:val="20"/>
    </w:rPr>
  </w:style>
  <w:style w:type="character" w:customStyle="1" w:styleId="51">
    <w:name w:val="纯文本 字符3"/>
    <w:link w:val="21"/>
    <w:autoRedefine/>
    <w:qFormat/>
    <w:uiPriority w:val="0"/>
    <w:rPr>
      <w:rFonts w:ascii="宋体" w:hAnsi="Courier New" w:eastAsia="宋体" w:cs="Courier New"/>
      <w:szCs w:val="21"/>
    </w:rPr>
  </w:style>
  <w:style w:type="character" w:customStyle="1" w:styleId="52">
    <w:name w:val="日期 字符"/>
    <w:link w:val="22"/>
    <w:autoRedefine/>
    <w:semiHidden/>
    <w:qFormat/>
    <w:uiPriority w:val="99"/>
    <w:rPr>
      <w:rFonts w:ascii="Times New Roman" w:hAnsi="Times New Roman"/>
      <w:kern w:val="2"/>
      <w:sz w:val="21"/>
      <w:szCs w:val="24"/>
    </w:rPr>
  </w:style>
  <w:style w:type="character" w:customStyle="1" w:styleId="53">
    <w:name w:val="页脚 字符"/>
    <w:link w:val="24"/>
    <w:autoRedefine/>
    <w:qFormat/>
    <w:uiPriority w:val="99"/>
    <w:rPr>
      <w:sz w:val="18"/>
      <w:szCs w:val="18"/>
    </w:rPr>
  </w:style>
  <w:style w:type="character" w:customStyle="1" w:styleId="54">
    <w:name w:val="页眉 字符"/>
    <w:link w:val="25"/>
    <w:autoRedefine/>
    <w:qFormat/>
    <w:uiPriority w:val="99"/>
    <w:rPr>
      <w:sz w:val="18"/>
      <w:szCs w:val="18"/>
    </w:rPr>
  </w:style>
  <w:style w:type="character" w:customStyle="1" w:styleId="55">
    <w:name w:val="批注主题 字符"/>
    <w:link w:val="30"/>
    <w:autoRedefine/>
    <w:qFormat/>
    <w:uiPriority w:val="99"/>
    <w:rPr>
      <w:rFonts w:ascii="Times New Roman" w:hAnsi="Times New Roman"/>
      <w:b/>
      <w:bCs/>
      <w:kern w:val="2"/>
      <w:sz w:val="21"/>
      <w:szCs w:val="24"/>
    </w:rPr>
  </w:style>
  <w:style w:type="character" w:customStyle="1" w:styleId="56">
    <w:name w:val="纯文本 字符2"/>
    <w:autoRedefine/>
    <w:qFormat/>
    <w:uiPriority w:val="0"/>
    <w:rPr>
      <w:rFonts w:ascii="宋体" w:hAnsi="Courier New" w:eastAsia="宋体" w:cs="Courier New"/>
      <w:szCs w:val="21"/>
    </w:rPr>
  </w:style>
  <w:style w:type="character" w:customStyle="1" w:styleId="57">
    <w:name w:val="标题 1 字符1"/>
    <w:autoRedefine/>
    <w:qFormat/>
    <w:uiPriority w:val="0"/>
    <w:rPr>
      <w:b/>
      <w:bCs/>
      <w:kern w:val="44"/>
      <w:sz w:val="44"/>
      <w:szCs w:val="44"/>
    </w:rPr>
  </w:style>
  <w:style w:type="character" w:customStyle="1" w:styleId="58">
    <w:name w:val="正文2 Char Char"/>
    <w:link w:val="59"/>
    <w:autoRedefine/>
    <w:qFormat/>
    <w:uiPriority w:val="0"/>
    <w:rPr>
      <w:kern w:val="2"/>
      <w:sz w:val="24"/>
    </w:rPr>
  </w:style>
  <w:style w:type="paragraph" w:customStyle="1" w:styleId="59">
    <w:name w:val="正文2"/>
    <w:basedOn w:val="1"/>
    <w:link w:val="58"/>
    <w:autoRedefine/>
    <w:qFormat/>
    <w:uiPriority w:val="0"/>
    <w:pPr>
      <w:adjustRightInd w:val="0"/>
      <w:spacing w:before="156" w:line="360" w:lineRule="auto"/>
      <w:ind w:firstLine="510" w:firstLineChars="200"/>
    </w:pPr>
    <w:rPr>
      <w:sz w:val="24"/>
      <w:szCs w:val="20"/>
    </w:rPr>
  </w:style>
  <w:style w:type="character" w:customStyle="1" w:styleId="60">
    <w:name w:val="纯文本 字符1"/>
    <w:autoRedefine/>
    <w:qFormat/>
    <w:uiPriority w:val="99"/>
    <w:rPr>
      <w:rFonts w:ascii="宋体" w:hAnsi="Courier New"/>
    </w:rPr>
  </w:style>
  <w:style w:type="character" w:customStyle="1" w:styleId="61">
    <w:name w:val="批注文字 Char2"/>
    <w:autoRedefine/>
    <w:qFormat/>
    <w:uiPriority w:val="0"/>
    <w:rPr>
      <w:rFonts w:ascii="Times New Roman" w:hAnsi="Times New Roman"/>
      <w:kern w:val="2"/>
      <w:sz w:val="21"/>
      <w:szCs w:val="24"/>
    </w:rPr>
  </w:style>
  <w:style w:type="character" w:customStyle="1" w:styleId="62">
    <w:name w:val="纯文本 字符"/>
    <w:autoRedefine/>
    <w:qFormat/>
    <w:uiPriority w:val="0"/>
    <w:rPr>
      <w:rFonts w:ascii="宋体" w:hAnsi="Courier New" w:eastAsia="宋体" w:cs="Courier New"/>
      <w:szCs w:val="21"/>
    </w:rPr>
  </w:style>
  <w:style w:type="character" w:customStyle="1" w:styleId="63">
    <w:name w:val="textcontents"/>
    <w:autoRedefine/>
    <w:qFormat/>
    <w:uiPriority w:val="0"/>
  </w:style>
  <w:style w:type="character" w:customStyle="1" w:styleId="64">
    <w:name w:val="apple-style-span"/>
    <w:autoRedefine/>
    <w:qFormat/>
    <w:uiPriority w:val="0"/>
  </w:style>
  <w:style w:type="character" w:customStyle="1" w:styleId="65">
    <w:name w:val="批注文字 Char"/>
    <w:autoRedefine/>
    <w:qFormat/>
    <w:uiPriority w:val="0"/>
    <w:rPr>
      <w:rFonts w:ascii="Times New Roman" w:hAnsi="Times New Roman"/>
      <w:kern w:val="2"/>
      <w:sz w:val="21"/>
      <w:szCs w:val="24"/>
    </w:rPr>
  </w:style>
  <w:style w:type="character" w:customStyle="1" w:styleId="66">
    <w:name w:val="正文文本 字符"/>
    <w:autoRedefine/>
    <w:qFormat/>
    <w:uiPriority w:val="0"/>
    <w:rPr>
      <w:rFonts w:ascii="Times New Roman" w:hAnsi="Times New Roman"/>
      <w:kern w:val="2"/>
      <w:sz w:val="21"/>
      <w:szCs w:val="24"/>
    </w:rPr>
  </w:style>
  <w:style w:type="character" w:customStyle="1" w:styleId="6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纯文本 Char"/>
    <w:autoRedefine/>
    <w:qFormat/>
    <w:uiPriority w:val="0"/>
    <w:rPr>
      <w:rFonts w:ascii="宋体" w:hAnsi="Courier New" w:eastAsia="宋体" w:cs="Courier New"/>
      <w:szCs w:val="21"/>
    </w:rPr>
  </w:style>
  <w:style w:type="character" w:customStyle="1" w:styleId="69">
    <w:name w:val="标题 8 Char"/>
    <w:autoRedefine/>
    <w:qFormat/>
    <w:uiPriority w:val="0"/>
    <w:rPr>
      <w:rFonts w:ascii="Arial" w:hAnsi="Arial" w:eastAsia="黑体"/>
      <w:kern w:val="2"/>
      <w:sz w:val="24"/>
      <w:szCs w:val="24"/>
    </w:rPr>
  </w:style>
  <w:style w:type="character" w:customStyle="1" w:styleId="70">
    <w:name w:val="批注文字 字符"/>
    <w:autoRedefine/>
    <w:qFormat/>
    <w:uiPriority w:val="99"/>
    <w:rPr>
      <w:rFonts w:ascii="Times New Roman" w:hAnsi="Times New Roman"/>
      <w:kern w:val="2"/>
      <w:sz w:val="21"/>
      <w:szCs w:val="24"/>
    </w:rPr>
  </w:style>
  <w:style w:type="character" w:customStyle="1" w:styleId="71">
    <w:name w:val="批注文字 字符1"/>
    <w:autoRedefine/>
    <w:qFormat/>
    <w:uiPriority w:val="0"/>
    <w:rPr>
      <w:rFonts w:ascii="Times New Roman" w:hAnsi="Times New Roman"/>
      <w:kern w:val="2"/>
      <w:sz w:val="21"/>
      <w:szCs w:val="24"/>
    </w:rPr>
  </w:style>
  <w:style w:type="character" w:customStyle="1" w:styleId="72">
    <w:name w:val="正文文本 Char"/>
    <w:autoRedefine/>
    <w:qFormat/>
    <w:uiPriority w:val="0"/>
    <w:rPr>
      <w:rFonts w:ascii="Times New Roman" w:hAnsi="Times New Roman"/>
      <w:kern w:val="2"/>
      <w:sz w:val="21"/>
      <w:szCs w:val="24"/>
    </w:rPr>
  </w:style>
  <w:style w:type="paragraph" w:customStyle="1" w:styleId="73">
    <w:name w:val="默认段落字体 Para Char Char Char Char Char Char Char Char Char1 Char Char Char Char"/>
    <w:basedOn w:val="1"/>
    <w:autoRedefine/>
    <w:qFormat/>
    <w:uiPriority w:val="0"/>
    <w:rPr>
      <w:rFonts w:ascii="Tahoma" w:hAnsi="Tahoma"/>
      <w:sz w:val="24"/>
      <w:szCs w:val="20"/>
    </w:rPr>
  </w:style>
  <w:style w:type="paragraph" w:customStyle="1" w:styleId="74">
    <w:name w:val="Table Paragraph"/>
    <w:basedOn w:val="1"/>
    <w:autoRedefine/>
    <w:qFormat/>
    <w:uiPriority w:val="1"/>
    <w:pPr>
      <w:jc w:val="left"/>
    </w:pPr>
    <w:rPr>
      <w:rFonts w:ascii="Calibri" w:hAnsi="Calibri"/>
      <w:kern w:val="0"/>
      <w:sz w:val="22"/>
      <w:szCs w:val="22"/>
      <w:lang w:eastAsia="en-US"/>
    </w:rPr>
  </w:style>
  <w:style w:type="paragraph" w:customStyle="1" w:styleId="75">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76">
    <w:name w:val="列出段落1"/>
    <w:basedOn w:val="1"/>
    <w:autoRedefine/>
    <w:qFormat/>
    <w:uiPriority w:val="34"/>
    <w:pPr>
      <w:ind w:firstLine="420" w:firstLineChars="200"/>
    </w:pPr>
  </w:style>
  <w:style w:type="paragraph" w:customStyle="1" w:styleId="77">
    <w:name w:val="列出段落2"/>
    <w:basedOn w:val="1"/>
    <w:autoRedefine/>
    <w:qFormat/>
    <w:uiPriority w:val="34"/>
    <w:pPr>
      <w:ind w:firstLine="420" w:firstLineChars="200"/>
    </w:pPr>
    <w:rPr>
      <w:rFonts w:ascii="Calibri" w:hAnsi="Calibri"/>
    </w:rPr>
  </w:style>
  <w:style w:type="character" w:customStyle="1" w:styleId="78">
    <w:name w:val="标题 3 字符"/>
    <w:basedOn w:val="34"/>
    <w:link w:val="6"/>
    <w:autoRedefine/>
    <w:semiHidden/>
    <w:qFormat/>
    <w:uiPriority w:val="9"/>
    <w:rPr>
      <w:b/>
      <w:bCs/>
      <w:kern w:val="2"/>
      <w:sz w:val="32"/>
      <w:szCs w:val="32"/>
    </w:rPr>
  </w:style>
  <w:style w:type="character" w:customStyle="1" w:styleId="79">
    <w:name w:val="标题 4 字符"/>
    <w:basedOn w:val="34"/>
    <w:link w:val="7"/>
    <w:autoRedefine/>
    <w:semiHidden/>
    <w:qFormat/>
    <w:uiPriority w:val="9"/>
    <w:rPr>
      <w:rFonts w:asciiTheme="majorHAnsi" w:hAnsiTheme="majorHAnsi" w:eastAsiaTheme="majorEastAsia" w:cstheme="majorBidi"/>
      <w:b/>
      <w:bCs/>
      <w:kern w:val="2"/>
      <w:sz w:val="28"/>
      <w:szCs w:val="28"/>
    </w:rPr>
  </w:style>
  <w:style w:type="character" w:customStyle="1" w:styleId="80">
    <w:name w:val="*正文 Char Char"/>
    <w:link w:val="81"/>
    <w:autoRedefine/>
    <w:qFormat/>
    <w:locked/>
    <w:uiPriority w:val="0"/>
    <w:rPr>
      <w:rFonts w:ascii="宋体" w:hAnsi="宋体" w:eastAsia="仿宋_GB2312"/>
      <w:sz w:val="28"/>
      <w:szCs w:val="24"/>
    </w:rPr>
  </w:style>
  <w:style w:type="paragraph" w:customStyle="1" w:styleId="81">
    <w:name w:val="*正文"/>
    <w:basedOn w:val="1"/>
    <w:link w:val="80"/>
    <w:autoRedefine/>
    <w:qFormat/>
    <w:uiPriority w:val="0"/>
    <w:pPr>
      <w:widowControl/>
      <w:spacing w:line="360" w:lineRule="auto"/>
      <w:ind w:firstLine="200" w:firstLineChars="200"/>
      <w:jc w:val="left"/>
    </w:pPr>
    <w:rPr>
      <w:rFonts w:ascii="宋体" w:hAnsi="宋体" w:eastAsia="仿宋_GB2312"/>
      <w:kern w:val="0"/>
      <w:sz w:val="28"/>
    </w:rPr>
  </w:style>
  <w:style w:type="character" w:customStyle="1" w:styleId="82">
    <w:name w:val="正正正文 Char"/>
    <w:link w:val="83"/>
    <w:autoRedefine/>
    <w:qFormat/>
    <w:locked/>
    <w:uiPriority w:val="0"/>
    <w:rPr>
      <w:rFonts w:ascii="仿宋" w:hAnsi="仿宋" w:eastAsia="仿宋"/>
      <w:sz w:val="28"/>
      <w:szCs w:val="28"/>
    </w:rPr>
  </w:style>
  <w:style w:type="paragraph" w:customStyle="1" w:styleId="83">
    <w:name w:val="正正正文"/>
    <w:basedOn w:val="1"/>
    <w:link w:val="82"/>
    <w:autoRedefine/>
    <w:qFormat/>
    <w:uiPriority w:val="0"/>
    <w:pPr>
      <w:spacing w:line="560" w:lineRule="exact"/>
      <w:ind w:firstLine="200" w:firstLineChars="200"/>
    </w:pPr>
    <w:rPr>
      <w:rFonts w:ascii="仿宋" w:hAnsi="仿宋" w:eastAsia="仿宋"/>
      <w:kern w:val="0"/>
      <w:sz w:val="28"/>
      <w:szCs w:val="28"/>
    </w:rPr>
  </w:style>
  <w:style w:type="character" w:customStyle="1" w:styleId="84">
    <w:name w:val="列表段落 字符2"/>
    <w:link w:val="85"/>
    <w:autoRedefine/>
    <w:qFormat/>
    <w:locked/>
    <w:uiPriority w:val="0"/>
    <w:rPr>
      <w:rFonts w:ascii="Calibri" w:hAnsi="Calibri" w:cs="Calibri"/>
      <w:kern w:val="2"/>
      <w:sz w:val="21"/>
      <w:szCs w:val="22"/>
    </w:rPr>
  </w:style>
  <w:style w:type="paragraph" w:customStyle="1" w:styleId="85">
    <w:name w:val="列表段落1"/>
    <w:basedOn w:val="1"/>
    <w:link w:val="84"/>
    <w:autoRedefine/>
    <w:qFormat/>
    <w:uiPriority w:val="0"/>
    <w:pPr>
      <w:widowControl/>
      <w:ind w:firstLine="420" w:firstLineChars="200"/>
      <w:jc w:val="left"/>
    </w:pPr>
    <w:rPr>
      <w:rFonts w:ascii="Calibri" w:hAnsi="Calibri" w:cs="Calibri"/>
      <w:szCs w:val="22"/>
    </w:rPr>
  </w:style>
  <w:style w:type="paragraph" w:customStyle="1" w:styleId="86">
    <w:name w:val="Default"/>
    <w:next w:val="1"/>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87">
    <w:name w:val="标题 6 字符"/>
    <w:basedOn w:val="34"/>
    <w:link w:val="10"/>
    <w:autoRedefine/>
    <w:semiHidden/>
    <w:qFormat/>
    <w:uiPriority w:val="9"/>
    <w:rPr>
      <w:rFonts w:ascii="Arial" w:hAnsi="Arial" w:eastAsia="黑体" w:cstheme="minorBidi"/>
      <w:b/>
      <w:kern w:val="2"/>
      <w:sz w:val="24"/>
      <w:szCs w:val="24"/>
    </w:rPr>
  </w:style>
  <w:style w:type="character" w:customStyle="1" w:styleId="88">
    <w:name w:val="标题 7 字符"/>
    <w:basedOn w:val="34"/>
    <w:link w:val="11"/>
    <w:autoRedefine/>
    <w:semiHidden/>
    <w:qFormat/>
    <w:uiPriority w:val="9"/>
    <w:rPr>
      <w:rFonts w:cstheme="minorBidi"/>
      <w:b/>
      <w:kern w:val="2"/>
      <w:sz w:val="24"/>
      <w:szCs w:val="24"/>
    </w:rPr>
  </w:style>
  <w:style w:type="character" w:customStyle="1" w:styleId="89">
    <w:name w:val="标题 9 字符"/>
    <w:basedOn w:val="34"/>
    <w:link w:val="13"/>
    <w:autoRedefine/>
    <w:semiHidden/>
    <w:qFormat/>
    <w:uiPriority w:val="9"/>
    <w:rPr>
      <w:rFonts w:ascii="Arial" w:hAnsi="Arial" w:eastAsia="黑体" w:cstheme="minorBidi"/>
      <w:kern w:val="2"/>
      <w:sz w:val="21"/>
      <w:szCs w:val="24"/>
    </w:rPr>
  </w:style>
  <w:style w:type="paragraph" w:customStyle="1" w:styleId="9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1">
    <w:name w:val="正文文本首行缩进 字符"/>
    <w:basedOn w:val="49"/>
    <w:link w:val="31"/>
    <w:autoRedefine/>
    <w:semiHidden/>
    <w:qFormat/>
    <w:uiPriority w:val="0"/>
    <w:rPr>
      <w:rFonts w:ascii="Times New Roman" w:hAnsi="Times New Roman" w:cstheme="minorBidi"/>
      <w:kern w:val="2"/>
      <w:sz w:val="28"/>
      <w:szCs w:val="24"/>
    </w:rPr>
  </w:style>
  <w:style w:type="character" w:customStyle="1" w:styleId="92">
    <w:name w:val="正文文本 2 字符"/>
    <w:basedOn w:val="34"/>
    <w:link w:val="28"/>
    <w:autoRedefine/>
    <w:semiHidden/>
    <w:qFormat/>
    <w:uiPriority w:val="0"/>
    <w:rPr>
      <w:rFonts w:cstheme="minorBidi"/>
      <w:kern w:val="2"/>
      <w:sz w:val="28"/>
      <w:szCs w:val="24"/>
    </w:rPr>
  </w:style>
  <w:style w:type="character" w:customStyle="1" w:styleId="93">
    <w:name w:val="批注框文本 字符"/>
    <w:basedOn w:val="34"/>
    <w:link w:val="23"/>
    <w:autoRedefine/>
    <w:semiHidden/>
    <w:qFormat/>
    <w:uiPriority w:val="99"/>
    <w:rPr>
      <w:kern w:val="2"/>
      <w:sz w:val="18"/>
      <w:szCs w:val="18"/>
    </w:rPr>
  </w:style>
  <w:style w:type="paragraph" w:customStyle="1" w:styleId="94">
    <w:name w:val="01-项目名称"/>
    <w:basedOn w:val="1"/>
    <w:next w:val="1"/>
    <w:autoRedefine/>
    <w:qFormat/>
    <w:uiPriority w:val="0"/>
    <w:pPr>
      <w:snapToGrid w:val="0"/>
      <w:spacing w:line="360" w:lineRule="auto"/>
      <w:ind w:firstLine="560" w:firstLineChars="200"/>
      <w:jc w:val="center"/>
    </w:pPr>
    <w:rPr>
      <w:rFonts w:cstheme="minorBidi"/>
      <w:b/>
      <w:sz w:val="44"/>
    </w:rPr>
  </w:style>
  <w:style w:type="paragraph" w:customStyle="1" w:styleId="95">
    <w:name w:val="02-公司名称时间"/>
    <w:basedOn w:val="1"/>
    <w:next w:val="1"/>
    <w:autoRedefine/>
    <w:qFormat/>
    <w:uiPriority w:val="0"/>
    <w:pPr>
      <w:snapToGrid w:val="0"/>
      <w:spacing w:line="360" w:lineRule="auto"/>
      <w:ind w:firstLine="560" w:firstLineChars="200"/>
      <w:jc w:val="center"/>
    </w:pPr>
    <w:rPr>
      <w:rFonts w:cstheme="minorBidi"/>
      <w:b/>
      <w:sz w:val="32"/>
    </w:rPr>
  </w:style>
  <w:style w:type="paragraph" w:customStyle="1" w:styleId="96">
    <w:name w:val="03-目录两字"/>
    <w:basedOn w:val="1"/>
    <w:next w:val="1"/>
    <w:autoRedefine/>
    <w:qFormat/>
    <w:uiPriority w:val="0"/>
    <w:pPr>
      <w:snapToGrid w:val="0"/>
      <w:spacing w:line="360" w:lineRule="auto"/>
      <w:ind w:firstLine="560" w:firstLineChars="200"/>
      <w:jc w:val="center"/>
    </w:pPr>
    <w:rPr>
      <w:rFonts w:cstheme="minorBidi"/>
      <w:b/>
      <w:sz w:val="28"/>
    </w:rPr>
  </w:style>
  <w:style w:type="paragraph" w:customStyle="1" w:styleId="97">
    <w:name w:val="12-图片"/>
    <w:basedOn w:val="1"/>
    <w:next w:val="1"/>
    <w:autoRedefine/>
    <w:qFormat/>
    <w:uiPriority w:val="0"/>
    <w:pPr>
      <w:snapToGrid w:val="0"/>
      <w:spacing w:beforeLines="50" w:afterLines="50" w:line="360" w:lineRule="auto"/>
      <w:ind w:firstLine="560" w:firstLineChars="200"/>
      <w:jc w:val="center"/>
    </w:pPr>
    <w:rPr>
      <w:rFonts w:cstheme="minorBidi"/>
      <w:sz w:val="28"/>
    </w:rPr>
  </w:style>
  <w:style w:type="paragraph" w:customStyle="1" w:styleId="98">
    <w:name w:val="13-表格整体"/>
    <w:basedOn w:val="1"/>
    <w:autoRedefine/>
    <w:qFormat/>
    <w:uiPriority w:val="0"/>
    <w:pPr>
      <w:snapToGrid w:val="0"/>
      <w:spacing w:beforeLines="50" w:afterLines="50" w:line="360" w:lineRule="auto"/>
      <w:ind w:firstLine="560" w:firstLineChars="200"/>
    </w:pPr>
    <w:rPr>
      <w:rFonts w:cstheme="minorBidi"/>
      <w:sz w:val="28"/>
    </w:rPr>
  </w:style>
  <w:style w:type="paragraph" w:customStyle="1" w:styleId="99">
    <w:name w:val="15-图片题注"/>
    <w:basedOn w:val="1"/>
    <w:next w:val="1"/>
    <w:autoRedefine/>
    <w:qFormat/>
    <w:uiPriority w:val="0"/>
    <w:pPr>
      <w:snapToGrid w:val="0"/>
      <w:spacing w:beforeLines="50" w:afterLines="50" w:line="360" w:lineRule="auto"/>
      <w:ind w:firstLine="560" w:firstLineChars="200"/>
      <w:jc w:val="center"/>
    </w:pPr>
    <w:rPr>
      <w:rFonts w:cstheme="minorBidi"/>
      <w:sz w:val="28"/>
    </w:rPr>
  </w:style>
  <w:style w:type="paragraph" w:customStyle="1" w:styleId="100">
    <w:name w:val="14-表格首行"/>
    <w:basedOn w:val="98"/>
    <w:next w:val="98"/>
    <w:autoRedefine/>
    <w:qFormat/>
    <w:uiPriority w:val="0"/>
    <w:pPr>
      <w:jc w:val="center"/>
    </w:pPr>
    <w:rPr>
      <w:b/>
    </w:rPr>
  </w:style>
  <w:style w:type="paragraph" w:customStyle="1" w:styleId="101">
    <w:name w:val="05-正文加粗"/>
    <w:basedOn w:val="1"/>
    <w:next w:val="1"/>
    <w:autoRedefine/>
    <w:qFormat/>
    <w:uiPriority w:val="0"/>
    <w:pPr>
      <w:snapToGrid w:val="0"/>
      <w:spacing w:line="360" w:lineRule="auto"/>
      <w:ind w:firstLine="200" w:firstLineChars="200"/>
    </w:pPr>
    <w:rPr>
      <w:rFonts w:cstheme="minorBidi"/>
      <w:b/>
      <w:sz w:val="24"/>
    </w:rPr>
  </w:style>
  <w:style w:type="paragraph" w:customStyle="1" w:styleId="102">
    <w:name w:val="06-编号"/>
    <w:basedOn w:val="1"/>
    <w:next w:val="1"/>
    <w:autoRedefine/>
    <w:qFormat/>
    <w:uiPriority w:val="0"/>
    <w:pPr>
      <w:numPr>
        <w:ilvl w:val="0"/>
        <w:numId w:val="1"/>
      </w:numPr>
      <w:snapToGrid w:val="0"/>
      <w:spacing w:line="360" w:lineRule="auto"/>
      <w:ind w:firstLine="200" w:firstLineChars="200"/>
    </w:pPr>
    <w:rPr>
      <w:rFonts w:cstheme="minorBidi"/>
      <w:sz w:val="24"/>
    </w:rPr>
  </w:style>
  <w:style w:type="paragraph" w:customStyle="1" w:styleId="103">
    <w:name w:val="10-列表-圆点"/>
    <w:basedOn w:val="1"/>
    <w:next w:val="1"/>
    <w:autoRedefine/>
    <w:qFormat/>
    <w:uiPriority w:val="0"/>
    <w:pPr>
      <w:numPr>
        <w:ilvl w:val="0"/>
        <w:numId w:val="2"/>
      </w:numPr>
      <w:snapToGrid w:val="0"/>
      <w:spacing w:line="360" w:lineRule="auto"/>
      <w:ind w:left="400" w:leftChars="200" w:hanging="200" w:hangingChars="200"/>
    </w:pPr>
    <w:rPr>
      <w:rFonts w:cstheme="minorBidi"/>
      <w:sz w:val="24"/>
    </w:rPr>
  </w:style>
  <w:style w:type="paragraph" w:customStyle="1" w:styleId="104">
    <w:name w:val="08-编号-括号"/>
    <w:basedOn w:val="1"/>
    <w:next w:val="1"/>
    <w:autoRedefine/>
    <w:qFormat/>
    <w:uiPriority w:val="0"/>
    <w:pPr>
      <w:numPr>
        <w:ilvl w:val="0"/>
        <w:numId w:val="3"/>
      </w:numPr>
      <w:snapToGrid w:val="0"/>
      <w:spacing w:line="360" w:lineRule="auto"/>
      <w:ind w:firstLine="200" w:firstLineChars="200"/>
    </w:pPr>
    <w:rPr>
      <w:rFonts w:cstheme="minorBidi"/>
      <w:sz w:val="24"/>
    </w:rPr>
  </w:style>
  <w:style w:type="paragraph" w:customStyle="1" w:styleId="105">
    <w:name w:val="07-编号加粗"/>
    <w:basedOn w:val="1"/>
    <w:next w:val="1"/>
    <w:autoRedefine/>
    <w:qFormat/>
    <w:uiPriority w:val="0"/>
    <w:pPr>
      <w:numPr>
        <w:ilvl w:val="0"/>
        <w:numId w:val="4"/>
      </w:numPr>
      <w:snapToGrid w:val="0"/>
      <w:spacing w:line="360" w:lineRule="auto"/>
      <w:ind w:firstLine="200" w:firstLineChars="200"/>
    </w:pPr>
    <w:rPr>
      <w:rFonts w:cstheme="minorBidi"/>
      <w:b/>
      <w:sz w:val="24"/>
    </w:rPr>
  </w:style>
  <w:style w:type="paragraph" w:customStyle="1" w:styleId="106">
    <w:name w:val="09-编号加粗-括号"/>
    <w:basedOn w:val="1"/>
    <w:next w:val="1"/>
    <w:autoRedefine/>
    <w:qFormat/>
    <w:uiPriority w:val="0"/>
    <w:pPr>
      <w:numPr>
        <w:ilvl w:val="0"/>
        <w:numId w:val="5"/>
      </w:numPr>
      <w:snapToGrid w:val="0"/>
      <w:spacing w:line="360" w:lineRule="auto"/>
      <w:ind w:firstLine="200" w:firstLineChars="200"/>
    </w:pPr>
    <w:rPr>
      <w:rFonts w:cstheme="minorBidi"/>
      <w:b/>
      <w:sz w:val="24"/>
    </w:rPr>
  </w:style>
  <w:style w:type="paragraph" w:customStyle="1" w:styleId="107">
    <w:name w:val="11-列表-箭头"/>
    <w:basedOn w:val="1"/>
    <w:next w:val="1"/>
    <w:autoRedefine/>
    <w:qFormat/>
    <w:uiPriority w:val="0"/>
    <w:pPr>
      <w:numPr>
        <w:ilvl w:val="0"/>
        <w:numId w:val="6"/>
      </w:numPr>
      <w:snapToGrid w:val="0"/>
      <w:spacing w:line="360" w:lineRule="auto"/>
      <w:ind w:left="400" w:leftChars="200" w:hanging="200" w:hangingChars="200"/>
    </w:pPr>
    <w:rPr>
      <w:rFonts w:cstheme="minorBidi"/>
      <w:sz w:val="24"/>
    </w:rPr>
  </w:style>
  <w:style w:type="paragraph" w:customStyle="1" w:styleId="108">
    <w:name w:val="16-表格题注"/>
    <w:basedOn w:val="1"/>
    <w:next w:val="1"/>
    <w:autoRedefine/>
    <w:qFormat/>
    <w:uiPriority w:val="0"/>
    <w:pPr>
      <w:snapToGrid w:val="0"/>
      <w:spacing w:beforeLines="50" w:afterLines="50" w:line="360" w:lineRule="auto"/>
      <w:ind w:firstLine="560" w:firstLineChars="200"/>
      <w:jc w:val="center"/>
    </w:pPr>
    <w:rPr>
      <w:rFonts w:cstheme="minorBidi"/>
      <w:b/>
      <w:sz w:val="28"/>
    </w:rPr>
  </w:style>
  <w:style w:type="character" w:customStyle="1" w:styleId="109">
    <w:name w:val="00文档名称 Char"/>
    <w:basedOn w:val="34"/>
    <w:link w:val="110"/>
    <w:autoRedefine/>
    <w:qFormat/>
    <w:locked/>
    <w:uiPriority w:val="0"/>
    <w:rPr>
      <w:rFonts w:ascii="黑体" w:hAnsi="黑体" w:eastAsia="黑体" w:cstheme="minorBidi"/>
      <w:b/>
      <w:kern w:val="2"/>
      <w:sz w:val="52"/>
      <w:szCs w:val="24"/>
    </w:rPr>
  </w:style>
  <w:style w:type="paragraph" w:customStyle="1" w:styleId="110">
    <w:name w:val="00文档名称"/>
    <w:basedOn w:val="1"/>
    <w:link w:val="109"/>
    <w:autoRedefine/>
    <w:qFormat/>
    <w:uiPriority w:val="0"/>
    <w:pPr>
      <w:snapToGrid w:val="0"/>
      <w:spacing w:line="360" w:lineRule="auto"/>
      <w:ind w:firstLine="560" w:firstLineChars="200"/>
      <w:jc w:val="center"/>
    </w:pPr>
    <w:rPr>
      <w:rFonts w:ascii="黑体" w:hAnsi="黑体" w:eastAsia="黑体" w:cstheme="minorBidi"/>
      <w:b/>
      <w:sz w:val="52"/>
    </w:rPr>
  </w:style>
  <w:style w:type="paragraph" w:customStyle="1" w:styleId="111">
    <w:name w:val="04-正文"/>
    <w:basedOn w:val="1"/>
    <w:autoRedefine/>
    <w:qFormat/>
    <w:uiPriority w:val="0"/>
    <w:pPr>
      <w:snapToGrid w:val="0"/>
      <w:spacing w:line="360" w:lineRule="auto"/>
      <w:ind w:firstLine="200" w:firstLineChars="200"/>
    </w:pPr>
    <w:rPr>
      <w:rFonts w:cstheme="minorBidi"/>
      <w:sz w:val="28"/>
    </w:rPr>
  </w:style>
  <w:style w:type="character" w:customStyle="1" w:styleId="112">
    <w:name w:val="font81"/>
    <w:basedOn w:val="34"/>
    <w:autoRedefine/>
    <w:qFormat/>
    <w:uiPriority w:val="0"/>
    <w:rPr>
      <w:rFonts w:hint="eastAsia" w:ascii="宋体" w:hAnsi="宋体" w:eastAsia="宋体" w:cs="宋体"/>
      <w:b/>
      <w:bCs/>
      <w:color w:val="1D1D1F"/>
      <w:sz w:val="24"/>
      <w:szCs w:val="24"/>
      <w:u w:val="none"/>
    </w:rPr>
  </w:style>
  <w:style w:type="character" w:customStyle="1" w:styleId="113">
    <w:name w:val="font21"/>
    <w:basedOn w:val="34"/>
    <w:autoRedefine/>
    <w:qFormat/>
    <w:uiPriority w:val="0"/>
    <w:rPr>
      <w:rFonts w:hint="default" w:ascii="Helvetica" w:hAnsi="Helvetica" w:eastAsia="Helvetica" w:cs="Helvetica"/>
      <w:b/>
      <w:bCs/>
      <w:color w:val="1D1D1F"/>
      <w:sz w:val="24"/>
      <w:szCs w:val="24"/>
      <w:u w:val="none"/>
    </w:rPr>
  </w:style>
  <w:style w:type="character" w:customStyle="1" w:styleId="114">
    <w:name w:val="font11"/>
    <w:basedOn w:val="34"/>
    <w:autoRedefine/>
    <w:qFormat/>
    <w:uiPriority w:val="0"/>
    <w:rPr>
      <w:rFonts w:hint="eastAsia" w:ascii="宋体" w:hAnsi="宋体" w:eastAsia="宋体" w:cs="宋体"/>
      <w:color w:val="000000"/>
      <w:sz w:val="22"/>
      <w:szCs w:val="22"/>
      <w:u w:val="none"/>
    </w:rPr>
  </w:style>
  <w:style w:type="paragraph" w:styleId="115">
    <w:name w:val="List Paragraph"/>
    <w:basedOn w:val="1"/>
    <w:autoRedefine/>
    <w:qFormat/>
    <w:uiPriority w:val="99"/>
    <w:pPr>
      <w:ind w:firstLine="420" w:firstLineChars="200"/>
    </w:pPr>
  </w:style>
  <w:style w:type="character" w:customStyle="1" w:styleId="116">
    <w:name w:val="表格格式 字符"/>
    <w:link w:val="117"/>
    <w:autoRedefine/>
    <w:qFormat/>
    <w:locked/>
    <w:uiPriority w:val="0"/>
    <w:rPr>
      <w:rFonts w:ascii="宋体" w:hAnsi="宋体"/>
      <w:kern w:val="2"/>
      <w:sz w:val="21"/>
      <w:szCs w:val="21"/>
    </w:rPr>
  </w:style>
  <w:style w:type="paragraph" w:customStyle="1" w:styleId="117">
    <w:name w:val="表格格式"/>
    <w:basedOn w:val="1"/>
    <w:link w:val="116"/>
    <w:autoRedefine/>
    <w:qFormat/>
    <w:uiPriority w:val="0"/>
    <w:pPr>
      <w:spacing w:line="360" w:lineRule="auto"/>
      <w:jc w:val="center"/>
    </w:pPr>
    <w:rPr>
      <w:rFonts w:ascii="宋体" w:hAnsi="宋体"/>
      <w:szCs w:val="21"/>
    </w:rPr>
  </w:style>
  <w:style w:type="paragraph" w:customStyle="1" w:styleId="118">
    <w:name w:val="NormalNormal"/>
    <w:next w:val="119"/>
    <w:autoRedefine/>
    <w:qFormat/>
    <w:uiPriority w:val="0"/>
    <w:pPr>
      <w:widowControl w:val="0"/>
      <w:spacing w:line="580" w:lineRule="exact"/>
      <w:jc w:val="both"/>
    </w:pPr>
    <w:rPr>
      <w:rFonts w:ascii="Calibri" w:hAnsi="Calibri" w:eastAsia="宋体" w:cs="宋体"/>
      <w:kern w:val="2"/>
      <w:sz w:val="21"/>
      <w:szCs w:val="21"/>
      <w:lang w:val="en-US" w:eastAsia="zh-CN" w:bidi="ar-SA"/>
    </w:rPr>
  </w:style>
  <w:style w:type="paragraph" w:customStyle="1" w:styleId="119">
    <w:name w:val="Heading 2Heading2"/>
    <w:basedOn w:val="118"/>
    <w:next w:val="118"/>
    <w:autoRedefine/>
    <w:qFormat/>
    <w:uiPriority w:val="9"/>
    <w:pPr>
      <w:keepNext/>
      <w:keepLines/>
      <w:spacing w:before="260" w:after="260" w:line="416" w:lineRule="auto"/>
      <w:outlineLvl w:val="1"/>
    </w:pPr>
    <w:rPr>
      <w:rFonts w:ascii="Cambria" w:hAnsi="Cambria"/>
      <w:b/>
      <w:bCs/>
      <w:sz w:val="32"/>
      <w:szCs w:val="32"/>
    </w:rPr>
  </w:style>
  <w:style w:type="character" w:customStyle="1" w:styleId="120">
    <w:name w:val="未处理的提及1"/>
    <w:basedOn w:val="34"/>
    <w:autoRedefine/>
    <w:semiHidden/>
    <w:unhideWhenUsed/>
    <w:qFormat/>
    <w:uiPriority w:val="99"/>
    <w:rPr>
      <w:color w:val="605E5C"/>
      <w:shd w:val="clear" w:color="auto" w:fill="E1DFDD"/>
    </w:rPr>
  </w:style>
  <w:style w:type="character" w:customStyle="1" w:styleId="121">
    <w:name w:val="纯文本 字符4"/>
    <w:autoRedefine/>
    <w:qFormat/>
    <w:uiPriority w:val="0"/>
    <w:rPr>
      <w:rFonts w:ascii="宋体" w:hAnsi="Courier New" w:eastAsia="宋体" w:cs="Courier New"/>
      <w:szCs w:val="21"/>
    </w:rPr>
  </w:style>
  <w:style w:type="character" w:customStyle="1" w:styleId="122">
    <w:name w:val="Unresolved Mention"/>
    <w:basedOn w:val="34"/>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7267</Words>
  <Characters>41427</Characters>
  <Lines>1</Lines>
  <Paragraphs>1</Paragraphs>
  <TotalTime>9</TotalTime>
  <ScaleCrop>false</ScaleCrop>
  <LinksUpToDate>false</LinksUpToDate>
  <CharactersWithSpaces>48597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2023-12-21T06:03:00Z</dcterms:created>
  <dc:creator>Apple</dc:creator>
  <cp:lastModifiedBy>悄然</cp:lastModifiedBy>
  <cp:lastPrinted>2020-04-04T16:20:00Z</cp:lastPrinted>
  <dcterms:modified xsi:type="dcterms:W3CDTF">2024-04-01T09:28:05Z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268B2D425B12423CA734AB0BABFB0F77_13</vt:lpwstr>
  </property>
</Properties>
</file>