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B021E">
      <w:pPr>
        <w:rPr>
          <w:rFonts w:hint="eastAsia" w:ascii="宋体" w:hAnsi="宋体" w:eastAsia="宋体" w:cs="宋体"/>
          <w:color w:val="auto"/>
          <w:sz w:val="52"/>
          <w:szCs w:val="52"/>
          <w:lang w:bidi="ar"/>
        </w:rPr>
      </w:pPr>
      <w:r>
        <w:rPr>
          <w:rFonts w:hint="eastAsia" w:ascii="宋体" w:hAnsi="宋体" w:eastAsia="宋体" w:cs="宋体"/>
          <w:color w:val="auto"/>
          <w:sz w:val="52"/>
          <w:szCs w:val="52"/>
          <w:lang w:bidi="ar"/>
        </w:rPr>
        <w:drawing>
          <wp:inline distT="0" distB="0" distL="114300" distR="114300">
            <wp:extent cx="6115050" cy="8648065"/>
            <wp:effectExtent l="0" t="0" r="0" b="635"/>
            <wp:docPr id="3" name="图片 3" descr="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封面_01"/>
                    <pic:cNvPicPr>
                      <a:picLocks noChangeAspect="1"/>
                    </pic:cNvPicPr>
                  </pic:nvPicPr>
                  <pic:blipFill>
                    <a:blip r:embed="rId8"/>
                    <a:stretch>
                      <a:fillRect/>
                    </a:stretch>
                  </pic:blipFill>
                  <pic:spPr>
                    <a:xfrm>
                      <a:off x="0" y="0"/>
                      <a:ext cx="6115050" cy="8648065"/>
                    </a:xfrm>
                    <a:prstGeom prst="rect">
                      <a:avLst/>
                    </a:prstGeom>
                  </pic:spPr>
                </pic:pic>
              </a:graphicData>
            </a:graphic>
          </wp:inline>
        </w:drawing>
      </w:r>
      <w:r>
        <w:rPr>
          <w:rFonts w:hint="eastAsia" w:ascii="宋体" w:hAnsi="宋体" w:eastAsia="宋体" w:cs="宋体"/>
          <w:color w:val="auto"/>
          <w:sz w:val="52"/>
          <w:szCs w:val="52"/>
          <w:lang w:bidi="ar"/>
        </w:rPr>
        <w:br w:type="page"/>
      </w:r>
    </w:p>
    <w:p w14:paraId="788B4985">
      <w:pPr>
        <w:spacing w:before="165" w:beforeLines="50"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lang w:bidi="ar"/>
        </w:rPr>
        <w:t>南宁市政府采购</w:t>
      </w:r>
    </w:p>
    <w:p w14:paraId="7C49363D">
      <w:pPr>
        <w:spacing w:before="165" w:beforeLines="50" w:line="360" w:lineRule="auto"/>
        <w:jc w:val="center"/>
        <w:rPr>
          <w:rFonts w:hint="eastAsia" w:ascii="宋体" w:hAnsi="宋体" w:eastAsia="宋体" w:cs="宋体"/>
          <w:color w:val="auto"/>
          <w:sz w:val="36"/>
          <w:szCs w:val="36"/>
        </w:rPr>
      </w:pPr>
    </w:p>
    <w:p w14:paraId="72757C1E">
      <w:pPr>
        <w:snapToGrid w:val="0"/>
        <w:spacing w:before="165" w:beforeLines="50" w:line="360" w:lineRule="auto"/>
        <w:jc w:val="center"/>
        <w:rPr>
          <w:rFonts w:hint="eastAsia" w:ascii="方正小标宋简体" w:hAnsi="方正小标宋简体" w:eastAsia="方正小标宋简体" w:cs="方正小标宋简体"/>
          <w:color w:val="auto"/>
          <w:sz w:val="44"/>
          <w:szCs w:val="44"/>
        </w:rPr>
      </w:pPr>
      <w:r>
        <w:rPr>
          <w:rFonts w:hint="eastAsia" w:ascii="华文新魏" w:hAnsi="宋体" w:eastAsia="华文新魏" w:cs="华文新魏"/>
          <w:color w:val="auto"/>
          <w:sz w:val="72"/>
          <w:szCs w:val="72"/>
          <w:lang w:bidi="ar"/>
        </w:rPr>
        <w:t>竞争性磋商文件</w:t>
      </w:r>
    </w:p>
    <w:p w14:paraId="40FC665F">
      <w:pPr>
        <w:spacing w:before="331" w:beforeLines="100" w:after="165" w:afterLines="50"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（全流程电子化评标）</w:t>
      </w:r>
      <w:bookmarkStart w:id="1921" w:name="_GoBack"/>
      <w:bookmarkEnd w:id="1921"/>
    </w:p>
    <w:p w14:paraId="78387EAD">
      <w:pPr>
        <w:spacing w:line="360" w:lineRule="auto"/>
        <w:rPr>
          <w:rFonts w:hint="eastAsia" w:ascii="宋体" w:hAnsi="宋体" w:eastAsia="宋体" w:cs="宋体"/>
          <w:b/>
          <w:color w:val="auto"/>
          <w:sz w:val="32"/>
          <w:szCs w:val="32"/>
        </w:rPr>
      </w:pPr>
    </w:p>
    <w:p w14:paraId="11557951">
      <w:pPr>
        <w:spacing w:line="360" w:lineRule="auto"/>
        <w:jc w:val="center"/>
        <w:rPr>
          <w:rFonts w:hint="eastAsia" w:ascii="宋体" w:hAnsi="宋体" w:eastAsia="宋体" w:cs="宋体"/>
          <w:b/>
          <w:color w:val="auto"/>
          <w:sz w:val="32"/>
          <w:szCs w:val="32"/>
        </w:rPr>
      </w:pPr>
    </w:p>
    <w:p w14:paraId="4FE66563">
      <w:pPr>
        <w:pStyle w:val="17"/>
        <w:snapToGrid w:val="0"/>
        <w:spacing w:before="50" w:after="120" w:line="360" w:lineRule="auto"/>
        <w:ind w:left="2702" w:leftChars="568" w:hanging="1509" w:hangingChars="501"/>
        <w:rPr>
          <w:rFonts w:hint="eastAsia" w:ascii="仿宋_GB2312" w:hAnsi="宋体" w:eastAsia="仿宋_GB2312"/>
          <w:b/>
          <w:bCs/>
          <w:color w:val="auto"/>
          <w:sz w:val="30"/>
          <w:szCs w:val="30"/>
          <w:lang w:eastAsia="zh-CN"/>
        </w:rPr>
      </w:pPr>
      <w:r>
        <w:rPr>
          <w:rFonts w:ascii="仿宋_GB2312" w:hAnsi="宋体" w:eastAsia="仿宋_GB2312" w:cs="仿宋_GB2312"/>
          <w:b/>
          <w:bCs/>
          <w:color w:val="auto"/>
          <w:sz w:val="30"/>
          <w:szCs w:val="30"/>
        </w:rPr>
        <w:t>项目</w:t>
      </w:r>
      <w:r>
        <w:rPr>
          <w:rFonts w:ascii="仿宋_GB2312" w:hAnsi="宋体" w:eastAsia="仿宋_GB2312" w:cs="Courier New"/>
          <w:b/>
          <w:bCs/>
          <w:color w:val="auto"/>
          <w:w w:val="95"/>
          <w:sz w:val="30"/>
          <w:szCs w:val="30"/>
        </w:rPr>
        <w:t>名称</w:t>
      </w:r>
      <w:r>
        <w:rPr>
          <w:rFonts w:ascii="仿宋_GB2312" w:hAnsi="宋体" w:eastAsia="仿宋_GB2312" w:cs="仿宋_GB2312"/>
          <w:b/>
          <w:bCs/>
          <w:color w:val="auto"/>
          <w:sz w:val="30"/>
          <w:szCs w:val="30"/>
        </w:rPr>
        <w:t>：</w:t>
      </w:r>
      <w:r>
        <w:rPr>
          <w:rFonts w:hint="eastAsia" w:ascii="仿宋_GB2312" w:hAnsi="宋体" w:eastAsia="仿宋_GB2312"/>
          <w:b/>
          <w:bCs/>
          <w:color w:val="auto"/>
          <w:sz w:val="30"/>
          <w:szCs w:val="30"/>
          <w:lang w:eastAsia="zh-CN"/>
        </w:rPr>
        <w:t>南宁市武鸣区2025年第一批中央财政水利发展资金农村饮水工程维修养护项目</w:t>
      </w:r>
    </w:p>
    <w:p w14:paraId="2578A937">
      <w:pPr>
        <w:pStyle w:val="17"/>
        <w:snapToGrid w:val="0"/>
        <w:spacing w:before="50" w:after="120" w:line="360" w:lineRule="auto"/>
        <w:ind w:firstLine="1133" w:firstLineChars="396"/>
        <w:rPr>
          <w:rFonts w:hint="eastAsia" w:ascii="仿宋_GB2312" w:hAnsi="宋体" w:eastAsia="仿宋_GB2312"/>
          <w:b/>
          <w:bCs/>
          <w:color w:val="auto"/>
          <w:sz w:val="30"/>
          <w:szCs w:val="30"/>
          <w:highlight w:val="none"/>
          <w:lang w:eastAsia="zh-CN"/>
        </w:rPr>
      </w:pPr>
      <w:r>
        <w:rPr>
          <w:rFonts w:ascii="仿宋_GB2312" w:hAnsi="宋体" w:eastAsia="仿宋_GB2312" w:cs="Courier New"/>
          <w:b/>
          <w:bCs/>
          <w:color w:val="auto"/>
          <w:w w:val="95"/>
          <w:kern w:val="2"/>
          <w:sz w:val="30"/>
          <w:szCs w:val="30"/>
          <w:highlight w:val="none"/>
          <w:lang w:bidi="ar"/>
        </w:rPr>
        <w:t>项目</w:t>
      </w:r>
      <w:r>
        <w:rPr>
          <w:rFonts w:ascii="仿宋_GB2312" w:hAnsi="宋体" w:eastAsia="仿宋_GB2312" w:cs="仿宋_GB2312"/>
          <w:b/>
          <w:bCs/>
          <w:color w:val="auto"/>
          <w:kern w:val="2"/>
          <w:sz w:val="30"/>
          <w:szCs w:val="30"/>
          <w:highlight w:val="none"/>
          <w:lang w:bidi="ar"/>
        </w:rPr>
        <w:t>编号</w:t>
      </w:r>
      <w:r>
        <w:rPr>
          <w:rFonts w:ascii="仿宋_GB2312" w:hAnsi="宋体" w:eastAsia="仿宋_GB2312" w:cs="Courier New"/>
          <w:b/>
          <w:bCs/>
          <w:color w:val="auto"/>
          <w:w w:val="95"/>
          <w:kern w:val="2"/>
          <w:sz w:val="30"/>
          <w:szCs w:val="30"/>
          <w:highlight w:val="none"/>
          <w:lang w:bidi="ar"/>
        </w:rPr>
        <w:t>：</w:t>
      </w:r>
      <w:r>
        <w:rPr>
          <w:rFonts w:hint="eastAsia" w:ascii="仿宋_GB2312" w:hAnsi="宋体" w:eastAsia="仿宋_GB2312" w:cs="仿宋_GB2312"/>
          <w:b/>
          <w:color w:val="auto"/>
          <w:kern w:val="2"/>
          <w:sz w:val="30"/>
          <w:szCs w:val="48"/>
          <w:highlight w:val="none"/>
          <w:lang w:eastAsia="zh-CN" w:bidi="ar"/>
        </w:rPr>
        <w:t xml:space="preserve"> NNZC2025-C2-100114-GXXZ</w:t>
      </w:r>
    </w:p>
    <w:p w14:paraId="19FCDA21">
      <w:pPr>
        <w:pStyle w:val="17"/>
        <w:snapToGrid w:val="0"/>
        <w:spacing w:before="50" w:after="120" w:line="360" w:lineRule="auto"/>
        <w:ind w:firstLine="1193" w:firstLineChars="396"/>
        <w:rPr>
          <w:rFonts w:ascii="仿宋_GB2312" w:hAnsi="宋体" w:eastAsia="仿宋_GB2312"/>
          <w:b/>
          <w:bCs/>
          <w:color w:val="auto"/>
          <w:sz w:val="30"/>
          <w:szCs w:val="30"/>
        </w:rPr>
      </w:pPr>
      <w:r>
        <w:rPr>
          <w:rFonts w:ascii="仿宋_GB2312" w:hAnsi="宋体" w:eastAsia="仿宋_GB2312" w:cs="仿宋_GB2312"/>
          <w:b/>
          <w:color w:val="auto"/>
          <w:kern w:val="2"/>
          <w:sz w:val="30"/>
          <w:szCs w:val="48"/>
          <w:lang w:bidi="ar"/>
        </w:rPr>
        <w:t>项目所属区划：</w:t>
      </w:r>
      <w:r>
        <w:rPr>
          <w:rFonts w:ascii="仿宋_GB2312" w:hAnsi="宋体" w:eastAsia="仿宋_GB2312"/>
          <w:b/>
          <w:bCs/>
          <w:color w:val="auto"/>
          <w:sz w:val="30"/>
          <w:szCs w:val="30"/>
        </w:rPr>
        <w:t xml:space="preserve">南宁市武鸣区  </w:t>
      </w:r>
    </w:p>
    <w:p w14:paraId="3EC6B525">
      <w:pPr>
        <w:snapToGrid w:val="0"/>
        <w:spacing w:before="165" w:beforeLines="50" w:line="360" w:lineRule="auto"/>
        <w:ind w:firstLine="1205" w:firstLineChars="400"/>
        <w:rPr>
          <w:rFonts w:hint="eastAsia" w:ascii="仿宋_GB2312" w:hAnsi="宋体" w:eastAsia="仿宋_GB2312" w:cs="仿宋_GB2312"/>
          <w:b/>
          <w:color w:val="auto"/>
          <w:sz w:val="30"/>
          <w:szCs w:val="48"/>
        </w:rPr>
      </w:pPr>
    </w:p>
    <w:p w14:paraId="4F5DB0FB">
      <w:pPr>
        <w:pStyle w:val="17"/>
        <w:widowControl/>
        <w:snapToGrid w:val="0"/>
        <w:spacing w:before="50" w:after="120" w:line="360" w:lineRule="auto"/>
        <w:ind w:firstLine="1125" w:firstLineChars="393"/>
        <w:rPr>
          <w:rFonts w:ascii="仿宋_GB2312" w:hAnsi="宋体" w:eastAsia="仿宋_GB2312"/>
          <w:b/>
          <w:bCs/>
          <w:color w:val="auto"/>
          <w:sz w:val="30"/>
          <w:szCs w:val="30"/>
        </w:rPr>
      </w:pPr>
      <w:r>
        <w:rPr>
          <w:rFonts w:ascii="仿宋_GB2312" w:hAnsi="宋体" w:eastAsia="仿宋_GB2312" w:cs="仿宋_GB2312"/>
          <w:b/>
          <w:bCs/>
          <w:color w:val="auto"/>
          <w:w w:val="95"/>
          <w:sz w:val="30"/>
          <w:szCs w:val="30"/>
        </w:rPr>
        <w:t>采 购 人：</w:t>
      </w:r>
      <w:r>
        <w:rPr>
          <w:rFonts w:ascii="仿宋_GB2312" w:hAnsi="宋体" w:eastAsia="仿宋_GB2312"/>
          <w:b/>
          <w:bCs/>
          <w:color w:val="auto"/>
          <w:sz w:val="30"/>
          <w:szCs w:val="30"/>
        </w:rPr>
        <w:t>南宁市武鸣区水利工程服务站</w:t>
      </w:r>
    </w:p>
    <w:p w14:paraId="62F48B4D">
      <w:pPr>
        <w:pStyle w:val="17"/>
        <w:widowControl/>
        <w:snapToGrid w:val="0"/>
        <w:spacing w:before="50" w:after="120" w:line="360" w:lineRule="auto"/>
        <w:ind w:firstLine="841" w:firstLineChars="294"/>
        <w:rPr>
          <w:rFonts w:ascii="仿宋_GB2312" w:hAnsi="宋体" w:eastAsia="仿宋_GB2312" w:cs="仿宋_GB2312"/>
          <w:b/>
          <w:bCs/>
          <w:color w:val="auto"/>
          <w:w w:val="95"/>
          <w:sz w:val="30"/>
          <w:szCs w:val="30"/>
        </w:rPr>
      </w:pPr>
      <w:r>
        <w:rPr>
          <w:rFonts w:ascii="仿宋_GB2312" w:hAnsi="宋体" w:eastAsia="仿宋_GB2312" w:cs="仿宋_GB2312"/>
          <w:b/>
          <w:bCs/>
          <w:color w:val="auto"/>
          <w:w w:val="95"/>
          <w:sz w:val="30"/>
          <w:szCs w:val="30"/>
        </w:rPr>
        <w:t>采购代理机构：</w:t>
      </w:r>
      <w:bookmarkStart w:id="0" w:name="PO_3000001866_PM031"/>
      <w:r>
        <w:rPr>
          <w:rFonts w:ascii="仿宋_GB2312" w:hAnsi="宋体" w:eastAsia="仿宋_GB2312" w:cs="仿宋_GB2312"/>
          <w:b/>
          <w:bCs/>
          <w:color w:val="auto"/>
          <w:w w:val="95"/>
          <w:sz w:val="30"/>
          <w:szCs w:val="30"/>
        </w:rPr>
        <w:t>广西翔正项目管理有限公司</w:t>
      </w:r>
      <w:bookmarkEnd w:id="0"/>
    </w:p>
    <w:p w14:paraId="45708B09">
      <w:pPr>
        <w:pStyle w:val="17"/>
        <w:widowControl/>
        <w:snapToGrid w:val="0"/>
        <w:spacing w:before="50" w:after="120" w:line="360" w:lineRule="auto"/>
        <w:ind w:firstLine="841" w:firstLineChars="294"/>
        <w:rPr>
          <w:rFonts w:ascii="仿宋_GB2312" w:hAnsi="宋体" w:eastAsia="仿宋_GB2312" w:cs="仿宋_GB2312"/>
          <w:b/>
          <w:bCs/>
          <w:color w:val="auto"/>
          <w:w w:val="95"/>
          <w:sz w:val="30"/>
          <w:szCs w:val="30"/>
        </w:rPr>
      </w:pPr>
      <w:r>
        <w:rPr>
          <w:rFonts w:ascii="仿宋_GB2312" w:hAnsi="宋体" w:eastAsia="仿宋_GB2312" w:cs="仿宋_GB2312"/>
          <w:b/>
          <w:bCs/>
          <w:color w:val="auto"/>
          <w:w w:val="95"/>
          <w:sz w:val="30"/>
          <w:szCs w:val="30"/>
        </w:rPr>
        <w:t xml:space="preserve">                   202</w:t>
      </w:r>
      <w:r>
        <w:rPr>
          <w:rFonts w:hint="eastAsia" w:ascii="仿宋_GB2312" w:hAnsi="宋体" w:eastAsia="仿宋_GB2312" w:cs="仿宋_GB2312"/>
          <w:b/>
          <w:bCs/>
          <w:color w:val="auto"/>
          <w:w w:val="95"/>
          <w:sz w:val="30"/>
          <w:szCs w:val="30"/>
          <w:lang w:val="en-US" w:eastAsia="zh-CN"/>
        </w:rPr>
        <w:t>5</w:t>
      </w:r>
      <w:r>
        <w:rPr>
          <w:rFonts w:ascii="仿宋_GB2312" w:hAnsi="宋体" w:eastAsia="仿宋_GB2312" w:cs="仿宋_GB2312"/>
          <w:b/>
          <w:bCs/>
          <w:color w:val="auto"/>
          <w:w w:val="95"/>
          <w:sz w:val="30"/>
          <w:szCs w:val="30"/>
        </w:rPr>
        <w:t xml:space="preserve"> 年 </w:t>
      </w:r>
      <w:r>
        <w:rPr>
          <w:rFonts w:hint="eastAsia" w:ascii="仿宋_GB2312" w:hAnsi="宋体" w:eastAsia="仿宋_GB2312" w:cs="仿宋_GB2312"/>
          <w:b/>
          <w:bCs/>
          <w:color w:val="auto"/>
          <w:w w:val="95"/>
          <w:sz w:val="30"/>
          <w:szCs w:val="30"/>
          <w:lang w:val="en-US" w:eastAsia="zh-CN"/>
        </w:rPr>
        <w:t>10</w:t>
      </w:r>
      <w:r>
        <w:rPr>
          <w:rFonts w:ascii="仿宋_GB2312" w:hAnsi="宋体" w:eastAsia="仿宋_GB2312" w:cs="仿宋_GB2312"/>
          <w:b/>
          <w:bCs/>
          <w:color w:val="auto"/>
          <w:w w:val="95"/>
          <w:sz w:val="30"/>
          <w:szCs w:val="30"/>
        </w:rPr>
        <w:t>月</w:t>
      </w:r>
      <w:r>
        <w:rPr>
          <w:rFonts w:hint="eastAsia" w:ascii="仿宋_GB2312" w:hAnsi="宋体" w:eastAsia="仿宋_GB2312" w:cs="仿宋_GB2312"/>
          <w:b/>
          <w:bCs/>
          <w:color w:val="auto"/>
          <w:w w:val="95"/>
          <w:sz w:val="30"/>
          <w:szCs w:val="30"/>
          <w:lang w:val="en-US" w:eastAsia="zh-CN"/>
        </w:rPr>
        <w:t>20</w:t>
      </w:r>
      <w:r>
        <w:rPr>
          <w:rFonts w:ascii="仿宋_GB2312" w:hAnsi="宋体" w:eastAsia="仿宋_GB2312" w:cs="仿宋_GB2312"/>
          <w:b/>
          <w:bCs/>
          <w:color w:val="auto"/>
          <w:w w:val="95"/>
          <w:sz w:val="30"/>
          <w:szCs w:val="30"/>
        </w:rPr>
        <w:t>日</w:t>
      </w:r>
    </w:p>
    <w:p w14:paraId="0AFB2BEE">
      <w:pPr>
        <w:spacing w:line="360" w:lineRule="auto"/>
        <w:rPr>
          <w:rFonts w:hint="eastAsia" w:ascii="仿宋_GB2312" w:hAnsi="宋体" w:eastAsia="仿宋_GB2312" w:cs="Times New Roman"/>
          <w:b/>
          <w:bCs/>
          <w:color w:val="auto"/>
          <w:w w:val="95"/>
          <w:sz w:val="30"/>
          <w:szCs w:val="30"/>
          <w:lang w:bidi="ar"/>
        </w:rPr>
        <w:sectPr>
          <w:pgSz w:w="11906" w:h="16838"/>
          <w:pgMar w:top="1135" w:right="1135" w:bottom="1135" w:left="1135" w:header="720" w:footer="720" w:gutter="0"/>
          <w:pgNumType w:start="1"/>
          <w:cols w:space="425" w:num="1"/>
          <w:docGrid w:type="lines" w:linePitch="331" w:charSpace="0"/>
        </w:sectPr>
      </w:pPr>
    </w:p>
    <w:p w14:paraId="295359E3">
      <w:pPr>
        <w:spacing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lang w:bidi="ar"/>
        </w:rPr>
        <w:t>目   录</w:t>
      </w:r>
    </w:p>
    <w:p w14:paraId="44747B00">
      <w:pPr>
        <w:spacing w:line="400" w:lineRule="exact"/>
        <w:jc w:val="center"/>
        <w:rPr>
          <w:rFonts w:hint="eastAsia" w:ascii="宋体" w:hAnsi="宋体" w:eastAsia="宋体" w:cs="宋体"/>
          <w:b/>
          <w:color w:val="auto"/>
          <w:sz w:val="44"/>
          <w:szCs w:val="44"/>
        </w:rPr>
      </w:pPr>
    </w:p>
    <w:p w14:paraId="4A802766">
      <w:pPr>
        <w:pStyle w:val="22"/>
        <w:tabs>
          <w:tab w:val="right" w:leader="dot" w:pos="8879"/>
        </w:tabs>
        <w:rPr>
          <w:color w:val="auto"/>
        </w:rPr>
      </w:pPr>
      <w:r>
        <w:rPr>
          <w:rFonts w:hint="eastAsia" w:ascii="宋体" w:hAnsi="宋体" w:cs="宋体"/>
          <w:b/>
          <w:color w:val="auto"/>
          <w:sz w:val="30"/>
          <w:szCs w:val="30"/>
        </w:rPr>
        <w:fldChar w:fldCharType="begin"/>
      </w:r>
      <w:r>
        <w:rPr>
          <w:rFonts w:hint="eastAsia" w:ascii="宋体" w:hAnsi="宋体" w:cs="宋体"/>
          <w:b/>
          <w:color w:val="auto"/>
          <w:sz w:val="30"/>
          <w:szCs w:val="30"/>
        </w:rPr>
        <w:instrText xml:space="preserve"> TOC \o "1-3" \h \z \u </w:instrText>
      </w:r>
      <w:r>
        <w:rPr>
          <w:rFonts w:hint="eastAsia" w:ascii="宋体" w:hAnsi="宋体" w:cs="宋体"/>
          <w:b/>
          <w:color w:val="auto"/>
          <w:sz w:val="30"/>
          <w:szCs w:val="30"/>
        </w:rPr>
        <w:fldChar w:fldCharType="separate"/>
      </w:r>
      <w:r>
        <w:rPr>
          <w:color w:val="auto"/>
        </w:rPr>
        <w:fldChar w:fldCharType="begin"/>
      </w:r>
      <w:r>
        <w:rPr>
          <w:color w:val="auto"/>
        </w:rPr>
        <w:instrText xml:space="preserve"> HYPERLINK \l "_Toc11479" </w:instrText>
      </w:r>
      <w:r>
        <w:rPr>
          <w:color w:val="auto"/>
        </w:rPr>
        <w:fldChar w:fldCharType="separate"/>
      </w:r>
      <w:r>
        <w:rPr>
          <w:rFonts w:hint="eastAsia" w:cs="宋体"/>
          <w:color w:val="auto"/>
        </w:rPr>
        <w:t>第一章</w:t>
      </w:r>
      <w:r>
        <w:rPr>
          <w:color w:val="auto"/>
        </w:rPr>
        <w:t xml:space="preserve"> </w:t>
      </w:r>
      <w:r>
        <w:rPr>
          <w:rFonts w:hint="eastAsia" w:cs="宋体"/>
          <w:color w:val="auto"/>
        </w:rPr>
        <w:t>竞争性磋商公告</w:t>
      </w:r>
      <w:r>
        <w:rPr>
          <w:color w:val="auto"/>
        </w:rPr>
        <w:tab/>
      </w:r>
      <w:r>
        <w:rPr>
          <w:color w:val="auto"/>
        </w:rPr>
        <w:fldChar w:fldCharType="begin"/>
      </w:r>
      <w:r>
        <w:rPr>
          <w:color w:val="auto"/>
        </w:rPr>
        <w:instrText xml:space="preserve"> PAGEREF _Toc11479 \h </w:instrText>
      </w:r>
      <w:r>
        <w:rPr>
          <w:color w:val="auto"/>
        </w:rPr>
        <w:fldChar w:fldCharType="separate"/>
      </w:r>
      <w:r>
        <w:rPr>
          <w:color w:val="auto"/>
        </w:rPr>
        <w:t>1</w:t>
      </w:r>
      <w:r>
        <w:rPr>
          <w:color w:val="auto"/>
        </w:rPr>
        <w:fldChar w:fldCharType="end"/>
      </w:r>
      <w:r>
        <w:rPr>
          <w:color w:val="auto"/>
        </w:rPr>
        <w:fldChar w:fldCharType="end"/>
      </w:r>
    </w:p>
    <w:p w14:paraId="5BE62E88">
      <w:pPr>
        <w:pStyle w:val="22"/>
        <w:tabs>
          <w:tab w:val="right" w:leader="dot" w:pos="8879"/>
        </w:tabs>
        <w:rPr>
          <w:color w:val="auto"/>
        </w:rPr>
      </w:pPr>
      <w:r>
        <w:rPr>
          <w:color w:val="auto"/>
        </w:rPr>
        <w:fldChar w:fldCharType="begin"/>
      </w:r>
      <w:r>
        <w:rPr>
          <w:color w:val="auto"/>
        </w:rPr>
        <w:instrText xml:space="preserve"> HYPERLINK \l "_Toc4145" </w:instrText>
      </w:r>
      <w:r>
        <w:rPr>
          <w:color w:val="auto"/>
        </w:rPr>
        <w:fldChar w:fldCharType="separate"/>
      </w:r>
      <w:r>
        <w:rPr>
          <w:rFonts w:hint="eastAsia" w:ascii="Cambria" w:hAnsi="Cambria" w:cs="宋体"/>
          <w:color w:val="auto"/>
          <w:szCs w:val="32"/>
        </w:rPr>
        <w:t>第二章</w:t>
      </w:r>
      <w:r>
        <w:rPr>
          <w:rFonts w:ascii="Cambria" w:hAnsi="Cambria" w:eastAsia="Cambria" w:cs="Cambria"/>
          <w:color w:val="auto"/>
          <w:szCs w:val="32"/>
        </w:rPr>
        <w:t xml:space="preserve"> </w:t>
      </w:r>
      <w:r>
        <w:rPr>
          <w:rFonts w:hint="eastAsia" w:ascii="Cambria" w:hAnsi="Cambria" w:cs="宋体"/>
          <w:color w:val="auto"/>
          <w:szCs w:val="32"/>
        </w:rPr>
        <w:t>采购需求</w:t>
      </w:r>
      <w:r>
        <w:rPr>
          <w:color w:val="auto"/>
        </w:rPr>
        <w:tab/>
      </w:r>
      <w:r>
        <w:rPr>
          <w:color w:val="auto"/>
        </w:rPr>
        <w:fldChar w:fldCharType="begin"/>
      </w:r>
      <w:r>
        <w:rPr>
          <w:color w:val="auto"/>
        </w:rPr>
        <w:instrText xml:space="preserve"> PAGEREF _Toc4145 \h </w:instrText>
      </w:r>
      <w:r>
        <w:rPr>
          <w:color w:val="auto"/>
        </w:rPr>
        <w:fldChar w:fldCharType="separate"/>
      </w:r>
      <w:r>
        <w:rPr>
          <w:color w:val="auto"/>
        </w:rPr>
        <w:t>5</w:t>
      </w:r>
      <w:r>
        <w:rPr>
          <w:color w:val="auto"/>
        </w:rPr>
        <w:fldChar w:fldCharType="end"/>
      </w:r>
      <w:r>
        <w:rPr>
          <w:color w:val="auto"/>
        </w:rPr>
        <w:fldChar w:fldCharType="end"/>
      </w:r>
    </w:p>
    <w:p w14:paraId="64E0480B">
      <w:pPr>
        <w:pStyle w:val="22"/>
        <w:tabs>
          <w:tab w:val="right" w:leader="dot" w:pos="8879"/>
        </w:tabs>
        <w:rPr>
          <w:color w:val="auto"/>
        </w:rPr>
      </w:pPr>
      <w:r>
        <w:rPr>
          <w:color w:val="auto"/>
        </w:rPr>
        <w:fldChar w:fldCharType="begin"/>
      </w:r>
      <w:r>
        <w:rPr>
          <w:color w:val="auto"/>
        </w:rPr>
        <w:instrText xml:space="preserve"> HYPERLINK \l "_Toc27276" </w:instrText>
      </w:r>
      <w:r>
        <w:rPr>
          <w:color w:val="auto"/>
        </w:rPr>
        <w:fldChar w:fldCharType="separate"/>
      </w:r>
      <w:r>
        <w:rPr>
          <w:rFonts w:hint="eastAsia" w:ascii="Cambria" w:hAnsi="Cambria" w:cs="宋体"/>
          <w:color w:val="auto"/>
          <w:szCs w:val="32"/>
        </w:rPr>
        <w:t>第三章</w:t>
      </w:r>
      <w:r>
        <w:rPr>
          <w:rFonts w:ascii="Cambria" w:hAnsi="Cambria" w:eastAsia="Cambria" w:cs="Cambria"/>
          <w:color w:val="auto"/>
          <w:szCs w:val="32"/>
        </w:rPr>
        <w:t xml:space="preserve"> </w:t>
      </w:r>
      <w:r>
        <w:rPr>
          <w:rFonts w:hint="eastAsia" w:ascii="Cambria" w:hAnsi="Cambria" w:cs="宋体"/>
          <w:color w:val="auto"/>
          <w:szCs w:val="32"/>
        </w:rPr>
        <w:t>供应商须知</w:t>
      </w:r>
      <w:r>
        <w:rPr>
          <w:color w:val="auto"/>
        </w:rPr>
        <w:tab/>
      </w:r>
      <w:r>
        <w:rPr>
          <w:color w:val="auto"/>
        </w:rPr>
        <w:fldChar w:fldCharType="begin"/>
      </w:r>
      <w:r>
        <w:rPr>
          <w:color w:val="auto"/>
        </w:rPr>
        <w:instrText xml:space="preserve"> PAGEREF _Toc27276 \h </w:instrText>
      </w:r>
      <w:r>
        <w:rPr>
          <w:color w:val="auto"/>
        </w:rPr>
        <w:fldChar w:fldCharType="separate"/>
      </w:r>
      <w:r>
        <w:rPr>
          <w:color w:val="auto"/>
        </w:rPr>
        <w:t>12</w:t>
      </w:r>
      <w:r>
        <w:rPr>
          <w:color w:val="auto"/>
        </w:rPr>
        <w:fldChar w:fldCharType="end"/>
      </w:r>
      <w:r>
        <w:rPr>
          <w:color w:val="auto"/>
        </w:rPr>
        <w:fldChar w:fldCharType="end"/>
      </w:r>
    </w:p>
    <w:p w14:paraId="1C8BAB7E">
      <w:pPr>
        <w:pStyle w:val="26"/>
        <w:tabs>
          <w:tab w:val="right" w:leader="dot" w:pos="8879"/>
          <w:tab w:val="clear" w:pos="8296"/>
        </w:tabs>
        <w:rPr>
          <w:color w:val="auto"/>
        </w:rPr>
      </w:pPr>
      <w:r>
        <w:rPr>
          <w:color w:val="auto"/>
        </w:rPr>
        <w:fldChar w:fldCharType="begin"/>
      </w:r>
      <w:r>
        <w:rPr>
          <w:color w:val="auto"/>
        </w:rPr>
        <w:instrText xml:space="preserve"> HYPERLINK \l "_Toc14195" </w:instrText>
      </w:r>
      <w:r>
        <w:rPr>
          <w:color w:val="auto"/>
        </w:rPr>
        <w:fldChar w:fldCharType="separate"/>
      </w:r>
      <w:r>
        <w:rPr>
          <w:rFonts w:hint="eastAsia" w:ascii="宋体" w:hAnsi="宋体" w:cs="宋体"/>
          <w:bCs/>
          <w:color w:val="auto"/>
        </w:rPr>
        <w:t>第一节 供应商须知前附表</w:t>
      </w:r>
      <w:r>
        <w:rPr>
          <w:color w:val="auto"/>
        </w:rPr>
        <w:tab/>
      </w:r>
      <w:r>
        <w:rPr>
          <w:color w:val="auto"/>
        </w:rPr>
        <w:fldChar w:fldCharType="begin"/>
      </w:r>
      <w:r>
        <w:rPr>
          <w:color w:val="auto"/>
        </w:rPr>
        <w:instrText xml:space="preserve"> PAGEREF _Toc14195 \h </w:instrText>
      </w:r>
      <w:r>
        <w:rPr>
          <w:color w:val="auto"/>
        </w:rPr>
        <w:fldChar w:fldCharType="separate"/>
      </w:r>
      <w:r>
        <w:rPr>
          <w:color w:val="auto"/>
        </w:rPr>
        <w:t>12</w:t>
      </w:r>
      <w:r>
        <w:rPr>
          <w:color w:val="auto"/>
        </w:rPr>
        <w:fldChar w:fldCharType="end"/>
      </w:r>
      <w:r>
        <w:rPr>
          <w:color w:val="auto"/>
        </w:rPr>
        <w:fldChar w:fldCharType="end"/>
      </w:r>
    </w:p>
    <w:p w14:paraId="4076DFCB">
      <w:pPr>
        <w:pStyle w:val="26"/>
        <w:tabs>
          <w:tab w:val="right" w:leader="dot" w:pos="8879"/>
          <w:tab w:val="clear" w:pos="8296"/>
        </w:tabs>
        <w:rPr>
          <w:color w:val="auto"/>
        </w:rPr>
      </w:pPr>
      <w:r>
        <w:rPr>
          <w:color w:val="auto"/>
        </w:rPr>
        <w:fldChar w:fldCharType="begin"/>
      </w:r>
      <w:r>
        <w:rPr>
          <w:color w:val="auto"/>
        </w:rPr>
        <w:instrText xml:space="preserve"> HYPERLINK \l "_Toc16715" </w:instrText>
      </w:r>
      <w:r>
        <w:rPr>
          <w:color w:val="auto"/>
        </w:rPr>
        <w:fldChar w:fldCharType="separate"/>
      </w:r>
      <w:r>
        <w:rPr>
          <w:rFonts w:hint="eastAsia" w:ascii="宋体" w:hAnsi="宋体" w:cs="宋体"/>
          <w:bCs/>
          <w:color w:val="auto"/>
        </w:rPr>
        <w:t>第二节 供应商须知正文</w:t>
      </w:r>
      <w:r>
        <w:rPr>
          <w:color w:val="auto"/>
        </w:rPr>
        <w:tab/>
      </w:r>
      <w:r>
        <w:rPr>
          <w:color w:val="auto"/>
        </w:rPr>
        <w:fldChar w:fldCharType="begin"/>
      </w:r>
      <w:r>
        <w:rPr>
          <w:color w:val="auto"/>
        </w:rPr>
        <w:instrText xml:space="preserve"> PAGEREF _Toc16715 \h </w:instrText>
      </w:r>
      <w:r>
        <w:rPr>
          <w:color w:val="auto"/>
        </w:rPr>
        <w:fldChar w:fldCharType="separate"/>
      </w:r>
      <w:r>
        <w:rPr>
          <w:color w:val="auto"/>
        </w:rPr>
        <w:t>17</w:t>
      </w:r>
      <w:r>
        <w:rPr>
          <w:color w:val="auto"/>
        </w:rPr>
        <w:fldChar w:fldCharType="end"/>
      </w:r>
      <w:r>
        <w:rPr>
          <w:color w:val="auto"/>
        </w:rPr>
        <w:fldChar w:fldCharType="end"/>
      </w:r>
    </w:p>
    <w:p w14:paraId="3C7A7D56">
      <w:pPr>
        <w:pStyle w:val="16"/>
        <w:tabs>
          <w:tab w:val="right" w:leader="dot" w:pos="8879"/>
        </w:tabs>
        <w:rPr>
          <w:color w:val="auto"/>
        </w:rPr>
      </w:pPr>
      <w:r>
        <w:rPr>
          <w:color w:val="auto"/>
        </w:rPr>
        <w:fldChar w:fldCharType="begin"/>
      </w:r>
      <w:r>
        <w:rPr>
          <w:color w:val="auto"/>
        </w:rPr>
        <w:instrText xml:space="preserve"> HYPERLINK \l "_Toc1228" </w:instrText>
      </w:r>
      <w:r>
        <w:rPr>
          <w:color w:val="auto"/>
        </w:rPr>
        <w:fldChar w:fldCharType="separate"/>
      </w:r>
      <w:r>
        <w:rPr>
          <w:rFonts w:hint="eastAsia" w:ascii="宋体" w:hAnsi="宋体" w:cs="宋体"/>
          <w:bCs/>
          <w:color w:val="auto"/>
        </w:rPr>
        <w:t>一、总则</w:t>
      </w:r>
      <w:r>
        <w:rPr>
          <w:color w:val="auto"/>
        </w:rPr>
        <w:tab/>
      </w:r>
      <w:r>
        <w:rPr>
          <w:color w:val="auto"/>
        </w:rPr>
        <w:fldChar w:fldCharType="begin"/>
      </w:r>
      <w:r>
        <w:rPr>
          <w:color w:val="auto"/>
        </w:rPr>
        <w:instrText xml:space="preserve"> PAGEREF _Toc1228 \h </w:instrText>
      </w:r>
      <w:r>
        <w:rPr>
          <w:color w:val="auto"/>
        </w:rPr>
        <w:fldChar w:fldCharType="separate"/>
      </w:r>
      <w:r>
        <w:rPr>
          <w:color w:val="auto"/>
        </w:rPr>
        <w:t>17</w:t>
      </w:r>
      <w:r>
        <w:rPr>
          <w:color w:val="auto"/>
        </w:rPr>
        <w:fldChar w:fldCharType="end"/>
      </w:r>
      <w:r>
        <w:rPr>
          <w:color w:val="auto"/>
        </w:rPr>
        <w:fldChar w:fldCharType="end"/>
      </w:r>
    </w:p>
    <w:p w14:paraId="04037442">
      <w:pPr>
        <w:pStyle w:val="16"/>
        <w:tabs>
          <w:tab w:val="right" w:leader="dot" w:pos="8879"/>
        </w:tabs>
        <w:rPr>
          <w:color w:val="auto"/>
        </w:rPr>
      </w:pPr>
      <w:r>
        <w:rPr>
          <w:color w:val="auto"/>
        </w:rPr>
        <w:fldChar w:fldCharType="begin"/>
      </w:r>
      <w:r>
        <w:rPr>
          <w:color w:val="auto"/>
        </w:rPr>
        <w:instrText xml:space="preserve"> HYPERLINK \l "_Toc16156" </w:instrText>
      </w:r>
      <w:r>
        <w:rPr>
          <w:color w:val="auto"/>
        </w:rPr>
        <w:fldChar w:fldCharType="separate"/>
      </w:r>
      <w:r>
        <w:rPr>
          <w:rFonts w:hint="eastAsia" w:ascii="宋体" w:hAnsi="宋体" w:cs="宋体"/>
          <w:color w:val="auto"/>
        </w:rPr>
        <w:t>二、磋商文件</w:t>
      </w:r>
      <w:r>
        <w:rPr>
          <w:color w:val="auto"/>
        </w:rPr>
        <w:tab/>
      </w:r>
      <w:r>
        <w:rPr>
          <w:color w:val="auto"/>
        </w:rPr>
        <w:fldChar w:fldCharType="begin"/>
      </w:r>
      <w:r>
        <w:rPr>
          <w:color w:val="auto"/>
        </w:rPr>
        <w:instrText xml:space="preserve"> PAGEREF _Toc16156 \h </w:instrText>
      </w:r>
      <w:r>
        <w:rPr>
          <w:color w:val="auto"/>
        </w:rPr>
        <w:fldChar w:fldCharType="separate"/>
      </w:r>
      <w:r>
        <w:rPr>
          <w:color w:val="auto"/>
        </w:rPr>
        <w:t>19</w:t>
      </w:r>
      <w:r>
        <w:rPr>
          <w:color w:val="auto"/>
        </w:rPr>
        <w:fldChar w:fldCharType="end"/>
      </w:r>
      <w:r>
        <w:rPr>
          <w:color w:val="auto"/>
        </w:rPr>
        <w:fldChar w:fldCharType="end"/>
      </w:r>
    </w:p>
    <w:p w14:paraId="326CC992">
      <w:pPr>
        <w:pStyle w:val="16"/>
        <w:tabs>
          <w:tab w:val="right" w:leader="dot" w:pos="8879"/>
        </w:tabs>
        <w:rPr>
          <w:color w:val="auto"/>
        </w:rPr>
      </w:pPr>
      <w:r>
        <w:rPr>
          <w:color w:val="auto"/>
        </w:rPr>
        <w:fldChar w:fldCharType="begin"/>
      </w:r>
      <w:r>
        <w:rPr>
          <w:color w:val="auto"/>
        </w:rPr>
        <w:instrText xml:space="preserve"> HYPERLINK \l "_Toc18913" </w:instrText>
      </w:r>
      <w:r>
        <w:rPr>
          <w:color w:val="auto"/>
        </w:rPr>
        <w:fldChar w:fldCharType="separate"/>
      </w:r>
      <w:r>
        <w:rPr>
          <w:rFonts w:hint="eastAsia" w:ascii="宋体" w:hAnsi="宋体" w:cs="宋体"/>
          <w:color w:val="auto"/>
        </w:rPr>
        <w:t>三、响应文件的编制</w:t>
      </w:r>
      <w:r>
        <w:rPr>
          <w:color w:val="auto"/>
        </w:rPr>
        <w:tab/>
      </w:r>
      <w:r>
        <w:rPr>
          <w:color w:val="auto"/>
        </w:rPr>
        <w:fldChar w:fldCharType="begin"/>
      </w:r>
      <w:r>
        <w:rPr>
          <w:color w:val="auto"/>
        </w:rPr>
        <w:instrText xml:space="preserve"> PAGEREF _Toc18913 \h </w:instrText>
      </w:r>
      <w:r>
        <w:rPr>
          <w:color w:val="auto"/>
        </w:rPr>
        <w:fldChar w:fldCharType="separate"/>
      </w:r>
      <w:r>
        <w:rPr>
          <w:color w:val="auto"/>
        </w:rPr>
        <w:t>20</w:t>
      </w:r>
      <w:r>
        <w:rPr>
          <w:color w:val="auto"/>
        </w:rPr>
        <w:fldChar w:fldCharType="end"/>
      </w:r>
      <w:r>
        <w:rPr>
          <w:color w:val="auto"/>
        </w:rPr>
        <w:fldChar w:fldCharType="end"/>
      </w:r>
    </w:p>
    <w:p w14:paraId="46325BE5">
      <w:pPr>
        <w:pStyle w:val="16"/>
        <w:tabs>
          <w:tab w:val="right" w:leader="dot" w:pos="8879"/>
        </w:tabs>
        <w:rPr>
          <w:color w:val="auto"/>
        </w:rPr>
      </w:pPr>
      <w:r>
        <w:rPr>
          <w:color w:val="auto"/>
        </w:rPr>
        <w:fldChar w:fldCharType="begin"/>
      </w:r>
      <w:r>
        <w:rPr>
          <w:color w:val="auto"/>
        </w:rPr>
        <w:instrText xml:space="preserve"> HYPERLINK \l "_Toc25575" </w:instrText>
      </w:r>
      <w:r>
        <w:rPr>
          <w:color w:val="auto"/>
        </w:rPr>
        <w:fldChar w:fldCharType="separate"/>
      </w:r>
      <w:r>
        <w:rPr>
          <w:rFonts w:hint="eastAsia" w:ascii="宋体" w:hAnsi="宋体" w:cs="宋体"/>
          <w:color w:val="auto"/>
        </w:rPr>
        <w:t>四、评审及磋商</w:t>
      </w:r>
      <w:r>
        <w:rPr>
          <w:color w:val="auto"/>
        </w:rPr>
        <w:tab/>
      </w:r>
      <w:r>
        <w:rPr>
          <w:color w:val="auto"/>
        </w:rPr>
        <w:fldChar w:fldCharType="begin"/>
      </w:r>
      <w:r>
        <w:rPr>
          <w:color w:val="auto"/>
        </w:rPr>
        <w:instrText xml:space="preserve"> PAGEREF _Toc25575 \h </w:instrText>
      </w:r>
      <w:r>
        <w:rPr>
          <w:color w:val="auto"/>
        </w:rPr>
        <w:fldChar w:fldCharType="separate"/>
      </w:r>
      <w:r>
        <w:rPr>
          <w:color w:val="auto"/>
        </w:rPr>
        <w:t>23</w:t>
      </w:r>
      <w:r>
        <w:rPr>
          <w:color w:val="auto"/>
        </w:rPr>
        <w:fldChar w:fldCharType="end"/>
      </w:r>
      <w:r>
        <w:rPr>
          <w:color w:val="auto"/>
        </w:rPr>
        <w:fldChar w:fldCharType="end"/>
      </w:r>
    </w:p>
    <w:p w14:paraId="5CB504F7">
      <w:pPr>
        <w:pStyle w:val="16"/>
        <w:tabs>
          <w:tab w:val="right" w:leader="dot" w:pos="8879"/>
        </w:tabs>
        <w:rPr>
          <w:color w:val="auto"/>
        </w:rPr>
      </w:pPr>
      <w:r>
        <w:rPr>
          <w:color w:val="auto"/>
        </w:rPr>
        <w:fldChar w:fldCharType="begin"/>
      </w:r>
      <w:r>
        <w:rPr>
          <w:color w:val="auto"/>
        </w:rPr>
        <w:instrText xml:space="preserve"> HYPERLINK \l "_Toc28800" </w:instrText>
      </w:r>
      <w:r>
        <w:rPr>
          <w:color w:val="auto"/>
        </w:rPr>
        <w:fldChar w:fldCharType="separate"/>
      </w:r>
      <w:r>
        <w:rPr>
          <w:rFonts w:hint="eastAsia" w:ascii="宋体" w:hAnsi="宋体" w:cs="宋体"/>
          <w:color w:val="auto"/>
        </w:rPr>
        <w:t>五、成交及合同</w:t>
      </w:r>
      <w:r>
        <w:rPr>
          <w:color w:val="auto"/>
        </w:rPr>
        <w:tab/>
      </w:r>
      <w:r>
        <w:rPr>
          <w:color w:val="auto"/>
        </w:rPr>
        <w:fldChar w:fldCharType="begin"/>
      </w:r>
      <w:r>
        <w:rPr>
          <w:color w:val="auto"/>
        </w:rPr>
        <w:instrText xml:space="preserve"> PAGEREF _Toc28800 \h </w:instrText>
      </w:r>
      <w:r>
        <w:rPr>
          <w:color w:val="auto"/>
        </w:rPr>
        <w:fldChar w:fldCharType="separate"/>
      </w:r>
      <w:r>
        <w:rPr>
          <w:color w:val="auto"/>
        </w:rPr>
        <w:t>24</w:t>
      </w:r>
      <w:r>
        <w:rPr>
          <w:color w:val="auto"/>
        </w:rPr>
        <w:fldChar w:fldCharType="end"/>
      </w:r>
      <w:r>
        <w:rPr>
          <w:color w:val="auto"/>
        </w:rPr>
        <w:fldChar w:fldCharType="end"/>
      </w:r>
    </w:p>
    <w:p w14:paraId="6885DF11">
      <w:pPr>
        <w:pStyle w:val="16"/>
        <w:tabs>
          <w:tab w:val="right" w:leader="dot" w:pos="8879"/>
        </w:tabs>
        <w:rPr>
          <w:color w:val="auto"/>
        </w:rPr>
      </w:pPr>
      <w:r>
        <w:rPr>
          <w:color w:val="auto"/>
        </w:rPr>
        <w:fldChar w:fldCharType="begin"/>
      </w:r>
      <w:r>
        <w:rPr>
          <w:color w:val="auto"/>
        </w:rPr>
        <w:instrText xml:space="preserve"> HYPERLINK \l "_Toc23970" </w:instrText>
      </w:r>
      <w:r>
        <w:rPr>
          <w:color w:val="auto"/>
        </w:rPr>
        <w:fldChar w:fldCharType="separate"/>
      </w:r>
      <w:r>
        <w:rPr>
          <w:rFonts w:hint="eastAsia" w:ascii="宋体" w:hAnsi="宋体" w:cs="宋体"/>
          <w:color w:val="auto"/>
        </w:rPr>
        <w:t>六</w:t>
      </w:r>
      <w:r>
        <w:rPr>
          <w:rFonts w:hint="eastAsia" w:ascii="宋体" w:hAnsi="宋体" w:cs="宋体"/>
          <w:bCs/>
          <w:color w:val="auto"/>
        </w:rPr>
        <w:t>、验收</w:t>
      </w:r>
      <w:r>
        <w:rPr>
          <w:color w:val="auto"/>
        </w:rPr>
        <w:tab/>
      </w:r>
      <w:r>
        <w:rPr>
          <w:color w:val="auto"/>
        </w:rPr>
        <w:fldChar w:fldCharType="begin"/>
      </w:r>
      <w:r>
        <w:rPr>
          <w:color w:val="auto"/>
        </w:rPr>
        <w:instrText xml:space="preserve"> PAGEREF _Toc23970 \h </w:instrText>
      </w:r>
      <w:r>
        <w:rPr>
          <w:color w:val="auto"/>
        </w:rPr>
        <w:fldChar w:fldCharType="separate"/>
      </w:r>
      <w:r>
        <w:rPr>
          <w:color w:val="auto"/>
        </w:rPr>
        <w:t>26</w:t>
      </w:r>
      <w:r>
        <w:rPr>
          <w:color w:val="auto"/>
        </w:rPr>
        <w:fldChar w:fldCharType="end"/>
      </w:r>
      <w:r>
        <w:rPr>
          <w:color w:val="auto"/>
        </w:rPr>
        <w:fldChar w:fldCharType="end"/>
      </w:r>
    </w:p>
    <w:p w14:paraId="10A29D7F">
      <w:pPr>
        <w:pStyle w:val="16"/>
        <w:tabs>
          <w:tab w:val="right" w:leader="dot" w:pos="8879"/>
        </w:tabs>
        <w:rPr>
          <w:color w:val="auto"/>
        </w:rPr>
      </w:pPr>
      <w:r>
        <w:rPr>
          <w:color w:val="auto"/>
        </w:rPr>
        <w:fldChar w:fldCharType="begin"/>
      </w:r>
      <w:r>
        <w:rPr>
          <w:color w:val="auto"/>
        </w:rPr>
        <w:instrText xml:space="preserve"> HYPERLINK \l "_Toc13481" </w:instrText>
      </w:r>
      <w:r>
        <w:rPr>
          <w:color w:val="auto"/>
        </w:rPr>
        <w:fldChar w:fldCharType="separate"/>
      </w:r>
      <w:r>
        <w:rPr>
          <w:rFonts w:hint="eastAsia" w:ascii="宋体" w:hAnsi="宋体" w:cs="宋体"/>
          <w:color w:val="auto"/>
        </w:rPr>
        <w:t>七、其他事项</w:t>
      </w:r>
      <w:r>
        <w:rPr>
          <w:color w:val="auto"/>
        </w:rPr>
        <w:tab/>
      </w:r>
      <w:r>
        <w:rPr>
          <w:color w:val="auto"/>
        </w:rPr>
        <w:fldChar w:fldCharType="begin"/>
      </w:r>
      <w:r>
        <w:rPr>
          <w:color w:val="auto"/>
        </w:rPr>
        <w:instrText xml:space="preserve"> PAGEREF _Toc13481 \h </w:instrText>
      </w:r>
      <w:r>
        <w:rPr>
          <w:color w:val="auto"/>
        </w:rPr>
        <w:fldChar w:fldCharType="separate"/>
      </w:r>
      <w:r>
        <w:rPr>
          <w:color w:val="auto"/>
        </w:rPr>
        <w:t>27</w:t>
      </w:r>
      <w:r>
        <w:rPr>
          <w:color w:val="auto"/>
        </w:rPr>
        <w:fldChar w:fldCharType="end"/>
      </w:r>
      <w:r>
        <w:rPr>
          <w:color w:val="auto"/>
        </w:rPr>
        <w:fldChar w:fldCharType="end"/>
      </w:r>
    </w:p>
    <w:p w14:paraId="732BC7B3">
      <w:pPr>
        <w:pStyle w:val="22"/>
        <w:tabs>
          <w:tab w:val="right" w:leader="dot" w:pos="8879"/>
        </w:tabs>
        <w:rPr>
          <w:color w:val="auto"/>
        </w:rPr>
      </w:pPr>
      <w:r>
        <w:rPr>
          <w:color w:val="auto"/>
        </w:rPr>
        <w:fldChar w:fldCharType="begin"/>
      </w:r>
      <w:r>
        <w:rPr>
          <w:color w:val="auto"/>
        </w:rPr>
        <w:instrText xml:space="preserve"> HYPERLINK \l "_Toc3776" </w:instrText>
      </w:r>
      <w:r>
        <w:rPr>
          <w:color w:val="auto"/>
        </w:rPr>
        <w:fldChar w:fldCharType="separate"/>
      </w:r>
      <w:r>
        <w:rPr>
          <w:rFonts w:hint="eastAsia" w:cs="宋体"/>
          <w:color w:val="auto"/>
        </w:rPr>
        <w:t>第四章</w:t>
      </w:r>
      <w:r>
        <w:rPr>
          <w:color w:val="auto"/>
        </w:rPr>
        <w:t xml:space="preserve">  </w:t>
      </w:r>
      <w:r>
        <w:rPr>
          <w:rFonts w:hint="eastAsia" w:cs="宋体"/>
          <w:color w:val="auto"/>
        </w:rPr>
        <w:t>评审程序、评审方法和评审标准</w:t>
      </w:r>
      <w:r>
        <w:rPr>
          <w:color w:val="auto"/>
        </w:rPr>
        <w:tab/>
      </w:r>
      <w:r>
        <w:rPr>
          <w:color w:val="auto"/>
        </w:rPr>
        <w:fldChar w:fldCharType="begin"/>
      </w:r>
      <w:r>
        <w:rPr>
          <w:color w:val="auto"/>
        </w:rPr>
        <w:instrText xml:space="preserve"> PAGEREF _Toc3776 \h </w:instrText>
      </w:r>
      <w:r>
        <w:rPr>
          <w:color w:val="auto"/>
        </w:rPr>
        <w:fldChar w:fldCharType="separate"/>
      </w:r>
      <w:r>
        <w:rPr>
          <w:color w:val="auto"/>
        </w:rPr>
        <w:t>29</w:t>
      </w:r>
      <w:r>
        <w:rPr>
          <w:color w:val="auto"/>
        </w:rPr>
        <w:fldChar w:fldCharType="end"/>
      </w:r>
      <w:r>
        <w:rPr>
          <w:color w:val="auto"/>
        </w:rPr>
        <w:fldChar w:fldCharType="end"/>
      </w:r>
    </w:p>
    <w:p w14:paraId="6C5F1F67">
      <w:pPr>
        <w:pStyle w:val="26"/>
        <w:tabs>
          <w:tab w:val="right" w:leader="dot" w:pos="8879"/>
          <w:tab w:val="clear" w:pos="8296"/>
        </w:tabs>
        <w:rPr>
          <w:color w:val="auto"/>
        </w:rPr>
      </w:pPr>
      <w:r>
        <w:rPr>
          <w:color w:val="auto"/>
        </w:rPr>
        <w:fldChar w:fldCharType="begin"/>
      </w:r>
      <w:r>
        <w:rPr>
          <w:color w:val="auto"/>
        </w:rPr>
        <w:instrText xml:space="preserve"> HYPERLINK \l "_Toc29606" </w:instrText>
      </w:r>
      <w:r>
        <w:rPr>
          <w:color w:val="auto"/>
        </w:rPr>
        <w:fldChar w:fldCharType="separate"/>
      </w:r>
      <w:r>
        <w:rPr>
          <w:rFonts w:hint="eastAsia" w:ascii="宋体" w:hAnsi="宋体" w:cs="宋体"/>
          <w:bCs/>
          <w:color w:val="auto"/>
        </w:rPr>
        <w:t>第一节 评审程序和评审方法</w:t>
      </w:r>
      <w:r>
        <w:rPr>
          <w:color w:val="auto"/>
        </w:rPr>
        <w:tab/>
      </w:r>
      <w:r>
        <w:rPr>
          <w:color w:val="auto"/>
        </w:rPr>
        <w:fldChar w:fldCharType="begin"/>
      </w:r>
      <w:r>
        <w:rPr>
          <w:color w:val="auto"/>
        </w:rPr>
        <w:instrText xml:space="preserve"> PAGEREF _Toc29606 \h </w:instrText>
      </w:r>
      <w:r>
        <w:rPr>
          <w:color w:val="auto"/>
        </w:rPr>
        <w:fldChar w:fldCharType="separate"/>
      </w:r>
      <w:r>
        <w:rPr>
          <w:color w:val="auto"/>
        </w:rPr>
        <w:t>29</w:t>
      </w:r>
      <w:r>
        <w:rPr>
          <w:color w:val="auto"/>
        </w:rPr>
        <w:fldChar w:fldCharType="end"/>
      </w:r>
      <w:r>
        <w:rPr>
          <w:color w:val="auto"/>
        </w:rPr>
        <w:fldChar w:fldCharType="end"/>
      </w:r>
    </w:p>
    <w:p w14:paraId="6DA9A7AF">
      <w:pPr>
        <w:pStyle w:val="26"/>
        <w:tabs>
          <w:tab w:val="right" w:leader="dot" w:pos="8879"/>
          <w:tab w:val="clear" w:pos="8296"/>
        </w:tabs>
        <w:rPr>
          <w:color w:val="auto"/>
        </w:rPr>
      </w:pPr>
      <w:r>
        <w:rPr>
          <w:color w:val="auto"/>
        </w:rPr>
        <w:fldChar w:fldCharType="begin"/>
      </w:r>
      <w:r>
        <w:rPr>
          <w:color w:val="auto"/>
        </w:rPr>
        <w:instrText xml:space="preserve"> HYPERLINK \l "_Toc31076" </w:instrText>
      </w:r>
      <w:r>
        <w:rPr>
          <w:color w:val="auto"/>
        </w:rPr>
        <w:fldChar w:fldCharType="separate"/>
      </w:r>
      <w:r>
        <w:rPr>
          <w:rFonts w:hint="eastAsia" w:ascii="宋体" w:hAnsi="宋体" w:cs="宋体"/>
          <w:bCs/>
          <w:color w:val="auto"/>
        </w:rPr>
        <w:t>第二节 评标报告</w:t>
      </w:r>
      <w:r>
        <w:rPr>
          <w:color w:val="auto"/>
        </w:rPr>
        <w:tab/>
      </w:r>
      <w:r>
        <w:rPr>
          <w:color w:val="auto"/>
        </w:rPr>
        <w:fldChar w:fldCharType="begin"/>
      </w:r>
      <w:r>
        <w:rPr>
          <w:color w:val="auto"/>
        </w:rPr>
        <w:instrText xml:space="preserve"> PAGEREF _Toc31076 \h </w:instrText>
      </w:r>
      <w:r>
        <w:rPr>
          <w:color w:val="auto"/>
        </w:rPr>
        <w:fldChar w:fldCharType="separate"/>
      </w:r>
      <w:r>
        <w:rPr>
          <w:color w:val="auto"/>
        </w:rPr>
        <w:t>38</w:t>
      </w:r>
      <w:r>
        <w:rPr>
          <w:color w:val="auto"/>
        </w:rPr>
        <w:fldChar w:fldCharType="end"/>
      </w:r>
      <w:r>
        <w:rPr>
          <w:color w:val="auto"/>
        </w:rPr>
        <w:fldChar w:fldCharType="end"/>
      </w:r>
    </w:p>
    <w:p w14:paraId="17E67537">
      <w:pPr>
        <w:pStyle w:val="26"/>
        <w:tabs>
          <w:tab w:val="right" w:leader="dot" w:pos="8879"/>
          <w:tab w:val="clear" w:pos="8296"/>
        </w:tabs>
        <w:rPr>
          <w:color w:val="auto"/>
        </w:rPr>
      </w:pPr>
      <w:r>
        <w:rPr>
          <w:color w:val="auto"/>
        </w:rPr>
        <w:fldChar w:fldCharType="begin"/>
      </w:r>
      <w:r>
        <w:rPr>
          <w:color w:val="auto"/>
        </w:rPr>
        <w:instrText xml:space="preserve"> HYPERLINK \l "_Toc24842" </w:instrText>
      </w:r>
      <w:r>
        <w:rPr>
          <w:color w:val="auto"/>
        </w:rPr>
        <w:fldChar w:fldCharType="separate"/>
      </w:r>
      <w:r>
        <w:rPr>
          <w:rFonts w:hint="eastAsia" w:ascii="宋体" w:hAnsi="宋体" w:cs="宋体"/>
          <w:bCs/>
          <w:color w:val="auto"/>
        </w:rPr>
        <w:t>第三节 评审过程的保密与录像</w:t>
      </w:r>
      <w:r>
        <w:rPr>
          <w:color w:val="auto"/>
        </w:rPr>
        <w:tab/>
      </w:r>
      <w:r>
        <w:rPr>
          <w:color w:val="auto"/>
        </w:rPr>
        <w:fldChar w:fldCharType="begin"/>
      </w:r>
      <w:r>
        <w:rPr>
          <w:color w:val="auto"/>
        </w:rPr>
        <w:instrText xml:space="preserve"> PAGEREF _Toc24842 \h </w:instrText>
      </w:r>
      <w:r>
        <w:rPr>
          <w:color w:val="auto"/>
        </w:rPr>
        <w:fldChar w:fldCharType="separate"/>
      </w:r>
      <w:r>
        <w:rPr>
          <w:color w:val="auto"/>
        </w:rPr>
        <w:t>39</w:t>
      </w:r>
      <w:r>
        <w:rPr>
          <w:color w:val="auto"/>
        </w:rPr>
        <w:fldChar w:fldCharType="end"/>
      </w:r>
      <w:r>
        <w:rPr>
          <w:color w:val="auto"/>
        </w:rPr>
        <w:fldChar w:fldCharType="end"/>
      </w:r>
    </w:p>
    <w:p w14:paraId="23F10D42">
      <w:pPr>
        <w:pStyle w:val="22"/>
        <w:tabs>
          <w:tab w:val="right" w:leader="dot" w:pos="8879"/>
        </w:tabs>
        <w:rPr>
          <w:color w:val="auto"/>
        </w:rPr>
      </w:pPr>
      <w:r>
        <w:rPr>
          <w:color w:val="auto"/>
        </w:rPr>
        <w:fldChar w:fldCharType="begin"/>
      </w:r>
      <w:r>
        <w:rPr>
          <w:color w:val="auto"/>
        </w:rPr>
        <w:instrText xml:space="preserve"> HYPERLINK \l "_Toc15590" </w:instrText>
      </w:r>
      <w:r>
        <w:rPr>
          <w:color w:val="auto"/>
        </w:rPr>
        <w:fldChar w:fldCharType="separate"/>
      </w:r>
      <w:r>
        <w:rPr>
          <w:rFonts w:hint="eastAsia" w:cs="宋体"/>
          <w:color w:val="auto"/>
        </w:rPr>
        <w:t>第五章</w:t>
      </w:r>
      <w:r>
        <w:rPr>
          <w:color w:val="auto"/>
        </w:rPr>
        <w:t xml:space="preserve"> </w:t>
      </w:r>
      <w:r>
        <w:rPr>
          <w:rFonts w:hint="eastAsia" w:cs="宋体"/>
          <w:color w:val="auto"/>
        </w:rPr>
        <w:t>响应文件格式</w:t>
      </w:r>
      <w:r>
        <w:rPr>
          <w:color w:val="auto"/>
        </w:rPr>
        <w:tab/>
      </w:r>
      <w:r>
        <w:rPr>
          <w:color w:val="auto"/>
        </w:rPr>
        <w:fldChar w:fldCharType="begin"/>
      </w:r>
      <w:r>
        <w:rPr>
          <w:color w:val="auto"/>
        </w:rPr>
        <w:instrText xml:space="preserve"> PAGEREF _Toc15590 \h </w:instrText>
      </w:r>
      <w:r>
        <w:rPr>
          <w:color w:val="auto"/>
        </w:rPr>
        <w:fldChar w:fldCharType="separate"/>
      </w:r>
      <w:r>
        <w:rPr>
          <w:color w:val="auto"/>
        </w:rPr>
        <w:t>40</w:t>
      </w:r>
      <w:r>
        <w:rPr>
          <w:color w:val="auto"/>
        </w:rPr>
        <w:fldChar w:fldCharType="end"/>
      </w:r>
      <w:r>
        <w:rPr>
          <w:color w:val="auto"/>
        </w:rPr>
        <w:fldChar w:fldCharType="end"/>
      </w:r>
    </w:p>
    <w:p w14:paraId="73D2BD49">
      <w:pPr>
        <w:pStyle w:val="26"/>
        <w:tabs>
          <w:tab w:val="right" w:leader="dot" w:pos="8879"/>
          <w:tab w:val="clear" w:pos="8296"/>
        </w:tabs>
        <w:rPr>
          <w:color w:val="auto"/>
        </w:rPr>
      </w:pPr>
      <w:r>
        <w:rPr>
          <w:color w:val="auto"/>
        </w:rPr>
        <w:fldChar w:fldCharType="begin"/>
      </w:r>
      <w:r>
        <w:rPr>
          <w:color w:val="auto"/>
        </w:rPr>
        <w:instrText xml:space="preserve"> HYPERLINK \l "_Toc14488" </w:instrText>
      </w:r>
      <w:r>
        <w:rPr>
          <w:color w:val="auto"/>
        </w:rPr>
        <w:fldChar w:fldCharType="separate"/>
      </w:r>
      <w:r>
        <w:rPr>
          <w:rFonts w:hint="eastAsia" w:ascii="宋体" w:hAnsi="宋体" w:cs="宋体"/>
          <w:bCs/>
          <w:color w:val="auto"/>
        </w:rPr>
        <w:t>第一节 封面格式</w:t>
      </w:r>
      <w:r>
        <w:rPr>
          <w:color w:val="auto"/>
        </w:rPr>
        <w:tab/>
      </w:r>
      <w:r>
        <w:rPr>
          <w:color w:val="auto"/>
        </w:rPr>
        <w:fldChar w:fldCharType="begin"/>
      </w:r>
      <w:r>
        <w:rPr>
          <w:color w:val="auto"/>
        </w:rPr>
        <w:instrText xml:space="preserve"> PAGEREF _Toc14488 \h </w:instrText>
      </w:r>
      <w:r>
        <w:rPr>
          <w:color w:val="auto"/>
        </w:rPr>
        <w:fldChar w:fldCharType="separate"/>
      </w:r>
      <w:r>
        <w:rPr>
          <w:color w:val="auto"/>
        </w:rPr>
        <w:t>41</w:t>
      </w:r>
      <w:r>
        <w:rPr>
          <w:color w:val="auto"/>
        </w:rPr>
        <w:fldChar w:fldCharType="end"/>
      </w:r>
      <w:r>
        <w:rPr>
          <w:color w:val="auto"/>
        </w:rPr>
        <w:fldChar w:fldCharType="end"/>
      </w:r>
    </w:p>
    <w:p w14:paraId="6B9EFAE9">
      <w:pPr>
        <w:pStyle w:val="26"/>
        <w:tabs>
          <w:tab w:val="right" w:leader="dot" w:pos="8879"/>
          <w:tab w:val="clear" w:pos="8296"/>
        </w:tabs>
        <w:rPr>
          <w:color w:val="auto"/>
        </w:rPr>
      </w:pPr>
      <w:r>
        <w:rPr>
          <w:color w:val="auto"/>
        </w:rPr>
        <w:fldChar w:fldCharType="begin"/>
      </w:r>
      <w:r>
        <w:rPr>
          <w:color w:val="auto"/>
        </w:rPr>
        <w:instrText xml:space="preserve"> HYPERLINK \l "_Toc161" </w:instrText>
      </w:r>
      <w:r>
        <w:rPr>
          <w:color w:val="auto"/>
        </w:rPr>
        <w:fldChar w:fldCharType="separate"/>
      </w:r>
      <w:r>
        <w:rPr>
          <w:rFonts w:hint="eastAsia" w:ascii="宋体" w:hAnsi="宋体" w:cs="宋体"/>
          <w:color w:val="auto"/>
        </w:rPr>
        <w:t>第二节 资格证明文件格式</w:t>
      </w:r>
      <w:r>
        <w:rPr>
          <w:color w:val="auto"/>
        </w:rPr>
        <w:tab/>
      </w:r>
      <w:r>
        <w:rPr>
          <w:color w:val="auto"/>
        </w:rPr>
        <w:fldChar w:fldCharType="begin"/>
      </w:r>
      <w:r>
        <w:rPr>
          <w:color w:val="auto"/>
        </w:rPr>
        <w:instrText xml:space="preserve"> PAGEREF _Toc161 \h </w:instrText>
      </w:r>
      <w:r>
        <w:rPr>
          <w:color w:val="auto"/>
        </w:rPr>
        <w:fldChar w:fldCharType="separate"/>
      </w:r>
      <w:r>
        <w:rPr>
          <w:color w:val="auto"/>
        </w:rPr>
        <w:t>42</w:t>
      </w:r>
      <w:r>
        <w:rPr>
          <w:color w:val="auto"/>
        </w:rPr>
        <w:fldChar w:fldCharType="end"/>
      </w:r>
      <w:r>
        <w:rPr>
          <w:color w:val="auto"/>
        </w:rPr>
        <w:fldChar w:fldCharType="end"/>
      </w:r>
    </w:p>
    <w:p w14:paraId="236211B8">
      <w:pPr>
        <w:pStyle w:val="26"/>
        <w:tabs>
          <w:tab w:val="right" w:leader="dot" w:pos="8879"/>
          <w:tab w:val="clear" w:pos="8296"/>
        </w:tabs>
        <w:rPr>
          <w:color w:val="auto"/>
        </w:rPr>
      </w:pPr>
      <w:r>
        <w:rPr>
          <w:color w:val="auto"/>
        </w:rPr>
        <w:fldChar w:fldCharType="begin"/>
      </w:r>
      <w:r>
        <w:rPr>
          <w:color w:val="auto"/>
        </w:rPr>
        <w:instrText xml:space="preserve"> HYPERLINK \l "_Toc31832" </w:instrText>
      </w:r>
      <w:r>
        <w:rPr>
          <w:color w:val="auto"/>
        </w:rPr>
        <w:fldChar w:fldCharType="separate"/>
      </w:r>
      <w:r>
        <w:rPr>
          <w:rFonts w:hint="eastAsia" w:ascii="宋体" w:hAnsi="宋体" w:cs="宋体"/>
          <w:color w:val="auto"/>
        </w:rPr>
        <w:t xml:space="preserve">第三节 </w:t>
      </w:r>
      <w:r>
        <w:rPr>
          <w:rFonts w:hint="eastAsia" w:ascii="宋体" w:hAnsi="宋体" w:cs="宋体"/>
          <w:bCs/>
          <w:color w:val="auto"/>
        </w:rPr>
        <w:t>商务技术文件格式</w:t>
      </w:r>
      <w:r>
        <w:rPr>
          <w:color w:val="auto"/>
        </w:rPr>
        <w:tab/>
      </w:r>
      <w:r>
        <w:rPr>
          <w:color w:val="auto"/>
        </w:rPr>
        <w:fldChar w:fldCharType="begin"/>
      </w:r>
      <w:r>
        <w:rPr>
          <w:color w:val="auto"/>
        </w:rPr>
        <w:instrText xml:space="preserve"> PAGEREF _Toc31832 \h </w:instrText>
      </w:r>
      <w:r>
        <w:rPr>
          <w:color w:val="auto"/>
        </w:rPr>
        <w:fldChar w:fldCharType="separate"/>
      </w:r>
      <w:r>
        <w:rPr>
          <w:color w:val="auto"/>
        </w:rPr>
        <w:t>50</w:t>
      </w:r>
      <w:r>
        <w:rPr>
          <w:color w:val="auto"/>
        </w:rPr>
        <w:fldChar w:fldCharType="end"/>
      </w:r>
      <w:r>
        <w:rPr>
          <w:color w:val="auto"/>
        </w:rPr>
        <w:fldChar w:fldCharType="end"/>
      </w:r>
    </w:p>
    <w:p w14:paraId="4533C3D2">
      <w:pPr>
        <w:pStyle w:val="26"/>
        <w:tabs>
          <w:tab w:val="right" w:leader="dot" w:pos="8879"/>
          <w:tab w:val="clear" w:pos="8296"/>
        </w:tabs>
        <w:rPr>
          <w:color w:val="auto"/>
        </w:rPr>
      </w:pPr>
      <w:r>
        <w:rPr>
          <w:color w:val="auto"/>
        </w:rPr>
        <w:fldChar w:fldCharType="begin"/>
      </w:r>
      <w:r>
        <w:rPr>
          <w:color w:val="auto"/>
        </w:rPr>
        <w:instrText xml:space="preserve"> HYPERLINK \l "_Toc15918" </w:instrText>
      </w:r>
      <w:r>
        <w:rPr>
          <w:color w:val="auto"/>
        </w:rPr>
        <w:fldChar w:fldCharType="separate"/>
      </w:r>
      <w:r>
        <w:rPr>
          <w:rFonts w:hint="eastAsia" w:ascii="宋体" w:hAnsi="宋体" w:cs="宋体"/>
          <w:color w:val="auto"/>
        </w:rPr>
        <w:t>第四节 报价文件格式</w:t>
      </w:r>
      <w:r>
        <w:rPr>
          <w:color w:val="auto"/>
        </w:rPr>
        <w:tab/>
      </w:r>
      <w:r>
        <w:rPr>
          <w:color w:val="auto"/>
        </w:rPr>
        <w:fldChar w:fldCharType="begin"/>
      </w:r>
      <w:r>
        <w:rPr>
          <w:color w:val="auto"/>
        </w:rPr>
        <w:instrText xml:space="preserve"> PAGEREF _Toc15918 \h </w:instrText>
      </w:r>
      <w:r>
        <w:rPr>
          <w:color w:val="auto"/>
        </w:rPr>
        <w:fldChar w:fldCharType="separate"/>
      </w:r>
      <w:r>
        <w:rPr>
          <w:color w:val="auto"/>
        </w:rPr>
        <w:t>64</w:t>
      </w:r>
      <w:r>
        <w:rPr>
          <w:color w:val="auto"/>
        </w:rPr>
        <w:fldChar w:fldCharType="end"/>
      </w:r>
      <w:r>
        <w:rPr>
          <w:color w:val="auto"/>
        </w:rPr>
        <w:fldChar w:fldCharType="end"/>
      </w:r>
    </w:p>
    <w:p w14:paraId="64A7F5DA">
      <w:pPr>
        <w:pStyle w:val="26"/>
        <w:tabs>
          <w:tab w:val="right" w:leader="dot" w:pos="8879"/>
          <w:tab w:val="clear" w:pos="8296"/>
        </w:tabs>
        <w:rPr>
          <w:color w:val="auto"/>
        </w:rPr>
      </w:pPr>
      <w:r>
        <w:rPr>
          <w:color w:val="auto"/>
        </w:rPr>
        <w:fldChar w:fldCharType="begin"/>
      </w:r>
      <w:r>
        <w:rPr>
          <w:color w:val="auto"/>
        </w:rPr>
        <w:instrText xml:space="preserve"> HYPERLINK \l "_Toc2153" </w:instrText>
      </w:r>
      <w:r>
        <w:rPr>
          <w:color w:val="auto"/>
        </w:rPr>
        <w:fldChar w:fldCharType="separate"/>
      </w:r>
      <w:r>
        <w:rPr>
          <w:rFonts w:hint="eastAsia" w:ascii="宋体" w:hAnsi="宋体" w:cs="宋体"/>
          <w:color w:val="auto"/>
        </w:rPr>
        <w:t>第五节 其他文书、文件格式</w:t>
      </w:r>
      <w:r>
        <w:rPr>
          <w:color w:val="auto"/>
        </w:rPr>
        <w:tab/>
      </w:r>
      <w:r>
        <w:rPr>
          <w:color w:val="auto"/>
        </w:rPr>
        <w:fldChar w:fldCharType="begin"/>
      </w:r>
      <w:r>
        <w:rPr>
          <w:color w:val="auto"/>
        </w:rPr>
        <w:instrText xml:space="preserve"> PAGEREF _Toc2153 \h </w:instrText>
      </w:r>
      <w:r>
        <w:rPr>
          <w:color w:val="auto"/>
        </w:rPr>
        <w:fldChar w:fldCharType="separate"/>
      </w:r>
      <w:r>
        <w:rPr>
          <w:color w:val="auto"/>
        </w:rPr>
        <w:t>70</w:t>
      </w:r>
      <w:r>
        <w:rPr>
          <w:color w:val="auto"/>
        </w:rPr>
        <w:fldChar w:fldCharType="end"/>
      </w:r>
      <w:r>
        <w:rPr>
          <w:color w:val="auto"/>
        </w:rPr>
        <w:fldChar w:fldCharType="end"/>
      </w:r>
    </w:p>
    <w:p w14:paraId="07FE528B">
      <w:pPr>
        <w:pStyle w:val="22"/>
        <w:tabs>
          <w:tab w:val="right" w:leader="dot" w:pos="8879"/>
        </w:tabs>
        <w:rPr>
          <w:color w:val="auto"/>
        </w:rPr>
      </w:pPr>
      <w:r>
        <w:rPr>
          <w:color w:val="auto"/>
        </w:rPr>
        <w:fldChar w:fldCharType="begin"/>
      </w:r>
      <w:r>
        <w:rPr>
          <w:color w:val="auto"/>
        </w:rPr>
        <w:instrText xml:space="preserve"> HYPERLINK \l "_Toc11892" </w:instrText>
      </w:r>
      <w:r>
        <w:rPr>
          <w:color w:val="auto"/>
        </w:rPr>
        <w:fldChar w:fldCharType="separate"/>
      </w:r>
      <w:r>
        <w:rPr>
          <w:rFonts w:hint="eastAsia" w:ascii="宋体" w:hAnsi="宋体" w:cs="宋体"/>
          <w:color w:val="auto"/>
        </w:rPr>
        <w:t>第六章  合同文本</w:t>
      </w:r>
      <w:r>
        <w:rPr>
          <w:color w:val="auto"/>
        </w:rPr>
        <w:tab/>
      </w:r>
      <w:r>
        <w:rPr>
          <w:color w:val="auto"/>
        </w:rPr>
        <w:fldChar w:fldCharType="begin"/>
      </w:r>
      <w:r>
        <w:rPr>
          <w:color w:val="auto"/>
        </w:rPr>
        <w:instrText xml:space="preserve"> PAGEREF _Toc11892 \h </w:instrText>
      </w:r>
      <w:r>
        <w:rPr>
          <w:color w:val="auto"/>
        </w:rPr>
        <w:fldChar w:fldCharType="separate"/>
      </w:r>
      <w:r>
        <w:rPr>
          <w:color w:val="auto"/>
        </w:rPr>
        <w:t>72</w:t>
      </w:r>
      <w:r>
        <w:rPr>
          <w:color w:val="auto"/>
        </w:rPr>
        <w:fldChar w:fldCharType="end"/>
      </w:r>
      <w:r>
        <w:rPr>
          <w:color w:val="auto"/>
        </w:rPr>
        <w:fldChar w:fldCharType="end"/>
      </w:r>
    </w:p>
    <w:p w14:paraId="519023C7">
      <w:pPr>
        <w:pStyle w:val="26"/>
        <w:tabs>
          <w:tab w:val="right" w:leader="dot" w:pos="8879"/>
          <w:tab w:val="clear" w:pos="8296"/>
        </w:tabs>
        <w:rPr>
          <w:color w:val="auto"/>
        </w:rPr>
      </w:pPr>
      <w:r>
        <w:rPr>
          <w:color w:val="auto"/>
        </w:rPr>
        <w:fldChar w:fldCharType="begin"/>
      </w:r>
      <w:r>
        <w:rPr>
          <w:color w:val="auto"/>
        </w:rPr>
        <w:instrText xml:space="preserve"> HYPERLINK \l "_Toc21071" </w:instrText>
      </w:r>
      <w:r>
        <w:rPr>
          <w:color w:val="auto"/>
        </w:rPr>
        <w:fldChar w:fldCharType="separate"/>
      </w:r>
      <w:r>
        <w:rPr>
          <w:rFonts w:hint="eastAsia" w:ascii="仿宋_GB2312" w:hAnsi="楷体" w:eastAsia="仿宋_GB2312" w:cs="仿宋_GB2312"/>
          <w:color w:val="auto"/>
          <w:szCs w:val="28"/>
        </w:rPr>
        <w:t>第一部分 合同书</w:t>
      </w:r>
      <w:r>
        <w:rPr>
          <w:color w:val="auto"/>
        </w:rPr>
        <w:tab/>
      </w:r>
      <w:r>
        <w:rPr>
          <w:color w:val="auto"/>
        </w:rPr>
        <w:fldChar w:fldCharType="begin"/>
      </w:r>
      <w:r>
        <w:rPr>
          <w:color w:val="auto"/>
        </w:rPr>
        <w:instrText xml:space="preserve"> PAGEREF _Toc21071 \h </w:instrText>
      </w:r>
      <w:r>
        <w:rPr>
          <w:color w:val="auto"/>
        </w:rPr>
        <w:fldChar w:fldCharType="separate"/>
      </w:r>
      <w:r>
        <w:rPr>
          <w:color w:val="auto"/>
        </w:rPr>
        <w:t>75</w:t>
      </w:r>
      <w:r>
        <w:rPr>
          <w:color w:val="auto"/>
        </w:rPr>
        <w:fldChar w:fldCharType="end"/>
      </w:r>
      <w:r>
        <w:rPr>
          <w:color w:val="auto"/>
        </w:rPr>
        <w:fldChar w:fldCharType="end"/>
      </w:r>
    </w:p>
    <w:p w14:paraId="3E38BFE9">
      <w:pPr>
        <w:pStyle w:val="26"/>
        <w:tabs>
          <w:tab w:val="right" w:leader="dot" w:pos="8879"/>
          <w:tab w:val="clear" w:pos="8296"/>
        </w:tabs>
        <w:rPr>
          <w:color w:val="auto"/>
        </w:rPr>
      </w:pPr>
      <w:r>
        <w:rPr>
          <w:color w:val="auto"/>
        </w:rPr>
        <w:fldChar w:fldCharType="begin"/>
      </w:r>
      <w:r>
        <w:rPr>
          <w:color w:val="auto"/>
        </w:rPr>
        <w:instrText xml:space="preserve"> HYPERLINK \l "_Toc30773" </w:instrText>
      </w:r>
      <w:r>
        <w:rPr>
          <w:color w:val="auto"/>
        </w:rPr>
        <w:fldChar w:fldCharType="separate"/>
      </w:r>
      <w:r>
        <w:rPr>
          <w:rFonts w:hint="eastAsia" w:ascii="仿宋_GB2312" w:hAnsi="楷体" w:eastAsia="仿宋_GB2312" w:cs="仿宋_GB2312"/>
          <w:color w:val="auto"/>
          <w:szCs w:val="28"/>
        </w:rPr>
        <w:t>第二部分 合同一般条款</w:t>
      </w:r>
      <w:r>
        <w:rPr>
          <w:color w:val="auto"/>
        </w:rPr>
        <w:tab/>
      </w:r>
      <w:r>
        <w:rPr>
          <w:color w:val="auto"/>
        </w:rPr>
        <w:fldChar w:fldCharType="begin"/>
      </w:r>
      <w:r>
        <w:rPr>
          <w:color w:val="auto"/>
        </w:rPr>
        <w:instrText xml:space="preserve"> PAGEREF _Toc30773 \h </w:instrText>
      </w:r>
      <w:r>
        <w:rPr>
          <w:color w:val="auto"/>
        </w:rPr>
        <w:fldChar w:fldCharType="separate"/>
      </w:r>
      <w:r>
        <w:rPr>
          <w:color w:val="auto"/>
        </w:rPr>
        <w:t>78</w:t>
      </w:r>
      <w:r>
        <w:rPr>
          <w:color w:val="auto"/>
        </w:rPr>
        <w:fldChar w:fldCharType="end"/>
      </w:r>
      <w:r>
        <w:rPr>
          <w:color w:val="auto"/>
        </w:rPr>
        <w:fldChar w:fldCharType="end"/>
      </w:r>
    </w:p>
    <w:p w14:paraId="1173B42A">
      <w:pPr>
        <w:pStyle w:val="26"/>
        <w:tabs>
          <w:tab w:val="right" w:leader="dot" w:pos="8879"/>
          <w:tab w:val="clear" w:pos="8296"/>
        </w:tabs>
        <w:rPr>
          <w:color w:val="auto"/>
        </w:rPr>
      </w:pPr>
      <w:r>
        <w:rPr>
          <w:color w:val="auto"/>
        </w:rPr>
        <w:fldChar w:fldCharType="begin"/>
      </w:r>
      <w:r>
        <w:rPr>
          <w:color w:val="auto"/>
        </w:rPr>
        <w:instrText xml:space="preserve"> HYPERLINK \l "_Toc6099" </w:instrText>
      </w:r>
      <w:r>
        <w:rPr>
          <w:color w:val="auto"/>
        </w:rPr>
        <w:fldChar w:fldCharType="separate"/>
      </w:r>
      <w:r>
        <w:rPr>
          <w:rFonts w:hint="eastAsia" w:ascii="仿宋_GB2312" w:hAnsi="楷体" w:eastAsia="仿宋_GB2312" w:cs="仿宋_GB2312"/>
          <w:color w:val="auto"/>
          <w:szCs w:val="28"/>
        </w:rPr>
        <w:t>第三部分  合同专用条款</w:t>
      </w:r>
      <w:r>
        <w:rPr>
          <w:color w:val="auto"/>
        </w:rPr>
        <w:tab/>
      </w:r>
      <w:r>
        <w:rPr>
          <w:color w:val="auto"/>
        </w:rPr>
        <w:fldChar w:fldCharType="begin"/>
      </w:r>
      <w:r>
        <w:rPr>
          <w:color w:val="auto"/>
        </w:rPr>
        <w:instrText xml:space="preserve"> PAGEREF _Toc6099 \h </w:instrText>
      </w:r>
      <w:r>
        <w:rPr>
          <w:color w:val="auto"/>
        </w:rPr>
        <w:fldChar w:fldCharType="separate"/>
      </w:r>
      <w:r>
        <w:rPr>
          <w:color w:val="auto"/>
        </w:rPr>
        <w:t>83</w:t>
      </w:r>
      <w:r>
        <w:rPr>
          <w:color w:val="auto"/>
        </w:rPr>
        <w:fldChar w:fldCharType="end"/>
      </w:r>
      <w:r>
        <w:rPr>
          <w:color w:val="auto"/>
        </w:rPr>
        <w:fldChar w:fldCharType="end"/>
      </w:r>
    </w:p>
    <w:p w14:paraId="6DAB413F">
      <w:pPr>
        <w:pStyle w:val="22"/>
        <w:tabs>
          <w:tab w:val="right" w:leader="dot" w:pos="8879"/>
        </w:tabs>
        <w:rPr>
          <w:color w:val="auto"/>
        </w:rPr>
      </w:pPr>
      <w:r>
        <w:rPr>
          <w:color w:val="auto"/>
        </w:rPr>
        <w:fldChar w:fldCharType="begin"/>
      </w:r>
      <w:r>
        <w:rPr>
          <w:color w:val="auto"/>
        </w:rPr>
        <w:instrText xml:space="preserve"> HYPERLINK \l "_Toc29692" </w:instrText>
      </w:r>
      <w:r>
        <w:rPr>
          <w:color w:val="auto"/>
        </w:rPr>
        <w:fldChar w:fldCharType="separate"/>
      </w:r>
      <w:r>
        <w:rPr>
          <w:rFonts w:hint="eastAsia" w:ascii="宋体" w:hAnsi="宋体" w:cs="仿宋_GB2312"/>
          <w:bCs/>
          <w:color w:val="auto"/>
        </w:rPr>
        <w:t>第七章 质疑、投诉材料格式</w:t>
      </w:r>
      <w:r>
        <w:rPr>
          <w:color w:val="auto"/>
        </w:rPr>
        <w:tab/>
      </w:r>
      <w:r>
        <w:rPr>
          <w:color w:val="auto"/>
        </w:rPr>
        <w:fldChar w:fldCharType="begin"/>
      </w:r>
      <w:r>
        <w:rPr>
          <w:color w:val="auto"/>
        </w:rPr>
        <w:instrText xml:space="preserve"> PAGEREF _Toc29692 \h </w:instrText>
      </w:r>
      <w:r>
        <w:rPr>
          <w:color w:val="auto"/>
        </w:rPr>
        <w:fldChar w:fldCharType="separate"/>
      </w:r>
      <w:r>
        <w:rPr>
          <w:color w:val="auto"/>
        </w:rPr>
        <w:t>86</w:t>
      </w:r>
      <w:r>
        <w:rPr>
          <w:color w:val="auto"/>
        </w:rPr>
        <w:fldChar w:fldCharType="end"/>
      </w:r>
      <w:r>
        <w:rPr>
          <w:color w:val="auto"/>
        </w:rPr>
        <w:fldChar w:fldCharType="end"/>
      </w:r>
    </w:p>
    <w:p w14:paraId="7A30F695">
      <w:pPr>
        <w:pStyle w:val="26"/>
        <w:widowControl/>
        <w:rPr>
          <w:color w:val="auto"/>
          <w:sz w:val="28"/>
          <w:szCs w:val="28"/>
        </w:rPr>
      </w:pPr>
      <w:r>
        <w:rPr>
          <w:rFonts w:hint="eastAsia" w:ascii="宋体" w:hAnsi="宋体" w:cs="宋体"/>
          <w:color w:val="auto"/>
          <w:szCs w:val="30"/>
        </w:rPr>
        <w:fldChar w:fldCharType="end"/>
      </w:r>
    </w:p>
    <w:p w14:paraId="45AF19CB">
      <w:pPr>
        <w:tabs>
          <w:tab w:val="left" w:pos="7470"/>
        </w:tabs>
        <w:spacing w:line="400" w:lineRule="exact"/>
        <w:jc w:val="left"/>
        <w:rPr>
          <w:rFonts w:hint="eastAsia" w:ascii="宋体" w:hAnsi="宋体" w:eastAsia="宋体" w:cs="宋体"/>
          <w:b/>
          <w:color w:val="auto"/>
          <w:sz w:val="32"/>
          <w:szCs w:val="32"/>
        </w:rPr>
      </w:pPr>
      <w:r>
        <w:rPr>
          <w:rFonts w:hint="eastAsia" w:ascii="宋体" w:hAnsi="宋体" w:eastAsia="宋体" w:cs="宋体"/>
          <w:b/>
          <w:color w:val="auto"/>
          <w:sz w:val="32"/>
          <w:szCs w:val="32"/>
          <w:lang w:bidi="ar"/>
        </w:rPr>
        <w:tab/>
      </w:r>
    </w:p>
    <w:p w14:paraId="669FFEB5">
      <w:pPr>
        <w:spacing w:line="400" w:lineRule="exact"/>
        <w:jc w:val="center"/>
        <w:rPr>
          <w:rFonts w:hint="eastAsia" w:ascii="宋体" w:hAnsi="宋体" w:eastAsia="宋体" w:cs="宋体"/>
          <w:b/>
          <w:color w:val="auto"/>
          <w:sz w:val="32"/>
          <w:szCs w:val="32"/>
        </w:rPr>
      </w:pPr>
    </w:p>
    <w:p w14:paraId="0A6CEE88">
      <w:pPr>
        <w:spacing w:line="400" w:lineRule="exact"/>
        <w:jc w:val="center"/>
        <w:rPr>
          <w:rFonts w:hint="eastAsia" w:ascii="宋体" w:hAnsi="宋体" w:eastAsia="宋体" w:cs="宋体"/>
          <w:b/>
          <w:color w:val="auto"/>
          <w:sz w:val="32"/>
          <w:szCs w:val="32"/>
        </w:rPr>
      </w:pPr>
    </w:p>
    <w:p w14:paraId="5F494343">
      <w:pPr>
        <w:spacing w:line="400" w:lineRule="exact"/>
        <w:jc w:val="center"/>
        <w:rPr>
          <w:rFonts w:hint="eastAsia" w:ascii="宋体" w:hAnsi="宋体" w:eastAsia="宋体" w:cs="宋体"/>
          <w:b/>
          <w:color w:val="auto"/>
          <w:sz w:val="32"/>
          <w:szCs w:val="32"/>
        </w:rPr>
      </w:pPr>
    </w:p>
    <w:p w14:paraId="25FEF6BB">
      <w:pPr>
        <w:rPr>
          <w:rFonts w:hint="eastAsia" w:ascii="宋体" w:hAnsi="宋体" w:eastAsia="宋体" w:cs="Times New Roman"/>
          <w:b/>
          <w:color w:val="auto"/>
          <w:sz w:val="32"/>
          <w:szCs w:val="32"/>
          <w:lang w:bidi="ar"/>
        </w:rPr>
        <w:sectPr>
          <w:pgSz w:w="11906" w:h="16838"/>
          <w:pgMar w:top="1440" w:right="1440" w:bottom="1440" w:left="1587" w:header="851" w:footer="992" w:gutter="0"/>
          <w:pgNumType w:start="0"/>
          <w:cols w:space="425" w:num="1"/>
          <w:docGrid w:type="lines" w:linePitch="312" w:charSpace="0"/>
        </w:sectPr>
      </w:pPr>
    </w:p>
    <w:p w14:paraId="143F7B24">
      <w:pPr>
        <w:pStyle w:val="2"/>
        <w:keepNext/>
        <w:keepLines/>
        <w:pageBreakBefore w:val="0"/>
        <w:widowControl/>
        <w:kinsoku/>
        <w:wordWrap/>
        <w:overflowPunct/>
        <w:topLinePunct w:val="0"/>
        <w:autoSpaceDE/>
        <w:autoSpaceDN/>
        <w:bidi w:val="0"/>
        <w:adjustRightInd/>
        <w:snapToGrid/>
        <w:spacing w:before="0" w:after="0" w:line="360" w:lineRule="auto"/>
        <w:jc w:val="center"/>
        <w:textAlignment w:val="auto"/>
        <w:rPr>
          <w:color w:val="auto"/>
        </w:rPr>
      </w:pPr>
      <w:bookmarkStart w:id="1" w:name="_Toc11479"/>
      <w:r>
        <w:rPr>
          <w:color w:val="auto"/>
          <w:sz w:val="24"/>
        </w:rPr>
        <mc:AlternateContent>
          <mc:Choice Requires="wps">
            <w:drawing>
              <wp:anchor distT="0" distB="0" distL="114300" distR="114300" simplePos="0" relativeHeight="251660288" behindDoc="0" locked="0" layoutInCell="1" allowOverlap="1">
                <wp:simplePos x="0" y="0"/>
                <wp:positionH relativeFrom="column">
                  <wp:posOffset>-107950</wp:posOffset>
                </wp:positionH>
                <wp:positionV relativeFrom="paragraph">
                  <wp:posOffset>434975</wp:posOffset>
                </wp:positionV>
                <wp:extent cx="5976620" cy="1209040"/>
                <wp:effectExtent l="4445" t="5080" r="19685" b="5080"/>
                <wp:wrapNone/>
                <wp:docPr id="6" name="文本框 6"/>
                <wp:cNvGraphicFramePr/>
                <a:graphic xmlns:a="http://schemas.openxmlformats.org/drawingml/2006/main">
                  <a:graphicData uri="http://schemas.microsoft.com/office/word/2010/wordprocessingShape">
                    <wps:wsp>
                      <wps:cNvSpPr txBox="1"/>
                      <wps:spPr>
                        <a:xfrm>
                          <a:off x="1400175" y="1511935"/>
                          <a:ext cx="5976620" cy="12090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44467D8">
                            <w:pPr>
                              <w:pStyle w:val="27"/>
                              <w:keepNext w:val="0"/>
                              <w:keepLines w:val="0"/>
                              <w:pageBreakBefore w:val="0"/>
                              <w:widowControl/>
                              <w:kinsoku/>
                              <w:wordWrap/>
                              <w:overflowPunct/>
                              <w:topLinePunct w:val="0"/>
                              <w:bidi w:val="0"/>
                              <w:adjustRightInd/>
                              <w:snapToGrid/>
                              <w:spacing w:line="360" w:lineRule="auto"/>
                              <w:textAlignment w:val="auto"/>
                              <w:rPr>
                                <w:rFonts w:hint="eastAsia" w:ascii="宋体" w:hAnsi="宋体" w:cs="宋体"/>
                                <w:kern w:val="2"/>
                                <w:sz w:val="21"/>
                                <w:szCs w:val="21"/>
                                <w:lang w:bidi="ar"/>
                              </w:rPr>
                            </w:pPr>
                            <w:r>
                              <w:rPr>
                                <w:rFonts w:hint="eastAsia" w:ascii="宋体" w:hAnsi="宋体" w:cs="宋体"/>
                                <w:kern w:val="2"/>
                                <w:sz w:val="21"/>
                                <w:szCs w:val="21"/>
                                <w:lang w:bidi="ar"/>
                              </w:rPr>
                              <w:t xml:space="preserve"> 项目概况  </w:t>
                            </w:r>
                          </w:p>
                          <w:p w14:paraId="355B4262">
                            <w:pPr>
                              <w:keepNext w:val="0"/>
                              <w:keepLines w:val="0"/>
                              <w:pageBreakBefore w:val="0"/>
                              <w:kinsoku/>
                              <w:wordWrap/>
                              <w:overflowPunct/>
                              <w:topLinePunct w:val="0"/>
                              <w:bidi w:val="0"/>
                              <w:adjustRightInd/>
                              <w:snapToGrid/>
                              <w:spacing w:line="360" w:lineRule="auto"/>
                              <w:ind w:firstLine="420" w:firstLineChars="200"/>
                              <w:textAlignment w:val="auto"/>
                            </w:pPr>
                            <w:r>
                              <w:rPr>
                                <w:rFonts w:hint="eastAsia" w:ascii="宋体" w:hAnsi="宋体" w:eastAsia="宋体" w:cs="宋体"/>
                                <w:szCs w:val="21"/>
                                <w:lang w:eastAsia="zh-CN" w:bidi="ar"/>
                              </w:rPr>
                              <w:t>南宁市武鸣区2025年第一批中央财政水利发展资金农村饮水工程维修养护项目</w:t>
                            </w:r>
                            <w:r>
                              <w:rPr>
                                <w:rFonts w:hint="eastAsia" w:ascii="宋体" w:hAnsi="宋体" w:eastAsia="宋体" w:cs="宋体"/>
                                <w:szCs w:val="21"/>
                                <w:lang w:bidi="ar"/>
                              </w:rPr>
                              <w:t>采购项目的潜在供应商应在广西政府采购云平台线上获取获取采购文件，并于</w:t>
                            </w:r>
                            <w:r>
                              <w:rPr>
                                <w:rFonts w:hint="eastAsia" w:ascii="宋体" w:hAnsi="宋体" w:eastAsia="宋体" w:cs="宋体"/>
                                <w:color w:val="FF0000"/>
                                <w:szCs w:val="21"/>
                                <w:lang w:bidi="ar"/>
                              </w:rPr>
                              <w:t>202</w:t>
                            </w:r>
                            <w:r>
                              <w:rPr>
                                <w:rFonts w:hint="eastAsia" w:ascii="宋体" w:hAnsi="宋体" w:eastAsia="宋体" w:cs="宋体"/>
                                <w:color w:val="FF0000"/>
                                <w:szCs w:val="21"/>
                                <w:lang w:val="en-US" w:eastAsia="zh-CN" w:bidi="ar"/>
                              </w:rPr>
                              <w:t>5</w:t>
                            </w:r>
                            <w:r>
                              <w:rPr>
                                <w:rFonts w:hint="eastAsia" w:ascii="宋体" w:hAnsi="宋体" w:eastAsia="宋体" w:cs="宋体"/>
                                <w:color w:val="FF0000"/>
                                <w:szCs w:val="21"/>
                                <w:lang w:bidi="ar"/>
                              </w:rPr>
                              <w:t>年</w:t>
                            </w:r>
                            <w:r>
                              <w:rPr>
                                <w:rFonts w:hint="eastAsia" w:ascii="宋体" w:hAnsi="宋体" w:eastAsia="宋体" w:cs="宋体"/>
                                <w:color w:val="FF0000"/>
                                <w:szCs w:val="21"/>
                                <w:lang w:val="en-US" w:eastAsia="zh-CN" w:bidi="ar"/>
                              </w:rPr>
                              <w:t>10</w:t>
                            </w:r>
                            <w:r>
                              <w:rPr>
                                <w:rFonts w:hint="eastAsia" w:ascii="宋体" w:hAnsi="宋体" w:eastAsia="宋体" w:cs="宋体"/>
                                <w:color w:val="FF0000"/>
                                <w:szCs w:val="21"/>
                                <w:lang w:bidi="ar"/>
                              </w:rPr>
                              <w:t xml:space="preserve"> 月</w:t>
                            </w:r>
                            <w:r>
                              <w:rPr>
                                <w:rFonts w:hint="eastAsia" w:ascii="宋体" w:hAnsi="宋体" w:eastAsia="宋体" w:cs="宋体"/>
                                <w:color w:val="FF0000"/>
                                <w:szCs w:val="21"/>
                                <w:lang w:val="en-US" w:eastAsia="zh-CN" w:bidi="ar"/>
                              </w:rPr>
                              <w:t>31</w:t>
                            </w:r>
                            <w:r>
                              <w:rPr>
                                <w:rFonts w:hint="eastAsia" w:ascii="宋体" w:hAnsi="宋体" w:eastAsia="宋体" w:cs="宋体"/>
                                <w:color w:val="FF0000"/>
                                <w:szCs w:val="21"/>
                                <w:lang w:bidi="ar"/>
                              </w:rPr>
                              <w:t xml:space="preserve"> 日 09:30</w:t>
                            </w:r>
                            <w:r>
                              <w:rPr>
                                <w:rFonts w:hint="eastAsia" w:ascii="宋体" w:hAnsi="宋体" w:eastAsia="宋体" w:cs="宋体"/>
                                <w:szCs w:val="21"/>
                                <w:lang w:bidi="ar"/>
                              </w:rPr>
                              <w:t>（北京时间）前提交响应文件。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pt;margin-top:34.25pt;height:95.2pt;width:470.6pt;z-index:251660288;mso-width-relative:page;mso-height-relative:page;" fillcolor="#C7EDCC [3201]" filled="t" stroked="t" coordsize="21600,21600" o:gfxdata="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Kd7Mc/cAAAACgEAAA8AAAAAAAAAAQAgAAAAIgAAAGRycy9kb3ducmV2Lnht&#10;bFBLAQIUABQAAAAIAIdO4kDzJEssZwIAAMQEAAAOAAAAAAAAAAEAIAAAACsBAABkcnMvZTJvRG9j&#10;LnhtbFBLBQYAAAAABgAGAFkBAAAEBgAAAAA=&#10;">
                <v:fill on="t" focussize="0,0"/>
                <v:stroke weight="0.5pt" color="#000000 [3204]" joinstyle="round"/>
                <v:imagedata o:title=""/>
                <o:lock v:ext="edit" aspectratio="f"/>
                <v:textbox>
                  <w:txbxContent>
                    <w:p w14:paraId="444467D8">
                      <w:pPr>
                        <w:pStyle w:val="27"/>
                        <w:keepNext w:val="0"/>
                        <w:keepLines w:val="0"/>
                        <w:pageBreakBefore w:val="0"/>
                        <w:widowControl/>
                        <w:kinsoku/>
                        <w:wordWrap/>
                        <w:overflowPunct/>
                        <w:topLinePunct w:val="0"/>
                        <w:bidi w:val="0"/>
                        <w:adjustRightInd/>
                        <w:snapToGrid/>
                        <w:spacing w:line="360" w:lineRule="auto"/>
                        <w:textAlignment w:val="auto"/>
                        <w:rPr>
                          <w:rFonts w:hint="eastAsia" w:ascii="宋体" w:hAnsi="宋体" w:cs="宋体"/>
                          <w:kern w:val="2"/>
                          <w:sz w:val="21"/>
                          <w:szCs w:val="21"/>
                          <w:lang w:bidi="ar"/>
                        </w:rPr>
                      </w:pPr>
                      <w:r>
                        <w:rPr>
                          <w:rFonts w:hint="eastAsia" w:ascii="宋体" w:hAnsi="宋体" w:cs="宋体"/>
                          <w:kern w:val="2"/>
                          <w:sz w:val="21"/>
                          <w:szCs w:val="21"/>
                          <w:lang w:bidi="ar"/>
                        </w:rPr>
                        <w:t xml:space="preserve"> 项目概况  </w:t>
                      </w:r>
                    </w:p>
                    <w:p w14:paraId="355B4262">
                      <w:pPr>
                        <w:keepNext w:val="0"/>
                        <w:keepLines w:val="0"/>
                        <w:pageBreakBefore w:val="0"/>
                        <w:kinsoku/>
                        <w:wordWrap/>
                        <w:overflowPunct/>
                        <w:topLinePunct w:val="0"/>
                        <w:bidi w:val="0"/>
                        <w:adjustRightInd/>
                        <w:snapToGrid/>
                        <w:spacing w:line="360" w:lineRule="auto"/>
                        <w:ind w:firstLine="420" w:firstLineChars="200"/>
                        <w:textAlignment w:val="auto"/>
                      </w:pPr>
                      <w:r>
                        <w:rPr>
                          <w:rFonts w:hint="eastAsia" w:ascii="宋体" w:hAnsi="宋体" w:eastAsia="宋体" w:cs="宋体"/>
                          <w:szCs w:val="21"/>
                          <w:lang w:eastAsia="zh-CN" w:bidi="ar"/>
                        </w:rPr>
                        <w:t>南宁市武鸣区2025年第一批中央财政水利发展资金农村饮水工程维修养护项目</w:t>
                      </w:r>
                      <w:r>
                        <w:rPr>
                          <w:rFonts w:hint="eastAsia" w:ascii="宋体" w:hAnsi="宋体" w:eastAsia="宋体" w:cs="宋体"/>
                          <w:szCs w:val="21"/>
                          <w:lang w:bidi="ar"/>
                        </w:rPr>
                        <w:t>采购项目的潜在供应商应在广西政府采购云平台线上获取获取采购文件，并于</w:t>
                      </w:r>
                      <w:r>
                        <w:rPr>
                          <w:rFonts w:hint="eastAsia" w:ascii="宋体" w:hAnsi="宋体" w:eastAsia="宋体" w:cs="宋体"/>
                          <w:color w:val="FF0000"/>
                          <w:szCs w:val="21"/>
                          <w:lang w:bidi="ar"/>
                        </w:rPr>
                        <w:t>202</w:t>
                      </w:r>
                      <w:r>
                        <w:rPr>
                          <w:rFonts w:hint="eastAsia" w:ascii="宋体" w:hAnsi="宋体" w:eastAsia="宋体" w:cs="宋体"/>
                          <w:color w:val="FF0000"/>
                          <w:szCs w:val="21"/>
                          <w:lang w:val="en-US" w:eastAsia="zh-CN" w:bidi="ar"/>
                        </w:rPr>
                        <w:t>5</w:t>
                      </w:r>
                      <w:r>
                        <w:rPr>
                          <w:rFonts w:hint="eastAsia" w:ascii="宋体" w:hAnsi="宋体" w:eastAsia="宋体" w:cs="宋体"/>
                          <w:color w:val="FF0000"/>
                          <w:szCs w:val="21"/>
                          <w:lang w:bidi="ar"/>
                        </w:rPr>
                        <w:t>年</w:t>
                      </w:r>
                      <w:r>
                        <w:rPr>
                          <w:rFonts w:hint="eastAsia" w:ascii="宋体" w:hAnsi="宋体" w:eastAsia="宋体" w:cs="宋体"/>
                          <w:color w:val="FF0000"/>
                          <w:szCs w:val="21"/>
                          <w:lang w:val="en-US" w:eastAsia="zh-CN" w:bidi="ar"/>
                        </w:rPr>
                        <w:t>10</w:t>
                      </w:r>
                      <w:r>
                        <w:rPr>
                          <w:rFonts w:hint="eastAsia" w:ascii="宋体" w:hAnsi="宋体" w:eastAsia="宋体" w:cs="宋体"/>
                          <w:color w:val="FF0000"/>
                          <w:szCs w:val="21"/>
                          <w:lang w:bidi="ar"/>
                        </w:rPr>
                        <w:t xml:space="preserve"> 月</w:t>
                      </w:r>
                      <w:r>
                        <w:rPr>
                          <w:rFonts w:hint="eastAsia" w:ascii="宋体" w:hAnsi="宋体" w:eastAsia="宋体" w:cs="宋体"/>
                          <w:color w:val="FF0000"/>
                          <w:szCs w:val="21"/>
                          <w:lang w:val="en-US" w:eastAsia="zh-CN" w:bidi="ar"/>
                        </w:rPr>
                        <w:t>31</w:t>
                      </w:r>
                      <w:r>
                        <w:rPr>
                          <w:rFonts w:hint="eastAsia" w:ascii="宋体" w:hAnsi="宋体" w:eastAsia="宋体" w:cs="宋体"/>
                          <w:color w:val="FF0000"/>
                          <w:szCs w:val="21"/>
                          <w:lang w:bidi="ar"/>
                        </w:rPr>
                        <w:t xml:space="preserve"> 日 09:30</w:t>
                      </w:r>
                      <w:r>
                        <w:rPr>
                          <w:rFonts w:hint="eastAsia" w:ascii="宋体" w:hAnsi="宋体" w:eastAsia="宋体" w:cs="宋体"/>
                          <w:szCs w:val="21"/>
                          <w:lang w:bidi="ar"/>
                        </w:rPr>
                        <w:t>（北京时间）前提交响应文件。</w:t>
                      </w:r>
                    </w:p>
                  </w:txbxContent>
                </v:textbox>
              </v:shape>
            </w:pict>
          </mc:Fallback>
        </mc:AlternateContent>
      </w:r>
      <w:r>
        <w:rPr>
          <w:rFonts w:hint="eastAsia" w:cs="宋体"/>
          <w:color w:val="auto"/>
        </w:rPr>
        <w:t>第一章</w:t>
      </w:r>
      <w:r>
        <w:rPr>
          <w:color w:val="auto"/>
        </w:rPr>
        <w:t xml:space="preserve"> </w:t>
      </w:r>
      <w:r>
        <w:rPr>
          <w:rFonts w:hint="eastAsia" w:cs="宋体"/>
          <w:color w:val="auto"/>
        </w:rPr>
        <w:t>竞争性磋商公告</w:t>
      </w:r>
      <w:bookmarkEnd w:id="1"/>
      <w:bookmarkStart w:id="2" w:name="_Toc35393798"/>
      <w:bookmarkStart w:id="3" w:name="_Toc44229878"/>
      <w:bookmarkStart w:id="4" w:name="_Toc28359012"/>
      <w:bookmarkStart w:id="5" w:name="_Toc28359089"/>
      <w:bookmarkStart w:id="6" w:name="_Toc35393629"/>
      <w:bookmarkStart w:id="7" w:name="_Toc35393623"/>
      <w:bookmarkStart w:id="8" w:name="_Toc28359081"/>
      <w:bookmarkStart w:id="9" w:name="_Toc35393792"/>
      <w:bookmarkStart w:id="10" w:name="_Toc28359004"/>
    </w:p>
    <w:p w14:paraId="69873B1F">
      <w:pPr>
        <w:spacing w:line="360" w:lineRule="auto"/>
        <w:ind w:firstLine="480" w:firstLineChars="200"/>
        <w:rPr>
          <w:rFonts w:hint="eastAsia" w:ascii="黑体" w:hAnsi="宋体" w:eastAsia="黑体" w:cs="宋体"/>
          <w:bCs/>
          <w:color w:val="auto"/>
          <w:sz w:val="24"/>
          <w:lang w:bidi="ar"/>
        </w:rPr>
      </w:pPr>
    </w:p>
    <w:p w14:paraId="09823FB4">
      <w:pPr>
        <w:spacing w:line="360" w:lineRule="auto"/>
        <w:ind w:firstLine="480" w:firstLineChars="200"/>
        <w:rPr>
          <w:color w:val="auto"/>
        </w:rPr>
      </w:pPr>
      <w:r>
        <w:rPr>
          <w:rFonts w:hint="eastAsia" w:ascii="黑体" w:hAnsi="宋体" w:eastAsia="黑体" w:cs="宋体"/>
          <w:bCs/>
          <w:color w:val="auto"/>
          <w:sz w:val="24"/>
          <w:lang w:bidi="ar"/>
        </w:rPr>
        <w:t>一、项目基本情况</w:t>
      </w:r>
      <w:bookmarkEnd w:id="2"/>
      <w:bookmarkEnd w:id="3"/>
      <w:bookmarkEnd w:id="4"/>
      <w:bookmarkEnd w:id="5"/>
      <w:bookmarkEnd w:id="6"/>
    </w:p>
    <w:p w14:paraId="485387C0">
      <w:pPr>
        <w:spacing w:line="360" w:lineRule="auto"/>
        <w:ind w:firstLine="420" w:firstLineChars="200"/>
        <w:rPr>
          <w:rFonts w:hint="eastAsia" w:ascii="宋体" w:hAnsi="宋体" w:eastAsia="宋体" w:cs="宋体"/>
          <w:color w:val="auto"/>
          <w:szCs w:val="21"/>
          <w:highlight w:val="yellow"/>
          <w:lang w:eastAsia="zh-CN" w:bidi="ar"/>
        </w:rPr>
      </w:pPr>
      <w:r>
        <w:rPr>
          <w:rFonts w:hint="eastAsia" w:ascii="宋体" w:hAnsi="宋体" w:eastAsia="宋体" w:cs="宋体"/>
          <w:color w:val="auto"/>
          <w:szCs w:val="21"/>
          <w:highlight w:val="yellow"/>
          <w:lang w:bidi="ar"/>
        </w:rPr>
        <w:t>1.项目编号：</w:t>
      </w:r>
      <w:r>
        <w:rPr>
          <w:rFonts w:hint="eastAsia" w:ascii="宋体" w:hAnsi="宋体" w:eastAsia="宋体" w:cs="宋体"/>
          <w:color w:val="auto"/>
          <w:szCs w:val="21"/>
          <w:highlight w:val="yellow"/>
          <w:lang w:eastAsia="zh-CN" w:bidi="ar"/>
        </w:rPr>
        <w:t xml:space="preserve"> NNZC2025-C2-100114-GXXZ</w:t>
      </w:r>
    </w:p>
    <w:p w14:paraId="18AEF92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val="0"/>
          <w:color w:val="auto"/>
          <w:sz w:val="24"/>
          <w:highlight w:val="none"/>
        </w:rPr>
      </w:pPr>
    </w:p>
    <w:p w14:paraId="696A32F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val="0"/>
          <w:color w:val="auto"/>
          <w:sz w:val="24"/>
          <w:highlight w:val="none"/>
        </w:rPr>
      </w:pPr>
    </w:p>
    <w:p w14:paraId="235F935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val="0"/>
          <w:color w:val="auto"/>
          <w:highlight w:val="none"/>
        </w:rPr>
      </w:pPr>
      <w:r>
        <w:rPr>
          <w:rFonts w:hint="eastAsia" w:ascii="宋体" w:hAnsi="宋体" w:eastAsia="宋体" w:cs="宋体"/>
          <w:b/>
          <w:bCs w:val="0"/>
          <w:color w:val="auto"/>
          <w:sz w:val="24"/>
          <w:highlight w:val="none"/>
        </w:rPr>
        <w:t>一、项目基本情况</w:t>
      </w:r>
    </w:p>
    <w:p w14:paraId="756343B4">
      <w:pPr>
        <w:spacing w:line="360" w:lineRule="auto"/>
        <w:ind w:firstLine="420" w:firstLineChars="200"/>
        <w:rPr>
          <w:rFonts w:hint="default" w:ascii="宋体" w:hAnsi="宋体" w:eastAsia="宋体" w:cs="宋体"/>
          <w:color w:val="auto"/>
          <w:szCs w:val="21"/>
          <w:lang w:val="en-US" w:eastAsia="zh-CN" w:bidi="ar"/>
        </w:rPr>
      </w:pPr>
      <w:r>
        <w:rPr>
          <w:rFonts w:hint="eastAsia" w:ascii="宋体" w:hAnsi="宋体" w:eastAsia="宋体" w:cs="宋体"/>
          <w:color w:val="auto"/>
          <w:szCs w:val="21"/>
          <w:lang w:val="en-US" w:eastAsia="zh-CN" w:bidi="ar"/>
        </w:rPr>
        <w:t>1.项目编号：</w:t>
      </w:r>
    </w:p>
    <w:p w14:paraId="167F2EF1">
      <w:pPr>
        <w:spacing w:line="360" w:lineRule="auto"/>
        <w:ind w:firstLine="420" w:firstLineChars="200"/>
        <w:rPr>
          <w:rFonts w:hint="eastAsia" w:ascii="宋体" w:hAnsi="宋体" w:eastAsia="宋体" w:cs="宋体"/>
          <w:color w:val="auto"/>
          <w:szCs w:val="21"/>
          <w:lang w:eastAsia="zh-CN" w:bidi="ar"/>
        </w:rPr>
      </w:pPr>
      <w:r>
        <w:rPr>
          <w:rFonts w:hint="eastAsia" w:ascii="宋体" w:hAnsi="宋体" w:eastAsia="宋体" w:cs="宋体"/>
          <w:color w:val="auto"/>
          <w:szCs w:val="21"/>
          <w:lang w:bidi="ar"/>
        </w:rPr>
        <w:t>2.项目名称：</w:t>
      </w:r>
      <w:r>
        <w:rPr>
          <w:rFonts w:hint="eastAsia" w:ascii="宋体" w:hAnsi="宋体" w:eastAsia="宋体" w:cs="宋体"/>
          <w:color w:val="auto"/>
          <w:szCs w:val="21"/>
          <w:lang w:eastAsia="zh-CN" w:bidi="ar"/>
        </w:rPr>
        <w:t>南宁市武鸣区2025年第一批中央财政水利发展资金农村饮水工程维修养护项目</w:t>
      </w:r>
    </w:p>
    <w:p w14:paraId="5D258535">
      <w:pPr>
        <w:spacing w:line="360" w:lineRule="auto"/>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3.采购方式：竞争性磋商</w:t>
      </w:r>
    </w:p>
    <w:p w14:paraId="1B6BBED6">
      <w:pPr>
        <w:spacing w:line="360" w:lineRule="auto"/>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4.预算金额：</w:t>
      </w:r>
      <w:r>
        <w:rPr>
          <w:rFonts w:hint="eastAsia" w:ascii="宋体" w:hAnsi="宋体" w:eastAsia="宋体" w:cs="宋体"/>
          <w:color w:val="auto"/>
          <w:szCs w:val="21"/>
          <w:lang w:val="en-US" w:eastAsia="zh-CN" w:bidi="ar"/>
        </w:rPr>
        <w:t>1568140.10</w:t>
      </w:r>
      <w:r>
        <w:rPr>
          <w:rFonts w:hint="eastAsia" w:ascii="宋体" w:hAnsi="宋体" w:eastAsia="宋体" w:cs="宋体"/>
          <w:color w:val="auto"/>
          <w:szCs w:val="21"/>
          <w:lang w:bidi="ar"/>
        </w:rPr>
        <w:t>元</w:t>
      </w:r>
    </w:p>
    <w:p w14:paraId="5F46C049">
      <w:pPr>
        <w:spacing w:line="360" w:lineRule="auto"/>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5.最高限价</w:t>
      </w:r>
      <w:bookmarkStart w:id="11" w:name="_Hlk66782034"/>
      <w:r>
        <w:rPr>
          <w:rFonts w:hint="eastAsia" w:ascii="宋体" w:hAnsi="宋体" w:eastAsia="宋体" w:cs="宋体"/>
          <w:color w:val="auto"/>
          <w:szCs w:val="21"/>
          <w:lang w:bidi="ar"/>
        </w:rPr>
        <w:t>（如有）</w:t>
      </w:r>
      <w:bookmarkEnd w:id="11"/>
      <w:r>
        <w:rPr>
          <w:rFonts w:hint="eastAsia" w:ascii="宋体" w:hAnsi="宋体" w:eastAsia="宋体" w:cs="宋体"/>
          <w:color w:val="auto"/>
          <w:szCs w:val="21"/>
          <w:lang w:bidi="ar"/>
        </w:rPr>
        <w:t>：</w:t>
      </w:r>
      <w:r>
        <w:rPr>
          <w:rFonts w:hint="eastAsia" w:ascii="宋体" w:hAnsi="宋体" w:eastAsia="宋体" w:cs="宋体"/>
          <w:color w:val="auto"/>
          <w:szCs w:val="21"/>
          <w:lang w:val="en-US" w:eastAsia="zh-CN" w:bidi="ar"/>
        </w:rPr>
        <w:t>1568140.10</w:t>
      </w:r>
      <w:r>
        <w:rPr>
          <w:rFonts w:hint="eastAsia" w:ascii="宋体" w:hAnsi="宋体" w:eastAsia="宋体" w:cs="宋体"/>
          <w:color w:val="auto"/>
          <w:szCs w:val="21"/>
          <w:lang w:bidi="ar"/>
        </w:rPr>
        <w:t>元</w:t>
      </w:r>
    </w:p>
    <w:p w14:paraId="51B5A5C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 xml:space="preserve">6.采购需求： </w:t>
      </w:r>
    </w:p>
    <w:tbl>
      <w:tblPr>
        <w:tblStyle w:val="29"/>
        <w:tblW w:w="9314" w:type="dxa"/>
        <w:tblInd w:w="1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81"/>
        <w:gridCol w:w="2527"/>
        <w:gridCol w:w="784"/>
        <w:gridCol w:w="900"/>
        <w:gridCol w:w="4522"/>
      </w:tblGrid>
      <w:tr w14:paraId="376E63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14:paraId="40842300">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2527" w:type="dxa"/>
            <w:tcBorders>
              <w:top w:val="single" w:color="auto" w:sz="4" w:space="0"/>
              <w:left w:val="single" w:color="auto" w:sz="4" w:space="0"/>
              <w:bottom w:val="single" w:color="auto" w:sz="4" w:space="0"/>
              <w:right w:val="single" w:color="auto" w:sz="4" w:space="0"/>
            </w:tcBorders>
            <w:shd w:val="clear" w:color="auto" w:fill="auto"/>
            <w:vAlign w:val="center"/>
          </w:tcPr>
          <w:p w14:paraId="5F45E6BC">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标的的名称</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454D29C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单位</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2F3B3AF">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数量</w:t>
            </w:r>
          </w:p>
        </w:tc>
        <w:tc>
          <w:tcPr>
            <w:tcW w:w="4522" w:type="dxa"/>
            <w:tcBorders>
              <w:top w:val="single" w:color="auto" w:sz="4" w:space="0"/>
              <w:left w:val="single" w:color="auto" w:sz="4" w:space="0"/>
              <w:bottom w:val="single" w:color="auto" w:sz="4" w:space="0"/>
              <w:right w:val="single" w:color="auto" w:sz="4" w:space="0"/>
            </w:tcBorders>
            <w:shd w:val="clear" w:color="auto" w:fill="auto"/>
            <w:vAlign w:val="center"/>
          </w:tcPr>
          <w:p w14:paraId="34F176FC">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简要技术需求或者服务要求</w:t>
            </w:r>
          </w:p>
        </w:tc>
      </w:tr>
      <w:tr w14:paraId="314F072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14:paraId="4CFD3474">
            <w:pPr>
              <w:snapToGrid w:val="0"/>
              <w:spacing w:line="360" w:lineRule="auto"/>
              <w:jc w:val="both"/>
              <w:rPr>
                <w:rFonts w:hint="eastAsia" w:ascii="宋体" w:hAnsi="宋体" w:eastAsia="宋体" w:cs="宋体"/>
                <w:color w:val="auto"/>
                <w:szCs w:val="21"/>
              </w:rPr>
            </w:pPr>
            <w:r>
              <w:rPr>
                <w:rFonts w:hint="eastAsia" w:ascii="宋体" w:hAnsi="宋体" w:eastAsia="宋体" w:cs="宋体"/>
                <w:color w:val="auto"/>
                <w:szCs w:val="21"/>
              </w:rPr>
              <w:t>01</w:t>
            </w:r>
          </w:p>
        </w:tc>
        <w:tc>
          <w:tcPr>
            <w:tcW w:w="2527" w:type="dxa"/>
            <w:tcBorders>
              <w:top w:val="single" w:color="auto" w:sz="4" w:space="0"/>
              <w:left w:val="single" w:color="auto" w:sz="4" w:space="0"/>
              <w:bottom w:val="single" w:color="auto" w:sz="4" w:space="0"/>
              <w:right w:val="single" w:color="auto" w:sz="4" w:space="0"/>
            </w:tcBorders>
            <w:shd w:val="clear" w:color="auto" w:fill="auto"/>
            <w:vAlign w:val="center"/>
          </w:tcPr>
          <w:p w14:paraId="3F078CD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南宁市武鸣区2025年第一批中央财政水利发展资金农村饮水工程维修养护项目</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2B75CDE9">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426CD2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w:t>
            </w:r>
          </w:p>
        </w:tc>
        <w:tc>
          <w:tcPr>
            <w:tcW w:w="4522" w:type="dxa"/>
            <w:tcBorders>
              <w:top w:val="single" w:color="auto" w:sz="4" w:space="0"/>
              <w:left w:val="single" w:color="auto" w:sz="4" w:space="0"/>
              <w:bottom w:val="single" w:color="auto" w:sz="4" w:space="0"/>
              <w:right w:val="single" w:color="auto" w:sz="4" w:space="0"/>
            </w:tcBorders>
            <w:shd w:val="clear" w:color="auto" w:fill="auto"/>
            <w:vAlign w:val="center"/>
          </w:tcPr>
          <w:p w14:paraId="18420AC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rPr>
            </w:pPr>
            <w:r>
              <w:rPr>
                <w:rFonts w:hint="eastAsia" w:ascii="宋体" w:hAnsi="宋体" w:eastAsia="宋体" w:cs="宋体"/>
                <w:color w:val="auto"/>
                <w:szCs w:val="21"/>
              </w:rPr>
              <w:t>本工程位于武鸣区府城镇、城厢镇、罗波镇、锣圩镇、马头镇等10个乡镇，主要建设内容:更换老化漏水管路、更换老化的水表;更换潜水泵、变压器等机电设备;维修蓄水池、在水源处增设盖棚等。</w:t>
            </w:r>
            <w:r>
              <w:rPr>
                <w:rFonts w:hint="eastAsia" w:ascii="宋体" w:hAnsi="宋体" w:eastAsia="宋体" w:cs="宋体"/>
                <w:color w:val="auto"/>
                <w:spacing w:val="7"/>
              </w:rPr>
              <w:t>（具体以广西政府</w:t>
            </w:r>
            <w:r>
              <w:rPr>
                <w:rFonts w:hint="eastAsia" w:ascii="宋体" w:hAnsi="宋体" w:eastAsia="宋体" w:cs="宋体"/>
                <w:color w:val="auto"/>
                <w:spacing w:val="9"/>
              </w:rPr>
              <w:t>采购云平台线上提供的图纸及工程量清</w:t>
            </w:r>
            <w:r>
              <w:rPr>
                <w:rFonts w:hint="eastAsia" w:ascii="宋体" w:hAnsi="宋体" w:eastAsia="宋体" w:cs="宋体"/>
                <w:color w:val="auto"/>
                <w:spacing w:val="6"/>
              </w:rPr>
              <w:t>单内容为准）</w:t>
            </w:r>
          </w:p>
        </w:tc>
      </w:tr>
    </w:tbl>
    <w:p w14:paraId="3B2F6499">
      <w:pPr>
        <w:pStyle w:val="13"/>
        <w:spacing w:before="105" w:line="228" w:lineRule="auto"/>
        <w:ind w:firstLine="420" w:firstLineChars="200"/>
        <w:rPr>
          <w:rFonts w:hint="default"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7.合同履行期限（工期）：5个月</w:t>
      </w:r>
    </w:p>
    <w:p w14:paraId="5435560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8.本项目是否接受联合体：</w:t>
      </w:r>
      <w:r>
        <w:rPr>
          <w:rFonts w:hint="eastAsia" w:ascii="宋体" w:hAnsi="宋体" w:eastAsia="宋体" w:cs="宋体"/>
          <w:color w:val="auto"/>
          <w:szCs w:val="21"/>
          <w:lang w:eastAsia="zh-CN" w:bidi="ar"/>
        </w:rPr>
        <w:t>□</w:t>
      </w:r>
      <w:r>
        <w:rPr>
          <w:rFonts w:hint="eastAsia" w:ascii="宋体" w:hAnsi="宋体" w:eastAsia="宋体" w:cs="宋体"/>
          <w:color w:val="auto"/>
          <w:szCs w:val="21"/>
          <w:lang w:bidi="ar"/>
        </w:rPr>
        <w:t>是，</w:t>
      </w:r>
      <w:r>
        <w:rPr>
          <w:rFonts w:hint="eastAsia" w:ascii="宋体" w:hAnsi="宋体" w:eastAsia="宋体" w:cs="宋体"/>
          <w:color w:val="auto"/>
          <w:szCs w:val="21"/>
          <w:lang w:bidi="ar"/>
        </w:rPr>
        <w:sym w:font="Wingdings 2" w:char="0052"/>
      </w:r>
      <w:r>
        <w:rPr>
          <w:rFonts w:hint="eastAsia" w:ascii="宋体" w:hAnsi="宋体" w:eastAsia="宋体" w:cs="宋体"/>
          <w:color w:val="auto"/>
          <w:szCs w:val="21"/>
          <w:lang w:bidi="ar"/>
        </w:rPr>
        <w:t>否</w:t>
      </w:r>
    </w:p>
    <w:p w14:paraId="5D04E776">
      <w:pPr>
        <w:spacing w:line="360" w:lineRule="auto"/>
        <w:ind w:firstLine="482" w:firstLineChars="200"/>
        <w:rPr>
          <w:rFonts w:hint="eastAsia" w:ascii="黑体" w:hAnsi="宋体" w:eastAsia="黑体" w:cs="宋体"/>
          <w:bCs/>
          <w:color w:val="auto"/>
          <w:sz w:val="24"/>
        </w:rPr>
      </w:pPr>
      <w:bookmarkStart w:id="12" w:name="_Toc35393799"/>
      <w:bookmarkStart w:id="13" w:name="_Toc28359090"/>
      <w:bookmarkStart w:id="14" w:name="_Toc28359013"/>
      <w:bookmarkStart w:id="15" w:name="_Toc44229879"/>
      <w:bookmarkStart w:id="16" w:name="_Toc35393630"/>
      <w:r>
        <w:rPr>
          <w:rFonts w:hint="eastAsia" w:ascii="黑体" w:hAnsi="宋体" w:eastAsia="黑体" w:cs="宋体"/>
          <w:b/>
          <w:color w:val="auto"/>
          <w:kern w:val="44"/>
          <w:sz w:val="24"/>
          <w:lang w:bidi="ar"/>
        </w:rPr>
        <w:t>二、供应商的资格条件</w:t>
      </w:r>
      <w:bookmarkEnd w:id="12"/>
      <w:bookmarkEnd w:id="13"/>
      <w:bookmarkEnd w:id="14"/>
      <w:bookmarkEnd w:id="15"/>
      <w:bookmarkEnd w:id="16"/>
    </w:p>
    <w:p w14:paraId="6AD113E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1.满足《中华人民共和国政府采购法》第二十二条规定；</w:t>
      </w:r>
    </w:p>
    <w:p w14:paraId="35D1A37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2.落实政府采购政策需满足的资格要求：</w:t>
      </w:r>
    </w:p>
    <w:p w14:paraId="20AC0C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专门面向中小企业采购的项目（供应商应为中小微企业、监狱企业、残疾人福利性单位)</w:t>
      </w:r>
    </w:p>
    <w:p w14:paraId="1FD13E0A">
      <w:pPr>
        <w:spacing w:line="360" w:lineRule="auto"/>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sym w:font="Wingdings 2" w:char="00A3"/>
      </w:r>
      <w:r>
        <w:rPr>
          <w:rFonts w:hint="eastAsia" w:ascii="宋体" w:hAnsi="宋体" w:eastAsia="宋体" w:cs="宋体"/>
          <w:color w:val="auto"/>
          <w:szCs w:val="21"/>
          <w:lang w:bidi="ar"/>
        </w:rPr>
        <w:t>非专门面向中小企业采购的项目</w:t>
      </w:r>
    </w:p>
    <w:p w14:paraId="6BE855F0">
      <w:pPr>
        <w:spacing w:line="360" w:lineRule="auto"/>
        <w:ind w:firstLine="420" w:firstLineChars="200"/>
        <w:rPr>
          <w:rFonts w:hint="eastAsia" w:ascii="宋体" w:hAnsi="宋体"/>
          <w:color w:val="auto"/>
          <w:szCs w:val="21"/>
        </w:rPr>
      </w:pPr>
      <w:bookmarkStart w:id="17" w:name="PO_3000001868_PM005"/>
      <w:r>
        <w:rPr>
          <w:rFonts w:hint="eastAsia" w:ascii="宋体" w:hAnsi="宋体"/>
          <w:color w:val="auto"/>
          <w:szCs w:val="21"/>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5F345D">
      <w:pPr>
        <w:spacing w:line="360" w:lineRule="auto"/>
        <w:ind w:firstLine="420" w:firstLineChars="200"/>
        <w:rPr>
          <w:rFonts w:hint="eastAsia" w:ascii="宋体" w:hAnsi="宋体"/>
          <w:color w:val="auto"/>
          <w:szCs w:val="21"/>
        </w:rPr>
      </w:pPr>
      <w:r>
        <w:rPr>
          <w:rFonts w:hint="eastAsia" w:ascii="宋体" w:hAnsi="宋体"/>
          <w:color w:val="auto"/>
          <w:szCs w:val="21"/>
        </w:rPr>
        <w:t>4、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bookmarkEnd w:id="17"/>
    </w:p>
    <w:p w14:paraId="31BB0955">
      <w:pPr>
        <w:spacing w:line="360" w:lineRule="auto"/>
        <w:ind w:firstLine="420" w:firstLineChars="200"/>
        <w:rPr>
          <w:rFonts w:hint="eastAsia" w:ascii="宋体" w:hAnsi="宋体"/>
          <w:color w:val="auto"/>
          <w:szCs w:val="21"/>
        </w:rPr>
      </w:pPr>
      <w:r>
        <w:rPr>
          <w:rFonts w:hint="eastAsia" w:ascii="宋体" w:hAnsi="宋体"/>
          <w:color w:val="auto"/>
          <w:szCs w:val="21"/>
        </w:rPr>
        <w:t>5.本项目的特定资格要求：（1）具有水利水电工程施工总承包叁级以上（含叁级）资质，在 人员、设备、资金等方面具有相应的施工能力，并具有省级(或以上级)建设行政主管部门颁发的建 筑施工安全生产许可证； （2）拟派项目经理具备水利水电工程专业贰级以上(含贰级)注册建造师资格，具备有效的安全生产考核合格证书（B 类）。</w:t>
      </w:r>
      <w:r>
        <w:rPr>
          <w:rFonts w:hint="default" w:ascii="宋体" w:hAnsi="宋体" w:eastAsia="宋体" w:cs="宋体"/>
          <w:b/>
          <w:bCs/>
          <w:color w:val="auto"/>
          <w:sz w:val="24"/>
          <w:szCs w:val="24"/>
          <w:highlight w:val="none"/>
        </w:rPr>
        <w:t>本项目不接受有在建、已中标未开工或已列为其他项目中标候选人第一名的建造师作为项目经理。</w:t>
      </w:r>
    </w:p>
    <w:p w14:paraId="56355EDD">
      <w:pPr>
        <w:spacing w:line="360" w:lineRule="auto"/>
        <w:ind w:firstLine="482" w:firstLineChars="200"/>
        <w:rPr>
          <w:rFonts w:hint="eastAsia" w:ascii="黑体" w:hAnsi="宋体" w:eastAsia="黑体" w:cs="黑体"/>
          <w:b/>
          <w:bCs/>
          <w:color w:val="auto"/>
          <w:sz w:val="24"/>
        </w:rPr>
      </w:pPr>
      <w:r>
        <w:rPr>
          <w:rFonts w:hint="eastAsia" w:ascii="黑体" w:hAnsi="宋体" w:eastAsia="黑体" w:cs="黑体"/>
          <w:b/>
          <w:bCs/>
          <w:color w:val="auto"/>
          <w:sz w:val="24"/>
          <w:lang w:bidi="ar"/>
        </w:rPr>
        <w:t>三、获取竞争性磋商文件</w:t>
      </w:r>
      <w:bookmarkEnd w:id="7"/>
      <w:bookmarkEnd w:id="8"/>
      <w:bookmarkEnd w:id="9"/>
      <w:bookmarkEnd w:id="10"/>
    </w:p>
    <w:p w14:paraId="3C5495E2">
      <w:pPr>
        <w:spacing w:line="360" w:lineRule="auto"/>
        <w:ind w:firstLine="420" w:firstLineChars="200"/>
        <w:rPr>
          <w:rFonts w:hint="eastAsia" w:ascii="宋体" w:hAnsi="宋体" w:eastAsia="宋体" w:cs="宋体"/>
          <w:color w:val="auto"/>
          <w:szCs w:val="21"/>
        </w:rPr>
      </w:pPr>
      <w:bookmarkStart w:id="18" w:name="_Toc28359005"/>
      <w:bookmarkStart w:id="19" w:name="_Toc28359082"/>
      <w:bookmarkStart w:id="20" w:name="_Toc35393624"/>
      <w:bookmarkStart w:id="21" w:name="_Toc35393793"/>
      <w:r>
        <w:rPr>
          <w:rFonts w:hint="eastAsia" w:ascii="宋体" w:hAnsi="宋体" w:eastAsia="宋体" w:cs="宋体"/>
          <w:color w:val="auto"/>
          <w:szCs w:val="21"/>
          <w:lang w:bidi="ar"/>
        </w:rPr>
        <w:t>时间：自公告发布之日起。</w:t>
      </w:r>
    </w:p>
    <w:p w14:paraId="5BB10EA9">
      <w:pPr>
        <w:spacing w:line="360" w:lineRule="auto"/>
        <w:ind w:firstLine="420" w:firstLineChars="200"/>
        <w:rPr>
          <w:rFonts w:hint="eastAsia" w:ascii="黑体" w:hAnsi="宋体" w:eastAsia="黑体" w:cs="黑体"/>
          <w:b/>
          <w:bCs/>
          <w:color w:val="auto"/>
          <w:sz w:val="24"/>
        </w:rPr>
      </w:pPr>
      <w:r>
        <w:rPr>
          <w:rFonts w:hint="eastAsia" w:ascii="宋体" w:hAnsi="宋体" w:eastAsia="宋体" w:cs="宋体"/>
          <w:color w:val="auto"/>
          <w:szCs w:val="21"/>
          <w:lang w:bidi="ar"/>
        </w:rPr>
        <w:t>获取方式:网上下载。本项目不发放纸质采购文件，供应商可自行在</w:t>
      </w:r>
      <w:r>
        <w:rPr>
          <w:rFonts w:hint="eastAsia" w:ascii="宋体" w:hAnsi="宋体" w:eastAsia="宋体" w:cs="宋体"/>
          <w:color w:val="auto"/>
          <w:szCs w:val="21"/>
          <w:lang w:bidi="ar"/>
        </w:rPr>
        <w:fldChar w:fldCharType="begin"/>
      </w:r>
      <w:r>
        <w:rPr>
          <w:rFonts w:hint="eastAsia" w:ascii="宋体" w:hAnsi="宋体" w:eastAsia="宋体" w:cs="宋体"/>
          <w:color w:val="auto"/>
          <w:szCs w:val="21"/>
          <w:lang w:bidi="ar"/>
        </w:rPr>
        <w:instrText xml:space="preserve"> HYPERLINK "" </w:instrText>
      </w:r>
      <w:r>
        <w:rPr>
          <w:rFonts w:hint="eastAsia" w:ascii="宋体" w:hAnsi="宋体" w:eastAsia="宋体" w:cs="宋体"/>
          <w:color w:val="auto"/>
          <w:szCs w:val="21"/>
          <w:lang w:bidi="ar"/>
        </w:rPr>
        <w:fldChar w:fldCharType="separate"/>
      </w:r>
      <w:r>
        <w:rPr>
          <w:rFonts w:hint="eastAsia" w:ascii="宋体" w:hAnsi="宋体" w:eastAsia="宋体" w:cs="宋体"/>
          <w:color w:val="auto"/>
          <w:szCs w:val="21"/>
          <w:lang w:bidi="ar"/>
        </w:rPr>
        <w:fldChar w:fldCharType="end"/>
      </w:r>
      <w:r>
        <w:rPr>
          <w:rFonts w:hint="eastAsia" w:ascii="宋体" w:hAnsi="宋体" w:eastAsia="宋体" w:cs="宋体"/>
          <w:color w:val="auto"/>
          <w:szCs w:val="21"/>
          <w:lang w:bidi="ar"/>
        </w:rPr>
        <w:t>“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42DD69D0">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售价：0元。</w:t>
      </w:r>
    </w:p>
    <w:p w14:paraId="1D2EC08F">
      <w:pPr>
        <w:spacing w:line="360" w:lineRule="auto"/>
        <w:ind w:firstLine="482" w:firstLineChars="200"/>
        <w:rPr>
          <w:rFonts w:hint="eastAsia" w:ascii="黑体" w:hAnsi="宋体" w:eastAsia="黑体" w:cs="黑体"/>
          <w:b/>
          <w:bCs/>
          <w:color w:val="auto"/>
          <w:sz w:val="24"/>
        </w:rPr>
      </w:pPr>
      <w:r>
        <w:rPr>
          <w:rFonts w:hint="eastAsia" w:ascii="黑体" w:hAnsi="宋体" w:eastAsia="黑体" w:cs="黑体"/>
          <w:b/>
          <w:bCs/>
          <w:color w:val="auto"/>
          <w:sz w:val="24"/>
          <w:lang w:bidi="ar"/>
        </w:rPr>
        <w:t>四、</w:t>
      </w:r>
      <w:bookmarkEnd w:id="18"/>
      <w:bookmarkEnd w:id="19"/>
      <w:bookmarkEnd w:id="20"/>
      <w:bookmarkEnd w:id="21"/>
      <w:r>
        <w:rPr>
          <w:rFonts w:hint="eastAsia" w:ascii="黑体" w:hAnsi="宋体" w:eastAsia="黑体" w:cs="黑体"/>
          <w:b/>
          <w:bCs/>
          <w:color w:val="auto"/>
          <w:sz w:val="24"/>
          <w:lang w:bidi="ar"/>
        </w:rPr>
        <w:t>响应文件提交</w:t>
      </w:r>
    </w:p>
    <w:p w14:paraId="47117D69">
      <w:pPr>
        <w:spacing w:line="360" w:lineRule="auto"/>
        <w:ind w:firstLine="420" w:firstLineChars="200"/>
        <w:rPr>
          <w:rFonts w:hint="eastAsia" w:ascii="宋体" w:hAnsi="宋体" w:cs="宋体"/>
          <w:color w:val="auto"/>
          <w:szCs w:val="21"/>
          <w:u w:val="single"/>
        </w:rPr>
      </w:pPr>
      <w:r>
        <w:rPr>
          <w:rFonts w:hint="eastAsia" w:ascii="宋体" w:hAnsi="宋体" w:eastAsia="宋体" w:cs="宋体"/>
          <w:color w:val="auto"/>
          <w:szCs w:val="21"/>
          <w:lang w:bidi="ar"/>
        </w:rPr>
        <w:t>1、首次响应文件提交截止时间</w:t>
      </w:r>
      <w:r>
        <w:rPr>
          <w:rFonts w:hint="eastAsia" w:ascii="宋体" w:hAnsi="宋体" w:eastAsia="宋体" w:cs="宋体"/>
          <w:bCs/>
          <w:color w:val="auto"/>
          <w:szCs w:val="21"/>
          <w:lang w:bidi="ar"/>
        </w:rPr>
        <w:t>（北京时间）：</w:t>
      </w:r>
      <w:bookmarkStart w:id="22" w:name="PO_3000001868_PM015"/>
      <w:r>
        <w:rPr>
          <w:rFonts w:hint="eastAsia" w:ascii="宋体" w:hAnsi="宋体"/>
          <w:bCs/>
          <w:color w:val="auto"/>
          <w:szCs w:val="21"/>
          <w:u w:val="single"/>
        </w:rPr>
        <w:t>202</w:t>
      </w:r>
      <w:r>
        <w:rPr>
          <w:rFonts w:hint="eastAsia" w:ascii="宋体" w:hAnsi="宋体"/>
          <w:bCs/>
          <w:color w:val="auto"/>
          <w:szCs w:val="21"/>
          <w:u w:val="single"/>
          <w:lang w:val="en-US" w:eastAsia="zh-CN"/>
        </w:rPr>
        <w:t>5</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10</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31</w:t>
      </w:r>
      <w:r>
        <w:rPr>
          <w:rFonts w:hint="eastAsia" w:ascii="宋体" w:hAnsi="宋体"/>
          <w:bCs/>
          <w:color w:val="auto"/>
          <w:szCs w:val="21"/>
          <w:u w:val="single"/>
        </w:rPr>
        <w:t xml:space="preserve">   09:30</w:t>
      </w:r>
      <w:r>
        <w:rPr>
          <w:rFonts w:hint="eastAsia" w:ascii="宋体" w:hAnsi="宋体"/>
          <w:bCs/>
          <w:color w:val="auto"/>
          <w:szCs w:val="21"/>
          <w:u w:val="single"/>
        </w:rPr>
        <w:t>:00</w:t>
      </w:r>
      <w:bookmarkEnd w:id="22"/>
      <w:r>
        <w:rPr>
          <w:rFonts w:hint="eastAsia" w:ascii="宋体" w:hAnsi="宋体" w:cs="宋体"/>
          <w:color w:val="auto"/>
          <w:szCs w:val="21"/>
          <w:u w:val="single"/>
        </w:rPr>
        <w:t>（从磋商文件开始发出之日起至供应商提交首次响应文件截止之日止不得少于10日）</w:t>
      </w:r>
    </w:p>
    <w:p w14:paraId="00635D3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2、首次响应文件提交地点：</w:t>
      </w:r>
    </w:p>
    <w:p w14:paraId="0C216842">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1）响应文件提交方式：本项目为南宁市全流程电子化项目，通过“广西政府采购云”平台（https://www.gcy.zfcg.gxzf.gov.cn/）实行在线电子响应，供应商应先安装“广西政府采购云电子交易客户端”（请自行前往“广西政府采购云”平台进行下载），并按照本项目采购文件和“广西政府采购云”平台的要求编制、加密后在投标截止时间前通过网络上传至南宁市“广西政府采购云”平台，</w:t>
      </w:r>
      <w:r>
        <w:rPr>
          <w:rFonts w:hint="eastAsia" w:ascii="宋体" w:hAnsi="宋体" w:eastAsia="宋体" w:cs="宋体"/>
          <w:b/>
          <w:color w:val="auto"/>
          <w:szCs w:val="21"/>
          <w:lang w:bidi="ar"/>
        </w:rPr>
        <w:t>供应商在“广西政府采购云”平台提交电子版响应文件时，请填写参加远程采购活动经办人联系方式，</w:t>
      </w:r>
      <w:r>
        <w:rPr>
          <w:rFonts w:hint="eastAsia" w:ascii="宋体" w:hAnsi="宋体" w:eastAsia="宋体" w:cs="宋体"/>
          <w:color w:val="auto"/>
          <w:szCs w:val="21"/>
          <w:lang w:bidi="ar"/>
        </w:rPr>
        <w:t>电子响应文件具体操作流程详见本公告附件3。</w:t>
      </w:r>
    </w:p>
    <w:p w14:paraId="23EAA889">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38A27AB6">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（3）为确保网上操作合法、有效和安全，请供应商确保在电子响应过程中能够对相关数据电文进行加密和使用电子签章，妥善保管CA数字证书并使用有效的CA数字证书参与整个采购活动。</w:t>
      </w:r>
    </w:p>
    <w:p w14:paraId="742CB30E">
      <w:pPr>
        <w:spacing w:line="360" w:lineRule="auto"/>
        <w:ind w:firstLine="420" w:firstLineChars="200"/>
        <w:rPr>
          <w:rFonts w:hint="eastAsia" w:ascii="宋体" w:hAnsi="宋体" w:eastAsia="宋体" w:cs="宋体"/>
          <w:bCs/>
          <w:color w:val="auto"/>
          <w:szCs w:val="21"/>
          <w:u w:val="single"/>
        </w:rPr>
      </w:pPr>
      <w:r>
        <w:rPr>
          <w:rFonts w:hint="eastAsia" w:ascii="宋体" w:hAnsi="宋体" w:eastAsia="宋体" w:cs="宋体"/>
          <w:bCs/>
          <w:color w:val="auto"/>
          <w:szCs w:val="21"/>
          <w:u w:val="single"/>
          <w:lang w:bidi="ar"/>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39678398">
      <w:pPr>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3、CA证书在线解密：首次响应文件开启时，</w:t>
      </w:r>
      <w:r>
        <w:rPr>
          <w:rFonts w:hint="eastAsia" w:ascii="宋体" w:hAnsi="宋体" w:eastAsia="宋体" w:cs="宋体"/>
          <w:b/>
          <w:color w:val="auto"/>
          <w:kern w:val="0"/>
          <w:szCs w:val="21"/>
          <w:lang w:bidi="ar"/>
        </w:rPr>
        <w:t>须要供应商携带制作响应文件时用来加密的有效数字证书（CA认证）</w:t>
      </w:r>
      <w:r>
        <w:rPr>
          <w:rFonts w:hint="eastAsia" w:ascii="宋体" w:hAnsi="宋体" w:eastAsia="宋体" w:cs="宋体"/>
          <w:color w:val="auto"/>
          <w:kern w:val="0"/>
          <w:szCs w:val="21"/>
          <w:lang w:bidi="ar"/>
        </w:rPr>
        <w:t>登录“广西政府采购云”平台电子开标大厅现场按规定时间对加密的响应文件进行解密，未能按要求进行解密的，由此产生的后果由投标人自行承担。</w:t>
      </w:r>
    </w:p>
    <w:p w14:paraId="55206B5A">
      <w:pPr>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4、供应商需要在具备有摄像头及语音功能且互联网网络状况良好的电脑登录“广西政府采购云”平台远程开标大厅参与本次磋商，否则后果自负。</w:t>
      </w:r>
    </w:p>
    <w:p w14:paraId="0E55734B">
      <w:pPr>
        <w:spacing w:line="360" w:lineRule="auto"/>
        <w:ind w:firstLine="482" w:firstLineChars="200"/>
        <w:rPr>
          <w:rFonts w:hint="eastAsia" w:ascii="黑体" w:hAnsi="宋体" w:eastAsia="黑体" w:cs="黑体"/>
          <w:b/>
          <w:bCs/>
          <w:color w:val="auto"/>
          <w:sz w:val="24"/>
        </w:rPr>
      </w:pPr>
      <w:r>
        <w:rPr>
          <w:rFonts w:hint="eastAsia" w:ascii="黑体" w:hAnsi="宋体" w:eastAsia="黑体" w:cs="黑体"/>
          <w:b/>
          <w:bCs/>
          <w:color w:val="auto"/>
          <w:sz w:val="24"/>
          <w:lang w:bidi="ar"/>
        </w:rPr>
        <w:t>五、开启（首次响应文件开启时间）</w:t>
      </w:r>
    </w:p>
    <w:p w14:paraId="4836E994">
      <w:pPr>
        <w:spacing w:line="360" w:lineRule="auto"/>
        <w:ind w:firstLine="420" w:firstLineChars="200"/>
        <w:rPr>
          <w:rFonts w:hint="eastAsia" w:ascii="宋体" w:hAnsi="宋体"/>
          <w:bCs/>
          <w:color w:val="auto"/>
          <w:szCs w:val="21"/>
          <w:u w:val="single"/>
        </w:rPr>
      </w:pPr>
      <w:r>
        <w:rPr>
          <w:rFonts w:hint="eastAsia" w:ascii="宋体" w:hAnsi="宋体" w:eastAsia="宋体" w:cs="宋体"/>
          <w:color w:val="auto"/>
          <w:szCs w:val="21"/>
          <w:lang w:bidi="ar"/>
        </w:rPr>
        <w:t>1.时间</w:t>
      </w:r>
      <w:r>
        <w:rPr>
          <w:rFonts w:hint="eastAsia" w:ascii="宋体" w:hAnsi="宋体" w:eastAsia="宋体" w:cs="宋体"/>
          <w:bCs/>
          <w:color w:val="auto"/>
          <w:szCs w:val="21"/>
          <w:lang w:bidi="ar"/>
        </w:rPr>
        <w:t>（北京时间）</w:t>
      </w:r>
      <w:r>
        <w:rPr>
          <w:rFonts w:hint="eastAsia" w:ascii="宋体" w:hAnsi="宋体" w:eastAsia="宋体" w:cs="宋体"/>
          <w:color w:val="auto"/>
          <w:szCs w:val="21"/>
          <w:lang w:bidi="ar"/>
        </w:rPr>
        <w:t>：</w:t>
      </w:r>
      <w:r>
        <w:rPr>
          <w:rFonts w:hint="eastAsia" w:ascii="宋体" w:hAnsi="宋体"/>
          <w:bCs/>
          <w:color w:val="auto"/>
          <w:szCs w:val="21"/>
          <w:u w:val="single"/>
        </w:rPr>
        <w:t>202</w:t>
      </w:r>
      <w:r>
        <w:rPr>
          <w:rFonts w:hint="eastAsia" w:ascii="宋体" w:hAnsi="宋体"/>
          <w:bCs/>
          <w:color w:val="auto"/>
          <w:szCs w:val="21"/>
          <w:u w:val="single"/>
          <w:lang w:val="en-US" w:eastAsia="zh-CN"/>
        </w:rPr>
        <w:t>5</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10</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31</w:t>
      </w:r>
      <w:r>
        <w:rPr>
          <w:rFonts w:hint="eastAsia" w:ascii="宋体" w:hAnsi="宋体"/>
          <w:bCs/>
          <w:color w:val="auto"/>
          <w:szCs w:val="21"/>
          <w:u w:val="single"/>
        </w:rPr>
        <w:t xml:space="preserve">   09:30:0</w:t>
      </w:r>
      <w:r>
        <w:rPr>
          <w:rFonts w:hint="eastAsia" w:ascii="宋体" w:hAnsi="宋体"/>
          <w:bCs/>
          <w:color w:val="auto"/>
          <w:szCs w:val="21"/>
          <w:u w:val="single"/>
        </w:rPr>
        <w:t>0</w:t>
      </w:r>
      <w:r>
        <w:rPr>
          <w:rFonts w:hint="eastAsia" w:ascii="宋体" w:hAnsi="宋体"/>
          <w:color w:val="auto"/>
          <w:szCs w:val="21"/>
        </w:rPr>
        <w:t>后</w:t>
      </w:r>
    </w:p>
    <w:p w14:paraId="56EDA8BF">
      <w:pPr>
        <w:spacing w:line="360" w:lineRule="auto"/>
        <w:ind w:firstLine="420" w:firstLineChars="200"/>
        <w:rPr>
          <w:rFonts w:hint="eastAsia" w:ascii="宋体" w:hAnsi="宋体" w:eastAsia="宋体" w:cs="宋体"/>
          <w:bCs/>
          <w:color w:val="auto"/>
          <w:szCs w:val="21"/>
          <w:u w:val="single"/>
        </w:rPr>
      </w:pPr>
      <w:r>
        <w:rPr>
          <w:rFonts w:hint="eastAsia" w:ascii="宋体" w:hAnsi="宋体" w:eastAsia="宋体" w:cs="宋体"/>
          <w:color w:val="auto"/>
          <w:szCs w:val="21"/>
          <w:lang w:bidi="ar"/>
        </w:rPr>
        <w:t>2.地点：</w:t>
      </w:r>
      <w:r>
        <w:rPr>
          <w:rFonts w:hint="eastAsia" w:ascii="宋体" w:hAnsi="宋体" w:eastAsia="宋体" w:cs="宋体"/>
          <w:color w:val="auto"/>
          <w:szCs w:val="21"/>
          <w:u w:val="single"/>
          <w:lang w:eastAsia="zh-CN" w:bidi="ar"/>
        </w:rPr>
        <w:t>广西</w:t>
      </w:r>
      <w:r>
        <w:rPr>
          <w:rFonts w:hint="eastAsia" w:ascii="宋体" w:hAnsi="宋体" w:eastAsia="宋体" w:cs="宋体"/>
          <w:color w:val="auto"/>
          <w:szCs w:val="21"/>
          <w:u w:val="single"/>
          <w:lang w:bidi="ar"/>
        </w:rPr>
        <w:t xml:space="preserve">政府采购云平台远程开标大厅 </w:t>
      </w:r>
    </w:p>
    <w:p w14:paraId="3731E5F8">
      <w:pPr>
        <w:spacing w:line="360" w:lineRule="auto"/>
        <w:ind w:firstLine="482" w:firstLineChars="200"/>
        <w:rPr>
          <w:rFonts w:hint="eastAsia" w:ascii="黑体" w:hAnsi="宋体" w:eastAsia="黑体" w:cs="黑体"/>
          <w:b/>
          <w:bCs/>
          <w:color w:val="auto"/>
          <w:sz w:val="24"/>
        </w:rPr>
      </w:pPr>
      <w:bookmarkStart w:id="23" w:name="_Toc35393625"/>
      <w:bookmarkStart w:id="24" w:name="_Toc28359007"/>
      <w:bookmarkStart w:id="25" w:name="_Toc35393794"/>
      <w:bookmarkStart w:id="26" w:name="_Toc28359084"/>
      <w:r>
        <w:rPr>
          <w:rFonts w:hint="eastAsia" w:ascii="黑体" w:hAnsi="宋体" w:eastAsia="黑体" w:cs="黑体"/>
          <w:b/>
          <w:bCs/>
          <w:color w:val="auto"/>
          <w:sz w:val="24"/>
          <w:lang w:bidi="ar"/>
        </w:rPr>
        <w:t>六、公告期限</w:t>
      </w:r>
      <w:bookmarkEnd w:id="23"/>
      <w:bookmarkEnd w:id="24"/>
      <w:bookmarkEnd w:id="25"/>
      <w:bookmarkEnd w:id="26"/>
    </w:p>
    <w:p w14:paraId="40FC81D1">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自本公告发布之日起5个工作日。</w:t>
      </w:r>
    </w:p>
    <w:p w14:paraId="7ED83BC9">
      <w:pPr>
        <w:spacing w:line="360" w:lineRule="auto"/>
        <w:ind w:firstLine="482" w:firstLineChars="200"/>
        <w:rPr>
          <w:rFonts w:hint="eastAsia" w:ascii="黑体" w:hAnsi="宋体" w:eastAsia="黑体" w:cs="黑体"/>
          <w:b/>
          <w:bCs/>
          <w:color w:val="auto"/>
          <w:sz w:val="24"/>
        </w:rPr>
      </w:pPr>
      <w:bookmarkStart w:id="27" w:name="_Toc35393795"/>
      <w:bookmarkStart w:id="28" w:name="_Toc35393626"/>
      <w:r>
        <w:rPr>
          <w:rFonts w:hint="eastAsia" w:ascii="黑体" w:hAnsi="宋体" w:eastAsia="黑体" w:cs="黑体"/>
          <w:b/>
          <w:bCs/>
          <w:color w:val="auto"/>
          <w:sz w:val="24"/>
          <w:lang w:bidi="ar"/>
        </w:rPr>
        <w:t>七、其他补充事宜</w:t>
      </w:r>
      <w:bookmarkEnd w:id="27"/>
      <w:bookmarkEnd w:id="28"/>
    </w:p>
    <w:p w14:paraId="01838905">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1.磋商保证金：本项目不收取磋商保证金</w:t>
      </w:r>
    </w:p>
    <w:p w14:paraId="43CF5220">
      <w:pPr>
        <w:spacing w:line="360" w:lineRule="auto"/>
        <w:ind w:firstLine="420" w:firstLineChars="200"/>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2.采购意向公开链接：</w:t>
      </w:r>
      <w:bookmarkStart w:id="29" w:name="_Hlk37429585"/>
    </w:p>
    <w:p w14:paraId="4724C68C">
      <w:pPr>
        <w:spacing w:line="360" w:lineRule="auto"/>
        <w:ind w:firstLine="420" w:firstLineChars="200"/>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http://www.ccgp-guangxi.gov.cn/site/detail?categoryCode=ZcyAnnouncement&amp;parentId=66485&amp;articleId=PFZ5i3ayxWI/xAGVq5D36g==</w:t>
      </w:r>
    </w:p>
    <w:p w14:paraId="0CB8CF53">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3.</w:t>
      </w:r>
      <w:bookmarkStart w:id="30" w:name="_Hlk37429595"/>
      <w:r>
        <w:rPr>
          <w:rFonts w:hint="eastAsia" w:ascii="宋体" w:hAnsi="宋体" w:eastAsia="宋体" w:cs="宋体"/>
          <w:color w:val="auto"/>
          <w:kern w:val="0"/>
          <w:szCs w:val="21"/>
          <w:lang w:bidi="ar"/>
        </w:rPr>
        <w:t>网上查询地址</w:t>
      </w:r>
    </w:p>
    <w:bookmarkEnd w:id="29"/>
    <w:bookmarkEnd w:id="30"/>
    <w:p w14:paraId="5FC24839">
      <w:pPr>
        <w:spacing w:line="360" w:lineRule="auto"/>
        <w:ind w:firstLine="420" w:firstLineChars="200"/>
        <w:rPr>
          <w:rFonts w:hint="eastAsia" w:ascii="宋体" w:hAnsi="宋体" w:cs="宋体"/>
          <w:color w:val="auto"/>
          <w:kern w:val="0"/>
          <w:szCs w:val="21"/>
        </w:rPr>
      </w:pPr>
      <w:bookmarkStart w:id="31" w:name="_Hlk37429674"/>
      <w:r>
        <w:rPr>
          <w:rFonts w:hint="eastAsia" w:ascii="宋体" w:hAnsi="宋体" w:cs="宋体"/>
          <w:color w:val="auto"/>
          <w:kern w:val="0"/>
          <w:szCs w:val="21"/>
        </w:rPr>
        <w:t>http://zfcg.gxzf.gov.cn (广西政府采购网)、http://ggzy.jgswj.gxzf.gov.cn/nnggzy/（全国公共资源交易平台（广西•南宁））、http://www.ccgp.gov.cn/（中国政府采购网）。</w:t>
      </w:r>
    </w:p>
    <w:p w14:paraId="7CB1FD78">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4</w:t>
      </w:r>
      <w:r>
        <w:rPr>
          <w:rFonts w:hint="eastAsia" w:ascii="宋体" w:hAnsi="宋体" w:eastAsia="宋体" w:cs="宋体"/>
          <w:color w:val="auto"/>
          <w:szCs w:val="21"/>
          <w:lang w:bidi="ar"/>
        </w:rPr>
        <w:t xml:space="preserve">. </w:t>
      </w:r>
      <w:r>
        <w:rPr>
          <w:rFonts w:hint="eastAsia" w:ascii="宋体" w:hAnsi="宋体" w:eastAsia="宋体" w:cs="宋体"/>
          <w:color w:val="auto"/>
          <w:kern w:val="0"/>
          <w:szCs w:val="21"/>
          <w:lang w:bidi="ar"/>
        </w:rPr>
        <w:t>本项目需要落实的政府采购政策</w:t>
      </w:r>
    </w:p>
    <w:bookmarkEnd w:id="31"/>
    <w:p w14:paraId="744DFB13">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（1）政府采购促进中小企业发展。</w:t>
      </w:r>
    </w:p>
    <w:p w14:paraId="705ADDAF">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（2）政府采购促进残疾人就业政策。</w:t>
      </w:r>
    </w:p>
    <w:p w14:paraId="1DA56B62">
      <w:pPr>
        <w:spacing w:line="360" w:lineRule="auto"/>
        <w:ind w:firstLine="420" w:firstLineChars="200"/>
        <w:rPr>
          <w:color w:val="auto"/>
        </w:rPr>
      </w:pPr>
      <w:r>
        <w:rPr>
          <w:rFonts w:hint="eastAsia" w:ascii="宋体" w:hAnsi="宋体" w:cs="宋体"/>
          <w:color w:val="auto"/>
          <w:kern w:val="0"/>
          <w:szCs w:val="21"/>
        </w:rPr>
        <w:t>（3）政府采购支持监狱企业发展。</w:t>
      </w:r>
    </w:p>
    <w:p w14:paraId="68020102">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E414423">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 xml:space="preserve">6.若对项目采购电子交易系统操作有疑问，可登录“广西政府采购云”平台（https://www.zcygov.cn/），点击右侧咨询小采，获取采小蜜智能服务管家帮助，或拨打广西政府采购云服务热线400-881-7190获取热线服务帮助。 </w:t>
      </w:r>
    </w:p>
    <w:p w14:paraId="7559BA37">
      <w:pPr>
        <w:spacing w:line="360" w:lineRule="auto"/>
        <w:ind w:firstLine="482" w:firstLineChars="200"/>
        <w:rPr>
          <w:rFonts w:hint="eastAsia" w:ascii="黑体" w:hAnsi="宋体" w:eastAsia="黑体" w:cs="宋体"/>
          <w:bCs/>
          <w:color w:val="auto"/>
          <w:sz w:val="24"/>
        </w:rPr>
      </w:pPr>
      <w:r>
        <w:rPr>
          <w:rFonts w:hint="eastAsia" w:ascii="黑体" w:hAnsi="宋体" w:eastAsia="黑体" w:cs="宋体"/>
          <w:b/>
          <w:color w:val="auto"/>
          <w:kern w:val="44"/>
          <w:sz w:val="24"/>
          <w:lang w:bidi="ar"/>
        </w:rPr>
        <w:t>八、凡对本次采购提出询问，请按以下方式联系</w:t>
      </w:r>
    </w:p>
    <w:p w14:paraId="4F1071FD">
      <w:pPr>
        <w:spacing w:line="360" w:lineRule="auto"/>
        <w:ind w:firstLine="735" w:firstLineChars="350"/>
        <w:jc w:val="left"/>
        <w:rPr>
          <w:rFonts w:hint="eastAsia" w:ascii="宋体" w:hAnsi="宋体" w:eastAsia="宋体" w:cs="宋体"/>
          <w:color w:val="auto"/>
          <w:szCs w:val="21"/>
        </w:rPr>
      </w:pPr>
      <w:r>
        <w:rPr>
          <w:rFonts w:hint="eastAsia" w:ascii="宋体" w:hAnsi="宋体" w:eastAsia="宋体" w:cs="宋体"/>
          <w:color w:val="auto"/>
          <w:szCs w:val="21"/>
          <w:lang w:bidi="ar"/>
        </w:rPr>
        <w:t>1.采购人信息</w:t>
      </w:r>
    </w:p>
    <w:p w14:paraId="33CEC662">
      <w:pPr>
        <w:spacing w:line="360" w:lineRule="auto"/>
        <w:ind w:left="1041" w:leftChars="371" w:hanging="262" w:hangingChars="125"/>
        <w:jc w:val="left"/>
        <w:rPr>
          <w:rFonts w:hint="eastAsia" w:ascii="宋体" w:hAnsi="宋体" w:eastAsia="宋体" w:cs="宋体"/>
          <w:color w:val="auto"/>
          <w:szCs w:val="21"/>
          <w:u w:val="single"/>
        </w:rPr>
      </w:pPr>
      <w:r>
        <w:rPr>
          <w:rFonts w:hint="eastAsia" w:ascii="宋体" w:hAnsi="宋体" w:eastAsia="宋体" w:cs="宋体"/>
          <w:color w:val="auto"/>
          <w:szCs w:val="21"/>
        </w:rPr>
        <w:t>名 称：</w:t>
      </w:r>
      <w:r>
        <w:rPr>
          <w:rFonts w:hint="eastAsia" w:ascii="宋体" w:hAnsi="宋体" w:eastAsia="宋体" w:cs="宋体"/>
          <w:color w:val="auto"/>
          <w:szCs w:val="21"/>
          <w:u w:val="none"/>
        </w:rPr>
        <w:t>南宁市武鸣区水利工程服务站</w:t>
      </w:r>
    </w:p>
    <w:p w14:paraId="605CE729">
      <w:pPr>
        <w:spacing w:line="360" w:lineRule="auto"/>
        <w:ind w:left="1041" w:leftChars="371" w:hanging="262" w:hangingChars="125"/>
        <w:jc w:val="left"/>
        <w:rPr>
          <w:rFonts w:hint="eastAsia" w:ascii="宋体" w:hAnsi="宋体" w:eastAsia="宋体" w:cs="宋体"/>
          <w:color w:val="auto"/>
          <w:szCs w:val="21"/>
        </w:rPr>
      </w:pPr>
      <w:r>
        <w:rPr>
          <w:rFonts w:hint="eastAsia" w:ascii="宋体" w:hAnsi="宋体" w:eastAsia="宋体" w:cs="宋体"/>
          <w:color w:val="auto"/>
          <w:szCs w:val="21"/>
        </w:rPr>
        <w:t>地</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址：</w:t>
      </w:r>
      <w:r>
        <w:rPr>
          <w:rFonts w:hint="eastAsia" w:ascii="宋体" w:hAnsi="宋体" w:eastAsia="宋体" w:cs="宋体"/>
          <w:color w:val="auto"/>
          <w:szCs w:val="21"/>
          <w:u w:val="none"/>
        </w:rPr>
        <w:t xml:space="preserve">南宁市武鸣区城厢镇农坛路1号  </w:t>
      </w:r>
    </w:p>
    <w:p w14:paraId="1F3A390C">
      <w:pPr>
        <w:pStyle w:val="17"/>
        <w:spacing w:line="360" w:lineRule="auto"/>
        <w:ind w:firstLine="840" w:firstLineChars="400"/>
        <w:rPr>
          <w:rFonts w:hint="eastAsia" w:hAnsi="宋体" w:eastAsia="宋体" w:cs="宋体"/>
          <w:color w:val="auto"/>
          <w:sz w:val="21"/>
          <w:lang w:eastAsia="zh-CN"/>
        </w:rPr>
      </w:pPr>
      <w:r>
        <w:rPr>
          <w:rFonts w:hAnsi="宋体" w:cs="宋体"/>
          <w:color w:val="auto"/>
          <w:sz w:val="21"/>
        </w:rPr>
        <w:t>项目联系人：</w:t>
      </w:r>
      <w:r>
        <w:rPr>
          <w:rFonts w:hint="eastAsia" w:hAnsi="宋体" w:cs="宋体"/>
          <w:color w:val="auto"/>
          <w:sz w:val="21"/>
          <w:lang w:eastAsia="zh-CN"/>
        </w:rPr>
        <w:t>潘工</w:t>
      </w:r>
    </w:p>
    <w:p w14:paraId="09F0839D">
      <w:pPr>
        <w:spacing w:line="276" w:lineRule="auto"/>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联系电话：</w:t>
      </w:r>
      <w:r>
        <w:rPr>
          <w:rFonts w:hint="eastAsia" w:ascii="宋体" w:hAnsi="宋体" w:eastAsia="宋体" w:cs="Arial"/>
          <w:color w:val="auto"/>
          <w:szCs w:val="21"/>
          <w:highlight w:val="none"/>
          <w:lang w:eastAsia="zh-CN"/>
        </w:rPr>
        <w:t>0771-62</w:t>
      </w:r>
      <w:r>
        <w:rPr>
          <w:rFonts w:hint="eastAsia" w:ascii="宋体" w:hAnsi="宋体" w:eastAsia="宋体" w:cs="Arial"/>
          <w:color w:val="auto"/>
          <w:szCs w:val="21"/>
          <w:highlight w:val="none"/>
          <w:lang w:val="en-US" w:eastAsia="zh-CN"/>
        </w:rPr>
        <w:t>16630</w:t>
      </w:r>
      <w:r>
        <w:rPr>
          <w:rFonts w:hint="eastAsia" w:ascii="宋体" w:hAnsi="宋体" w:cs="Arial"/>
          <w:color w:val="auto"/>
          <w:szCs w:val="21"/>
          <w:highlight w:val="none"/>
        </w:rPr>
        <w:t xml:space="preserve">   </w:t>
      </w:r>
    </w:p>
    <w:p w14:paraId="04C2AE81">
      <w:pPr>
        <w:spacing w:line="360" w:lineRule="auto"/>
        <w:ind w:left="1041" w:leftChars="371" w:hanging="262" w:hangingChars="125"/>
        <w:jc w:val="left"/>
        <w:rPr>
          <w:rFonts w:hint="eastAsia" w:ascii="宋体" w:hAnsi="宋体" w:eastAsia="宋体" w:cs="宋体"/>
          <w:color w:val="auto"/>
          <w:szCs w:val="21"/>
        </w:rPr>
      </w:pPr>
      <w:r>
        <w:rPr>
          <w:rFonts w:hint="eastAsia" w:ascii="宋体" w:hAnsi="宋体" w:eastAsia="宋体" w:cs="宋体"/>
          <w:color w:val="auto"/>
          <w:szCs w:val="21"/>
          <w:lang w:bidi="ar"/>
        </w:rPr>
        <w:t>2.采购代理机构信息</w:t>
      </w:r>
    </w:p>
    <w:p w14:paraId="36AF519F">
      <w:pPr>
        <w:spacing w:line="360" w:lineRule="auto"/>
        <w:ind w:firstLine="735" w:firstLineChars="350"/>
        <w:rPr>
          <w:rFonts w:hint="eastAsia" w:ascii="宋体" w:hAnsi="宋体" w:eastAsia="宋体" w:cs="宋体"/>
          <w:color w:val="auto"/>
          <w:szCs w:val="21"/>
          <w:u w:val="single"/>
        </w:rPr>
      </w:pPr>
      <w:r>
        <w:rPr>
          <w:rFonts w:hint="eastAsia" w:ascii="宋体" w:hAnsi="宋体" w:eastAsia="宋体" w:cs="宋体"/>
          <w:color w:val="auto"/>
          <w:szCs w:val="21"/>
        </w:rPr>
        <w:t>名 称：</w:t>
      </w:r>
      <w:r>
        <w:rPr>
          <w:rFonts w:hint="eastAsia" w:ascii="宋体" w:hAnsi="宋体" w:eastAsia="宋体" w:cs="宋体"/>
          <w:color w:val="auto"/>
          <w:szCs w:val="21"/>
          <w:u w:val="none"/>
        </w:rPr>
        <w:t>广西翔正项目管理有限公司</w:t>
      </w:r>
    </w:p>
    <w:p w14:paraId="1822FEDB">
      <w:pPr>
        <w:spacing w:line="360" w:lineRule="auto"/>
        <w:ind w:firstLine="735" w:firstLineChars="350"/>
        <w:rPr>
          <w:rFonts w:hint="eastAsia" w:ascii="宋体" w:hAnsi="宋体" w:eastAsia="宋体" w:cs="宋体"/>
          <w:color w:val="auto"/>
          <w:szCs w:val="21"/>
        </w:rPr>
      </w:pPr>
      <w:r>
        <w:rPr>
          <w:rFonts w:hint="eastAsia" w:ascii="宋体" w:hAnsi="宋体" w:eastAsia="宋体" w:cs="宋体"/>
          <w:color w:val="auto"/>
          <w:szCs w:val="21"/>
        </w:rPr>
        <w:t>地　址：</w:t>
      </w:r>
      <w:r>
        <w:rPr>
          <w:rFonts w:hint="eastAsia" w:ascii="宋体" w:hAnsi="宋体" w:eastAsia="宋体" w:cs="宋体"/>
          <w:color w:val="auto"/>
          <w:szCs w:val="21"/>
          <w:u w:val="none"/>
        </w:rPr>
        <w:t>南宁市秀厢大道199号金源城（建兴路）金源CBD东城25楼　</w:t>
      </w:r>
    </w:p>
    <w:p w14:paraId="079E348A">
      <w:pPr>
        <w:spacing w:line="360" w:lineRule="auto"/>
        <w:ind w:firstLine="735" w:firstLineChars="350"/>
        <w:rPr>
          <w:rFonts w:hint="eastAsia" w:ascii="宋体" w:hAnsi="宋体" w:eastAsia="宋体" w:cs="宋体"/>
          <w:color w:val="auto"/>
          <w:szCs w:val="21"/>
          <w:u w:val="single"/>
        </w:rPr>
      </w:pPr>
      <w:r>
        <w:rPr>
          <w:rFonts w:hint="eastAsia" w:ascii="宋体" w:hAnsi="宋体" w:eastAsia="宋体" w:cs="宋体"/>
          <w:color w:val="auto"/>
          <w:szCs w:val="21"/>
        </w:rPr>
        <w:t>联系电话：</w:t>
      </w:r>
      <w:r>
        <w:rPr>
          <w:rFonts w:hint="eastAsia" w:ascii="宋体" w:hAnsi="宋体" w:eastAsia="宋体" w:cs="宋体"/>
          <w:color w:val="auto"/>
          <w:szCs w:val="21"/>
          <w:u w:val="none"/>
        </w:rPr>
        <w:t>0771-3925351</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5660405</w:t>
      </w:r>
    </w:p>
    <w:p w14:paraId="5774909A">
      <w:pPr>
        <w:spacing w:line="360" w:lineRule="auto"/>
        <w:ind w:firstLine="735" w:firstLineChars="350"/>
        <w:rPr>
          <w:rFonts w:hint="eastAsia" w:ascii="宋体" w:hAnsi="宋体" w:eastAsia="宋体" w:cs="宋体"/>
          <w:color w:val="auto"/>
          <w:szCs w:val="21"/>
        </w:rPr>
      </w:pPr>
      <w:r>
        <w:rPr>
          <w:rFonts w:hint="eastAsia" w:ascii="宋体" w:hAnsi="宋体" w:eastAsia="宋体" w:cs="宋体"/>
          <w:color w:val="auto"/>
          <w:szCs w:val="21"/>
          <w:lang w:bidi="ar"/>
        </w:rPr>
        <w:t>3.项目联系方式</w:t>
      </w:r>
    </w:p>
    <w:p w14:paraId="2D66838A">
      <w:pPr>
        <w:spacing w:line="360" w:lineRule="auto"/>
        <w:ind w:firstLine="735" w:firstLineChars="350"/>
        <w:rPr>
          <w:rFonts w:hint="eastAsia" w:ascii="宋体" w:hAnsi="宋体" w:eastAsia="宋体" w:cs="宋体"/>
          <w:color w:val="auto"/>
          <w:szCs w:val="21"/>
          <w:u w:val="single"/>
          <w:lang w:eastAsia="zh-CN"/>
        </w:rPr>
      </w:pPr>
      <w:r>
        <w:rPr>
          <w:rFonts w:hint="eastAsia" w:ascii="宋体" w:hAnsi="宋体" w:eastAsia="宋体" w:cs="宋体"/>
          <w:color w:val="auto"/>
          <w:szCs w:val="21"/>
        </w:rPr>
        <w:t>项目联系人：</w:t>
      </w:r>
      <w:r>
        <w:rPr>
          <w:rFonts w:hint="eastAsia" w:ascii="宋体" w:hAnsi="宋体" w:eastAsia="宋体" w:cs="宋体"/>
          <w:color w:val="auto"/>
          <w:szCs w:val="21"/>
          <w:u w:val="none"/>
        </w:rPr>
        <w:t>黄翠丽</w:t>
      </w:r>
      <w:r>
        <w:rPr>
          <w:rFonts w:hint="eastAsia" w:ascii="宋体" w:hAnsi="宋体" w:eastAsia="宋体" w:cs="宋体"/>
          <w:color w:val="auto"/>
          <w:szCs w:val="21"/>
          <w:u w:val="none"/>
          <w:lang w:eastAsia="zh-CN"/>
        </w:rPr>
        <w:t>、蒋萍萍</w:t>
      </w:r>
    </w:p>
    <w:p w14:paraId="6D607856">
      <w:pPr>
        <w:spacing w:line="360" w:lineRule="auto"/>
        <w:ind w:firstLine="735" w:firstLineChars="350"/>
        <w:rPr>
          <w:rFonts w:hint="eastAsia" w:ascii="宋体" w:hAnsi="宋体" w:eastAsia="宋体" w:cs="宋体"/>
          <w:color w:val="auto"/>
          <w:szCs w:val="21"/>
          <w:u w:val="single"/>
        </w:rPr>
      </w:pPr>
      <w:r>
        <w:rPr>
          <w:rFonts w:hint="eastAsia" w:ascii="宋体" w:hAnsi="宋体" w:eastAsia="宋体" w:cs="宋体"/>
          <w:color w:val="auto"/>
          <w:szCs w:val="21"/>
        </w:rPr>
        <w:t>电    话：</w:t>
      </w:r>
      <w:r>
        <w:rPr>
          <w:rFonts w:hint="eastAsia" w:ascii="宋体" w:hAnsi="宋体" w:eastAsia="宋体" w:cs="宋体"/>
          <w:color w:val="auto"/>
          <w:szCs w:val="21"/>
          <w:u w:val="none"/>
        </w:rPr>
        <w:t>0771-3925351</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5660405</w:t>
      </w:r>
    </w:p>
    <w:p w14:paraId="4BF45F29">
      <w:pPr>
        <w:spacing w:line="360" w:lineRule="auto"/>
        <w:ind w:firstLine="420" w:firstLineChars="200"/>
        <w:rPr>
          <w:rFonts w:hint="eastAsia" w:ascii="宋体" w:hAnsi="宋体" w:eastAsia="宋体" w:cs="宋体"/>
          <w:color w:val="auto"/>
          <w:szCs w:val="21"/>
        </w:rPr>
      </w:pPr>
    </w:p>
    <w:p w14:paraId="1CCA710A">
      <w:pPr>
        <w:pStyle w:val="11"/>
        <w:widowControl/>
        <w:spacing w:line="360" w:lineRule="auto"/>
        <w:ind w:firstLine="420" w:firstLineChars="200"/>
        <w:rPr>
          <w:color w:val="auto"/>
        </w:rPr>
      </w:pPr>
      <w:r>
        <w:rPr>
          <w:rFonts w:hint="eastAsia" w:ascii="宋体" w:hAnsi="宋体" w:cs="宋体"/>
          <w:color w:val="auto"/>
          <w:szCs w:val="21"/>
        </w:rPr>
        <w:t>附件： 1.CA证书申请方式及操作指南下载地址（登陆</w:t>
      </w:r>
      <w:r>
        <w:rPr>
          <w:color w:val="auto"/>
        </w:rPr>
        <w:fldChar w:fldCharType="begin"/>
      </w:r>
      <w:r>
        <w:rPr>
          <w:color w:val="auto"/>
        </w:rPr>
        <w:instrText xml:space="preserve"> HYPERLINK "http://nncz.nanning.gov.cn/" </w:instrText>
      </w:r>
      <w:r>
        <w:rPr>
          <w:color w:val="auto"/>
        </w:rPr>
        <w:fldChar w:fldCharType="separate"/>
      </w:r>
      <w:r>
        <w:rPr>
          <w:rStyle w:val="34"/>
          <w:color w:val="auto"/>
        </w:rPr>
        <w:t>http://nncz.nanning.gov.cn/</w:t>
      </w:r>
      <w:r>
        <w:rPr>
          <w:color w:val="auto"/>
        </w:rPr>
        <w:fldChar w:fldCharType="end"/>
      </w:r>
      <w:r>
        <w:rPr>
          <w:rFonts w:hint="eastAsia" w:cs="宋体"/>
          <w:color w:val="auto"/>
        </w:rPr>
        <w:t>（南宁市财政局官网）</w:t>
      </w:r>
      <w:r>
        <w:rPr>
          <w:color w:val="auto"/>
        </w:rPr>
        <w:t>-</w:t>
      </w:r>
      <w:r>
        <w:rPr>
          <w:rFonts w:hint="eastAsia" w:cs="宋体"/>
          <w:color w:val="auto"/>
        </w:rPr>
        <w:t>业务专题</w:t>
      </w:r>
      <w:r>
        <w:rPr>
          <w:color w:val="auto"/>
        </w:rPr>
        <w:t>-</w:t>
      </w:r>
      <w:r>
        <w:rPr>
          <w:rFonts w:hint="eastAsia" w:cs="宋体"/>
          <w:color w:val="auto"/>
        </w:rPr>
        <w:t>政府采购监督管理</w:t>
      </w:r>
      <w:r>
        <w:rPr>
          <w:color w:val="auto"/>
        </w:rPr>
        <w:t>-</w:t>
      </w:r>
      <w:r>
        <w:rPr>
          <w:rFonts w:hint="eastAsia" w:cs="宋体"/>
          <w:color w:val="auto"/>
        </w:rPr>
        <w:t>资料下载</w:t>
      </w:r>
      <w:r>
        <w:rPr>
          <w:color w:val="auto"/>
        </w:rPr>
        <w:t>-</w:t>
      </w:r>
      <w:r>
        <w:rPr>
          <w:rFonts w:hint="eastAsia" w:cs="宋体"/>
          <w:color w:val="auto"/>
        </w:rPr>
        <w:t>“广西广西政府采购云西部</w:t>
      </w:r>
      <w:r>
        <w:rPr>
          <w:color w:val="auto"/>
        </w:rPr>
        <w:t>CA</w:t>
      </w:r>
      <w:r>
        <w:rPr>
          <w:rFonts w:hint="eastAsia" w:cs="宋体"/>
          <w:color w:val="auto"/>
        </w:rPr>
        <w:t>办理方式”或“南宁市广西政府采购云</w:t>
      </w:r>
      <w:r>
        <w:rPr>
          <w:color w:val="auto"/>
        </w:rPr>
        <w:t>CA</w:t>
      </w:r>
      <w:r>
        <w:rPr>
          <w:rFonts w:hint="eastAsia" w:cs="宋体"/>
          <w:color w:val="auto"/>
        </w:rPr>
        <w:t>证书办理操作指南”</w:t>
      </w:r>
      <w:r>
        <w:rPr>
          <w:rFonts w:hint="eastAsia" w:ascii="宋体" w:hAnsi="宋体" w:cs="宋体"/>
          <w:color w:val="auto"/>
          <w:szCs w:val="21"/>
        </w:rPr>
        <w:t>）</w:t>
      </w:r>
    </w:p>
    <w:p w14:paraId="4122C5D0">
      <w:pPr>
        <w:pStyle w:val="11"/>
        <w:widowControl/>
        <w:spacing w:line="360" w:lineRule="auto"/>
        <w:ind w:firstLine="420" w:firstLineChars="200"/>
        <w:rPr>
          <w:rFonts w:hint="eastAsia" w:ascii="宋体" w:hAnsi="宋体" w:cs="宋体"/>
          <w:color w:val="auto"/>
          <w:szCs w:val="21"/>
        </w:rPr>
      </w:pPr>
      <w:r>
        <w:rPr>
          <w:rFonts w:hint="eastAsia" w:ascii="宋体" w:hAnsi="宋体" w:cs="宋体"/>
          <w:color w:val="auto"/>
          <w:szCs w:val="21"/>
        </w:rPr>
        <w:t>2.电子投标文件制作与投送教程（在此网址下载：</w:t>
      </w:r>
      <w:r>
        <w:rPr>
          <w:color w:val="auto"/>
        </w:rPr>
        <w:fldChar w:fldCharType="begin"/>
      </w:r>
      <w:r>
        <w:rPr>
          <w:color w:val="auto"/>
        </w:rPr>
        <w:instrText xml:space="preserve"> HYPERLINK "http://nncz.nanning.gov.cn/" </w:instrText>
      </w:r>
      <w:r>
        <w:rPr>
          <w:color w:val="auto"/>
        </w:rPr>
        <w:fldChar w:fldCharType="separate"/>
      </w:r>
      <w:r>
        <w:rPr>
          <w:rStyle w:val="34"/>
          <w:color w:val="auto"/>
        </w:rPr>
        <w:t>http://nncz.nanning.gov.cn/</w:t>
      </w:r>
      <w:r>
        <w:rPr>
          <w:color w:val="auto"/>
        </w:rPr>
        <w:fldChar w:fldCharType="end"/>
      </w:r>
      <w:r>
        <w:rPr>
          <w:rFonts w:hint="eastAsia" w:cs="宋体"/>
          <w:color w:val="auto"/>
        </w:rPr>
        <w:t>（南宁市财政局官网）</w:t>
      </w:r>
      <w:r>
        <w:rPr>
          <w:color w:val="auto"/>
        </w:rPr>
        <w:t>-</w:t>
      </w:r>
      <w:r>
        <w:rPr>
          <w:rFonts w:hint="eastAsia" w:cs="宋体"/>
          <w:color w:val="auto"/>
        </w:rPr>
        <w:t>业务专题</w:t>
      </w:r>
      <w:r>
        <w:rPr>
          <w:color w:val="auto"/>
        </w:rPr>
        <w:t>-</w:t>
      </w:r>
      <w:r>
        <w:rPr>
          <w:rFonts w:hint="eastAsia" w:cs="宋体"/>
          <w:color w:val="auto"/>
        </w:rPr>
        <w:t>政府采购监督管理</w:t>
      </w:r>
      <w:r>
        <w:rPr>
          <w:color w:val="auto"/>
        </w:rPr>
        <w:t>-</w:t>
      </w:r>
      <w:r>
        <w:rPr>
          <w:rFonts w:hint="eastAsia" w:cs="宋体"/>
          <w:color w:val="auto"/>
        </w:rPr>
        <w:t>资料下载</w:t>
      </w:r>
      <w:r>
        <w:rPr>
          <w:color w:val="auto"/>
        </w:rPr>
        <w:t>-</w:t>
      </w:r>
      <w:r>
        <w:rPr>
          <w:rFonts w:hint="eastAsia" w:cs="宋体"/>
          <w:color w:val="auto"/>
        </w:rPr>
        <w:t>南宁市政府采购项目全流程电子化交易操作指南</w:t>
      </w:r>
      <w:r>
        <w:rPr>
          <w:rFonts w:hint="eastAsia" w:ascii="宋体" w:hAnsi="宋体" w:cs="宋体"/>
          <w:color w:val="auto"/>
          <w:szCs w:val="21"/>
        </w:rPr>
        <w:t>）</w:t>
      </w:r>
    </w:p>
    <w:p w14:paraId="25872D52">
      <w:pPr>
        <w:pStyle w:val="11"/>
        <w:spacing w:line="360" w:lineRule="auto"/>
        <w:ind w:firstLine="420" w:firstLineChars="200"/>
        <w:jc w:val="right"/>
        <w:rPr>
          <w:rFonts w:hint="eastAsia" w:ascii="宋体" w:hAnsi="宋体"/>
          <w:color w:val="auto"/>
          <w:szCs w:val="21"/>
          <w:u w:val="single"/>
        </w:rPr>
      </w:pPr>
    </w:p>
    <w:p w14:paraId="2BCEDC34">
      <w:pPr>
        <w:pStyle w:val="11"/>
        <w:spacing w:line="360" w:lineRule="auto"/>
        <w:ind w:firstLine="420" w:firstLineChars="200"/>
        <w:jc w:val="right"/>
        <w:rPr>
          <w:rFonts w:hint="eastAsia" w:ascii="宋体" w:hAnsi="宋体"/>
          <w:color w:val="auto"/>
          <w:szCs w:val="21"/>
        </w:rPr>
      </w:pPr>
      <w:r>
        <w:rPr>
          <w:rFonts w:hint="eastAsia" w:ascii="宋体" w:hAnsi="宋体"/>
          <w:color w:val="auto"/>
          <w:szCs w:val="21"/>
          <w:u w:val="single"/>
        </w:rPr>
        <w:t>广西翔正项目管理有限公司</w:t>
      </w:r>
    </w:p>
    <w:p w14:paraId="219D017D">
      <w:pPr>
        <w:spacing w:line="360" w:lineRule="auto"/>
        <w:ind w:firstLine="420" w:firstLineChars="200"/>
        <w:jc w:val="right"/>
        <w:rPr>
          <w:rFonts w:hint="eastAsia" w:ascii="宋体" w:hAnsi="宋体"/>
          <w:color w:val="auto"/>
          <w:szCs w:val="21"/>
        </w:rPr>
      </w:pPr>
      <w:r>
        <w:rPr>
          <w:rFonts w:hint="eastAsia" w:ascii="宋体" w:hAnsi="宋体"/>
          <w:color w:val="auto"/>
          <w:szCs w:val="21"/>
          <w:u w:val="single"/>
        </w:rPr>
        <w:t>202</w:t>
      </w:r>
      <w:r>
        <w:rPr>
          <w:rFonts w:hint="eastAsia" w:ascii="宋体" w:hAnsi="宋体"/>
          <w:color w:val="auto"/>
          <w:szCs w:val="21"/>
          <w:u w:val="single"/>
          <w:lang w:val="en-US" w:eastAsia="zh-CN"/>
        </w:rPr>
        <w:t>5</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u w:val="single"/>
          <w:lang w:val="en-US" w:eastAsia="zh-CN"/>
        </w:rPr>
        <w:t>10</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u w:val="single"/>
          <w:lang w:val="en-US" w:eastAsia="zh-CN"/>
        </w:rPr>
        <w:t>20</w:t>
      </w:r>
      <w:r>
        <w:rPr>
          <w:rFonts w:hint="eastAsia" w:ascii="宋体" w:hAnsi="宋体"/>
          <w:color w:val="auto"/>
          <w:szCs w:val="21"/>
          <w:u w:val="single"/>
        </w:rPr>
        <w:t xml:space="preserve"> </w:t>
      </w:r>
      <w:r>
        <w:rPr>
          <w:rFonts w:hint="eastAsia" w:ascii="宋体" w:hAnsi="宋体"/>
          <w:color w:val="auto"/>
          <w:szCs w:val="21"/>
        </w:rPr>
        <w:t>日</w:t>
      </w:r>
    </w:p>
    <w:p w14:paraId="5DD4C9DA">
      <w:pPr>
        <w:rPr>
          <w:rFonts w:hint="eastAsia" w:ascii="Cambria" w:hAnsi="Cambria" w:cs="宋体"/>
          <w:bCs w:val="0"/>
          <w:color w:val="auto"/>
          <w:sz w:val="32"/>
          <w:szCs w:val="32"/>
        </w:rPr>
      </w:pPr>
      <w:bookmarkStart w:id="32" w:name="_Toc4145"/>
      <w:r>
        <w:rPr>
          <w:rFonts w:hint="eastAsia" w:ascii="Cambria" w:hAnsi="Cambria" w:cs="宋体"/>
          <w:bCs w:val="0"/>
          <w:color w:val="auto"/>
          <w:sz w:val="32"/>
          <w:szCs w:val="32"/>
        </w:rPr>
        <w:br w:type="page"/>
      </w:r>
    </w:p>
    <w:p w14:paraId="21F37EAD">
      <w:pPr>
        <w:pStyle w:val="2"/>
        <w:keepNext/>
        <w:keepLines/>
        <w:pageBreakBefore w:val="0"/>
        <w:widowControl/>
        <w:kinsoku/>
        <w:wordWrap/>
        <w:overflowPunct/>
        <w:topLinePunct w:val="0"/>
        <w:autoSpaceDE/>
        <w:autoSpaceDN/>
        <w:bidi w:val="0"/>
        <w:adjustRightInd/>
        <w:snapToGrid/>
        <w:spacing w:before="0" w:after="0" w:line="360" w:lineRule="auto"/>
        <w:jc w:val="center"/>
        <w:textAlignment w:val="auto"/>
        <w:rPr>
          <w:rFonts w:hint="eastAsia" w:eastAsia="宋体" w:cs="宋体"/>
          <w:color w:val="auto"/>
        </w:rPr>
      </w:pPr>
      <w:r>
        <w:rPr>
          <w:rFonts w:hint="eastAsia" w:eastAsia="宋体" w:cs="宋体"/>
          <w:color w:val="auto"/>
          <w:lang w:eastAsia="zh-CN"/>
        </w:rPr>
        <w:t>第二章</w:t>
      </w:r>
      <w:r>
        <w:rPr>
          <w:rFonts w:hint="eastAsia" w:eastAsia="宋体" w:cs="宋体"/>
          <w:color w:val="auto"/>
          <w:lang w:val="en-US" w:eastAsia="zh-CN"/>
        </w:rPr>
        <w:t xml:space="preserve"> </w:t>
      </w:r>
      <w:r>
        <w:rPr>
          <w:rFonts w:hint="eastAsia" w:eastAsia="宋体" w:cs="宋体"/>
          <w:color w:val="auto"/>
        </w:rPr>
        <w:t>采购需求</w:t>
      </w:r>
      <w:bookmarkEnd w:id="32"/>
    </w:p>
    <w:p w14:paraId="34E29DE4">
      <w:pPr>
        <w:spacing w:line="360" w:lineRule="auto"/>
        <w:jc w:val="left"/>
        <w:rPr>
          <w:rFonts w:hint="eastAsia" w:ascii="宋体" w:hAnsi="宋体" w:cs="宋体"/>
          <w:color w:val="auto"/>
          <w:szCs w:val="21"/>
        </w:rPr>
      </w:pPr>
      <w:r>
        <w:rPr>
          <w:rFonts w:hint="eastAsia" w:ascii="宋体" w:hAnsi="宋体" w:cs="宋体"/>
          <w:color w:val="auto"/>
          <w:szCs w:val="21"/>
        </w:rPr>
        <w:t>说明：</w:t>
      </w:r>
    </w:p>
    <w:p w14:paraId="4C5B4B39">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1.为落实政府采购政策需满足的要求：本竞争性磋商文件所称中小企业必须符合《政府采购促进中小企业发展管理办法》（财库〔2020〕46号）的规定。</w:t>
      </w:r>
    </w:p>
    <w:p w14:paraId="3D1681CD">
      <w:pPr>
        <w:spacing w:line="360" w:lineRule="auto"/>
        <w:ind w:firstLine="411" w:firstLineChars="196"/>
        <w:rPr>
          <w:rFonts w:hint="eastAsia" w:ascii="宋体" w:hAnsi="宋体" w:cs="宋体"/>
          <w:color w:val="auto"/>
          <w:szCs w:val="21"/>
        </w:rPr>
      </w:pPr>
      <w:r>
        <w:rPr>
          <w:rFonts w:hint="eastAsia" w:ascii="宋体" w:hAnsi="宋体" w:cs="宋体"/>
          <w:color w:val="auto"/>
          <w:szCs w:val="21"/>
        </w:rPr>
        <w:t>2.“实质性要求”是指采购需求中带“▲”的条款或者不能负偏离的条款或者已经指明不满足按响应文件作无效处理的条款。</w:t>
      </w:r>
    </w:p>
    <w:p w14:paraId="6A8B32D9">
      <w:pPr>
        <w:spacing w:line="360" w:lineRule="auto"/>
        <w:ind w:firstLine="411" w:firstLineChars="196"/>
        <w:rPr>
          <w:rFonts w:hint="eastAsia" w:ascii="宋体" w:hAnsi="宋体" w:cs="宋体"/>
          <w:color w:val="auto"/>
          <w:szCs w:val="21"/>
        </w:rPr>
      </w:pPr>
      <w:r>
        <w:rPr>
          <w:rFonts w:hint="eastAsia" w:ascii="宋体" w:hAnsi="宋体" w:cs="宋体"/>
          <w:color w:val="auto"/>
          <w:szCs w:val="21"/>
        </w:rPr>
        <w:t>3.不需要供应商对采购需求响应为具体数值的，此采购需求的数值后将以◆号标注。</w:t>
      </w:r>
    </w:p>
    <w:p w14:paraId="4B01C04A">
      <w:pPr>
        <w:pStyle w:val="11"/>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rPr>
        <w:t>4.本项目中小企业划分标准所属行业名称（行业名称及划分见本章附件2）：</w:t>
      </w:r>
      <w:r>
        <w:rPr>
          <w:rFonts w:hint="eastAsia" w:ascii="宋体" w:hAnsi="宋体" w:cs="宋体"/>
          <w:b/>
          <w:bCs/>
          <w:color w:val="auto"/>
          <w:szCs w:val="21"/>
          <w:highlight w:val="none"/>
          <w:u w:val="single"/>
        </w:rPr>
        <w:t>建筑业</w:t>
      </w:r>
      <w:r>
        <w:rPr>
          <w:rFonts w:hint="eastAsia" w:ascii="宋体" w:hAnsi="宋体" w:cs="宋体"/>
          <w:color w:val="auto"/>
          <w:szCs w:val="21"/>
          <w:highlight w:val="none"/>
        </w:rPr>
        <w:t>。</w:t>
      </w:r>
    </w:p>
    <w:tbl>
      <w:tblPr>
        <w:tblStyle w:val="29"/>
        <w:tblpPr w:leftFromText="180" w:rightFromText="180" w:vertAnchor="text" w:horzAnchor="page" w:tblpX="1138" w:tblpY="477"/>
        <w:tblOverlap w:val="never"/>
        <w:tblW w:w="9458" w:type="dxa"/>
        <w:tblInd w:w="-108"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45"/>
        <w:gridCol w:w="1526"/>
        <w:gridCol w:w="715"/>
        <w:gridCol w:w="889"/>
        <w:gridCol w:w="3543"/>
        <w:gridCol w:w="1021"/>
        <w:gridCol w:w="1219"/>
      </w:tblGrid>
      <w:tr w14:paraId="56F5141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trPr>
        <w:tc>
          <w:tcPr>
            <w:tcW w:w="54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48814C3">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序号</w:t>
            </w:r>
          </w:p>
        </w:tc>
        <w:tc>
          <w:tcPr>
            <w:tcW w:w="1526" w:type="dxa"/>
            <w:tcBorders>
              <w:top w:val="single" w:color="auto" w:sz="4" w:space="0"/>
              <w:left w:val="single" w:color="auto" w:sz="4" w:space="0"/>
              <w:bottom w:val="single" w:color="auto" w:sz="4" w:space="0"/>
              <w:right w:val="single" w:color="auto" w:sz="4" w:space="0"/>
            </w:tcBorders>
            <w:vAlign w:val="center"/>
          </w:tcPr>
          <w:p w14:paraId="4EDDC3B4">
            <w:pPr>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eastAsia="zh-CN" w:bidi="ar"/>
              </w:rPr>
              <w:t>标的名称</w:t>
            </w:r>
          </w:p>
        </w:tc>
        <w:tc>
          <w:tcPr>
            <w:tcW w:w="715" w:type="dxa"/>
            <w:tcBorders>
              <w:top w:val="single" w:color="auto" w:sz="4" w:space="0"/>
              <w:left w:val="single" w:color="auto" w:sz="4" w:space="0"/>
              <w:bottom w:val="single" w:color="auto" w:sz="4" w:space="0"/>
              <w:right w:val="single" w:color="auto" w:sz="4" w:space="0"/>
            </w:tcBorders>
            <w:vAlign w:val="center"/>
          </w:tcPr>
          <w:p w14:paraId="0A2AD5EA">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单位</w:t>
            </w:r>
          </w:p>
        </w:tc>
        <w:tc>
          <w:tcPr>
            <w:tcW w:w="889" w:type="dxa"/>
            <w:tcBorders>
              <w:top w:val="single" w:color="auto" w:sz="4" w:space="0"/>
              <w:left w:val="single" w:color="auto" w:sz="4" w:space="0"/>
              <w:bottom w:val="single" w:color="auto" w:sz="4" w:space="0"/>
              <w:right w:val="single" w:color="auto" w:sz="4" w:space="0"/>
            </w:tcBorders>
            <w:vAlign w:val="center"/>
          </w:tcPr>
          <w:p w14:paraId="13B040B4">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数量</w:t>
            </w:r>
          </w:p>
        </w:tc>
        <w:tc>
          <w:tcPr>
            <w:tcW w:w="3543" w:type="dxa"/>
            <w:tcBorders>
              <w:top w:val="single" w:color="auto" w:sz="4" w:space="0"/>
              <w:left w:val="single" w:color="auto" w:sz="4" w:space="0"/>
              <w:bottom w:val="single" w:color="auto" w:sz="4" w:space="0"/>
              <w:right w:val="single" w:color="auto" w:sz="4" w:space="0"/>
            </w:tcBorders>
            <w:vAlign w:val="center"/>
          </w:tcPr>
          <w:p w14:paraId="39D40761">
            <w:pPr>
              <w:jc w:val="center"/>
              <w:rPr>
                <w:rFonts w:hint="eastAsia" w:ascii="宋体" w:hAnsi="宋体" w:cs="宋体"/>
                <w:color w:val="auto"/>
                <w:szCs w:val="21"/>
                <w:highlight w:val="none"/>
              </w:rPr>
            </w:pPr>
            <w:r>
              <w:rPr>
                <w:color w:val="auto"/>
                <w:spacing w:val="8"/>
                <w:highlight w:val="none"/>
              </w:rPr>
              <w:t>工程概况及采购范围</w:t>
            </w:r>
          </w:p>
        </w:tc>
        <w:tc>
          <w:tcPr>
            <w:tcW w:w="1021" w:type="dxa"/>
            <w:tcBorders>
              <w:top w:val="single" w:color="auto" w:sz="4" w:space="0"/>
              <w:left w:val="single" w:color="auto" w:sz="4" w:space="0"/>
              <w:bottom w:val="single" w:color="auto" w:sz="4" w:space="0"/>
              <w:right w:val="single" w:color="auto" w:sz="4" w:space="0"/>
            </w:tcBorders>
            <w:vAlign w:val="center"/>
          </w:tcPr>
          <w:p w14:paraId="4C4B98EC">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分项预算合计（万元）</w:t>
            </w:r>
          </w:p>
        </w:tc>
        <w:tc>
          <w:tcPr>
            <w:tcW w:w="1219" w:type="dxa"/>
            <w:tcBorders>
              <w:top w:val="single" w:color="auto" w:sz="4" w:space="0"/>
              <w:left w:val="single" w:color="auto" w:sz="4" w:space="0"/>
              <w:bottom w:val="single" w:color="auto" w:sz="4" w:space="0"/>
              <w:right w:val="single" w:color="auto" w:sz="4" w:space="0"/>
            </w:tcBorders>
            <w:vAlign w:val="center"/>
          </w:tcPr>
          <w:p w14:paraId="4B13CA6E">
            <w:pPr>
              <w:jc w:val="center"/>
              <w:rPr>
                <w:rFonts w:hint="eastAsia" w:ascii="宋体" w:hAnsi="宋体" w:cs="宋体"/>
                <w:color w:val="auto"/>
                <w:sz w:val="24"/>
                <w:highlight w:val="none"/>
              </w:rPr>
            </w:pPr>
            <w:r>
              <w:rPr>
                <w:rFonts w:hint="eastAsia" w:ascii="Calibri" w:hAnsi="Calibri" w:cs="宋体"/>
                <w:color w:val="auto"/>
                <w:highlight w:val="none"/>
                <w:lang w:bidi="ar"/>
              </w:rPr>
              <w:t>中小企业划分标准所属行业名称（行业名称及划分见本章附件</w:t>
            </w:r>
            <w:r>
              <w:rPr>
                <w:rFonts w:ascii="Calibri" w:hAnsi="Calibri" w:cs="Calibri"/>
                <w:color w:val="auto"/>
                <w:highlight w:val="none"/>
                <w:lang w:bidi="ar"/>
              </w:rPr>
              <w:t>2</w:t>
            </w:r>
            <w:r>
              <w:rPr>
                <w:rFonts w:hint="eastAsia" w:ascii="Calibri" w:hAnsi="Calibri" w:cs="宋体"/>
                <w:color w:val="auto"/>
                <w:highlight w:val="none"/>
                <w:lang w:bidi="ar"/>
              </w:rPr>
              <w:t>）</w:t>
            </w:r>
          </w:p>
        </w:tc>
      </w:tr>
      <w:tr w14:paraId="3CFDD8D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5" w:type="dxa"/>
            <w:tcBorders>
              <w:top w:val="single" w:color="auto" w:sz="4" w:space="0"/>
              <w:left w:val="single" w:color="auto" w:sz="4" w:space="0"/>
              <w:bottom w:val="single" w:color="auto" w:sz="4" w:space="0"/>
              <w:right w:val="single" w:color="auto" w:sz="4" w:space="0"/>
            </w:tcBorders>
            <w:vAlign w:val="center"/>
          </w:tcPr>
          <w:p w14:paraId="021AB949">
            <w:pP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1</w:t>
            </w:r>
          </w:p>
        </w:tc>
        <w:tc>
          <w:tcPr>
            <w:tcW w:w="1526" w:type="dxa"/>
            <w:tcBorders>
              <w:top w:val="single" w:color="auto" w:sz="4" w:space="0"/>
              <w:left w:val="single" w:color="auto" w:sz="4" w:space="0"/>
              <w:bottom w:val="single" w:color="auto" w:sz="4" w:space="0"/>
              <w:right w:val="single" w:color="auto" w:sz="4" w:space="0"/>
            </w:tcBorders>
            <w:vAlign w:val="center"/>
          </w:tcPr>
          <w:p w14:paraId="39F85DC9">
            <w:pPr>
              <w:autoSpaceDE w:val="0"/>
              <w:autoSpaceDN w:val="0"/>
              <w:adjustRightInd w:val="0"/>
              <w:spacing w:line="380" w:lineRule="exact"/>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南宁市武鸣区2025年第一批中央财政水利发展资金农村饮水工程维修养护项目</w:t>
            </w:r>
          </w:p>
        </w:tc>
        <w:tc>
          <w:tcPr>
            <w:tcW w:w="715" w:type="dxa"/>
            <w:tcBorders>
              <w:top w:val="single" w:color="auto" w:sz="4" w:space="0"/>
              <w:left w:val="single" w:color="auto" w:sz="4" w:space="0"/>
              <w:bottom w:val="single" w:color="auto" w:sz="4" w:space="0"/>
              <w:right w:val="single" w:color="auto" w:sz="4" w:space="0"/>
            </w:tcBorders>
            <w:vAlign w:val="center"/>
          </w:tcPr>
          <w:p w14:paraId="6290A1FE">
            <w:pPr>
              <w:autoSpaceDE w:val="0"/>
              <w:autoSpaceDN w:val="0"/>
              <w:adjustRightInd w:val="0"/>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889" w:type="dxa"/>
            <w:tcBorders>
              <w:top w:val="single" w:color="auto" w:sz="4" w:space="0"/>
              <w:left w:val="single" w:color="auto" w:sz="4" w:space="0"/>
              <w:bottom w:val="single" w:color="auto" w:sz="4" w:space="0"/>
              <w:right w:val="single" w:color="auto" w:sz="4" w:space="0"/>
            </w:tcBorders>
            <w:vAlign w:val="center"/>
          </w:tcPr>
          <w:p w14:paraId="5E720177">
            <w:pPr>
              <w:autoSpaceDE w:val="0"/>
              <w:autoSpaceDN w:val="0"/>
              <w:adjustRightInd w:val="0"/>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1</w:t>
            </w:r>
          </w:p>
        </w:tc>
        <w:tc>
          <w:tcPr>
            <w:tcW w:w="3543" w:type="dxa"/>
            <w:tcBorders>
              <w:top w:val="single" w:color="auto" w:sz="4" w:space="0"/>
              <w:left w:val="single" w:color="auto" w:sz="4" w:space="0"/>
              <w:bottom w:val="single" w:color="auto" w:sz="4" w:space="0"/>
              <w:right w:val="single" w:color="auto" w:sz="4" w:space="0"/>
            </w:tcBorders>
          </w:tcPr>
          <w:p w14:paraId="42F7E8E7">
            <w:pPr>
              <w:pStyle w:val="87"/>
              <w:numPr>
                <w:ilvl w:val="0"/>
                <w:numId w:val="0"/>
              </w:numPr>
              <w:rPr>
                <w:rFonts w:hint="eastAsia"/>
                <w:color w:val="auto"/>
                <w:kern w:val="0"/>
                <w:highlight w:val="none"/>
                <w:lang w:eastAsia="zh-CN"/>
              </w:rPr>
            </w:pPr>
            <w:r>
              <w:rPr>
                <w:rFonts w:hint="eastAsia"/>
                <w:color w:val="auto"/>
                <w:kern w:val="0"/>
                <w:highlight w:val="none"/>
                <w:lang w:eastAsia="zh-CN"/>
              </w:rPr>
              <w:t>一、项目概况</w:t>
            </w:r>
          </w:p>
          <w:p w14:paraId="40BDCA89">
            <w:pPr>
              <w:pStyle w:val="87"/>
              <w:numPr>
                <w:ilvl w:val="0"/>
                <w:numId w:val="0"/>
              </w:numPr>
              <w:ind w:firstLine="420" w:firstLineChars="200"/>
              <w:rPr>
                <w:rFonts w:hint="eastAsia"/>
                <w:color w:val="auto"/>
                <w:kern w:val="0"/>
                <w:highlight w:val="none"/>
                <w:lang w:eastAsia="zh-CN"/>
              </w:rPr>
            </w:pPr>
            <w:r>
              <w:rPr>
                <w:rFonts w:hint="eastAsia" w:ascii="宋体" w:hAnsi="宋体" w:eastAsia="宋体" w:cs="宋体"/>
                <w:color w:val="auto"/>
                <w:szCs w:val="21"/>
                <w:highlight w:val="none"/>
              </w:rPr>
              <w:t>本工程位于武鸣区府城镇、城厢镇、罗波镇、锣圩镇、马头镇等10个乡镇，主要建设内容:更换老化漏水管路、更换老化的水表;更换潜水泵、变压器等机电设备;维修蓄水池、在水源处增设盖棚等。</w:t>
            </w:r>
          </w:p>
        </w:tc>
        <w:tc>
          <w:tcPr>
            <w:tcW w:w="1021" w:type="dxa"/>
            <w:tcBorders>
              <w:top w:val="single" w:color="auto" w:sz="4" w:space="0"/>
              <w:left w:val="single" w:color="auto" w:sz="4" w:space="0"/>
              <w:bottom w:val="single" w:color="auto" w:sz="4" w:space="0"/>
              <w:right w:val="single" w:color="auto" w:sz="4" w:space="0"/>
            </w:tcBorders>
            <w:vAlign w:val="center"/>
          </w:tcPr>
          <w:p w14:paraId="5B55DCE4">
            <w:pPr>
              <w:spacing w:line="26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156.81</w:t>
            </w:r>
          </w:p>
        </w:tc>
        <w:tc>
          <w:tcPr>
            <w:tcW w:w="1219" w:type="dxa"/>
            <w:tcBorders>
              <w:top w:val="single" w:color="auto" w:sz="4" w:space="0"/>
              <w:left w:val="single" w:color="auto" w:sz="4" w:space="0"/>
              <w:bottom w:val="single" w:color="auto" w:sz="4" w:space="0"/>
              <w:right w:val="single" w:color="auto" w:sz="4" w:space="0"/>
            </w:tcBorders>
            <w:vAlign w:val="center"/>
          </w:tcPr>
          <w:p w14:paraId="4574C08B">
            <w:pPr>
              <w:spacing w:line="260" w:lineRule="exact"/>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en-US" w:bidi="ar-SA"/>
              </w:rPr>
              <w:t>建筑业</w:t>
            </w:r>
          </w:p>
        </w:tc>
      </w:tr>
      <w:tr w14:paraId="14CCD98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5" w:type="dxa"/>
            <w:tcBorders>
              <w:top w:val="single" w:color="auto" w:sz="4" w:space="0"/>
              <w:left w:val="single" w:color="auto" w:sz="4" w:space="0"/>
              <w:bottom w:val="single" w:color="auto" w:sz="4" w:space="0"/>
              <w:right w:val="single" w:color="auto" w:sz="4" w:space="0"/>
            </w:tcBorders>
            <w:vAlign w:val="center"/>
          </w:tcPr>
          <w:p w14:paraId="41657B19">
            <w:pPr>
              <w:jc w:val="center"/>
              <w:rPr>
                <w:rFonts w:hint="eastAsia" w:ascii="宋体" w:hAnsi="宋体" w:cs="宋体"/>
                <w:color w:val="auto"/>
              </w:rPr>
            </w:pPr>
          </w:p>
          <w:p w14:paraId="6BA71350">
            <w:pPr>
              <w:spacing w:line="240" w:lineRule="exact"/>
              <w:jc w:val="center"/>
              <w:rPr>
                <w:rFonts w:hint="eastAsia" w:ascii="宋体" w:hAnsi="宋体" w:cs="宋体"/>
                <w:color w:val="auto"/>
                <w:szCs w:val="21"/>
                <w:lang w:bidi="ar"/>
              </w:rPr>
            </w:pPr>
            <w:r>
              <w:rPr>
                <w:rFonts w:hint="eastAsia" w:ascii="宋体" w:hAnsi="宋体" w:cs="宋体"/>
                <w:color w:val="auto"/>
                <w:lang w:bidi="ar"/>
              </w:rPr>
              <w:t>商务条款</w:t>
            </w:r>
          </w:p>
        </w:tc>
        <w:tc>
          <w:tcPr>
            <w:tcW w:w="8913" w:type="dxa"/>
            <w:gridSpan w:val="6"/>
            <w:tcBorders>
              <w:top w:val="single" w:color="auto" w:sz="4" w:space="0"/>
              <w:left w:val="single" w:color="auto" w:sz="4" w:space="0"/>
              <w:bottom w:val="single" w:color="auto" w:sz="4" w:space="0"/>
              <w:right w:val="single" w:color="auto" w:sz="4" w:space="0"/>
            </w:tcBorders>
            <w:vAlign w:val="center"/>
          </w:tcPr>
          <w:p w14:paraId="2B8D3604">
            <w:pPr>
              <w:pStyle w:val="13"/>
              <w:keepNext w:val="0"/>
              <w:keepLines w:val="0"/>
              <w:pageBreakBefore w:val="0"/>
              <w:widowControl w:val="0"/>
              <w:kinsoku/>
              <w:wordWrap/>
              <w:overflowPunct/>
              <w:topLinePunct w:val="0"/>
              <w:autoSpaceDE w:val="0"/>
              <w:autoSpaceDN w:val="0"/>
              <w:bidi w:val="0"/>
              <w:adjustRightInd w:val="0"/>
              <w:snapToGrid/>
              <w:spacing w:after="0" w:line="440" w:lineRule="exact"/>
              <w:textAlignment w:val="auto"/>
              <w:rPr>
                <w:color w:val="auto"/>
                <w:szCs w:val="21"/>
              </w:rPr>
            </w:pPr>
            <w:r>
              <w:rPr>
                <w:rFonts w:hint="eastAsia" w:ascii="Calibri" w:hAnsi="Calibri" w:cs="宋体"/>
                <w:b/>
                <w:color w:val="auto"/>
                <w:szCs w:val="21"/>
                <w:lang w:bidi="ar"/>
              </w:rPr>
              <w:t>▲一、合同签订期</w:t>
            </w:r>
            <w:r>
              <w:rPr>
                <w:rFonts w:hint="eastAsia" w:ascii="Calibri" w:hAnsi="Calibri" w:cs="宋体"/>
                <w:color w:val="auto"/>
                <w:szCs w:val="21"/>
                <w:lang w:bidi="ar"/>
              </w:rPr>
              <w:t>：自中标通知书发出之日起</w:t>
            </w:r>
            <w:r>
              <w:rPr>
                <w:rFonts w:hint="eastAsia" w:ascii="宋体" w:hAnsi="宋体" w:cs="宋体"/>
                <w:color w:val="auto"/>
                <w:szCs w:val="21"/>
                <w:u w:val="single"/>
                <w:lang w:bidi="ar"/>
              </w:rPr>
              <w:t xml:space="preserve"> 25 </w:t>
            </w:r>
            <w:r>
              <w:rPr>
                <w:rFonts w:hint="eastAsia" w:ascii="Calibri" w:hAnsi="Calibri" w:cs="宋体"/>
                <w:color w:val="auto"/>
                <w:szCs w:val="21"/>
                <w:lang w:bidi="ar"/>
              </w:rPr>
              <w:t>日内。</w:t>
            </w:r>
          </w:p>
          <w:p w14:paraId="79D50224">
            <w:pPr>
              <w:pStyle w:val="13"/>
              <w:keepNext w:val="0"/>
              <w:keepLines w:val="0"/>
              <w:pageBreakBefore w:val="0"/>
              <w:widowControl w:val="0"/>
              <w:kinsoku/>
              <w:wordWrap/>
              <w:overflowPunct/>
              <w:topLinePunct w:val="0"/>
              <w:bidi w:val="0"/>
              <w:snapToGrid/>
              <w:spacing w:after="0" w:line="440" w:lineRule="exact"/>
              <w:textAlignment w:val="auto"/>
              <w:rPr>
                <w:rFonts w:hint="eastAsia" w:ascii="宋体" w:hAnsi="宋体" w:cs="宋体"/>
                <w:color w:val="auto"/>
                <w:szCs w:val="21"/>
              </w:rPr>
            </w:pPr>
            <w:r>
              <w:rPr>
                <w:rFonts w:hint="eastAsia" w:ascii="宋体" w:hAnsi="宋体" w:cs="宋体"/>
                <w:b/>
                <w:bCs/>
                <w:color w:val="auto"/>
                <w:szCs w:val="21"/>
              </w:rPr>
              <w:t>▲</w:t>
            </w:r>
            <w:r>
              <w:rPr>
                <w:rFonts w:ascii="Arial" w:hAnsi="Arial" w:cs="Arial"/>
                <w:bCs/>
                <w:color w:val="auto"/>
                <w:kern w:val="0"/>
                <w:szCs w:val="21"/>
              </w:rPr>
              <w:t>二、</w:t>
            </w:r>
            <w:r>
              <w:rPr>
                <w:rFonts w:hint="eastAsia" w:ascii="宋体" w:hAnsi="宋体" w:cs="宋体"/>
                <w:b/>
                <w:bCs/>
                <w:color w:val="auto"/>
                <w:szCs w:val="21"/>
                <w:highlight w:val="none"/>
              </w:rPr>
              <w:t>合同履行期限（工期）</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5个月</w:t>
            </w:r>
            <w:r>
              <w:rPr>
                <w:rFonts w:hint="eastAsia" w:ascii="宋体" w:hAnsi="宋体" w:cs="宋体"/>
                <w:color w:val="auto"/>
                <w:szCs w:val="21"/>
              </w:rPr>
              <w:t>。</w:t>
            </w:r>
          </w:p>
          <w:p w14:paraId="79C87B82">
            <w:pPr>
              <w:pStyle w:val="25"/>
              <w:keepNext w:val="0"/>
              <w:keepLines w:val="0"/>
              <w:pageBreakBefore w:val="0"/>
              <w:widowControl w:val="0"/>
              <w:kinsoku/>
              <w:wordWrap/>
              <w:overflowPunct/>
              <w:topLinePunct w:val="0"/>
              <w:bidi w:val="0"/>
              <w:snapToGrid/>
              <w:spacing w:line="440" w:lineRule="exact"/>
              <w:ind w:left="0" w:leftChars="0" w:firstLine="0" w:firstLineChars="0"/>
              <w:textAlignment w:val="auto"/>
              <w:rPr>
                <w:rFonts w:hint="eastAsia" w:ascii="宋体" w:hAnsi="宋体" w:eastAsia="宋体" w:cs="宋体"/>
                <w:color w:val="auto"/>
                <w:szCs w:val="21"/>
                <w:lang w:bidi="ar"/>
              </w:rPr>
            </w:pPr>
            <w:r>
              <w:rPr>
                <w:rFonts w:ascii="Arial" w:hAnsi="Arial" w:cs="Arial"/>
                <w:bCs/>
                <w:color w:val="auto"/>
                <w:kern w:val="0"/>
                <w:szCs w:val="21"/>
              </w:rPr>
              <w:t>三、</w:t>
            </w:r>
            <w:r>
              <w:rPr>
                <w:rFonts w:hint="eastAsia" w:ascii="宋体" w:hAnsi="宋体" w:cs="宋体"/>
                <w:b/>
                <w:bCs/>
                <w:color w:val="auto"/>
                <w:szCs w:val="21"/>
                <w:highlight w:val="none"/>
              </w:rPr>
              <w:t>验收标准、规范：</w:t>
            </w:r>
            <w:r>
              <w:rPr>
                <w:rFonts w:hint="eastAsia" w:ascii="宋体" w:hAnsi="宋体" w:cs="宋体"/>
                <w:color w:val="auto"/>
                <w:szCs w:val="21"/>
                <w:highlight w:val="none"/>
              </w:rPr>
              <w:t>达到国家施工验收规范</w:t>
            </w:r>
            <w:r>
              <w:rPr>
                <w:rFonts w:hint="eastAsia" w:ascii="宋体" w:hAnsi="宋体" w:cs="宋体"/>
                <w:color w:val="auto"/>
                <w:szCs w:val="21"/>
                <w:highlight w:val="none"/>
                <w:u w:val="single"/>
              </w:rPr>
              <w:t xml:space="preserve"> 合格 </w:t>
            </w:r>
            <w:r>
              <w:rPr>
                <w:rFonts w:hint="eastAsia" w:ascii="宋体" w:hAnsi="宋体" w:cs="宋体"/>
                <w:color w:val="auto"/>
                <w:szCs w:val="21"/>
                <w:highlight w:val="none"/>
              </w:rPr>
              <w:t>标准。</w:t>
            </w:r>
          </w:p>
          <w:p w14:paraId="1B20ECF2">
            <w:pPr>
              <w:keepNext w:val="0"/>
              <w:keepLines w:val="0"/>
              <w:pageBreakBefore w:val="0"/>
              <w:widowControl w:val="0"/>
              <w:kinsoku/>
              <w:wordWrap/>
              <w:overflowPunct/>
              <w:topLinePunct w:val="0"/>
              <w:bidi w:val="0"/>
              <w:snapToGrid/>
              <w:spacing w:line="440" w:lineRule="exact"/>
              <w:textAlignment w:val="auto"/>
              <w:rPr>
                <w:rFonts w:hint="eastAsia" w:ascii="宋体" w:hAnsi="宋体" w:cs="宋体"/>
                <w:color w:val="auto"/>
                <w:szCs w:val="21"/>
                <w:highlight w:val="none"/>
              </w:rPr>
            </w:pPr>
            <w:r>
              <w:rPr>
                <w:rFonts w:hint="eastAsia" w:ascii="Calibri" w:hAnsi="Calibri" w:cs="宋体"/>
                <w:b/>
                <w:color w:val="auto"/>
                <w:szCs w:val="21"/>
                <w:lang w:bidi="ar"/>
              </w:rPr>
              <w:t>四、</w:t>
            </w:r>
            <w:r>
              <w:rPr>
                <w:rFonts w:hint="eastAsia" w:ascii="宋体" w:hAnsi="宋体" w:cs="宋体"/>
                <w:b/>
                <w:bCs/>
                <w:color w:val="auto"/>
                <w:szCs w:val="21"/>
                <w:highlight w:val="none"/>
              </w:rPr>
              <w:t>工程质量保修期：</w:t>
            </w:r>
            <w:r>
              <w:rPr>
                <w:rFonts w:hint="eastAsia" w:ascii="宋体" w:hAnsi="宋体" w:cs="宋体"/>
                <w:color w:val="auto"/>
                <w:szCs w:val="21"/>
                <w:highlight w:val="none"/>
              </w:rPr>
              <w:t>工程完工验收合格之日起</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p>
          <w:p w14:paraId="3148C903">
            <w:pPr>
              <w:spacing w:line="420" w:lineRule="exact"/>
              <w:rPr>
                <w:rFonts w:hint="eastAsia" w:ascii="宋体" w:hAnsi="宋体" w:cs="宋体"/>
                <w:b/>
                <w:bCs/>
                <w:color w:val="auto"/>
                <w:szCs w:val="21"/>
                <w:highlight w:val="none"/>
              </w:rPr>
            </w:pPr>
            <w:r>
              <w:rPr>
                <w:rFonts w:hint="eastAsia" w:ascii="宋体" w:hAnsi="宋体" w:cs="宋体"/>
                <w:b/>
                <w:color w:val="auto"/>
                <w:kern w:val="0"/>
                <w:szCs w:val="21"/>
                <w:lang w:val="zh-CN" w:bidi="ar"/>
              </w:rPr>
              <w:t>▲五、</w:t>
            </w:r>
            <w:r>
              <w:rPr>
                <w:rFonts w:hint="eastAsia" w:ascii="宋体" w:hAnsi="宋体" w:cs="宋体"/>
                <w:b/>
                <w:bCs/>
                <w:color w:val="auto"/>
                <w:szCs w:val="21"/>
                <w:highlight w:val="none"/>
              </w:rPr>
              <w:t>其他要求：</w:t>
            </w:r>
          </w:p>
          <w:p w14:paraId="1B7CB323">
            <w:pPr>
              <w:spacing w:line="420" w:lineRule="exact"/>
              <w:ind w:firstLine="210" w:firstLineChars="100"/>
              <w:rPr>
                <w:rFonts w:ascii="宋体" w:hAnsi="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olor w:val="auto"/>
                <w:szCs w:val="21"/>
                <w:highlight w:val="none"/>
              </w:rPr>
              <w:t>本项目采用工程量清单报价方式，发包方式：固定综合单价，包工包料。工程结算价款以南宁市武鸣区财政投资项目评审中心核定的造价为准。报价必须包含以下部分，包括：</w:t>
            </w:r>
          </w:p>
          <w:p w14:paraId="28BDE9E1">
            <w:pPr>
              <w:spacing w:line="420" w:lineRule="exact"/>
              <w:rPr>
                <w:rFonts w:ascii="宋体" w:hAnsi="宋体"/>
                <w:color w:val="auto"/>
                <w:szCs w:val="21"/>
                <w:highlight w:val="none"/>
              </w:rPr>
            </w:pPr>
            <w:r>
              <w:rPr>
                <w:rFonts w:hint="eastAsia" w:ascii="宋体" w:hAnsi="宋体"/>
                <w:color w:val="auto"/>
                <w:szCs w:val="21"/>
                <w:highlight w:val="none"/>
              </w:rPr>
              <w:t>（1）满足本次竞标全部采购需求工程的成本、调试、检验、技术服务、培训、税费等所有费用。</w:t>
            </w:r>
          </w:p>
          <w:p w14:paraId="7C6B0D6F">
            <w:pPr>
              <w:spacing w:line="420" w:lineRule="exact"/>
              <w:rPr>
                <w:rFonts w:ascii="宋体" w:hAnsi="宋体" w:cs="宋体"/>
                <w:color w:val="auto"/>
                <w:szCs w:val="21"/>
                <w:highlight w:val="none"/>
              </w:rPr>
            </w:pPr>
            <w:r>
              <w:rPr>
                <w:rFonts w:hint="eastAsia" w:ascii="宋体" w:hAnsi="宋体"/>
                <w:color w:val="auto"/>
                <w:szCs w:val="21"/>
                <w:highlight w:val="none"/>
              </w:rPr>
              <w:t>（2）必要的保险费和各项税金（成交供应商需为该工程购买工程一切险）。</w:t>
            </w:r>
          </w:p>
          <w:p w14:paraId="794A5446">
            <w:pPr>
              <w:spacing w:line="420" w:lineRule="exact"/>
              <w:ind w:firstLine="210" w:firstLineChars="100"/>
              <w:jc w:val="left"/>
              <w:rPr>
                <w:rFonts w:hint="eastAsia"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竞标人已标价工程量清单（包含首次报价、最后报价）的子目号、子目名称及子目特征描述、计量单位、工程量须与招标工程量清单一致的，否则竞标无效；竞标报价不得高于采购最高限价。本项目采用二次报价方式，竞标人的最终报价如有变动，则必须以工程量清单报价表的格式编制提交，竞标人须提前做好相关准备并按时递交最终报价文件，否则报价无效。</w:t>
            </w:r>
          </w:p>
          <w:p w14:paraId="4D3C5439">
            <w:pP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付款方式：</w:t>
            </w:r>
          </w:p>
          <w:p w14:paraId="42760FCC">
            <w:pPr>
              <w:spacing w:line="420" w:lineRule="exact"/>
              <w:ind w:firstLine="210" w:firstLineChars="100"/>
              <w:rPr>
                <w:rFonts w:hint="eastAsia" w:ascii="宋体" w:hAnsi="宋体" w:cs="Times New Roman"/>
                <w:color w:val="auto"/>
                <w:szCs w:val="21"/>
                <w:highlight w:val="none"/>
              </w:rPr>
            </w:pPr>
            <w:r>
              <w:rPr>
                <w:rFonts w:hint="eastAsia" w:ascii="宋体" w:hAnsi="宋体" w:cs="Times New Roman"/>
                <w:color w:val="auto"/>
                <w:szCs w:val="21"/>
                <w:highlight w:val="none"/>
              </w:rPr>
              <w:t>3.1预付款:为签约合同价(扣除暂列金额)的 30%。预付款分四次扣回，第一次扣回在工程款进度达到合同价30%后扣回已支付预付款的30%，第二次扣回在工程款进度达到合同价 50%后扣回己支付预付款的30%，第三次扣回在工程款进度达到合同</w:t>
            </w:r>
            <w:r>
              <w:rPr>
                <w:rFonts w:hint="eastAsia" w:ascii="宋体" w:hAnsi="宋体" w:cs="Times New Roman"/>
                <w:color w:val="auto"/>
                <w:szCs w:val="21"/>
                <w:highlight w:val="none"/>
                <w:lang w:eastAsia="zh-CN"/>
              </w:rPr>
              <w:t>价</w:t>
            </w:r>
            <w:r>
              <w:rPr>
                <w:rFonts w:hint="eastAsia" w:ascii="宋体" w:hAnsi="宋体" w:cs="Times New Roman"/>
                <w:color w:val="auto"/>
                <w:szCs w:val="21"/>
                <w:highlight w:val="none"/>
              </w:rPr>
              <w:t>70%后扣回已支付预付款的 20%，第四次扣回在工程款进度达到合同价80%后扣回已支付预付款的20%。合同累计完成金额均指价格调整前未扣质量保证金的金额。</w:t>
            </w:r>
          </w:p>
          <w:p w14:paraId="75E5D979">
            <w:pPr>
              <w:spacing w:line="420" w:lineRule="exact"/>
              <w:ind w:firstLine="210" w:firstLineChars="100"/>
              <w:rPr>
                <w:rFonts w:hint="eastAsia" w:ascii="宋体" w:hAnsi="宋体" w:cs="Times New Roman"/>
                <w:color w:val="auto"/>
                <w:szCs w:val="21"/>
                <w:highlight w:val="none"/>
              </w:rPr>
            </w:pPr>
            <w:r>
              <w:rPr>
                <w:rFonts w:hint="eastAsia" w:ascii="宋体" w:hAnsi="宋体" w:cs="Times New Roman"/>
                <w:color w:val="auto"/>
                <w:szCs w:val="21"/>
                <w:highlight w:val="none"/>
              </w:rPr>
              <w:t>3.2进度款:在申请施工进度款前，工程质保资料、签证、计量等有关资料必须完成进度工程完成验收合格后支付实际完成工程量的 90%支付工程进度款;工程进度款申请材料须由承包人项目负责人审核签字及加盖公章，由发包人向承包人进行结算并由财政部门汇入双方指定的账户。</w:t>
            </w:r>
          </w:p>
          <w:p w14:paraId="58BED447">
            <w:pPr>
              <w:spacing w:line="420" w:lineRule="exact"/>
              <w:ind w:firstLine="210" w:firstLineChars="100"/>
              <w:rPr>
                <w:rFonts w:hint="eastAsia" w:ascii="宋体" w:hAnsi="宋体" w:cs="Times New Roman"/>
                <w:color w:val="auto"/>
                <w:szCs w:val="21"/>
                <w:highlight w:val="none"/>
              </w:rPr>
            </w:pPr>
            <w:r>
              <w:rPr>
                <w:rFonts w:hint="eastAsia" w:ascii="宋体" w:hAnsi="宋体" w:cs="Times New Roman"/>
                <w:color w:val="auto"/>
                <w:szCs w:val="21"/>
                <w:highlight w:val="none"/>
              </w:rPr>
              <w:t>3.3余款:余款在工程完工经结算机构结算审定，并扣除质量保证金后付清。合同外费用(含因设计变更引起增加工程量造价并经批准后)原则上在工程完工经结算机构结算审定后支付，如有其他情况，另行协商</w:t>
            </w:r>
          </w:p>
          <w:p w14:paraId="10D0D509">
            <w:pPr>
              <w:spacing w:line="420" w:lineRule="exact"/>
              <w:ind w:firstLine="210" w:firstLineChars="100"/>
              <w:rPr>
                <w:rFonts w:hint="default" w:ascii="宋体" w:hAnsi="宋体" w:cs="Times New Roman" w:eastAsiaTheme="minorEastAsia"/>
                <w:color w:val="auto"/>
                <w:szCs w:val="21"/>
                <w:highlight w:val="none"/>
                <w:lang w:val="en-US" w:eastAsia="zh-CN"/>
              </w:rPr>
            </w:pPr>
            <w:r>
              <w:rPr>
                <w:rFonts w:hint="eastAsia" w:ascii="宋体" w:hAnsi="宋体" w:cs="Times New Roman"/>
                <w:color w:val="auto"/>
                <w:szCs w:val="21"/>
                <w:highlight w:val="none"/>
              </w:rPr>
              <w:t>3.</w:t>
            </w:r>
            <w:r>
              <w:rPr>
                <w:rFonts w:hint="eastAsia" w:ascii="宋体" w:hAnsi="宋体" w:cs="Times New Roman"/>
                <w:color w:val="auto"/>
                <w:szCs w:val="21"/>
                <w:highlight w:val="none"/>
                <w:lang w:val="en-US" w:eastAsia="zh-CN"/>
              </w:rPr>
              <w:t>4</w:t>
            </w:r>
            <w:r>
              <w:rPr>
                <w:rFonts w:hint="eastAsia" w:ascii="宋体" w:hAnsi="宋体" w:cs="Times New Roman"/>
                <w:color w:val="auto"/>
                <w:szCs w:val="21"/>
                <w:highlight w:val="none"/>
              </w:rPr>
              <w:t>质保金:工程完工验收后，一次性扣留的质量保证金总额为工程价款结算总额的</w:t>
            </w:r>
            <w:r>
              <w:rPr>
                <w:rFonts w:hint="eastAsia" w:ascii="宋体" w:hAnsi="宋体" w:cs="Times New Roman"/>
                <w:color w:val="auto"/>
                <w:szCs w:val="21"/>
                <w:highlight w:val="none"/>
                <w:lang w:val="en-US" w:eastAsia="zh-CN"/>
              </w:rPr>
              <w:t>3%。</w:t>
            </w:r>
          </w:p>
          <w:p w14:paraId="574D2881">
            <w:pPr>
              <w:spacing w:line="420" w:lineRule="exact"/>
              <w:ind w:firstLine="210" w:firstLineChars="100"/>
              <w:rPr>
                <w:rFonts w:hint="eastAsia" w:ascii="宋体" w:hAnsi="宋体" w:cs="Times New Roman"/>
                <w:color w:val="auto"/>
                <w:szCs w:val="21"/>
                <w:highlight w:val="none"/>
              </w:rPr>
            </w:pPr>
            <w:r>
              <w:rPr>
                <w:rFonts w:hint="eastAsia" w:ascii="宋体" w:hAnsi="宋体" w:cs="Times New Roman"/>
                <w:color w:val="auto"/>
                <w:szCs w:val="21"/>
                <w:highlight w:val="none"/>
              </w:rPr>
              <w:t>每次付款前，承包人应按甲方的要求提供符合相关法律法规的增值税发票，如发票不符合要求，发包人有权拒收，承包人应承担因不合格发票产生的所有责任。</w:t>
            </w:r>
          </w:p>
          <w:p w14:paraId="233396A1">
            <w:pPr>
              <w:spacing w:line="420" w:lineRule="exact"/>
              <w:ind w:firstLine="210" w:firstLineChars="100"/>
              <w:rPr>
                <w:rFonts w:hint="eastAsia" w:ascii="宋体" w:hAnsi="宋体" w:cs="Times New Roman"/>
                <w:color w:val="auto"/>
                <w:szCs w:val="21"/>
                <w:highlight w:val="none"/>
              </w:rPr>
            </w:pPr>
            <w:r>
              <w:rPr>
                <w:rFonts w:hint="eastAsia" w:ascii="宋体" w:hAnsi="宋体" w:cs="Times New Roman"/>
                <w:color w:val="auto"/>
                <w:szCs w:val="21"/>
                <w:highlight w:val="none"/>
              </w:rPr>
              <w:t>发包人最终向承包人支付的工程款，以财政部门、审计部门或其委托的审价机构审定的款项为准(如设备款不需财政或审计部门审定，即以发包人与承包人确认的款项为准)。发包人向承包人支付进度款、质保金等所有款项都是通过财政支付程序支付，在上述约定时间内发包人办理了付款给承包人的手续，如果因为财政支付程序造成款项有延迟到达承包人账户的情形，不视为发包人违约，承包人不因此要求发包人承担违约责任。</w:t>
            </w:r>
          </w:p>
          <w:p w14:paraId="79D4E2F5">
            <w:pPr>
              <w:numPr>
                <w:ilvl w:val="0"/>
                <w:numId w:val="0"/>
              </w:numPr>
              <w:spacing w:line="420" w:lineRule="exact"/>
              <w:ind w:firstLine="420" w:firstLineChars="200"/>
              <w:jc w:val="left"/>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4.在未交付使用前，成交供应商应采取一切合理的预防措施，防止人员伤亡，财产损失，费用由成交供应商自行承担。</w:t>
            </w:r>
          </w:p>
          <w:p w14:paraId="7FFBFA23">
            <w:pPr>
              <w:numPr>
                <w:ilvl w:val="0"/>
                <w:numId w:val="0"/>
              </w:numPr>
              <w:spacing w:line="420" w:lineRule="exact"/>
              <w:ind w:firstLine="211" w:firstLineChars="100"/>
              <w:jc w:val="left"/>
              <w:rPr>
                <w:rFonts w:hint="default" w:ascii="宋体" w:hAnsi="宋体" w:eastAsia="宋体"/>
                <w:b/>
                <w:bCs/>
                <w:color w:val="auto"/>
                <w:sz w:val="21"/>
                <w:szCs w:val="21"/>
                <w:highlight w:val="none"/>
              </w:rPr>
            </w:pPr>
            <w:r>
              <w:rPr>
                <w:rFonts w:hint="default" w:ascii="宋体" w:hAnsi="宋体" w:eastAsia="宋体"/>
                <w:b/>
                <w:bCs/>
                <w:color w:val="auto"/>
                <w:kern w:val="0"/>
                <w:sz w:val="21"/>
                <w:szCs w:val="21"/>
                <w:highlight w:val="none"/>
              </w:rPr>
              <w:t>▲5.</w:t>
            </w:r>
            <w:r>
              <w:rPr>
                <w:rFonts w:hint="default" w:ascii="宋体" w:hAnsi="宋体" w:eastAsia="宋体" w:cs="宋体"/>
                <w:b/>
                <w:bCs/>
                <w:color w:val="auto"/>
                <w:sz w:val="21"/>
                <w:szCs w:val="21"/>
                <w:highlight w:val="none"/>
              </w:rPr>
              <w:t>拟投入本项目人员要求（以下人员情况材料在技术文件中按要求提供）：</w:t>
            </w:r>
          </w:p>
          <w:p w14:paraId="387E238F">
            <w:pPr>
              <w:numPr>
                <w:ilvl w:val="0"/>
                <w:numId w:val="0"/>
              </w:numPr>
              <w:spacing w:line="420" w:lineRule="exact"/>
              <w:ind w:firstLine="211" w:firstLineChars="100"/>
              <w:jc w:val="left"/>
              <w:rPr>
                <w:rFonts w:hint="default" w:ascii="宋体" w:hAnsi="宋体" w:eastAsia="宋体" w:cs="宋体"/>
                <w:b/>
                <w:bCs/>
                <w:color w:val="auto"/>
                <w:sz w:val="21"/>
                <w:szCs w:val="21"/>
                <w:highlight w:val="none"/>
              </w:rPr>
            </w:pPr>
            <w:r>
              <w:rPr>
                <w:rFonts w:hint="default" w:ascii="宋体" w:hAnsi="宋体" w:eastAsia="宋体" w:cs="宋体"/>
                <w:b/>
                <w:bCs/>
                <w:color w:val="auto"/>
                <w:sz w:val="21"/>
                <w:szCs w:val="21"/>
                <w:highlight w:val="none"/>
              </w:rPr>
              <w:t>（1）项目经理要求：持有</w:t>
            </w:r>
            <w:bookmarkStart w:id="33" w:name="EB4751fc3d1ee54027b9f8c3685a99a3ad"/>
            <w:r>
              <w:rPr>
                <w:rFonts w:hint="default" w:ascii="宋体" w:hAnsi="宋体" w:eastAsia="宋体" w:cs="宋体"/>
                <w:b/>
                <w:bCs/>
                <w:color w:val="auto"/>
                <w:sz w:val="21"/>
                <w:szCs w:val="21"/>
                <w:highlight w:val="none"/>
              </w:rPr>
              <w:t>贰</w:t>
            </w:r>
            <w:bookmarkEnd w:id="33"/>
            <w:r>
              <w:rPr>
                <w:rFonts w:hint="default" w:ascii="宋体" w:hAnsi="宋体" w:eastAsia="宋体" w:cs="宋体"/>
                <w:b/>
                <w:bCs/>
                <w:color w:val="auto"/>
                <w:sz w:val="21"/>
                <w:szCs w:val="21"/>
                <w:highlight w:val="none"/>
              </w:rPr>
              <w:t>级或</w:t>
            </w:r>
            <w:bookmarkStart w:id="34" w:name="EBd63a5e7000434829b2eab97cc3ad76a0"/>
            <w:r>
              <w:rPr>
                <w:rFonts w:hint="default" w:ascii="宋体" w:hAnsi="宋体" w:eastAsia="宋体" w:cs="宋体"/>
                <w:b/>
                <w:bCs/>
                <w:color w:val="auto"/>
                <w:sz w:val="21"/>
                <w:szCs w:val="21"/>
                <w:highlight w:val="none"/>
              </w:rPr>
              <w:t>贰</w:t>
            </w:r>
            <w:bookmarkEnd w:id="34"/>
            <w:r>
              <w:rPr>
                <w:rFonts w:hint="default" w:ascii="宋体" w:hAnsi="宋体" w:eastAsia="宋体" w:cs="宋体"/>
                <w:b/>
                <w:bCs/>
                <w:color w:val="auto"/>
                <w:sz w:val="21"/>
                <w:szCs w:val="21"/>
                <w:highlight w:val="none"/>
              </w:rPr>
              <w:t>级以上建造师注册证书，专业是水利水电工程类专业（以建造师注册证书中“专业类别”栏所填写的专业为准）；持有省级或省级以上水行政主管部门或其授权部门（机构）颁发的B类安全生产考核合格证书。</w:t>
            </w:r>
          </w:p>
          <w:p w14:paraId="216DFD6D">
            <w:pPr>
              <w:numPr>
                <w:ilvl w:val="0"/>
                <w:numId w:val="0"/>
              </w:numPr>
              <w:spacing w:line="420" w:lineRule="exact"/>
              <w:ind w:firstLine="211" w:firstLineChars="100"/>
              <w:jc w:val="left"/>
              <w:rPr>
                <w:rFonts w:hint="default" w:ascii="宋体" w:hAnsi="宋体" w:eastAsia="宋体" w:cs="宋体"/>
                <w:b/>
                <w:bCs/>
                <w:color w:val="auto"/>
                <w:sz w:val="21"/>
                <w:szCs w:val="21"/>
                <w:highlight w:val="none"/>
              </w:rPr>
            </w:pPr>
            <w:r>
              <w:rPr>
                <w:rFonts w:hint="default" w:ascii="宋体" w:hAnsi="宋体" w:eastAsia="宋体" w:cs="宋体"/>
                <w:b/>
                <w:bCs/>
                <w:color w:val="auto"/>
                <w:sz w:val="21"/>
                <w:szCs w:val="21"/>
                <w:highlight w:val="none"/>
              </w:rPr>
              <w:t>（2）项目技术负责人：持有</w:t>
            </w:r>
            <w:bookmarkStart w:id="35" w:name="EB7818c1542f204d1887d45e8df4d88056"/>
            <w:r>
              <w:rPr>
                <w:rFonts w:hint="eastAsia" w:ascii="宋体" w:hAnsi="宋体" w:eastAsia="宋体" w:cs="宋体"/>
                <w:b/>
                <w:bCs/>
                <w:color w:val="auto"/>
                <w:sz w:val="21"/>
                <w:szCs w:val="21"/>
                <w:highlight w:val="none"/>
                <w:lang w:val="en-US" w:eastAsia="zh-CN"/>
              </w:rPr>
              <w:t>水利工程类</w:t>
            </w:r>
            <w:r>
              <w:rPr>
                <w:rFonts w:hint="default" w:ascii="宋体" w:hAnsi="宋体" w:eastAsia="宋体" w:cs="宋体"/>
                <w:b/>
                <w:bCs/>
                <w:color w:val="auto"/>
                <w:sz w:val="21"/>
                <w:szCs w:val="21"/>
                <w:highlight w:val="none"/>
              </w:rPr>
              <w:t>中级或中级</w:t>
            </w:r>
            <w:bookmarkEnd w:id="35"/>
            <w:r>
              <w:rPr>
                <w:rFonts w:hint="default" w:ascii="宋体" w:hAnsi="宋体" w:eastAsia="宋体" w:cs="宋体"/>
                <w:b/>
                <w:bCs/>
                <w:color w:val="auto"/>
                <w:sz w:val="21"/>
                <w:szCs w:val="21"/>
                <w:highlight w:val="none"/>
              </w:rPr>
              <w:t>以上技术职称。</w:t>
            </w:r>
          </w:p>
          <w:p w14:paraId="4EEAC4CD">
            <w:pPr>
              <w:numPr>
                <w:ilvl w:val="0"/>
                <w:numId w:val="0"/>
              </w:numPr>
              <w:spacing w:line="440" w:lineRule="exact"/>
              <w:ind w:firstLine="211" w:firstLineChars="100"/>
              <w:rPr>
                <w:color w:val="auto"/>
                <w:sz w:val="21"/>
                <w:szCs w:val="21"/>
              </w:rPr>
            </w:pPr>
            <w:r>
              <w:rPr>
                <w:rFonts w:hint="default" w:ascii="宋体" w:hAnsi="宋体" w:eastAsia="宋体" w:cs="宋体"/>
                <w:b/>
                <w:bCs/>
                <w:color w:val="auto"/>
                <w:sz w:val="21"/>
                <w:szCs w:val="21"/>
                <w:highlight w:val="none"/>
              </w:rPr>
              <w:t>（3）专职安全生产管理人员：持有省级或省级以上水行政主管部门或其授权部门（机构）颁发的c 类安全生产考核合格证书。</w:t>
            </w:r>
          </w:p>
          <w:p w14:paraId="0E38C0AC">
            <w:pPr>
              <w:spacing w:line="420" w:lineRule="exact"/>
              <w:ind w:firstLine="211" w:firstLineChars="100"/>
              <w:rPr>
                <w:rFonts w:hint="eastAsia" w:ascii="宋体" w:hAnsi="宋体" w:cs="Times New Roman"/>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w:t>
            </w:r>
            <w:r>
              <w:rPr>
                <w:rFonts w:hint="default" w:ascii="宋体" w:hAnsi="宋体" w:eastAsia="宋体" w:cs="宋体"/>
                <w:b/>
                <w:bCs/>
                <w:color w:val="auto"/>
                <w:sz w:val="21"/>
                <w:szCs w:val="21"/>
                <w:highlight w:val="none"/>
              </w:rPr>
              <w:t>质量管理员</w:t>
            </w:r>
            <w:r>
              <w:rPr>
                <w:rFonts w:hint="eastAsia" w:ascii="宋体" w:hAnsi="宋体" w:eastAsia="宋体" w:cs="宋体"/>
                <w:b/>
                <w:bCs/>
                <w:color w:val="auto"/>
                <w:sz w:val="21"/>
                <w:szCs w:val="21"/>
                <w:highlight w:val="none"/>
                <w:lang w:eastAsia="zh-CN"/>
              </w:rPr>
              <w:t>：</w:t>
            </w:r>
            <w:r>
              <w:rPr>
                <w:rFonts w:hint="default" w:ascii="宋体" w:hAnsi="宋体" w:eastAsia="宋体" w:cs="宋体"/>
                <w:b/>
                <w:bCs/>
                <w:color w:val="auto"/>
                <w:sz w:val="21"/>
                <w:szCs w:val="21"/>
                <w:highlight w:val="none"/>
              </w:rPr>
              <w:t>持有省级或省级以上水行政主管部 门或其授权的部门（机构）颁发的质量检查员证</w:t>
            </w:r>
            <w:r>
              <w:rPr>
                <w:rFonts w:hint="eastAsia" w:ascii="宋体" w:hAnsi="宋体" w:eastAsia="宋体" w:cs="宋体"/>
                <w:b/>
                <w:bCs/>
                <w:color w:val="auto"/>
                <w:sz w:val="21"/>
                <w:szCs w:val="21"/>
                <w:highlight w:val="none"/>
                <w:lang w:eastAsia="zh-CN"/>
              </w:rPr>
              <w:t>。</w:t>
            </w:r>
          </w:p>
        </w:tc>
      </w:tr>
      <w:tr w14:paraId="1BE5668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5" w:type="dxa"/>
            <w:tcBorders>
              <w:top w:val="single" w:color="auto" w:sz="4" w:space="0"/>
              <w:left w:val="single" w:color="auto" w:sz="4" w:space="0"/>
              <w:bottom w:val="single" w:color="auto" w:sz="4" w:space="0"/>
              <w:right w:val="single" w:color="auto" w:sz="4" w:space="0"/>
            </w:tcBorders>
            <w:vAlign w:val="center"/>
          </w:tcPr>
          <w:p w14:paraId="373C2E8B">
            <w:pPr>
              <w:spacing w:line="240" w:lineRule="exact"/>
              <w:jc w:val="center"/>
              <w:rPr>
                <w:rFonts w:hint="eastAsia" w:ascii="宋体" w:hAnsi="宋体" w:cs="宋体"/>
                <w:color w:val="auto"/>
                <w:szCs w:val="21"/>
                <w:lang w:bidi="ar"/>
              </w:rPr>
            </w:pPr>
            <w:r>
              <w:rPr>
                <w:rFonts w:hint="eastAsia" w:ascii="宋体" w:hAnsi="宋体" w:cs="宋体"/>
                <w:color w:val="auto"/>
                <w:lang w:bidi="ar"/>
              </w:rPr>
              <w:t>其他说明</w:t>
            </w:r>
          </w:p>
        </w:tc>
        <w:tc>
          <w:tcPr>
            <w:tcW w:w="8913" w:type="dxa"/>
            <w:gridSpan w:val="6"/>
            <w:tcBorders>
              <w:top w:val="single" w:color="auto" w:sz="4" w:space="0"/>
              <w:left w:val="single" w:color="auto" w:sz="4" w:space="0"/>
              <w:bottom w:val="single" w:color="auto" w:sz="4" w:space="0"/>
              <w:right w:val="single" w:color="auto" w:sz="4" w:space="0"/>
            </w:tcBorders>
            <w:vAlign w:val="center"/>
          </w:tcPr>
          <w:p w14:paraId="32443345">
            <w:pPr>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一、进口产品说明</w:t>
            </w:r>
          </w:p>
          <w:p w14:paraId="6EDE7065">
            <w:pPr>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本项目不涉及进口产品。</w:t>
            </w:r>
          </w:p>
          <w:p w14:paraId="7C1B9B9E">
            <w:pPr>
              <w:numPr>
                <w:ilvl w:val="0"/>
                <w:numId w:val="1"/>
              </w:numPr>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其他：供应商自行到项目所在地进行现场勘察，否则由于对现场情况不了解或了解不透彻导致响应失误的后果由磋商供应商自行承担。</w:t>
            </w:r>
          </w:p>
          <w:p w14:paraId="02A94FD2">
            <w:pPr>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三</w:t>
            </w:r>
            <w:r>
              <w:rPr>
                <w:rFonts w:hint="eastAsia" w:ascii="宋体" w:hAnsi="宋体" w:cs="宋体"/>
                <w:b/>
                <w:bCs/>
                <w:color w:val="auto"/>
                <w:szCs w:val="21"/>
                <w:highlight w:val="none"/>
              </w:rPr>
              <w:t>、与本工程有关的图纸、工程量清单及其获取方式</w:t>
            </w:r>
          </w:p>
          <w:p w14:paraId="6A865331">
            <w:pPr>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资料名称：1、工程量清单；2、图纸。</w:t>
            </w:r>
          </w:p>
          <w:p w14:paraId="3DCAB779">
            <w:pPr>
              <w:spacing w:line="260" w:lineRule="exact"/>
              <w:jc w:val="left"/>
              <w:rPr>
                <w:rFonts w:hint="eastAsia" w:ascii="宋体" w:hAnsi="宋体" w:cs="宋体"/>
                <w:color w:val="auto"/>
                <w:szCs w:val="21"/>
              </w:rPr>
            </w:pPr>
            <w:r>
              <w:rPr>
                <w:rFonts w:hint="eastAsia" w:ascii="宋体" w:hAnsi="宋体" w:cs="宋体"/>
                <w:b/>
                <w:bCs/>
                <w:color w:val="auto"/>
                <w:szCs w:val="21"/>
                <w:highlight w:val="none"/>
              </w:rPr>
              <w:t>获取方式：网上下载，供应商可自行在“广西政采云”平台（https://www.gcy.zfcg.gxzf.gov.cn/）下载相关资料，方式同采购文件获取方式。</w:t>
            </w:r>
          </w:p>
        </w:tc>
      </w:tr>
    </w:tbl>
    <w:p w14:paraId="355B9367">
      <w:pPr>
        <w:spacing w:line="320" w:lineRule="exact"/>
        <w:rPr>
          <w:rFonts w:hint="eastAsia" w:ascii="宋体" w:hAnsi="宋体" w:eastAsia="宋体" w:cs="宋体"/>
          <w:color w:val="auto"/>
        </w:rPr>
      </w:pPr>
    </w:p>
    <w:p w14:paraId="019665C8">
      <w:pPr>
        <w:spacing w:line="360" w:lineRule="auto"/>
        <w:rPr>
          <w:rFonts w:hint="eastAsia" w:ascii="宋体" w:hAnsi="宋体" w:eastAsia="宋体" w:cs="宋体"/>
          <w:b/>
          <w:bCs/>
          <w:color w:val="auto"/>
          <w:szCs w:val="21"/>
          <w:lang w:bidi="ar"/>
        </w:rPr>
        <w:sectPr>
          <w:footerReference r:id="rId3" w:type="default"/>
          <w:pgSz w:w="11910" w:h="16840"/>
          <w:pgMar w:top="1520" w:right="1440" w:bottom="1134" w:left="1440" w:header="720" w:footer="720" w:gutter="0"/>
          <w:pgNumType w:fmt="decimal" w:start="1"/>
          <w:cols w:space="425" w:num="1"/>
          <w:docGrid w:type="lines" w:linePitch="312" w:charSpace="0"/>
        </w:sectPr>
      </w:pPr>
    </w:p>
    <w:p w14:paraId="6978F438">
      <w:pPr>
        <w:pStyle w:val="17"/>
        <w:widowControl/>
        <w:jc w:val="left"/>
        <w:rPr>
          <w:rFonts w:ascii="Arial Unicode MS" w:hAnsi="Arial Unicode MS" w:eastAsia="Arial Unicode MS" w:cs="Arial Unicode MS"/>
          <w:color w:val="auto"/>
          <w:sz w:val="32"/>
          <w:szCs w:val="32"/>
        </w:rPr>
      </w:pPr>
      <w:r>
        <w:rPr>
          <w:rFonts w:ascii="微软雅黑" w:hAnsi="微软雅黑" w:eastAsia="微软雅黑" w:cs="微软雅黑"/>
          <w:color w:val="auto"/>
          <w:sz w:val="32"/>
          <w:szCs w:val="32"/>
        </w:rPr>
        <w:t>附件：</w:t>
      </w:r>
    </w:p>
    <w:p w14:paraId="09416F3A">
      <w:pPr>
        <w:spacing w:line="528" w:lineRule="exact"/>
        <w:ind w:left="1871"/>
        <w:rPr>
          <w:rFonts w:hint="eastAsia" w:ascii="Arial Unicode MS" w:hAnsi="Arial Unicode MS" w:eastAsia="Arial Unicode MS" w:cs="Arial Unicode MS"/>
          <w:color w:val="auto"/>
          <w:sz w:val="40"/>
          <w:szCs w:val="40"/>
        </w:rPr>
      </w:pPr>
      <w:r>
        <w:rPr>
          <w:rFonts w:hint="eastAsia" w:ascii="微软雅黑" w:hAnsi="微软雅黑" w:eastAsia="微软雅黑" w:cs="微软雅黑"/>
          <w:color w:val="auto"/>
          <w:sz w:val="40"/>
          <w:szCs w:val="40"/>
          <w:lang w:bidi="ar"/>
        </w:rPr>
        <w:t>中小微企业划型标准</w:t>
      </w:r>
    </w:p>
    <w:tbl>
      <w:tblPr>
        <w:tblStyle w:val="29"/>
        <w:tblW w:w="9495" w:type="dxa"/>
        <w:tblInd w:w="250" w:type="dxa"/>
        <w:tblLayout w:type="fixed"/>
        <w:tblCellMar>
          <w:top w:w="0" w:type="dxa"/>
          <w:left w:w="108" w:type="dxa"/>
          <w:bottom w:w="0" w:type="dxa"/>
          <w:right w:w="108" w:type="dxa"/>
        </w:tblCellMar>
      </w:tblPr>
      <w:tblGrid>
        <w:gridCol w:w="1984"/>
        <w:gridCol w:w="1983"/>
        <w:gridCol w:w="851"/>
        <w:gridCol w:w="1841"/>
        <w:gridCol w:w="1701"/>
        <w:gridCol w:w="1135"/>
      </w:tblGrid>
      <w:tr w14:paraId="6A43CD70">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444B6E9C">
            <w:pPr>
              <w:widowControl/>
              <w:jc w:val="left"/>
              <w:rPr>
                <w:rFonts w:hint="eastAsia" w:ascii="仿宋_GB2312" w:hAnsi="仿宋" w:eastAsia="仿宋_GB2312" w:cs="宋体"/>
                <w:b/>
                <w:color w:val="auto"/>
                <w:kern w:val="0"/>
                <w:szCs w:val="21"/>
              </w:rPr>
            </w:pPr>
            <w:r>
              <w:rPr>
                <w:rFonts w:hint="eastAsia" w:ascii="仿宋_GB2312" w:hAnsi="仿宋" w:eastAsia="仿宋_GB2312" w:cs="宋体"/>
                <w:b/>
                <w:color w:val="auto"/>
                <w:kern w:val="0"/>
                <w:szCs w:val="21"/>
                <w:lang w:bidi="ar"/>
              </w:rPr>
              <w:t>行业名称</w:t>
            </w:r>
          </w:p>
        </w:tc>
        <w:tc>
          <w:tcPr>
            <w:tcW w:w="1984" w:type="dxa"/>
            <w:tcBorders>
              <w:top w:val="single" w:color="auto" w:sz="4" w:space="0"/>
              <w:left w:val="nil"/>
              <w:bottom w:val="single" w:color="auto" w:sz="4" w:space="0"/>
              <w:right w:val="single" w:color="auto" w:sz="4" w:space="0"/>
            </w:tcBorders>
            <w:shd w:val="clear" w:color="auto" w:fill="auto"/>
            <w:vAlign w:val="center"/>
          </w:tcPr>
          <w:p w14:paraId="611ECB5D">
            <w:pPr>
              <w:widowControl/>
              <w:jc w:val="left"/>
              <w:rPr>
                <w:rFonts w:hint="eastAsia" w:ascii="仿宋_GB2312" w:hAnsi="仿宋" w:eastAsia="仿宋_GB2312" w:cs="宋体"/>
                <w:b/>
                <w:color w:val="auto"/>
                <w:kern w:val="0"/>
                <w:szCs w:val="21"/>
              </w:rPr>
            </w:pPr>
            <w:r>
              <w:rPr>
                <w:rFonts w:hint="eastAsia" w:ascii="仿宋_GB2312" w:hAnsi="仿宋" w:eastAsia="仿宋_GB2312" w:cs="宋体"/>
                <w:b/>
                <w:color w:val="auto"/>
                <w:kern w:val="0"/>
                <w:szCs w:val="21"/>
                <w:lang w:bidi="ar"/>
              </w:rPr>
              <w:t>指标名称</w:t>
            </w:r>
          </w:p>
        </w:tc>
        <w:tc>
          <w:tcPr>
            <w:tcW w:w="851" w:type="dxa"/>
            <w:tcBorders>
              <w:top w:val="single" w:color="auto" w:sz="4" w:space="0"/>
              <w:left w:val="nil"/>
              <w:bottom w:val="single" w:color="auto" w:sz="4" w:space="0"/>
              <w:right w:val="single" w:color="auto" w:sz="4" w:space="0"/>
            </w:tcBorders>
            <w:shd w:val="clear" w:color="auto" w:fill="auto"/>
            <w:vAlign w:val="center"/>
          </w:tcPr>
          <w:p w14:paraId="0BB94F38">
            <w:pPr>
              <w:widowControl/>
              <w:jc w:val="left"/>
              <w:rPr>
                <w:rFonts w:hint="eastAsia" w:ascii="仿宋_GB2312" w:hAnsi="仿宋" w:eastAsia="仿宋_GB2312" w:cs="宋体"/>
                <w:b/>
                <w:color w:val="auto"/>
                <w:kern w:val="0"/>
                <w:szCs w:val="21"/>
              </w:rPr>
            </w:pPr>
            <w:r>
              <w:rPr>
                <w:rFonts w:hint="eastAsia" w:ascii="仿宋_GB2312" w:hAnsi="仿宋" w:eastAsia="仿宋_GB2312" w:cs="宋体"/>
                <w:b/>
                <w:color w:val="auto"/>
                <w:kern w:val="0"/>
                <w:szCs w:val="21"/>
                <w:lang w:bidi="ar"/>
              </w:rPr>
              <w:t>计量单位</w:t>
            </w:r>
          </w:p>
        </w:tc>
        <w:tc>
          <w:tcPr>
            <w:tcW w:w="1842" w:type="dxa"/>
            <w:tcBorders>
              <w:top w:val="single" w:color="auto" w:sz="4" w:space="0"/>
              <w:left w:val="nil"/>
              <w:bottom w:val="single" w:color="auto" w:sz="4" w:space="0"/>
              <w:right w:val="single" w:color="auto" w:sz="4" w:space="0"/>
            </w:tcBorders>
            <w:shd w:val="clear" w:color="auto" w:fill="auto"/>
            <w:vAlign w:val="center"/>
          </w:tcPr>
          <w:p w14:paraId="006A5AC8">
            <w:pPr>
              <w:widowControl/>
              <w:jc w:val="left"/>
              <w:rPr>
                <w:rFonts w:hint="eastAsia" w:ascii="仿宋_GB2312" w:hAnsi="仿宋" w:eastAsia="仿宋_GB2312" w:cs="宋体"/>
                <w:b/>
                <w:color w:val="auto"/>
                <w:kern w:val="0"/>
                <w:szCs w:val="21"/>
              </w:rPr>
            </w:pPr>
            <w:r>
              <w:rPr>
                <w:rFonts w:hint="eastAsia" w:ascii="仿宋_GB2312" w:hAnsi="仿宋" w:eastAsia="仿宋_GB2312" w:cs="宋体"/>
                <w:b/>
                <w:color w:val="auto"/>
                <w:kern w:val="0"/>
                <w:szCs w:val="21"/>
                <w:lang w:bidi="ar"/>
              </w:rPr>
              <w:t>中型</w:t>
            </w:r>
          </w:p>
        </w:tc>
        <w:tc>
          <w:tcPr>
            <w:tcW w:w="1702" w:type="dxa"/>
            <w:tcBorders>
              <w:top w:val="single" w:color="auto" w:sz="4" w:space="0"/>
              <w:left w:val="nil"/>
              <w:bottom w:val="single" w:color="auto" w:sz="4" w:space="0"/>
              <w:right w:val="single" w:color="auto" w:sz="4" w:space="0"/>
            </w:tcBorders>
            <w:shd w:val="clear" w:color="auto" w:fill="auto"/>
            <w:vAlign w:val="center"/>
          </w:tcPr>
          <w:p w14:paraId="6AA2CE6B">
            <w:pPr>
              <w:widowControl/>
              <w:jc w:val="left"/>
              <w:rPr>
                <w:rFonts w:hint="eastAsia" w:ascii="仿宋_GB2312" w:hAnsi="仿宋" w:eastAsia="仿宋_GB2312" w:cs="宋体"/>
                <w:b/>
                <w:color w:val="auto"/>
                <w:kern w:val="0"/>
                <w:szCs w:val="21"/>
              </w:rPr>
            </w:pPr>
            <w:r>
              <w:rPr>
                <w:rFonts w:hint="eastAsia" w:ascii="仿宋_GB2312" w:hAnsi="仿宋" w:eastAsia="仿宋_GB2312" w:cs="宋体"/>
                <w:b/>
                <w:color w:val="auto"/>
                <w:kern w:val="0"/>
                <w:szCs w:val="21"/>
                <w:lang w:bidi="ar"/>
              </w:rPr>
              <w:t>小型</w:t>
            </w:r>
          </w:p>
        </w:tc>
        <w:tc>
          <w:tcPr>
            <w:tcW w:w="1135" w:type="dxa"/>
            <w:tcBorders>
              <w:top w:val="single" w:color="auto" w:sz="4" w:space="0"/>
              <w:left w:val="nil"/>
              <w:bottom w:val="single" w:color="auto" w:sz="4" w:space="0"/>
              <w:right w:val="single" w:color="auto" w:sz="4" w:space="0"/>
            </w:tcBorders>
            <w:shd w:val="clear" w:color="auto" w:fill="auto"/>
            <w:vAlign w:val="center"/>
          </w:tcPr>
          <w:p w14:paraId="1304DCA2">
            <w:pPr>
              <w:widowControl/>
              <w:jc w:val="left"/>
              <w:rPr>
                <w:rFonts w:hint="eastAsia" w:ascii="仿宋_GB2312" w:hAnsi="仿宋" w:eastAsia="仿宋_GB2312" w:cs="宋体"/>
                <w:b/>
                <w:color w:val="auto"/>
                <w:kern w:val="0"/>
                <w:szCs w:val="21"/>
              </w:rPr>
            </w:pPr>
            <w:r>
              <w:rPr>
                <w:rFonts w:hint="eastAsia" w:ascii="仿宋_GB2312" w:hAnsi="仿宋" w:eastAsia="仿宋_GB2312" w:cs="宋体"/>
                <w:b/>
                <w:color w:val="auto"/>
                <w:kern w:val="0"/>
                <w:szCs w:val="21"/>
                <w:lang w:bidi="ar"/>
              </w:rPr>
              <w:t>微型</w:t>
            </w:r>
          </w:p>
        </w:tc>
      </w:tr>
      <w:tr w14:paraId="336A04C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shd w:val="clear" w:color="auto" w:fill="auto"/>
            <w:vAlign w:val="bottom"/>
          </w:tcPr>
          <w:p w14:paraId="6EF095EB">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农、林、牧、渔</w:t>
            </w:r>
          </w:p>
        </w:tc>
        <w:tc>
          <w:tcPr>
            <w:tcW w:w="1984" w:type="dxa"/>
            <w:tcBorders>
              <w:top w:val="nil"/>
              <w:left w:val="nil"/>
              <w:bottom w:val="single" w:color="auto" w:sz="4" w:space="0"/>
              <w:right w:val="single" w:color="auto" w:sz="4" w:space="0"/>
            </w:tcBorders>
            <w:shd w:val="clear" w:color="auto" w:fill="auto"/>
            <w:vAlign w:val="center"/>
          </w:tcPr>
          <w:p w14:paraId="75317D4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25634364">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0A342CC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500≤Y＜20000</w:t>
            </w:r>
          </w:p>
        </w:tc>
        <w:tc>
          <w:tcPr>
            <w:tcW w:w="1702" w:type="dxa"/>
            <w:tcBorders>
              <w:top w:val="nil"/>
              <w:left w:val="nil"/>
              <w:bottom w:val="single" w:color="auto" w:sz="4" w:space="0"/>
              <w:right w:val="single" w:color="auto" w:sz="4" w:space="0"/>
            </w:tcBorders>
            <w:shd w:val="clear" w:color="auto" w:fill="auto"/>
            <w:vAlign w:val="center"/>
          </w:tcPr>
          <w:p w14:paraId="6FBE311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50≤Y＜500</w:t>
            </w:r>
          </w:p>
        </w:tc>
        <w:tc>
          <w:tcPr>
            <w:tcW w:w="1135" w:type="dxa"/>
            <w:tcBorders>
              <w:top w:val="nil"/>
              <w:left w:val="nil"/>
              <w:bottom w:val="single" w:color="auto" w:sz="4" w:space="0"/>
              <w:right w:val="single" w:color="auto" w:sz="4" w:space="0"/>
            </w:tcBorders>
            <w:shd w:val="clear" w:color="auto" w:fill="auto"/>
            <w:vAlign w:val="center"/>
          </w:tcPr>
          <w:p w14:paraId="7D87FAF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Y＜50</w:t>
            </w:r>
          </w:p>
        </w:tc>
      </w:tr>
      <w:tr w14:paraId="45CBAE3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5BB46453">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工业</w:t>
            </w:r>
          </w:p>
        </w:tc>
        <w:tc>
          <w:tcPr>
            <w:tcW w:w="1984" w:type="dxa"/>
            <w:tcBorders>
              <w:top w:val="nil"/>
              <w:left w:val="nil"/>
              <w:bottom w:val="single" w:color="auto" w:sz="4" w:space="0"/>
              <w:right w:val="single" w:color="auto" w:sz="4" w:space="0"/>
            </w:tcBorders>
            <w:shd w:val="clear" w:color="auto" w:fill="auto"/>
            <w:vAlign w:val="center"/>
          </w:tcPr>
          <w:p w14:paraId="1012F92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523FB38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7F80C3CD">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300≤X＜1000</w:t>
            </w:r>
          </w:p>
        </w:tc>
        <w:tc>
          <w:tcPr>
            <w:tcW w:w="1702" w:type="dxa"/>
            <w:tcBorders>
              <w:top w:val="nil"/>
              <w:left w:val="nil"/>
              <w:bottom w:val="single" w:color="auto" w:sz="4" w:space="0"/>
              <w:right w:val="single" w:color="auto" w:sz="4" w:space="0"/>
            </w:tcBorders>
            <w:shd w:val="clear" w:color="auto" w:fill="auto"/>
            <w:vAlign w:val="center"/>
          </w:tcPr>
          <w:p w14:paraId="4526EE1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20≤X＜300</w:t>
            </w:r>
          </w:p>
        </w:tc>
        <w:tc>
          <w:tcPr>
            <w:tcW w:w="1135" w:type="dxa"/>
            <w:tcBorders>
              <w:top w:val="nil"/>
              <w:left w:val="nil"/>
              <w:bottom w:val="single" w:color="auto" w:sz="4" w:space="0"/>
              <w:right w:val="single" w:color="auto" w:sz="4" w:space="0"/>
            </w:tcBorders>
            <w:shd w:val="clear" w:color="auto" w:fill="auto"/>
            <w:vAlign w:val="center"/>
          </w:tcPr>
          <w:p w14:paraId="2ABB71C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X＜20</w:t>
            </w:r>
          </w:p>
        </w:tc>
      </w:tr>
      <w:tr w14:paraId="27A3F4B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00355093">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510BE4A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2C70DC2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1F228600">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2000≤Y＜40000</w:t>
            </w:r>
          </w:p>
        </w:tc>
        <w:tc>
          <w:tcPr>
            <w:tcW w:w="1702" w:type="dxa"/>
            <w:tcBorders>
              <w:top w:val="nil"/>
              <w:left w:val="nil"/>
              <w:bottom w:val="single" w:color="auto" w:sz="4" w:space="0"/>
              <w:right w:val="single" w:color="auto" w:sz="4" w:space="0"/>
            </w:tcBorders>
            <w:shd w:val="clear" w:color="auto" w:fill="auto"/>
            <w:vAlign w:val="center"/>
          </w:tcPr>
          <w:p w14:paraId="3012FB7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300≤Y＜2000</w:t>
            </w:r>
          </w:p>
        </w:tc>
        <w:tc>
          <w:tcPr>
            <w:tcW w:w="1135" w:type="dxa"/>
            <w:tcBorders>
              <w:top w:val="nil"/>
              <w:left w:val="nil"/>
              <w:bottom w:val="single" w:color="auto" w:sz="4" w:space="0"/>
              <w:right w:val="single" w:color="auto" w:sz="4" w:space="0"/>
            </w:tcBorders>
            <w:shd w:val="clear" w:color="auto" w:fill="auto"/>
            <w:vAlign w:val="center"/>
          </w:tcPr>
          <w:p w14:paraId="689E63E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Y＜300</w:t>
            </w:r>
          </w:p>
        </w:tc>
      </w:tr>
      <w:tr w14:paraId="2D3F366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115D7D0C">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建筑业</w:t>
            </w:r>
          </w:p>
        </w:tc>
        <w:tc>
          <w:tcPr>
            <w:tcW w:w="1984" w:type="dxa"/>
            <w:tcBorders>
              <w:top w:val="nil"/>
              <w:left w:val="nil"/>
              <w:bottom w:val="single" w:color="auto" w:sz="4" w:space="0"/>
              <w:right w:val="single" w:color="auto" w:sz="4" w:space="0"/>
            </w:tcBorders>
            <w:shd w:val="clear" w:color="auto" w:fill="auto"/>
            <w:vAlign w:val="center"/>
          </w:tcPr>
          <w:p w14:paraId="4B6DE02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08E932A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131D442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6000≤Y＜80000</w:t>
            </w:r>
          </w:p>
        </w:tc>
        <w:tc>
          <w:tcPr>
            <w:tcW w:w="1702" w:type="dxa"/>
            <w:tcBorders>
              <w:top w:val="nil"/>
              <w:left w:val="nil"/>
              <w:bottom w:val="single" w:color="auto" w:sz="4" w:space="0"/>
              <w:right w:val="single" w:color="auto" w:sz="4" w:space="0"/>
            </w:tcBorders>
            <w:shd w:val="clear" w:color="auto" w:fill="auto"/>
            <w:vAlign w:val="center"/>
          </w:tcPr>
          <w:p w14:paraId="12A85294">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300≤Y＜6000</w:t>
            </w:r>
          </w:p>
        </w:tc>
        <w:tc>
          <w:tcPr>
            <w:tcW w:w="1135" w:type="dxa"/>
            <w:tcBorders>
              <w:top w:val="nil"/>
              <w:left w:val="nil"/>
              <w:bottom w:val="single" w:color="auto" w:sz="4" w:space="0"/>
              <w:right w:val="single" w:color="auto" w:sz="4" w:space="0"/>
            </w:tcBorders>
            <w:shd w:val="clear" w:color="auto" w:fill="auto"/>
            <w:vAlign w:val="center"/>
          </w:tcPr>
          <w:p w14:paraId="2593221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Y＜300</w:t>
            </w:r>
          </w:p>
        </w:tc>
      </w:tr>
      <w:tr w14:paraId="74AD39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3201C0B1">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1B68F5D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资产总额（Z）</w:t>
            </w:r>
          </w:p>
        </w:tc>
        <w:tc>
          <w:tcPr>
            <w:tcW w:w="851" w:type="dxa"/>
            <w:tcBorders>
              <w:top w:val="nil"/>
              <w:left w:val="nil"/>
              <w:bottom w:val="single" w:color="auto" w:sz="4" w:space="0"/>
              <w:right w:val="single" w:color="auto" w:sz="4" w:space="0"/>
            </w:tcBorders>
            <w:shd w:val="clear" w:color="auto" w:fill="auto"/>
            <w:vAlign w:val="center"/>
          </w:tcPr>
          <w:p w14:paraId="60C1451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67DE15E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5000≤Z＜80000</w:t>
            </w:r>
          </w:p>
        </w:tc>
        <w:tc>
          <w:tcPr>
            <w:tcW w:w="1702" w:type="dxa"/>
            <w:tcBorders>
              <w:top w:val="nil"/>
              <w:left w:val="nil"/>
              <w:bottom w:val="single" w:color="auto" w:sz="4" w:space="0"/>
              <w:right w:val="single" w:color="auto" w:sz="4" w:space="0"/>
            </w:tcBorders>
            <w:shd w:val="clear" w:color="auto" w:fill="auto"/>
            <w:vAlign w:val="center"/>
          </w:tcPr>
          <w:p w14:paraId="6749451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300≤Z＜5000</w:t>
            </w:r>
          </w:p>
        </w:tc>
        <w:tc>
          <w:tcPr>
            <w:tcW w:w="1135" w:type="dxa"/>
            <w:tcBorders>
              <w:top w:val="nil"/>
              <w:left w:val="nil"/>
              <w:bottom w:val="single" w:color="auto" w:sz="4" w:space="0"/>
              <w:right w:val="single" w:color="auto" w:sz="4" w:space="0"/>
            </w:tcBorders>
            <w:shd w:val="clear" w:color="auto" w:fill="auto"/>
            <w:vAlign w:val="center"/>
          </w:tcPr>
          <w:p w14:paraId="0D3AF422">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Z＜300</w:t>
            </w:r>
          </w:p>
        </w:tc>
      </w:tr>
      <w:tr w14:paraId="0FE9A10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65214732">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批发业</w:t>
            </w:r>
          </w:p>
        </w:tc>
        <w:tc>
          <w:tcPr>
            <w:tcW w:w="1984" w:type="dxa"/>
            <w:tcBorders>
              <w:top w:val="nil"/>
              <w:left w:val="nil"/>
              <w:bottom w:val="single" w:color="auto" w:sz="4" w:space="0"/>
              <w:right w:val="single" w:color="auto" w:sz="4" w:space="0"/>
            </w:tcBorders>
            <w:shd w:val="clear" w:color="auto" w:fill="auto"/>
            <w:vAlign w:val="center"/>
          </w:tcPr>
          <w:p w14:paraId="170D8A1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4AEDA5F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73792D3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20≤X＜200</w:t>
            </w:r>
          </w:p>
        </w:tc>
        <w:tc>
          <w:tcPr>
            <w:tcW w:w="1702" w:type="dxa"/>
            <w:tcBorders>
              <w:top w:val="nil"/>
              <w:left w:val="nil"/>
              <w:bottom w:val="single" w:color="auto" w:sz="4" w:space="0"/>
              <w:right w:val="single" w:color="auto" w:sz="4" w:space="0"/>
            </w:tcBorders>
            <w:shd w:val="clear" w:color="auto" w:fill="auto"/>
            <w:vAlign w:val="center"/>
          </w:tcPr>
          <w:p w14:paraId="3FC776D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5≤X＜20</w:t>
            </w:r>
          </w:p>
        </w:tc>
        <w:tc>
          <w:tcPr>
            <w:tcW w:w="1135" w:type="dxa"/>
            <w:tcBorders>
              <w:top w:val="nil"/>
              <w:left w:val="nil"/>
              <w:bottom w:val="single" w:color="auto" w:sz="4" w:space="0"/>
              <w:right w:val="single" w:color="auto" w:sz="4" w:space="0"/>
            </w:tcBorders>
            <w:shd w:val="clear" w:color="auto" w:fill="auto"/>
            <w:vAlign w:val="center"/>
          </w:tcPr>
          <w:p w14:paraId="2D12E0E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X＜5</w:t>
            </w:r>
          </w:p>
        </w:tc>
      </w:tr>
      <w:tr w14:paraId="5BB9E64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6C98EA41">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5133909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7E4805D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5DC3CDD6">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5000≤Y＜40000</w:t>
            </w:r>
          </w:p>
        </w:tc>
        <w:tc>
          <w:tcPr>
            <w:tcW w:w="1702" w:type="dxa"/>
            <w:tcBorders>
              <w:top w:val="nil"/>
              <w:left w:val="nil"/>
              <w:bottom w:val="single" w:color="auto" w:sz="4" w:space="0"/>
              <w:right w:val="single" w:color="auto" w:sz="4" w:space="0"/>
            </w:tcBorders>
            <w:shd w:val="clear" w:color="auto" w:fill="auto"/>
            <w:vAlign w:val="center"/>
          </w:tcPr>
          <w:p w14:paraId="40868B4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1000≤Y＜5000</w:t>
            </w:r>
          </w:p>
        </w:tc>
        <w:tc>
          <w:tcPr>
            <w:tcW w:w="1135" w:type="dxa"/>
            <w:tcBorders>
              <w:top w:val="nil"/>
              <w:left w:val="nil"/>
              <w:bottom w:val="single" w:color="auto" w:sz="4" w:space="0"/>
              <w:right w:val="single" w:color="auto" w:sz="4" w:space="0"/>
            </w:tcBorders>
            <w:shd w:val="clear" w:color="auto" w:fill="auto"/>
            <w:vAlign w:val="center"/>
          </w:tcPr>
          <w:p w14:paraId="6E5985B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Y＜1000</w:t>
            </w:r>
          </w:p>
        </w:tc>
      </w:tr>
      <w:tr w14:paraId="34E5782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4DA7EFA9">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零售业</w:t>
            </w:r>
          </w:p>
        </w:tc>
        <w:tc>
          <w:tcPr>
            <w:tcW w:w="1984" w:type="dxa"/>
            <w:tcBorders>
              <w:top w:val="nil"/>
              <w:left w:val="nil"/>
              <w:bottom w:val="single" w:color="auto" w:sz="4" w:space="0"/>
              <w:right w:val="single" w:color="auto" w:sz="4" w:space="0"/>
            </w:tcBorders>
            <w:shd w:val="clear" w:color="auto" w:fill="auto"/>
            <w:vAlign w:val="center"/>
          </w:tcPr>
          <w:p w14:paraId="1D4793A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251F22D4">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5DC6830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50≤X＜300</w:t>
            </w:r>
          </w:p>
        </w:tc>
        <w:tc>
          <w:tcPr>
            <w:tcW w:w="1702" w:type="dxa"/>
            <w:tcBorders>
              <w:top w:val="nil"/>
              <w:left w:val="nil"/>
              <w:bottom w:val="single" w:color="auto" w:sz="4" w:space="0"/>
              <w:right w:val="single" w:color="auto" w:sz="4" w:space="0"/>
            </w:tcBorders>
            <w:shd w:val="clear" w:color="auto" w:fill="auto"/>
            <w:vAlign w:val="center"/>
          </w:tcPr>
          <w:p w14:paraId="51441732">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10≤X＜50</w:t>
            </w:r>
          </w:p>
        </w:tc>
        <w:tc>
          <w:tcPr>
            <w:tcW w:w="1135" w:type="dxa"/>
            <w:tcBorders>
              <w:top w:val="nil"/>
              <w:left w:val="nil"/>
              <w:bottom w:val="single" w:color="auto" w:sz="4" w:space="0"/>
              <w:right w:val="single" w:color="auto" w:sz="4" w:space="0"/>
            </w:tcBorders>
            <w:shd w:val="clear" w:color="auto" w:fill="auto"/>
            <w:vAlign w:val="center"/>
          </w:tcPr>
          <w:p w14:paraId="6FE1050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w:t>
            </w:r>
          </w:p>
        </w:tc>
      </w:tr>
      <w:tr w14:paraId="4491B10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42353E43">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519CAD8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4C89364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4AB5FBE0">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500≤Y＜20000</w:t>
            </w:r>
          </w:p>
        </w:tc>
        <w:tc>
          <w:tcPr>
            <w:tcW w:w="1702" w:type="dxa"/>
            <w:tcBorders>
              <w:top w:val="nil"/>
              <w:left w:val="nil"/>
              <w:bottom w:val="single" w:color="auto" w:sz="4" w:space="0"/>
              <w:right w:val="single" w:color="auto" w:sz="4" w:space="0"/>
            </w:tcBorders>
            <w:shd w:val="clear" w:color="auto" w:fill="auto"/>
            <w:vAlign w:val="center"/>
          </w:tcPr>
          <w:p w14:paraId="4497F5A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100≤Y＜500</w:t>
            </w:r>
          </w:p>
        </w:tc>
        <w:tc>
          <w:tcPr>
            <w:tcW w:w="1135" w:type="dxa"/>
            <w:tcBorders>
              <w:top w:val="nil"/>
              <w:left w:val="nil"/>
              <w:bottom w:val="single" w:color="auto" w:sz="4" w:space="0"/>
              <w:right w:val="single" w:color="auto" w:sz="4" w:space="0"/>
            </w:tcBorders>
            <w:shd w:val="clear" w:color="auto" w:fill="auto"/>
            <w:vAlign w:val="center"/>
          </w:tcPr>
          <w:p w14:paraId="4F7A4404">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Y＜100</w:t>
            </w:r>
          </w:p>
        </w:tc>
      </w:tr>
      <w:tr w14:paraId="628990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33E38E56">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交通运输业</w:t>
            </w:r>
          </w:p>
        </w:tc>
        <w:tc>
          <w:tcPr>
            <w:tcW w:w="1984" w:type="dxa"/>
            <w:tcBorders>
              <w:top w:val="nil"/>
              <w:left w:val="nil"/>
              <w:bottom w:val="single" w:color="auto" w:sz="4" w:space="0"/>
              <w:right w:val="single" w:color="auto" w:sz="4" w:space="0"/>
            </w:tcBorders>
            <w:shd w:val="clear" w:color="auto" w:fill="auto"/>
            <w:vAlign w:val="center"/>
          </w:tcPr>
          <w:p w14:paraId="2909293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4C38230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7CCEC3C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300≤X＜1000</w:t>
            </w:r>
          </w:p>
        </w:tc>
        <w:tc>
          <w:tcPr>
            <w:tcW w:w="1702" w:type="dxa"/>
            <w:tcBorders>
              <w:top w:val="nil"/>
              <w:left w:val="nil"/>
              <w:bottom w:val="single" w:color="auto" w:sz="4" w:space="0"/>
              <w:right w:val="single" w:color="auto" w:sz="4" w:space="0"/>
            </w:tcBorders>
            <w:shd w:val="clear" w:color="auto" w:fill="auto"/>
            <w:vAlign w:val="center"/>
          </w:tcPr>
          <w:p w14:paraId="5FE91F8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20≤X＜300</w:t>
            </w:r>
          </w:p>
        </w:tc>
        <w:tc>
          <w:tcPr>
            <w:tcW w:w="1135" w:type="dxa"/>
            <w:tcBorders>
              <w:top w:val="nil"/>
              <w:left w:val="nil"/>
              <w:bottom w:val="single" w:color="auto" w:sz="4" w:space="0"/>
              <w:right w:val="single" w:color="auto" w:sz="4" w:space="0"/>
            </w:tcBorders>
            <w:shd w:val="clear" w:color="auto" w:fill="auto"/>
            <w:vAlign w:val="center"/>
          </w:tcPr>
          <w:p w14:paraId="4C8DC87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X＜20</w:t>
            </w:r>
          </w:p>
        </w:tc>
      </w:tr>
      <w:tr w14:paraId="420523E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5C58F987">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163CA62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2DED3646">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7B0E8AE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3000≤Y＜30000</w:t>
            </w:r>
          </w:p>
        </w:tc>
        <w:tc>
          <w:tcPr>
            <w:tcW w:w="1702" w:type="dxa"/>
            <w:tcBorders>
              <w:top w:val="nil"/>
              <w:left w:val="nil"/>
              <w:bottom w:val="single" w:color="auto" w:sz="4" w:space="0"/>
              <w:right w:val="single" w:color="auto" w:sz="4" w:space="0"/>
            </w:tcBorders>
            <w:shd w:val="clear" w:color="auto" w:fill="auto"/>
            <w:vAlign w:val="center"/>
          </w:tcPr>
          <w:p w14:paraId="3F00327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200≤Y＜3000</w:t>
            </w:r>
          </w:p>
        </w:tc>
        <w:tc>
          <w:tcPr>
            <w:tcW w:w="1135" w:type="dxa"/>
            <w:tcBorders>
              <w:top w:val="nil"/>
              <w:left w:val="nil"/>
              <w:bottom w:val="single" w:color="auto" w:sz="4" w:space="0"/>
              <w:right w:val="single" w:color="auto" w:sz="4" w:space="0"/>
            </w:tcBorders>
            <w:shd w:val="clear" w:color="auto" w:fill="auto"/>
            <w:vAlign w:val="center"/>
          </w:tcPr>
          <w:p w14:paraId="6D030AE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Y＜200</w:t>
            </w:r>
          </w:p>
        </w:tc>
      </w:tr>
      <w:tr w14:paraId="53D99F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132653B4">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仓储业</w:t>
            </w:r>
          </w:p>
        </w:tc>
        <w:tc>
          <w:tcPr>
            <w:tcW w:w="1984" w:type="dxa"/>
            <w:tcBorders>
              <w:top w:val="nil"/>
              <w:left w:val="nil"/>
              <w:bottom w:val="single" w:color="auto" w:sz="4" w:space="0"/>
              <w:right w:val="single" w:color="auto" w:sz="4" w:space="0"/>
            </w:tcBorders>
            <w:shd w:val="clear" w:color="auto" w:fill="auto"/>
            <w:vAlign w:val="center"/>
          </w:tcPr>
          <w:p w14:paraId="2855D866">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480E962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36B0AE8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100≤X＜200</w:t>
            </w:r>
          </w:p>
        </w:tc>
        <w:tc>
          <w:tcPr>
            <w:tcW w:w="1702" w:type="dxa"/>
            <w:tcBorders>
              <w:top w:val="nil"/>
              <w:left w:val="nil"/>
              <w:bottom w:val="single" w:color="auto" w:sz="4" w:space="0"/>
              <w:right w:val="single" w:color="auto" w:sz="4" w:space="0"/>
            </w:tcBorders>
            <w:shd w:val="clear" w:color="auto" w:fill="auto"/>
            <w:vAlign w:val="center"/>
          </w:tcPr>
          <w:p w14:paraId="604B4A0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20≤X＜100</w:t>
            </w:r>
          </w:p>
        </w:tc>
        <w:tc>
          <w:tcPr>
            <w:tcW w:w="1135" w:type="dxa"/>
            <w:tcBorders>
              <w:top w:val="nil"/>
              <w:left w:val="nil"/>
              <w:bottom w:val="single" w:color="auto" w:sz="4" w:space="0"/>
              <w:right w:val="single" w:color="auto" w:sz="4" w:space="0"/>
            </w:tcBorders>
            <w:shd w:val="clear" w:color="auto" w:fill="auto"/>
            <w:vAlign w:val="center"/>
          </w:tcPr>
          <w:p w14:paraId="1350E55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X＜20</w:t>
            </w:r>
          </w:p>
        </w:tc>
      </w:tr>
      <w:tr w14:paraId="45ED667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17BF6189">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37FA87E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2B1C15B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096266D2">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1000≤Y＜30000</w:t>
            </w:r>
          </w:p>
        </w:tc>
        <w:tc>
          <w:tcPr>
            <w:tcW w:w="1702" w:type="dxa"/>
            <w:tcBorders>
              <w:top w:val="nil"/>
              <w:left w:val="nil"/>
              <w:bottom w:val="single" w:color="auto" w:sz="4" w:space="0"/>
              <w:right w:val="single" w:color="auto" w:sz="4" w:space="0"/>
            </w:tcBorders>
            <w:shd w:val="clear" w:color="auto" w:fill="auto"/>
            <w:vAlign w:val="center"/>
          </w:tcPr>
          <w:p w14:paraId="2C125732">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100≤Y＜1000</w:t>
            </w:r>
          </w:p>
        </w:tc>
        <w:tc>
          <w:tcPr>
            <w:tcW w:w="1135" w:type="dxa"/>
            <w:tcBorders>
              <w:top w:val="nil"/>
              <w:left w:val="nil"/>
              <w:bottom w:val="single" w:color="auto" w:sz="4" w:space="0"/>
              <w:right w:val="single" w:color="auto" w:sz="4" w:space="0"/>
            </w:tcBorders>
            <w:shd w:val="clear" w:color="auto" w:fill="auto"/>
            <w:vAlign w:val="center"/>
          </w:tcPr>
          <w:p w14:paraId="6416DBB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Y＜100</w:t>
            </w:r>
          </w:p>
        </w:tc>
      </w:tr>
      <w:tr w14:paraId="3D4E05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014E08A2">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邮政业</w:t>
            </w:r>
          </w:p>
        </w:tc>
        <w:tc>
          <w:tcPr>
            <w:tcW w:w="1984" w:type="dxa"/>
            <w:tcBorders>
              <w:top w:val="nil"/>
              <w:left w:val="nil"/>
              <w:bottom w:val="single" w:color="auto" w:sz="4" w:space="0"/>
              <w:right w:val="single" w:color="auto" w:sz="4" w:space="0"/>
            </w:tcBorders>
            <w:shd w:val="clear" w:color="auto" w:fill="auto"/>
            <w:vAlign w:val="center"/>
          </w:tcPr>
          <w:p w14:paraId="2E4DE2B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7EECA93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6356873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300≤X＜1000</w:t>
            </w:r>
          </w:p>
        </w:tc>
        <w:tc>
          <w:tcPr>
            <w:tcW w:w="1702" w:type="dxa"/>
            <w:tcBorders>
              <w:top w:val="nil"/>
              <w:left w:val="nil"/>
              <w:bottom w:val="single" w:color="auto" w:sz="4" w:space="0"/>
              <w:right w:val="single" w:color="auto" w:sz="4" w:space="0"/>
            </w:tcBorders>
            <w:shd w:val="clear" w:color="auto" w:fill="auto"/>
            <w:vAlign w:val="center"/>
          </w:tcPr>
          <w:p w14:paraId="6A42080D">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20≤X＜300</w:t>
            </w:r>
          </w:p>
        </w:tc>
        <w:tc>
          <w:tcPr>
            <w:tcW w:w="1135" w:type="dxa"/>
            <w:tcBorders>
              <w:top w:val="nil"/>
              <w:left w:val="nil"/>
              <w:bottom w:val="single" w:color="auto" w:sz="4" w:space="0"/>
              <w:right w:val="single" w:color="auto" w:sz="4" w:space="0"/>
            </w:tcBorders>
            <w:shd w:val="clear" w:color="auto" w:fill="auto"/>
            <w:vAlign w:val="center"/>
          </w:tcPr>
          <w:p w14:paraId="1AB1B7C4">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X＜20</w:t>
            </w:r>
          </w:p>
        </w:tc>
      </w:tr>
      <w:tr w14:paraId="43D54DD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506742CD">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73C8C45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7829F1E4">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293CD56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2000≤Y＜30000</w:t>
            </w:r>
          </w:p>
        </w:tc>
        <w:tc>
          <w:tcPr>
            <w:tcW w:w="1702" w:type="dxa"/>
            <w:tcBorders>
              <w:top w:val="nil"/>
              <w:left w:val="nil"/>
              <w:bottom w:val="single" w:color="auto" w:sz="4" w:space="0"/>
              <w:right w:val="single" w:color="auto" w:sz="4" w:space="0"/>
            </w:tcBorders>
            <w:shd w:val="clear" w:color="auto" w:fill="auto"/>
            <w:vAlign w:val="center"/>
          </w:tcPr>
          <w:p w14:paraId="4F8453D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100≤Y＜2000</w:t>
            </w:r>
          </w:p>
        </w:tc>
        <w:tc>
          <w:tcPr>
            <w:tcW w:w="1135" w:type="dxa"/>
            <w:tcBorders>
              <w:top w:val="nil"/>
              <w:left w:val="nil"/>
              <w:bottom w:val="single" w:color="auto" w:sz="4" w:space="0"/>
              <w:right w:val="single" w:color="auto" w:sz="4" w:space="0"/>
            </w:tcBorders>
            <w:shd w:val="clear" w:color="auto" w:fill="auto"/>
            <w:vAlign w:val="center"/>
          </w:tcPr>
          <w:p w14:paraId="1D4F8DA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Y＜100</w:t>
            </w:r>
          </w:p>
        </w:tc>
      </w:tr>
      <w:tr w14:paraId="7B3DAAE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28B79821">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住宿业</w:t>
            </w:r>
          </w:p>
        </w:tc>
        <w:tc>
          <w:tcPr>
            <w:tcW w:w="1984" w:type="dxa"/>
            <w:tcBorders>
              <w:top w:val="nil"/>
              <w:left w:val="nil"/>
              <w:bottom w:val="single" w:color="auto" w:sz="4" w:space="0"/>
              <w:right w:val="single" w:color="auto" w:sz="4" w:space="0"/>
            </w:tcBorders>
            <w:shd w:val="clear" w:color="auto" w:fill="auto"/>
            <w:vAlign w:val="center"/>
          </w:tcPr>
          <w:p w14:paraId="00635B12">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46ECBFF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35FCCDB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100≤X＜300</w:t>
            </w:r>
          </w:p>
        </w:tc>
        <w:tc>
          <w:tcPr>
            <w:tcW w:w="1702" w:type="dxa"/>
            <w:tcBorders>
              <w:top w:val="nil"/>
              <w:left w:val="nil"/>
              <w:bottom w:val="single" w:color="auto" w:sz="4" w:space="0"/>
              <w:right w:val="single" w:color="auto" w:sz="4" w:space="0"/>
            </w:tcBorders>
            <w:shd w:val="clear" w:color="auto" w:fill="auto"/>
            <w:vAlign w:val="center"/>
          </w:tcPr>
          <w:p w14:paraId="3C349E1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10≤X＜100</w:t>
            </w:r>
          </w:p>
        </w:tc>
        <w:tc>
          <w:tcPr>
            <w:tcW w:w="1135" w:type="dxa"/>
            <w:tcBorders>
              <w:top w:val="nil"/>
              <w:left w:val="nil"/>
              <w:bottom w:val="single" w:color="auto" w:sz="4" w:space="0"/>
              <w:right w:val="single" w:color="auto" w:sz="4" w:space="0"/>
            </w:tcBorders>
            <w:shd w:val="clear" w:color="auto" w:fill="auto"/>
            <w:vAlign w:val="center"/>
          </w:tcPr>
          <w:p w14:paraId="6AF6E3B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w:t>
            </w:r>
          </w:p>
        </w:tc>
      </w:tr>
      <w:tr w14:paraId="79334E4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4004C7F3">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2FFF8DD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6B4F71C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162351C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2000≤Y＜10000</w:t>
            </w:r>
          </w:p>
        </w:tc>
        <w:tc>
          <w:tcPr>
            <w:tcW w:w="1702" w:type="dxa"/>
            <w:tcBorders>
              <w:top w:val="nil"/>
              <w:left w:val="nil"/>
              <w:bottom w:val="single" w:color="auto" w:sz="4" w:space="0"/>
              <w:right w:val="single" w:color="auto" w:sz="4" w:space="0"/>
            </w:tcBorders>
            <w:shd w:val="clear" w:color="auto" w:fill="auto"/>
            <w:vAlign w:val="center"/>
          </w:tcPr>
          <w:p w14:paraId="00B972ED">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100≤Y＜2000</w:t>
            </w:r>
          </w:p>
        </w:tc>
        <w:tc>
          <w:tcPr>
            <w:tcW w:w="1135" w:type="dxa"/>
            <w:tcBorders>
              <w:top w:val="nil"/>
              <w:left w:val="nil"/>
              <w:bottom w:val="single" w:color="auto" w:sz="4" w:space="0"/>
              <w:right w:val="single" w:color="auto" w:sz="4" w:space="0"/>
            </w:tcBorders>
            <w:shd w:val="clear" w:color="auto" w:fill="auto"/>
            <w:vAlign w:val="center"/>
          </w:tcPr>
          <w:p w14:paraId="07C39D4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Y＜100</w:t>
            </w:r>
          </w:p>
        </w:tc>
      </w:tr>
      <w:tr w14:paraId="3AB3A6E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21D3EF44">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餐饮业</w:t>
            </w:r>
          </w:p>
        </w:tc>
        <w:tc>
          <w:tcPr>
            <w:tcW w:w="1984" w:type="dxa"/>
            <w:tcBorders>
              <w:top w:val="nil"/>
              <w:left w:val="nil"/>
              <w:bottom w:val="single" w:color="auto" w:sz="4" w:space="0"/>
              <w:right w:val="single" w:color="auto" w:sz="4" w:space="0"/>
            </w:tcBorders>
            <w:shd w:val="clear" w:color="auto" w:fill="auto"/>
            <w:vAlign w:val="center"/>
          </w:tcPr>
          <w:p w14:paraId="0778A8A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097CE49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2E36438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100≤X＜300</w:t>
            </w:r>
          </w:p>
        </w:tc>
        <w:tc>
          <w:tcPr>
            <w:tcW w:w="1702" w:type="dxa"/>
            <w:tcBorders>
              <w:top w:val="nil"/>
              <w:left w:val="nil"/>
              <w:bottom w:val="single" w:color="auto" w:sz="4" w:space="0"/>
              <w:right w:val="single" w:color="auto" w:sz="4" w:space="0"/>
            </w:tcBorders>
            <w:shd w:val="clear" w:color="auto" w:fill="auto"/>
            <w:vAlign w:val="center"/>
          </w:tcPr>
          <w:p w14:paraId="1EEFDCA2">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10≤X＜100</w:t>
            </w:r>
          </w:p>
        </w:tc>
        <w:tc>
          <w:tcPr>
            <w:tcW w:w="1135" w:type="dxa"/>
            <w:tcBorders>
              <w:top w:val="nil"/>
              <w:left w:val="nil"/>
              <w:bottom w:val="single" w:color="auto" w:sz="4" w:space="0"/>
              <w:right w:val="single" w:color="auto" w:sz="4" w:space="0"/>
            </w:tcBorders>
            <w:shd w:val="clear" w:color="auto" w:fill="auto"/>
            <w:vAlign w:val="center"/>
          </w:tcPr>
          <w:p w14:paraId="66D35F3D">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w:t>
            </w:r>
          </w:p>
        </w:tc>
      </w:tr>
      <w:tr w14:paraId="2776F08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283D22C3">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3939980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3ECAFA9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6B1251B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2000≤Y＜10000</w:t>
            </w:r>
          </w:p>
        </w:tc>
        <w:tc>
          <w:tcPr>
            <w:tcW w:w="1702" w:type="dxa"/>
            <w:tcBorders>
              <w:top w:val="nil"/>
              <w:left w:val="nil"/>
              <w:bottom w:val="single" w:color="auto" w:sz="4" w:space="0"/>
              <w:right w:val="single" w:color="auto" w:sz="4" w:space="0"/>
            </w:tcBorders>
            <w:shd w:val="clear" w:color="auto" w:fill="auto"/>
            <w:vAlign w:val="center"/>
          </w:tcPr>
          <w:p w14:paraId="764A03D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100≤Y＜2000</w:t>
            </w:r>
          </w:p>
        </w:tc>
        <w:tc>
          <w:tcPr>
            <w:tcW w:w="1135" w:type="dxa"/>
            <w:tcBorders>
              <w:top w:val="nil"/>
              <w:left w:val="nil"/>
              <w:bottom w:val="single" w:color="auto" w:sz="4" w:space="0"/>
              <w:right w:val="single" w:color="auto" w:sz="4" w:space="0"/>
            </w:tcBorders>
            <w:shd w:val="clear" w:color="auto" w:fill="auto"/>
            <w:vAlign w:val="center"/>
          </w:tcPr>
          <w:p w14:paraId="1F23CD70">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Y＜100</w:t>
            </w:r>
          </w:p>
        </w:tc>
      </w:tr>
      <w:tr w14:paraId="549F916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3E5D597D">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信息传输业</w:t>
            </w:r>
          </w:p>
        </w:tc>
        <w:tc>
          <w:tcPr>
            <w:tcW w:w="1984" w:type="dxa"/>
            <w:tcBorders>
              <w:top w:val="nil"/>
              <w:left w:val="nil"/>
              <w:bottom w:val="single" w:color="auto" w:sz="4" w:space="0"/>
              <w:right w:val="single" w:color="auto" w:sz="4" w:space="0"/>
            </w:tcBorders>
            <w:shd w:val="clear" w:color="auto" w:fill="auto"/>
            <w:vAlign w:val="center"/>
          </w:tcPr>
          <w:p w14:paraId="37EDE76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788B4A3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2FEFB4F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100≤X＜2000</w:t>
            </w:r>
          </w:p>
        </w:tc>
        <w:tc>
          <w:tcPr>
            <w:tcW w:w="1702" w:type="dxa"/>
            <w:tcBorders>
              <w:top w:val="nil"/>
              <w:left w:val="nil"/>
              <w:bottom w:val="single" w:color="auto" w:sz="4" w:space="0"/>
              <w:right w:val="single" w:color="auto" w:sz="4" w:space="0"/>
            </w:tcBorders>
            <w:shd w:val="clear" w:color="auto" w:fill="auto"/>
            <w:vAlign w:val="center"/>
          </w:tcPr>
          <w:p w14:paraId="6F9C5FA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10≤X＜100</w:t>
            </w:r>
          </w:p>
        </w:tc>
        <w:tc>
          <w:tcPr>
            <w:tcW w:w="1135" w:type="dxa"/>
            <w:tcBorders>
              <w:top w:val="nil"/>
              <w:left w:val="nil"/>
              <w:bottom w:val="single" w:color="auto" w:sz="4" w:space="0"/>
              <w:right w:val="single" w:color="auto" w:sz="4" w:space="0"/>
            </w:tcBorders>
            <w:shd w:val="clear" w:color="auto" w:fill="auto"/>
            <w:vAlign w:val="center"/>
          </w:tcPr>
          <w:p w14:paraId="32884226">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w:t>
            </w:r>
          </w:p>
        </w:tc>
      </w:tr>
      <w:tr w14:paraId="7F0E5B7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6F9889CC">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09A570E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6F984C0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7CA552F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1000≤Y＜100000</w:t>
            </w:r>
          </w:p>
        </w:tc>
        <w:tc>
          <w:tcPr>
            <w:tcW w:w="1702" w:type="dxa"/>
            <w:tcBorders>
              <w:top w:val="nil"/>
              <w:left w:val="nil"/>
              <w:bottom w:val="single" w:color="auto" w:sz="4" w:space="0"/>
              <w:right w:val="single" w:color="auto" w:sz="4" w:space="0"/>
            </w:tcBorders>
            <w:shd w:val="clear" w:color="auto" w:fill="auto"/>
            <w:vAlign w:val="center"/>
          </w:tcPr>
          <w:p w14:paraId="0FF7326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100≤Y＜1000</w:t>
            </w:r>
          </w:p>
        </w:tc>
        <w:tc>
          <w:tcPr>
            <w:tcW w:w="1135" w:type="dxa"/>
            <w:tcBorders>
              <w:top w:val="nil"/>
              <w:left w:val="nil"/>
              <w:bottom w:val="single" w:color="auto" w:sz="4" w:space="0"/>
              <w:right w:val="single" w:color="auto" w:sz="4" w:space="0"/>
            </w:tcBorders>
            <w:shd w:val="clear" w:color="auto" w:fill="auto"/>
            <w:vAlign w:val="center"/>
          </w:tcPr>
          <w:p w14:paraId="1F076DA6">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Y＜100</w:t>
            </w:r>
          </w:p>
        </w:tc>
      </w:tr>
      <w:tr w14:paraId="1C74A20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62318570">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软件和信息技术服务业</w:t>
            </w:r>
          </w:p>
        </w:tc>
        <w:tc>
          <w:tcPr>
            <w:tcW w:w="1984" w:type="dxa"/>
            <w:tcBorders>
              <w:top w:val="nil"/>
              <w:left w:val="nil"/>
              <w:bottom w:val="single" w:color="auto" w:sz="4" w:space="0"/>
              <w:right w:val="single" w:color="auto" w:sz="4" w:space="0"/>
            </w:tcBorders>
            <w:shd w:val="clear" w:color="auto" w:fill="auto"/>
            <w:vAlign w:val="center"/>
          </w:tcPr>
          <w:p w14:paraId="0B0DECA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3ADB315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33DE849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100≤X＜300</w:t>
            </w:r>
          </w:p>
        </w:tc>
        <w:tc>
          <w:tcPr>
            <w:tcW w:w="1702" w:type="dxa"/>
            <w:tcBorders>
              <w:top w:val="nil"/>
              <w:left w:val="nil"/>
              <w:bottom w:val="single" w:color="auto" w:sz="4" w:space="0"/>
              <w:right w:val="single" w:color="auto" w:sz="4" w:space="0"/>
            </w:tcBorders>
            <w:shd w:val="clear" w:color="auto" w:fill="auto"/>
            <w:vAlign w:val="center"/>
          </w:tcPr>
          <w:p w14:paraId="59F1079D">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10≤X＜100</w:t>
            </w:r>
          </w:p>
        </w:tc>
        <w:tc>
          <w:tcPr>
            <w:tcW w:w="1135" w:type="dxa"/>
            <w:tcBorders>
              <w:top w:val="nil"/>
              <w:left w:val="nil"/>
              <w:bottom w:val="single" w:color="auto" w:sz="4" w:space="0"/>
              <w:right w:val="single" w:color="auto" w:sz="4" w:space="0"/>
            </w:tcBorders>
            <w:shd w:val="clear" w:color="auto" w:fill="auto"/>
            <w:vAlign w:val="center"/>
          </w:tcPr>
          <w:p w14:paraId="681D14B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w:t>
            </w:r>
          </w:p>
        </w:tc>
      </w:tr>
      <w:tr w14:paraId="7FF7D76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31AE4912">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49827D8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406B37D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63E5BB92">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1000≤Y＜10000</w:t>
            </w:r>
          </w:p>
        </w:tc>
        <w:tc>
          <w:tcPr>
            <w:tcW w:w="1702" w:type="dxa"/>
            <w:tcBorders>
              <w:top w:val="nil"/>
              <w:left w:val="nil"/>
              <w:bottom w:val="single" w:color="auto" w:sz="4" w:space="0"/>
              <w:right w:val="single" w:color="auto" w:sz="4" w:space="0"/>
            </w:tcBorders>
            <w:shd w:val="clear" w:color="auto" w:fill="auto"/>
            <w:vAlign w:val="center"/>
          </w:tcPr>
          <w:p w14:paraId="461639C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50≤Y＜1000</w:t>
            </w:r>
          </w:p>
        </w:tc>
        <w:tc>
          <w:tcPr>
            <w:tcW w:w="1135" w:type="dxa"/>
            <w:tcBorders>
              <w:top w:val="nil"/>
              <w:left w:val="nil"/>
              <w:bottom w:val="single" w:color="auto" w:sz="4" w:space="0"/>
              <w:right w:val="single" w:color="auto" w:sz="4" w:space="0"/>
            </w:tcBorders>
            <w:shd w:val="clear" w:color="auto" w:fill="auto"/>
            <w:vAlign w:val="center"/>
          </w:tcPr>
          <w:p w14:paraId="0894EE22">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Y＜50</w:t>
            </w:r>
          </w:p>
        </w:tc>
      </w:tr>
      <w:tr w14:paraId="5A959DC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5093A8C8">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房地产开发经营</w:t>
            </w:r>
          </w:p>
        </w:tc>
        <w:tc>
          <w:tcPr>
            <w:tcW w:w="1984" w:type="dxa"/>
            <w:tcBorders>
              <w:top w:val="nil"/>
              <w:left w:val="nil"/>
              <w:bottom w:val="single" w:color="auto" w:sz="4" w:space="0"/>
              <w:right w:val="single" w:color="auto" w:sz="4" w:space="0"/>
            </w:tcBorders>
            <w:shd w:val="clear" w:color="auto" w:fill="auto"/>
            <w:vAlign w:val="center"/>
          </w:tcPr>
          <w:p w14:paraId="162811F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4829F0D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18291E0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1000≤Y＜200000</w:t>
            </w:r>
          </w:p>
        </w:tc>
        <w:tc>
          <w:tcPr>
            <w:tcW w:w="1702" w:type="dxa"/>
            <w:tcBorders>
              <w:top w:val="nil"/>
              <w:left w:val="nil"/>
              <w:bottom w:val="single" w:color="auto" w:sz="4" w:space="0"/>
              <w:right w:val="single" w:color="auto" w:sz="4" w:space="0"/>
            </w:tcBorders>
            <w:shd w:val="clear" w:color="auto" w:fill="auto"/>
            <w:vAlign w:val="center"/>
          </w:tcPr>
          <w:p w14:paraId="38AEDE2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100≤X＜1000</w:t>
            </w:r>
          </w:p>
        </w:tc>
        <w:tc>
          <w:tcPr>
            <w:tcW w:w="1135" w:type="dxa"/>
            <w:tcBorders>
              <w:top w:val="nil"/>
              <w:left w:val="nil"/>
              <w:bottom w:val="single" w:color="auto" w:sz="4" w:space="0"/>
              <w:right w:val="single" w:color="auto" w:sz="4" w:space="0"/>
            </w:tcBorders>
            <w:shd w:val="clear" w:color="auto" w:fill="auto"/>
            <w:vAlign w:val="center"/>
          </w:tcPr>
          <w:p w14:paraId="4CBDEAB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X＜100</w:t>
            </w:r>
          </w:p>
        </w:tc>
      </w:tr>
      <w:tr w14:paraId="39004EB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14111135">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0EF243F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资产总额（Z）</w:t>
            </w:r>
          </w:p>
        </w:tc>
        <w:tc>
          <w:tcPr>
            <w:tcW w:w="851" w:type="dxa"/>
            <w:tcBorders>
              <w:top w:val="nil"/>
              <w:left w:val="nil"/>
              <w:bottom w:val="single" w:color="auto" w:sz="4" w:space="0"/>
              <w:right w:val="single" w:color="auto" w:sz="4" w:space="0"/>
            </w:tcBorders>
            <w:shd w:val="clear" w:color="auto" w:fill="auto"/>
            <w:vAlign w:val="center"/>
          </w:tcPr>
          <w:p w14:paraId="5C6B8E4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7C77BA50">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5000≤Z＜10000</w:t>
            </w:r>
          </w:p>
        </w:tc>
        <w:tc>
          <w:tcPr>
            <w:tcW w:w="1702" w:type="dxa"/>
            <w:tcBorders>
              <w:top w:val="nil"/>
              <w:left w:val="nil"/>
              <w:bottom w:val="single" w:color="auto" w:sz="4" w:space="0"/>
              <w:right w:val="single" w:color="auto" w:sz="4" w:space="0"/>
            </w:tcBorders>
            <w:shd w:val="clear" w:color="auto" w:fill="auto"/>
            <w:vAlign w:val="center"/>
          </w:tcPr>
          <w:p w14:paraId="2735606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2000≤Y＜5000</w:t>
            </w:r>
          </w:p>
        </w:tc>
        <w:tc>
          <w:tcPr>
            <w:tcW w:w="1135" w:type="dxa"/>
            <w:tcBorders>
              <w:top w:val="nil"/>
              <w:left w:val="nil"/>
              <w:bottom w:val="single" w:color="auto" w:sz="4" w:space="0"/>
              <w:right w:val="single" w:color="auto" w:sz="4" w:space="0"/>
            </w:tcBorders>
            <w:shd w:val="clear" w:color="auto" w:fill="auto"/>
            <w:vAlign w:val="center"/>
          </w:tcPr>
          <w:p w14:paraId="523C68A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Y＜2000</w:t>
            </w:r>
          </w:p>
        </w:tc>
      </w:tr>
      <w:tr w14:paraId="19C8C3E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4FB92C7E">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物业管理</w:t>
            </w:r>
          </w:p>
        </w:tc>
        <w:tc>
          <w:tcPr>
            <w:tcW w:w="1984" w:type="dxa"/>
            <w:tcBorders>
              <w:top w:val="nil"/>
              <w:left w:val="nil"/>
              <w:bottom w:val="single" w:color="auto" w:sz="4" w:space="0"/>
              <w:right w:val="single" w:color="auto" w:sz="4" w:space="0"/>
            </w:tcBorders>
            <w:shd w:val="clear" w:color="auto" w:fill="auto"/>
            <w:vAlign w:val="center"/>
          </w:tcPr>
          <w:p w14:paraId="55F6A55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58BB8A1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58A305F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300≤X＜1000</w:t>
            </w:r>
          </w:p>
        </w:tc>
        <w:tc>
          <w:tcPr>
            <w:tcW w:w="1702" w:type="dxa"/>
            <w:tcBorders>
              <w:top w:val="nil"/>
              <w:left w:val="nil"/>
              <w:bottom w:val="single" w:color="auto" w:sz="4" w:space="0"/>
              <w:right w:val="single" w:color="auto" w:sz="4" w:space="0"/>
            </w:tcBorders>
            <w:shd w:val="clear" w:color="auto" w:fill="auto"/>
            <w:vAlign w:val="center"/>
          </w:tcPr>
          <w:p w14:paraId="3B207F0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100≤X＜300</w:t>
            </w:r>
          </w:p>
        </w:tc>
        <w:tc>
          <w:tcPr>
            <w:tcW w:w="1135" w:type="dxa"/>
            <w:tcBorders>
              <w:top w:val="nil"/>
              <w:left w:val="nil"/>
              <w:bottom w:val="single" w:color="auto" w:sz="4" w:space="0"/>
              <w:right w:val="single" w:color="auto" w:sz="4" w:space="0"/>
            </w:tcBorders>
            <w:shd w:val="clear" w:color="auto" w:fill="auto"/>
            <w:vAlign w:val="center"/>
          </w:tcPr>
          <w:p w14:paraId="704DABF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X＜100</w:t>
            </w:r>
          </w:p>
        </w:tc>
      </w:tr>
      <w:tr w14:paraId="3031912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0A5E53CF">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707503F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79AA1826">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6454997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1000≤Y＜5000</w:t>
            </w:r>
          </w:p>
        </w:tc>
        <w:tc>
          <w:tcPr>
            <w:tcW w:w="1702" w:type="dxa"/>
            <w:tcBorders>
              <w:top w:val="nil"/>
              <w:left w:val="nil"/>
              <w:bottom w:val="single" w:color="auto" w:sz="4" w:space="0"/>
              <w:right w:val="single" w:color="auto" w:sz="4" w:space="0"/>
            </w:tcBorders>
            <w:shd w:val="clear" w:color="auto" w:fill="auto"/>
            <w:vAlign w:val="center"/>
          </w:tcPr>
          <w:p w14:paraId="3FAD4DE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500≤Y＜1000</w:t>
            </w:r>
          </w:p>
        </w:tc>
        <w:tc>
          <w:tcPr>
            <w:tcW w:w="1135" w:type="dxa"/>
            <w:tcBorders>
              <w:top w:val="nil"/>
              <w:left w:val="nil"/>
              <w:bottom w:val="single" w:color="auto" w:sz="4" w:space="0"/>
              <w:right w:val="single" w:color="auto" w:sz="4" w:space="0"/>
            </w:tcBorders>
            <w:shd w:val="clear" w:color="auto" w:fill="auto"/>
            <w:vAlign w:val="center"/>
          </w:tcPr>
          <w:p w14:paraId="4D630CA0">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Y＜500</w:t>
            </w:r>
          </w:p>
        </w:tc>
      </w:tr>
      <w:tr w14:paraId="5F9D084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72878A22">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租赁和商务服务业</w:t>
            </w:r>
          </w:p>
        </w:tc>
        <w:tc>
          <w:tcPr>
            <w:tcW w:w="1984" w:type="dxa"/>
            <w:tcBorders>
              <w:top w:val="nil"/>
              <w:left w:val="nil"/>
              <w:bottom w:val="single" w:color="auto" w:sz="4" w:space="0"/>
              <w:right w:val="single" w:color="auto" w:sz="4" w:space="0"/>
            </w:tcBorders>
            <w:shd w:val="clear" w:color="auto" w:fill="auto"/>
            <w:vAlign w:val="center"/>
          </w:tcPr>
          <w:p w14:paraId="6256B666">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3E2B580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3ECECE40">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100≤X＜300</w:t>
            </w:r>
          </w:p>
        </w:tc>
        <w:tc>
          <w:tcPr>
            <w:tcW w:w="1702" w:type="dxa"/>
            <w:tcBorders>
              <w:top w:val="nil"/>
              <w:left w:val="nil"/>
              <w:bottom w:val="single" w:color="auto" w:sz="4" w:space="0"/>
              <w:right w:val="single" w:color="auto" w:sz="4" w:space="0"/>
            </w:tcBorders>
            <w:shd w:val="clear" w:color="auto" w:fill="auto"/>
            <w:vAlign w:val="center"/>
          </w:tcPr>
          <w:p w14:paraId="616F44F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10≤X＜100</w:t>
            </w:r>
          </w:p>
        </w:tc>
        <w:tc>
          <w:tcPr>
            <w:tcW w:w="1135" w:type="dxa"/>
            <w:tcBorders>
              <w:top w:val="nil"/>
              <w:left w:val="nil"/>
              <w:bottom w:val="single" w:color="auto" w:sz="4" w:space="0"/>
              <w:right w:val="single" w:color="auto" w:sz="4" w:space="0"/>
            </w:tcBorders>
            <w:shd w:val="clear" w:color="auto" w:fill="auto"/>
            <w:vAlign w:val="center"/>
          </w:tcPr>
          <w:p w14:paraId="4E1013C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w:t>
            </w:r>
          </w:p>
        </w:tc>
      </w:tr>
      <w:tr w14:paraId="64130F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5084D79E">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79B40B1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资产总额（Z）</w:t>
            </w:r>
          </w:p>
        </w:tc>
        <w:tc>
          <w:tcPr>
            <w:tcW w:w="851" w:type="dxa"/>
            <w:tcBorders>
              <w:top w:val="nil"/>
              <w:left w:val="nil"/>
              <w:bottom w:val="single" w:color="auto" w:sz="4" w:space="0"/>
              <w:right w:val="single" w:color="auto" w:sz="4" w:space="0"/>
            </w:tcBorders>
            <w:shd w:val="clear" w:color="auto" w:fill="auto"/>
            <w:vAlign w:val="center"/>
          </w:tcPr>
          <w:p w14:paraId="3C56AE3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568757E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8000≤Z＜120000</w:t>
            </w:r>
          </w:p>
        </w:tc>
        <w:tc>
          <w:tcPr>
            <w:tcW w:w="1702" w:type="dxa"/>
            <w:tcBorders>
              <w:top w:val="nil"/>
              <w:left w:val="nil"/>
              <w:bottom w:val="single" w:color="auto" w:sz="4" w:space="0"/>
              <w:right w:val="single" w:color="auto" w:sz="4" w:space="0"/>
            </w:tcBorders>
            <w:shd w:val="clear" w:color="auto" w:fill="auto"/>
            <w:vAlign w:val="center"/>
          </w:tcPr>
          <w:p w14:paraId="1810A72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100≤Z＜8000</w:t>
            </w:r>
          </w:p>
        </w:tc>
        <w:tc>
          <w:tcPr>
            <w:tcW w:w="1135" w:type="dxa"/>
            <w:tcBorders>
              <w:top w:val="nil"/>
              <w:left w:val="nil"/>
              <w:bottom w:val="single" w:color="auto" w:sz="4" w:space="0"/>
              <w:right w:val="single" w:color="auto" w:sz="4" w:space="0"/>
            </w:tcBorders>
            <w:shd w:val="clear" w:color="auto" w:fill="auto"/>
            <w:vAlign w:val="center"/>
          </w:tcPr>
          <w:p w14:paraId="301D5BF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Y＜100</w:t>
            </w:r>
          </w:p>
        </w:tc>
      </w:tr>
      <w:tr w14:paraId="78B780FD">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shd w:val="clear" w:color="auto" w:fill="auto"/>
            <w:vAlign w:val="bottom"/>
          </w:tcPr>
          <w:p w14:paraId="412D6A15">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其他未列明行业</w:t>
            </w:r>
          </w:p>
        </w:tc>
        <w:tc>
          <w:tcPr>
            <w:tcW w:w="1984" w:type="dxa"/>
            <w:tcBorders>
              <w:top w:val="nil"/>
              <w:left w:val="nil"/>
              <w:bottom w:val="single" w:color="auto" w:sz="4" w:space="0"/>
              <w:right w:val="single" w:color="auto" w:sz="4" w:space="0"/>
            </w:tcBorders>
            <w:shd w:val="clear" w:color="auto" w:fill="auto"/>
            <w:vAlign w:val="center"/>
          </w:tcPr>
          <w:p w14:paraId="31F3C19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402948E4">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27E8D8B6">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100≤X＜300</w:t>
            </w:r>
          </w:p>
        </w:tc>
        <w:tc>
          <w:tcPr>
            <w:tcW w:w="1702" w:type="dxa"/>
            <w:tcBorders>
              <w:top w:val="nil"/>
              <w:left w:val="nil"/>
              <w:bottom w:val="single" w:color="auto" w:sz="4" w:space="0"/>
              <w:right w:val="single" w:color="auto" w:sz="4" w:space="0"/>
            </w:tcBorders>
            <w:shd w:val="clear" w:color="auto" w:fill="auto"/>
            <w:vAlign w:val="center"/>
          </w:tcPr>
          <w:p w14:paraId="6F0A3B6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10≤X＜100</w:t>
            </w:r>
          </w:p>
        </w:tc>
        <w:tc>
          <w:tcPr>
            <w:tcW w:w="1135" w:type="dxa"/>
            <w:tcBorders>
              <w:top w:val="nil"/>
              <w:left w:val="nil"/>
              <w:bottom w:val="single" w:color="auto" w:sz="4" w:space="0"/>
              <w:right w:val="single" w:color="auto" w:sz="4" w:space="0"/>
            </w:tcBorders>
            <w:shd w:val="clear" w:color="auto" w:fill="auto"/>
            <w:vAlign w:val="center"/>
          </w:tcPr>
          <w:p w14:paraId="5ADA5C9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w:t>
            </w:r>
          </w:p>
        </w:tc>
      </w:tr>
    </w:tbl>
    <w:p w14:paraId="2EFCE453">
      <w:pPr>
        <w:spacing w:line="560" w:lineRule="exact"/>
        <w:ind w:firstLine="525" w:firstLineChars="250"/>
        <w:rPr>
          <w:rFonts w:hint="eastAsia" w:ascii="仿宋_GB2312" w:hAnsi="仿宋" w:eastAsia="仿宋_GB2312" w:cs="仿宋_GB2312"/>
          <w:color w:val="auto"/>
          <w:szCs w:val="21"/>
        </w:rPr>
      </w:pPr>
      <w:r>
        <w:rPr>
          <w:rFonts w:hint="eastAsia" w:ascii="仿宋_GB2312" w:hAnsi="仿宋" w:eastAsia="仿宋_GB2312" w:cs="仿宋_GB2312"/>
          <w:color w:val="auto"/>
          <w:szCs w:val="21"/>
          <w:lang w:bidi="ar"/>
        </w:rPr>
        <w:t>说明：上述标准参照《关于印发中小企业划型标准规定的通知》（工信部联企业[2011]300号），大型、中型和小型企业须同时满足所列指标的下限，否则下划一档；微型企业只须满足所列指标中的一项即可。</w:t>
      </w:r>
    </w:p>
    <w:p w14:paraId="624C52B9">
      <w:pPr>
        <w:rPr>
          <w:rFonts w:hint="eastAsia" w:ascii="宋体" w:hAnsi="宋体" w:eastAsia="宋体" w:cs="Times New Roman"/>
          <w:color w:val="auto"/>
          <w:sz w:val="20"/>
          <w:szCs w:val="21"/>
          <w:lang w:bidi="ar"/>
        </w:rPr>
        <w:sectPr>
          <w:pgSz w:w="11906" w:h="16838"/>
          <w:pgMar w:top="1135" w:right="1135" w:bottom="1135" w:left="1135" w:header="720" w:footer="720" w:gutter="0"/>
          <w:pgNumType w:fmt="decimal"/>
          <w:cols w:space="425" w:num="1"/>
          <w:docGrid w:type="lines" w:linePitch="331" w:charSpace="0"/>
        </w:sectPr>
      </w:pPr>
    </w:p>
    <w:p w14:paraId="727B1397">
      <w:pPr>
        <w:pStyle w:val="2"/>
        <w:widowControl/>
        <w:jc w:val="center"/>
        <w:rPr>
          <w:color w:val="auto"/>
        </w:rPr>
      </w:pPr>
      <w:bookmarkStart w:id="36" w:name="_Toc27276"/>
      <w:r>
        <w:rPr>
          <w:rFonts w:hint="eastAsia" w:ascii="Cambria" w:hAnsi="Cambria" w:cs="宋体"/>
          <w:bCs w:val="0"/>
          <w:color w:val="auto"/>
          <w:sz w:val="32"/>
          <w:szCs w:val="32"/>
        </w:rPr>
        <w:t>第三章</w:t>
      </w:r>
      <w:r>
        <w:rPr>
          <w:rFonts w:ascii="Cambria" w:hAnsi="Cambria" w:eastAsia="Cambria" w:cs="Cambria"/>
          <w:bCs w:val="0"/>
          <w:color w:val="auto"/>
          <w:sz w:val="32"/>
          <w:szCs w:val="32"/>
        </w:rPr>
        <w:t xml:space="preserve"> </w:t>
      </w:r>
      <w:r>
        <w:rPr>
          <w:rFonts w:hint="eastAsia" w:ascii="Cambria" w:hAnsi="Cambria" w:cs="宋体"/>
          <w:bCs w:val="0"/>
          <w:color w:val="auto"/>
          <w:sz w:val="32"/>
          <w:szCs w:val="32"/>
        </w:rPr>
        <w:t>供应商须知</w:t>
      </w:r>
      <w:bookmarkEnd w:id="36"/>
    </w:p>
    <w:p w14:paraId="04C7B059">
      <w:pPr>
        <w:pStyle w:val="3"/>
        <w:widowControl/>
        <w:jc w:val="center"/>
        <w:rPr>
          <w:rFonts w:hint="eastAsia" w:ascii="宋体" w:hAnsi="宋体" w:eastAsia="宋体" w:cs="宋体"/>
          <w:b w:val="0"/>
          <w:color w:val="auto"/>
        </w:rPr>
      </w:pPr>
      <w:bookmarkStart w:id="37" w:name="_Toc14195"/>
      <w:r>
        <w:rPr>
          <w:rFonts w:hint="eastAsia" w:ascii="宋体" w:hAnsi="宋体" w:eastAsia="宋体" w:cs="宋体"/>
          <w:b w:val="0"/>
          <w:color w:val="auto"/>
        </w:rPr>
        <w:t>第一节 供应商须知前附表</w:t>
      </w:r>
      <w:bookmarkEnd w:id="37"/>
    </w:p>
    <w:tbl>
      <w:tblPr>
        <w:tblStyle w:val="29"/>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6"/>
        <w:gridCol w:w="6853"/>
      </w:tblGrid>
      <w:tr w14:paraId="3AFEB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tcPr>
          <w:p w14:paraId="78C957C7">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lang w:bidi="ar"/>
              </w:rPr>
              <w:t>条款号</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40D4">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lang w:bidi="ar"/>
              </w:rPr>
              <w:t>条款内容</w:t>
            </w:r>
          </w:p>
        </w:tc>
        <w:tc>
          <w:tcPr>
            <w:tcW w:w="6853" w:type="dxa"/>
            <w:tcBorders>
              <w:top w:val="single" w:color="000000" w:sz="4" w:space="0"/>
              <w:left w:val="single" w:color="000000" w:sz="4" w:space="0"/>
              <w:bottom w:val="single" w:color="000000" w:sz="4" w:space="0"/>
              <w:right w:val="single" w:color="000000" w:sz="4" w:space="0"/>
            </w:tcBorders>
            <w:shd w:val="clear" w:color="auto" w:fill="auto"/>
          </w:tcPr>
          <w:p w14:paraId="27A7FDFA">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lang w:bidi="ar"/>
              </w:rPr>
              <w:t>具体要求</w:t>
            </w:r>
          </w:p>
        </w:tc>
      </w:tr>
      <w:tr w14:paraId="387A1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05A2">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3.1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386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供应商资格条件</w:t>
            </w:r>
          </w:p>
        </w:tc>
        <w:tc>
          <w:tcPr>
            <w:tcW w:w="6853" w:type="dxa"/>
            <w:tcBorders>
              <w:top w:val="single" w:color="000000" w:sz="4" w:space="0"/>
              <w:left w:val="single" w:color="000000" w:sz="4" w:space="0"/>
              <w:bottom w:val="single" w:color="000000" w:sz="4" w:space="0"/>
              <w:right w:val="single" w:color="000000" w:sz="4" w:space="0"/>
            </w:tcBorders>
            <w:shd w:val="clear" w:color="auto" w:fill="auto"/>
          </w:tcPr>
          <w:p w14:paraId="5F8A3FDD">
            <w:pPr>
              <w:spacing w:line="360" w:lineRule="auto"/>
              <w:rPr>
                <w:rFonts w:hint="eastAsia" w:ascii="宋体" w:hAnsi="宋体" w:eastAsia="宋体" w:cs="宋体"/>
                <w:color w:val="auto"/>
                <w:szCs w:val="21"/>
              </w:rPr>
            </w:pPr>
            <w:r>
              <w:rPr>
                <w:rFonts w:hint="eastAsia" w:ascii="宋体" w:hAnsi="宋体" w:eastAsia="宋体" w:cs="宋体"/>
                <w:color w:val="auto"/>
                <w:szCs w:val="21"/>
                <w:lang w:bidi="ar"/>
              </w:rPr>
              <w:t>供应商资格条件要求详见公告。</w:t>
            </w:r>
          </w:p>
        </w:tc>
      </w:tr>
      <w:tr w14:paraId="49D19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C173">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5.1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0CA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是否接受联合体竞标</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D42C">
            <w:pPr>
              <w:spacing w:line="360" w:lineRule="auto"/>
              <w:rPr>
                <w:rFonts w:hint="eastAsia" w:ascii="宋体" w:hAnsi="宋体" w:eastAsia="宋体" w:cs="宋体"/>
                <w:color w:val="auto"/>
                <w:szCs w:val="21"/>
              </w:rPr>
            </w:pPr>
            <w:r>
              <w:rPr>
                <w:rFonts w:hint="eastAsia" w:ascii="宋体" w:hAnsi="宋体" w:eastAsia="宋体" w:cs="宋体"/>
                <w:color w:val="auto"/>
                <w:szCs w:val="21"/>
                <w:lang w:bidi="ar"/>
              </w:rPr>
              <w:t>否</w:t>
            </w:r>
          </w:p>
        </w:tc>
      </w:tr>
      <w:tr w14:paraId="67D73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89CA">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5.2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6DE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联合体竞标要求</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6648">
            <w:pPr>
              <w:spacing w:line="360" w:lineRule="auto"/>
              <w:rPr>
                <w:rFonts w:hint="eastAsia" w:ascii="宋体" w:hAnsi="宋体" w:eastAsia="宋体" w:cs="宋体"/>
                <w:color w:val="auto"/>
                <w:szCs w:val="21"/>
              </w:rPr>
            </w:pPr>
            <w:r>
              <w:rPr>
                <w:rFonts w:hint="eastAsia" w:ascii="宋体" w:hAnsi="宋体" w:eastAsia="宋体" w:cs="宋体"/>
                <w:color w:val="auto"/>
                <w:szCs w:val="21"/>
              </w:rPr>
              <w:t>无</w:t>
            </w:r>
          </w:p>
        </w:tc>
      </w:tr>
      <w:tr w14:paraId="55A07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315A">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6.1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59F1">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是否允许分包</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6FAC">
            <w:pPr>
              <w:pStyle w:val="11"/>
              <w:spacing w:line="360" w:lineRule="auto"/>
              <w:rPr>
                <w:rFonts w:hint="eastAsia" w:ascii="宋体" w:hAnsi="宋体"/>
                <w:color w:val="auto"/>
                <w:szCs w:val="21"/>
              </w:rPr>
            </w:pPr>
            <w:r>
              <w:rPr>
                <w:rFonts w:hint="eastAsia" w:ascii="宋体" w:hAnsi="宋体"/>
                <w:color w:val="auto"/>
                <w:szCs w:val="21"/>
              </w:rPr>
              <w:sym w:font="Wingdings" w:char="00FE"/>
            </w:r>
            <w:r>
              <w:rPr>
                <w:rFonts w:hint="eastAsia" w:ascii="宋体" w:hAnsi="宋体"/>
                <w:color w:val="auto"/>
                <w:szCs w:val="21"/>
              </w:rPr>
              <w:t>不允许分包</w:t>
            </w:r>
          </w:p>
          <w:p w14:paraId="1A94652C">
            <w:pPr>
              <w:pStyle w:val="11"/>
              <w:spacing w:line="360" w:lineRule="auto"/>
              <w:rPr>
                <w:rFonts w:hint="eastAsia" w:ascii="宋体" w:hAnsi="宋体"/>
                <w:color w:val="auto"/>
                <w:szCs w:val="21"/>
              </w:rPr>
            </w:pPr>
            <w:r>
              <w:rPr>
                <w:rFonts w:hint="eastAsia" w:ascii="宋体" w:hAnsi="宋体"/>
                <w:color w:val="auto"/>
                <w:szCs w:val="21"/>
              </w:rPr>
              <w:t>□允许分包</w:t>
            </w:r>
          </w:p>
          <w:p w14:paraId="4A7EB0C8">
            <w:pPr>
              <w:pStyle w:val="11"/>
              <w:widowControl/>
              <w:spacing w:line="360" w:lineRule="auto"/>
              <w:rPr>
                <w:rFonts w:hint="eastAsia" w:ascii="宋体" w:hAnsi="宋体" w:cs="宋体"/>
                <w:color w:val="auto"/>
                <w:szCs w:val="21"/>
                <w:u w:val="single"/>
              </w:rPr>
            </w:pPr>
            <w:r>
              <w:rPr>
                <w:rFonts w:hint="eastAsia" w:ascii="宋体" w:hAnsi="宋体" w:cs="宋体"/>
                <w:color w:val="auto"/>
                <w:szCs w:val="21"/>
              </w:rPr>
              <w:t>分包内容：</w:t>
            </w:r>
            <w:r>
              <w:rPr>
                <w:rFonts w:hint="eastAsia" w:ascii="宋体" w:hAnsi="宋体" w:cs="宋体"/>
                <w:color w:val="auto"/>
                <w:szCs w:val="21"/>
                <w:u w:val="single"/>
              </w:rPr>
              <w:t xml:space="preserve">                                     。</w:t>
            </w:r>
          </w:p>
          <w:p w14:paraId="794A587A">
            <w:pPr>
              <w:pStyle w:val="11"/>
              <w:widowControl/>
              <w:spacing w:line="360" w:lineRule="auto"/>
              <w:rPr>
                <w:rFonts w:hint="eastAsia" w:ascii="宋体" w:hAnsi="宋体" w:cs="宋体"/>
                <w:color w:val="auto"/>
                <w:szCs w:val="21"/>
              </w:rPr>
            </w:pPr>
            <w:r>
              <w:rPr>
                <w:rFonts w:hint="eastAsia" w:ascii="宋体" w:hAnsi="宋体" w:cs="宋体"/>
                <w:color w:val="auto"/>
                <w:szCs w:val="21"/>
              </w:rPr>
              <w:t>分包金额或者比例：</w:t>
            </w:r>
            <w:r>
              <w:rPr>
                <w:rFonts w:hint="eastAsia" w:ascii="宋体" w:hAnsi="宋体" w:cs="宋体"/>
                <w:color w:val="auto"/>
                <w:szCs w:val="21"/>
                <w:u w:val="single"/>
              </w:rPr>
              <w:t xml:space="preserve">                                     。</w:t>
            </w:r>
          </w:p>
        </w:tc>
      </w:tr>
      <w:tr w14:paraId="45654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2158">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12.1.1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14F2">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lang w:bidi="ar"/>
              </w:rPr>
              <w:t>资格证明文件组成</w:t>
            </w:r>
          </w:p>
          <w:p w14:paraId="62333ADF">
            <w:pPr>
              <w:spacing w:line="360" w:lineRule="auto"/>
              <w:jc w:val="center"/>
              <w:rPr>
                <w:rFonts w:hint="eastAsia" w:ascii="宋体" w:hAnsi="宋体" w:eastAsia="宋体" w:cs="宋体"/>
                <w:color w:val="auto"/>
                <w:szCs w:val="21"/>
              </w:rPr>
            </w:pP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A549">
            <w:pPr>
              <w:pStyle w:val="11"/>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szCs w:val="21"/>
              </w:rPr>
            </w:pPr>
            <w:r>
              <w:rPr>
                <w:rFonts w:hint="eastAsia" w:ascii="宋体" w:hAnsi="宋体" w:eastAsia="宋体" w:cs="宋体"/>
                <w:color w:val="auto"/>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0619EF97">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lang w:bidi="ar"/>
              </w:rPr>
              <w:t>2.供应商依法缴纳税收的相关材料：</w:t>
            </w:r>
            <w:r>
              <w:rPr>
                <w:rFonts w:hint="eastAsia" w:ascii="宋体" w:hAnsi="宋体" w:eastAsia="宋体" w:cs="宋体"/>
                <w:b/>
                <w:bCs/>
                <w:color w:val="auto"/>
                <w:szCs w:val="21"/>
                <w:u w:val="single"/>
                <w:lang w:eastAsia="zh-CN"/>
              </w:rPr>
              <w:t>响应文件递交截止日前半年内</w:t>
            </w:r>
            <w:r>
              <w:rPr>
                <w:rFonts w:hint="eastAsia" w:ascii="宋体" w:hAnsi="宋体" w:eastAsia="宋体" w:cs="宋体"/>
                <w:b/>
                <w:bCs/>
                <w:color w:val="auto"/>
                <w:szCs w:val="21"/>
                <w:u w:val="single"/>
              </w:rPr>
              <w:t>任意连续3个月</w:t>
            </w:r>
            <w:r>
              <w:rPr>
                <w:rFonts w:hint="eastAsia" w:ascii="宋体" w:hAnsi="宋体" w:eastAsia="宋体" w:cs="宋体"/>
                <w:color w:val="auto"/>
                <w:szCs w:val="21"/>
                <w:highlight w:val="none"/>
                <w:lang w:bidi="ar"/>
              </w:rPr>
              <w:t>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Cs w:val="21"/>
                <w:highlight w:val="none"/>
                <w:lang w:bidi="ar"/>
              </w:rPr>
              <w:t>必须提供，否则作无效竞标处理</w:t>
            </w:r>
            <w:r>
              <w:rPr>
                <w:rFonts w:hint="eastAsia" w:ascii="宋体" w:hAnsi="宋体" w:eastAsia="宋体" w:cs="宋体"/>
                <w:color w:val="auto"/>
                <w:szCs w:val="21"/>
                <w:highlight w:val="none"/>
                <w:lang w:bidi="ar"/>
              </w:rPr>
              <w:t>）</w:t>
            </w:r>
          </w:p>
          <w:p w14:paraId="059B7F16">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highlight w:val="none"/>
                <w:lang w:bidi="ar"/>
              </w:rPr>
              <w:t>3.供应商依法缴纳社会保障资金的相关材料：</w:t>
            </w:r>
            <w:r>
              <w:rPr>
                <w:rFonts w:hint="eastAsia" w:ascii="宋体" w:hAnsi="宋体" w:eastAsia="宋体" w:cs="宋体"/>
                <w:b/>
                <w:bCs/>
                <w:color w:val="auto"/>
                <w:szCs w:val="21"/>
                <w:u w:val="single"/>
                <w:lang w:eastAsia="zh-CN"/>
              </w:rPr>
              <w:t>响应文件递交截止日前半年内</w:t>
            </w:r>
            <w:r>
              <w:rPr>
                <w:rFonts w:hint="eastAsia" w:ascii="宋体" w:hAnsi="宋体" w:eastAsia="宋体" w:cs="宋体"/>
                <w:b/>
                <w:bCs/>
                <w:color w:val="auto"/>
                <w:szCs w:val="21"/>
                <w:u w:val="single"/>
              </w:rPr>
              <w:t>任意连续3个月</w:t>
            </w:r>
            <w:r>
              <w:rPr>
                <w:rFonts w:hint="eastAsia" w:ascii="宋体" w:hAnsi="宋体" w:eastAsia="宋体" w:cs="宋体"/>
                <w:color w:val="auto"/>
                <w:szCs w:val="21"/>
                <w:highlight w:val="none"/>
                <w:lang w:bidi="ar"/>
              </w:rPr>
              <w:t>的依法缴纳社会保障资金的缴费凭证（专</w:t>
            </w:r>
            <w:r>
              <w:rPr>
                <w:rFonts w:hint="eastAsia" w:ascii="宋体" w:hAnsi="宋体" w:eastAsia="宋体" w:cs="宋体"/>
                <w:color w:val="auto"/>
                <w:szCs w:val="21"/>
                <w:lang w:bidi="ar"/>
              </w:rPr>
              <w:t>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Cs w:val="21"/>
                <w:lang w:bidi="ar"/>
              </w:rPr>
              <w:t>必须提供，否则作无效竞标处理</w:t>
            </w:r>
            <w:r>
              <w:rPr>
                <w:rFonts w:hint="eastAsia" w:ascii="宋体" w:hAnsi="宋体" w:eastAsia="宋体" w:cs="宋体"/>
                <w:color w:val="auto"/>
                <w:szCs w:val="21"/>
                <w:lang w:bidi="ar"/>
              </w:rPr>
              <w:t>）</w:t>
            </w:r>
          </w:p>
          <w:p w14:paraId="76F4816A">
            <w:pPr>
              <w:pStyle w:val="87"/>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b/>
                <w:color w:val="auto"/>
                <w:lang w:eastAsia="zh-CN" w:bidi="ar"/>
              </w:rPr>
            </w:pPr>
            <w:r>
              <w:rPr>
                <w:rFonts w:hint="eastAsia" w:ascii="宋体" w:hAnsi="宋体" w:eastAsia="宋体" w:cs="宋体"/>
                <w:color w:val="auto"/>
                <w:lang w:eastAsia="zh-CN" w:bidi="ar"/>
              </w:rPr>
              <w:t>4.供应商财务状况报告：[ 202</w:t>
            </w:r>
            <w:r>
              <w:rPr>
                <w:rFonts w:hint="eastAsia" w:ascii="宋体" w:hAnsi="宋体" w:eastAsia="宋体" w:cs="宋体"/>
                <w:color w:val="auto"/>
                <w:lang w:val="en-US" w:eastAsia="zh-CN" w:bidi="ar"/>
              </w:rPr>
              <w:t>4</w:t>
            </w:r>
            <w:r>
              <w:rPr>
                <w:rFonts w:hint="eastAsia" w:ascii="宋体" w:hAnsi="宋体" w:eastAsia="宋体" w:cs="宋体"/>
                <w:color w:val="auto"/>
                <w:lang w:eastAsia="zh-CN" w:bidi="ar"/>
              </w:rPr>
              <w:t>年]财务状况报告复印件；供应商成立  不满一年的应按提供首次响应文件提交截止时间上一个月的财务状况报  告复印件。</w:t>
            </w:r>
            <w:r>
              <w:rPr>
                <w:rFonts w:hint="eastAsia" w:ascii="宋体" w:hAnsi="宋体" w:eastAsia="宋体" w:cs="宋体"/>
                <w:b/>
                <w:color w:val="auto"/>
                <w:lang w:eastAsia="zh-CN" w:bidi="ar"/>
              </w:rPr>
              <w:t>（必须提供， 否则作无效竞标处理）</w:t>
            </w:r>
          </w:p>
          <w:p w14:paraId="3CAC1400">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lang w:bidi="ar"/>
              </w:rPr>
              <w:t>5.供应商直接控股、管理关系信息表；（</w:t>
            </w:r>
            <w:r>
              <w:rPr>
                <w:rFonts w:hint="eastAsia" w:ascii="宋体" w:hAnsi="宋体" w:eastAsia="宋体" w:cs="宋体"/>
                <w:b/>
                <w:color w:val="auto"/>
                <w:szCs w:val="21"/>
                <w:lang w:bidi="ar"/>
              </w:rPr>
              <w:t>必须提供，否则响应文件按无效响应处理</w:t>
            </w:r>
            <w:r>
              <w:rPr>
                <w:rFonts w:hint="eastAsia" w:ascii="宋体" w:hAnsi="宋体" w:eastAsia="宋体" w:cs="宋体"/>
                <w:color w:val="auto"/>
                <w:szCs w:val="21"/>
                <w:lang w:bidi="ar"/>
              </w:rPr>
              <w:t>）</w:t>
            </w:r>
          </w:p>
          <w:p w14:paraId="63C6E962">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lang w:bidi="ar"/>
              </w:rPr>
              <w:t>6.资格声明；（</w:t>
            </w:r>
            <w:r>
              <w:rPr>
                <w:rFonts w:hint="eastAsia" w:ascii="宋体" w:hAnsi="宋体" w:eastAsia="宋体" w:cs="宋体"/>
                <w:b/>
                <w:color w:val="auto"/>
                <w:szCs w:val="21"/>
                <w:lang w:bidi="ar"/>
              </w:rPr>
              <w:t>必须提供，否则响应文件按无效响应处理</w:t>
            </w:r>
            <w:r>
              <w:rPr>
                <w:rFonts w:hint="eastAsia" w:ascii="宋体" w:hAnsi="宋体" w:eastAsia="宋体" w:cs="宋体"/>
                <w:color w:val="auto"/>
                <w:szCs w:val="21"/>
                <w:lang w:bidi="ar"/>
              </w:rPr>
              <w:t>）</w:t>
            </w:r>
          </w:p>
          <w:p w14:paraId="32D46357">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lang w:bidi="ar"/>
              </w:rPr>
              <w:t>7.联合体协议书；（</w:t>
            </w:r>
            <w:r>
              <w:rPr>
                <w:rFonts w:hint="eastAsia" w:ascii="宋体" w:hAnsi="宋体" w:eastAsia="宋体" w:cs="宋体"/>
                <w:b/>
                <w:color w:val="auto"/>
                <w:szCs w:val="21"/>
                <w:lang w:bidi="ar"/>
              </w:rPr>
              <w:t>联合体竞标时必须提供，否则响应文件按无效响应处理</w:t>
            </w:r>
            <w:r>
              <w:rPr>
                <w:rFonts w:hint="eastAsia" w:ascii="宋体" w:hAnsi="宋体" w:eastAsia="宋体" w:cs="宋体"/>
                <w:color w:val="auto"/>
                <w:szCs w:val="21"/>
                <w:lang w:bidi="ar"/>
              </w:rPr>
              <w:t>）</w:t>
            </w:r>
          </w:p>
          <w:p w14:paraId="6D283308">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lang w:bidi="ar"/>
              </w:rPr>
            </w:pPr>
            <w:r>
              <w:rPr>
                <w:rFonts w:hint="eastAsia" w:ascii="宋体" w:hAnsi="宋体" w:eastAsia="宋体" w:cs="宋体"/>
                <w:color w:val="auto"/>
                <w:szCs w:val="21"/>
                <w:lang w:bidi="ar"/>
              </w:rPr>
              <w:t>8.</w:t>
            </w:r>
            <w:r>
              <w:rPr>
                <w:rFonts w:hint="eastAsia" w:ascii="宋体" w:hAnsi="宋体" w:eastAsia="宋体" w:cs="宋体"/>
                <w:color w:val="auto"/>
                <w:szCs w:val="21"/>
              </w:rPr>
              <w:t>具有水利水电工程施工总承包叁级以上（含叁级）资质，在人员、设备、资金等方面具有相应的施工能力，并具有省级(或以上级)建设行政主管部门颁发的建筑施工安全生产许可证； 拟派项目经理具备水利水电工程专业贰级以上(含贰级)注册建造师资格，具备有效的安全生产考核合格证书（B 类）</w:t>
            </w:r>
            <w:r>
              <w:rPr>
                <w:rFonts w:hint="eastAsia" w:ascii="宋体" w:hAnsi="宋体" w:eastAsia="宋体" w:cs="宋体"/>
                <w:color w:val="auto"/>
                <w:szCs w:val="21"/>
                <w:lang w:bidi="ar"/>
              </w:rPr>
              <w:t>；（</w:t>
            </w:r>
            <w:r>
              <w:rPr>
                <w:rFonts w:hint="eastAsia" w:ascii="宋体" w:hAnsi="宋体" w:eastAsia="宋体" w:cs="宋体"/>
                <w:b/>
                <w:color w:val="auto"/>
                <w:szCs w:val="21"/>
                <w:lang w:bidi="ar"/>
              </w:rPr>
              <w:t>必须提供，否则响应文件按无效响应处理</w:t>
            </w:r>
            <w:r>
              <w:rPr>
                <w:rFonts w:hint="eastAsia" w:ascii="宋体" w:hAnsi="宋体" w:eastAsia="宋体" w:cs="宋体"/>
                <w:color w:val="auto"/>
                <w:szCs w:val="21"/>
                <w:lang w:bidi="ar"/>
              </w:rPr>
              <w:t>）</w:t>
            </w:r>
          </w:p>
          <w:p w14:paraId="77FDC7EB">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eastAsia="宋体" w:cs="宋体"/>
                <w:color w:val="auto"/>
                <w:szCs w:val="21"/>
              </w:rPr>
              <w:t>.中小企业声明函或残疾人福利性单位声明函或投标人属于监狱企业的证明材料；（</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5F308C52">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bidi="ar"/>
              </w:rPr>
              <w:t>10</w:t>
            </w:r>
            <w:r>
              <w:rPr>
                <w:rFonts w:hint="eastAsia" w:ascii="宋体" w:hAnsi="宋体" w:eastAsia="宋体" w:cs="宋体"/>
                <w:color w:val="auto"/>
                <w:szCs w:val="21"/>
                <w:lang w:bidi="ar"/>
              </w:rPr>
              <w:t>.除磋商文件规定必须提供以外，供应商认为需要提供的其他证明材料；</w:t>
            </w:r>
          </w:p>
          <w:p w14:paraId="2A262D16">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color w:val="auto"/>
                <w:szCs w:val="21"/>
              </w:rPr>
            </w:pPr>
            <w:r>
              <w:rPr>
                <w:rFonts w:hint="eastAsia" w:ascii="宋体" w:hAnsi="宋体" w:eastAsia="宋体" w:cs="宋体"/>
                <w:b/>
                <w:color w:val="auto"/>
                <w:szCs w:val="21"/>
                <w:lang w:bidi="ar"/>
              </w:rPr>
              <w:t>注：</w:t>
            </w:r>
          </w:p>
          <w:p w14:paraId="32BC33AE">
            <w:pPr>
              <w:snapToGrid w:val="0"/>
              <w:spacing w:line="360" w:lineRule="auto"/>
              <w:ind w:firstLine="413" w:firstLineChars="196"/>
              <w:jc w:val="left"/>
              <w:rPr>
                <w:rFonts w:hint="eastAsia" w:ascii="宋体" w:hAnsi="宋体" w:eastAsia="宋体" w:cs="宋体"/>
                <w:b/>
                <w:color w:val="auto"/>
                <w:szCs w:val="21"/>
              </w:rPr>
            </w:pPr>
            <w:r>
              <w:rPr>
                <w:rFonts w:hint="eastAsia" w:ascii="宋体" w:hAnsi="宋体" w:eastAsia="宋体" w:cs="宋体"/>
                <w:b/>
                <w:color w:val="auto"/>
                <w:szCs w:val="21"/>
                <w:lang w:bidi="ar"/>
              </w:rPr>
              <w:t>1.以上标明“必须提供”的材料属于复印件的扫描件的，必须加盖供应商电子公章，否则响应文件按无效响应处理。</w:t>
            </w:r>
          </w:p>
          <w:p w14:paraId="7D32325D">
            <w:pPr>
              <w:pStyle w:val="11"/>
              <w:widowControl/>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2.联合体竞标时，第1-5项资格证明文件联合体各方均必须分别提供，联合体各方分别盖章和签字，否则响应文件按无效响应处理。</w:t>
            </w:r>
          </w:p>
        </w:tc>
      </w:tr>
      <w:tr w14:paraId="0FE8D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right w:val="single" w:color="000000" w:sz="4" w:space="0"/>
            </w:tcBorders>
            <w:shd w:val="clear" w:color="auto" w:fill="auto"/>
            <w:vAlign w:val="center"/>
          </w:tcPr>
          <w:p w14:paraId="2629B0A6">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12.1.2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802B">
            <w:pPr>
              <w:spacing w:line="480" w:lineRule="exact"/>
              <w:jc w:val="center"/>
              <w:rPr>
                <w:rFonts w:hint="eastAsia" w:ascii="宋体" w:hAnsi="宋体" w:eastAsia="宋体" w:cs="宋体"/>
                <w:b/>
                <w:bCs/>
                <w:color w:val="auto"/>
                <w:szCs w:val="21"/>
                <w:lang w:bidi="ar"/>
              </w:rPr>
            </w:pPr>
            <w:r>
              <w:rPr>
                <w:rFonts w:hint="eastAsia" w:ascii="宋体" w:hAnsi="宋体" w:eastAsia="宋体" w:cs="宋体"/>
                <w:b/>
                <w:color w:val="auto"/>
                <w:sz w:val="21"/>
                <w:szCs w:val="21"/>
                <w:highlight w:val="none"/>
              </w:rPr>
              <w:t>商务文件组成</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3F0A">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1.无串通竞标行为的承诺函；（</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11ABD8D2">
            <w:pPr>
              <w:spacing w:line="4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2.法定代表人身份证明书及法定代表人有效身份证正反面复印件；（</w:t>
            </w:r>
            <w:r>
              <w:rPr>
                <w:rFonts w:hint="eastAsia" w:ascii="宋体" w:hAnsi="宋体" w:eastAsia="宋体" w:cs="宋体"/>
                <w:b/>
                <w:color w:val="auto"/>
                <w:sz w:val="21"/>
                <w:szCs w:val="21"/>
                <w:highlight w:val="none"/>
              </w:rPr>
              <w:t>除自然人竞标外必须提供，否则响应文件按无效响应处理</w:t>
            </w:r>
            <w:r>
              <w:rPr>
                <w:rFonts w:hint="eastAsia" w:ascii="宋体" w:hAnsi="宋体" w:eastAsia="宋体" w:cs="宋体"/>
                <w:color w:val="auto"/>
                <w:sz w:val="21"/>
                <w:szCs w:val="21"/>
                <w:highlight w:val="none"/>
              </w:rPr>
              <w:t>）</w:t>
            </w:r>
          </w:p>
          <w:p w14:paraId="07C76FDD">
            <w:pPr>
              <w:spacing w:line="48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3.法定代表人授权委托书及委托代理人有效身份证正反面复印件；（</w:t>
            </w:r>
            <w:r>
              <w:rPr>
                <w:rFonts w:hint="eastAsia" w:ascii="宋体" w:hAnsi="宋体" w:eastAsia="宋体" w:cs="宋体"/>
                <w:b/>
                <w:color w:val="auto"/>
                <w:sz w:val="21"/>
                <w:szCs w:val="21"/>
                <w:highlight w:val="none"/>
              </w:rPr>
              <w:t>委托时必须提供，否则响应文件按无效响应处理</w:t>
            </w:r>
            <w:r>
              <w:rPr>
                <w:rFonts w:hint="eastAsia" w:ascii="宋体" w:hAnsi="宋体" w:eastAsia="宋体" w:cs="宋体"/>
                <w:color w:val="auto"/>
                <w:sz w:val="21"/>
                <w:szCs w:val="21"/>
                <w:highlight w:val="none"/>
              </w:rPr>
              <w:t>）</w:t>
            </w:r>
          </w:p>
          <w:p w14:paraId="53D5313B">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4.商务条款偏离表；（</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6D7806E4">
            <w:pPr>
              <w:spacing w:line="4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5.供应商认为需要提供的其他有关资料。</w:t>
            </w:r>
          </w:p>
          <w:p w14:paraId="67805460">
            <w:pPr>
              <w:spacing w:line="48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注： </w:t>
            </w:r>
          </w:p>
          <w:p w14:paraId="03D9DD24">
            <w:pPr>
              <w:spacing w:line="4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1.法定代表人授权委托书必须由法定代表人及委托代理人签字，并加盖供应商公章，否则响应文件按无效响应处理。</w:t>
            </w:r>
          </w:p>
          <w:p w14:paraId="006FC5A5">
            <w:pPr>
              <w:spacing w:line="480" w:lineRule="exact"/>
              <w:ind w:firstLine="413" w:firstLineChars="196"/>
              <w:rPr>
                <w:rFonts w:hint="eastAsia" w:ascii="宋体" w:hAnsi="宋体" w:eastAsia="宋体" w:cs="宋体"/>
                <w:b/>
                <w:color w:val="auto"/>
                <w:szCs w:val="21"/>
                <w:lang w:bidi="ar"/>
              </w:rPr>
            </w:pPr>
            <w:r>
              <w:rPr>
                <w:rFonts w:hint="eastAsia" w:ascii="宋体" w:hAnsi="宋体" w:eastAsia="宋体" w:cs="宋体"/>
                <w:b/>
                <w:color w:val="auto"/>
                <w:sz w:val="21"/>
                <w:szCs w:val="21"/>
                <w:highlight w:val="none"/>
              </w:rPr>
              <w:t>2.以上标明“必须提供”的材料属于复印件的扫描件的，必须加盖供应商电子公章，否则响应文件按无效响应处理。</w:t>
            </w:r>
          </w:p>
        </w:tc>
      </w:tr>
      <w:tr w14:paraId="00B08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left w:val="single" w:color="000000" w:sz="4" w:space="0"/>
              <w:bottom w:val="single" w:color="000000" w:sz="4" w:space="0"/>
              <w:right w:val="single" w:color="000000" w:sz="4" w:space="0"/>
            </w:tcBorders>
            <w:shd w:val="clear" w:color="auto" w:fill="auto"/>
            <w:vAlign w:val="center"/>
          </w:tcPr>
          <w:p w14:paraId="75F1551A">
            <w:pPr>
              <w:spacing w:line="360" w:lineRule="auto"/>
              <w:jc w:val="center"/>
              <w:rPr>
                <w:rFonts w:hint="eastAsia" w:ascii="宋体" w:hAnsi="宋体" w:eastAsia="宋体" w:cs="宋体"/>
                <w:color w:val="auto"/>
                <w:szCs w:val="21"/>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FB02">
            <w:pPr>
              <w:spacing w:line="480" w:lineRule="exact"/>
              <w:jc w:val="center"/>
              <w:rPr>
                <w:rFonts w:hint="eastAsia" w:ascii="宋体" w:hAnsi="宋体" w:eastAsia="宋体" w:cs="宋体"/>
                <w:b/>
                <w:bCs/>
                <w:color w:val="auto"/>
                <w:szCs w:val="21"/>
              </w:rPr>
            </w:pPr>
            <w:r>
              <w:rPr>
                <w:rFonts w:hint="eastAsia" w:ascii="宋体" w:hAnsi="宋体" w:eastAsia="宋体" w:cs="宋体"/>
                <w:b/>
                <w:color w:val="auto"/>
                <w:sz w:val="21"/>
                <w:szCs w:val="21"/>
                <w:highlight w:val="none"/>
              </w:rPr>
              <w:t>技术文件组成</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1842">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1.磋商</w:t>
            </w:r>
            <w:r>
              <w:rPr>
                <w:rFonts w:hint="eastAsia" w:ascii="宋体" w:hAnsi="宋体" w:eastAsia="宋体" w:cs="宋体"/>
                <w:color w:val="auto"/>
                <w:sz w:val="21"/>
                <w:szCs w:val="21"/>
                <w:lang w:bidi="ar"/>
              </w:rPr>
              <w:t>人情况介绍</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3E2CE2C7">
            <w:pPr>
              <w:pStyle w:val="13"/>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2.技术需求偏离表；</w:t>
            </w:r>
            <w:r>
              <w:rPr>
                <w:rFonts w:hint="eastAsia" w:ascii="宋体" w:hAnsi="宋体" w:eastAsia="宋体" w:cs="宋体"/>
                <w:b/>
                <w:color w:val="auto"/>
                <w:sz w:val="21"/>
                <w:szCs w:val="21"/>
                <w:highlight w:val="none"/>
              </w:rPr>
              <w:t>（必须提供，否则响应文件按无效响应处理）</w:t>
            </w:r>
          </w:p>
          <w:p w14:paraId="6C70D2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3.项目经理</w:t>
            </w:r>
            <w:r>
              <w:rPr>
                <w:rFonts w:hint="eastAsia" w:ascii="宋体" w:hAnsi="宋体" w:eastAsia="宋体" w:cs="宋体"/>
                <w:color w:val="auto"/>
                <w:sz w:val="21"/>
                <w:szCs w:val="21"/>
              </w:rPr>
              <w:t>（或建造师）</w:t>
            </w:r>
            <w:r>
              <w:rPr>
                <w:rFonts w:hint="eastAsia" w:ascii="宋体" w:hAnsi="宋体" w:eastAsia="宋体" w:cs="宋体"/>
                <w:color w:val="auto"/>
                <w:sz w:val="21"/>
                <w:szCs w:val="21"/>
                <w:highlight w:val="none"/>
              </w:rPr>
              <w:t>简历表；（</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D35C2D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4.主要施工管理人员表；（</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7F5E120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5.项目经理未在其他在施建设工程项目中任职的承诺函；（</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519791A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.安全员未在其他在施建设工程项目中任专职安全员的承诺函；（</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74A65C80">
            <w:pPr>
              <w:pStyle w:val="13"/>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.农民工工资保证金的交纳与使用的承诺书（</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6FC990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.施工组织设计；（</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5880C9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.按本竞争性磋商文件规定提交的其它资料。</w:t>
            </w:r>
          </w:p>
          <w:p w14:paraId="3B10B8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Cs w:val="21"/>
              </w:rPr>
            </w:pPr>
            <w:r>
              <w:rPr>
                <w:rFonts w:hint="eastAsia" w:ascii="宋体" w:hAnsi="宋体" w:eastAsia="宋体" w:cs="宋体"/>
                <w:b/>
                <w:color w:val="auto"/>
                <w:sz w:val="21"/>
                <w:szCs w:val="21"/>
                <w:highlight w:val="none"/>
              </w:rPr>
              <w:t>注：1.以上标明“必须提供”的材料属于复印件的扫描件的，必须加盖供应商电子公章，否则响应文件按无效响应处理。</w:t>
            </w:r>
          </w:p>
        </w:tc>
      </w:tr>
      <w:tr w14:paraId="4C1E7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2A3B">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12.1.2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86CE">
            <w:pPr>
              <w:spacing w:line="360" w:lineRule="auto"/>
              <w:jc w:val="center"/>
              <w:rPr>
                <w:rFonts w:hint="eastAsia" w:ascii="宋体" w:hAnsi="宋体" w:eastAsia="宋体" w:cs="宋体"/>
                <w:color w:val="auto"/>
                <w:szCs w:val="21"/>
              </w:rPr>
            </w:pPr>
            <w:r>
              <w:rPr>
                <w:rFonts w:hint="eastAsia" w:ascii="宋体" w:hAnsi="宋体" w:eastAsia="宋体" w:cs="宋体"/>
                <w:b/>
                <w:bCs/>
                <w:color w:val="auto"/>
                <w:szCs w:val="21"/>
                <w:lang w:bidi="ar"/>
              </w:rPr>
              <w:t>报价文件组成</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9300">
            <w:pPr>
              <w:spacing w:line="440" w:lineRule="exact"/>
              <w:rPr>
                <w:rFonts w:hint="eastAsia" w:ascii="宋体" w:hAnsi="宋体" w:cs="宋体"/>
                <w:b/>
                <w:bCs/>
                <w:color w:val="auto"/>
                <w:szCs w:val="21"/>
              </w:rPr>
            </w:pPr>
            <w:r>
              <w:rPr>
                <w:rFonts w:hint="eastAsia" w:ascii="宋体" w:hAnsi="宋体" w:cs="宋体"/>
                <w:color w:val="auto"/>
                <w:szCs w:val="21"/>
              </w:rPr>
              <w:t>1.响应函；</w:t>
            </w:r>
            <w:r>
              <w:rPr>
                <w:rFonts w:hint="eastAsia" w:ascii="宋体" w:hAnsi="宋体" w:cs="宋体"/>
                <w:b/>
                <w:bCs/>
                <w:color w:val="auto"/>
                <w:szCs w:val="21"/>
              </w:rPr>
              <w:t>（必须提供，</w:t>
            </w:r>
            <w:r>
              <w:rPr>
                <w:rFonts w:hint="eastAsia" w:ascii="宋体" w:hAnsi="宋体" w:cs="宋体"/>
                <w:b/>
                <w:color w:val="auto"/>
                <w:szCs w:val="21"/>
              </w:rPr>
              <w:t>否则响应文件按无效响应处理</w:t>
            </w:r>
            <w:r>
              <w:rPr>
                <w:rFonts w:hint="eastAsia" w:ascii="宋体" w:hAnsi="宋体" w:cs="宋体"/>
                <w:b/>
                <w:bCs/>
                <w:color w:val="auto"/>
                <w:szCs w:val="21"/>
              </w:rPr>
              <w:t>）</w:t>
            </w:r>
          </w:p>
          <w:p w14:paraId="24C2434F">
            <w:pPr>
              <w:spacing w:line="440" w:lineRule="exact"/>
              <w:rPr>
                <w:rFonts w:hint="eastAsia" w:ascii="宋体" w:hAnsi="宋体" w:cs="宋体"/>
                <w:b/>
                <w:bCs/>
                <w:color w:val="auto"/>
                <w:szCs w:val="21"/>
              </w:rPr>
            </w:pPr>
            <w:r>
              <w:rPr>
                <w:rFonts w:hint="eastAsia" w:ascii="宋体" w:hAnsi="宋体" w:cs="宋体"/>
                <w:color w:val="auto"/>
                <w:kern w:val="0"/>
                <w:szCs w:val="21"/>
              </w:rPr>
              <w:t>2.响应函附录</w:t>
            </w:r>
            <w:r>
              <w:rPr>
                <w:rFonts w:hint="eastAsia" w:ascii="宋体" w:hAnsi="宋体" w:cs="宋体"/>
                <w:color w:val="auto"/>
                <w:szCs w:val="21"/>
              </w:rPr>
              <w:t>；</w:t>
            </w:r>
            <w:r>
              <w:rPr>
                <w:rFonts w:hint="eastAsia" w:ascii="宋体" w:hAnsi="宋体" w:cs="宋体"/>
                <w:b/>
                <w:bCs/>
                <w:color w:val="auto"/>
                <w:szCs w:val="21"/>
              </w:rPr>
              <w:t>（必须提供，</w:t>
            </w:r>
            <w:r>
              <w:rPr>
                <w:rFonts w:hint="eastAsia" w:ascii="宋体" w:hAnsi="宋体" w:cs="宋体"/>
                <w:b/>
                <w:color w:val="auto"/>
                <w:szCs w:val="21"/>
              </w:rPr>
              <w:t>否则响应文件按无效响应处理</w:t>
            </w:r>
            <w:r>
              <w:rPr>
                <w:rFonts w:hint="eastAsia" w:ascii="宋体" w:hAnsi="宋体" w:cs="宋体"/>
                <w:b/>
                <w:bCs/>
                <w:color w:val="auto"/>
                <w:szCs w:val="21"/>
              </w:rPr>
              <w:t>）</w:t>
            </w:r>
          </w:p>
          <w:p w14:paraId="1A559D17">
            <w:pPr>
              <w:spacing w:line="440" w:lineRule="exact"/>
              <w:rPr>
                <w:rFonts w:hint="eastAsia" w:ascii="宋体" w:hAnsi="宋体" w:cs="宋体"/>
                <w:b/>
                <w:bCs/>
                <w:color w:val="auto"/>
                <w:szCs w:val="21"/>
              </w:rPr>
            </w:pPr>
            <w:r>
              <w:rPr>
                <w:rFonts w:hint="eastAsia" w:ascii="宋体" w:hAnsi="宋体" w:cs="宋体"/>
                <w:color w:val="auto"/>
                <w:szCs w:val="21"/>
              </w:rPr>
              <w:t>3.响应报价表；</w:t>
            </w:r>
            <w:r>
              <w:rPr>
                <w:rFonts w:hint="eastAsia" w:ascii="宋体" w:hAnsi="宋体" w:cs="宋体"/>
                <w:b/>
                <w:bCs/>
                <w:color w:val="auto"/>
                <w:szCs w:val="21"/>
              </w:rPr>
              <w:t>（必须提供，</w:t>
            </w:r>
            <w:r>
              <w:rPr>
                <w:rFonts w:hint="eastAsia" w:ascii="宋体" w:hAnsi="宋体" w:cs="宋体"/>
                <w:b/>
                <w:color w:val="auto"/>
                <w:szCs w:val="21"/>
              </w:rPr>
              <w:t>否则响应文件按无效响应处理</w:t>
            </w:r>
            <w:r>
              <w:rPr>
                <w:rFonts w:hint="eastAsia" w:ascii="宋体" w:hAnsi="宋体" w:cs="宋体"/>
                <w:b/>
                <w:bCs/>
                <w:color w:val="auto"/>
                <w:szCs w:val="21"/>
              </w:rPr>
              <w:t>）</w:t>
            </w:r>
          </w:p>
          <w:p w14:paraId="42F5EDAD">
            <w:pPr>
              <w:spacing w:line="440" w:lineRule="exact"/>
              <w:rPr>
                <w:rFonts w:hint="eastAsia" w:ascii="宋体" w:hAnsi="宋体" w:cs="宋体"/>
                <w:b/>
                <w:bCs/>
                <w:color w:val="auto"/>
                <w:szCs w:val="21"/>
              </w:rPr>
            </w:pPr>
            <w:r>
              <w:rPr>
                <w:rFonts w:hint="eastAsia" w:ascii="宋体" w:hAnsi="宋体" w:cs="宋体"/>
                <w:color w:val="auto"/>
                <w:szCs w:val="21"/>
              </w:rPr>
              <w:t>4.已标价工程量清单。</w:t>
            </w:r>
            <w:r>
              <w:rPr>
                <w:rFonts w:hint="eastAsia" w:ascii="宋体" w:hAnsi="宋体" w:cs="宋体"/>
                <w:b/>
                <w:bCs/>
                <w:color w:val="auto"/>
                <w:szCs w:val="21"/>
              </w:rPr>
              <w:t>（必须提供，否则响应文件按无效响应处理）</w:t>
            </w:r>
          </w:p>
          <w:p w14:paraId="44CF2EE6">
            <w:pPr>
              <w:spacing w:line="360" w:lineRule="auto"/>
              <w:rPr>
                <w:rFonts w:hint="eastAsia" w:ascii="宋体" w:hAnsi="宋体" w:eastAsia="宋体" w:cs="宋体"/>
                <w:color w:val="auto"/>
                <w:szCs w:val="21"/>
              </w:rPr>
            </w:pPr>
            <w:r>
              <w:rPr>
                <w:rFonts w:hint="eastAsia" w:ascii="宋体" w:hAnsi="宋体" w:cs="宋体"/>
                <w:b/>
                <w:bCs/>
                <w:color w:val="auto"/>
                <w:szCs w:val="21"/>
              </w:rPr>
              <w:t>注：上述材料必须在规定盖章处加盖供应商电子公章，否则作无效响应处理。</w:t>
            </w:r>
          </w:p>
        </w:tc>
      </w:tr>
      <w:tr w14:paraId="0FCE2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2349">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12.2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EE8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响应文件电子版要求</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4220">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bidi="ar"/>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lang w:bidi="ar"/>
              </w:rPr>
              <w:t>否则响应文件按无效响应处理</w:t>
            </w:r>
            <w:r>
              <w:rPr>
                <w:rFonts w:hint="eastAsia" w:ascii="宋体" w:hAnsi="宋体" w:eastAsia="宋体" w:cs="宋体"/>
                <w:color w:val="auto"/>
                <w:szCs w:val="21"/>
                <w:lang w:bidi="ar"/>
              </w:rPr>
              <w:t>。</w:t>
            </w:r>
          </w:p>
          <w:p w14:paraId="3AC14827">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bidi="ar"/>
              </w:rPr>
              <w:t>2</w:t>
            </w:r>
            <w:r>
              <w:rPr>
                <w:rFonts w:hint="eastAsia" w:ascii="宋体" w:hAnsi="宋体" w:eastAsia="宋体" w:cs="Courier New"/>
                <w:color w:val="auto"/>
                <w:szCs w:val="21"/>
                <w:lang w:bidi="ar"/>
              </w:rPr>
              <w:t>.响应文件电子版密封方式：电子响应文件通过平台有效CA加密后在“广西政府采购云”平台投送。（操作方式见公告附件“</w:t>
            </w:r>
            <w:r>
              <w:rPr>
                <w:rFonts w:hint="eastAsia" w:ascii="宋体" w:hAnsi="宋体" w:eastAsia="宋体" w:cs="宋体"/>
                <w:color w:val="auto"/>
                <w:szCs w:val="21"/>
                <w:lang w:bidi="ar"/>
              </w:rPr>
              <w:t>电子响应文件制作与投送教程</w:t>
            </w:r>
            <w:r>
              <w:rPr>
                <w:rFonts w:hint="eastAsia" w:ascii="宋体" w:hAnsi="宋体" w:eastAsia="宋体" w:cs="Courier New"/>
                <w:color w:val="auto"/>
                <w:szCs w:val="21"/>
                <w:lang w:bidi="ar"/>
              </w:rPr>
              <w:t>” ）</w:t>
            </w:r>
          </w:p>
        </w:tc>
      </w:tr>
      <w:tr w14:paraId="508EB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B27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15.2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2386">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响应报价要求</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812B">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bidi="ar"/>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eastAsia="宋体" w:cs="宋体"/>
                <w:b/>
                <w:color w:val="auto"/>
                <w:szCs w:val="21"/>
                <w:lang w:bidi="ar"/>
              </w:rPr>
              <w:t>（采购需求另有约定的，从其约定。）</w:t>
            </w:r>
          </w:p>
        </w:tc>
      </w:tr>
      <w:tr w14:paraId="48707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410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16.2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92D9">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竞标有效期</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0923">
            <w:pPr>
              <w:pStyle w:val="8"/>
              <w:widowControl w:val="0"/>
              <w:tabs>
                <w:tab w:val="clear" w:pos="454"/>
              </w:tabs>
              <w:snapToGrid w:val="0"/>
              <w:spacing w:after="156" w:line="360" w:lineRule="auto"/>
              <w:ind w:left="283" w:hanging="283" w:hangingChars="135"/>
              <w:jc w:val="both"/>
              <w:rPr>
                <w:rFonts w:hint="eastAsia" w:ascii="宋体" w:hAnsi="宋体" w:cs="宋体"/>
                <w:color w:val="auto"/>
                <w:kern w:val="2"/>
                <w:sz w:val="21"/>
                <w:szCs w:val="21"/>
              </w:rPr>
            </w:pPr>
            <w:r>
              <w:rPr>
                <w:rFonts w:hint="eastAsia" w:ascii="宋体" w:hAnsi="宋体" w:cs="宋体"/>
                <w:color w:val="auto"/>
                <w:kern w:val="2"/>
                <w:sz w:val="21"/>
                <w:szCs w:val="21"/>
              </w:rPr>
              <w:t>自首次响应文件提交截止之日起</w:t>
            </w:r>
            <w:r>
              <w:rPr>
                <w:rFonts w:hint="eastAsia" w:ascii="宋体" w:hAnsi="宋体" w:cs="宋体"/>
                <w:color w:val="auto"/>
                <w:kern w:val="2"/>
                <w:sz w:val="21"/>
                <w:szCs w:val="21"/>
                <w:u w:val="single"/>
              </w:rPr>
              <w:t>60</w:t>
            </w:r>
            <w:r>
              <w:rPr>
                <w:rFonts w:hint="eastAsia" w:ascii="宋体" w:hAnsi="宋体" w:cs="宋体"/>
                <w:color w:val="auto"/>
                <w:kern w:val="2"/>
                <w:sz w:val="21"/>
                <w:szCs w:val="21"/>
              </w:rPr>
              <w:t>日。</w:t>
            </w:r>
          </w:p>
        </w:tc>
      </w:tr>
      <w:tr w14:paraId="0A431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1B88">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17.1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0AB0">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磋商保证金</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C523">
            <w:pPr>
              <w:autoSpaceDE w:val="0"/>
              <w:autoSpaceDN w:val="0"/>
              <w:snapToGrid w:val="0"/>
              <w:spacing w:line="360" w:lineRule="auto"/>
              <w:textAlignment w:val="bottom"/>
              <w:rPr>
                <w:rFonts w:hint="eastAsia" w:ascii="宋体" w:hAnsi="宋体" w:eastAsia="宋体" w:cs="宋体"/>
                <w:color w:val="auto"/>
                <w:szCs w:val="21"/>
              </w:rPr>
            </w:pPr>
            <w:r>
              <w:rPr>
                <w:rFonts w:hint="eastAsia" w:ascii="宋体" w:hAnsi="宋体" w:eastAsia="宋体" w:cs="宋体"/>
                <w:color w:val="auto"/>
                <w:szCs w:val="21"/>
                <w:lang w:bidi="ar"/>
              </w:rPr>
              <w:t>本项目不收取磋商保证金。</w:t>
            </w:r>
          </w:p>
        </w:tc>
      </w:tr>
      <w:tr w14:paraId="200DC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272D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20.1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2372">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首次响应文件提交起止时间</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B06A">
            <w:pPr>
              <w:snapToGrid w:val="0"/>
              <w:spacing w:line="360" w:lineRule="auto"/>
              <w:jc w:val="left"/>
              <w:rPr>
                <w:rFonts w:hint="eastAsia" w:ascii="宋体" w:hAnsi="宋体" w:eastAsia="宋体" w:cs="宋体"/>
                <w:color w:val="auto"/>
                <w:szCs w:val="21"/>
                <w:u w:val="single"/>
              </w:rPr>
            </w:pPr>
            <w:r>
              <w:rPr>
                <w:rFonts w:hint="eastAsia" w:ascii="宋体" w:hAnsi="宋体" w:eastAsia="宋体" w:cs="宋体"/>
                <w:color w:val="auto"/>
                <w:szCs w:val="21"/>
                <w:lang w:bidi="ar"/>
              </w:rPr>
              <w:t>详见竞争性磋商公告。</w:t>
            </w:r>
          </w:p>
        </w:tc>
      </w:tr>
      <w:tr w14:paraId="1027F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B4973">
            <w:pPr>
              <w:rPr>
                <w:rFonts w:ascii="Times New Roman" w:hAnsi="Times New Roman" w:cs="Times New Roman"/>
                <w:color w:val="auto"/>
                <w:sz w:val="20"/>
                <w:szCs w:val="20"/>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EA6B">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首次响应文件提交地点</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AD04">
            <w:pPr>
              <w:snapToGrid w:val="0"/>
              <w:spacing w:line="360" w:lineRule="auto"/>
              <w:jc w:val="left"/>
              <w:rPr>
                <w:rFonts w:hint="eastAsia" w:ascii="宋体" w:hAnsi="宋体" w:eastAsia="宋体" w:cs="宋体"/>
                <w:color w:val="auto"/>
                <w:szCs w:val="21"/>
                <w:u w:val="single"/>
              </w:rPr>
            </w:pPr>
            <w:r>
              <w:rPr>
                <w:rFonts w:hint="eastAsia" w:ascii="宋体" w:hAnsi="宋体" w:eastAsia="宋体" w:cs="宋体"/>
                <w:color w:val="auto"/>
                <w:szCs w:val="21"/>
                <w:lang w:bidi="ar"/>
              </w:rPr>
              <w:t>详见竞争性磋商公告。</w:t>
            </w:r>
          </w:p>
        </w:tc>
      </w:tr>
      <w:tr w14:paraId="618F8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3C65">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20.6</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940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备份响应文件</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03D8">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bidi="ar"/>
              </w:rPr>
              <w:t>本项目不接受备份响应文件。</w:t>
            </w:r>
          </w:p>
        </w:tc>
      </w:tr>
      <w:tr w14:paraId="60FC2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3493">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21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A145">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首次响应文件的退回</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001D">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bidi="ar"/>
              </w:rPr>
              <w:t>详见竞争性磋商公告。</w:t>
            </w:r>
          </w:p>
        </w:tc>
      </w:tr>
      <w:tr w14:paraId="3903A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205F6">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26.2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2328">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负偏离要求</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D35E">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lang w:bidi="ar"/>
              </w:rPr>
              <w:t>商务条款评审中允许负偏离的条款数为</w:t>
            </w:r>
            <w:r>
              <w:rPr>
                <w:rFonts w:hint="eastAsia" w:ascii="宋体" w:hAnsi="宋体" w:eastAsia="宋体" w:cs="宋体"/>
                <w:color w:val="auto"/>
                <w:szCs w:val="21"/>
                <w:u w:val="single"/>
                <w:lang w:bidi="ar"/>
              </w:rPr>
              <w:t xml:space="preserve">  0 </w:t>
            </w:r>
            <w:r>
              <w:rPr>
                <w:rFonts w:hint="eastAsia" w:ascii="宋体" w:hAnsi="宋体" w:eastAsia="宋体" w:cs="宋体"/>
                <w:color w:val="auto"/>
                <w:szCs w:val="21"/>
                <w:lang w:bidi="ar"/>
              </w:rPr>
              <w:t>项。</w:t>
            </w:r>
          </w:p>
          <w:p w14:paraId="44ED2445">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lang w:bidi="ar"/>
              </w:rPr>
              <w:t>服务需求评审中允许负偏离的条款数为</w:t>
            </w:r>
            <w:r>
              <w:rPr>
                <w:rFonts w:hint="eastAsia" w:ascii="宋体" w:hAnsi="宋体" w:eastAsia="宋体" w:cs="宋体"/>
                <w:color w:val="auto"/>
                <w:szCs w:val="21"/>
                <w:u w:val="single"/>
                <w:lang w:bidi="ar"/>
              </w:rPr>
              <w:t xml:space="preserve"> 0  </w:t>
            </w:r>
            <w:r>
              <w:rPr>
                <w:rFonts w:hint="eastAsia" w:ascii="宋体" w:hAnsi="宋体" w:eastAsia="宋体" w:cs="宋体"/>
                <w:color w:val="auto"/>
                <w:szCs w:val="21"/>
                <w:lang w:bidi="ar"/>
              </w:rPr>
              <w:t>项。</w:t>
            </w:r>
          </w:p>
        </w:tc>
      </w:tr>
      <w:tr w14:paraId="3BD0F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D44B9">
            <w:pPr>
              <w:rPr>
                <w:rFonts w:ascii="Times New Roman" w:hAnsi="Times New Roman" w:cs="Times New Roman"/>
                <w:color w:val="auto"/>
                <w:sz w:val="20"/>
                <w:szCs w:val="20"/>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A2F">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磋商的顺序</w:t>
            </w:r>
          </w:p>
          <w:p w14:paraId="2AA70FED">
            <w:pPr>
              <w:spacing w:line="360" w:lineRule="auto"/>
              <w:jc w:val="center"/>
              <w:rPr>
                <w:rFonts w:hint="eastAsia" w:ascii="宋体" w:hAnsi="宋体" w:eastAsia="宋体" w:cs="宋体"/>
                <w:color w:val="auto"/>
                <w:szCs w:val="21"/>
              </w:rPr>
            </w:pP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A9E7">
            <w:pPr>
              <w:pStyle w:val="11"/>
              <w:widowControl/>
              <w:spacing w:line="360" w:lineRule="auto"/>
              <w:rPr>
                <w:rFonts w:hint="eastAsia" w:ascii="宋体" w:hAnsi="宋体" w:cs="宋体"/>
                <w:color w:val="auto"/>
                <w:szCs w:val="21"/>
              </w:rPr>
            </w:pPr>
            <w:r>
              <w:rPr>
                <w:rFonts w:hint="eastAsia" w:ascii="宋体" w:hAnsi="宋体" w:cs="宋体"/>
                <w:color w:val="auto"/>
                <w:szCs w:val="21"/>
              </w:rPr>
              <w:t>□按照提交首次响应文件的顺序，通知磋商时，若某供应商不在通知现场时，该供应商排序到最后磋商，按照签到的顺序由其下一位供应商先参与磋商。</w:t>
            </w:r>
          </w:p>
          <w:p w14:paraId="066DBA0B">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lang w:bidi="ar"/>
              </w:rPr>
              <w:sym w:font="Wingdings 2" w:char="0052"/>
            </w:r>
            <w:r>
              <w:rPr>
                <w:rFonts w:hint="eastAsia" w:ascii="宋体" w:hAnsi="宋体" w:eastAsia="宋体" w:cs="宋体"/>
                <w:color w:val="auto"/>
                <w:szCs w:val="21"/>
                <w:lang w:bidi="ar"/>
              </w:rPr>
              <w:t>随机排序。</w:t>
            </w:r>
          </w:p>
          <w:p w14:paraId="1496C9F2">
            <w:pPr>
              <w:pStyle w:val="11"/>
              <w:widowControl/>
              <w:spacing w:line="360" w:lineRule="auto"/>
              <w:rPr>
                <w:rFonts w:hint="eastAsia" w:ascii="宋体" w:hAnsi="宋体" w:cs="宋体"/>
                <w:b/>
                <w:color w:val="auto"/>
                <w:szCs w:val="21"/>
              </w:rPr>
            </w:pPr>
            <w:r>
              <w:rPr>
                <w:rFonts w:hint="eastAsia" w:ascii="宋体" w:hAnsi="宋体" w:cs="宋体"/>
                <w:b/>
                <w:color w:val="auto"/>
                <w:szCs w:val="21"/>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337FA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3349">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28</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1D3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履约保证金</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DD59">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lang w:bidi="ar"/>
              </w:rPr>
              <w:t xml:space="preserve">本项目不收取履约保证金 </w:t>
            </w:r>
          </w:p>
        </w:tc>
      </w:tr>
      <w:tr w14:paraId="6B013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9177">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29.5</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5C0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签订合同携带的材料</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207C">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lang w:bidi="ar"/>
              </w:rPr>
              <w:t>使用的有效CA证书加盖单位电子公章</w:t>
            </w:r>
          </w:p>
        </w:tc>
      </w:tr>
      <w:tr w14:paraId="5032A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88DCB">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31.2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74A7">
            <w:pPr>
              <w:spacing w:line="38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接收质疑函方式</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5301">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lang w:bidi="ar"/>
              </w:rPr>
              <w:t>以书面形式</w:t>
            </w:r>
          </w:p>
        </w:tc>
      </w:tr>
      <w:tr w14:paraId="66E94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E8821">
            <w:pPr>
              <w:rPr>
                <w:rFonts w:ascii="Times New Roman" w:hAnsi="Times New Roman" w:cs="Times New Roman"/>
                <w:color w:val="auto"/>
                <w:sz w:val="20"/>
                <w:szCs w:val="20"/>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CCE6">
            <w:pPr>
              <w:spacing w:line="38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质疑联系部门及联系方式</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6BA1">
            <w:pPr>
              <w:snapToGrid w:val="0"/>
              <w:spacing w:line="380" w:lineRule="exact"/>
              <w:rPr>
                <w:rFonts w:hint="eastAsia" w:ascii="宋体" w:hAnsi="宋体"/>
                <w:color w:val="auto"/>
                <w:szCs w:val="21"/>
              </w:rPr>
            </w:pPr>
            <w:r>
              <w:rPr>
                <w:rFonts w:hint="eastAsia" w:ascii="宋体" w:hAnsi="宋体"/>
                <w:color w:val="auto"/>
                <w:szCs w:val="21"/>
                <w:u w:val="single"/>
              </w:rPr>
              <w:t xml:space="preserve">（1）广西翔正项目管理有限公司 </w:t>
            </w:r>
            <w:r>
              <w:rPr>
                <w:rFonts w:hint="eastAsia" w:ascii="宋体" w:hAnsi="宋体"/>
                <w:color w:val="auto"/>
                <w:szCs w:val="21"/>
              </w:rPr>
              <w:t>；</w:t>
            </w:r>
          </w:p>
          <w:p w14:paraId="0FFA2F98">
            <w:pPr>
              <w:snapToGrid w:val="0"/>
              <w:spacing w:line="380" w:lineRule="exact"/>
              <w:rPr>
                <w:rFonts w:hint="eastAsia" w:ascii="宋体" w:hAnsi="宋体"/>
                <w:color w:val="auto"/>
                <w:szCs w:val="21"/>
              </w:rPr>
            </w:pPr>
            <w:r>
              <w:rPr>
                <w:rFonts w:hint="eastAsia" w:ascii="宋体" w:hAnsi="宋体"/>
                <w:color w:val="auto"/>
                <w:szCs w:val="21"/>
              </w:rPr>
              <w:t>联系电话：0771-5660405，</w:t>
            </w:r>
          </w:p>
          <w:p w14:paraId="67773053">
            <w:pPr>
              <w:snapToGrid w:val="0"/>
              <w:spacing w:line="380" w:lineRule="exact"/>
              <w:rPr>
                <w:rFonts w:hint="eastAsia" w:ascii="宋体" w:hAnsi="宋体"/>
                <w:color w:val="auto"/>
                <w:szCs w:val="21"/>
              </w:rPr>
            </w:pPr>
            <w:r>
              <w:rPr>
                <w:rFonts w:hint="eastAsia" w:ascii="宋体" w:hAnsi="宋体"/>
                <w:color w:val="auto"/>
                <w:szCs w:val="21"/>
              </w:rPr>
              <w:t>通讯地址</w:t>
            </w:r>
            <w:r>
              <w:rPr>
                <w:rFonts w:hint="eastAsia" w:ascii="宋体" w:hAnsi="宋体" w:cs="Helvetica"/>
                <w:color w:val="auto"/>
                <w:szCs w:val="21"/>
              </w:rPr>
              <w:t>：</w:t>
            </w:r>
            <w:r>
              <w:rPr>
                <w:rFonts w:hint="eastAsia" w:ascii="宋体" w:hAnsi="宋体"/>
                <w:color w:val="auto"/>
                <w:szCs w:val="21"/>
                <w:u w:val="single"/>
              </w:rPr>
              <w:t xml:space="preserve"> 南宁市秀厢大道199号金源城（建兴路）金源CBD东城25楼　号 </w:t>
            </w:r>
            <w:r>
              <w:rPr>
                <w:rFonts w:hint="eastAsia" w:ascii="宋体" w:hAnsi="宋体"/>
                <w:color w:val="auto"/>
                <w:szCs w:val="21"/>
              </w:rPr>
              <w:t xml:space="preserve"> </w:t>
            </w:r>
          </w:p>
          <w:p w14:paraId="26C73806">
            <w:pPr>
              <w:snapToGrid w:val="0"/>
              <w:spacing w:line="380" w:lineRule="exact"/>
              <w:rPr>
                <w:rFonts w:hint="eastAsia" w:ascii="宋体" w:hAnsi="宋体"/>
                <w:color w:val="auto"/>
                <w:szCs w:val="21"/>
              </w:rPr>
            </w:pPr>
            <w:r>
              <w:rPr>
                <w:rFonts w:hint="eastAsia" w:ascii="宋体" w:hAnsi="宋体"/>
                <w:color w:val="auto"/>
                <w:szCs w:val="21"/>
                <w:u w:val="single"/>
              </w:rPr>
              <w:t xml:space="preserve">（2）南宁市武鸣区水利工程服务站 </w:t>
            </w:r>
            <w:r>
              <w:rPr>
                <w:rFonts w:hint="eastAsia" w:ascii="宋体" w:hAnsi="宋体"/>
                <w:color w:val="auto"/>
                <w:szCs w:val="21"/>
              </w:rPr>
              <w:t>；</w:t>
            </w:r>
          </w:p>
          <w:p w14:paraId="5146A2AD">
            <w:pPr>
              <w:spacing w:line="276" w:lineRule="auto"/>
              <w:rPr>
                <w:rFonts w:hint="eastAsia" w:ascii="宋体" w:hAnsi="宋体"/>
                <w:color w:val="auto"/>
                <w:szCs w:val="21"/>
                <w:highlight w:val="none"/>
              </w:rPr>
            </w:pPr>
            <w:r>
              <w:rPr>
                <w:rFonts w:hint="eastAsia" w:ascii="宋体" w:hAnsi="宋体"/>
                <w:color w:val="auto"/>
                <w:szCs w:val="21"/>
              </w:rPr>
              <w:t>联系电话</w:t>
            </w:r>
            <w:r>
              <w:rPr>
                <w:rFonts w:hint="eastAsia" w:ascii="宋体" w:hAnsi="宋体"/>
                <w:color w:val="auto"/>
                <w:szCs w:val="21"/>
                <w:highlight w:val="none"/>
              </w:rPr>
              <w:t>：</w:t>
            </w:r>
            <w:r>
              <w:rPr>
                <w:rFonts w:hint="eastAsia" w:ascii="宋体" w:hAnsi="宋体"/>
                <w:color w:val="auto"/>
                <w:szCs w:val="21"/>
                <w:highlight w:val="none"/>
                <w:lang w:eastAsia="zh-CN"/>
              </w:rPr>
              <w:t>0771-62</w:t>
            </w:r>
            <w:r>
              <w:rPr>
                <w:rFonts w:hint="eastAsia" w:ascii="宋体" w:hAnsi="宋体"/>
                <w:color w:val="auto"/>
                <w:szCs w:val="21"/>
                <w:highlight w:val="none"/>
                <w:lang w:val="en-US" w:eastAsia="zh-CN"/>
              </w:rPr>
              <w:t>16630</w:t>
            </w:r>
            <w:r>
              <w:rPr>
                <w:rFonts w:hint="eastAsia" w:ascii="宋体" w:hAnsi="宋体"/>
                <w:color w:val="auto"/>
                <w:szCs w:val="21"/>
                <w:highlight w:val="none"/>
              </w:rPr>
              <w:t xml:space="preserve">    ，</w:t>
            </w:r>
          </w:p>
          <w:p w14:paraId="2FA7FD4F">
            <w:pPr>
              <w:snapToGrid w:val="0"/>
              <w:spacing w:line="380" w:lineRule="exact"/>
              <w:rPr>
                <w:rFonts w:hint="eastAsia" w:ascii="宋体" w:hAnsi="宋体" w:eastAsia="宋体" w:cs="宋体"/>
                <w:color w:val="auto"/>
                <w:szCs w:val="21"/>
              </w:rPr>
            </w:pPr>
            <w:r>
              <w:rPr>
                <w:rFonts w:hint="eastAsia" w:ascii="宋体" w:hAnsi="宋体"/>
                <w:color w:val="auto"/>
                <w:szCs w:val="21"/>
              </w:rPr>
              <w:t>通讯地址</w:t>
            </w:r>
            <w:r>
              <w:rPr>
                <w:rFonts w:hint="eastAsia" w:ascii="宋体" w:hAnsi="宋体" w:cs="Helvetica"/>
                <w:color w:val="auto"/>
                <w:szCs w:val="21"/>
              </w:rPr>
              <w:t>：</w:t>
            </w:r>
            <w:r>
              <w:rPr>
                <w:rFonts w:hint="eastAsia" w:ascii="宋体" w:hAnsi="宋体"/>
                <w:color w:val="auto"/>
                <w:szCs w:val="21"/>
                <w:u w:val="single"/>
              </w:rPr>
              <w:t xml:space="preserve"> 南宁市武鸣区城厢镇农坛路1号   </w:t>
            </w:r>
            <w:r>
              <w:rPr>
                <w:rFonts w:hint="eastAsia" w:ascii="宋体" w:hAnsi="宋体"/>
                <w:color w:val="auto"/>
                <w:szCs w:val="21"/>
              </w:rPr>
              <w:t xml:space="preserve"> </w:t>
            </w:r>
          </w:p>
        </w:tc>
      </w:tr>
      <w:tr w14:paraId="0F926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742A9">
            <w:pPr>
              <w:rPr>
                <w:rFonts w:ascii="Times New Roman" w:hAnsi="Times New Roman" w:cs="Times New Roman"/>
                <w:color w:val="auto"/>
                <w:sz w:val="20"/>
                <w:szCs w:val="20"/>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1436">
            <w:pPr>
              <w:spacing w:line="380" w:lineRule="exact"/>
              <w:jc w:val="center"/>
              <w:rPr>
                <w:rFonts w:hint="eastAsia" w:ascii="宋体" w:hAnsi="宋体" w:eastAsia="宋体" w:cs="宋体"/>
                <w:color w:val="auto"/>
                <w:szCs w:val="21"/>
              </w:rPr>
            </w:pPr>
            <w:r>
              <w:rPr>
                <w:rFonts w:hint="eastAsia" w:ascii="Times New Roman" w:hAnsi="宋体" w:eastAsia="宋体" w:cs="宋体"/>
                <w:color w:val="auto"/>
                <w:lang w:bidi="ar"/>
              </w:rPr>
              <w:t>现场提交质疑办理业务时间</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7AE7">
            <w:pPr>
              <w:snapToGrid w:val="0"/>
              <w:spacing w:line="380" w:lineRule="exact"/>
              <w:rPr>
                <w:rFonts w:hint="eastAsia" w:ascii="宋体" w:hAnsi="宋体" w:eastAsia="宋体" w:cs="宋体"/>
                <w:color w:val="auto"/>
                <w:szCs w:val="21"/>
              </w:rPr>
            </w:pPr>
            <w:r>
              <w:rPr>
                <w:rFonts w:hint="eastAsia" w:hAnsi="宋体"/>
                <w:color w:val="auto"/>
              </w:rPr>
              <w:t>质疑期内每个工作日</w:t>
            </w:r>
            <w:r>
              <w:rPr>
                <w:rFonts w:hint="eastAsia" w:ascii="宋体" w:hAnsi="宋体" w:cs="宋体"/>
                <w:color w:val="auto"/>
                <w:szCs w:val="21"/>
                <w:u w:val="single"/>
              </w:rPr>
              <w:t xml:space="preserve"> 9 </w:t>
            </w:r>
            <w:r>
              <w:rPr>
                <w:rFonts w:hint="eastAsia" w:ascii="宋体" w:hAnsi="宋体" w:cs="宋体"/>
                <w:color w:val="auto"/>
                <w:szCs w:val="21"/>
              </w:rPr>
              <w:t>时</w:t>
            </w:r>
            <w:r>
              <w:rPr>
                <w:rFonts w:hint="eastAsia" w:ascii="宋体" w:hAnsi="宋体" w:cs="宋体"/>
                <w:color w:val="auto"/>
                <w:szCs w:val="21"/>
                <w:u w:val="single"/>
              </w:rPr>
              <w:t xml:space="preserve"> 00 </w:t>
            </w:r>
            <w:r>
              <w:rPr>
                <w:rFonts w:hint="eastAsia" w:ascii="宋体" w:hAnsi="宋体" w:cs="宋体"/>
                <w:color w:val="auto"/>
                <w:szCs w:val="21"/>
              </w:rPr>
              <w:t>分到</w:t>
            </w:r>
            <w:r>
              <w:rPr>
                <w:rFonts w:hint="eastAsia" w:ascii="宋体" w:hAnsi="宋体" w:cs="宋体"/>
                <w:color w:val="auto"/>
                <w:szCs w:val="21"/>
                <w:u w:val="single"/>
              </w:rPr>
              <w:t xml:space="preserve"> 12  </w:t>
            </w:r>
            <w:r>
              <w:rPr>
                <w:rFonts w:hint="eastAsia" w:ascii="宋体" w:hAnsi="宋体" w:cs="宋体"/>
                <w:color w:val="auto"/>
                <w:szCs w:val="21"/>
              </w:rPr>
              <w:t>时</w:t>
            </w:r>
            <w:r>
              <w:rPr>
                <w:rFonts w:hint="eastAsia" w:ascii="宋体" w:hAnsi="宋体" w:cs="宋体"/>
                <w:color w:val="auto"/>
                <w:szCs w:val="21"/>
                <w:u w:val="single"/>
              </w:rPr>
              <w:t xml:space="preserve">  00 </w:t>
            </w:r>
            <w:r>
              <w:rPr>
                <w:rFonts w:hint="eastAsia" w:ascii="宋体" w:hAnsi="宋体" w:cs="宋体"/>
                <w:color w:val="auto"/>
                <w:szCs w:val="21"/>
              </w:rPr>
              <w:t>分，</w:t>
            </w:r>
            <w:r>
              <w:rPr>
                <w:rFonts w:hint="eastAsia" w:ascii="宋体" w:hAnsi="宋体" w:cs="宋体"/>
                <w:color w:val="auto"/>
                <w:szCs w:val="21"/>
                <w:u w:val="single"/>
              </w:rPr>
              <w:t xml:space="preserve"> 15   </w:t>
            </w:r>
            <w:r>
              <w:rPr>
                <w:rFonts w:hint="eastAsia" w:ascii="宋体" w:hAnsi="宋体" w:cs="宋体"/>
                <w:color w:val="auto"/>
                <w:szCs w:val="21"/>
              </w:rPr>
              <w:t>时</w:t>
            </w:r>
            <w:r>
              <w:rPr>
                <w:rFonts w:hint="eastAsia" w:ascii="宋体" w:hAnsi="宋体" w:cs="宋体"/>
                <w:color w:val="auto"/>
                <w:szCs w:val="21"/>
                <w:u w:val="single"/>
              </w:rPr>
              <w:t xml:space="preserve"> 00 </w:t>
            </w:r>
            <w:r>
              <w:rPr>
                <w:rFonts w:hint="eastAsia" w:ascii="宋体" w:hAnsi="宋体" w:cs="宋体"/>
                <w:color w:val="auto"/>
                <w:szCs w:val="21"/>
              </w:rPr>
              <w:t>分到</w:t>
            </w:r>
            <w:r>
              <w:rPr>
                <w:rFonts w:hint="eastAsia" w:ascii="宋体" w:hAnsi="宋体" w:cs="宋体"/>
                <w:color w:val="auto"/>
                <w:szCs w:val="21"/>
                <w:u w:val="single"/>
              </w:rPr>
              <w:t xml:space="preserve"> 18  </w:t>
            </w:r>
            <w:r>
              <w:rPr>
                <w:rFonts w:hint="eastAsia" w:ascii="宋体" w:hAnsi="宋体" w:cs="宋体"/>
                <w:color w:val="auto"/>
                <w:szCs w:val="21"/>
              </w:rPr>
              <w:t>时</w:t>
            </w:r>
            <w:r>
              <w:rPr>
                <w:rFonts w:hint="eastAsia" w:ascii="宋体" w:hAnsi="宋体" w:cs="宋体"/>
                <w:color w:val="auto"/>
                <w:szCs w:val="21"/>
                <w:u w:val="single"/>
              </w:rPr>
              <w:t xml:space="preserve"> 00  </w:t>
            </w:r>
            <w:r>
              <w:rPr>
                <w:rFonts w:hint="eastAsia" w:ascii="宋体" w:hAnsi="宋体" w:cs="宋体"/>
                <w:color w:val="auto"/>
                <w:szCs w:val="21"/>
              </w:rPr>
              <w:t>分</w:t>
            </w:r>
          </w:p>
        </w:tc>
      </w:tr>
      <w:tr w14:paraId="51729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A09C">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31.6</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56B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受理投诉方式</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A6DE">
            <w:pPr>
              <w:snapToGrid w:val="0"/>
              <w:spacing w:line="380" w:lineRule="exact"/>
              <w:rPr>
                <w:rFonts w:hint="eastAsia" w:hAnsi="宋体" w:cs="宋体"/>
                <w:color w:val="auto"/>
              </w:rPr>
            </w:pPr>
            <w:r>
              <w:rPr>
                <w:rFonts w:ascii="Times New Roman" w:hAnsi="宋体" w:eastAsia="宋体" w:cs="Times New Roman"/>
                <w:color w:val="auto"/>
                <w:lang w:bidi="ar"/>
              </w:rPr>
              <w:t>1</w:t>
            </w:r>
            <w:r>
              <w:rPr>
                <w:rFonts w:hint="eastAsia" w:ascii="Times New Roman" w:hAnsi="宋体" w:eastAsia="宋体" w:cs="宋体"/>
                <w:color w:val="auto"/>
                <w:lang w:bidi="ar"/>
              </w:rPr>
              <w:t>、受理方式：纸质方式受理，投诉书正、副本（经过质疑的事项才可投诉）。</w:t>
            </w:r>
          </w:p>
        </w:tc>
      </w:tr>
      <w:tr w14:paraId="7CBBA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5773">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33</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190B">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采购代理费</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1517">
            <w:pPr>
              <w:pStyle w:val="17"/>
              <w:widowControl/>
              <w:snapToGrid w:val="0"/>
              <w:spacing w:line="360" w:lineRule="auto"/>
              <w:rPr>
                <w:rFonts w:hint="eastAsia" w:hAnsi="宋体" w:eastAsia="宋体" w:cs="宋体"/>
                <w:color w:val="auto"/>
                <w:sz w:val="21"/>
                <w:lang w:eastAsia="zh-CN"/>
              </w:rPr>
            </w:pPr>
            <w:r>
              <w:rPr>
                <w:rFonts w:hint="eastAsia" w:hAnsi="宋体" w:cs="宋体"/>
                <w:color w:val="auto"/>
                <w:sz w:val="21"/>
                <w:lang w:eastAsia="zh-CN"/>
              </w:rPr>
              <w:t>☑成交</w:t>
            </w:r>
            <w:r>
              <w:rPr>
                <w:rFonts w:hAnsi="宋体" w:cs="宋体"/>
                <w:color w:val="auto"/>
                <w:sz w:val="21"/>
              </w:rPr>
              <w:t>人支付。</w:t>
            </w:r>
            <w:r>
              <w:rPr>
                <w:rFonts w:hint="eastAsia" w:hAnsi="宋体" w:cs="宋体"/>
                <w:color w:val="auto"/>
                <w:sz w:val="21"/>
                <w:lang w:eastAsia="zh-CN"/>
              </w:rPr>
              <w:t>具体为：根据采购人与代理人签订的《建设工程招标代理合同》，本项目委托招标代理服务费按招标代理合同约定计取，由成交人在领取成交通知书时，一次性向招标代理机构支付。</w:t>
            </w:r>
          </w:p>
          <w:p w14:paraId="52812079">
            <w:pPr>
              <w:pStyle w:val="17"/>
              <w:widowControl/>
              <w:snapToGrid w:val="0"/>
              <w:spacing w:line="360" w:lineRule="auto"/>
              <w:rPr>
                <w:rFonts w:hAnsi="宋体" w:cs="宋体"/>
                <w:color w:val="auto"/>
                <w:sz w:val="21"/>
              </w:rPr>
            </w:pPr>
            <w:r>
              <w:rPr>
                <w:rFonts w:hAnsi="宋体" w:cs="宋体"/>
                <w:color w:val="auto"/>
                <w:sz w:val="21"/>
              </w:rPr>
              <w:t xml:space="preserve"> 采购代理费收取银行账户</w:t>
            </w:r>
          </w:p>
          <w:p w14:paraId="7E343F2E">
            <w:pPr>
              <w:pStyle w:val="17"/>
              <w:snapToGrid w:val="0"/>
              <w:spacing w:line="360" w:lineRule="auto"/>
              <w:rPr>
                <w:rFonts w:hAnsi="宋体" w:cs="宋体"/>
                <w:b/>
                <w:bCs/>
                <w:color w:val="auto"/>
                <w:sz w:val="21"/>
              </w:rPr>
            </w:pPr>
            <w:r>
              <w:rPr>
                <w:rFonts w:hAnsi="宋体" w:cs="宋体"/>
                <w:b/>
                <w:bCs/>
                <w:color w:val="auto"/>
                <w:sz w:val="21"/>
              </w:rPr>
              <w:t>开户名称：广西翔正项目管理有限公司</w:t>
            </w:r>
          </w:p>
          <w:p w14:paraId="0ADA0887">
            <w:pPr>
              <w:pStyle w:val="17"/>
              <w:snapToGrid w:val="0"/>
              <w:spacing w:line="360" w:lineRule="auto"/>
              <w:rPr>
                <w:rFonts w:hAnsi="宋体" w:cs="宋体"/>
                <w:b/>
                <w:bCs/>
                <w:color w:val="auto"/>
                <w:sz w:val="21"/>
              </w:rPr>
            </w:pPr>
            <w:r>
              <w:rPr>
                <w:rFonts w:hAnsi="宋体" w:cs="宋体"/>
                <w:b/>
                <w:bCs/>
                <w:color w:val="auto"/>
                <w:sz w:val="21"/>
              </w:rPr>
              <w:t>开户银行：中国工商银行南宁市建政支行</w:t>
            </w:r>
          </w:p>
          <w:p w14:paraId="389C249E">
            <w:pPr>
              <w:pStyle w:val="17"/>
              <w:widowControl/>
              <w:snapToGrid w:val="0"/>
              <w:spacing w:line="360" w:lineRule="auto"/>
              <w:rPr>
                <w:rFonts w:hAnsi="宋体" w:cs="宋体"/>
                <w:color w:val="auto"/>
                <w:sz w:val="21"/>
              </w:rPr>
            </w:pPr>
            <w:r>
              <w:rPr>
                <w:rFonts w:hAnsi="宋体" w:cs="宋体"/>
                <w:b/>
                <w:bCs/>
                <w:color w:val="auto"/>
                <w:sz w:val="21"/>
              </w:rPr>
              <w:t>银行账号：210 210 710 93000 76992</w:t>
            </w:r>
          </w:p>
        </w:tc>
      </w:tr>
      <w:tr w14:paraId="1FF1A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29E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34.1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D69F">
            <w:pPr>
              <w:spacing w:line="360" w:lineRule="auto"/>
              <w:jc w:val="center"/>
              <w:rPr>
                <w:rFonts w:hint="eastAsia" w:ascii="宋体" w:hAnsi="宋体" w:eastAsia="宋体" w:cs="宋体"/>
                <w:color w:val="auto"/>
                <w:szCs w:val="21"/>
              </w:rPr>
            </w:pPr>
            <w:r>
              <w:rPr>
                <w:rFonts w:hint="eastAsia" w:ascii="Times New Roman" w:hAnsi="宋体" w:eastAsia="宋体" w:cs="宋体"/>
                <w:color w:val="auto"/>
                <w:lang w:bidi="ar"/>
              </w:rPr>
              <w:t>解释</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81D2">
            <w:pPr>
              <w:pStyle w:val="17"/>
              <w:widowControl/>
              <w:snapToGrid w:val="0"/>
              <w:spacing w:line="360" w:lineRule="auto"/>
              <w:rPr>
                <w:rFonts w:hAnsi="宋体" w:cs="宋体"/>
                <w:b/>
                <w:color w:val="auto"/>
                <w:sz w:val="21"/>
              </w:rPr>
            </w:pPr>
            <w:r>
              <w:rPr>
                <w:rFonts w:hAnsi="宋体" w:cs="宋体"/>
                <w:b/>
                <w:color w:val="auto"/>
                <w:sz w:val="21"/>
              </w:rPr>
              <w:t>解释权：</w:t>
            </w:r>
            <w:r>
              <w:rPr>
                <w:rFonts w:hAnsi="宋体" w:cs="宋体"/>
                <w:color w:val="auto"/>
                <w:sz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Ansi="宋体" w:cs="宋体"/>
                <w:b/>
                <w:color w:val="auto"/>
                <w:sz w:val="21"/>
              </w:rPr>
              <w:t>由采购人或者采购代理机构负责解释。</w:t>
            </w:r>
          </w:p>
          <w:p w14:paraId="51BC2244">
            <w:pPr>
              <w:pStyle w:val="17"/>
              <w:widowControl/>
              <w:snapToGrid w:val="0"/>
              <w:spacing w:line="360" w:lineRule="auto"/>
              <w:rPr>
                <w:rFonts w:hAnsi="宋体" w:cs="宋体"/>
                <w:b/>
                <w:color w:val="auto"/>
                <w:sz w:val="21"/>
              </w:rPr>
            </w:pPr>
            <w:r>
              <w:rPr>
                <w:rFonts w:hAnsi="宋体" w:cs="宋体"/>
                <w:b/>
                <w:color w:val="auto"/>
                <w:sz w:val="21"/>
              </w:rPr>
              <w:t>法律责任：</w:t>
            </w:r>
          </w:p>
          <w:p w14:paraId="66C72AD7">
            <w:pPr>
              <w:pStyle w:val="17"/>
              <w:widowControl/>
              <w:snapToGrid w:val="0"/>
              <w:spacing w:line="360" w:lineRule="auto"/>
              <w:rPr>
                <w:rFonts w:hAnsi="宋体" w:cs="宋体"/>
                <w:color w:val="auto"/>
                <w:sz w:val="21"/>
              </w:rPr>
            </w:pPr>
            <w:r>
              <w:rPr>
                <w:rFonts w:hAnsi="宋体" w:cs="宋体"/>
                <w:b/>
                <w:color w:val="auto"/>
                <w:sz w:val="21"/>
              </w:rPr>
              <w:t>1.</w:t>
            </w:r>
            <w:r>
              <w:rPr>
                <w:rFonts w:hAnsi="宋体" w:cs="宋体"/>
                <w:color w:val="auto"/>
                <w:sz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BF5B25E">
            <w:pPr>
              <w:spacing w:line="360" w:lineRule="auto"/>
              <w:rPr>
                <w:rFonts w:hint="eastAsia" w:hAnsi="宋体" w:cs="宋体"/>
                <w:color w:val="auto"/>
              </w:rPr>
            </w:pPr>
            <w:r>
              <w:rPr>
                <w:rFonts w:ascii="Times New Roman" w:hAnsi="宋体" w:eastAsia="宋体" w:cs="宋体"/>
                <w:b/>
                <w:color w:val="auto"/>
                <w:lang w:bidi="ar"/>
              </w:rPr>
              <w:t>2.</w:t>
            </w:r>
            <w:r>
              <w:rPr>
                <w:rFonts w:hint="eastAsia" w:ascii="宋体" w:hAnsi="宋体" w:eastAsia="宋体" w:cs="宋体"/>
                <w:b/>
                <w:color w:val="auto"/>
                <w:szCs w:val="21"/>
                <w:lang w:bidi="ar"/>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2E93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B309">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34.2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C43A">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其他</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EA2A">
            <w:pPr>
              <w:pStyle w:val="17"/>
              <w:widowControl/>
              <w:snapToGrid w:val="0"/>
              <w:spacing w:line="360" w:lineRule="auto"/>
              <w:rPr>
                <w:rFonts w:hAnsi="宋体" w:cs="宋体"/>
                <w:color w:val="auto"/>
                <w:sz w:val="21"/>
              </w:rPr>
            </w:pPr>
            <w:r>
              <w:rPr>
                <w:rFonts w:hAnsi="宋体" w:cs="宋体"/>
                <w:color w:val="auto"/>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8D42D52">
            <w:pPr>
              <w:pStyle w:val="17"/>
              <w:widowControl/>
              <w:snapToGrid w:val="0"/>
              <w:spacing w:line="360" w:lineRule="auto"/>
              <w:rPr>
                <w:rFonts w:hAnsi="宋体" w:cs="宋体"/>
                <w:color w:val="auto"/>
                <w:sz w:val="21"/>
              </w:rPr>
            </w:pPr>
            <w:r>
              <w:rPr>
                <w:rFonts w:hAnsi="宋体" w:cs="宋体"/>
                <w:color w:val="auto"/>
                <w:sz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CAA1E29">
            <w:pPr>
              <w:pStyle w:val="17"/>
              <w:widowControl/>
              <w:snapToGrid w:val="0"/>
              <w:spacing w:line="360" w:lineRule="auto"/>
              <w:rPr>
                <w:rFonts w:hAnsi="宋体" w:cs="宋体"/>
                <w:color w:val="auto"/>
                <w:sz w:val="21"/>
              </w:rPr>
            </w:pPr>
            <w:r>
              <w:rPr>
                <w:rFonts w:hAnsi="宋体" w:cs="宋体"/>
                <w:color w:val="auto"/>
                <w:sz w:val="21"/>
              </w:rPr>
              <w:t>3.本磋商文件中描述供应商的“签字”是指供应商的法定代表人或者委托代理人亲自在文件规定签署处亲笔写上个人的名字的行为，私章、签字章、印鉴、影印等其他形式均不能代替亲笔签字。</w:t>
            </w:r>
          </w:p>
          <w:p w14:paraId="727A9DD0">
            <w:pPr>
              <w:pStyle w:val="17"/>
              <w:widowControl/>
              <w:snapToGrid w:val="0"/>
              <w:spacing w:line="360" w:lineRule="auto"/>
              <w:rPr>
                <w:rFonts w:hAnsi="宋体" w:cs="宋体"/>
                <w:color w:val="auto"/>
                <w:sz w:val="21"/>
              </w:rPr>
            </w:pPr>
            <w:r>
              <w:rPr>
                <w:rFonts w:hAnsi="宋体" w:cs="宋体"/>
                <w:color w:val="auto"/>
                <w:sz w:val="21"/>
              </w:rPr>
              <w:t>4.自然人竞标的，磋商文件规定盖公章处由自然人摁手指指印。</w:t>
            </w:r>
          </w:p>
          <w:p w14:paraId="06AF806A">
            <w:pPr>
              <w:pStyle w:val="17"/>
              <w:widowControl/>
              <w:snapToGrid w:val="0"/>
              <w:spacing w:line="360" w:lineRule="auto"/>
              <w:rPr>
                <w:rFonts w:hAnsi="宋体" w:cs="宋体"/>
                <w:color w:val="auto"/>
                <w:sz w:val="21"/>
              </w:rPr>
            </w:pPr>
            <w:r>
              <w:rPr>
                <w:rFonts w:hAnsi="宋体" w:cs="宋体"/>
                <w:color w:val="auto"/>
                <w:sz w:val="21"/>
              </w:rPr>
              <w:t>5.本磋商文件所称的“以上”“以下”“以内”“届满”，包括本数；所称的“不满”“超过”“以外”，不包括本数。</w:t>
            </w:r>
          </w:p>
        </w:tc>
      </w:tr>
    </w:tbl>
    <w:p w14:paraId="6FE65CFD">
      <w:pPr>
        <w:pStyle w:val="3"/>
        <w:widowControl/>
        <w:spacing w:line="420" w:lineRule="exact"/>
        <w:jc w:val="center"/>
        <w:rPr>
          <w:rFonts w:hint="eastAsia" w:ascii="宋体" w:hAnsi="宋体" w:eastAsia="宋体" w:cs="宋体"/>
          <w:b w:val="0"/>
          <w:color w:val="auto"/>
        </w:rPr>
      </w:pPr>
      <w:r>
        <w:rPr>
          <w:rFonts w:hint="eastAsia" w:ascii="宋体" w:hAnsi="宋体" w:eastAsia="宋体"/>
          <w:bCs w:val="0"/>
          <w:color w:val="auto"/>
          <w:lang w:bidi="ar"/>
        </w:rPr>
        <w:br w:type="page"/>
      </w:r>
      <w:bookmarkStart w:id="38" w:name="_Toc16715"/>
      <w:r>
        <w:rPr>
          <w:rFonts w:hint="eastAsia" w:ascii="宋体" w:hAnsi="宋体" w:eastAsia="宋体" w:cs="宋体"/>
          <w:b w:val="0"/>
          <w:color w:val="auto"/>
        </w:rPr>
        <w:t>第二节 供应商须知正文</w:t>
      </w:r>
      <w:bookmarkEnd w:id="38"/>
    </w:p>
    <w:p w14:paraId="6DA10ED4">
      <w:pPr>
        <w:pStyle w:val="4"/>
        <w:widowControl/>
        <w:spacing w:before="0" w:after="0" w:line="360" w:lineRule="auto"/>
        <w:ind w:firstLine="640" w:firstLineChars="200"/>
        <w:rPr>
          <w:rFonts w:hint="eastAsia" w:ascii="宋体" w:hAnsi="宋体" w:cs="宋体"/>
          <w:b w:val="0"/>
          <w:color w:val="auto"/>
        </w:rPr>
      </w:pPr>
      <w:bookmarkStart w:id="39" w:name="_Toc1228"/>
      <w:r>
        <w:rPr>
          <w:rFonts w:hint="eastAsia" w:ascii="宋体" w:hAnsi="宋体" w:cs="宋体"/>
          <w:b w:val="0"/>
          <w:color w:val="auto"/>
        </w:rPr>
        <w:t>一、总则</w:t>
      </w:r>
      <w:bookmarkEnd w:id="39"/>
    </w:p>
    <w:p w14:paraId="6C187525">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1.适用范围</w:t>
      </w:r>
    </w:p>
    <w:p w14:paraId="18D2811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BAE86B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1.2</w:t>
      </w:r>
      <w:r>
        <w:rPr>
          <w:rFonts w:hint="eastAsia" w:ascii="宋体" w:hAnsi="宋体" w:eastAsia="宋体" w:cs="宋体"/>
          <w:color w:val="auto"/>
          <w:spacing w:val="-6"/>
          <w:szCs w:val="21"/>
          <w:lang w:bidi="ar"/>
        </w:rPr>
        <w:t>本竞争性磋商文件（以下简称磋商文件）适用于本项目的所有采购程序和环节（法律、法规另有规定的，从其规定）。</w:t>
      </w:r>
    </w:p>
    <w:p w14:paraId="38F25143">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2.定义</w:t>
      </w:r>
    </w:p>
    <w:p w14:paraId="795D250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2.1“采购人”是指依法进行政府采购的国家机关、事业单位、团体组织。</w:t>
      </w:r>
    </w:p>
    <w:p w14:paraId="7E9097D5">
      <w:pPr>
        <w:spacing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lang w:bidi="ar"/>
        </w:rPr>
        <w:t>2.2“采购代理机构”是指政府采购集中采购机构和集中采购机构以外的采购代理机构。</w:t>
      </w:r>
    </w:p>
    <w:p w14:paraId="16103A9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2.3“供应商”是指向采购人提供货物、工程或者服务的法人、其他组织或者自然人。</w:t>
      </w:r>
    </w:p>
    <w:p w14:paraId="51ABBA8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2.4“服务”是指除货物和工程以外的其他政府采购对象。</w:t>
      </w:r>
    </w:p>
    <w:p w14:paraId="62F8329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2.5“竞标”是指供应商按照本项目竞争性磋商公告或者邀请函规定的方式获取磋商文件、提交响应文件并希望获得标的的行为。</w:t>
      </w:r>
    </w:p>
    <w:p w14:paraId="5F2BA0C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2.6“响应文件”</w:t>
      </w:r>
      <w:r>
        <w:rPr>
          <w:rFonts w:hint="eastAsia" w:ascii="宋体" w:hAnsi="宋体" w:eastAsia="宋体" w:cs="宋体"/>
          <w:color w:val="auto"/>
          <w:spacing w:val="-6"/>
          <w:szCs w:val="21"/>
          <w:lang w:bidi="ar"/>
        </w:rPr>
        <w:t>是指：供应商根据本磋商文件要求，编制包含资格证明、报价商务技术等所有内容的文件。</w:t>
      </w:r>
    </w:p>
    <w:p w14:paraId="1CD72BD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2.7“实质性要求”是指磋商文件中已经指明不满足则响应文件按无效响应处理的条款，或者不能负偏离的条款，或者采购需求中带“▲”的条款。</w:t>
      </w:r>
    </w:p>
    <w:p w14:paraId="0D830FE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2.8“正偏离”，是指响应文件对磋商文件“采购需求”中有关条款作出的响应优于条款要求并有利于采购人的情形。</w:t>
      </w:r>
    </w:p>
    <w:p w14:paraId="4847FA2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2.9“负偏离”，是指响应文件对磋商文件“采购需求”中有关条款作出的响应不满足条款要求，导致采购人要求不能得到满足的情形。</w:t>
      </w:r>
    </w:p>
    <w:p w14:paraId="72C13AB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2.10“允许负偏离的条款”是指采购需求中的不属于“实质性要求”的条款。</w:t>
      </w:r>
    </w:p>
    <w:p w14:paraId="4015D13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2.11“书面形式”是指合同书、信件和数据电文（包括电报、电传、传真、电子数据交换和电子邮件）等可以有形地表现所载内容的形式。</w:t>
      </w:r>
    </w:p>
    <w:p w14:paraId="3A173EC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2.12“首次报价”是指供应商提交的首次响应文件中的报价。</w:t>
      </w:r>
    </w:p>
    <w:p w14:paraId="1D6E72F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2.13“评审报价”是指供应商提交的最后报价并经修正（如有）和政策功能价格扣除（如有）后的价格。</w:t>
      </w:r>
    </w:p>
    <w:p w14:paraId="6A4CA1BA">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3.供应商的资格条件</w:t>
      </w:r>
    </w:p>
    <w:p w14:paraId="5655BD6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供应商的资格条件详见“供应商须知前附表”。</w:t>
      </w:r>
    </w:p>
    <w:p w14:paraId="400B1189">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4.磋商费用</w:t>
      </w:r>
    </w:p>
    <w:p w14:paraId="04A03D3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供应商应承担参与本次采购活动有关的所有费用，包括但不限于、勘查现场、编制和提交响应文件、参加磋商与应答、签订合同等，不论竞标结果如何，均应自行承担。</w:t>
      </w:r>
    </w:p>
    <w:p w14:paraId="5A6AD2C1">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5.联合体竞标</w:t>
      </w:r>
    </w:p>
    <w:p w14:paraId="626576F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5.1本项目是否接受联合体竞标，详见“供应商须知前附表”。</w:t>
      </w:r>
    </w:p>
    <w:p w14:paraId="64DC28C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5.2</w:t>
      </w:r>
      <w:r>
        <w:rPr>
          <w:rFonts w:hint="eastAsia" w:ascii="宋体" w:hAnsi="宋体" w:eastAsia="宋体" w:cs="宋体"/>
          <w:color w:val="auto"/>
          <w:lang w:bidi="ar"/>
        </w:rPr>
        <w:t>如接受联合体竞标，</w:t>
      </w:r>
      <w:r>
        <w:rPr>
          <w:rFonts w:hint="eastAsia" w:ascii="宋体" w:hAnsi="宋体" w:eastAsia="宋体" w:cs="宋体"/>
          <w:color w:val="auto"/>
          <w:szCs w:val="21"/>
          <w:lang w:bidi="ar"/>
        </w:rPr>
        <w:t>联合体竞标要求详见“供应商须知前附表”。</w:t>
      </w:r>
    </w:p>
    <w:p w14:paraId="480DB719">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color w:val="auto"/>
          <w:szCs w:val="21"/>
          <w:lang w:bidi="ar"/>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D5ED4AF">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 xml:space="preserve">6.转包与分包             </w:t>
      </w:r>
    </w:p>
    <w:p w14:paraId="7542242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6.1本项目是否允许分包详见“供应商须知前附表”，本项目不允许违法分包。</w:t>
      </w:r>
    </w:p>
    <w:p w14:paraId="41D3BE9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3B5CB85F">
      <w:pPr>
        <w:spacing w:line="360" w:lineRule="auto"/>
        <w:ind w:firstLine="482" w:firstLineChars="200"/>
        <w:rPr>
          <w:rFonts w:hint="eastAsia" w:ascii="黑体" w:hAnsi="宋体" w:eastAsia="黑体" w:cs="宋体"/>
          <w:b/>
          <w:bCs/>
          <w:color w:val="auto"/>
          <w:sz w:val="24"/>
        </w:rPr>
      </w:pPr>
      <w:bookmarkStart w:id="40" w:name="_Toc254970532"/>
      <w:bookmarkStart w:id="41" w:name="_Toc254970673"/>
      <w:r>
        <w:rPr>
          <w:rFonts w:hint="eastAsia" w:ascii="黑体" w:hAnsi="宋体" w:eastAsia="黑体" w:cs="宋体"/>
          <w:b/>
          <w:bCs/>
          <w:color w:val="auto"/>
          <w:sz w:val="24"/>
          <w:lang w:bidi="ar"/>
        </w:rPr>
        <w:t>7.特别说明</w:t>
      </w:r>
      <w:bookmarkEnd w:id="40"/>
      <w:bookmarkEnd w:id="41"/>
    </w:p>
    <w:p w14:paraId="1AEBD818">
      <w:pPr>
        <w:spacing w:line="360" w:lineRule="auto"/>
        <w:ind w:firstLine="420" w:firstLineChars="200"/>
        <w:rPr>
          <w:rFonts w:hint="eastAsia" w:ascii="宋体" w:hAnsi="宋体" w:eastAsia="宋体" w:cs="宋体"/>
          <w:color w:val="auto"/>
          <w:szCs w:val="21"/>
        </w:rPr>
      </w:pPr>
      <w:bookmarkStart w:id="42" w:name="_8.1提供相同品牌产品且通过资格审查、符合性审查的不同投标人参加同一合"/>
      <w:bookmarkEnd w:id="42"/>
      <w:r>
        <w:rPr>
          <w:rFonts w:hint="eastAsia" w:ascii="宋体" w:hAnsi="宋体" w:eastAsia="宋体" w:cs="宋体"/>
          <w:color w:val="auto"/>
          <w:szCs w:val="21"/>
          <w:lang w:bidi="ar"/>
        </w:rPr>
        <w:t>7.1</w:t>
      </w:r>
      <w:bookmarkStart w:id="43" w:name="_Hlk65832145"/>
      <w:r>
        <w:rPr>
          <w:rFonts w:hint="eastAsia" w:ascii="宋体" w:hAnsi="宋体" w:eastAsia="宋体" w:cs="宋体"/>
          <w:color w:val="auto"/>
          <w:szCs w:val="21"/>
          <w:lang w:bidi="ar"/>
        </w:rPr>
        <w:t>如果本磋商文件要求提供供应商或制造商的资格、信誉、荣誉、业绩与企业认证等材料的，资格、信誉、荣誉、业绩与企业认证等必须为供应商或者制造商所拥有或自身获得 。</w:t>
      </w:r>
    </w:p>
    <w:bookmarkEnd w:id="43"/>
    <w:p w14:paraId="17A4321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7.2供应商应仔细阅读磋商文件的所有内容，按照磋商文件的要求提交响应文件，并对所提供的全部资料的真实性承担法律责任。</w:t>
      </w:r>
    </w:p>
    <w:p w14:paraId="2F1A3BF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7B8675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7.4在政府采购活动中，采购人员及相关人员与供应商有下列利害关系之一的，应当回避：</w:t>
      </w:r>
    </w:p>
    <w:p w14:paraId="38E8C1D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（1）参加采购活动前3年内与供应商存在劳动关系；</w:t>
      </w:r>
    </w:p>
    <w:p w14:paraId="699403F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（2）参加采购活动前3年内担任供应商的董事、监事；</w:t>
      </w:r>
    </w:p>
    <w:p w14:paraId="5EE6204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（3）参加采购活动前3年内是供应商的控股股东或者实际控制人；</w:t>
      </w:r>
    </w:p>
    <w:p w14:paraId="73B48D0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（4）与供应商的法定代表人或者负责人有夫妻、直系血亲、三代以内旁系血亲或者近姻亲关系；</w:t>
      </w:r>
    </w:p>
    <w:p w14:paraId="56EC3BD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（5）与供应商有其他可能影响政府采购活动公平、公正进行的关系。</w:t>
      </w:r>
    </w:p>
    <w:p w14:paraId="39915EF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3649A5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7.5有下列情形之一的视为供应商相互串通竞标，响应文件将被视为无效：</w:t>
      </w:r>
    </w:p>
    <w:p w14:paraId="6AE0A90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 xml:space="preserve">（1）不同供应商的响应文件由同一单位或者个人编制；或者不同供应商报名的IP地址一致的；或者编制响应文件硬件设备CPU编号、硬盘编号、网卡地址一致的情况。 </w:t>
      </w:r>
    </w:p>
    <w:p w14:paraId="01340F0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（2）不同供应商委托同一单位或者个人办理竞标事宜；</w:t>
      </w:r>
    </w:p>
    <w:p w14:paraId="699C269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（3）不同的供应商的响应文件载明的项目管理员为同一个人；</w:t>
      </w:r>
    </w:p>
    <w:p w14:paraId="5E509DA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（4）不同供应商的响应文件异常一致或者报价呈规律性差异；</w:t>
      </w:r>
    </w:p>
    <w:p w14:paraId="17DB442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（5）不同供应商的响应文件相互混装；</w:t>
      </w:r>
    </w:p>
    <w:p w14:paraId="627EE7CC">
      <w:pPr>
        <w:tabs>
          <w:tab w:val="left" w:pos="6931"/>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（6）不同供应商的磋商保证金从同一单位或者个人账户转出。</w:t>
      </w:r>
      <w:r>
        <w:rPr>
          <w:rFonts w:hint="eastAsia" w:ascii="宋体" w:hAnsi="宋体" w:eastAsia="宋体" w:cs="宋体"/>
          <w:color w:val="auto"/>
          <w:szCs w:val="21"/>
          <w:lang w:bidi="ar"/>
        </w:rPr>
        <w:tab/>
      </w:r>
    </w:p>
    <w:p w14:paraId="5AE2892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7.6供应商有下列情形之一的，属于恶意串通行为，将报同级监督管理部门：</w:t>
      </w:r>
    </w:p>
    <w:p w14:paraId="628E5DF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（1）供应商直接或者间接从采购人或者采购代理机构处获得其他供应商的相关信息并修改其响应文件；</w:t>
      </w:r>
    </w:p>
    <w:p w14:paraId="7F0B858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（2）供应商按照采购人或者采购代理机构的授意撤换、修改响应文件；</w:t>
      </w:r>
    </w:p>
    <w:p w14:paraId="2C74D1E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（3）供应商之间协商报价、技术方案等响应文件或者响应文件的实质性内容；</w:t>
      </w:r>
    </w:p>
    <w:p w14:paraId="5796E4C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（4）属于同一集团、协会、商会等组织成员的供应商按照该组织要求协同参加政府采购活动；</w:t>
      </w:r>
    </w:p>
    <w:p w14:paraId="777BDB0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（5）供应商之间事先约定一致抬高或者压低报价，或者在政府采购活动中事先约定轮流以高价位或者低价位成交，或者事先约定由某一特定供应商成交，然后再参加竞标；</w:t>
      </w:r>
    </w:p>
    <w:p w14:paraId="76F70A2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（6）供应商之间商定部分供应商放弃参加政府采购活动或者放弃成交；</w:t>
      </w:r>
    </w:p>
    <w:p w14:paraId="1D3977C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（7）供应商与采购人或者采购代理机构之间、供应商相互之间，为谋求特定供应商成交或者排斥其他供应商的其他串通行为。</w:t>
      </w:r>
    </w:p>
    <w:p w14:paraId="19DB767E">
      <w:pPr>
        <w:pStyle w:val="4"/>
        <w:widowControl/>
        <w:spacing w:before="0" w:after="0" w:line="360" w:lineRule="auto"/>
        <w:ind w:firstLine="640" w:firstLineChars="200"/>
        <w:rPr>
          <w:rFonts w:hint="eastAsia" w:ascii="宋体" w:hAnsi="宋体" w:cs="宋体"/>
          <w:b w:val="0"/>
          <w:bCs w:val="0"/>
          <w:color w:val="auto"/>
        </w:rPr>
      </w:pPr>
      <w:bookmarkStart w:id="44" w:name="_Toc254970534"/>
      <w:bookmarkStart w:id="45" w:name="_Toc16156"/>
      <w:bookmarkStart w:id="46" w:name="_Toc254970675"/>
      <w:r>
        <w:rPr>
          <w:rFonts w:hint="eastAsia" w:ascii="宋体" w:hAnsi="宋体" w:cs="宋体"/>
          <w:b w:val="0"/>
          <w:bCs w:val="0"/>
          <w:color w:val="auto"/>
        </w:rPr>
        <w:t>二、磋商文件</w:t>
      </w:r>
      <w:bookmarkEnd w:id="44"/>
      <w:bookmarkEnd w:id="45"/>
      <w:bookmarkEnd w:id="46"/>
    </w:p>
    <w:p w14:paraId="2F2FD632">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8.磋商文件的构成</w:t>
      </w:r>
    </w:p>
    <w:p w14:paraId="41D9326A">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第一章 竞争性磋商公告；</w:t>
      </w:r>
    </w:p>
    <w:p w14:paraId="70C6BEA5">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第二章 采购需求；</w:t>
      </w:r>
    </w:p>
    <w:p w14:paraId="1352AE85">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 xml:space="preserve">第三章 供应商须知； </w:t>
      </w:r>
    </w:p>
    <w:p w14:paraId="0EE0A94F">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第四章 评审程序、评审方法和评审标准；</w:t>
      </w:r>
    </w:p>
    <w:p w14:paraId="221FCD89">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第五章 响应文件格式；</w:t>
      </w:r>
    </w:p>
    <w:p w14:paraId="67A580E1">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第六章 合同文本；</w:t>
      </w:r>
    </w:p>
    <w:p w14:paraId="324D90DE">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第七章 质疑、投诉材料格式。</w:t>
      </w:r>
    </w:p>
    <w:p w14:paraId="7535F724">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9.供应商的询问</w:t>
      </w:r>
    </w:p>
    <w:p w14:paraId="5FEAB13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供应商应认真阅读磋商文件的采购需求，如供应商对磋商文件有疑问的，如要求采购人作出澄清或者修改的，供应商尽应在提交首次响应文件截止之日前，以书面形式向采购人、采购代理机构提出。</w:t>
      </w:r>
    </w:p>
    <w:p w14:paraId="2D3A1BCF">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10.磋商文件的澄清和修改</w:t>
      </w:r>
    </w:p>
    <w:p w14:paraId="5DBCF97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10.1已获取磋商文件的潜在供应商，若有问题需要澄清，应于应标截止时间前，以书面形式向采购代理机构提出，采购代理机构与采购人研究后，对认为有必要回答的问题，按照本章10.3的内容处理。</w:t>
      </w:r>
    </w:p>
    <w:p w14:paraId="62D20968">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2490D5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18D1C86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10.4</w:t>
      </w:r>
      <w:r>
        <w:rPr>
          <w:rFonts w:hint="eastAsia" w:ascii="Arial" w:hAnsi="Arial" w:eastAsia="宋体" w:cs="Arial"/>
          <w:color w:val="auto"/>
          <w:shd w:val="clear" w:color="auto" w:fill="FFFFFF"/>
          <w:lang w:bidi="ar"/>
        </w:rPr>
        <w:t>采购信息更正公告的内容应当包括采购人和采购代理机构名称、地址、联系方式，原公告的采购项目名称及首次公告日期，更正事项、内容及日期，采购项目联系人和电话。</w:t>
      </w:r>
    </w:p>
    <w:p w14:paraId="27523C94">
      <w:pPr>
        <w:spacing w:line="360" w:lineRule="auto"/>
        <w:ind w:firstLine="420" w:firstLineChars="200"/>
        <w:rPr>
          <w:color w:val="auto"/>
        </w:rPr>
      </w:pPr>
      <w:r>
        <w:rPr>
          <w:rFonts w:ascii="Times New Roman" w:hAnsi="宋体" w:eastAsia="宋体" w:cs="Times New Roman"/>
          <w:color w:val="auto"/>
          <w:lang w:bidi="ar"/>
        </w:rPr>
        <w:t xml:space="preserve">10.5  </w:t>
      </w:r>
      <w:r>
        <w:rPr>
          <w:rFonts w:hint="eastAsia" w:ascii="Times New Roman" w:hAnsi="Times New Roman" w:eastAsia="宋体" w:cs="宋体"/>
          <w:color w:val="auto"/>
          <w:lang w:bidi="ar"/>
        </w:rPr>
        <w:t>采购人和采购代理机构可以视采购具体情况，变更</w:t>
      </w:r>
      <w:r>
        <w:rPr>
          <w:rFonts w:hint="eastAsia" w:ascii="Times New Roman" w:hAnsi="宋体" w:eastAsia="宋体" w:cs="宋体"/>
          <w:color w:val="auto"/>
          <w:lang w:bidi="ar"/>
        </w:rPr>
        <w:t>提交首次响应文件</w:t>
      </w:r>
      <w:r>
        <w:rPr>
          <w:rFonts w:hint="eastAsia" w:ascii="Times New Roman" w:hAnsi="Times New Roman" w:eastAsia="宋体" w:cs="宋体"/>
          <w:color w:val="auto"/>
          <w:lang w:bidi="ar"/>
        </w:rPr>
        <w:t>截止时间和竞谈时间，将变更时间将在</w:t>
      </w:r>
      <w:r>
        <w:rPr>
          <w:rFonts w:hint="eastAsia" w:ascii="Times New Roman" w:hAnsi="宋体" w:eastAsia="宋体" w:cs="宋体"/>
          <w:color w:val="auto"/>
          <w:lang w:bidi="ar"/>
        </w:rPr>
        <w:t>“采购文件公告”中“七、其他补充事宜</w:t>
      </w:r>
      <w:r>
        <w:rPr>
          <w:rFonts w:ascii="Times New Roman" w:hAnsi="宋体" w:eastAsia="宋体" w:cs="Times New Roman"/>
          <w:color w:val="auto"/>
          <w:lang w:bidi="ar"/>
        </w:rPr>
        <w:t>3.</w:t>
      </w:r>
      <w:r>
        <w:rPr>
          <w:rFonts w:hint="eastAsia" w:ascii="Times New Roman" w:hAnsi="宋体" w:eastAsia="宋体" w:cs="宋体"/>
          <w:color w:val="auto"/>
          <w:lang w:bidi="ar"/>
        </w:rPr>
        <w:t>网上查询地址”</w:t>
      </w:r>
      <w:r>
        <w:rPr>
          <w:rFonts w:hint="eastAsia" w:ascii="Times New Roman" w:hAnsi="Times New Roman" w:eastAsia="宋体" w:cs="宋体"/>
          <w:color w:val="auto"/>
          <w:lang w:bidi="ar"/>
        </w:rPr>
        <w:t>规定的政府采购信息发布媒体上发布更正公告。</w:t>
      </w:r>
    </w:p>
    <w:p w14:paraId="6C0ED2D4">
      <w:pPr>
        <w:spacing w:line="360" w:lineRule="auto"/>
        <w:ind w:firstLine="400" w:firstLineChars="200"/>
        <w:rPr>
          <w:rFonts w:ascii="宋体" w:hAnsi="Courier New" w:eastAsia="宋体" w:cs="宋体"/>
          <w:color w:val="auto"/>
          <w:kern w:val="0"/>
          <w:sz w:val="20"/>
          <w:szCs w:val="21"/>
        </w:rPr>
      </w:pPr>
      <w:r>
        <w:rPr>
          <w:rFonts w:hint="eastAsia" w:ascii="宋体" w:hAnsi="Courier New" w:eastAsia="宋体" w:cs="宋体"/>
          <w:color w:val="auto"/>
          <w:kern w:val="0"/>
          <w:sz w:val="20"/>
          <w:szCs w:val="21"/>
          <w:lang w:bidi="ar"/>
        </w:rPr>
        <w:t>▲</w:t>
      </w:r>
      <w:r>
        <w:rPr>
          <w:rFonts w:hint="eastAsia" w:ascii="宋体" w:hAnsi="Courier New" w:eastAsia="宋体" w:cs="宋体"/>
          <w:b/>
          <w:color w:val="auto"/>
          <w:kern w:val="0"/>
          <w:sz w:val="20"/>
          <w:szCs w:val="21"/>
          <w:lang w:bidi="ar"/>
        </w:rPr>
        <w:t>响应文件未按磋商文件的澄清、修改的内容编制，又不符合实质性要求的，其响应文件作无效处理。</w:t>
      </w:r>
    </w:p>
    <w:p w14:paraId="5367FD2E">
      <w:pPr>
        <w:pStyle w:val="4"/>
        <w:widowControl/>
        <w:spacing w:before="0" w:after="0" w:line="360" w:lineRule="auto"/>
        <w:ind w:firstLine="640" w:firstLineChars="200"/>
        <w:rPr>
          <w:rFonts w:hint="eastAsia" w:ascii="宋体" w:hAnsi="宋体" w:cs="宋体"/>
          <w:b w:val="0"/>
          <w:bCs w:val="0"/>
          <w:color w:val="auto"/>
        </w:rPr>
      </w:pPr>
      <w:r>
        <w:rPr>
          <w:rFonts w:hint="eastAsia" w:ascii="宋体" w:hAnsi="宋体" w:cs="宋体"/>
          <w:b w:val="0"/>
          <w:bCs w:val="0"/>
          <w:color w:val="auto"/>
        </w:rPr>
        <w:t xml:space="preserve">  </w:t>
      </w:r>
      <w:bookmarkStart w:id="47" w:name="_Toc18913"/>
      <w:r>
        <w:rPr>
          <w:rFonts w:hint="eastAsia" w:ascii="宋体" w:hAnsi="宋体" w:cs="宋体"/>
          <w:b w:val="0"/>
          <w:bCs w:val="0"/>
          <w:color w:val="auto"/>
        </w:rPr>
        <w:t>三、响应文件的编制</w:t>
      </w:r>
      <w:bookmarkEnd w:id="47"/>
    </w:p>
    <w:p w14:paraId="1887ABB9">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11.响应文件的编制原则</w:t>
      </w:r>
    </w:p>
    <w:p w14:paraId="1FF923C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供应商必须按照磋商文件的要求编制响应文件，并对其提交的响应文件的真实性、合法性承担法律责任。响应文件必须对磋商文件作出实质性响应。</w:t>
      </w:r>
    </w:p>
    <w:p w14:paraId="631A338B">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12.响应文件的组成</w:t>
      </w:r>
    </w:p>
    <w:p w14:paraId="7CA264A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12.1响应文件由资格证明文件、报价文件、商务和技术文件三部分组成。</w:t>
      </w:r>
    </w:p>
    <w:p w14:paraId="3362D717">
      <w:pPr>
        <w:spacing w:line="360" w:lineRule="auto"/>
        <w:ind w:left="420" w:leftChars="200"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12.1.1资格证明文件：详见须知前附表</w:t>
      </w:r>
    </w:p>
    <w:p w14:paraId="447AA3EA">
      <w:pPr>
        <w:spacing w:line="360" w:lineRule="auto"/>
        <w:ind w:left="420" w:leftChars="200"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12.1.2商务技术文件：详见须知前附表</w:t>
      </w:r>
    </w:p>
    <w:p w14:paraId="4D60BBB4">
      <w:pPr>
        <w:spacing w:line="360" w:lineRule="auto"/>
        <w:ind w:left="420" w:leftChars="200"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12.1.3报价文件：详见须知前附表</w:t>
      </w:r>
    </w:p>
    <w:p w14:paraId="4F7D194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12.2响应文件电子版：详见须知前附表</w:t>
      </w:r>
    </w:p>
    <w:p w14:paraId="63632DD8">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13.计量单位</w:t>
      </w:r>
    </w:p>
    <w:p w14:paraId="759B607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磋商文件已有明确规定的，使用磋商文件规定的计量单位；磋商文件没有规定的，应采用中华人民共和国法定计量单位，货币种类为人民币，否则视同未响应。</w:t>
      </w:r>
    </w:p>
    <w:p w14:paraId="37DA226F">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14.竞标的风险</w:t>
      </w:r>
    </w:p>
    <w:p w14:paraId="162999E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供应商没有按照磋商文件要求提供全部资料，或者供应商没有对磋商文件在各方面作出实质性响应可能导致其响应无效，是供应商应当考虑的风险。</w:t>
      </w:r>
    </w:p>
    <w:p w14:paraId="5C8B4C8F">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15.响应报价要求和构成</w:t>
      </w:r>
    </w:p>
    <w:p w14:paraId="3314879C">
      <w:pPr>
        <w:tabs>
          <w:tab w:val="left" w:pos="2492"/>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15.1响应报价应按“第五章 响应文件格式”中“响应报价表”格式填写。</w:t>
      </w:r>
    </w:p>
    <w:p w14:paraId="3EEC591C">
      <w:pPr>
        <w:tabs>
          <w:tab w:val="left" w:pos="2492"/>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15.2响应报价的价格构成见“供应商须知前附表”。</w:t>
      </w:r>
    </w:p>
    <w:p w14:paraId="1DE1354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15.3响应报价要求</w:t>
      </w:r>
    </w:p>
    <w:p w14:paraId="7F77244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15.3.1供应商的响应报价应符合以下要求，否则响应文件按无效响应处理：</w:t>
      </w:r>
    </w:p>
    <w:p w14:paraId="5ED64CE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（1）供应商必须就“采购需求”中所竞标的每个分标的全部内容分别作完整唯一总价报价，不得存在漏项报价；</w:t>
      </w:r>
    </w:p>
    <w:p w14:paraId="2F0FFD7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（2）供应商必须就所竞标的分标的单项内容作唯一报价。</w:t>
      </w:r>
    </w:p>
    <w:p w14:paraId="7DADF32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15.3.2响应报价（包含首次报价、最后报价）超过所竞标分标规定的采购预算金额或者最高限价的，其响应文件将作无效处理。</w:t>
      </w:r>
    </w:p>
    <w:p w14:paraId="1FC7E40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15.3.3</w:t>
      </w:r>
      <w:bookmarkStart w:id="48" w:name="_Hlk42592874"/>
      <w:r>
        <w:rPr>
          <w:rFonts w:hint="eastAsia" w:ascii="宋体" w:hAnsi="宋体" w:eastAsia="宋体" w:cs="宋体"/>
          <w:color w:val="auto"/>
          <w:szCs w:val="21"/>
          <w:lang w:bidi="ar"/>
        </w:rPr>
        <w:t>响应报价（包含首次报价、最后报价）超过分项采购预算金额或者最高限价的，其响应文件将作无效处理。</w:t>
      </w:r>
    </w:p>
    <w:bookmarkEnd w:id="48"/>
    <w:p w14:paraId="08E4465E">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16.竞标有效期</w:t>
      </w:r>
    </w:p>
    <w:p w14:paraId="2604461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16.1竞标有效期是指为保证采购人有足够的时间在提交响应文件后完成评审、确定成交供应商、合同签订等工作而要求供应商提交的响应文件在一定时间内保持有效的期限。</w:t>
      </w:r>
    </w:p>
    <w:p w14:paraId="456116B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16.2 竞标有效期应由供应商按“供应商须知前附表”规定的期限作出响应。</w:t>
      </w:r>
    </w:p>
    <w:p w14:paraId="3287A58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16.3供应商的响应文件在竞标有效期内均保持有效。</w:t>
      </w:r>
    </w:p>
    <w:p w14:paraId="15CDA8B5">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17.磋商保证金</w:t>
      </w:r>
    </w:p>
    <w:p w14:paraId="7C28FDE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详见“供应商须知前附表”。</w:t>
      </w:r>
    </w:p>
    <w:p w14:paraId="5594ABBE">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18.响应文件编制的要求</w:t>
      </w:r>
    </w:p>
    <w:p w14:paraId="4134C23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lang w:bidi="ar"/>
        </w:rPr>
        <w:t>由此引发的</w:t>
      </w:r>
      <w:r>
        <w:rPr>
          <w:rFonts w:hint="eastAsia" w:ascii="宋体" w:hAnsi="宋体" w:eastAsia="宋体" w:cs="宋体"/>
          <w:color w:val="auto"/>
          <w:szCs w:val="21"/>
          <w:lang w:bidi="ar"/>
        </w:rPr>
        <w:t>后果由供应商承担。</w:t>
      </w:r>
    </w:p>
    <w:p w14:paraId="2CF6843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18.2响应文件应按资格证明、报价分别编制，商务技术文件合并编制，本磋商只接受电子版响应文件，要求见本章“12.2响应文件电子版要求”。</w:t>
      </w:r>
    </w:p>
    <w:p w14:paraId="32FD10B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18.</w:t>
      </w:r>
      <w:bookmarkStart w:id="49" w:name="_Hlk65832699"/>
      <w:r>
        <w:rPr>
          <w:rFonts w:hint="eastAsia" w:ascii="宋体" w:hAnsi="宋体" w:eastAsia="宋体" w:cs="宋体"/>
          <w:color w:val="auto"/>
          <w:szCs w:val="21"/>
          <w:lang w:bidi="ar"/>
        </w:rPr>
        <w:t>3响应文件须由供应商在</w:t>
      </w:r>
      <w:r>
        <w:rPr>
          <w:rFonts w:hint="eastAsia" w:ascii="宋体" w:hAnsi="宋体" w:eastAsia="宋体" w:cs="仿宋_GB2312"/>
          <w:color w:val="auto"/>
          <w:kern w:val="0"/>
          <w:szCs w:val="21"/>
          <w:lang w:val="zh-CN" w:bidi="ar"/>
        </w:rPr>
        <w:t>“</w:t>
      </w:r>
      <w:r>
        <w:rPr>
          <w:rFonts w:hint="eastAsia" w:ascii="宋体" w:hAnsi="宋体" w:eastAsia="宋体" w:cs="宋体"/>
          <w:color w:val="auto"/>
          <w:szCs w:val="21"/>
          <w:lang w:bidi="ar"/>
        </w:rPr>
        <w:t>第五章 响应文件格式</w:t>
      </w:r>
      <w:r>
        <w:rPr>
          <w:rFonts w:hint="eastAsia" w:ascii="宋体" w:hAnsi="宋体" w:eastAsia="宋体" w:cs="仿宋_GB2312"/>
          <w:color w:val="auto"/>
          <w:kern w:val="0"/>
          <w:szCs w:val="21"/>
          <w:lang w:val="zh-CN" w:bidi="ar"/>
        </w:rPr>
        <w:t>”</w:t>
      </w:r>
      <w:r>
        <w:rPr>
          <w:rFonts w:hint="eastAsia" w:ascii="宋体" w:hAnsi="宋体" w:eastAsia="宋体" w:cs="宋体"/>
          <w:color w:val="auto"/>
          <w:szCs w:val="21"/>
          <w:lang w:bidi="ar"/>
        </w:rPr>
        <w:t>规定位置</w:t>
      </w:r>
      <w:r>
        <w:rPr>
          <w:rFonts w:hint="eastAsia" w:ascii="宋体" w:hAnsi="宋体" w:eastAsia="宋体" w:cs="仿宋_GB2312"/>
          <w:color w:val="auto"/>
          <w:szCs w:val="21"/>
          <w:lang w:bidi="ar"/>
        </w:rPr>
        <w:t>进行签署、盖章</w:t>
      </w:r>
      <w:bookmarkEnd w:id="49"/>
      <w:r>
        <w:rPr>
          <w:rFonts w:hint="eastAsia" w:ascii="宋体" w:hAnsi="宋体" w:eastAsia="宋体" w:cs="宋体"/>
          <w:color w:val="auto"/>
          <w:szCs w:val="21"/>
          <w:lang w:bidi="ar"/>
        </w:rPr>
        <w:t>，否则其响应文件按无效响应处理。骑缝盖公章不视为在规定位置盖章。</w:t>
      </w:r>
    </w:p>
    <w:p w14:paraId="148BABF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18.4响应文件中标注的供应商名称应与营业执照（事业单位法人证书、执业许可证、自然人身份证）及电子公章一致，否则其响应文件按无效响应处理。</w:t>
      </w:r>
    </w:p>
    <w:p w14:paraId="58B8B08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18.5响应文件应避免涂改、行间插字或者删除，否则其响应文件按无效响应处理。</w:t>
      </w:r>
    </w:p>
    <w:p w14:paraId="2DFD9B58">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19.响应文件的密封和标记</w:t>
      </w:r>
    </w:p>
    <w:p w14:paraId="22A8F4F2">
      <w:pPr>
        <w:spacing w:line="360" w:lineRule="auto"/>
        <w:ind w:firstLine="420" w:firstLineChars="200"/>
        <w:rPr>
          <w:rFonts w:hint="eastAsia" w:ascii="宋体" w:hAnsi="宋体" w:eastAsia="宋体" w:cs="仿宋_GB2312"/>
          <w:color w:val="auto"/>
          <w:kern w:val="0"/>
          <w:szCs w:val="21"/>
          <w:lang w:val="zh-CN"/>
        </w:rPr>
      </w:pPr>
      <w:r>
        <w:rPr>
          <w:rFonts w:hint="eastAsia" w:ascii="宋体" w:hAnsi="宋体" w:eastAsia="宋体" w:cs="仿宋_GB2312"/>
          <w:color w:val="auto"/>
          <w:kern w:val="0"/>
          <w:szCs w:val="21"/>
          <w:lang w:val="zh-CN" w:bidi="ar"/>
        </w:rPr>
        <w:t>19.1供应商进行电子交易应安装客户端软件—“广西政府采购云电子交易客户端”，并按照磋商文件和电子交易平台的要求编制并加密响应文件。供应商未按规定加密的响应文件，电子交易平台将拒收并提示。</w:t>
      </w:r>
    </w:p>
    <w:p w14:paraId="54B6A5A2">
      <w:pPr>
        <w:spacing w:line="360" w:lineRule="auto"/>
        <w:ind w:firstLine="420" w:firstLineChars="200"/>
        <w:rPr>
          <w:rFonts w:hint="eastAsia" w:ascii="宋体" w:hAnsi="宋体" w:eastAsia="宋体" w:cs="仿宋_GB2312"/>
          <w:color w:val="auto"/>
          <w:kern w:val="0"/>
          <w:szCs w:val="21"/>
          <w:lang w:val="zh-CN"/>
        </w:rPr>
      </w:pPr>
      <w:r>
        <w:rPr>
          <w:rFonts w:hint="eastAsia" w:ascii="宋体" w:hAnsi="宋体" w:eastAsia="宋体" w:cs="仿宋_GB2312"/>
          <w:color w:val="auto"/>
          <w:kern w:val="0"/>
          <w:szCs w:val="21"/>
          <w:lang w:val="zh-CN" w:bidi="ar"/>
        </w:rPr>
        <w:t>19.2使用“广西政府采购云电子交易客户端”需要提前申领CA数字证书，申领流程见该项目采购公告附件。</w:t>
      </w:r>
    </w:p>
    <w:p w14:paraId="136BE1A3">
      <w:pPr>
        <w:pStyle w:val="17"/>
        <w:widowControl/>
        <w:spacing w:line="360" w:lineRule="auto"/>
        <w:ind w:firstLine="420" w:firstLineChars="200"/>
        <w:rPr>
          <w:rFonts w:hAnsi="宋体" w:cs="仿宋_GB2312"/>
          <w:color w:val="auto"/>
          <w:sz w:val="21"/>
        </w:rPr>
      </w:pPr>
      <w:r>
        <w:rPr>
          <w:rFonts w:hAnsi="宋体" w:cs="仿宋_GB2312"/>
          <w:color w:val="auto"/>
          <w:sz w:val="21"/>
        </w:rPr>
        <w:t>19.3为确保网上操作合法、有效和安全，供应商应当在响应文件提交截止时间前完成在“政府采购云平台”的身份认证，确保在电子交易过程中能够对相关数据电文进行加密和使用电子签名。</w:t>
      </w:r>
    </w:p>
    <w:p w14:paraId="1306CBB3">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20.响应文件的提交</w:t>
      </w:r>
    </w:p>
    <w:p w14:paraId="4A784EF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20.1供应商必须在“供应商须知前附表”规定的时间和地点提交响应文件。</w:t>
      </w:r>
    </w:p>
    <w:p w14:paraId="79A2FBE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20.2 在响应文件提交截止时间以后，不能补充、修改响应文件。</w:t>
      </w:r>
    </w:p>
    <w:p w14:paraId="67B97D5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20.3 在提交“最后报价”后，供应商不能退出谈判。</w:t>
      </w:r>
    </w:p>
    <w:p w14:paraId="59D37BC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20.4 电子交易平台收到响应文件，将妥善保存并即时向供应商发出确认回执通知。在响应文件提交截止时间前，除供应商补充、修改或者撤回响应文件外，任何单位和个人不得解密或提取响应文件。</w:t>
      </w:r>
    </w:p>
    <w:p w14:paraId="4B009B8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20.5 采购机构不可视情况延长提交响应文件的截止时间。</w:t>
      </w:r>
    </w:p>
    <w:p w14:paraId="1C8198DD">
      <w:pPr>
        <w:spacing w:line="360" w:lineRule="auto"/>
        <w:ind w:firstLine="420" w:firstLineChars="200"/>
        <w:rPr>
          <w:rFonts w:hint="eastAsia" w:ascii="黑体" w:hAnsi="宋体" w:eastAsia="黑体" w:cs="黑体"/>
          <w:color w:val="auto"/>
          <w:sz w:val="24"/>
        </w:rPr>
      </w:pPr>
      <w:r>
        <w:rPr>
          <w:rFonts w:hint="eastAsia" w:ascii="宋体" w:hAnsi="宋体" w:eastAsia="宋体" w:cs="宋体"/>
          <w:color w:val="auto"/>
          <w:szCs w:val="21"/>
          <w:lang w:bidi="ar"/>
        </w:rPr>
        <w:t>20.6备份响应文件。</w:t>
      </w:r>
      <w:r>
        <w:rPr>
          <w:rFonts w:hint="eastAsia" w:ascii="Times New Roman" w:hAnsi="宋体" w:eastAsia="宋体" w:cs="宋体"/>
          <w:bCs/>
          <w:color w:val="auto"/>
          <w:szCs w:val="21"/>
          <w:lang w:bidi="ar"/>
        </w:rPr>
        <w:t>详见在“供应商须知前附表”。</w:t>
      </w:r>
    </w:p>
    <w:p w14:paraId="53C205F7">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21.首次响应文件的补充、修改与撤回</w:t>
      </w:r>
    </w:p>
    <w:p w14:paraId="676FC59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详见“供应商须知前附表”。</w:t>
      </w:r>
    </w:p>
    <w:p w14:paraId="4EAC26EC">
      <w:pPr>
        <w:spacing w:line="360" w:lineRule="auto"/>
        <w:ind w:firstLine="482" w:firstLineChars="200"/>
        <w:rPr>
          <w:rFonts w:hint="eastAsia" w:ascii="黑体" w:hAnsi="宋体" w:eastAsia="黑体" w:cs="宋体"/>
          <w:b/>
          <w:bCs/>
          <w:color w:val="auto"/>
          <w:sz w:val="24"/>
        </w:rPr>
      </w:pPr>
      <w:bookmarkStart w:id="50" w:name="_Hlk45702405"/>
      <w:r>
        <w:rPr>
          <w:rFonts w:hint="eastAsia" w:ascii="黑体" w:hAnsi="宋体" w:eastAsia="黑体" w:cs="宋体"/>
          <w:b/>
          <w:bCs/>
          <w:color w:val="auto"/>
          <w:sz w:val="24"/>
          <w:lang w:bidi="ar"/>
        </w:rPr>
        <w:t>22. 首次响应文件的退回</w:t>
      </w:r>
    </w:p>
    <w:p w14:paraId="391DBF3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在首次响应文件提交截止时间止提交响应文件的供应商不足3家时电子响应文件由代理机构在“广西政府采购云”平台操作退回，除此之外采购人和采购代理机构对已提交的电子响应文件概不退回。</w:t>
      </w:r>
    </w:p>
    <w:p w14:paraId="024638F9">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23. 截止时间后的撤回</w:t>
      </w:r>
    </w:p>
    <w:p w14:paraId="46E64B4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本项目不收取磋商保证金，供应商在首次响应文件提交截止时间后可向采购人、采购代理机构书面申请撤回电子响应文件。</w:t>
      </w:r>
      <w:bookmarkEnd w:id="50"/>
    </w:p>
    <w:p w14:paraId="09895369">
      <w:pPr>
        <w:pStyle w:val="4"/>
        <w:widowControl/>
        <w:spacing w:before="0" w:after="0" w:line="360" w:lineRule="auto"/>
        <w:ind w:firstLine="640" w:firstLineChars="200"/>
        <w:rPr>
          <w:rFonts w:hint="eastAsia" w:ascii="宋体" w:hAnsi="宋体" w:cs="宋体"/>
          <w:b w:val="0"/>
          <w:bCs w:val="0"/>
          <w:color w:val="auto"/>
        </w:rPr>
      </w:pPr>
      <w:r>
        <w:rPr>
          <w:rFonts w:hint="eastAsia" w:ascii="宋体" w:hAnsi="宋体" w:cs="宋体"/>
          <w:b w:val="0"/>
          <w:bCs w:val="0"/>
          <w:color w:val="auto"/>
        </w:rPr>
        <w:t xml:space="preserve">  </w:t>
      </w:r>
      <w:bookmarkStart w:id="51" w:name="_Toc25575"/>
      <w:r>
        <w:rPr>
          <w:rFonts w:hint="eastAsia" w:ascii="宋体" w:hAnsi="宋体" w:cs="宋体"/>
          <w:b w:val="0"/>
          <w:bCs w:val="0"/>
          <w:color w:val="auto"/>
        </w:rPr>
        <w:t>四、评审及磋商</w:t>
      </w:r>
      <w:bookmarkEnd w:id="51"/>
    </w:p>
    <w:p w14:paraId="36F0E783">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24.磋商小组成立</w:t>
      </w:r>
    </w:p>
    <w:p w14:paraId="50F2A0B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6275E5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95CD3FB">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25.首次响应文件的开启</w:t>
      </w:r>
    </w:p>
    <w:p w14:paraId="5409144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25.1首次响应文件由磋商小组或者采购代理机构在“供应商须知前附表”规定的时间开启。</w:t>
      </w:r>
    </w:p>
    <w:p w14:paraId="14B4C1DD">
      <w:pPr>
        <w:pStyle w:val="17"/>
        <w:widowControl/>
        <w:spacing w:line="360" w:lineRule="auto"/>
        <w:ind w:firstLine="420" w:firstLineChars="200"/>
        <w:rPr>
          <w:rFonts w:hAnsi="宋体"/>
          <w:bCs/>
          <w:color w:val="auto"/>
          <w:sz w:val="21"/>
        </w:rPr>
      </w:pPr>
      <w:r>
        <w:rPr>
          <w:rFonts w:hAnsi="宋体" w:cs="宋体"/>
          <w:color w:val="auto"/>
          <w:sz w:val="21"/>
        </w:rPr>
        <w:t xml:space="preserve">25.2 </w:t>
      </w:r>
      <w:r>
        <w:rPr>
          <w:rFonts w:hAnsi="宋体"/>
          <w:bCs/>
          <w:color w:val="auto"/>
          <w:sz w:val="21"/>
        </w:rPr>
        <w:t>响应文件解密</w:t>
      </w:r>
    </w:p>
    <w:p w14:paraId="0FBEA5FD">
      <w:pPr>
        <w:pStyle w:val="17"/>
        <w:widowControl/>
        <w:snapToGrid w:val="0"/>
        <w:spacing w:line="360" w:lineRule="auto"/>
        <w:ind w:firstLine="420" w:firstLineChars="200"/>
        <w:rPr>
          <w:rFonts w:hAnsi="宋体"/>
          <w:color w:val="auto"/>
          <w:sz w:val="21"/>
        </w:rPr>
      </w:pPr>
      <w:r>
        <w:rPr>
          <w:rFonts w:hAnsi="宋体"/>
          <w:bCs/>
          <w:color w:val="auto"/>
          <w:sz w:val="21"/>
        </w:rPr>
        <w:t>采购代理机构将在“供应商须知前附表”规定的时</w:t>
      </w:r>
      <w:r>
        <w:rPr>
          <w:rFonts w:hAnsi="宋体"/>
          <w:color w:val="auto"/>
          <w:sz w:val="21"/>
        </w:rPr>
        <w:t>间通过电子交易平台组织响应文件开启，采购机构依托电子交易平台发起开始解密指令，供应商的法定代表人或其委托代理人</w:t>
      </w:r>
      <w:r>
        <w:rPr>
          <w:rFonts w:hAnsi="宋体"/>
          <w:b/>
          <w:color w:val="auto"/>
          <w:sz w:val="21"/>
        </w:rPr>
        <w:t>须携带加密时所用的CA锁按平台提示和采购文件的规定登录到“广西政府采购云”平台电子开标大厅签到并在发起解密指令之时起30分钟内完成对电子响应文件在线解密</w:t>
      </w:r>
      <w:r>
        <w:rPr>
          <w:rFonts w:hAnsi="宋体"/>
          <w:color w:val="auto"/>
          <w:sz w:val="21"/>
        </w:rPr>
        <w:t>。发起解密指令之时起5分钟内供应商还未进行解密的，代理机构要通知供应商，供应商没预留联系方式或预留联系方式无效，导致代理机构无法联系到供应商进行解密的，</w:t>
      </w:r>
      <w:r>
        <w:rPr>
          <w:rFonts w:hAnsi="宋体"/>
          <w:b/>
          <w:color w:val="auto"/>
          <w:sz w:val="21"/>
        </w:rPr>
        <w:t>视为响应文件无效。</w:t>
      </w:r>
      <w:r>
        <w:rPr>
          <w:rFonts w:hAnsi="宋体"/>
          <w:color w:val="auto"/>
          <w:sz w:val="21"/>
        </w:rPr>
        <w:t>（解密</w:t>
      </w:r>
      <w:r>
        <w:rPr>
          <w:rFonts w:hAnsi="宋体"/>
          <w:bCs/>
          <w:color w:val="auto"/>
          <w:sz w:val="21"/>
        </w:rPr>
        <w:t>异常情况处理：详见本章</w:t>
      </w:r>
      <w:r>
        <w:rPr>
          <w:rFonts w:hAnsi="宋体"/>
          <w:color w:val="auto"/>
          <w:sz w:val="21"/>
        </w:rPr>
        <w:t>26.3 电子交易活动的中止。）</w:t>
      </w:r>
    </w:p>
    <w:p w14:paraId="47D76664">
      <w:pPr>
        <w:pStyle w:val="17"/>
        <w:widowControl/>
        <w:spacing w:line="360" w:lineRule="auto"/>
        <w:ind w:firstLine="420" w:firstLineChars="200"/>
        <w:rPr>
          <w:rFonts w:hint="default"/>
          <w:color w:val="auto"/>
          <w:sz w:val="21"/>
        </w:rPr>
      </w:pPr>
      <w:r>
        <w:rPr>
          <w:rFonts w:hAnsi="宋体"/>
          <w:color w:val="auto"/>
          <w:sz w:val="21"/>
        </w:rPr>
        <w:t>如</w:t>
      </w:r>
      <w:r>
        <w:rPr>
          <w:rFonts w:hAnsi="宋体"/>
          <w:bCs/>
          <w:color w:val="auto"/>
          <w:sz w:val="21"/>
        </w:rPr>
        <w:t>供应商成功解密响应文件，但未在“广西政府采购云”电子开标大厅参加谈判的，视同认可谈判过程和结果，</w:t>
      </w:r>
      <w:r>
        <w:rPr>
          <w:rFonts w:hAnsi="宋体"/>
          <w:color w:val="auto"/>
          <w:sz w:val="21"/>
        </w:rPr>
        <w:t>由此产生的后果由供应商自行负责。 参与谈判的供应商</w:t>
      </w:r>
      <w:r>
        <w:rPr>
          <w:color w:val="auto"/>
          <w:sz w:val="21"/>
        </w:rPr>
        <w:t>不足3家的，不得谈判。</w:t>
      </w:r>
    </w:p>
    <w:p w14:paraId="25956B0C">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26.评审程序、评审方法和评审标准</w:t>
      </w:r>
    </w:p>
    <w:p w14:paraId="6A75A8B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26.1磋商小组按照“第四章 评审程序、评审方法和评审标准”规定的方法、评审因素、标准和程序对响应文件进行评审。</w:t>
      </w:r>
    </w:p>
    <w:p w14:paraId="1BF7E07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26.2 磋商文件内容违反国家有关强制性规定的，磋商小组应当停止评审并向采购人或者采购代理机构说明情况，并在评审报告中书面体现。</w:t>
      </w:r>
    </w:p>
    <w:p w14:paraId="5D35C77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26.3 采购需求负偏离要求及磋商顺序详见 “ 供应商须知前附表”。</w:t>
      </w:r>
    </w:p>
    <w:p w14:paraId="392E5EF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26.4电子交易活动的中止。采购过程中出现以下情形，导致电子交易平台无法正常运行，或者无法保证电子交易的公平、公正和安全时，采购机构可中止电子交易活动：</w:t>
      </w:r>
    </w:p>
    <w:p w14:paraId="75C519EE">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 xml:space="preserve">（1）电子交易平台发生故障而无法登录访问的； </w:t>
      </w:r>
    </w:p>
    <w:p w14:paraId="3F4D84C5">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（2）电子交易平台应用或数据库出现错误，不能进行正常操作的；</w:t>
      </w:r>
    </w:p>
    <w:p w14:paraId="19BEDD4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（3）电子交易平台发现严重安全漏洞，有潜在泄密危险的；</w:t>
      </w:r>
    </w:p>
    <w:p w14:paraId="3911A5C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 xml:space="preserve">（4）病毒发作导致不能进行正常操作的； </w:t>
      </w:r>
    </w:p>
    <w:p w14:paraId="3362B6B9">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（5）其他无法保证电子交易的公平、公正和安全的情况。</w:t>
      </w:r>
    </w:p>
    <w:p w14:paraId="414EC4D8">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D9C6A89">
      <w:pPr>
        <w:pStyle w:val="4"/>
        <w:widowControl/>
        <w:spacing w:before="0" w:after="0" w:line="360" w:lineRule="auto"/>
        <w:ind w:firstLine="480" w:firstLineChars="150"/>
        <w:rPr>
          <w:rFonts w:hint="eastAsia" w:ascii="宋体" w:hAnsi="宋体" w:cs="宋体"/>
          <w:b w:val="0"/>
          <w:bCs w:val="0"/>
          <w:color w:val="auto"/>
        </w:rPr>
      </w:pPr>
      <w:bookmarkStart w:id="52" w:name="_Toc28800"/>
      <w:r>
        <w:rPr>
          <w:rFonts w:hint="eastAsia" w:ascii="宋体" w:hAnsi="宋体" w:cs="宋体"/>
          <w:b w:val="0"/>
          <w:bCs w:val="0"/>
          <w:color w:val="auto"/>
        </w:rPr>
        <w:t>五、成交及合同</w:t>
      </w:r>
      <w:bookmarkEnd w:id="52"/>
    </w:p>
    <w:p w14:paraId="41CE1716">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27.确定成交供应商及结果公告</w:t>
      </w:r>
    </w:p>
    <w:p w14:paraId="72C5769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27.1确定成交供应商。</w:t>
      </w:r>
      <w:r>
        <w:rPr>
          <w:rFonts w:hint="eastAsia" w:ascii="宋体" w:hAnsi="宋体" w:eastAsia="宋体" w:cs="宋体"/>
          <w:color w:val="auto"/>
          <w:kern w:val="0"/>
          <w:szCs w:val="21"/>
          <w:u w:val="single"/>
          <w:lang w:bidi="ar"/>
        </w:rPr>
        <w:t xml:space="preserve"> 由采购人直接委托评审专家确定</w:t>
      </w:r>
      <w:r>
        <w:rPr>
          <w:rFonts w:hint="eastAsia" w:ascii="宋体" w:hAnsi="宋体" w:eastAsia="宋体" w:cs="宋体"/>
          <w:color w:val="auto"/>
          <w:szCs w:val="21"/>
          <w:u w:val="single"/>
          <w:lang w:bidi="ar"/>
        </w:rPr>
        <w:t>，评审报告提出的排序第一的供应商为成交供应商。</w:t>
      </w:r>
    </w:p>
    <w:p w14:paraId="6EA9BB0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27.2成交通知及成交结果公告。</w:t>
      </w:r>
      <w:r>
        <w:rPr>
          <w:rFonts w:hint="eastAsia" w:ascii="宋体" w:hAnsi="宋体" w:eastAsia="宋体" w:cs="宋体"/>
          <w:color w:val="auto"/>
          <w:kern w:val="0"/>
          <w:szCs w:val="21"/>
          <w:lang w:bidi="ar"/>
        </w:rPr>
        <w:t>成交</w:t>
      </w:r>
      <w:r>
        <w:rPr>
          <w:rFonts w:hint="eastAsia" w:ascii="宋体" w:hAnsi="宋体" w:eastAsia="宋体" w:cs="宋体"/>
          <w:color w:val="auto"/>
          <w:szCs w:val="21"/>
          <w:lang w:bidi="ar"/>
        </w:rPr>
        <w:t>供应商确定后2个工作日内，在省级以上财政部门指定的媒体上公</w:t>
      </w:r>
      <w:r>
        <w:rPr>
          <w:rFonts w:hint="eastAsia" w:ascii="宋体" w:hAnsi="宋体" w:eastAsia="宋体" w:cs="宋体"/>
          <w:color w:val="auto"/>
          <w:kern w:val="0"/>
          <w:szCs w:val="21"/>
          <w:lang w:bidi="ar"/>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lang w:bidi="ar"/>
        </w:rPr>
        <w:t>同时向成交供应商发出成交通知书，成交通知书规定签订合同的时间不得超过25日。</w:t>
      </w:r>
    </w:p>
    <w:p w14:paraId="3EB3DEE4">
      <w:pPr>
        <w:spacing w:line="360" w:lineRule="auto"/>
        <w:ind w:firstLine="420" w:firstLineChars="200"/>
        <w:rPr>
          <w:rFonts w:hint="eastAsia" w:ascii="宋体" w:hAnsi="宋体" w:eastAsia="宋体" w:cs="Courier New"/>
          <w:color w:val="auto"/>
          <w:szCs w:val="21"/>
        </w:rPr>
      </w:pPr>
      <w:r>
        <w:rPr>
          <w:rFonts w:hint="eastAsia" w:ascii="宋体" w:hAnsi="宋体" w:eastAsia="宋体" w:cs="宋体"/>
          <w:color w:val="auto"/>
          <w:szCs w:val="21"/>
          <w:lang w:bidi="ar"/>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eastAsia="宋体" w:cs="Courier New"/>
          <w:color w:val="auto"/>
          <w:szCs w:val="21"/>
          <w:lang w:bidi="ar"/>
        </w:rPr>
        <w:t>成交供应商享受</w:t>
      </w:r>
      <w:r>
        <w:rPr>
          <w:rFonts w:hint="eastAsia" w:ascii="宋体" w:hAnsi="宋体" w:eastAsia="宋体" w:cs="宋体"/>
          <w:color w:val="auto"/>
          <w:szCs w:val="21"/>
          <w:lang w:bidi="ar"/>
        </w:rPr>
        <w:t>《政府采购促进中小企业发展管理办法》（财库〔2020〕46号）规定的中小企业扶持</w:t>
      </w:r>
      <w:r>
        <w:rPr>
          <w:rFonts w:hint="eastAsia" w:ascii="宋体" w:hAnsi="宋体" w:eastAsia="宋体" w:cs="Courier New"/>
          <w:color w:val="auto"/>
          <w:szCs w:val="21"/>
          <w:lang w:bidi="ar"/>
        </w:rPr>
        <w:t>政策的，采购人、采购代理机构应当随成交结果公开成交供应商的《中小企业声明函》。</w:t>
      </w:r>
    </w:p>
    <w:p w14:paraId="45A2C71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8BB23EE">
      <w:pPr>
        <w:spacing w:line="360" w:lineRule="auto"/>
        <w:ind w:firstLine="420" w:firstLineChars="200"/>
        <w:rPr>
          <w:rFonts w:hint="eastAsia" w:ascii="宋体" w:hAnsi="宋体" w:eastAsia="宋体" w:cs="宋体"/>
          <w:color w:val="auto"/>
          <w:szCs w:val="21"/>
        </w:rPr>
      </w:pPr>
      <w:r>
        <w:rPr>
          <w:rFonts w:hint="eastAsia" w:ascii="宋体" w:hAnsi="宋体" w:eastAsia="宋体" w:cs="宋体"/>
          <w:bCs/>
          <w:color w:val="auto"/>
          <w:szCs w:val="21"/>
          <w:lang w:bidi="ar"/>
        </w:rPr>
        <w:t>27.5</w:t>
      </w:r>
      <w:r>
        <w:rPr>
          <w:rFonts w:hint="eastAsia" w:ascii="宋体" w:hAnsi="宋体" w:eastAsia="宋体" w:cs="宋体"/>
          <w:color w:val="auto"/>
          <w:szCs w:val="21"/>
          <w:lang w:bidi="ar"/>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70B28637">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28.履约保证金</w:t>
      </w:r>
    </w:p>
    <w:p w14:paraId="2C955F64">
      <w:pPr>
        <w:spacing w:line="360" w:lineRule="auto"/>
        <w:ind w:firstLine="420" w:firstLineChars="200"/>
        <w:rPr>
          <w:rFonts w:hint="eastAsia" w:ascii="黑体" w:hAnsi="宋体" w:eastAsia="黑体" w:cs="宋体"/>
          <w:b/>
          <w:bCs/>
          <w:color w:val="auto"/>
          <w:sz w:val="24"/>
        </w:rPr>
      </w:pPr>
      <w:r>
        <w:rPr>
          <w:rFonts w:hint="eastAsia" w:ascii="宋体" w:hAnsi="宋体" w:eastAsia="宋体" w:cs="宋体"/>
          <w:color w:val="auto"/>
          <w:szCs w:val="21"/>
          <w:lang w:bidi="ar"/>
        </w:rPr>
        <w:t>详见 “供应商须知前附表”</w:t>
      </w:r>
    </w:p>
    <w:p w14:paraId="323E3105">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29.签订合同</w:t>
      </w:r>
    </w:p>
    <w:p w14:paraId="5D3F6B77">
      <w:pPr>
        <w:pStyle w:val="79"/>
        <w:widowControl/>
        <w:snapToGrid w:val="0"/>
        <w:spacing w:before="0"/>
        <w:ind w:firstLine="420"/>
        <w:rPr>
          <w:rFonts w:hint="eastAsia" w:ascii="宋体" w:hAnsi="宋体" w:cs="宋体"/>
          <w:color w:val="auto"/>
          <w:sz w:val="21"/>
          <w:szCs w:val="21"/>
          <w:lang w:val="zh-CN"/>
        </w:rPr>
      </w:pPr>
      <w:r>
        <w:rPr>
          <w:rFonts w:hint="eastAsia" w:ascii="宋体" w:hAnsi="宋体" w:cs="宋体"/>
          <w:color w:val="auto"/>
          <w:sz w:val="21"/>
          <w:szCs w:val="21"/>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lang w:val="zh-CN"/>
        </w:rPr>
        <w:t>如成交供应商为联合体的，由联合体成员各方法定代表人或其授权代表与采购人代表签订合同。</w:t>
      </w:r>
    </w:p>
    <w:p w14:paraId="3B76F79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71FC09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A87CF5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29.4如签订合同并生效后，供应商无故拒绝或延期，除按照合同条款处理外，列入不良行为记录，并给予通报。</w:t>
      </w:r>
    </w:p>
    <w:p w14:paraId="342E75D4">
      <w:pPr>
        <w:pStyle w:val="79"/>
        <w:widowControl/>
        <w:spacing w:before="0"/>
        <w:ind w:firstLine="420"/>
        <w:rPr>
          <w:rFonts w:hint="eastAsia" w:ascii="宋体" w:hAnsi="宋体" w:cs="宋体"/>
          <w:color w:val="auto"/>
          <w:szCs w:val="21"/>
        </w:rPr>
      </w:pPr>
      <w:r>
        <w:rPr>
          <w:rFonts w:hint="eastAsia" w:ascii="宋体" w:hAnsi="宋体" w:cs="仿宋_GB2312"/>
          <w:color w:val="auto"/>
          <w:sz w:val="21"/>
          <w:szCs w:val="21"/>
        </w:rPr>
        <w:t>29.5采购合同由采购人与成交供应商根据</w:t>
      </w:r>
      <w:r>
        <w:rPr>
          <w:rFonts w:hint="eastAsia" w:ascii="宋体" w:hAnsi="宋体" w:cs="宋体"/>
          <w:color w:val="auto"/>
          <w:sz w:val="21"/>
          <w:szCs w:val="21"/>
        </w:rPr>
        <w:t>磋商文件</w:t>
      </w:r>
      <w:r>
        <w:rPr>
          <w:rFonts w:hint="eastAsia" w:ascii="宋体" w:hAnsi="宋体" w:cs="仿宋_GB2312"/>
          <w:color w:val="auto"/>
          <w:sz w:val="21"/>
          <w:szCs w:val="21"/>
        </w:rPr>
        <w:t>、响应文件等内容通过政府采购电子交易平台在线签订，自动备案，在线签订须携带的材料见“</w:t>
      </w:r>
      <w:r>
        <w:rPr>
          <w:color w:val="auto"/>
        </w:rPr>
        <w:t xml:space="preserve"> </w:t>
      </w:r>
      <w:r>
        <w:rPr>
          <w:rFonts w:hint="eastAsia" w:ascii="宋体" w:hAnsi="宋体" w:cs="仿宋_GB2312"/>
          <w:color w:val="auto"/>
          <w:sz w:val="21"/>
          <w:szCs w:val="21"/>
        </w:rPr>
        <w:t>供应商须</w:t>
      </w:r>
      <w:r>
        <w:rPr>
          <w:rFonts w:hint="eastAsia" w:ascii="宋体" w:hAnsi="宋体" w:cs="宋体"/>
          <w:color w:val="auto"/>
          <w:sz w:val="21"/>
          <w:szCs w:val="21"/>
        </w:rPr>
        <w:t>知前附表</w:t>
      </w:r>
      <w:r>
        <w:rPr>
          <w:rFonts w:hint="eastAsia" w:ascii="宋体" w:hAnsi="宋体" w:cs="仿宋_GB2312"/>
          <w:color w:val="auto"/>
          <w:sz w:val="21"/>
          <w:szCs w:val="21"/>
        </w:rPr>
        <w:t>”。</w:t>
      </w:r>
    </w:p>
    <w:p w14:paraId="28992573">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30.政府采购合同公告</w:t>
      </w:r>
    </w:p>
    <w:p w14:paraId="5C7C89D1">
      <w:pPr>
        <w:spacing w:line="360" w:lineRule="auto"/>
        <w:ind w:firstLine="420" w:firstLineChars="200"/>
        <w:rPr>
          <w:rFonts w:hint="eastAsia" w:hAnsi="宋体"/>
          <w:color w:val="auto"/>
        </w:rPr>
      </w:pPr>
      <w:r>
        <w:rPr>
          <w:rFonts w:hint="eastAsia" w:ascii="Times New Roman" w:hAnsi="宋体" w:eastAsia="宋体" w:cs="宋体"/>
          <w:color w:val="auto"/>
          <w:lang w:bidi="ar"/>
        </w:rPr>
        <w:t>采购人或者受托采购代理机构应当自政府采购合同签订之日起</w:t>
      </w:r>
      <w:r>
        <w:rPr>
          <w:rFonts w:ascii="Times New Roman" w:hAnsi="宋体" w:eastAsia="宋体" w:cs="Times New Roman"/>
          <w:color w:val="auto"/>
          <w:lang w:bidi="ar"/>
        </w:rPr>
        <w:t>2</w:t>
      </w:r>
      <w:r>
        <w:rPr>
          <w:rFonts w:hint="eastAsia" w:ascii="Times New Roman" w:hAnsi="宋体" w:eastAsia="宋体" w:cs="宋体"/>
          <w:color w:val="auto"/>
          <w:lang w:bidi="ar"/>
        </w:rPr>
        <w:t>个工作日内，将政府采购合同</w:t>
      </w:r>
      <w:r>
        <w:rPr>
          <w:rFonts w:hint="eastAsia" w:ascii="宋体" w:hAnsi="宋体" w:eastAsia="宋体" w:cs="宋体"/>
          <w:bCs/>
          <w:color w:val="auto"/>
          <w:lang w:bidi="ar"/>
        </w:rPr>
        <w:t>在以下媒体上发布</w:t>
      </w:r>
      <w:r>
        <w:rPr>
          <w:rFonts w:hint="eastAsia" w:ascii="宋体" w:hAnsi="宋体" w:eastAsia="宋体" w:cs="宋体"/>
          <w:color w:val="auto"/>
          <w:kern w:val="0"/>
          <w:szCs w:val="21"/>
          <w:lang w:bidi="ar"/>
        </w:rPr>
        <w:t xml:space="preserve"> “广西政府采购网”（http://zfcg.gxzf.gov.cn）</w:t>
      </w:r>
      <w:r>
        <w:rPr>
          <w:rFonts w:hint="eastAsia" w:ascii="Times New Roman" w:hAnsi="宋体" w:eastAsia="宋体" w:cs="宋体"/>
          <w:color w:val="auto"/>
          <w:lang w:bidi="ar"/>
        </w:rPr>
        <w:t>上公告，但政府采购合同中涉及国家秘密、商业秘密的内容除外。</w:t>
      </w:r>
    </w:p>
    <w:p w14:paraId="5DF69602">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31. 询问、质疑和投诉</w:t>
      </w:r>
    </w:p>
    <w:p w14:paraId="0C7D45C4">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31.1供应商对政府采购活动事项有疑问的，可以向采购人、采购代理机构提出询问，采购人或者采购代理机构应当在3个工作日内对供应商依法提出的询问作出答复。</w:t>
      </w:r>
    </w:p>
    <w:p w14:paraId="5E304AE9">
      <w:pPr>
        <w:spacing w:line="360" w:lineRule="auto"/>
        <w:ind w:firstLine="420" w:firstLineChars="200"/>
        <w:rPr>
          <w:rFonts w:hint="eastAsia" w:ascii="宋体" w:hAnsi="宋体" w:eastAsia="宋体" w:cs="宋体"/>
          <w:b/>
          <w:color w:val="auto"/>
          <w:szCs w:val="21"/>
        </w:rPr>
      </w:pPr>
      <w:r>
        <w:rPr>
          <w:rFonts w:hint="eastAsia" w:ascii="宋体" w:hAnsi="宋体" w:eastAsia="宋体" w:cs="宋体"/>
          <w:color w:val="auto"/>
          <w:lang w:bidi="ar"/>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Arial"/>
          <w:color w:val="auto"/>
          <w:shd w:val="clear" w:color="auto" w:fill="FFFFFF"/>
          <w:lang w:bidi="ar"/>
        </w:rPr>
        <w:t>接收质疑函的方式、联系部门、联系电话和通讯地址等信息详见</w:t>
      </w:r>
      <w:r>
        <w:rPr>
          <w:rFonts w:hint="eastAsia" w:ascii="宋体" w:hAnsi="宋体" w:eastAsia="宋体" w:cs="宋体"/>
          <w:color w:val="auto"/>
          <w:szCs w:val="21"/>
          <w:lang w:bidi="ar"/>
        </w:rPr>
        <w:t>“供应商须知前附表”</w:t>
      </w:r>
      <w:r>
        <w:rPr>
          <w:rFonts w:hint="eastAsia" w:ascii="宋体" w:hAnsi="宋体" w:eastAsia="宋体" w:cs="宋体"/>
          <w:color w:val="auto"/>
          <w:lang w:bidi="ar"/>
        </w:rPr>
        <w:t>。</w:t>
      </w:r>
      <w:r>
        <w:rPr>
          <w:rFonts w:hint="eastAsia" w:ascii="宋体" w:hAnsi="宋体" w:eastAsia="宋体" w:cs="宋体"/>
          <w:b/>
          <w:color w:val="auto"/>
          <w:szCs w:val="21"/>
          <w:lang w:bidi="ar"/>
        </w:rPr>
        <w:t xml:space="preserve">具体质疑起算时间及处理方式如下： </w:t>
      </w:r>
    </w:p>
    <w:p w14:paraId="1B8EB887">
      <w:pPr>
        <w:spacing w:line="360" w:lineRule="auto"/>
        <w:ind w:firstLine="420" w:firstLineChars="200"/>
        <w:rPr>
          <w:rFonts w:hint="eastAsia" w:hAnsi="宋体"/>
          <w:bCs/>
          <w:color w:val="auto"/>
        </w:rPr>
      </w:pPr>
      <w:r>
        <w:rPr>
          <w:rFonts w:hint="eastAsia" w:ascii="Times New Roman" w:hAnsi="宋体" w:eastAsia="宋体" w:cs="宋体"/>
          <w:bCs/>
          <w:color w:val="auto"/>
          <w:lang w:bidi="ar"/>
        </w:rPr>
        <w:t>（</w:t>
      </w:r>
      <w:r>
        <w:rPr>
          <w:rFonts w:ascii="Times New Roman" w:hAnsi="宋体" w:eastAsia="宋体" w:cs="Times New Roman"/>
          <w:bCs/>
          <w:color w:val="auto"/>
          <w:lang w:bidi="ar"/>
        </w:rPr>
        <w:t>1</w:t>
      </w:r>
      <w:r>
        <w:rPr>
          <w:rFonts w:hint="eastAsia" w:ascii="Times New Roman" w:hAnsi="宋体" w:eastAsia="宋体" w:cs="宋体"/>
          <w:bCs/>
          <w:color w:val="auto"/>
          <w:lang w:bidi="ar"/>
        </w:rPr>
        <w:t>）潜在供应商依法获取采购文件后，认为采购文件使自己的权益受到损害的，应当在竞争性磋商采购文件公告期限届满之日起</w:t>
      </w:r>
      <w:r>
        <w:rPr>
          <w:rFonts w:ascii="Times New Roman" w:hAnsi="宋体" w:eastAsia="宋体" w:cs="Times New Roman"/>
          <w:bCs/>
          <w:color w:val="auto"/>
          <w:lang w:bidi="ar"/>
        </w:rPr>
        <w:t>7</w:t>
      </w:r>
      <w:r>
        <w:rPr>
          <w:rFonts w:hint="eastAsia" w:ascii="Times New Roman" w:hAnsi="宋体" w:eastAsia="宋体" w:cs="宋体"/>
          <w:bCs/>
          <w:color w:val="auto"/>
          <w:lang w:bidi="ar"/>
        </w:rPr>
        <w:t>个工作日内提出质疑。</w:t>
      </w:r>
      <w:r>
        <w:rPr>
          <w:rFonts w:hint="eastAsia" w:ascii="Times New Roman" w:hAnsi="Times New Roman" w:eastAsia="宋体" w:cs="宋体"/>
          <w:color w:val="auto"/>
          <w:lang w:bidi="ar"/>
        </w:rPr>
        <w:t>委托代理协议无特殊约定的，</w:t>
      </w:r>
      <w:r>
        <w:rPr>
          <w:rFonts w:hint="eastAsia" w:ascii="Times New Roman" w:hAnsi="宋体" w:eastAsia="宋体" w:cs="宋体"/>
          <w:bCs/>
          <w:color w:val="auto"/>
          <w:lang w:bidi="ar"/>
        </w:rPr>
        <w:t>对竞争性磋商文件中采购需求（含资格要求、采购预算和评分办法）的质疑由采购人受理并负责答复；对竞争性磋商文件中的采购执行程序的质疑由采购代理机构受理并负责答复。</w:t>
      </w:r>
    </w:p>
    <w:p w14:paraId="384C36CE">
      <w:pPr>
        <w:spacing w:line="360" w:lineRule="auto"/>
        <w:ind w:firstLine="420" w:firstLineChars="200"/>
        <w:rPr>
          <w:rFonts w:hint="eastAsia" w:hAnsi="宋体"/>
          <w:bCs/>
          <w:color w:val="auto"/>
        </w:rPr>
      </w:pPr>
      <w:r>
        <w:rPr>
          <w:rFonts w:hint="eastAsia" w:ascii="Times New Roman" w:hAnsi="宋体" w:eastAsia="宋体" w:cs="宋体"/>
          <w:bCs/>
          <w:color w:val="auto"/>
          <w:lang w:bidi="ar"/>
        </w:rPr>
        <w:t>（</w:t>
      </w:r>
      <w:r>
        <w:rPr>
          <w:rFonts w:ascii="Times New Roman" w:hAnsi="宋体" w:eastAsia="宋体" w:cs="Times New Roman"/>
          <w:bCs/>
          <w:color w:val="auto"/>
          <w:lang w:bidi="ar"/>
        </w:rPr>
        <w:t>2</w:t>
      </w:r>
      <w:r>
        <w:rPr>
          <w:rFonts w:hint="eastAsia" w:ascii="Times New Roman" w:hAnsi="宋体" w:eastAsia="宋体" w:cs="宋体"/>
          <w:bCs/>
          <w:color w:val="auto"/>
          <w:lang w:bidi="ar"/>
        </w:rPr>
        <w:t>）供应商认为采购过程使自己的权益受到损害的，应当在各采购程序环节结束之日起</w:t>
      </w:r>
      <w:r>
        <w:rPr>
          <w:rFonts w:ascii="Times New Roman" w:hAnsi="宋体" w:eastAsia="宋体" w:cs="Times New Roman"/>
          <w:bCs/>
          <w:color w:val="auto"/>
          <w:lang w:bidi="ar"/>
        </w:rPr>
        <w:t>7</w:t>
      </w:r>
      <w:r>
        <w:rPr>
          <w:rFonts w:hint="eastAsia" w:ascii="Times New Roman" w:hAnsi="宋体" w:eastAsia="宋体" w:cs="宋体"/>
          <w:bCs/>
          <w:color w:val="auto"/>
          <w:lang w:bidi="ar"/>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D446BE2">
      <w:pPr>
        <w:spacing w:line="360" w:lineRule="auto"/>
        <w:ind w:firstLine="420" w:firstLineChars="200"/>
        <w:rPr>
          <w:rFonts w:hint="eastAsia" w:hAnsi="宋体"/>
          <w:bCs/>
          <w:color w:val="auto"/>
        </w:rPr>
      </w:pPr>
      <w:r>
        <w:rPr>
          <w:rFonts w:hint="eastAsia" w:ascii="Times New Roman" w:hAnsi="宋体" w:eastAsia="宋体" w:cs="宋体"/>
          <w:bCs/>
          <w:color w:val="auto"/>
          <w:lang w:bidi="ar"/>
        </w:rPr>
        <w:t>（</w:t>
      </w:r>
      <w:r>
        <w:rPr>
          <w:rFonts w:ascii="Times New Roman" w:hAnsi="宋体" w:eastAsia="宋体" w:cs="Times New Roman"/>
          <w:bCs/>
          <w:color w:val="auto"/>
          <w:lang w:bidi="ar"/>
        </w:rPr>
        <w:t>3</w:t>
      </w:r>
      <w:r>
        <w:rPr>
          <w:rFonts w:hint="eastAsia" w:ascii="Times New Roman" w:hAnsi="宋体" w:eastAsia="宋体" w:cs="宋体"/>
          <w:bCs/>
          <w:color w:val="auto"/>
          <w:lang w:bidi="ar"/>
        </w:rPr>
        <w:t>）供应商认为成交结果使自己的权益受到损害的，应当在成交结果公告期限届满之日起</w:t>
      </w:r>
      <w:r>
        <w:rPr>
          <w:rFonts w:ascii="Times New Roman" w:hAnsi="宋体" w:eastAsia="宋体" w:cs="Times New Roman"/>
          <w:bCs/>
          <w:color w:val="auto"/>
          <w:lang w:bidi="ar"/>
        </w:rPr>
        <w:t>7</w:t>
      </w:r>
      <w:r>
        <w:rPr>
          <w:rFonts w:hint="eastAsia" w:ascii="Times New Roman" w:hAnsi="宋体" w:eastAsia="宋体" w:cs="宋体"/>
          <w:bCs/>
          <w:color w:val="auto"/>
          <w:lang w:bidi="ar"/>
        </w:rPr>
        <w:t>个工作日内提出质疑，由采购人受理并负责答复。</w:t>
      </w:r>
    </w:p>
    <w:p w14:paraId="7E11E994">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B9C8171">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31.4 供应商提出质疑应当提交质疑函和必要的证明材料，针对同一采购程序环节的质疑必须在法定质疑期内一次性提出。质疑函应当包括下列内容</w:t>
      </w:r>
      <w:r>
        <w:rPr>
          <w:rFonts w:hint="eastAsia" w:ascii="Times New Roman" w:hAnsi="宋体" w:eastAsia="宋体" w:cs="宋体"/>
          <w:bCs/>
          <w:color w:val="auto"/>
          <w:lang w:bidi="ar"/>
        </w:rPr>
        <w:t>（质疑函格式后附）</w:t>
      </w:r>
      <w:r>
        <w:rPr>
          <w:rFonts w:hint="eastAsia" w:ascii="宋体" w:hAnsi="宋体" w:eastAsia="宋体" w:cs="宋体"/>
          <w:color w:val="auto"/>
          <w:lang w:bidi="ar"/>
        </w:rPr>
        <w:t>：</w:t>
      </w:r>
    </w:p>
    <w:p w14:paraId="6C0D9458">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（1）供应商的姓名或者名称、地址、邮编、联系人及联系电话；</w:t>
      </w:r>
    </w:p>
    <w:p w14:paraId="2F74DDDA">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（2）质疑项目的名称、编号；</w:t>
      </w:r>
    </w:p>
    <w:p w14:paraId="06B6EE53">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（3）具体、明确的质疑事项和与质疑事项相关的请求；</w:t>
      </w:r>
    </w:p>
    <w:p w14:paraId="76FA38A3">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（4）事实依据；</w:t>
      </w:r>
    </w:p>
    <w:p w14:paraId="7C7938C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（5）必要的法律依据；</w:t>
      </w:r>
    </w:p>
    <w:p w14:paraId="26A421D4">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（6）提出质疑的日期。</w:t>
      </w:r>
    </w:p>
    <w:p w14:paraId="25545DE2">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供应商为自然人的，应当由本人签字；供应商为法人或者其他组织的，应当由法定代表人、主要负责人，或者其委托代理人签字或者盖章，并加盖公章。</w:t>
      </w:r>
    </w:p>
    <w:p w14:paraId="0D497A3A">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31.5采购人、采购代理机构认为供应商质疑不成立，或者成立但未对成交结果构成影响的，继续开展采购活动；认为供应商质疑成立且影响或者可能影响成交结果的，按照下列情况处理：</w:t>
      </w:r>
    </w:p>
    <w:p w14:paraId="58C39503">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（一）对采购文件提出的质疑，依法通过澄清或者修改可以继续开展采购活动的，澄清或者修改采购文件后继续开展采购活动；否则应当修改采购文件后重新开展采购活动。</w:t>
      </w:r>
    </w:p>
    <w:p w14:paraId="6579F061">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（二）对采购过程或者成交结果提出的质疑，合格供应商符合法定数量时，可以从合格的成交候选人中另行确定成交供应商的，应当依法另行确定成交供应商；否则应当重新开展采购活动。</w:t>
      </w:r>
    </w:p>
    <w:p w14:paraId="24FAF994">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质疑答复导致成交结果改变的，采购人或者采购代理机构应当将有关情况书面报告本级财政部门。</w:t>
      </w:r>
    </w:p>
    <w:p w14:paraId="510B28D0">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3" w:name="_Toc80205930"/>
    </w:p>
    <w:p w14:paraId="08B2D8D4">
      <w:pPr>
        <w:pStyle w:val="4"/>
        <w:widowControl/>
        <w:spacing w:before="0" w:after="0" w:line="360" w:lineRule="auto"/>
        <w:ind w:firstLine="315" w:firstLineChars="98"/>
        <w:rPr>
          <w:rFonts w:hint="eastAsia" w:ascii="宋体" w:hAnsi="宋体" w:cs="宋体"/>
          <w:b w:val="0"/>
          <w:color w:val="auto"/>
        </w:rPr>
      </w:pPr>
      <w:bookmarkStart w:id="54" w:name="_Toc23970"/>
      <w:r>
        <w:rPr>
          <w:rFonts w:hint="eastAsia" w:ascii="宋体" w:hAnsi="宋体" w:cs="宋体"/>
          <w:color w:val="auto"/>
        </w:rPr>
        <w:t>六</w:t>
      </w:r>
      <w:r>
        <w:rPr>
          <w:rFonts w:hint="eastAsia" w:ascii="宋体" w:hAnsi="宋体" w:cs="宋体"/>
          <w:b w:val="0"/>
          <w:color w:val="auto"/>
        </w:rPr>
        <w:t>、验收</w:t>
      </w:r>
      <w:bookmarkEnd w:id="53"/>
      <w:bookmarkEnd w:id="54"/>
    </w:p>
    <w:p w14:paraId="098C7F1F">
      <w:pPr>
        <w:tabs>
          <w:tab w:val="left" w:pos="0"/>
        </w:tabs>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32.验收</w:t>
      </w:r>
    </w:p>
    <w:p w14:paraId="70119A1C">
      <w:pPr>
        <w:tabs>
          <w:tab w:val="left" w:pos="0"/>
        </w:tabs>
        <w:spacing w:line="360" w:lineRule="auto"/>
        <w:ind w:firstLine="420" w:firstLineChars="200"/>
        <w:rPr>
          <w:rFonts w:hint="eastAsia" w:ascii="宋体" w:hAnsi="宋体" w:eastAsia="宋体" w:cs="Helvetica"/>
          <w:color w:val="auto"/>
          <w:kern w:val="0"/>
          <w:szCs w:val="21"/>
        </w:rPr>
      </w:pPr>
      <w:r>
        <w:rPr>
          <w:rFonts w:hint="eastAsia" w:ascii="宋体" w:hAnsi="宋体" w:eastAsia="宋体" w:cs="Helvetica"/>
          <w:color w:val="auto"/>
          <w:kern w:val="0"/>
          <w:szCs w:val="21"/>
          <w:lang w:bidi="ar"/>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636128A">
      <w:pPr>
        <w:tabs>
          <w:tab w:val="left" w:pos="0"/>
        </w:tabs>
        <w:spacing w:line="360" w:lineRule="auto"/>
        <w:ind w:firstLine="420" w:firstLineChars="200"/>
        <w:rPr>
          <w:rFonts w:hint="eastAsia" w:ascii="宋体" w:hAnsi="宋体" w:eastAsia="宋体" w:cs="Helvetica"/>
          <w:color w:val="auto"/>
          <w:kern w:val="0"/>
          <w:szCs w:val="21"/>
        </w:rPr>
      </w:pPr>
      <w:r>
        <w:rPr>
          <w:rFonts w:hint="eastAsia" w:ascii="宋体" w:hAnsi="宋体" w:eastAsia="宋体" w:cs="Helvetica"/>
          <w:color w:val="auto"/>
          <w:kern w:val="0"/>
          <w:szCs w:val="21"/>
          <w:lang w:bidi="ar"/>
        </w:rPr>
        <w:t>32.2采购人可以邀请参加本项目的其他供应商或者第三方机构参与验收。参与验收的供应商或者第三方机构的意见作为验收书的参考资料一并存档。</w:t>
      </w:r>
    </w:p>
    <w:p w14:paraId="5A8A7092">
      <w:pPr>
        <w:tabs>
          <w:tab w:val="left" w:pos="0"/>
        </w:tabs>
        <w:spacing w:line="360" w:lineRule="auto"/>
        <w:ind w:firstLine="420" w:firstLineChars="200"/>
        <w:rPr>
          <w:rFonts w:hint="eastAsia" w:ascii="宋体" w:hAnsi="宋体" w:eastAsia="宋体" w:cs="Helvetica"/>
          <w:color w:val="auto"/>
          <w:kern w:val="0"/>
          <w:szCs w:val="21"/>
        </w:rPr>
      </w:pPr>
      <w:r>
        <w:rPr>
          <w:rFonts w:hint="eastAsia" w:ascii="宋体" w:hAnsi="宋体" w:eastAsia="宋体" w:cs="Helvetica"/>
          <w:color w:val="auto"/>
          <w:kern w:val="0"/>
          <w:szCs w:val="21"/>
          <w:lang w:bidi="ar"/>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BAC413A">
      <w:pPr>
        <w:tabs>
          <w:tab w:val="left" w:pos="0"/>
        </w:tabs>
        <w:spacing w:line="360" w:lineRule="auto"/>
        <w:ind w:firstLine="420" w:firstLineChars="200"/>
        <w:rPr>
          <w:rFonts w:hint="eastAsia" w:ascii="宋体" w:hAnsi="宋体" w:eastAsia="宋体" w:cs="宋体"/>
          <w:color w:val="auto"/>
          <w:szCs w:val="21"/>
        </w:rPr>
      </w:pPr>
      <w:r>
        <w:rPr>
          <w:rFonts w:hint="eastAsia" w:ascii="宋体" w:hAnsi="宋体" w:eastAsia="宋体" w:cs="Helvetica"/>
          <w:color w:val="auto"/>
          <w:kern w:val="0"/>
          <w:szCs w:val="21"/>
          <w:lang w:bidi="ar"/>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9567689">
      <w:pPr>
        <w:pStyle w:val="4"/>
        <w:widowControl/>
        <w:spacing w:before="0" w:after="0" w:line="360" w:lineRule="auto"/>
        <w:ind w:firstLine="320" w:firstLineChars="100"/>
        <w:rPr>
          <w:rFonts w:hint="eastAsia" w:ascii="宋体" w:hAnsi="宋体" w:cs="宋体"/>
          <w:b w:val="0"/>
          <w:bCs w:val="0"/>
          <w:color w:val="auto"/>
        </w:rPr>
      </w:pPr>
      <w:bookmarkStart w:id="55" w:name="_Toc13481"/>
      <w:r>
        <w:rPr>
          <w:rFonts w:hint="eastAsia" w:ascii="宋体" w:hAnsi="宋体" w:cs="宋体"/>
          <w:b w:val="0"/>
          <w:bCs w:val="0"/>
          <w:color w:val="auto"/>
        </w:rPr>
        <w:t>七、其他事项</w:t>
      </w:r>
      <w:bookmarkEnd w:id="55"/>
    </w:p>
    <w:p w14:paraId="45C16A7E">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33.代理服务费</w:t>
      </w:r>
    </w:p>
    <w:p w14:paraId="20A18B3B">
      <w:pPr>
        <w:tabs>
          <w:tab w:val="left" w:pos="2837"/>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代理服务收费标准及缴费账户详见“供应商须知前附表”，供应商为联合体的，可以由联合体中的一方或者多方共同交纳代理服务费。</w:t>
      </w:r>
    </w:p>
    <w:p w14:paraId="2D10B8AD">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34.需要补充的其他内容</w:t>
      </w:r>
    </w:p>
    <w:p w14:paraId="3ACF42AF">
      <w:pPr>
        <w:pStyle w:val="17"/>
        <w:widowControl/>
        <w:spacing w:line="360" w:lineRule="auto"/>
        <w:ind w:firstLine="420" w:firstLineChars="200"/>
        <w:textAlignment w:val="center"/>
        <w:rPr>
          <w:rFonts w:hAnsi="宋体" w:cs="宋体"/>
          <w:color w:val="auto"/>
          <w:kern w:val="2"/>
          <w:sz w:val="21"/>
        </w:rPr>
      </w:pPr>
      <w:r>
        <w:rPr>
          <w:rFonts w:hAnsi="宋体" w:cs="宋体"/>
          <w:color w:val="auto"/>
          <w:kern w:val="2"/>
          <w:sz w:val="21"/>
        </w:rPr>
        <w:t>34.1本磋商文件解释规则详见“供应商须知前附表”。</w:t>
      </w:r>
    </w:p>
    <w:p w14:paraId="5A2F2202">
      <w:pPr>
        <w:pStyle w:val="17"/>
        <w:widowControl/>
        <w:spacing w:line="360" w:lineRule="auto"/>
        <w:ind w:firstLine="420" w:firstLineChars="200"/>
        <w:textAlignment w:val="center"/>
        <w:rPr>
          <w:rFonts w:hAnsi="宋体" w:cs="宋体"/>
          <w:color w:val="auto"/>
          <w:kern w:val="2"/>
          <w:sz w:val="21"/>
        </w:rPr>
      </w:pPr>
      <w:r>
        <w:rPr>
          <w:rFonts w:hAnsi="宋体" w:cs="宋体"/>
          <w:color w:val="auto"/>
          <w:kern w:val="2"/>
          <w:sz w:val="21"/>
        </w:rPr>
        <w:t>34.2 其他事项详见“供应商须知前附表”。</w:t>
      </w:r>
    </w:p>
    <w:p w14:paraId="49A0A98A">
      <w:pPr>
        <w:pStyle w:val="17"/>
        <w:widowControl/>
        <w:spacing w:line="360" w:lineRule="auto"/>
        <w:ind w:firstLine="420" w:firstLineChars="200"/>
        <w:textAlignment w:val="center"/>
        <w:rPr>
          <w:rFonts w:hAnsi="宋体" w:cs="宋体"/>
          <w:color w:val="auto"/>
          <w:kern w:val="2"/>
          <w:sz w:val="21"/>
        </w:rPr>
      </w:pPr>
      <w:r>
        <w:rPr>
          <w:rFonts w:hAnsi="宋体" w:cs="宋体"/>
          <w:color w:val="auto"/>
          <w:kern w:val="2"/>
          <w:sz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Ansi="宋体"/>
          <w:color w:val="auto"/>
          <w:sz w:val="21"/>
        </w:rPr>
        <w:t>服务由中小企业承接，即提供服务的人员为中小企业依照《中华人民共和国劳动合同法》订立劳动合同的从业人员，不对其中涉及的货物的制造商和工程承建商作出要求的</w:t>
      </w:r>
      <w:r>
        <w:rPr>
          <w:rFonts w:hAnsi="宋体" w:cs="宋体"/>
          <w:color w:val="auto"/>
          <w:kern w:val="2"/>
          <w:sz w:val="21"/>
        </w:rPr>
        <w:t>，享受本文件规定的中小企业扶持政策。</w:t>
      </w:r>
    </w:p>
    <w:p w14:paraId="0A8B45C7">
      <w:pPr>
        <w:pStyle w:val="17"/>
        <w:widowControl/>
        <w:spacing w:line="360" w:lineRule="auto"/>
        <w:ind w:firstLine="420" w:firstLineChars="200"/>
        <w:textAlignment w:val="center"/>
        <w:rPr>
          <w:rFonts w:hAnsi="宋体" w:cs="宋体"/>
          <w:color w:val="auto"/>
          <w:kern w:val="2"/>
          <w:sz w:val="21"/>
        </w:rPr>
      </w:pPr>
      <w:r>
        <w:rPr>
          <w:rFonts w:hAnsi="宋体" w:cs="宋体"/>
          <w:color w:val="auto"/>
          <w:kern w:val="2"/>
          <w:sz w:val="21"/>
        </w:rPr>
        <w:t>以联合体形式参加政府采购活动，联合体各方均为中小企业的，联合体视同中小企业。其中，联合体各方均为小微企业的，联合体视同小微企业。</w:t>
      </w:r>
    </w:p>
    <w:p w14:paraId="175BBCD8">
      <w:pPr>
        <w:pStyle w:val="17"/>
        <w:widowControl/>
        <w:spacing w:line="360" w:lineRule="auto"/>
        <w:ind w:firstLine="420" w:firstLineChars="200"/>
        <w:textAlignment w:val="center"/>
        <w:rPr>
          <w:rFonts w:hAnsi="宋体" w:cs="宋体"/>
          <w:color w:val="auto"/>
          <w:kern w:val="2"/>
          <w:sz w:val="21"/>
        </w:rPr>
      </w:pPr>
      <w:r>
        <w:rPr>
          <w:rFonts w:hAnsi="宋体" w:cs="宋体"/>
          <w:color w:val="auto"/>
          <w:kern w:val="2"/>
          <w:sz w:val="21"/>
        </w:rPr>
        <w:t>依据本文件规定享受扶持政策获得政府采购合同的，小微企业不得将合同分包给大中型企业，中型企业不得将合同分包给大型企业。</w:t>
      </w:r>
    </w:p>
    <w:p w14:paraId="445A2191">
      <w:pPr>
        <w:spacing w:line="360" w:lineRule="auto"/>
        <w:ind w:firstLine="480" w:firstLineChars="200"/>
        <w:rPr>
          <w:rFonts w:hint="eastAsia" w:ascii="黑体" w:hAnsi="宋体" w:eastAsia="黑体" w:cs="黑体"/>
          <w:color w:val="auto"/>
          <w:sz w:val="24"/>
        </w:rPr>
      </w:pPr>
      <w:r>
        <w:rPr>
          <w:rFonts w:hint="eastAsia" w:ascii="黑体" w:hAnsi="宋体" w:eastAsia="黑体" w:cs="黑体"/>
          <w:color w:val="auto"/>
          <w:sz w:val="24"/>
          <w:lang w:bidi="ar"/>
        </w:rPr>
        <w:t>35. 政采贷相关说明</w:t>
      </w:r>
    </w:p>
    <w:p w14:paraId="7A31803F">
      <w:pPr>
        <w:pStyle w:val="17"/>
        <w:widowControl/>
        <w:spacing w:line="360" w:lineRule="auto"/>
        <w:ind w:firstLine="420" w:firstLineChars="200"/>
        <w:textAlignment w:val="center"/>
        <w:rPr>
          <w:rFonts w:hAnsi="宋体"/>
          <w:color w:val="auto"/>
          <w:sz w:val="21"/>
        </w:rPr>
      </w:pPr>
      <w:r>
        <w:rPr>
          <w:rFonts w:hAnsi="宋体"/>
          <w:color w:val="auto"/>
          <w:sz w:val="21"/>
        </w:rPr>
        <w:t>为优化政府采购营商环境，缓解供应商资金难题，南宁市政府采购试行政府采购信用融资制度，中标供应商如有融资需求，可凭政府采购合同通过以下方式申请政府采购信用融资贷款：</w:t>
      </w:r>
    </w:p>
    <w:p w14:paraId="1556C4FD">
      <w:pPr>
        <w:pStyle w:val="17"/>
        <w:widowControl/>
        <w:numPr>
          <w:ilvl w:val="0"/>
          <w:numId w:val="2"/>
        </w:numPr>
        <w:spacing w:line="360" w:lineRule="auto"/>
        <w:ind w:firstLine="420" w:firstLineChars="200"/>
        <w:textAlignment w:val="center"/>
        <w:rPr>
          <w:rFonts w:hAnsi="宋体"/>
          <w:color w:val="auto"/>
          <w:sz w:val="21"/>
        </w:rPr>
      </w:pPr>
      <w:r>
        <w:rPr>
          <w:rFonts w:hAnsi="宋体"/>
          <w:color w:val="auto"/>
          <w:sz w:val="21"/>
        </w:rPr>
        <w:t>线下渠道：在“南宁市公共资源交易中心”官网（网址：</w:t>
      </w:r>
      <w:r>
        <w:rPr>
          <w:rFonts w:hAnsi="宋体"/>
          <w:color w:val="auto"/>
          <w:sz w:val="21"/>
        </w:rPr>
        <w:fldChar w:fldCharType="begin"/>
      </w:r>
      <w:r>
        <w:rPr>
          <w:rFonts w:hAnsi="宋体"/>
          <w:color w:val="auto"/>
          <w:sz w:val="21"/>
        </w:rPr>
        <w:instrText xml:space="preserve"> HYPERLINK "http://www.nnggzy.org.cn）“交易信息-政府采购-政府采购信用融资”中融资银行和南宁市企业融资服务中心专栏信息申请政府采购信用融资。" </w:instrText>
      </w:r>
      <w:r>
        <w:rPr>
          <w:rFonts w:hAnsi="宋体"/>
          <w:color w:val="auto"/>
          <w:sz w:val="21"/>
        </w:rPr>
        <w:fldChar w:fldCharType="separate"/>
      </w:r>
      <w:r>
        <w:rPr>
          <w:rStyle w:val="34"/>
          <w:rFonts w:hAnsi="宋体"/>
          <w:color w:val="auto"/>
        </w:rPr>
        <w:t>http://www.nnggzy.org.cn）“交易信息-政府采购-政府采购信用融资”中融资银行和南宁市企业融资服务中心专栏信息申请政府采购信用融资。</w:t>
      </w:r>
      <w:r>
        <w:rPr>
          <w:rFonts w:hAnsi="宋体"/>
          <w:color w:val="auto"/>
          <w:sz w:val="21"/>
        </w:rPr>
        <w:fldChar w:fldCharType="end"/>
      </w:r>
    </w:p>
    <w:p w14:paraId="1B4F25B8">
      <w:pPr>
        <w:pStyle w:val="17"/>
        <w:widowControl/>
        <w:numPr>
          <w:ilvl w:val="0"/>
          <w:numId w:val="2"/>
        </w:numPr>
        <w:spacing w:line="360" w:lineRule="auto"/>
        <w:ind w:firstLine="402" w:firstLineChars="200"/>
        <w:textAlignment w:val="center"/>
        <w:rPr>
          <w:rFonts w:hint="default"/>
          <w:color w:val="auto"/>
        </w:rPr>
      </w:pPr>
      <w:r>
        <w:rPr>
          <w:rFonts w:hAnsi="宋体"/>
          <w:b/>
          <w:color w:val="auto"/>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Ansi="宋体"/>
          <w:b/>
          <w:color w:val="auto"/>
        </w:rPr>
        <w:br w:type="page"/>
      </w:r>
    </w:p>
    <w:p w14:paraId="0A304534">
      <w:pPr>
        <w:pStyle w:val="2"/>
        <w:widowControl/>
        <w:jc w:val="center"/>
        <w:rPr>
          <w:color w:val="auto"/>
        </w:rPr>
      </w:pPr>
      <w:bookmarkStart w:id="56" w:name="_Toc3776"/>
      <w:r>
        <w:rPr>
          <w:rFonts w:hint="eastAsia" w:cs="宋体"/>
          <w:color w:val="auto"/>
        </w:rPr>
        <w:t>第四章</w:t>
      </w:r>
      <w:r>
        <w:rPr>
          <w:color w:val="auto"/>
        </w:rPr>
        <w:t xml:space="preserve">  </w:t>
      </w:r>
      <w:r>
        <w:rPr>
          <w:rFonts w:hint="eastAsia" w:cs="宋体"/>
          <w:color w:val="auto"/>
        </w:rPr>
        <w:t>评审程序、评审方法和评审标准</w:t>
      </w:r>
      <w:bookmarkEnd w:id="56"/>
    </w:p>
    <w:p w14:paraId="446A255A">
      <w:pPr>
        <w:pStyle w:val="3"/>
        <w:widowControl/>
        <w:jc w:val="center"/>
        <w:rPr>
          <w:rFonts w:hint="eastAsia" w:ascii="宋体" w:hAnsi="宋体" w:eastAsia="宋体" w:cs="宋体"/>
          <w:b w:val="0"/>
          <w:color w:val="auto"/>
        </w:rPr>
      </w:pPr>
      <w:bookmarkStart w:id="57" w:name="_Toc29606"/>
      <w:r>
        <w:rPr>
          <w:rFonts w:hint="eastAsia" w:ascii="宋体" w:hAnsi="宋体" w:eastAsia="宋体" w:cs="宋体"/>
          <w:b w:val="0"/>
          <w:color w:val="auto"/>
        </w:rPr>
        <w:t>第一节 评审程序和评审方法</w:t>
      </w:r>
      <w:bookmarkEnd w:id="57"/>
    </w:p>
    <w:p w14:paraId="054334EC">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1.确认磋商文件</w:t>
      </w:r>
    </w:p>
    <w:p w14:paraId="4F4CE8C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由磋商小组确认磋商文件。</w:t>
      </w:r>
    </w:p>
    <w:p w14:paraId="0C3B44B3">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2.资格审查</w:t>
      </w:r>
    </w:p>
    <w:p w14:paraId="1A948E8D">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2.1响应文件开启后，磋商小组依法对供应商的资格证明文件进行审查。</w:t>
      </w:r>
    </w:p>
    <w:p w14:paraId="57A913F9">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注：采购人代表或者采购代理机构在资格审查结束前，对供应商进行信用查询。</w:t>
      </w:r>
    </w:p>
    <w:p w14:paraId="6D43082A">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（1）查询渠道：“广西政府采购云”平台“信用中国”网站(</w:t>
      </w:r>
      <w:r>
        <w:rPr>
          <w:color w:val="auto"/>
        </w:rPr>
        <w:fldChar w:fldCharType="begin"/>
      </w:r>
      <w:r>
        <w:rPr>
          <w:color w:val="auto"/>
        </w:rPr>
        <w:instrText xml:space="preserve"> HYPERLINK "http://www.creditchina.gov.cn" </w:instrText>
      </w:r>
      <w:r>
        <w:rPr>
          <w:color w:val="auto"/>
        </w:rPr>
        <w:fldChar w:fldCharType="separate"/>
      </w:r>
      <w:r>
        <w:rPr>
          <w:rStyle w:val="34"/>
          <w:rFonts w:ascii="Times New Roman" w:hAnsi="宋体" w:eastAsia="宋体" w:cs="宋体"/>
          <w:color w:val="auto"/>
        </w:rPr>
        <w:t>www.creditchina.gov.cn</w:t>
      </w:r>
      <w:r>
        <w:rPr>
          <w:rStyle w:val="34"/>
          <w:rFonts w:ascii="Times New Roman" w:hAnsi="宋体" w:eastAsia="宋体" w:cs="宋体"/>
          <w:color w:val="auto"/>
        </w:rPr>
        <w:fldChar w:fldCharType="end"/>
      </w:r>
      <w:r>
        <w:rPr>
          <w:rFonts w:hint="eastAsia" w:ascii="宋体" w:hAnsi="宋体" w:eastAsia="宋体" w:cs="宋体"/>
          <w:color w:val="auto"/>
          <w:szCs w:val="21"/>
          <w:lang w:bidi="ar"/>
        </w:rPr>
        <w:t>)、中国政府采购网(</w:t>
      </w:r>
      <w:r>
        <w:rPr>
          <w:color w:val="auto"/>
        </w:rPr>
        <w:fldChar w:fldCharType="begin"/>
      </w:r>
      <w:r>
        <w:rPr>
          <w:color w:val="auto"/>
        </w:rPr>
        <w:instrText xml:space="preserve"> HYPERLINK "http://www.ccgp.gov.cn" </w:instrText>
      </w:r>
      <w:r>
        <w:rPr>
          <w:color w:val="auto"/>
        </w:rPr>
        <w:fldChar w:fldCharType="separate"/>
      </w:r>
      <w:r>
        <w:rPr>
          <w:rStyle w:val="34"/>
          <w:rFonts w:ascii="Times New Roman" w:hAnsi="宋体" w:eastAsia="宋体" w:cs="宋体"/>
          <w:color w:val="auto"/>
        </w:rPr>
        <w:t>www.ccgp.gov.cn</w:t>
      </w:r>
      <w:r>
        <w:rPr>
          <w:rStyle w:val="34"/>
          <w:rFonts w:ascii="Times New Roman" w:hAnsi="宋体" w:eastAsia="宋体" w:cs="宋体"/>
          <w:color w:val="auto"/>
        </w:rPr>
        <w:fldChar w:fldCharType="end"/>
      </w:r>
      <w:r>
        <w:rPr>
          <w:rFonts w:hint="eastAsia" w:ascii="宋体" w:hAnsi="宋体" w:eastAsia="宋体" w:cs="宋体"/>
          <w:color w:val="auto"/>
          <w:szCs w:val="21"/>
          <w:lang w:bidi="ar"/>
        </w:rPr>
        <w:t>)链接入口。</w:t>
      </w:r>
    </w:p>
    <w:p w14:paraId="70EB675A">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（2）信用查询截止时点：资格审查结束前。</w:t>
      </w:r>
    </w:p>
    <w:p w14:paraId="25EDB9BD">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查询记录和证据留存方式：在查询网站中直接打印查询记录，截图另存为电子文档作为评审资料保存。</w:t>
      </w:r>
    </w:p>
    <w:p w14:paraId="2B24B7C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3ACDBA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2.2资格审查标准为本磋商文件中载明对供应商资格要求的条件。资格审查采用合格制，凡符合磋商文件规定的供应商资格要求的响应文件均通过资格审查。</w:t>
      </w:r>
    </w:p>
    <w:p w14:paraId="11F836C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2.3供应商有下列情形之一的，资格审查不通过，其响应文件按无效响应处理：</w:t>
      </w:r>
    </w:p>
    <w:p w14:paraId="0F2BACC3">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（1）不具备磋商文件中规定的资格要求的；</w:t>
      </w:r>
    </w:p>
    <w:p w14:paraId="7B7A9D0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（2）响应文件未提供任一项“供应商须知前附表”资格证明文件规定的“必须提供”的文件资料的；</w:t>
      </w:r>
    </w:p>
    <w:p w14:paraId="42EE966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（3）响应文件提供的资格证明文件出现任一项不符合“供应商须知前附表”资格证明文件规定的“必须提供”的文件资料要求或者无效的。</w:t>
      </w:r>
    </w:p>
    <w:p w14:paraId="2E4B74F8">
      <w:pPr>
        <w:spacing w:line="360" w:lineRule="auto"/>
        <w:ind w:firstLine="420" w:firstLineChars="200"/>
        <w:rPr>
          <w:rFonts w:hint="eastAsia" w:ascii="宋体" w:hAnsi="宋体" w:eastAsia="宋体" w:cs="宋体"/>
          <w:color w:val="auto"/>
          <w:szCs w:val="21"/>
        </w:rPr>
      </w:pPr>
      <w:bookmarkStart w:id="58" w:name="_Hlk68601553"/>
      <w:r>
        <w:rPr>
          <w:rFonts w:hint="eastAsia" w:ascii="宋体" w:hAnsi="宋体" w:eastAsia="宋体" w:cs="宋体"/>
          <w:color w:val="auto"/>
          <w:szCs w:val="21"/>
          <w:lang w:bidi="ar"/>
        </w:rPr>
        <w:t>（4）同一合同项下的不同供应商，单位负责人为同一人或者存在直接控股、管理关系的；为本项目提供过整体设计、规范编制或者项目管理、监理、检测等服务的。</w:t>
      </w:r>
      <w:bookmarkEnd w:id="58"/>
    </w:p>
    <w:p w14:paraId="05F16BB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2.4通过资格审查的合格供应商不足3家的，不得进入符合性审查环节，采购人或者采购代理机构应当重新开展采购活动。</w:t>
      </w:r>
    </w:p>
    <w:p w14:paraId="0F5AFD47">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3.符合性审查</w:t>
      </w:r>
    </w:p>
    <w:p w14:paraId="499E16C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3.1由磋商小组对通过资格审查的合格供应商的响应文件的响应报价、商务、技术等实质性要求进行符合性审查，以确定其是否满足磋商文件的实质性要求。</w:t>
      </w:r>
    </w:p>
    <w:p w14:paraId="0380FB3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D541930">
      <w:pPr>
        <w:spacing w:line="360" w:lineRule="auto"/>
        <w:ind w:firstLine="420" w:firstLineChars="200"/>
        <w:rPr>
          <w:rFonts w:hint="eastAsia" w:ascii="宋体" w:hAnsi="宋体" w:eastAsia="宋体" w:cs="宋体"/>
          <w:color w:val="auto"/>
          <w:spacing w:val="-6"/>
          <w:szCs w:val="21"/>
        </w:rPr>
      </w:pPr>
      <w:r>
        <w:rPr>
          <w:rFonts w:hint="eastAsia" w:ascii="宋体" w:hAnsi="宋体" w:eastAsia="宋体" w:cs="宋体"/>
          <w:color w:val="auto"/>
          <w:szCs w:val="21"/>
          <w:lang w:bidi="ar"/>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lang w:bidi="ar"/>
        </w:rPr>
        <w:t>。供应商为自然人的，必须由本人签字并附身份证明。</w:t>
      </w:r>
    </w:p>
    <w:p w14:paraId="461E0E31">
      <w:pPr>
        <w:spacing w:line="360" w:lineRule="auto"/>
        <w:ind w:firstLine="396" w:firstLineChars="200"/>
        <w:rPr>
          <w:rFonts w:hint="eastAsia" w:ascii="宋体" w:hAnsi="宋体" w:eastAsia="宋体" w:cs="宋体"/>
          <w:color w:val="auto"/>
          <w:szCs w:val="21"/>
        </w:rPr>
      </w:pPr>
      <w:r>
        <w:rPr>
          <w:rFonts w:hint="eastAsia" w:ascii="宋体" w:hAnsi="宋体" w:eastAsia="宋体" w:cs="宋体"/>
          <w:color w:val="auto"/>
          <w:spacing w:val="-6"/>
          <w:szCs w:val="21"/>
          <w:lang w:bidi="ar"/>
        </w:rPr>
        <w:t>3.4</w:t>
      </w:r>
      <w:r>
        <w:rPr>
          <w:rFonts w:hint="eastAsia" w:ascii="宋体" w:hAnsi="宋体" w:eastAsia="宋体" w:cs="宋体"/>
          <w:color w:val="auto"/>
          <w:szCs w:val="21"/>
          <w:lang w:bidi="ar"/>
        </w:rPr>
        <w:t xml:space="preserve">首次响应文件报价出现前后不一致的，按照下列规定修正： </w:t>
      </w:r>
    </w:p>
    <w:p w14:paraId="22CBB36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（1）响应文件中报价表内容与响应文件中相应内容不一致的，以报价表为准；</w:t>
      </w:r>
    </w:p>
    <w:p w14:paraId="1090B60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（2）大写金额和小写金额不一致的，以大写金额为准；</w:t>
      </w:r>
    </w:p>
    <w:p w14:paraId="0419955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（3）单价金额小数点或者百分比有明显错位的，以报价表的总价为准，并修改单价；</w:t>
      </w:r>
    </w:p>
    <w:p w14:paraId="403EBCF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（4）总价金额与按单价汇总金额不一致的，以单价金额计算结果为准。</w:t>
      </w:r>
    </w:p>
    <w:p w14:paraId="658BED1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同时出现两种以上不一致的，按照以上（1）-（4）规定的顺序逐条进行修正。修正后的报价经供应商确认后产生约束力，供应商不确认的，其响应文件按无效响应处理。</w:t>
      </w:r>
    </w:p>
    <w:p w14:paraId="56F9442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3.5商务技术、报价评审</w:t>
      </w:r>
    </w:p>
    <w:p w14:paraId="46D8CFC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在评审时，如发现下列情形之一的，将被视为响应文件无效处理：</w:t>
      </w:r>
    </w:p>
    <w:p w14:paraId="451F4F1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（1）商务技术评审</w:t>
      </w:r>
    </w:p>
    <w:p w14:paraId="10382D0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1）响应文件未按磋商文件要求签署、盖章；</w:t>
      </w:r>
    </w:p>
    <w:p w14:paraId="4FC834E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 xml:space="preserve">2）委托代理人未能出具有效身份证明或者出具的身份证明与授权委托书中的信息不符； </w:t>
      </w:r>
    </w:p>
    <w:p w14:paraId="45E9C1C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8BA181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4）商务条款中标“▲”的条款发生负偏离的或者允许负偏离的条款数超过“供应商须知前附表”规定项数的或者标明实质性的要求发生负偏离；</w:t>
      </w:r>
    </w:p>
    <w:p w14:paraId="6474CAA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5）未对竞标有效期作出响应或者响应文件承诺的竞标有效期不满足磋商文件要求；</w:t>
      </w:r>
    </w:p>
    <w:p w14:paraId="1A9D9E5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6）响应文件的实质性内容未使用中文表述、使用计量单位不符合磋商文件要求；</w:t>
      </w:r>
    </w:p>
    <w:p w14:paraId="7629AAE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7）响应文件中的文件资料因填写不齐全或者内容虚假或者出现其他情形而导致被磋商小组认定无效；</w:t>
      </w:r>
    </w:p>
    <w:p w14:paraId="436358B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8）响应文件含有采购人不能接受的附加条件；</w:t>
      </w:r>
    </w:p>
    <w:p w14:paraId="1A7E551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9）属于“供应商须知正文”第7.5条情形；</w:t>
      </w:r>
    </w:p>
    <w:p w14:paraId="1961195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10）技术需求允许负偏离的条款数超过“供应商须知前附表”规定项数；</w:t>
      </w:r>
    </w:p>
    <w:p w14:paraId="3ECA93D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11）虚假竞标，或者出现其他情形而导致被磋商小组认定无效；</w:t>
      </w:r>
    </w:p>
    <w:p w14:paraId="5C6CD5E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12）竞标技术方案不明确，磋商文件未允许但响应文件中存在一个或者一个以上备选（替代）竞标方案；</w:t>
      </w:r>
    </w:p>
    <w:p w14:paraId="665E69C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13）响应文件标注的项目名称或者项目编号与竞争性磋商文件标注的项目名称或者项目编号不一致的；</w:t>
      </w:r>
    </w:p>
    <w:p w14:paraId="21DD32C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14）未响应磋商文件实质性要求；</w:t>
      </w:r>
    </w:p>
    <w:p w14:paraId="16EA569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15）法律、法规和磋商文件规定的其他无效情形。</w:t>
      </w:r>
    </w:p>
    <w:p w14:paraId="2B0A29D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（2）报价评审</w:t>
      </w:r>
    </w:p>
    <w:p w14:paraId="04126BB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 响应文件未提供“供应商须知前附表” 报价文件中规定的“响应报价表”；</w:t>
      </w:r>
    </w:p>
    <w:p w14:paraId="1ABB0AB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2）未采用人民币报价或者未按照磋商文件标明的币种报价；</w:t>
      </w:r>
    </w:p>
    <w:p w14:paraId="22FDE55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6B8A34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0FDAB78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2CE6F0D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6）响应文件响应的标的数量及单位与竞争性磋商采购文件要求实质性不一致的。</w:t>
      </w:r>
    </w:p>
    <w:p w14:paraId="5A05020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3C59B3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7F3C5A9">
      <w:pPr>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4.磋商程序</w:t>
      </w:r>
    </w:p>
    <w:p w14:paraId="0A8CC0AC">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4.1磋商小组按照“供应商须知前附表”</w:t>
      </w:r>
      <w:r>
        <w:rPr>
          <w:rFonts w:hint="eastAsia" w:ascii="宋体" w:hAnsi="宋体" w:eastAsia="宋体" w:cs="宋体"/>
          <w:color w:val="auto"/>
          <w:szCs w:val="21"/>
          <w:lang w:bidi="ar"/>
        </w:rPr>
        <w:t xml:space="preserve"> </w:t>
      </w:r>
      <w:r>
        <w:rPr>
          <w:rFonts w:hint="eastAsia" w:ascii="宋体" w:hAnsi="宋体" w:eastAsia="宋体" w:cs="宋体"/>
          <w:color w:val="auto"/>
          <w:kern w:val="0"/>
          <w:szCs w:val="21"/>
          <w:lang w:bidi="ar"/>
        </w:rPr>
        <w:t>确定的</w:t>
      </w:r>
      <w:r>
        <w:rPr>
          <w:rFonts w:hint="eastAsia" w:ascii="宋体" w:hAnsi="宋体" w:eastAsia="宋体" w:cs="宋体"/>
          <w:color w:val="auto"/>
          <w:szCs w:val="21"/>
          <w:lang w:bidi="ar"/>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C56D86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D4325C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4.3对磋商文件作出的实质性变动是磋商文件的有效组成部分，由磋商小组及时以电子澄清函形式同时通知所有参加磋商的供应商。</w:t>
      </w:r>
    </w:p>
    <w:p w14:paraId="4470C56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6F510D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4.5磋商中，</w:t>
      </w:r>
      <w:r>
        <w:rPr>
          <w:rFonts w:hint="eastAsia" w:ascii="宋体" w:hAnsi="宋体" w:eastAsia="宋体" w:cs="宋体"/>
          <w:color w:val="auto"/>
          <w:spacing w:val="-6"/>
          <w:szCs w:val="21"/>
          <w:lang w:bidi="ar"/>
        </w:rPr>
        <w:t>磋商的任何一方不得透露与磋商有关的其他供应商的技术资料、价格和其他信息。</w:t>
      </w:r>
    </w:p>
    <w:p w14:paraId="01E6B519">
      <w:pPr>
        <w:widowControl/>
        <w:tabs>
          <w:tab w:val="left" w:pos="540"/>
        </w:tabs>
        <w:spacing w:line="360" w:lineRule="auto"/>
        <w:ind w:firstLine="420" w:firstLineChars="200"/>
        <w:jc w:val="left"/>
        <w:rPr>
          <w:rFonts w:hint="eastAsia" w:ascii="仿宋" w:hAnsi="仿宋" w:eastAsia="仿宋" w:cs="仿宋_GB2312"/>
          <w:b/>
          <w:color w:val="auto"/>
        </w:rPr>
      </w:pPr>
      <w:r>
        <w:rPr>
          <w:rFonts w:hint="eastAsia" w:ascii="宋体" w:hAnsi="宋体" w:eastAsia="宋体" w:cs="宋体"/>
          <w:color w:val="auto"/>
          <w:szCs w:val="21"/>
          <w:lang w:bidi="ar"/>
        </w:rPr>
        <w:t>4.6磋商小组应对磋商过程和重要磋商内容进行记录，作为评标报告一部分，磋商小组在记录上签字确认。</w:t>
      </w:r>
      <w:r>
        <w:rPr>
          <w:rFonts w:hint="eastAsia" w:ascii="仿宋" w:hAnsi="仿宋" w:eastAsia="仿宋" w:cs="仿宋_GB2312"/>
          <w:b/>
          <w:color w:val="auto"/>
          <w:lang w:bidi="ar"/>
        </w:rPr>
        <w:t>主要内容包括：</w:t>
      </w:r>
    </w:p>
    <w:p w14:paraId="4CE9A6A1">
      <w:pPr>
        <w:pStyle w:val="79"/>
        <w:widowControl/>
        <w:spacing w:before="0"/>
        <w:ind w:firstLine="396"/>
        <w:rPr>
          <w:rFonts w:hint="eastAsia" w:ascii="宋体" w:hAnsi="宋体" w:cs="宋体"/>
          <w:color w:val="auto"/>
          <w:spacing w:val="-6"/>
          <w:kern w:val="2"/>
          <w:sz w:val="21"/>
          <w:szCs w:val="21"/>
        </w:rPr>
      </w:pPr>
      <w:r>
        <w:rPr>
          <w:rFonts w:hint="eastAsia" w:ascii="宋体" w:hAnsi="宋体" w:cs="宋体"/>
          <w:color w:val="auto"/>
          <w:spacing w:val="-6"/>
          <w:kern w:val="2"/>
          <w:sz w:val="21"/>
          <w:szCs w:val="21"/>
        </w:rPr>
        <w:t>（1）按照相关规定进行公示的，公示情况说明；</w:t>
      </w:r>
    </w:p>
    <w:p w14:paraId="0D61B447">
      <w:pPr>
        <w:pStyle w:val="79"/>
        <w:widowControl/>
        <w:spacing w:before="0"/>
        <w:ind w:firstLine="396"/>
        <w:rPr>
          <w:rFonts w:hint="eastAsia" w:ascii="宋体" w:hAnsi="宋体" w:cs="宋体"/>
          <w:color w:val="auto"/>
          <w:spacing w:val="-6"/>
          <w:kern w:val="2"/>
          <w:sz w:val="21"/>
          <w:szCs w:val="21"/>
        </w:rPr>
      </w:pPr>
      <w:r>
        <w:rPr>
          <w:rFonts w:hint="eastAsia" w:ascii="宋体" w:hAnsi="宋体" w:cs="宋体"/>
          <w:color w:val="auto"/>
          <w:spacing w:val="-6"/>
          <w:kern w:val="2"/>
          <w:sz w:val="21"/>
          <w:szCs w:val="21"/>
        </w:rPr>
        <w:t>（2）磋商日期和地点，磋商人员名单；</w:t>
      </w:r>
    </w:p>
    <w:p w14:paraId="677FFEE5">
      <w:pPr>
        <w:pStyle w:val="79"/>
        <w:widowControl/>
        <w:spacing w:before="0"/>
        <w:ind w:firstLine="396"/>
        <w:rPr>
          <w:rFonts w:hint="eastAsia" w:ascii="宋体" w:hAnsi="宋体" w:cs="宋体"/>
          <w:color w:val="auto"/>
          <w:spacing w:val="-6"/>
          <w:kern w:val="2"/>
          <w:sz w:val="21"/>
          <w:szCs w:val="21"/>
        </w:rPr>
      </w:pPr>
      <w:r>
        <w:rPr>
          <w:rFonts w:hint="eastAsia" w:ascii="宋体" w:hAnsi="宋体" w:cs="宋体"/>
          <w:color w:val="auto"/>
          <w:spacing w:val="-6"/>
          <w:kern w:val="2"/>
          <w:sz w:val="21"/>
          <w:szCs w:val="21"/>
        </w:rPr>
        <w:t>（3）合同主要条款及价格商定情况。</w:t>
      </w:r>
    </w:p>
    <w:p w14:paraId="40DFAAA6">
      <w:pPr>
        <w:widowControl/>
        <w:tabs>
          <w:tab w:val="left" w:pos="540"/>
        </w:tabs>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4.7磋商过程中重新提交的响应文件，供应商可以在开启前补充、修改。</w:t>
      </w:r>
    </w:p>
    <w:p w14:paraId="105CF923">
      <w:pPr>
        <w:tabs>
          <w:tab w:val="left" w:pos="2837"/>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4.8对磋商过程提交的响应文件进行有效性、完整性和响应程度审查，通过审查的合格供应商不足3家的，采购人或者采购代理机构应当重新开展采购活动。</w:t>
      </w:r>
    </w:p>
    <w:p w14:paraId="20114C9F">
      <w:pPr>
        <w:ind w:firstLine="200"/>
        <w:rPr>
          <w:rFonts w:hint="eastAsia" w:ascii="宋体" w:hAnsi="宋体" w:eastAsia="宋体" w:cs="宋体"/>
          <w:color w:val="auto"/>
          <w:szCs w:val="21"/>
        </w:rPr>
      </w:pPr>
      <w:r>
        <w:rPr>
          <w:rFonts w:hint="eastAsia" w:ascii="黑体" w:hAnsi="宋体" w:eastAsia="黑体" w:cs="宋体"/>
          <w:b/>
          <w:bCs/>
          <w:color w:val="auto"/>
          <w:sz w:val="24"/>
          <w:lang w:bidi="ar"/>
        </w:rPr>
        <w:t>5. 最后报价</w:t>
      </w:r>
    </w:p>
    <w:p w14:paraId="2028399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1A4B11F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5C360D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57323E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5.4已经提交响应文件的供应商，在提交最后报价之前，可以根据磋商情况退出磋商，退出磋商的供应商的响应文件按无效响应处理。</w:t>
      </w:r>
    </w:p>
    <w:p w14:paraId="0530398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5.5供应商未在规定时间内提交最后报价的，视同退出磋商。</w:t>
      </w:r>
    </w:p>
    <w:p w14:paraId="3ECC254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5.6磋商小组收齐某一分标最后报价后统一开启，磋商小组对最后报价进行有效性、完整性和响应程度的审查。</w:t>
      </w:r>
    </w:p>
    <w:p w14:paraId="442FC2C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 xml:space="preserve">5.7最终响应文件的报价出现前后不一致的，按照本章第3.4条的规定修正。 </w:t>
      </w:r>
    </w:p>
    <w:p w14:paraId="3392226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5.8修正后的最终报价出现下列情形的，按无效响应处理：</w:t>
      </w:r>
    </w:p>
    <w:p w14:paraId="5EA803C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（1）供应商不确认的（全流程电子化评标采取在线确认）；</w:t>
      </w:r>
    </w:p>
    <w:p w14:paraId="756D597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（2）经供应商确认修正后的响应报价（包含首次报价、最后报价）超过所竞标分标规定的采购预算金额或者最高限价的（如本项目公布了最高限价）；</w:t>
      </w:r>
    </w:p>
    <w:p w14:paraId="3B62BCD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（3）经供应商确认修正后的响应报价（包含首次报价、最后报价）超过分项采购预算金额或者最高限价的（如本项目公布了最高限价）。</w:t>
      </w:r>
    </w:p>
    <w:p w14:paraId="23F5444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5.9经供应商确认修正后的最后报价作为评审及签订合同的依据。</w:t>
      </w:r>
    </w:p>
    <w:p w14:paraId="2AA527C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5.10供应商出现最后报价按无效响应处理或者响应文件按无效处理时</w:t>
      </w:r>
      <w:r>
        <w:rPr>
          <w:rFonts w:hint="eastAsia" w:ascii="宋体" w:hAnsi="宋体" w:eastAsia="宋体" w:cs="宋体"/>
          <w:color w:val="auto"/>
          <w:sz w:val="22"/>
          <w:szCs w:val="22"/>
          <w:lang w:bidi="ar"/>
        </w:rPr>
        <w:t>，磋商小组应当告知有关供应商</w:t>
      </w:r>
      <w:r>
        <w:rPr>
          <w:rFonts w:hint="eastAsia" w:ascii="宋体" w:hAnsi="宋体" w:eastAsia="宋体" w:cs="宋体"/>
          <w:color w:val="auto"/>
          <w:szCs w:val="21"/>
          <w:lang w:bidi="ar"/>
        </w:rPr>
        <w:t>。</w:t>
      </w:r>
    </w:p>
    <w:p w14:paraId="49401C4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5.11最后报价结束后，磋商小组不得再与供应商进行任何形式的商谈。</w:t>
      </w:r>
    </w:p>
    <w:p w14:paraId="61666844">
      <w:pPr>
        <w:ind w:firstLine="200"/>
        <w:rPr>
          <w:rFonts w:hint="eastAsia" w:ascii="黑体" w:hAnsi="宋体" w:eastAsia="黑体" w:cs="宋体"/>
          <w:b/>
          <w:bCs/>
          <w:color w:val="auto"/>
          <w:sz w:val="24"/>
        </w:rPr>
      </w:pPr>
      <w:r>
        <w:rPr>
          <w:rFonts w:hint="eastAsia" w:ascii="黑体" w:hAnsi="宋体" w:eastAsia="黑体" w:cs="宋体"/>
          <w:b/>
          <w:bCs/>
          <w:color w:val="auto"/>
          <w:sz w:val="24"/>
          <w:lang w:bidi="ar"/>
        </w:rPr>
        <w:t>6.比较与评价</w:t>
      </w:r>
    </w:p>
    <w:p w14:paraId="480D71D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6.1评审方法：综合评分法。</w:t>
      </w:r>
    </w:p>
    <w:p w14:paraId="4BAAB87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6.2经磋商确定最终采购需求和提交最后报价的供应商后，由磋商小组采用综合评分法对提交最后报价的供应商的响应文件和最后报价进行综合评分。</w:t>
      </w:r>
    </w:p>
    <w:p w14:paraId="54D2EA6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6.3评审时，磋商小组各成员应当独立对每个有效响应的文件进行评价、打分，然后汇总每个供应商每项评分因素的得分。</w:t>
      </w:r>
    </w:p>
    <w:p w14:paraId="56B8778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0A4F3B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（2）磋商小组按照磋商文件中规定的评审标准计算各供应商的报价得分。项目评审过程中，不得去掉最后报价中的最高报价和最低报价。</w:t>
      </w:r>
    </w:p>
    <w:p w14:paraId="555B66C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（3）各供应商的得分为磋商小组所有成员的有效评分的算术平均数。</w:t>
      </w:r>
    </w:p>
    <w:p w14:paraId="47D0643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6.4评审价为供应商的最后报价进行政策性扣除后的价格，评审价只是作为评审时使用。最终成交供应商的成交金额等于最后报价（如有修正，以确认修正后的最后报价为准）。</w:t>
      </w:r>
    </w:p>
    <w:p w14:paraId="57C1CD63">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lang w:bidi="ar"/>
        </w:rPr>
        <w:t>6.5由磋商小组根据综合评分情况，按照评审得分由高到低顺序推荐3名以上成交候选供应商，并编写评</w:t>
      </w:r>
      <w:r>
        <w:rPr>
          <w:rFonts w:hint="eastAsia" w:ascii="宋体" w:hAnsi="宋体" w:eastAsia="宋体" w:cs="宋体"/>
          <w:color w:val="auto"/>
          <w:kern w:val="0"/>
          <w:szCs w:val="21"/>
          <w:lang w:bidi="ar"/>
        </w:rPr>
        <w:t>审报告。符合本章第4.3条情形的，可以推荐2家成交候选供应商。评审得分相同的，按照最后报价由低到高的顺序推荐。评审得分且最后报价相同的，按照技术指标优劣顺序推荐。</w:t>
      </w:r>
    </w:p>
    <w:p w14:paraId="108B3323">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6DC08C">
      <w:pPr>
        <w:spacing w:line="360" w:lineRule="auto"/>
        <w:ind w:firstLine="200"/>
        <w:rPr>
          <w:rFonts w:hint="eastAsia" w:ascii="黑体" w:hAnsi="宋体" w:eastAsia="黑体" w:cs="宋体"/>
          <w:b/>
          <w:bCs/>
          <w:color w:val="auto"/>
          <w:sz w:val="24"/>
        </w:rPr>
      </w:pPr>
      <w:r>
        <w:rPr>
          <w:rFonts w:hint="eastAsia" w:ascii="黑体" w:hAnsi="宋体" w:eastAsia="黑体" w:cs="宋体"/>
          <w:b/>
          <w:bCs/>
          <w:color w:val="auto"/>
          <w:sz w:val="24"/>
          <w:lang w:bidi="ar"/>
        </w:rPr>
        <w:t>7.评审复核</w:t>
      </w:r>
    </w:p>
    <w:p w14:paraId="1280844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7.1评审报告签署前，评审委员会要对评审结果进行复核，复核意见要体现在评审报告中。</w:t>
      </w:r>
    </w:p>
    <w:p w14:paraId="69EEE850">
      <w:pPr>
        <w:widowControl/>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lang w:bidi="ar"/>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202B1C6A">
      <w:pPr>
        <w:ind w:firstLine="200"/>
        <w:rPr>
          <w:rFonts w:hint="eastAsia" w:ascii="黑体" w:hAnsi="宋体" w:eastAsia="黑体" w:cs="宋体"/>
          <w:b/>
          <w:bCs/>
          <w:color w:val="auto"/>
          <w:sz w:val="24"/>
        </w:rPr>
      </w:pPr>
      <w:r>
        <w:rPr>
          <w:rFonts w:hint="eastAsia" w:ascii="黑体" w:hAnsi="宋体" w:eastAsia="黑体" w:cs="宋体"/>
          <w:b/>
          <w:bCs/>
          <w:color w:val="auto"/>
          <w:sz w:val="24"/>
          <w:lang w:bidi="ar"/>
        </w:rPr>
        <w:t>8.评审标准</w:t>
      </w:r>
    </w:p>
    <w:p w14:paraId="4411A8C9">
      <w:pPr>
        <w:spacing w:line="360" w:lineRule="auto"/>
        <w:ind w:firstLine="422" w:firstLineChars="200"/>
        <w:rPr>
          <w:rFonts w:hint="eastAsia" w:ascii="宋体" w:hAnsi="宋体" w:eastAsia="宋体" w:cs="宋体"/>
          <w:bCs/>
          <w:color w:val="auto"/>
          <w:szCs w:val="21"/>
          <w:lang w:bidi="ar"/>
        </w:rPr>
      </w:pPr>
      <w:r>
        <w:rPr>
          <w:rFonts w:hint="eastAsia" w:ascii="宋体" w:hAnsi="宋体" w:eastAsia="宋体" w:cs="宋体"/>
          <w:b/>
          <w:color w:val="auto"/>
          <w:lang w:bidi="ar"/>
        </w:rPr>
        <w:t>8.</w:t>
      </w:r>
      <w:r>
        <w:rPr>
          <w:rFonts w:hint="eastAsia" w:ascii="宋体" w:hAnsi="宋体" w:eastAsia="宋体" w:cs="宋体"/>
          <w:bCs/>
          <w:color w:val="auto"/>
          <w:szCs w:val="21"/>
          <w:lang w:bidi="ar"/>
        </w:rPr>
        <w:t>1评审依据：磋商小组将以磋商响应文件为评审依据，对供应商的报价、技术、商务等方面内容按百分制打分。（计分方法按四舍五入取至百分位）</w:t>
      </w:r>
    </w:p>
    <w:p w14:paraId="02DFE4EC">
      <w:pPr>
        <w:pStyle w:val="20"/>
        <w:rPr>
          <w:rFonts w:hint="eastAsia" w:ascii="宋体" w:hAnsi="宋体" w:eastAsia="宋体" w:cs="宋体"/>
          <w:bCs/>
          <w:color w:val="auto"/>
          <w:sz w:val="21"/>
          <w:szCs w:val="21"/>
          <w:lang w:bidi="ar"/>
        </w:rPr>
      </w:pPr>
    </w:p>
    <w:p w14:paraId="2BA36E97">
      <w:pPr>
        <w:pStyle w:val="20"/>
        <w:rPr>
          <w:rFonts w:hint="eastAsia" w:ascii="宋体" w:hAnsi="宋体" w:eastAsia="宋体" w:cs="宋体"/>
          <w:bCs/>
          <w:color w:val="auto"/>
          <w:sz w:val="21"/>
          <w:szCs w:val="21"/>
          <w:lang w:bidi="ar"/>
        </w:rPr>
      </w:pPr>
    </w:p>
    <w:p w14:paraId="0EA79CFA">
      <w:pPr>
        <w:pStyle w:val="20"/>
        <w:rPr>
          <w:rFonts w:hint="eastAsia" w:ascii="宋体" w:hAnsi="宋体" w:eastAsia="宋体" w:cs="宋体"/>
          <w:bCs/>
          <w:color w:val="auto"/>
          <w:sz w:val="21"/>
          <w:szCs w:val="21"/>
          <w:lang w:bidi="ar"/>
        </w:rPr>
      </w:pPr>
    </w:p>
    <w:p w14:paraId="29AD2EFD">
      <w:pPr>
        <w:pStyle w:val="20"/>
        <w:rPr>
          <w:rFonts w:hint="eastAsia" w:ascii="宋体" w:hAnsi="宋体" w:eastAsia="宋体" w:cs="宋体"/>
          <w:bCs/>
          <w:color w:val="auto"/>
          <w:sz w:val="21"/>
          <w:szCs w:val="21"/>
          <w:lang w:bidi="ar"/>
        </w:rPr>
      </w:pPr>
    </w:p>
    <w:p w14:paraId="66C5562B">
      <w:pPr>
        <w:pStyle w:val="20"/>
        <w:rPr>
          <w:rFonts w:hint="eastAsia" w:ascii="宋体" w:hAnsi="宋体" w:eastAsia="宋体" w:cs="宋体"/>
          <w:bCs/>
          <w:color w:val="auto"/>
          <w:sz w:val="21"/>
          <w:szCs w:val="21"/>
          <w:lang w:bidi="ar"/>
        </w:rPr>
      </w:pPr>
    </w:p>
    <w:p w14:paraId="6566163C">
      <w:pPr>
        <w:pStyle w:val="20"/>
        <w:rPr>
          <w:rFonts w:hint="eastAsia" w:ascii="宋体" w:hAnsi="宋体" w:eastAsia="宋体" w:cs="宋体"/>
          <w:bCs/>
          <w:color w:val="auto"/>
          <w:sz w:val="21"/>
          <w:szCs w:val="21"/>
          <w:lang w:bidi="ar"/>
        </w:rPr>
      </w:pPr>
    </w:p>
    <w:p w14:paraId="638F0D57">
      <w:pPr>
        <w:pStyle w:val="20"/>
        <w:rPr>
          <w:rFonts w:hint="eastAsia" w:ascii="宋体" w:hAnsi="宋体" w:eastAsia="宋体" w:cs="宋体"/>
          <w:bCs/>
          <w:color w:val="auto"/>
          <w:sz w:val="21"/>
          <w:szCs w:val="21"/>
          <w:lang w:bidi="ar"/>
        </w:rPr>
      </w:pPr>
    </w:p>
    <w:p w14:paraId="4ACA4894">
      <w:pPr>
        <w:pStyle w:val="20"/>
        <w:rPr>
          <w:rFonts w:hint="eastAsia" w:ascii="宋体" w:hAnsi="宋体" w:eastAsia="宋体" w:cs="宋体"/>
          <w:bCs/>
          <w:color w:val="auto"/>
          <w:sz w:val="21"/>
          <w:szCs w:val="21"/>
          <w:lang w:bidi="ar"/>
        </w:rPr>
      </w:pPr>
    </w:p>
    <w:p w14:paraId="719377F5">
      <w:pPr>
        <w:pStyle w:val="20"/>
        <w:rPr>
          <w:rFonts w:hint="eastAsia" w:ascii="宋体" w:hAnsi="宋体" w:eastAsia="宋体" w:cs="宋体"/>
          <w:bCs/>
          <w:color w:val="auto"/>
          <w:sz w:val="21"/>
          <w:szCs w:val="21"/>
          <w:lang w:bidi="ar"/>
        </w:rPr>
      </w:pPr>
    </w:p>
    <w:p w14:paraId="476008E0">
      <w:pPr>
        <w:pStyle w:val="20"/>
        <w:rPr>
          <w:rFonts w:hint="eastAsia" w:ascii="宋体" w:hAnsi="宋体" w:eastAsia="宋体" w:cs="宋体"/>
          <w:bCs/>
          <w:color w:val="auto"/>
          <w:sz w:val="21"/>
          <w:szCs w:val="21"/>
          <w:lang w:bidi="ar"/>
        </w:rPr>
      </w:pPr>
    </w:p>
    <w:p w14:paraId="039299A8">
      <w:pPr>
        <w:pStyle w:val="20"/>
        <w:rPr>
          <w:rFonts w:hint="eastAsia" w:ascii="宋体" w:hAnsi="宋体" w:eastAsia="宋体" w:cs="宋体"/>
          <w:bCs/>
          <w:color w:val="auto"/>
          <w:sz w:val="21"/>
          <w:szCs w:val="21"/>
          <w:lang w:bidi="ar"/>
        </w:rPr>
      </w:pPr>
    </w:p>
    <w:p w14:paraId="6962A6CE">
      <w:pPr>
        <w:pStyle w:val="20"/>
        <w:rPr>
          <w:rFonts w:hint="eastAsia" w:ascii="宋体" w:hAnsi="宋体" w:eastAsia="宋体" w:cs="宋体"/>
          <w:bCs/>
          <w:color w:val="auto"/>
          <w:sz w:val="21"/>
          <w:szCs w:val="21"/>
          <w:lang w:bidi="ar"/>
        </w:rPr>
      </w:pPr>
    </w:p>
    <w:p w14:paraId="2104707A">
      <w:pPr>
        <w:pStyle w:val="20"/>
        <w:rPr>
          <w:rFonts w:hint="eastAsia" w:ascii="宋体" w:hAnsi="宋体" w:eastAsia="宋体" w:cs="宋体"/>
          <w:bCs/>
          <w:color w:val="auto"/>
          <w:sz w:val="21"/>
          <w:szCs w:val="21"/>
          <w:lang w:bidi="ar"/>
        </w:rPr>
      </w:pPr>
    </w:p>
    <w:p w14:paraId="7509AE5B">
      <w:pPr>
        <w:pStyle w:val="20"/>
        <w:rPr>
          <w:rFonts w:hint="eastAsia" w:ascii="宋体" w:hAnsi="宋体" w:eastAsia="宋体" w:cs="宋体"/>
          <w:bCs/>
          <w:color w:val="auto"/>
          <w:sz w:val="21"/>
          <w:szCs w:val="21"/>
          <w:lang w:bidi="ar"/>
        </w:rPr>
      </w:pPr>
    </w:p>
    <w:p w14:paraId="0299F591">
      <w:pPr>
        <w:pStyle w:val="20"/>
        <w:rPr>
          <w:rFonts w:hint="eastAsia" w:ascii="宋体" w:hAnsi="宋体" w:eastAsia="宋体" w:cs="宋体"/>
          <w:bCs/>
          <w:color w:val="auto"/>
          <w:sz w:val="21"/>
          <w:szCs w:val="21"/>
          <w:lang w:bidi="ar"/>
        </w:rPr>
      </w:pPr>
    </w:p>
    <w:p w14:paraId="76184681">
      <w:pPr>
        <w:pStyle w:val="20"/>
        <w:rPr>
          <w:rFonts w:hint="eastAsia" w:ascii="宋体" w:hAnsi="宋体" w:eastAsia="宋体" w:cs="宋体"/>
          <w:bCs/>
          <w:color w:val="auto"/>
          <w:sz w:val="21"/>
          <w:szCs w:val="21"/>
          <w:lang w:bidi="ar"/>
        </w:rPr>
      </w:pP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199"/>
        <w:gridCol w:w="6198"/>
        <w:gridCol w:w="837"/>
      </w:tblGrid>
      <w:tr w14:paraId="647E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6" w:type="pct"/>
            <w:vAlign w:val="center"/>
          </w:tcPr>
          <w:p w14:paraId="2CC7E182">
            <w:pPr>
              <w:widowControl/>
              <w:jc w:val="center"/>
              <w:rPr>
                <w:rFonts w:hint="eastAsia" w:ascii="宋体" w:hAnsi="宋体" w:cs="宋体"/>
                <w:b/>
                <w:bCs/>
                <w:color w:val="auto"/>
                <w:kern w:val="0"/>
                <w:szCs w:val="21"/>
              </w:rPr>
            </w:pPr>
            <w:bookmarkStart w:id="59" w:name="PO_TDCUS_ITEM_SM_TABLE_1"/>
            <w:r>
              <w:rPr>
                <w:rFonts w:hint="eastAsia" w:ascii="宋体" w:hAnsi="宋体" w:cs="宋体"/>
                <w:b/>
                <w:bCs/>
                <w:color w:val="auto"/>
                <w:kern w:val="0"/>
                <w:szCs w:val="21"/>
              </w:rPr>
              <w:t>序号</w:t>
            </w:r>
          </w:p>
        </w:tc>
        <w:tc>
          <w:tcPr>
            <w:tcW w:w="666" w:type="pct"/>
            <w:vAlign w:val="center"/>
          </w:tcPr>
          <w:p w14:paraId="432A0E5D">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评审因素</w:t>
            </w:r>
          </w:p>
        </w:tc>
        <w:tc>
          <w:tcPr>
            <w:tcW w:w="3442" w:type="pct"/>
            <w:vAlign w:val="center"/>
          </w:tcPr>
          <w:p w14:paraId="3FB0FB5F">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评审因素具体内容</w:t>
            </w:r>
          </w:p>
        </w:tc>
        <w:tc>
          <w:tcPr>
            <w:tcW w:w="465" w:type="pct"/>
            <w:vAlign w:val="center"/>
          </w:tcPr>
          <w:p w14:paraId="0B9D8110">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分值</w:t>
            </w:r>
          </w:p>
        </w:tc>
      </w:tr>
      <w:tr w14:paraId="0B00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7" w:hRule="atLeast"/>
          <w:tblHeader/>
          <w:jc w:val="center"/>
        </w:trPr>
        <w:tc>
          <w:tcPr>
            <w:tcW w:w="426" w:type="pct"/>
            <w:vAlign w:val="center"/>
          </w:tcPr>
          <w:p w14:paraId="67864076">
            <w:pPr>
              <w:keepNext w:val="0"/>
              <w:keepLines w:val="0"/>
              <w:pageBreakBefore w:val="0"/>
              <w:widowControl/>
              <w:kinsoku/>
              <w:wordWrap/>
              <w:overflowPunct/>
              <w:topLinePunct w:val="0"/>
              <w:autoSpaceDN/>
              <w:bidi w:val="0"/>
              <w:adjustRightInd/>
              <w:spacing w:line="360" w:lineRule="auto"/>
              <w:ind w:left="0" w:right="0"/>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666" w:type="pct"/>
            <w:vAlign w:val="center"/>
          </w:tcPr>
          <w:p w14:paraId="0A510FBF">
            <w:pPr>
              <w:keepNext w:val="0"/>
              <w:keepLines w:val="0"/>
              <w:pageBreakBefore w:val="0"/>
              <w:widowControl/>
              <w:kinsoku/>
              <w:wordWrap/>
              <w:overflowPunct/>
              <w:topLinePunct w:val="0"/>
              <w:autoSpaceDN/>
              <w:bidi w:val="0"/>
              <w:adjustRightInd/>
              <w:spacing w:line="360" w:lineRule="auto"/>
              <w:ind w:left="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价格分</w:t>
            </w:r>
          </w:p>
          <w:p w14:paraId="41732DA9">
            <w:pPr>
              <w:keepNext w:val="0"/>
              <w:keepLines w:val="0"/>
              <w:pageBreakBefore w:val="0"/>
              <w:widowControl/>
              <w:kinsoku/>
              <w:wordWrap/>
              <w:overflowPunct/>
              <w:topLinePunct w:val="0"/>
              <w:autoSpaceDN/>
              <w:bidi w:val="0"/>
              <w:adjustRightInd/>
              <w:spacing w:line="360" w:lineRule="auto"/>
              <w:ind w:left="0" w:right="0"/>
              <w:jc w:val="center"/>
              <w:textAlignment w:val="auto"/>
              <w:rPr>
                <w:rFonts w:hint="eastAsia" w:ascii="宋体" w:hAnsi="宋体" w:eastAsia="宋体" w:cs="宋体"/>
                <w:color w:val="auto"/>
                <w:kern w:val="0"/>
                <w:szCs w:val="21"/>
                <w:highlight w:val="none"/>
              </w:rPr>
            </w:pPr>
          </w:p>
        </w:tc>
        <w:tc>
          <w:tcPr>
            <w:tcW w:w="3442" w:type="pct"/>
            <w:vAlign w:val="top"/>
          </w:tcPr>
          <w:p w14:paraId="07ED87AD">
            <w:pPr>
              <w:keepNext w:val="0"/>
              <w:keepLines w:val="0"/>
              <w:pageBreakBefore w:val="0"/>
              <w:kinsoku/>
              <w:wordWrap/>
              <w:overflowPunct/>
              <w:topLinePunct w:val="0"/>
              <w:autoSpaceDN/>
              <w:bidi w:val="0"/>
              <w:adjustRightInd/>
              <w:spacing w:line="360" w:lineRule="auto"/>
              <w:ind w:left="0" w:right="0" w:firstLine="420" w:firstLineChars="200"/>
              <w:textAlignment w:val="auto"/>
              <w:rPr>
                <w:rFonts w:hint="eastAsia" w:ascii="宋体" w:hAnsi="宋体" w:eastAsia="宋体" w:cs="宋体"/>
                <w:color w:val="auto"/>
                <w:szCs w:val="21"/>
              </w:rPr>
            </w:pPr>
            <w:r>
              <w:rPr>
                <w:rFonts w:hint="eastAsia" w:ascii="宋体" w:hAnsi="宋体" w:eastAsia="宋体" w:cs="宋体"/>
                <w:bCs/>
                <w:color w:val="auto"/>
                <w:szCs w:val="21"/>
              </w:rPr>
              <w:t>1.</w:t>
            </w:r>
            <w:r>
              <w:rPr>
                <w:rFonts w:hint="eastAsia" w:ascii="宋体" w:hAnsi="宋体" w:eastAsia="宋体" w:cs="宋体"/>
                <w:color w:val="auto"/>
                <w:szCs w:val="21"/>
              </w:rPr>
              <w:t>评审报价为供应商的最后报价进行政策性扣除后的价格，评审报价只是作为评审时使用。最终成交供应商的成交金额等于最后报价（如有修正，以确认修正后的最后报价为准）。</w:t>
            </w:r>
          </w:p>
          <w:p w14:paraId="24EF04EC">
            <w:pPr>
              <w:pStyle w:val="17"/>
              <w:keepNext w:val="0"/>
              <w:keepLines w:val="0"/>
              <w:pageBreakBefore w:val="0"/>
              <w:kinsoku/>
              <w:wordWrap/>
              <w:overflowPunct/>
              <w:topLinePunct w:val="0"/>
              <w:autoSpaceDN/>
              <w:bidi w:val="0"/>
              <w:adjustRightInd/>
              <w:spacing w:line="360" w:lineRule="auto"/>
              <w:ind w:left="0" w:right="0" w:firstLine="420" w:firstLineChars="200"/>
              <w:textAlignment w:val="auto"/>
              <w:rPr>
                <w:rFonts w:hint="eastAsia" w:ascii="宋体" w:hAnsi="宋体" w:eastAsia="宋体" w:cs="宋体"/>
                <w:color w:val="auto"/>
                <w:sz w:val="21"/>
              </w:rPr>
            </w:pPr>
            <w:r>
              <w:rPr>
                <w:rFonts w:hint="eastAsia" w:ascii="宋体" w:hAnsi="宋体" w:eastAsia="宋体" w:cs="宋体"/>
                <w:bCs/>
                <w:color w:val="auto"/>
                <w:kern w:val="2"/>
                <w:sz w:val="21"/>
              </w:rPr>
              <w:t>2.政府采购政策性扣除计算方法</w:t>
            </w:r>
          </w:p>
          <w:p w14:paraId="2B915C5C">
            <w:pPr>
              <w:keepNext w:val="0"/>
              <w:keepLines w:val="0"/>
              <w:pageBreakBefore w:val="0"/>
              <w:kinsoku/>
              <w:wordWrap/>
              <w:overflowPunct/>
              <w:topLinePunct w:val="0"/>
              <w:autoSpaceDN/>
              <w:bidi w:val="0"/>
              <w:adjustRightInd/>
              <w:snapToGrid w:val="0"/>
              <w:spacing w:line="360" w:lineRule="auto"/>
              <w:ind w:left="0" w:right="0" w:firstLine="422" w:firstLineChars="200"/>
              <w:jc w:val="left"/>
              <w:textAlignment w:val="auto"/>
              <w:rPr>
                <w:rFonts w:hint="eastAsia" w:ascii="宋体" w:hAnsi="宋体" w:eastAsia="宋体" w:cs="宋体"/>
                <w:b/>
                <w:bCs/>
                <w:color w:val="auto"/>
                <w:szCs w:val="21"/>
              </w:rPr>
            </w:pPr>
            <w:r>
              <w:rPr>
                <w:rFonts w:hint="eastAsia" w:ascii="宋体" w:hAnsi="宋体" w:eastAsia="宋体" w:cs="宋体"/>
                <w:b/>
                <w:bCs/>
                <w:color w:val="auto"/>
                <w:szCs w:val="21"/>
              </w:rPr>
              <w:t>按照《政府采购促进中小企业发展管理办法》（财库[2020]46号）及《广西壮族自治区财政厅关于持续优化政府采购营商环境推动高质量发展的通知》（桂财采〔2024〕55号）规定，本项目专门面向中小企业采购。专门面向中小企业采购的项目不再执行价格评审优惠的扶持政策；监狱企业或残疾人福利性单位视同小型、微型企业。</w:t>
            </w:r>
          </w:p>
          <w:p w14:paraId="15339345">
            <w:pPr>
              <w:keepNext w:val="0"/>
              <w:keepLines w:val="0"/>
              <w:pageBreakBefore w:val="0"/>
              <w:kinsoku/>
              <w:wordWrap/>
              <w:overflowPunct/>
              <w:topLinePunct w:val="0"/>
              <w:autoSpaceDN/>
              <w:bidi w:val="0"/>
              <w:adjustRightInd/>
              <w:snapToGrid w:val="0"/>
              <w:spacing w:line="360" w:lineRule="auto"/>
              <w:ind w:left="0" w:right="0" w:firstLine="420" w:firstLineChars="200"/>
              <w:jc w:val="left"/>
              <w:textAlignment w:val="auto"/>
              <w:rPr>
                <w:rFonts w:hint="eastAsia" w:ascii="宋体" w:hAnsi="宋体" w:eastAsia="宋体" w:cs="宋体"/>
                <w:b/>
                <w:bCs/>
                <w:color w:val="auto"/>
                <w:szCs w:val="21"/>
              </w:rPr>
            </w:pPr>
            <w:r>
              <w:rPr>
                <w:rFonts w:hint="eastAsia" w:ascii="宋体" w:hAnsi="宋体" w:eastAsia="宋体" w:cs="宋体"/>
                <w:color w:val="auto"/>
                <w:szCs w:val="21"/>
              </w:rPr>
              <w:t>评审报价＝最后报价</w:t>
            </w:r>
          </w:p>
          <w:p w14:paraId="00F7ECA5">
            <w:pPr>
              <w:pStyle w:val="17"/>
              <w:keepNext w:val="0"/>
              <w:keepLines w:val="0"/>
              <w:pageBreakBefore w:val="0"/>
              <w:kinsoku/>
              <w:wordWrap/>
              <w:overflowPunct/>
              <w:topLinePunct w:val="0"/>
              <w:autoSpaceDN/>
              <w:bidi w:val="0"/>
              <w:adjustRightInd/>
              <w:spacing w:line="360" w:lineRule="auto"/>
              <w:ind w:left="0" w:right="0" w:firstLine="420" w:firstLineChars="200"/>
              <w:textAlignment w:val="auto"/>
              <w:rPr>
                <w:rFonts w:hint="eastAsia" w:ascii="宋体" w:hAnsi="宋体" w:eastAsia="宋体" w:cs="宋体"/>
                <w:bCs/>
                <w:color w:val="auto"/>
                <w:kern w:val="2"/>
                <w:sz w:val="21"/>
              </w:rPr>
            </w:pPr>
            <w:r>
              <w:rPr>
                <w:rFonts w:hint="eastAsia" w:ascii="宋体" w:hAnsi="宋体" w:eastAsia="宋体" w:cs="宋体"/>
                <w:bCs/>
                <w:color w:val="auto"/>
                <w:kern w:val="2"/>
                <w:sz w:val="21"/>
              </w:rPr>
              <w:t>3.以进入比较与评价环节的最低的评审报价为基准价，基准价得分为</w:t>
            </w:r>
            <w:r>
              <w:rPr>
                <w:rFonts w:hint="eastAsia" w:ascii="宋体" w:hAnsi="宋体" w:eastAsia="宋体" w:cs="宋体"/>
                <w:bCs/>
                <w:color w:val="auto"/>
                <w:kern w:val="2"/>
                <w:sz w:val="21"/>
                <w:lang w:val="en-US" w:eastAsia="zh-CN"/>
              </w:rPr>
              <w:t>20</w:t>
            </w:r>
            <w:r>
              <w:rPr>
                <w:rFonts w:hint="eastAsia" w:ascii="宋体" w:hAnsi="宋体" w:eastAsia="宋体" w:cs="宋体"/>
                <w:bCs/>
                <w:color w:val="auto"/>
                <w:kern w:val="2"/>
                <w:sz w:val="21"/>
                <w:u w:val="single"/>
              </w:rPr>
              <w:t>分</w:t>
            </w:r>
            <w:r>
              <w:rPr>
                <w:rFonts w:hint="eastAsia" w:ascii="宋体" w:hAnsi="宋体" w:eastAsia="宋体" w:cs="宋体"/>
                <w:bCs/>
                <w:color w:val="auto"/>
                <w:kern w:val="2"/>
                <w:sz w:val="21"/>
              </w:rPr>
              <w:t>。</w:t>
            </w:r>
          </w:p>
          <w:p w14:paraId="24B36F06">
            <w:pPr>
              <w:pStyle w:val="17"/>
              <w:keepNext w:val="0"/>
              <w:keepLines w:val="0"/>
              <w:pageBreakBefore w:val="0"/>
              <w:kinsoku/>
              <w:wordWrap/>
              <w:overflowPunct/>
              <w:topLinePunct w:val="0"/>
              <w:autoSpaceDN/>
              <w:bidi w:val="0"/>
              <w:adjustRightInd/>
              <w:spacing w:line="360" w:lineRule="auto"/>
              <w:ind w:left="0" w:right="0" w:firstLine="420" w:firstLineChars="200"/>
              <w:textAlignment w:val="auto"/>
              <w:rPr>
                <w:rFonts w:hint="eastAsia" w:ascii="宋体" w:hAnsi="宋体" w:eastAsia="宋体" w:cs="宋体"/>
                <w:bCs/>
                <w:color w:val="auto"/>
                <w:kern w:val="2"/>
                <w:sz w:val="21"/>
              </w:rPr>
            </w:pPr>
            <w:r>
              <w:rPr>
                <w:rFonts w:hint="eastAsia" w:ascii="宋体" w:hAnsi="宋体" w:eastAsia="宋体" w:cs="宋体"/>
                <w:bCs/>
                <w:color w:val="auto"/>
                <w:kern w:val="2"/>
                <w:sz w:val="21"/>
              </w:rPr>
              <w:t>4.价格分计算公式：</w:t>
            </w:r>
          </w:p>
          <w:p w14:paraId="4E2E9A2C">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rPr>
              <w:t>报价得分=（基准价/评审报价）×</w:t>
            </w:r>
            <w:r>
              <w:rPr>
                <w:rFonts w:hint="eastAsia" w:ascii="宋体" w:hAnsi="宋体" w:eastAsia="宋体" w:cs="宋体"/>
                <w:bCs/>
                <w:color w:val="auto"/>
                <w:szCs w:val="21"/>
                <w:lang w:val="en-US" w:eastAsia="zh-CN"/>
              </w:rPr>
              <w:t>20</w:t>
            </w:r>
            <w:r>
              <w:rPr>
                <w:rFonts w:hint="eastAsia" w:ascii="宋体" w:hAnsi="宋体" w:eastAsia="宋体" w:cs="宋体"/>
                <w:bCs/>
                <w:color w:val="auto"/>
                <w:szCs w:val="21"/>
                <w:u w:val="single"/>
              </w:rPr>
              <w:t>分</w:t>
            </w:r>
          </w:p>
        </w:tc>
        <w:tc>
          <w:tcPr>
            <w:tcW w:w="465" w:type="pct"/>
            <w:vAlign w:val="center"/>
          </w:tcPr>
          <w:p w14:paraId="611432A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0分</w:t>
            </w:r>
          </w:p>
        </w:tc>
      </w:tr>
      <w:tr w14:paraId="69DC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6" w:type="pct"/>
            <w:vAlign w:val="center"/>
          </w:tcPr>
          <w:p w14:paraId="6E8D7C31">
            <w:pPr>
              <w:keepNext w:val="0"/>
              <w:keepLines w:val="0"/>
              <w:pageBreakBefore w:val="0"/>
              <w:widowControl/>
              <w:kinsoku/>
              <w:wordWrap/>
              <w:overflowPunct/>
              <w:topLinePunct w:val="0"/>
              <w:autoSpaceDN/>
              <w:bidi w:val="0"/>
              <w:adjustRightInd/>
              <w:spacing w:line="360" w:lineRule="auto"/>
              <w:ind w:left="0" w:right="0"/>
              <w:jc w:val="center"/>
              <w:textAlignment w:val="auto"/>
              <w:rPr>
                <w:rFonts w:hint="eastAsia" w:ascii="宋体" w:hAnsi="宋体" w:eastAsia="宋体" w:cs="宋体"/>
                <w:color w:val="auto"/>
                <w:kern w:val="0"/>
                <w:szCs w:val="21"/>
              </w:rPr>
            </w:pPr>
            <w:r>
              <w:rPr>
                <w:rFonts w:hint="eastAsia" w:ascii="宋体" w:hAnsi="宋体" w:eastAsia="宋体" w:cs="宋体"/>
                <w:bCs/>
                <w:color w:val="auto"/>
                <w:kern w:val="0"/>
                <w:szCs w:val="21"/>
              </w:rPr>
              <w:t>2</w:t>
            </w:r>
          </w:p>
        </w:tc>
        <w:tc>
          <w:tcPr>
            <w:tcW w:w="666" w:type="pct"/>
            <w:vAlign w:val="center"/>
          </w:tcPr>
          <w:p w14:paraId="1D5B2B71">
            <w:pPr>
              <w:keepNext w:val="0"/>
              <w:keepLines w:val="0"/>
              <w:pageBreakBefore w:val="0"/>
              <w:widowControl/>
              <w:kinsoku/>
              <w:wordWrap/>
              <w:overflowPunct/>
              <w:topLinePunct w:val="0"/>
              <w:autoSpaceDN/>
              <w:bidi w:val="0"/>
              <w:adjustRightInd/>
              <w:spacing w:line="360" w:lineRule="auto"/>
              <w:ind w:left="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技术分</w:t>
            </w:r>
          </w:p>
        </w:tc>
        <w:tc>
          <w:tcPr>
            <w:tcW w:w="3907" w:type="pct"/>
            <w:gridSpan w:val="2"/>
            <w:vAlign w:val="center"/>
          </w:tcPr>
          <w:p w14:paraId="307C2409">
            <w:pPr>
              <w:keepNext w:val="0"/>
              <w:keepLines w:val="0"/>
              <w:pageBreakBefore w:val="0"/>
              <w:widowControl/>
              <w:kinsoku/>
              <w:wordWrap/>
              <w:overflowPunct/>
              <w:topLinePunct w:val="0"/>
              <w:autoSpaceDN/>
              <w:bidi w:val="0"/>
              <w:adjustRightInd/>
              <w:spacing w:line="360" w:lineRule="auto"/>
              <w:ind w:left="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评审因素</w:t>
            </w:r>
          </w:p>
        </w:tc>
      </w:tr>
      <w:tr w14:paraId="3FD3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tblHeader/>
          <w:jc w:val="center"/>
        </w:trPr>
        <w:tc>
          <w:tcPr>
            <w:tcW w:w="426" w:type="pct"/>
            <w:vAlign w:val="center"/>
          </w:tcPr>
          <w:p w14:paraId="3D5AC8E0">
            <w:pPr>
              <w:keepNext w:val="0"/>
              <w:keepLines w:val="0"/>
              <w:pageBreakBefore w:val="0"/>
              <w:kinsoku/>
              <w:wordWrap/>
              <w:overflowPunct/>
              <w:topLinePunct w:val="0"/>
              <w:autoSpaceDN/>
              <w:bidi w:val="0"/>
              <w:adjustRightInd/>
              <w:spacing w:line="360" w:lineRule="auto"/>
              <w:ind w:left="-105" w:leftChars="-50" w:right="-105" w:rightChars="-50"/>
              <w:jc w:val="center"/>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rPr>
              <w:t>2.1</w:t>
            </w:r>
          </w:p>
        </w:tc>
        <w:tc>
          <w:tcPr>
            <w:tcW w:w="666" w:type="pct"/>
          </w:tcPr>
          <w:p w14:paraId="11EC82F5">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color w:val="auto"/>
              </w:rPr>
            </w:pPr>
          </w:p>
          <w:p w14:paraId="0F6A0149">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color w:val="auto"/>
              </w:rPr>
            </w:pPr>
          </w:p>
          <w:p w14:paraId="23238AFB">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color w:val="auto"/>
              </w:rPr>
            </w:pPr>
          </w:p>
          <w:p w14:paraId="54BD4ED4">
            <w:pPr>
              <w:pStyle w:val="87"/>
              <w:keepNext w:val="0"/>
              <w:keepLines w:val="0"/>
              <w:pageBreakBefore w:val="0"/>
              <w:kinsoku/>
              <w:wordWrap/>
              <w:overflowPunct/>
              <w:topLinePunct w:val="0"/>
              <w:autoSpaceDN/>
              <w:bidi w:val="0"/>
              <w:adjustRightInd/>
              <w:spacing w:line="360" w:lineRule="auto"/>
              <w:ind w:left="0" w:right="0"/>
              <w:jc w:val="left"/>
              <w:textAlignment w:val="auto"/>
              <w:rPr>
                <w:rFonts w:hint="eastAsia" w:ascii="宋体" w:hAnsi="宋体" w:eastAsia="宋体" w:cs="宋体"/>
                <w:bCs/>
                <w:color w:val="auto"/>
                <w:lang w:eastAsia="zh-CN"/>
              </w:rPr>
            </w:pPr>
            <w:r>
              <w:rPr>
                <w:rFonts w:hint="eastAsia" w:ascii="宋体" w:hAnsi="宋体" w:eastAsia="宋体" w:cs="宋体"/>
                <w:bCs/>
                <w:color w:val="auto"/>
                <w:lang w:eastAsia="zh-CN"/>
              </w:rPr>
              <w:t>对工程项 目的主要 技术建议</w:t>
            </w:r>
          </w:p>
          <w:p w14:paraId="65956C88">
            <w:pPr>
              <w:pStyle w:val="87"/>
              <w:keepNext w:val="0"/>
              <w:keepLines w:val="0"/>
              <w:pageBreakBefore w:val="0"/>
              <w:kinsoku/>
              <w:wordWrap/>
              <w:overflowPunct/>
              <w:topLinePunct w:val="0"/>
              <w:autoSpaceDN/>
              <w:bidi w:val="0"/>
              <w:adjustRightInd/>
              <w:spacing w:line="360" w:lineRule="auto"/>
              <w:ind w:left="0" w:right="0" w:hanging="318"/>
              <w:textAlignment w:val="auto"/>
              <w:rPr>
                <w:rFonts w:hint="eastAsia" w:ascii="宋体" w:hAnsi="宋体" w:eastAsia="宋体" w:cs="宋体"/>
                <w:bCs/>
                <w:color w:val="auto"/>
                <w:kern w:val="0"/>
                <w:lang w:eastAsia="zh-CN"/>
              </w:rPr>
            </w:pPr>
          </w:p>
        </w:tc>
        <w:tc>
          <w:tcPr>
            <w:tcW w:w="3442" w:type="pct"/>
          </w:tcPr>
          <w:p w14:paraId="78F20FCD">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rPr>
            </w:pPr>
            <w:r>
              <w:rPr>
                <w:rFonts w:hint="eastAsia" w:ascii="宋体" w:hAnsi="宋体" w:eastAsia="宋体" w:cs="宋体"/>
                <w:bCs/>
                <w:color w:val="auto"/>
                <w:szCs w:val="21"/>
              </w:rPr>
              <w:t>根据项目的特征、技术指标与环境条件、工程任务及规模、工程设计标准， 影响本项目的关键和敏感因素、设计主要工作内容、节省项目投资的分析 等内容进行评分。</w:t>
            </w:r>
          </w:p>
          <w:p w14:paraId="7B9EDF21">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rPr>
            </w:pPr>
            <w:r>
              <w:rPr>
                <w:rFonts w:hint="eastAsia" w:ascii="宋体" w:hAnsi="宋体" w:eastAsia="宋体" w:cs="宋体"/>
                <w:bCs/>
                <w:color w:val="auto"/>
                <w:szCs w:val="21"/>
              </w:rPr>
              <w:t>一档（10  分）：对各项工作理解透彻、表述清晰明了，提供的技术方案 架构合理、先进、可行，内容详细，完全满足采购文件要求。</w:t>
            </w:r>
          </w:p>
          <w:p w14:paraId="5044525D">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rPr>
            </w:pPr>
            <w:r>
              <w:rPr>
                <w:rFonts w:hint="eastAsia" w:ascii="宋体" w:hAnsi="宋体" w:eastAsia="宋体" w:cs="宋体"/>
                <w:bCs/>
                <w:color w:val="auto"/>
                <w:szCs w:val="21"/>
              </w:rPr>
              <w:t>二档（7  分）：对各项工作理解程度较好、表述清晰，提供的技术方案比 较合理、可行，内容比较详细，能满足采购文件要求。</w:t>
            </w:r>
          </w:p>
          <w:p w14:paraId="569CEF7F">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rPr>
            </w:pPr>
            <w:r>
              <w:rPr>
                <w:rFonts w:hint="eastAsia" w:ascii="宋体" w:hAnsi="宋体" w:eastAsia="宋体" w:cs="宋体"/>
                <w:bCs/>
                <w:color w:val="auto"/>
                <w:szCs w:val="21"/>
              </w:rPr>
              <w:t>三档（3 分） ：对各项工作理解程度、表述简单，提供的技术方案简单， 基本能满足采购文件要求。</w:t>
            </w:r>
          </w:p>
          <w:p w14:paraId="6FE1A5C8">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rPr>
            </w:pPr>
            <w:r>
              <w:rPr>
                <w:rFonts w:hint="eastAsia" w:ascii="宋体" w:hAnsi="宋体" w:eastAsia="宋体" w:cs="宋体"/>
                <w:bCs/>
                <w:color w:val="auto"/>
                <w:kern w:val="2"/>
                <w:sz w:val="21"/>
                <w:highlight w:val="none"/>
                <w:lang w:val="en-US" w:eastAsia="zh-CN"/>
              </w:rPr>
              <w:t>不满足一档或未提供本项内容的计0分</w:t>
            </w:r>
          </w:p>
        </w:tc>
        <w:tc>
          <w:tcPr>
            <w:tcW w:w="465" w:type="pct"/>
          </w:tcPr>
          <w:p w14:paraId="1F2A8B4A">
            <w:pPr>
              <w:spacing w:line="265" w:lineRule="auto"/>
              <w:rPr>
                <w:rFonts w:ascii="Arial"/>
                <w:color w:val="auto"/>
              </w:rPr>
            </w:pPr>
          </w:p>
          <w:p w14:paraId="6FD0C520">
            <w:pPr>
              <w:spacing w:line="265" w:lineRule="auto"/>
              <w:rPr>
                <w:rFonts w:ascii="Arial"/>
                <w:color w:val="auto"/>
              </w:rPr>
            </w:pPr>
          </w:p>
          <w:p w14:paraId="631A064A">
            <w:pPr>
              <w:spacing w:line="265" w:lineRule="auto"/>
              <w:rPr>
                <w:rFonts w:ascii="Arial"/>
                <w:color w:val="auto"/>
              </w:rPr>
            </w:pPr>
          </w:p>
          <w:p w14:paraId="15DDB597">
            <w:pPr>
              <w:spacing w:line="266" w:lineRule="auto"/>
              <w:rPr>
                <w:rFonts w:ascii="Arial"/>
                <w:color w:val="auto"/>
              </w:rPr>
            </w:pPr>
          </w:p>
          <w:p w14:paraId="0270CFDC">
            <w:pPr>
              <w:pStyle w:val="87"/>
              <w:spacing w:before="65" w:line="228" w:lineRule="auto"/>
              <w:rPr>
                <w:rFonts w:hint="eastAsia" w:eastAsiaTheme="minorEastAsia"/>
                <w:color w:val="auto"/>
                <w:kern w:val="0"/>
                <w:lang w:eastAsia="zh-CN"/>
              </w:rPr>
            </w:pPr>
            <w:r>
              <w:rPr>
                <w:rFonts w:ascii="Arial" w:hAnsi="Arial" w:eastAsia="Arial" w:cs="Arial"/>
                <w:color w:val="auto"/>
                <w:spacing w:val="-5"/>
              </w:rPr>
              <w:t>10</w:t>
            </w:r>
            <w:r>
              <w:rPr>
                <w:color w:val="auto"/>
                <w:spacing w:val="-5"/>
              </w:rPr>
              <w:t>分</w:t>
            </w:r>
          </w:p>
        </w:tc>
      </w:tr>
      <w:tr w14:paraId="198B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tblHeader/>
          <w:jc w:val="center"/>
        </w:trPr>
        <w:tc>
          <w:tcPr>
            <w:tcW w:w="426" w:type="pct"/>
            <w:vAlign w:val="center"/>
          </w:tcPr>
          <w:p w14:paraId="1CA159D7">
            <w:pPr>
              <w:keepNext w:val="0"/>
              <w:keepLines w:val="0"/>
              <w:pageBreakBefore w:val="0"/>
              <w:kinsoku/>
              <w:wordWrap/>
              <w:overflowPunct/>
              <w:topLinePunct w:val="0"/>
              <w:autoSpaceDN/>
              <w:bidi w:val="0"/>
              <w:adjustRightInd/>
              <w:spacing w:line="360" w:lineRule="auto"/>
              <w:ind w:left="-105" w:leftChars="-50" w:right="-105" w:rightChars="-50"/>
              <w:jc w:val="center"/>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rPr>
              <w:t>2.2</w:t>
            </w:r>
          </w:p>
        </w:tc>
        <w:tc>
          <w:tcPr>
            <w:tcW w:w="666" w:type="pct"/>
          </w:tcPr>
          <w:p w14:paraId="26D9ACF0">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color w:val="auto"/>
                <w:highlight w:val="none"/>
              </w:rPr>
            </w:pPr>
          </w:p>
          <w:p w14:paraId="09E7E03F">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color w:val="auto"/>
                <w:highlight w:val="none"/>
              </w:rPr>
            </w:pPr>
          </w:p>
          <w:p w14:paraId="2C13B09E">
            <w:pPr>
              <w:pStyle w:val="87"/>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eastAsia="zh-CN"/>
              </w:rPr>
              <w:t>设计总体思路分</w:t>
            </w:r>
          </w:p>
          <w:p w14:paraId="1ABEE903">
            <w:pPr>
              <w:pStyle w:val="87"/>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highlight w:val="none"/>
              </w:rPr>
            </w:pPr>
          </w:p>
        </w:tc>
        <w:tc>
          <w:tcPr>
            <w:tcW w:w="3442" w:type="pct"/>
          </w:tcPr>
          <w:p w14:paraId="1E20CC5B">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根据设计总体思路论述、针对本工程项目的特点、难点及关键性技术问题 的处理措施和方法等内容进行评分。</w:t>
            </w:r>
          </w:p>
          <w:p w14:paraId="35929EE6">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一档（10 分）：思路论述清晰、措施和方法合理、详细、可行，完全满足 采购文件要求。</w:t>
            </w:r>
          </w:p>
          <w:p w14:paraId="3AAA157D">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二档（7 分）：思路论述较清晰、措施和方法合理、详细，能满足采购文 件要求。</w:t>
            </w:r>
          </w:p>
          <w:p w14:paraId="51186069">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三档（3 分）：思路论述不清晰、措施和方法简单，基本能满足采购文件 要求。</w:t>
            </w:r>
          </w:p>
          <w:p w14:paraId="6719B7C7">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highlight w:val="none"/>
              </w:rPr>
            </w:pPr>
            <w:r>
              <w:rPr>
                <w:rFonts w:hint="eastAsia" w:ascii="宋体" w:hAnsi="宋体" w:eastAsia="宋体" w:cs="宋体"/>
                <w:bCs/>
                <w:color w:val="auto"/>
                <w:kern w:val="2"/>
                <w:sz w:val="21"/>
                <w:highlight w:val="none"/>
                <w:lang w:val="en-US" w:eastAsia="zh-CN"/>
              </w:rPr>
              <w:t>不满足一档或未提供本项内容的计0分</w:t>
            </w:r>
          </w:p>
        </w:tc>
        <w:tc>
          <w:tcPr>
            <w:tcW w:w="465" w:type="pct"/>
          </w:tcPr>
          <w:p w14:paraId="0CDE42C7">
            <w:pPr>
              <w:spacing w:line="273" w:lineRule="auto"/>
              <w:rPr>
                <w:rFonts w:ascii="Arial"/>
                <w:color w:val="auto"/>
                <w:highlight w:val="none"/>
              </w:rPr>
            </w:pPr>
          </w:p>
          <w:p w14:paraId="4F9661AF">
            <w:pPr>
              <w:spacing w:line="273" w:lineRule="auto"/>
              <w:rPr>
                <w:rFonts w:ascii="Arial"/>
                <w:color w:val="auto"/>
                <w:highlight w:val="none"/>
              </w:rPr>
            </w:pPr>
          </w:p>
          <w:p w14:paraId="05DD674F">
            <w:pPr>
              <w:spacing w:line="274" w:lineRule="auto"/>
              <w:rPr>
                <w:rFonts w:ascii="Arial"/>
                <w:color w:val="auto"/>
                <w:highlight w:val="none"/>
              </w:rPr>
            </w:pPr>
          </w:p>
          <w:p w14:paraId="2FE5BAB1">
            <w:pPr>
              <w:pStyle w:val="87"/>
              <w:spacing w:before="65" w:line="228" w:lineRule="auto"/>
              <w:rPr>
                <w:rFonts w:hint="eastAsia"/>
                <w:bCs/>
                <w:color w:val="auto"/>
                <w:highlight w:val="none"/>
                <w:lang w:eastAsia="zh-CN"/>
              </w:rPr>
            </w:pPr>
            <w:r>
              <w:rPr>
                <w:rFonts w:ascii="Arial" w:hAnsi="Arial" w:eastAsia="Arial" w:cs="Arial"/>
                <w:color w:val="auto"/>
                <w:spacing w:val="-5"/>
                <w:highlight w:val="none"/>
              </w:rPr>
              <w:t>10</w:t>
            </w:r>
            <w:r>
              <w:rPr>
                <w:color w:val="auto"/>
                <w:spacing w:val="-5"/>
                <w:highlight w:val="none"/>
              </w:rPr>
              <w:t>分</w:t>
            </w:r>
          </w:p>
        </w:tc>
      </w:tr>
      <w:tr w14:paraId="6F99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6" w:type="pct"/>
            <w:vAlign w:val="center"/>
          </w:tcPr>
          <w:p w14:paraId="7A10CF83">
            <w:pPr>
              <w:keepNext w:val="0"/>
              <w:keepLines w:val="0"/>
              <w:pageBreakBefore w:val="0"/>
              <w:kinsoku/>
              <w:wordWrap/>
              <w:overflowPunct/>
              <w:topLinePunct w:val="0"/>
              <w:autoSpaceDN/>
              <w:bidi w:val="0"/>
              <w:adjustRightInd/>
              <w:spacing w:line="360" w:lineRule="auto"/>
              <w:ind w:left="-105" w:leftChars="-50" w:right="-105" w:rightChars="-50"/>
              <w:jc w:val="center"/>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rPr>
              <w:t>2.3</w:t>
            </w:r>
          </w:p>
        </w:tc>
        <w:tc>
          <w:tcPr>
            <w:tcW w:w="666" w:type="pct"/>
          </w:tcPr>
          <w:p w14:paraId="41CC4672">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rPr>
            </w:pPr>
          </w:p>
          <w:p w14:paraId="52076B96">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rPr>
            </w:pPr>
          </w:p>
          <w:p w14:paraId="035CD5E7">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rPr>
            </w:pPr>
          </w:p>
          <w:p w14:paraId="719C8BF8">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rPr>
            </w:pPr>
            <w:r>
              <w:rPr>
                <w:rFonts w:hint="eastAsia" w:ascii="宋体" w:hAnsi="宋体" w:eastAsia="宋体" w:cs="宋体"/>
                <w:bCs/>
                <w:color w:val="auto"/>
                <w:szCs w:val="21"/>
              </w:rPr>
              <w:t>设计方案</w:t>
            </w:r>
          </w:p>
        </w:tc>
        <w:tc>
          <w:tcPr>
            <w:tcW w:w="3442" w:type="pct"/>
          </w:tcPr>
          <w:p w14:paraId="449B1AB4">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rPr>
            </w:pPr>
            <w:r>
              <w:rPr>
                <w:rFonts w:hint="eastAsia" w:ascii="宋体" w:hAnsi="宋体" w:eastAsia="宋体" w:cs="宋体"/>
                <w:bCs/>
                <w:color w:val="auto"/>
                <w:szCs w:val="21"/>
              </w:rPr>
              <w:t>根据设计方案的内容进行评分。</w:t>
            </w:r>
          </w:p>
          <w:p w14:paraId="3AA5CC67">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rPr>
            </w:pPr>
            <w:r>
              <w:rPr>
                <w:rFonts w:hint="eastAsia" w:ascii="宋体" w:hAnsi="宋体" w:eastAsia="宋体" w:cs="宋体"/>
                <w:bCs/>
                <w:color w:val="auto"/>
                <w:szCs w:val="21"/>
              </w:rPr>
              <w:t>一档（</w:t>
            </w:r>
            <w:r>
              <w:rPr>
                <w:rFonts w:hint="eastAsia" w:ascii="宋体" w:hAnsi="宋体" w:eastAsia="宋体" w:cs="宋体"/>
                <w:bCs/>
                <w:color w:val="auto"/>
                <w:szCs w:val="21"/>
                <w:lang w:val="en-US" w:eastAsia="zh-CN"/>
              </w:rPr>
              <w:t>15</w:t>
            </w:r>
            <w:r>
              <w:rPr>
                <w:rFonts w:hint="eastAsia" w:ascii="宋体" w:hAnsi="宋体" w:eastAsia="宋体" w:cs="宋体"/>
                <w:bCs/>
                <w:color w:val="auto"/>
                <w:szCs w:val="21"/>
              </w:rPr>
              <w:t>分）：设计方案论述内容完整、合理，技术措施、技术水平先进、 衔接合理。</w:t>
            </w:r>
          </w:p>
          <w:p w14:paraId="37CBDE21">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rPr>
            </w:pPr>
            <w:r>
              <w:rPr>
                <w:rFonts w:hint="eastAsia" w:ascii="宋体" w:hAnsi="宋体" w:eastAsia="宋体" w:cs="宋体"/>
                <w:bCs/>
                <w:color w:val="auto"/>
                <w:szCs w:val="21"/>
              </w:rPr>
              <w:t>二档（</w:t>
            </w:r>
            <w:r>
              <w:rPr>
                <w:rFonts w:hint="eastAsia" w:ascii="宋体" w:hAnsi="宋体" w:eastAsia="宋体" w:cs="宋体"/>
                <w:bCs/>
                <w:color w:val="auto"/>
                <w:szCs w:val="21"/>
                <w:lang w:val="en-US" w:eastAsia="zh-CN"/>
              </w:rPr>
              <w:t>10</w:t>
            </w:r>
            <w:r>
              <w:rPr>
                <w:rFonts w:hint="eastAsia" w:ascii="宋体" w:hAnsi="宋体" w:eastAsia="宋体" w:cs="宋体"/>
                <w:bCs/>
                <w:color w:val="auto"/>
                <w:szCs w:val="21"/>
              </w:rPr>
              <w:t xml:space="preserve"> 分）：设计方案论述内容较完整、合理，技术措施、技术水平较好、衔接较合理。</w:t>
            </w:r>
          </w:p>
          <w:p w14:paraId="0AD25662">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rPr>
            </w:pPr>
            <w:r>
              <w:rPr>
                <w:rFonts w:hint="eastAsia" w:ascii="宋体" w:hAnsi="宋体" w:eastAsia="宋体" w:cs="宋体"/>
                <w:bCs/>
                <w:color w:val="auto"/>
                <w:szCs w:val="21"/>
              </w:rPr>
              <w:t>三档（</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 xml:space="preserve"> 分）：设计方案论述内容简单，技术措施、技术水平简单、衔接简单。</w:t>
            </w:r>
          </w:p>
          <w:p w14:paraId="3E47AD69">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rPr>
            </w:pPr>
            <w:r>
              <w:rPr>
                <w:rFonts w:hint="eastAsia" w:ascii="宋体" w:hAnsi="宋体" w:eastAsia="宋体" w:cs="宋体"/>
                <w:bCs/>
                <w:color w:val="auto"/>
                <w:kern w:val="2"/>
                <w:sz w:val="21"/>
                <w:highlight w:val="none"/>
                <w:lang w:val="en-US" w:eastAsia="zh-CN"/>
              </w:rPr>
              <w:t>不满足一档或未提供本项内容的计0分</w:t>
            </w:r>
          </w:p>
        </w:tc>
        <w:tc>
          <w:tcPr>
            <w:tcW w:w="465" w:type="pct"/>
          </w:tcPr>
          <w:p w14:paraId="3BBA95CF">
            <w:pPr>
              <w:spacing w:line="241" w:lineRule="auto"/>
              <w:rPr>
                <w:rFonts w:ascii="Arial"/>
                <w:color w:val="auto"/>
              </w:rPr>
            </w:pPr>
          </w:p>
          <w:p w14:paraId="3DF4ECF1">
            <w:pPr>
              <w:spacing w:line="241" w:lineRule="auto"/>
              <w:rPr>
                <w:rFonts w:ascii="Arial"/>
                <w:color w:val="auto"/>
              </w:rPr>
            </w:pPr>
          </w:p>
          <w:p w14:paraId="7B633170">
            <w:pPr>
              <w:spacing w:line="241" w:lineRule="auto"/>
              <w:rPr>
                <w:rFonts w:ascii="Arial"/>
                <w:color w:val="auto"/>
              </w:rPr>
            </w:pPr>
          </w:p>
          <w:p w14:paraId="2506EA54">
            <w:pPr>
              <w:pStyle w:val="87"/>
              <w:spacing w:before="65" w:line="228" w:lineRule="auto"/>
              <w:rPr>
                <w:rFonts w:hint="eastAsia" w:eastAsiaTheme="minorEastAsia"/>
                <w:color w:val="auto"/>
                <w:kern w:val="0"/>
                <w:lang w:eastAsia="zh-CN"/>
              </w:rPr>
            </w:pPr>
            <w:r>
              <w:rPr>
                <w:rFonts w:ascii="Arial" w:hAnsi="Arial" w:eastAsia="Arial" w:cs="Arial"/>
                <w:color w:val="auto"/>
                <w:spacing w:val="-5"/>
              </w:rPr>
              <w:t>1</w:t>
            </w:r>
            <w:r>
              <w:rPr>
                <w:rFonts w:hint="eastAsia" w:ascii="Arial" w:hAnsi="Arial" w:cs="Arial"/>
                <w:color w:val="auto"/>
                <w:spacing w:val="-5"/>
                <w:lang w:val="en-US" w:eastAsia="zh-CN"/>
              </w:rPr>
              <w:t>5</w:t>
            </w:r>
            <w:r>
              <w:rPr>
                <w:color w:val="auto"/>
                <w:spacing w:val="-5"/>
              </w:rPr>
              <w:t>分</w:t>
            </w:r>
          </w:p>
        </w:tc>
      </w:tr>
      <w:tr w14:paraId="21C2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6" w:type="pct"/>
            <w:vAlign w:val="center"/>
          </w:tcPr>
          <w:p w14:paraId="272DC5F0">
            <w:pPr>
              <w:keepNext w:val="0"/>
              <w:keepLines w:val="0"/>
              <w:pageBreakBefore w:val="0"/>
              <w:kinsoku/>
              <w:wordWrap/>
              <w:overflowPunct/>
              <w:topLinePunct w:val="0"/>
              <w:autoSpaceDN/>
              <w:bidi w:val="0"/>
              <w:adjustRightInd/>
              <w:spacing w:line="360" w:lineRule="auto"/>
              <w:ind w:left="-105" w:leftChars="-50" w:right="-105" w:rightChars="-50"/>
              <w:jc w:val="center"/>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rPr>
              <w:t>2.4</w:t>
            </w:r>
          </w:p>
        </w:tc>
        <w:tc>
          <w:tcPr>
            <w:tcW w:w="666" w:type="pct"/>
          </w:tcPr>
          <w:p w14:paraId="458540B1">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工作进度计划安排 </w:t>
            </w:r>
          </w:p>
        </w:tc>
        <w:tc>
          <w:tcPr>
            <w:tcW w:w="3442" w:type="pct"/>
          </w:tcPr>
          <w:p w14:paraId="1FDAF9B7">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根据拟定工作进度计划安排的内容进行评分。</w:t>
            </w:r>
          </w:p>
          <w:p w14:paraId="7615954A">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一档（10 分）：进度安排合理科学、工期完全满足工期要求。</w:t>
            </w:r>
          </w:p>
          <w:p w14:paraId="607D23ED">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二档（7 分）：进度安排合理、工期能满足工期要求。</w:t>
            </w:r>
          </w:p>
          <w:p w14:paraId="67EFDE33">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三档（3 分）：进度安排简单、工期能满足工期要求。</w:t>
            </w:r>
          </w:p>
          <w:p w14:paraId="1142D57C">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highlight w:val="none"/>
              </w:rPr>
            </w:pPr>
            <w:r>
              <w:rPr>
                <w:rFonts w:hint="eastAsia" w:ascii="宋体" w:hAnsi="宋体" w:eastAsia="宋体" w:cs="宋体"/>
                <w:bCs/>
                <w:color w:val="auto"/>
                <w:kern w:val="2"/>
                <w:sz w:val="21"/>
                <w:highlight w:val="none"/>
                <w:lang w:val="en-US" w:eastAsia="zh-CN"/>
              </w:rPr>
              <w:t>不满足一档或未提供本项内容的计0分</w:t>
            </w:r>
          </w:p>
        </w:tc>
        <w:tc>
          <w:tcPr>
            <w:tcW w:w="465" w:type="pct"/>
          </w:tcPr>
          <w:p w14:paraId="20178187">
            <w:pPr>
              <w:spacing w:line="254" w:lineRule="auto"/>
              <w:rPr>
                <w:rFonts w:ascii="Arial"/>
                <w:color w:val="auto"/>
                <w:highlight w:val="none"/>
              </w:rPr>
            </w:pPr>
          </w:p>
          <w:p w14:paraId="368E20DB">
            <w:pPr>
              <w:pStyle w:val="87"/>
              <w:spacing w:before="65" w:line="228" w:lineRule="auto"/>
              <w:rPr>
                <w:rFonts w:hint="eastAsia" w:eastAsiaTheme="minorEastAsia"/>
                <w:color w:val="auto"/>
                <w:kern w:val="0"/>
                <w:highlight w:val="none"/>
                <w:lang w:eastAsia="zh-CN"/>
              </w:rPr>
            </w:pPr>
            <w:r>
              <w:rPr>
                <w:rFonts w:ascii="Arial" w:hAnsi="Arial" w:eastAsia="Arial" w:cs="Arial"/>
                <w:color w:val="auto"/>
                <w:spacing w:val="-5"/>
                <w:highlight w:val="none"/>
              </w:rPr>
              <w:t>10</w:t>
            </w:r>
            <w:r>
              <w:rPr>
                <w:color w:val="auto"/>
                <w:spacing w:val="-5"/>
                <w:highlight w:val="none"/>
              </w:rPr>
              <w:t>分</w:t>
            </w:r>
          </w:p>
        </w:tc>
      </w:tr>
      <w:tr w14:paraId="4C01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6" w:type="pct"/>
            <w:vAlign w:val="center"/>
          </w:tcPr>
          <w:p w14:paraId="2AC6F1CC">
            <w:pPr>
              <w:keepNext w:val="0"/>
              <w:keepLines w:val="0"/>
              <w:pageBreakBefore w:val="0"/>
              <w:kinsoku/>
              <w:wordWrap/>
              <w:overflowPunct/>
              <w:topLinePunct w:val="0"/>
              <w:autoSpaceDN/>
              <w:bidi w:val="0"/>
              <w:adjustRightInd/>
              <w:spacing w:line="360" w:lineRule="auto"/>
              <w:ind w:left="-105" w:leftChars="-50" w:right="-105" w:rightChars="-50"/>
              <w:jc w:val="center"/>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rPr>
              <w:t>2.5</w:t>
            </w:r>
          </w:p>
        </w:tc>
        <w:tc>
          <w:tcPr>
            <w:tcW w:w="666" w:type="pct"/>
          </w:tcPr>
          <w:p w14:paraId="42322087">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highlight w:val="none"/>
              </w:rPr>
            </w:pPr>
          </w:p>
          <w:p w14:paraId="1CB08B5B">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项目组 织 形式与管 理措施分</w:t>
            </w:r>
          </w:p>
          <w:p w14:paraId="609916A7">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highlight w:val="none"/>
              </w:rPr>
            </w:pPr>
          </w:p>
        </w:tc>
        <w:tc>
          <w:tcPr>
            <w:tcW w:w="3442" w:type="pct"/>
          </w:tcPr>
          <w:p w14:paraId="7D3A390B">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根据项目组织的形式、机构的设置、职责分工及相应管理措施等内容进行 评分</w:t>
            </w:r>
          </w:p>
          <w:p w14:paraId="571B3C76">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一档（10  分）：项目组织机构合理、管理措施得力。 </w:t>
            </w:r>
          </w:p>
          <w:p w14:paraId="026FF6CB">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二档（7 分）：项目组织机构较合理、管理措施较好。 </w:t>
            </w:r>
          </w:p>
          <w:p w14:paraId="562D4F6A">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三档（3 分）：项目组织机构简单、管理措施简单。</w:t>
            </w:r>
          </w:p>
          <w:p w14:paraId="012E80CB">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highlight w:val="none"/>
              </w:rPr>
            </w:pPr>
            <w:r>
              <w:rPr>
                <w:rFonts w:hint="eastAsia" w:ascii="宋体" w:hAnsi="宋体" w:eastAsia="宋体" w:cs="宋体"/>
                <w:bCs/>
                <w:color w:val="auto"/>
                <w:kern w:val="2"/>
                <w:sz w:val="21"/>
                <w:highlight w:val="none"/>
                <w:lang w:val="en-US" w:eastAsia="zh-CN"/>
              </w:rPr>
              <w:t>不满足一档或未提供本项内容的计0分</w:t>
            </w:r>
          </w:p>
        </w:tc>
        <w:tc>
          <w:tcPr>
            <w:tcW w:w="465" w:type="pct"/>
          </w:tcPr>
          <w:p w14:paraId="6FD199D3">
            <w:pPr>
              <w:rPr>
                <w:rFonts w:hint="eastAsia" w:ascii="宋体" w:hAnsi="宋体"/>
                <w:bCs/>
                <w:color w:val="auto"/>
                <w:szCs w:val="21"/>
                <w:highlight w:val="none"/>
              </w:rPr>
            </w:pPr>
          </w:p>
          <w:p w14:paraId="3A5E8B72">
            <w:pPr>
              <w:rPr>
                <w:rFonts w:hint="eastAsia" w:ascii="宋体" w:hAnsi="宋体"/>
                <w:bCs/>
                <w:color w:val="auto"/>
                <w:szCs w:val="21"/>
                <w:highlight w:val="none"/>
              </w:rPr>
            </w:pPr>
          </w:p>
          <w:p w14:paraId="1176B41D">
            <w:pPr>
              <w:rPr>
                <w:rFonts w:hint="eastAsia" w:ascii="宋体" w:hAnsi="宋体"/>
                <w:bCs/>
                <w:color w:val="auto"/>
                <w:szCs w:val="21"/>
                <w:highlight w:val="none"/>
              </w:rPr>
            </w:pPr>
            <w:r>
              <w:rPr>
                <w:rFonts w:hint="eastAsia" w:ascii="宋体" w:hAnsi="宋体"/>
                <w:bCs/>
                <w:color w:val="auto"/>
                <w:szCs w:val="21"/>
                <w:highlight w:val="none"/>
              </w:rPr>
              <w:t>10 分</w:t>
            </w:r>
          </w:p>
        </w:tc>
      </w:tr>
      <w:tr w14:paraId="5516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6" w:type="pct"/>
            <w:vAlign w:val="center"/>
          </w:tcPr>
          <w:p w14:paraId="002649D5">
            <w:pPr>
              <w:keepNext w:val="0"/>
              <w:keepLines w:val="0"/>
              <w:pageBreakBefore w:val="0"/>
              <w:kinsoku/>
              <w:wordWrap/>
              <w:overflowPunct/>
              <w:topLinePunct w:val="0"/>
              <w:autoSpaceDN/>
              <w:bidi w:val="0"/>
              <w:adjustRightInd/>
              <w:spacing w:line="360" w:lineRule="auto"/>
              <w:ind w:left="-105" w:leftChars="-50" w:right="-105" w:rightChars="-50"/>
              <w:jc w:val="center"/>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rPr>
              <w:t>2.6</w:t>
            </w:r>
          </w:p>
        </w:tc>
        <w:tc>
          <w:tcPr>
            <w:tcW w:w="666" w:type="pct"/>
          </w:tcPr>
          <w:p w14:paraId="7CB82F4B">
            <w:pPr>
              <w:pStyle w:val="87"/>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highlight w:val="none"/>
                <w:lang w:eastAsia="zh-CN"/>
              </w:rPr>
            </w:pPr>
            <w:r>
              <w:rPr>
                <w:rFonts w:hint="eastAsia" w:ascii="宋体" w:hAnsi="宋体" w:eastAsia="宋体" w:cs="宋体"/>
                <w:color w:val="auto"/>
                <w:spacing w:val="5"/>
                <w:highlight w:val="none"/>
                <w:lang w:eastAsia="zh-CN"/>
              </w:rPr>
              <w:t>质量保</w:t>
            </w:r>
            <w:r>
              <w:rPr>
                <w:rFonts w:hint="eastAsia" w:ascii="宋体" w:hAnsi="宋体" w:eastAsia="宋体" w:cs="宋体"/>
                <w:color w:val="auto"/>
                <w:spacing w:val="3"/>
                <w:highlight w:val="none"/>
                <w:lang w:eastAsia="zh-CN"/>
              </w:rPr>
              <w:t xml:space="preserve"> </w:t>
            </w:r>
            <w:r>
              <w:rPr>
                <w:rFonts w:hint="eastAsia" w:ascii="宋体" w:hAnsi="宋体" w:eastAsia="宋体" w:cs="宋体"/>
                <w:color w:val="auto"/>
                <w:spacing w:val="6"/>
                <w:highlight w:val="none"/>
                <w:lang w:eastAsia="zh-CN"/>
              </w:rPr>
              <w:t>证体系与质量保</w:t>
            </w:r>
            <w:r>
              <w:rPr>
                <w:rFonts w:hint="eastAsia" w:ascii="宋体" w:hAnsi="宋体" w:eastAsia="宋体" w:cs="宋体"/>
                <w:color w:val="auto"/>
                <w:spacing w:val="15"/>
                <w:highlight w:val="none"/>
                <w:lang w:eastAsia="zh-CN"/>
              </w:rPr>
              <w:t xml:space="preserve"> </w:t>
            </w:r>
            <w:r>
              <w:rPr>
                <w:rFonts w:hint="eastAsia" w:ascii="宋体" w:hAnsi="宋体" w:eastAsia="宋体" w:cs="宋体"/>
                <w:color w:val="auto"/>
                <w:spacing w:val="6"/>
                <w:highlight w:val="none"/>
                <w:lang w:eastAsia="zh-CN"/>
              </w:rPr>
              <w:t>证措施</w:t>
            </w:r>
            <w:r>
              <w:rPr>
                <w:rFonts w:hint="eastAsia" w:ascii="宋体" w:hAnsi="宋体" w:eastAsia="宋体" w:cs="宋体"/>
                <w:color w:val="auto"/>
                <w:highlight w:val="none"/>
                <w:lang w:eastAsia="zh-CN"/>
              </w:rPr>
              <w:t xml:space="preserve"> </w:t>
            </w:r>
          </w:p>
        </w:tc>
        <w:tc>
          <w:tcPr>
            <w:tcW w:w="3442" w:type="pct"/>
          </w:tcPr>
          <w:p w14:paraId="6D2C49B8">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根据质量保证体系的建立、质量目标、过程控制及相应的保证措施等内容 进行评分。</w:t>
            </w:r>
          </w:p>
          <w:p w14:paraId="115712E3">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一档（10 分）：质量保证体系健全、质量保证措施得力。 </w:t>
            </w:r>
          </w:p>
          <w:p w14:paraId="741C835B">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二档（7 分）：质量保证体系较全面、质量保证措施较好。 </w:t>
            </w:r>
          </w:p>
          <w:p w14:paraId="5E09DE50">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三档（3 分）：质量保证体系简单、质量保证措施简单。</w:t>
            </w:r>
          </w:p>
          <w:p w14:paraId="7CC5C167">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szCs w:val="21"/>
                <w:highlight w:val="none"/>
              </w:rPr>
            </w:pPr>
            <w:r>
              <w:rPr>
                <w:rFonts w:hint="eastAsia" w:ascii="宋体" w:hAnsi="宋体" w:eastAsia="宋体" w:cs="宋体"/>
                <w:bCs/>
                <w:color w:val="auto"/>
                <w:kern w:val="2"/>
                <w:sz w:val="21"/>
                <w:highlight w:val="none"/>
                <w:lang w:val="en-US" w:eastAsia="zh-CN"/>
              </w:rPr>
              <w:t>不满足一档或未提供本项内容的计0分</w:t>
            </w:r>
          </w:p>
        </w:tc>
        <w:tc>
          <w:tcPr>
            <w:tcW w:w="465" w:type="pct"/>
          </w:tcPr>
          <w:p w14:paraId="618EA448">
            <w:pPr>
              <w:spacing w:line="245" w:lineRule="auto"/>
              <w:rPr>
                <w:rFonts w:ascii="Arial"/>
                <w:color w:val="auto"/>
                <w:highlight w:val="none"/>
              </w:rPr>
            </w:pPr>
          </w:p>
          <w:p w14:paraId="6C0AEB36">
            <w:pPr>
              <w:spacing w:line="245" w:lineRule="auto"/>
              <w:rPr>
                <w:rFonts w:ascii="Arial"/>
                <w:color w:val="auto"/>
                <w:highlight w:val="none"/>
              </w:rPr>
            </w:pPr>
          </w:p>
          <w:p w14:paraId="2C74AC2D">
            <w:pPr>
              <w:pStyle w:val="87"/>
              <w:spacing w:before="65" w:line="228" w:lineRule="auto"/>
              <w:rPr>
                <w:rFonts w:hint="eastAsia"/>
                <w:color w:val="auto"/>
                <w:kern w:val="0"/>
                <w:highlight w:val="none"/>
                <w:lang w:eastAsia="zh-CN"/>
              </w:rPr>
            </w:pPr>
            <w:r>
              <w:rPr>
                <w:rFonts w:ascii="Arial" w:hAnsi="Arial" w:eastAsia="Arial" w:cs="Arial"/>
                <w:color w:val="auto"/>
                <w:spacing w:val="-5"/>
                <w:highlight w:val="none"/>
              </w:rPr>
              <w:t>10</w:t>
            </w:r>
            <w:r>
              <w:rPr>
                <w:rFonts w:ascii="Arial" w:hAnsi="Arial" w:eastAsia="Arial" w:cs="Arial"/>
                <w:color w:val="auto"/>
                <w:spacing w:val="11"/>
                <w:highlight w:val="none"/>
              </w:rPr>
              <w:t xml:space="preserve"> </w:t>
            </w:r>
            <w:r>
              <w:rPr>
                <w:color w:val="auto"/>
                <w:spacing w:val="-5"/>
                <w:highlight w:val="none"/>
              </w:rPr>
              <w:t>分</w:t>
            </w:r>
          </w:p>
        </w:tc>
      </w:tr>
      <w:tr w14:paraId="336E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6" w:type="pct"/>
            <w:vAlign w:val="center"/>
          </w:tcPr>
          <w:p w14:paraId="663E20B9">
            <w:pPr>
              <w:keepNext w:val="0"/>
              <w:keepLines w:val="0"/>
              <w:pageBreakBefore w:val="0"/>
              <w:widowControl/>
              <w:kinsoku/>
              <w:wordWrap/>
              <w:overflowPunct/>
              <w:topLinePunct w:val="0"/>
              <w:autoSpaceDN/>
              <w:bidi w:val="0"/>
              <w:adjustRightInd/>
              <w:spacing w:line="360" w:lineRule="auto"/>
              <w:ind w:left="0" w:right="0"/>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666" w:type="pct"/>
            <w:vAlign w:val="center"/>
          </w:tcPr>
          <w:p w14:paraId="1E0BE1C5">
            <w:pPr>
              <w:keepNext w:val="0"/>
              <w:keepLines w:val="0"/>
              <w:pageBreakBefore w:val="0"/>
              <w:widowControl/>
              <w:kinsoku/>
              <w:wordWrap/>
              <w:overflowPunct/>
              <w:topLinePunct w:val="0"/>
              <w:autoSpaceDN/>
              <w:bidi w:val="0"/>
              <w:adjustRightInd/>
              <w:spacing w:line="360" w:lineRule="auto"/>
              <w:ind w:left="0" w:right="0"/>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商务分</w:t>
            </w:r>
          </w:p>
        </w:tc>
        <w:tc>
          <w:tcPr>
            <w:tcW w:w="3907" w:type="pct"/>
            <w:gridSpan w:val="2"/>
            <w:vAlign w:val="center"/>
          </w:tcPr>
          <w:p w14:paraId="6C2B7531">
            <w:pPr>
              <w:keepNext w:val="0"/>
              <w:keepLines w:val="0"/>
              <w:pageBreakBefore w:val="0"/>
              <w:widowControl/>
              <w:kinsoku/>
              <w:wordWrap/>
              <w:overflowPunct/>
              <w:topLinePunct w:val="0"/>
              <w:autoSpaceDN/>
              <w:bidi w:val="0"/>
              <w:adjustRightInd/>
              <w:spacing w:line="360" w:lineRule="auto"/>
              <w:ind w:left="0" w:right="0"/>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评审因素</w:t>
            </w:r>
          </w:p>
        </w:tc>
      </w:tr>
      <w:tr w14:paraId="3282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6" w:type="pct"/>
            <w:vAlign w:val="center"/>
          </w:tcPr>
          <w:p w14:paraId="1F4374C6">
            <w:pPr>
              <w:keepNext w:val="0"/>
              <w:keepLines w:val="0"/>
              <w:pageBreakBefore w:val="0"/>
              <w:widowControl/>
              <w:kinsoku/>
              <w:wordWrap/>
              <w:overflowPunct/>
              <w:topLinePunct w:val="0"/>
              <w:autoSpaceDN/>
              <w:bidi w:val="0"/>
              <w:adjustRightInd/>
              <w:spacing w:line="360" w:lineRule="auto"/>
              <w:ind w:left="0" w:right="0"/>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3.1</w:t>
            </w:r>
          </w:p>
        </w:tc>
        <w:tc>
          <w:tcPr>
            <w:tcW w:w="666" w:type="pct"/>
          </w:tcPr>
          <w:p w14:paraId="3FC35925">
            <w:pPr>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color w:val="auto"/>
                <w:highlight w:val="none"/>
              </w:rPr>
            </w:pPr>
          </w:p>
          <w:p w14:paraId="22FDB334">
            <w:pPr>
              <w:pStyle w:val="87"/>
              <w:keepNext w:val="0"/>
              <w:keepLines w:val="0"/>
              <w:pageBreakBefore w:val="0"/>
              <w:kinsoku/>
              <w:wordWrap/>
              <w:overflowPunct/>
              <w:topLinePunct w:val="0"/>
              <w:autoSpaceDN/>
              <w:bidi w:val="0"/>
              <w:adjustRightInd/>
              <w:spacing w:line="360" w:lineRule="auto"/>
              <w:ind w:left="0" w:right="0"/>
              <w:textAlignment w:val="auto"/>
              <w:rPr>
                <w:rFonts w:hint="eastAsia" w:ascii="宋体" w:hAnsi="宋体" w:eastAsia="宋体" w:cs="宋体"/>
                <w:bCs/>
                <w:color w:val="auto"/>
                <w:highlight w:val="none"/>
                <w:lang w:eastAsia="zh-CN"/>
              </w:rPr>
            </w:pPr>
            <w:r>
              <w:rPr>
                <w:rFonts w:hint="eastAsia" w:ascii="宋体" w:hAnsi="宋体" w:eastAsia="宋体" w:cs="宋体"/>
                <w:color w:val="auto"/>
                <w:spacing w:val="7"/>
                <w:highlight w:val="none"/>
              </w:rPr>
              <w:t>项目业绩分</w:t>
            </w:r>
          </w:p>
        </w:tc>
        <w:tc>
          <w:tcPr>
            <w:tcW w:w="3442" w:type="pct"/>
          </w:tcPr>
          <w:p w14:paraId="66D8E33C">
            <w:pPr>
              <w:pStyle w:val="87"/>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val="en-US" w:eastAsia="zh-CN"/>
              </w:rPr>
              <w:t>2020</w:t>
            </w:r>
            <w:r>
              <w:rPr>
                <w:rFonts w:hint="eastAsia" w:ascii="宋体" w:hAnsi="宋体" w:eastAsia="宋体" w:cs="宋体"/>
                <w:bCs/>
                <w:color w:val="auto"/>
                <w:highlight w:val="none"/>
                <w:lang w:eastAsia="zh-CN"/>
              </w:rPr>
              <w:t xml:space="preserve"> 年 1 月 1 日以来至响应文件递交截止日期止，供应商</w:t>
            </w:r>
            <w:r>
              <w:rPr>
                <w:rFonts w:hint="eastAsia" w:ascii="宋体" w:hAnsi="宋体"/>
                <w:color w:val="auto"/>
                <w:szCs w:val="21"/>
                <w:highlight w:val="none"/>
                <w:lang w:eastAsia="zh-CN"/>
              </w:rPr>
              <w:t>有完成过的水利工程</w:t>
            </w:r>
            <w:r>
              <w:rPr>
                <w:rFonts w:hint="eastAsia" w:ascii="宋体" w:hAnsi="宋体" w:cs="宋体"/>
                <w:color w:val="auto"/>
                <w:szCs w:val="21"/>
                <w:highlight w:val="none"/>
              </w:rPr>
              <w:t>业绩</w:t>
            </w:r>
            <w:r>
              <w:rPr>
                <w:rFonts w:hint="eastAsia" w:ascii="宋体" w:hAnsi="宋体" w:eastAsia="宋体" w:cs="宋体"/>
                <w:bCs/>
                <w:color w:val="auto"/>
                <w:highlight w:val="none"/>
                <w:lang w:eastAsia="zh-CN"/>
              </w:rPr>
              <w:t xml:space="preserve">，每项得 5 分，最高得 </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lang w:eastAsia="zh-CN"/>
              </w:rPr>
              <w:t xml:space="preserve"> 分。[以合同或者中标（成交）通知书 复印件为准，并加盖供应商公章]。</w:t>
            </w:r>
          </w:p>
        </w:tc>
        <w:tc>
          <w:tcPr>
            <w:tcW w:w="465" w:type="pct"/>
            <w:vAlign w:val="center"/>
          </w:tcPr>
          <w:p w14:paraId="12C39A31">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r>
      <w:tr w14:paraId="1754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6" w:type="pct"/>
            <w:vAlign w:val="center"/>
          </w:tcPr>
          <w:p w14:paraId="1E6A0D96">
            <w:pPr>
              <w:keepNext w:val="0"/>
              <w:keepLines w:val="0"/>
              <w:pageBreakBefore w:val="0"/>
              <w:widowControl/>
              <w:kinsoku/>
              <w:wordWrap/>
              <w:overflowPunct/>
              <w:topLinePunct w:val="0"/>
              <w:autoSpaceDN/>
              <w:bidi w:val="0"/>
              <w:adjustRightInd/>
              <w:spacing w:line="360" w:lineRule="auto"/>
              <w:ind w:left="0" w:right="0"/>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3.2</w:t>
            </w:r>
          </w:p>
        </w:tc>
        <w:tc>
          <w:tcPr>
            <w:tcW w:w="666" w:type="pct"/>
            <w:vAlign w:val="top"/>
          </w:tcPr>
          <w:p w14:paraId="2CDBEB8C">
            <w:pPr>
              <w:pStyle w:val="87"/>
              <w:keepNext w:val="0"/>
              <w:keepLines w:val="0"/>
              <w:pageBreakBefore w:val="0"/>
              <w:kinsoku/>
              <w:wordWrap/>
              <w:overflowPunct/>
              <w:topLinePunct w:val="0"/>
              <w:autoSpaceDN/>
              <w:bidi w:val="0"/>
              <w:adjustRightInd/>
              <w:spacing w:line="360" w:lineRule="auto"/>
              <w:ind w:left="0" w:leftChars="0" w:right="0"/>
              <w:textAlignment w:val="auto"/>
              <w:rPr>
                <w:rFonts w:hint="eastAsia" w:ascii="宋体" w:hAnsi="宋体" w:eastAsia="宋体" w:cs="宋体"/>
                <w:color w:val="auto"/>
                <w:spacing w:val="7"/>
                <w:highlight w:val="none"/>
              </w:rPr>
            </w:pPr>
            <w:r>
              <w:rPr>
                <w:rFonts w:hint="eastAsia" w:ascii="宋体" w:hAnsi="宋体" w:eastAsia="宋体" w:cs="宋体"/>
                <w:color w:val="auto"/>
                <w:szCs w:val="21"/>
              </w:rPr>
              <w:t>拟投入服务团队分</w:t>
            </w:r>
          </w:p>
        </w:tc>
        <w:tc>
          <w:tcPr>
            <w:tcW w:w="3442" w:type="pct"/>
            <w:vAlign w:val="top"/>
          </w:tcPr>
          <w:p w14:paraId="02E29404">
            <w:pPr>
              <w:keepNext w:val="0"/>
              <w:keepLines w:val="0"/>
              <w:pageBreakBefore w:val="0"/>
              <w:kinsoku/>
              <w:wordWrap/>
              <w:overflowPunct/>
              <w:topLinePunct w:val="0"/>
              <w:autoSpaceDE w:val="0"/>
              <w:autoSpaceDN/>
              <w:bidi w:val="0"/>
              <w:adjustRightInd/>
              <w:snapToGrid w:val="0"/>
              <w:spacing w:line="360" w:lineRule="auto"/>
              <w:ind w:left="0" w:right="0"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rPr>
              <w:t>项目负责人具有水利水电工程</w:t>
            </w:r>
            <w:r>
              <w:rPr>
                <w:rFonts w:hint="eastAsia" w:ascii="宋体" w:hAnsi="宋体" w:eastAsia="宋体" w:cs="宋体"/>
                <w:color w:val="auto"/>
                <w:lang w:eastAsia="zh-CN"/>
              </w:rPr>
              <w:t>初</w:t>
            </w:r>
            <w:r>
              <w:rPr>
                <w:rFonts w:hint="eastAsia" w:ascii="宋体" w:hAnsi="宋体" w:eastAsia="宋体" w:cs="宋体"/>
                <w:color w:val="auto"/>
              </w:rPr>
              <w:t>级技术职称得2分，具有水利水电工程</w:t>
            </w:r>
            <w:r>
              <w:rPr>
                <w:rFonts w:hint="eastAsia" w:ascii="宋体" w:hAnsi="宋体" w:eastAsia="宋体" w:cs="宋体"/>
                <w:color w:val="auto"/>
                <w:lang w:eastAsia="zh-CN"/>
              </w:rPr>
              <w:t>中</w:t>
            </w:r>
            <w:r>
              <w:rPr>
                <w:rFonts w:hint="eastAsia" w:ascii="宋体" w:hAnsi="宋体" w:eastAsia="宋体" w:cs="宋体"/>
                <w:color w:val="auto"/>
              </w:rPr>
              <w:t>级及以上技术职称的，得4分。满分4分。</w:t>
            </w:r>
          </w:p>
          <w:p w14:paraId="0C732B3B">
            <w:pPr>
              <w:keepNext w:val="0"/>
              <w:keepLines w:val="0"/>
              <w:pageBreakBefore w:val="0"/>
              <w:kinsoku/>
              <w:wordWrap/>
              <w:overflowPunct/>
              <w:topLinePunct w:val="0"/>
              <w:autoSpaceDE w:val="0"/>
              <w:autoSpaceDN/>
              <w:bidi w:val="0"/>
              <w:adjustRightInd/>
              <w:snapToGrid w:val="0"/>
              <w:spacing w:line="360" w:lineRule="auto"/>
              <w:ind w:left="0" w:right="0" w:firstLine="420" w:firstLineChars="200"/>
              <w:jc w:val="left"/>
              <w:textAlignment w:val="auto"/>
              <w:rPr>
                <w:rFonts w:hint="eastAsia" w:ascii="宋体" w:hAnsi="宋体" w:eastAsia="宋体" w:cs="宋体"/>
                <w:color w:val="auto"/>
              </w:rPr>
            </w:pPr>
            <w:r>
              <w:rPr>
                <w:rFonts w:hint="eastAsia" w:ascii="宋体" w:hAnsi="宋体" w:eastAsia="宋体" w:cs="宋体"/>
                <w:color w:val="auto"/>
                <w:szCs w:val="21"/>
              </w:rPr>
              <w:t>2.其他</w:t>
            </w:r>
            <w:r>
              <w:rPr>
                <w:rFonts w:hint="eastAsia" w:ascii="宋体" w:hAnsi="宋体" w:eastAsia="宋体" w:cs="宋体"/>
                <w:color w:val="auto"/>
              </w:rPr>
              <w:t>团队成员（不含项目负责人）具有水利水电工程中级及以上职称，每人得2分。</w:t>
            </w:r>
            <w:r>
              <w:rPr>
                <w:rFonts w:hint="eastAsia" w:ascii="宋体" w:hAnsi="宋体" w:eastAsia="宋体" w:cs="宋体"/>
                <w:color w:val="auto"/>
                <w:szCs w:val="21"/>
              </w:rPr>
              <w:t>满分</w:t>
            </w:r>
            <w:r>
              <w:rPr>
                <w:rFonts w:hint="eastAsia" w:ascii="宋体" w:hAnsi="宋体" w:eastAsia="宋体" w:cs="宋体"/>
                <w:color w:val="auto"/>
                <w:szCs w:val="21"/>
                <w:lang w:val="en-US" w:eastAsia="zh-CN"/>
              </w:rPr>
              <w:t>6</w:t>
            </w:r>
            <w:r>
              <w:rPr>
                <w:rFonts w:hint="eastAsia" w:ascii="宋体" w:hAnsi="宋体" w:eastAsia="宋体" w:cs="宋体"/>
                <w:color w:val="auto"/>
                <w:szCs w:val="21"/>
              </w:rPr>
              <w:t>分。</w:t>
            </w:r>
          </w:p>
          <w:p w14:paraId="4D1020FA">
            <w:pPr>
              <w:pStyle w:val="87"/>
              <w:keepNext w:val="0"/>
              <w:keepLines w:val="0"/>
              <w:pageBreakBefore w:val="0"/>
              <w:kinsoku/>
              <w:wordWrap/>
              <w:overflowPunct/>
              <w:topLinePunct w:val="0"/>
              <w:autoSpaceDN/>
              <w:bidi w:val="0"/>
              <w:adjustRightInd/>
              <w:spacing w:line="360" w:lineRule="auto"/>
              <w:ind w:left="0" w:leftChars="0" w:right="0" w:rightChars="0" w:hanging="2" w:firstLineChars="0"/>
              <w:textAlignment w:val="auto"/>
              <w:rPr>
                <w:rFonts w:hint="eastAsia" w:ascii="宋体" w:hAnsi="宋体" w:eastAsia="宋体" w:cs="宋体"/>
                <w:bCs/>
                <w:color w:val="auto"/>
                <w:highlight w:val="none"/>
                <w:lang w:eastAsia="zh-CN"/>
              </w:rPr>
            </w:pPr>
            <w:r>
              <w:rPr>
                <w:rFonts w:hint="eastAsia" w:ascii="宋体" w:hAnsi="宋体" w:eastAsia="宋体" w:cs="宋体"/>
                <w:b/>
                <w:bCs/>
                <w:color w:val="auto"/>
              </w:rPr>
              <w:t>注：以上人员不重复计分，竞标时需在响应文件中提供人员有效身份证正反面复印件、相关证书复印件，以及竞标截止时间前半年内任意连续3个月供应商为其依法缴纳的有效社保证明复印件或劳动合同复印件并加盖供应商公章。不提供或提供不完整不予计分。</w:t>
            </w:r>
          </w:p>
        </w:tc>
        <w:tc>
          <w:tcPr>
            <w:tcW w:w="465" w:type="pct"/>
            <w:vAlign w:val="center"/>
          </w:tcPr>
          <w:p w14:paraId="7AFCE5A2">
            <w:pPr>
              <w:widowControl/>
              <w:spacing w:line="360" w:lineRule="auto"/>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14:paraId="4E9C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534" w:type="pct"/>
            <w:gridSpan w:val="3"/>
            <w:vAlign w:val="center"/>
          </w:tcPr>
          <w:p w14:paraId="19FA47D1">
            <w:pPr>
              <w:pStyle w:val="17"/>
              <w:jc w:val="left"/>
              <w:rPr>
                <w:rFonts w:hAnsi="宋体" w:cs="宋体"/>
                <w:bCs/>
                <w:color w:val="auto"/>
                <w:kern w:val="2"/>
                <w:sz w:val="21"/>
              </w:rPr>
            </w:pPr>
            <w:r>
              <w:rPr>
                <w:rFonts w:hAnsi="宋体" w:cs="宋体"/>
                <w:bCs/>
                <w:color w:val="auto"/>
                <w:kern w:val="2"/>
                <w:sz w:val="21"/>
              </w:rPr>
              <w:t>总得分＝1＋2＋3</w:t>
            </w:r>
          </w:p>
        </w:tc>
        <w:tc>
          <w:tcPr>
            <w:tcW w:w="465" w:type="pct"/>
            <w:vAlign w:val="center"/>
          </w:tcPr>
          <w:p w14:paraId="636EC5B9">
            <w:pPr>
              <w:widowControl/>
              <w:jc w:val="left"/>
              <w:rPr>
                <w:rFonts w:hint="eastAsia" w:ascii="宋体" w:hAnsi="宋体" w:cs="宋体"/>
                <w:color w:val="auto"/>
                <w:kern w:val="0"/>
                <w:szCs w:val="21"/>
              </w:rPr>
            </w:pPr>
          </w:p>
        </w:tc>
      </w:tr>
      <w:bookmarkEnd w:id="59"/>
    </w:tbl>
    <w:p w14:paraId="30323E3C">
      <w:pPr>
        <w:pStyle w:val="17"/>
        <w:widowControl/>
        <w:spacing w:line="360" w:lineRule="auto"/>
        <w:ind w:firstLine="420" w:firstLineChars="200"/>
        <w:rPr>
          <w:rFonts w:hAnsi="宋体"/>
          <w:bCs/>
          <w:color w:val="auto"/>
        </w:rPr>
      </w:pPr>
      <w:r>
        <w:rPr>
          <w:rFonts w:hAnsi="宋体" w:cs="宋体"/>
          <w:color w:val="auto"/>
          <w:kern w:val="2"/>
          <w:sz w:val="21"/>
          <w:szCs w:val="24"/>
          <w:lang w:bidi="ar"/>
        </w:rPr>
        <w:t>8.2商务技术评审因素为客观评分项的，应在评分项目或评分标准中予以标注为“客观分”。对</w:t>
      </w:r>
      <w:r>
        <w:rPr>
          <w:rFonts w:hAnsi="宋体"/>
          <w:bCs/>
          <w:color w:val="auto"/>
        </w:rPr>
        <w:t>供应商的客观评分项目，各评审专家评分应当一致。</w:t>
      </w:r>
    </w:p>
    <w:p w14:paraId="4A88ABEB">
      <w:pPr>
        <w:spacing w:line="360" w:lineRule="auto"/>
        <w:ind w:firstLine="420" w:firstLineChars="200"/>
        <w:rPr>
          <w:rFonts w:hint="eastAsia" w:ascii="宋体" w:hAnsi="宋体" w:eastAsia="宋体" w:cs="宋体"/>
          <w:color w:val="auto"/>
        </w:rPr>
      </w:pPr>
      <w:bookmarkStart w:id="60" w:name="_Toc80205935"/>
      <w:r>
        <w:rPr>
          <w:rFonts w:hint="eastAsia" w:ascii="宋体" w:hAnsi="宋体" w:eastAsia="宋体" w:cs="宋体"/>
          <w:color w:val="auto"/>
          <w:lang w:bidi="ar"/>
        </w:rPr>
        <w:t>8.3.终止竞争性磋商采购活动</w:t>
      </w:r>
    </w:p>
    <w:p w14:paraId="32783412">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0289658">
      <w:pPr>
        <w:pStyle w:val="3"/>
        <w:widowControl/>
        <w:spacing w:before="0" w:after="0" w:line="360" w:lineRule="auto"/>
        <w:ind w:firstLine="640" w:firstLineChars="200"/>
        <w:jc w:val="center"/>
        <w:rPr>
          <w:rFonts w:hint="eastAsia" w:ascii="宋体" w:hAnsi="宋体" w:eastAsia="宋体" w:cs="宋体"/>
          <w:b w:val="0"/>
          <w:color w:val="auto"/>
        </w:rPr>
      </w:pPr>
      <w:bookmarkStart w:id="61" w:name="_Toc31076"/>
      <w:r>
        <w:rPr>
          <w:rFonts w:hint="eastAsia" w:ascii="宋体" w:hAnsi="宋体" w:eastAsia="宋体" w:cs="宋体"/>
          <w:b w:val="0"/>
          <w:color w:val="auto"/>
        </w:rPr>
        <w:t>第二节 评标报告</w:t>
      </w:r>
      <w:bookmarkEnd w:id="60"/>
      <w:bookmarkEnd w:id="61"/>
    </w:p>
    <w:p w14:paraId="64AEAAE9">
      <w:pPr>
        <w:spacing w:line="360" w:lineRule="auto"/>
        <w:ind w:firstLine="480" w:firstLineChars="200"/>
        <w:rPr>
          <w:rFonts w:hint="eastAsia" w:ascii="黑体" w:hAnsi="宋体" w:eastAsia="黑体" w:cs="宋体"/>
          <w:color w:val="auto"/>
          <w:sz w:val="24"/>
          <w:szCs w:val="32"/>
        </w:rPr>
      </w:pPr>
      <w:r>
        <w:rPr>
          <w:rFonts w:hint="eastAsia" w:ascii="黑体" w:hAnsi="宋体" w:eastAsia="黑体" w:cs="宋体"/>
          <w:color w:val="auto"/>
          <w:sz w:val="24"/>
          <w:szCs w:val="32"/>
          <w:lang w:bidi="ar"/>
        </w:rPr>
        <w:t>1.成交标准</w:t>
      </w:r>
    </w:p>
    <w:p w14:paraId="00034C03">
      <w:pPr>
        <w:spacing w:line="360" w:lineRule="auto"/>
        <w:ind w:firstLine="420" w:firstLineChars="200"/>
        <w:rPr>
          <w:rFonts w:hint="eastAsia" w:ascii="宋体" w:hAnsi="宋体" w:eastAsia="宋体" w:cs="宋体"/>
          <w:color w:val="auto"/>
          <w:sz w:val="24"/>
        </w:rPr>
      </w:pPr>
      <w:r>
        <w:rPr>
          <w:rFonts w:hint="eastAsia" w:ascii="宋体" w:hAnsi="宋体" w:eastAsia="宋体" w:cs="宋体"/>
          <w:bCs/>
          <w:color w:val="auto"/>
          <w:szCs w:val="21"/>
          <w:lang w:bidi="ar"/>
        </w:rPr>
        <w:t>由磋商小组根据综合评分情况，按照评审得分由高到低顺序推荐3名以上成交候选供应商</w:t>
      </w:r>
      <w:r>
        <w:rPr>
          <w:rFonts w:hint="eastAsia" w:ascii="宋体" w:hAnsi="宋体" w:eastAsia="宋体" w:cs="宋体"/>
          <w:color w:val="auto"/>
          <w:lang w:bidi="ar"/>
        </w:rPr>
        <w:t>,并在线编写电子评审报告</w:t>
      </w:r>
      <w:r>
        <w:rPr>
          <w:rFonts w:hint="eastAsia" w:ascii="宋体" w:hAnsi="宋体" w:eastAsia="宋体" w:cs="宋体"/>
          <w:bCs/>
          <w:color w:val="auto"/>
          <w:szCs w:val="21"/>
          <w:lang w:bidi="ar"/>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1D3C49DB">
      <w:pPr>
        <w:spacing w:line="360" w:lineRule="auto"/>
        <w:ind w:firstLine="480" w:firstLineChars="200"/>
        <w:rPr>
          <w:rFonts w:hint="eastAsia" w:ascii="黑体" w:hAnsi="宋体" w:eastAsia="黑体" w:cs="宋体"/>
          <w:color w:val="auto"/>
          <w:sz w:val="24"/>
          <w:szCs w:val="32"/>
        </w:rPr>
      </w:pPr>
      <w:r>
        <w:rPr>
          <w:rFonts w:hint="eastAsia" w:ascii="黑体" w:hAnsi="宋体" w:eastAsia="黑体" w:cs="宋体"/>
          <w:color w:val="auto"/>
          <w:sz w:val="24"/>
          <w:szCs w:val="32"/>
          <w:lang w:bidi="ar"/>
        </w:rPr>
        <w:t>2.评标争议事项处理</w:t>
      </w:r>
    </w:p>
    <w:p w14:paraId="23929888">
      <w:pPr>
        <w:pStyle w:val="79"/>
        <w:widowControl/>
        <w:spacing w:before="0"/>
        <w:ind w:firstLine="420"/>
        <w:rPr>
          <w:rFonts w:hint="eastAsia" w:ascii="宋体" w:hAnsi="宋体" w:cs="宋体"/>
          <w:color w:val="auto"/>
          <w:kern w:val="2"/>
          <w:sz w:val="21"/>
          <w:szCs w:val="24"/>
        </w:rPr>
      </w:pPr>
      <w:r>
        <w:rPr>
          <w:rFonts w:hint="eastAsia" w:ascii="宋体" w:hAnsi="宋体" w:cs="宋体"/>
          <w:color w:val="auto"/>
          <w:kern w:val="2"/>
          <w:sz w:val="21"/>
          <w:szCs w:val="24"/>
        </w:rPr>
        <w:t>磋商小组成员对需要共同认定的事项存在争议的，应当按照少数服从多数的原则作出结论。持不同意见的磋商小组成员应当在评标报告上签署不同意见及理由，否则视为同意评标报告。</w:t>
      </w:r>
    </w:p>
    <w:p w14:paraId="032707AC">
      <w:pPr>
        <w:pStyle w:val="3"/>
        <w:widowControl/>
        <w:spacing w:before="0" w:after="0" w:line="360" w:lineRule="auto"/>
        <w:ind w:firstLine="640" w:firstLineChars="200"/>
        <w:jc w:val="center"/>
        <w:rPr>
          <w:rFonts w:hint="eastAsia" w:ascii="宋体" w:hAnsi="宋体" w:eastAsia="宋体" w:cs="宋体"/>
          <w:b w:val="0"/>
          <w:color w:val="auto"/>
        </w:rPr>
      </w:pPr>
      <w:bookmarkStart w:id="62" w:name="_Toc80205936"/>
      <w:bookmarkStart w:id="63" w:name="_Toc24842"/>
      <w:r>
        <w:rPr>
          <w:rFonts w:hint="eastAsia" w:ascii="宋体" w:hAnsi="宋体" w:eastAsia="宋体" w:cs="宋体"/>
          <w:b w:val="0"/>
          <w:color w:val="auto"/>
        </w:rPr>
        <w:t>第三节 评审过程的保密与录像</w:t>
      </w:r>
      <w:bookmarkEnd w:id="62"/>
      <w:bookmarkEnd w:id="63"/>
    </w:p>
    <w:p w14:paraId="4BC3FF43">
      <w:pPr>
        <w:spacing w:line="360" w:lineRule="auto"/>
        <w:ind w:firstLine="480" w:firstLineChars="200"/>
        <w:rPr>
          <w:rFonts w:hint="eastAsia" w:ascii="黑体" w:hAnsi="宋体" w:eastAsia="黑体" w:cs="宋体"/>
          <w:color w:val="auto"/>
          <w:sz w:val="24"/>
          <w:szCs w:val="32"/>
        </w:rPr>
      </w:pPr>
      <w:r>
        <w:rPr>
          <w:rFonts w:hint="eastAsia" w:ascii="黑体" w:hAnsi="宋体" w:eastAsia="黑体" w:cs="宋体"/>
          <w:color w:val="auto"/>
          <w:sz w:val="24"/>
          <w:szCs w:val="32"/>
          <w:lang w:bidi="ar"/>
        </w:rPr>
        <w:t>1.保密。</w:t>
      </w:r>
    </w:p>
    <w:p w14:paraId="7ADCD2F1">
      <w:pPr>
        <w:widowControl/>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4FE50830">
      <w:pPr>
        <w:widowControl/>
        <w:spacing w:line="360" w:lineRule="auto"/>
        <w:ind w:firstLine="480" w:firstLineChars="200"/>
        <w:rPr>
          <w:rFonts w:hint="eastAsia" w:ascii="黑体" w:hAnsi="宋体" w:eastAsia="黑体" w:cs="宋体"/>
          <w:color w:val="auto"/>
          <w:sz w:val="24"/>
          <w:szCs w:val="32"/>
        </w:rPr>
      </w:pPr>
      <w:r>
        <w:rPr>
          <w:rFonts w:hint="eastAsia" w:ascii="黑体" w:hAnsi="宋体" w:eastAsia="黑体" w:cs="宋体"/>
          <w:color w:val="auto"/>
          <w:sz w:val="24"/>
          <w:szCs w:val="32"/>
          <w:lang w:bidi="ar"/>
        </w:rPr>
        <w:t>2.录音录像。</w:t>
      </w:r>
    </w:p>
    <w:p w14:paraId="078867FC">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采购代理机构对评审工作现场及操作屏幕进行全过程录音录像，录音录像资料作为采购项目文件随其他文件一并存档。</w:t>
      </w:r>
    </w:p>
    <w:p w14:paraId="49EF13DF">
      <w:pPr>
        <w:spacing w:line="400" w:lineRule="exact"/>
        <w:ind w:firstLine="420" w:firstLineChars="200"/>
        <w:rPr>
          <w:rFonts w:hint="eastAsia" w:ascii="宋体" w:hAnsi="宋体" w:eastAsia="宋体" w:cs="宋体"/>
          <w:color w:val="auto"/>
        </w:rPr>
      </w:pPr>
    </w:p>
    <w:p w14:paraId="2708EF2C">
      <w:pPr>
        <w:spacing w:line="400" w:lineRule="exact"/>
        <w:ind w:firstLine="420" w:firstLineChars="200"/>
        <w:rPr>
          <w:rFonts w:hint="eastAsia" w:ascii="宋体" w:hAnsi="宋体" w:eastAsia="宋体" w:cs="宋体"/>
          <w:color w:val="auto"/>
        </w:rPr>
      </w:pPr>
    </w:p>
    <w:p w14:paraId="3CBB48B1">
      <w:pPr>
        <w:pStyle w:val="2"/>
        <w:widowControl/>
        <w:jc w:val="center"/>
        <w:rPr>
          <w:color w:val="auto"/>
        </w:rPr>
      </w:pPr>
      <w:bookmarkStart w:id="64" w:name="_Toc15590"/>
      <w:r>
        <w:rPr>
          <w:rFonts w:hint="eastAsia" w:cs="宋体"/>
          <w:color w:val="auto"/>
        </w:rPr>
        <w:t>第五章</w:t>
      </w:r>
      <w:r>
        <w:rPr>
          <w:color w:val="auto"/>
        </w:rPr>
        <w:t xml:space="preserve"> </w:t>
      </w:r>
      <w:r>
        <w:rPr>
          <w:rFonts w:hint="eastAsia" w:cs="宋体"/>
          <w:color w:val="auto"/>
        </w:rPr>
        <w:t>响应文件格式</w:t>
      </w:r>
      <w:bookmarkEnd w:id="64"/>
    </w:p>
    <w:p w14:paraId="663D690F">
      <w:pPr>
        <w:spacing w:line="576" w:lineRule="auto"/>
        <w:rPr>
          <w:rFonts w:ascii="Times New Roman" w:hAnsi="Times New Roman" w:eastAsia="宋体" w:cs="Times New Roman"/>
          <w:b/>
          <w:bCs/>
          <w:color w:val="auto"/>
          <w:kern w:val="44"/>
          <w:sz w:val="44"/>
          <w:szCs w:val="44"/>
          <w:lang w:bidi="ar"/>
        </w:rPr>
        <w:sectPr>
          <w:pgSz w:w="11910" w:h="16840"/>
          <w:pgMar w:top="1304" w:right="1440" w:bottom="1304" w:left="1680" w:header="720" w:footer="720" w:gutter="0"/>
          <w:pgNumType w:fmt="decimal"/>
          <w:cols w:space="425" w:num="1"/>
          <w:docGrid w:type="lines" w:linePitch="312" w:charSpace="0"/>
        </w:sectPr>
      </w:pPr>
    </w:p>
    <w:p w14:paraId="4018E90B">
      <w:pPr>
        <w:pStyle w:val="3"/>
        <w:widowControl/>
        <w:jc w:val="center"/>
        <w:rPr>
          <w:rFonts w:hint="eastAsia" w:ascii="宋体" w:hAnsi="宋体" w:eastAsia="宋体" w:cs="宋体"/>
          <w:b w:val="0"/>
          <w:color w:val="auto"/>
        </w:rPr>
      </w:pPr>
      <w:bookmarkStart w:id="65" w:name="_Toc80205938"/>
      <w:bookmarkStart w:id="66" w:name="_Toc14488"/>
      <w:r>
        <w:rPr>
          <w:rFonts w:hint="eastAsia" w:ascii="宋体" w:hAnsi="宋体" w:eastAsia="宋体" w:cs="宋体"/>
          <w:b w:val="0"/>
          <w:color w:val="auto"/>
        </w:rPr>
        <w:t>第一节 封面格式</w:t>
      </w:r>
      <w:bookmarkEnd w:id="65"/>
      <w:bookmarkEnd w:id="66"/>
    </w:p>
    <w:p w14:paraId="2E63D42F">
      <w:pPr>
        <w:snapToGrid w:val="0"/>
        <w:spacing w:before="156" w:beforeLines="50" w:after="50"/>
        <w:rPr>
          <w:rFonts w:hint="eastAsia" w:ascii="宋体" w:hAnsi="宋体" w:eastAsia="宋体" w:cs="宋体"/>
          <w:color w:val="auto"/>
          <w:sz w:val="24"/>
          <w:szCs w:val="20"/>
        </w:rPr>
      </w:pPr>
    </w:p>
    <w:p w14:paraId="6F9A0CA5">
      <w:pPr>
        <w:snapToGrid w:val="0"/>
        <w:spacing w:before="156" w:beforeLines="50" w:after="50"/>
        <w:jc w:val="center"/>
        <w:rPr>
          <w:rFonts w:hint="eastAsia" w:ascii="宋体" w:hAnsi="宋体" w:eastAsia="宋体" w:cs="宋体"/>
          <w:bCs/>
          <w:color w:val="auto"/>
          <w:sz w:val="24"/>
          <w:szCs w:val="20"/>
        </w:rPr>
      </w:pPr>
    </w:p>
    <w:p w14:paraId="754999A5">
      <w:pPr>
        <w:snapToGrid w:val="0"/>
        <w:spacing w:before="156"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bidi="ar"/>
        </w:rPr>
        <w:t>响  应  文  件</w:t>
      </w:r>
    </w:p>
    <w:p w14:paraId="3E4E06A6">
      <w:pPr>
        <w:snapToGrid w:val="0"/>
        <w:spacing w:before="156" w:beforeLines="50" w:after="50"/>
        <w:rPr>
          <w:rFonts w:hint="eastAsia" w:ascii="宋体" w:hAnsi="宋体" w:eastAsia="宋体" w:cs="宋体"/>
          <w:bCs/>
          <w:color w:val="auto"/>
          <w:sz w:val="24"/>
          <w:szCs w:val="20"/>
        </w:rPr>
      </w:pPr>
    </w:p>
    <w:p w14:paraId="72CC047D">
      <w:pPr>
        <w:snapToGrid w:val="0"/>
        <w:spacing w:before="156" w:beforeLines="50" w:after="50"/>
        <w:rPr>
          <w:rFonts w:hint="eastAsia" w:ascii="宋体" w:hAnsi="宋体" w:eastAsia="宋体" w:cs="宋体"/>
          <w:bCs/>
          <w:color w:val="auto"/>
          <w:sz w:val="24"/>
          <w:szCs w:val="20"/>
        </w:rPr>
      </w:pPr>
    </w:p>
    <w:p w14:paraId="073AA092">
      <w:pPr>
        <w:snapToGrid w:val="0"/>
        <w:spacing w:before="156" w:beforeLines="50" w:after="50"/>
        <w:rPr>
          <w:rFonts w:hint="eastAsia" w:ascii="仿宋_GB2312" w:hAnsi="仿宋_GB2312" w:eastAsia="仿宋_GB2312" w:cs="仿宋_GB2312"/>
          <w:bCs/>
          <w:color w:val="auto"/>
          <w:sz w:val="32"/>
          <w:szCs w:val="32"/>
        </w:rPr>
      </w:pPr>
    </w:p>
    <w:p w14:paraId="694CA8D1">
      <w:pPr>
        <w:snapToGrid w:val="0"/>
        <w:spacing w:before="156" w:beforeLines="50" w:after="50"/>
        <w:ind w:firstLine="640" w:firstLineChars="200"/>
        <w:rPr>
          <w:rFonts w:hint="eastAsia" w:ascii="宋体" w:hAnsi="宋体" w:cs="仿宋_GB2312" w:eastAsiaTheme="minorEastAsia"/>
          <w:bCs/>
          <w:color w:val="auto"/>
          <w:sz w:val="32"/>
          <w:szCs w:val="32"/>
          <w:lang w:eastAsia="zh-CN"/>
        </w:rPr>
      </w:pPr>
      <w:r>
        <w:rPr>
          <w:rFonts w:hint="eastAsia" w:ascii="宋体" w:hAnsi="宋体" w:cs="仿宋_GB2312"/>
          <w:bCs/>
          <w:color w:val="auto"/>
          <w:sz w:val="32"/>
          <w:szCs w:val="32"/>
        </w:rPr>
        <w:t>项目名称：</w:t>
      </w:r>
      <w:r>
        <w:rPr>
          <w:rFonts w:hint="eastAsia" w:ascii="宋体" w:hAnsi="宋体" w:cs="仿宋_GB2312"/>
          <w:bCs/>
          <w:color w:val="auto"/>
          <w:sz w:val="32"/>
          <w:szCs w:val="32"/>
          <w:lang w:eastAsia="zh-CN"/>
        </w:rPr>
        <w:t>南宁市武鸣区2025年第一批中央财政水利发展资金农村饮水工程维修养护项目</w:t>
      </w:r>
    </w:p>
    <w:p w14:paraId="76BDE40D">
      <w:pPr>
        <w:snapToGrid w:val="0"/>
        <w:spacing w:before="156" w:beforeLines="50" w:after="50"/>
        <w:ind w:firstLine="480" w:firstLineChars="150"/>
        <w:rPr>
          <w:rFonts w:hint="eastAsia" w:ascii="宋体" w:hAnsi="宋体" w:cs="仿宋_GB2312"/>
          <w:bCs/>
          <w:color w:val="auto"/>
          <w:sz w:val="32"/>
          <w:szCs w:val="32"/>
        </w:rPr>
      </w:pPr>
    </w:p>
    <w:p w14:paraId="5CE30C67">
      <w:pPr>
        <w:snapToGrid w:val="0"/>
        <w:spacing w:before="156" w:beforeLines="50" w:after="50"/>
        <w:ind w:firstLine="640" w:firstLineChars="200"/>
        <w:rPr>
          <w:rFonts w:hint="eastAsia" w:ascii="宋体" w:hAnsi="宋体" w:eastAsia="宋体" w:cs="仿宋_GB2312"/>
          <w:bCs/>
          <w:color w:val="auto"/>
          <w:sz w:val="32"/>
          <w:szCs w:val="32"/>
        </w:rPr>
      </w:pPr>
      <w:r>
        <w:rPr>
          <w:rFonts w:hint="eastAsia" w:ascii="宋体" w:hAnsi="宋体" w:cs="仿宋_GB2312"/>
          <w:bCs/>
          <w:color w:val="auto"/>
          <w:sz w:val="32"/>
          <w:szCs w:val="32"/>
        </w:rPr>
        <w:t>项目编号：</w:t>
      </w:r>
      <w:r>
        <w:rPr>
          <w:rFonts w:hint="eastAsia" w:ascii="宋体" w:hAnsi="宋体" w:eastAsia="宋体" w:cs="仿宋_GB2312"/>
          <w:bCs/>
          <w:color w:val="auto"/>
          <w:sz w:val="32"/>
          <w:szCs w:val="32"/>
          <w:lang w:bidi="ar"/>
        </w:rPr>
        <w:t>[项目采购-项目编号_7]</w:t>
      </w:r>
    </w:p>
    <w:p w14:paraId="5A823A5C">
      <w:pPr>
        <w:snapToGrid w:val="0"/>
        <w:spacing w:before="156" w:beforeLines="50" w:after="50"/>
        <w:ind w:firstLine="720" w:firstLineChars="225"/>
        <w:rPr>
          <w:rFonts w:hint="eastAsia" w:ascii="宋体" w:hAnsi="宋体" w:eastAsia="宋体" w:cs="仿宋_GB2312"/>
          <w:bCs/>
          <w:color w:val="auto"/>
          <w:sz w:val="32"/>
          <w:szCs w:val="32"/>
        </w:rPr>
      </w:pPr>
    </w:p>
    <w:p w14:paraId="7FEA519A">
      <w:pPr>
        <w:snapToGrid w:val="0"/>
        <w:spacing w:before="156" w:beforeLines="50" w:after="50"/>
        <w:ind w:firstLine="480" w:firstLineChars="150"/>
        <w:rPr>
          <w:rFonts w:hint="eastAsia" w:ascii="宋体" w:hAnsi="宋体" w:cs="仿宋_GB2312"/>
          <w:bCs/>
          <w:color w:val="auto"/>
          <w:sz w:val="32"/>
          <w:szCs w:val="32"/>
        </w:rPr>
      </w:pPr>
    </w:p>
    <w:p w14:paraId="3A242298">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496DD914">
      <w:pPr>
        <w:snapToGrid w:val="0"/>
        <w:spacing w:before="156" w:beforeLines="50" w:after="50"/>
        <w:rPr>
          <w:rFonts w:hint="eastAsia" w:ascii="宋体" w:hAnsi="宋体" w:cs="仿宋_GB2312"/>
          <w:bCs/>
          <w:color w:val="auto"/>
          <w:sz w:val="32"/>
          <w:szCs w:val="32"/>
        </w:rPr>
      </w:pPr>
    </w:p>
    <w:p w14:paraId="4A47F348">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21FEF981">
      <w:pPr>
        <w:snapToGrid w:val="0"/>
        <w:spacing w:before="156" w:beforeLines="50" w:after="50"/>
        <w:rPr>
          <w:rFonts w:hint="eastAsia" w:ascii="宋体" w:hAnsi="宋体" w:cs="仿宋_GB2312"/>
          <w:bCs/>
          <w:color w:val="auto"/>
          <w:sz w:val="32"/>
          <w:szCs w:val="32"/>
        </w:rPr>
      </w:pPr>
    </w:p>
    <w:p w14:paraId="31303B26">
      <w:pPr>
        <w:snapToGrid w:val="0"/>
        <w:spacing w:before="156" w:beforeLines="50" w:after="50"/>
        <w:rPr>
          <w:rFonts w:hint="eastAsia" w:ascii="宋体" w:hAnsi="宋体" w:eastAsia="宋体" w:cs="仿宋_GB2312"/>
          <w:bCs/>
          <w:color w:val="auto"/>
          <w:sz w:val="32"/>
          <w:szCs w:val="32"/>
        </w:rPr>
      </w:pPr>
    </w:p>
    <w:p w14:paraId="3CCB93D9">
      <w:pPr>
        <w:snapToGrid w:val="0"/>
        <w:spacing w:before="156" w:beforeLines="50" w:after="50"/>
        <w:ind w:firstLine="480" w:firstLineChars="150"/>
        <w:jc w:val="center"/>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首次响应文件提交截止时间前不得解密</w:t>
      </w:r>
    </w:p>
    <w:p w14:paraId="1EB17EDC">
      <w:pPr>
        <w:snapToGrid w:val="0"/>
        <w:spacing w:before="156" w:beforeLines="50" w:after="50"/>
        <w:ind w:firstLine="5440" w:firstLineChars="1700"/>
        <w:jc w:val="center"/>
        <w:rPr>
          <w:rFonts w:hint="eastAsia" w:ascii="宋体" w:hAnsi="宋体" w:eastAsia="宋体" w:cs="仿宋_GB2312"/>
          <w:bCs/>
          <w:color w:val="auto"/>
          <w:sz w:val="32"/>
          <w:szCs w:val="32"/>
        </w:rPr>
      </w:pPr>
    </w:p>
    <w:p w14:paraId="5FCC9CDD">
      <w:pPr>
        <w:snapToGrid w:val="0"/>
        <w:spacing w:before="156" w:beforeLines="50" w:after="50"/>
        <w:ind w:firstLine="645"/>
        <w:jc w:val="center"/>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年    月    日</w:t>
      </w:r>
    </w:p>
    <w:p w14:paraId="29C4EADC">
      <w:pPr>
        <w:rPr>
          <w:rFonts w:ascii="Times New Roman" w:hAnsi="Times New Roman" w:eastAsia="宋体" w:cs="Times New Roman"/>
          <w:color w:val="auto"/>
          <w:lang w:bidi="ar"/>
        </w:rPr>
        <w:sectPr>
          <w:pgSz w:w="11910" w:h="16840"/>
          <w:pgMar w:top="1340" w:right="1500" w:bottom="1304" w:left="1680" w:header="720" w:footer="720" w:gutter="0"/>
          <w:pgNumType w:fmt="decimal"/>
          <w:cols w:space="425" w:num="1"/>
          <w:docGrid w:type="lines" w:linePitch="312" w:charSpace="0"/>
        </w:sectPr>
      </w:pPr>
    </w:p>
    <w:p w14:paraId="73E384BF">
      <w:pPr>
        <w:pStyle w:val="3"/>
        <w:widowControl/>
        <w:jc w:val="center"/>
        <w:rPr>
          <w:rFonts w:hint="eastAsia" w:ascii="宋体" w:hAnsi="宋体" w:eastAsia="宋体" w:cs="宋体"/>
          <w:bCs w:val="0"/>
          <w:color w:val="auto"/>
        </w:rPr>
      </w:pPr>
      <w:bookmarkStart w:id="67" w:name="_Toc80205939"/>
      <w:bookmarkStart w:id="68" w:name="_Toc161"/>
      <w:r>
        <w:rPr>
          <w:rFonts w:hint="eastAsia" w:ascii="宋体" w:hAnsi="宋体" w:eastAsia="宋体" w:cs="宋体"/>
          <w:bCs w:val="0"/>
          <w:color w:val="auto"/>
        </w:rPr>
        <w:t>第二节 资格证明文件格式</w:t>
      </w:r>
      <w:bookmarkEnd w:id="67"/>
      <w:bookmarkEnd w:id="68"/>
    </w:p>
    <w:p w14:paraId="29BE774F">
      <w:pPr>
        <w:snapToGrid w:val="0"/>
        <w:spacing w:before="156" w:beforeLines="50" w:after="50"/>
        <w:rPr>
          <w:rFonts w:hint="eastAsia" w:ascii="宋体" w:hAnsi="宋体" w:eastAsia="宋体" w:cs="宋体"/>
          <w:bCs/>
          <w:color w:val="auto"/>
          <w:sz w:val="32"/>
          <w:szCs w:val="20"/>
        </w:rPr>
      </w:pPr>
      <w:r>
        <w:rPr>
          <w:rFonts w:hint="eastAsia" w:ascii="宋体" w:hAnsi="宋体" w:eastAsia="宋体" w:cs="宋体"/>
          <w:color w:val="auto"/>
          <w:sz w:val="24"/>
          <w:lang w:bidi="ar"/>
        </w:rPr>
        <w:t xml:space="preserve">                                                    </w:t>
      </w:r>
      <w:r>
        <w:rPr>
          <w:rFonts w:hint="eastAsia" w:ascii="宋体" w:hAnsi="宋体" w:eastAsia="宋体" w:cs="宋体"/>
          <w:bCs/>
          <w:color w:val="auto"/>
          <w:lang w:bidi="ar"/>
        </w:rPr>
        <w:t>全流程电子文件</w:t>
      </w:r>
    </w:p>
    <w:p w14:paraId="08BDB13A">
      <w:pPr>
        <w:snapToGrid w:val="0"/>
        <w:spacing w:before="156" w:beforeLines="50" w:after="50"/>
        <w:rPr>
          <w:rFonts w:hint="eastAsia" w:ascii="宋体" w:hAnsi="宋体" w:eastAsia="宋体" w:cs="宋体"/>
          <w:color w:val="auto"/>
          <w:sz w:val="24"/>
          <w:szCs w:val="20"/>
        </w:rPr>
      </w:pPr>
    </w:p>
    <w:p w14:paraId="5262D889">
      <w:pPr>
        <w:snapToGrid w:val="0"/>
        <w:spacing w:before="156" w:beforeLines="50" w:after="50"/>
        <w:rPr>
          <w:rFonts w:hint="eastAsia" w:ascii="宋体" w:hAnsi="宋体" w:eastAsia="宋体" w:cs="宋体"/>
          <w:color w:val="auto"/>
          <w:sz w:val="24"/>
          <w:szCs w:val="20"/>
        </w:rPr>
      </w:pPr>
    </w:p>
    <w:p w14:paraId="70B59AA8">
      <w:pPr>
        <w:snapToGrid w:val="0"/>
        <w:spacing w:before="156"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bidi="ar"/>
        </w:rPr>
        <w:t>资  格  证  明  文  件（封面）</w:t>
      </w:r>
    </w:p>
    <w:p w14:paraId="08375E69">
      <w:pPr>
        <w:snapToGrid w:val="0"/>
        <w:spacing w:before="156" w:beforeLines="50" w:after="50"/>
        <w:rPr>
          <w:rFonts w:hint="eastAsia" w:ascii="宋体" w:hAnsi="宋体" w:eastAsia="宋体" w:cs="宋体"/>
          <w:bCs/>
          <w:color w:val="auto"/>
          <w:sz w:val="24"/>
          <w:szCs w:val="20"/>
        </w:rPr>
      </w:pPr>
    </w:p>
    <w:p w14:paraId="1154264F">
      <w:pPr>
        <w:snapToGrid w:val="0"/>
        <w:spacing w:before="156" w:beforeLines="50" w:after="50"/>
        <w:rPr>
          <w:rFonts w:hint="eastAsia" w:ascii="宋体" w:hAnsi="宋体" w:eastAsia="宋体" w:cs="宋体"/>
          <w:bCs/>
          <w:color w:val="auto"/>
          <w:sz w:val="24"/>
          <w:szCs w:val="20"/>
        </w:rPr>
      </w:pPr>
    </w:p>
    <w:p w14:paraId="7187F1F9">
      <w:pPr>
        <w:snapToGrid w:val="0"/>
        <w:spacing w:before="156" w:beforeLines="50" w:after="50"/>
        <w:rPr>
          <w:rFonts w:hint="eastAsia" w:ascii="宋体" w:hAnsi="宋体" w:eastAsia="宋体" w:cs="宋体"/>
          <w:bCs/>
          <w:color w:val="auto"/>
          <w:sz w:val="24"/>
          <w:szCs w:val="20"/>
        </w:rPr>
      </w:pPr>
    </w:p>
    <w:p w14:paraId="6C3C490D">
      <w:pPr>
        <w:snapToGrid w:val="0"/>
        <w:spacing w:before="156" w:beforeLines="50" w:after="50"/>
        <w:rPr>
          <w:rFonts w:hint="eastAsia" w:ascii="宋体" w:hAnsi="宋体" w:eastAsia="宋体" w:cs="宋体"/>
          <w:bCs/>
          <w:color w:val="auto"/>
          <w:sz w:val="24"/>
          <w:szCs w:val="20"/>
        </w:rPr>
      </w:pPr>
    </w:p>
    <w:p w14:paraId="213A5EB9">
      <w:pPr>
        <w:snapToGrid w:val="0"/>
        <w:spacing w:before="156" w:beforeLines="50" w:after="50"/>
        <w:rPr>
          <w:rFonts w:hint="eastAsia" w:ascii="宋体" w:hAnsi="宋体" w:eastAsia="宋体" w:cs="宋体"/>
          <w:bCs/>
          <w:color w:val="auto"/>
          <w:sz w:val="24"/>
          <w:szCs w:val="20"/>
        </w:rPr>
      </w:pPr>
    </w:p>
    <w:p w14:paraId="7000FE92">
      <w:pPr>
        <w:snapToGrid w:val="0"/>
        <w:spacing w:before="156" w:beforeLines="50" w:after="50"/>
        <w:rPr>
          <w:rFonts w:hint="eastAsia" w:ascii="仿宋_GB2312" w:hAnsi="仿宋_GB2312" w:eastAsia="仿宋_GB2312" w:cs="仿宋_GB2312"/>
          <w:bCs/>
          <w:color w:val="auto"/>
          <w:sz w:val="32"/>
          <w:szCs w:val="32"/>
        </w:rPr>
      </w:pPr>
    </w:p>
    <w:p w14:paraId="78B85244">
      <w:pPr>
        <w:snapToGrid w:val="0"/>
        <w:spacing w:before="156" w:beforeLines="50" w:after="50"/>
        <w:ind w:firstLine="640" w:firstLineChars="200"/>
        <w:rPr>
          <w:rFonts w:hint="eastAsia" w:ascii="宋体" w:hAnsi="宋体" w:cs="仿宋_GB2312" w:eastAsiaTheme="minorEastAsia"/>
          <w:bCs/>
          <w:color w:val="auto"/>
          <w:sz w:val="32"/>
          <w:szCs w:val="32"/>
          <w:lang w:eastAsia="zh-CN"/>
        </w:rPr>
      </w:pPr>
      <w:r>
        <w:rPr>
          <w:rFonts w:hint="eastAsia" w:ascii="宋体" w:hAnsi="宋体" w:cs="仿宋_GB2312"/>
          <w:bCs/>
          <w:color w:val="auto"/>
          <w:sz w:val="32"/>
          <w:szCs w:val="32"/>
        </w:rPr>
        <w:t>项目名称：</w:t>
      </w:r>
      <w:r>
        <w:rPr>
          <w:rFonts w:hint="eastAsia" w:ascii="宋体" w:hAnsi="宋体" w:cs="仿宋_GB2312"/>
          <w:bCs/>
          <w:color w:val="auto"/>
          <w:sz w:val="32"/>
          <w:szCs w:val="32"/>
          <w:lang w:eastAsia="zh-CN"/>
        </w:rPr>
        <w:t>南宁市武鸣区2025年第一批中央财政水利发展资金农村饮水工程维修养护项目</w:t>
      </w:r>
    </w:p>
    <w:p w14:paraId="6D1901E8">
      <w:pPr>
        <w:snapToGrid w:val="0"/>
        <w:spacing w:before="156" w:beforeLines="50" w:after="50"/>
        <w:ind w:firstLine="480" w:firstLineChars="150"/>
        <w:rPr>
          <w:rFonts w:hint="eastAsia" w:ascii="宋体" w:hAnsi="宋体" w:cs="仿宋_GB2312"/>
          <w:bCs/>
          <w:color w:val="auto"/>
          <w:sz w:val="32"/>
          <w:szCs w:val="32"/>
        </w:rPr>
      </w:pPr>
    </w:p>
    <w:p w14:paraId="0A10DC9E">
      <w:pPr>
        <w:snapToGrid w:val="0"/>
        <w:spacing w:before="156" w:beforeLines="50" w:after="50"/>
        <w:ind w:firstLine="640" w:firstLineChars="200"/>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项目编号：[项目采购-项目编号_7]</w:t>
      </w:r>
    </w:p>
    <w:p w14:paraId="0F0FF6D8">
      <w:pPr>
        <w:snapToGrid w:val="0"/>
        <w:spacing w:before="156" w:beforeLines="50" w:after="50"/>
        <w:ind w:firstLine="480" w:firstLineChars="150"/>
        <w:rPr>
          <w:rFonts w:hint="eastAsia" w:ascii="宋体" w:hAnsi="宋体" w:cs="仿宋_GB2312"/>
          <w:bCs/>
          <w:color w:val="auto"/>
          <w:sz w:val="32"/>
          <w:szCs w:val="32"/>
        </w:rPr>
      </w:pPr>
    </w:p>
    <w:p w14:paraId="71D59C26">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7085260C">
      <w:pPr>
        <w:snapToGrid w:val="0"/>
        <w:spacing w:before="156" w:beforeLines="50" w:after="50"/>
        <w:rPr>
          <w:rFonts w:hint="eastAsia" w:ascii="宋体" w:hAnsi="宋体" w:cs="仿宋_GB2312"/>
          <w:bCs/>
          <w:color w:val="auto"/>
          <w:sz w:val="32"/>
          <w:szCs w:val="32"/>
        </w:rPr>
      </w:pPr>
    </w:p>
    <w:p w14:paraId="2223A8B4">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6FF7DF82">
      <w:pPr>
        <w:snapToGrid w:val="0"/>
        <w:spacing w:before="156" w:beforeLines="50" w:after="50"/>
        <w:rPr>
          <w:rFonts w:hint="eastAsia" w:ascii="宋体" w:hAnsi="宋体" w:cs="仿宋_GB2312"/>
          <w:bCs/>
          <w:color w:val="auto"/>
          <w:sz w:val="32"/>
          <w:szCs w:val="32"/>
        </w:rPr>
      </w:pPr>
    </w:p>
    <w:p w14:paraId="5E48C855">
      <w:pPr>
        <w:pStyle w:val="9"/>
        <w:widowControl/>
        <w:snapToGrid w:val="0"/>
        <w:spacing w:before="50" w:after="50"/>
        <w:ind w:firstLine="720" w:firstLineChars="225"/>
        <w:rPr>
          <w:rFonts w:hint="eastAsia" w:ascii="宋体" w:hAnsi="宋体" w:cs="仿宋_GB2312"/>
          <w:bCs/>
          <w:color w:val="auto"/>
          <w:sz w:val="32"/>
          <w:szCs w:val="32"/>
        </w:rPr>
      </w:pPr>
    </w:p>
    <w:p w14:paraId="78DFA3C4">
      <w:pPr>
        <w:pStyle w:val="9"/>
        <w:widowControl/>
        <w:snapToGrid w:val="0"/>
        <w:spacing w:before="50" w:after="50"/>
        <w:ind w:firstLine="720" w:firstLineChars="225"/>
        <w:rPr>
          <w:rFonts w:hint="eastAsia" w:ascii="宋体" w:hAnsi="宋体" w:cs="仿宋_GB2312"/>
          <w:bCs/>
          <w:color w:val="auto"/>
          <w:sz w:val="32"/>
          <w:szCs w:val="32"/>
        </w:rPr>
      </w:pPr>
    </w:p>
    <w:p w14:paraId="5EE8373C">
      <w:pPr>
        <w:pStyle w:val="9"/>
        <w:widowControl/>
        <w:snapToGrid w:val="0"/>
        <w:spacing w:before="50" w:after="50"/>
        <w:ind w:firstLine="720" w:firstLineChars="225"/>
        <w:rPr>
          <w:rFonts w:hint="eastAsia" w:ascii="宋体" w:hAnsi="宋体" w:cs="仿宋_GB2312"/>
          <w:bCs/>
          <w:color w:val="auto"/>
          <w:sz w:val="32"/>
          <w:szCs w:val="32"/>
        </w:rPr>
      </w:pPr>
    </w:p>
    <w:p w14:paraId="3EF5A8FD">
      <w:pPr>
        <w:pStyle w:val="9"/>
        <w:widowControl/>
        <w:snapToGrid w:val="0"/>
        <w:spacing w:before="50" w:after="50"/>
        <w:ind w:firstLine="1280" w:firstLineChars="400"/>
        <w:rPr>
          <w:rFonts w:hint="eastAsia" w:ascii="宋体" w:hAnsi="宋体" w:cs="仿宋_GB2312"/>
          <w:bCs/>
          <w:color w:val="auto"/>
          <w:sz w:val="32"/>
          <w:szCs w:val="32"/>
        </w:rPr>
      </w:pPr>
    </w:p>
    <w:p w14:paraId="7B556392">
      <w:pPr>
        <w:snapToGrid w:val="0"/>
        <w:spacing w:before="156" w:beforeLines="50" w:after="50"/>
        <w:jc w:val="center"/>
        <w:rPr>
          <w:rFonts w:hint="eastAsia" w:ascii="宋体" w:hAnsi="宋体" w:eastAsia="宋体" w:cs="仿宋_GB2312"/>
          <w:color w:val="auto"/>
          <w:sz w:val="32"/>
          <w:szCs w:val="32"/>
        </w:rPr>
      </w:pPr>
      <w:r>
        <w:rPr>
          <w:rFonts w:hint="eastAsia" w:ascii="宋体" w:hAnsi="宋体" w:eastAsia="宋体" w:cs="仿宋_GB2312"/>
          <w:color w:val="auto"/>
          <w:sz w:val="32"/>
          <w:szCs w:val="32"/>
          <w:lang w:bidi="ar"/>
        </w:rPr>
        <w:t>年    月    日</w:t>
      </w:r>
    </w:p>
    <w:p w14:paraId="7D353363">
      <w:pPr>
        <w:snapToGrid w:val="0"/>
        <w:spacing w:before="156" w:beforeLines="50" w:after="50" w:line="360" w:lineRule="auto"/>
        <w:jc w:val="left"/>
        <w:rPr>
          <w:rFonts w:hint="eastAsia" w:ascii="宋体" w:hAnsi="宋体" w:eastAsia="宋体" w:cs="宋体"/>
          <w:b/>
          <w:bCs/>
          <w:color w:val="auto"/>
          <w:sz w:val="32"/>
          <w:szCs w:val="32"/>
        </w:rPr>
      </w:pPr>
      <w:r>
        <w:rPr>
          <w:rFonts w:hint="eastAsia" w:ascii="宋体" w:hAnsi="宋体" w:eastAsia="宋体" w:cs="Times New Roman"/>
          <w:color w:val="auto"/>
          <w:sz w:val="24"/>
          <w:lang w:bidi="ar"/>
        </w:rPr>
        <w:br w:type="page"/>
      </w:r>
      <w:r>
        <w:rPr>
          <w:rFonts w:hint="eastAsia" w:ascii="宋体" w:hAnsi="宋体" w:eastAsia="宋体" w:cs="宋体"/>
          <w:b/>
          <w:bCs/>
          <w:color w:val="auto"/>
          <w:sz w:val="32"/>
          <w:szCs w:val="32"/>
          <w:lang w:bidi="ar"/>
        </w:rPr>
        <w:t xml:space="preserve"> </w:t>
      </w:r>
    </w:p>
    <w:p w14:paraId="2EFB0CA0">
      <w:pPr>
        <w:jc w:val="center"/>
        <w:rPr>
          <w:rFonts w:hint="eastAsia" w:ascii="仿宋_GB2312" w:hAnsi="仿宋" w:eastAsia="仿宋_GB2312" w:cs="仿宋_GB2312"/>
          <w:b/>
          <w:color w:val="auto"/>
          <w:kern w:val="0"/>
          <w:sz w:val="36"/>
          <w:szCs w:val="36"/>
        </w:rPr>
      </w:pPr>
      <w:r>
        <w:rPr>
          <w:rFonts w:hint="eastAsia" w:ascii="仿宋_GB2312" w:hAnsi="仿宋" w:eastAsia="仿宋_GB2312" w:cs="仿宋_GB2312"/>
          <w:b/>
          <w:color w:val="auto"/>
          <w:kern w:val="0"/>
          <w:sz w:val="36"/>
          <w:szCs w:val="36"/>
          <w:lang w:bidi="ar"/>
        </w:rPr>
        <w:t>资格证明文件目录</w:t>
      </w:r>
    </w:p>
    <w:p w14:paraId="7A20C263">
      <w:pPr>
        <w:snapToGrid w:val="0"/>
        <w:spacing w:line="360" w:lineRule="auto"/>
        <w:rPr>
          <w:rFonts w:hint="eastAsia" w:ascii="仿宋_GB2312" w:hAnsi="仿宋" w:eastAsia="仿宋_GB2312" w:cs="仿宋_GB2312"/>
          <w:color w:val="auto"/>
          <w:kern w:val="0"/>
          <w:sz w:val="24"/>
        </w:rPr>
      </w:pPr>
    </w:p>
    <w:p w14:paraId="5CAD0A7C">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一、</w:t>
      </w:r>
      <w:r>
        <w:rPr>
          <w:rFonts w:hint="eastAsia" w:ascii="仿宋_GB2312" w:hAnsi="仿宋" w:eastAsia="仿宋_GB2312" w:cs="仿宋_GB2312"/>
          <w:color w:val="auto"/>
          <w:sz w:val="24"/>
          <w:lang w:bidi="ar"/>
        </w:rPr>
        <w:t>营业执照(或事业法人登记证或其他工商等登记证明材料)复印件（供应商为自然人的，须提供</w:t>
      </w:r>
      <w:r>
        <w:rPr>
          <w:rFonts w:hint="eastAsia" w:ascii="仿宋_GB2312" w:hAnsi="仿宋" w:eastAsia="仿宋_GB2312" w:cs="Helvetica"/>
          <w:color w:val="auto"/>
          <w:kern w:val="0"/>
          <w:sz w:val="24"/>
          <w:lang w:bidi="ar"/>
        </w:rPr>
        <w:t>自然人的身份证明</w:t>
      </w:r>
      <w:r>
        <w:rPr>
          <w:rFonts w:hint="eastAsia" w:ascii="仿宋_GB2312" w:hAnsi="仿宋" w:eastAsia="仿宋_GB2312" w:cs="仿宋_GB2312"/>
          <w:color w:val="auto"/>
          <w:sz w:val="24"/>
          <w:lang w:bidi="ar"/>
        </w:rPr>
        <w:t>）</w:t>
      </w:r>
      <w:r>
        <w:rPr>
          <w:rFonts w:hint="eastAsia" w:ascii="仿宋_GB2312" w:hAnsi="仿宋" w:eastAsia="仿宋_GB2312" w:cs="仿宋_GB2312"/>
          <w:color w:val="auto"/>
          <w:kern w:val="0"/>
          <w:sz w:val="24"/>
          <w:lang w:bidi="ar"/>
        </w:rPr>
        <w:t>…………………………………………（页码）</w:t>
      </w:r>
    </w:p>
    <w:p w14:paraId="3C55B349">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二、符合参与政府采购活动的资格条件依法缴纳税收、社会保障资金等方面的材料…………………………………………………………………………………（页码）</w:t>
      </w:r>
    </w:p>
    <w:p w14:paraId="747E3328">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三、财务状况报告方面的材料…………………………………………………（页码）</w:t>
      </w:r>
    </w:p>
    <w:p w14:paraId="18F60819">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sz w:val="24"/>
          <w:lang w:bidi="ar"/>
        </w:rPr>
        <w:t>四、供应商直接控股股东信息</w:t>
      </w:r>
      <w:r>
        <w:rPr>
          <w:rFonts w:hint="eastAsia" w:ascii="仿宋_GB2312" w:hAnsi="仿宋" w:eastAsia="仿宋_GB2312" w:cs="仿宋_GB2312"/>
          <w:color w:val="auto"/>
          <w:kern w:val="0"/>
          <w:sz w:val="24"/>
          <w:lang w:bidi="ar"/>
        </w:rPr>
        <w:t>…………………………………………………（页码）</w:t>
      </w:r>
    </w:p>
    <w:p w14:paraId="35162316">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sz w:val="24"/>
          <w:lang w:bidi="ar"/>
        </w:rPr>
        <w:t>五、供应商直接关联关系信息表</w:t>
      </w:r>
      <w:r>
        <w:rPr>
          <w:rFonts w:hint="eastAsia" w:ascii="仿宋_GB2312" w:hAnsi="仿宋" w:eastAsia="仿宋_GB2312" w:cs="仿宋_GB2312"/>
          <w:color w:val="auto"/>
          <w:kern w:val="0"/>
          <w:sz w:val="24"/>
          <w:lang w:bidi="ar"/>
        </w:rPr>
        <w:t>………………………………………………（页码）</w:t>
      </w:r>
    </w:p>
    <w:p w14:paraId="2F5E89D4">
      <w:pPr>
        <w:snapToGrid w:val="0"/>
        <w:spacing w:line="360" w:lineRule="auto"/>
        <w:rPr>
          <w:rFonts w:hint="eastAsia" w:ascii="仿宋_GB2312" w:hAnsi="仿宋" w:eastAsia="仿宋_GB2312" w:cs="仿宋_GB2312"/>
          <w:color w:val="auto"/>
          <w:kern w:val="0"/>
          <w:sz w:val="24"/>
          <w:lang w:bidi="ar"/>
        </w:rPr>
      </w:pPr>
      <w:r>
        <w:rPr>
          <w:rFonts w:hint="eastAsia" w:ascii="仿宋_GB2312" w:hAnsi="仿宋" w:eastAsia="仿宋_GB2312" w:cs="仿宋_GB2312"/>
          <w:color w:val="auto"/>
          <w:kern w:val="0"/>
          <w:sz w:val="24"/>
          <w:lang w:bidi="ar"/>
        </w:rPr>
        <w:t>六、资格声明函…………………………………………………………………（页码）</w:t>
      </w:r>
    </w:p>
    <w:p w14:paraId="2EBE6305">
      <w:pPr>
        <w:snapToGrid w:val="0"/>
        <w:spacing w:line="360" w:lineRule="auto"/>
        <w:rPr>
          <w:rFonts w:hint="eastAsia" w:ascii="仿宋_GB2312" w:hAnsi="仿宋" w:eastAsia="仿宋_GB2312" w:cs="仿宋_GB2312"/>
          <w:color w:val="auto"/>
          <w:kern w:val="0"/>
          <w:sz w:val="24"/>
          <w:lang w:bidi="ar"/>
        </w:rPr>
      </w:pPr>
      <w:r>
        <w:rPr>
          <w:rFonts w:hint="eastAsia" w:ascii="仿宋_GB2312" w:hAnsi="仿宋" w:eastAsia="仿宋_GB2312" w:cs="仿宋_GB2312"/>
          <w:color w:val="auto"/>
          <w:kern w:val="0"/>
          <w:sz w:val="24"/>
          <w:lang w:eastAsia="zh-CN" w:bidi="ar"/>
        </w:rPr>
        <w:t>七</w:t>
      </w:r>
      <w:r>
        <w:rPr>
          <w:rFonts w:hint="eastAsia" w:ascii="仿宋_GB2312" w:hAnsi="仿宋" w:eastAsia="仿宋_GB2312" w:cs="仿宋_GB2312"/>
          <w:color w:val="auto"/>
          <w:kern w:val="0"/>
          <w:sz w:val="24"/>
          <w:lang w:bidi="ar"/>
        </w:rPr>
        <w:t>.联合体协议书……………………………………………………………………（页码）</w:t>
      </w:r>
    </w:p>
    <w:p w14:paraId="06DF932B">
      <w:pPr>
        <w:snapToGrid w:val="0"/>
        <w:spacing w:line="360" w:lineRule="auto"/>
        <w:rPr>
          <w:rFonts w:hint="eastAsia" w:ascii="仿宋_GB2312" w:hAnsi="仿宋" w:eastAsia="仿宋_GB2312" w:cs="仿宋_GB2312"/>
          <w:color w:val="auto"/>
          <w:kern w:val="0"/>
          <w:sz w:val="24"/>
          <w:lang w:bidi="ar"/>
        </w:rPr>
      </w:pPr>
      <w:r>
        <w:rPr>
          <w:rFonts w:hint="eastAsia" w:ascii="仿宋_GB2312" w:hAnsi="仿宋" w:eastAsia="仿宋_GB2312" w:cs="仿宋_GB2312"/>
          <w:color w:val="auto"/>
          <w:kern w:val="0"/>
          <w:sz w:val="24"/>
          <w:lang w:eastAsia="zh-CN" w:bidi="ar"/>
        </w:rPr>
        <w:t>八</w:t>
      </w:r>
      <w:r>
        <w:rPr>
          <w:rFonts w:hint="eastAsia" w:ascii="仿宋_GB2312" w:hAnsi="仿宋" w:eastAsia="仿宋_GB2312" w:cs="仿宋_GB2312"/>
          <w:color w:val="auto"/>
          <w:kern w:val="0"/>
          <w:sz w:val="24"/>
          <w:lang w:bidi="ar"/>
        </w:rPr>
        <w:t>.具有水利水电工程施工总承包叁级以上（含叁级）资质，在 人员、设备、资金等方面具有相应的施工能力，并具有省级(或以上级)建设行政主管部门颁发的建 筑施工安全生产许可证； 拟派项目经理具备水利水电工程专业贰级以上(含贰级)注册建造师 资格，具备有效的安全生产考核合格证书（B 类）；………………（页码）</w:t>
      </w:r>
      <w:r>
        <w:rPr>
          <w:rFonts w:hint="eastAsia" w:ascii="仿宋_GB2312" w:hAnsi="仿宋" w:eastAsia="仿宋_GB2312" w:cs="仿宋_GB2312"/>
          <w:color w:val="auto"/>
          <w:kern w:val="0"/>
          <w:sz w:val="24"/>
          <w:lang w:val="en-US" w:eastAsia="zh-CN" w:bidi="ar"/>
        </w:rPr>
        <w:t>九</w:t>
      </w:r>
      <w:r>
        <w:rPr>
          <w:rFonts w:hint="eastAsia" w:ascii="仿宋_GB2312" w:hAnsi="仿宋" w:eastAsia="仿宋_GB2312" w:cs="仿宋_GB2312"/>
          <w:color w:val="auto"/>
          <w:kern w:val="0"/>
          <w:sz w:val="24"/>
          <w:lang w:bidi="ar"/>
        </w:rPr>
        <w:t>.中小企业声明函或残疾人福利性单位声明函或投标人属于监狱企业的证明材料；………………………………………………………………………………（页码）</w:t>
      </w:r>
    </w:p>
    <w:p w14:paraId="4154D5A7">
      <w:pPr>
        <w:snapToGrid w:val="0"/>
        <w:spacing w:line="360" w:lineRule="auto"/>
        <w:rPr>
          <w:rFonts w:hint="eastAsia" w:ascii="仿宋_GB2312" w:hAnsi="仿宋" w:eastAsia="仿宋_GB2312" w:cs="仿宋_GB2312"/>
          <w:color w:val="auto"/>
          <w:kern w:val="0"/>
          <w:sz w:val="24"/>
          <w:lang w:bidi="ar"/>
        </w:rPr>
      </w:pPr>
      <w:r>
        <w:rPr>
          <w:rFonts w:hint="eastAsia" w:ascii="仿宋_GB2312" w:hAnsi="仿宋" w:eastAsia="仿宋_GB2312" w:cs="仿宋_GB2312"/>
          <w:color w:val="auto"/>
          <w:kern w:val="0"/>
          <w:sz w:val="24"/>
          <w:lang w:val="en-US" w:eastAsia="zh-CN" w:bidi="ar"/>
        </w:rPr>
        <w:t>十</w:t>
      </w:r>
      <w:r>
        <w:rPr>
          <w:rFonts w:hint="eastAsia" w:ascii="仿宋_GB2312" w:hAnsi="仿宋" w:eastAsia="仿宋_GB2312" w:cs="仿宋_GB2312"/>
          <w:color w:val="auto"/>
          <w:kern w:val="0"/>
          <w:sz w:val="24"/>
          <w:lang w:bidi="ar"/>
        </w:rPr>
        <w:t>.除磋商文件规定必须提供以外，供应商认为需要提供的其他证明材料；…（页码）</w:t>
      </w:r>
    </w:p>
    <w:p w14:paraId="3E05B2F1">
      <w:pPr>
        <w:snapToGrid w:val="0"/>
        <w:spacing w:line="360" w:lineRule="auto"/>
        <w:rPr>
          <w:rFonts w:hint="eastAsia" w:ascii="仿宋_GB2312" w:hAnsi="仿宋" w:eastAsia="仿宋_GB2312" w:cs="仿宋_GB2312"/>
          <w:color w:val="auto"/>
          <w:kern w:val="0"/>
          <w:sz w:val="24"/>
          <w:lang w:bidi="ar"/>
        </w:rPr>
      </w:pPr>
    </w:p>
    <w:p w14:paraId="26EF27ED">
      <w:pPr>
        <w:spacing w:line="360" w:lineRule="auto"/>
        <w:rPr>
          <w:rFonts w:hint="eastAsia" w:ascii="仿宋_GB2312" w:hAnsi="仿宋_GB2312" w:eastAsia="仿宋_GB2312" w:cs="仿宋_GB2312"/>
          <w:b/>
          <w:bCs/>
          <w:color w:val="auto"/>
          <w:sz w:val="24"/>
        </w:rPr>
      </w:pPr>
    </w:p>
    <w:p w14:paraId="0E5E9B03">
      <w:pPr>
        <w:spacing w:line="360" w:lineRule="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lang w:bidi="ar"/>
        </w:rPr>
        <w:t>注：以上目录是编制供应商响应文件的基本格式要求，各供应商可根据自身情况进一步细化。</w:t>
      </w:r>
    </w:p>
    <w:p w14:paraId="525B3FA2">
      <w:pPr>
        <w:snapToGrid w:val="0"/>
        <w:spacing w:before="156" w:beforeLines="50" w:after="50" w:line="360" w:lineRule="auto"/>
        <w:ind w:left="142" w:firstLine="420" w:firstLineChars="200"/>
        <w:jc w:val="left"/>
        <w:rPr>
          <w:rFonts w:hint="eastAsia" w:ascii="宋体" w:hAnsi="宋体" w:eastAsia="宋体" w:cs="宋体"/>
          <w:color w:val="auto"/>
          <w:szCs w:val="21"/>
        </w:rPr>
      </w:pPr>
    </w:p>
    <w:p w14:paraId="5532E369">
      <w:pPr>
        <w:spacing w:line="300" w:lineRule="auto"/>
        <w:rPr>
          <w:rFonts w:hint="eastAsia" w:ascii="宋体" w:hAnsi="宋体" w:eastAsia="宋体" w:cs="宋体"/>
          <w:color w:val="auto"/>
          <w:szCs w:val="21"/>
        </w:rPr>
      </w:pPr>
    </w:p>
    <w:p w14:paraId="080D87C4">
      <w:pPr>
        <w:spacing w:line="300" w:lineRule="auto"/>
        <w:rPr>
          <w:rFonts w:hint="eastAsia" w:ascii="宋体" w:hAnsi="宋体" w:eastAsia="宋体" w:cs="宋体"/>
          <w:color w:val="auto"/>
          <w:szCs w:val="21"/>
        </w:rPr>
      </w:pPr>
    </w:p>
    <w:p w14:paraId="004F4619">
      <w:pPr>
        <w:spacing w:line="300" w:lineRule="auto"/>
        <w:rPr>
          <w:rFonts w:hint="eastAsia" w:ascii="宋体" w:hAnsi="宋体" w:eastAsia="宋体" w:cs="宋体"/>
          <w:color w:val="auto"/>
          <w:szCs w:val="21"/>
        </w:rPr>
      </w:pPr>
    </w:p>
    <w:p w14:paraId="5E062AE2">
      <w:pPr>
        <w:spacing w:line="300" w:lineRule="auto"/>
        <w:rPr>
          <w:rFonts w:hint="eastAsia" w:ascii="宋体" w:hAnsi="宋体" w:eastAsia="宋体" w:cs="宋体"/>
          <w:color w:val="auto"/>
          <w:szCs w:val="21"/>
        </w:rPr>
      </w:pPr>
    </w:p>
    <w:p w14:paraId="30D041B9">
      <w:pPr>
        <w:spacing w:line="300" w:lineRule="auto"/>
        <w:rPr>
          <w:rFonts w:hint="eastAsia" w:ascii="宋体" w:hAnsi="宋体" w:eastAsia="宋体" w:cs="宋体"/>
          <w:color w:val="auto"/>
          <w:szCs w:val="21"/>
        </w:rPr>
      </w:pPr>
    </w:p>
    <w:p w14:paraId="4D011C84">
      <w:pPr>
        <w:spacing w:line="300" w:lineRule="auto"/>
        <w:rPr>
          <w:rFonts w:hint="eastAsia" w:ascii="宋体" w:hAnsi="宋体" w:eastAsia="宋体" w:cs="宋体"/>
          <w:color w:val="auto"/>
          <w:szCs w:val="21"/>
        </w:rPr>
      </w:pPr>
    </w:p>
    <w:p w14:paraId="17A8F668">
      <w:pPr>
        <w:spacing w:line="300" w:lineRule="auto"/>
        <w:rPr>
          <w:rFonts w:hint="eastAsia" w:ascii="宋体" w:hAnsi="宋体" w:eastAsia="宋体" w:cs="宋体"/>
          <w:color w:val="auto"/>
          <w:szCs w:val="21"/>
        </w:rPr>
      </w:pPr>
    </w:p>
    <w:p w14:paraId="3FE8BAEC">
      <w:pPr>
        <w:spacing w:line="300" w:lineRule="auto"/>
        <w:rPr>
          <w:rFonts w:hint="eastAsia" w:ascii="宋体" w:hAnsi="宋体" w:eastAsia="宋体" w:cs="宋体"/>
          <w:color w:val="auto"/>
          <w:szCs w:val="21"/>
        </w:rPr>
      </w:pPr>
    </w:p>
    <w:p w14:paraId="7AF67272">
      <w:pPr>
        <w:pStyle w:val="17"/>
        <w:widowControl/>
        <w:spacing w:line="360" w:lineRule="auto"/>
        <w:ind w:firstLine="400" w:firstLineChars="200"/>
        <w:rPr>
          <w:rFonts w:ascii="仿宋" w:hAnsi="仿宋" w:eastAsia="仿宋" w:cs="仿宋_GB2312"/>
          <w:b/>
          <w:color w:val="auto"/>
          <w:sz w:val="30"/>
          <w:szCs w:val="30"/>
        </w:rPr>
      </w:pPr>
      <w:r>
        <w:rPr>
          <w:rFonts w:hAnsi="宋体"/>
          <w:color w:val="auto"/>
        </w:rPr>
        <w:t xml:space="preserve">   </w:t>
      </w:r>
      <w:r>
        <w:rPr>
          <w:rFonts w:ascii="仿宋" w:hAnsi="仿宋" w:eastAsia="仿宋" w:cs="仿宋_GB2312"/>
          <w:b/>
          <w:color w:val="auto"/>
          <w:sz w:val="30"/>
          <w:szCs w:val="30"/>
        </w:rPr>
        <w:t>一、营业执照(或事业法人登记证或其他工商等登记证明材料)复印件（供应商为自然人的，提供自然人的身份证明）</w:t>
      </w:r>
    </w:p>
    <w:p w14:paraId="38DCE92C">
      <w:pPr>
        <w:pStyle w:val="17"/>
        <w:widowControl/>
        <w:spacing w:line="360" w:lineRule="auto"/>
        <w:ind w:firstLine="602" w:firstLineChars="200"/>
        <w:rPr>
          <w:rFonts w:ascii="仿宋" w:hAnsi="仿宋" w:eastAsia="仿宋" w:cs="仿宋_GB2312"/>
          <w:b/>
          <w:color w:val="auto"/>
          <w:sz w:val="30"/>
          <w:szCs w:val="30"/>
        </w:rPr>
      </w:pPr>
    </w:p>
    <w:p w14:paraId="5BB5A6F9">
      <w:pPr>
        <w:autoSpaceDE w:val="0"/>
        <w:autoSpaceDN w:val="0"/>
        <w:spacing w:line="360" w:lineRule="auto"/>
        <w:ind w:left="4365" w:leftChars="1850" w:hanging="480" w:hangingChars="2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194FF18E">
      <w:pPr>
        <w:autoSpaceDE w:val="0"/>
        <w:autoSpaceDN w:val="0"/>
        <w:spacing w:line="360" w:lineRule="auto"/>
        <w:ind w:firstLine="6120" w:firstLineChars="2550"/>
        <w:rPr>
          <w:rFonts w:hint="eastAsia" w:ascii="仿宋_GB2312" w:hAnsi="仿宋" w:eastAsia="仿宋_GB2312" w:cs="仿宋_GB2312"/>
          <w:b/>
          <w:bCs/>
          <w:color w:val="auto"/>
          <w:sz w:val="24"/>
        </w:rPr>
      </w:pPr>
      <w:r>
        <w:rPr>
          <w:rFonts w:hint="eastAsia" w:ascii="仿宋_GB2312" w:hAnsi="仿宋" w:eastAsia="仿宋_GB2312" w:cs="仿宋_GB2312"/>
          <w:color w:val="auto"/>
          <w:kern w:val="0"/>
          <w:sz w:val="24"/>
          <w:lang w:val="zh-CN" w:bidi="ar"/>
        </w:rPr>
        <w:t>日期：  年  月   日</w:t>
      </w:r>
    </w:p>
    <w:p w14:paraId="790F3C6D">
      <w:pPr>
        <w:snapToGrid w:val="0"/>
        <w:spacing w:before="156" w:beforeLines="50" w:after="50"/>
        <w:rPr>
          <w:rFonts w:hint="eastAsia" w:ascii="宋体" w:hAnsi="宋体" w:eastAsia="宋体" w:cs="宋体"/>
          <w:color w:val="auto"/>
          <w:sz w:val="24"/>
          <w:szCs w:val="20"/>
        </w:rPr>
      </w:pPr>
    </w:p>
    <w:p w14:paraId="21B7A9F8">
      <w:pPr>
        <w:pStyle w:val="17"/>
        <w:widowControl/>
        <w:spacing w:line="360" w:lineRule="auto"/>
        <w:ind w:firstLine="602" w:firstLineChars="200"/>
        <w:rPr>
          <w:rFonts w:ascii="仿宋" w:hAnsi="仿宋" w:eastAsia="仿宋" w:cs="仿宋_GB2312"/>
          <w:b/>
          <w:color w:val="auto"/>
          <w:sz w:val="30"/>
          <w:szCs w:val="30"/>
        </w:rPr>
      </w:pPr>
      <w:r>
        <w:rPr>
          <w:rFonts w:ascii="仿宋" w:hAnsi="仿宋" w:eastAsia="仿宋" w:cs="仿宋_GB2312"/>
          <w:b/>
          <w:color w:val="auto"/>
          <w:sz w:val="30"/>
          <w:szCs w:val="30"/>
        </w:rPr>
        <w:t>二、符合参与政府采购活动的资格条件依法缴纳税收、社会保障资金等方面的材料</w:t>
      </w:r>
    </w:p>
    <w:p w14:paraId="75242062">
      <w:pPr>
        <w:spacing w:line="300" w:lineRule="auto"/>
        <w:rPr>
          <w:rFonts w:hint="eastAsia" w:ascii="宋体" w:hAnsi="宋体" w:eastAsia="宋体" w:cs="宋体"/>
          <w:color w:val="auto"/>
          <w:szCs w:val="21"/>
        </w:rPr>
      </w:pPr>
    </w:p>
    <w:p w14:paraId="7E25D25F">
      <w:pPr>
        <w:autoSpaceDE w:val="0"/>
        <w:autoSpaceDN w:val="0"/>
        <w:spacing w:line="360" w:lineRule="auto"/>
        <w:ind w:left="4365" w:leftChars="1850" w:hanging="480" w:hangingChars="2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358A141F">
      <w:pPr>
        <w:autoSpaceDE w:val="0"/>
        <w:autoSpaceDN w:val="0"/>
        <w:spacing w:line="360" w:lineRule="auto"/>
        <w:ind w:firstLine="6120" w:firstLineChars="2550"/>
        <w:rPr>
          <w:rFonts w:hint="eastAsia" w:ascii="仿宋_GB2312" w:hAnsi="仿宋" w:eastAsia="仿宋_GB2312" w:cs="仿宋_GB2312"/>
          <w:b/>
          <w:bCs/>
          <w:color w:val="auto"/>
          <w:sz w:val="24"/>
        </w:rPr>
      </w:pPr>
      <w:r>
        <w:rPr>
          <w:rFonts w:hint="eastAsia" w:ascii="仿宋_GB2312" w:hAnsi="仿宋" w:eastAsia="仿宋_GB2312" w:cs="仿宋_GB2312"/>
          <w:color w:val="auto"/>
          <w:kern w:val="0"/>
          <w:sz w:val="24"/>
          <w:lang w:val="zh-CN" w:bidi="ar"/>
        </w:rPr>
        <w:t>日期：  年  月   日</w:t>
      </w:r>
    </w:p>
    <w:p w14:paraId="0396D53B">
      <w:pPr>
        <w:spacing w:line="300" w:lineRule="auto"/>
        <w:rPr>
          <w:rFonts w:hint="eastAsia" w:ascii="宋体" w:hAnsi="宋体" w:eastAsia="宋体" w:cs="宋体"/>
          <w:color w:val="auto"/>
          <w:szCs w:val="21"/>
        </w:rPr>
      </w:pPr>
    </w:p>
    <w:p w14:paraId="6E462D9A">
      <w:pPr>
        <w:spacing w:line="300" w:lineRule="auto"/>
        <w:ind w:firstLine="596" w:firstLineChars="198"/>
        <w:rPr>
          <w:rFonts w:hint="eastAsia" w:ascii="仿宋" w:hAnsi="仿宋" w:eastAsia="仿宋" w:cs="仿宋_GB2312"/>
          <w:b/>
          <w:color w:val="auto"/>
          <w:kern w:val="0"/>
          <w:sz w:val="30"/>
          <w:szCs w:val="30"/>
        </w:rPr>
      </w:pPr>
      <w:r>
        <w:rPr>
          <w:rFonts w:hint="eastAsia" w:ascii="仿宋" w:hAnsi="仿宋" w:eastAsia="仿宋" w:cs="仿宋_GB2312"/>
          <w:b/>
          <w:color w:val="auto"/>
          <w:kern w:val="0"/>
          <w:sz w:val="30"/>
          <w:szCs w:val="30"/>
          <w:lang w:bidi="ar"/>
        </w:rPr>
        <w:t>三、财务状况报告方面的材料</w:t>
      </w:r>
    </w:p>
    <w:p w14:paraId="16705A8E">
      <w:pPr>
        <w:spacing w:line="300" w:lineRule="auto"/>
        <w:rPr>
          <w:rFonts w:hint="eastAsia" w:ascii="宋体" w:hAnsi="宋体" w:eastAsia="宋体" w:cs="宋体"/>
          <w:color w:val="auto"/>
          <w:szCs w:val="21"/>
        </w:rPr>
      </w:pPr>
    </w:p>
    <w:p w14:paraId="77451493">
      <w:pPr>
        <w:autoSpaceDE w:val="0"/>
        <w:autoSpaceDN w:val="0"/>
        <w:spacing w:line="360" w:lineRule="auto"/>
        <w:ind w:left="4365" w:leftChars="1850" w:hanging="480" w:hangingChars="2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360F7C4B">
      <w:pPr>
        <w:autoSpaceDE w:val="0"/>
        <w:autoSpaceDN w:val="0"/>
        <w:spacing w:line="360" w:lineRule="auto"/>
        <w:ind w:firstLine="6120" w:firstLineChars="2550"/>
        <w:rPr>
          <w:rFonts w:hint="eastAsia" w:ascii="仿宋_GB2312" w:hAnsi="仿宋" w:eastAsia="仿宋_GB2312" w:cs="仿宋_GB2312"/>
          <w:b/>
          <w:bCs/>
          <w:color w:val="auto"/>
          <w:sz w:val="24"/>
        </w:rPr>
      </w:pPr>
      <w:r>
        <w:rPr>
          <w:rFonts w:hint="eastAsia" w:ascii="仿宋_GB2312" w:hAnsi="仿宋" w:eastAsia="仿宋_GB2312" w:cs="仿宋_GB2312"/>
          <w:color w:val="auto"/>
          <w:kern w:val="0"/>
          <w:sz w:val="24"/>
          <w:lang w:val="zh-CN" w:bidi="ar"/>
        </w:rPr>
        <w:t>日期：  年  月   日</w:t>
      </w:r>
    </w:p>
    <w:p w14:paraId="5E99D1DA">
      <w:pPr>
        <w:spacing w:line="320" w:lineRule="exact"/>
        <w:jc w:val="left"/>
        <w:rPr>
          <w:rFonts w:hint="eastAsia" w:ascii="宋体" w:hAnsi="宋体" w:eastAsia="宋体" w:cs="宋体"/>
          <w:color w:val="auto"/>
          <w:szCs w:val="21"/>
        </w:rPr>
      </w:pPr>
      <w:r>
        <w:rPr>
          <w:rFonts w:hint="eastAsia" w:ascii="宋体" w:hAnsi="宋体" w:eastAsia="宋体" w:cs="宋体"/>
          <w:color w:val="auto"/>
          <w:szCs w:val="21"/>
          <w:lang w:bidi="ar"/>
        </w:rPr>
        <w:t xml:space="preserve"> </w:t>
      </w:r>
    </w:p>
    <w:p w14:paraId="14E9D8CB">
      <w:pPr>
        <w:snapToGrid w:val="0"/>
        <w:spacing w:before="156" w:beforeLines="50" w:after="50" w:line="360" w:lineRule="auto"/>
        <w:jc w:val="center"/>
        <w:rPr>
          <w:rFonts w:hint="eastAsia" w:ascii="宋体" w:hAnsi="宋体" w:eastAsia="宋体" w:cs="宋体"/>
          <w:b/>
          <w:color w:val="auto"/>
          <w:sz w:val="24"/>
        </w:rPr>
      </w:pPr>
    </w:p>
    <w:p w14:paraId="53069E78">
      <w:pPr>
        <w:spacing w:line="360" w:lineRule="auto"/>
        <w:ind w:firstLine="596" w:firstLineChars="198"/>
        <w:rPr>
          <w:rFonts w:hint="eastAsia" w:ascii="仿宋" w:hAnsi="仿宋" w:eastAsia="仿宋" w:cs="仿宋_GB2312"/>
          <w:b/>
          <w:color w:val="auto"/>
          <w:kern w:val="0"/>
          <w:sz w:val="30"/>
          <w:szCs w:val="30"/>
        </w:rPr>
      </w:pPr>
      <w:r>
        <w:rPr>
          <w:rFonts w:hint="eastAsia" w:ascii="仿宋" w:hAnsi="仿宋" w:eastAsia="仿宋" w:cs="仿宋_GB2312"/>
          <w:b/>
          <w:color w:val="auto"/>
          <w:kern w:val="0"/>
          <w:sz w:val="30"/>
          <w:szCs w:val="30"/>
          <w:lang w:bidi="ar"/>
        </w:rPr>
        <w:t>四、供应商直接控股股东信息</w:t>
      </w:r>
    </w:p>
    <w:p w14:paraId="7C77F972">
      <w:pPr>
        <w:spacing w:line="360" w:lineRule="auto"/>
        <w:jc w:val="center"/>
        <w:rPr>
          <w:rFonts w:hint="eastAsia" w:ascii="宋体" w:hAnsi="宋体" w:eastAsia="宋体" w:cs="宋体"/>
          <w:b/>
          <w:color w:val="auto"/>
          <w:sz w:val="24"/>
        </w:rPr>
      </w:pPr>
    </w:p>
    <w:tbl>
      <w:tblPr>
        <w:tblStyle w:val="2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3BC6D03">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9D30EF">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370513">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FFA832">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F93297">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5D7E0C">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备注</w:t>
            </w:r>
          </w:p>
        </w:tc>
      </w:tr>
      <w:tr w14:paraId="678E501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A8EEBD">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0F716A">
            <w:pPr>
              <w:widowControl/>
              <w:spacing w:line="360" w:lineRule="auto"/>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343CFD">
            <w:pPr>
              <w:widowControl/>
              <w:spacing w:line="360" w:lineRule="auto"/>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C89E23">
            <w:pPr>
              <w:widowControl/>
              <w:spacing w:line="360" w:lineRule="auto"/>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99BDBC">
            <w:pPr>
              <w:widowControl/>
              <w:spacing w:line="360" w:lineRule="auto"/>
              <w:jc w:val="center"/>
              <w:rPr>
                <w:rFonts w:hint="eastAsia" w:ascii="宋体" w:hAnsi="宋体" w:eastAsia="宋体" w:cs="宋体"/>
                <w:color w:val="auto"/>
                <w:kern w:val="0"/>
                <w:sz w:val="24"/>
              </w:rPr>
            </w:pPr>
          </w:p>
        </w:tc>
      </w:tr>
      <w:tr w14:paraId="31B0017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37355F">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260E67">
            <w:pPr>
              <w:widowControl/>
              <w:spacing w:line="360" w:lineRule="auto"/>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46D289">
            <w:pPr>
              <w:widowControl/>
              <w:spacing w:line="360" w:lineRule="auto"/>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51F801">
            <w:pPr>
              <w:widowControl/>
              <w:spacing w:line="360" w:lineRule="auto"/>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FF3600">
            <w:pPr>
              <w:widowControl/>
              <w:spacing w:line="360" w:lineRule="auto"/>
              <w:jc w:val="center"/>
              <w:rPr>
                <w:rFonts w:hint="eastAsia" w:ascii="宋体" w:hAnsi="宋体" w:eastAsia="宋体" w:cs="宋体"/>
                <w:color w:val="auto"/>
                <w:kern w:val="0"/>
                <w:sz w:val="24"/>
              </w:rPr>
            </w:pPr>
          </w:p>
        </w:tc>
      </w:tr>
      <w:tr w14:paraId="5DB3F49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102C2E">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037D96">
            <w:pPr>
              <w:widowControl/>
              <w:spacing w:line="360" w:lineRule="auto"/>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64AD9E">
            <w:pPr>
              <w:widowControl/>
              <w:spacing w:line="360" w:lineRule="auto"/>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CF7A9F">
            <w:pPr>
              <w:widowControl/>
              <w:spacing w:line="360" w:lineRule="auto"/>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A3126A">
            <w:pPr>
              <w:widowControl/>
              <w:spacing w:line="360" w:lineRule="auto"/>
              <w:jc w:val="center"/>
              <w:rPr>
                <w:rFonts w:hint="eastAsia" w:ascii="宋体" w:hAnsi="宋体" w:eastAsia="宋体" w:cs="宋体"/>
                <w:color w:val="auto"/>
                <w:kern w:val="0"/>
                <w:sz w:val="24"/>
              </w:rPr>
            </w:pPr>
          </w:p>
        </w:tc>
      </w:tr>
      <w:tr w14:paraId="5FFC626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C8F8FC">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384DD1">
            <w:pPr>
              <w:widowControl/>
              <w:spacing w:line="360" w:lineRule="auto"/>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9162B6">
            <w:pPr>
              <w:widowControl/>
              <w:spacing w:line="360" w:lineRule="auto"/>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5BC5CB">
            <w:pPr>
              <w:widowControl/>
              <w:spacing w:line="360" w:lineRule="auto"/>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67A702">
            <w:pPr>
              <w:widowControl/>
              <w:spacing w:line="360" w:lineRule="auto"/>
              <w:jc w:val="center"/>
              <w:rPr>
                <w:rFonts w:hint="eastAsia" w:ascii="宋体" w:hAnsi="宋体" w:eastAsia="宋体" w:cs="宋体"/>
                <w:color w:val="auto"/>
                <w:kern w:val="0"/>
                <w:sz w:val="24"/>
              </w:rPr>
            </w:pPr>
          </w:p>
        </w:tc>
      </w:tr>
    </w:tbl>
    <w:p w14:paraId="49BF3E0D">
      <w:pPr>
        <w:spacing w:line="360" w:lineRule="auto"/>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注：</w:t>
      </w:r>
    </w:p>
    <w:p w14:paraId="53B01DB1">
      <w:pPr>
        <w:spacing w:line="360" w:lineRule="auto"/>
        <w:ind w:firstLine="480" w:firstLineChars="200"/>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BDCFDE5">
      <w:pPr>
        <w:spacing w:line="360" w:lineRule="auto"/>
        <w:ind w:firstLine="480" w:firstLineChars="200"/>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2.本表所指的控股关系仅限于直接控股关系，不包括间接的控股关系。公司实际控制人与公司之间的关系不属于本表所指的直接控股关系。</w:t>
      </w:r>
    </w:p>
    <w:p w14:paraId="471BB043">
      <w:pPr>
        <w:spacing w:line="360" w:lineRule="auto"/>
        <w:ind w:firstLine="480" w:firstLineChars="200"/>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3.供应商不存在直接控股股东的，则填“无”。</w:t>
      </w:r>
    </w:p>
    <w:p w14:paraId="66B99ECE">
      <w:pPr>
        <w:snapToGrid w:val="0"/>
        <w:spacing w:line="360" w:lineRule="auto"/>
        <w:jc w:val="left"/>
        <w:rPr>
          <w:rFonts w:hint="eastAsia" w:ascii="宋体" w:hAnsi="宋体" w:eastAsia="宋体" w:cs="宋体"/>
          <w:color w:val="auto"/>
          <w:sz w:val="24"/>
        </w:rPr>
      </w:pPr>
    </w:p>
    <w:p w14:paraId="2B2CE640">
      <w:pPr>
        <w:snapToGrid w:val="0"/>
        <w:spacing w:line="360" w:lineRule="auto"/>
        <w:jc w:val="left"/>
        <w:rPr>
          <w:rFonts w:hint="eastAsia" w:ascii="宋体" w:hAnsi="宋体" w:eastAsia="宋体" w:cs="宋体"/>
          <w:color w:val="auto"/>
          <w:sz w:val="24"/>
        </w:rPr>
      </w:pPr>
    </w:p>
    <w:p w14:paraId="4C6298D7">
      <w:pPr>
        <w:autoSpaceDE w:val="0"/>
        <w:autoSpaceDN w:val="0"/>
        <w:spacing w:line="360" w:lineRule="auto"/>
        <w:ind w:left="4365" w:leftChars="1850" w:hanging="480" w:hangingChars="2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1E3A9F99">
      <w:pPr>
        <w:autoSpaceDE w:val="0"/>
        <w:autoSpaceDN w:val="0"/>
        <w:spacing w:line="360" w:lineRule="auto"/>
        <w:ind w:firstLine="6120" w:firstLineChars="2550"/>
        <w:rPr>
          <w:rFonts w:hint="eastAsia" w:ascii="仿宋_GB2312" w:hAnsi="仿宋" w:eastAsia="仿宋_GB2312" w:cs="仿宋_GB2312"/>
          <w:b/>
          <w:bCs/>
          <w:color w:val="auto"/>
          <w:sz w:val="24"/>
        </w:rPr>
      </w:pPr>
      <w:r>
        <w:rPr>
          <w:rFonts w:hint="eastAsia" w:ascii="仿宋_GB2312" w:hAnsi="仿宋" w:eastAsia="仿宋_GB2312" w:cs="仿宋_GB2312"/>
          <w:color w:val="auto"/>
          <w:kern w:val="0"/>
          <w:sz w:val="24"/>
          <w:lang w:val="zh-CN" w:bidi="ar"/>
        </w:rPr>
        <w:t>日期：  年  月   日</w:t>
      </w:r>
    </w:p>
    <w:p w14:paraId="770DBBE1">
      <w:pPr>
        <w:snapToGrid w:val="0"/>
        <w:rPr>
          <w:rFonts w:hint="eastAsia" w:ascii="仿宋" w:hAnsi="仿宋" w:eastAsia="仿宋" w:cs="仿宋_GB2312"/>
          <w:b/>
          <w:color w:val="auto"/>
          <w:kern w:val="0"/>
          <w:sz w:val="30"/>
          <w:szCs w:val="30"/>
        </w:rPr>
      </w:pPr>
    </w:p>
    <w:p w14:paraId="4715FF8A">
      <w:pPr>
        <w:snapToGrid w:val="0"/>
        <w:ind w:firstLine="596" w:firstLineChars="198"/>
        <w:rPr>
          <w:rFonts w:hint="eastAsia" w:ascii="仿宋" w:hAnsi="仿宋" w:eastAsia="仿宋" w:cs="仿宋_GB2312"/>
          <w:b/>
          <w:color w:val="auto"/>
          <w:kern w:val="0"/>
          <w:sz w:val="30"/>
          <w:szCs w:val="30"/>
        </w:rPr>
      </w:pPr>
      <w:r>
        <w:rPr>
          <w:rFonts w:hint="eastAsia" w:ascii="仿宋" w:hAnsi="仿宋" w:eastAsia="仿宋" w:cs="仿宋_GB2312"/>
          <w:b/>
          <w:color w:val="auto"/>
          <w:kern w:val="0"/>
          <w:sz w:val="30"/>
          <w:szCs w:val="30"/>
          <w:lang w:bidi="ar"/>
        </w:rPr>
        <w:t>五、供应商直接管理关系信息表</w:t>
      </w:r>
    </w:p>
    <w:p w14:paraId="5DF33386">
      <w:pPr>
        <w:snapToGrid w:val="0"/>
        <w:spacing w:line="360" w:lineRule="auto"/>
        <w:jc w:val="center"/>
        <w:rPr>
          <w:rFonts w:hint="eastAsia" w:ascii="宋体" w:hAnsi="宋体" w:eastAsia="宋体" w:cs="宋体"/>
          <w:b/>
          <w:color w:val="auto"/>
          <w:sz w:val="24"/>
        </w:rPr>
      </w:pPr>
    </w:p>
    <w:tbl>
      <w:tblPr>
        <w:tblStyle w:val="2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495683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BBA0DC">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9140DEE">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6F7213">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59D103">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备注</w:t>
            </w:r>
          </w:p>
        </w:tc>
      </w:tr>
      <w:tr w14:paraId="4B49AE2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8D5CAD2">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9C40B2">
            <w:pPr>
              <w:widowControl/>
              <w:spacing w:line="360" w:lineRule="auto"/>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79C05B">
            <w:pPr>
              <w:widowControl/>
              <w:spacing w:line="360" w:lineRule="auto"/>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11B28C">
            <w:pPr>
              <w:widowControl/>
              <w:spacing w:line="360" w:lineRule="auto"/>
              <w:jc w:val="center"/>
              <w:rPr>
                <w:rFonts w:hint="eastAsia" w:ascii="宋体" w:hAnsi="宋体" w:eastAsia="宋体" w:cs="宋体"/>
                <w:color w:val="auto"/>
                <w:kern w:val="0"/>
                <w:sz w:val="24"/>
              </w:rPr>
            </w:pPr>
          </w:p>
        </w:tc>
      </w:tr>
      <w:tr w14:paraId="0E0A8FE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30E501">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7DA14D">
            <w:pPr>
              <w:widowControl/>
              <w:spacing w:line="360" w:lineRule="auto"/>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4F19C5">
            <w:pPr>
              <w:widowControl/>
              <w:spacing w:line="360" w:lineRule="auto"/>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4DE188">
            <w:pPr>
              <w:widowControl/>
              <w:spacing w:line="360" w:lineRule="auto"/>
              <w:jc w:val="center"/>
              <w:rPr>
                <w:rFonts w:hint="eastAsia" w:ascii="宋体" w:hAnsi="宋体" w:eastAsia="宋体" w:cs="宋体"/>
                <w:color w:val="auto"/>
                <w:kern w:val="0"/>
                <w:sz w:val="24"/>
              </w:rPr>
            </w:pPr>
          </w:p>
        </w:tc>
      </w:tr>
      <w:tr w14:paraId="4076905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C7AF0F">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0B7A54">
            <w:pPr>
              <w:widowControl/>
              <w:spacing w:line="360" w:lineRule="auto"/>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DF2FB0">
            <w:pPr>
              <w:widowControl/>
              <w:spacing w:line="360" w:lineRule="auto"/>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5EB369">
            <w:pPr>
              <w:widowControl/>
              <w:spacing w:line="360" w:lineRule="auto"/>
              <w:jc w:val="center"/>
              <w:rPr>
                <w:rFonts w:hint="eastAsia" w:ascii="宋体" w:hAnsi="宋体" w:eastAsia="宋体" w:cs="宋体"/>
                <w:color w:val="auto"/>
                <w:kern w:val="0"/>
                <w:sz w:val="24"/>
              </w:rPr>
            </w:pPr>
          </w:p>
        </w:tc>
      </w:tr>
      <w:tr w14:paraId="4CBDB73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3B35EE">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E6C23A">
            <w:pPr>
              <w:widowControl/>
              <w:spacing w:line="360" w:lineRule="auto"/>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A7D974">
            <w:pPr>
              <w:widowControl/>
              <w:spacing w:line="360" w:lineRule="auto"/>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4D7C66">
            <w:pPr>
              <w:widowControl/>
              <w:spacing w:line="360" w:lineRule="auto"/>
              <w:jc w:val="center"/>
              <w:rPr>
                <w:rFonts w:hint="eastAsia" w:ascii="宋体" w:hAnsi="宋体" w:eastAsia="宋体" w:cs="宋体"/>
                <w:color w:val="auto"/>
                <w:kern w:val="0"/>
                <w:sz w:val="24"/>
              </w:rPr>
            </w:pPr>
          </w:p>
        </w:tc>
      </w:tr>
    </w:tbl>
    <w:p w14:paraId="08937DBE">
      <w:pPr>
        <w:spacing w:line="360" w:lineRule="auto"/>
        <w:ind w:firstLine="480" w:firstLineChars="200"/>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注：</w:t>
      </w:r>
    </w:p>
    <w:p w14:paraId="4F48E54F">
      <w:pPr>
        <w:spacing w:line="360" w:lineRule="auto"/>
        <w:ind w:firstLine="480" w:firstLineChars="200"/>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1.管理关系：是指不具有出资持股关系的其他单位之间存在的管理与被管理关系，如一些上下级关系的事业单位和团体组织。</w:t>
      </w:r>
    </w:p>
    <w:p w14:paraId="3BD645A3">
      <w:pPr>
        <w:spacing w:line="360" w:lineRule="auto"/>
        <w:ind w:firstLine="480" w:firstLineChars="200"/>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2.本表所指的管理关系仅限于直接管理关系，不包括间接的管理关系。</w:t>
      </w:r>
    </w:p>
    <w:p w14:paraId="049443EF">
      <w:pPr>
        <w:spacing w:line="360" w:lineRule="auto"/>
        <w:ind w:firstLine="480" w:firstLineChars="200"/>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3.供应商不存在直接管理关系的，则填“无”。</w:t>
      </w:r>
    </w:p>
    <w:p w14:paraId="0F9D2F71">
      <w:pPr>
        <w:spacing w:line="360" w:lineRule="auto"/>
        <w:jc w:val="left"/>
        <w:rPr>
          <w:color w:val="auto"/>
          <w:sz w:val="24"/>
        </w:rPr>
      </w:pPr>
    </w:p>
    <w:p w14:paraId="4E7384CA">
      <w:pPr>
        <w:autoSpaceDE w:val="0"/>
        <w:autoSpaceDN w:val="0"/>
        <w:spacing w:line="360" w:lineRule="auto"/>
        <w:ind w:left="4365" w:leftChars="1850" w:hanging="480" w:hangingChars="2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7976ED6E">
      <w:pPr>
        <w:autoSpaceDE w:val="0"/>
        <w:autoSpaceDN w:val="0"/>
        <w:spacing w:line="360" w:lineRule="auto"/>
        <w:ind w:firstLine="6120" w:firstLineChars="2550"/>
        <w:rPr>
          <w:rFonts w:hint="eastAsia" w:ascii="仿宋_GB2312" w:hAnsi="仿宋" w:eastAsia="仿宋_GB2312" w:cs="仿宋_GB2312"/>
          <w:b/>
          <w:bCs/>
          <w:color w:val="auto"/>
          <w:sz w:val="24"/>
        </w:rPr>
      </w:pPr>
      <w:r>
        <w:rPr>
          <w:rFonts w:hint="eastAsia" w:ascii="仿宋_GB2312" w:hAnsi="仿宋" w:eastAsia="仿宋_GB2312" w:cs="仿宋_GB2312"/>
          <w:color w:val="auto"/>
          <w:kern w:val="0"/>
          <w:sz w:val="24"/>
          <w:lang w:val="zh-CN" w:bidi="ar"/>
        </w:rPr>
        <w:t>日期：  年  月   日</w:t>
      </w:r>
    </w:p>
    <w:p w14:paraId="0E30BC02">
      <w:pPr>
        <w:spacing w:line="320" w:lineRule="exact"/>
        <w:ind w:firstLine="560" w:firstLineChars="200"/>
        <w:jc w:val="left"/>
        <w:rPr>
          <w:rFonts w:hint="eastAsia" w:ascii="宋体" w:hAnsi="宋体" w:eastAsia="宋体" w:cs="宋体"/>
          <w:color w:val="auto"/>
          <w:sz w:val="28"/>
          <w:szCs w:val="28"/>
        </w:rPr>
      </w:pPr>
      <w:r>
        <w:rPr>
          <w:rFonts w:hint="eastAsia" w:ascii="宋体" w:hAnsi="宋体" w:eastAsia="宋体" w:cs="Times New Roman"/>
          <w:color w:val="auto"/>
          <w:sz w:val="28"/>
          <w:szCs w:val="28"/>
          <w:lang w:bidi="ar"/>
        </w:rPr>
        <w:br w:type="page"/>
      </w:r>
      <w:r>
        <w:rPr>
          <w:rFonts w:hint="eastAsia" w:ascii="仿宋" w:hAnsi="仿宋" w:eastAsia="仿宋" w:cs="仿宋_GB2312"/>
          <w:b/>
          <w:color w:val="auto"/>
          <w:kern w:val="0"/>
          <w:sz w:val="30"/>
          <w:szCs w:val="30"/>
          <w:lang w:bidi="ar"/>
        </w:rPr>
        <w:t>六、资格声明函</w:t>
      </w:r>
    </w:p>
    <w:p w14:paraId="46BB188B">
      <w:pPr>
        <w:spacing w:line="320" w:lineRule="exact"/>
        <w:jc w:val="center"/>
        <w:rPr>
          <w:rFonts w:hint="eastAsia" w:ascii="宋体" w:hAnsi="宋体" w:eastAsia="宋体" w:cs="宋体"/>
          <w:b/>
          <w:color w:val="auto"/>
          <w:sz w:val="32"/>
          <w:szCs w:val="32"/>
        </w:rPr>
      </w:pPr>
    </w:p>
    <w:p w14:paraId="78A13F68">
      <w:pPr>
        <w:spacing w:line="32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bidi="ar"/>
        </w:rPr>
        <w:t>资格声明函</w:t>
      </w:r>
    </w:p>
    <w:p w14:paraId="76F60DE7">
      <w:pPr>
        <w:spacing w:line="320" w:lineRule="exact"/>
        <w:jc w:val="center"/>
        <w:rPr>
          <w:rFonts w:hint="eastAsia" w:ascii="宋体" w:hAnsi="宋体" w:eastAsia="宋体" w:cs="宋体"/>
          <w:color w:val="auto"/>
          <w:sz w:val="24"/>
          <w:szCs w:val="20"/>
        </w:rPr>
      </w:pPr>
    </w:p>
    <w:p w14:paraId="2291F9C0">
      <w:pPr>
        <w:spacing w:line="360" w:lineRule="auto"/>
        <w:rPr>
          <w:rFonts w:hint="eastAsia" w:ascii="仿宋_GB2312" w:hAnsi="宋体" w:eastAsia="仿宋_GB2312" w:cs="宋体"/>
          <w:color w:val="auto"/>
          <w:sz w:val="24"/>
        </w:rPr>
      </w:pPr>
      <w:r>
        <w:rPr>
          <w:rFonts w:hint="eastAsia" w:ascii="仿宋_GB2312" w:hAnsi="宋体" w:eastAsia="仿宋_GB2312" w:cs="宋体"/>
          <w:color w:val="auto"/>
          <w:sz w:val="24"/>
          <w:lang w:bidi="ar"/>
        </w:rPr>
        <w:t>致：</w:t>
      </w:r>
      <w:bookmarkStart w:id="69" w:name="PO_3000001868_PM031_6"/>
      <w:r>
        <w:rPr>
          <w:rFonts w:hint="eastAsia" w:ascii="仿宋_GB2312" w:hAnsi="宋体" w:eastAsia="仿宋_GB2312" w:cs="宋体"/>
          <w:color w:val="auto"/>
          <w:sz w:val="24"/>
          <w:u w:val="single"/>
          <w:lang w:bidi="ar"/>
        </w:rPr>
        <w:t>[项目采购-采购组织机构_6]</w:t>
      </w:r>
      <w:bookmarkEnd w:id="69"/>
      <w:r>
        <w:rPr>
          <w:rFonts w:hint="eastAsia" w:ascii="仿宋_GB2312" w:hAnsi="宋体" w:eastAsia="仿宋_GB2312" w:cs="宋体"/>
          <w:color w:val="auto"/>
          <w:sz w:val="24"/>
          <w:lang w:bidi="ar"/>
        </w:rPr>
        <w:t>：</w:t>
      </w:r>
    </w:p>
    <w:p w14:paraId="7F948024">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u w:val="single"/>
          <w:lang w:bidi="ar"/>
        </w:rPr>
        <w:t>（供应商名称）</w:t>
      </w:r>
      <w:r>
        <w:rPr>
          <w:rFonts w:hint="eastAsia" w:ascii="仿宋_GB2312" w:hAnsi="宋体" w:eastAsia="仿宋_GB2312" w:cs="宋体"/>
          <w:color w:val="auto"/>
          <w:sz w:val="24"/>
          <w:lang w:bidi="ar"/>
        </w:rPr>
        <w:t>系中华人民共和国合法供应商，经营地址</w:t>
      </w:r>
      <w:r>
        <w:rPr>
          <w:rFonts w:hint="eastAsia" w:ascii="仿宋_GB2312" w:hAnsi="宋体" w:eastAsia="仿宋_GB2312" w:cs="宋体"/>
          <w:color w:val="auto"/>
          <w:sz w:val="24"/>
          <w:u w:val="single"/>
          <w:lang w:bidi="ar"/>
        </w:rPr>
        <w:t xml:space="preserve">                              </w:t>
      </w:r>
      <w:r>
        <w:rPr>
          <w:rFonts w:hint="eastAsia" w:ascii="仿宋_GB2312" w:hAnsi="宋体" w:eastAsia="仿宋_GB2312" w:cs="宋体"/>
          <w:color w:val="auto"/>
          <w:sz w:val="24"/>
          <w:lang w:bidi="ar"/>
        </w:rPr>
        <w:t>。</w:t>
      </w:r>
    </w:p>
    <w:p w14:paraId="03AC641E">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我方愿意参加贵方组织的</w:t>
      </w:r>
      <w:bookmarkStart w:id="70" w:name="PO_3000001868_PM002_4"/>
      <w:r>
        <w:rPr>
          <w:rFonts w:hint="eastAsia" w:ascii="仿宋_GB2312" w:hAnsi="宋体" w:eastAsia="仿宋_GB2312" w:cs="宋体"/>
          <w:color w:val="auto"/>
          <w:sz w:val="24"/>
          <w:u w:val="single"/>
          <w:lang w:bidi="ar"/>
        </w:rPr>
        <w:t>[项目采购-项目名称_4]</w:t>
      </w:r>
      <w:bookmarkEnd w:id="70"/>
      <w:r>
        <w:rPr>
          <w:rFonts w:hint="eastAsia" w:ascii="仿宋_GB2312" w:hAnsi="宋体" w:eastAsia="仿宋_GB2312" w:cs="宋体"/>
          <w:color w:val="auto"/>
          <w:sz w:val="24"/>
          <w:u w:val="single"/>
          <w:lang w:bidi="ar"/>
        </w:rPr>
        <w:t>）</w:t>
      </w:r>
      <w:r>
        <w:rPr>
          <w:rFonts w:hint="eastAsia" w:ascii="仿宋_GB2312" w:hAnsi="宋体" w:eastAsia="仿宋_GB2312" w:cs="宋体"/>
          <w:color w:val="auto"/>
          <w:sz w:val="24"/>
          <w:lang w:bidi="ar"/>
        </w:rPr>
        <w:t>项目的竞标，为便于贵方公正、择优地确定成交供应商及其竞标产品和服务，我方就本次竞标有关事项郑重声明如下：</w:t>
      </w:r>
    </w:p>
    <w:p w14:paraId="4D10B00B">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1.我方向贵方提交的所有响应文件、资料都是准确的和真实的。</w:t>
      </w:r>
    </w:p>
    <w:p w14:paraId="63400F59">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56B36A2">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3.在此，我方宣布同意如下：</w:t>
      </w:r>
    </w:p>
    <w:p w14:paraId="200C5327">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（1）将按磋商文件的约定履行合同责任和义务；</w:t>
      </w:r>
    </w:p>
    <w:p w14:paraId="41555B0F">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（2）已详细审查全部磋商文件，包括澄清或者更正公告（如有）；</w:t>
      </w:r>
    </w:p>
    <w:p w14:paraId="5C46ABED">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（3）同意提供按照贵方可能要求的与谈判有关的一切数据或者资料；</w:t>
      </w:r>
    </w:p>
    <w:p w14:paraId="4419EC2A">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（4）响应磋商文件规定的竞标有效期。</w:t>
      </w:r>
    </w:p>
    <w:p w14:paraId="0A6E1332">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308A0B35">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934C109">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DD0CC30">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□我方本次响应文件</w:t>
      </w:r>
      <w:r>
        <w:rPr>
          <w:rFonts w:hint="eastAsia" w:ascii="仿宋_GB2312" w:hAnsi="宋体" w:eastAsia="仿宋_GB2312" w:cs="宋体"/>
          <w:color w:val="auto"/>
          <w:kern w:val="0"/>
          <w:sz w:val="24"/>
          <w:lang w:bidi="ar"/>
        </w:rPr>
        <w:t>内容中</w:t>
      </w:r>
      <w:r>
        <w:rPr>
          <w:rFonts w:hint="eastAsia" w:ascii="仿宋_GB2312" w:hAnsi="宋体" w:eastAsia="仿宋_GB2312" w:cs="宋体"/>
          <w:color w:val="auto"/>
          <w:sz w:val="24"/>
          <w:lang w:bidi="ar"/>
        </w:rPr>
        <w:t>未</w:t>
      </w:r>
      <w:r>
        <w:rPr>
          <w:rFonts w:hint="eastAsia" w:ascii="仿宋_GB2312" w:hAnsi="宋体" w:eastAsia="仿宋_GB2312" w:cs="宋体"/>
          <w:color w:val="auto"/>
          <w:kern w:val="0"/>
          <w:sz w:val="24"/>
          <w:lang w:bidi="ar"/>
        </w:rPr>
        <w:t>涉及商业秘密；</w:t>
      </w:r>
    </w:p>
    <w:p w14:paraId="7720DE91">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□我方本次响应文件</w:t>
      </w:r>
      <w:r>
        <w:rPr>
          <w:rFonts w:hint="eastAsia" w:ascii="仿宋_GB2312" w:hAnsi="宋体" w:eastAsia="仿宋_GB2312" w:cs="宋体"/>
          <w:color w:val="auto"/>
          <w:kern w:val="0"/>
          <w:sz w:val="24"/>
          <w:lang w:bidi="ar"/>
        </w:rPr>
        <w:t>涉及商业秘密的内容有：</w:t>
      </w:r>
      <w:r>
        <w:rPr>
          <w:rFonts w:hint="eastAsia" w:ascii="仿宋_GB2312" w:hAnsi="宋体" w:eastAsia="仿宋_GB2312" w:cs="宋体"/>
          <w:color w:val="auto"/>
          <w:kern w:val="0"/>
          <w:sz w:val="24"/>
          <w:u w:val="single"/>
          <w:lang w:bidi="ar"/>
        </w:rPr>
        <w:t xml:space="preserve">                         </w:t>
      </w:r>
      <w:r>
        <w:rPr>
          <w:rFonts w:hint="eastAsia" w:ascii="仿宋_GB2312" w:hAnsi="宋体" w:eastAsia="仿宋_GB2312" w:cs="宋体"/>
          <w:color w:val="auto"/>
          <w:kern w:val="0"/>
          <w:sz w:val="24"/>
          <w:lang w:bidi="ar"/>
        </w:rPr>
        <w:t>；</w:t>
      </w:r>
    </w:p>
    <w:p w14:paraId="379A63F2">
      <w:pPr>
        <w:pStyle w:val="17"/>
        <w:widowControl/>
        <w:spacing w:line="360" w:lineRule="auto"/>
        <w:ind w:firstLine="480" w:firstLineChars="200"/>
        <w:rPr>
          <w:rFonts w:ascii="仿宋_GB2312" w:hAnsi="宋体" w:eastAsia="仿宋_GB2312" w:cs="宋体"/>
          <w:color w:val="auto"/>
          <w:sz w:val="24"/>
          <w:szCs w:val="24"/>
          <w:u w:val="single"/>
        </w:rPr>
      </w:pPr>
      <w:r>
        <w:rPr>
          <w:rFonts w:ascii="仿宋_GB2312" w:hAnsi="宋体" w:eastAsia="仿宋_GB2312" w:cs="宋体"/>
          <w:color w:val="auto"/>
          <w:sz w:val="24"/>
          <w:szCs w:val="24"/>
        </w:rPr>
        <w:t>7.与本磋商有关的一切正式往来信函请寄：</w:t>
      </w:r>
      <w:r>
        <w:rPr>
          <w:rFonts w:ascii="仿宋_GB2312" w:hAnsi="宋体" w:eastAsia="仿宋_GB2312" w:cs="宋体"/>
          <w:color w:val="auto"/>
          <w:sz w:val="24"/>
          <w:szCs w:val="24"/>
          <w:u w:val="single"/>
        </w:rPr>
        <w:t xml:space="preserve">                  </w:t>
      </w:r>
      <w:r>
        <w:rPr>
          <w:rFonts w:ascii="仿宋_GB2312" w:hAnsi="宋体" w:eastAsia="仿宋_GB2312" w:cs="宋体"/>
          <w:color w:val="auto"/>
          <w:sz w:val="24"/>
          <w:szCs w:val="24"/>
        </w:rPr>
        <w:t>邮政编号：</w:t>
      </w:r>
      <w:r>
        <w:rPr>
          <w:rFonts w:ascii="仿宋_GB2312" w:hAnsi="宋体" w:eastAsia="仿宋_GB2312" w:cs="宋体"/>
          <w:color w:val="auto"/>
          <w:sz w:val="24"/>
          <w:szCs w:val="24"/>
          <w:u w:val="single"/>
        </w:rPr>
        <w:t xml:space="preserve">        </w:t>
      </w:r>
    </w:p>
    <w:p w14:paraId="21F99090">
      <w:pPr>
        <w:pStyle w:val="17"/>
        <w:widowControl/>
        <w:spacing w:line="360" w:lineRule="auto"/>
        <w:ind w:firstLine="480" w:firstLineChars="200"/>
        <w:rPr>
          <w:rFonts w:ascii="仿宋_GB2312" w:hAnsi="宋体" w:eastAsia="仿宋_GB2312" w:cs="宋体"/>
          <w:color w:val="auto"/>
          <w:sz w:val="24"/>
          <w:szCs w:val="24"/>
        </w:rPr>
      </w:pPr>
      <w:r>
        <w:rPr>
          <w:rFonts w:ascii="仿宋_GB2312" w:hAnsi="宋体" w:eastAsia="仿宋_GB2312" w:cs="宋体"/>
          <w:color w:val="auto"/>
          <w:sz w:val="24"/>
          <w:szCs w:val="24"/>
        </w:rPr>
        <w:t>电话/传真：</w:t>
      </w:r>
      <w:r>
        <w:rPr>
          <w:rFonts w:ascii="仿宋_GB2312" w:hAnsi="宋体" w:eastAsia="仿宋_GB2312" w:cs="宋体"/>
          <w:color w:val="auto"/>
          <w:sz w:val="24"/>
          <w:szCs w:val="24"/>
          <w:u w:val="single"/>
        </w:rPr>
        <w:t xml:space="preserve">                        </w:t>
      </w:r>
      <w:r>
        <w:rPr>
          <w:rFonts w:ascii="仿宋_GB2312" w:hAnsi="宋体" w:eastAsia="仿宋_GB2312" w:cs="宋体"/>
          <w:color w:val="auto"/>
          <w:sz w:val="24"/>
          <w:szCs w:val="24"/>
        </w:rPr>
        <w:t xml:space="preserve"> 电子函件：</w:t>
      </w:r>
      <w:r>
        <w:rPr>
          <w:rFonts w:ascii="仿宋_GB2312" w:hAnsi="宋体" w:eastAsia="仿宋_GB2312" w:cs="宋体"/>
          <w:color w:val="auto"/>
          <w:sz w:val="24"/>
          <w:szCs w:val="24"/>
          <w:u w:val="single"/>
        </w:rPr>
        <w:t xml:space="preserve">                            </w:t>
      </w:r>
      <w:r>
        <w:rPr>
          <w:rFonts w:ascii="仿宋_GB2312" w:hAnsi="宋体" w:eastAsia="仿宋_GB2312" w:cs="宋体"/>
          <w:color w:val="auto"/>
          <w:sz w:val="24"/>
          <w:szCs w:val="24"/>
        </w:rPr>
        <w:t xml:space="preserve">    </w:t>
      </w:r>
    </w:p>
    <w:p w14:paraId="4B04ECA7">
      <w:pPr>
        <w:pStyle w:val="27"/>
        <w:widowControl/>
        <w:tabs>
          <w:tab w:val="left" w:pos="939"/>
        </w:tabs>
        <w:spacing w:line="360" w:lineRule="auto"/>
        <w:ind w:left="141" w:leftChars="67" w:firstLine="360" w:firstLineChars="150"/>
        <w:contextualSpacing/>
        <w:rPr>
          <w:rFonts w:hint="eastAsia" w:ascii="仿宋_GB2312" w:hAnsi="宋体" w:eastAsia="仿宋_GB2312" w:cs="宋体"/>
          <w:color w:val="auto"/>
        </w:rPr>
      </w:pPr>
      <w:r>
        <w:rPr>
          <w:rFonts w:hint="eastAsia" w:ascii="仿宋_GB2312" w:hAnsi="宋体" w:eastAsia="仿宋_GB2312" w:cs="宋体"/>
          <w:color w:val="auto"/>
        </w:rPr>
        <w:t>开户银行：</w:t>
      </w:r>
      <w:r>
        <w:rPr>
          <w:rFonts w:hint="eastAsia" w:ascii="仿宋_GB2312" w:hAnsi="宋体" w:eastAsia="仿宋_GB2312" w:cs="宋体"/>
          <w:color w:val="auto"/>
          <w:u w:val="single"/>
        </w:rPr>
        <w:t xml:space="preserve">                         </w:t>
      </w:r>
      <w:r>
        <w:rPr>
          <w:rFonts w:hint="eastAsia" w:ascii="仿宋_GB2312" w:hAnsi="宋体" w:eastAsia="仿宋_GB2312" w:cs="宋体"/>
          <w:color w:val="auto"/>
        </w:rPr>
        <w:t xml:space="preserve">  帐号：</w:t>
      </w:r>
      <w:r>
        <w:rPr>
          <w:rFonts w:hint="eastAsia" w:ascii="仿宋_GB2312" w:hAnsi="宋体" w:eastAsia="仿宋_GB2312" w:cs="宋体"/>
          <w:color w:val="auto"/>
          <w:u w:val="single"/>
        </w:rPr>
        <w:t xml:space="preserve">                               </w:t>
      </w:r>
    </w:p>
    <w:p w14:paraId="0397D7C0">
      <w:pPr>
        <w:pStyle w:val="27"/>
        <w:widowControl/>
        <w:tabs>
          <w:tab w:val="left" w:pos="939"/>
        </w:tabs>
        <w:spacing w:line="360" w:lineRule="auto"/>
        <w:ind w:firstLine="480" w:firstLineChars="200"/>
        <w:contextualSpacing/>
        <w:rPr>
          <w:rFonts w:hint="eastAsia" w:ascii="仿宋_GB2312" w:hAnsi="宋体" w:eastAsia="仿宋_GB2312" w:cs="宋体"/>
          <w:color w:val="auto"/>
        </w:rPr>
      </w:pPr>
      <w:r>
        <w:rPr>
          <w:rFonts w:hint="eastAsia" w:ascii="仿宋_GB2312" w:hAnsi="宋体" w:eastAsia="仿宋_GB2312" w:cs="宋体"/>
          <w:color w:val="auto"/>
        </w:rPr>
        <w:t>8.以上事项如有虚假或者隐瞒，我方愿意承担一切后果，并不再寻求任何旨在减轻或者免除法律责任的辩解。</w:t>
      </w:r>
    </w:p>
    <w:p w14:paraId="7D2E79B8">
      <w:pPr>
        <w:pStyle w:val="27"/>
        <w:widowControl/>
        <w:tabs>
          <w:tab w:val="left" w:pos="939"/>
        </w:tabs>
        <w:spacing w:line="360" w:lineRule="auto"/>
        <w:ind w:left="141" w:leftChars="67" w:firstLine="360" w:firstLineChars="150"/>
        <w:contextualSpacing/>
        <w:rPr>
          <w:rFonts w:hint="eastAsia" w:ascii="仿宋_GB2312" w:hAnsi="宋体" w:eastAsia="仿宋_GB2312" w:cs="宋体"/>
          <w:color w:val="auto"/>
        </w:rPr>
      </w:pPr>
      <w:r>
        <w:rPr>
          <w:rFonts w:hint="eastAsia" w:ascii="仿宋_GB2312" w:hAnsi="宋体" w:eastAsia="仿宋_GB2312" w:cs="宋体"/>
          <w:color w:val="auto"/>
        </w:rPr>
        <w:t>特此承诺。</w:t>
      </w:r>
    </w:p>
    <w:p w14:paraId="1B856B49">
      <w:pPr>
        <w:pStyle w:val="27"/>
        <w:widowControl/>
        <w:tabs>
          <w:tab w:val="left" w:pos="939"/>
        </w:tabs>
        <w:spacing w:line="360" w:lineRule="auto"/>
        <w:ind w:firstLine="480" w:firstLineChars="200"/>
        <w:contextualSpacing/>
        <w:rPr>
          <w:rFonts w:hint="eastAsia" w:ascii="宋体" w:hAnsi="宋体" w:cs="宋体"/>
          <w:color w:val="auto"/>
        </w:rPr>
      </w:pPr>
      <w:r>
        <w:rPr>
          <w:rFonts w:hint="eastAsia" w:ascii="仿宋_GB2312" w:hAnsi="宋体" w:eastAsia="仿宋_GB2312" w:cs="宋体"/>
          <w:color w:val="auto"/>
        </w:rPr>
        <w:t>注：如为联合体竞标，盖章处须加盖联合体各方公章并由联合体各方法定代表人签署，否则其响应文件按无效响应处理。</w:t>
      </w:r>
    </w:p>
    <w:p w14:paraId="7FB1EED1">
      <w:pPr>
        <w:pStyle w:val="27"/>
        <w:widowControl/>
        <w:tabs>
          <w:tab w:val="left" w:pos="939"/>
        </w:tabs>
        <w:spacing w:line="360" w:lineRule="auto"/>
        <w:ind w:firstLine="480" w:firstLineChars="200"/>
        <w:contextualSpacing/>
        <w:rPr>
          <w:rFonts w:hint="eastAsia" w:ascii="宋体" w:hAnsi="宋体" w:cs="宋体"/>
          <w:color w:val="auto"/>
        </w:rPr>
      </w:pPr>
    </w:p>
    <w:p w14:paraId="5F78B675">
      <w:pPr>
        <w:autoSpaceDE w:val="0"/>
        <w:autoSpaceDN w:val="0"/>
        <w:spacing w:line="360" w:lineRule="auto"/>
        <w:ind w:left="4365" w:leftChars="1850" w:hanging="480" w:hangingChars="2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619EADB3">
      <w:pPr>
        <w:autoSpaceDE w:val="0"/>
        <w:autoSpaceDN w:val="0"/>
        <w:spacing w:line="360" w:lineRule="auto"/>
        <w:ind w:firstLine="6120" w:firstLineChars="25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bidi="ar"/>
        </w:rPr>
        <w:t>日期：  年  月   日</w:t>
      </w:r>
    </w:p>
    <w:p w14:paraId="52DD28BB">
      <w:pPr>
        <w:spacing w:line="360" w:lineRule="auto"/>
        <w:rPr>
          <w:rFonts w:hint="eastAsia" w:ascii="仿宋_GB2312" w:hAnsi="仿宋" w:eastAsia="仿宋_GB2312" w:cs="仿宋_GB2312"/>
          <w:color w:val="auto"/>
          <w:sz w:val="24"/>
          <w:lang w:val="zh-CN" w:bidi="ar"/>
        </w:rPr>
        <w:sectPr>
          <w:pgSz w:w="11910" w:h="16840"/>
          <w:pgMar w:top="1340" w:right="1500" w:bottom="1304" w:left="1680" w:header="720" w:footer="720" w:gutter="0"/>
          <w:pgNumType w:fmt="decimal"/>
          <w:cols w:space="425" w:num="1"/>
          <w:docGrid w:type="lines" w:linePitch="312" w:charSpace="0"/>
        </w:sectPr>
      </w:pPr>
    </w:p>
    <w:p w14:paraId="3E4A8A2D">
      <w:pPr>
        <w:pStyle w:val="9"/>
        <w:widowControl/>
        <w:overflowPunct w:val="0"/>
        <w:spacing w:line="520" w:lineRule="exact"/>
        <w:ind w:firstLine="0"/>
        <w:rPr>
          <w:rFonts w:hint="eastAsia" w:ascii="宋体" w:hAnsi="宋体" w:cs="宋体"/>
          <w:b/>
          <w:bCs/>
          <w:color w:val="auto"/>
          <w:sz w:val="32"/>
          <w:szCs w:val="32"/>
        </w:rPr>
      </w:pPr>
      <w:r>
        <w:rPr>
          <w:rFonts w:hint="eastAsia" w:ascii="仿宋" w:hAnsi="仿宋" w:eastAsia="仿宋" w:cs="仿宋_GB2312"/>
          <w:b/>
          <w:color w:val="auto"/>
          <w:kern w:val="0"/>
          <w:sz w:val="30"/>
          <w:szCs w:val="30"/>
        </w:rPr>
        <w:t>七、联合体协议书（如有）</w:t>
      </w:r>
    </w:p>
    <w:p w14:paraId="78307F59">
      <w:pPr>
        <w:pStyle w:val="17"/>
        <w:widowControl/>
        <w:spacing w:line="600" w:lineRule="exact"/>
        <w:jc w:val="center"/>
        <w:rPr>
          <w:rFonts w:ascii="方正小标宋简体" w:hAnsi="方正小标宋简体" w:eastAsia="方正小标宋简体" w:cs="方正小标宋简体"/>
          <w:color w:val="auto"/>
          <w:kern w:val="2"/>
          <w:sz w:val="44"/>
          <w:szCs w:val="44"/>
        </w:rPr>
      </w:pPr>
    </w:p>
    <w:p w14:paraId="7A2E85F0">
      <w:pPr>
        <w:pStyle w:val="17"/>
        <w:widowControl/>
        <w:spacing w:line="600" w:lineRule="exact"/>
        <w:jc w:val="center"/>
        <w:rPr>
          <w:rFonts w:ascii="方正小标宋简体" w:hAnsi="方正小标宋简体" w:eastAsia="方正小标宋简体" w:cs="方正小标宋简体"/>
          <w:color w:val="auto"/>
          <w:kern w:val="2"/>
          <w:sz w:val="44"/>
          <w:szCs w:val="44"/>
        </w:rPr>
      </w:pPr>
      <w:r>
        <w:rPr>
          <w:rFonts w:ascii="方正小标宋简体" w:hAnsi="方正小标宋简体" w:eastAsia="方正小标宋简体" w:cs="方正小标宋简体"/>
          <w:color w:val="auto"/>
          <w:kern w:val="2"/>
          <w:sz w:val="44"/>
          <w:szCs w:val="44"/>
        </w:rPr>
        <w:t>联合体竞标协议书（格式）</w:t>
      </w:r>
    </w:p>
    <w:p w14:paraId="5FA7D562">
      <w:pPr>
        <w:autoSpaceDE w:val="0"/>
        <w:autoSpaceDN w:val="0"/>
        <w:adjustRightInd w:val="0"/>
        <w:spacing w:line="360" w:lineRule="auto"/>
        <w:jc w:val="left"/>
        <w:rPr>
          <w:rFonts w:ascii="宋体" w:hAnsi="Times New Roman" w:eastAsia="宋体" w:cs="宋体"/>
          <w:color w:val="auto"/>
          <w:kern w:val="0"/>
          <w:szCs w:val="21"/>
          <w:u w:val="single"/>
        </w:rPr>
      </w:pPr>
    </w:p>
    <w:p w14:paraId="5641AA01">
      <w:pPr>
        <w:autoSpaceDE w:val="0"/>
        <w:autoSpaceDN w:val="0"/>
        <w:adjustRightInd w:val="0"/>
        <w:spacing w:line="360" w:lineRule="auto"/>
        <w:jc w:val="left"/>
        <w:rPr>
          <w:rFonts w:hint="eastAsia" w:ascii="仿宋_GB2312" w:hAnsi="仿宋_GB2312" w:eastAsia="仿宋_GB2312" w:cs="宋体"/>
          <w:color w:val="auto"/>
          <w:kern w:val="0"/>
          <w:sz w:val="24"/>
        </w:rPr>
      </w:pPr>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（所有成员单位名称）自愿组成联合体，共同参加</w:t>
      </w:r>
      <w:r>
        <w:rPr>
          <w:rFonts w:hint="eastAsia" w:ascii="仿宋_GB2312" w:hAnsi="仿宋_GB2312" w:eastAsia="仿宋_GB2312" w:cs="宋体"/>
          <w:color w:val="auto"/>
          <w:kern w:val="0"/>
          <w:sz w:val="24"/>
          <w:u w:val="single"/>
          <w:lang w:bidi="ar"/>
        </w:rPr>
        <w:t xml:space="preserve">    </w:t>
      </w:r>
      <w:bookmarkStart w:id="71" w:name="PO_3000001868_PM031"/>
      <w:r>
        <w:rPr>
          <w:rFonts w:hint="eastAsia" w:ascii="仿宋_GB2312" w:hAnsi="仿宋_GB2312" w:eastAsia="仿宋_GB2312" w:cs="宋体"/>
          <w:color w:val="auto"/>
          <w:kern w:val="0"/>
          <w:sz w:val="24"/>
          <w:u w:val="single"/>
          <w:lang w:bidi="ar"/>
        </w:rPr>
        <w:t>[项目采购-采购组织机构]</w:t>
      </w:r>
      <w:bookmarkEnd w:id="71"/>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组织的</w:t>
      </w:r>
      <w:r>
        <w:rPr>
          <w:rFonts w:hint="eastAsia" w:ascii="仿宋_GB2312" w:hAnsi="仿宋_GB2312" w:eastAsia="仿宋_GB2312" w:cs="宋体"/>
          <w:color w:val="auto"/>
          <w:kern w:val="0"/>
          <w:sz w:val="24"/>
          <w:u w:val="single"/>
          <w:lang w:bidi="ar"/>
        </w:rPr>
        <w:t xml:space="preserve">       </w:t>
      </w:r>
      <w:bookmarkStart w:id="72" w:name="PO_3000001868_PM002_5"/>
      <w:r>
        <w:rPr>
          <w:rFonts w:hint="eastAsia" w:ascii="仿宋_GB2312" w:hAnsi="仿宋_GB2312" w:eastAsia="仿宋_GB2312" w:cs="宋体"/>
          <w:color w:val="auto"/>
          <w:kern w:val="0"/>
          <w:sz w:val="24"/>
          <w:u w:val="single"/>
          <w:lang w:bidi="ar"/>
        </w:rPr>
        <w:t>[项目采购-项目名称_5]</w:t>
      </w:r>
      <w:bookmarkEnd w:id="72"/>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（项目编号：</w:t>
      </w:r>
      <w:r>
        <w:rPr>
          <w:rFonts w:hint="eastAsia" w:ascii="仿宋_GB2312" w:hAnsi="仿宋_GB2312" w:eastAsia="仿宋_GB2312" w:cs="宋体"/>
          <w:color w:val="auto"/>
          <w:kern w:val="0"/>
          <w:sz w:val="24"/>
          <w:u w:val="single"/>
          <w:lang w:bidi="ar"/>
        </w:rPr>
        <w:t xml:space="preserve">  </w:t>
      </w:r>
      <w:bookmarkStart w:id="73" w:name="PO_3000001868_PM001_6"/>
      <w:r>
        <w:rPr>
          <w:rFonts w:hint="eastAsia" w:ascii="仿宋_GB2312" w:hAnsi="仿宋_GB2312" w:eastAsia="仿宋_GB2312" w:cs="宋体"/>
          <w:color w:val="auto"/>
          <w:kern w:val="0"/>
          <w:sz w:val="24"/>
          <w:u w:val="single"/>
          <w:lang w:bidi="ar"/>
        </w:rPr>
        <w:t>[项目采购-项目编号_6]</w:t>
      </w:r>
      <w:bookmarkEnd w:id="73"/>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）竞争性磋商采购。现就联合体竞标事宜订立如下协议：</w:t>
      </w:r>
    </w:p>
    <w:p w14:paraId="33F21912">
      <w:pPr>
        <w:autoSpaceDE w:val="0"/>
        <w:autoSpaceDN w:val="0"/>
        <w:adjustRightInd w:val="0"/>
        <w:spacing w:line="360" w:lineRule="auto"/>
        <w:ind w:firstLine="420"/>
        <w:jc w:val="left"/>
        <w:rPr>
          <w:rFonts w:hint="eastAsia" w:ascii="仿宋_GB2312" w:hAnsi="宋体" w:eastAsia="仿宋_GB2312" w:cs="宋体"/>
          <w:color w:val="auto"/>
          <w:kern w:val="0"/>
          <w:sz w:val="24"/>
        </w:rPr>
      </w:pPr>
      <w:r>
        <w:rPr>
          <w:rFonts w:hint="eastAsia" w:ascii="仿宋_GB2312" w:hAnsi="宋体" w:eastAsia="仿宋_GB2312" w:cs="TimesNewRomanPSMT"/>
          <w:color w:val="auto"/>
          <w:kern w:val="0"/>
          <w:sz w:val="24"/>
          <w:lang w:bidi="ar"/>
        </w:rPr>
        <w:t>1</w:t>
      </w:r>
      <w:r>
        <w:rPr>
          <w:rFonts w:hint="eastAsia" w:ascii="仿宋_GB2312" w:hAnsi="宋体" w:eastAsia="仿宋_GB2312" w:cs="宋体"/>
          <w:color w:val="auto"/>
          <w:kern w:val="0"/>
          <w:sz w:val="24"/>
          <w:lang w:bidi="ar"/>
        </w:rPr>
        <w:t>、</w:t>
      </w:r>
      <w:r>
        <w:rPr>
          <w:rFonts w:hint="eastAsia" w:ascii="仿宋_GB2312" w:hAnsi="仿宋_GB2312" w:eastAsia="仿宋_GB2312" w:cs="仿宋_GB2312"/>
          <w:color w:val="auto"/>
          <w:sz w:val="24"/>
          <w:lang w:bidi="ar"/>
        </w:rPr>
        <w:t>________________________</w:t>
      </w:r>
      <w:r>
        <w:rPr>
          <w:rFonts w:hint="eastAsia" w:ascii="仿宋_GB2312" w:hAnsi="宋体" w:eastAsia="仿宋_GB2312" w:cs="宋体"/>
          <w:color w:val="auto"/>
          <w:kern w:val="0"/>
          <w:sz w:val="24"/>
          <w:lang w:bidi="ar"/>
        </w:rPr>
        <w:t>（某成员单位名称）为联合体名称牵头人。</w:t>
      </w:r>
    </w:p>
    <w:p w14:paraId="2B1A7B4E">
      <w:pPr>
        <w:autoSpaceDE w:val="0"/>
        <w:autoSpaceDN w:val="0"/>
        <w:adjustRightInd w:val="0"/>
        <w:spacing w:line="360" w:lineRule="auto"/>
        <w:ind w:firstLine="420"/>
        <w:jc w:val="left"/>
        <w:rPr>
          <w:rFonts w:hint="eastAsia" w:ascii="仿宋_GB2312" w:hAnsi="宋体" w:eastAsia="仿宋_GB2312" w:cs="宋体"/>
          <w:color w:val="auto"/>
          <w:kern w:val="0"/>
          <w:sz w:val="24"/>
        </w:rPr>
      </w:pPr>
      <w:r>
        <w:rPr>
          <w:rFonts w:hint="eastAsia" w:ascii="仿宋_GB2312" w:hAnsi="宋体" w:eastAsia="仿宋_GB2312" w:cs="TimesNewRomanPSMT"/>
          <w:color w:val="auto"/>
          <w:kern w:val="0"/>
          <w:sz w:val="24"/>
          <w:lang w:bidi="ar"/>
        </w:rPr>
        <w:t>2</w:t>
      </w:r>
      <w:r>
        <w:rPr>
          <w:rFonts w:hint="eastAsia" w:ascii="仿宋_GB2312" w:hAnsi="宋体" w:eastAsia="仿宋_GB2312" w:cs="宋体"/>
          <w:color w:val="auto"/>
          <w:kern w:val="0"/>
          <w:sz w:val="24"/>
          <w:lang w:bidi="ar"/>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2BE08821">
      <w:pPr>
        <w:autoSpaceDE w:val="0"/>
        <w:autoSpaceDN w:val="0"/>
        <w:adjustRightInd w:val="0"/>
        <w:spacing w:line="360" w:lineRule="auto"/>
        <w:ind w:firstLine="420"/>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bidi="ar"/>
        </w:rPr>
        <w:t>3、联合体牵头人在本项目中签署和盖章的一切文件和处理的一切事宜，联合体各成员均予以承认。 联合体各成员将严格按照磋商文件、响应文件和合同的要求全面履行义务，并向采购人承担连带责任。</w:t>
      </w:r>
    </w:p>
    <w:p w14:paraId="68CACD97">
      <w:pPr>
        <w:autoSpaceDE w:val="0"/>
        <w:autoSpaceDN w:val="0"/>
        <w:adjustRightInd w:val="0"/>
        <w:spacing w:line="360" w:lineRule="auto"/>
        <w:ind w:firstLine="420"/>
        <w:jc w:val="left"/>
        <w:rPr>
          <w:rFonts w:hint="eastAsia" w:ascii="仿宋_GB2312" w:hAnsi="宋体" w:eastAsia="仿宋_GB2312" w:cs="宋体"/>
          <w:color w:val="auto"/>
          <w:kern w:val="0"/>
          <w:sz w:val="24"/>
        </w:rPr>
      </w:pPr>
      <w:r>
        <w:rPr>
          <w:rFonts w:hint="eastAsia" w:ascii="仿宋_GB2312" w:hAnsi="宋体" w:eastAsia="仿宋_GB2312" w:cs="TimesNewRomanPSMT"/>
          <w:color w:val="auto"/>
          <w:kern w:val="0"/>
          <w:sz w:val="24"/>
          <w:lang w:bidi="ar"/>
        </w:rPr>
        <w:t>4</w:t>
      </w:r>
      <w:r>
        <w:rPr>
          <w:rFonts w:hint="eastAsia" w:ascii="仿宋_GB2312" w:hAnsi="宋体" w:eastAsia="仿宋_GB2312" w:cs="宋体"/>
          <w:color w:val="auto"/>
          <w:kern w:val="0"/>
          <w:sz w:val="24"/>
          <w:lang w:bidi="ar"/>
        </w:rPr>
        <w:t>、联合体各成员单位内部的职责分工如下</w:t>
      </w:r>
      <w:r>
        <w:rPr>
          <w:rFonts w:hint="eastAsia" w:ascii="仿宋_GB2312" w:hAnsi="宋体" w:eastAsia="仿宋_GB2312" w:cs="宋体"/>
          <w:color w:val="auto"/>
          <w:kern w:val="0"/>
          <w:sz w:val="24"/>
          <w:u w:val="single"/>
          <w:lang w:bidi="ar"/>
        </w:rPr>
        <w:t>：</w:t>
      </w:r>
      <w:r>
        <w:rPr>
          <w:rFonts w:hint="eastAsia" w:ascii="仿宋_GB2312" w:hAnsi="仿宋_GB2312" w:eastAsia="仿宋_GB2312" w:cs="仿宋_GB2312"/>
          <w:color w:val="auto"/>
          <w:sz w:val="24"/>
          <w:u w:val="single"/>
          <w:lang w:bidi="ar"/>
        </w:rPr>
        <w:t>________________________________________________</w:t>
      </w:r>
      <w:r>
        <w:rPr>
          <w:rFonts w:hint="eastAsia" w:ascii="仿宋_GB2312" w:hAnsi="宋体" w:eastAsia="仿宋_GB2312" w:cs="宋体"/>
          <w:color w:val="auto"/>
          <w:kern w:val="0"/>
          <w:sz w:val="24"/>
          <w:lang w:bidi="ar"/>
        </w:rPr>
        <w:t>。</w:t>
      </w:r>
    </w:p>
    <w:p w14:paraId="2D56D73C">
      <w:pPr>
        <w:pStyle w:val="17"/>
        <w:widowControl/>
        <w:spacing w:line="360" w:lineRule="auto"/>
        <w:ind w:firstLine="480" w:firstLineChars="200"/>
        <w:rPr>
          <w:rFonts w:hint="default" w:ascii="仿宋_GB2312" w:hAnsi="Times New Roman" w:eastAsia="仿宋_GB2312" w:cs="仿宋_GB2312"/>
          <w:color w:val="auto"/>
          <w:sz w:val="24"/>
          <w:szCs w:val="24"/>
        </w:rPr>
      </w:pPr>
      <w:r>
        <w:rPr>
          <w:rFonts w:ascii="仿宋_GB2312" w:hAnsi="宋体" w:eastAsia="仿宋_GB2312" w:cs="宋体"/>
          <w:color w:val="auto"/>
          <w:sz w:val="24"/>
          <w:szCs w:val="24"/>
        </w:rPr>
        <w:t>5、本联合体中</w:t>
      </w:r>
      <w:r>
        <w:rPr>
          <w:rFonts w:ascii="仿宋_GB2312" w:hAnsi="宋体" w:eastAsia="仿宋_GB2312" w:cs="宋体"/>
          <w:color w:val="auto"/>
          <w:sz w:val="24"/>
          <w:szCs w:val="24"/>
          <w:u w:val="single"/>
        </w:rPr>
        <w:t>，</w:t>
      </w:r>
      <w:r>
        <w:rPr>
          <w:rFonts w:ascii="仿宋_GB2312" w:hAnsi="仿宋_GB2312" w:eastAsia="仿宋_GB2312" w:cs="仿宋_GB2312"/>
          <w:color w:val="auto"/>
          <w:sz w:val="24"/>
          <w:szCs w:val="24"/>
          <w:u w:val="single"/>
        </w:rPr>
        <w:t>________________________</w:t>
      </w:r>
      <w:r>
        <w:rPr>
          <w:rFonts w:ascii="仿宋_GB2312" w:hAnsi="宋体" w:eastAsia="仿宋_GB2312" w:cs="宋体"/>
          <w:color w:val="auto"/>
          <w:sz w:val="24"/>
          <w:szCs w:val="24"/>
          <w:u w:val="single"/>
        </w:rPr>
        <w:t>（某成员单位名称）为</w:t>
      </w:r>
      <w:r>
        <w:rPr>
          <w:rFonts w:ascii="仿宋_GB2312" w:hAnsi="仿宋_GB2312" w:eastAsia="仿宋_GB2312" w:cs="仿宋_GB2312"/>
          <w:color w:val="auto"/>
          <w:sz w:val="24"/>
          <w:szCs w:val="24"/>
          <w:u w:val="single"/>
        </w:rPr>
        <w:t>______</w:t>
      </w:r>
      <w:r>
        <w:rPr>
          <w:rFonts w:ascii="仿宋_GB2312" w:hAnsi="仿宋_GB2312" w:eastAsia="仿宋_GB2312" w:cs="仿宋_GB2312"/>
          <w:color w:val="auto"/>
          <w:sz w:val="24"/>
          <w:szCs w:val="24"/>
        </w:rPr>
        <w:t>（请填写：中型、小型、微型）企业，其协议合同金额占联合体协议合同总金额的</w:t>
      </w:r>
      <w:r>
        <w:rPr>
          <w:rFonts w:ascii="仿宋_GB2312" w:hAnsi="仿宋_GB2312" w:eastAsia="仿宋_GB2312" w:cs="仿宋_GB2312"/>
          <w:color w:val="auto"/>
          <w:sz w:val="24"/>
          <w:szCs w:val="24"/>
          <w:u w:val="single"/>
        </w:rPr>
        <w:t>______</w:t>
      </w:r>
      <w:r>
        <w:rPr>
          <w:rFonts w:ascii="仿宋_GB2312" w:hAnsi="仿宋_GB2312" w:eastAsia="仿宋_GB2312" w:cs="仿宋_GB2312"/>
          <w:color w:val="auto"/>
          <w:sz w:val="24"/>
          <w:szCs w:val="24"/>
        </w:rPr>
        <w:t>%。【如联合体成员中有小型、微型企业的，请填写此条，否则无需填写；如联合体成员中有多个小型、微型企业的，请逐一列出。】</w:t>
      </w:r>
    </w:p>
    <w:p w14:paraId="410CF00A">
      <w:pPr>
        <w:autoSpaceDE w:val="0"/>
        <w:autoSpaceDN w:val="0"/>
        <w:adjustRightInd w:val="0"/>
        <w:spacing w:line="360" w:lineRule="auto"/>
        <w:ind w:firstLine="420"/>
        <w:jc w:val="left"/>
        <w:rPr>
          <w:rFonts w:hint="eastAsia" w:ascii="仿宋_GB2312" w:hAnsi="宋体" w:eastAsia="仿宋_GB2312" w:cs="宋体"/>
          <w:color w:val="auto"/>
          <w:kern w:val="0"/>
          <w:sz w:val="24"/>
        </w:rPr>
      </w:pPr>
      <w:r>
        <w:rPr>
          <w:rFonts w:hint="eastAsia" w:ascii="仿宋_GB2312" w:hAnsi="宋体" w:eastAsia="仿宋_GB2312" w:cs="TimesNewRomanPSMT"/>
          <w:color w:val="auto"/>
          <w:kern w:val="0"/>
          <w:sz w:val="24"/>
          <w:lang w:bidi="ar"/>
        </w:rPr>
        <w:t>6</w:t>
      </w:r>
      <w:r>
        <w:rPr>
          <w:rFonts w:hint="eastAsia" w:ascii="仿宋_GB2312" w:hAnsi="宋体" w:eastAsia="仿宋_GB2312" w:cs="宋体"/>
          <w:color w:val="auto"/>
          <w:kern w:val="0"/>
          <w:sz w:val="24"/>
          <w:lang w:bidi="ar"/>
        </w:rPr>
        <w:t>、本协议书自签署之日起生效，合同履行完毕后自动失效。</w:t>
      </w:r>
    </w:p>
    <w:p w14:paraId="51C80253">
      <w:pPr>
        <w:autoSpaceDE w:val="0"/>
        <w:autoSpaceDN w:val="0"/>
        <w:adjustRightInd w:val="0"/>
        <w:spacing w:line="360" w:lineRule="auto"/>
        <w:ind w:firstLine="420"/>
        <w:jc w:val="left"/>
        <w:rPr>
          <w:rFonts w:hint="eastAsia" w:ascii="仿宋_GB2312" w:hAnsi="宋体" w:eastAsia="仿宋_GB2312" w:cs="宋体"/>
          <w:color w:val="auto"/>
          <w:kern w:val="0"/>
          <w:sz w:val="24"/>
        </w:rPr>
      </w:pPr>
      <w:r>
        <w:rPr>
          <w:rFonts w:hint="eastAsia" w:ascii="仿宋_GB2312" w:hAnsi="宋体" w:eastAsia="仿宋_GB2312" w:cs="TimesNewRomanPSMT"/>
          <w:color w:val="auto"/>
          <w:kern w:val="0"/>
          <w:sz w:val="24"/>
          <w:lang w:bidi="ar"/>
        </w:rPr>
        <w:t>7</w:t>
      </w:r>
      <w:r>
        <w:rPr>
          <w:rFonts w:hint="eastAsia" w:ascii="仿宋_GB2312" w:hAnsi="宋体" w:eastAsia="仿宋_GB2312" w:cs="宋体"/>
          <w:color w:val="auto"/>
          <w:kern w:val="0"/>
          <w:sz w:val="24"/>
          <w:lang w:bidi="ar"/>
        </w:rPr>
        <w:t>、本协议书一式</w:t>
      </w:r>
      <w:r>
        <w:rPr>
          <w:rFonts w:hint="eastAsia" w:ascii="仿宋_GB2312" w:hAnsi="宋体" w:eastAsia="仿宋_GB2312" w:cs="宋体"/>
          <w:color w:val="auto"/>
          <w:kern w:val="0"/>
          <w:sz w:val="24"/>
          <w:u w:val="single"/>
          <w:lang w:bidi="ar"/>
        </w:rPr>
        <w:t xml:space="preserve">    </w:t>
      </w:r>
      <w:r>
        <w:rPr>
          <w:rFonts w:hint="eastAsia" w:ascii="仿宋_GB2312" w:hAnsi="宋体" w:eastAsia="仿宋_GB2312" w:cs="宋体"/>
          <w:color w:val="auto"/>
          <w:kern w:val="0"/>
          <w:sz w:val="24"/>
          <w:lang w:bidi="ar"/>
        </w:rPr>
        <w:t>份，联合体成员和采购代理机构各执一份。</w:t>
      </w:r>
    </w:p>
    <w:p w14:paraId="022D9464">
      <w:pPr>
        <w:autoSpaceDE w:val="0"/>
        <w:autoSpaceDN w:val="0"/>
        <w:adjustRightInd w:val="0"/>
        <w:spacing w:line="360" w:lineRule="auto"/>
        <w:ind w:firstLine="420"/>
        <w:jc w:val="left"/>
        <w:rPr>
          <w:rFonts w:hint="eastAsia" w:ascii="仿宋_GB2312" w:hAnsi="仿宋_GB2312" w:eastAsia="仿宋_GB2312" w:cs="宋体"/>
          <w:color w:val="auto"/>
          <w:kern w:val="0"/>
          <w:sz w:val="24"/>
        </w:rPr>
      </w:pPr>
      <w:r>
        <w:rPr>
          <w:rFonts w:hint="eastAsia" w:ascii="仿宋_GB2312" w:hAnsi="仿宋_GB2312" w:eastAsia="仿宋_GB2312" w:cs="宋体"/>
          <w:color w:val="auto"/>
          <w:kern w:val="0"/>
          <w:sz w:val="24"/>
          <w:lang w:bidi="ar"/>
        </w:rPr>
        <w:t>注：本协议书由法定代表人签字的，应附法定代表人身份证明；本协议书由委托代理人签字的，应附法定代表人授权委托书。</w:t>
      </w:r>
    </w:p>
    <w:p w14:paraId="58F8B0ED">
      <w:pPr>
        <w:autoSpaceDE w:val="0"/>
        <w:autoSpaceDN w:val="0"/>
        <w:adjustRightInd w:val="0"/>
        <w:spacing w:line="360" w:lineRule="auto"/>
        <w:jc w:val="left"/>
        <w:rPr>
          <w:rFonts w:hint="eastAsia" w:ascii="仿宋_GB2312" w:hAnsi="仿宋_GB2312" w:eastAsia="仿宋_GB2312" w:cs="宋体"/>
          <w:color w:val="auto"/>
          <w:kern w:val="0"/>
          <w:sz w:val="24"/>
        </w:rPr>
      </w:pPr>
      <w:r>
        <w:rPr>
          <w:rFonts w:hint="eastAsia" w:ascii="仿宋_GB2312" w:hAnsi="仿宋_GB2312" w:eastAsia="仿宋_GB2312" w:cs="宋体"/>
          <w:color w:val="auto"/>
          <w:kern w:val="0"/>
          <w:sz w:val="24"/>
          <w:lang w:bidi="ar"/>
        </w:rPr>
        <w:t>牵头人名称：</w:t>
      </w:r>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（盖单位公章）</w:t>
      </w:r>
    </w:p>
    <w:p w14:paraId="68B0FE9E">
      <w:pPr>
        <w:autoSpaceDE w:val="0"/>
        <w:autoSpaceDN w:val="0"/>
        <w:adjustRightInd w:val="0"/>
        <w:spacing w:line="360" w:lineRule="auto"/>
        <w:jc w:val="left"/>
        <w:rPr>
          <w:rFonts w:hint="eastAsia" w:ascii="仿宋_GB2312" w:hAnsi="仿宋_GB2312" w:eastAsia="仿宋_GB2312" w:cs="宋体"/>
          <w:color w:val="auto"/>
          <w:kern w:val="0"/>
          <w:sz w:val="24"/>
        </w:rPr>
      </w:pPr>
      <w:r>
        <w:rPr>
          <w:rFonts w:hint="eastAsia" w:ascii="仿宋_GB2312" w:hAnsi="仿宋_GB2312" w:eastAsia="仿宋_GB2312" w:cs="宋体"/>
          <w:color w:val="auto"/>
          <w:kern w:val="0"/>
          <w:sz w:val="24"/>
          <w:lang w:bidi="ar"/>
        </w:rPr>
        <w:t>法定代表人或其委托代理人：</w:t>
      </w:r>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（签字或盖章）</w:t>
      </w:r>
    </w:p>
    <w:p w14:paraId="73043A12">
      <w:pPr>
        <w:autoSpaceDE w:val="0"/>
        <w:autoSpaceDN w:val="0"/>
        <w:adjustRightInd w:val="0"/>
        <w:spacing w:line="360" w:lineRule="auto"/>
        <w:jc w:val="left"/>
        <w:rPr>
          <w:rFonts w:hint="eastAsia" w:ascii="仿宋_GB2312" w:hAnsi="仿宋_GB2312" w:eastAsia="仿宋_GB2312" w:cs="宋体"/>
          <w:color w:val="auto"/>
          <w:kern w:val="0"/>
          <w:sz w:val="24"/>
        </w:rPr>
      </w:pPr>
    </w:p>
    <w:p w14:paraId="2418B3E6">
      <w:pPr>
        <w:autoSpaceDE w:val="0"/>
        <w:autoSpaceDN w:val="0"/>
        <w:adjustRightInd w:val="0"/>
        <w:spacing w:line="360" w:lineRule="auto"/>
        <w:jc w:val="left"/>
        <w:rPr>
          <w:rFonts w:hint="eastAsia" w:ascii="仿宋_GB2312" w:hAnsi="仿宋_GB2312" w:eastAsia="仿宋_GB2312" w:cs="宋体"/>
          <w:color w:val="auto"/>
          <w:kern w:val="0"/>
          <w:sz w:val="24"/>
        </w:rPr>
      </w:pPr>
      <w:r>
        <w:rPr>
          <w:rFonts w:hint="eastAsia" w:ascii="仿宋_GB2312" w:hAnsi="仿宋_GB2312" w:eastAsia="仿宋_GB2312" w:cs="宋体"/>
          <w:color w:val="auto"/>
          <w:kern w:val="0"/>
          <w:sz w:val="24"/>
          <w:lang w:bidi="ar"/>
        </w:rPr>
        <w:t>成员一名称：</w:t>
      </w:r>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（盖单位公章）</w:t>
      </w:r>
    </w:p>
    <w:p w14:paraId="16D3FF7E">
      <w:pPr>
        <w:autoSpaceDE w:val="0"/>
        <w:autoSpaceDN w:val="0"/>
        <w:adjustRightInd w:val="0"/>
        <w:spacing w:line="360" w:lineRule="auto"/>
        <w:jc w:val="left"/>
        <w:rPr>
          <w:rFonts w:hint="eastAsia" w:ascii="仿宋_GB2312" w:hAnsi="仿宋_GB2312" w:eastAsia="仿宋_GB2312" w:cs="宋体"/>
          <w:color w:val="auto"/>
          <w:kern w:val="0"/>
          <w:sz w:val="24"/>
        </w:rPr>
      </w:pPr>
      <w:r>
        <w:rPr>
          <w:rFonts w:hint="eastAsia" w:ascii="仿宋_GB2312" w:hAnsi="仿宋_GB2312" w:eastAsia="仿宋_GB2312" w:cs="宋体"/>
          <w:color w:val="auto"/>
          <w:kern w:val="0"/>
          <w:sz w:val="24"/>
          <w:lang w:bidi="ar"/>
        </w:rPr>
        <w:t>法定代表人或其委托代理人：</w:t>
      </w:r>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（签字或盖章）</w:t>
      </w:r>
    </w:p>
    <w:p w14:paraId="4A98B709">
      <w:pPr>
        <w:autoSpaceDE w:val="0"/>
        <w:autoSpaceDN w:val="0"/>
        <w:adjustRightInd w:val="0"/>
        <w:spacing w:line="360" w:lineRule="auto"/>
        <w:jc w:val="left"/>
        <w:rPr>
          <w:rFonts w:ascii="宋体" w:hAnsi="Times New Roman" w:eastAsia="宋体" w:cs="宋体"/>
          <w:color w:val="auto"/>
          <w:kern w:val="0"/>
          <w:szCs w:val="21"/>
        </w:rPr>
      </w:pPr>
    </w:p>
    <w:p w14:paraId="1A18A11C">
      <w:pPr>
        <w:autoSpaceDE w:val="0"/>
        <w:autoSpaceDN w:val="0"/>
        <w:adjustRightInd w:val="0"/>
        <w:spacing w:line="360" w:lineRule="auto"/>
        <w:jc w:val="left"/>
        <w:rPr>
          <w:rFonts w:hint="eastAsia" w:ascii="仿宋_GB2312" w:hAnsi="仿宋_GB2312" w:eastAsia="仿宋_GB2312" w:cs="宋体"/>
          <w:color w:val="auto"/>
          <w:kern w:val="0"/>
          <w:sz w:val="24"/>
        </w:rPr>
      </w:pPr>
      <w:r>
        <w:rPr>
          <w:rFonts w:hint="eastAsia" w:ascii="仿宋_GB2312" w:hAnsi="仿宋_GB2312" w:eastAsia="仿宋_GB2312" w:cs="宋体"/>
          <w:color w:val="auto"/>
          <w:kern w:val="0"/>
          <w:sz w:val="24"/>
          <w:lang w:bidi="ar"/>
        </w:rPr>
        <w:t>成员二名称：</w:t>
      </w:r>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（盖单位公章）</w:t>
      </w:r>
    </w:p>
    <w:p w14:paraId="7BC50CEE">
      <w:pPr>
        <w:autoSpaceDE w:val="0"/>
        <w:autoSpaceDN w:val="0"/>
        <w:adjustRightInd w:val="0"/>
        <w:spacing w:line="360" w:lineRule="auto"/>
        <w:jc w:val="left"/>
        <w:rPr>
          <w:rFonts w:hint="eastAsia" w:ascii="仿宋_GB2312" w:hAnsi="仿宋_GB2312" w:eastAsia="仿宋_GB2312" w:cs="宋体"/>
          <w:color w:val="auto"/>
          <w:kern w:val="0"/>
          <w:sz w:val="24"/>
        </w:rPr>
      </w:pPr>
      <w:r>
        <w:rPr>
          <w:rFonts w:hint="eastAsia" w:ascii="仿宋_GB2312" w:hAnsi="仿宋_GB2312" w:eastAsia="仿宋_GB2312" w:cs="宋体"/>
          <w:color w:val="auto"/>
          <w:kern w:val="0"/>
          <w:sz w:val="24"/>
          <w:lang w:bidi="ar"/>
        </w:rPr>
        <w:t>法定代表人或其委托代理人：                         （签字或盖章）</w:t>
      </w:r>
    </w:p>
    <w:p w14:paraId="3ADB46DD">
      <w:pPr>
        <w:autoSpaceDE w:val="0"/>
        <w:autoSpaceDN w:val="0"/>
        <w:adjustRightInd w:val="0"/>
        <w:spacing w:line="360" w:lineRule="auto"/>
        <w:jc w:val="left"/>
        <w:rPr>
          <w:rFonts w:hint="eastAsia" w:ascii="仿宋_GB2312" w:hAnsi="仿宋_GB2312" w:eastAsia="仿宋_GB2312" w:cs="宋体"/>
          <w:color w:val="auto"/>
          <w:kern w:val="0"/>
          <w:sz w:val="24"/>
        </w:rPr>
      </w:pPr>
    </w:p>
    <w:p w14:paraId="64D749F8">
      <w:pPr>
        <w:autoSpaceDE w:val="0"/>
        <w:autoSpaceDN w:val="0"/>
        <w:adjustRightInd w:val="0"/>
        <w:spacing w:line="360" w:lineRule="auto"/>
        <w:jc w:val="left"/>
        <w:rPr>
          <w:rFonts w:hint="eastAsia" w:ascii="仿宋_GB2312" w:hAnsi="仿宋_GB2312" w:eastAsia="仿宋_GB2312" w:cs="宋体"/>
          <w:color w:val="auto"/>
          <w:kern w:val="0"/>
          <w:sz w:val="24"/>
        </w:rPr>
      </w:pPr>
    </w:p>
    <w:p w14:paraId="22F819C8">
      <w:pPr>
        <w:autoSpaceDE w:val="0"/>
        <w:autoSpaceDN w:val="0"/>
        <w:spacing w:line="360" w:lineRule="auto"/>
        <w:ind w:left="4365" w:leftChars="1850" w:hanging="480" w:hangingChars="2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3E0D95D6">
      <w:pPr>
        <w:autoSpaceDE w:val="0"/>
        <w:autoSpaceDN w:val="0"/>
        <w:spacing w:line="360" w:lineRule="auto"/>
        <w:ind w:firstLine="6120" w:firstLineChars="25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bidi="ar"/>
        </w:rPr>
        <w:t>日期：  年  月   日</w:t>
      </w:r>
    </w:p>
    <w:p w14:paraId="2E89F07E">
      <w:pPr>
        <w:autoSpaceDE w:val="0"/>
        <w:autoSpaceDN w:val="0"/>
        <w:spacing w:line="360" w:lineRule="auto"/>
        <w:ind w:firstLine="6120" w:firstLineChars="2550"/>
        <w:rPr>
          <w:rFonts w:hint="eastAsia" w:ascii="仿宋_GB2312" w:hAnsi="仿宋" w:eastAsia="仿宋_GB2312" w:cs="仿宋_GB2312"/>
          <w:color w:val="auto"/>
          <w:kern w:val="0"/>
          <w:sz w:val="24"/>
          <w:lang w:val="zh-CN"/>
        </w:rPr>
      </w:pPr>
    </w:p>
    <w:p w14:paraId="4F4DB6BC">
      <w:pPr>
        <w:autoSpaceDE w:val="0"/>
        <w:autoSpaceDN w:val="0"/>
        <w:spacing w:line="360" w:lineRule="auto"/>
        <w:ind w:firstLine="6120" w:firstLineChars="2550"/>
        <w:rPr>
          <w:rFonts w:hint="eastAsia" w:ascii="仿宋_GB2312" w:hAnsi="仿宋" w:eastAsia="仿宋_GB2312" w:cs="仿宋_GB2312"/>
          <w:color w:val="auto"/>
          <w:kern w:val="0"/>
          <w:sz w:val="24"/>
          <w:lang w:val="zh-CN"/>
        </w:rPr>
      </w:pPr>
    </w:p>
    <w:p w14:paraId="6CE8C9B7">
      <w:pPr>
        <w:autoSpaceDE w:val="0"/>
        <w:autoSpaceDN w:val="0"/>
        <w:spacing w:line="360" w:lineRule="auto"/>
        <w:ind w:firstLine="6120" w:firstLineChars="2550"/>
        <w:rPr>
          <w:rFonts w:hint="eastAsia" w:ascii="仿宋_GB2312" w:hAnsi="仿宋" w:eastAsia="仿宋_GB2312" w:cs="仿宋_GB2312"/>
          <w:color w:val="auto"/>
          <w:kern w:val="0"/>
          <w:sz w:val="24"/>
          <w:lang w:val="zh-CN"/>
        </w:rPr>
      </w:pPr>
    </w:p>
    <w:p w14:paraId="1943EC13">
      <w:pPr>
        <w:autoSpaceDE w:val="0"/>
        <w:autoSpaceDN w:val="0"/>
        <w:spacing w:line="360" w:lineRule="auto"/>
        <w:ind w:firstLine="6120" w:firstLineChars="2550"/>
        <w:rPr>
          <w:rFonts w:hint="eastAsia" w:ascii="仿宋_GB2312" w:hAnsi="仿宋" w:eastAsia="仿宋_GB2312" w:cs="仿宋_GB2312"/>
          <w:color w:val="auto"/>
          <w:kern w:val="0"/>
          <w:sz w:val="24"/>
          <w:lang w:val="zh-CN"/>
        </w:rPr>
      </w:pPr>
      <w:bookmarkStart w:id="74" w:name="_Toc31832"/>
      <w:bookmarkStart w:id="75" w:name="_Toc80205940"/>
    </w:p>
    <w:p w14:paraId="3F897EBE">
      <w:pPr>
        <w:numPr>
          <w:ilvl w:val="0"/>
          <w:numId w:val="3"/>
        </w:numPr>
        <w:snapToGrid w:val="0"/>
        <w:spacing w:line="360" w:lineRule="auto"/>
        <w:ind w:firstLine="602" w:firstLineChars="200"/>
        <w:rPr>
          <w:rFonts w:hint="eastAsia" w:ascii="仿宋" w:hAnsi="仿宋" w:eastAsia="仿宋" w:cs="仿宋_GB2312"/>
          <w:b/>
          <w:color w:val="auto"/>
          <w:sz w:val="30"/>
          <w:szCs w:val="30"/>
          <w:lang w:bidi="ar"/>
        </w:rPr>
      </w:pPr>
      <w:r>
        <w:rPr>
          <w:rFonts w:hint="eastAsia" w:ascii="仿宋" w:hAnsi="仿宋" w:eastAsia="仿宋" w:cs="仿宋_GB2312"/>
          <w:b/>
          <w:color w:val="auto"/>
          <w:sz w:val="30"/>
          <w:szCs w:val="30"/>
          <w:lang w:bidi="ar"/>
        </w:rPr>
        <w:t>具有水利水电工程施工总承包叁级以上（含叁级）资质，在 人员、设备、资金等方面具有相应的施工能力，并具有省级(或以上级)建设行政主管部门颁发的建 筑施工安全生产许可证； 拟派项目经理具备水利水电工程专业贰级以上(含贰级)注册建造师 资格，具备有效的安全生产考核合格证书（B 类）；</w:t>
      </w:r>
    </w:p>
    <w:p w14:paraId="43C6FDBF">
      <w:pPr>
        <w:numPr>
          <w:ilvl w:val="0"/>
          <w:numId w:val="0"/>
        </w:numPr>
        <w:snapToGrid w:val="0"/>
        <w:spacing w:line="360" w:lineRule="auto"/>
        <w:rPr>
          <w:rFonts w:hint="eastAsia" w:ascii="仿宋" w:hAnsi="仿宋" w:eastAsia="仿宋" w:cs="仿宋_GB2312"/>
          <w:b/>
          <w:color w:val="auto"/>
          <w:sz w:val="30"/>
          <w:szCs w:val="30"/>
          <w:lang w:bidi="ar"/>
        </w:rPr>
      </w:pPr>
    </w:p>
    <w:p w14:paraId="0E612647">
      <w:pPr>
        <w:autoSpaceDE w:val="0"/>
        <w:autoSpaceDN w:val="0"/>
        <w:spacing w:line="360" w:lineRule="auto"/>
        <w:ind w:left="4335" w:leftChars="1950" w:hanging="240" w:hangingChars="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2DDA666F">
      <w:pPr>
        <w:autoSpaceDE w:val="0"/>
        <w:autoSpaceDN w:val="0"/>
        <w:spacing w:line="360" w:lineRule="auto"/>
        <w:ind w:firstLine="6480" w:firstLineChars="270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bidi="ar"/>
        </w:rPr>
        <w:t>日期：  年  月   日</w:t>
      </w:r>
    </w:p>
    <w:p w14:paraId="2138B794">
      <w:pPr>
        <w:spacing w:line="360" w:lineRule="auto"/>
        <w:rPr>
          <w:rFonts w:hint="eastAsia" w:ascii="仿宋_GB2312" w:hAnsi="仿宋" w:eastAsia="仿宋_GB2312" w:cs="仿宋_GB2312"/>
          <w:color w:val="auto"/>
          <w:sz w:val="24"/>
          <w:lang w:val="zh-CN" w:bidi="ar"/>
        </w:rPr>
        <w:sectPr>
          <w:pgSz w:w="11910" w:h="16840"/>
          <w:pgMar w:top="1340" w:right="1500" w:bottom="1304" w:left="1680" w:header="720" w:footer="720" w:gutter="0"/>
          <w:pgNumType w:fmt="decimal"/>
          <w:cols w:space="425" w:num="1"/>
          <w:docGrid w:type="lines" w:linePitch="312" w:charSpace="0"/>
        </w:sectPr>
      </w:pPr>
    </w:p>
    <w:p w14:paraId="52160DE3">
      <w:pPr>
        <w:numPr>
          <w:ilvl w:val="0"/>
          <w:numId w:val="3"/>
        </w:numPr>
        <w:snapToGrid w:val="0"/>
        <w:spacing w:line="360" w:lineRule="auto"/>
        <w:ind w:left="0" w:leftChars="0" w:firstLine="602" w:firstLineChars="200"/>
        <w:rPr>
          <w:rFonts w:hint="eastAsia" w:ascii="仿宋" w:hAnsi="仿宋" w:eastAsia="仿宋" w:cs="仿宋_GB2312"/>
          <w:b/>
          <w:color w:val="auto"/>
          <w:sz w:val="30"/>
          <w:szCs w:val="30"/>
          <w:lang w:bidi="ar"/>
        </w:rPr>
      </w:pPr>
      <w:r>
        <w:rPr>
          <w:rFonts w:hint="eastAsia" w:ascii="仿宋" w:hAnsi="仿宋" w:eastAsia="仿宋" w:cs="仿宋_GB2312"/>
          <w:b/>
          <w:color w:val="auto"/>
          <w:sz w:val="30"/>
          <w:szCs w:val="30"/>
          <w:lang w:bidi="ar"/>
        </w:rPr>
        <w:t>中小企业声明函或残疾人福利性单位声明函或投标人属于监狱企业的证明材料；</w:t>
      </w:r>
    </w:p>
    <w:p w14:paraId="4B521962">
      <w:pPr>
        <w:spacing w:after="165" w:afterLines="50" w:line="360" w:lineRule="auto"/>
        <w:jc w:val="center"/>
        <w:rPr>
          <w:rFonts w:hint="eastAsia" w:ascii="宋体" w:hAnsi="宋体" w:cs="宋体"/>
          <w:b/>
          <w:bCs/>
          <w:color w:val="auto"/>
          <w:sz w:val="30"/>
          <w:szCs w:val="30"/>
        </w:rPr>
      </w:pPr>
      <w:r>
        <w:rPr>
          <w:rFonts w:hint="eastAsia" w:ascii="宋体" w:hAnsi="宋体" w:cs="宋体"/>
          <w:b/>
          <w:bCs/>
          <w:color w:val="auto"/>
          <w:sz w:val="30"/>
          <w:szCs w:val="30"/>
        </w:rPr>
        <w:t>中小企业声明函（工程类）</w:t>
      </w:r>
    </w:p>
    <w:p w14:paraId="0A9A179A">
      <w:pPr>
        <w:pStyle w:val="13"/>
        <w:spacing w:after="0" w:line="360" w:lineRule="auto"/>
        <w:ind w:left="-426" w:right="142" w:firstLine="640"/>
        <w:contextualSpacing/>
        <w:rPr>
          <w:rFonts w:hint="eastAsia" w:ascii="宋体" w:hAnsi="宋体" w:cs="宋体"/>
          <w:color w:val="auto"/>
          <w:sz w:val="24"/>
        </w:rPr>
      </w:pPr>
      <w:r>
        <w:rPr>
          <w:rFonts w:hint="eastAsia" w:ascii="宋体" w:hAnsi="宋体" w:cs="宋体"/>
          <w:color w:val="auto"/>
          <w:sz w:val="24"/>
        </w:rPr>
        <w:t>本公司郑重声明，根据《政府采购促进中小企业发展管理办法》（财库﹝2020﹞46号）的规定，本公司参加</w:t>
      </w:r>
      <w:r>
        <w:rPr>
          <w:rFonts w:hint="eastAsia" w:ascii="宋体" w:hAnsi="宋体" w:cs="宋体"/>
          <w:color w:val="auto"/>
          <w:sz w:val="24"/>
          <w:u w:val="single"/>
          <w:lang w:eastAsia="zh-CN"/>
        </w:rPr>
        <w:t>南宁市武鸣区水利工程服务站</w:t>
      </w:r>
      <w:r>
        <w:rPr>
          <w:rFonts w:hint="eastAsia" w:ascii="宋体" w:hAnsi="宋体" w:cs="宋体"/>
          <w:color w:val="auto"/>
          <w:sz w:val="24"/>
        </w:rPr>
        <w:t>的</w:t>
      </w:r>
      <w:r>
        <w:rPr>
          <w:rFonts w:hint="eastAsia" w:ascii="宋体" w:hAnsi="宋体" w:cs="宋体"/>
          <w:color w:val="auto"/>
          <w:sz w:val="24"/>
          <w:u w:val="single"/>
        </w:rPr>
        <w:t xml:space="preserve">                 </w:t>
      </w:r>
      <w:r>
        <w:rPr>
          <w:rFonts w:hint="eastAsia" w:ascii="宋体" w:hAnsi="宋体" w:cs="宋体"/>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14:paraId="02210CD9">
      <w:pPr>
        <w:tabs>
          <w:tab w:val="left" w:pos="1384"/>
          <w:tab w:val="left" w:pos="4562"/>
          <w:tab w:val="left" w:pos="6803"/>
        </w:tabs>
        <w:spacing w:line="360" w:lineRule="auto"/>
        <w:ind w:left="-426" w:right="-58" w:firstLine="655"/>
        <w:contextualSpacing/>
        <w:rPr>
          <w:rFonts w:hint="eastAsia" w:ascii="宋体" w:hAnsi="宋体" w:cs="宋体"/>
          <w:color w:val="auto"/>
          <w:sz w:val="24"/>
        </w:rPr>
      </w:pP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行业；承建（承接）企业为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（中型企业、小型企业、微型企业）</w:t>
      </w:r>
      <w:r>
        <w:rPr>
          <w:rFonts w:hint="eastAsia" w:ascii="宋体" w:hAnsi="宋体" w:cs="宋体"/>
          <w:color w:val="auto"/>
          <w:sz w:val="24"/>
        </w:rPr>
        <w:t>；</w:t>
      </w:r>
    </w:p>
    <w:p w14:paraId="7F6FD493">
      <w:pPr>
        <w:pStyle w:val="13"/>
        <w:spacing w:after="0" w:line="360" w:lineRule="auto"/>
        <w:ind w:left="-405" w:leftChars="-193" w:right="142" w:firstLine="453" w:firstLineChars="189"/>
        <w:contextualSpacing/>
        <w:rPr>
          <w:rFonts w:hint="eastAsia"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14DE2F3E">
      <w:pPr>
        <w:pStyle w:val="13"/>
        <w:spacing w:after="0" w:line="360" w:lineRule="auto"/>
        <w:ind w:left="-426" w:right="142" w:firstLine="567"/>
        <w:contextualSpacing/>
        <w:rPr>
          <w:rFonts w:hint="eastAsia"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47B18FE9">
      <w:pPr>
        <w:pStyle w:val="13"/>
        <w:spacing w:after="0" w:line="360" w:lineRule="auto"/>
        <w:ind w:left="3960" w:right="1808"/>
        <w:contextualSpacing/>
        <w:rPr>
          <w:rFonts w:hint="eastAsia" w:ascii="宋体" w:hAnsi="宋体" w:cs="宋体"/>
          <w:color w:val="auto"/>
          <w:sz w:val="24"/>
        </w:rPr>
      </w:pPr>
    </w:p>
    <w:p w14:paraId="0120AD16">
      <w:pPr>
        <w:autoSpaceDE w:val="0"/>
        <w:autoSpaceDN w:val="0"/>
        <w:spacing w:line="360" w:lineRule="auto"/>
        <w:ind w:left="4335" w:leftChars="1950" w:hanging="240" w:hangingChars="100"/>
        <w:rPr>
          <w:rFonts w:hint="eastAsia" w:ascii="宋体" w:hAnsi="宋体" w:cs="宋体"/>
          <w:color w:val="auto"/>
          <w:kern w:val="0"/>
          <w:sz w:val="24"/>
        </w:rPr>
      </w:pPr>
      <w:r>
        <w:rPr>
          <w:rFonts w:hint="eastAsia" w:ascii="宋体" w:hAnsi="宋体" w:cs="宋体"/>
          <w:color w:val="auto"/>
          <w:kern w:val="0"/>
          <w:sz w:val="24"/>
        </w:rPr>
        <w:t>供应商名称（电子签章）：</w:t>
      </w:r>
    </w:p>
    <w:p w14:paraId="4B4FACD0">
      <w:pPr>
        <w:autoSpaceDE w:val="0"/>
        <w:autoSpaceDN w:val="0"/>
        <w:spacing w:line="360" w:lineRule="auto"/>
        <w:ind w:firstLine="6480" w:firstLineChars="2700"/>
        <w:rPr>
          <w:rFonts w:hint="eastAsia" w:ascii="宋体" w:hAnsi="宋体" w:cs="宋体"/>
          <w:color w:val="auto"/>
          <w:kern w:val="0"/>
          <w:sz w:val="24"/>
          <w:lang w:val="zh-CN"/>
        </w:rPr>
      </w:pPr>
      <w:r>
        <w:rPr>
          <w:rFonts w:hint="eastAsia" w:ascii="宋体" w:hAnsi="宋体" w:cs="宋体"/>
          <w:color w:val="auto"/>
          <w:kern w:val="0"/>
          <w:sz w:val="24"/>
          <w:lang w:val="zh-CN"/>
        </w:rPr>
        <w:t>日期：  年  月   日</w:t>
      </w:r>
    </w:p>
    <w:p w14:paraId="127F8421">
      <w:pPr>
        <w:pStyle w:val="13"/>
        <w:spacing w:after="0" w:line="360" w:lineRule="auto"/>
        <w:ind w:left="3960" w:right="1808"/>
        <w:contextualSpacing/>
        <w:rPr>
          <w:rFonts w:hint="eastAsia" w:ascii="宋体" w:hAnsi="宋体" w:cs="宋体"/>
          <w:color w:val="auto"/>
        </w:rPr>
      </w:pPr>
    </w:p>
    <w:p w14:paraId="54922734">
      <w:pPr>
        <w:spacing w:line="360" w:lineRule="auto"/>
        <w:jc w:val="left"/>
        <w:rPr>
          <w:rFonts w:hint="eastAsia" w:ascii="宋体" w:hAnsi="宋体" w:cs="宋体"/>
          <w:b/>
          <w:color w:val="auto"/>
          <w:sz w:val="32"/>
          <w:szCs w:val="32"/>
        </w:rPr>
      </w:pPr>
      <w:r>
        <w:rPr>
          <w:rFonts w:hint="eastAsia" w:ascii="宋体" w:hAnsi="宋体" w:cs="宋体"/>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4EF662C">
      <w:pPr>
        <w:autoSpaceDE w:val="0"/>
        <w:autoSpaceDN w:val="0"/>
        <w:spacing w:line="360" w:lineRule="auto"/>
        <w:ind w:left="4335" w:leftChars="1950" w:hanging="240" w:hangingChars="100"/>
        <w:rPr>
          <w:rFonts w:hint="eastAsia" w:ascii="宋体" w:hAnsi="宋体" w:cs="宋体"/>
          <w:color w:val="auto"/>
          <w:kern w:val="0"/>
          <w:sz w:val="24"/>
        </w:rPr>
      </w:pPr>
    </w:p>
    <w:p w14:paraId="72CCA1BB">
      <w:pPr>
        <w:autoSpaceDE w:val="0"/>
        <w:autoSpaceDN w:val="0"/>
        <w:spacing w:line="360" w:lineRule="auto"/>
        <w:ind w:left="4335" w:leftChars="1950" w:hanging="240" w:hangingChars="100"/>
        <w:rPr>
          <w:rFonts w:hint="eastAsia" w:ascii="仿宋_GB2312" w:hAnsi="仿宋" w:eastAsia="仿宋_GB2312" w:cs="仿宋_GB2312"/>
          <w:color w:val="auto"/>
          <w:kern w:val="0"/>
          <w:sz w:val="24"/>
          <w:lang w:bidi="ar"/>
        </w:rPr>
      </w:pPr>
    </w:p>
    <w:p w14:paraId="636E43E2">
      <w:pPr>
        <w:numPr>
          <w:ilvl w:val="0"/>
          <w:numId w:val="0"/>
        </w:numPr>
        <w:snapToGrid w:val="0"/>
        <w:spacing w:line="360" w:lineRule="auto"/>
        <w:ind w:leftChars="200"/>
        <w:rPr>
          <w:rFonts w:hint="eastAsia" w:ascii="仿宋" w:hAnsi="仿宋" w:eastAsia="仿宋" w:cs="仿宋_GB2312"/>
          <w:b/>
          <w:color w:val="auto"/>
          <w:sz w:val="30"/>
          <w:szCs w:val="30"/>
          <w:lang w:bidi="ar"/>
        </w:rPr>
      </w:pPr>
    </w:p>
    <w:p w14:paraId="0C202EEA">
      <w:pPr>
        <w:numPr>
          <w:ilvl w:val="0"/>
          <w:numId w:val="0"/>
        </w:numPr>
        <w:snapToGrid w:val="0"/>
        <w:spacing w:line="360" w:lineRule="auto"/>
        <w:ind w:leftChars="200"/>
        <w:rPr>
          <w:rFonts w:hint="eastAsia" w:ascii="仿宋" w:hAnsi="仿宋" w:eastAsia="仿宋" w:cs="仿宋_GB2312"/>
          <w:b/>
          <w:color w:val="auto"/>
          <w:sz w:val="30"/>
          <w:szCs w:val="30"/>
          <w:lang w:bidi="ar"/>
        </w:rPr>
      </w:pPr>
    </w:p>
    <w:p w14:paraId="4A66C022">
      <w:pPr>
        <w:numPr>
          <w:ilvl w:val="0"/>
          <w:numId w:val="0"/>
        </w:numPr>
        <w:snapToGrid w:val="0"/>
        <w:spacing w:line="360" w:lineRule="auto"/>
        <w:ind w:leftChars="200"/>
        <w:rPr>
          <w:rFonts w:hint="eastAsia" w:ascii="仿宋" w:hAnsi="仿宋" w:eastAsia="仿宋" w:cs="仿宋_GB2312"/>
          <w:b/>
          <w:color w:val="auto"/>
          <w:sz w:val="30"/>
          <w:szCs w:val="30"/>
          <w:lang w:bidi="ar"/>
        </w:rPr>
      </w:pPr>
    </w:p>
    <w:p w14:paraId="3E7F5B42">
      <w:pPr>
        <w:numPr>
          <w:ilvl w:val="0"/>
          <w:numId w:val="0"/>
        </w:numPr>
        <w:snapToGrid w:val="0"/>
        <w:spacing w:line="360" w:lineRule="auto"/>
        <w:ind w:leftChars="200"/>
        <w:rPr>
          <w:rFonts w:hint="eastAsia" w:ascii="仿宋" w:hAnsi="仿宋" w:eastAsia="仿宋" w:cs="仿宋_GB2312"/>
          <w:b/>
          <w:color w:val="auto"/>
          <w:sz w:val="30"/>
          <w:szCs w:val="30"/>
          <w:lang w:bidi="ar"/>
        </w:rPr>
      </w:pPr>
    </w:p>
    <w:p w14:paraId="184F71AF">
      <w:pPr>
        <w:snapToGrid w:val="0"/>
        <w:spacing w:line="360" w:lineRule="auto"/>
        <w:ind w:firstLine="602" w:firstLineChars="200"/>
        <w:rPr>
          <w:rFonts w:hint="eastAsia" w:ascii="仿宋" w:hAnsi="仿宋" w:eastAsia="仿宋" w:cs="仿宋_GB2312"/>
          <w:b/>
          <w:color w:val="auto"/>
          <w:sz w:val="30"/>
          <w:szCs w:val="30"/>
          <w:lang w:val="en-US" w:eastAsia="zh-CN" w:bidi="ar"/>
        </w:rPr>
        <w:sectPr>
          <w:pgSz w:w="11910" w:h="16840"/>
          <w:pgMar w:top="1340" w:right="1500" w:bottom="280" w:left="1680" w:header="720" w:footer="720" w:gutter="0"/>
          <w:pgNumType w:fmt="decimal"/>
          <w:cols w:space="425" w:num="1"/>
          <w:docGrid w:type="lines" w:linePitch="312" w:charSpace="0"/>
        </w:sectPr>
      </w:pPr>
    </w:p>
    <w:p w14:paraId="1E7CB980">
      <w:pPr>
        <w:spacing w:line="520" w:lineRule="exact"/>
        <w:jc w:val="center"/>
        <w:rPr>
          <w:rFonts w:hint="eastAsia" w:ascii="宋体" w:hAnsi="宋体" w:cs="宋体"/>
          <w:color w:val="auto"/>
          <w:sz w:val="32"/>
          <w:szCs w:val="32"/>
        </w:rPr>
      </w:pPr>
      <w:r>
        <w:rPr>
          <w:rFonts w:hint="eastAsia" w:ascii="宋体" w:hAnsi="宋体" w:cs="宋体"/>
          <w:b/>
          <w:bCs/>
          <w:color w:val="auto"/>
          <w:sz w:val="30"/>
          <w:szCs w:val="30"/>
        </w:rPr>
        <w:t>残疾人福利性单位声明函</w:t>
      </w:r>
    </w:p>
    <w:p w14:paraId="14214230">
      <w:pPr>
        <w:spacing w:line="520" w:lineRule="exact"/>
        <w:rPr>
          <w:rFonts w:hint="eastAsia" w:ascii="宋体" w:hAnsi="宋体" w:cs="宋体"/>
          <w:color w:val="auto"/>
          <w:sz w:val="32"/>
          <w:szCs w:val="32"/>
        </w:rPr>
      </w:pPr>
    </w:p>
    <w:p w14:paraId="43D9EF72">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u w:val="single"/>
          <w:lang w:val="en-US" w:eastAsia="zh-CN"/>
        </w:rPr>
        <w:t xml:space="preserve">          </w:t>
      </w:r>
      <w:r>
        <w:rPr>
          <w:rFonts w:hint="eastAsia" w:ascii="宋体" w:hAnsi="宋体" w:cs="宋体"/>
          <w:color w:val="auto"/>
          <w:sz w:val="24"/>
        </w:rPr>
        <w:t>单位的</w:t>
      </w:r>
      <w:r>
        <w:rPr>
          <w:rFonts w:hint="eastAsia" w:ascii="宋体" w:hAnsi="宋体" w:cs="宋体"/>
          <w:color w:val="auto"/>
          <w:sz w:val="24"/>
          <w:u w:val="single"/>
        </w:rPr>
        <w:t xml:space="preserve">         </w:t>
      </w:r>
      <w:r>
        <w:rPr>
          <w:rFonts w:hint="eastAsia" w:ascii="宋体" w:hAnsi="宋体" w:cs="宋体"/>
          <w:color w:val="auto"/>
          <w:sz w:val="24"/>
        </w:rPr>
        <w:t>采购活动由本单位提供服务。</w:t>
      </w:r>
    </w:p>
    <w:p w14:paraId="2032985E">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本单位对上述声明的真实性负责。如有虚假，将依法承担相应责任。</w:t>
      </w:r>
    </w:p>
    <w:p w14:paraId="1EBF9101">
      <w:pPr>
        <w:spacing w:line="360" w:lineRule="auto"/>
        <w:rPr>
          <w:rFonts w:hint="eastAsia" w:ascii="宋体" w:hAnsi="宋体" w:cs="宋体"/>
          <w:color w:val="auto"/>
          <w:sz w:val="24"/>
        </w:rPr>
      </w:pPr>
    </w:p>
    <w:p w14:paraId="370501BB">
      <w:pPr>
        <w:spacing w:line="360" w:lineRule="auto"/>
        <w:rPr>
          <w:rFonts w:hint="eastAsia" w:ascii="宋体" w:hAnsi="宋体" w:cs="宋体"/>
          <w:color w:val="auto"/>
          <w:sz w:val="24"/>
        </w:rPr>
      </w:pPr>
    </w:p>
    <w:p w14:paraId="1973E9AC">
      <w:pPr>
        <w:spacing w:line="360" w:lineRule="auto"/>
        <w:rPr>
          <w:rFonts w:hint="eastAsia" w:ascii="宋体" w:hAnsi="宋体" w:cs="宋体"/>
          <w:color w:val="auto"/>
          <w:sz w:val="24"/>
        </w:rPr>
      </w:pPr>
    </w:p>
    <w:p w14:paraId="7943DDE4">
      <w:pPr>
        <w:spacing w:line="360" w:lineRule="auto"/>
        <w:ind w:firstLine="2400" w:firstLineChars="1000"/>
        <w:rPr>
          <w:rFonts w:hint="eastAsia" w:ascii="宋体" w:hAnsi="宋体" w:cs="宋体"/>
          <w:color w:val="auto"/>
          <w:sz w:val="24"/>
        </w:rPr>
      </w:pPr>
      <w:r>
        <w:rPr>
          <w:rFonts w:hint="eastAsia" w:ascii="宋体" w:hAnsi="宋体" w:cs="宋体"/>
          <w:color w:val="auto"/>
          <w:sz w:val="24"/>
        </w:rPr>
        <w:t>供应商名称（电子签章）：</w:t>
      </w:r>
    </w:p>
    <w:p w14:paraId="1A67453B">
      <w:pPr>
        <w:spacing w:line="360" w:lineRule="auto"/>
        <w:ind w:firstLine="4320" w:firstLineChars="1800"/>
        <w:rPr>
          <w:rFonts w:hint="eastAsia" w:ascii="宋体" w:hAnsi="宋体" w:cs="宋体"/>
          <w:color w:val="auto"/>
          <w:sz w:val="24"/>
        </w:rPr>
      </w:pPr>
      <w:r>
        <w:rPr>
          <w:rFonts w:hint="eastAsia" w:ascii="宋体" w:hAnsi="宋体" w:cs="宋体"/>
          <w:color w:val="auto"/>
          <w:sz w:val="24"/>
        </w:rPr>
        <w:t>日  期：   年   月   日</w:t>
      </w:r>
    </w:p>
    <w:p w14:paraId="77AF1C2C">
      <w:pPr>
        <w:spacing w:line="360" w:lineRule="auto"/>
        <w:rPr>
          <w:rFonts w:hint="eastAsia" w:ascii="宋体" w:hAnsi="宋体" w:cs="宋体"/>
          <w:color w:val="auto"/>
          <w:sz w:val="24"/>
        </w:rPr>
      </w:pPr>
    </w:p>
    <w:p w14:paraId="20807D22">
      <w:pPr>
        <w:spacing w:line="360" w:lineRule="auto"/>
        <w:rPr>
          <w:rFonts w:hint="eastAsia" w:ascii="宋体" w:hAnsi="宋体" w:cs="宋体"/>
          <w:color w:val="auto"/>
          <w:sz w:val="24"/>
        </w:rPr>
      </w:pPr>
    </w:p>
    <w:p w14:paraId="62384C49">
      <w:pPr>
        <w:spacing w:line="360" w:lineRule="auto"/>
        <w:rPr>
          <w:rFonts w:hint="eastAsia" w:ascii="宋体" w:hAnsi="宋体" w:cs="宋体"/>
          <w:color w:val="auto"/>
          <w:sz w:val="24"/>
        </w:rPr>
      </w:pPr>
    </w:p>
    <w:p w14:paraId="72531D4D">
      <w:pPr>
        <w:spacing w:line="360" w:lineRule="auto"/>
        <w:rPr>
          <w:rFonts w:hint="eastAsia" w:ascii="宋体" w:hAnsi="宋体" w:cs="宋体"/>
          <w:color w:val="auto"/>
          <w:sz w:val="24"/>
        </w:rPr>
      </w:pPr>
      <w:r>
        <w:rPr>
          <w:rFonts w:hint="eastAsia" w:ascii="宋体" w:hAnsi="宋体" w:cs="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5DE1F634">
      <w:pPr>
        <w:spacing w:line="520" w:lineRule="exact"/>
        <w:jc w:val="center"/>
        <w:rPr>
          <w:rFonts w:hint="eastAsia" w:ascii="宋体" w:hAnsi="宋体" w:cs="宋体"/>
          <w:color w:val="auto"/>
          <w:sz w:val="24"/>
        </w:rPr>
      </w:pPr>
    </w:p>
    <w:p w14:paraId="7B63AFD2">
      <w:pPr>
        <w:snapToGrid w:val="0"/>
        <w:spacing w:line="360" w:lineRule="auto"/>
        <w:ind w:firstLine="602" w:firstLineChars="200"/>
        <w:rPr>
          <w:rFonts w:hint="eastAsia" w:ascii="仿宋" w:hAnsi="仿宋" w:eastAsia="仿宋" w:cs="仿宋_GB2312"/>
          <w:b/>
          <w:color w:val="auto"/>
          <w:sz w:val="30"/>
          <w:szCs w:val="30"/>
          <w:lang w:val="en-US" w:eastAsia="zh-CN" w:bidi="ar"/>
        </w:rPr>
        <w:sectPr>
          <w:pgSz w:w="11910" w:h="16840"/>
          <w:pgMar w:top="1340" w:right="1500" w:bottom="280" w:left="1680" w:header="720" w:footer="720" w:gutter="0"/>
          <w:pgNumType w:fmt="decimal"/>
          <w:cols w:space="425" w:num="1"/>
          <w:docGrid w:type="lines" w:linePitch="312" w:charSpace="0"/>
        </w:sectPr>
      </w:pPr>
    </w:p>
    <w:p w14:paraId="250B59D3">
      <w:pPr>
        <w:snapToGrid w:val="0"/>
        <w:spacing w:line="360" w:lineRule="auto"/>
        <w:ind w:firstLine="602" w:firstLineChars="200"/>
        <w:rPr>
          <w:rFonts w:hint="eastAsia" w:ascii="仿宋" w:hAnsi="仿宋" w:eastAsia="仿宋" w:cs="仿宋_GB2312"/>
          <w:b/>
          <w:color w:val="auto"/>
          <w:sz w:val="30"/>
          <w:szCs w:val="30"/>
          <w:lang w:val="zh-CN" w:bidi="ar"/>
        </w:rPr>
      </w:pPr>
      <w:r>
        <w:rPr>
          <w:rFonts w:hint="eastAsia" w:ascii="仿宋" w:hAnsi="仿宋" w:eastAsia="仿宋" w:cs="仿宋_GB2312"/>
          <w:b/>
          <w:color w:val="auto"/>
          <w:sz w:val="30"/>
          <w:szCs w:val="30"/>
          <w:lang w:val="en-US" w:eastAsia="zh-CN" w:bidi="ar"/>
        </w:rPr>
        <w:t>十</w:t>
      </w:r>
      <w:r>
        <w:rPr>
          <w:rFonts w:hint="eastAsia" w:ascii="仿宋" w:hAnsi="仿宋" w:eastAsia="仿宋" w:cs="仿宋_GB2312"/>
          <w:b/>
          <w:color w:val="auto"/>
          <w:sz w:val="30"/>
          <w:szCs w:val="30"/>
          <w:lang w:bidi="ar"/>
        </w:rPr>
        <w:t>.除磋商文件规定必须提供以外，供应商认为需要提供的其他证明材料；…（页码）</w:t>
      </w:r>
    </w:p>
    <w:p w14:paraId="0C177D72">
      <w:pPr>
        <w:autoSpaceDE w:val="0"/>
        <w:autoSpaceDN w:val="0"/>
        <w:spacing w:line="360" w:lineRule="auto"/>
        <w:ind w:firstLine="6120" w:firstLineChars="2550"/>
        <w:rPr>
          <w:rFonts w:hint="eastAsia" w:ascii="仿宋_GB2312" w:hAnsi="仿宋" w:eastAsia="仿宋_GB2312" w:cs="仿宋_GB2312"/>
          <w:color w:val="auto"/>
          <w:kern w:val="0"/>
          <w:sz w:val="24"/>
          <w:lang w:val="zh-CN"/>
        </w:rPr>
      </w:pPr>
    </w:p>
    <w:p w14:paraId="47019F52">
      <w:pPr>
        <w:snapToGrid w:val="0"/>
        <w:spacing w:line="360" w:lineRule="auto"/>
        <w:ind w:firstLine="602" w:firstLineChars="200"/>
        <w:rPr>
          <w:rFonts w:hint="eastAsia" w:ascii="仿宋" w:hAnsi="仿宋" w:eastAsia="仿宋" w:cs="仿宋_GB2312"/>
          <w:b/>
          <w:color w:val="auto"/>
          <w:sz w:val="30"/>
          <w:szCs w:val="30"/>
        </w:rPr>
      </w:pPr>
    </w:p>
    <w:p w14:paraId="601A98E1">
      <w:pPr>
        <w:autoSpaceDE w:val="0"/>
        <w:autoSpaceDN w:val="0"/>
        <w:spacing w:line="360" w:lineRule="auto"/>
        <w:ind w:left="4335" w:leftChars="1950" w:hanging="240" w:hangingChars="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587E2AEA">
      <w:pPr>
        <w:autoSpaceDE w:val="0"/>
        <w:autoSpaceDN w:val="0"/>
        <w:spacing w:line="360" w:lineRule="auto"/>
        <w:ind w:firstLine="6480" w:firstLineChars="270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bidi="ar"/>
        </w:rPr>
        <w:t>日期：  年  月   日</w:t>
      </w:r>
    </w:p>
    <w:p w14:paraId="3D2FEF4F">
      <w:pPr>
        <w:spacing w:line="360" w:lineRule="auto"/>
        <w:rPr>
          <w:rFonts w:hint="eastAsia" w:ascii="仿宋_GB2312" w:hAnsi="仿宋" w:eastAsia="仿宋_GB2312" w:cs="仿宋_GB2312"/>
          <w:color w:val="auto"/>
          <w:sz w:val="24"/>
          <w:lang w:val="zh-CN" w:bidi="ar"/>
        </w:rPr>
        <w:sectPr>
          <w:pgSz w:w="11910" w:h="16840"/>
          <w:pgMar w:top="1340" w:right="1500" w:bottom="280" w:left="1680" w:header="720" w:footer="720" w:gutter="0"/>
          <w:pgNumType w:fmt="decimal"/>
          <w:cols w:space="425" w:num="1"/>
          <w:docGrid w:type="lines" w:linePitch="312" w:charSpace="0"/>
        </w:sectPr>
      </w:pPr>
    </w:p>
    <w:p w14:paraId="793AA23E">
      <w:pPr>
        <w:pStyle w:val="3"/>
        <w:widowControl/>
        <w:jc w:val="center"/>
        <w:rPr>
          <w:rFonts w:hint="eastAsia" w:ascii="宋体" w:hAnsi="宋体" w:eastAsia="宋体" w:cs="宋体"/>
          <w:b w:val="0"/>
          <w:color w:val="auto"/>
        </w:rPr>
      </w:pPr>
      <w:r>
        <w:rPr>
          <w:rFonts w:hint="eastAsia" w:ascii="宋体" w:hAnsi="宋体" w:eastAsia="宋体" w:cs="宋体"/>
          <w:b w:val="0"/>
          <w:bCs w:val="0"/>
          <w:color w:val="auto"/>
        </w:rPr>
        <w:t xml:space="preserve">第三节 </w:t>
      </w:r>
      <w:r>
        <w:rPr>
          <w:rFonts w:hint="eastAsia" w:ascii="宋体" w:hAnsi="宋体" w:eastAsia="宋体" w:cs="宋体"/>
          <w:b w:val="0"/>
          <w:color w:val="auto"/>
        </w:rPr>
        <w:t>商务技术文件格式</w:t>
      </w:r>
      <w:bookmarkEnd w:id="74"/>
      <w:bookmarkEnd w:id="75"/>
    </w:p>
    <w:p w14:paraId="55BD81DE">
      <w:pPr>
        <w:snapToGrid w:val="0"/>
        <w:spacing w:before="156" w:beforeLines="50" w:after="50"/>
        <w:rPr>
          <w:rFonts w:hint="eastAsia" w:ascii="宋体" w:hAnsi="宋体" w:eastAsia="宋体" w:cs="宋体"/>
          <w:bCs/>
          <w:color w:val="auto"/>
          <w:sz w:val="32"/>
          <w:szCs w:val="20"/>
        </w:rPr>
      </w:pPr>
      <w:r>
        <w:rPr>
          <w:rFonts w:hint="eastAsia" w:ascii="宋体" w:hAnsi="宋体" w:eastAsia="宋体" w:cs="宋体"/>
          <w:color w:val="auto"/>
          <w:sz w:val="24"/>
          <w:lang w:bidi="ar"/>
        </w:rPr>
        <w:t xml:space="preserve">                                                    </w:t>
      </w:r>
      <w:r>
        <w:rPr>
          <w:rFonts w:hint="eastAsia" w:ascii="宋体" w:hAnsi="宋体" w:eastAsia="宋体" w:cs="宋体"/>
          <w:bCs/>
          <w:color w:val="auto"/>
          <w:lang w:bidi="ar"/>
        </w:rPr>
        <w:t>全流程电子文件</w:t>
      </w:r>
    </w:p>
    <w:p w14:paraId="2411F4C6">
      <w:pPr>
        <w:snapToGrid w:val="0"/>
        <w:spacing w:before="156" w:beforeLines="50" w:after="50"/>
        <w:rPr>
          <w:rFonts w:hint="eastAsia" w:ascii="宋体" w:hAnsi="宋体" w:eastAsia="宋体" w:cs="宋体"/>
          <w:color w:val="auto"/>
          <w:sz w:val="24"/>
          <w:szCs w:val="20"/>
        </w:rPr>
      </w:pPr>
    </w:p>
    <w:p w14:paraId="582954F2">
      <w:pPr>
        <w:snapToGrid w:val="0"/>
        <w:spacing w:before="156" w:beforeLines="50" w:after="50"/>
        <w:rPr>
          <w:rFonts w:hint="eastAsia" w:ascii="宋体" w:hAnsi="宋体" w:eastAsia="宋体" w:cs="宋体"/>
          <w:color w:val="auto"/>
          <w:sz w:val="24"/>
          <w:szCs w:val="20"/>
        </w:rPr>
      </w:pPr>
    </w:p>
    <w:p w14:paraId="787F4827">
      <w:pPr>
        <w:snapToGrid w:val="0"/>
        <w:spacing w:before="156" w:beforeLines="50" w:after="50"/>
        <w:rPr>
          <w:rFonts w:hint="eastAsia" w:ascii="宋体" w:hAnsi="宋体" w:eastAsia="宋体" w:cs="宋体"/>
          <w:color w:val="auto"/>
          <w:sz w:val="24"/>
          <w:szCs w:val="20"/>
        </w:rPr>
      </w:pPr>
    </w:p>
    <w:p w14:paraId="4C67A5CE">
      <w:pPr>
        <w:snapToGrid w:val="0"/>
        <w:spacing w:before="156"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bidi="ar"/>
        </w:rPr>
        <w:t>商  务  技  术  文  件（封面）</w:t>
      </w:r>
    </w:p>
    <w:p w14:paraId="5DF283EA">
      <w:pPr>
        <w:snapToGrid w:val="0"/>
        <w:spacing w:before="156" w:beforeLines="50" w:after="50"/>
        <w:rPr>
          <w:rFonts w:hint="eastAsia" w:ascii="宋体" w:hAnsi="宋体" w:eastAsia="宋体" w:cs="宋体"/>
          <w:bCs/>
          <w:color w:val="auto"/>
          <w:sz w:val="24"/>
          <w:szCs w:val="20"/>
        </w:rPr>
      </w:pPr>
    </w:p>
    <w:p w14:paraId="343092BA">
      <w:pPr>
        <w:snapToGrid w:val="0"/>
        <w:spacing w:before="156" w:beforeLines="50" w:after="50"/>
        <w:rPr>
          <w:rFonts w:hint="eastAsia" w:ascii="宋体" w:hAnsi="宋体" w:eastAsia="宋体" w:cs="宋体"/>
          <w:bCs/>
          <w:color w:val="auto"/>
          <w:sz w:val="24"/>
          <w:szCs w:val="20"/>
        </w:rPr>
      </w:pPr>
    </w:p>
    <w:p w14:paraId="0B076DB7">
      <w:pPr>
        <w:snapToGrid w:val="0"/>
        <w:spacing w:before="156" w:beforeLines="50" w:after="50"/>
        <w:rPr>
          <w:rFonts w:hint="eastAsia" w:ascii="宋体" w:hAnsi="宋体" w:eastAsia="宋体" w:cs="宋体"/>
          <w:bCs/>
          <w:color w:val="auto"/>
          <w:sz w:val="24"/>
          <w:szCs w:val="20"/>
        </w:rPr>
      </w:pPr>
    </w:p>
    <w:p w14:paraId="08EC8E75">
      <w:pPr>
        <w:snapToGrid w:val="0"/>
        <w:spacing w:before="156" w:beforeLines="50" w:after="50"/>
        <w:rPr>
          <w:rFonts w:hint="eastAsia" w:ascii="宋体" w:hAnsi="宋体" w:eastAsia="宋体" w:cs="宋体"/>
          <w:bCs/>
          <w:color w:val="auto"/>
          <w:sz w:val="24"/>
          <w:szCs w:val="20"/>
        </w:rPr>
      </w:pPr>
    </w:p>
    <w:p w14:paraId="3EFFCD9C">
      <w:pPr>
        <w:snapToGrid w:val="0"/>
        <w:spacing w:before="156" w:beforeLines="50" w:after="50"/>
        <w:rPr>
          <w:rFonts w:hint="eastAsia" w:ascii="宋体" w:hAnsi="宋体" w:eastAsia="宋体" w:cs="宋体"/>
          <w:bCs/>
          <w:color w:val="auto"/>
          <w:sz w:val="24"/>
          <w:szCs w:val="20"/>
        </w:rPr>
      </w:pPr>
    </w:p>
    <w:p w14:paraId="7FA0B6AB">
      <w:pPr>
        <w:snapToGrid w:val="0"/>
        <w:spacing w:before="156" w:beforeLines="50" w:after="50"/>
        <w:ind w:firstLine="640" w:firstLineChars="200"/>
        <w:rPr>
          <w:rFonts w:hint="eastAsia" w:ascii="宋体" w:hAnsi="宋体" w:eastAsia="宋体" w:cs="仿宋_GB2312"/>
          <w:bCs/>
          <w:color w:val="auto"/>
          <w:sz w:val="32"/>
          <w:szCs w:val="32"/>
          <w:lang w:eastAsia="zh-CN"/>
        </w:rPr>
      </w:pPr>
      <w:r>
        <w:rPr>
          <w:rFonts w:hint="eastAsia" w:ascii="宋体" w:hAnsi="宋体" w:eastAsia="宋体" w:cs="仿宋_GB2312"/>
          <w:bCs/>
          <w:color w:val="auto"/>
          <w:sz w:val="32"/>
          <w:szCs w:val="32"/>
          <w:lang w:bidi="ar"/>
        </w:rPr>
        <w:t>项目名称：</w:t>
      </w:r>
      <w:r>
        <w:rPr>
          <w:rFonts w:hint="eastAsia" w:ascii="宋体" w:hAnsi="宋体" w:eastAsia="宋体" w:cs="仿宋_GB2312"/>
          <w:bCs/>
          <w:color w:val="auto"/>
          <w:sz w:val="32"/>
          <w:szCs w:val="32"/>
          <w:lang w:eastAsia="zh-CN" w:bidi="ar"/>
        </w:rPr>
        <w:t>南宁市武鸣区2025年第一批中央财政水利发展资金农村饮水工程维修养护项目</w:t>
      </w:r>
    </w:p>
    <w:p w14:paraId="6D402E62">
      <w:pPr>
        <w:snapToGrid w:val="0"/>
        <w:spacing w:before="156" w:beforeLines="50" w:after="50"/>
        <w:ind w:firstLine="720" w:firstLineChars="225"/>
        <w:rPr>
          <w:rFonts w:hint="eastAsia" w:ascii="宋体" w:hAnsi="宋体" w:eastAsia="宋体" w:cs="仿宋_GB2312"/>
          <w:bCs/>
          <w:color w:val="auto"/>
          <w:sz w:val="32"/>
          <w:szCs w:val="32"/>
        </w:rPr>
      </w:pPr>
    </w:p>
    <w:p w14:paraId="49EB9AB7">
      <w:pPr>
        <w:snapToGrid w:val="0"/>
        <w:spacing w:before="156" w:beforeLines="50" w:after="50"/>
        <w:ind w:firstLine="640" w:firstLineChars="200"/>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项目编号：</w:t>
      </w:r>
      <w:bookmarkStart w:id="76" w:name="PO_3000001868_PM001_7"/>
      <w:r>
        <w:rPr>
          <w:rFonts w:hint="eastAsia" w:ascii="宋体" w:hAnsi="宋体" w:eastAsia="宋体" w:cs="仿宋_GB2312"/>
          <w:bCs/>
          <w:color w:val="auto"/>
          <w:sz w:val="32"/>
          <w:szCs w:val="32"/>
          <w:lang w:bidi="ar"/>
        </w:rPr>
        <w:t>[项目采购-项目编号_7]</w:t>
      </w:r>
      <w:bookmarkEnd w:id="76"/>
    </w:p>
    <w:p w14:paraId="4D7CDAAF">
      <w:pPr>
        <w:snapToGrid w:val="0"/>
        <w:spacing w:before="156" w:beforeLines="50" w:after="50"/>
        <w:ind w:firstLine="720" w:firstLineChars="225"/>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 xml:space="preserve"> </w:t>
      </w:r>
    </w:p>
    <w:p w14:paraId="19E93049">
      <w:pPr>
        <w:snapToGrid w:val="0"/>
        <w:spacing w:before="156" w:beforeLines="50" w:after="50"/>
        <w:ind w:firstLine="640" w:firstLineChars="200"/>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所竞分标（如有则填写，无分标时填写“无”或者留空）：</w:t>
      </w:r>
    </w:p>
    <w:p w14:paraId="515DE671">
      <w:pPr>
        <w:snapToGrid w:val="0"/>
        <w:spacing w:before="156" w:beforeLines="50" w:after="50"/>
        <w:ind w:firstLine="720" w:firstLineChars="225"/>
        <w:rPr>
          <w:rFonts w:hint="eastAsia" w:ascii="宋体" w:hAnsi="宋体" w:eastAsia="宋体" w:cs="仿宋_GB2312"/>
          <w:bCs/>
          <w:color w:val="auto"/>
          <w:sz w:val="32"/>
          <w:szCs w:val="32"/>
        </w:rPr>
      </w:pPr>
    </w:p>
    <w:p w14:paraId="555F8BB7">
      <w:pPr>
        <w:pStyle w:val="9"/>
        <w:widowControl/>
        <w:snapToGrid w:val="0"/>
        <w:spacing w:before="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6AAF060B">
      <w:pPr>
        <w:pStyle w:val="9"/>
        <w:widowControl/>
        <w:snapToGrid w:val="0"/>
        <w:spacing w:before="50" w:after="50"/>
        <w:ind w:firstLine="720" w:firstLineChars="225"/>
        <w:rPr>
          <w:rFonts w:hint="eastAsia" w:ascii="宋体" w:hAnsi="宋体" w:cs="仿宋_GB2312"/>
          <w:bCs/>
          <w:color w:val="auto"/>
          <w:sz w:val="32"/>
          <w:szCs w:val="32"/>
        </w:rPr>
      </w:pPr>
    </w:p>
    <w:p w14:paraId="352D52F5">
      <w:pPr>
        <w:pStyle w:val="9"/>
        <w:widowControl/>
        <w:snapToGrid w:val="0"/>
        <w:spacing w:before="50" w:after="50"/>
        <w:ind w:firstLine="720" w:firstLineChars="225"/>
        <w:rPr>
          <w:rFonts w:hint="eastAsia" w:ascii="宋体" w:hAnsi="宋体" w:cs="仿宋_GB2312"/>
          <w:bCs/>
          <w:color w:val="auto"/>
          <w:sz w:val="32"/>
          <w:szCs w:val="32"/>
        </w:rPr>
      </w:pPr>
    </w:p>
    <w:p w14:paraId="0256BEC6">
      <w:pPr>
        <w:pStyle w:val="9"/>
        <w:widowControl/>
        <w:snapToGrid w:val="0"/>
        <w:spacing w:before="50" w:after="50"/>
        <w:ind w:firstLine="1280" w:firstLineChars="400"/>
        <w:rPr>
          <w:rFonts w:hint="eastAsia" w:ascii="宋体" w:hAnsi="宋体" w:cs="仿宋_GB2312"/>
          <w:bCs/>
          <w:color w:val="auto"/>
          <w:sz w:val="32"/>
          <w:szCs w:val="32"/>
        </w:rPr>
      </w:pPr>
    </w:p>
    <w:p w14:paraId="6B6D5446">
      <w:pPr>
        <w:snapToGrid w:val="0"/>
        <w:spacing w:before="156" w:beforeLines="50" w:after="50"/>
        <w:jc w:val="center"/>
        <w:rPr>
          <w:rFonts w:hint="eastAsia" w:ascii="宋体" w:hAnsi="宋体" w:eastAsia="宋体" w:cs="仿宋_GB2312"/>
          <w:color w:val="auto"/>
          <w:sz w:val="32"/>
          <w:szCs w:val="32"/>
        </w:rPr>
      </w:pPr>
      <w:r>
        <w:rPr>
          <w:rFonts w:hint="eastAsia" w:ascii="宋体" w:hAnsi="宋体" w:eastAsia="宋体" w:cs="仿宋_GB2312"/>
          <w:color w:val="auto"/>
          <w:sz w:val="32"/>
          <w:szCs w:val="32"/>
          <w:lang w:bidi="ar"/>
        </w:rPr>
        <w:t>年    月    日</w:t>
      </w:r>
    </w:p>
    <w:p w14:paraId="2471F7A5">
      <w:pPr>
        <w:spacing w:line="360" w:lineRule="auto"/>
        <w:rPr>
          <w:rFonts w:hint="eastAsia" w:ascii="宋体" w:hAnsi="宋体" w:eastAsia="宋体" w:cs="Times New Roman"/>
          <w:b/>
          <w:bCs/>
          <w:color w:val="auto"/>
          <w:sz w:val="32"/>
          <w:szCs w:val="32"/>
          <w:lang w:bidi="ar"/>
        </w:rPr>
        <w:sectPr>
          <w:pgSz w:w="11910" w:h="16840"/>
          <w:pgMar w:top="1340" w:right="1500" w:bottom="1304" w:left="1680" w:header="720" w:footer="720" w:gutter="0"/>
          <w:pgNumType w:fmt="decimal"/>
          <w:cols w:space="425" w:num="1"/>
          <w:docGrid w:type="lines" w:linePitch="312" w:charSpace="0"/>
        </w:sectPr>
      </w:pPr>
    </w:p>
    <w:p w14:paraId="64FCCEA2">
      <w:pPr>
        <w:jc w:val="center"/>
        <w:rPr>
          <w:rFonts w:hint="eastAsia" w:ascii="仿宋_GB2312" w:hAnsi="仿宋" w:eastAsia="仿宋_GB2312" w:cs="仿宋_GB2312"/>
          <w:b/>
          <w:color w:val="auto"/>
          <w:kern w:val="0"/>
          <w:sz w:val="28"/>
          <w:szCs w:val="28"/>
        </w:rPr>
      </w:pPr>
      <w:r>
        <w:rPr>
          <w:rFonts w:hint="eastAsia" w:ascii="仿宋_GB2312" w:hAnsi="仿宋" w:eastAsia="仿宋_GB2312" w:cs="仿宋_GB2312"/>
          <w:b/>
          <w:color w:val="auto"/>
          <w:kern w:val="0"/>
          <w:sz w:val="28"/>
          <w:szCs w:val="28"/>
          <w:lang w:bidi="ar"/>
        </w:rPr>
        <w:t>商务技术文件目录</w:t>
      </w:r>
    </w:p>
    <w:p w14:paraId="56D6607A">
      <w:pPr>
        <w:jc w:val="center"/>
        <w:rPr>
          <w:rFonts w:hint="eastAsia" w:ascii="仿宋_GB2312" w:hAnsi="仿宋" w:eastAsia="仿宋_GB2312" w:cs="仿宋_GB2312"/>
          <w:b/>
          <w:color w:val="auto"/>
          <w:kern w:val="0"/>
          <w:sz w:val="28"/>
          <w:szCs w:val="28"/>
        </w:rPr>
      </w:pPr>
    </w:p>
    <w:p w14:paraId="44364689">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一、无串标行为承诺函………………………………………………………（页码）</w:t>
      </w:r>
    </w:p>
    <w:p w14:paraId="1F92DF79">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二、法定代表人身份证明及法定代表人有效身份证正反面复印件………（页码）</w:t>
      </w:r>
    </w:p>
    <w:p w14:paraId="4231AE80">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三、法定代表人授权委托书（如有委托时）………………………………（页码）</w:t>
      </w:r>
    </w:p>
    <w:p w14:paraId="0EFC25F3">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四、商务条款偏离表…………………………………………………………（页码）</w:t>
      </w:r>
    </w:p>
    <w:p w14:paraId="22035A7C">
      <w:pPr>
        <w:spacing w:line="480" w:lineRule="exact"/>
        <w:ind w:firstLine="48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五、供应商认为需要提供的其他有关资料（比如：</w:t>
      </w:r>
      <w:r>
        <w:rPr>
          <w:rFonts w:hint="default" w:ascii="宋体" w:hAnsi="宋体" w:eastAsia="宋体" w:cs="宋体"/>
          <w:color w:val="auto"/>
          <w:sz w:val="24"/>
          <w:szCs w:val="24"/>
          <w:highlight w:val="none"/>
          <w:lang w:val="zh-CN"/>
        </w:rPr>
        <w:t>供应商类似的业绩证明文件</w:t>
      </w:r>
      <w:r>
        <w:rPr>
          <w:rFonts w:hint="default" w:ascii="宋体" w:hAnsi="宋体" w:eastAsia="宋体" w:cs="宋体"/>
          <w:color w:val="auto"/>
          <w:sz w:val="24"/>
          <w:szCs w:val="24"/>
          <w:highlight w:val="none"/>
        </w:rPr>
        <w:t>）</w:t>
      </w:r>
    </w:p>
    <w:p w14:paraId="7413D79A">
      <w:pPr>
        <w:pStyle w:val="13"/>
        <w:ind w:firstLine="48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…………………………（页码）</w:t>
      </w:r>
    </w:p>
    <w:p w14:paraId="7A66E78F">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磋商人情况介绍</w:t>
      </w:r>
      <w:r>
        <w:rPr>
          <w:rFonts w:hint="default" w:ascii="宋体" w:hAnsi="宋体" w:eastAsia="宋体" w:cs="宋体"/>
          <w:color w:val="auto"/>
          <w:sz w:val="24"/>
          <w:szCs w:val="24"/>
          <w:highlight w:val="none"/>
        </w:rPr>
        <w:t>…………………………………………………………（页码）</w:t>
      </w:r>
    </w:p>
    <w:p w14:paraId="7BA555D2">
      <w:pPr>
        <w:adjustRightInd w:val="0"/>
        <w:spacing w:line="360" w:lineRule="auto"/>
        <w:ind w:left="2" w:firstLine="480" w:firstLineChars="200"/>
        <w:rPr>
          <w:rFonts w:hint="eastAsia"/>
          <w:color w:val="auto"/>
          <w:sz w:val="21"/>
          <w:szCs w:val="24"/>
          <w:highlight w:val="none"/>
        </w:rPr>
      </w:pPr>
      <w:r>
        <w:rPr>
          <w:rFonts w:hint="default" w:ascii="宋体" w:hAnsi="宋体" w:eastAsia="宋体" w:cs="宋体"/>
          <w:color w:val="auto"/>
          <w:sz w:val="24"/>
          <w:szCs w:val="24"/>
          <w:highlight w:val="none"/>
        </w:rPr>
        <w:t>七、技术需求偏离表…………………………………………………………（页码）</w:t>
      </w:r>
    </w:p>
    <w:p w14:paraId="0C9115F9">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八、项目经理简历表…………………………………………………………（页码）</w:t>
      </w:r>
    </w:p>
    <w:p w14:paraId="46819091">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九、主要施工管理人员表……………………………………………………（页码）</w:t>
      </w:r>
    </w:p>
    <w:p w14:paraId="6AEBD1A0">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十、项目经理未在其他在施建设工程项目中任职的承诺函……………（页码）</w:t>
      </w:r>
    </w:p>
    <w:p w14:paraId="6A2E0971">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十一、安全员未在其他在施建设工程项目中任专职安全员的承诺函……（页码）</w:t>
      </w:r>
    </w:p>
    <w:p w14:paraId="1F790144">
      <w:pPr>
        <w:pStyle w:val="13"/>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十二、农民工工资保证金的交纳与使用的承诺书…………………………（页码）</w:t>
      </w:r>
    </w:p>
    <w:p w14:paraId="34DA01B6">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十三、施工组织设计…………………………………………………………（页码）</w:t>
      </w:r>
    </w:p>
    <w:p w14:paraId="5FDA5ECC">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十四、按本竞争性磋商文件规定提交的其它资料</w:t>
      </w:r>
      <w:r>
        <w:rPr>
          <w:rFonts w:hint="default" w:ascii="宋体" w:hAnsi="宋体" w:eastAsia="宋体" w:cs="宋体"/>
          <w:color w:val="auto"/>
          <w:sz w:val="24"/>
          <w:szCs w:val="24"/>
          <w:highlight w:val="none"/>
          <w:lang w:val="zh-CN"/>
        </w:rPr>
        <w:t>……………………</w:t>
      </w:r>
      <w:r>
        <w:rPr>
          <w:rFonts w:hint="default" w:ascii="宋体" w:hAnsi="宋体" w:eastAsia="宋体" w:cs="宋体"/>
          <w:color w:val="auto"/>
          <w:sz w:val="24"/>
          <w:szCs w:val="24"/>
          <w:highlight w:val="none"/>
        </w:rPr>
        <w:t>……（页码）</w:t>
      </w:r>
    </w:p>
    <w:p w14:paraId="24D93EF7">
      <w:pPr>
        <w:spacing w:line="360" w:lineRule="auto"/>
        <w:rPr>
          <w:rFonts w:hint="default" w:ascii="宋体" w:hAnsi="宋体" w:eastAsia="宋体" w:cs="宋体"/>
          <w:b/>
          <w:color w:val="auto"/>
          <w:sz w:val="24"/>
          <w:szCs w:val="24"/>
          <w:highlight w:val="none"/>
        </w:rPr>
      </w:pPr>
      <w:r>
        <w:rPr>
          <w:rFonts w:hint="default" w:ascii="宋体" w:hAnsi="宋体" w:eastAsia="宋体" w:cs="宋体"/>
          <w:b/>
          <w:color w:val="auto"/>
          <w:sz w:val="24"/>
          <w:szCs w:val="24"/>
          <w:highlight w:val="none"/>
        </w:rPr>
        <w:t>注：以上目录是基本格式要求，各供应商可根据自身情况进一步向下增加内容或细化。</w:t>
      </w:r>
    </w:p>
    <w:p w14:paraId="258E6F66">
      <w:pPr>
        <w:spacing w:line="400" w:lineRule="exact"/>
        <w:rPr>
          <w:rFonts w:hint="eastAsia" w:ascii="宋体" w:hAnsi="宋体" w:cs="宋体"/>
          <w:color w:val="auto"/>
          <w:sz w:val="32"/>
          <w:szCs w:val="32"/>
        </w:rPr>
      </w:pPr>
    </w:p>
    <w:p w14:paraId="40F3DCFD">
      <w:pPr>
        <w:rPr>
          <w:rFonts w:hint="eastAsia" w:ascii="仿宋" w:hAnsi="仿宋" w:eastAsia="仿宋" w:cs="仿宋_GB2312"/>
          <w:b/>
          <w:color w:val="auto"/>
          <w:sz w:val="30"/>
          <w:szCs w:val="30"/>
          <w:lang w:bidi="ar"/>
        </w:rPr>
      </w:pPr>
      <w:r>
        <w:rPr>
          <w:rFonts w:hint="eastAsia" w:ascii="仿宋" w:hAnsi="仿宋" w:eastAsia="仿宋" w:cs="仿宋_GB2312"/>
          <w:b/>
          <w:color w:val="auto"/>
          <w:sz w:val="30"/>
          <w:szCs w:val="30"/>
          <w:lang w:bidi="ar"/>
        </w:rPr>
        <w:br w:type="page"/>
      </w:r>
    </w:p>
    <w:p w14:paraId="09ADB85E">
      <w:pPr>
        <w:spacing w:line="520" w:lineRule="exact"/>
        <w:ind w:firstLine="602" w:firstLineChars="200"/>
        <w:rPr>
          <w:rFonts w:hint="eastAsia" w:ascii="方正小标宋简体" w:hAnsi="方正小标宋简体" w:eastAsia="方正小标宋简体" w:cs="方正小标宋简体"/>
          <w:color w:val="auto"/>
          <w:sz w:val="44"/>
          <w:szCs w:val="44"/>
        </w:rPr>
      </w:pPr>
      <w:r>
        <w:rPr>
          <w:rFonts w:hint="eastAsia" w:ascii="仿宋" w:hAnsi="仿宋" w:eastAsia="仿宋" w:cs="仿宋_GB2312"/>
          <w:b/>
          <w:color w:val="auto"/>
          <w:sz w:val="30"/>
          <w:szCs w:val="30"/>
          <w:lang w:bidi="ar"/>
        </w:rPr>
        <w:t>一、无串标行为承诺函</w:t>
      </w:r>
    </w:p>
    <w:p w14:paraId="265F513F">
      <w:pPr>
        <w:spacing w:line="520" w:lineRule="exact"/>
        <w:jc w:val="center"/>
        <w:rPr>
          <w:rFonts w:hint="eastAsia" w:ascii="方正小标宋简体" w:hAnsi="方正小标宋简体" w:eastAsia="方正小标宋简体" w:cs="方正小标宋简体"/>
          <w:color w:val="auto"/>
          <w:sz w:val="44"/>
          <w:szCs w:val="44"/>
        </w:rPr>
      </w:pPr>
    </w:p>
    <w:p w14:paraId="7B89404C">
      <w:pPr>
        <w:spacing w:line="520" w:lineRule="exact"/>
        <w:jc w:val="center"/>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lang w:bidi="ar"/>
        </w:rPr>
        <w:t>无串通竞标行为的承诺函</w:t>
      </w:r>
    </w:p>
    <w:p w14:paraId="1D9C326A">
      <w:pPr>
        <w:spacing w:line="520" w:lineRule="exact"/>
        <w:ind w:firstLine="640" w:firstLineChars="200"/>
        <w:rPr>
          <w:rFonts w:hint="eastAsia" w:ascii="仿宋_GB2312" w:hAnsi="仿宋_GB2312" w:eastAsia="仿宋_GB2312" w:cs="仿宋_GB2312"/>
          <w:color w:val="auto"/>
          <w:sz w:val="32"/>
          <w:szCs w:val="32"/>
        </w:rPr>
      </w:pPr>
    </w:p>
    <w:p w14:paraId="6745DB79">
      <w:pPr>
        <w:spacing w:line="360" w:lineRule="auto"/>
        <w:ind w:firstLine="482" w:firstLineChars="200"/>
        <w:rPr>
          <w:rFonts w:hint="eastAsia" w:ascii="宋体" w:hAnsi="宋体" w:eastAsia="宋体" w:cs="仿宋_GB2312"/>
          <w:b/>
          <w:bCs/>
          <w:color w:val="auto"/>
          <w:sz w:val="24"/>
        </w:rPr>
      </w:pPr>
      <w:r>
        <w:rPr>
          <w:rFonts w:hint="eastAsia" w:ascii="宋体" w:hAnsi="宋体" w:eastAsia="宋体" w:cs="仿宋_GB2312"/>
          <w:b/>
          <w:bCs/>
          <w:color w:val="auto"/>
          <w:sz w:val="24"/>
          <w:lang w:bidi="ar"/>
        </w:rPr>
        <w:t>一、我方承诺无下列相互串通竞标的情形：</w:t>
      </w:r>
    </w:p>
    <w:p w14:paraId="76646656">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1.不同供应商的响应文件由同一单位或者个人编制；</w:t>
      </w:r>
      <w:r>
        <w:rPr>
          <w:rFonts w:hint="eastAsia" w:ascii="宋体" w:hAnsi="宋体" w:eastAsia="宋体" w:cs="宋体"/>
          <w:color w:val="auto"/>
          <w:sz w:val="24"/>
          <w:lang w:bidi="ar"/>
        </w:rPr>
        <w:t>或者不同供应商报名的IP地址一致的；或者编制响应文件硬件设备CPU编号、硬盘编号、网卡地址一致的情况。</w:t>
      </w:r>
      <w:r>
        <w:rPr>
          <w:rFonts w:hint="eastAsia" w:ascii="宋体" w:hAnsi="宋体" w:eastAsia="宋体" w:cs="仿宋_GB2312"/>
          <w:color w:val="auto"/>
          <w:sz w:val="24"/>
          <w:lang w:bidi="ar"/>
        </w:rPr>
        <w:t xml:space="preserve">  </w:t>
      </w:r>
    </w:p>
    <w:p w14:paraId="04C46393">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2.不同供应商委托同一单位或者个人办理竞标事宜；</w:t>
      </w:r>
    </w:p>
    <w:p w14:paraId="59B93945">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3.不同供应商的响应文件载明的项目管理员为同一个人；</w:t>
      </w:r>
    </w:p>
    <w:p w14:paraId="0783FFBA">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4.不</w:t>
      </w:r>
      <w:r>
        <w:rPr>
          <w:rFonts w:hint="eastAsia" w:ascii="宋体" w:hAnsi="宋体" w:eastAsia="宋体" w:cs="仿宋_GB2312"/>
          <w:color w:val="auto"/>
          <w:spacing w:val="-6"/>
          <w:sz w:val="24"/>
          <w:lang w:bidi="ar"/>
        </w:rPr>
        <w:t>同供应商的响应文件异常一致或者响应报价呈规律性差异；</w:t>
      </w:r>
    </w:p>
    <w:p w14:paraId="59A8469D">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5.不同供应商的响应文件相互混装；</w:t>
      </w:r>
    </w:p>
    <w:p w14:paraId="28C506D3">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6.不同供应商的磋商保证金从同一单位或者个人账户转出。</w:t>
      </w:r>
    </w:p>
    <w:p w14:paraId="4FE602A3">
      <w:pPr>
        <w:spacing w:line="360" w:lineRule="auto"/>
        <w:ind w:firstLine="482" w:firstLineChars="200"/>
        <w:rPr>
          <w:rFonts w:hint="eastAsia" w:ascii="宋体" w:hAnsi="宋体" w:eastAsia="宋体" w:cs="仿宋_GB2312"/>
          <w:b/>
          <w:bCs/>
          <w:color w:val="auto"/>
          <w:sz w:val="24"/>
        </w:rPr>
      </w:pPr>
      <w:r>
        <w:rPr>
          <w:rFonts w:hint="eastAsia" w:ascii="宋体" w:hAnsi="宋体" w:eastAsia="宋体" w:cs="仿宋_GB2312"/>
          <w:b/>
          <w:bCs/>
          <w:color w:val="auto"/>
          <w:sz w:val="24"/>
          <w:lang w:bidi="ar"/>
        </w:rPr>
        <w:t>二、我方承诺无下列恶意串通的情形：</w:t>
      </w:r>
    </w:p>
    <w:p w14:paraId="5AA8495B">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1.供应商直接或者间接从采购人或者采购代理机构处获得其他供应商的相关信息并修改其响应文件；</w:t>
      </w:r>
    </w:p>
    <w:p w14:paraId="6888F12D">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2.供应商按照采购人或者采购代理机构的授意撤换、修改响应文件；</w:t>
      </w:r>
    </w:p>
    <w:p w14:paraId="35B6A6C3">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3.供</w:t>
      </w:r>
      <w:r>
        <w:rPr>
          <w:rFonts w:hint="eastAsia" w:ascii="宋体" w:hAnsi="宋体" w:eastAsia="宋体" w:cs="仿宋_GB2312"/>
          <w:color w:val="auto"/>
          <w:spacing w:val="-6"/>
          <w:sz w:val="24"/>
          <w:lang w:bidi="ar"/>
        </w:rPr>
        <w:t>应商之间协商报价、技术方案等响应文件的实质性内容；</w:t>
      </w:r>
    </w:p>
    <w:p w14:paraId="5DF72B4B">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4.属于同一集团、协会、商会等组织成员的供应商按照该组织要求协同参加政府采购活动；</w:t>
      </w:r>
    </w:p>
    <w:p w14:paraId="559B1CC1">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5.供应商之间事先约定一致抬高或者压低响应报价，或者在竞争性磋商项目中事先约定轮流以高价位或者低价位成交，或者事先约定由某一特定供应商成交，然后再参加竞标；</w:t>
      </w:r>
    </w:p>
    <w:p w14:paraId="236FE8D9">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6.供应商之间商定部分供应商放弃参加政府采购活动或者放弃成交；</w:t>
      </w:r>
    </w:p>
    <w:p w14:paraId="07302713">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7.供应商与采购人或者采购代理机构之间、供应商相互之间，为</w:t>
      </w:r>
      <w:r>
        <w:rPr>
          <w:rFonts w:hint="eastAsia" w:ascii="宋体" w:hAnsi="宋体" w:eastAsia="宋体" w:cs="仿宋_GB2312"/>
          <w:color w:val="auto"/>
          <w:spacing w:val="-6"/>
          <w:sz w:val="24"/>
          <w:lang w:bidi="ar"/>
        </w:rPr>
        <w:t>谋求特定供应商成交或者排斥其他供应商的其他串通行为。</w:t>
      </w:r>
    </w:p>
    <w:p w14:paraId="4EC71307">
      <w:pPr>
        <w:spacing w:line="360" w:lineRule="auto"/>
        <w:ind w:firstLine="482" w:firstLineChars="200"/>
        <w:rPr>
          <w:rFonts w:hint="eastAsia" w:ascii="宋体" w:hAnsi="宋体" w:eastAsia="宋体" w:cs="仿宋_GB2312"/>
          <w:b/>
          <w:bCs/>
          <w:color w:val="auto"/>
          <w:sz w:val="24"/>
        </w:rPr>
      </w:pPr>
      <w:r>
        <w:rPr>
          <w:rFonts w:hint="eastAsia" w:ascii="宋体" w:hAnsi="宋体" w:eastAsia="宋体" w:cs="仿宋_GB2312"/>
          <w:b/>
          <w:bCs/>
          <w:color w:val="auto"/>
          <w:sz w:val="24"/>
          <w:lang w:bidi="ar"/>
        </w:rPr>
        <w:t>以上情形一经核查属实，接受政府采购监管部门对我方认定存在围标串标行为，我方愿意承担一切后果，并不再寻求任何旨在减轻或者免除法律责任的辩解。</w:t>
      </w:r>
    </w:p>
    <w:p w14:paraId="5284DF6F">
      <w:pPr>
        <w:autoSpaceDE w:val="0"/>
        <w:autoSpaceDN w:val="0"/>
        <w:spacing w:line="360" w:lineRule="auto"/>
        <w:ind w:left="4335" w:leftChars="1950" w:hanging="240" w:hangingChars="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0E87A5D2">
      <w:pPr>
        <w:spacing w:line="520" w:lineRule="exact"/>
        <w:ind w:left="237" w:leftChars="113" w:firstLine="6120" w:firstLineChars="2550"/>
        <w:jc w:val="left"/>
        <w:rPr>
          <w:rFonts w:hint="eastAsia" w:ascii="方正小标宋简体" w:hAnsi="方正小标宋简体" w:eastAsia="方正小标宋简体" w:cs="方正小标宋简体"/>
          <w:bCs/>
          <w:color w:val="auto"/>
          <w:sz w:val="44"/>
          <w:szCs w:val="44"/>
        </w:rPr>
      </w:pPr>
      <w:r>
        <w:rPr>
          <w:rFonts w:hint="eastAsia" w:ascii="仿宋_GB2312" w:hAnsi="仿宋" w:eastAsia="仿宋_GB2312" w:cs="仿宋_GB2312"/>
          <w:color w:val="auto"/>
          <w:kern w:val="0"/>
          <w:sz w:val="24"/>
          <w:lang w:val="zh-CN" w:bidi="ar"/>
        </w:rPr>
        <w:t xml:space="preserve">日期：  年  月   日   </w:t>
      </w:r>
      <w:r>
        <w:rPr>
          <w:rFonts w:hint="eastAsia" w:ascii="宋体" w:hAnsi="宋体" w:eastAsia="宋体" w:cs="宋体"/>
          <w:b/>
          <w:bCs/>
          <w:color w:val="auto"/>
          <w:sz w:val="32"/>
          <w:szCs w:val="32"/>
          <w:lang w:bidi="ar"/>
        </w:rPr>
        <w:br w:type="page"/>
      </w:r>
      <w:r>
        <w:rPr>
          <w:rFonts w:hint="eastAsia" w:ascii="仿宋" w:hAnsi="仿宋" w:eastAsia="仿宋" w:cs="仿宋_GB2312"/>
          <w:b/>
          <w:color w:val="auto"/>
          <w:sz w:val="30"/>
          <w:szCs w:val="30"/>
          <w:lang w:bidi="ar"/>
        </w:rPr>
        <w:t>二、法定代表人身份证明及法定代表人有效身份证正反面复印件</w:t>
      </w:r>
    </w:p>
    <w:p w14:paraId="371BDE5E">
      <w:pPr>
        <w:spacing w:line="520" w:lineRule="exact"/>
        <w:jc w:val="center"/>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bCs/>
          <w:color w:val="auto"/>
          <w:sz w:val="44"/>
          <w:szCs w:val="44"/>
          <w:lang w:bidi="ar"/>
        </w:rPr>
        <w:t>法定代表人证明书</w:t>
      </w:r>
    </w:p>
    <w:p w14:paraId="2A153137">
      <w:pPr>
        <w:pStyle w:val="27"/>
        <w:spacing w:line="360" w:lineRule="auto"/>
        <w:ind w:left="540"/>
        <w:contextualSpacing/>
        <w:rPr>
          <w:rFonts w:hint="eastAsia" w:ascii="仿宋_GB2312" w:hAnsi="仿宋_GB2312" w:eastAsia="仿宋_GB2312" w:cs="仿宋_GB2312"/>
          <w:color w:val="auto"/>
          <w:sz w:val="32"/>
          <w:szCs w:val="32"/>
        </w:rPr>
      </w:pPr>
    </w:p>
    <w:p w14:paraId="2CD1C2D4">
      <w:pPr>
        <w:pStyle w:val="27"/>
        <w:spacing w:line="360" w:lineRule="auto"/>
        <w:ind w:left="540"/>
        <w:contextualSpacing/>
        <w:rPr>
          <w:rFonts w:hint="eastAsia" w:ascii="宋体" w:hAnsi="宋体" w:cs="仿宋_GB2312"/>
          <w:color w:val="auto"/>
        </w:rPr>
      </w:pPr>
      <w:r>
        <w:rPr>
          <w:rFonts w:hint="eastAsia" w:ascii="宋体" w:hAnsi="宋体" w:cs="仿宋_GB2312"/>
          <w:color w:val="auto"/>
        </w:rPr>
        <w:t>供应商名称：</w:t>
      </w:r>
      <w:r>
        <w:rPr>
          <w:rFonts w:hint="eastAsia" w:ascii="宋体" w:hAnsi="宋体" w:cs="仿宋_GB2312"/>
          <w:color w:val="auto"/>
          <w:u w:val="single"/>
        </w:rPr>
        <w:t xml:space="preserve">                                                        </w:t>
      </w:r>
    </w:p>
    <w:p w14:paraId="6B875802">
      <w:pPr>
        <w:pStyle w:val="27"/>
        <w:spacing w:line="360" w:lineRule="auto"/>
        <w:ind w:left="540"/>
        <w:contextualSpacing/>
        <w:rPr>
          <w:rFonts w:hint="eastAsia" w:ascii="宋体" w:hAnsi="宋体" w:cs="仿宋_GB2312"/>
          <w:color w:val="auto"/>
        </w:rPr>
      </w:pPr>
      <w:r>
        <w:rPr>
          <w:rFonts w:hint="eastAsia" w:ascii="宋体" w:hAnsi="宋体" w:cs="仿宋_GB2312"/>
          <w:color w:val="auto"/>
        </w:rPr>
        <w:t>地    址：</w:t>
      </w:r>
      <w:r>
        <w:rPr>
          <w:rFonts w:hint="eastAsia" w:ascii="宋体" w:hAnsi="宋体" w:cs="仿宋_GB2312"/>
          <w:color w:val="auto"/>
          <w:u w:val="single"/>
        </w:rPr>
        <w:t xml:space="preserve">                                                        </w:t>
      </w:r>
    </w:p>
    <w:p w14:paraId="1EFE22E8">
      <w:pPr>
        <w:pStyle w:val="27"/>
        <w:spacing w:line="360" w:lineRule="auto"/>
        <w:ind w:left="540"/>
        <w:contextualSpacing/>
        <w:rPr>
          <w:rFonts w:hint="eastAsia" w:ascii="宋体" w:hAnsi="宋体" w:cs="仿宋_GB2312"/>
          <w:color w:val="auto"/>
        </w:rPr>
      </w:pPr>
      <w:r>
        <w:rPr>
          <w:rFonts w:hint="eastAsia" w:ascii="宋体" w:hAnsi="宋体" w:cs="仿宋_GB2312"/>
          <w:color w:val="auto"/>
        </w:rPr>
        <w:t>姓    名：</w:t>
      </w:r>
      <w:r>
        <w:rPr>
          <w:rFonts w:hint="eastAsia" w:ascii="宋体" w:hAnsi="宋体" w:cs="仿宋_GB2312"/>
          <w:color w:val="auto"/>
          <w:u w:val="single"/>
        </w:rPr>
        <w:t xml:space="preserve">                </w:t>
      </w:r>
      <w:r>
        <w:rPr>
          <w:rFonts w:hint="eastAsia" w:ascii="宋体" w:hAnsi="宋体" w:cs="仿宋_GB2312"/>
          <w:color w:val="auto"/>
        </w:rPr>
        <w:t>性     别：</w:t>
      </w:r>
      <w:r>
        <w:rPr>
          <w:rFonts w:hint="eastAsia" w:ascii="宋体" w:hAnsi="宋体" w:cs="仿宋_GB2312"/>
          <w:color w:val="auto"/>
          <w:u w:val="single"/>
        </w:rPr>
        <w:t xml:space="preserve">                </w:t>
      </w:r>
    </w:p>
    <w:p w14:paraId="7FD17CFB">
      <w:pPr>
        <w:pStyle w:val="27"/>
        <w:spacing w:line="360" w:lineRule="auto"/>
        <w:ind w:left="540"/>
        <w:contextualSpacing/>
        <w:rPr>
          <w:rFonts w:hint="eastAsia" w:ascii="宋体" w:hAnsi="宋体" w:cs="仿宋_GB2312"/>
          <w:color w:val="auto"/>
          <w:u w:val="single"/>
        </w:rPr>
      </w:pPr>
      <w:r>
        <w:rPr>
          <w:rFonts w:hint="eastAsia" w:ascii="宋体" w:hAnsi="宋体" w:cs="仿宋_GB2312"/>
          <w:color w:val="auto"/>
        </w:rPr>
        <w:t>年    龄：</w:t>
      </w:r>
      <w:r>
        <w:rPr>
          <w:rFonts w:hint="eastAsia" w:ascii="宋体" w:hAnsi="宋体" w:cs="仿宋_GB2312"/>
          <w:color w:val="auto"/>
          <w:u w:val="single"/>
        </w:rPr>
        <w:t xml:space="preserve">                </w:t>
      </w:r>
      <w:r>
        <w:rPr>
          <w:rFonts w:hint="eastAsia" w:ascii="宋体" w:hAnsi="宋体" w:cs="仿宋_GB2312"/>
          <w:color w:val="auto"/>
        </w:rPr>
        <w:t>职     务：</w:t>
      </w:r>
      <w:r>
        <w:rPr>
          <w:rFonts w:hint="eastAsia" w:ascii="宋体" w:hAnsi="宋体" w:cs="仿宋_GB2312"/>
          <w:color w:val="auto"/>
          <w:u w:val="single"/>
        </w:rPr>
        <w:t xml:space="preserve">                </w:t>
      </w:r>
    </w:p>
    <w:p w14:paraId="2CB0CE5A">
      <w:pPr>
        <w:pStyle w:val="27"/>
        <w:spacing w:line="360" w:lineRule="auto"/>
        <w:ind w:left="540"/>
        <w:contextualSpacing/>
        <w:rPr>
          <w:rFonts w:hint="eastAsia" w:ascii="宋体" w:hAnsi="宋体" w:cs="仿宋_GB2312"/>
          <w:color w:val="auto"/>
        </w:rPr>
      </w:pPr>
      <w:r>
        <w:rPr>
          <w:rFonts w:hint="eastAsia" w:ascii="宋体" w:hAnsi="宋体" w:cs="仿宋_GB2312"/>
          <w:color w:val="auto"/>
        </w:rPr>
        <w:t>身份证号码：</w:t>
      </w:r>
      <w:r>
        <w:rPr>
          <w:rFonts w:hint="eastAsia" w:ascii="宋体" w:hAnsi="宋体" w:cs="仿宋_GB2312"/>
          <w:color w:val="auto"/>
          <w:u w:val="single"/>
        </w:rPr>
        <w:t xml:space="preserve">                                        </w:t>
      </w:r>
    </w:p>
    <w:p w14:paraId="69266B8B">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系</w:t>
      </w:r>
      <w:r>
        <w:rPr>
          <w:rFonts w:hint="eastAsia" w:ascii="宋体" w:hAnsi="宋体" w:eastAsia="宋体" w:cs="仿宋_GB2312"/>
          <w:color w:val="auto"/>
          <w:sz w:val="24"/>
          <w:u w:val="single"/>
          <w:lang w:bidi="ar"/>
        </w:rPr>
        <w:t>（供应商名称）</w:t>
      </w:r>
      <w:r>
        <w:rPr>
          <w:rFonts w:hint="eastAsia" w:ascii="宋体" w:hAnsi="宋体" w:eastAsia="宋体" w:cs="仿宋_GB2312"/>
          <w:color w:val="auto"/>
          <w:sz w:val="24"/>
          <w:lang w:bidi="ar"/>
        </w:rPr>
        <w:t>的法定代表人。</w:t>
      </w:r>
    </w:p>
    <w:p w14:paraId="1D9FC705">
      <w:pPr>
        <w:pStyle w:val="27"/>
        <w:spacing w:line="360" w:lineRule="auto"/>
        <w:ind w:left="540"/>
        <w:contextualSpacing/>
        <w:rPr>
          <w:rFonts w:hint="eastAsia" w:ascii="宋体" w:hAnsi="宋体" w:cs="仿宋_GB2312"/>
          <w:color w:val="auto"/>
        </w:rPr>
      </w:pPr>
      <w:r>
        <w:rPr>
          <w:rFonts w:hint="eastAsia" w:ascii="宋体" w:hAnsi="宋体" w:cs="仿宋_GB2312"/>
          <w:color w:val="auto"/>
        </w:rPr>
        <w:t>特此证明。</w:t>
      </w:r>
    </w:p>
    <w:p w14:paraId="31E48B54">
      <w:pPr>
        <w:pStyle w:val="27"/>
        <w:spacing w:line="360" w:lineRule="auto"/>
        <w:ind w:left="540"/>
        <w:contextualSpacing/>
        <w:rPr>
          <w:rFonts w:hint="eastAsia" w:ascii="宋体" w:hAnsi="宋体" w:cs="仿宋_GB2312"/>
          <w:color w:val="auto"/>
        </w:rPr>
      </w:pPr>
    </w:p>
    <w:p w14:paraId="11A9D2F0">
      <w:pPr>
        <w:pStyle w:val="27"/>
        <w:spacing w:line="360" w:lineRule="auto"/>
        <w:ind w:left="540"/>
        <w:contextualSpacing/>
        <w:rPr>
          <w:rFonts w:hint="eastAsia" w:ascii="宋体" w:hAnsi="宋体" w:cs="仿宋_GB2312"/>
          <w:color w:val="auto"/>
        </w:rPr>
      </w:pPr>
    </w:p>
    <w:p w14:paraId="3B1B07DF">
      <w:pPr>
        <w:pStyle w:val="27"/>
        <w:spacing w:line="360" w:lineRule="auto"/>
        <w:ind w:left="540"/>
        <w:contextualSpacing/>
        <w:rPr>
          <w:rFonts w:hint="eastAsia" w:ascii="宋体" w:hAnsi="宋体" w:cs="仿宋_GB2312"/>
          <w:color w:val="auto"/>
        </w:rPr>
      </w:pPr>
    </w:p>
    <w:p w14:paraId="7F4A2322">
      <w:pPr>
        <w:pStyle w:val="27"/>
        <w:spacing w:line="360" w:lineRule="auto"/>
        <w:ind w:left="540"/>
        <w:contextualSpacing/>
        <w:rPr>
          <w:rFonts w:hint="eastAsia" w:ascii="宋体" w:hAnsi="宋体" w:cs="仿宋_GB2312"/>
          <w:color w:val="auto"/>
        </w:rPr>
      </w:pPr>
      <w:r>
        <w:rPr>
          <w:rFonts w:hint="eastAsia" w:ascii="宋体" w:hAnsi="宋体" w:cs="仿宋_GB2312"/>
          <w:color w:val="auto"/>
        </w:rPr>
        <w:t>附件：法定代表人有效身份证正反面复印件</w:t>
      </w:r>
    </w:p>
    <w:p w14:paraId="15949805">
      <w:pPr>
        <w:pStyle w:val="27"/>
        <w:spacing w:line="360" w:lineRule="auto"/>
        <w:ind w:left="540"/>
        <w:contextualSpacing/>
        <w:rPr>
          <w:rFonts w:hint="eastAsia" w:ascii="宋体" w:hAnsi="宋体" w:cs="仿宋_GB2312"/>
          <w:color w:val="auto"/>
        </w:rPr>
      </w:pPr>
    </w:p>
    <w:p w14:paraId="3637DE30">
      <w:pPr>
        <w:autoSpaceDE w:val="0"/>
        <w:autoSpaceDN w:val="0"/>
        <w:spacing w:line="360" w:lineRule="auto"/>
        <w:ind w:left="4335" w:leftChars="1950" w:hanging="240" w:hangingChars="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22E7F912">
      <w:pPr>
        <w:spacing w:line="360" w:lineRule="auto"/>
        <w:jc w:val="center"/>
        <w:rPr>
          <w:rFonts w:hint="eastAsia" w:ascii="宋体" w:hAnsi="宋体" w:eastAsia="宋体" w:cs="仿宋_GB2312"/>
          <w:b/>
          <w:color w:val="auto"/>
          <w:sz w:val="24"/>
        </w:rPr>
      </w:pPr>
      <w:r>
        <w:rPr>
          <w:rFonts w:hint="eastAsia" w:ascii="仿宋_GB2312" w:hAnsi="仿宋" w:eastAsia="仿宋_GB2312" w:cs="仿宋_GB2312"/>
          <w:color w:val="auto"/>
          <w:kern w:val="0"/>
          <w:sz w:val="24"/>
          <w:lang w:val="zh-CN" w:bidi="ar"/>
        </w:rPr>
        <w:t xml:space="preserve">                                                   日期：  年  月   日</w:t>
      </w:r>
    </w:p>
    <w:p w14:paraId="67FD0EDC">
      <w:pPr>
        <w:spacing w:line="360" w:lineRule="auto"/>
        <w:jc w:val="left"/>
        <w:rPr>
          <w:rFonts w:hint="eastAsia" w:ascii="宋体" w:hAnsi="宋体" w:eastAsia="宋体" w:cs="仿宋_GB2312"/>
          <w:color w:val="auto"/>
          <w:sz w:val="24"/>
        </w:rPr>
      </w:pPr>
    </w:p>
    <w:p w14:paraId="32BE2B8D">
      <w:pPr>
        <w:spacing w:line="360" w:lineRule="auto"/>
        <w:jc w:val="left"/>
        <w:rPr>
          <w:rFonts w:hint="eastAsia" w:ascii="宋体" w:hAnsi="宋体" w:eastAsia="宋体" w:cs="仿宋_GB2312"/>
          <w:color w:val="auto"/>
          <w:sz w:val="24"/>
        </w:rPr>
      </w:pPr>
      <w:r>
        <w:rPr>
          <w:rFonts w:hint="eastAsia" w:ascii="宋体" w:hAnsi="宋体" w:eastAsia="宋体" w:cs="仿宋_GB2312"/>
          <w:color w:val="auto"/>
          <w:sz w:val="24"/>
          <w:lang w:bidi="ar"/>
        </w:rPr>
        <w:t>注：1.自然人竞标的无需提供，联合体竞标的只需牵头人出具。</w:t>
      </w:r>
    </w:p>
    <w:p w14:paraId="3E2C4DC6">
      <w:pPr>
        <w:spacing w:line="360" w:lineRule="auto"/>
        <w:ind w:firstLine="480" w:firstLineChars="200"/>
        <w:jc w:val="left"/>
        <w:rPr>
          <w:rFonts w:hint="eastAsia" w:ascii="宋体" w:hAnsi="宋体" w:eastAsia="宋体" w:cs="仿宋_GB2312"/>
          <w:color w:val="auto"/>
          <w:sz w:val="24"/>
        </w:rPr>
      </w:pPr>
      <w:r>
        <w:rPr>
          <w:rFonts w:hint="eastAsia" w:ascii="宋体" w:hAnsi="宋体" w:eastAsia="宋体" w:cs="仿宋_GB2312"/>
          <w:color w:val="auto"/>
          <w:sz w:val="24"/>
          <w:lang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8F5C961">
      <w:pPr>
        <w:spacing w:line="360" w:lineRule="auto"/>
        <w:rPr>
          <w:rFonts w:hint="eastAsia" w:ascii="宋体" w:hAnsi="宋体" w:eastAsia="宋体" w:cs="仿宋_GB2312"/>
          <w:color w:val="auto"/>
          <w:sz w:val="24"/>
          <w:lang w:bidi="ar"/>
        </w:rPr>
        <w:sectPr>
          <w:pgSz w:w="11910" w:h="16840"/>
          <w:pgMar w:top="1340" w:right="1440" w:bottom="1304" w:left="1680" w:header="720" w:footer="720" w:gutter="0"/>
          <w:pgNumType w:fmt="decimal"/>
          <w:cols w:space="425" w:num="1"/>
          <w:docGrid w:type="lines" w:linePitch="312" w:charSpace="0"/>
        </w:sectPr>
      </w:pPr>
    </w:p>
    <w:tbl>
      <w:tblPr>
        <w:tblStyle w:val="29"/>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F09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shd w:val="clear" w:color="auto" w:fill="auto"/>
          </w:tcPr>
          <w:p w14:paraId="30FA35A9">
            <w:pPr>
              <w:spacing w:line="360" w:lineRule="auto"/>
              <w:rPr>
                <w:rFonts w:ascii="宋体" w:hAnsi="Times New Roman" w:eastAsia="宋体" w:cs="宋体"/>
                <w:b/>
                <w:color w:val="auto"/>
                <w:sz w:val="24"/>
              </w:rPr>
            </w:pPr>
          </w:p>
          <w:p w14:paraId="17D31DDC">
            <w:pPr>
              <w:spacing w:line="360" w:lineRule="auto"/>
              <w:rPr>
                <w:rFonts w:ascii="宋体" w:hAnsi="Times New Roman" w:eastAsia="宋体" w:cs="宋体"/>
                <w:b/>
                <w:color w:val="auto"/>
                <w:sz w:val="24"/>
              </w:rPr>
            </w:pPr>
            <w:r>
              <w:rPr>
                <w:rFonts w:hint="eastAsia" w:ascii="宋体" w:hAnsi="Times New Roman" w:eastAsia="宋体" w:cs="宋体"/>
                <w:b/>
                <w:color w:val="auto"/>
                <w:sz w:val="24"/>
                <w:lang w:bidi="ar"/>
              </w:rPr>
              <w:t>法定代表身份证复印件粘帖处（正、反面）</w:t>
            </w:r>
          </w:p>
        </w:tc>
      </w:tr>
    </w:tbl>
    <w:p w14:paraId="32218755">
      <w:pPr>
        <w:spacing w:line="360" w:lineRule="auto"/>
        <w:ind w:firstLine="482" w:firstLineChars="200"/>
        <w:jc w:val="left"/>
        <w:rPr>
          <w:rFonts w:hint="eastAsia" w:ascii="仿宋_GB2312" w:hAnsi="仿宋_GB2312" w:eastAsia="仿宋_GB2312" w:cs="仿宋_GB2312"/>
          <w:b/>
          <w:color w:val="auto"/>
          <w:sz w:val="32"/>
          <w:szCs w:val="32"/>
        </w:rPr>
      </w:pPr>
      <w:r>
        <w:rPr>
          <w:rFonts w:hint="eastAsia" w:ascii="Times New Roman" w:hAnsi="宋体" w:eastAsia="宋体" w:cs="宋体"/>
          <w:b/>
          <w:color w:val="auto"/>
          <w:sz w:val="24"/>
          <w:lang w:bidi="ar"/>
        </w:rPr>
        <w:t>附件：</w:t>
      </w:r>
    </w:p>
    <w:p w14:paraId="3E8EA653">
      <w:pPr>
        <w:adjustRightInd w:val="0"/>
        <w:snapToGrid w:val="0"/>
        <w:spacing w:line="300" w:lineRule="auto"/>
        <w:jc w:val="left"/>
        <w:rPr>
          <w:rFonts w:hint="eastAsia" w:ascii="宋体" w:hAnsi="宋体" w:eastAsia="宋体" w:cs="宋体"/>
          <w:b/>
          <w:color w:val="auto"/>
          <w:szCs w:val="21"/>
        </w:rPr>
      </w:pPr>
    </w:p>
    <w:p w14:paraId="2B101690">
      <w:pPr>
        <w:spacing w:line="520" w:lineRule="exact"/>
        <w:ind w:firstLine="880"/>
        <w:jc w:val="left"/>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color w:val="auto"/>
          <w:sz w:val="44"/>
          <w:szCs w:val="44"/>
          <w:lang w:bidi="ar"/>
        </w:rPr>
        <w:br w:type="page"/>
      </w:r>
      <w:r>
        <w:rPr>
          <w:rFonts w:hint="eastAsia" w:ascii="仿宋" w:hAnsi="仿宋" w:eastAsia="仿宋" w:cs="仿宋_GB2312"/>
          <w:b/>
          <w:color w:val="auto"/>
          <w:sz w:val="30"/>
          <w:szCs w:val="30"/>
          <w:lang w:bidi="ar"/>
        </w:rPr>
        <w:t>三、法定代表人授权委托书</w:t>
      </w:r>
    </w:p>
    <w:p w14:paraId="687F91C8">
      <w:pPr>
        <w:spacing w:line="500" w:lineRule="exact"/>
        <w:jc w:val="center"/>
        <w:rPr>
          <w:rFonts w:hint="eastAsia" w:ascii="方正小标宋简体" w:hAnsi="方正小标宋简体" w:eastAsia="方正小标宋简体" w:cs="方正小标宋简体"/>
          <w:color w:val="auto"/>
          <w:sz w:val="44"/>
          <w:szCs w:val="44"/>
        </w:rPr>
      </w:pPr>
    </w:p>
    <w:p w14:paraId="6AA42DBF">
      <w:pPr>
        <w:spacing w:line="52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bidi="ar"/>
        </w:rPr>
        <w:t>授权委托书（非联合体竞标格式）</w:t>
      </w:r>
    </w:p>
    <w:p w14:paraId="22B72EF7">
      <w:pPr>
        <w:spacing w:line="52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bidi="ar"/>
        </w:rPr>
        <w:t>（如有委托时）</w:t>
      </w:r>
    </w:p>
    <w:p w14:paraId="12AB3D77">
      <w:pPr>
        <w:spacing w:line="520" w:lineRule="exact"/>
        <w:rPr>
          <w:rFonts w:hint="eastAsia" w:ascii="仿宋_GB2312" w:hAnsi="仿宋_GB2312" w:eastAsia="仿宋_GB2312" w:cs="仿宋_GB2312"/>
          <w:color w:val="auto"/>
          <w:sz w:val="32"/>
          <w:szCs w:val="32"/>
        </w:rPr>
      </w:pPr>
    </w:p>
    <w:p w14:paraId="1774920E">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致：</w:t>
      </w:r>
      <w:r>
        <w:rPr>
          <w:rFonts w:hint="eastAsia" w:ascii="宋体" w:hAnsi="宋体" w:cs="仿宋_GB2312"/>
          <w:color w:val="auto"/>
          <w:sz w:val="24"/>
          <w:u w:val="single"/>
        </w:rPr>
        <w:t>广西翔正项目管理有限公司</w:t>
      </w:r>
      <w:r>
        <w:rPr>
          <w:rFonts w:hint="eastAsia" w:ascii="宋体" w:hAnsi="宋体" w:eastAsia="宋体" w:cs="仿宋_GB2312"/>
          <w:color w:val="auto"/>
          <w:sz w:val="24"/>
          <w:lang w:bidi="ar"/>
        </w:rPr>
        <w:t>：</w:t>
      </w:r>
    </w:p>
    <w:p w14:paraId="67F592EE">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我</w:t>
      </w:r>
      <w:r>
        <w:rPr>
          <w:rFonts w:hint="eastAsia" w:ascii="宋体" w:hAnsi="宋体" w:eastAsia="宋体" w:cs="仿宋_GB2312"/>
          <w:color w:val="auto"/>
          <w:sz w:val="24"/>
          <w:u w:val="single"/>
          <w:lang w:bidi="ar"/>
        </w:rPr>
        <w:t xml:space="preserve">  （姓名）  </w:t>
      </w:r>
      <w:r>
        <w:rPr>
          <w:rFonts w:hint="eastAsia" w:ascii="宋体" w:hAnsi="宋体" w:eastAsia="宋体" w:cs="仿宋_GB2312"/>
          <w:color w:val="auto"/>
          <w:sz w:val="24"/>
          <w:lang w:bidi="ar"/>
        </w:rPr>
        <w:t>系</w:t>
      </w:r>
      <w:r>
        <w:rPr>
          <w:rFonts w:hint="eastAsia" w:ascii="宋体" w:hAnsi="宋体" w:eastAsia="宋体" w:cs="仿宋_GB2312"/>
          <w:color w:val="auto"/>
          <w:sz w:val="24"/>
          <w:u w:val="single"/>
          <w:lang w:bidi="ar"/>
        </w:rPr>
        <w:t xml:space="preserve">  （供应商名称）  </w:t>
      </w:r>
      <w:r>
        <w:rPr>
          <w:rFonts w:hint="eastAsia" w:ascii="宋体" w:hAnsi="宋体" w:eastAsia="宋体" w:cs="仿宋_GB2312"/>
          <w:color w:val="auto"/>
          <w:sz w:val="24"/>
          <w:lang w:bidi="ar"/>
        </w:rPr>
        <w:t>的（</w:t>
      </w:r>
      <w:r>
        <w:rPr>
          <w:rFonts w:hint="eastAsia" w:ascii="宋体" w:hAnsi="宋体" w:eastAsia="宋体" w:cs="仿宋_GB2312"/>
          <w:color w:val="auto"/>
          <w:sz w:val="24"/>
          <w:u w:val="single"/>
          <w:lang w:bidi="ar"/>
        </w:rPr>
        <w:t>□法定代表人/□负责人/□自然人本人</w:t>
      </w:r>
      <w:r>
        <w:rPr>
          <w:rFonts w:hint="eastAsia" w:ascii="宋体" w:hAnsi="宋体" w:eastAsia="宋体" w:cs="仿宋_GB2312"/>
          <w:color w:val="auto"/>
          <w:sz w:val="24"/>
          <w:lang w:bidi="ar"/>
        </w:rPr>
        <w:t>），现授权</w:t>
      </w:r>
      <w:r>
        <w:rPr>
          <w:rFonts w:hint="eastAsia" w:ascii="宋体" w:hAnsi="宋体" w:eastAsia="宋体" w:cs="仿宋_GB2312"/>
          <w:color w:val="auto"/>
          <w:sz w:val="24"/>
          <w:u w:val="single"/>
          <w:lang w:bidi="ar"/>
        </w:rPr>
        <w:t xml:space="preserve"> （姓名） </w:t>
      </w:r>
      <w:r>
        <w:rPr>
          <w:rFonts w:hint="eastAsia" w:ascii="宋体" w:hAnsi="宋体" w:eastAsia="宋体" w:cs="仿宋_GB2312"/>
          <w:color w:val="auto"/>
          <w:sz w:val="24"/>
          <w:lang w:bidi="ar"/>
        </w:rPr>
        <w:t>以我方的名义参加</w:t>
      </w:r>
      <w:r>
        <w:rPr>
          <w:rFonts w:hint="eastAsia" w:ascii="宋体" w:hAnsi="宋体" w:eastAsia="宋体" w:cs="仿宋_GB2312"/>
          <w:color w:val="auto"/>
          <w:sz w:val="24"/>
          <w:u w:val="single"/>
          <w:lang w:eastAsia="zh-CN"/>
        </w:rPr>
        <w:t>南宁市武鸣区2025年第一批中央财政水利发展资金农村饮水工程维修养护项目</w:t>
      </w:r>
      <w:r>
        <w:rPr>
          <w:rFonts w:hint="eastAsia" w:ascii="宋体" w:hAnsi="宋体" w:eastAsia="宋体" w:cs="仿宋_GB2312"/>
          <w:color w:val="auto"/>
          <w:sz w:val="24"/>
          <w:u w:val="single"/>
          <w:lang w:bidi="ar"/>
        </w:rPr>
        <w:t xml:space="preserve"> </w:t>
      </w:r>
      <w:r>
        <w:rPr>
          <w:rFonts w:hint="eastAsia" w:ascii="宋体" w:hAnsi="宋体" w:eastAsia="宋体" w:cs="仿宋_GB2312"/>
          <w:color w:val="auto"/>
          <w:sz w:val="24"/>
          <w:lang w:bidi="ar"/>
        </w:rPr>
        <w:t>项目的竞标活动，并代表我方全权办理针对上述项目的所有采购程序和环节的具体事务和签署相关文件。</w:t>
      </w:r>
    </w:p>
    <w:p w14:paraId="59A73576">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 xml:space="preserve">    我方对委托代理人的签字事项负全部责任。</w:t>
      </w:r>
    </w:p>
    <w:p w14:paraId="45A0E155">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本授权书自签署之日起生效，在撤销授权的书面通知以前，本授权书一直有效。委托代理人在授权书有效期内签署的所有文件不因授权的撤销而失效。</w:t>
      </w:r>
    </w:p>
    <w:p w14:paraId="7B37129F">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委托代理人无转委托权，特此委托。</w:t>
      </w:r>
    </w:p>
    <w:p w14:paraId="7AE5F021">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附：法定代表人身份证明书及委托代理人有效身份证正反面复印件</w:t>
      </w:r>
    </w:p>
    <w:p w14:paraId="62FEFD97">
      <w:pPr>
        <w:spacing w:line="360" w:lineRule="auto"/>
        <w:rPr>
          <w:rFonts w:hint="eastAsia" w:ascii="宋体" w:hAnsi="宋体" w:eastAsia="宋体" w:cs="仿宋_GB2312"/>
          <w:color w:val="auto"/>
          <w:sz w:val="24"/>
        </w:rPr>
      </w:pPr>
    </w:p>
    <w:p w14:paraId="3C17CD3B">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 xml:space="preserve">委托代理人（签字）：         法定代表人（签字或盖章）：                    </w:t>
      </w:r>
    </w:p>
    <w:p w14:paraId="0F75EF4A">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 xml:space="preserve">委托代理人身份证号码：                              </w:t>
      </w:r>
    </w:p>
    <w:p w14:paraId="06211896">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 xml:space="preserve">                                </w:t>
      </w:r>
    </w:p>
    <w:p w14:paraId="6F2E8861">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 xml:space="preserve">                         </w:t>
      </w:r>
      <w:r>
        <w:rPr>
          <w:rFonts w:hint="eastAsia" w:ascii="仿宋_GB2312" w:hAnsi="仿宋" w:eastAsia="仿宋_GB2312" w:cs="仿宋_GB2312"/>
          <w:color w:val="auto"/>
          <w:kern w:val="0"/>
          <w:sz w:val="24"/>
          <w:lang w:bidi="ar"/>
        </w:rPr>
        <w:t>供应商名称（电子签章）：</w:t>
      </w:r>
    </w:p>
    <w:p w14:paraId="6B10A380">
      <w:pPr>
        <w:spacing w:line="360" w:lineRule="auto"/>
        <w:jc w:val="center"/>
        <w:rPr>
          <w:rFonts w:hint="eastAsia" w:ascii="宋体" w:hAnsi="宋体" w:eastAsia="宋体" w:cs="仿宋_GB2312"/>
          <w:b/>
          <w:color w:val="auto"/>
          <w:sz w:val="24"/>
        </w:rPr>
      </w:pPr>
      <w:r>
        <w:rPr>
          <w:rFonts w:hint="eastAsia" w:ascii="仿宋_GB2312" w:hAnsi="仿宋" w:eastAsia="仿宋_GB2312" w:cs="仿宋_GB2312"/>
          <w:color w:val="auto"/>
          <w:kern w:val="0"/>
          <w:sz w:val="24"/>
          <w:lang w:val="zh-CN" w:bidi="ar"/>
        </w:rPr>
        <w:t xml:space="preserve">                                                   日期：  年  月   日</w:t>
      </w:r>
    </w:p>
    <w:p w14:paraId="79D8C8B4">
      <w:pPr>
        <w:spacing w:line="360" w:lineRule="auto"/>
        <w:rPr>
          <w:rFonts w:hint="eastAsia" w:ascii="宋体" w:hAnsi="宋体" w:eastAsia="宋体" w:cs="仿宋_GB2312"/>
          <w:color w:val="auto"/>
          <w:sz w:val="24"/>
        </w:rPr>
      </w:pPr>
    </w:p>
    <w:p w14:paraId="49008BC3">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注：1. 法定代表人必须在授权委托书上亲笔签字或盖章，委托代理人必须在授权委托书上亲笔签字，</w:t>
      </w:r>
      <w:r>
        <w:rPr>
          <w:rFonts w:hint="eastAsia" w:ascii="宋体" w:hAnsi="宋体" w:eastAsia="宋体" w:cs="仿宋_GB2312"/>
          <w:b/>
          <w:color w:val="auto"/>
          <w:sz w:val="24"/>
          <w:lang w:bidi="ar"/>
        </w:rPr>
        <w:t>否则其响应文件按无效响应处理。</w:t>
      </w:r>
    </w:p>
    <w:p w14:paraId="5FE30EA5">
      <w:pPr>
        <w:spacing w:line="360" w:lineRule="auto"/>
        <w:ind w:firstLine="480" w:firstLineChars="200"/>
        <w:jc w:val="left"/>
        <w:rPr>
          <w:rFonts w:hint="eastAsia" w:ascii="宋体" w:hAnsi="宋体" w:eastAsia="宋体" w:cs="仿宋_GB2312"/>
          <w:color w:val="auto"/>
          <w:sz w:val="24"/>
        </w:rPr>
      </w:pPr>
      <w:r>
        <w:rPr>
          <w:rFonts w:hint="eastAsia" w:ascii="宋体" w:hAnsi="宋体" w:eastAsia="宋体" w:cs="仿宋_GB2312"/>
          <w:color w:val="auto"/>
          <w:sz w:val="24"/>
          <w:lang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7E4D85D">
      <w:pPr>
        <w:spacing w:line="360" w:lineRule="auto"/>
        <w:ind w:firstLine="480" w:firstLineChars="200"/>
        <w:jc w:val="left"/>
        <w:rPr>
          <w:rFonts w:hint="eastAsia" w:ascii="仿宋_GB2312" w:hAnsi="仿宋_GB2312" w:eastAsia="仿宋_GB2312" w:cs="仿宋_GB2312"/>
          <w:color w:val="auto"/>
          <w:szCs w:val="21"/>
        </w:rPr>
      </w:pPr>
      <w:r>
        <w:rPr>
          <w:rFonts w:hint="eastAsia" w:ascii="宋体" w:hAnsi="宋体" w:eastAsia="宋体" w:cs="仿宋_GB2312"/>
          <w:color w:val="auto"/>
          <w:sz w:val="24"/>
          <w:lang w:bidi="ar"/>
        </w:rPr>
        <w:t>3. 法人、其他组织竞标时“我方”是指“我单位”，自然人竞标时“我方”是指“本人”。</w:t>
      </w:r>
    </w:p>
    <w:p w14:paraId="49BAFF46">
      <w:pPr>
        <w:spacing w:line="500" w:lineRule="exact"/>
        <w:jc w:val="center"/>
        <w:rPr>
          <w:rFonts w:hint="eastAsia" w:ascii="方正小标宋简体" w:hAnsi="方正小标宋简体" w:eastAsia="方正小标宋简体" w:cs="方正小标宋简体"/>
          <w:color w:val="auto"/>
          <w:sz w:val="44"/>
          <w:szCs w:val="44"/>
        </w:rPr>
      </w:pPr>
      <w:r>
        <w:rPr>
          <w:rFonts w:hint="eastAsia" w:ascii="仿宋_GB2312" w:hAnsi="仿宋_GB2312" w:eastAsia="仿宋_GB2312" w:cs="仿宋_GB2312"/>
          <w:color w:val="auto"/>
          <w:szCs w:val="21"/>
          <w:lang w:bidi="ar"/>
        </w:rPr>
        <w:br w:type="page"/>
      </w:r>
      <w:r>
        <w:rPr>
          <w:rFonts w:hint="eastAsia" w:ascii="方正小标宋简体" w:hAnsi="方正小标宋简体" w:eastAsia="方正小标宋简体" w:cs="方正小标宋简体"/>
          <w:color w:val="auto"/>
          <w:sz w:val="44"/>
          <w:szCs w:val="44"/>
          <w:lang w:bidi="ar"/>
        </w:rPr>
        <w:t>授权委托书（联合体竞标格式）</w:t>
      </w:r>
    </w:p>
    <w:p w14:paraId="12A26ECD">
      <w:pPr>
        <w:spacing w:line="5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bidi="ar"/>
        </w:rPr>
        <w:t>（如有委托时）</w:t>
      </w:r>
    </w:p>
    <w:p w14:paraId="45F5EEE3">
      <w:pPr>
        <w:spacing w:line="500" w:lineRule="exact"/>
        <w:jc w:val="center"/>
        <w:rPr>
          <w:rFonts w:hint="eastAsia" w:ascii="方正小标宋简体" w:hAnsi="方正小标宋简体" w:eastAsia="方正小标宋简体" w:cs="方正小标宋简体"/>
          <w:color w:val="auto"/>
          <w:sz w:val="44"/>
          <w:szCs w:val="44"/>
        </w:rPr>
      </w:pPr>
    </w:p>
    <w:p w14:paraId="6B877F1A">
      <w:pPr>
        <w:spacing w:line="500" w:lineRule="exact"/>
        <w:jc w:val="center"/>
        <w:rPr>
          <w:rFonts w:hint="eastAsia" w:ascii="仿宋_GB2312" w:hAnsi="仿宋_GB2312" w:eastAsia="仿宋_GB2312" w:cs="仿宋_GB2312"/>
          <w:color w:val="auto"/>
          <w:sz w:val="32"/>
          <w:szCs w:val="32"/>
        </w:rPr>
      </w:pPr>
    </w:p>
    <w:p w14:paraId="620C29B0">
      <w:pPr>
        <w:spacing w:line="360" w:lineRule="auto"/>
        <w:ind w:firstLine="480" w:firstLineChars="200"/>
        <w:jc w:val="left"/>
        <w:rPr>
          <w:rFonts w:hint="eastAsia" w:ascii="宋体" w:hAnsi="宋体" w:eastAsia="宋体" w:cs="仿宋_GB2312"/>
          <w:color w:val="auto"/>
          <w:sz w:val="24"/>
        </w:rPr>
      </w:pPr>
      <w:r>
        <w:rPr>
          <w:rFonts w:hint="eastAsia" w:ascii="宋体" w:hAnsi="宋体" w:eastAsia="宋体" w:cs="仿宋_GB2312"/>
          <w:color w:val="auto"/>
          <w:sz w:val="24"/>
          <w:lang w:bidi="ar"/>
        </w:rPr>
        <w:t>本授权委托书声明：根据</w:t>
      </w:r>
      <w:r>
        <w:rPr>
          <w:rFonts w:hint="eastAsia" w:ascii="宋体" w:hAnsi="宋体" w:eastAsia="宋体" w:cs="仿宋_GB2312"/>
          <w:color w:val="auto"/>
          <w:sz w:val="24"/>
          <w:u w:val="single"/>
          <w:lang w:bidi="ar"/>
        </w:rPr>
        <w:t xml:space="preserve">                </w:t>
      </w:r>
      <w:r>
        <w:rPr>
          <w:rFonts w:hint="eastAsia" w:ascii="宋体" w:hAnsi="宋体" w:eastAsia="宋体" w:cs="仿宋_GB2312"/>
          <w:color w:val="auto"/>
          <w:sz w:val="24"/>
          <w:lang w:bidi="ar"/>
        </w:rPr>
        <w:t>（牵头人名称）与</w:t>
      </w:r>
      <w:r>
        <w:rPr>
          <w:rFonts w:hint="eastAsia" w:ascii="宋体" w:hAnsi="宋体" w:eastAsia="宋体" w:cs="仿宋_GB2312"/>
          <w:color w:val="auto"/>
          <w:sz w:val="24"/>
          <w:u w:val="single"/>
          <w:lang w:bidi="ar"/>
        </w:rPr>
        <w:t xml:space="preserve">              </w:t>
      </w:r>
      <w:r>
        <w:rPr>
          <w:rFonts w:hint="eastAsia" w:ascii="宋体" w:hAnsi="宋体" w:eastAsia="宋体" w:cs="仿宋_GB2312"/>
          <w:color w:val="auto"/>
          <w:sz w:val="24"/>
          <w:lang w:bidi="ar"/>
        </w:rPr>
        <w:t>（联合体其他成员名称）签订的《联合体竞标协议书》的内容，</w:t>
      </w:r>
      <w:r>
        <w:rPr>
          <w:rFonts w:hint="eastAsia" w:ascii="宋体" w:hAnsi="宋体" w:eastAsia="宋体" w:cs="仿宋_GB2312"/>
          <w:color w:val="auto"/>
          <w:sz w:val="24"/>
          <w:u w:val="single"/>
          <w:lang w:bidi="ar"/>
        </w:rPr>
        <w:t xml:space="preserve">                       </w:t>
      </w:r>
      <w:r>
        <w:rPr>
          <w:rFonts w:hint="eastAsia" w:ascii="宋体" w:hAnsi="宋体" w:eastAsia="宋体" w:cs="仿宋_GB2312"/>
          <w:color w:val="auto"/>
          <w:sz w:val="24"/>
          <w:lang w:bidi="ar"/>
        </w:rPr>
        <w:t>（牵头人名称）的法定代表人</w:t>
      </w:r>
      <w:r>
        <w:rPr>
          <w:rFonts w:hint="eastAsia" w:ascii="宋体" w:hAnsi="宋体" w:eastAsia="宋体" w:cs="仿宋_GB2312"/>
          <w:color w:val="auto"/>
          <w:sz w:val="24"/>
          <w:u w:val="single"/>
          <w:lang w:bidi="ar"/>
        </w:rPr>
        <w:t xml:space="preserve">      </w:t>
      </w:r>
      <w:r>
        <w:rPr>
          <w:rFonts w:hint="eastAsia" w:ascii="宋体" w:hAnsi="宋体" w:eastAsia="宋体" w:cs="仿宋_GB2312"/>
          <w:color w:val="auto"/>
          <w:sz w:val="24"/>
          <w:lang w:bidi="ar"/>
        </w:rPr>
        <w:t>（姓名）现授权</w:t>
      </w:r>
      <w:r>
        <w:rPr>
          <w:rFonts w:hint="eastAsia" w:ascii="宋体" w:hAnsi="宋体" w:eastAsia="宋体" w:cs="仿宋_GB2312"/>
          <w:color w:val="auto"/>
          <w:sz w:val="24"/>
          <w:u w:val="single"/>
          <w:lang w:bidi="ar"/>
        </w:rPr>
        <w:t xml:space="preserve">      </w:t>
      </w:r>
      <w:r>
        <w:rPr>
          <w:rFonts w:hint="eastAsia" w:ascii="宋体" w:hAnsi="宋体" w:eastAsia="宋体" w:cs="仿宋_GB2312"/>
          <w:color w:val="auto"/>
          <w:sz w:val="24"/>
          <w:lang w:bidi="ar"/>
        </w:rPr>
        <w:t>（姓名）为联合委托代理人，并代表我方全权办理针对上述项目的所有采购程序和环节的具体事务和签署相关文件。</w:t>
      </w:r>
    </w:p>
    <w:p w14:paraId="1A602661">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我方对委托代理人的签字事项负全部责任。</w:t>
      </w:r>
    </w:p>
    <w:p w14:paraId="35A31607">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本授权书自签署之日起生效，在撤销授权的书面通知以前，本授权书一直有效。委托代理人在授权书有效期内签署的所有文件不因授权的撤销而失效。</w:t>
      </w:r>
    </w:p>
    <w:p w14:paraId="5704EF7B">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委托代理人无转委托权，特此委托。</w:t>
      </w:r>
    </w:p>
    <w:p w14:paraId="232F01D4">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 xml:space="preserve">    </w:t>
      </w:r>
    </w:p>
    <w:p w14:paraId="60AD1818">
      <w:pPr>
        <w:spacing w:line="360" w:lineRule="auto"/>
        <w:ind w:firstLine="1560" w:firstLineChars="650"/>
        <w:rPr>
          <w:rFonts w:hint="eastAsia" w:ascii="宋体" w:hAnsi="宋体" w:eastAsia="宋体" w:cs="仿宋_GB2312"/>
          <w:color w:val="auto"/>
          <w:sz w:val="24"/>
        </w:rPr>
      </w:pPr>
      <w:r>
        <w:rPr>
          <w:rFonts w:hint="eastAsia" w:ascii="宋体" w:hAnsi="宋体" w:eastAsia="宋体" w:cs="仿宋_GB2312"/>
          <w:color w:val="auto"/>
          <w:sz w:val="24"/>
          <w:lang w:bidi="ar"/>
        </w:rPr>
        <w:t>牵头人法定代表人（签字或盖章）：</w:t>
      </w:r>
    </w:p>
    <w:p w14:paraId="0E5D4104">
      <w:pPr>
        <w:spacing w:line="360" w:lineRule="auto"/>
        <w:ind w:firstLine="3120" w:firstLineChars="1300"/>
        <w:rPr>
          <w:rFonts w:hint="eastAsia" w:ascii="宋体" w:hAnsi="宋体" w:eastAsia="宋体" w:cs="仿宋_GB2312"/>
          <w:color w:val="auto"/>
          <w:sz w:val="24"/>
        </w:rPr>
      </w:pPr>
      <w:r>
        <w:rPr>
          <w:rFonts w:hint="eastAsia" w:ascii="宋体" w:hAnsi="宋体" w:eastAsia="宋体" w:cs="仿宋_GB2312"/>
          <w:color w:val="auto"/>
          <w:sz w:val="24"/>
          <w:lang w:bidi="ar"/>
        </w:rPr>
        <w:t>牵头人（电子签章）：</w:t>
      </w:r>
    </w:p>
    <w:p w14:paraId="2452EBDF">
      <w:pPr>
        <w:spacing w:line="360" w:lineRule="auto"/>
        <w:ind w:firstLine="3840" w:firstLineChars="1600"/>
        <w:rPr>
          <w:rFonts w:hint="eastAsia" w:ascii="宋体" w:hAnsi="宋体" w:eastAsia="宋体" w:cs="仿宋_GB2312"/>
          <w:color w:val="auto"/>
          <w:sz w:val="24"/>
        </w:rPr>
      </w:pPr>
      <w:r>
        <w:rPr>
          <w:rFonts w:hint="eastAsia" w:ascii="宋体" w:hAnsi="宋体" w:eastAsia="宋体" w:cs="仿宋_GB2312"/>
          <w:color w:val="auto"/>
          <w:sz w:val="24"/>
          <w:lang w:bidi="ar"/>
        </w:rPr>
        <w:t>日期：    年   月   日</w:t>
      </w:r>
    </w:p>
    <w:p w14:paraId="2DDCB7F4">
      <w:pPr>
        <w:spacing w:line="360" w:lineRule="auto"/>
        <w:rPr>
          <w:rFonts w:hint="eastAsia" w:ascii="宋体" w:hAnsi="宋体" w:eastAsia="宋体" w:cs="仿宋_GB2312"/>
          <w:color w:val="auto"/>
          <w:sz w:val="24"/>
        </w:rPr>
      </w:pPr>
    </w:p>
    <w:p w14:paraId="593B327B">
      <w:pPr>
        <w:spacing w:line="360" w:lineRule="auto"/>
        <w:ind w:firstLine="3120" w:firstLineChars="1300"/>
        <w:rPr>
          <w:rFonts w:hint="eastAsia" w:ascii="宋体" w:hAnsi="宋体" w:eastAsia="宋体" w:cs="仿宋_GB2312"/>
          <w:color w:val="auto"/>
          <w:sz w:val="24"/>
        </w:rPr>
      </w:pPr>
      <w:r>
        <w:rPr>
          <w:rFonts w:hint="eastAsia" w:ascii="宋体" w:hAnsi="宋体" w:eastAsia="宋体" w:cs="仿宋_GB2312"/>
          <w:color w:val="auto"/>
          <w:sz w:val="24"/>
          <w:lang w:bidi="ar"/>
        </w:rPr>
        <w:t>被授权人（签字）：</w:t>
      </w:r>
    </w:p>
    <w:p w14:paraId="210CE030">
      <w:pPr>
        <w:spacing w:line="360" w:lineRule="auto"/>
        <w:ind w:firstLine="3840" w:firstLineChars="1600"/>
        <w:rPr>
          <w:rFonts w:hint="eastAsia" w:ascii="宋体" w:hAnsi="宋体" w:eastAsia="宋体" w:cs="仿宋_GB2312"/>
          <w:color w:val="auto"/>
          <w:sz w:val="24"/>
        </w:rPr>
      </w:pPr>
      <w:r>
        <w:rPr>
          <w:rFonts w:hint="eastAsia" w:ascii="宋体" w:hAnsi="宋体" w:eastAsia="宋体" w:cs="仿宋_GB2312"/>
          <w:color w:val="auto"/>
          <w:sz w:val="24"/>
          <w:lang w:bidi="ar"/>
        </w:rPr>
        <w:t>日期：    年   月   日</w:t>
      </w:r>
    </w:p>
    <w:p w14:paraId="000FC66B">
      <w:pPr>
        <w:spacing w:line="360" w:lineRule="auto"/>
        <w:rPr>
          <w:rFonts w:hint="eastAsia" w:ascii="宋体" w:hAnsi="宋体" w:eastAsia="宋体" w:cs="仿宋_GB2312"/>
          <w:color w:val="auto"/>
          <w:sz w:val="24"/>
        </w:rPr>
      </w:pPr>
    </w:p>
    <w:p w14:paraId="03FDA58B">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注：1. 法定代表人必须在授权委托书上亲笔签字或盖章，委托代理人必须在授权委托书上亲笔签字，</w:t>
      </w:r>
      <w:r>
        <w:rPr>
          <w:rFonts w:hint="eastAsia" w:ascii="宋体" w:hAnsi="宋体" w:eastAsia="宋体" w:cs="仿宋_GB2312"/>
          <w:b/>
          <w:color w:val="auto"/>
          <w:sz w:val="24"/>
          <w:lang w:bidi="ar"/>
        </w:rPr>
        <w:t>否则其响应文件按无效响应处理。</w:t>
      </w:r>
    </w:p>
    <w:p w14:paraId="6BA47E8D">
      <w:pPr>
        <w:spacing w:line="360" w:lineRule="auto"/>
        <w:ind w:firstLine="480" w:firstLineChars="200"/>
        <w:jc w:val="left"/>
        <w:rPr>
          <w:rFonts w:hint="eastAsia" w:ascii="宋体" w:hAnsi="宋体" w:eastAsia="宋体" w:cs="仿宋_GB2312"/>
          <w:color w:val="auto"/>
          <w:sz w:val="24"/>
        </w:rPr>
      </w:pPr>
      <w:r>
        <w:rPr>
          <w:rFonts w:hint="eastAsia" w:ascii="宋体" w:hAnsi="宋体" w:eastAsia="宋体" w:cs="仿宋_GB2312"/>
          <w:color w:val="auto"/>
          <w:sz w:val="24"/>
          <w:lang w:bidi="ar"/>
        </w:rPr>
        <w:t>2.本授权委托书应由联合体牵头人的法定代表人按上述规定签署。</w:t>
      </w:r>
    </w:p>
    <w:p w14:paraId="0DD33585">
      <w:pPr>
        <w:spacing w:line="360" w:lineRule="auto"/>
        <w:ind w:firstLine="480" w:firstLineChars="200"/>
        <w:jc w:val="left"/>
        <w:rPr>
          <w:rFonts w:hint="eastAsia" w:ascii="宋体" w:hAnsi="宋体" w:eastAsia="宋体" w:cs="仿宋_GB2312"/>
          <w:color w:val="auto"/>
          <w:sz w:val="24"/>
        </w:rPr>
      </w:pPr>
      <w:r>
        <w:rPr>
          <w:rFonts w:hint="eastAsia" w:ascii="宋体" w:hAnsi="宋体" w:eastAsia="宋体" w:cs="仿宋_GB2312"/>
          <w:color w:val="auto"/>
          <w:sz w:val="24"/>
          <w:lang w:bidi="ar"/>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3037688">
      <w:pPr>
        <w:spacing w:line="360" w:lineRule="auto"/>
        <w:ind w:firstLine="480" w:firstLineChars="200"/>
        <w:jc w:val="left"/>
        <w:rPr>
          <w:rFonts w:hint="eastAsia" w:ascii="宋体" w:hAnsi="宋体" w:eastAsia="宋体" w:cs="仿宋_GB2312"/>
          <w:color w:val="auto"/>
          <w:sz w:val="24"/>
        </w:rPr>
      </w:pPr>
      <w:r>
        <w:rPr>
          <w:rFonts w:hint="eastAsia" w:ascii="宋体" w:hAnsi="宋体" w:eastAsia="宋体" w:cs="仿宋_GB2312"/>
          <w:color w:val="auto"/>
          <w:sz w:val="24"/>
          <w:lang w:bidi="ar"/>
        </w:rPr>
        <w:t>4.法人、其他组织竞标时“我方”是指“我单位”，自然人竞标时“我方”是指“本人”。</w:t>
      </w:r>
    </w:p>
    <w:p w14:paraId="4FADDF52">
      <w:pPr>
        <w:spacing w:line="360" w:lineRule="auto"/>
        <w:ind w:firstLine="420" w:firstLineChars="200"/>
        <w:jc w:val="left"/>
        <w:rPr>
          <w:rFonts w:hint="eastAsia" w:ascii="仿宋_GB2312" w:hAnsi="仿宋_GB2312" w:eastAsia="仿宋_GB2312" w:cs="仿宋_GB2312"/>
          <w:color w:val="auto"/>
          <w:szCs w:val="21"/>
        </w:rPr>
      </w:pPr>
    </w:p>
    <w:p w14:paraId="43618EB8">
      <w:pPr>
        <w:spacing w:line="520" w:lineRule="exact"/>
        <w:ind w:firstLine="640" w:firstLineChars="200"/>
        <w:jc w:val="left"/>
        <w:rPr>
          <w:rFonts w:hint="eastAsia" w:ascii="仿宋" w:hAnsi="仿宋" w:eastAsia="仿宋" w:cs="仿宋_GB2312"/>
          <w:b/>
          <w:color w:val="auto"/>
          <w:sz w:val="30"/>
          <w:szCs w:val="30"/>
        </w:rPr>
      </w:pPr>
      <w:r>
        <w:rPr>
          <w:rFonts w:hint="eastAsia" w:ascii="仿宋_GB2312" w:hAnsi="仿宋_GB2312" w:eastAsia="仿宋_GB2312" w:cs="仿宋_GB2312"/>
          <w:color w:val="auto"/>
          <w:sz w:val="32"/>
          <w:szCs w:val="32"/>
          <w:lang w:bidi="ar"/>
        </w:rPr>
        <w:br w:type="page"/>
      </w:r>
      <w:r>
        <w:rPr>
          <w:rFonts w:hint="eastAsia" w:ascii="仿宋" w:hAnsi="仿宋" w:eastAsia="仿宋" w:cs="仿宋_GB2312"/>
          <w:b/>
          <w:color w:val="auto"/>
          <w:sz w:val="30"/>
          <w:szCs w:val="30"/>
          <w:lang w:bidi="ar"/>
        </w:rPr>
        <w:t>四、商务条款偏离表</w:t>
      </w:r>
    </w:p>
    <w:p w14:paraId="2547C847">
      <w:pPr>
        <w:spacing w:line="5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bidi="ar"/>
        </w:rPr>
        <w:t>商务条款偏离表</w:t>
      </w:r>
    </w:p>
    <w:p w14:paraId="0672C1BA">
      <w:pPr>
        <w:spacing w:line="520" w:lineRule="exact"/>
        <w:rPr>
          <w:rFonts w:hint="eastAsia" w:ascii="仿宋_GB2312" w:hAnsi="仿宋_GB2312" w:eastAsia="仿宋_GB2312" w:cs="仿宋_GB2312"/>
          <w:color w:val="auto"/>
          <w:sz w:val="32"/>
          <w:szCs w:val="32"/>
        </w:rPr>
      </w:pPr>
    </w:p>
    <w:p w14:paraId="4A82537B">
      <w:pPr>
        <w:spacing w:line="360" w:lineRule="auto"/>
        <w:rPr>
          <w:rFonts w:hint="eastAsia" w:ascii="宋体" w:hAnsi="宋体" w:cs="仿宋_GB2312"/>
          <w:color w:val="auto"/>
          <w:sz w:val="24"/>
          <w:u w:val="single"/>
        </w:rPr>
      </w:pPr>
      <w:r>
        <w:rPr>
          <w:rFonts w:hint="eastAsia" w:ascii="宋体" w:hAnsi="宋体" w:eastAsia="宋体" w:cs="仿宋_GB2312"/>
          <w:color w:val="auto"/>
          <w:sz w:val="24"/>
          <w:lang w:bidi="ar"/>
        </w:rPr>
        <w:t>采购项目编号：</w:t>
      </w:r>
      <w:r>
        <w:rPr>
          <w:rFonts w:hint="eastAsia" w:ascii="宋体" w:hAnsi="宋体" w:eastAsia="宋体" w:cs="仿宋_GB2312"/>
          <w:color w:val="auto"/>
          <w:sz w:val="24"/>
          <w:u w:val="single"/>
          <w:lang w:bidi="ar"/>
        </w:rPr>
        <w:t xml:space="preserve"> </w:t>
      </w:r>
      <w:r>
        <w:rPr>
          <w:rFonts w:hint="eastAsia" w:ascii="宋体" w:hAnsi="宋体" w:eastAsia="宋体" w:cs="仿宋_GB2312"/>
          <w:color w:val="auto"/>
          <w:sz w:val="24"/>
          <w:u w:val="single"/>
          <w:lang w:eastAsia="zh-CN" w:bidi="ar"/>
        </w:rPr>
        <w:t xml:space="preserve"> NNZC2025-C2-100114-GXXZ</w:t>
      </w:r>
      <w:r>
        <w:rPr>
          <w:rFonts w:hint="eastAsia" w:ascii="宋体" w:hAnsi="宋体" w:cs="仿宋_GB2312"/>
          <w:color w:val="auto"/>
          <w:sz w:val="24"/>
          <w:u w:val="single"/>
        </w:rPr>
        <w:t xml:space="preserve"> </w:t>
      </w:r>
    </w:p>
    <w:p w14:paraId="52BB3BDC">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采购项目名称：</w:t>
      </w:r>
      <w:r>
        <w:rPr>
          <w:rFonts w:hint="eastAsia" w:ascii="宋体" w:hAnsi="宋体" w:eastAsia="宋体" w:cs="仿宋_GB2312"/>
          <w:color w:val="auto"/>
          <w:sz w:val="24"/>
          <w:u w:val="single"/>
          <w:lang w:bidi="ar"/>
        </w:rPr>
        <w:t xml:space="preserve"> </w:t>
      </w:r>
      <w:r>
        <w:rPr>
          <w:rFonts w:hint="eastAsia" w:ascii="宋体" w:hAnsi="宋体" w:eastAsia="宋体" w:cs="仿宋_GB2312"/>
          <w:color w:val="auto"/>
          <w:sz w:val="24"/>
          <w:u w:val="single"/>
          <w:lang w:eastAsia="zh-CN"/>
        </w:rPr>
        <w:t>南宁市武鸣区2025年第一批中央财政水利发展资金农村饮水工程维修养护项目</w:t>
      </w:r>
      <w:r>
        <w:rPr>
          <w:rFonts w:hint="eastAsia" w:ascii="宋体" w:hAnsi="宋体" w:eastAsia="宋体" w:cs="仿宋_GB2312"/>
          <w:color w:val="auto"/>
          <w:sz w:val="24"/>
          <w:u w:val="single"/>
          <w:lang w:bidi="ar"/>
        </w:rPr>
        <w:t xml:space="preserve"> </w:t>
      </w:r>
    </w:p>
    <w:p w14:paraId="518D1B0E">
      <w:pPr>
        <w:spacing w:line="360" w:lineRule="auto"/>
        <w:rPr>
          <w:rFonts w:hint="eastAsia" w:ascii="宋体" w:hAnsi="宋体" w:eastAsia="宋体" w:cs="仿宋_GB2312"/>
          <w:color w:val="auto"/>
          <w:sz w:val="24"/>
          <w:u w:val="single"/>
        </w:rPr>
      </w:pPr>
      <w:r>
        <w:rPr>
          <w:rFonts w:hint="eastAsia" w:ascii="宋体" w:hAnsi="宋体" w:eastAsia="宋体" w:cs="仿宋_GB2312"/>
          <w:color w:val="auto"/>
          <w:sz w:val="24"/>
          <w:lang w:bidi="ar"/>
        </w:rPr>
        <w:t>分标号</w:t>
      </w:r>
      <w:r>
        <w:rPr>
          <w:rFonts w:hint="eastAsia" w:ascii="宋体" w:hAnsi="宋体" w:eastAsia="宋体" w:cs="宋体"/>
          <w:color w:val="auto"/>
          <w:szCs w:val="21"/>
          <w:lang w:bidi="ar"/>
        </w:rPr>
        <w:t>（此处有分标时填写具体分标号，无分标时填写“无”）</w:t>
      </w:r>
      <w:r>
        <w:rPr>
          <w:rFonts w:hint="eastAsia" w:ascii="宋体" w:hAnsi="宋体" w:eastAsia="宋体" w:cs="仿宋_GB2312"/>
          <w:color w:val="auto"/>
          <w:sz w:val="24"/>
          <w:lang w:bidi="ar"/>
        </w:rPr>
        <w:t>：</w:t>
      </w:r>
      <w:r>
        <w:rPr>
          <w:rFonts w:hint="eastAsia" w:ascii="宋体" w:hAnsi="宋体" w:eastAsia="宋体" w:cs="仿宋_GB2312"/>
          <w:color w:val="auto"/>
          <w:sz w:val="24"/>
          <w:u w:val="single"/>
          <w:lang w:bidi="ar"/>
        </w:rPr>
        <w:t xml:space="preserve">                       </w:t>
      </w:r>
    </w:p>
    <w:tbl>
      <w:tblPr>
        <w:tblStyle w:val="29"/>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9BF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shd w:val="clear" w:color="auto" w:fill="auto"/>
            <w:vAlign w:val="center"/>
          </w:tcPr>
          <w:p w14:paraId="6338D85B">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项号</w:t>
            </w:r>
          </w:p>
        </w:tc>
        <w:tc>
          <w:tcPr>
            <w:tcW w:w="3926" w:type="dxa"/>
            <w:tcBorders>
              <w:top w:val="single" w:color="auto" w:sz="4" w:space="0"/>
              <w:left w:val="single" w:color="auto" w:sz="4" w:space="0"/>
              <w:bottom w:val="single" w:color="auto" w:sz="4" w:space="0"/>
              <w:right w:val="single" w:color="auto" w:sz="4" w:space="0"/>
            </w:tcBorders>
            <w:shd w:val="clear" w:color="auto" w:fill="auto"/>
            <w:vAlign w:val="center"/>
          </w:tcPr>
          <w:p w14:paraId="0B484F52">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14:paraId="6849CB15">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响应文件承诺的商务条款</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25ED2400">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偏离说明</w:t>
            </w:r>
          </w:p>
        </w:tc>
      </w:tr>
      <w:tr w14:paraId="70B5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shd w:val="clear" w:color="auto" w:fill="auto"/>
          </w:tcPr>
          <w:p w14:paraId="5A260050">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一</w:t>
            </w:r>
          </w:p>
        </w:tc>
        <w:tc>
          <w:tcPr>
            <w:tcW w:w="3926" w:type="dxa"/>
            <w:tcBorders>
              <w:top w:val="single" w:color="auto" w:sz="4" w:space="0"/>
              <w:left w:val="single" w:color="auto" w:sz="4" w:space="0"/>
              <w:bottom w:val="single" w:color="auto" w:sz="4" w:space="0"/>
              <w:right w:val="single" w:color="auto" w:sz="4" w:space="0"/>
            </w:tcBorders>
            <w:shd w:val="clear" w:color="auto" w:fill="auto"/>
          </w:tcPr>
          <w:p w14:paraId="48D77902">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1  ……</w:t>
            </w:r>
          </w:p>
          <w:p w14:paraId="3A8FA58B">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5C4CAA6A">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7BB5DB39">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3589" w:type="dxa"/>
            <w:tcBorders>
              <w:top w:val="single" w:color="auto" w:sz="4" w:space="0"/>
              <w:left w:val="single" w:color="auto" w:sz="4" w:space="0"/>
              <w:bottom w:val="single" w:color="auto" w:sz="4" w:space="0"/>
              <w:right w:val="single" w:color="auto" w:sz="4" w:space="0"/>
            </w:tcBorders>
            <w:shd w:val="clear" w:color="auto" w:fill="auto"/>
          </w:tcPr>
          <w:p w14:paraId="11F594C1">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1  ……</w:t>
            </w:r>
          </w:p>
          <w:p w14:paraId="2D5342EC">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6FE31763">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5793619B">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1274" w:type="dxa"/>
            <w:tcBorders>
              <w:top w:val="single" w:color="auto" w:sz="4" w:space="0"/>
              <w:left w:val="single" w:color="auto" w:sz="4" w:space="0"/>
              <w:bottom w:val="single" w:color="auto" w:sz="4" w:space="0"/>
              <w:right w:val="single" w:color="auto" w:sz="4" w:space="0"/>
            </w:tcBorders>
            <w:shd w:val="clear" w:color="auto" w:fill="auto"/>
          </w:tcPr>
          <w:p w14:paraId="6FC5A579">
            <w:pPr>
              <w:spacing w:line="300" w:lineRule="exact"/>
              <w:rPr>
                <w:rFonts w:hint="eastAsia" w:ascii="宋体" w:hAnsi="宋体" w:eastAsia="宋体" w:cs="宋体"/>
                <w:color w:val="auto"/>
                <w:szCs w:val="21"/>
              </w:rPr>
            </w:pPr>
          </w:p>
        </w:tc>
      </w:tr>
      <w:tr w14:paraId="6E91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shd w:val="clear" w:color="auto" w:fill="auto"/>
          </w:tcPr>
          <w:p w14:paraId="5DCEB7A5">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二</w:t>
            </w:r>
          </w:p>
        </w:tc>
        <w:tc>
          <w:tcPr>
            <w:tcW w:w="3926" w:type="dxa"/>
            <w:tcBorders>
              <w:top w:val="single" w:color="auto" w:sz="4" w:space="0"/>
              <w:left w:val="single" w:color="auto" w:sz="4" w:space="0"/>
              <w:bottom w:val="single" w:color="auto" w:sz="4" w:space="0"/>
              <w:right w:val="single" w:color="auto" w:sz="4" w:space="0"/>
            </w:tcBorders>
            <w:shd w:val="clear" w:color="auto" w:fill="auto"/>
          </w:tcPr>
          <w:p w14:paraId="400FF3A9">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1  ……</w:t>
            </w:r>
          </w:p>
          <w:p w14:paraId="6C4C8AE6">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66C29499">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47796E08">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3589" w:type="dxa"/>
            <w:tcBorders>
              <w:top w:val="single" w:color="auto" w:sz="4" w:space="0"/>
              <w:left w:val="single" w:color="auto" w:sz="4" w:space="0"/>
              <w:bottom w:val="single" w:color="auto" w:sz="4" w:space="0"/>
              <w:right w:val="single" w:color="auto" w:sz="4" w:space="0"/>
            </w:tcBorders>
            <w:shd w:val="clear" w:color="auto" w:fill="auto"/>
          </w:tcPr>
          <w:p w14:paraId="450CF656">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1  ……</w:t>
            </w:r>
          </w:p>
          <w:p w14:paraId="5F4889C7">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330D655A">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62B83261">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1274" w:type="dxa"/>
            <w:tcBorders>
              <w:top w:val="single" w:color="auto" w:sz="4" w:space="0"/>
              <w:left w:val="single" w:color="auto" w:sz="4" w:space="0"/>
              <w:bottom w:val="single" w:color="auto" w:sz="4" w:space="0"/>
              <w:right w:val="single" w:color="auto" w:sz="4" w:space="0"/>
            </w:tcBorders>
            <w:shd w:val="clear" w:color="auto" w:fill="auto"/>
          </w:tcPr>
          <w:p w14:paraId="01B1AE30">
            <w:pPr>
              <w:spacing w:line="300" w:lineRule="exact"/>
              <w:rPr>
                <w:rFonts w:hint="eastAsia" w:ascii="宋体" w:hAnsi="宋体" w:eastAsia="宋体" w:cs="宋体"/>
                <w:color w:val="auto"/>
                <w:szCs w:val="21"/>
              </w:rPr>
            </w:pPr>
          </w:p>
        </w:tc>
      </w:tr>
      <w:tr w14:paraId="72E7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shd w:val="clear" w:color="auto" w:fill="auto"/>
          </w:tcPr>
          <w:p w14:paraId="0DD29570">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3926" w:type="dxa"/>
            <w:tcBorders>
              <w:top w:val="single" w:color="auto" w:sz="4" w:space="0"/>
              <w:left w:val="single" w:color="auto" w:sz="4" w:space="0"/>
              <w:bottom w:val="single" w:color="auto" w:sz="4" w:space="0"/>
              <w:right w:val="single" w:color="auto" w:sz="4" w:space="0"/>
            </w:tcBorders>
            <w:shd w:val="clear" w:color="auto" w:fill="auto"/>
          </w:tcPr>
          <w:p w14:paraId="3917A514">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1  ……</w:t>
            </w:r>
          </w:p>
          <w:p w14:paraId="122FBD2C">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52C13FE7">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0DF0E1EC">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3589" w:type="dxa"/>
            <w:tcBorders>
              <w:top w:val="single" w:color="auto" w:sz="4" w:space="0"/>
              <w:left w:val="single" w:color="auto" w:sz="4" w:space="0"/>
              <w:bottom w:val="single" w:color="auto" w:sz="4" w:space="0"/>
              <w:right w:val="single" w:color="auto" w:sz="4" w:space="0"/>
            </w:tcBorders>
            <w:shd w:val="clear" w:color="auto" w:fill="auto"/>
          </w:tcPr>
          <w:p w14:paraId="75130924">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1  ……</w:t>
            </w:r>
          </w:p>
          <w:p w14:paraId="6B6DCB37">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2D23CE20">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60C7F7D2">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1274" w:type="dxa"/>
            <w:tcBorders>
              <w:top w:val="single" w:color="auto" w:sz="4" w:space="0"/>
              <w:left w:val="single" w:color="auto" w:sz="4" w:space="0"/>
              <w:bottom w:val="single" w:color="auto" w:sz="4" w:space="0"/>
              <w:right w:val="single" w:color="auto" w:sz="4" w:space="0"/>
            </w:tcBorders>
            <w:shd w:val="clear" w:color="auto" w:fill="auto"/>
          </w:tcPr>
          <w:p w14:paraId="15F7162B">
            <w:pPr>
              <w:spacing w:line="300" w:lineRule="exact"/>
              <w:rPr>
                <w:rFonts w:hint="eastAsia" w:ascii="宋体" w:hAnsi="宋体" w:eastAsia="宋体" w:cs="宋体"/>
                <w:color w:val="auto"/>
                <w:szCs w:val="21"/>
              </w:rPr>
            </w:pPr>
          </w:p>
        </w:tc>
      </w:tr>
    </w:tbl>
    <w:p w14:paraId="1D21EDEE">
      <w:pPr>
        <w:pStyle w:val="14"/>
        <w:widowControl/>
        <w:spacing w:line="400" w:lineRule="exact"/>
        <w:ind w:firstLine="0" w:firstLineChars="0"/>
        <w:rPr>
          <w:rFonts w:ascii="宋体" w:hAnsi="宋体" w:eastAsia="宋体" w:cs="仿宋_GB2312"/>
          <w:color w:val="auto"/>
          <w:sz w:val="24"/>
          <w:szCs w:val="24"/>
        </w:rPr>
      </w:pPr>
      <w:r>
        <w:rPr>
          <w:rFonts w:ascii="宋体" w:hAnsi="宋体" w:eastAsia="宋体" w:cs="仿宋_GB2312"/>
          <w:color w:val="auto"/>
          <w:sz w:val="24"/>
          <w:szCs w:val="24"/>
        </w:rPr>
        <w:t>注：</w:t>
      </w:r>
    </w:p>
    <w:p w14:paraId="153D213F">
      <w:pPr>
        <w:pStyle w:val="14"/>
        <w:widowControl/>
        <w:spacing w:line="400" w:lineRule="exact"/>
        <w:ind w:firstLine="0" w:firstLineChars="0"/>
        <w:rPr>
          <w:rFonts w:ascii="宋体" w:hAnsi="宋体" w:eastAsia="宋体" w:cs="仿宋_GB2312"/>
          <w:color w:val="auto"/>
          <w:sz w:val="24"/>
          <w:szCs w:val="24"/>
        </w:rPr>
      </w:pPr>
      <w:r>
        <w:rPr>
          <w:rFonts w:ascii="宋体" w:hAnsi="宋体" w:eastAsia="宋体" w:cs="仿宋_GB2312"/>
          <w:color w:val="auto"/>
          <w:sz w:val="24"/>
          <w:szCs w:val="24"/>
        </w:rPr>
        <w:t>1.说明：应对照磋商文件“第二章 采购需求”中的商务条款逐条作出明确响应，并作出偏离说明。</w:t>
      </w:r>
    </w:p>
    <w:p w14:paraId="6579F6B3">
      <w:pPr>
        <w:pStyle w:val="14"/>
        <w:widowControl/>
        <w:spacing w:line="400" w:lineRule="exact"/>
        <w:ind w:firstLine="0" w:firstLineChars="0"/>
        <w:rPr>
          <w:rFonts w:ascii="宋体" w:hAnsi="宋体" w:eastAsia="宋体" w:cs="仿宋_GB2312"/>
          <w:color w:val="auto"/>
          <w:sz w:val="24"/>
          <w:szCs w:val="24"/>
        </w:rPr>
      </w:pPr>
      <w:r>
        <w:rPr>
          <w:rFonts w:ascii="宋体" w:hAnsi="宋体" w:eastAsia="宋体" w:cs="仿宋_GB2312"/>
          <w:color w:val="auto"/>
          <w:sz w:val="24"/>
          <w:szCs w:val="24"/>
        </w:rPr>
        <w:t>2.供应商应根据自身的承诺，对照磋商文件要求，在“偏离说明”中注明“正偏离”、“负偏离”或者“无偏离”。既不属于“正偏离”也不属于“负偏离”即为“无偏离”。</w:t>
      </w:r>
      <w:r>
        <w:rPr>
          <w:rFonts w:ascii="宋体" w:hAnsi="宋体" w:cs="仿宋_GB2312"/>
          <w:color w:val="auto"/>
          <w:sz w:val="24"/>
          <w:szCs w:val="24"/>
        </w:rPr>
        <w:t xml:space="preserve"> 当响应文件的</w:t>
      </w:r>
      <w:r>
        <w:rPr>
          <w:rFonts w:ascii="宋体" w:hAnsi="宋体" w:eastAsia="宋体" w:cs="仿宋_GB2312"/>
          <w:color w:val="auto"/>
          <w:sz w:val="24"/>
          <w:szCs w:val="24"/>
        </w:rPr>
        <w:t>商务内容低于竞争性磋商采购文件要求时，竞标人应当如实写明“负偏离”，否则视为虚假应标</w:t>
      </w:r>
    </w:p>
    <w:p w14:paraId="7CD50B1C">
      <w:pPr>
        <w:spacing w:line="400" w:lineRule="exact"/>
        <w:rPr>
          <w:rFonts w:hint="eastAsia" w:ascii="宋体" w:hAnsi="宋体" w:eastAsia="宋体" w:cs="仿宋_GB2312"/>
          <w:color w:val="auto"/>
          <w:kern w:val="0"/>
          <w:sz w:val="24"/>
        </w:rPr>
      </w:pPr>
      <w:r>
        <w:rPr>
          <w:rFonts w:hint="eastAsia" w:ascii="宋体" w:hAnsi="宋体" w:eastAsia="宋体" w:cs="仿宋_GB2312"/>
          <w:color w:val="auto"/>
          <w:kern w:val="0"/>
          <w:sz w:val="24"/>
          <w:lang w:bidi="ar"/>
        </w:rPr>
        <w:t>3.表格内容均需按要求填写，不得留空，否则按竞标无效处理。</w:t>
      </w:r>
    </w:p>
    <w:p w14:paraId="6ECEACDF">
      <w:pPr>
        <w:pStyle w:val="17"/>
        <w:widowControl/>
        <w:spacing w:line="400" w:lineRule="exact"/>
        <w:rPr>
          <w:rFonts w:hAnsi="宋体" w:cs="仿宋_GB2312"/>
          <w:color w:val="auto"/>
          <w:sz w:val="24"/>
        </w:rPr>
      </w:pPr>
      <w:r>
        <w:rPr>
          <w:rFonts w:hAnsi="宋体" w:cs="仿宋_GB2312"/>
          <w:color w:val="auto"/>
          <w:sz w:val="24"/>
          <w:szCs w:val="24"/>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795E5D4E">
      <w:pPr>
        <w:spacing w:line="360" w:lineRule="auto"/>
        <w:ind w:firstLine="3840" w:firstLineChars="1600"/>
        <w:rPr>
          <w:rFonts w:hint="eastAsia" w:ascii="宋体" w:hAnsi="宋体" w:eastAsia="宋体" w:cs="仿宋_GB2312"/>
          <w:color w:val="auto"/>
          <w:sz w:val="24"/>
        </w:rPr>
      </w:pPr>
      <w:r>
        <w:rPr>
          <w:rFonts w:hint="eastAsia" w:ascii="仿宋_GB2312" w:hAnsi="仿宋" w:eastAsia="仿宋_GB2312" w:cs="仿宋_GB2312"/>
          <w:color w:val="auto"/>
          <w:kern w:val="0"/>
          <w:sz w:val="24"/>
          <w:lang w:bidi="ar"/>
        </w:rPr>
        <w:t>供应商名称（电子签章）：</w:t>
      </w:r>
    </w:p>
    <w:p w14:paraId="37C26A10">
      <w:pPr>
        <w:spacing w:line="360" w:lineRule="auto"/>
        <w:jc w:val="center"/>
        <w:rPr>
          <w:rFonts w:hint="eastAsia" w:ascii="宋体" w:hAnsi="宋体" w:eastAsia="宋体" w:cs="仿宋_GB2312"/>
          <w:b/>
          <w:color w:val="auto"/>
          <w:sz w:val="24"/>
        </w:rPr>
      </w:pPr>
      <w:r>
        <w:rPr>
          <w:rFonts w:hint="eastAsia" w:ascii="仿宋_GB2312" w:hAnsi="仿宋" w:eastAsia="仿宋_GB2312" w:cs="仿宋_GB2312"/>
          <w:color w:val="auto"/>
          <w:kern w:val="0"/>
          <w:sz w:val="24"/>
          <w:lang w:val="zh-CN" w:bidi="ar"/>
        </w:rPr>
        <w:t xml:space="preserve">                                                   日期：  年  月   日</w:t>
      </w:r>
    </w:p>
    <w:p w14:paraId="71D98E22">
      <w:pPr>
        <w:snapToGrid w:val="0"/>
        <w:spacing w:line="360" w:lineRule="auto"/>
        <w:ind w:firstLine="602" w:firstLineChars="200"/>
        <w:rPr>
          <w:rFonts w:hint="eastAsia" w:ascii="仿宋" w:hAnsi="仿宋" w:eastAsia="仿宋" w:cs="仿宋_GB2312"/>
          <w:b/>
          <w:color w:val="auto"/>
          <w:sz w:val="30"/>
          <w:szCs w:val="30"/>
        </w:rPr>
      </w:pPr>
      <w:r>
        <w:rPr>
          <w:rFonts w:hint="eastAsia" w:ascii="仿宋" w:hAnsi="仿宋" w:eastAsia="仿宋" w:cs="仿宋_GB2312"/>
          <w:b/>
          <w:color w:val="auto"/>
          <w:sz w:val="30"/>
          <w:szCs w:val="30"/>
          <w:lang w:bidi="ar"/>
        </w:rPr>
        <w:t>五、竞标人情况介绍</w:t>
      </w:r>
    </w:p>
    <w:p w14:paraId="332B2054">
      <w:pPr>
        <w:autoSpaceDE w:val="0"/>
        <w:autoSpaceDN w:val="0"/>
        <w:spacing w:line="360" w:lineRule="auto"/>
        <w:ind w:left="4335" w:leftChars="1950" w:hanging="240" w:hangingChars="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7254A34E">
      <w:pPr>
        <w:autoSpaceDE w:val="0"/>
        <w:autoSpaceDN w:val="0"/>
        <w:spacing w:line="360" w:lineRule="auto"/>
        <w:ind w:firstLine="6480" w:firstLineChars="2700"/>
        <w:rPr>
          <w:rFonts w:hint="eastAsia" w:ascii="仿宋_GB2312" w:hAnsi="仿宋" w:eastAsia="仿宋_GB2312" w:cs="仿宋_GB2312"/>
          <w:b/>
          <w:bCs/>
          <w:color w:val="auto"/>
          <w:sz w:val="24"/>
        </w:rPr>
      </w:pPr>
      <w:r>
        <w:rPr>
          <w:rFonts w:hint="eastAsia" w:ascii="仿宋_GB2312" w:hAnsi="仿宋" w:eastAsia="仿宋_GB2312" w:cs="仿宋_GB2312"/>
          <w:color w:val="auto"/>
          <w:kern w:val="0"/>
          <w:sz w:val="24"/>
          <w:lang w:val="zh-CN" w:bidi="ar"/>
        </w:rPr>
        <w:t>日期：  年  月   日</w:t>
      </w:r>
    </w:p>
    <w:p w14:paraId="58A59E99">
      <w:pPr>
        <w:snapToGrid w:val="0"/>
        <w:spacing w:before="156" w:beforeLines="50" w:after="50"/>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lang w:bidi="ar"/>
        </w:rPr>
        <w:t>六</w:t>
      </w:r>
      <w:r>
        <w:rPr>
          <w:rFonts w:hint="eastAsia" w:ascii="仿宋" w:hAnsi="仿宋" w:eastAsia="仿宋" w:cs="仿宋_GB2312"/>
          <w:b/>
          <w:color w:val="auto"/>
          <w:sz w:val="30"/>
          <w:szCs w:val="30"/>
          <w:highlight w:val="none"/>
          <w:lang w:bidi="ar"/>
        </w:rPr>
        <w:t>、供应商类似的业绩证明文件</w:t>
      </w:r>
    </w:p>
    <w:p w14:paraId="73869335">
      <w:pPr>
        <w:keepNext/>
        <w:keepLines/>
        <w:widowControl w:val="0"/>
        <w:spacing w:before="240" w:beforeLines="0" w:after="120" w:afterLines="0" w:line="240" w:lineRule="auto"/>
        <w:jc w:val="center"/>
        <w:outlineLvl w:val="2"/>
        <w:rPr>
          <w:rStyle w:val="31"/>
          <w:rFonts w:ascii="宋体" w:hAnsi="宋体" w:eastAsia="宋体" w:cs="Times New Roman"/>
          <w:b/>
          <w:color w:val="auto"/>
          <w:sz w:val="28"/>
          <w:szCs w:val="28"/>
          <w:highlight w:val="none"/>
          <w:lang w:val="en-US" w:eastAsia="zh-CN" w:bidi="ar-SA"/>
        </w:rPr>
      </w:pPr>
      <w:r>
        <w:rPr>
          <w:rStyle w:val="31"/>
          <w:rFonts w:ascii="宋体" w:hAnsi="宋体" w:eastAsia="宋体" w:cs="Times New Roman"/>
          <w:b/>
          <w:color w:val="auto"/>
          <w:sz w:val="28"/>
          <w:szCs w:val="28"/>
          <w:highlight w:val="none"/>
          <w:lang w:val="en-US" w:eastAsia="zh-CN" w:bidi="ar-SA"/>
        </w:rPr>
        <w:t>完成的类似项目情况表</w:t>
      </w:r>
    </w:p>
    <w:tbl>
      <w:tblPr>
        <w:tblStyle w:val="29"/>
        <w:tblW w:w="8352" w:type="dxa"/>
        <w:jc w:val="center"/>
        <w:tblLayout w:type="fixed"/>
        <w:tblCellMar>
          <w:top w:w="0" w:type="dxa"/>
          <w:left w:w="10" w:type="dxa"/>
          <w:bottom w:w="0" w:type="dxa"/>
          <w:right w:w="10" w:type="dxa"/>
        </w:tblCellMar>
      </w:tblPr>
      <w:tblGrid>
        <w:gridCol w:w="2275"/>
        <w:gridCol w:w="6077"/>
      </w:tblGrid>
      <w:tr w14:paraId="1849161A">
        <w:tblPrEx>
          <w:tblCellMar>
            <w:top w:w="0" w:type="dxa"/>
            <w:left w:w="10" w:type="dxa"/>
            <w:bottom w:w="0" w:type="dxa"/>
            <w:right w:w="10" w:type="dxa"/>
          </w:tblCellMar>
        </w:tblPrEx>
        <w:trPr>
          <w:trHeight w:val="571" w:hRule="exact"/>
          <w:jc w:val="center"/>
        </w:trPr>
        <w:tc>
          <w:tcPr>
            <w:tcW w:w="2275" w:type="dxa"/>
            <w:tcBorders>
              <w:top w:val="single" w:color="auto" w:sz="4" w:space="0"/>
              <w:left w:val="single" w:color="auto" w:sz="4" w:space="0"/>
            </w:tcBorders>
            <w:shd w:val="clear" w:color="auto" w:fill="FFFFFF"/>
            <w:noWrap w:val="0"/>
            <w:vAlign w:val="center"/>
          </w:tcPr>
          <w:p w14:paraId="1731D310">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项目名称</w:t>
            </w:r>
          </w:p>
        </w:tc>
        <w:tc>
          <w:tcPr>
            <w:tcW w:w="6077" w:type="dxa"/>
            <w:tcBorders>
              <w:top w:val="single" w:color="auto" w:sz="4" w:space="0"/>
              <w:left w:val="single" w:color="auto" w:sz="4" w:space="0"/>
              <w:right w:val="single" w:color="auto" w:sz="4" w:space="0"/>
            </w:tcBorders>
            <w:shd w:val="clear" w:color="auto" w:fill="FFFFFF"/>
            <w:noWrap w:val="0"/>
            <w:vAlign w:val="top"/>
          </w:tcPr>
          <w:p w14:paraId="323CC62F">
            <w:pPr>
              <w:widowControl w:val="0"/>
              <w:rPr>
                <w:rStyle w:val="31"/>
                <w:rFonts w:ascii="Times New Roman" w:hAnsi="Times New Roman" w:eastAsia="Times New Roman" w:cs="Times New Roman"/>
                <w:color w:val="auto"/>
                <w:sz w:val="24"/>
                <w:szCs w:val="24"/>
                <w:lang w:val="en-US" w:eastAsia="en-US" w:bidi="en-US"/>
              </w:rPr>
            </w:pPr>
          </w:p>
        </w:tc>
      </w:tr>
      <w:tr w14:paraId="3883DA81">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52564455">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项目所在地</w:t>
            </w:r>
          </w:p>
        </w:tc>
        <w:tc>
          <w:tcPr>
            <w:tcW w:w="6077" w:type="dxa"/>
            <w:tcBorders>
              <w:top w:val="single" w:color="auto" w:sz="4" w:space="0"/>
              <w:left w:val="single" w:color="auto" w:sz="4" w:space="0"/>
              <w:right w:val="single" w:color="auto" w:sz="4" w:space="0"/>
            </w:tcBorders>
            <w:shd w:val="clear" w:color="auto" w:fill="FFFFFF"/>
            <w:noWrap w:val="0"/>
            <w:vAlign w:val="top"/>
          </w:tcPr>
          <w:p w14:paraId="44D4ECA0">
            <w:pPr>
              <w:widowControl w:val="0"/>
              <w:rPr>
                <w:rStyle w:val="31"/>
                <w:rFonts w:ascii="Times New Roman" w:hAnsi="Times New Roman" w:eastAsia="Times New Roman" w:cs="Times New Roman"/>
                <w:color w:val="auto"/>
                <w:sz w:val="24"/>
                <w:szCs w:val="24"/>
                <w:lang w:val="en-US" w:eastAsia="en-US" w:bidi="en-US"/>
              </w:rPr>
            </w:pPr>
          </w:p>
        </w:tc>
      </w:tr>
      <w:tr w14:paraId="122069CB">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4493BAC4">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发包人名称</w:t>
            </w:r>
          </w:p>
        </w:tc>
        <w:tc>
          <w:tcPr>
            <w:tcW w:w="6077" w:type="dxa"/>
            <w:tcBorders>
              <w:top w:val="single" w:color="auto" w:sz="4" w:space="0"/>
              <w:left w:val="single" w:color="auto" w:sz="4" w:space="0"/>
              <w:right w:val="single" w:color="auto" w:sz="4" w:space="0"/>
            </w:tcBorders>
            <w:shd w:val="clear" w:color="auto" w:fill="FFFFFF"/>
            <w:noWrap w:val="0"/>
            <w:vAlign w:val="top"/>
          </w:tcPr>
          <w:p w14:paraId="2D3A90AB">
            <w:pPr>
              <w:widowControl w:val="0"/>
              <w:rPr>
                <w:rStyle w:val="31"/>
                <w:rFonts w:ascii="Times New Roman" w:hAnsi="Times New Roman" w:eastAsia="Times New Roman" w:cs="Times New Roman"/>
                <w:color w:val="auto"/>
                <w:sz w:val="24"/>
                <w:szCs w:val="24"/>
                <w:lang w:val="en-US" w:eastAsia="en-US" w:bidi="en-US"/>
              </w:rPr>
            </w:pPr>
          </w:p>
        </w:tc>
      </w:tr>
      <w:tr w14:paraId="5DAE4BD3">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5175BE33">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发包人地址</w:t>
            </w:r>
          </w:p>
        </w:tc>
        <w:tc>
          <w:tcPr>
            <w:tcW w:w="6077" w:type="dxa"/>
            <w:tcBorders>
              <w:top w:val="single" w:color="auto" w:sz="4" w:space="0"/>
              <w:left w:val="single" w:color="auto" w:sz="4" w:space="0"/>
              <w:right w:val="single" w:color="auto" w:sz="4" w:space="0"/>
            </w:tcBorders>
            <w:shd w:val="clear" w:color="auto" w:fill="FFFFFF"/>
            <w:noWrap w:val="0"/>
            <w:vAlign w:val="top"/>
          </w:tcPr>
          <w:p w14:paraId="27235112">
            <w:pPr>
              <w:widowControl w:val="0"/>
              <w:rPr>
                <w:rStyle w:val="31"/>
                <w:rFonts w:ascii="Times New Roman" w:hAnsi="Times New Roman" w:eastAsia="Times New Roman" w:cs="Times New Roman"/>
                <w:color w:val="auto"/>
                <w:sz w:val="24"/>
                <w:szCs w:val="24"/>
                <w:lang w:val="en-US" w:eastAsia="en-US" w:bidi="en-US"/>
              </w:rPr>
            </w:pPr>
          </w:p>
        </w:tc>
      </w:tr>
      <w:tr w14:paraId="2F672CA2">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201DA11B">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发包人电话</w:t>
            </w:r>
          </w:p>
        </w:tc>
        <w:tc>
          <w:tcPr>
            <w:tcW w:w="6077" w:type="dxa"/>
            <w:tcBorders>
              <w:top w:val="single" w:color="auto" w:sz="4" w:space="0"/>
              <w:left w:val="single" w:color="auto" w:sz="4" w:space="0"/>
              <w:right w:val="single" w:color="auto" w:sz="4" w:space="0"/>
            </w:tcBorders>
            <w:shd w:val="clear" w:color="auto" w:fill="FFFFFF"/>
            <w:noWrap w:val="0"/>
            <w:vAlign w:val="top"/>
          </w:tcPr>
          <w:p w14:paraId="6533FEB3">
            <w:pPr>
              <w:widowControl w:val="0"/>
              <w:rPr>
                <w:rStyle w:val="31"/>
                <w:rFonts w:ascii="Times New Roman" w:hAnsi="Times New Roman" w:eastAsia="Times New Roman" w:cs="Times New Roman"/>
                <w:color w:val="auto"/>
                <w:sz w:val="24"/>
                <w:szCs w:val="24"/>
                <w:lang w:val="en-US" w:eastAsia="en-US" w:bidi="en-US"/>
              </w:rPr>
            </w:pPr>
          </w:p>
        </w:tc>
      </w:tr>
      <w:tr w14:paraId="14788C5E">
        <w:tblPrEx>
          <w:tblCellMar>
            <w:top w:w="0" w:type="dxa"/>
            <w:left w:w="10" w:type="dxa"/>
            <w:bottom w:w="0" w:type="dxa"/>
            <w:right w:w="10" w:type="dxa"/>
          </w:tblCellMar>
        </w:tblPrEx>
        <w:trPr>
          <w:trHeight w:val="571" w:hRule="exact"/>
          <w:jc w:val="center"/>
        </w:trPr>
        <w:tc>
          <w:tcPr>
            <w:tcW w:w="2275" w:type="dxa"/>
            <w:tcBorders>
              <w:top w:val="single" w:color="auto" w:sz="4" w:space="0"/>
              <w:left w:val="single" w:color="auto" w:sz="4" w:space="0"/>
            </w:tcBorders>
            <w:shd w:val="clear" w:color="auto" w:fill="FFFFFF"/>
            <w:noWrap w:val="0"/>
            <w:vAlign w:val="center"/>
          </w:tcPr>
          <w:p w14:paraId="6D03E8D3">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签约合同价</w:t>
            </w:r>
          </w:p>
        </w:tc>
        <w:tc>
          <w:tcPr>
            <w:tcW w:w="6077" w:type="dxa"/>
            <w:tcBorders>
              <w:top w:val="single" w:color="auto" w:sz="4" w:space="0"/>
              <w:left w:val="single" w:color="auto" w:sz="4" w:space="0"/>
              <w:right w:val="single" w:color="auto" w:sz="4" w:space="0"/>
            </w:tcBorders>
            <w:shd w:val="clear" w:color="auto" w:fill="FFFFFF"/>
            <w:noWrap w:val="0"/>
            <w:vAlign w:val="top"/>
          </w:tcPr>
          <w:p w14:paraId="3ADA3C96">
            <w:pPr>
              <w:widowControl w:val="0"/>
              <w:rPr>
                <w:rStyle w:val="31"/>
                <w:rFonts w:ascii="Times New Roman" w:hAnsi="Times New Roman" w:eastAsia="Times New Roman" w:cs="Times New Roman"/>
                <w:color w:val="auto"/>
                <w:sz w:val="24"/>
                <w:szCs w:val="24"/>
                <w:lang w:val="en-US" w:eastAsia="en-US" w:bidi="en-US"/>
              </w:rPr>
            </w:pPr>
          </w:p>
        </w:tc>
      </w:tr>
      <w:tr w14:paraId="3FBF1A38">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2A24B4EB">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开工日期</w:t>
            </w:r>
          </w:p>
        </w:tc>
        <w:tc>
          <w:tcPr>
            <w:tcW w:w="6077" w:type="dxa"/>
            <w:tcBorders>
              <w:top w:val="single" w:color="auto" w:sz="4" w:space="0"/>
              <w:left w:val="single" w:color="auto" w:sz="4" w:space="0"/>
              <w:right w:val="single" w:color="auto" w:sz="4" w:space="0"/>
            </w:tcBorders>
            <w:shd w:val="clear" w:color="auto" w:fill="FFFFFF"/>
            <w:noWrap w:val="0"/>
            <w:vAlign w:val="top"/>
          </w:tcPr>
          <w:p w14:paraId="2C956901">
            <w:pPr>
              <w:widowControl w:val="0"/>
              <w:rPr>
                <w:rStyle w:val="31"/>
                <w:rFonts w:ascii="Times New Roman" w:hAnsi="Times New Roman" w:eastAsia="Times New Roman" w:cs="Times New Roman"/>
                <w:color w:val="auto"/>
                <w:sz w:val="24"/>
                <w:szCs w:val="24"/>
                <w:lang w:val="en-US" w:eastAsia="en-US" w:bidi="en-US"/>
              </w:rPr>
            </w:pPr>
          </w:p>
        </w:tc>
      </w:tr>
      <w:tr w14:paraId="50995182">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529D32DE">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完工日期</w:t>
            </w:r>
          </w:p>
        </w:tc>
        <w:tc>
          <w:tcPr>
            <w:tcW w:w="6077" w:type="dxa"/>
            <w:tcBorders>
              <w:top w:val="single" w:color="auto" w:sz="4" w:space="0"/>
              <w:left w:val="single" w:color="auto" w:sz="4" w:space="0"/>
              <w:right w:val="single" w:color="auto" w:sz="4" w:space="0"/>
            </w:tcBorders>
            <w:shd w:val="clear" w:color="auto" w:fill="FFFFFF"/>
            <w:noWrap w:val="0"/>
            <w:vAlign w:val="top"/>
          </w:tcPr>
          <w:p w14:paraId="6108D32B">
            <w:pPr>
              <w:widowControl w:val="0"/>
              <w:rPr>
                <w:rStyle w:val="31"/>
                <w:rFonts w:ascii="Times New Roman" w:hAnsi="Times New Roman" w:eastAsia="Times New Roman" w:cs="Times New Roman"/>
                <w:color w:val="auto"/>
                <w:sz w:val="24"/>
                <w:szCs w:val="24"/>
                <w:lang w:val="en-US" w:eastAsia="en-US" w:bidi="en-US"/>
              </w:rPr>
            </w:pPr>
          </w:p>
        </w:tc>
      </w:tr>
      <w:tr w14:paraId="1CF53A8B">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311B89F8">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承担的工作</w:t>
            </w:r>
          </w:p>
        </w:tc>
        <w:tc>
          <w:tcPr>
            <w:tcW w:w="6077" w:type="dxa"/>
            <w:tcBorders>
              <w:top w:val="single" w:color="auto" w:sz="4" w:space="0"/>
              <w:left w:val="single" w:color="auto" w:sz="4" w:space="0"/>
              <w:right w:val="single" w:color="auto" w:sz="4" w:space="0"/>
            </w:tcBorders>
            <w:shd w:val="clear" w:color="auto" w:fill="FFFFFF"/>
            <w:noWrap w:val="0"/>
            <w:vAlign w:val="top"/>
          </w:tcPr>
          <w:p w14:paraId="0BE2C31F">
            <w:pPr>
              <w:widowControl w:val="0"/>
              <w:rPr>
                <w:rStyle w:val="31"/>
                <w:rFonts w:ascii="Times New Roman" w:hAnsi="Times New Roman" w:eastAsia="Times New Roman" w:cs="Times New Roman"/>
                <w:color w:val="auto"/>
                <w:sz w:val="24"/>
                <w:szCs w:val="24"/>
                <w:lang w:val="en-US" w:eastAsia="en-US" w:bidi="en-US"/>
              </w:rPr>
            </w:pPr>
          </w:p>
        </w:tc>
      </w:tr>
      <w:tr w14:paraId="443A989C">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086D4191">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工程质量</w:t>
            </w:r>
          </w:p>
        </w:tc>
        <w:tc>
          <w:tcPr>
            <w:tcW w:w="6077" w:type="dxa"/>
            <w:tcBorders>
              <w:top w:val="single" w:color="auto" w:sz="4" w:space="0"/>
              <w:left w:val="single" w:color="auto" w:sz="4" w:space="0"/>
              <w:right w:val="single" w:color="auto" w:sz="4" w:space="0"/>
            </w:tcBorders>
            <w:shd w:val="clear" w:color="auto" w:fill="FFFFFF"/>
            <w:noWrap w:val="0"/>
            <w:vAlign w:val="top"/>
          </w:tcPr>
          <w:p w14:paraId="6456596B">
            <w:pPr>
              <w:widowControl w:val="0"/>
              <w:rPr>
                <w:rStyle w:val="31"/>
                <w:rFonts w:ascii="Times New Roman" w:hAnsi="Times New Roman" w:eastAsia="Times New Roman" w:cs="Times New Roman"/>
                <w:color w:val="auto"/>
                <w:sz w:val="24"/>
                <w:szCs w:val="24"/>
                <w:lang w:val="en-US" w:eastAsia="en-US" w:bidi="en-US"/>
              </w:rPr>
            </w:pPr>
          </w:p>
        </w:tc>
      </w:tr>
      <w:tr w14:paraId="6152076B">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5CDA13B0">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项目经理</w:t>
            </w:r>
          </w:p>
        </w:tc>
        <w:tc>
          <w:tcPr>
            <w:tcW w:w="6077" w:type="dxa"/>
            <w:tcBorders>
              <w:top w:val="single" w:color="auto" w:sz="4" w:space="0"/>
              <w:left w:val="single" w:color="auto" w:sz="4" w:space="0"/>
              <w:right w:val="single" w:color="auto" w:sz="4" w:space="0"/>
            </w:tcBorders>
            <w:shd w:val="clear" w:color="auto" w:fill="FFFFFF"/>
            <w:noWrap w:val="0"/>
            <w:vAlign w:val="top"/>
          </w:tcPr>
          <w:p w14:paraId="6F72092F">
            <w:pPr>
              <w:widowControl w:val="0"/>
              <w:rPr>
                <w:rStyle w:val="31"/>
                <w:rFonts w:ascii="Times New Roman" w:hAnsi="Times New Roman" w:eastAsia="Times New Roman" w:cs="Times New Roman"/>
                <w:color w:val="auto"/>
                <w:sz w:val="24"/>
                <w:szCs w:val="24"/>
                <w:lang w:val="en-US" w:eastAsia="en-US" w:bidi="en-US"/>
              </w:rPr>
            </w:pPr>
          </w:p>
        </w:tc>
      </w:tr>
      <w:tr w14:paraId="63AB7197">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02CDBDCD">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技术负责人</w:t>
            </w:r>
          </w:p>
        </w:tc>
        <w:tc>
          <w:tcPr>
            <w:tcW w:w="6077" w:type="dxa"/>
            <w:tcBorders>
              <w:top w:val="single" w:color="auto" w:sz="4" w:space="0"/>
              <w:left w:val="single" w:color="auto" w:sz="4" w:space="0"/>
              <w:right w:val="single" w:color="auto" w:sz="4" w:space="0"/>
            </w:tcBorders>
            <w:shd w:val="clear" w:color="auto" w:fill="FFFFFF"/>
            <w:noWrap w:val="0"/>
            <w:vAlign w:val="top"/>
          </w:tcPr>
          <w:p w14:paraId="2C014684">
            <w:pPr>
              <w:widowControl w:val="0"/>
              <w:rPr>
                <w:rStyle w:val="31"/>
                <w:rFonts w:ascii="Times New Roman" w:hAnsi="Times New Roman" w:eastAsia="Times New Roman" w:cs="Times New Roman"/>
                <w:color w:val="auto"/>
                <w:sz w:val="24"/>
                <w:szCs w:val="24"/>
                <w:lang w:val="en-US" w:eastAsia="en-US" w:bidi="en-US"/>
              </w:rPr>
            </w:pPr>
          </w:p>
        </w:tc>
      </w:tr>
      <w:tr w14:paraId="6A0EC32C">
        <w:tblPrEx>
          <w:tblCellMar>
            <w:top w:w="0" w:type="dxa"/>
            <w:left w:w="10" w:type="dxa"/>
            <w:bottom w:w="0" w:type="dxa"/>
            <w:right w:w="10" w:type="dxa"/>
          </w:tblCellMar>
        </w:tblPrEx>
        <w:trPr>
          <w:trHeight w:val="850" w:hRule="exact"/>
          <w:jc w:val="center"/>
        </w:trPr>
        <w:tc>
          <w:tcPr>
            <w:tcW w:w="2275" w:type="dxa"/>
            <w:tcBorders>
              <w:top w:val="single" w:color="auto" w:sz="4" w:space="0"/>
              <w:left w:val="single" w:color="auto" w:sz="4" w:space="0"/>
            </w:tcBorders>
            <w:shd w:val="clear" w:color="auto" w:fill="FFFFFF"/>
            <w:noWrap w:val="0"/>
            <w:vAlign w:val="center"/>
          </w:tcPr>
          <w:p w14:paraId="72D31483">
            <w:pPr>
              <w:widowControl w:val="0"/>
              <w:spacing w:line="266" w:lineRule="exact"/>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监理人和总监理工程师以及电话</w:t>
            </w:r>
          </w:p>
        </w:tc>
        <w:tc>
          <w:tcPr>
            <w:tcW w:w="6077" w:type="dxa"/>
            <w:tcBorders>
              <w:top w:val="single" w:color="auto" w:sz="4" w:space="0"/>
              <w:left w:val="single" w:color="auto" w:sz="4" w:space="0"/>
              <w:right w:val="single" w:color="auto" w:sz="4" w:space="0"/>
            </w:tcBorders>
            <w:shd w:val="clear" w:color="auto" w:fill="FFFFFF"/>
            <w:noWrap w:val="0"/>
            <w:vAlign w:val="top"/>
          </w:tcPr>
          <w:p w14:paraId="6D006199">
            <w:pPr>
              <w:widowControl w:val="0"/>
              <w:rPr>
                <w:rStyle w:val="31"/>
                <w:rFonts w:ascii="Times New Roman" w:hAnsi="Times New Roman" w:eastAsia="Times New Roman" w:cs="Times New Roman"/>
                <w:color w:val="auto"/>
                <w:sz w:val="24"/>
                <w:szCs w:val="24"/>
                <w:lang w:val="en-US" w:eastAsia="zh-CN" w:bidi="en-US"/>
              </w:rPr>
            </w:pPr>
          </w:p>
        </w:tc>
      </w:tr>
      <w:tr w14:paraId="47A719A2">
        <w:tblPrEx>
          <w:tblCellMar>
            <w:top w:w="0" w:type="dxa"/>
            <w:left w:w="10" w:type="dxa"/>
            <w:bottom w:w="0" w:type="dxa"/>
            <w:right w:w="10" w:type="dxa"/>
          </w:tblCellMar>
        </w:tblPrEx>
        <w:trPr>
          <w:trHeight w:val="681" w:hRule="exact"/>
          <w:jc w:val="center"/>
        </w:trPr>
        <w:tc>
          <w:tcPr>
            <w:tcW w:w="2275" w:type="dxa"/>
            <w:tcBorders>
              <w:top w:val="single" w:color="auto" w:sz="4" w:space="0"/>
              <w:left w:val="single" w:color="auto" w:sz="4" w:space="0"/>
            </w:tcBorders>
            <w:shd w:val="clear" w:color="auto" w:fill="FFFFFF"/>
            <w:noWrap w:val="0"/>
            <w:vAlign w:val="center"/>
          </w:tcPr>
          <w:p w14:paraId="2FB53075">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合同项目描述</w:t>
            </w:r>
          </w:p>
        </w:tc>
        <w:tc>
          <w:tcPr>
            <w:tcW w:w="6077" w:type="dxa"/>
            <w:tcBorders>
              <w:top w:val="single" w:color="auto" w:sz="4" w:space="0"/>
              <w:left w:val="single" w:color="auto" w:sz="4" w:space="0"/>
              <w:right w:val="single" w:color="auto" w:sz="4" w:space="0"/>
            </w:tcBorders>
            <w:shd w:val="clear" w:color="auto" w:fill="FFFFFF"/>
            <w:noWrap w:val="0"/>
            <w:vAlign w:val="top"/>
          </w:tcPr>
          <w:p w14:paraId="10CD8C93">
            <w:pPr>
              <w:widowControl w:val="0"/>
              <w:rPr>
                <w:rStyle w:val="31"/>
                <w:rFonts w:ascii="Times New Roman" w:hAnsi="Times New Roman" w:eastAsia="Times New Roman" w:cs="Times New Roman"/>
                <w:color w:val="auto"/>
                <w:sz w:val="24"/>
                <w:szCs w:val="24"/>
                <w:lang w:val="en-US" w:eastAsia="en-US" w:bidi="en-US"/>
              </w:rPr>
            </w:pPr>
          </w:p>
        </w:tc>
      </w:tr>
      <w:tr w14:paraId="283227D4">
        <w:tblPrEx>
          <w:tblCellMar>
            <w:top w:w="0" w:type="dxa"/>
            <w:left w:w="10" w:type="dxa"/>
            <w:bottom w:w="0" w:type="dxa"/>
            <w:right w:w="10" w:type="dxa"/>
          </w:tblCellMar>
        </w:tblPrEx>
        <w:trPr>
          <w:trHeight w:val="864" w:hRule="exact"/>
          <w:jc w:val="center"/>
        </w:trPr>
        <w:tc>
          <w:tcPr>
            <w:tcW w:w="2275" w:type="dxa"/>
            <w:tcBorders>
              <w:top w:val="single" w:color="auto" w:sz="4" w:space="0"/>
              <w:left w:val="single" w:color="auto" w:sz="4" w:space="0"/>
              <w:bottom w:val="single" w:color="auto" w:sz="4" w:space="0"/>
            </w:tcBorders>
            <w:shd w:val="clear" w:color="auto" w:fill="FFFFFF"/>
            <w:noWrap w:val="0"/>
            <w:vAlign w:val="center"/>
          </w:tcPr>
          <w:p w14:paraId="2698F993">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备注</w:t>
            </w:r>
          </w:p>
        </w:tc>
        <w:tc>
          <w:tcPr>
            <w:tcW w:w="60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A4B3F7">
            <w:pPr>
              <w:widowControl w:val="0"/>
              <w:spacing w:line="264" w:lineRule="exact"/>
              <w:ind w:firstLine="0"/>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合同项目描述内容至少包括项目概况、本合同在项目中的地位（部位、合同价格所占比例）和合同工程完工、竣工验收鉴定书有关验收结论。</w:t>
            </w:r>
          </w:p>
        </w:tc>
      </w:tr>
    </w:tbl>
    <w:p w14:paraId="5027ABDE">
      <w:pPr>
        <w:widowControl w:val="0"/>
        <w:spacing w:after="319" w:line="1" w:lineRule="exact"/>
        <w:rPr>
          <w:rStyle w:val="31"/>
          <w:rFonts w:ascii="Times New Roman" w:hAnsi="Times New Roman" w:eastAsia="Times New Roman" w:cs="Times New Roman"/>
          <w:color w:val="auto"/>
          <w:sz w:val="24"/>
          <w:szCs w:val="24"/>
          <w:lang w:val="en-US" w:eastAsia="zh-CN" w:bidi="en-US"/>
        </w:rPr>
      </w:pPr>
    </w:p>
    <w:p w14:paraId="627FFEE8">
      <w:pPr>
        <w:widowControl w:val="0"/>
        <w:spacing w:after="200" w:line="334" w:lineRule="exact"/>
        <w:ind w:firstLine="420"/>
        <w:rPr>
          <w:rStyle w:val="31"/>
          <w:rFonts w:hint="eastAsia" w:ascii="Times New Roman" w:hAnsi="Times New Roman" w:eastAsia="宋体" w:cs="Times New Roman"/>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注：每个项目填写一张表（可扩展为多页），</w:t>
      </w:r>
      <w:r>
        <w:rPr>
          <w:rStyle w:val="31"/>
          <w:rFonts w:hint="eastAsia" w:ascii="Times New Roman" w:hAnsi="Times New Roman" w:eastAsia="宋体" w:cs="Times New Roman"/>
          <w:color w:val="auto"/>
          <w:sz w:val="24"/>
          <w:szCs w:val="24"/>
          <w:lang w:val="zh-CN" w:eastAsia="zh-CN" w:bidi="zh-CN"/>
        </w:rPr>
        <w:t>应附中标通知书或合同协议书</w:t>
      </w:r>
      <w:r>
        <w:rPr>
          <w:rStyle w:val="31"/>
          <w:rFonts w:hint="eastAsia" w:ascii="Times New Roman" w:hAnsi="Times New Roman" w:eastAsia="宋体" w:cs="Times New Roman"/>
          <w:color w:val="auto"/>
          <w:sz w:val="24"/>
          <w:szCs w:val="24"/>
          <w:lang w:val="en-US" w:eastAsia="zh-CN" w:bidi="zh-CN"/>
        </w:rPr>
        <w:t>或</w:t>
      </w:r>
      <w:r>
        <w:rPr>
          <w:rStyle w:val="31"/>
          <w:rFonts w:hint="eastAsia" w:ascii="Times New Roman" w:hAnsi="Times New Roman" w:eastAsia="宋体" w:cs="Times New Roman"/>
          <w:color w:val="auto"/>
          <w:sz w:val="24"/>
          <w:szCs w:val="24"/>
          <w:lang w:val="zh-CN" w:eastAsia="zh-CN" w:bidi="zh-CN"/>
        </w:rPr>
        <w:t>工程竣（完）工验收证明的扫描件。</w:t>
      </w:r>
    </w:p>
    <w:p w14:paraId="4650750E">
      <w:pPr>
        <w:widowControl w:val="0"/>
        <w:spacing w:after="200" w:line="334" w:lineRule="exact"/>
        <w:ind w:firstLine="420"/>
        <w:jc w:val="righ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bidi="ar"/>
        </w:rPr>
        <w:t>供应商名称(电子签章)：</w:t>
      </w:r>
    </w:p>
    <w:p w14:paraId="1F39F6F4">
      <w:pPr>
        <w:spacing w:line="500" w:lineRule="exact"/>
        <w:jc w:val="center"/>
        <w:rPr>
          <w:rFonts w:hint="eastAsia" w:ascii="仿宋_GB2312" w:hAnsi="仿宋_GB2312" w:eastAsia="仿宋_GB2312" w:cs="仿宋_GB2312"/>
          <w:color w:val="auto"/>
          <w:sz w:val="32"/>
          <w:szCs w:val="32"/>
        </w:rPr>
      </w:pPr>
      <w:r>
        <w:rPr>
          <w:rFonts w:hint="eastAsia" w:ascii="仿宋_GB2312" w:hAnsi="仿宋" w:eastAsia="仿宋_GB2312" w:cs="仿宋_GB2312"/>
          <w:color w:val="auto"/>
          <w:kern w:val="0"/>
          <w:sz w:val="24"/>
          <w:lang w:val="zh-CN" w:bidi="ar"/>
        </w:rPr>
        <w:t xml:space="preserve">                                                     日期</w:t>
      </w:r>
      <w:r>
        <w:rPr>
          <w:rFonts w:hint="eastAsia" w:ascii="仿宋_GB2312" w:hAnsi="仿宋" w:eastAsia="仿宋_GB2312" w:cs="仿宋_GB2312"/>
          <w:color w:val="auto"/>
          <w:kern w:val="0"/>
          <w:sz w:val="24"/>
          <w:lang w:bidi="ar"/>
        </w:rPr>
        <w:t xml:space="preserve">：  年  </w:t>
      </w:r>
      <w:r>
        <w:rPr>
          <w:rFonts w:hint="eastAsia" w:ascii="仿宋_GB2312" w:hAnsi="仿宋" w:eastAsia="仿宋_GB2312" w:cs="仿宋_GB2312"/>
          <w:color w:val="auto"/>
          <w:kern w:val="0"/>
          <w:sz w:val="24"/>
          <w:lang w:val="zh-CN" w:bidi="ar"/>
        </w:rPr>
        <w:t>月</w:t>
      </w:r>
      <w:r>
        <w:rPr>
          <w:rFonts w:hint="eastAsia" w:ascii="仿宋_GB2312" w:hAnsi="仿宋" w:eastAsia="仿宋_GB2312" w:cs="仿宋_GB2312"/>
          <w:color w:val="auto"/>
          <w:kern w:val="0"/>
          <w:sz w:val="24"/>
          <w:lang w:bidi="ar"/>
        </w:rPr>
        <w:t xml:space="preserve">   </w:t>
      </w:r>
      <w:r>
        <w:rPr>
          <w:rFonts w:hint="eastAsia" w:ascii="仿宋_GB2312" w:hAnsi="仿宋" w:eastAsia="仿宋_GB2312" w:cs="仿宋_GB2312"/>
          <w:color w:val="auto"/>
          <w:kern w:val="0"/>
          <w:sz w:val="24"/>
          <w:lang w:val="zh-CN" w:bidi="ar"/>
        </w:rPr>
        <w:t>日</w:t>
      </w:r>
    </w:p>
    <w:p w14:paraId="4B2D8F3E">
      <w:pPr>
        <w:rPr>
          <w:rFonts w:hint="eastAsia" w:ascii="仿宋_GB2312" w:hAnsi="仿宋_GB2312" w:eastAsia="仿宋_GB2312" w:cs="仿宋_GB2312"/>
          <w:color w:val="auto"/>
          <w:sz w:val="32"/>
          <w:szCs w:val="32"/>
          <w:lang w:bidi="ar"/>
        </w:rPr>
        <w:sectPr>
          <w:pgSz w:w="11910" w:h="16840"/>
          <w:pgMar w:top="1340" w:right="1500" w:bottom="1304" w:left="1680" w:header="720" w:footer="720" w:gutter="0"/>
          <w:pgNumType w:fmt="decimal"/>
          <w:cols w:space="425" w:num="1"/>
          <w:docGrid w:type="lines" w:linePitch="312" w:charSpace="0"/>
        </w:sectPr>
      </w:pPr>
    </w:p>
    <w:p w14:paraId="04FC6C41">
      <w:pPr>
        <w:keepNext/>
        <w:keepLines/>
        <w:widowControl w:val="0"/>
        <w:spacing w:before="240" w:beforeLines="0" w:after="120" w:afterLines="0" w:line="240" w:lineRule="auto"/>
        <w:jc w:val="center"/>
        <w:outlineLvl w:val="2"/>
        <w:rPr>
          <w:rStyle w:val="31"/>
          <w:rFonts w:ascii="宋体" w:hAnsi="宋体" w:eastAsia="宋体" w:cs="Times New Roman"/>
          <w:b/>
          <w:color w:val="auto"/>
          <w:sz w:val="28"/>
          <w:szCs w:val="28"/>
          <w:lang w:val="en-US" w:eastAsia="zh-CN" w:bidi="ar-SA"/>
        </w:rPr>
      </w:pPr>
      <w:r>
        <w:rPr>
          <w:rStyle w:val="31"/>
          <w:rFonts w:ascii="宋体" w:hAnsi="宋体" w:eastAsia="宋体" w:cs="Times New Roman"/>
          <w:b/>
          <w:color w:val="auto"/>
          <w:sz w:val="28"/>
          <w:szCs w:val="28"/>
          <w:lang w:val="en-US" w:eastAsia="zh-CN" w:bidi="ar-SA"/>
        </w:rPr>
        <w:t>正在施工的和新承接的项目情况表</w:t>
      </w:r>
    </w:p>
    <w:tbl>
      <w:tblPr>
        <w:tblStyle w:val="29"/>
        <w:tblW w:w="0" w:type="auto"/>
        <w:jc w:val="center"/>
        <w:tblLayout w:type="fixed"/>
        <w:tblCellMar>
          <w:top w:w="0" w:type="dxa"/>
          <w:left w:w="10" w:type="dxa"/>
          <w:bottom w:w="0" w:type="dxa"/>
          <w:right w:w="10" w:type="dxa"/>
        </w:tblCellMar>
      </w:tblPr>
      <w:tblGrid>
        <w:gridCol w:w="2249"/>
        <w:gridCol w:w="6450"/>
      </w:tblGrid>
      <w:tr w14:paraId="130F34B0">
        <w:tblPrEx>
          <w:tblCellMar>
            <w:top w:w="0" w:type="dxa"/>
            <w:left w:w="10" w:type="dxa"/>
            <w:bottom w:w="0" w:type="dxa"/>
            <w:right w:w="10" w:type="dxa"/>
          </w:tblCellMar>
        </w:tblPrEx>
        <w:trPr>
          <w:trHeight w:val="571" w:hRule="exact"/>
          <w:jc w:val="center"/>
        </w:trPr>
        <w:tc>
          <w:tcPr>
            <w:tcW w:w="2249" w:type="dxa"/>
            <w:tcBorders>
              <w:top w:val="single" w:color="auto" w:sz="4" w:space="0"/>
              <w:left w:val="single" w:color="auto" w:sz="4" w:space="0"/>
            </w:tcBorders>
            <w:shd w:val="clear" w:color="auto" w:fill="FFFFFF"/>
            <w:noWrap w:val="0"/>
            <w:vAlign w:val="center"/>
          </w:tcPr>
          <w:p w14:paraId="6F9613F0">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项目名称</w:t>
            </w:r>
          </w:p>
        </w:tc>
        <w:tc>
          <w:tcPr>
            <w:tcW w:w="6450" w:type="dxa"/>
            <w:tcBorders>
              <w:top w:val="single" w:color="auto" w:sz="4" w:space="0"/>
              <w:left w:val="single" w:color="auto" w:sz="4" w:space="0"/>
              <w:right w:val="single" w:color="auto" w:sz="4" w:space="0"/>
            </w:tcBorders>
            <w:shd w:val="clear" w:color="auto" w:fill="FFFFFF"/>
            <w:noWrap w:val="0"/>
            <w:vAlign w:val="top"/>
          </w:tcPr>
          <w:p w14:paraId="2B856E1E">
            <w:pPr>
              <w:widowControl w:val="0"/>
              <w:rPr>
                <w:rStyle w:val="31"/>
                <w:rFonts w:ascii="Times New Roman" w:hAnsi="Times New Roman" w:eastAsia="Times New Roman" w:cs="Times New Roman"/>
                <w:color w:val="auto"/>
                <w:sz w:val="24"/>
                <w:szCs w:val="24"/>
                <w:lang w:val="en-US" w:eastAsia="en-US" w:bidi="en-US"/>
              </w:rPr>
            </w:pPr>
          </w:p>
        </w:tc>
      </w:tr>
      <w:tr w14:paraId="6E41F059">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6B776806">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项目所在地</w:t>
            </w:r>
          </w:p>
        </w:tc>
        <w:tc>
          <w:tcPr>
            <w:tcW w:w="6450" w:type="dxa"/>
            <w:tcBorders>
              <w:top w:val="single" w:color="auto" w:sz="4" w:space="0"/>
              <w:left w:val="single" w:color="auto" w:sz="4" w:space="0"/>
              <w:right w:val="single" w:color="auto" w:sz="4" w:space="0"/>
            </w:tcBorders>
            <w:shd w:val="clear" w:color="auto" w:fill="FFFFFF"/>
            <w:noWrap w:val="0"/>
            <w:vAlign w:val="top"/>
          </w:tcPr>
          <w:p w14:paraId="78FB9729">
            <w:pPr>
              <w:widowControl w:val="0"/>
              <w:rPr>
                <w:rStyle w:val="31"/>
                <w:rFonts w:ascii="Times New Roman" w:hAnsi="Times New Roman" w:eastAsia="Times New Roman" w:cs="Times New Roman"/>
                <w:color w:val="auto"/>
                <w:sz w:val="24"/>
                <w:szCs w:val="24"/>
                <w:lang w:val="en-US" w:eastAsia="en-US" w:bidi="en-US"/>
              </w:rPr>
            </w:pPr>
          </w:p>
        </w:tc>
      </w:tr>
      <w:tr w14:paraId="669E0348">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7D02BF5A">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发包人名称</w:t>
            </w:r>
          </w:p>
        </w:tc>
        <w:tc>
          <w:tcPr>
            <w:tcW w:w="6450" w:type="dxa"/>
            <w:tcBorders>
              <w:top w:val="single" w:color="auto" w:sz="4" w:space="0"/>
              <w:left w:val="single" w:color="auto" w:sz="4" w:space="0"/>
              <w:right w:val="single" w:color="auto" w:sz="4" w:space="0"/>
            </w:tcBorders>
            <w:shd w:val="clear" w:color="auto" w:fill="FFFFFF"/>
            <w:noWrap w:val="0"/>
            <w:vAlign w:val="top"/>
          </w:tcPr>
          <w:p w14:paraId="1340ACA3">
            <w:pPr>
              <w:widowControl w:val="0"/>
              <w:rPr>
                <w:rStyle w:val="31"/>
                <w:rFonts w:ascii="Times New Roman" w:hAnsi="Times New Roman" w:eastAsia="Times New Roman" w:cs="Times New Roman"/>
                <w:color w:val="auto"/>
                <w:sz w:val="24"/>
                <w:szCs w:val="24"/>
                <w:lang w:val="en-US" w:eastAsia="en-US" w:bidi="en-US"/>
              </w:rPr>
            </w:pPr>
          </w:p>
        </w:tc>
      </w:tr>
      <w:tr w14:paraId="28815359">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1ED216CA">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发包人地址</w:t>
            </w:r>
          </w:p>
        </w:tc>
        <w:tc>
          <w:tcPr>
            <w:tcW w:w="6450" w:type="dxa"/>
            <w:tcBorders>
              <w:top w:val="single" w:color="auto" w:sz="4" w:space="0"/>
              <w:left w:val="single" w:color="auto" w:sz="4" w:space="0"/>
              <w:right w:val="single" w:color="auto" w:sz="4" w:space="0"/>
            </w:tcBorders>
            <w:shd w:val="clear" w:color="auto" w:fill="FFFFFF"/>
            <w:noWrap w:val="0"/>
            <w:vAlign w:val="top"/>
          </w:tcPr>
          <w:p w14:paraId="586265DF">
            <w:pPr>
              <w:widowControl w:val="0"/>
              <w:rPr>
                <w:rStyle w:val="31"/>
                <w:rFonts w:ascii="Times New Roman" w:hAnsi="Times New Roman" w:eastAsia="Times New Roman" w:cs="Times New Roman"/>
                <w:color w:val="auto"/>
                <w:sz w:val="24"/>
                <w:szCs w:val="24"/>
                <w:lang w:val="en-US" w:eastAsia="en-US" w:bidi="en-US"/>
              </w:rPr>
            </w:pPr>
          </w:p>
        </w:tc>
      </w:tr>
      <w:tr w14:paraId="5B562095">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490F8DB4">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发包人电话</w:t>
            </w:r>
          </w:p>
        </w:tc>
        <w:tc>
          <w:tcPr>
            <w:tcW w:w="6450" w:type="dxa"/>
            <w:tcBorders>
              <w:top w:val="single" w:color="auto" w:sz="4" w:space="0"/>
              <w:left w:val="single" w:color="auto" w:sz="4" w:space="0"/>
              <w:right w:val="single" w:color="auto" w:sz="4" w:space="0"/>
            </w:tcBorders>
            <w:shd w:val="clear" w:color="auto" w:fill="FFFFFF"/>
            <w:noWrap w:val="0"/>
            <w:vAlign w:val="top"/>
          </w:tcPr>
          <w:p w14:paraId="585DE34A">
            <w:pPr>
              <w:widowControl w:val="0"/>
              <w:rPr>
                <w:rStyle w:val="31"/>
                <w:rFonts w:ascii="Times New Roman" w:hAnsi="Times New Roman" w:eastAsia="Times New Roman" w:cs="Times New Roman"/>
                <w:color w:val="auto"/>
                <w:sz w:val="24"/>
                <w:szCs w:val="24"/>
                <w:lang w:val="en-US" w:eastAsia="en-US" w:bidi="en-US"/>
              </w:rPr>
            </w:pPr>
          </w:p>
        </w:tc>
      </w:tr>
      <w:tr w14:paraId="3F61594E">
        <w:tblPrEx>
          <w:tblCellMar>
            <w:top w:w="0" w:type="dxa"/>
            <w:left w:w="10" w:type="dxa"/>
            <w:bottom w:w="0" w:type="dxa"/>
            <w:right w:w="10" w:type="dxa"/>
          </w:tblCellMar>
        </w:tblPrEx>
        <w:trPr>
          <w:trHeight w:val="571" w:hRule="exact"/>
          <w:jc w:val="center"/>
        </w:trPr>
        <w:tc>
          <w:tcPr>
            <w:tcW w:w="2249" w:type="dxa"/>
            <w:tcBorders>
              <w:top w:val="single" w:color="auto" w:sz="4" w:space="0"/>
              <w:left w:val="single" w:color="auto" w:sz="4" w:space="0"/>
            </w:tcBorders>
            <w:shd w:val="clear" w:color="auto" w:fill="FFFFFF"/>
            <w:noWrap w:val="0"/>
            <w:vAlign w:val="center"/>
          </w:tcPr>
          <w:p w14:paraId="067DEBE4">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签约合同价</w:t>
            </w:r>
          </w:p>
        </w:tc>
        <w:tc>
          <w:tcPr>
            <w:tcW w:w="6450" w:type="dxa"/>
            <w:tcBorders>
              <w:top w:val="single" w:color="auto" w:sz="4" w:space="0"/>
              <w:left w:val="single" w:color="auto" w:sz="4" w:space="0"/>
              <w:right w:val="single" w:color="auto" w:sz="4" w:space="0"/>
            </w:tcBorders>
            <w:shd w:val="clear" w:color="auto" w:fill="FFFFFF"/>
            <w:noWrap w:val="0"/>
            <w:vAlign w:val="top"/>
          </w:tcPr>
          <w:p w14:paraId="7266A347">
            <w:pPr>
              <w:widowControl w:val="0"/>
              <w:rPr>
                <w:rStyle w:val="31"/>
                <w:rFonts w:ascii="Times New Roman" w:hAnsi="Times New Roman" w:eastAsia="Times New Roman" w:cs="Times New Roman"/>
                <w:color w:val="auto"/>
                <w:sz w:val="24"/>
                <w:szCs w:val="24"/>
                <w:lang w:val="en-US" w:eastAsia="en-US" w:bidi="en-US"/>
              </w:rPr>
            </w:pPr>
          </w:p>
        </w:tc>
      </w:tr>
      <w:tr w14:paraId="395C8EA2">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01470EF5">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开工日期</w:t>
            </w:r>
          </w:p>
        </w:tc>
        <w:tc>
          <w:tcPr>
            <w:tcW w:w="6450" w:type="dxa"/>
            <w:tcBorders>
              <w:top w:val="single" w:color="auto" w:sz="4" w:space="0"/>
              <w:left w:val="single" w:color="auto" w:sz="4" w:space="0"/>
              <w:right w:val="single" w:color="auto" w:sz="4" w:space="0"/>
            </w:tcBorders>
            <w:shd w:val="clear" w:color="auto" w:fill="FFFFFF"/>
            <w:noWrap w:val="0"/>
            <w:vAlign w:val="top"/>
          </w:tcPr>
          <w:p w14:paraId="28097090">
            <w:pPr>
              <w:widowControl w:val="0"/>
              <w:rPr>
                <w:rStyle w:val="31"/>
                <w:rFonts w:ascii="Times New Roman" w:hAnsi="Times New Roman" w:eastAsia="Times New Roman" w:cs="Times New Roman"/>
                <w:color w:val="auto"/>
                <w:sz w:val="24"/>
                <w:szCs w:val="24"/>
                <w:lang w:val="en-US" w:eastAsia="en-US" w:bidi="en-US"/>
              </w:rPr>
            </w:pPr>
          </w:p>
        </w:tc>
      </w:tr>
      <w:tr w14:paraId="6F180542">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00E41E85">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计划竣工日期</w:t>
            </w:r>
          </w:p>
        </w:tc>
        <w:tc>
          <w:tcPr>
            <w:tcW w:w="6450" w:type="dxa"/>
            <w:tcBorders>
              <w:top w:val="single" w:color="auto" w:sz="4" w:space="0"/>
              <w:left w:val="single" w:color="auto" w:sz="4" w:space="0"/>
              <w:right w:val="single" w:color="auto" w:sz="4" w:space="0"/>
            </w:tcBorders>
            <w:shd w:val="clear" w:color="auto" w:fill="FFFFFF"/>
            <w:noWrap w:val="0"/>
            <w:vAlign w:val="top"/>
          </w:tcPr>
          <w:p w14:paraId="4D416971">
            <w:pPr>
              <w:widowControl w:val="0"/>
              <w:rPr>
                <w:rStyle w:val="31"/>
                <w:rFonts w:ascii="Times New Roman" w:hAnsi="Times New Roman" w:eastAsia="Times New Roman" w:cs="Times New Roman"/>
                <w:color w:val="auto"/>
                <w:sz w:val="24"/>
                <w:szCs w:val="24"/>
                <w:lang w:val="en-US" w:eastAsia="en-US" w:bidi="en-US"/>
              </w:rPr>
            </w:pPr>
          </w:p>
        </w:tc>
      </w:tr>
      <w:tr w14:paraId="0764CCDD">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43002D05">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承担的工作</w:t>
            </w:r>
          </w:p>
        </w:tc>
        <w:tc>
          <w:tcPr>
            <w:tcW w:w="6450" w:type="dxa"/>
            <w:tcBorders>
              <w:top w:val="single" w:color="auto" w:sz="4" w:space="0"/>
              <w:left w:val="single" w:color="auto" w:sz="4" w:space="0"/>
              <w:right w:val="single" w:color="auto" w:sz="4" w:space="0"/>
            </w:tcBorders>
            <w:shd w:val="clear" w:color="auto" w:fill="FFFFFF"/>
            <w:noWrap w:val="0"/>
            <w:vAlign w:val="top"/>
          </w:tcPr>
          <w:p w14:paraId="674FDF57">
            <w:pPr>
              <w:widowControl w:val="0"/>
              <w:rPr>
                <w:rStyle w:val="31"/>
                <w:rFonts w:ascii="Times New Roman" w:hAnsi="Times New Roman" w:eastAsia="Times New Roman" w:cs="Times New Roman"/>
                <w:color w:val="auto"/>
                <w:sz w:val="24"/>
                <w:szCs w:val="24"/>
                <w:lang w:val="en-US" w:eastAsia="en-US" w:bidi="en-US"/>
              </w:rPr>
            </w:pPr>
          </w:p>
        </w:tc>
      </w:tr>
      <w:tr w14:paraId="608C5F54">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543419A1">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工程质量</w:t>
            </w:r>
          </w:p>
        </w:tc>
        <w:tc>
          <w:tcPr>
            <w:tcW w:w="6450" w:type="dxa"/>
            <w:tcBorders>
              <w:top w:val="single" w:color="auto" w:sz="4" w:space="0"/>
              <w:left w:val="single" w:color="auto" w:sz="4" w:space="0"/>
              <w:right w:val="single" w:color="auto" w:sz="4" w:space="0"/>
            </w:tcBorders>
            <w:shd w:val="clear" w:color="auto" w:fill="FFFFFF"/>
            <w:noWrap w:val="0"/>
            <w:vAlign w:val="top"/>
          </w:tcPr>
          <w:p w14:paraId="7485E635">
            <w:pPr>
              <w:widowControl w:val="0"/>
              <w:rPr>
                <w:rStyle w:val="31"/>
                <w:rFonts w:ascii="Times New Roman" w:hAnsi="Times New Roman" w:eastAsia="Times New Roman" w:cs="Times New Roman"/>
                <w:color w:val="auto"/>
                <w:sz w:val="24"/>
                <w:szCs w:val="24"/>
                <w:lang w:val="en-US" w:eastAsia="en-US" w:bidi="en-US"/>
              </w:rPr>
            </w:pPr>
          </w:p>
        </w:tc>
      </w:tr>
      <w:tr w14:paraId="4C2D5B60">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1D343EDA">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项目经理</w:t>
            </w:r>
          </w:p>
        </w:tc>
        <w:tc>
          <w:tcPr>
            <w:tcW w:w="6450" w:type="dxa"/>
            <w:tcBorders>
              <w:top w:val="single" w:color="auto" w:sz="4" w:space="0"/>
              <w:left w:val="single" w:color="auto" w:sz="4" w:space="0"/>
              <w:right w:val="single" w:color="auto" w:sz="4" w:space="0"/>
            </w:tcBorders>
            <w:shd w:val="clear" w:color="auto" w:fill="FFFFFF"/>
            <w:noWrap w:val="0"/>
            <w:vAlign w:val="top"/>
          </w:tcPr>
          <w:p w14:paraId="6E5907E4">
            <w:pPr>
              <w:widowControl w:val="0"/>
              <w:rPr>
                <w:rStyle w:val="31"/>
                <w:rFonts w:ascii="Times New Roman" w:hAnsi="Times New Roman" w:eastAsia="Times New Roman" w:cs="Times New Roman"/>
                <w:color w:val="auto"/>
                <w:sz w:val="24"/>
                <w:szCs w:val="24"/>
                <w:lang w:val="en-US" w:eastAsia="en-US" w:bidi="en-US"/>
              </w:rPr>
            </w:pPr>
          </w:p>
        </w:tc>
      </w:tr>
      <w:tr w14:paraId="0EC67898">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1DBE71A8">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技术负责人</w:t>
            </w:r>
          </w:p>
        </w:tc>
        <w:tc>
          <w:tcPr>
            <w:tcW w:w="6450" w:type="dxa"/>
            <w:tcBorders>
              <w:top w:val="single" w:color="auto" w:sz="4" w:space="0"/>
              <w:left w:val="single" w:color="auto" w:sz="4" w:space="0"/>
              <w:right w:val="single" w:color="auto" w:sz="4" w:space="0"/>
            </w:tcBorders>
            <w:shd w:val="clear" w:color="auto" w:fill="FFFFFF"/>
            <w:noWrap w:val="0"/>
            <w:vAlign w:val="top"/>
          </w:tcPr>
          <w:p w14:paraId="402BCC95">
            <w:pPr>
              <w:widowControl w:val="0"/>
              <w:rPr>
                <w:rStyle w:val="31"/>
                <w:rFonts w:ascii="Times New Roman" w:hAnsi="Times New Roman" w:eastAsia="Times New Roman" w:cs="Times New Roman"/>
                <w:color w:val="auto"/>
                <w:sz w:val="24"/>
                <w:szCs w:val="24"/>
                <w:lang w:val="en-US" w:eastAsia="en-US" w:bidi="en-US"/>
              </w:rPr>
            </w:pPr>
          </w:p>
        </w:tc>
      </w:tr>
      <w:tr w14:paraId="6F918835">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7E15F108">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总监理工程师及电话</w:t>
            </w:r>
          </w:p>
        </w:tc>
        <w:tc>
          <w:tcPr>
            <w:tcW w:w="6450" w:type="dxa"/>
            <w:tcBorders>
              <w:top w:val="single" w:color="auto" w:sz="4" w:space="0"/>
              <w:left w:val="single" w:color="auto" w:sz="4" w:space="0"/>
              <w:right w:val="single" w:color="auto" w:sz="4" w:space="0"/>
            </w:tcBorders>
            <w:shd w:val="clear" w:color="auto" w:fill="FFFFFF"/>
            <w:noWrap w:val="0"/>
            <w:vAlign w:val="top"/>
          </w:tcPr>
          <w:p w14:paraId="6605D063">
            <w:pPr>
              <w:widowControl w:val="0"/>
              <w:rPr>
                <w:rStyle w:val="31"/>
                <w:rFonts w:ascii="Times New Roman" w:hAnsi="Times New Roman" w:eastAsia="Times New Roman" w:cs="Times New Roman"/>
                <w:color w:val="auto"/>
                <w:sz w:val="24"/>
                <w:szCs w:val="24"/>
                <w:lang w:val="en-US" w:eastAsia="en-US" w:bidi="en-US"/>
              </w:rPr>
            </w:pPr>
          </w:p>
        </w:tc>
      </w:tr>
      <w:tr w14:paraId="2BD26F68">
        <w:tblPrEx>
          <w:tblCellMar>
            <w:top w:w="0" w:type="dxa"/>
            <w:left w:w="10" w:type="dxa"/>
            <w:bottom w:w="0" w:type="dxa"/>
            <w:right w:w="10" w:type="dxa"/>
          </w:tblCellMar>
        </w:tblPrEx>
        <w:trPr>
          <w:trHeight w:val="1704" w:hRule="exact"/>
          <w:jc w:val="center"/>
        </w:trPr>
        <w:tc>
          <w:tcPr>
            <w:tcW w:w="2249" w:type="dxa"/>
            <w:tcBorders>
              <w:top w:val="single" w:color="auto" w:sz="4" w:space="0"/>
              <w:left w:val="single" w:color="auto" w:sz="4" w:space="0"/>
            </w:tcBorders>
            <w:shd w:val="clear" w:color="auto" w:fill="FFFFFF"/>
            <w:noWrap w:val="0"/>
            <w:vAlign w:val="center"/>
          </w:tcPr>
          <w:p w14:paraId="160902E9">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项目描述</w:t>
            </w:r>
          </w:p>
        </w:tc>
        <w:tc>
          <w:tcPr>
            <w:tcW w:w="6450" w:type="dxa"/>
            <w:tcBorders>
              <w:top w:val="single" w:color="auto" w:sz="4" w:space="0"/>
              <w:left w:val="single" w:color="auto" w:sz="4" w:space="0"/>
              <w:right w:val="single" w:color="auto" w:sz="4" w:space="0"/>
            </w:tcBorders>
            <w:shd w:val="clear" w:color="auto" w:fill="FFFFFF"/>
            <w:noWrap w:val="0"/>
            <w:vAlign w:val="top"/>
          </w:tcPr>
          <w:p w14:paraId="2E32151D">
            <w:pPr>
              <w:widowControl w:val="0"/>
              <w:rPr>
                <w:rStyle w:val="31"/>
                <w:rFonts w:ascii="Times New Roman" w:hAnsi="Times New Roman" w:eastAsia="Times New Roman" w:cs="Times New Roman"/>
                <w:color w:val="auto"/>
                <w:sz w:val="24"/>
                <w:szCs w:val="24"/>
                <w:lang w:val="en-US" w:eastAsia="en-US" w:bidi="en-US"/>
              </w:rPr>
            </w:pPr>
          </w:p>
        </w:tc>
      </w:tr>
      <w:tr w14:paraId="5FDD1BA7">
        <w:tblPrEx>
          <w:tblCellMar>
            <w:top w:w="0" w:type="dxa"/>
            <w:left w:w="10" w:type="dxa"/>
            <w:bottom w:w="0" w:type="dxa"/>
            <w:right w:w="10" w:type="dxa"/>
          </w:tblCellMar>
        </w:tblPrEx>
        <w:trPr>
          <w:trHeight w:val="864" w:hRule="exact"/>
          <w:jc w:val="center"/>
        </w:trPr>
        <w:tc>
          <w:tcPr>
            <w:tcW w:w="2249" w:type="dxa"/>
            <w:tcBorders>
              <w:top w:val="single" w:color="auto" w:sz="4" w:space="0"/>
              <w:left w:val="single" w:color="auto" w:sz="4" w:space="0"/>
              <w:bottom w:val="single" w:color="auto" w:sz="4" w:space="0"/>
            </w:tcBorders>
            <w:shd w:val="clear" w:color="auto" w:fill="FFFFFF"/>
            <w:noWrap w:val="0"/>
            <w:vAlign w:val="center"/>
          </w:tcPr>
          <w:p w14:paraId="39A2E7D1">
            <w:pPr>
              <w:widowControl w:val="0"/>
              <w:spacing w:line="240" w:lineRule="auto"/>
              <w:ind w:firstLine="0"/>
              <w:jc w:val="center"/>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备注</w:t>
            </w:r>
          </w:p>
        </w:tc>
        <w:tc>
          <w:tcPr>
            <w:tcW w:w="6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F01D5F">
            <w:pPr>
              <w:widowControl w:val="0"/>
              <w:spacing w:line="266" w:lineRule="exact"/>
              <w:ind w:firstLine="0"/>
              <w:jc w:val="both"/>
              <w:rPr>
                <w:rStyle w:val="31"/>
                <w:rFonts w:ascii="宋体" w:hAnsi="宋体" w:eastAsia="宋体" w:cs="宋体"/>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合同项目描述内容至少包括项目概况、本合同在项目中的地位（部位、合同价格所占比例）。</w:t>
            </w:r>
          </w:p>
        </w:tc>
      </w:tr>
    </w:tbl>
    <w:p w14:paraId="01DEFE3F">
      <w:pPr>
        <w:widowControl w:val="0"/>
        <w:spacing w:after="319" w:line="1" w:lineRule="exact"/>
        <w:rPr>
          <w:rStyle w:val="31"/>
          <w:rFonts w:ascii="Times New Roman" w:hAnsi="Times New Roman" w:eastAsia="Times New Roman" w:cs="Times New Roman"/>
          <w:color w:val="auto"/>
          <w:sz w:val="24"/>
          <w:szCs w:val="24"/>
          <w:lang w:val="en-US" w:eastAsia="zh-CN" w:bidi="en-US"/>
        </w:rPr>
      </w:pPr>
    </w:p>
    <w:p w14:paraId="3FEA291B">
      <w:pPr>
        <w:spacing w:line="360" w:lineRule="auto"/>
        <w:rPr>
          <w:rStyle w:val="31"/>
          <w:rFonts w:hint="eastAsia" w:ascii="Times New Roman" w:hAnsi="Times New Roman" w:eastAsia="宋体" w:cs="Times New Roman"/>
          <w:color w:val="auto"/>
          <w:sz w:val="24"/>
          <w:szCs w:val="24"/>
          <w:lang w:val="zh-CN" w:eastAsia="zh-CN" w:bidi="zh-CN"/>
        </w:rPr>
      </w:pPr>
      <w:r>
        <w:rPr>
          <w:rStyle w:val="31"/>
          <w:rFonts w:ascii="Times New Roman" w:hAnsi="Times New Roman" w:eastAsia="宋体" w:cs="Times New Roman"/>
          <w:color w:val="auto"/>
          <w:sz w:val="24"/>
          <w:szCs w:val="24"/>
          <w:lang w:val="zh-CN" w:eastAsia="zh-CN" w:bidi="zh-CN"/>
        </w:rPr>
        <w:t>注：每个项目填写一张表（可扩展为多页），</w:t>
      </w:r>
      <w:r>
        <w:rPr>
          <w:rStyle w:val="31"/>
          <w:rFonts w:hint="eastAsia" w:ascii="Times New Roman" w:hAnsi="Times New Roman" w:eastAsia="宋体" w:cs="Times New Roman"/>
          <w:color w:val="auto"/>
          <w:sz w:val="24"/>
          <w:szCs w:val="24"/>
          <w:lang w:val="zh-CN" w:eastAsia="zh-CN" w:bidi="zh-CN"/>
        </w:rPr>
        <w:t>应附中标通知书或合同协议书的扫描件。</w:t>
      </w:r>
    </w:p>
    <w:p w14:paraId="06211C58">
      <w:pPr>
        <w:spacing w:line="360" w:lineRule="auto"/>
        <w:ind w:firstLine="3840" w:firstLineChars="1600"/>
        <w:rPr>
          <w:rStyle w:val="31"/>
          <w:rFonts w:hint="eastAsia" w:ascii="Times New Roman" w:hAnsi="Times New Roman" w:eastAsia="宋体" w:cs="Times New Roman"/>
          <w:color w:val="auto"/>
          <w:sz w:val="24"/>
          <w:szCs w:val="24"/>
          <w:lang w:val="zh-CN" w:eastAsia="zh-CN" w:bidi="zh-CN"/>
        </w:rPr>
      </w:pPr>
    </w:p>
    <w:p w14:paraId="4147C33E">
      <w:pPr>
        <w:spacing w:line="360" w:lineRule="auto"/>
        <w:ind w:firstLine="6000" w:firstLineChars="2500"/>
        <w:rPr>
          <w:rFonts w:hint="default" w:ascii="宋体" w:hAnsi="宋体" w:eastAsia="宋体" w:cs="宋体"/>
          <w:color w:val="auto"/>
          <w:sz w:val="24"/>
          <w:szCs w:val="24"/>
          <w:highlight w:val="none"/>
        </w:rPr>
      </w:pPr>
      <w:r>
        <w:rPr>
          <w:rFonts w:hint="default" w:ascii="宋体" w:hAnsi="宋体" w:eastAsia="宋体" w:cs="宋体"/>
          <w:color w:val="auto"/>
          <w:kern w:val="0"/>
          <w:sz w:val="24"/>
          <w:szCs w:val="24"/>
          <w:highlight w:val="none"/>
        </w:rPr>
        <w:t>供应商名称（电子签章）：</w:t>
      </w:r>
    </w:p>
    <w:p w14:paraId="382C8339">
      <w:pPr>
        <w:spacing w:line="360" w:lineRule="auto"/>
        <w:jc w:val="center"/>
        <w:rPr>
          <w:rFonts w:hint="default" w:ascii="宋体" w:hAnsi="宋体" w:eastAsia="宋体" w:cs="宋体"/>
          <w:color w:val="auto"/>
          <w:kern w:val="0"/>
          <w:sz w:val="24"/>
          <w:szCs w:val="24"/>
          <w:highlight w:val="none"/>
          <w:lang w:val="zh-CN"/>
        </w:rPr>
      </w:pPr>
      <w:r>
        <w:rPr>
          <w:rFonts w:hint="default" w:ascii="宋体" w:hAnsi="宋体" w:eastAsia="宋体" w:cs="宋体"/>
          <w:color w:val="auto"/>
          <w:kern w:val="0"/>
          <w:sz w:val="24"/>
          <w:szCs w:val="24"/>
          <w:highlight w:val="none"/>
          <w:lang w:val="zh-CN"/>
        </w:rPr>
        <w:t xml:space="preserve">                                                   日期：  年  月   日</w:t>
      </w:r>
    </w:p>
    <w:p w14:paraId="06E59C03">
      <w:pPr>
        <w:snapToGrid w:val="0"/>
        <w:spacing w:line="360" w:lineRule="auto"/>
        <w:ind w:firstLine="602" w:firstLineChars="200"/>
        <w:rPr>
          <w:rFonts w:hint="eastAsia" w:ascii="仿宋" w:hAnsi="仿宋" w:eastAsia="仿宋" w:cs="仿宋_GB2312"/>
          <w:b/>
          <w:color w:val="auto"/>
          <w:sz w:val="30"/>
          <w:szCs w:val="30"/>
          <w:lang w:bidi="ar"/>
        </w:rPr>
        <w:sectPr>
          <w:pgSz w:w="11900" w:h="16839"/>
          <w:pgMar w:top="983" w:right="1620" w:bottom="679" w:left="1621" w:header="969" w:footer="502" w:gutter="0"/>
          <w:cols w:space="720" w:num="1"/>
        </w:sectPr>
      </w:pPr>
    </w:p>
    <w:p w14:paraId="7AFCD497">
      <w:pPr>
        <w:snapToGrid w:val="0"/>
        <w:spacing w:line="360" w:lineRule="auto"/>
        <w:ind w:firstLine="602" w:firstLineChars="200"/>
        <w:rPr>
          <w:rFonts w:hint="eastAsia" w:ascii="仿宋_GB2312" w:hAnsi="仿宋_GB2312" w:eastAsia="仿宋_GB2312" w:cs="仿宋_GB2312"/>
          <w:color w:val="auto"/>
          <w:sz w:val="32"/>
          <w:szCs w:val="32"/>
        </w:rPr>
      </w:pPr>
      <w:r>
        <w:rPr>
          <w:rFonts w:hint="eastAsia" w:ascii="仿宋" w:hAnsi="仿宋" w:eastAsia="仿宋" w:cs="仿宋_GB2312"/>
          <w:b/>
          <w:color w:val="auto"/>
          <w:sz w:val="30"/>
          <w:szCs w:val="30"/>
          <w:lang w:bidi="ar"/>
        </w:rPr>
        <w:t>七、技术偏离表</w:t>
      </w:r>
    </w:p>
    <w:p w14:paraId="0057C740">
      <w:pPr>
        <w:spacing w:line="500" w:lineRule="exact"/>
        <w:jc w:val="center"/>
        <w:rPr>
          <w:rFonts w:hint="default" w:ascii="宋体" w:hAnsi="宋体" w:eastAsia="宋体" w:cs="宋体"/>
          <w:b/>
          <w:color w:val="auto"/>
          <w:sz w:val="30"/>
          <w:szCs w:val="30"/>
          <w:highlight w:val="none"/>
        </w:rPr>
      </w:pPr>
      <w:r>
        <w:rPr>
          <w:rFonts w:hint="default" w:ascii="宋体" w:hAnsi="宋体" w:eastAsia="宋体" w:cs="宋体"/>
          <w:b/>
          <w:color w:val="auto"/>
          <w:sz w:val="30"/>
          <w:szCs w:val="30"/>
          <w:highlight w:val="none"/>
        </w:rPr>
        <w:t>技术需求偏离表</w:t>
      </w:r>
    </w:p>
    <w:p w14:paraId="16BC629E">
      <w:pPr>
        <w:spacing w:line="360" w:lineRule="auto"/>
        <w:jc w:val="left"/>
        <w:rPr>
          <w:rFonts w:hint="eastAsia" w:ascii="宋体" w:hAnsi="宋体" w:eastAsia="宋体" w:cs="宋体"/>
          <w:color w:val="auto"/>
          <w:sz w:val="24"/>
        </w:rPr>
      </w:pPr>
    </w:p>
    <w:p w14:paraId="4253C03A">
      <w:pPr>
        <w:pStyle w:val="17"/>
        <w:widowControl/>
        <w:spacing w:line="360" w:lineRule="auto"/>
        <w:rPr>
          <w:rFonts w:hAnsi="宋体" w:cs="仿宋_GB2312"/>
          <w:color w:val="auto"/>
          <w:sz w:val="24"/>
          <w:szCs w:val="24"/>
        </w:rPr>
      </w:pPr>
      <w:r>
        <w:rPr>
          <w:rFonts w:hAnsi="宋体" w:cs="仿宋_GB2312"/>
          <w:color w:val="auto"/>
          <w:sz w:val="24"/>
          <w:szCs w:val="24"/>
        </w:rPr>
        <w:t>所竞分标：</w:t>
      </w:r>
      <w:r>
        <w:rPr>
          <w:rFonts w:hAnsi="宋体" w:cs="仿宋_GB2312"/>
          <w:color w:val="auto"/>
          <w:sz w:val="24"/>
          <w:szCs w:val="24"/>
          <w:u w:val="single"/>
        </w:rPr>
        <w:t xml:space="preserve">              </w:t>
      </w:r>
    </w:p>
    <w:tbl>
      <w:tblPr>
        <w:tblStyle w:val="29"/>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2"/>
        <w:gridCol w:w="736"/>
        <w:gridCol w:w="1576"/>
        <w:gridCol w:w="1140"/>
        <w:gridCol w:w="658"/>
        <w:gridCol w:w="1146"/>
        <w:gridCol w:w="1095"/>
      </w:tblGrid>
      <w:tr w14:paraId="6E12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9E42CE">
            <w:pPr>
              <w:rPr>
                <w:rFonts w:hint="eastAsia" w:ascii="宋体" w:hAnsi="宋体" w:eastAsia="宋体" w:cs="宋体"/>
                <w:color w:val="auto"/>
                <w:szCs w:val="21"/>
              </w:rPr>
            </w:pPr>
            <w:r>
              <w:rPr>
                <w:rFonts w:hint="eastAsia" w:ascii="宋体" w:hAnsi="宋体" w:eastAsia="宋体" w:cs="宋体"/>
                <w:color w:val="auto"/>
                <w:szCs w:val="21"/>
                <w:lang w:bidi="ar"/>
              </w:rPr>
              <w:t>项号</w:t>
            </w:r>
          </w:p>
        </w:tc>
        <w:tc>
          <w:tcPr>
            <w:tcW w:w="34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3EC339">
            <w:pPr>
              <w:jc w:val="center"/>
              <w:rPr>
                <w:rFonts w:hint="eastAsia" w:ascii="宋体" w:hAnsi="宋体" w:eastAsia="宋体" w:cs="宋体"/>
                <w:color w:val="auto"/>
                <w:szCs w:val="21"/>
              </w:rPr>
            </w:pPr>
            <w:r>
              <w:rPr>
                <w:rFonts w:hint="eastAsia" w:ascii="宋体" w:hAnsi="宋体" w:eastAsia="宋体" w:cs="宋体"/>
                <w:color w:val="auto"/>
                <w:szCs w:val="21"/>
                <w:lang w:bidi="ar"/>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A9BD02">
            <w:pPr>
              <w:jc w:val="center"/>
              <w:rPr>
                <w:rFonts w:hint="eastAsia" w:ascii="宋体" w:hAnsi="宋体" w:eastAsia="宋体" w:cs="宋体"/>
                <w:color w:val="auto"/>
                <w:szCs w:val="21"/>
              </w:rPr>
            </w:pPr>
            <w:r>
              <w:rPr>
                <w:rFonts w:hint="eastAsia" w:ascii="宋体" w:hAnsi="宋体" w:eastAsia="宋体" w:cs="宋体"/>
                <w:color w:val="auto"/>
                <w:szCs w:val="21"/>
                <w:lang w:bidi="ar"/>
              </w:rPr>
              <w:t>响应文件承诺</w:t>
            </w:r>
          </w:p>
        </w:tc>
        <w:tc>
          <w:tcPr>
            <w:tcW w:w="10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C312C8">
            <w:pPr>
              <w:rPr>
                <w:rFonts w:hint="eastAsia" w:ascii="宋体" w:hAnsi="宋体" w:eastAsia="宋体" w:cs="宋体"/>
                <w:color w:val="auto"/>
                <w:szCs w:val="21"/>
              </w:rPr>
            </w:pPr>
            <w:r>
              <w:rPr>
                <w:rFonts w:hint="eastAsia" w:ascii="宋体" w:hAnsi="宋体" w:eastAsia="宋体" w:cs="宋体"/>
                <w:color w:val="auto"/>
                <w:szCs w:val="21"/>
                <w:lang w:bidi="ar"/>
              </w:rPr>
              <w:t>偏离说明</w:t>
            </w:r>
          </w:p>
        </w:tc>
      </w:tr>
      <w:tr w14:paraId="566D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715BAB">
            <w:pPr>
              <w:rPr>
                <w:rFonts w:ascii="Times New Roman" w:hAnsi="Times New Roman" w:cs="Times New Roman"/>
                <w:color w:val="auto"/>
                <w:sz w:val="20"/>
                <w:szCs w:val="20"/>
              </w:rPr>
            </w:pP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748FFC62">
            <w:pPr>
              <w:rPr>
                <w:rFonts w:hint="eastAsia" w:ascii="宋体" w:hAnsi="宋体" w:eastAsia="宋体" w:cs="宋体"/>
                <w:color w:val="auto"/>
                <w:szCs w:val="21"/>
              </w:rPr>
            </w:pPr>
            <w:r>
              <w:rPr>
                <w:rFonts w:hint="eastAsia" w:ascii="宋体" w:hAnsi="宋体" w:eastAsia="宋体" w:cs="宋体"/>
                <w:color w:val="auto"/>
                <w:szCs w:val="21"/>
                <w:lang w:bidi="ar"/>
              </w:rPr>
              <w:t>服务名称</w:t>
            </w:r>
          </w:p>
        </w:tc>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0496549D">
            <w:pPr>
              <w:rPr>
                <w:rFonts w:hint="eastAsia" w:ascii="宋体" w:hAnsi="宋体" w:eastAsia="宋体" w:cs="宋体"/>
                <w:color w:val="auto"/>
                <w:szCs w:val="21"/>
              </w:rPr>
            </w:pPr>
            <w:r>
              <w:rPr>
                <w:rFonts w:hint="eastAsia" w:ascii="宋体" w:hAnsi="宋体" w:eastAsia="宋体" w:cs="宋体"/>
                <w:color w:val="auto"/>
                <w:szCs w:val="21"/>
                <w:lang w:bidi="ar"/>
              </w:rPr>
              <w:t>数量</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61FEDDD4">
            <w:pPr>
              <w:rPr>
                <w:rFonts w:hint="eastAsia" w:ascii="宋体" w:hAnsi="宋体" w:eastAsia="宋体" w:cs="宋体"/>
                <w:color w:val="auto"/>
                <w:szCs w:val="21"/>
              </w:rPr>
            </w:pPr>
            <w:r>
              <w:rPr>
                <w:rFonts w:hint="eastAsia" w:ascii="宋体" w:hAnsi="宋体" w:eastAsia="宋体" w:cs="宋体"/>
                <w:color w:val="auto"/>
                <w:szCs w:val="21"/>
                <w:lang w:bidi="ar"/>
              </w:rPr>
              <w:t>服务参数要求</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C51A5F3">
            <w:pPr>
              <w:rPr>
                <w:rFonts w:hint="eastAsia" w:ascii="宋体" w:hAnsi="宋体" w:eastAsia="宋体" w:cs="宋体"/>
                <w:color w:val="auto"/>
                <w:szCs w:val="21"/>
              </w:rPr>
            </w:pPr>
            <w:r>
              <w:rPr>
                <w:rFonts w:hint="eastAsia" w:ascii="宋体" w:hAnsi="宋体" w:eastAsia="宋体" w:cs="宋体"/>
                <w:color w:val="auto"/>
                <w:szCs w:val="21"/>
                <w:lang w:bidi="ar"/>
              </w:rPr>
              <w:t>服务名称</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48A0AF2A">
            <w:pPr>
              <w:rPr>
                <w:rFonts w:hint="eastAsia" w:ascii="宋体" w:hAnsi="宋体" w:eastAsia="宋体" w:cs="宋体"/>
                <w:color w:val="auto"/>
                <w:szCs w:val="21"/>
              </w:rPr>
            </w:pPr>
            <w:r>
              <w:rPr>
                <w:rFonts w:hint="eastAsia" w:ascii="宋体" w:hAnsi="宋体" w:eastAsia="宋体" w:cs="宋体"/>
                <w:color w:val="auto"/>
                <w:szCs w:val="21"/>
                <w:lang w:bidi="ar"/>
              </w:rPr>
              <w:t>数量</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2FE17F1D">
            <w:pPr>
              <w:rPr>
                <w:rFonts w:hint="eastAsia" w:ascii="宋体" w:hAnsi="宋体" w:eastAsia="宋体" w:cs="宋体"/>
                <w:color w:val="auto"/>
                <w:szCs w:val="21"/>
              </w:rPr>
            </w:pPr>
            <w:r>
              <w:rPr>
                <w:rFonts w:hint="eastAsia" w:ascii="宋体" w:hAnsi="宋体" w:eastAsia="宋体" w:cs="宋体"/>
                <w:color w:val="auto"/>
                <w:szCs w:val="21"/>
                <w:lang w:bidi="ar"/>
              </w:rPr>
              <w:t>服务参数</w:t>
            </w: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5AAD60">
            <w:pPr>
              <w:rPr>
                <w:rFonts w:ascii="Times New Roman" w:hAnsi="Times New Roman" w:cs="Times New Roman"/>
                <w:color w:val="auto"/>
                <w:sz w:val="20"/>
                <w:szCs w:val="20"/>
              </w:rPr>
            </w:pPr>
          </w:p>
        </w:tc>
      </w:tr>
      <w:tr w14:paraId="13A8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47A51EA0">
            <w:pPr>
              <w:rPr>
                <w:rFonts w:hint="eastAsia" w:ascii="宋体" w:hAnsi="宋体" w:eastAsia="宋体" w:cs="宋体"/>
                <w:color w:val="auto"/>
                <w:szCs w:val="21"/>
              </w:rPr>
            </w:pPr>
            <w:r>
              <w:rPr>
                <w:rFonts w:hint="eastAsia" w:ascii="宋体" w:hAnsi="宋体" w:eastAsia="宋体" w:cs="宋体"/>
                <w:color w:val="auto"/>
                <w:szCs w:val="21"/>
                <w:lang w:bidi="ar"/>
              </w:rPr>
              <w:t>1</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477D0EBF">
            <w:pPr>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34389156">
            <w:pPr>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19C7D50B">
            <w:pPr>
              <w:rPr>
                <w:rFonts w:hint="eastAsia" w:ascii="宋体" w:hAnsi="宋体" w:eastAsia="宋体" w:cs="宋体"/>
                <w:color w:val="auto"/>
                <w:szCs w:val="21"/>
              </w:rPr>
            </w:pPr>
            <w:r>
              <w:rPr>
                <w:rFonts w:hint="eastAsia" w:ascii="宋体" w:hAnsi="宋体" w:eastAsia="宋体" w:cs="宋体"/>
                <w:color w:val="auto"/>
                <w:szCs w:val="21"/>
                <w:lang w:bidi="ar"/>
              </w:rPr>
              <w:t>1  ……</w:t>
            </w:r>
          </w:p>
          <w:p w14:paraId="06564386">
            <w:pPr>
              <w:rPr>
                <w:rFonts w:hint="eastAsia" w:ascii="宋体" w:hAnsi="宋体" w:eastAsia="宋体" w:cs="宋体"/>
                <w:color w:val="auto"/>
                <w:szCs w:val="21"/>
              </w:rPr>
            </w:pPr>
            <w:r>
              <w:rPr>
                <w:rFonts w:hint="eastAsia" w:ascii="宋体" w:hAnsi="宋体" w:eastAsia="宋体" w:cs="宋体"/>
                <w:color w:val="auto"/>
                <w:szCs w:val="21"/>
                <w:lang w:bidi="ar"/>
              </w:rPr>
              <w:t>2  ……</w:t>
            </w:r>
          </w:p>
          <w:p w14:paraId="2E2F6C4B">
            <w:pPr>
              <w:rPr>
                <w:rFonts w:hint="eastAsia" w:ascii="宋体" w:hAnsi="宋体" w:eastAsia="宋体" w:cs="宋体"/>
                <w:color w:val="auto"/>
                <w:szCs w:val="21"/>
              </w:rPr>
            </w:pPr>
            <w:r>
              <w:rPr>
                <w:rFonts w:hint="eastAsia" w:ascii="宋体" w:hAnsi="宋体" w:eastAsia="宋体" w:cs="宋体"/>
                <w:color w:val="auto"/>
                <w:szCs w:val="21"/>
                <w:lang w:bidi="ar"/>
              </w:rPr>
              <w:t>3  ……</w:t>
            </w:r>
          </w:p>
          <w:p w14:paraId="40592757">
            <w:pPr>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809E88A">
            <w:pPr>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07F8C8C7">
            <w:pPr>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0FE859F2">
            <w:pPr>
              <w:rPr>
                <w:rFonts w:hint="eastAsia" w:ascii="宋体" w:hAnsi="宋体" w:eastAsia="宋体" w:cs="宋体"/>
                <w:color w:val="auto"/>
                <w:szCs w:val="21"/>
              </w:rPr>
            </w:pPr>
            <w:r>
              <w:rPr>
                <w:rFonts w:hint="eastAsia" w:ascii="宋体" w:hAnsi="宋体" w:eastAsia="宋体" w:cs="宋体"/>
                <w:color w:val="auto"/>
                <w:szCs w:val="21"/>
                <w:lang w:bidi="ar"/>
              </w:rPr>
              <w:t>1  ……</w:t>
            </w:r>
          </w:p>
          <w:p w14:paraId="4EFCAB1B">
            <w:pPr>
              <w:rPr>
                <w:rFonts w:hint="eastAsia" w:ascii="宋体" w:hAnsi="宋体" w:eastAsia="宋体" w:cs="宋体"/>
                <w:color w:val="auto"/>
                <w:szCs w:val="21"/>
              </w:rPr>
            </w:pPr>
            <w:r>
              <w:rPr>
                <w:rFonts w:hint="eastAsia" w:ascii="宋体" w:hAnsi="宋体" w:eastAsia="宋体" w:cs="宋体"/>
                <w:color w:val="auto"/>
                <w:szCs w:val="21"/>
                <w:lang w:bidi="ar"/>
              </w:rPr>
              <w:t>2  ……</w:t>
            </w:r>
          </w:p>
          <w:p w14:paraId="75377609">
            <w:pPr>
              <w:rPr>
                <w:rFonts w:hint="eastAsia" w:ascii="宋体" w:hAnsi="宋体" w:eastAsia="宋体" w:cs="宋体"/>
                <w:color w:val="auto"/>
                <w:szCs w:val="21"/>
              </w:rPr>
            </w:pPr>
            <w:r>
              <w:rPr>
                <w:rFonts w:hint="eastAsia" w:ascii="宋体" w:hAnsi="宋体" w:eastAsia="宋体" w:cs="宋体"/>
                <w:color w:val="auto"/>
                <w:szCs w:val="21"/>
                <w:lang w:bidi="ar"/>
              </w:rPr>
              <w:t>3  ……</w:t>
            </w:r>
          </w:p>
          <w:p w14:paraId="2905E952">
            <w:pPr>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02E80DE2">
            <w:pPr>
              <w:rPr>
                <w:rFonts w:hint="eastAsia" w:ascii="宋体" w:hAnsi="宋体" w:eastAsia="宋体" w:cs="宋体"/>
                <w:color w:val="auto"/>
                <w:szCs w:val="21"/>
              </w:rPr>
            </w:pPr>
          </w:p>
        </w:tc>
      </w:tr>
      <w:tr w14:paraId="2D42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672E78F4">
            <w:pPr>
              <w:rPr>
                <w:rFonts w:hint="eastAsia" w:ascii="宋体" w:hAnsi="宋体" w:eastAsia="宋体" w:cs="宋体"/>
                <w:color w:val="auto"/>
                <w:szCs w:val="21"/>
              </w:rPr>
            </w:pPr>
            <w:r>
              <w:rPr>
                <w:rFonts w:hint="eastAsia" w:ascii="宋体" w:hAnsi="宋体" w:eastAsia="宋体" w:cs="宋体"/>
                <w:color w:val="auto"/>
                <w:szCs w:val="21"/>
                <w:lang w:bidi="ar"/>
              </w:rPr>
              <w:t>2</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3F658B6E">
            <w:pPr>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6EBD2AB3">
            <w:pPr>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7F578CED">
            <w:pPr>
              <w:rPr>
                <w:rFonts w:hint="eastAsia" w:ascii="宋体" w:hAnsi="宋体" w:eastAsia="宋体" w:cs="宋体"/>
                <w:color w:val="auto"/>
                <w:szCs w:val="21"/>
              </w:rPr>
            </w:pPr>
            <w:r>
              <w:rPr>
                <w:rFonts w:hint="eastAsia" w:ascii="宋体" w:hAnsi="宋体" w:eastAsia="宋体" w:cs="宋体"/>
                <w:color w:val="auto"/>
                <w:szCs w:val="21"/>
                <w:lang w:bidi="ar"/>
              </w:rPr>
              <w:t>1  ……</w:t>
            </w:r>
          </w:p>
          <w:p w14:paraId="1E42325D">
            <w:pPr>
              <w:rPr>
                <w:rFonts w:hint="eastAsia" w:ascii="宋体" w:hAnsi="宋体" w:eastAsia="宋体" w:cs="宋体"/>
                <w:color w:val="auto"/>
                <w:szCs w:val="21"/>
              </w:rPr>
            </w:pPr>
            <w:r>
              <w:rPr>
                <w:rFonts w:hint="eastAsia" w:ascii="宋体" w:hAnsi="宋体" w:eastAsia="宋体" w:cs="宋体"/>
                <w:color w:val="auto"/>
                <w:szCs w:val="21"/>
                <w:lang w:bidi="ar"/>
              </w:rPr>
              <w:t>2  ……</w:t>
            </w:r>
          </w:p>
          <w:p w14:paraId="68459E65">
            <w:pPr>
              <w:rPr>
                <w:rFonts w:hint="eastAsia" w:ascii="宋体" w:hAnsi="宋体" w:eastAsia="宋体" w:cs="宋体"/>
                <w:color w:val="auto"/>
                <w:szCs w:val="21"/>
              </w:rPr>
            </w:pPr>
            <w:r>
              <w:rPr>
                <w:rFonts w:hint="eastAsia" w:ascii="宋体" w:hAnsi="宋体" w:eastAsia="宋体" w:cs="宋体"/>
                <w:color w:val="auto"/>
                <w:szCs w:val="21"/>
                <w:lang w:bidi="ar"/>
              </w:rPr>
              <w:t>3  ……</w:t>
            </w:r>
          </w:p>
          <w:p w14:paraId="1BA4786F">
            <w:pPr>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207BA8F">
            <w:pPr>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5D9C2FB1">
            <w:pPr>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0354AD87">
            <w:pPr>
              <w:rPr>
                <w:rFonts w:hint="eastAsia" w:ascii="宋体" w:hAnsi="宋体" w:eastAsia="宋体" w:cs="宋体"/>
                <w:color w:val="auto"/>
                <w:szCs w:val="21"/>
              </w:rPr>
            </w:pPr>
            <w:r>
              <w:rPr>
                <w:rFonts w:hint="eastAsia" w:ascii="宋体" w:hAnsi="宋体" w:eastAsia="宋体" w:cs="宋体"/>
                <w:color w:val="auto"/>
                <w:szCs w:val="21"/>
                <w:lang w:bidi="ar"/>
              </w:rPr>
              <w:t>1  ……</w:t>
            </w:r>
          </w:p>
          <w:p w14:paraId="7D18B3C2">
            <w:pPr>
              <w:rPr>
                <w:rFonts w:hint="eastAsia" w:ascii="宋体" w:hAnsi="宋体" w:eastAsia="宋体" w:cs="宋体"/>
                <w:color w:val="auto"/>
                <w:szCs w:val="21"/>
              </w:rPr>
            </w:pPr>
            <w:r>
              <w:rPr>
                <w:rFonts w:hint="eastAsia" w:ascii="宋体" w:hAnsi="宋体" w:eastAsia="宋体" w:cs="宋体"/>
                <w:color w:val="auto"/>
                <w:szCs w:val="21"/>
                <w:lang w:bidi="ar"/>
              </w:rPr>
              <w:t>2  ……</w:t>
            </w:r>
          </w:p>
          <w:p w14:paraId="4787254B">
            <w:pPr>
              <w:rPr>
                <w:rFonts w:hint="eastAsia" w:ascii="宋体" w:hAnsi="宋体" w:eastAsia="宋体" w:cs="宋体"/>
                <w:color w:val="auto"/>
                <w:szCs w:val="21"/>
              </w:rPr>
            </w:pPr>
            <w:r>
              <w:rPr>
                <w:rFonts w:hint="eastAsia" w:ascii="宋体" w:hAnsi="宋体" w:eastAsia="宋体" w:cs="宋体"/>
                <w:color w:val="auto"/>
                <w:szCs w:val="21"/>
                <w:lang w:bidi="ar"/>
              </w:rPr>
              <w:t>3  ……</w:t>
            </w:r>
          </w:p>
          <w:p w14:paraId="4C79ED72">
            <w:pPr>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6909C091">
            <w:pPr>
              <w:rPr>
                <w:rFonts w:hint="eastAsia" w:ascii="宋体" w:hAnsi="宋体" w:eastAsia="宋体" w:cs="宋体"/>
                <w:color w:val="auto"/>
                <w:szCs w:val="21"/>
              </w:rPr>
            </w:pPr>
          </w:p>
        </w:tc>
      </w:tr>
      <w:tr w14:paraId="44F3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1294FFC6">
            <w:pPr>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6261DF2E">
            <w:pPr>
              <w:rPr>
                <w:rFonts w:hint="eastAsia" w:ascii="宋体" w:hAnsi="宋体" w:eastAsia="宋体" w:cs="宋体"/>
                <w:color w:val="auto"/>
                <w:szCs w:val="21"/>
              </w:rPr>
            </w:pPr>
          </w:p>
        </w:tc>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664CFEA8">
            <w:pPr>
              <w:rPr>
                <w:rFonts w:hint="eastAsia" w:ascii="宋体" w:hAnsi="宋体" w:eastAsia="宋体" w:cs="宋体"/>
                <w:color w:val="auto"/>
                <w:szCs w:val="21"/>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5C560815">
            <w:pPr>
              <w:rPr>
                <w:rFonts w:hint="eastAsia" w:ascii="宋体" w:hAnsi="宋体" w:eastAsia="宋体" w:cs="宋体"/>
                <w:color w:val="auto"/>
                <w:szCs w:val="21"/>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2540C83">
            <w:pPr>
              <w:rPr>
                <w:rFonts w:hint="eastAsia" w:ascii="宋体" w:hAnsi="宋体" w:eastAsia="宋体" w:cs="宋体"/>
                <w:color w:val="auto"/>
                <w:szCs w:val="21"/>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64D0F961">
            <w:pPr>
              <w:rPr>
                <w:rFonts w:hint="eastAsia" w:ascii="宋体" w:hAnsi="宋体" w:eastAsia="宋体" w:cs="宋体"/>
                <w:color w:val="auto"/>
                <w:szCs w:val="21"/>
              </w:rPr>
            </w:pP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4B1AD662">
            <w:pPr>
              <w:rPr>
                <w:rFonts w:hint="eastAsia" w:ascii="宋体" w:hAnsi="宋体" w:eastAsia="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53DB0E1F">
            <w:pPr>
              <w:rPr>
                <w:rFonts w:hint="eastAsia" w:ascii="宋体" w:hAnsi="宋体" w:eastAsia="宋体" w:cs="宋体"/>
                <w:color w:val="auto"/>
                <w:szCs w:val="21"/>
              </w:rPr>
            </w:pPr>
          </w:p>
        </w:tc>
      </w:tr>
    </w:tbl>
    <w:p w14:paraId="1D51BD79">
      <w:pPr>
        <w:pStyle w:val="27"/>
        <w:spacing w:line="360" w:lineRule="auto"/>
        <w:contextualSpacing/>
        <w:rPr>
          <w:rFonts w:hint="eastAsia" w:ascii="宋体" w:hAnsi="宋体" w:cs="宋体"/>
          <w:color w:val="auto"/>
        </w:rPr>
      </w:pPr>
      <w:r>
        <w:rPr>
          <w:rFonts w:hint="eastAsia" w:ascii="宋体" w:hAnsi="宋体" w:cs="宋体"/>
          <w:color w:val="auto"/>
        </w:rPr>
        <w:t>注：</w:t>
      </w:r>
    </w:p>
    <w:p w14:paraId="181A1EB7">
      <w:pPr>
        <w:pStyle w:val="27"/>
        <w:spacing w:line="360" w:lineRule="auto"/>
        <w:contextualSpacing/>
        <w:rPr>
          <w:rFonts w:hint="eastAsia" w:ascii="宋体" w:hAnsi="宋体" w:cs="宋体"/>
          <w:color w:val="auto"/>
          <w:sz w:val="21"/>
          <w:szCs w:val="21"/>
        </w:rPr>
      </w:pPr>
      <w:r>
        <w:rPr>
          <w:rFonts w:hint="eastAsia" w:ascii="宋体" w:hAnsi="宋体" w:cs="宋体"/>
          <w:color w:val="auto"/>
          <w:sz w:val="21"/>
          <w:szCs w:val="21"/>
        </w:rPr>
        <w:t>注：</w:t>
      </w:r>
    </w:p>
    <w:p w14:paraId="4079A075">
      <w:pPr>
        <w:pStyle w:val="27"/>
        <w:spacing w:line="360" w:lineRule="auto"/>
        <w:contextualSpacing/>
        <w:rPr>
          <w:rFonts w:hint="eastAsia" w:ascii="宋体" w:hAnsi="宋体" w:cs="仿宋_GB2312"/>
          <w:color w:val="auto"/>
          <w:sz w:val="21"/>
          <w:szCs w:val="21"/>
        </w:rPr>
      </w:pPr>
      <w:r>
        <w:rPr>
          <w:rFonts w:hint="eastAsia" w:ascii="宋体" w:hAnsi="宋体" w:cs="仿宋_GB2312"/>
          <w:color w:val="auto"/>
          <w:sz w:val="21"/>
          <w:szCs w:val="21"/>
        </w:rPr>
        <w:t>1.说明：应对照磋商文件“第二章”中“服务需求一览表”的采购清单及技术参数条款逐条作出明确响应，并作出偏离说明。</w:t>
      </w:r>
    </w:p>
    <w:p w14:paraId="6356AF3A">
      <w:pPr>
        <w:pStyle w:val="14"/>
        <w:widowControl/>
        <w:spacing w:line="400" w:lineRule="exact"/>
        <w:ind w:firstLine="0" w:firstLineChars="0"/>
        <w:rPr>
          <w:rFonts w:ascii="宋体" w:hAnsi="宋体" w:eastAsia="宋体" w:cs="仿宋_GB2312"/>
          <w:color w:val="auto"/>
          <w:sz w:val="21"/>
          <w:szCs w:val="21"/>
        </w:rPr>
      </w:pPr>
      <w:r>
        <w:rPr>
          <w:rFonts w:ascii="宋体" w:hAnsi="宋体" w:eastAsia="宋体" w:cs="仿宋_GB2312"/>
          <w:color w:val="auto"/>
          <w:sz w:val="21"/>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018BF6DB">
      <w:pPr>
        <w:spacing w:line="400" w:lineRule="exact"/>
        <w:rPr>
          <w:rFonts w:hint="eastAsia" w:ascii="宋体" w:hAnsi="宋体" w:eastAsia="宋体" w:cs="仿宋_GB2312"/>
          <w:color w:val="auto"/>
          <w:kern w:val="0"/>
          <w:szCs w:val="21"/>
        </w:rPr>
      </w:pPr>
      <w:r>
        <w:rPr>
          <w:rFonts w:hint="eastAsia" w:ascii="宋体" w:hAnsi="宋体" w:eastAsia="宋体" w:cs="仿宋_GB2312"/>
          <w:color w:val="auto"/>
          <w:kern w:val="0"/>
          <w:szCs w:val="21"/>
          <w:lang w:bidi="ar"/>
        </w:rPr>
        <w:t>3.表格内容均需按要求填写并盖章，不得留空，否则按竞标无效处理。</w:t>
      </w:r>
    </w:p>
    <w:p w14:paraId="21FE360F">
      <w:pPr>
        <w:pStyle w:val="17"/>
        <w:widowControl/>
        <w:spacing w:line="400" w:lineRule="exact"/>
        <w:rPr>
          <w:rFonts w:hAnsi="宋体" w:cs="仿宋_GB2312"/>
          <w:color w:val="auto"/>
          <w:sz w:val="21"/>
        </w:rPr>
      </w:pPr>
      <w:r>
        <w:rPr>
          <w:rFonts w:hAnsi="宋体" w:cs="仿宋_GB2312"/>
          <w:color w:val="auto"/>
          <w:sz w:val="21"/>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66A21AA">
      <w:pPr>
        <w:pStyle w:val="14"/>
        <w:widowControl/>
        <w:spacing w:line="360" w:lineRule="auto"/>
        <w:ind w:firstLine="0" w:firstLineChars="0"/>
        <w:rPr>
          <w:rFonts w:ascii="宋体" w:hAnsi="宋体" w:cs="仿宋_GB2312"/>
          <w:color w:val="auto"/>
          <w:sz w:val="24"/>
        </w:rPr>
      </w:pPr>
      <w:r>
        <w:rPr>
          <w:rFonts w:ascii="宋体" w:hAnsi="宋体" w:eastAsia="宋体" w:cs="仿宋_GB2312"/>
          <w:color w:val="auto"/>
          <w:sz w:val="21"/>
          <w:szCs w:val="21"/>
        </w:rPr>
        <w:t>5. 如技术偏离表中的竞标响应与佐证材料不一致的，以佐证材料为准。</w:t>
      </w:r>
    </w:p>
    <w:p w14:paraId="2EF92A89">
      <w:pPr>
        <w:snapToGrid w:val="0"/>
        <w:spacing w:line="360" w:lineRule="auto"/>
        <w:ind w:firstLine="602" w:firstLineChars="200"/>
        <w:rPr>
          <w:rFonts w:hint="eastAsia" w:ascii="仿宋" w:hAnsi="仿宋" w:eastAsia="仿宋" w:cs="仿宋_GB2312"/>
          <w:b/>
          <w:color w:val="auto"/>
          <w:sz w:val="30"/>
          <w:szCs w:val="30"/>
        </w:rPr>
      </w:pPr>
    </w:p>
    <w:p w14:paraId="5939673C">
      <w:pPr>
        <w:autoSpaceDE w:val="0"/>
        <w:autoSpaceDN w:val="0"/>
        <w:spacing w:line="360" w:lineRule="auto"/>
        <w:ind w:left="4335" w:leftChars="1950" w:hanging="240" w:hangingChars="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643CD180">
      <w:pPr>
        <w:autoSpaceDE w:val="0"/>
        <w:autoSpaceDN w:val="0"/>
        <w:spacing w:line="360" w:lineRule="auto"/>
        <w:ind w:firstLine="6480" w:firstLineChars="2700"/>
        <w:rPr>
          <w:rFonts w:hint="eastAsia" w:ascii="仿宋_GB2312" w:hAnsi="仿宋" w:eastAsia="仿宋_GB2312" w:cs="仿宋_GB2312"/>
          <w:b/>
          <w:bCs/>
          <w:color w:val="auto"/>
          <w:sz w:val="24"/>
        </w:rPr>
      </w:pPr>
      <w:r>
        <w:rPr>
          <w:rFonts w:hint="eastAsia" w:ascii="仿宋_GB2312" w:hAnsi="仿宋" w:eastAsia="仿宋_GB2312" w:cs="仿宋_GB2312"/>
          <w:color w:val="auto"/>
          <w:kern w:val="0"/>
          <w:sz w:val="24"/>
          <w:lang w:val="zh-CN" w:bidi="ar"/>
        </w:rPr>
        <w:t>日期：  年  月   日</w:t>
      </w:r>
    </w:p>
    <w:p w14:paraId="5530F212">
      <w:pPr>
        <w:adjustRightInd w:val="0"/>
        <w:snapToGrid w:val="0"/>
        <w:spacing w:line="520" w:lineRule="exact"/>
        <w:jc w:val="center"/>
        <w:rPr>
          <w:rFonts w:hint="eastAsia" w:ascii="方正小标宋简体" w:hAnsi="方正小标宋简体" w:eastAsia="方正小标宋简体" w:cs="方正小标宋简体"/>
          <w:bCs/>
          <w:color w:val="auto"/>
          <w:sz w:val="44"/>
          <w:szCs w:val="44"/>
        </w:rPr>
      </w:pPr>
    </w:p>
    <w:p w14:paraId="2333B8FA">
      <w:pPr>
        <w:pStyle w:val="20"/>
        <w:rPr>
          <w:rFonts w:hint="eastAsia" w:ascii="方正小标宋简体" w:hAnsi="方正小标宋简体" w:eastAsia="方正小标宋简体" w:cs="方正小标宋简体"/>
          <w:bCs/>
          <w:color w:val="auto"/>
          <w:sz w:val="44"/>
          <w:szCs w:val="44"/>
        </w:rPr>
      </w:pPr>
    </w:p>
    <w:p w14:paraId="5E39C6C3">
      <w:pPr>
        <w:pStyle w:val="20"/>
        <w:rPr>
          <w:rFonts w:hint="eastAsia" w:ascii="方正小标宋简体" w:hAnsi="方正小标宋简体" w:eastAsia="方正小标宋简体" w:cs="方正小标宋简体"/>
          <w:bCs/>
          <w:color w:val="auto"/>
          <w:sz w:val="44"/>
          <w:szCs w:val="44"/>
        </w:rPr>
      </w:pPr>
    </w:p>
    <w:p w14:paraId="4CA3CB45">
      <w:pPr>
        <w:keepNext w:val="0"/>
        <w:keepLines w:val="0"/>
        <w:pageBreakBefore/>
        <w:widowControl w:val="0"/>
        <w:kinsoku/>
        <w:wordWrap/>
        <w:overflowPunct/>
        <w:topLinePunct w:val="0"/>
        <w:autoSpaceDE/>
        <w:autoSpaceDN/>
        <w:bidi w:val="0"/>
        <w:adjustRightInd/>
        <w:snapToGrid/>
        <w:jc w:val="left"/>
        <w:textAlignment w:val="auto"/>
        <w:rPr>
          <w:rFonts w:hint="default" w:ascii="宋体" w:hAnsi="宋体" w:eastAsia="宋体" w:cs="宋体"/>
          <w:b/>
          <w:color w:val="auto"/>
          <w:sz w:val="32"/>
          <w:szCs w:val="24"/>
          <w:highlight w:val="none"/>
        </w:rPr>
      </w:pPr>
      <w:r>
        <w:rPr>
          <w:rFonts w:hint="eastAsia" w:ascii="宋体" w:hAnsi="宋体" w:eastAsia="宋体" w:cs="宋体"/>
          <w:b/>
          <w:color w:val="auto"/>
          <w:sz w:val="32"/>
          <w:szCs w:val="24"/>
          <w:highlight w:val="none"/>
          <w:lang w:eastAsia="zh-CN"/>
        </w:rPr>
        <w:t>八、</w:t>
      </w:r>
      <w:r>
        <w:rPr>
          <w:rFonts w:hint="default" w:ascii="宋体" w:hAnsi="宋体" w:eastAsia="宋体" w:cs="宋体"/>
          <w:b/>
          <w:color w:val="auto"/>
          <w:sz w:val="32"/>
          <w:szCs w:val="24"/>
          <w:highlight w:val="none"/>
        </w:rPr>
        <w:t>项目经理简历表</w:t>
      </w:r>
    </w:p>
    <w:p w14:paraId="582D1392">
      <w:pPr>
        <w:jc w:val="center"/>
        <w:rPr>
          <w:rFonts w:hint="default" w:ascii="宋体" w:hAnsi="宋体" w:eastAsia="宋体" w:cs="宋体"/>
          <w:color w:val="auto"/>
          <w:sz w:val="21"/>
          <w:szCs w:val="24"/>
          <w:highlight w:val="none"/>
        </w:rPr>
      </w:pPr>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85"/>
        <w:gridCol w:w="1878"/>
        <w:gridCol w:w="1317"/>
        <w:gridCol w:w="1403"/>
        <w:gridCol w:w="1060"/>
        <w:gridCol w:w="1670"/>
      </w:tblGrid>
      <w:tr w14:paraId="2A42E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D020062">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姓名</w:t>
            </w: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A82CEC4">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3D3F0A3">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性别</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C0BEA9B">
            <w:pPr>
              <w:jc w:val="center"/>
              <w:rPr>
                <w:rFonts w:hint="default" w:ascii="宋体" w:hAnsi="宋体" w:eastAsia="宋体" w:cs="宋体"/>
                <w:color w:val="auto"/>
                <w:sz w:val="24"/>
                <w:szCs w:val="24"/>
                <w:highlight w:val="none"/>
              </w:rPr>
            </w:pPr>
          </w:p>
        </w:tc>
        <w:tc>
          <w:tcPr>
            <w:tcW w:w="106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D991242">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年龄</w:t>
            </w: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666BB2A">
            <w:pPr>
              <w:jc w:val="center"/>
              <w:rPr>
                <w:rFonts w:hint="default" w:ascii="宋体" w:hAnsi="宋体" w:eastAsia="宋体" w:cs="宋体"/>
                <w:color w:val="auto"/>
                <w:sz w:val="24"/>
                <w:szCs w:val="24"/>
                <w:highlight w:val="none"/>
              </w:rPr>
            </w:pPr>
          </w:p>
        </w:tc>
      </w:tr>
      <w:tr w14:paraId="3C222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E893AF8">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职务</w:t>
            </w: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F693F2B">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8EA9E1A">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职称</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47BC3E7">
            <w:pPr>
              <w:jc w:val="center"/>
              <w:rPr>
                <w:rFonts w:hint="default" w:ascii="宋体" w:hAnsi="宋体" w:eastAsia="宋体" w:cs="宋体"/>
                <w:color w:val="auto"/>
                <w:sz w:val="24"/>
                <w:szCs w:val="24"/>
                <w:highlight w:val="none"/>
              </w:rPr>
            </w:pPr>
          </w:p>
        </w:tc>
        <w:tc>
          <w:tcPr>
            <w:tcW w:w="106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1F88756">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学历</w:t>
            </w: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1DD4F5E">
            <w:pPr>
              <w:jc w:val="center"/>
              <w:rPr>
                <w:rFonts w:hint="default" w:ascii="宋体" w:hAnsi="宋体" w:eastAsia="宋体" w:cs="宋体"/>
                <w:color w:val="auto"/>
                <w:sz w:val="24"/>
                <w:szCs w:val="24"/>
                <w:highlight w:val="none"/>
              </w:rPr>
            </w:pPr>
          </w:p>
        </w:tc>
      </w:tr>
      <w:tr w14:paraId="730BE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6BA316C">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参加工作时间</w:t>
            </w: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025D555">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8809B6D">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从事项目经理（或建造师）年限</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56B87B8">
            <w:pPr>
              <w:jc w:val="center"/>
              <w:rPr>
                <w:rFonts w:hint="default" w:ascii="宋体" w:hAnsi="宋体" w:eastAsia="宋体" w:cs="宋体"/>
                <w:color w:val="auto"/>
                <w:sz w:val="24"/>
                <w:szCs w:val="24"/>
                <w:highlight w:val="none"/>
              </w:rPr>
            </w:pPr>
          </w:p>
        </w:tc>
        <w:tc>
          <w:tcPr>
            <w:tcW w:w="106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F2C20DF">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资质等级</w:t>
            </w: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A9B1500">
            <w:pPr>
              <w:jc w:val="center"/>
              <w:rPr>
                <w:rFonts w:hint="default" w:ascii="宋体" w:hAnsi="宋体" w:eastAsia="宋体" w:cs="宋体"/>
                <w:color w:val="auto"/>
                <w:sz w:val="24"/>
                <w:szCs w:val="24"/>
                <w:highlight w:val="none"/>
              </w:rPr>
            </w:pPr>
          </w:p>
        </w:tc>
      </w:tr>
      <w:tr w14:paraId="579F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448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C269C2F">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拟在本工程中担任的工作和职务</w:t>
            </w:r>
          </w:p>
        </w:tc>
        <w:tc>
          <w:tcPr>
            <w:tcW w:w="4133"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E747F0A">
            <w:pPr>
              <w:jc w:val="center"/>
              <w:rPr>
                <w:rFonts w:hint="default" w:ascii="宋体" w:hAnsi="宋体" w:eastAsia="宋体" w:cs="宋体"/>
                <w:color w:val="auto"/>
                <w:sz w:val="24"/>
                <w:szCs w:val="24"/>
                <w:highlight w:val="none"/>
              </w:rPr>
            </w:pPr>
          </w:p>
        </w:tc>
      </w:tr>
      <w:tr w14:paraId="1966F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8613"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2C2374A">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已 完 工 程 项 目 情 况</w:t>
            </w:r>
          </w:p>
        </w:tc>
      </w:tr>
      <w:tr w14:paraId="7DBED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E7B711D">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建设单位</w:t>
            </w: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755FE2E">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项目名称</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588AAB8">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建筑规模</w:t>
            </w: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FC63E1B">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开竣工日期</w:t>
            </w: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D36D1B8">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质量等级</w:t>
            </w:r>
          </w:p>
        </w:tc>
      </w:tr>
      <w:tr w14:paraId="26CFA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945F93D">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CEF9106">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9E24801">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E7A7F33">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42DE08E">
            <w:pPr>
              <w:jc w:val="center"/>
              <w:rPr>
                <w:rFonts w:hint="default" w:ascii="宋体" w:hAnsi="宋体" w:eastAsia="宋体" w:cs="宋体"/>
                <w:color w:val="auto"/>
                <w:sz w:val="24"/>
                <w:szCs w:val="24"/>
                <w:highlight w:val="none"/>
              </w:rPr>
            </w:pPr>
          </w:p>
        </w:tc>
      </w:tr>
      <w:tr w14:paraId="3FAFE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2AA6930">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E2A8098">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B8C390E">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2BF8721">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6140E11">
            <w:pPr>
              <w:jc w:val="center"/>
              <w:rPr>
                <w:rFonts w:hint="default" w:ascii="宋体" w:hAnsi="宋体" w:eastAsia="宋体" w:cs="宋体"/>
                <w:color w:val="auto"/>
                <w:sz w:val="24"/>
                <w:szCs w:val="24"/>
                <w:highlight w:val="none"/>
              </w:rPr>
            </w:pPr>
          </w:p>
        </w:tc>
      </w:tr>
      <w:tr w14:paraId="62B6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CD050D8">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40C8EA4">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A3DCB59">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FE8CB3B">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3BC0CEE">
            <w:pPr>
              <w:jc w:val="center"/>
              <w:rPr>
                <w:rFonts w:hint="default" w:ascii="宋体" w:hAnsi="宋体" w:eastAsia="宋体" w:cs="宋体"/>
                <w:color w:val="auto"/>
                <w:sz w:val="24"/>
                <w:szCs w:val="24"/>
                <w:highlight w:val="none"/>
              </w:rPr>
            </w:pPr>
          </w:p>
        </w:tc>
      </w:tr>
      <w:tr w14:paraId="5565F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52C7200">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909C9FA">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60417B8">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D2EA545">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E521572">
            <w:pPr>
              <w:jc w:val="center"/>
              <w:rPr>
                <w:rFonts w:hint="default" w:ascii="宋体" w:hAnsi="宋体" w:eastAsia="宋体" w:cs="宋体"/>
                <w:color w:val="auto"/>
                <w:sz w:val="24"/>
                <w:szCs w:val="24"/>
                <w:highlight w:val="none"/>
              </w:rPr>
            </w:pPr>
          </w:p>
        </w:tc>
      </w:tr>
      <w:tr w14:paraId="6AB46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3EA1603">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FFDC217">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B02135A">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E216FB3">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895247C">
            <w:pPr>
              <w:jc w:val="center"/>
              <w:rPr>
                <w:rFonts w:hint="default" w:ascii="宋体" w:hAnsi="宋体" w:eastAsia="宋体" w:cs="宋体"/>
                <w:color w:val="auto"/>
                <w:sz w:val="24"/>
                <w:szCs w:val="24"/>
                <w:highlight w:val="none"/>
              </w:rPr>
            </w:pPr>
          </w:p>
        </w:tc>
      </w:tr>
      <w:tr w14:paraId="4F0D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F5DA687">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CE5E583">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B3572FC">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E0CDABC">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1E66B20">
            <w:pPr>
              <w:jc w:val="center"/>
              <w:rPr>
                <w:rFonts w:hint="default" w:ascii="宋体" w:hAnsi="宋体" w:eastAsia="宋体" w:cs="宋体"/>
                <w:color w:val="auto"/>
                <w:sz w:val="24"/>
                <w:szCs w:val="24"/>
                <w:highlight w:val="none"/>
              </w:rPr>
            </w:pPr>
          </w:p>
        </w:tc>
      </w:tr>
      <w:tr w14:paraId="6E097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7A59386">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FFF781D">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0636DF1">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6CE96B2">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7ED0F92">
            <w:pPr>
              <w:jc w:val="center"/>
              <w:rPr>
                <w:rFonts w:hint="default" w:ascii="宋体" w:hAnsi="宋体" w:eastAsia="宋体" w:cs="宋体"/>
                <w:color w:val="auto"/>
                <w:sz w:val="24"/>
                <w:szCs w:val="24"/>
                <w:highlight w:val="none"/>
              </w:rPr>
            </w:pPr>
          </w:p>
        </w:tc>
      </w:tr>
      <w:tr w14:paraId="5B5FD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46CFB0C">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2EEE781">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6994845">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1041759">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5CAD75B">
            <w:pPr>
              <w:jc w:val="center"/>
              <w:rPr>
                <w:rFonts w:hint="default" w:ascii="宋体" w:hAnsi="宋体" w:eastAsia="宋体" w:cs="宋体"/>
                <w:color w:val="auto"/>
                <w:sz w:val="24"/>
                <w:szCs w:val="24"/>
                <w:highlight w:val="none"/>
              </w:rPr>
            </w:pPr>
          </w:p>
        </w:tc>
      </w:tr>
      <w:tr w14:paraId="0ED9C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80CA0FA">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1BAEEF3">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D125C96">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46D7BEB">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C48F754">
            <w:pPr>
              <w:jc w:val="center"/>
              <w:rPr>
                <w:rFonts w:hint="default" w:ascii="宋体" w:hAnsi="宋体" w:eastAsia="宋体" w:cs="宋体"/>
                <w:color w:val="auto"/>
                <w:sz w:val="24"/>
                <w:szCs w:val="24"/>
                <w:highlight w:val="none"/>
              </w:rPr>
            </w:pPr>
          </w:p>
        </w:tc>
      </w:tr>
      <w:tr w14:paraId="15F48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D9E0EAF">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CEFB564">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2EC7DDF">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83024DB">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1C76711">
            <w:pPr>
              <w:jc w:val="center"/>
              <w:rPr>
                <w:rFonts w:hint="default" w:ascii="宋体" w:hAnsi="宋体" w:eastAsia="宋体" w:cs="宋体"/>
                <w:color w:val="auto"/>
                <w:sz w:val="24"/>
                <w:szCs w:val="24"/>
                <w:highlight w:val="none"/>
              </w:rPr>
            </w:pPr>
          </w:p>
        </w:tc>
      </w:tr>
      <w:tr w14:paraId="10F7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98E5901">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23FDCB2">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7B2C9AF">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3392B97">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32BAC26">
            <w:pPr>
              <w:jc w:val="center"/>
              <w:rPr>
                <w:rFonts w:hint="default" w:ascii="宋体" w:hAnsi="宋体" w:eastAsia="宋体" w:cs="宋体"/>
                <w:color w:val="auto"/>
                <w:sz w:val="24"/>
                <w:szCs w:val="24"/>
                <w:highlight w:val="none"/>
              </w:rPr>
            </w:pPr>
          </w:p>
        </w:tc>
      </w:tr>
      <w:tr w14:paraId="721ED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F7DFAC4">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04667E5">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3F7C550">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7CD78EA">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5D7FE99">
            <w:pPr>
              <w:jc w:val="center"/>
              <w:rPr>
                <w:rFonts w:hint="default" w:ascii="宋体" w:hAnsi="宋体" w:eastAsia="宋体" w:cs="宋体"/>
                <w:color w:val="auto"/>
                <w:sz w:val="24"/>
                <w:szCs w:val="24"/>
                <w:highlight w:val="none"/>
              </w:rPr>
            </w:pPr>
          </w:p>
        </w:tc>
      </w:tr>
    </w:tbl>
    <w:p w14:paraId="540303A3">
      <w:pPr>
        <w:rPr>
          <w:rFonts w:hint="default" w:ascii="宋体" w:hAnsi="宋体" w:eastAsia="宋体" w:cs="宋体"/>
          <w:color w:val="auto"/>
          <w:sz w:val="21"/>
          <w:szCs w:val="20"/>
          <w:highlight w:val="none"/>
        </w:rPr>
      </w:pPr>
    </w:p>
    <w:p w14:paraId="43FA14BE">
      <w:pPr>
        <w:rPr>
          <w:rFonts w:hint="default" w:ascii="宋体" w:hAnsi="宋体" w:eastAsia="宋体" w:cs="宋体"/>
          <w:b/>
          <w:color w:val="auto"/>
          <w:sz w:val="21"/>
          <w:szCs w:val="24"/>
          <w:highlight w:val="none"/>
        </w:rPr>
      </w:pPr>
      <w:r>
        <w:rPr>
          <w:rFonts w:hint="default" w:ascii="宋体" w:hAnsi="宋体" w:eastAsia="宋体" w:cs="宋体"/>
          <w:color w:val="auto"/>
          <w:sz w:val="21"/>
          <w:szCs w:val="24"/>
          <w:highlight w:val="none"/>
        </w:rPr>
        <w:t xml:space="preserve"> </w:t>
      </w:r>
      <w:r>
        <w:rPr>
          <w:rFonts w:hint="default" w:ascii="宋体" w:hAnsi="宋体" w:eastAsia="宋体" w:cs="宋体"/>
          <w:b/>
          <w:color w:val="auto"/>
          <w:sz w:val="21"/>
          <w:szCs w:val="24"/>
          <w:highlight w:val="none"/>
        </w:rPr>
        <w:t>备注：1. 附以上人员的资格证件等相关证明材料扫描件，以及供应商认为需要增加的其他证明材料扫描件，以上扫描件均须加盖供应商电子签章。</w:t>
      </w:r>
    </w:p>
    <w:p w14:paraId="5C89A5A1">
      <w:pPr>
        <w:rPr>
          <w:rFonts w:hint="default" w:ascii="宋体" w:hAnsi="宋体" w:eastAsia="宋体" w:cs="宋体"/>
          <w:b/>
          <w:color w:val="auto"/>
          <w:sz w:val="21"/>
          <w:szCs w:val="24"/>
          <w:highlight w:val="none"/>
        </w:rPr>
      </w:pPr>
    </w:p>
    <w:p w14:paraId="53674656">
      <w:pPr>
        <w:rPr>
          <w:rFonts w:hint="default" w:ascii="宋体" w:hAnsi="宋体" w:eastAsia="宋体" w:cs="宋体"/>
          <w:b/>
          <w:color w:val="auto"/>
          <w:sz w:val="21"/>
          <w:szCs w:val="24"/>
          <w:highlight w:val="none"/>
        </w:rPr>
      </w:pPr>
    </w:p>
    <w:p w14:paraId="18ADB182">
      <w:pPr>
        <w:rPr>
          <w:rFonts w:hint="default" w:ascii="宋体" w:hAnsi="宋体" w:eastAsia="宋体" w:cs="宋体"/>
          <w:b/>
          <w:color w:val="auto"/>
          <w:sz w:val="21"/>
          <w:szCs w:val="24"/>
          <w:highlight w:val="none"/>
        </w:rPr>
      </w:pPr>
    </w:p>
    <w:p w14:paraId="57F4FBED">
      <w:pPr>
        <w:rPr>
          <w:rFonts w:hint="default" w:ascii="宋体" w:hAnsi="宋体" w:eastAsia="宋体" w:cs="宋体"/>
          <w:b/>
          <w:color w:val="auto"/>
          <w:sz w:val="21"/>
          <w:szCs w:val="24"/>
          <w:highlight w:val="none"/>
        </w:rPr>
      </w:pPr>
    </w:p>
    <w:p w14:paraId="7B319F32">
      <w:pPr>
        <w:autoSpaceDE w:val="0"/>
        <w:autoSpaceDN w:val="0"/>
        <w:spacing w:line="360" w:lineRule="auto"/>
        <w:ind w:left="4335" w:leftChars="1950" w:hanging="240" w:hangingChars="100"/>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供应商名称（电子签章）：</w:t>
      </w:r>
    </w:p>
    <w:p w14:paraId="5C8D728B">
      <w:pPr>
        <w:autoSpaceDE w:val="0"/>
        <w:autoSpaceDN w:val="0"/>
        <w:spacing w:line="360" w:lineRule="auto"/>
        <w:ind w:firstLine="6480" w:firstLineChars="2700"/>
        <w:rPr>
          <w:rFonts w:hint="default" w:ascii="宋体" w:hAnsi="宋体" w:eastAsia="宋体" w:cs="宋体"/>
          <w:color w:val="auto"/>
          <w:kern w:val="0"/>
          <w:sz w:val="24"/>
          <w:szCs w:val="24"/>
          <w:highlight w:val="none"/>
          <w:lang w:val="zh-CN"/>
        </w:rPr>
      </w:pPr>
      <w:r>
        <w:rPr>
          <w:rFonts w:hint="default" w:ascii="宋体" w:hAnsi="宋体" w:eastAsia="宋体" w:cs="宋体"/>
          <w:color w:val="auto"/>
          <w:kern w:val="0"/>
          <w:sz w:val="24"/>
          <w:szCs w:val="24"/>
          <w:highlight w:val="none"/>
          <w:lang w:val="zh-CN"/>
        </w:rPr>
        <w:t>日期：  年  月   日</w:t>
      </w:r>
    </w:p>
    <w:p w14:paraId="221514D5">
      <w:pPr>
        <w:autoSpaceDE w:val="0"/>
        <w:autoSpaceDN w:val="0"/>
        <w:spacing w:line="360" w:lineRule="auto"/>
        <w:ind w:left="4335" w:leftChars="1950" w:hanging="240" w:hangingChars="100"/>
        <w:rPr>
          <w:rFonts w:hint="default" w:ascii="仿宋_GB2312" w:hAnsi="仿宋" w:eastAsia="仿宋_GB2312" w:cs="仿宋_GB2312"/>
          <w:color w:val="auto"/>
          <w:kern w:val="0"/>
          <w:sz w:val="24"/>
          <w:lang w:val="en-US" w:eastAsia="zh-CN" w:bidi="ar"/>
        </w:rPr>
      </w:pPr>
    </w:p>
    <w:p w14:paraId="2CCB9E7D">
      <w:pPr>
        <w:autoSpaceDE w:val="0"/>
        <w:autoSpaceDN w:val="0"/>
        <w:spacing w:line="360" w:lineRule="auto"/>
        <w:ind w:left="4335" w:leftChars="1950" w:hanging="240" w:hangingChars="100"/>
        <w:rPr>
          <w:rFonts w:hint="eastAsia" w:ascii="仿宋_GB2312" w:hAnsi="仿宋" w:eastAsia="仿宋_GB2312" w:cs="仿宋_GB2312"/>
          <w:color w:val="auto"/>
          <w:kern w:val="0"/>
          <w:sz w:val="24"/>
          <w:lang w:bidi="ar"/>
        </w:rPr>
      </w:pPr>
    </w:p>
    <w:p w14:paraId="4747BD30">
      <w:pPr>
        <w:autoSpaceDE w:val="0"/>
        <w:autoSpaceDN w:val="0"/>
        <w:spacing w:line="360" w:lineRule="auto"/>
        <w:ind w:left="4335" w:leftChars="1950" w:hanging="240" w:hangingChars="100"/>
        <w:rPr>
          <w:rFonts w:hint="default" w:ascii="仿宋_GB2312" w:hAnsi="仿宋" w:eastAsia="仿宋_GB2312" w:cs="仿宋_GB2312"/>
          <w:color w:val="auto"/>
          <w:kern w:val="0"/>
          <w:sz w:val="24"/>
          <w:lang w:val="en-US" w:eastAsia="zh-CN" w:bidi="ar"/>
        </w:rPr>
      </w:pPr>
    </w:p>
    <w:p w14:paraId="2448C0F8">
      <w:pPr>
        <w:autoSpaceDE w:val="0"/>
        <w:autoSpaceDN w:val="0"/>
        <w:spacing w:line="360" w:lineRule="auto"/>
        <w:ind w:left="4335" w:leftChars="1950" w:hanging="240" w:hangingChars="100"/>
        <w:rPr>
          <w:rFonts w:hint="eastAsia" w:ascii="仿宋_GB2312" w:hAnsi="仿宋" w:eastAsia="仿宋_GB2312" w:cs="仿宋_GB2312"/>
          <w:color w:val="auto"/>
          <w:kern w:val="0"/>
          <w:sz w:val="24"/>
          <w:lang w:bidi="ar"/>
        </w:rPr>
      </w:pPr>
    </w:p>
    <w:p w14:paraId="224C9CC9">
      <w:pPr>
        <w:autoSpaceDE w:val="0"/>
        <w:autoSpaceDN w:val="0"/>
        <w:spacing w:line="360" w:lineRule="auto"/>
        <w:ind w:left="4335" w:leftChars="1950" w:hanging="240" w:hangingChars="100"/>
        <w:rPr>
          <w:rFonts w:hint="eastAsia" w:ascii="仿宋_GB2312" w:hAnsi="仿宋" w:eastAsia="仿宋_GB2312" w:cs="仿宋_GB2312"/>
          <w:color w:val="auto"/>
          <w:kern w:val="0"/>
          <w:sz w:val="24"/>
          <w:lang w:bidi="ar"/>
        </w:rPr>
      </w:pPr>
    </w:p>
    <w:p w14:paraId="38B041ED">
      <w:pPr>
        <w:rPr>
          <w:rFonts w:hint="default" w:ascii="宋体" w:hAnsi="宋体" w:eastAsia="宋体" w:cs="宋体"/>
          <w:b/>
          <w:color w:val="auto"/>
          <w:sz w:val="32"/>
          <w:szCs w:val="24"/>
          <w:highlight w:val="none"/>
        </w:rPr>
      </w:pPr>
      <w:r>
        <w:rPr>
          <w:rFonts w:hint="eastAsia" w:ascii="仿宋" w:hAnsi="仿宋" w:eastAsia="仿宋" w:cs="仿宋_GB2312"/>
          <w:b/>
          <w:color w:val="auto"/>
          <w:sz w:val="30"/>
          <w:szCs w:val="30"/>
          <w:lang w:bidi="ar"/>
        </w:rPr>
        <w:t>九、</w:t>
      </w:r>
      <w:r>
        <w:rPr>
          <w:rFonts w:hint="default" w:ascii="宋体" w:hAnsi="宋体" w:eastAsia="宋体" w:cs="宋体"/>
          <w:b/>
          <w:color w:val="auto"/>
          <w:sz w:val="32"/>
          <w:szCs w:val="24"/>
          <w:highlight w:val="none"/>
        </w:rPr>
        <w:t>主要施工管理人员表</w:t>
      </w:r>
    </w:p>
    <w:p w14:paraId="0C7E8434">
      <w:pPr>
        <w:jc w:val="center"/>
        <w:rPr>
          <w:rFonts w:hint="default" w:ascii="宋体" w:hAnsi="宋体" w:eastAsia="宋体" w:cs="宋体"/>
          <w:color w:val="auto"/>
          <w:sz w:val="21"/>
          <w:szCs w:val="24"/>
          <w:highlight w:val="none"/>
        </w:rPr>
      </w:pPr>
    </w:p>
    <w:tbl>
      <w:tblPr>
        <w:tblStyle w:val="29"/>
        <w:tblW w:w="9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45"/>
        <w:gridCol w:w="1155"/>
        <w:gridCol w:w="1155"/>
        <w:gridCol w:w="1155"/>
        <w:gridCol w:w="4010"/>
      </w:tblGrid>
      <w:tr w14:paraId="180D5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D2EBC7E">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职务</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DB22164">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姓名</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BA61C09">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职务</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19F8F1D">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职称</w:t>
            </w: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2674B3E">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现任职务及资格经历</w:t>
            </w:r>
          </w:p>
        </w:tc>
      </w:tr>
      <w:tr w14:paraId="688F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87F997D">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050749F">
            <w:pPr>
              <w:jc w:val="cente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E2AB08F">
            <w:pPr>
              <w:jc w:val="cente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6EFBD80">
            <w:pPr>
              <w:jc w:val="cente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075BA3D">
            <w:pPr>
              <w:jc w:val="center"/>
              <w:rPr>
                <w:rFonts w:hint="default" w:ascii="宋体" w:hAnsi="宋体" w:eastAsia="宋体" w:cs="宋体"/>
                <w:color w:val="auto"/>
                <w:sz w:val="24"/>
                <w:szCs w:val="24"/>
                <w:highlight w:val="none"/>
              </w:rPr>
            </w:pPr>
          </w:p>
        </w:tc>
      </w:tr>
      <w:tr w14:paraId="39465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8BEC18A">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A507DF1">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A80FFC7">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DDDA4B3">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E4867A7">
            <w:pPr>
              <w:rPr>
                <w:rFonts w:hint="default" w:ascii="宋体" w:hAnsi="宋体" w:eastAsia="宋体" w:cs="宋体"/>
                <w:color w:val="auto"/>
                <w:sz w:val="24"/>
                <w:szCs w:val="24"/>
                <w:highlight w:val="none"/>
              </w:rPr>
            </w:pPr>
          </w:p>
        </w:tc>
      </w:tr>
      <w:tr w14:paraId="43DAA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197A51D">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080E5BE">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4684976">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D1C0EC0">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83E6DAC">
            <w:pPr>
              <w:rPr>
                <w:rFonts w:hint="default" w:ascii="宋体" w:hAnsi="宋体" w:eastAsia="宋体" w:cs="宋体"/>
                <w:color w:val="auto"/>
                <w:sz w:val="24"/>
                <w:szCs w:val="24"/>
                <w:highlight w:val="none"/>
              </w:rPr>
            </w:pPr>
          </w:p>
        </w:tc>
      </w:tr>
      <w:tr w14:paraId="7C859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666C18E">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36ADC03">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EF79E8D">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9CF7054">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40AE135">
            <w:pPr>
              <w:rPr>
                <w:rFonts w:hint="default" w:ascii="宋体" w:hAnsi="宋体" w:eastAsia="宋体" w:cs="宋体"/>
                <w:color w:val="auto"/>
                <w:sz w:val="24"/>
                <w:szCs w:val="24"/>
                <w:highlight w:val="none"/>
              </w:rPr>
            </w:pPr>
          </w:p>
        </w:tc>
      </w:tr>
      <w:tr w14:paraId="11DF3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0BCED39">
            <w:pPr>
              <w:ind w:firstLine="377"/>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FAA9D38">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25B7C69">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5673517">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192F2A4">
            <w:pPr>
              <w:rPr>
                <w:rFonts w:hint="default" w:ascii="宋体" w:hAnsi="宋体" w:eastAsia="宋体" w:cs="宋体"/>
                <w:color w:val="auto"/>
                <w:sz w:val="24"/>
                <w:szCs w:val="24"/>
                <w:highlight w:val="none"/>
              </w:rPr>
            </w:pPr>
          </w:p>
        </w:tc>
      </w:tr>
      <w:tr w14:paraId="4817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B7F4E36">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9FE469C">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FE0C98E">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ADED7FF">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54071E4">
            <w:pPr>
              <w:rPr>
                <w:rFonts w:hint="default" w:ascii="宋体" w:hAnsi="宋体" w:eastAsia="宋体" w:cs="宋体"/>
                <w:color w:val="auto"/>
                <w:sz w:val="24"/>
                <w:szCs w:val="24"/>
                <w:highlight w:val="none"/>
              </w:rPr>
            </w:pPr>
          </w:p>
        </w:tc>
      </w:tr>
      <w:tr w14:paraId="517DF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1"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D08D0AF">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95D93E7">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3F752A4">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33F2BC4">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389435C">
            <w:pPr>
              <w:rPr>
                <w:rFonts w:hint="default" w:ascii="宋体" w:hAnsi="宋体" w:eastAsia="宋体" w:cs="宋体"/>
                <w:color w:val="auto"/>
                <w:sz w:val="24"/>
                <w:szCs w:val="24"/>
                <w:highlight w:val="none"/>
              </w:rPr>
            </w:pPr>
          </w:p>
        </w:tc>
      </w:tr>
      <w:tr w14:paraId="1B9C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38D6F00">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1B39CFA">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06DDF58">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FF71E8E">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5C2A20D">
            <w:pPr>
              <w:rPr>
                <w:rFonts w:hint="default" w:ascii="宋体" w:hAnsi="宋体" w:eastAsia="宋体" w:cs="宋体"/>
                <w:color w:val="auto"/>
                <w:sz w:val="24"/>
                <w:szCs w:val="24"/>
                <w:highlight w:val="none"/>
              </w:rPr>
            </w:pPr>
          </w:p>
        </w:tc>
      </w:tr>
      <w:tr w14:paraId="396F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0FBA155">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6D6AED1">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D3E83A6">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9073E1D">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523E95D">
            <w:pPr>
              <w:rPr>
                <w:rFonts w:hint="default" w:ascii="宋体" w:hAnsi="宋体" w:eastAsia="宋体" w:cs="宋体"/>
                <w:color w:val="auto"/>
                <w:sz w:val="24"/>
                <w:szCs w:val="24"/>
                <w:highlight w:val="none"/>
              </w:rPr>
            </w:pPr>
          </w:p>
        </w:tc>
      </w:tr>
      <w:tr w14:paraId="30548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B10529A">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CD73A8A">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B73E633">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EC35C8E">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C3E8513">
            <w:pPr>
              <w:rPr>
                <w:rFonts w:hint="default" w:ascii="宋体" w:hAnsi="宋体" w:eastAsia="宋体" w:cs="宋体"/>
                <w:color w:val="auto"/>
                <w:sz w:val="24"/>
                <w:szCs w:val="24"/>
                <w:highlight w:val="none"/>
              </w:rPr>
            </w:pPr>
          </w:p>
        </w:tc>
      </w:tr>
      <w:tr w14:paraId="230E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357D356">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B93AAAC">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5CFF1CB">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88BB8AA">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2304B81">
            <w:pPr>
              <w:rPr>
                <w:rFonts w:hint="default" w:ascii="宋体" w:hAnsi="宋体" w:eastAsia="宋体" w:cs="宋体"/>
                <w:color w:val="auto"/>
                <w:sz w:val="24"/>
                <w:szCs w:val="24"/>
                <w:highlight w:val="none"/>
              </w:rPr>
            </w:pPr>
          </w:p>
        </w:tc>
      </w:tr>
      <w:tr w14:paraId="1C90B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618C720">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2BAB6E6">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D5673CD">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64C40F7">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E3F1FBA">
            <w:pPr>
              <w:rPr>
                <w:rFonts w:hint="default" w:ascii="宋体" w:hAnsi="宋体" w:eastAsia="宋体" w:cs="宋体"/>
                <w:color w:val="auto"/>
                <w:sz w:val="24"/>
                <w:szCs w:val="24"/>
                <w:highlight w:val="none"/>
              </w:rPr>
            </w:pPr>
          </w:p>
        </w:tc>
      </w:tr>
      <w:tr w14:paraId="62D39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7A1183E">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20FEA01">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C1CE6ED">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54D169C">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E04E675">
            <w:pPr>
              <w:rPr>
                <w:rFonts w:hint="default" w:ascii="宋体" w:hAnsi="宋体" w:eastAsia="宋体" w:cs="宋体"/>
                <w:color w:val="auto"/>
                <w:sz w:val="24"/>
                <w:szCs w:val="24"/>
                <w:highlight w:val="none"/>
              </w:rPr>
            </w:pPr>
          </w:p>
        </w:tc>
      </w:tr>
      <w:tr w14:paraId="1FCEB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1C80F77">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F1B8DD5">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67BAC13">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477C8F0">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8CF91B4">
            <w:pPr>
              <w:rPr>
                <w:rFonts w:hint="default" w:ascii="宋体" w:hAnsi="宋体" w:eastAsia="宋体" w:cs="宋体"/>
                <w:color w:val="auto"/>
                <w:sz w:val="24"/>
                <w:szCs w:val="24"/>
                <w:highlight w:val="none"/>
              </w:rPr>
            </w:pPr>
          </w:p>
        </w:tc>
      </w:tr>
      <w:tr w14:paraId="6E8C7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8CC05E0">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69FE1E0">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E38BE9F">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6934923">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8991AA0">
            <w:pPr>
              <w:rPr>
                <w:rFonts w:hint="default" w:ascii="宋体" w:hAnsi="宋体" w:eastAsia="宋体" w:cs="宋体"/>
                <w:color w:val="auto"/>
                <w:sz w:val="24"/>
                <w:szCs w:val="24"/>
                <w:highlight w:val="none"/>
              </w:rPr>
            </w:pPr>
          </w:p>
        </w:tc>
      </w:tr>
      <w:tr w14:paraId="75B61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98009ED">
            <w:pP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353896F">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F75A778">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3386E00">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92320AF">
            <w:pPr>
              <w:rPr>
                <w:rFonts w:hint="default" w:ascii="宋体" w:hAnsi="宋体" w:eastAsia="宋体" w:cs="宋体"/>
                <w:color w:val="auto"/>
                <w:sz w:val="24"/>
                <w:szCs w:val="24"/>
                <w:highlight w:val="none"/>
              </w:rPr>
            </w:pPr>
          </w:p>
        </w:tc>
      </w:tr>
      <w:tr w14:paraId="2108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925D87A">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4D33801">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48C096F">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EC42CFF">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BBCE71A">
            <w:pPr>
              <w:rPr>
                <w:rFonts w:hint="default" w:ascii="宋体" w:hAnsi="宋体" w:eastAsia="宋体" w:cs="宋体"/>
                <w:color w:val="auto"/>
                <w:sz w:val="24"/>
                <w:szCs w:val="24"/>
                <w:highlight w:val="none"/>
              </w:rPr>
            </w:pPr>
          </w:p>
        </w:tc>
      </w:tr>
      <w:tr w14:paraId="1AD2B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7723E4B">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50DE988">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0F52D22">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346A84F">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3C93FC3">
            <w:pPr>
              <w:rPr>
                <w:rFonts w:hint="default" w:ascii="宋体" w:hAnsi="宋体" w:eastAsia="宋体" w:cs="宋体"/>
                <w:color w:val="auto"/>
                <w:sz w:val="24"/>
                <w:szCs w:val="24"/>
                <w:highlight w:val="none"/>
              </w:rPr>
            </w:pPr>
          </w:p>
        </w:tc>
      </w:tr>
    </w:tbl>
    <w:p w14:paraId="5E4B0171">
      <w:pPr>
        <w:spacing w:line="440" w:lineRule="exact"/>
        <w:jc w:val="left"/>
        <w:rPr>
          <w:rFonts w:hint="default" w:ascii="宋体" w:hAnsi="宋体" w:eastAsia="宋体" w:cs="宋体"/>
          <w:color w:val="auto"/>
          <w:sz w:val="24"/>
          <w:szCs w:val="24"/>
          <w:highlight w:val="none"/>
        </w:rPr>
      </w:pPr>
    </w:p>
    <w:p w14:paraId="1C25ADE5">
      <w:pPr>
        <w:spacing w:line="440" w:lineRule="exact"/>
        <w:jc w:val="left"/>
        <w:rPr>
          <w:rFonts w:hint="default" w:ascii="宋体" w:hAnsi="宋体" w:eastAsia="宋体" w:cs="宋体"/>
          <w:b/>
          <w:color w:val="auto"/>
          <w:sz w:val="48"/>
          <w:szCs w:val="24"/>
          <w:highlight w:val="none"/>
        </w:rPr>
      </w:pPr>
      <w:r>
        <w:rPr>
          <w:rFonts w:hint="default" w:ascii="宋体" w:hAnsi="宋体" w:eastAsia="宋体" w:cs="宋体"/>
          <w:color w:val="auto"/>
          <w:sz w:val="24"/>
          <w:szCs w:val="24"/>
          <w:highlight w:val="none"/>
        </w:rPr>
        <w:t>备注：按采购文件要求附以上各岗位人员资格证件等证明材料扫描件，以及供应商认为需要增加的其他证明材料扫描件，以上扫描件须加盖供应商电子签章。</w:t>
      </w:r>
    </w:p>
    <w:p w14:paraId="6F87E7F3">
      <w:pPr>
        <w:autoSpaceDE w:val="0"/>
        <w:autoSpaceDN w:val="0"/>
        <w:spacing w:line="360" w:lineRule="auto"/>
        <w:ind w:left="4335" w:leftChars="1950" w:hanging="240" w:hangingChars="100"/>
        <w:rPr>
          <w:rFonts w:hint="default" w:ascii="宋体" w:hAnsi="宋体" w:eastAsia="宋体" w:cs="宋体"/>
          <w:color w:val="auto"/>
          <w:kern w:val="0"/>
          <w:sz w:val="24"/>
          <w:szCs w:val="24"/>
          <w:highlight w:val="none"/>
        </w:rPr>
      </w:pPr>
    </w:p>
    <w:p w14:paraId="623AC529">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供应商名称（电子签章）：</w:t>
      </w:r>
    </w:p>
    <w:p w14:paraId="5A8380EF">
      <w:pPr>
        <w:spacing w:before="101" w:line="480" w:lineRule="auto"/>
        <w:ind w:firstLine="480" w:firstLineChars="200"/>
        <w:jc w:val="right"/>
        <w:outlineLvl w:val="1"/>
        <w:rPr>
          <w:rFonts w:hint="eastAsia" w:ascii="宋体" w:hAnsi="宋体" w:cs="宋体"/>
          <w:b/>
          <w:bCs/>
          <w:color w:val="auto"/>
          <w:szCs w:val="21"/>
          <w:lang w:val="zh-CN" w:bidi="zh-CN"/>
        </w:rPr>
      </w:pPr>
      <w:r>
        <w:rPr>
          <w:rFonts w:hint="eastAsia" w:ascii="宋体" w:hAnsi="宋体" w:cs="宋体"/>
          <w:color w:val="auto"/>
          <w:kern w:val="0"/>
          <w:sz w:val="24"/>
          <w:lang w:val="zh-CN"/>
        </w:rPr>
        <w:t>日期：  年  月   日</w:t>
      </w:r>
    </w:p>
    <w:p w14:paraId="4666D818">
      <w:pPr>
        <w:spacing w:line="480" w:lineRule="auto"/>
        <w:rPr>
          <w:rFonts w:hint="eastAsia" w:ascii="宋体" w:hAnsi="宋体" w:cs="宋体"/>
          <w:b/>
          <w:bCs/>
          <w:color w:val="auto"/>
          <w:szCs w:val="21"/>
          <w:lang w:val="zh-CN" w:bidi="zh-CN"/>
        </w:rPr>
        <w:sectPr>
          <w:pgSz w:w="11900" w:h="16839"/>
          <w:pgMar w:top="983" w:right="1620" w:bottom="679" w:left="1621" w:header="969" w:footer="502" w:gutter="0"/>
          <w:cols w:space="720" w:num="1"/>
        </w:sectPr>
      </w:pPr>
    </w:p>
    <w:p w14:paraId="52CC9B80">
      <w:pPr>
        <w:autoSpaceDE w:val="0"/>
        <w:autoSpaceDN w:val="0"/>
        <w:spacing w:line="360" w:lineRule="auto"/>
        <w:ind w:firstLine="6480" w:firstLineChars="2700"/>
        <w:rPr>
          <w:rFonts w:hint="eastAsia" w:ascii="仿宋_GB2312" w:hAnsi="仿宋" w:eastAsia="仿宋_GB2312" w:cs="仿宋_GB2312"/>
          <w:color w:val="auto"/>
          <w:kern w:val="0"/>
          <w:sz w:val="24"/>
          <w:lang w:val="zh-CN"/>
        </w:rPr>
      </w:pPr>
    </w:p>
    <w:p w14:paraId="2BEF8D80">
      <w:pPr>
        <w:numPr>
          <w:ilvl w:val="0"/>
          <w:numId w:val="0"/>
        </w:numPr>
        <w:spacing w:line="600" w:lineRule="exact"/>
        <w:ind w:left="210"/>
        <w:jc w:val="left"/>
        <w:rPr>
          <w:rFonts w:hint="default" w:ascii="宋体" w:hAnsi="宋体" w:eastAsia="宋体" w:cs="宋体"/>
          <w:b/>
          <w:color w:val="auto"/>
          <w:sz w:val="32"/>
          <w:szCs w:val="24"/>
          <w:highlight w:val="none"/>
        </w:rPr>
      </w:pPr>
      <w:r>
        <w:rPr>
          <w:rFonts w:hint="eastAsia" w:ascii="宋体" w:hAnsi="宋体" w:cs="宋体"/>
          <w:b/>
          <w:color w:val="auto"/>
          <w:sz w:val="30"/>
          <w:szCs w:val="30"/>
        </w:rPr>
        <w:t>十、</w:t>
      </w:r>
      <w:r>
        <w:rPr>
          <w:rFonts w:hint="default" w:ascii="宋体" w:hAnsi="宋体" w:eastAsia="宋体" w:cs="宋体"/>
          <w:b/>
          <w:color w:val="auto"/>
          <w:sz w:val="32"/>
          <w:szCs w:val="24"/>
          <w:highlight w:val="none"/>
        </w:rPr>
        <w:t>项目经理未在其他在施建设工程项目中任职的承诺函</w:t>
      </w:r>
    </w:p>
    <w:p w14:paraId="21ECD04F">
      <w:pPr>
        <w:numPr>
          <w:ilvl w:val="0"/>
          <w:numId w:val="0"/>
        </w:numPr>
        <w:spacing w:line="600" w:lineRule="exact"/>
        <w:jc w:val="center"/>
        <w:rPr>
          <w:rFonts w:hint="default" w:ascii="宋体" w:hAnsi="宋体" w:eastAsia="宋体" w:cs="宋体"/>
          <w:b/>
          <w:color w:val="auto"/>
          <w:sz w:val="32"/>
          <w:szCs w:val="24"/>
          <w:highlight w:val="none"/>
        </w:rPr>
      </w:pPr>
      <w:r>
        <w:rPr>
          <w:rFonts w:hint="default" w:ascii="宋体" w:hAnsi="宋体" w:eastAsia="宋体" w:cs="宋体"/>
          <w:b/>
          <w:color w:val="auto"/>
          <w:sz w:val="32"/>
          <w:szCs w:val="24"/>
          <w:highlight w:val="none"/>
        </w:rPr>
        <w:t>（格式自拟）</w:t>
      </w:r>
    </w:p>
    <w:p w14:paraId="3F05A552">
      <w:pPr>
        <w:pStyle w:val="13"/>
        <w:rPr>
          <w:rFonts w:hint="default" w:ascii="宋体" w:hAnsi="宋体" w:eastAsia="宋体" w:cs="宋体"/>
          <w:b/>
          <w:color w:val="auto"/>
          <w:sz w:val="32"/>
          <w:szCs w:val="24"/>
          <w:highlight w:val="none"/>
        </w:rPr>
      </w:pPr>
    </w:p>
    <w:p w14:paraId="7FC56A4A">
      <w:pPr>
        <w:pStyle w:val="13"/>
        <w:spacing w:line="480" w:lineRule="exact"/>
        <w:rPr>
          <w:rFonts w:hint="default" w:ascii="宋体" w:hAnsi="宋体" w:eastAsia="宋体" w:cs="宋体"/>
          <w:b/>
          <w:color w:val="auto"/>
          <w:sz w:val="32"/>
          <w:szCs w:val="24"/>
          <w:highlight w:val="none"/>
        </w:rPr>
      </w:pPr>
    </w:p>
    <w:p w14:paraId="1E01EB43">
      <w:pPr>
        <w:pStyle w:val="26"/>
        <w:spacing w:line="480" w:lineRule="exact"/>
        <w:ind w:firstLine="4620" w:firstLineChars="2200"/>
        <w:rPr>
          <w:rFonts w:hint="default" w:ascii="宋体" w:eastAsia="宋体"/>
          <w:color w:val="auto"/>
          <w:sz w:val="21"/>
          <w:szCs w:val="24"/>
          <w:highlight w:val="none"/>
        </w:rPr>
      </w:pPr>
      <w:r>
        <w:rPr>
          <w:rFonts w:hint="default" w:ascii="宋体" w:eastAsia="宋体"/>
          <w:color w:val="auto"/>
          <w:sz w:val="21"/>
          <w:szCs w:val="24"/>
          <w:highlight w:val="none"/>
        </w:rPr>
        <w:t>供应商名称（电子签章）：</w:t>
      </w:r>
    </w:p>
    <w:p w14:paraId="7F516489">
      <w:pPr>
        <w:pStyle w:val="26"/>
        <w:spacing w:line="480" w:lineRule="exact"/>
        <w:ind w:firstLine="4830" w:firstLineChars="2300"/>
        <w:rPr>
          <w:rFonts w:hint="default" w:ascii="宋体" w:eastAsia="宋体"/>
          <w:color w:val="auto"/>
          <w:sz w:val="21"/>
          <w:szCs w:val="24"/>
          <w:highlight w:val="none"/>
        </w:rPr>
      </w:pPr>
      <w:r>
        <w:rPr>
          <w:rFonts w:hint="default" w:ascii="宋体" w:eastAsia="宋体"/>
          <w:color w:val="auto"/>
          <w:sz w:val="21"/>
          <w:szCs w:val="24"/>
          <w:highlight w:val="none"/>
        </w:rPr>
        <w:t>日期：  年  月   日</w:t>
      </w:r>
    </w:p>
    <w:p w14:paraId="5E7581CA">
      <w:pPr>
        <w:pStyle w:val="90"/>
        <w:spacing w:line="360" w:lineRule="auto"/>
        <w:rPr>
          <w:rFonts w:hint="eastAsia" w:ascii="宋体" w:hAnsi="宋体" w:cs="Arial"/>
          <w:b/>
          <w:color w:val="auto"/>
        </w:rPr>
      </w:pPr>
    </w:p>
    <w:p w14:paraId="65B0B0FF">
      <w:pPr>
        <w:snapToGrid w:val="0"/>
        <w:spacing w:line="360" w:lineRule="auto"/>
        <w:rPr>
          <w:rFonts w:hint="eastAsia" w:ascii="宋体" w:hAnsi="宋体" w:cs="宋体"/>
          <w:b/>
          <w:color w:val="auto"/>
          <w:sz w:val="30"/>
          <w:szCs w:val="30"/>
        </w:rPr>
      </w:pPr>
    </w:p>
    <w:p w14:paraId="67156420">
      <w:pPr>
        <w:snapToGrid w:val="0"/>
        <w:spacing w:line="360" w:lineRule="auto"/>
        <w:rPr>
          <w:rFonts w:hint="eastAsia" w:ascii="宋体" w:hAnsi="宋体" w:cs="宋体"/>
          <w:b/>
          <w:color w:val="auto"/>
          <w:sz w:val="30"/>
          <w:szCs w:val="30"/>
        </w:rPr>
      </w:pPr>
    </w:p>
    <w:p w14:paraId="29ACB81D">
      <w:pPr>
        <w:pageBreakBefore/>
        <w:numPr>
          <w:ilvl w:val="0"/>
          <w:numId w:val="0"/>
        </w:numPr>
        <w:spacing w:line="560" w:lineRule="exact"/>
        <w:jc w:val="left"/>
        <w:rPr>
          <w:rFonts w:hint="default" w:ascii="宋体" w:hAnsi="宋体" w:eastAsia="宋体" w:cs="宋体"/>
          <w:b/>
          <w:color w:val="auto"/>
          <w:sz w:val="36"/>
          <w:szCs w:val="24"/>
          <w:highlight w:val="none"/>
        </w:rPr>
      </w:pPr>
      <w:r>
        <w:rPr>
          <w:rFonts w:hint="eastAsia" w:ascii="宋体" w:hAnsi="宋体" w:cs="宋体"/>
          <w:b/>
          <w:color w:val="auto"/>
          <w:sz w:val="30"/>
          <w:szCs w:val="30"/>
        </w:rPr>
        <w:t>十一、</w:t>
      </w:r>
      <w:r>
        <w:rPr>
          <w:rFonts w:hint="default" w:ascii="宋体" w:hAnsi="宋体" w:eastAsia="宋体" w:cs="宋体"/>
          <w:b/>
          <w:color w:val="auto"/>
          <w:sz w:val="36"/>
          <w:szCs w:val="24"/>
          <w:highlight w:val="none"/>
        </w:rPr>
        <w:t>安全员未在其他在施建设工程项目中任专职安全员的承诺函（格式自拟）</w:t>
      </w:r>
    </w:p>
    <w:p w14:paraId="2116070A">
      <w:pPr>
        <w:pStyle w:val="13"/>
        <w:numPr>
          <w:ilvl w:val="0"/>
          <w:numId w:val="0"/>
        </w:numPr>
        <w:rPr>
          <w:rFonts w:hint="eastAsia"/>
          <w:color w:val="auto"/>
          <w:sz w:val="21"/>
          <w:szCs w:val="24"/>
          <w:highlight w:val="none"/>
        </w:rPr>
      </w:pPr>
    </w:p>
    <w:p w14:paraId="15E5067A">
      <w:pPr>
        <w:pStyle w:val="26"/>
        <w:rPr>
          <w:rFonts w:hint="eastAsia"/>
          <w:color w:val="auto"/>
          <w:sz w:val="21"/>
          <w:szCs w:val="24"/>
          <w:highlight w:val="none"/>
        </w:rPr>
      </w:pPr>
    </w:p>
    <w:p w14:paraId="0DEACE97">
      <w:pPr>
        <w:pStyle w:val="26"/>
        <w:rPr>
          <w:rFonts w:hint="eastAsia"/>
          <w:color w:val="auto"/>
          <w:sz w:val="21"/>
          <w:szCs w:val="24"/>
          <w:highlight w:val="none"/>
        </w:rPr>
      </w:pPr>
    </w:p>
    <w:p w14:paraId="08919634">
      <w:pPr>
        <w:pStyle w:val="26"/>
        <w:spacing w:line="480" w:lineRule="exact"/>
        <w:ind w:firstLine="4620" w:firstLineChars="2200"/>
        <w:rPr>
          <w:rFonts w:hint="default" w:ascii="宋体" w:eastAsia="宋体"/>
          <w:color w:val="auto"/>
          <w:sz w:val="21"/>
          <w:szCs w:val="24"/>
          <w:highlight w:val="none"/>
        </w:rPr>
      </w:pPr>
      <w:r>
        <w:rPr>
          <w:rFonts w:hint="default" w:ascii="宋体" w:eastAsia="宋体"/>
          <w:color w:val="auto"/>
          <w:sz w:val="21"/>
          <w:szCs w:val="24"/>
          <w:highlight w:val="none"/>
        </w:rPr>
        <w:t>供应商名称（电子签章）：</w:t>
      </w:r>
    </w:p>
    <w:p w14:paraId="7F393908">
      <w:pPr>
        <w:pStyle w:val="26"/>
        <w:spacing w:line="480" w:lineRule="exact"/>
        <w:ind w:firstLine="4830" w:firstLineChars="2300"/>
        <w:rPr>
          <w:rFonts w:hint="default" w:ascii="宋体" w:eastAsia="宋体"/>
          <w:color w:val="auto"/>
          <w:sz w:val="21"/>
          <w:szCs w:val="24"/>
          <w:highlight w:val="none"/>
        </w:rPr>
      </w:pPr>
      <w:r>
        <w:rPr>
          <w:rFonts w:hint="default" w:ascii="宋体" w:eastAsia="宋体"/>
          <w:color w:val="auto"/>
          <w:sz w:val="21"/>
          <w:szCs w:val="24"/>
          <w:highlight w:val="none"/>
        </w:rPr>
        <w:t>日期：  年  月   日</w:t>
      </w:r>
    </w:p>
    <w:p w14:paraId="42538DD9">
      <w:pPr>
        <w:rPr>
          <w:rFonts w:hint="eastAsia"/>
          <w:color w:val="auto"/>
          <w:sz w:val="21"/>
          <w:szCs w:val="24"/>
          <w:highlight w:val="none"/>
        </w:rPr>
      </w:pPr>
    </w:p>
    <w:p w14:paraId="1476BF2D">
      <w:pPr>
        <w:jc w:val="right"/>
        <w:rPr>
          <w:rFonts w:hint="eastAsia" w:ascii="宋体" w:hAnsi="宋体" w:cs="宋体"/>
          <w:color w:val="auto"/>
          <w:kern w:val="0"/>
          <w:sz w:val="24"/>
          <w:lang w:val="zh-CN"/>
        </w:rPr>
      </w:pPr>
    </w:p>
    <w:p w14:paraId="740C3DD3">
      <w:pPr>
        <w:pageBreakBefore/>
        <w:numPr>
          <w:ilvl w:val="0"/>
          <w:numId w:val="0"/>
        </w:numPr>
        <w:spacing w:line="560" w:lineRule="exact"/>
        <w:jc w:val="left"/>
        <w:rPr>
          <w:rFonts w:hint="default" w:ascii="宋体" w:hAnsi="宋体" w:eastAsia="宋体" w:cs="宋体"/>
          <w:b/>
          <w:color w:val="auto"/>
          <w:sz w:val="36"/>
          <w:szCs w:val="24"/>
          <w:highlight w:val="none"/>
        </w:rPr>
      </w:pPr>
      <w:r>
        <w:rPr>
          <w:rFonts w:hint="default" w:ascii="宋体" w:hAnsi="宋体" w:eastAsia="宋体" w:cs="宋体"/>
          <w:b/>
          <w:color w:val="auto"/>
          <w:sz w:val="36"/>
          <w:szCs w:val="24"/>
          <w:highlight w:val="none"/>
        </w:rPr>
        <w:t>十二 、农民工工资保证金的交纳与使用的承诺书</w:t>
      </w:r>
    </w:p>
    <w:p w14:paraId="3C8AE22C">
      <w:pPr>
        <w:spacing w:line="357" w:lineRule="atLeast"/>
        <w:jc w:val="center"/>
        <w:textAlignment w:val="baseline"/>
        <w:rPr>
          <w:rFonts w:hint="default" w:ascii="宋体" w:eastAsia="宋体"/>
          <w:color w:val="auto"/>
          <w:sz w:val="21"/>
          <w:szCs w:val="24"/>
          <w:highlight w:val="none"/>
          <w:u w:val="none" w:color="000000"/>
        </w:rPr>
      </w:pPr>
    </w:p>
    <w:p w14:paraId="39CFC6FB">
      <w:pPr>
        <w:widowControl/>
        <w:spacing w:line="440" w:lineRule="exact"/>
        <w:textAlignment w:val="baseline"/>
        <w:rPr>
          <w:rFonts w:hint="default" w:ascii="宋体" w:hAnsi="宋体" w:eastAsia="宋体" w:cs="宋体"/>
          <w:color w:val="auto"/>
          <w:kern w:val="0"/>
          <w:sz w:val="24"/>
          <w:szCs w:val="24"/>
          <w:highlight w:val="none"/>
          <w:u w:val="none" w:color="000000"/>
        </w:rPr>
      </w:pPr>
      <w:r>
        <w:rPr>
          <w:rFonts w:hint="default" w:ascii="宋体" w:hAnsi="宋体" w:eastAsia="宋体" w:cs="宋体"/>
          <w:color w:val="auto"/>
          <w:kern w:val="0"/>
          <w:sz w:val="24"/>
          <w:szCs w:val="24"/>
          <w:highlight w:val="none"/>
          <w:u w:val="none" w:color="000000"/>
        </w:rPr>
        <w:t>致：</w:t>
      </w:r>
      <w:r>
        <w:rPr>
          <w:rFonts w:hint="default" w:ascii="宋体" w:hAnsi="宋体" w:eastAsia="宋体" w:cs="宋体"/>
          <w:color w:val="auto"/>
          <w:kern w:val="0"/>
          <w:sz w:val="24"/>
          <w:szCs w:val="24"/>
          <w:highlight w:val="none"/>
          <w:u w:val="single" w:color="auto"/>
        </w:rPr>
        <w:t xml:space="preserve">        </w:t>
      </w:r>
      <w:r>
        <w:rPr>
          <w:rFonts w:hint="default" w:ascii="宋体" w:hAnsi="宋体" w:eastAsia="宋体" w:cs="宋体"/>
          <w:color w:val="auto"/>
          <w:kern w:val="0"/>
          <w:sz w:val="24"/>
          <w:szCs w:val="24"/>
          <w:highlight w:val="none"/>
          <w:u w:val="none" w:color="000000"/>
        </w:rPr>
        <w:t xml:space="preserve">（采购人名称）  </w:t>
      </w:r>
    </w:p>
    <w:p w14:paraId="79992024">
      <w:pPr>
        <w:widowControl/>
        <w:spacing w:line="440" w:lineRule="exact"/>
        <w:ind w:firstLine="480" w:firstLineChars="200"/>
        <w:textAlignment w:val="baseline"/>
        <w:rPr>
          <w:rFonts w:hint="default" w:ascii="宋体" w:hAnsi="宋体" w:eastAsia="宋体" w:cs="宋体"/>
          <w:color w:val="auto"/>
          <w:kern w:val="0"/>
          <w:sz w:val="24"/>
          <w:szCs w:val="24"/>
          <w:highlight w:val="none"/>
          <w:u w:val="none" w:color="000000"/>
        </w:rPr>
      </w:pPr>
      <w:r>
        <w:rPr>
          <w:rFonts w:hint="default" w:ascii="宋体" w:hAnsi="宋体" w:eastAsia="宋体" w:cs="宋体"/>
          <w:color w:val="auto"/>
          <w:kern w:val="0"/>
          <w:sz w:val="24"/>
          <w:szCs w:val="24"/>
          <w:highlight w:val="none"/>
          <w:u w:val="none" w:color="000000"/>
        </w:rPr>
        <w:t>根据《关于建立交通行业农民工工资保证金制度的通知》（桂劳社发﹝2007﹞147号）、《关于明确农民工工资保证金制度有关问题的通知》（桂薪联发﹝2016﹞2号），在</w:t>
      </w:r>
      <w:r>
        <w:rPr>
          <w:rFonts w:hint="default" w:ascii="宋体" w:hAnsi="宋体" w:eastAsia="宋体" w:cs="宋体"/>
          <w:color w:val="auto"/>
          <w:kern w:val="0"/>
          <w:sz w:val="24"/>
          <w:szCs w:val="24"/>
          <w:highlight w:val="none"/>
          <w:u w:val="single" w:color="auto"/>
        </w:rPr>
        <w:t xml:space="preserve">        （项目名称）</w:t>
      </w:r>
      <w:r>
        <w:rPr>
          <w:rFonts w:hint="default" w:ascii="宋体" w:hAnsi="宋体" w:eastAsia="宋体" w:cs="宋体"/>
          <w:color w:val="auto"/>
          <w:kern w:val="0"/>
          <w:sz w:val="24"/>
          <w:szCs w:val="24"/>
          <w:highlight w:val="none"/>
          <w:u w:val="none" w:color="000000"/>
        </w:rPr>
        <w:t>施工的竞标中，我单位对农民工工资的支付作出以下郑重承诺：</w:t>
      </w:r>
    </w:p>
    <w:p w14:paraId="4DCBC7A8">
      <w:pPr>
        <w:widowControl/>
        <w:spacing w:line="440" w:lineRule="exact"/>
        <w:ind w:firstLine="480" w:firstLineChars="200"/>
        <w:textAlignment w:val="baseline"/>
        <w:rPr>
          <w:rFonts w:hint="default" w:ascii="宋体" w:hAnsi="宋体" w:eastAsia="宋体" w:cs="宋体"/>
          <w:color w:val="auto"/>
          <w:kern w:val="0"/>
          <w:sz w:val="24"/>
          <w:szCs w:val="24"/>
          <w:highlight w:val="none"/>
          <w:u w:val="none" w:color="000000"/>
        </w:rPr>
      </w:pPr>
      <w:r>
        <w:rPr>
          <w:rFonts w:hint="default" w:ascii="宋体" w:hAnsi="宋体" w:eastAsia="宋体" w:cs="宋体"/>
          <w:color w:val="auto"/>
          <w:kern w:val="0"/>
          <w:sz w:val="24"/>
          <w:szCs w:val="24"/>
          <w:highlight w:val="none"/>
          <w:u w:val="none" w:color="000000"/>
        </w:rPr>
        <w:t>（一）我单位在本项目响应文件递交截止时间</w:t>
      </w:r>
      <w:r>
        <w:rPr>
          <w:rFonts w:hint="default" w:ascii="宋体" w:hAnsi="宋体" w:eastAsia="宋体" w:cs="宋体"/>
          <w:color w:val="auto"/>
          <w:kern w:val="0"/>
          <w:sz w:val="24"/>
          <w:szCs w:val="24"/>
          <w:highlight w:val="none"/>
          <w:u w:val="single" w:color="000000"/>
        </w:rPr>
        <w:t xml:space="preserve">      年    月   日</w:t>
      </w:r>
      <w:r>
        <w:rPr>
          <w:rFonts w:hint="default" w:ascii="宋体" w:hAnsi="宋体" w:eastAsia="宋体" w:cs="宋体"/>
          <w:color w:val="auto"/>
          <w:kern w:val="0"/>
          <w:sz w:val="24"/>
          <w:szCs w:val="24"/>
          <w:highlight w:val="none"/>
          <w:u w:val="none" w:color="000000"/>
        </w:rPr>
        <w:t>（开标日）前所承建的工程项目，不存在拖欠或克扣农民工工资的行为。</w:t>
      </w:r>
    </w:p>
    <w:p w14:paraId="1B350429">
      <w:pPr>
        <w:widowControl/>
        <w:spacing w:line="440" w:lineRule="exact"/>
        <w:ind w:firstLine="480" w:firstLineChars="200"/>
        <w:textAlignment w:val="baseline"/>
        <w:rPr>
          <w:rFonts w:hint="default" w:ascii="宋体" w:hAnsi="宋体" w:eastAsia="宋体" w:cs="宋体"/>
          <w:color w:val="auto"/>
          <w:kern w:val="0"/>
          <w:sz w:val="24"/>
          <w:szCs w:val="24"/>
          <w:highlight w:val="none"/>
          <w:u w:val="none" w:color="000000"/>
        </w:rPr>
      </w:pPr>
      <w:r>
        <w:rPr>
          <w:rFonts w:hint="default" w:ascii="宋体" w:hAnsi="宋体" w:eastAsia="宋体" w:cs="宋体"/>
          <w:color w:val="auto"/>
          <w:kern w:val="0"/>
          <w:sz w:val="24"/>
          <w:szCs w:val="24"/>
          <w:highlight w:val="none"/>
          <w:u w:val="none" w:color="000000"/>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60C204CA">
      <w:pPr>
        <w:widowControl/>
        <w:spacing w:line="440" w:lineRule="exact"/>
        <w:ind w:firstLine="480" w:firstLineChars="200"/>
        <w:textAlignment w:val="baseline"/>
        <w:rPr>
          <w:rFonts w:hint="default" w:ascii="宋体" w:hAnsi="宋体" w:eastAsia="宋体" w:cs="宋体"/>
          <w:color w:val="auto"/>
          <w:kern w:val="0"/>
          <w:sz w:val="24"/>
          <w:szCs w:val="24"/>
          <w:highlight w:val="none"/>
          <w:u w:val="none" w:color="000000"/>
        </w:rPr>
      </w:pPr>
      <w:r>
        <w:rPr>
          <w:rFonts w:hint="default" w:ascii="宋体" w:hAnsi="宋体" w:eastAsia="宋体" w:cs="宋体"/>
          <w:color w:val="auto"/>
          <w:kern w:val="0"/>
          <w:sz w:val="24"/>
          <w:szCs w:val="24"/>
          <w:highlight w:val="none"/>
          <w:u w:val="none" w:color="000000"/>
        </w:rPr>
        <w:t>（三）在项目实施过程中，若出现成交价与结算价不一致时，以实际结算金额按采购文件规定的计算额度存入农民工工资保证金。</w:t>
      </w:r>
    </w:p>
    <w:p w14:paraId="308C0F7F">
      <w:pPr>
        <w:widowControl/>
        <w:spacing w:line="440" w:lineRule="exact"/>
        <w:ind w:firstLine="480" w:firstLineChars="200"/>
        <w:textAlignment w:val="baseline"/>
        <w:rPr>
          <w:rFonts w:hint="default" w:ascii="宋体" w:hAnsi="宋体" w:eastAsia="宋体" w:cs="宋体"/>
          <w:color w:val="auto"/>
          <w:kern w:val="0"/>
          <w:sz w:val="24"/>
          <w:szCs w:val="24"/>
          <w:highlight w:val="none"/>
          <w:u w:val="none" w:color="000000"/>
        </w:rPr>
      </w:pPr>
      <w:r>
        <w:rPr>
          <w:rFonts w:hint="default" w:ascii="宋体" w:hAnsi="宋体" w:eastAsia="宋体" w:cs="宋体"/>
          <w:color w:val="auto"/>
          <w:kern w:val="0"/>
          <w:sz w:val="24"/>
          <w:szCs w:val="24"/>
          <w:highlight w:val="none"/>
          <w:u w:val="none" w:color="000000"/>
        </w:rPr>
        <w:t>（四）我单位向建设单位承诺依法足额支付农民工工资，一旦我单位（包含我单位的分包商）承建的</w:t>
      </w:r>
      <w:r>
        <w:rPr>
          <w:rFonts w:hint="default" w:ascii="宋体" w:hAnsi="宋体" w:eastAsia="宋体" w:cs="宋体"/>
          <w:color w:val="auto"/>
          <w:kern w:val="0"/>
          <w:sz w:val="24"/>
          <w:szCs w:val="24"/>
          <w:highlight w:val="none"/>
          <w:u w:val="single" w:color="auto"/>
        </w:rPr>
        <w:t xml:space="preserve">      （</w:t>
      </w:r>
      <w:r>
        <w:rPr>
          <w:rFonts w:hint="default" w:ascii="宋体" w:hAnsi="宋体" w:eastAsia="宋体" w:cs="宋体"/>
          <w:color w:val="auto"/>
          <w:kern w:val="0"/>
          <w:sz w:val="24"/>
          <w:szCs w:val="24"/>
          <w:highlight w:val="none"/>
          <w:u w:val="single" w:color="000000"/>
        </w:rPr>
        <w:t xml:space="preserve">项目名称）     </w:t>
      </w:r>
      <w:r>
        <w:rPr>
          <w:rFonts w:hint="default" w:ascii="宋体" w:hAnsi="宋体" w:eastAsia="宋体" w:cs="宋体"/>
          <w:color w:val="auto"/>
          <w:kern w:val="0"/>
          <w:sz w:val="24"/>
          <w:szCs w:val="24"/>
          <w:highlight w:val="none"/>
          <w:u w:val="none" w:color="000000"/>
        </w:rPr>
        <w:t>施工出现拖欠农民工工资情况的，可由劳动保障、交通主管部门（或授权机构）及建设单位根据相关规定从其农民工工资保证金中先予支取。</w:t>
      </w:r>
    </w:p>
    <w:p w14:paraId="54284674">
      <w:pPr>
        <w:widowControl/>
        <w:spacing w:line="440" w:lineRule="exact"/>
        <w:ind w:left="-10" w:firstLine="520" w:firstLineChars="217"/>
        <w:jc w:val="left"/>
        <w:textAlignment w:val="baseline"/>
        <w:rPr>
          <w:rFonts w:hint="default" w:ascii="宋体" w:hAnsi="宋体" w:eastAsia="宋体"/>
          <w:color w:val="auto"/>
          <w:kern w:val="0"/>
          <w:sz w:val="24"/>
          <w:szCs w:val="24"/>
          <w:highlight w:val="none"/>
          <w:u w:val="none" w:color="000000"/>
        </w:rPr>
      </w:pPr>
      <w:r>
        <w:rPr>
          <w:rFonts w:hint="default" w:ascii="宋体" w:hAnsi="宋体" w:eastAsia="宋体" w:cs="宋体"/>
          <w:color w:val="auto"/>
          <w:kern w:val="0"/>
          <w:sz w:val="24"/>
          <w:szCs w:val="24"/>
          <w:highlight w:val="none"/>
          <w:u w:val="none" w:color="000000"/>
        </w:rPr>
        <w:t>（五）其它未尽事宜按《关于建立交通行业农民工工资保证金制度的通知》（桂劳社发﹝2007﹞147号）、《关于明确农民工工资保证金制度有关问题的通知》（桂薪联发﹝2016﹞2号）的有关规定执行、《关于印发广西壮族自治区公路管理局公路工程建设农民工管理实施细则（修订）的通知》(桂路工程发[2014]300号)等有关规定执行。</w:t>
      </w:r>
    </w:p>
    <w:p w14:paraId="5455232F">
      <w:pPr>
        <w:widowControl/>
        <w:spacing w:line="440" w:lineRule="exact"/>
        <w:ind w:left="-10" w:firstLine="520" w:firstLineChars="217"/>
        <w:jc w:val="left"/>
        <w:textAlignment w:val="baseline"/>
        <w:rPr>
          <w:rFonts w:hint="default" w:ascii="宋体" w:hAnsi="宋体" w:eastAsia="宋体" w:cs="宋体"/>
          <w:color w:val="auto"/>
          <w:kern w:val="0"/>
          <w:sz w:val="24"/>
          <w:szCs w:val="24"/>
          <w:highlight w:val="none"/>
          <w:u w:val="none" w:color="000000"/>
        </w:rPr>
      </w:pPr>
    </w:p>
    <w:p w14:paraId="44FA0B37">
      <w:pPr>
        <w:pStyle w:val="13"/>
        <w:rPr>
          <w:rFonts w:hint="default" w:ascii="宋体" w:eastAsia="宋体"/>
          <w:color w:val="auto"/>
          <w:sz w:val="24"/>
          <w:szCs w:val="24"/>
          <w:highlight w:val="none"/>
        </w:rPr>
      </w:pPr>
    </w:p>
    <w:p w14:paraId="60F26E59">
      <w:pPr>
        <w:widowControl/>
        <w:spacing w:line="440" w:lineRule="exact"/>
        <w:ind w:firstLine="3960" w:firstLineChars="1650"/>
        <w:textAlignment w:val="baseline"/>
        <w:rPr>
          <w:rFonts w:hint="default" w:ascii="宋体" w:eastAsia="宋体"/>
          <w:color w:val="auto"/>
          <w:kern w:val="0"/>
          <w:sz w:val="24"/>
          <w:szCs w:val="24"/>
          <w:highlight w:val="none"/>
          <w:u w:val="none" w:color="000000"/>
        </w:rPr>
      </w:pPr>
      <w:r>
        <w:rPr>
          <w:rFonts w:hint="default" w:ascii="宋体" w:eastAsia="宋体"/>
          <w:color w:val="auto"/>
          <w:kern w:val="0"/>
          <w:sz w:val="24"/>
          <w:szCs w:val="24"/>
          <w:highlight w:val="none"/>
          <w:u w:val="none" w:color="000000"/>
        </w:rPr>
        <w:t>供应商名称（电子签章）：</w:t>
      </w:r>
    </w:p>
    <w:p w14:paraId="0CA1C65D">
      <w:pPr>
        <w:widowControl/>
        <w:spacing w:line="440" w:lineRule="exact"/>
        <w:ind w:firstLine="3960" w:firstLineChars="1650"/>
        <w:textAlignment w:val="baseline"/>
        <w:rPr>
          <w:rFonts w:hint="default" w:ascii="宋体" w:eastAsia="宋体"/>
          <w:color w:val="auto"/>
          <w:kern w:val="0"/>
          <w:sz w:val="24"/>
          <w:szCs w:val="24"/>
          <w:highlight w:val="none"/>
          <w:u w:val="none" w:color="000000"/>
        </w:rPr>
      </w:pPr>
      <w:r>
        <w:rPr>
          <w:rFonts w:hint="default" w:ascii="宋体" w:eastAsia="宋体"/>
          <w:color w:val="auto"/>
          <w:kern w:val="0"/>
          <w:sz w:val="24"/>
          <w:szCs w:val="24"/>
          <w:highlight w:val="none"/>
          <w:u w:val="none" w:color="000000"/>
        </w:rPr>
        <w:t>日期：  年  月   日</w:t>
      </w:r>
    </w:p>
    <w:p w14:paraId="4B66FF3F">
      <w:pPr>
        <w:pageBreakBefore/>
        <w:numPr>
          <w:ilvl w:val="0"/>
          <w:numId w:val="0"/>
        </w:numPr>
        <w:spacing w:line="560" w:lineRule="exact"/>
        <w:jc w:val="left"/>
        <w:rPr>
          <w:rFonts w:hint="eastAsia" w:ascii="宋体" w:hAnsi="宋体" w:eastAsia="宋体" w:cs="宋体"/>
          <w:b/>
          <w:color w:val="auto"/>
          <w:sz w:val="36"/>
          <w:szCs w:val="24"/>
          <w:highlight w:val="none"/>
          <w:lang w:eastAsia="zh-CN"/>
        </w:rPr>
      </w:pPr>
      <w:r>
        <w:rPr>
          <w:rFonts w:hint="eastAsia" w:ascii="宋体" w:hAnsi="宋体" w:eastAsia="宋体" w:cs="宋体"/>
          <w:b/>
          <w:color w:val="auto"/>
          <w:sz w:val="36"/>
          <w:szCs w:val="24"/>
          <w:highlight w:val="none"/>
        </w:rPr>
        <w:t>十三、</w:t>
      </w:r>
      <w:r>
        <w:rPr>
          <w:rFonts w:hint="default" w:ascii="宋体" w:hAnsi="宋体" w:eastAsia="宋体" w:cs="宋体"/>
          <w:b/>
          <w:color w:val="auto"/>
          <w:sz w:val="36"/>
          <w:szCs w:val="24"/>
          <w:highlight w:val="none"/>
          <w:lang w:eastAsia="zh-CN"/>
        </w:rPr>
        <w:t>施工组织设计</w:t>
      </w:r>
    </w:p>
    <w:p w14:paraId="0395051F">
      <w:pPr>
        <w:pStyle w:val="106"/>
        <w:spacing w:beforeLines="0" w:afterLines="0" w:line="360" w:lineRule="exact"/>
        <w:ind w:firstLine="480" w:firstLineChars="200"/>
        <w:jc w:val="both"/>
        <w:rPr>
          <w:rStyle w:val="31"/>
          <w:rFonts w:hint="eastAsia" w:ascii="Times New Roman" w:hAnsi="Times New Roman" w:eastAsia="Times New Roman" w:cs="Times New Roman"/>
          <w:color w:val="auto"/>
          <w:sz w:val="24"/>
          <w:szCs w:val="24"/>
          <w:highlight w:val="none"/>
          <w:lang w:val="en-US"/>
        </w:rPr>
      </w:pPr>
      <w:bookmarkStart w:id="77" w:name="bookmark2220"/>
      <w:bookmarkEnd w:id="77"/>
    </w:p>
    <w:p w14:paraId="2A830543">
      <w:pPr>
        <w:pStyle w:val="106"/>
        <w:spacing w:beforeLines="0" w:afterLines="0" w:line="360" w:lineRule="exact"/>
        <w:ind w:firstLine="480" w:firstLineChars="200"/>
        <w:jc w:val="both"/>
        <w:rPr>
          <w:rStyle w:val="31"/>
          <w:rFonts w:hint="eastAsia" w:ascii="Times New Roman" w:hAnsi="Times New Roman" w:eastAsia="Times New Roman" w:cs="Times New Roman"/>
          <w:color w:val="auto"/>
          <w:sz w:val="24"/>
          <w:szCs w:val="24"/>
          <w:highlight w:val="none"/>
        </w:rPr>
      </w:pPr>
      <w:r>
        <w:rPr>
          <w:rStyle w:val="31"/>
          <w:rFonts w:hint="eastAsia" w:ascii="Times New Roman" w:hAnsi="Times New Roman" w:eastAsia="Times New Roman" w:cs="Times New Roman"/>
          <w:color w:val="auto"/>
          <w:sz w:val="24"/>
          <w:szCs w:val="24"/>
          <w:highlight w:val="none"/>
          <w:lang w:val="en-US"/>
        </w:rPr>
        <w:t>1.</w:t>
      </w:r>
      <w:r>
        <w:rPr>
          <w:rStyle w:val="31"/>
          <w:rFonts w:hint="eastAsia" w:ascii="Times New Roman" w:hAnsi="Times New Roman" w:eastAsia="宋体" w:cs="Times New Roman"/>
          <w:color w:val="auto"/>
          <w:sz w:val="24"/>
          <w:szCs w:val="24"/>
          <w:highlight w:val="none"/>
          <w:lang w:val="en-US" w:eastAsia="zh-CN"/>
        </w:rPr>
        <w:t>竞</w:t>
      </w:r>
      <w:r>
        <w:rPr>
          <w:rStyle w:val="31"/>
          <w:rFonts w:hint="default" w:hAnsi="Times New Roman" w:cs="Times New Roman"/>
          <w:color w:val="auto"/>
          <w:sz w:val="24"/>
          <w:szCs w:val="24"/>
          <w:highlight w:val="none"/>
        </w:rPr>
        <w:t>标人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 施工组织设计还应结合工程特点提出切实可行的工程质量、工程进度、安全生产、防汛度 汛、文明施工、水土保持、环境保护管理方案。</w:t>
      </w:r>
    </w:p>
    <w:p w14:paraId="777A2CDC">
      <w:pPr>
        <w:pStyle w:val="106"/>
        <w:spacing w:beforeLines="0" w:afterLines="0" w:line="360" w:lineRule="exact"/>
        <w:ind w:firstLine="440"/>
        <w:jc w:val="both"/>
        <w:rPr>
          <w:rStyle w:val="31"/>
          <w:rFonts w:hint="eastAsia" w:ascii="Times New Roman" w:hAnsi="Times New Roman" w:eastAsia="Times New Roman" w:cs="Times New Roman"/>
          <w:color w:val="auto"/>
          <w:sz w:val="24"/>
          <w:szCs w:val="24"/>
          <w:highlight w:val="none"/>
        </w:rPr>
      </w:pPr>
      <w:r>
        <w:rPr>
          <w:rStyle w:val="31"/>
          <w:rFonts w:hint="default" w:hAnsi="Times New Roman" w:cs="Times New Roman"/>
          <w:color w:val="auto"/>
          <w:sz w:val="24"/>
          <w:szCs w:val="24"/>
          <w:highlight w:val="none"/>
        </w:rPr>
        <w:t>施工组织设计应附的文字说明如下(不限于，仅供参考)：</w:t>
      </w:r>
    </w:p>
    <w:p w14:paraId="43D0553E">
      <w:pPr>
        <w:pStyle w:val="106"/>
        <w:tabs>
          <w:tab w:val="left" w:pos="923"/>
        </w:tabs>
        <w:spacing w:beforeLines="0" w:afterLines="0" w:line="360" w:lineRule="exact"/>
        <w:ind w:firstLine="480" w:firstLineChars="200"/>
        <w:jc w:val="both"/>
        <w:rPr>
          <w:rStyle w:val="31"/>
          <w:rFonts w:hint="eastAsia" w:ascii="Times New Roman" w:hAnsi="Times New Roman" w:eastAsia="Times New Roman" w:cs="Times New Roman"/>
          <w:color w:val="auto"/>
          <w:sz w:val="24"/>
          <w:szCs w:val="24"/>
          <w:highlight w:val="none"/>
        </w:rPr>
      </w:pPr>
      <w:bookmarkStart w:id="78" w:name="bookmark2221"/>
      <w:bookmarkEnd w:id="78"/>
      <w:r>
        <w:rPr>
          <w:rStyle w:val="31"/>
          <w:rFonts w:hint="default" w:hAnsi="Times New Roman" w:cs="Times New Roman"/>
          <w:color w:val="auto"/>
          <w:sz w:val="24"/>
          <w:szCs w:val="24"/>
          <w:highlight w:val="none"/>
        </w:rPr>
        <w:t>（</w:t>
      </w:r>
      <w:r>
        <w:rPr>
          <w:rStyle w:val="31"/>
          <w:rFonts w:hint="eastAsia" w:ascii="Times New Roman" w:hAnsi="Times New Roman" w:eastAsia="Times New Roman" w:cs="Times New Roman"/>
          <w:color w:val="auto"/>
          <w:sz w:val="24"/>
          <w:szCs w:val="24"/>
          <w:highlight w:val="none"/>
          <w:lang w:val="en-US"/>
        </w:rPr>
        <w:t>1</w:t>
      </w:r>
      <w:r>
        <w:rPr>
          <w:rStyle w:val="31"/>
          <w:rFonts w:hint="default" w:hAnsi="Times New Roman" w:cs="Times New Roman"/>
          <w:color w:val="auto"/>
          <w:sz w:val="24"/>
          <w:szCs w:val="24"/>
          <w:highlight w:val="none"/>
        </w:rPr>
        <w:t>）施工方案与技术措施；</w:t>
      </w:r>
    </w:p>
    <w:p w14:paraId="18946E06">
      <w:pPr>
        <w:pStyle w:val="106"/>
        <w:tabs>
          <w:tab w:val="left" w:pos="923"/>
        </w:tabs>
        <w:spacing w:beforeLines="0" w:afterLines="0" w:line="360" w:lineRule="exact"/>
        <w:ind w:firstLine="480" w:firstLineChars="200"/>
        <w:jc w:val="both"/>
        <w:rPr>
          <w:rStyle w:val="31"/>
          <w:rFonts w:hint="eastAsia" w:ascii="Times New Roman" w:hAnsi="Times New Roman" w:eastAsia="Times New Roman" w:cs="Times New Roman"/>
          <w:color w:val="auto"/>
          <w:sz w:val="24"/>
          <w:szCs w:val="24"/>
          <w:highlight w:val="none"/>
        </w:rPr>
      </w:pPr>
      <w:bookmarkStart w:id="79" w:name="bookmark2222"/>
      <w:bookmarkEnd w:id="79"/>
      <w:r>
        <w:rPr>
          <w:rStyle w:val="31"/>
          <w:rFonts w:hint="default" w:hAnsi="Times New Roman" w:cs="Times New Roman"/>
          <w:color w:val="auto"/>
          <w:sz w:val="24"/>
          <w:szCs w:val="24"/>
          <w:highlight w:val="none"/>
        </w:rPr>
        <w:t>（</w:t>
      </w:r>
      <w:r>
        <w:rPr>
          <w:rStyle w:val="31"/>
          <w:rFonts w:hint="eastAsia" w:ascii="Times New Roman" w:hAnsi="Times New Roman" w:eastAsia="Times New Roman" w:cs="Times New Roman"/>
          <w:color w:val="auto"/>
          <w:sz w:val="24"/>
          <w:szCs w:val="24"/>
          <w:highlight w:val="none"/>
          <w:lang w:val="en-US"/>
        </w:rPr>
        <w:t>2</w:t>
      </w:r>
      <w:r>
        <w:rPr>
          <w:rStyle w:val="31"/>
          <w:rFonts w:hint="default" w:hAnsi="Times New Roman" w:cs="Times New Roman"/>
          <w:color w:val="auto"/>
          <w:sz w:val="24"/>
          <w:szCs w:val="24"/>
          <w:highlight w:val="none"/>
        </w:rPr>
        <w:t>）质量管理体系与措施；</w:t>
      </w:r>
    </w:p>
    <w:p w14:paraId="0120E495">
      <w:pPr>
        <w:pStyle w:val="106"/>
        <w:tabs>
          <w:tab w:val="left" w:pos="923"/>
        </w:tabs>
        <w:spacing w:beforeLines="0" w:afterLines="0" w:line="360" w:lineRule="exact"/>
        <w:ind w:firstLine="480" w:firstLineChars="200"/>
        <w:jc w:val="both"/>
        <w:rPr>
          <w:rStyle w:val="31"/>
          <w:rFonts w:hint="eastAsia" w:ascii="Times New Roman" w:hAnsi="Times New Roman" w:eastAsia="Times New Roman" w:cs="Times New Roman"/>
          <w:color w:val="auto"/>
          <w:sz w:val="24"/>
          <w:szCs w:val="24"/>
          <w:highlight w:val="none"/>
        </w:rPr>
      </w:pPr>
      <w:bookmarkStart w:id="80" w:name="bookmark2223"/>
      <w:bookmarkEnd w:id="80"/>
      <w:r>
        <w:rPr>
          <w:rStyle w:val="31"/>
          <w:rFonts w:hint="default" w:hAnsi="Times New Roman" w:cs="Times New Roman"/>
          <w:color w:val="auto"/>
          <w:sz w:val="24"/>
          <w:szCs w:val="24"/>
          <w:highlight w:val="none"/>
        </w:rPr>
        <w:t>（</w:t>
      </w:r>
      <w:r>
        <w:rPr>
          <w:rStyle w:val="31"/>
          <w:rFonts w:hint="eastAsia" w:ascii="Times New Roman" w:hAnsi="Times New Roman" w:eastAsia="Times New Roman" w:cs="Times New Roman"/>
          <w:color w:val="auto"/>
          <w:sz w:val="24"/>
          <w:szCs w:val="24"/>
          <w:highlight w:val="none"/>
          <w:lang w:val="en-US"/>
        </w:rPr>
        <w:t>3</w:t>
      </w:r>
      <w:r>
        <w:rPr>
          <w:rStyle w:val="31"/>
          <w:rFonts w:hint="default" w:hAnsi="Times New Roman" w:cs="Times New Roman"/>
          <w:color w:val="auto"/>
          <w:sz w:val="24"/>
          <w:szCs w:val="24"/>
          <w:highlight w:val="none"/>
        </w:rPr>
        <w:t>）安全管理体系与措施；</w:t>
      </w:r>
    </w:p>
    <w:p w14:paraId="3915A10A">
      <w:pPr>
        <w:pStyle w:val="106"/>
        <w:tabs>
          <w:tab w:val="left" w:pos="923"/>
        </w:tabs>
        <w:spacing w:beforeLines="0" w:afterLines="0" w:line="360" w:lineRule="exact"/>
        <w:ind w:firstLine="480" w:firstLineChars="200"/>
        <w:jc w:val="both"/>
        <w:rPr>
          <w:rStyle w:val="31"/>
          <w:rFonts w:hint="eastAsia" w:ascii="Times New Roman" w:hAnsi="Times New Roman" w:eastAsia="Times New Roman" w:cs="Times New Roman"/>
          <w:color w:val="auto"/>
          <w:sz w:val="24"/>
          <w:szCs w:val="24"/>
          <w:highlight w:val="none"/>
        </w:rPr>
      </w:pPr>
      <w:bookmarkStart w:id="81" w:name="bookmark2224"/>
      <w:bookmarkEnd w:id="81"/>
      <w:r>
        <w:rPr>
          <w:rStyle w:val="31"/>
          <w:rFonts w:hint="default" w:hAnsi="Times New Roman" w:cs="Times New Roman"/>
          <w:color w:val="auto"/>
          <w:sz w:val="24"/>
          <w:szCs w:val="24"/>
          <w:highlight w:val="none"/>
        </w:rPr>
        <w:t>（</w:t>
      </w:r>
      <w:r>
        <w:rPr>
          <w:rStyle w:val="31"/>
          <w:rFonts w:hint="eastAsia" w:ascii="Times New Roman" w:hAnsi="Times New Roman" w:eastAsia="Times New Roman" w:cs="Times New Roman"/>
          <w:color w:val="auto"/>
          <w:sz w:val="24"/>
          <w:szCs w:val="24"/>
          <w:highlight w:val="none"/>
          <w:lang w:val="en-US"/>
        </w:rPr>
        <w:t>4</w:t>
      </w:r>
      <w:r>
        <w:rPr>
          <w:rStyle w:val="31"/>
          <w:rFonts w:hint="default" w:hAnsi="Times New Roman" w:cs="Times New Roman"/>
          <w:color w:val="auto"/>
          <w:sz w:val="24"/>
          <w:szCs w:val="24"/>
          <w:highlight w:val="none"/>
        </w:rPr>
        <w:t>）环境保护管理体系与措施；</w:t>
      </w:r>
    </w:p>
    <w:p w14:paraId="7662FC16">
      <w:pPr>
        <w:pStyle w:val="106"/>
        <w:tabs>
          <w:tab w:val="left" w:pos="923"/>
        </w:tabs>
        <w:spacing w:beforeLines="0" w:afterLines="0" w:line="360" w:lineRule="exact"/>
        <w:ind w:firstLine="480" w:firstLineChars="200"/>
        <w:jc w:val="both"/>
        <w:rPr>
          <w:rStyle w:val="31"/>
          <w:rFonts w:hint="eastAsia" w:ascii="Times New Roman" w:hAnsi="Times New Roman" w:eastAsia="Times New Roman" w:cs="Times New Roman"/>
          <w:color w:val="auto"/>
          <w:sz w:val="24"/>
          <w:szCs w:val="24"/>
          <w:highlight w:val="none"/>
        </w:rPr>
      </w:pPr>
      <w:bookmarkStart w:id="82" w:name="bookmark2225"/>
      <w:bookmarkEnd w:id="82"/>
      <w:r>
        <w:rPr>
          <w:rStyle w:val="31"/>
          <w:rFonts w:hint="default" w:hAnsi="Times New Roman" w:cs="Times New Roman"/>
          <w:color w:val="auto"/>
          <w:sz w:val="24"/>
          <w:szCs w:val="24"/>
          <w:highlight w:val="none"/>
        </w:rPr>
        <w:t>（</w:t>
      </w:r>
      <w:r>
        <w:rPr>
          <w:rStyle w:val="31"/>
          <w:rFonts w:hint="eastAsia" w:ascii="Times New Roman" w:hAnsi="Times New Roman" w:eastAsia="Times New Roman" w:cs="Times New Roman"/>
          <w:color w:val="auto"/>
          <w:sz w:val="24"/>
          <w:szCs w:val="24"/>
          <w:highlight w:val="none"/>
          <w:lang w:val="en-US"/>
        </w:rPr>
        <w:t>5</w:t>
      </w:r>
      <w:r>
        <w:rPr>
          <w:rStyle w:val="31"/>
          <w:rFonts w:hint="default" w:hAnsi="Times New Roman" w:cs="Times New Roman"/>
          <w:color w:val="auto"/>
          <w:sz w:val="24"/>
          <w:szCs w:val="24"/>
          <w:highlight w:val="none"/>
        </w:rPr>
        <w:t>）工程进度计划与措施；</w:t>
      </w:r>
    </w:p>
    <w:p w14:paraId="0B66DCDB">
      <w:pPr>
        <w:pStyle w:val="106"/>
        <w:tabs>
          <w:tab w:val="left" w:pos="923"/>
        </w:tabs>
        <w:spacing w:beforeLines="0" w:after="320" w:afterLines="0" w:line="360" w:lineRule="exact"/>
        <w:ind w:firstLine="480" w:firstLineChars="200"/>
        <w:jc w:val="both"/>
        <w:rPr>
          <w:rStyle w:val="31"/>
          <w:rFonts w:hint="eastAsia" w:ascii="Times New Roman" w:hAnsi="Times New Roman" w:eastAsia="Times New Roman" w:cs="Times New Roman"/>
          <w:color w:val="auto"/>
          <w:sz w:val="24"/>
          <w:szCs w:val="24"/>
          <w:highlight w:val="none"/>
        </w:rPr>
      </w:pPr>
      <w:bookmarkStart w:id="83" w:name="bookmark2226"/>
      <w:bookmarkEnd w:id="83"/>
      <w:r>
        <w:rPr>
          <w:rStyle w:val="31"/>
          <w:rFonts w:hint="default" w:hAnsi="Times New Roman" w:cs="Times New Roman"/>
          <w:color w:val="auto"/>
          <w:sz w:val="24"/>
          <w:szCs w:val="24"/>
          <w:highlight w:val="none"/>
        </w:rPr>
        <w:t>（</w:t>
      </w:r>
      <w:r>
        <w:rPr>
          <w:rStyle w:val="31"/>
          <w:rFonts w:hint="eastAsia" w:ascii="Times New Roman" w:hAnsi="Times New Roman" w:eastAsia="Times New Roman" w:cs="Times New Roman"/>
          <w:color w:val="auto"/>
          <w:sz w:val="24"/>
          <w:szCs w:val="24"/>
          <w:highlight w:val="none"/>
          <w:lang w:val="en-US"/>
        </w:rPr>
        <w:t>6</w:t>
      </w:r>
      <w:r>
        <w:rPr>
          <w:rStyle w:val="31"/>
          <w:rFonts w:hint="default" w:hAnsi="Times New Roman" w:cs="Times New Roman"/>
          <w:color w:val="auto"/>
          <w:sz w:val="24"/>
          <w:szCs w:val="24"/>
          <w:highlight w:val="none"/>
        </w:rPr>
        <w:t>）资源配备计划；</w:t>
      </w:r>
    </w:p>
    <w:p w14:paraId="172569C6">
      <w:pPr>
        <w:pStyle w:val="106"/>
        <w:tabs>
          <w:tab w:val="left" w:pos="923"/>
        </w:tabs>
        <w:spacing w:beforeLines="0" w:after="320" w:afterLines="0" w:line="360" w:lineRule="exact"/>
        <w:ind w:firstLine="480" w:firstLineChars="200"/>
        <w:jc w:val="both"/>
        <w:rPr>
          <w:rStyle w:val="31"/>
          <w:rFonts w:hint="eastAsia" w:ascii="Times New Roman" w:hAnsi="Times New Roman" w:eastAsia="Times New Roman" w:cs="Times New Roman"/>
          <w:color w:val="auto"/>
          <w:sz w:val="24"/>
          <w:szCs w:val="24"/>
          <w:highlight w:val="none"/>
          <w:lang w:val="en-US"/>
        </w:rPr>
      </w:pPr>
      <w:r>
        <w:rPr>
          <w:rStyle w:val="31"/>
          <w:rFonts w:hint="eastAsia" w:ascii="Times New Roman" w:hAnsi="Times New Roman" w:eastAsia="Times New Roman" w:cs="Times New Roman"/>
          <w:color w:val="auto"/>
          <w:sz w:val="24"/>
          <w:szCs w:val="24"/>
          <w:highlight w:val="none"/>
          <w:lang w:val="en-US"/>
        </w:rPr>
        <w:t>......</w:t>
      </w:r>
    </w:p>
    <w:p w14:paraId="34D5D2B5">
      <w:pPr>
        <w:pStyle w:val="106"/>
        <w:spacing w:beforeLines="0" w:afterLines="0" w:line="360" w:lineRule="exact"/>
        <w:ind w:firstLine="480" w:firstLineChars="200"/>
        <w:jc w:val="both"/>
        <w:rPr>
          <w:rStyle w:val="31"/>
          <w:rFonts w:hint="eastAsia" w:ascii="Times New Roman" w:hAnsi="Times New Roman" w:eastAsia="Times New Roman" w:cs="Times New Roman"/>
          <w:color w:val="auto"/>
          <w:sz w:val="24"/>
          <w:szCs w:val="24"/>
          <w:highlight w:val="none"/>
          <w:lang w:val="en-US"/>
        </w:rPr>
      </w:pPr>
      <w:bookmarkStart w:id="84" w:name="bookmark2227"/>
      <w:bookmarkEnd w:id="84"/>
      <w:r>
        <w:rPr>
          <w:rStyle w:val="31"/>
          <w:rFonts w:hint="eastAsia" w:ascii="Times New Roman" w:hAnsi="Times New Roman" w:eastAsia="Times New Roman" w:cs="Times New Roman"/>
          <w:color w:val="auto"/>
          <w:sz w:val="24"/>
          <w:szCs w:val="24"/>
          <w:highlight w:val="none"/>
          <w:lang w:val="en-US"/>
        </w:rPr>
        <w:t>2.</w:t>
      </w:r>
      <w:r>
        <w:rPr>
          <w:rStyle w:val="31"/>
          <w:rFonts w:hint="default" w:hAnsi="Times New Roman" w:cs="Times New Roman"/>
          <w:color w:val="auto"/>
          <w:sz w:val="24"/>
          <w:szCs w:val="24"/>
          <w:highlight w:val="none"/>
          <w:lang w:val="en-US"/>
        </w:rPr>
        <w:t>施工组织设计除采用文字表述外宜附下列图表，图表及格式要求附后。</w:t>
      </w:r>
    </w:p>
    <w:p w14:paraId="47781A2C">
      <w:pPr>
        <w:pStyle w:val="106"/>
        <w:spacing w:beforeLines="0" w:afterLines="0" w:line="360" w:lineRule="exact"/>
        <w:ind w:left="440" w:firstLine="0"/>
        <w:jc w:val="both"/>
        <w:rPr>
          <w:rStyle w:val="31"/>
          <w:rFonts w:hint="eastAsia" w:ascii="Times New Roman" w:hAnsi="Times New Roman" w:eastAsia="Times New Roman" w:cs="Times New Roman"/>
          <w:color w:val="auto"/>
          <w:sz w:val="24"/>
          <w:szCs w:val="24"/>
          <w:highlight w:val="none"/>
        </w:rPr>
      </w:pPr>
      <w:r>
        <w:rPr>
          <w:rStyle w:val="31"/>
          <w:rFonts w:hint="default" w:hAnsi="Times New Roman" w:cs="Times New Roman"/>
          <w:color w:val="auto"/>
          <w:sz w:val="24"/>
          <w:szCs w:val="24"/>
          <w:highlight w:val="none"/>
        </w:rPr>
        <w:t>（</w:t>
      </w:r>
      <w:r>
        <w:rPr>
          <w:rStyle w:val="31"/>
          <w:rFonts w:hint="eastAsia" w:ascii="Times New Roman" w:hAnsi="Times New Roman" w:eastAsia="Times New Roman" w:cs="Times New Roman"/>
          <w:color w:val="auto"/>
          <w:sz w:val="24"/>
          <w:szCs w:val="24"/>
          <w:highlight w:val="none"/>
          <w:lang w:val="en-US"/>
        </w:rPr>
        <w:t>7</w:t>
      </w:r>
      <w:r>
        <w:rPr>
          <w:rStyle w:val="31"/>
          <w:rFonts w:hint="default" w:hAnsi="Times New Roman" w:cs="Times New Roman"/>
          <w:color w:val="auto"/>
          <w:sz w:val="24"/>
          <w:szCs w:val="24"/>
          <w:highlight w:val="none"/>
          <w:lang w:val="en-US"/>
        </w:rPr>
        <w:t>）</w:t>
      </w:r>
      <w:r>
        <w:rPr>
          <w:rStyle w:val="31"/>
          <w:rFonts w:hint="default" w:hAnsi="Times New Roman" w:cs="Times New Roman"/>
          <w:color w:val="auto"/>
          <w:sz w:val="24"/>
          <w:szCs w:val="24"/>
          <w:highlight w:val="none"/>
        </w:rPr>
        <w:t>拟投入本合同工程的主要施工设备表</w:t>
      </w:r>
    </w:p>
    <w:p w14:paraId="3C14EFA6">
      <w:pPr>
        <w:pStyle w:val="106"/>
        <w:spacing w:beforeLines="0" w:afterLines="0" w:line="360" w:lineRule="exact"/>
        <w:ind w:firstLine="420"/>
        <w:jc w:val="both"/>
        <w:rPr>
          <w:rStyle w:val="31"/>
          <w:rFonts w:hint="eastAsia" w:ascii="Times New Roman" w:hAnsi="Times New Roman" w:eastAsia="Times New Roman" w:cs="Times New Roman"/>
          <w:color w:val="auto"/>
          <w:sz w:val="24"/>
          <w:szCs w:val="24"/>
          <w:highlight w:val="none"/>
        </w:rPr>
      </w:pPr>
      <w:r>
        <w:rPr>
          <w:rStyle w:val="31"/>
          <w:rFonts w:hint="default" w:hAnsi="Times New Roman" w:cs="Times New Roman"/>
          <w:color w:val="auto"/>
          <w:sz w:val="24"/>
          <w:szCs w:val="24"/>
          <w:highlight w:val="none"/>
        </w:rPr>
        <w:t>（</w:t>
      </w:r>
      <w:r>
        <w:rPr>
          <w:rStyle w:val="31"/>
          <w:rFonts w:hint="eastAsia" w:ascii="Times New Roman" w:hAnsi="Times New Roman" w:eastAsia="Times New Roman" w:cs="Times New Roman"/>
          <w:color w:val="auto"/>
          <w:sz w:val="24"/>
          <w:szCs w:val="24"/>
          <w:highlight w:val="none"/>
          <w:lang w:val="en-US"/>
        </w:rPr>
        <w:t>8</w:t>
      </w:r>
      <w:r>
        <w:rPr>
          <w:rStyle w:val="31"/>
          <w:rFonts w:hint="default" w:hAnsi="Times New Roman" w:cs="Times New Roman"/>
          <w:color w:val="auto"/>
          <w:sz w:val="24"/>
          <w:szCs w:val="24"/>
          <w:highlight w:val="none"/>
          <w:lang w:val="en-US"/>
        </w:rPr>
        <w:t>）</w:t>
      </w:r>
      <w:r>
        <w:rPr>
          <w:rStyle w:val="31"/>
          <w:rFonts w:hint="default" w:hAnsi="Times New Roman" w:cs="Times New Roman"/>
          <w:color w:val="auto"/>
          <w:sz w:val="24"/>
          <w:szCs w:val="24"/>
          <w:highlight w:val="none"/>
        </w:rPr>
        <w:t>拟投入本合同工程的试验和检测仪器设备表</w:t>
      </w:r>
    </w:p>
    <w:p w14:paraId="779E82ED">
      <w:pPr>
        <w:pStyle w:val="106"/>
        <w:spacing w:beforeLines="0" w:afterLines="0" w:line="360" w:lineRule="exact"/>
        <w:ind w:firstLine="420"/>
        <w:jc w:val="both"/>
        <w:rPr>
          <w:rStyle w:val="31"/>
          <w:rFonts w:hint="eastAsia" w:ascii="Times New Roman" w:hAnsi="Times New Roman" w:eastAsia="Times New Roman" w:cs="Times New Roman"/>
          <w:color w:val="auto"/>
          <w:sz w:val="24"/>
          <w:szCs w:val="24"/>
          <w:highlight w:val="none"/>
        </w:rPr>
      </w:pPr>
      <w:r>
        <w:rPr>
          <w:rStyle w:val="31"/>
          <w:rFonts w:hint="default" w:hAnsi="Times New Roman" w:cs="Times New Roman"/>
          <w:color w:val="auto"/>
          <w:sz w:val="24"/>
          <w:szCs w:val="24"/>
          <w:highlight w:val="none"/>
        </w:rPr>
        <w:t>（</w:t>
      </w:r>
      <w:r>
        <w:rPr>
          <w:rStyle w:val="31"/>
          <w:rFonts w:hint="eastAsia" w:ascii="Times New Roman" w:hAnsi="Times New Roman" w:eastAsia="Times New Roman" w:cs="Times New Roman"/>
          <w:color w:val="auto"/>
          <w:sz w:val="24"/>
          <w:szCs w:val="24"/>
          <w:highlight w:val="none"/>
          <w:lang w:val="en-US"/>
        </w:rPr>
        <w:t>9</w:t>
      </w:r>
      <w:r>
        <w:rPr>
          <w:rStyle w:val="31"/>
          <w:rFonts w:hint="default" w:hAnsi="Times New Roman" w:cs="Times New Roman"/>
          <w:color w:val="auto"/>
          <w:sz w:val="24"/>
          <w:szCs w:val="24"/>
          <w:highlight w:val="none"/>
          <w:lang w:val="en-US"/>
        </w:rPr>
        <w:t>）</w:t>
      </w:r>
      <w:r>
        <w:rPr>
          <w:rStyle w:val="31"/>
          <w:rFonts w:hint="default" w:hAnsi="Times New Roman" w:cs="Times New Roman"/>
          <w:color w:val="auto"/>
          <w:sz w:val="24"/>
          <w:szCs w:val="24"/>
          <w:highlight w:val="none"/>
        </w:rPr>
        <w:t>拟投入本合同工程的劳动力计划表</w:t>
      </w:r>
    </w:p>
    <w:p w14:paraId="32D83A64">
      <w:pPr>
        <w:pStyle w:val="106"/>
        <w:spacing w:beforeLines="0" w:afterLines="0" w:line="360" w:lineRule="exact"/>
        <w:ind w:firstLine="420"/>
        <w:jc w:val="both"/>
        <w:rPr>
          <w:rStyle w:val="31"/>
          <w:rFonts w:hint="eastAsia" w:ascii="Times New Roman" w:hAnsi="Times New Roman" w:eastAsia="Times New Roman" w:cs="Times New Roman"/>
          <w:color w:val="auto"/>
          <w:sz w:val="24"/>
          <w:szCs w:val="24"/>
          <w:highlight w:val="none"/>
        </w:rPr>
      </w:pPr>
      <w:r>
        <w:rPr>
          <w:rStyle w:val="31"/>
          <w:rFonts w:hint="default" w:hAnsi="Times New Roman" w:cs="Times New Roman"/>
          <w:color w:val="auto"/>
          <w:sz w:val="24"/>
          <w:szCs w:val="24"/>
          <w:highlight w:val="none"/>
        </w:rPr>
        <w:t>（</w:t>
      </w:r>
      <w:r>
        <w:rPr>
          <w:rStyle w:val="31"/>
          <w:rFonts w:hint="eastAsia" w:ascii="Times New Roman" w:hAnsi="Times New Roman" w:eastAsia="Times New Roman" w:cs="Times New Roman"/>
          <w:color w:val="auto"/>
          <w:sz w:val="24"/>
          <w:szCs w:val="24"/>
          <w:highlight w:val="none"/>
          <w:lang w:val="en-US"/>
        </w:rPr>
        <w:t>10</w:t>
      </w:r>
      <w:r>
        <w:rPr>
          <w:rStyle w:val="31"/>
          <w:rFonts w:hint="default" w:hAnsi="Times New Roman" w:cs="Times New Roman"/>
          <w:color w:val="auto"/>
          <w:sz w:val="24"/>
          <w:szCs w:val="24"/>
          <w:highlight w:val="none"/>
          <w:lang w:val="en-US"/>
        </w:rPr>
        <w:t>）</w:t>
      </w:r>
      <w:r>
        <w:rPr>
          <w:rStyle w:val="31"/>
          <w:rFonts w:hint="default" w:hAnsi="Times New Roman" w:cs="Times New Roman"/>
          <w:color w:val="auto"/>
          <w:sz w:val="24"/>
          <w:szCs w:val="24"/>
          <w:highlight w:val="none"/>
        </w:rPr>
        <w:t>拟投入本合同工程的材料进场计划表</w:t>
      </w:r>
    </w:p>
    <w:p w14:paraId="180113DB">
      <w:pPr>
        <w:pStyle w:val="106"/>
        <w:spacing w:beforeLines="0" w:afterLines="0" w:line="360" w:lineRule="exact"/>
        <w:ind w:firstLine="420"/>
        <w:jc w:val="both"/>
        <w:rPr>
          <w:rStyle w:val="31"/>
          <w:rFonts w:hint="eastAsia" w:ascii="Times New Roman" w:hAnsi="Times New Roman" w:eastAsia="Times New Roman" w:cs="Times New Roman"/>
          <w:color w:val="auto"/>
          <w:sz w:val="24"/>
          <w:szCs w:val="24"/>
          <w:highlight w:val="none"/>
        </w:rPr>
      </w:pPr>
      <w:r>
        <w:rPr>
          <w:rStyle w:val="31"/>
          <w:rFonts w:hint="default" w:hAnsi="Times New Roman" w:cs="Times New Roman"/>
          <w:color w:val="auto"/>
          <w:sz w:val="24"/>
          <w:szCs w:val="24"/>
          <w:highlight w:val="none"/>
          <w:lang w:val="en-US"/>
        </w:rPr>
        <w:t>（11）</w:t>
      </w:r>
      <w:r>
        <w:rPr>
          <w:rStyle w:val="31"/>
          <w:rFonts w:hint="default" w:hAnsi="Times New Roman" w:cs="Times New Roman"/>
          <w:color w:val="auto"/>
          <w:sz w:val="24"/>
          <w:szCs w:val="24"/>
          <w:highlight w:val="none"/>
        </w:rPr>
        <w:t>计划开工日期、完工日期和施工进度网络图(或横递图)</w:t>
      </w:r>
    </w:p>
    <w:p w14:paraId="3B7D09EA">
      <w:pPr>
        <w:pStyle w:val="106"/>
        <w:spacing w:beforeLines="0" w:afterLines="0" w:line="360" w:lineRule="exact"/>
        <w:ind w:firstLine="420"/>
        <w:jc w:val="both"/>
        <w:rPr>
          <w:rStyle w:val="31"/>
          <w:rFonts w:hint="eastAsia" w:ascii="Times New Roman" w:hAnsi="Times New Roman" w:eastAsia="Times New Roman" w:cs="Times New Roman"/>
          <w:color w:val="auto"/>
          <w:sz w:val="24"/>
          <w:szCs w:val="24"/>
          <w:highlight w:val="none"/>
        </w:rPr>
      </w:pPr>
      <w:r>
        <w:rPr>
          <w:rStyle w:val="31"/>
          <w:rFonts w:hint="default" w:hAnsi="Times New Roman" w:cs="Times New Roman"/>
          <w:color w:val="auto"/>
          <w:sz w:val="24"/>
          <w:szCs w:val="24"/>
          <w:highlight w:val="none"/>
          <w:lang w:val="en-US"/>
        </w:rPr>
        <w:t>（12）</w:t>
      </w:r>
      <w:r>
        <w:rPr>
          <w:rStyle w:val="31"/>
          <w:rFonts w:hint="default" w:hAnsi="Times New Roman" w:cs="Times New Roman"/>
          <w:color w:val="auto"/>
          <w:sz w:val="24"/>
          <w:szCs w:val="24"/>
          <w:highlight w:val="none"/>
        </w:rPr>
        <w:t>平面图</w:t>
      </w:r>
    </w:p>
    <w:p w14:paraId="21C08FF9">
      <w:pPr>
        <w:pStyle w:val="106"/>
        <w:spacing w:beforeLines="0" w:after="160" w:afterLines="0" w:line="360" w:lineRule="exact"/>
        <w:ind w:firstLine="420"/>
        <w:jc w:val="both"/>
        <w:rPr>
          <w:rStyle w:val="31"/>
          <w:rFonts w:hint="eastAsia" w:ascii="Times New Roman" w:hAnsi="Times New Roman" w:eastAsia="Times New Roman" w:cs="Times New Roman"/>
          <w:color w:val="auto"/>
          <w:sz w:val="24"/>
          <w:szCs w:val="24"/>
          <w:highlight w:val="none"/>
        </w:rPr>
      </w:pPr>
      <w:r>
        <w:rPr>
          <w:rStyle w:val="31"/>
          <w:rFonts w:hint="default" w:hAnsi="Times New Roman" w:cs="Times New Roman"/>
          <w:color w:val="auto"/>
          <w:sz w:val="24"/>
          <w:szCs w:val="24"/>
          <w:highlight w:val="none"/>
          <w:lang w:val="en-US"/>
        </w:rPr>
        <w:t>（13）</w:t>
      </w:r>
      <w:r>
        <w:rPr>
          <w:rStyle w:val="31"/>
          <w:rFonts w:hint="default" w:hAnsi="Times New Roman" w:cs="Times New Roman"/>
          <w:color w:val="auto"/>
          <w:sz w:val="24"/>
          <w:szCs w:val="24"/>
          <w:highlight w:val="none"/>
        </w:rPr>
        <w:t>临时用地表</w:t>
      </w:r>
      <w:bookmarkStart w:id="85" w:name="bookmark2228"/>
      <w:bookmarkStart w:id="86" w:name="bookmark2230"/>
      <w:bookmarkStart w:id="87" w:name="bookmark2229"/>
    </w:p>
    <w:p w14:paraId="0FF70523">
      <w:pPr>
        <w:pStyle w:val="106"/>
        <w:spacing w:beforeLines="0" w:after="160" w:afterLines="0" w:line="360" w:lineRule="exact"/>
        <w:ind w:firstLine="420"/>
        <w:jc w:val="both"/>
        <w:rPr>
          <w:rStyle w:val="31"/>
          <w:rFonts w:hint="eastAsia" w:ascii="Times New Roman" w:hAnsi="Times New Roman" w:eastAsia="Times New Roman" w:cs="Times New Roman"/>
          <w:color w:val="auto"/>
          <w:sz w:val="24"/>
          <w:szCs w:val="24"/>
          <w:highlight w:val="none"/>
        </w:rPr>
      </w:pPr>
    </w:p>
    <w:p w14:paraId="241AC582">
      <w:pPr>
        <w:pStyle w:val="106"/>
        <w:spacing w:beforeLines="0" w:afterLines="0" w:line="360" w:lineRule="exact"/>
        <w:ind w:firstLine="480" w:firstLineChars="200"/>
        <w:jc w:val="both"/>
        <w:rPr>
          <w:rStyle w:val="31"/>
          <w:rFonts w:hint="eastAsia" w:ascii="Times New Roman" w:hAnsi="Times New Roman" w:eastAsia="Times New Roman" w:cs="Times New Roman"/>
          <w:b/>
          <w:bCs/>
          <w:color w:val="auto"/>
          <w:sz w:val="24"/>
          <w:szCs w:val="24"/>
          <w:highlight w:val="none"/>
        </w:rPr>
      </w:pPr>
      <w:r>
        <w:rPr>
          <w:rStyle w:val="31"/>
          <w:rFonts w:hint="eastAsia" w:ascii="Times New Roman" w:hAnsi="Times New Roman" w:eastAsia="Times New Roman" w:cs="Times New Roman"/>
          <w:b/>
          <w:bCs/>
          <w:color w:val="auto"/>
          <w:sz w:val="24"/>
          <w:szCs w:val="24"/>
          <w:highlight w:val="none"/>
          <w:lang w:val="en-US"/>
        </w:rPr>
        <w:t>3.</w:t>
      </w:r>
      <w:r>
        <w:rPr>
          <w:rStyle w:val="31"/>
          <w:rFonts w:hint="default" w:hAnsi="Times New Roman" w:cs="Times New Roman"/>
          <w:b/>
          <w:bCs/>
          <w:color w:val="auto"/>
          <w:sz w:val="24"/>
          <w:szCs w:val="24"/>
          <w:highlight w:val="none"/>
          <w:lang w:val="en-US"/>
        </w:rPr>
        <w:t>本节对施工组织设计的编制要求仅供投标人参考，不作为评标时否决投标的直接因素。</w:t>
      </w:r>
    </w:p>
    <w:p w14:paraId="3B7A059C">
      <w:pPr>
        <w:pStyle w:val="107"/>
        <w:spacing w:beforeLines="0" w:afterLines="0"/>
        <w:rPr>
          <w:rStyle w:val="31"/>
          <w:rFonts w:hint="default" w:ascii="宋体" w:hAnsi="宋体" w:eastAsia="宋体" w:cs="宋体"/>
          <w:b/>
          <w:color w:val="auto"/>
          <w:sz w:val="28"/>
          <w:szCs w:val="28"/>
          <w:highlight w:val="none"/>
          <w:lang w:eastAsia="zh-CN"/>
        </w:rPr>
      </w:pPr>
      <w:r>
        <w:rPr>
          <w:rStyle w:val="31"/>
          <w:rFonts w:hint="default"/>
          <w:color w:val="auto"/>
          <w:sz w:val="24"/>
          <w:szCs w:val="24"/>
          <w:highlight w:val="none"/>
          <w:lang w:eastAsia="zh-CN"/>
        </w:rPr>
        <w:br w:type="page"/>
      </w:r>
      <w:r>
        <w:rPr>
          <w:rStyle w:val="31"/>
          <w:rFonts w:hint="default" w:ascii="宋体" w:hAnsi="宋体" w:eastAsia="宋体" w:cs="宋体"/>
          <w:b/>
          <w:color w:val="auto"/>
          <w:sz w:val="28"/>
          <w:szCs w:val="28"/>
          <w:highlight w:val="none"/>
          <w:lang w:eastAsia="zh-CN"/>
        </w:rPr>
        <w:t>附件一：拟投入本合同的主要施工设备表</w:t>
      </w:r>
      <w:bookmarkEnd w:id="85"/>
      <w:bookmarkEnd w:id="86"/>
      <w:bookmarkEnd w:id="87"/>
    </w:p>
    <w:p w14:paraId="37445880">
      <w:pPr>
        <w:pStyle w:val="107"/>
        <w:spacing w:beforeLines="0" w:afterLines="0"/>
        <w:rPr>
          <w:rStyle w:val="31"/>
          <w:rFonts w:hint="default"/>
          <w:color w:val="auto"/>
          <w:sz w:val="24"/>
          <w:szCs w:val="24"/>
          <w:highlight w:val="none"/>
          <w:lang w:eastAsia="zh-CN"/>
        </w:rPr>
      </w:pPr>
    </w:p>
    <w:p w14:paraId="1D12494E">
      <w:pPr>
        <w:pStyle w:val="107"/>
        <w:spacing w:beforeLines="0" w:afterLines="0"/>
        <w:jc w:val="center"/>
        <w:rPr>
          <w:rStyle w:val="31"/>
          <w:rFonts w:hint="default" w:ascii="宋体" w:hAnsi="宋体" w:eastAsia="宋体" w:cs="宋体"/>
          <w:b/>
          <w:color w:val="auto"/>
          <w:sz w:val="24"/>
          <w:szCs w:val="24"/>
          <w:highlight w:val="none"/>
          <w:lang w:eastAsia="zh-CN"/>
        </w:rPr>
      </w:pPr>
      <w:bookmarkStart w:id="88" w:name="bookmark2231"/>
      <w:bookmarkStart w:id="89" w:name="_Toc19570"/>
      <w:bookmarkStart w:id="90" w:name="bookmark2232"/>
      <w:bookmarkStart w:id="91" w:name="bookmark2233"/>
      <w:bookmarkStart w:id="92" w:name="_Toc13379"/>
      <w:r>
        <w:rPr>
          <w:rStyle w:val="31"/>
          <w:rFonts w:hint="default" w:ascii="宋体" w:hAnsi="宋体" w:eastAsia="宋体" w:cs="宋体"/>
          <w:b/>
          <w:color w:val="auto"/>
          <w:sz w:val="24"/>
          <w:szCs w:val="24"/>
          <w:highlight w:val="none"/>
          <w:lang w:eastAsia="zh-CN"/>
        </w:rPr>
        <w:t>拟投入本合同的主要施工设备表</w:t>
      </w:r>
      <w:bookmarkEnd w:id="88"/>
      <w:bookmarkEnd w:id="89"/>
      <w:bookmarkEnd w:id="90"/>
      <w:bookmarkEnd w:id="91"/>
      <w:bookmarkEnd w:id="92"/>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293"/>
        <w:gridCol w:w="1133"/>
        <w:gridCol w:w="864"/>
        <w:gridCol w:w="869"/>
        <w:gridCol w:w="864"/>
        <w:gridCol w:w="991"/>
        <w:gridCol w:w="737"/>
        <w:gridCol w:w="864"/>
        <w:gridCol w:w="864"/>
        <w:gridCol w:w="874"/>
      </w:tblGrid>
      <w:tr w14:paraId="7421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142" w:hRule="exact"/>
          <w:jc w:val="center"/>
        </w:trPr>
        <w:tc>
          <w:tcPr>
            <w:tcW w:w="293" w:type="dxa"/>
            <w:tcBorders>
              <w:top w:val="single" w:color="auto" w:sz="4" w:space="0"/>
              <w:left w:val="single" w:color="auto" w:sz="4" w:space="0"/>
              <w:bottom w:val="nil"/>
              <w:right w:val="nil"/>
              <w:tl2br w:val="nil"/>
              <w:tr2bl w:val="nil"/>
            </w:tcBorders>
            <w:shd w:val="clear" w:color="auto" w:fill="FFFFFF"/>
            <w:noWrap w:val="0"/>
            <w:vAlign w:val="center"/>
          </w:tcPr>
          <w:p w14:paraId="3E246021">
            <w:pPr>
              <w:pStyle w:val="108"/>
              <w:spacing w:beforeLines="0" w:afterLines="0" w:line="264" w:lineRule="exact"/>
              <w:ind w:firstLine="0"/>
              <w:jc w:val="center"/>
              <w:rPr>
                <w:rStyle w:val="31"/>
                <w:rFonts w:hint="default"/>
                <w:color w:val="auto"/>
                <w:sz w:val="24"/>
                <w:szCs w:val="20"/>
                <w:highlight w:val="none"/>
              </w:rPr>
            </w:pPr>
            <w:r>
              <w:rPr>
                <w:rStyle w:val="31"/>
                <w:rFonts w:hint="default"/>
                <w:color w:val="auto"/>
                <w:sz w:val="24"/>
                <w:szCs w:val="20"/>
                <w:highlight w:val="none"/>
              </w:rPr>
              <w:t>序 号</w:t>
            </w:r>
          </w:p>
        </w:tc>
        <w:tc>
          <w:tcPr>
            <w:tcW w:w="1133" w:type="dxa"/>
            <w:tcBorders>
              <w:top w:val="single" w:color="auto" w:sz="4" w:space="0"/>
              <w:left w:val="single" w:color="auto" w:sz="4" w:space="0"/>
              <w:bottom w:val="nil"/>
              <w:right w:val="nil"/>
              <w:tl2br w:val="nil"/>
              <w:tr2bl w:val="nil"/>
            </w:tcBorders>
            <w:shd w:val="clear" w:color="auto" w:fill="FFFFFF"/>
            <w:noWrap w:val="0"/>
            <w:vAlign w:val="center"/>
          </w:tcPr>
          <w:p w14:paraId="4B9F15DA">
            <w:pPr>
              <w:pStyle w:val="108"/>
              <w:spacing w:beforeLines="0" w:afterLines="0" w:line="269" w:lineRule="exact"/>
              <w:ind w:left="180" w:firstLine="0"/>
              <w:jc w:val="center"/>
              <w:rPr>
                <w:rStyle w:val="31"/>
                <w:rFonts w:hint="default"/>
                <w:color w:val="auto"/>
                <w:sz w:val="24"/>
                <w:szCs w:val="20"/>
                <w:highlight w:val="none"/>
              </w:rPr>
            </w:pPr>
            <w:r>
              <w:rPr>
                <w:rStyle w:val="31"/>
                <w:rFonts w:hint="default"/>
                <w:color w:val="auto"/>
                <w:sz w:val="24"/>
                <w:szCs w:val="20"/>
                <w:highlight w:val="none"/>
              </w:rPr>
              <w:t>施工机械</w:t>
            </w:r>
          </w:p>
          <w:p w14:paraId="2CBE7760">
            <w:pPr>
              <w:pStyle w:val="108"/>
              <w:spacing w:beforeLines="0" w:afterLines="0" w:line="269" w:lineRule="exact"/>
              <w:ind w:left="180" w:firstLine="0"/>
              <w:jc w:val="center"/>
              <w:rPr>
                <w:rStyle w:val="31"/>
                <w:rFonts w:hint="default"/>
                <w:color w:val="auto"/>
                <w:sz w:val="24"/>
                <w:szCs w:val="20"/>
                <w:highlight w:val="none"/>
              </w:rPr>
            </w:pPr>
            <w:r>
              <w:rPr>
                <w:rStyle w:val="31"/>
                <w:rFonts w:hint="default"/>
                <w:color w:val="auto"/>
                <w:sz w:val="24"/>
                <w:szCs w:val="20"/>
                <w:highlight w:val="none"/>
              </w:rPr>
              <w:t>名 称</w:t>
            </w:r>
          </w:p>
        </w:tc>
        <w:tc>
          <w:tcPr>
            <w:tcW w:w="864" w:type="dxa"/>
            <w:tcBorders>
              <w:top w:val="single" w:color="auto" w:sz="4" w:space="0"/>
              <w:left w:val="single" w:color="auto" w:sz="4" w:space="0"/>
              <w:bottom w:val="nil"/>
              <w:right w:val="nil"/>
              <w:tl2br w:val="nil"/>
              <w:tr2bl w:val="nil"/>
            </w:tcBorders>
            <w:shd w:val="clear" w:color="auto" w:fill="FFFFFF"/>
            <w:noWrap w:val="0"/>
            <w:vAlign w:val="center"/>
          </w:tcPr>
          <w:p w14:paraId="06BD9DCC">
            <w:pPr>
              <w:pStyle w:val="108"/>
              <w:spacing w:beforeLines="0" w:after="60" w:afterLines="0" w:line="240" w:lineRule="auto"/>
              <w:ind w:firstLine="0"/>
              <w:jc w:val="center"/>
              <w:rPr>
                <w:rStyle w:val="31"/>
                <w:rFonts w:hint="default"/>
                <w:color w:val="auto"/>
                <w:sz w:val="24"/>
                <w:szCs w:val="20"/>
                <w:highlight w:val="none"/>
              </w:rPr>
            </w:pPr>
            <w:r>
              <w:rPr>
                <w:rStyle w:val="31"/>
                <w:rFonts w:hint="default"/>
                <w:color w:val="auto"/>
                <w:sz w:val="24"/>
                <w:szCs w:val="20"/>
                <w:highlight w:val="none"/>
              </w:rPr>
              <w:t>型号</w:t>
            </w:r>
          </w:p>
          <w:p w14:paraId="4395EB3B">
            <w:pPr>
              <w:pStyle w:val="108"/>
              <w:spacing w:beforeLines="0" w:afterLines="0" w:line="240" w:lineRule="auto"/>
              <w:ind w:firstLine="0"/>
              <w:jc w:val="center"/>
              <w:rPr>
                <w:rStyle w:val="31"/>
                <w:rFonts w:hint="default"/>
                <w:color w:val="auto"/>
                <w:sz w:val="24"/>
                <w:szCs w:val="20"/>
                <w:highlight w:val="none"/>
              </w:rPr>
            </w:pPr>
            <w:r>
              <w:rPr>
                <w:rStyle w:val="31"/>
                <w:rFonts w:hint="default"/>
                <w:color w:val="auto"/>
                <w:sz w:val="24"/>
                <w:szCs w:val="20"/>
                <w:highlight w:val="none"/>
              </w:rPr>
              <w:t>规格</w:t>
            </w:r>
          </w:p>
        </w:tc>
        <w:tc>
          <w:tcPr>
            <w:tcW w:w="869" w:type="dxa"/>
            <w:tcBorders>
              <w:top w:val="single" w:color="auto" w:sz="4" w:space="0"/>
              <w:left w:val="single" w:color="auto" w:sz="4" w:space="0"/>
              <w:bottom w:val="nil"/>
              <w:right w:val="nil"/>
              <w:tl2br w:val="nil"/>
              <w:tr2bl w:val="nil"/>
            </w:tcBorders>
            <w:shd w:val="clear" w:color="auto" w:fill="FFFFFF"/>
            <w:noWrap w:val="0"/>
            <w:vAlign w:val="center"/>
          </w:tcPr>
          <w:p w14:paraId="3C92F988">
            <w:pPr>
              <w:pStyle w:val="108"/>
              <w:spacing w:beforeLines="0" w:afterLines="0" w:line="240" w:lineRule="auto"/>
              <w:ind w:firstLine="0"/>
              <w:jc w:val="center"/>
              <w:rPr>
                <w:rStyle w:val="31"/>
                <w:rFonts w:hint="default"/>
                <w:color w:val="auto"/>
                <w:sz w:val="24"/>
                <w:szCs w:val="20"/>
                <w:highlight w:val="none"/>
              </w:rPr>
            </w:pPr>
            <w:r>
              <w:rPr>
                <w:rStyle w:val="31"/>
                <w:rFonts w:hint="default"/>
                <w:color w:val="auto"/>
                <w:sz w:val="24"/>
                <w:szCs w:val="20"/>
                <w:highlight w:val="none"/>
              </w:rPr>
              <w:t>数量</w:t>
            </w:r>
          </w:p>
        </w:tc>
        <w:tc>
          <w:tcPr>
            <w:tcW w:w="864" w:type="dxa"/>
            <w:tcBorders>
              <w:top w:val="single" w:color="auto" w:sz="4" w:space="0"/>
              <w:left w:val="single" w:color="auto" w:sz="4" w:space="0"/>
              <w:bottom w:val="nil"/>
              <w:right w:val="nil"/>
              <w:tl2br w:val="nil"/>
              <w:tr2bl w:val="nil"/>
            </w:tcBorders>
            <w:shd w:val="clear" w:color="auto" w:fill="FFFFFF"/>
            <w:noWrap w:val="0"/>
            <w:vAlign w:val="center"/>
          </w:tcPr>
          <w:p w14:paraId="7162B993">
            <w:pPr>
              <w:pStyle w:val="108"/>
              <w:spacing w:beforeLines="0" w:afterLines="0" w:line="266" w:lineRule="exact"/>
              <w:ind w:firstLine="0"/>
              <w:jc w:val="center"/>
              <w:rPr>
                <w:rStyle w:val="31"/>
                <w:rFonts w:hint="default"/>
                <w:color w:val="auto"/>
                <w:sz w:val="24"/>
                <w:szCs w:val="20"/>
                <w:highlight w:val="none"/>
              </w:rPr>
            </w:pPr>
            <w:r>
              <w:rPr>
                <w:rStyle w:val="31"/>
                <w:rFonts w:hint="default"/>
                <w:color w:val="auto"/>
                <w:sz w:val="24"/>
                <w:szCs w:val="20"/>
                <w:highlight w:val="none"/>
              </w:rPr>
              <w:t>制造 年份</w:t>
            </w:r>
          </w:p>
        </w:tc>
        <w:tc>
          <w:tcPr>
            <w:tcW w:w="991" w:type="dxa"/>
            <w:tcBorders>
              <w:top w:val="single" w:color="auto" w:sz="4" w:space="0"/>
              <w:left w:val="single" w:color="auto" w:sz="4" w:space="0"/>
              <w:bottom w:val="nil"/>
              <w:right w:val="nil"/>
              <w:tl2br w:val="nil"/>
              <w:tr2bl w:val="nil"/>
            </w:tcBorders>
            <w:shd w:val="clear" w:color="auto" w:fill="FFFFFF"/>
            <w:noWrap w:val="0"/>
            <w:vAlign w:val="center"/>
          </w:tcPr>
          <w:p w14:paraId="25F37DCD">
            <w:pPr>
              <w:pStyle w:val="108"/>
              <w:spacing w:beforeLines="0" w:afterLines="0" w:line="265" w:lineRule="exact"/>
              <w:ind w:firstLine="0"/>
              <w:jc w:val="center"/>
              <w:rPr>
                <w:rStyle w:val="31"/>
                <w:rFonts w:hint="default"/>
                <w:color w:val="auto"/>
                <w:sz w:val="24"/>
                <w:szCs w:val="20"/>
                <w:highlight w:val="none"/>
              </w:rPr>
            </w:pPr>
            <w:r>
              <w:rPr>
                <w:rStyle w:val="31"/>
                <w:rFonts w:hint="default"/>
                <w:color w:val="auto"/>
                <w:sz w:val="24"/>
                <w:szCs w:val="20"/>
                <w:highlight w:val="none"/>
              </w:rPr>
              <w:t xml:space="preserve">额定功率 </w:t>
            </w:r>
            <w:r>
              <w:rPr>
                <w:rStyle w:val="31"/>
                <w:rFonts w:hint="eastAsia" w:ascii="Times New Roman" w:hAnsi="Times New Roman" w:eastAsia="Times New Roman" w:cs="Times New Roman"/>
                <w:color w:val="auto"/>
                <w:sz w:val="24"/>
                <w:szCs w:val="24"/>
                <w:highlight w:val="none"/>
                <w:lang w:val="en-US" w:bidi="en-US"/>
              </w:rPr>
              <w:t>（KW）</w:t>
            </w:r>
            <w:r>
              <w:rPr>
                <w:rStyle w:val="31"/>
                <w:rFonts w:hint="default"/>
                <w:color w:val="auto"/>
                <w:sz w:val="24"/>
                <w:szCs w:val="20"/>
                <w:highlight w:val="none"/>
              </w:rPr>
              <w:t>或 生产能力</w:t>
            </w:r>
          </w:p>
        </w:tc>
        <w:tc>
          <w:tcPr>
            <w:tcW w:w="737" w:type="dxa"/>
            <w:tcBorders>
              <w:top w:val="single" w:color="auto" w:sz="4" w:space="0"/>
              <w:left w:val="single" w:color="auto" w:sz="4" w:space="0"/>
              <w:bottom w:val="nil"/>
              <w:right w:val="nil"/>
              <w:tl2br w:val="nil"/>
              <w:tr2bl w:val="nil"/>
            </w:tcBorders>
            <w:shd w:val="clear" w:color="auto" w:fill="FFFFFF"/>
            <w:noWrap w:val="0"/>
            <w:vAlign w:val="center"/>
          </w:tcPr>
          <w:p w14:paraId="776691F0">
            <w:pPr>
              <w:pStyle w:val="108"/>
              <w:spacing w:beforeLines="0" w:afterLines="0" w:line="240" w:lineRule="auto"/>
              <w:ind w:firstLine="0"/>
              <w:jc w:val="center"/>
              <w:rPr>
                <w:rStyle w:val="31"/>
                <w:rFonts w:hint="default"/>
                <w:color w:val="auto"/>
                <w:sz w:val="24"/>
                <w:szCs w:val="20"/>
                <w:highlight w:val="none"/>
              </w:rPr>
            </w:pPr>
            <w:r>
              <w:rPr>
                <w:rStyle w:val="31"/>
                <w:rFonts w:hint="default"/>
                <w:color w:val="auto"/>
                <w:sz w:val="24"/>
                <w:szCs w:val="20"/>
                <w:highlight w:val="none"/>
              </w:rPr>
              <w:t>现在何处</w:t>
            </w:r>
          </w:p>
        </w:tc>
        <w:tc>
          <w:tcPr>
            <w:tcW w:w="864" w:type="dxa"/>
            <w:tcBorders>
              <w:top w:val="single" w:color="auto" w:sz="4" w:space="0"/>
              <w:left w:val="single" w:color="auto" w:sz="4" w:space="0"/>
              <w:bottom w:val="nil"/>
              <w:right w:val="nil"/>
              <w:tl2br w:val="nil"/>
              <w:tr2bl w:val="nil"/>
            </w:tcBorders>
            <w:shd w:val="clear" w:color="auto" w:fill="FFFFFF"/>
            <w:noWrap w:val="0"/>
            <w:vAlign w:val="center"/>
          </w:tcPr>
          <w:p w14:paraId="6E5CFEC1">
            <w:pPr>
              <w:pStyle w:val="108"/>
              <w:spacing w:beforeLines="0" w:afterLines="0" w:line="240" w:lineRule="auto"/>
              <w:ind w:firstLine="0"/>
              <w:jc w:val="center"/>
              <w:rPr>
                <w:rStyle w:val="31"/>
                <w:rFonts w:hint="default"/>
                <w:color w:val="auto"/>
                <w:sz w:val="24"/>
                <w:szCs w:val="20"/>
                <w:highlight w:val="none"/>
              </w:rPr>
            </w:pPr>
            <w:r>
              <w:rPr>
                <w:rStyle w:val="31"/>
                <w:rFonts w:hint="default"/>
                <w:color w:val="auto"/>
                <w:sz w:val="24"/>
                <w:szCs w:val="20"/>
                <w:highlight w:val="none"/>
              </w:rPr>
              <w:t>进场时间</w:t>
            </w:r>
          </w:p>
        </w:tc>
        <w:tc>
          <w:tcPr>
            <w:tcW w:w="864" w:type="dxa"/>
            <w:tcBorders>
              <w:top w:val="single" w:color="auto" w:sz="4" w:space="0"/>
              <w:left w:val="single" w:color="auto" w:sz="4" w:space="0"/>
              <w:bottom w:val="nil"/>
              <w:right w:val="nil"/>
              <w:tl2br w:val="nil"/>
              <w:tr2bl w:val="nil"/>
            </w:tcBorders>
            <w:shd w:val="clear" w:color="auto" w:fill="FFFFFF"/>
            <w:noWrap w:val="0"/>
            <w:vAlign w:val="center"/>
          </w:tcPr>
          <w:p w14:paraId="62D1018F">
            <w:pPr>
              <w:pStyle w:val="108"/>
              <w:spacing w:beforeLines="0" w:afterLines="0" w:line="240" w:lineRule="auto"/>
              <w:ind w:firstLine="0"/>
              <w:jc w:val="center"/>
              <w:rPr>
                <w:rStyle w:val="31"/>
                <w:rFonts w:hint="default"/>
                <w:color w:val="auto"/>
                <w:sz w:val="24"/>
                <w:szCs w:val="20"/>
                <w:highlight w:val="none"/>
              </w:rPr>
            </w:pPr>
            <w:r>
              <w:rPr>
                <w:rStyle w:val="31"/>
                <w:rFonts w:hint="default"/>
                <w:color w:val="auto"/>
                <w:sz w:val="24"/>
                <w:szCs w:val="20"/>
                <w:highlight w:val="none"/>
              </w:rPr>
              <w:t>退场时间</w:t>
            </w:r>
          </w:p>
        </w:tc>
        <w:tc>
          <w:tcPr>
            <w:tcW w:w="874"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19BBF92D">
            <w:pPr>
              <w:pStyle w:val="108"/>
              <w:spacing w:beforeLines="0" w:afterLines="0" w:line="257" w:lineRule="exact"/>
              <w:ind w:firstLine="0"/>
              <w:jc w:val="center"/>
              <w:rPr>
                <w:rStyle w:val="31"/>
                <w:rFonts w:hint="default"/>
                <w:color w:val="auto"/>
                <w:sz w:val="24"/>
                <w:szCs w:val="20"/>
                <w:highlight w:val="none"/>
              </w:rPr>
            </w:pPr>
            <w:r>
              <w:rPr>
                <w:rStyle w:val="31"/>
                <w:rFonts w:hint="default"/>
                <w:color w:val="auto"/>
                <w:sz w:val="24"/>
                <w:szCs w:val="20"/>
                <w:highlight w:val="none"/>
              </w:rPr>
              <w:t>用于施工 部位</w:t>
            </w:r>
          </w:p>
        </w:tc>
      </w:tr>
      <w:tr w14:paraId="32378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bottom w:val="nil"/>
              <w:right w:val="nil"/>
              <w:tl2br w:val="nil"/>
              <w:tr2bl w:val="nil"/>
            </w:tcBorders>
            <w:shd w:val="clear" w:color="auto" w:fill="FFFFFF"/>
            <w:noWrap w:val="0"/>
            <w:vAlign w:val="top"/>
          </w:tcPr>
          <w:p w14:paraId="1B2C2575">
            <w:pPr>
              <w:pStyle w:val="107"/>
              <w:spacing w:beforeLines="0" w:afterLines="0"/>
              <w:rPr>
                <w:rStyle w:val="31"/>
                <w:rFonts w:hint="default"/>
                <w:color w:val="auto"/>
                <w:sz w:val="24"/>
                <w:szCs w:val="24"/>
                <w:highlight w:val="none"/>
              </w:rPr>
            </w:pPr>
          </w:p>
        </w:tc>
        <w:tc>
          <w:tcPr>
            <w:tcW w:w="1133" w:type="dxa"/>
            <w:tcBorders>
              <w:top w:val="single" w:color="auto" w:sz="4" w:space="0"/>
              <w:left w:val="single" w:color="auto" w:sz="4" w:space="0"/>
              <w:bottom w:val="nil"/>
              <w:right w:val="nil"/>
              <w:tl2br w:val="nil"/>
              <w:tr2bl w:val="nil"/>
            </w:tcBorders>
            <w:shd w:val="clear" w:color="auto" w:fill="FFFFFF"/>
            <w:noWrap w:val="0"/>
            <w:vAlign w:val="top"/>
          </w:tcPr>
          <w:p w14:paraId="5D427CD4">
            <w:pPr>
              <w:pStyle w:val="107"/>
              <w:spacing w:beforeLines="0" w:afterLines="0"/>
              <w:rPr>
                <w:rStyle w:val="31"/>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0C440248">
            <w:pPr>
              <w:pStyle w:val="107"/>
              <w:spacing w:beforeLines="0" w:afterLines="0"/>
              <w:rPr>
                <w:rStyle w:val="31"/>
                <w:rFonts w:hint="default"/>
                <w:color w:val="auto"/>
                <w:sz w:val="24"/>
                <w:szCs w:val="24"/>
                <w:highlight w:val="none"/>
              </w:rPr>
            </w:pPr>
          </w:p>
        </w:tc>
        <w:tc>
          <w:tcPr>
            <w:tcW w:w="869" w:type="dxa"/>
            <w:tcBorders>
              <w:top w:val="single" w:color="auto" w:sz="4" w:space="0"/>
              <w:left w:val="single" w:color="auto" w:sz="4" w:space="0"/>
              <w:bottom w:val="nil"/>
              <w:right w:val="nil"/>
              <w:tl2br w:val="nil"/>
              <w:tr2bl w:val="nil"/>
            </w:tcBorders>
            <w:shd w:val="clear" w:color="auto" w:fill="FFFFFF"/>
            <w:noWrap w:val="0"/>
            <w:vAlign w:val="top"/>
          </w:tcPr>
          <w:p w14:paraId="3FC883F0">
            <w:pPr>
              <w:pStyle w:val="107"/>
              <w:spacing w:beforeLines="0" w:afterLines="0"/>
              <w:rPr>
                <w:rStyle w:val="31"/>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3A0BF518">
            <w:pPr>
              <w:pStyle w:val="107"/>
              <w:spacing w:beforeLines="0" w:afterLines="0"/>
              <w:rPr>
                <w:rStyle w:val="31"/>
                <w:rFonts w:hint="default"/>
                <w:color w:val="auto"/>
                <w:sz w:val="24"/>
                <w:szCs w:val="24"/>
                <w:highlight w:val="none"/>
              </w:rPr>
            </w:pPr>
          </w:p>
        </w:tc>
        <w:tc>
          <w:tcPr>
            <w:tcW w:w="991" w:type="dxa"/>
            <w:tcBorders>
              <w:top w:val="single" w:color="auto" w:sz="4" w:space="0"/>
              <w:left w:val="single" w:color="auto" w:sz="4" w:space="0"/>
              <w:bottom w:val="nil"/>
              <w:right w:val="nil"/>
              <w:tl2br w:val="nil"/>
              <w:tr2bl w:val="nil"/>
            </w:tcBorders>
            <w:shd w:val="clear" w:color="auto" w:fill="FFFFFF"/>
            <w:noWrap w:val="0"/>
            <w:vAlign w:val="top"/>
          </w:tcPr>
          <w:p w14:paraId="3958C367">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1CE49F98">
            <w:pPr>
              <w:pStyle w:val="107"/>
              <w:spacing w:beforeLines="0" w:afterLines="0"/>
              <w:rPr>
                <w:rStyle w:val="31"/>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6EE3EEE9">
            <w:pPr>
              <w:pStyle w:val="107"/>
              <w:spacing w:beforeLines="0" w:afterLines="0"/>
              <w:rPr>
                <w:rStyle w:val="31"/>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4271A0D7">
            <w:pPr>
              <w:pStyle w:val="107"/>
              <w:spacing w:beforeLines="0" w:afterLines="0"/>
              <w:rPr>
                <w:rStyle w:val="31"/>
                <w:rFonts w:hint="default"/>
                <w:color w:val="auto"/>
                <w:sz w:val="24"/>
                <w:szCs w:val="24"/>
                <w:highlight w:val="none"/>
              </w:rPr>
            </w:pPr>
          </w:p>
        </w:tc>
        <w:tc>
          <w:tcPr>
            <w:tcW w:w="874"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10794700">
            <w:pPr>
              <w:pStyle w:val="107"/>
              <w:spacing w:beforeLines="0" w:afterLines="0"/>
              <w:rPr>
                <w:rStyle w:val="31"/>
                <w:rFonts w:hint="default"/>
                <w:color w:val="auto"/>
                <w:sz w:val="24"/>
                <w:szCs w:val="24"/>
                <w:highlight w:val="none"/>
              </w:rPr>
            </w:pPr>
          </w:p>
        </w:tc>
      </w:tr>
      <w:tr w14:paraId="4FA7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bottom w:val="nil"/>
              <w:right w:val="nil"/>
              <w:tl2br w:val="nil"/>
              <w:tr2bl w:val="nil"/>
            </w:tcBorders>
            <w:shd w:val="clear" w:color="auto" w:fill="FFFFFF"/>
            <w:noWrap w:val="0"/>
            <w:vAlign w:val="top"/>
          </w:tcPr>
          <w:p w14:paraId="4529E0DD">
            <w:pPr>
              <w:pStyle w:val="107"/>
              <w:spacing w:beforeLines="0" w:afterLines="0"/>
              <w:rPr>
                <w:rStyle w:val="31"/>
                <w:rFonts w:hint="default"/>
                <w:color w:val="auto"/>
                <w:sz w:val="24"/>
                <w:szCs w:val="24"/>
                <w:highlight w:val="none"/>
              </w:rPr>
            </w:pPr>
          </w:p>
        </w:tc>
        <w:tc>
          <w:tcPr>
            <w:tcW w:w="1133" w:type="dxa"/>
            <w:tcBorders>
              <w:top w:val="single" w:color="auto" w:sz="4" w:space="0"/>
              <w:left w:val="single" w:color="auto" w:sz="4" w:space="0"/>
              <w:bottom w:val="nil"/>
              <w:right w:val="nil"/>
              <w:tl2br w:val="nil"/>
              <w:tr2bl w:val="nil"/>
            </w:tcBorders>
            <w:shd w:val="clear" w:color="auto" w:fill="FFFFFF"/>
            <w:noWrap w:val="0"/>
            <w:vAlign w:val="top"/>
          </w:tcPr>
          <w:p w14:paraId="0EB12F40">
            <w:pPr>
              <w:pStyle w:val="107"/>
              <w:spacing w:beforeLines="0" w:afterLines="0"/>
              <w:rPr>
                <w:rStyle w:val="31"/>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38FE68E7">
            <w:pPr>
              <w:pStyle w:val="107"/>
              <w:spacing w:beforeLines="0" w:afterLines="0"/>
              <w:rPr>
                <w:rStyle w:val="31"/>
                <w:rFonts w:hint="default"/>
                <w:color w:val="auto"/>
                <w:sz w:val="24"/>
                <w:szCs w:val="24"/>
                <w:highlight w:val="none"/>
              </w:rPr>
            </w:pPr>
          </w:p>
        </w:tc>
        <w:tc>
          <w:tcPr>
            <w:tcW w:w="869" w:type="dxa"/>
            <w:tcBorders>
              <w:top w:val="single" w:color="auto" w:sz="4" w:space="0"/>
              <w:left w:val="single" w:color="auto" w:sz="4" w:space="0"/>
              <w:bottom w:val="nil"/>
              <w:right w:val="nil"/>
              <w:tl2br w:val="nil"/>
              <w:tr2bl w:val="nil"/>
            </w:tcBorders>
            <w:shd w:val="clear" w:color="auto" w:fill="FFFFFF"/>
            <w:noWrap w:val="0"/>
            <w:vAlign w:val="top"/>
          </w:tcPr>
          <w:p w14:paraId="15FF32F7">
            <w:pPr>
              <w:pStyle w:val="107"/>
              <w:spacing w:beforeLines="0" w:afterLines="0"/>
              <w:rPr>
                <w:rStyle w:val="31"/>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274F357B">
            <w:pPr>
              <w:pStyle w:val="107"/>
              <w:spacing w:beforeLines="0" w:afterLines="0"/>
              <w:rPr>
                <w:rStyle w:val="31"/>
                <w:rFonts w:hint="default"/>
                <w:color w:val="auto"/>
                <w:sz w:val="24"/>
                <w:szCs w:val="24"/>
                <w:highlight w:val="none"/>
              </w:rPr>
            </w:pPr>
          </w:p>
        </w:tc>
        <w:tc>
          <w:tcPr>
            <w:tcW w:w="991" w:type="dxa"/>
            <w:tcBorders>
              <w:top w:val="single" w:color="auto" w:sz="4" w:space="0"/>
              <w:left w:val="single" w:color="auto" w:sz="4" w:space="0"/>
              <w:bottom w:val="nil"/>
              <w:right w:val="nil"/>
              <w:tl2br w:val="nil"/>
              <w:tr2bl w:val="nil"/>
            </w:tcBorders>
            <w:shd w:val="clear" w:color="auto" w:fill="FFFFFF"/>
            <w:noWrap w:val="0"/>
            <w:vAlign w:val="top"/>
          </w:tcPr>
          <w:p w14:paraId="282B3540">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4C2E00E">
            <w:pPr>
              <w:pStyle w:val="107"/>
              <w:spacing w:beforeLines="0" w:afterLines="0"/>
              <w:rPr>
                <w:rStyle w:val="31"/>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533B1490">
            <w:pPr>
              <w:pStyle w:val="107"/>
              <w:spacing w:beforeLines="0" w:afterLines="0"/>
              <w:rPr>
                <w:rStyle w:val="31"/>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1423C80D">
            <w:pPr>
              <w:pStyle w:val="107"/>
              <w:spacing w:beforeLines="0" w:afterLines="0"/>
              <w:rPr>
                <w:rStyle w:val="31"/>
                <w:rFonts w:hint="default"/>
                <w:color w:val="auto"/>
                <w:sz w:val="24"/>
                <w:szCs w:val="24"/>
                <w:highlight w:val="none"/>
              </w:rPr>
            </w:pPr>
          </w:p>
        </w:tc>
        <w:tc>
          <w:tcPr>
            <w:tcW w:w="874"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53396DCB">
            <w:pPr>
              <w:pStyle w:val="107"/>
              <w:spacing w:beforeLines="0" w:afterLines="0"/>
              <w:rPr>
                <w:rStyle w:val="31"/>
                <w:rFonts w:hint="default"/>
                <w:color w:val="auto"/>
                <w:sz w:val="24"/>
                <w:szCs w:val="24"/>
                <w:highlight w:val="none"/>
              </w:rPr>
            </w:pPr>
          </w:p>
        </w:tc>
      </w:tr>
      <w:tr w14:paraId="26F8E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bottom w:val="nil"/>
              <w:right w:val="nil"/>
              <w:tl2br w:val="nil"/>
              <w:tr2bl w:val="nil"/>
            </w:tcBorders>
            <w:shd w:val="clear" w:color="auto" w:fill="FFFFFF"/>
            <w:noWrap w:val="0"/>
            <w:vAlign w:val="top"/>
          </w:tcPr>
          <w:p w14:paraId="14172F55">
            <w:pPr>
              <w:pStyle w:val="107"/>
              <w:spacing w:beforeLines="0" w:afterLines="0"/>
              <w:rPr>
                <w:rStyle w:val="31"/>
                <w:rFonts w:hint="default"/>
                <w:color w:val="auto"/>
                <w:sz w:val="24"/>
                <w:szCs w:val="24"/>
                <w:highlight w:val="none"/>
              </w:rPr>
            </w:pPr>
          </w:p>
        </w:tc>
        <w:tc>
          <w:tcPr>
            <w:tcW w:w="1133" w:type="dxa"/>
            <w:tcBorders>
              <w:top w:val="single" w:color="auto" w:sz="4" w:space="0"/>
              <w:left w:val="single" w:color="auto" w:sz="4" w:space="0"/>
              <w:bottom w:val="nil"/>
              <w:right w:val="nil"/>
              <w:tl2br w:val="nil"/>
              <w:tr2bl w:val="nil"/>
            </w:tcBorders>
            <w:shd w:val="clear" w:color="auto" w:fill="FFFFFF"/>
            <w:noWrap w:val="0"/>
            <w:vAlign w:val="top"/>
          </w:tcPr>
          <w:p w14:paraId="25434E1C">
            <w:pPr>
              <w:pStyle w:val="107"/>
              <w:spacing w:beforeLines="0" w:afterLines="0"/>
              <w:rPr>
                <w:rStyle w:val="31"/>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26EC4C08">
            <w:pPr>
              <w:pStyle w:val="107"/>
              <w:spacing w:beforeLines="0" w:afterLines="0"/>
              <w:rPr>
                <w:rStyle w:val="31"/>
                <w:rFonts w:hint="default"/>
                <w:color w:val="auto"/>
                <w:sz w:val="24"/>
                <w:szCs w:val="24"/>
                <w:highlight w:val="none"/>
              </w:rPr>
            </w:pPr>
          </w:p>
        </w:tc>
        <w:tc>
          <w:tcPr>
            <w:tcW w:w="869" w:type="dxa"/>
            <w:tcBorders>
              <w:top w:val="single" w:color="auto" w:sz="4" w:space="0"/>
              <w:left w:val="single" w:color="auto" w:sz="4" w:space="0"/>
              <w:bottom w:val="nil"/>
              <w:right w:val="nil"/>
              <w:tl2br w:val="nil"/>
              <w:tr2bl w:val="nil"/>
            </w:tcBorders>
            <w:shd w:val="clear" w:color="auto" w:fill="FFFFFF"/>
            <w:noWrap w:val="0"/>
            <w:vAlign w:val="top"/>
          </w:tcPr>
          <w:p w14:paraId="1B5D3DC8">
            <w:pPr>
              <w:pStyle w:val="107"/>
              <w:spacing w:beforeLines="0" w:afterLines="0"/>
              <w:rPr>
                <w:rStyle w:val="31"/>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153E1F31">
            <w:pPr>
              <w:pStyle w:val="107"/>
              <w:spacing w:beforeLines="0" w:afterLines="0"/>
              <w:rPr>
                <w:rStyle w:val="31"/>
                <w:rFonts w:hint="default"/>
                <w:color w:val="auto"/>
                <w:sz w:val="24"/>
                <w:szCs w:val="24"/>
                <w:highlight w:val="none"/>
              </w:rPr>
            </w:pPr>
          </w:p>
        </w:tc>
        <w:tc>
          <w:tcPr>
            <w:tcW w:w="991" w:type="dxa"/>
            <w:tcBorders>
              <w:top w:val="single" w:color="auto" w:sz="4" w:space="0"/>
              <w:left w:val="single" w:color="auto" w:sz="4" w:space="0"/>
              <w:bottom w:val="nil"/>
              <w:right w:val="nil"/>
              <w:tl2br w:val="nil"/>
              <w:tr2bl w:val="nil"/>
            </w:tcBorders>
            <w:shd w:val="clear" w:color="auto" w:fill="FFFFFF"/>
            <w:noWrap w:val="0"/>
            <w:vAlign w:val="top"/>
          </w:tcPr>
          <w:p w14:paraId="3EC21301">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35C32AE8">
            <w:pPr>
              <w:pStyle w:val="107"/>
              <w:spacing w:beforeLines="0" w:afterLines="0"/>
              <w:rPr>
                <w:rStyle w:val="31"/>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2D928124">
            <w:pPr>
              <w:pStyle w:val="107"/>
              <w:spacing w:beforeLines="0" w:afterLines="0"/>
              <w:rPr>
                <w:rStyle w:val="31"/>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40B19542">
            <w:pPr>
              <w:pStyle w:val="107"/>
              <w:spacing w:beforeLines="0" w:afterLines="0"/>
              <w:rPr>
                <w:rStyle w:val="31"/>
                <w:rFonts w:hint="default"/>
                <w:color w:val="auto"/>
                <w:sz w:val="24"/>
                <w:szCs w:val="24"/>
                <w:highlight w:val="none"/>
              </w:rPr>
            </w:pPr>
          </w:p>
        </w:tc>
        <w:tc>
          <w:tcPr>
            <w:tcW w:w="874"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64A828FB">
            <w:pPr>
              <w:pStyle w:val="107"/>
              <w:spacing w:beforeLines="0" w:afterLines="0"/>
              <w:rPr>
                <w:rStyle w:val="31"/>
                <w:rFonts w:hint="default"/>
                <w:color w:val="auto"/>
                <w:sz w:val="24"/>
                <w:szCs w:val="24"/>
                <w:highlight w:val="none"/>
              </w:rPr>
            </w:pPr>
          </w:p>
        </w:tc>
      </w:tr>
      <w:tr w14:paraId="2878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bottom w:val="nil"/>
              <w:right w:val="nil"/>
              <w:tl2br w:val="nil"/>
              <w:tr2bl w:val="nil"/>
            </w:tcBorders>
            <w:shd w:val="clear" w:color="auto" w:fill="FFFFFF"/>
            <w:noWrap w:val="0"/>
            <w:vAlign w:val="top"/>
          </w:tcPr>
          <w:p w14:paraId="00E9CD17">
            <w:pPr>
              <w:pStyle w:val="107"/>
              <w:spacing w:beforeLines="0" w:afterLines="0"/>
              <w:rPr>
                <w:rStyle w:val="31"/>
                <w:rFonts w:hint="default"/>
                <w:color w:val="auto"/>
                <w:sz w:val="24"/>
                <w:szCs w:val="24"/>
                <w:highlight w:val="none"/>
              </w:rPr>
            </w:pPr>
          </w:p>
        </w:tc>
        <w:tc>
          <w:tcPr>
            <w:tcW w:w="1133" w:type="dxa"/>
            <w:tcBorders>
              <w:top w:val="single" w:color="auto" w:sz="4" w:space="0"/>
              <w:left w:val="single" w:color="auto" w:sz="4" w:space="0"/>
              <w:bottom w:val="nil"/>
              <w:right w:val="nil"/>
              <w:tl2br w:val="nil"/>
              <w:tr2bl w:val="nil"/>
            </w:tcBorders>
            <w:shd w:val="clear" w:color="auto" w:fill="FFFFFF"/>
            <w:noWrap w:val="0"/>
            <w:vAlign w:val="top"/>
          </w:tcPr>
          <w:p w14:paraId="081B8845">
            <w:pPr>
              <w:pStyle w:val="107"/>
              <w:spacing w:beforeLines="0" w:afterLines="0"/>
              <w:rPr>
                <w:rStyle w:val="31"/>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749033EE">
            <w:pPr>
              <w:pStyle w:val="107"/>
              <w:spacing w:beforeLines="0" w:afterLines="0"/>
              <w:rPr>
                <w:rStyle w:val="31"/>
                <w:rFonts w:hint="default"/>
                <w:color w:val="auto"/>
                <w:sz w:val="24"/>
                <w:szCs w:val="24"/>
                <w:highlight w:val="none"/>
              </w:rPr>
            </w:pPr>
          </w:p>
        </w:tc>
        <w:tc>
          <w:tcPr>
            <w:tcW w:w="869" w:type="dxa"/>
            <w:tcBorders>
              <w:top w:val="single" w:color="auto" w:sz="4" w:space="0"/>
              <w:left w:val="single" w:color="auto" w:sz="4" w:space="0"/>
              <w:bottom w:val="nil"/>
              <w:right w:val="nil"/>
              <w:tl2br w:val="nil"/>
              <w:tr2bl w:val="nil"/>
            </w:tcBorders>
            <w:shd w:val="clear" w:color="auto" w:fill="FFFFFF"/>
            <w:noWrap w:val="0"/>
            <w:vAlign w:val="top"/>
          </w:tcPr>
          <w:p w14:paraId="67D80894">
            <w:pPr>
              <w:pStyle w:val="107"/>
              <w:spacing w:beforeLines="0" w:afterLines="0"/>
              <w:rPr>
                <w:rStyle w:val="31"/>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7A637E06">
            <w:pPr>
              <w:pStyle w:val="107"/>
              <w:spacing w:beforeLines="0" w:afterLines="0"/>
              <w:rPr>
                <w:rStyle w:val="31"/>
                <w:rFonts w:hint="default"/>
                <w:color w:val="auto"/>
                <w:sz w:val="24"/>
                <w:szCs w:val="24"/>
                <w:highlight w:val="none"/>
              </w:rPr>
            </w:pPr>
          </w:p>
        </w:tc>
        <w:tc>
          <w:tcPr>
            <w:tcW w:w="991" w:type="dxa"/>
            <w:tcBorders>
              <w:top w:val="single" w:color="auto" w:sz="4" w:space="0"/>
              <w:left w:val="single" w:color="auto" w:sz="4" w:space="0"/>
              <w:bottom w:val="nil"/>
              <w:right w:val="nil"/>
              <w:tl2br w:val="nil"/>
              <w:tr2bl w:val="nil"/>
            </w:tcBorders>
            <w:shd w:val="clear" w:color="auto" w:fill="FFFFFF"/>
            <w:noWrap w:val="0"/>
            <w:vAlign w:val="top"/>
          </w:tcPr>
          <w:p w14:paraId="33BBFD5C">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7C2EE781">
            <w:pPr>
              <w:pStyle w:val="107"/>
              <w:spacing w:beforeLines="0" w:afterLines="0"/>
              <w:rPr>
                <w:rStyle w:val="31"/>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1AF328BA">
            <w:pPr>
              <w:pStyle w:val="107"/>
              <w:spacing w:beforeLines="0" w:afterLines="0"/>
              <w:rPr>
                <w:rStyle w:val="31"/>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1BE51B0A">
            <w:pPr>
              <w:pStyle w:val="107"/>
              <w:spacing w:beforeLines="0" w:afterLines="0"/>
              <w:rPr>
                <w:rStyle w:val="31"/>
                <w:rFonts w:hint="default"/>
                <w:color w:val="auto"/>
                <w:sz w:val="24"/>
                <w:szCs w:val="24"/>
                <w:highlight w:val="none"/>
              </w:rPr>
            </w:pPr>
          </w:p>
        </w:tc>
        <w:tc>
          <w:tcPr>
            <w:tcW w:w="874"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39D6196F">
            <w:pPr>
              <w:pStyle w:val="107"/>
              <w:spacing w:beforeLines="0" w:afterLines="0"/>
              <w:rPr>
                <w:rStyle w:val="31"/>
                <w:rFonts w:hint="default"/>
                <w:color w:val="auto"/>
                <w:sz w:val="24"/>
                <w:szCs w:val="24"/>
                <w:highlight w:val="none"/>
              </w:rPr>
            </w:pPr>
          </w:p>
        </w:tc>
      </w:tr>
      <w:tr w14:paraId="6AA7F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jc w:val="center"/>
        </w:trPr>
        <w:tc>
          <w:tcPr>
            <w:tcW w:w="293"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3583BB9C">
            <w:pPr>
              <w:pStyle w:val="107"/>
              <w:spacing w:beforeLines="0" w:afterLines="0"/>
              <w:rPr>
                <w:rStyle w:val="31"/>
                <w:rFonts w:hint="default"/>
                <w:color w:val="auto"/>
                <w:sz w:val="10"/>
                <w:szCs w:val="24"/>
                <w:highlight w:val="none"/>
              </w:rPr>
            </w:pPr>
          </w:p>
        </w:tc>
        <w:tc>
          <w:tcPr>
            <w:tcW w:w="1133"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7B963430">
            <w:pPr>
              <w:pStyle w:val="107"/>
              <w:spacing w:beforeLines="0" w:afterLines="0"/>
              <w:rPr>
                <w:rStyle w:val="31"/>
                <w:rFonts w:hint="default"/>
                <w:color w:val="auto"/>
                <w:sz w:val="10"/>
                <w:szCs w:val="24"/>
                <w:highlight w:val="none"/>
              </w:rPr>
            </w:pPr>
          </w:p>
        </w:tc>
        <w:tc>
          <w:tcPr>
            <w:tcW w:w="864"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3D1634B2">
            <w:pPr>
              <w:pStyle w:val="107"/>
              <w:spacing w:beforeLines="0" w:afterLines="0"/>
              <w:rPr>
                <w:rStyle w:val="31"/>
                <w:rFonts w:hint="default"/>
                <w:color w:val="auto"/>
                <w:sz w:val="10"/>
                <w:szCs w:val="24"/>
                <w:highlight w:val="none"/>
              </w:rPr>
            </w:pPr>
          </w:p>
        </w:tc>
        <w:tc>
          <w:tcPr>
            <w:tcW w:w="869"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14EB3A05">
            <w:pPr>
              <w:pStyle w:val="107"/>
              <w:spacing w:beforeLines="0" w:afterLines="0"/>
              <w:rPr>
                <w:rStyle w:val="31"/>
                <w:rFonts w:hint="default"/>
                <w:color w:val="auto"/>
                <w:sz w:val="10"/>
                <w:szCs w:val="24"/>
                <w:highlight w:val="none"/>
              </w:rPr>
            </w:pPr>
          </w:p>
        </w:tc>
        <w:tc>
          <w:tcPr>
            <w:tcW w:w="864"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3A425839">
            <w:pPr>
              <w:pStyle w:val="107"/>
              <w:spacing w:beforeLines="0" w:afterLines="0"/>
              <w:rPr>
                <w:rStyle w:val="31"/>
                <w:rFonts w:hint="default"/>
                <w:color w:val="auto"/>
                <w:sz w:val="10"/>
                <w:szCs w:val="24"/>
                <w:highlight w:val="none"/>
              </w:rPr>
            </w:pPr>
          </w:p>
        </w:tc>
        <w:tc>
          <w:tcPr>
            <w:tcW w:w="991"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2867B97F">
            <w:pPr>
              <w:pStyle w:val="107"/>
              <w:spacing w:beforeLines="0" w:afterLines="0"/>
              <w:rPr>
                <w:rStyle w:val="31"/>
                <w:rFonts w:hint="default"/>
                <w:color w:val="auto"/>
                <w:sz w:val="10"/>
                <w:szCs w:val="24"/>
                <w:highlight w:val="none"/>
              </w:rPr>
            </w:pPr>
          </w:p>
        </w:tc>
        <w:tc>
          <w:tcPr>
            <w:tcW w:w="737"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2429F404">
            <w:pPr>
              <w:pStyle w:val="107"/>
              <w:spacing w:beforeLines="0" w:afterLines="0"/>
              <w:rPr>
                <w:rStyle w:val="31"/>
                <w:rFonts w:hint="default"/>
                <w:color w:val="auto"/>
                <w:sz w:val="10"/>
                <w:szCs w:val="24"/>
                <w:highlight w:val="none"/>
              </w:rPr>
            </w:pPr>
          </w:p>
        </w:tc>
        <w:tc>
          <w:tcPr>
            <w:tcW w:w="864"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66AB8424">
            <w:pPr>
              <w:pStyle w:val="107"/>
              <w:spacing w:beforeLines="0" w:afterLines="0"/>
              <w:rPr>
                <w:rStyle w:val="31"/>
                <w:rFonts w:hint="default"/>
                <w:color w:val="auto"/>
                <w:sz w:val="10"/>
                <w:szCs w:val="24"/>
                <w:highlight w:val="none"/>
              </w:rPr>
            </w:pPr>
          </w:p>
        </w:tc>
        <w:tc>
          <w:tcPr>
            <w:tcW w:w="864"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592E4005">
            <w:pPr>
              <w:pStyle w:val="107"/>
              <w:spacing w:beforeLines="0" w:afterLines="0"/>
              <w:rPr>
                <w:rStyle w:val="31"/>
                <w:rFonts w:hint="default"/>
                <w:color w:val="auto"/>
                <w:sz w:val="10"/>
                <w:szCs w:val="24"/>
                <w:highlight w:val="none"/>
              </w:rPr>
            </w:pPr>
          </w:p>
        </w:tc>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72E1AAC2">
            <w:pPr>
              <w:pStyle w:val="107"/>
              <w:spacing w:beforeLines="0" w:afterLines="0"/>
              <w:rPr>
                <w:rStyle w:val="31"/>
                <w:rFonts w:hint="default"/>
                <w:color w:val="auto"/>
                <w:sz w:val="10"/>
                <w:szCs w:val="24"/>
                <w:highlight w:val="none"/>
              </w:rPr>
            </w:pPr>
          </w:p>
        </w:tc>
      </w:tr>
    </w:tbl>
    <w:p w14:paraId="4112C920">
      <w:pPr>
        <w:pStyle w:val="107"/>
        <w:spacing w:beforeLines="0" w:afterLines="0"/>
        <w:rPr>
          <w:rStyle w:val="31"/>
          <w:rFonts w:hint="default" w:ascii="宋体" w:eastAsia="宋体"/>
          <w:color w:val="auto"/>
          <w:sz w:val="24"/>
          <w:szCs w:val="24"/>
          <w:highlight w:val="none"/>
        </w:rPr>
      </w:pPr>
    </w:p>
    <w:p w14:paraId="5999EADB">
      <w:pPr>
        <w:pStyle w:val="107"/>
        <w:spacing w:beforeLines="0" w:afterLines="0"/>
        <w:rPr>
          <w:rStyle w:val="31"/>
          <w:rFonts w:hint="default" w:ascii="宋体" w:hAnsi="宋体" w:eastAsia="宋体" w:cs="宋体"/>
          <w:b/>
          <w:color w:val="auto"/>
          <w:sz w:val="28"/>
          <w:szCs w:val="28"/>
          <w:highlight w:val="none"/>
          <w:lang w:eastAsia="zh-CN"/>
        </w:rPr>
      </w:pPr>
      <w:bookmarkStart w:id="93" w:name="_Toc27417"/>
      <w:bookmarkStart w:id="94" w:name="bookmark2234"/>
      <w:bookmarkStart w:id="95" w:name="_Toc3373"/>
      <w:bookmarkStart w:id="96" w:name="bookmark2235"/>
      <w:bookmarkStart w:id="97" w:name="bookmark2236"/>
    </w:p>
    <w:p w14:paraId="40C8CEE3">
      <w:pPr>
        <w:pStyle w:val="107"/>
        <w:spacing w:beforeLines="0" w:afterLines="0"/>
        <w:rPr>
          <w:rStyle w:val="31"/>
          <w:rFonts w:hint="default" w:ascii="宋体" w:hAnsi="宋体" w:eastAsia="宋体" w:cs="宋体"/>
          <w:b/>
          <w:color w:val="auto"/>
          <w:sz w:val="28"/>
          <w:szCs w:val="28"/>
          <w:highlight w:val="none"/>
          <w:lang w:eastAsia="zh-CN"/>
        </w:rPr>
      </w:pPr>
    </w:p>
    <w:p w14:paraId="53EC3E45">
      <w:pPr>
        <w:pStyle w:val="107"/>
        <w:spacing w:beforeLines="0" w:afterLines="0"/>
        <w:rPr>
          <w:rStyle w:val="31"/>
          <w:rFonts w:hint="default" w:ascii="宋体" w:hAnsi="宋体" w:eastAsia="宋体" w:cs="宋体"/>
          <w:b/>
          <w:color w:val="auto"/>
          <w:sz w:val="28"/>
          <w:szCs w:val="28"/>
          <w:highlight w:val="none"/>
          <w:lang w:eastAsia="zh-CN"/>
        </w:rPr>
      </w:pPr>
      <w:r>
        <w:rPr>
          <w:rStyle w:val="31"/>
          <w:rFonts w:hint="default" w:ascii="宋体" w:hAnsi="宋体" w:eastAsia="宋体" w:cs="宋体"/>
          <w:b/>
          <w:color w:val="auto"/>
          <w:sz w:val="28"/>
          <w:szCs w:val="28"/>
          <w:highlight w:val="none"/>
          <w:lang w:eastAsia="zh-CN"/>
        </w:rPr>
        <w:t>附件二：拟投入本合同工程的试验和检测仪器设备表</w:t>
      </w:r>
      <w:bookmarkEnd w:id="93"/>
    </w:p>
    <w:p w14:paraId="4E71ABE5">
      <w:pPr>
        <w:pStyle w:val="107"/>
        <w:spacing w:beforeLines="0" w:afterLines="0"/>
        <w:rPr>
          <w:rStyle w:val="31"/>
          <w:rFonts w:hint="default"/>
          <w:color w:val="auto"/>
          <w:sz w:val="24"/>
          <w:szCs w:val="24"/>
          <w:highlight w:val="none"/>
          <w:lang w:eastAsia="zh-CN"/>
        </w:rPr>
      </w:pPr>
    </w:p>
    <w:p w14:paraId="505CD938">
      <w:pPr>
        <w:pStyle w:val="107"/>
        <w:spacing w:beforeLines="0" w:afterLines="0"/>
        <w:jc w:val="center"/>
        <w:rPr>
          <w:rStyle w:val="31"/>
          <w:rFonts w:hint="default" w:ascii="宋体" w:hAnsi="宋体" w:eastAsia="宋体" w:cs="宋体"/>
          <w:b/>
          <w:color w:val="auto"/>
          <w:sz w:val="24"/>
          <w:szCs w:val="24"/>
          <w:highlight w:val="none"/>
          <w:lang w:eastAsia="zh-CN"/>
        </w:rPr>
      </w:pPr>
      <w:bookmarkStart w:id="98" w:name="_Toc24555"/>
      <w:r>
        <w:rPr>
          <w:rStyle w:val="31"/>
          <w:rFonts w:hint="default" w:ascii="宋体" w:hAnsi="宋体" w:eastAsia="宋体" w:cs="宋体"/>
          <w:b/>
          <w:color w:val="auto"/>
          <w:sz w:val="24"/>
          <w:szCs w:val="24"/>
          <w:highlight w:val="none"/>
          <w:lang w:eastAsia="zh-CN"/>
        </w:rPr>
        <w:t>拟投入本合同工程的试验和检测仪器设备表</w:t>
      </w:r>
      <w:bookmarkEnd w:id="94"/>
      <w:bookmarkEnd w:id="95"/>
      <w:bookmarkEnd w:id="96"/>
      <w:bookmarkEnd w:id="97"/>
      <w:bookmarkEnd w:id="98"/>
    </w:p>
    <w:tbl>
      <w:tblPr>
        <w:tblStyle w:val="29"/>
        <w:tblW w:w="83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576"/>
        <w:gridCol w:w="1416"/>
        <w:gridCol w:w="907"/>
        <w:gridCol w:w="907"/>
        <w:gridCol w:w="907"/>
        <w:gridCol w:w="912"/>
        <w:gridCol w:w="902"/>
        <w:gridCol w:w="907"/>
        <w:gridCol w:w="917"/>
      </w:tblGrid>
      <w:tr w14:paraId="18D6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59" w:hRule="exact"/>
          <w:jc w:val="center"/>
        </w:trPr>
        <w:tc>
          <w:tcPr>
            <w:tcW w:w="576" w:type="dxa"/>
            <w:tcBorders>
              <w:top w:val="single" w:color="auto" w:sz="4" w:space="0"/>
              <w:left w:val="single" w:color="auto" w:sz="4" w:space="0"/>
              <w:bottom w:val="nil"/>
              <w:right w:val="nil"/>
              <w:tl2br w:val="nil"/>
              <w:tr2bl w:val="nil"/>
            </w:tcBorders>
            <w:shd w:val="clear" w:color="auto" w:fill="FFFFFF"/>
            <w:noWrap w:val="0"/>
            <w:vAlign w:val="center"/>
          </w:tcPr>
          <w:p w14:paraId="3E177F94">
            <w:pPr>
              <w:pStyle w:val="108"/>
              <w:spacing w:beforeLines="0" w:afterLines="0" w:line="240" w:lineRule="auto"/>
              <w:ind w:firstLine="0"/>
              <w:jc w:val="center"/>
              <w:rPr>
                <w:rStyle w:val="31"/>
                <w:rFonts w:hint="default"/>
                <w:color w:val="auto"/>
                <w:sz w:val="24"/>
                <w:szCs w:val="20"/>
                <w:highlight w:val="none"/>
              </w:rPr>
            </w:pPr>
            <w:r>
              <w:rPr>
                <w:rStyle w:val="31"/>
                <w:rFonts w:hint="default"/>
                <w:color w:val="auto"/>
                <w:sz w:val="24"/>
                <w:szCs w:val="20"/>
                <w:highlight w:val="none"/>
              </w:rPr>
              <w:t>序号</w:t>
            </w:r>
          </w:p>
        </w:tc>
        <w:tc>
          <w:tcPr>
            <w:tcW w:w="1416" w:type="dxa"/>
            <w:tcBorders>
              <w:top w:val="single" w:color="auto" w:sz="4" w:space="0"/>
              <w:left w:val="single" w:color="auto" w:sz="4" w:space="0"/>
              <w:bottom w:val="nil"/>
              <w:right w:val="nil"/>
              <w:tl2br w:val="nil"/>
              <w:tr2bl w:val="nil"/>
            </w:tcBorders>
            <w:shd w:val="clear" w:color="auto" w:fill="FFFFFF"/>
            <w:noWrap w:val="0"/>
            <w:vAlign w:val="center"/>
          </w:tcPr>
          <w:p w14:paraId="05DEB4C7">
            <w:pPr>
              <w:pStyle w:val="108"/>
              <w:spacing w:beforeLines="0" w:afterLines="0" w:line="240" w:lineRule="auto"/>
              <w:ind w:firstLine="0"/>
              <w:jc w:val="center"/>
              <w:rPr>
                <w:rStyle w:val="31"/>
                <w:rFonts w:hint="default"/>
                <w:color w:val="auto"/>
                <w:sz w:val="24"/>
                <w:szCs w:val="20"/>
                <w:highlight w:val="none"/>
              </w:rPr>
            </w:pPr>
            <w:r>
              <w:rPr>
                <w:rStyle w:val="31"/>
                <w:rFonts w:hint="default"/>
                <w:color w:val="auto"/>
                <w:sz w:val="24"/>
                <w:szCs w:val="20"/>
                <w:highlight w:val="none"/>
              </w:rPr>
              <w:t>仪器设备名称</w:t>
            </w: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62948BF7">
            <w:pPr>
              <w:pStyle w:val="108"/>
              <w:spacing w:beforeLines="0" w:afterLines="0" w:line="240" w:lineRule="auto"/>
              <w:ind w:firstLine="0"/>
              <w:jc w:val="center"/>
              <w:rPr>
                <w:rStyle w:val="31"/>
                <w:rFonts w:hint="default"/>
                <w:color w:val="auto"/>
                <w:sz w:val="24"/>
                <w:szCs w:val="20"/>
                <w:highlight w:val="none"/>
              </w:rPr>
            </w:pPr>
            <w:r>
              <w:rPr>
                <w:rStyle w:val="31"/>
                <w:rFonts w:hint="default"/>
                <w:color w:val="auto"/>
                <w:sz w:val="24"/>
                <w:szCs w:val="20"/>
                <w:highlight w:val="none"/>
              </w:rPr>
              <w:t>型号规格</w:t>
            </w: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5F9CD574">
            <w:pPr>
              <w:pStyle w:val="108"/>
              <w:spacing w:beforeLines="0" w:afterLines="0" w:line="240" w:lineRule="auto"/>
              <w:ind w:firstLine="0"/>
              <w:jc w:val="center"/>
              <w:rPr>
                <w:rStyle w:val="31"/>
                <w:rFonts w:hint="default"/>
                <w:color w:val="auto"/>
                <w:sz w:val="24"/>
                <w:szCs w:val="20"/>
                <w:highlight w:val="none"/>
              </w:rPr>
            </w:pPr>
            <w:r>
              <w:rPr>
                <w:rStyle w:val="31"/>
                <w:rFonts w:hint="default"/>
                <w:color w:val="auto"/>
                <w:sz w:val="24"/>
                <w:szCs w:val="20"/>
                <w:highlight w:val="none"/>
              </w:rPr>
              <w:t>数量</w:t>
            </w: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10410270">
            <w:pPr>
              <w:pStyle w:val="108"/>
              <w:spacing w:beforeLines="0" w:afterLines="0" w:line="240" w:lineRule="auto"/>
              <w:ind w:firstLine="0"/>
              <w:jc w:val="center"/>
              <w:rPr>
                <w:rStyle w:val="31"/>
                <w:rFonts w:hint="default"/>
                <w:color w:val="auto"/>
                <w:sz w:val="24"/>
                <w:szCs w:val="20"/>
                <w:highlight w:val="none"/>
              </w:rPr>
            </w:pPr>
            <w:r>
              <w:rPr>
                <w:rStyle w:val="31"/>
                <w:rFonts w:hint="default"/>
                <w:color w:val="auto"/>
                <w:sz w:val="24"/>
                <w:szCs w:val="20"/>
                <w:highlight w:val="none"/>
              </w:rPr>
              <w:t>国别产地</w:t>
            </w:r>
          </w:p>
        </w:tc>
        <w:tc>
          <w:tcPr>
            <w:tcW w:w="912" w:type="dxa"/>
            <w:tcBorders>
              <w:top w:val="single" w:color="auto" w:sz="4" w:space="0"/>
              <w:left w:val="single" w:color="auto" w:sz="4" w:space="0"/>
              <w:bottom w:val="nil"/>
              <w:right w:val="nil"/>
              <w:tl2br w:val="nil"/>
              <w:tr2bl w:val="nil"/>
            </w:tcBorders>
            <w:shd w:val="clear" w:color="auto" w:fill="FFFFFF"/>
            <w:noWrap w:val="0"/>
            <w:vAlign w:val="center"/>
          </w:tcPr>
          <w:p w14:paraId="77B3A140">
            <w:pPr>
              <w:pStyle w:val="108"/>
              <w:spacing w:beforeLines="0" w:afterLines="0" w:line="240" w:lineRule="auto"/>
              <w:ind w:firstLine="0"/>
              <w:jc w:val="center"/>
              <w:rPr>
                <w:rStyle w:val="31"/>
                <w:rFonts w:hint="default"/>
                <w:color w:val="auto"/>
                <w:sz w:val="24"/>
                <w:szCs w:val="20"/>
                <w:highlight w:val="none"/>
              </w:rPr>
            </w:pPr>
            <w:r>
              <w:rPr>
                <w:rStyle w:val="31"/>
                <w:rFonts w:hint="default"/>
                <w:color w:val="auto"/>
                <w:sz w:val="24"/>
                <w:szCs w:val="20"/>
                <w:highlight w:val="none"/>
              </w:rPr>
              <w:t>制造年份</w:t>
            </w: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2C9584F6">
            <w:pPr>
              <w:pStyle w:val="108"/>
              <w:spacing w:beforeLines="0" w:afterLines="0" w:line="264" w:lineRule="exact"/>
              <w:ind w:firstLine="0"/>
              <w:jc w:val="center"/>
              <w:rPr>
                <w:rStyle w:val="31"/>
                <w:rFonts w:hint="default"/>
                <w:color w:val="auto"/>
                <w:sz w:val="24"/>
                <w:szCs w:val="20"/>
                <w:highlight w:val="none"/>
              </w:rPr>
            </w:pPr>
            <w:r>
              <w:rPr>
                <w:rStyle w:val="31"/>
                <w:rFonts w:hint="default"/>
                <w:color w:val="auto"/>
                <w:sz w:val="24"/>
                <w:szCs w:val="20"/>
                <w:highlight w:val="none"/>
              </w:rPr>
              <w:t>己使用</w:t>
            </w:r>
          </w:p>
          <w:p w14:paraId="7215E9A2">
            <w:pPr>
              <w:pStyle w:val="108"/>
              <w:spacing w:beforeLines="0" w:afterLines="0" w:line="264" w:lineRule="exact"/>
              <w:ind w:firstLine="0"/>
              <w:jc w:val="center"/>
              <w:rPr>
                <w:rStyle w:val="31"/>
                <w:rFonts w:hint="default"/>
                <w:color w:val="auto"/>
                <w:sz w:val="24"/>
                <w:szCs w:val="20"/>
                <w:highlight w:val="none"/>
              </w:rPr>
            </w:pPr>
            <w:r>
              <w:rPr>
                <w:rStyle w:val="31"/>
                <w:rFonts w:hint="default"/>
                <w:color w:val="auto"/>
                <w:sz w:val="24"/>
                <w:szCs w:val="20"/>
                <w:highlight w:val="none"/>
              </w:rPr>
              <w:t>台时数</w:t>
            </w: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1B6CD79D">
            <w:pPr>
              <w:pStyle w:val="108"/>
              <w:spacing w:beforeLines="0" w:afterLines="0" w:line="240" w:lineRule="auto"/>
              <w:ind w:firstLine="0"/>
              <w:jc w:val="center"/>
              <w:rPr>
                <w:rStyle w:val="31"/>
                <w:rFonts w:hint="default"/>
                <w:color w:val="auto"/>
                <w:sz w:val="24"/>
                <w:szCs w:val="20"/>
                <w:highlight w:val="none"/>
              </w:rPr>
            </w:pPr>
            <w:r>
              <w:rPr>
                <w:rStyle w:val="31"/>
                <w:rFonts w:hint="default"/>
                <w:color w:val="auto"/>
                <w:sz w:val="24"/>
                <w:szCs w:val="20"/>
                <w:highlight w:val="none"/>
              </w:rPr>
              <w:t>用途</w:t>
            </w: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40CF20BF">
            <w:pPr>
              <w:pStyle w:val="108"/>
              <w:spacing w:beforeLines="0" w:afterLines="0" w:line="240" w:lineRule="auto"/>
              <w:ind w:firstLine="0"/>
              <w:jc w:val="center"/>
              <w:rPr>
                <w:rStyle w:val="31"/>
                <w:rFonts w:hint="default"/>
                <w:color w:val="auto"/>
                <w:sz w:val="24"/>
                <w:szCs w:val="20"/>
                <w:highlight w:val="none"/>
              </w:rPr>
            </w:pPr>
            <w:r>
              <w:rPr>
                <w:rStyle w:val="31"/>
                <w:rFonts w:hint="default"/>
                <w:color w:val="auto"/>
                <w:sz w:val="24"/>
                <w:szCs w:val="20"/>
                <w:highlight w:val="none"/>
              </w:rPr>
              <w:t>备注</w:t>
            </w:r>
          </w:p>
        </w:tc>
      </w:tr>
      <w:tr w14:paraId="38855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bottom w:val="nil"/>
              <w:right w:val="nil"/>
              <w:tl2br w:val="nil"/>
              <w:tr2bl w:val="nil"/>
            </w:tcBorders>
            <w:shd w:val="clear" w:color="auto" w:fill="FFFFFF"/>
            <w:noWrap w:val="0"/>
            <w:vAlign w:val="top"/>
          </w:tcPr>
          <w:p w14:paraId="6113C7E2">
            <w:pPr>
              <w:pStyle w:val="107"/>
              <w:spacing w:beforeLines="0" w:afterLines="0"/>
              <w:rPr>
                <w:rStyle w:val="31"/>
                <w:rFonts w:hint="default"/>
                <w:color w:val="auto"/>
                <w:sz w:val="24"/>
                <w:szCs w:val="24"/>
                <w:highlight w:val="none"/>
              </w:rPr>
            </w:pPr>
          </w:p>
        </w:tc>
        <w:tc>
          <w:tcPr>
            <w:tcW w:w="1416" w:type="dxa"/>
            <w:tcBorders>
              <w:top w:val="single" w:color="auto" w:sz="4" w:space="0"/>
              <w:left w:val="single" w:color="auto" w:sz="4" w:space="0"/>
              <w:bottom w:val="nil"/>
              <w:right w:val="nil"/>
              <w:tl2br w:val="nil"/>
              <w:tr2bl w:val="nil"/>
            </w:tcBorders>
            <w:shd w:val="clear" w:color="auto" w:fill="FFFFFF"/>
            <w:noWrap w:val="0"/>
            <w:vAlign w:val="top"/>
          </w:tcPr>
          <w:p w14:paraId="3484C1E3">
            <w:pPr>
              <w:pStyle w:val="107"/>
              <w:spacing w:beforeLines="0" w:afterLines="0"/>
              <w:rPr>
                <w:rStyle w:val="31"/>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5C261B4F">
            <w:pPr>
              <w:pStyle w:val="107"/>
              <w:spacing w:beforeLines="0" w:afterLines="0"/>
              <w:rPr>
                <w:rStyle w:val="31"/>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6B9B0281">
            <w:pPr>
              <w:pStyle w:val="107"/>
              <w:spacing w:beforeLines="0" w:afterLines="0"/>
              <w:rPr>
                <w:rStyle w:val="31"/>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4CD959C0">
            <w:pPr>
              <w:pStyle w:val="107"/>
              <w:spacing w:beforeLines="0" w:afterLines="0"/>
              <w:rPr>
                <w:rStyle w:val="31"/>
                <w:rFonts w:hint="default"/>
                <w:color w:val="auto"/>
                <w:sz w:val="24"/>
                <w:szCs w:val="24"/>
                <w:highlight w:val="none"/>
              </w:rPr>
            </w:pPr>
          </w:p>
        </w:tc>
        <w:tc>
          <w:tcPr>
            <w:tcW w:w="912" w:type="dxa"/>
            <w:tcBorders>
              <w:top w:val="single" w:color="auto" w:sz="4" w:space="0"/>
              <w:left w:val="single" w:color="auto" w:sz="4" w:space="0"/>
              <w:bottom w:val="nil"/>
              <w:right w:val="nil"/>
              <w:tl2br w:val="nil"/>
              <w:tr2bl w:val="nil"/>
            </w:tcBorders>
            <w:shd w:val="clear" w:color="auto" w:fill="FFFFFF"/>
            <w:noWrap w:val="0"/>
            <w:vAlign w:val="top"/>
          </w:tcPr>
          <w:p w14:paraId="75E645F0">
            <w:pPr>
              <w:pStyle w:val="107"/>
              <w:spacing w:beforeLines="0" w:afterLines="0"/>
              <w:rPr>
                <w:rStyle w:val="31"/>
                <w:rFonts w:hint="default"/>
                <w:color w:val="auto"/>
                <w:sz w:val="24"/>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top"/>
          </w:tcPr>
          <w:p w14:paraId="4D95422C">
            <w:pPr>
              <w:pStyle w:val="107"/>
              <w:spacing w:beforeLines="0" w:afterLines="0"/>
              <w:rPr>
                <w:rStyle w:val="31"/>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34C378D8">
            <w:pPr>
              <w:pStyle w:val="107"/>
              <w:spacing w:beforeLines="0" w:afterLines="0"/>
              <w:rPr>
                <w:rStyle w:val="31"/>
                <w:rFonts w:hint="default"/>
                <w:color w:val="auto"/>
                <w:sz w:val="24"/>
                <w:szCs w:val="24"/>
                <w:highlight w:val="none"/>
              </w:rPr>
            </w:pP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5D60A5CC">
            <w:pPr>
              <w:pStyle w:val="107"/>
              <w:spacing w:beforeLines="0" w:afterLines="0"/>
              <w:rPr>
                <w:rStyle w:val="31"/>
                <w:rFonts w:hint="default"/>
                <w:color w:val="auto"/>
                <w:sz w:val="24"/>
                <w:szCs w:val="24"/>
                <w:highlight w:val="none"/>
              </w:rPr>
            </w:pPr>
          </w:p>
        </w:tc>
      </w:tr>
      <w:tr w14:paraId="5138E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bottom w:val="nil"/>
              <w:right w:val="nil"/>
              <w:tl2br w:val="nil"/>
              <w:tr2bl w:val="nil"/>
            </w:tcBorders>
            <w:shd w:val="clear" w:color="auto" w:fill="FFFFFF"/>
            <w:noWrap w:val="0"/>
            <w:vAlign w:val="top"/>
          </w:tcPr>
          <w:p w14:paraId="084DFE17">
            <w:pPr>
              <w:pStyle w:val="107"/>
              <w:spacing w:beforeLines="0" w:afterLines="0"/>
              <w:rPr>
                <w:rStyle w:val="31"/>
                <w:rFonts w:hint="default"/>
                <w:color w:val="auto"/>
                <w:sz w:val="24"/>
                <w:szCs w:val="24"/>
                <w:highlight w:val="none"/>
              </w:rPr>
            </w:pPr>
          </w:p>
        </w:tc>
        <w:tc>
          <w:tcPr>
            <w:tcW w:w="1416" w:type="dxa"/>
            <w:tcBorders>
              <w:top w:val="single" w:color="auto" w:sz="4" w:space="0"/>
              <w:left w:val="single" w:color="auto" w:sz="4" w:space="0"/>
              <w:bottom w:val="nil"/>
              <w:right w:val="nil"/>
              <w:tl2br w:val="nil"/>
              <w:tr2bl w:val="nil"/>
            </w:tcBorders>
            <w:shd w:val="clear" w:color="auto" w:fill="FFFFFF"/>
            <w:noWrap w:val="0"/>
            <w:vAlign w:val="top"/>
          </w:tcPr>
          <w:p w14:paraId="512D5B95">
            <w:pPr>
              <w:pStyle w:val="107"/>
              <w:spacing w:beforeLines="0" w:afterLines="0"/>
              <w:rPr>
                <w:rStyle w:val="31"/>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746F08E2">
            <w:pPr>
              <w:pStyle w:val="107"/>
              <w:spacing w:beforeLines="0" w:afterLines="0"/>
              <w:rPr>
                <w:rStyle w:val="31"/>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280D33EC">
            <w:pPr>
              <w:pStyle w:val="107"/>
              <w:spacing w:beforeLines="0" w:afterLines="0"/>
              <w:rPr>
                <w:rStyle w:val="31"/>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2553568B">
            <w:pPr>
              <w:pStyle w:val="107"/>
              <w:spacing w:beforeLines="0" w:afterLines="0"/>
              <w:rPr>
                <w:rStyle w:val="31"/>
                <w:rFonts w:hint="default"/>
                <w:color w:val="auto"/>
                <w:sz w:val="24"/>
                <w:szCs w:val="24"/>
                <w:highlight w:val="none"/>
              </w:rPr>
            </w:pPr>
          </w:p>
        </w:tc>
        <w:tc>
          <w:tcPr>
            <w:tcW w:w="912" w:type="dxa"/>
            <w:tcBorders>
              <w:top w:val="single" w:color="auto" w:sz="4" w:space="0"/>
              <w:left w:val="single" w:color="auto" w:sz="4" w:space="0"/>
              <w:bottom w:val="nil"/>
              <w:right w:val="nil"/>
              <w:tl2br w:val="nil"/>
              <w:tr2bl w:val="nil"/>
            </w:tcBorders>
            <w:shd w:val="clear" w:color="auto" w:fill="FFFFFF"/>
            <w:noWrap w:val="0"/>
            <w:vAlign w:val="top"/>
          </w:tcPr>
          <w:p w14:paraId="3ADD4CC4">
            <w:pPr>
              <w:pStyle w:val="107"/>
              <w:spacing w:beforeLines="0" w:afterLines="0"/>
              <w:rPr>
                <w:rStyle w:val="31"/>
                <w:rFonts w:hint="default"/>
                <w:color w:val="auto"/>
                <w:sz w:val="24"/>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top"/>
          </w:tcPr>
          <w:p w14:paraId="75594AEE">
            <w:pPr>
              <w:pStyle w:val="107"/>
              <w:spacing w:beforeLines="0" w:afterLines="0"/>
              <w:rPr>
                <w:rStyle w:val="31"/>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3F9F70A8">
            <w:pPr>
              <w:pStyle w:val="107"/>
              <w:spacing w:beforeLines="0" w:afterLines="0"/>
              <w:rPr>
                <w:rStyle w:val="31"/>
                <w:rFonts w:hint="default"/>
                <w:color w:val="auto"/>
                <w:sz w:val="24"/>
                <w:szCs w:val="24"/>
                <w:highlight w:val="none"/>
              </w:rPr>
            </w:pP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7BA05873">
            <w:pPr>
              <w:pStyle w:val="107"/>
              <w:spacing w:beforeLines="0" w:afterLines="0"/>
              <w:rPr>
                <w:rStyle w:val="31"/>
                <w:rFonts w:hint="default"/>
                <w:color w:val="auto"/>
                <w:sz w:val="24"/>
                <w:szCs w:val="24"/>
                <w:highlight w:val="none"/>
              </w:rPr>
            </w:pPr>
          </w:p>
        </w:tc>
      </w:tr>
      <w:tr w14:paraId="71CDC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bottom w:val="nil"/>
              <w:right w:val="nil"/>
              <w:tl2br w:val="nil"/>
              <w:tr2bl w:val="nil"/>
            </w:tcBorders>
            <w:shd w:val="clear" w:color="auto" w:fill="FFFFFF"/>
            <w:noWrap w:val="0"/>
            <w:vAlign w:val="top"/>
          </w:tcPr>
          <w:p w14:paraId="2D3DEFC1">
            <w:pPr>
              <w:pStyle w:val="107"/>
              <w:spacing w:beforeLines="0" w:afterLines="0"/>
              <w:rPr>
                <w:rStyle w:val="31"/>
                <w:rFonts w:hint="default"/>
                <w:color w:val="auto"/>
                <w:sz w:val="24"/>
                <w:szCs w:val="24"/>
                <w:highlight w:val="none"/>
              </w:rPr>
            </w:pPr>
          </w:p>
        </w:tc>
        <w:tc>
          <w:tcPr>
            <w:tcW w:w="1416" w:type="dxa"/>
            <w:tcBorders>
              <w:top w:val="single" w:color="auto" w:sz="4" w:space="0"/>
              <w:left w:val="single" w:color="auto" w:sz="4" w:space="0"/>
              <w:bottom w:val="nil"/>
              <w:right w:val="nil"/>
              <w:tl2br w:val="nil"/>
              <w:tr2bl w:val="nil"/>
            </w:tcBorders>
            <w:shd w:val="clear" w:color="auto" w:fill="FFFFFF"/>
            <w:noWrap w:val="0"/>
            <w:vAlign w:val="top"/>
          </w:tcPr>
          <w:p w14:paraId="7DE2C0A4">
            <w:pPr>
              <w:pStyle w:val="107"/>
              <w:spacing w:beforeLines="0" w:afterLines="0"/>
              <w:rPr>
                <w:rStyle w:val="31"/>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1F439C6F">
            <w:pPr>
              <w:pStyle w:val="107"/>
              <w:spacing w:beforeLines="0" w:afterLines="0"/>
              <w:rPr>
                <w:rStyle w:val="31"/>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7BD00AA7">
            <w:pPr>
              <w:pStyle w:val="107"/>
              <w:spacing w:beforeLines="0" w:afterLines="0"/>
              <w:rPr>
                <w:rStyle w:val="31"/>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5255963C">
            <w:pPr>
              <w:pStyle w:val="107"/>
              <w:spacing w:beforeLines="0" w:afterLines="0"/>
              <w:rPr>
                <w:rStyle w:val="31"/>
                <w:rFonts w:hint="default"/>
                <w:color w:val="auto"/>
                <w:sz w:val="24"/>
                <w:szCs w:val="24"/>
                <w:highlight w:val="none"/>
              </w:rPr>
            </w:pPr>
          </w:p>
        </w:tc>
        <w:tc>
          <w:tcPr>
            <w:tcW w:w="912" w:type="dxa"/>
            <w:tcBorders>
              <w:top w:val="single" w:color="auto" w:sz="4" w:space="0"/>
              <w:left w:val="single" w:color="auto" w:sz="4" w:space="0"/>
              <w:bottom w:val="nil"/>
              <w:right w:val="nil"/>
              <w:tl2br w:val="nil"/>
              <w:tr2bl w:val="nil"/>
            </w:tcBorders>
            <w:shd w:val="clear" w:color="auto" w:fill="FFFFFF"/>
            <w:noWrap w:val="0"/>
            <w:vAlign w:val="top"/>
          </w:tcPr>
          <w:p w14:paraId="3311C8C5">
            <w:pPr>
              <w:pStyle w:val="107"/>
              <w:spacing w:beforeLines="0" w:afterLines="0"/>
              <w:rPr>
                <w:rStyle w:val="31"/>
                <w:rFonts w:hint="default"/>
                <w:color w:val="auto"/>
                <w:sz w:val="24"/>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top"/>
          </w:tcPr>
          <w:p w14:paraId="505E18F6">
            <w:pPr>
              <w:pStyle w:val="107"/>
              <w:spacing w:beforeLines="0" w:afterLines="0"/>
              <w:rPr>
                <w:rStyle w:val="31"/>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66A9A3C0">
            <w:pPr>
              <w:pStyle w:val="107"/>
              <w:spacing w:beforeLines="0" w:afterLines="0"/>
              <w:rPr>
                <w:rStyle w:val="31"/>
                <w:rFonts w:hint="default"/>
                <w:color w:val="auto"/>
                <w:sz w:val="24"/>
                <w:szCs w:val="24"/>
                <w:highlight w:val="none"/>
              </w:rPr>
            </w:pP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1F3A9E64">
            <w:pPr>
              <w:pStyle w:val="107"/>
              <w:spacing w:beforeLines="0" w:afterLines="0"/>
              <w:rPr>
                <w:rStyle w:val="31"/>
                <w:rFonts w:hint="default"/>
                <w:color w:val="auto"/>
                <w:sz w:val="24"/>
                <w:szCs w:val="24"/>
                <w:highlight w:val="none"/>
              </w:rPr>
            </w:pPr>
          </w:p>
        </w:tc>
      </w:tr>
      <w:tr w14:paraId="63673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81" w:hRule="exact"/>
          <w:jc w:val="center"/>
        </w:trPr>
        <w:tc>
          <w:tcPr>
            <w:tcW w:w="576"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1C98257F">
            <w:pPr>
              <w:pStyle w:val="107"/>
              <w:spacing w:beforeLines="0" w:afterLines="0"/>
              <w:rPr>
                <w:rStyle w:val="31"/>
                <w:rFonts w:hint="default"/>
                <w:color w:val="auto"/>
                <w:sz w:val="24"/>
                <w:szCs w:val="24"/>
                <w:highlight w:val="none"/>
              </w:rPr>
            </w:pPr>
          </w:p>
        </w:tc>
        <w:tc>
          <w:tcPr>
            <w:tcW w:w="1416"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3F1741F5">
            <w:pPr>
              <w:pStyle w:val="107"/>
              <w:spacing w:beforeLines="0" w:afterLines="0"/>
              <w:rPr>
                <w:rStyle w:val="31"/>
                <w:rFonts w:hint="default"/>
                <w:color w:val="auto"/>
                <w:sz w:val="24"/>
                <w:szCs w:val="24"/>
                <w:highlight w:val="none"/>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0722B77D">
            <w:pPr>
              <w:pStyle w:val="107"/>
              <w:spacing w:beforeLines="0" w:afterLines="0"/>
              <w:rPr>
                <w:rStyle w:val="31"/>
                <w:rFonts w:hint="default"/>
                <w:color w:val="auto"/>
                <w:sz w:val="24"/>
                <w:szCs w:val="24"/>
                <w:highlight w:val="none"/>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247FF8CB">
            <w:pPr>
              <w:pStyle w:val="107"/>
              <w:spacing w:beforeLines="0" w:afterLines="0"/>
              <w:rPr>
                <w:rStyle w:val="31"/>
                <w:rFonts w:hint="default"/>
                <w:color w:val="auto"/>
                <w:sz w:val="24"/>
                <w:szCs w:val="24"/>
                <w:highlight w:val="none"/>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555DC93E">
            <w:pPr>
              <w:pStyle w:val="107"/>
              <w:spacing w:beforeLines="0" w:afterLines="0"/>
              <w:rPr>
                <w:rStyle w:val="31"/>
                <w:rFonts w:hint="default"/>
                <w:color w:val="auto"/>
                <w:sz w:val="24"/>
                <w:szCs w:val="24"/>
                <w:highlight w:val="none"/>
              </w:rPr>
            </w:pPr>
          </w:p>
        </w:tc>
        <w:tc>
          <w:tcPr>
            <w:tcW w:w="912"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1B27B908">
            <w:pPr>
              <w:pStyle w:val="107"/>
              <w:spacing w:beforeLines="0" w:afterLines="0"/>
              <w:rPr>
                <w:rStyle w:val="31"/>
                <w:rFonts w:hint="default"/>
                <w:color w:val="auto"/>
                <w:sz w:val="24"/>
                <w:szCs w:val="24"/>
                <w:highlight w:val="none"/>
              </w:rPr>
            </w:pPr>
          </w:p>
        </w:tc>
        <w:tc>
          <w:tcPr>
            <w:tcW w:w="902"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27043EA8">
            <w:pPr>
              <w:pStyle w:val="107"/>
              <w:spacing w:beforeLines="0" w:afterLines="0"/>
              <w:rPr>
                <w:rStyle w:val="31"/>
                <w:rFonts w:hint="default"/>
                <w:color w:val="auto"/>
                <w:sz w:val="24"/>
                <w:szCs w:val="24"/>
                <w:highlight w:val="none"/>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184707BC">
            <w:pPr>
              <w:pStyle w:val="107"/>
              <w:spacing w:beforeLines="0" w:afterLines="0"/>
              <w:rPr>
                <w:rStyle w:val="31"/>
                <w:rFonts w:hint="default"/>
                <w:color w:val="auto"/>
                <w:sz w:val="24"/>
                <w:szCs w:val="24"/>
                <w:highlight w:val="none"/>
              </w:rPr>
            </w:pPr>
          </w:p>
        </w:tc>
        <w:tc>
          <w:tcPr>
            <w:tcW w:w="9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410847B6">
            <w:pPr>
              <w:pStyle w:val="107"/>
              <w:spacing w:beforeLines="0" w:afterLines="0"/>
              <w:rPr>
                <w:rStyle w:val="31"/>
                <w:rFonts w:hint="default"/>
                <w:color w:val="auto"/>
                <w:sz w:val="24"/>
                <w:szCs w:val="24"/>
                <w:highlight w:val="none"/>
              </w:rPr>
            </w:pPr>
          </w:p>
        </w:tc>
      </w:tr>
    </w:tbl>
    <w:p w14:paraId="47236E28">
      <w:pPr>
        <w:pStyle w:val="107"/>
        <w:spacing w:beforeLines="0" w:afterLines="0"/>
        <w:rPr>
          <w:rStyle w:val="31"/>
          <w:rFonts w:hint="default"/>
          <w:color w:val="auto"/>
          <w:sz w:val="24"/>
          <w:szCs w:val="24"/>
          <w:highlight w:val="none"/>
        </w:rPr>
      </w:pPr>
    </w:p>
    <w:p w14:paraId="462430B4">
      <w:pPr>
        <w:pStyle w:val="107"/>
        <w:spacing w:beforeLines="0" w:afterLines="0"/>
        <w:rPr>
          <w:rStyle w:val="31"/>
          <w:rFonts w:hint="default"/>
          <w:color w:val="auto"/>
          <w:sz w:val="24"/>
          <w:szCs w:val="24"/>
          <w:highlight w:val="none"/>
        </w:rPr>
      </w:pPr>
      <w:r>
        <w:rPr>
          <w:rStyle w:val="31"/>
          <w:rFonts w:hint="default"/>
          <w:color w:val="auto"/>
          <w:sz w:val="24"/>
          <w:szCs w:val="24"/>
          <w:highlight w:val="none"/>
        </w:rPr>
        <w:br w:type="page"/>
      </w:r>
    </w:p>
    <w:p w14:paraId="369D1A78">
      <w:pPr>
        <w:pStyle w:val="107"/>
        <w:spacing w:beforeLines="0" w:afterLines="0"/>
        <w:rPr>
          <w:rStyle w:val="31"/>
          <w:rFonts w:hint="default" w:ascii="宋体" w:hAnsi="宋体" w:eastAsia="宋体" w:cs="宋体"/>
          <w:b/>
          <w:color w:val="auto"/>
          <w:sz w:val="28"/>
          <w:szCs w:val="28"/>
          <w:highlight w:val="none"/>
          <w:lang w:eastAsia="zh-CN"/>
        </w:rPr>
      </w:pPr>
      <w:bookmarkStart w:id="99" w:name="bookmark2239"/>
      <w:bookmarkStart w:id="100" w:name="bookmark2238"/>
      <w:bookmarkStart w:id="101" w:name="bookmark2237"/>
      <w:r>
        <w:rPr>
          <w:rStyle w:val="31"/>
          <w:rFonts w:hint="default" w:ascii="宋体" w:hAnsi="宋体" w:eastAsia="宋体" w:cs="宋体"/>
          <w:b/>
          <w:color w:val="auto"/>
          <w:sz w:val="28"/>
          <w:szCs w:val="28"/>
          <w:highlight w:val="none"/>
          <w:lang w:eastAsia="zh-CN"/>
        </w:rPr>
        <w:t>附件三：拟投入本合同工程的劳动力计划表</w:t>
      </w:r>
      <w:bookmarkEnd w:id="99"/>
      <w:bookmarkEnd w:id="100"/>
      <w:bookmarkEnd w:id="101"/>
    </w:p>
    <w:p w14:paraId="43315C0E">
      <w:pPr>
        <w:pStyle w:val="107"/>
        <w:spacing w:beforeLines="0" w:afterLines="0"/>
        <w:rPr>
          <w:rStyle w:val="31"/>
          <w:rFonts w:hint="default" w:ascii="宋体" w:hAnsi="宋体" w:eastAsia="宋体" w:cs="宋体"/>
          <w:b/>
          <w:color w:val="auto"/>
          <w:sz w:val="20"/>
          <w:szCs w:val="20"/>
          <w:highlight w:val="none"/>
          <w:lang w:eastAsia="zh-CN"/>
        </w:rPr>
      </w:pPr>
    </w:p>
    <w:p w14:paraId="29F0B238">
      <w:pPr>
        <w:pStyle w:val="107"/>
        <w:spacing w:beforeLines="0" w:afterLines="0"/>
        <w:jc w:val="center"/>
        <w:rPr>
          <w:rStyle w:val="31"/>
          <w:rFonts w:hint="default" w:ascii="宋体" w:hAnsi="宋体" w:eastAsia="宋体" w:cs="宋体"/>
          <w:b/>
          <w:color w:val="auto"/>
          <w:sz w:val="24"/>
          <w:szCs w:val="24"/>
          <w:highlight w:val="none"/>
          <w:lang w:eastAsia="zh-CN"/>
        </w:rPr>
      </w:pPr>
      <w:bookmarkStart w:id="102" w:name="bookmark2240"/>
      <w:bookmarkStart w:id="103" w:name="bookmark2242"/>
      <w:bookmarkStart w:id="104" w:name="_Toc26872"/>
      <w:bookmarkStart w:id="105" w:name="bookmark2241"/>
      <w:bookmarkStart w:id="106" w:name="_Toc30824"/>
      <w:r>
        <w:rPr>
          <w:rStyle w:val="31"/>
          <w:rFonts w:hint="default" w:ascii="宋体" w:hAnsi="宋体" w:eastAsia="宋体" w:cs="宋体"/>
          <w:b/>
          <w:color w:val="auto"/>
          <w:sz w:val="24"/>
          <w:szCs w:val="24"/>
          <w:highlight w:val="none"/>
          <w:lang w:eastAsia="zh-CN"/>
        </w:rPr>
        <w:t>拟投入本合同工程的劳动力计划表</w:t>
      </w:r>
      <w:bookmarkEnd w:id="102"/>
      <w:bookmarkEnd w:id="103"/>
      <w:bookmarkEnd w:id="104"/>
      <w:bookmarkEnd w:id="105"/>
      <w:bookmarkEnd w:id="106"/>
    </w:p>
    <w:p w14:paraId="59837CFA">
      <w:pPr>
        <w:pStyle w:val="107"/>
        <w:spacing w:beforeLines="0" w:afterLines="0"/>
        <w:jc w:val="center"/>
        <w:rPr>
          <w:rStyle w:val="31"/>
          <w:rFonts w:hint="default"/>
          <w:b/>
          <w:color w:val="auto"/>
          <w:sz w:val="24"/>
          <w:szCs w:val="24"/>
          <w:highlight w:val="none"/>
          <w:lang w:eastAsia="zh-CN"/>
        </w:rPr>
      </w:pPr>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850"/>
        <w:gridCol w:w="1586"/>
        <w:gridCol w:w="737"/>
        <w:gridCol w:w="737"/>
        <w:gridCol w:w="737"/>
        <w:gridCol w:w="737"/>
        <w:gridCol w:w="737"/>
        <w:gridCol w:w="947"/>
        <w:gridCol w:w="1328"/>
      </w:tblGrid>
      <w:tr w14:paraId="1A308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jc w:val="center"/>
        </w:trPr>
        <w:tc>
          <w:tcPr>
            <w:tcW w:w="2436" w:type="dxa"/>
            <w:gridSpan w:val="2"/>
            <w:vMerge w:val="restart"/>
            <w:tcBorders>
              <w:top w:val="single" w:color="auto" w:sz="4" w:space="0"/>
              <w:left w:val="single" w:color="auto" w:sz="4" w:space="0"/>
              <w:bottom w:val="nil"/>
              <w:right w:val="nil"/>
              <w:tl2br w:val="nil"/>
              <w:tr2bl w:val="nil"/>
            </w:tcBorders>
            <w:shd w:val="clear" w:color="auto" w:fill="FFFFFF"/>
            <w:noWrap w:val="0"/>
            <w:vAlign w:val="center"/>
          </w:tcPr>
          <w:p w14:paraId="11C557AF">
            <w:pPr>
              <w:pStyle w:val="108"/>
              <w:spacing w:beforeLines="0" w:afterLines="0" w:line="266" w:lineRule="exact"/>
              <w:ind w:firstLine="1780" w:firstLineChars="989"/>
              <w:rPr>
                <w:rStyle w:val="31"/>
                <w:rFonts w:hint="default"/>
                <w:color w:val="auto"/>
                <w:sz w:val="24"/>
                <w:szCs w:val="20"/>
                <w:highlight w:val="none"/>
              </w:rPr>
            </w:pPr>
            <w:r>
              <w:rPr>
                <w:rFonts w:hint="default"/>
                <w:color w:val="auto"/>
                <w:sz w:val="18"/>
                <w:szCs w:val="18"/>
                <w:highlight w:val="none"/>
                <w:lang w:bidi="mn-Mong-CN"/>
              </w:rPr>
              <mc:AlternateContent>
                <mc:Choice Requires="wps">
                  <w:drawing>
                    <wp:anchor distT="0" distB="0" distL="114300" distR="114300" simplePos="0" relativeHeight="251661312" behindDoc="0" locked="0" layoutInCell="1" allowOverlap="1">
                      <wp:simplePos x="0" y="0"/>
                      <wp:positionH relativeFrom="column">
                        <wp:posOffset>52705</wp:posOffset>
                      </wp:positionH>
                      <wp:positionV relativeFrom="paragraph">
                        <wp:posOffset>1270</wp:posOffset>
                      </wp:positionV>
                      <wp:extent cx="1494790" cy="508000"/>
                      <wp:effectExtent l="1270" t="4445" r="8890" b="20955"/>
                      <wp:wrapNone/>
                      <wp:docPr id="12" name="直接箭头连接符 12"/>
                      <wp:cNvGraphicFramePr/>
                      <a:graphic xmlns:a="http://schemas.openxmlformats.org/drawingml/2006/main">
                        <a:graphicData uri="http://schemas.microsoft.com/office/word/2010/wordprocessingShape">
                          <wps:wsp>
                            <wps:cNvCnPr/>
                            <wps:spPr>
                              <a:xfrm>
                                <a:off x="0" y="0"/>
                                <a:ext cx="1494790" cy="50800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15pt;margin-top:0.1pt;height:40pt;width:117.7pt;z-index:251661312;mso-width-relative:page;mso-height-relative:page;" filled="f" stroked="t" coordsize="21600,21600" o:gfxdata="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&#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N0tKbUAAAABQEAAA8AAAAAAAAAAQAgAAAAIgAAAGRy&#10;cy9kb3ducmV2LnhtbFBLAQIUABQAAAAIAIdO4kBxmUz8CQIAAAEEAAAOAAAAAAAAAAEAIAAAACMB&#10;AABkcnMvZTJvRG9jLnhtbFBLBQYAAAAABgAGAFkBAACeBQAAAAA=&#10;">
                      <v:fill on="f" focussize="0,0"/>
                      <v:stroke color="#000000" joinstyle="round"/>
                      <v:imagedata o:title=""/>
                      <o:lock v:ext="edit" aspectratio="f"/>
                    </v:shape>
                  </w:pict>
                </mc:Fallback>
              </mc:AlternateContent>
            </w:r>
            <w:r>
              <w:rPr>
                <w:rFonts w:hint="default"/>
                <w:color w:val="auto"/>
                <w:sz w:val="24"/>
                <w:szCs w:val="24"/>
                <w:highlight w:val="none"/>
                <w:lang w:val="en-US" w:bidi="mn-Mong-CN"/>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-8255</wp:posOffset>
                      </wp:positionV>
                      <wp:extent cx="901065" cy="728345"/>
                      <wp:effectExtent l="3175" t="3810" r="10160" b="10795"/>
                      <wp:wrapNone/>
                      <wp:docPr id="13" name="直接箭头连接符 13"/>
                      <wp:cNvGraphicFramePr/>
                      <a:graphic xmlns:a="http://schemas.openxmlformats.org/drawingml/2006/main">
                        <a:graphicData uri="http://schemas.microsoft.com/office/word/2010/wordprocessingShape">
                          <wps:wsp>
                            <wps:cNvCnPr/>
                            <wps:spPr>
                              <a:xfrm>
                                <a:off x="0" y="0"/>
                                <a:ext cx="901065" cy="72834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1pt;margin-top:-0.65pt;height:57.35pt;width:70.95pt;z-index:251662336;mso-width-relative:page;mso-height-relative:page;" filled="f" stroked="t" coordsize="21600,21600" o:gfxdata="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JKRUvYAAAACQEAAA8AAAAAAAAAAQAgAAAAIgAAAGRy&#10;cy9kb3ducmV2LnhtbFBLAQIUABQAAAAIAIdO4kCVLE0fBQIAAAAEAAAOAAAAAAAAAAEAIAAAACcB&#10;AABkcnMvZTJvRG9jLnhtbFBLBQYAAAAABgAGAFkBAACeBQAAAAA=&#10;">
                      <v:fill on="f" focussize="0,0"/>
                      <v:stroke color="#000000" joinstyle="round"/>
                      <v:imagedata o:title=""/>
                      <o:lock v:ext="edit" aspectratio="f"/>
                    </v:shape>
                  </w:pict>
                </mc:Fallback>
              </mc:AlternateContent>
            </w:r>
            <w:r>
              <w:rPr>
                <w:rStyle w:val="31"/>
                <w:rFonts w:hint="default"/>
                <w:color w:val="auto"/>
                <w:sz w:val="24"/>
                <w:szCs w:val="20"/>
                <w:highlight w:val="none"/>
              </w:rPr>
              <w:t xml:space="preserve">工种 </w:t>
            </w:r>
          </w:p>
          <w:p w14:paraId="7DAF48AB">
            <w:pPr>
              <w:pStyle w:val="108"/>
              <w:spacing w:beforeLines="0" w:afterLines="0" w:line="266" w:lineRule="exact"/>
              <w:ind w:firstLine="936" w:firstLineChars="390"/>
              <w:rPr>
                <w:rStyle w:val="31"/>
                <w:rFonts w:hint="default"/>
                <w:color w:val="auto"/>
                <w:sz w:val="24"/>
                <w:szCs w:val="20"/>
                <w:highlight w:val="none"/>
              </w:rPr>
            </w:pPr>
          </w:p>
          <w:p w14:paraId="2D98A3B1">
            <w:pPr>
              <w:pStyle w:val="108"/>
              <w:spacing w:beforeLines="0" w:afterLines="0" w:line="266" w:lineRule="exact"/>
              <w:ind w:firstLine="1176" w:firstLineChars="490"/>
              <w:rPr>
                <w:rStyle w:val="31"/>
                <w:rFonts w:hint="default"/>
                <w:color w:val="auto"/>
                <w:sz w:val="24"/>
                <w:szCs w:val="20"/>
                <w:highlight w:val="none"/>
              </w:rPr>
            </w:pPr>
            <w:r>
              <w:rPr>
                <w:rStyle w:val="31"/>
                <w:rFonts w:hint="default"/>
                <w:color w:val="auto"/>
                <w:sz w:val="24"/>
                <w:szCs w:val="20"/>
                <w:highlight w:val="none"/>
              </w:rPr>
              <w:t>人数</w:t>
            </w:r>
          </w:p>
          <w:p w14:paraId="0DFA11EA">
            <w:pPr>
              <w:pStyle w:val="108"/>
              <w:spacing w:beforeLines="0" w:afterLines="0" w:line="266" w:lineRule="exact"/>
              <w:ind w:firstLine="180"/>
              <w:rPr>
                <w:rStyle w:val="31"/>
                <w:rFonts w:hint="default"/>
                <w:color w:val="auto"/>
                <w:sz w:val="24"/>
                <w:szCs w:val="20"/>
                <w:highlight w:val="none"/>
              </w:rPr>
            </w:pPr>
            <w:r>
              <w:rPr>
                <w:rStyle w:val="31"/>
                <w:rFonts w:hint="default"/>
                <w:color w:val="auto"/>
                <w:sz w:val="24"/>
                <w:szCs w:val="20"/>
                <w:highlight w:val="none"/>
              </w:rPr>
              <w:t>时间</w:t>
            </w:r>
          </w:p>
        </w:tc>
        <w:tc>
          <w:tcPr>
            <w:tcW w:w="737" w:type="dxa"/>
            <w:vMerge w:val="restart"/>
            <w:tcBorders>
              <w:top w:val="single" w:color="auto" w:sz="4" w:space="0"/>
              <w:left w:val="single" w:color="auto" w:sz="4" w:space="0"/>
              <w:bottom w:val="nil"/>
              <w:right w:val="nil"/>
              <w:tl2br w:val="nil"/>
              <w:tr2bl w:val="nil"/>
            </w:tcBorders>
            <w:shd w:val="clear" w:color="auto" w:fill="FFFFFF"/>
            <w:noWrap w:val="0"/>
            <w:vAlign w:val="top"/>
          </w:tcPr>
          <w:p w14:paraId="70A3C414">
            <w:pPr>
              <w:pStyle w:val="107"/>
              <w:spacing w:beforeLines="0" w:afterLines="0"/>
              <w:rPr>
                <w:rStyle w:val="31"/>
                <w:rFonts w:hint="default"/>
                <w:color w:val="auto"/>
                <w:sz w:val="24"/>
                <w:szCs w:val="24"/>
                <w:highlight w:val="none"/>
              </w:rPr>
            </w:pPr>
          </w:p>
        </w:tc>
        <w:tc>
          <w:tcPr>
            <w:tcW w:w="737" w:type="dxa"/>
            <w:vMerge w:val="restart"/>
            <w:tcBorders>
              <w:top w:val="single" w:color="auto" w:sz="4" w:space="0"/>
              <w:left w:val="single" w:color="auto" w:sz="4" w:space="0"/>
              <w:bottom w:val="nil"/>
              <w:right w:val="nil"/>
              <w:tl2br w:val="nil"/>
              <w:tr2bl w:val="nil"/>
            </w:tcBorders>
            <w:shd w:val="clear" w:color="auto" w:fill="FFFFFF"/>
            <w:noWrap w:val="0"/>
            <w:vAlign w:val="top"/>
          </w:tcPr>
          <w:p w14:paraId="7C32209F">
            <w:pPr>
              <w:pStyle w:val="107"/>
              <w:spacing w:beforeLines="0" w:afterLines="0"/>
              <w:rPr>
                <w:rStyle w:val="31"/>
                <w:rFonts w:hint="default"/>
                <w:color w:val="auto"/>
                <w:sz w:val="24"/>
                <w:szCs w:val="24"/>
                <w:highlight w:val="none"/>
              </w:rPr>
            </w:pPr>
          </w:p>
        </w:tc>
        <w:tc>
          <w:tcPr>
            <w:tcW w:w="737" w:type="dxa"/>
            <w:vMerge w:val="restart"/>
            <w:tcBorders>
              <w:top w:val="single" w:color="auto" w:sz="4" w:space="0"/>
              <w:left w:val="single" w:color="auto" w:sz="4" w:space="0"/>
              <w:bottom w:val="nil"/>
              <w:right w:val="nil"/>
              <w:tl2br w:val="nil"/>
              <w:tr2bl w:val="nil"/>
            </w:tcBorders>
            <w:shd w:val="clear" w:color="auto" w:fill="FFFFFF"/>
            <w:noWrap w:val="0"/>
            <w:vAlign w:val="top"/>
          </w:tcPr>
          <w:p w14:paraId="14B4D315">
            <w:pPr>
              <w:pStyle w:val="107"/>
              <w:spacing w:beforeLines="0" w:afterLines="0"/>
              <w:rPr>
                <w:rStyle w:val="31"/>
                <w:rFonts w:hint="default"/>
                <w:color w:val="auto"/>
                <w:sz w:val="24"/>
                <w:szCs w:val="24"/>
                <w:highlight w:val="none"/>
              </w:rPr>
            </w:pPr>
          </w:p>
        </w:tc>
        <w:tc>
          <w:tcPr>
            <w:tcW w:w="737" w:type="dxa"/>
            <w:vMerge w:val="restart"/>
            <w:tcBorders>
              <w:top w:val="single" w:color="auto" w:sz="4" w:space="0"/>
              <w:left w:val="single" w:color="auto" w:sz="4" w:space="0"/>
              <w:bottom w:val="nil"/>
              <w:right w:val="nil"/>
              <w:tl2br w:val="nil"/>
              <w:tr2bl w:val="nil"/>
            </w:tcBorders>
            <w:shd w:val="clear" w:color="auto" w:fill="FFFFFF"/>
            <w:noWrap w:val="0"/>
            <w:vAlign w:val="top"/>
          </w:tcPr>
          <w:p w14:paraId="6E9C33FE">
            <w:pPr>
              <w:pStyle w:val="107"/>
              <w:spacing w:beforeLines="0" w:afterLines="0"/>
              <w:rPr>
                <w:rStyle w:val="31"/>
                <w:rFonts w:hint="default"/>
                <w:color w:val="auto"/>
                <w:sz w:val="24"/>
                <w:szCs w:val="24"/>
                <w:highlight w:val="none"/>
              </w:rPr>
            </w:pPr>
          </w:p>
        </w:tc>
        <w:tc>
          <w:tcPr>
            <w:tcW w:w="737" w:type="dxa"/>
            <w:vMerge w:val="restart"/>
            <w:tcBorders>
              <w:top w:val="single" w:color="auto" w:sz="4" w:space="0"/>
              <w:left w:val="single" w:color="auto" w:sz="4" w:space="0"/>
              <w:bottom w:val="nil"/>
              <w:right w:val="nil"/>
              <w:tl2br w:val="nil"/>
              <w:tr2bl w:val="nil"/>
            </w:tcBorders>
            <w:shd w:val="clear" w:color="auto" w:fill="FFFFFF"/>
            <w:noWrap w:val="0"/>
            <w:vAlign w:val="top"/>
          </w:tcPr>
          <w:p w14:paraId="110ED738">
            <w:pPr>
              <w:pStyle w:val="107"/>
              <w:spacing w:beforeLines="0" w:afterLines="0"/>
              <w:rPr>
                <w:rStyle w:val="31"/>
                <w:rFonts w:hint="default"/>
                <w:color w:val="auto"/>
                <w:sz w:val="24"/>
                <w:szCs w:val="24"/>
                <w:highlight w:val="none"/>
              </w:rPr>
            </w:pPr>
          </w:p>
        </w:tc>
        <w:tc>
          <w:tcPr>
            <w:tcW w:w="2275" w:type="dxa"/>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37655731">
            <w:pPr>
              <w:pStyle w:val="108"/>
              <w:spacing w:beforeLines="0" w:afterLines="0" w:line="240" w:lineRule="auto"/>
              <w:ind w:firstLine="0"/>
              <w:jc w:val="center"/>
              <w:rPr>
                <w:rStyle w:val="31"/>
                <w:rFonts w:hint="default"/>
                <w:color w:val="auto"/>
                <w:sz w:val="24"/>
                <w:szCs w:val="20"/>
                <w:highlight w:val="none"/>
              </w:rPr>
            </w:pPr>
            <w:r>
              <w:rPr>
                <w:rStyle w:val="31"/>
                <w:rFonts w:hint="default"/>
                <w:color w:val="auto"/>
                <w:sz w:val="24"/>
                <w:szCs w:val="20"/>
                <w:highlight w:val="none"/>
              </w:rPr>
              <w:t>合 计</w:t>
            </w:r>
          </w:p>
        </w:tc>
      </w:tr>
      <w:tr w14:paraId="4993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436" w:type="dxa"/>
            <w:gridSpan w:val="2"/>
            <w:vMerge w:val="continue"/>
            <w:tcBorders>
              <w:top w:val="nil"/>
              <w:left w:val="single" w:color="auto" w:sz="4" w:space="0"/>
              <w:bottom w:val="nil"/>
              <w:right w:val="nil"/>
              <w:tl2br w:val="nil"/>
              <w:tr2bl w:val="nil"/>
            </w:tcBorders>
            <w:shd w:val="clear" w:color="auto" w:fill="FFFFFF"/>
            <w:noWrap w:val="0"/>
            <w:vAlign w:val="center"/>
          </w:tcPr>
          <w:p w14:paraId="12F83797">
            <w:pPr>
              <w:pStyle w:val="107"/>
              <w:spacing w:beforeLines="0" w:afterLines="0"/>
              <w:rPr>
                <w:rStyle w:val="31"/>
                <w:rFonts w:hint="default"/>
                <w:color w:val="auto"/>
                <w:sz w:val="24"/>
                <w:szCs w:val="24"/>
                <w:highlight w:val="none"/>
              </w:rPr>
            </w:pPr>
          </w:p>
        </w:tc>
        <w:tc>
          <w:tcPr>
            <w:tcW w:w="737" w:type="dxa"/>
            <w:vMerge w:val="continue"/>
            <w:tcBorders>
              <w:top w:val="nil"/>
              <w:left w:val="single" w:color="auto" w:sz="4" w:space="0"/>
              <w:bottom w:val="nil"/>
              <w:right w:val="nil"/>
              <w:tl2br w:val="nil"/>
              <w:tr2bl w:val="nil"/>
            </w:tcBorders>
            <w:shd w:val="clear" w:color="auto" w:fill="FFFFFF"/>
            <w:noWrap w:val="0"/>
            <w:vAlign w:val="top"/>
          </w:tcPr>
          <w:p w14:paraId="2AF6378B">
            <w:pPr>
              <w:pStyle w:val="107"/>
              <w:spacing w:beforeLines="0" w:afterLines="0"/>
              <w:rPr>
                <w:rStyle w:val="31"/>
                <w:rFonts w:hint="default"/>
                <w:color w:val="auto"/>
                <w:sz w:val="24"/>
                <w:szCs w:val="24"/>
                <w:highlight w:val="none"/>
              </w:rPr>
            </w:pPr>
          </w:p>
        </w:tc>
        <w:tc>
          <w:tcPr>
            <w:tcW w:w="737" w:type="dxa"/>
            <w:vMerge w:val="continue"/>
            <w:tcBorders>
              <w:top w:val="nil"/>
              <w:left w:val="single" w:color="auto" w:sz="4" w:space="0"/>
              <w:bottom w:val="nil"/>
              <w:right w:val="nil"/>
              <w:tl2br w:val="nil"/>
              <w:tr2bl w:val="nil"/>
            </w:tcBorders>
            <w:shd w:val="clear" w:color="auto" w:fill="FFFFFF"/>
            <w:noWrap w:val="0"/>
            <w:vAlign w:val="top"/>
          </w:tcPr>
          <w:p w14:paraId="51AE10EC">
            <w:pPr>
              <w:pStyle w:val="107"/>
              <w:spacing w:beforeLines="0" w:afterLines="0"/>
              <w:rPr>
                <w:rStyle w:val="31"/>
                <w:rFonts w:hint="default"/>
                <w:color w:val="auto"/>
                <w:sz w:val="24"/>
                <w:szCs w:val="24"/>
                <w:highlight w:val="none"/>
              </w:rPr>
            </w:pPr>
          </w:p>
        </w:tc>
        <w:tc>
          <w:tcPr>
            <w:tcW w:w="737" w:type="dxa"/>
            <w:vMerge w:val="continue"/>
            <w:tcBorders>
              <w:top w:val="nil"/>
              <w:left w:val="single" w:color="auto" w:sz="4" w:space="0"/>
              <w:bottom w:val="nil"/>
              <w:right w:val="nil"/>
              <w:tl2br w:val="nil"/>
              <w:tr2bl w:val="nil"/>
            </w:tcBorders>
            <w:shd w:val="clear" w:color="auto" w:fill="FFFFFF"/>
            <w:noWrap w:val="0"/>
            <w:vAlign w:val="top"/>
          </w:tcPr>
          <w:p w14:paraId="23FA879E">
            <w:pPr>
              <w:pStyle w:val="107"/>
              <w:spacing w:beforeLines="0" w:afterLines="0"/>
              <w:rPr>
                <w:rStyle w:val="31"/>
                <w:rFonts w:hint="default"/>
                <w:color w:val="auto"/>
                <w:sz w:val="24"/>
                <w:szCs w:val="24"/>
                <w:highlight w:val="none"/>
              </w:rPr>
            </w:pPr>
          </w:p>
        </w:tc>
        <w:tc>
          <w:tcPr>
            <w:tcW w:w="737" w:type="dxa"/>
            <w:vMerge w:val="continue"/>
            <w:tcBorders>
              <w:top w:val="nil"/>
              <w:left w:val="single" w:color="auto" w:sz="4" w:space="0"/>
              <w:bottom w:val="nil"/>
              <w:right w:val="nil"/>
              <w:tl2br w:val="nil"/>
              <w:tr2bl w:val="nil"/>
            </w:tcBorders>
            <w:shd w:val="clear" w:color="auto" w:fill="FFFFFF"/>
            <w:noWrap w:val="0"/>
            <w:vAlign w:val="top"/>
          </w:tcPr>
          <w:p w14:paraId="7A8F6DA2">
            <w:pPr>
              <w:pStyle w:val="107"/>
              <w:spacing w:beforeLines="0" w:afterLines="0"/>
              <w:rPr>
                <w:rStyle w:val="31"/>
                <w:rFonts w:hint="default"/>
                <w:color w:val="auto"/>
                <w:sz w:val="24"/>
                <w:szCs w:val="24"/>
                <w:highlight w:val="none"/>
              </w:rPr>
            </w:pPr>
          </w:p>
        </w:tc>
        <w:tc>
          <w:tcPr>
            <w:tcW w:w="737" w:type="dxa"/>
            <w:vMerge w:val="continue"/>
            <w:tcBorders>
              <w:top w:val="nil"/>
              <w:left w:val="single" w:color="auto" w:sz="4" w:space="0"/>
              <w:bottom w:val="nil"/>
              <w:right w:val="nil"/>
              <w:tl2br w:val="nil"/>
              <w:tr2bl w:val="nil"/>
            </w:tcBorders>
            <w:shd w:val="clear" w:color="auto" w:fill="FFFFFF"/>
            <w:noWrap w:val="0"/>
            <w:vAlign w:val="top"/>
          </w:tcPr>
          <w:p w14:paraId="462F50E2">
            <w:pPr>
              <w:pStyle w:val="107"/>
              <w:spacing w:beforeLines="0" w:afterLines="0"/>
              <w:rPr>
                <w:rStyle w:val="31"/>
                <w:rFonts w:hint="default"/>
                <w:color w:val="auto"/>
                <w:sz w:val="24"/>
                <w:szCs w:val="24"/>
                <w:highlight w:val="none"/>
              </w:rPr>
            </w:pPr>
          </w:p>
        </w:tc>
        <w:tc>
          <w:tcPr>
            <w:tcW w:w="947" w:type="dxa"/>
            <w:tcBorders>
              <w:top w:val="single" w:color="auto" w:sz="4" w:space="0"/>
              <w:left w:val="single" w:color="auto" w:sz="4" w:space="0"/>
              <w:bottom w:val="nil"/>
              <w:right w:val="nil"/>
              <w:tl2br w:val="nil"/>
              <w:tr2bl w:val="nil"/>
            </w:tcBorders>
            <w:shd w:val="clear" w:color="auto" w:fill="FFFFFF"/>
            <w:noWrap w:val="0"/>
            <w:vAlign w:val="center"/>
          </w:tcPr>
          <w:p w14:paraId="244CC7A4">
            <w:pPr>
              <w:pStyle w:val="108"/>
              <w:spacing w:beforeLines="0" w:afterLines="0" w:line="240" w:lineRule="auto"/>
              <w:ind w:firstLine="0"/>
              <w:jc w:val="center"/>
              <w:rPr>
                <w:rStyle w:val="31"/>
                <w:rFonts w:hint="default"/>
                <w:color w:val="auto"/>
                <w:sz w:val="24"/>
                <w:szCs w:val="20"/>
                <w:highlight w:val="none"/>
              </w:rPr>
            </w:pPr>
            <w:r>
              <w:rPr>
                <w:rStyle w:val="31"/>
                <w:rFonts w:hint="default"/>
                <w:color w:val="auto"/>
                <w:sz w:val="24"/>
                <w:szCs w:val="20"/>
                <w:highlight w:val="none"/>
              </w:rPr>
              <w:t>人数</w:t>
            </w: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5285D133">
            <w:pPr>
              <w:pStyle w:val="108"/>
              <w:spacing w:beforeLines="0" w:afterLines="0" w:line="240" w:lineRule="auto"/>
              <w:ind w:firstLine="0"/>
              <w:jc w:val="center"/>
              <w:rPr>
                <w:rStyle w:val="31"/>
                <w:rFonts w:hint="default"/>
                <w:color w:val="auto"/>
                <w:sz w:val="24"/>
                <w:szCs w:val="20"/>
                <w:highlight w:val="none"/>
              </w:rPr>
            </w:pPr>
            <w:r>
              <w:rPr>
                <w:rStyle w:val="31"/>
                <w:rFonts w:hint="default"/>
                <w:color w:val="auto"/>
                <w:sz w:val="24"/>
                <w:szCs w:val="20"/>
                <w:highlight w:val="none"/>
              </w:rPr>
              <w:t>人工工日数</w:t>
            </w:r>
          </w:p>
        </w:tc>
      </w:tr>
      <w:tr w14:paraId="51EC6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850" w:type="dxa"/>
            <w:vMerge w:val="restart"/>
            <w:tcBorders>
              <w:top w:val="single" w:color="auto" w:sz="4" w:space="0"/>
              <w:left w:val="single" w:color="auto" w:sz="4" w:space="0"/>
              <w:bottom w:val="nil"/>
              <w:right w:val="nil"/>
              <w:tl2br w:val="nil"/>
              <w:tr2bl w:val="nil"/>
            </w:tcBorders>
            <w:shd w:val="clear" w:color="auto" w:fill="FFFFFF"/>
            <w:noWrap w:val="0"/>
            <w:vAlign w:val="center"/>
          </w:tcPr>
          <w:p w14:paraId="30459D20">
            <w:pPr>
              <w:pStyle w:val="108"/>
              <w:spacing w:beforeLines="0" w:afterLines="0" w:line="240" w:lineRule="auto"/>
              <w:rPr>
                <w:rStyle w:val="31"/>
                <w:rFonts w:hint="default"/>
                <w:color w:val="auto"/>
                <w:sz w:val="24"/>
                <w:szCs w:val="20"/>
                <w:highlight w:val="none"/>
              </w:rPr>
            </w:pPr>
            <w:r>
              <w:rPr>
                <w:rStyle w:val="31"/>
                <w:rFonts w:hint="default"/>
                <w:color w:val="auto"/>
                <w:sz w:val="24"/>
                <w:szCs w:val="20"/>
                <w:highlight w:val="none"/>
              </w:rPr>
              <w:t>年</w:t>
            </w: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3201B84A">
            <w:pPr>
              <w:pStyle w:val="108"/>
              <w:spacing w:beforeLines="0" w:afterLines="0" w:line="240" w:lineRule="auto"/>
              <w:ind w:left="1120" w:firstLine="0"/>
              <w:rPr>
                <w:rStyle w:val="31"/>
                <w:rFonts w:hint="default"/>
                <w:color w:val="auto"/>
                <w:sz w:val="24"/>
                <w:szCs w:val="20"/>
                <w:highlight w:val="none"/>
              </w:rPr>
            </w:pPr>
            <w:r>
              <w:rPr>
                <w:rStyle w:val="31"/>
                <w:rFonts w:hint="default"/>
                <w:color w:val="auto"/>
                <w:sz w:val="24"/>
                <w:szCs w:val="20"/>
                <w:highlight w:val="none"/>
              </w:rPr>
              <w:t>月</w:t>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27EAEC9D">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82FAA49">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603ADE3D">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258B928">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349C5895">
            <w:pPr>
              <w:pStyle w:val="107"/>
              <w:spacing w:beforeLines="0" w:afterLines="0"/>
              <w:rPr>
                <w:rStyle w:val="31"/>
                <w:rFonts w:hint="default"/>
                <w:color w:val="auto"/>
                <w:sz w:val="24"/>
                <w:szCs w:val="24"/>
                <w:highlight w:val="none"/>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23764016">
            <w:pPr>
              <w:pStyle w:val="107"/>
              <w:spacing w:beforeLines="0" w:afterLines="0"/>
              <w:rPr>
                <w:rStyle w:val="31"/>
                <w:rFonts w:hint="default"/>
                <w:color w:val="auto"/>
                <w:sz w:val="24"/>
                <w:szCs w:val="24"/>
                <w:highlight w:val="none"/>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1642B1B6">
            <w:pPr>
              <w:pStyle w:val="107"/>
              <w:spacing w:beforeLines="0" w:afterLines="0"/>
              <w:jc w:val="center"/>
              <w:rPr>
                <w:rStyle w:val="31"/>
                <w:rFonts w:hint="default"/>
                <w:color w:val="auto"/>
                <w:sz w:val="24"/>
                <w:szCs w:val="24"/>
                <w:highlight w:val="none"/>
              </w:rPr>
            </w:pPr>
          </w:p>
        </w:tc>
      </w:tr>
      <w:tr w14:paraId="57E2E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850" w:type="dxa"/>
            <w:vMerge w:val="continue"/>
            <w:tcBorders>
              <w:top w:val="nil"/>
              <w:left w:val="single" w:color="auto" w:sz="4" w:space="0"/>
              <w:bottom w:val="nil"/>
              <w:right w:val="nil"/>
              <w:tl2br w:val="nil"/>
              <w:tr2bl w:val="nil"/>
            </w:tcBorders>
            <w:shd w:val="clear" w:color="auto" w:fill="FFFFFF"/>
            <w:noWrap w:val="0"/>
            <w:vAlign w:val="center"/>
          </w:tcPr>
          <w:p w14:paraId="5276B321">
            <w:pPr>
              <w:pStyle w:val="107"/>
              <w:spacing w:beforeLines="0" w:afterLines="0"/>
              <w:rPr>
                <w:rStyle w:val="31"/>
                <w:rFonts w:hint="default"/>
                <w:color w:val="auto"/>
                <w:sz w:val="24"/>
                <w:szCs w:val="24"/>
                <w:highlight w:val="none"/>
              </w:rPr>
            </w:pP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74A638A9">
            <w:pPr>
              <w:pStyle w:val="108"/>
              <w:spacing w:beforeLines="0" w:afterLines="0" w:line="240" w:lineRule="auto"/>
              <w:ind w:left="1120" w:firstLine="0"/>
              <w:rPr>
                <w:rStyle w:val="31"/>
                <w:rFonts w:hint="default"/>
                <w:color w:val="auto"/>
                <w:sz w:val="24"/>
                <w:szCs w:val="20"/>
                <w:highlight w:val="none"/>
              </w:rPr>
            </w:pPr>
            <w:r>
              <w:rPr>
                <w:rStyle w:val="31"/>
                <w:rFonts w:hint="default"/>
                <w:color w:val="auto"/>
                <w:sz w:val="24"/>
                <w:szCs w:val="20"/>
                <w:highlight w:val="none"/>
              </w:rPr>
              <w:t>月</w:t>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3C59ACC2">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32E14F97">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B8921AF">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2000F040">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110279D6">
            <w:pPr>
              <w:pStyle w:val="107"/>
              <w:spacing w:beforeLines="0" w:afterLines="0"/>
              <w:rPr>
                <w:rStyle w:val="31"/>
                <w:rFonts w:hint="default"/>
                <w:color w:val="auto"/>
                <w:sz w:val="24"/>
                <w:szCs w:val="24"/>
                <w:highlight w:val="none"/>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28C1C18C">
            <w:pPr>
              <w:pStyle w:val="107"/>
              <w:spacing w:beforeLines="0" w:afterLines="0"/>
              <w:rPr>
                <w:rStyle w:val="31"/>
                <w:rFonts w:hint="default"/>
                <w:color w:val="auto"/>
                <w:sz w:val="24"/>
                <w:szCs w:val="24"/>
                <w:highlight w:val="none"/>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1F963EB2">
            <w:pPr>
              <w:pStyle w:val="107"/>
              <w:spacing w:beforeLines="0" w:afterLines="0"/>
              <w:jc w:val="center"/>
              <w:rPr>
                <w:rStyle w:val="31"/>
                <w:rFonts w:hint="default"/>
                <w:color w:val="auto"/>
                <w:sz w:val="24"/>
                <w:szCs w:val="24"/>
                <w:highlight w:val="none"/>
              </w:rPr>
            </w:pPr>
          </w:p>
        </w:tc>
      </w:tr>
      <w:tr w14:paraId="7F08C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850" w:type="dxa"/>
            <w:vMerge w:val="continue"/>
            <w:tcBorders>
              <w:top w:val="nil"/>
              <w:left w:val="single" w:color="auto" w:sz="4" w:space="0"/>
              <w:bottom w:val="nil"/>
              <w:right w:val="nil"/>
              <w:tl2br w:val="nil"/>
              <w:tr2bl w:val="nil"/>
            </w:tcBorders>
            <w:shd w:val="clear" w:color="auto" w:fill="FFFFFF"/>
            <w:noWrap w:val="0"/>
            <w:vAlign w:val="center"/>
          </w:tcPr>
          <w:p w14:paraId="1AE86750">
            <w:pPr>
              <w:pStyle w:val="107"/>
              <w:spacing w:beforeLines="0" w:afterLines="0"/>
              <w:rPr>
                <w:rStyle w:val="31"/>
                <w:rFonts w:hint="default"/>
                <w:color w:val="auto"/>
                <w:sz w:val="24"/>
                <w:szCs w:val="24"/>
                <w:highlight w:val="none"/>
              </w:rPr>
            </w:pP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6B942CCE">
            <w:pPr>
              <w:pStyle w:val="108"/>
              <w:spacing w:beforeLines="0" w:afterLines="0" w:line="240" w:lineRule="auto"/>
              <w:ind w:left="1120" w:firstLine="0"/>
              <w:rPr>
                <w:rStyle w:val="31"/>
                <w:rFonts w:hint="default"/>
                <w:color w:val="auto"/>
                <w:sz w:val="24"/>
                <w:szCs w:val="20"/>
                <w:highlight w:val="none"/>
              </w:rPr>
            </w:pPr>
            <w:r>
              <w:rPr>
                <w:rStyle w:val="31"/>
                <w:rFonts w:hint="default"/>
                <w:color w:val="auto"/>
                <w:sz w:val="24"/>
                <w:szCs w:val="20"/>
                <w:highlight w:val="none"/>
              </w:rPr>
              <w:t>月</w:t>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0BCAF3F0">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702C32C9">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206D790A">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4A6B9EF6">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37C236DC">
            <w:pPr>
              <w:pStyle w:val="107"/>
              <w:spacing w:beforeLines="0" w:afterLines="0"/>
              <w:rPr>
                <w:rStyle w:val="31"/>
                <w:rFonts w:hint="default"/>
                <w:color w:val="auto"/>
                <w:sz w:val="24"/>
                <w:szCs w:val="24"/>
                <w:highlight w:val="none"/>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794DF2FF">
            <w:pPr>
              <w:pStyle w:val="107"/>
              <w:spacing w:beforeLines="0" w:afterLines="0"/>
              <w:rPr>
                <w:rStyle w:val="31"/>
                <w:rFonts w:hint="default"/>
                <w:color w:val="auto"/>
                <w:sz w:val="24"/>
                <w:szCs w:val="24"/>
                <w:highlight w:val="none"/>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37F44801">
            <w:pPr>
              <w:pStyle w:val="107"/>
              <w:spacing w:beforeLines="0" w:afterLines="0"/>
              <w:rPr>
                <w:rStyle w:val="31"/>
                <w:rFonts w:hint="default"/>
                <w:color w:val="auto"/>
                <w:sz w:val="24"/>
                <w:szCs w:val="24"/>
                <w:highlight w:val="none"/>
              </w:rPr>
            </w:pPr>
          </w:p>
        </w:tc>
      </w:tr>
      <w:tr w14:paraId="16BD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850" w:type="dxa"/>
            <w:vMerge w:val="continue"/>
            <w:tcBorders>
              <w:top w:val="nil"/>
              <w:left w:val="single" w:color="auto" w:sz="4" w:space="0"/>
              <w:bottom w:val="nil"/>
              <w:right w:val="nil"/>
              <w:tl2br w:val="nil"/>
              <w:tr2bl w:val="nil"/>
            </w:tcBorders>
            <w:shd w:val="clear" w:color="auto" w:fill="FFFFFF"/>
            <w:noWrap w:val="0"/>
            <w:vAlign w:val="center"/>
          </w:tcPr>
          <w:p w14:paraId="7DFCAE8B">
            <w:pPr>
              <w:pStyle w:val="107"/>
              <w:spacing w:beforeLines="0" w:afterLines="0"/>
              <w:rPr>
                <w:rStyle w:val="31"/>
                <w:rFonts w:hint="default"/>
                <w:color w:val="auto"/>
                <w:sz w:val="24"/>
                <w:szCs w:val="24"/>
                <w:highlight w:val="none"/>
              </w:rPr>
            </w:pP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263FE6F5">
            <w:pPr>
              <w:pStyle w:val="108"/>
              <w:spacing w:beforeLines="0" w:afterLines="0" w:line="240" w:lineRule="auto"/>
              <w:ind w:left="1120" w:firstLine="0"/>
              <w:rPr>
                <w:rStyle w:val="31"/>
                <w:rFonts w:hint="default"/>
                <w:color w:val="auto"/>
                <w:sz w:val="24"/>
                <w:szCs w:val="20"/>
                <w:highlight w:val="none"/>
              </w:rPr>
            </w:pPr>
            <w:r>
              <w:rPr>
                <w:rStyle w:val="31"/>
                <w:rFonts w:hint="default"/>
                <w:color w:val="auto"/>
                <w:sz w:val="24"/>
                <w:szCs w:val="20"/>
                <w:highlight w:val="none"/>
              </w:rPr>
              <w:t>月</w:t>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6BA03C6">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9D434EE">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13C94D1E">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4CDADA18">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05A426F2">
            <w:pPr>
              <w:pStyle w:val="107"/>
              <w:spacing w:beforeLines="0" w:afterLines="0"/>
              <w:rPr>
                <w:rStyle w:val="31"/>
                <w:rFonts w:hint="default"/>
                <w:color w:val="auto"/>
                <w:sz w:val="24"/>
                <w:szCs w:val="24"/>
                <w:highlight w:val="none"/>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44FDB5F5">
            <w:pPr>
              <w:pStyle w:val="107"/>
              <w:spacing w:beforeLines="0" w:afterLines="0"/>
              <w:rPr>
                <w:rStyle w:val="31"/>
                <w:rFonts w:hint="default"/>
                <w:color w:val="auto"/>
                <w:sz w:val="24"/>
                <w:szCs w:val="24"/>
                <w:highlight w:val="none"/>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7213D7AF">
            <w:pPr>
              <w:pStyle w:val="107"/>
              <w:spacing w:beforeLines="0" w:afterLines="0"/>
              <w:rPr>
                <w:rStyle w:val="31"/>
                <w:rFonts w:hint="default"/>
                <w:color w:val="auto"/>
                <w:sz w:val="24"/>
                <w:szCs w:val="24"/>
                <w:highlight w:val="none"/>
              </w:rPr>
            </w:pPr>
          </w:p>
        </w:tc>
      </w:tr>
      <w:tr w14:paraId="0FB9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850" w:type="dxa"/>
            <w:vMerge w:val="continue"/>
            <w:tcBorders>
              <w:top w:val="nil"/>
              <w:left w:val="single" w:color="auto" w:sz="4" w:space="0"/>
              <w:bottom w:val="nil"/>
              <w:right w:val="nil"/>
              <w:tl2br w:val="nil"/>
              <w:tr2bl w:val="nil"/>
            </w:tcBorders>
            <w:shd w:val="clear" w:color="auto" w:fill="FFFFFF"/>
            <w:noWrap w:val="0"/>
            <w:vAlign w:val="center"/>
          </w:tcPr>
          <w:p w14:paraId="7945CFCB">
            <w:pPr>
              <w:pStyle w:val="107"/>
              <w:spacing w:beforeLines="0" w:afterLines="0"/>
              <w:rPr>
                <w:rStyle w:val="31"/>
                <w:rFonts w:hint="default"/>
                <w:color w:val="auto"/>
                <w:sz w:val="24"/>
                <w:szCs w:val="24"/>
                <w:highlight w:val="none"/>
              </w:rPr>
            </w:pP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6D0C4211">
            <w:pPr>
              <w:pStyle w:val="108"/>
              <w:spacing w:beforeLines="0" w:afterLines="0" w:line="240" w:lineRule="auto"/>
              <w:ind w:left="1120" w:firstLine="0"/>
              <w:rPr>
                <w:rStyle w:val="31"/>
                <w:rFonts w:hint="default"/>
                <w:color w:val="auto"/>
                <w:sz w:val="24"/>
                <w:szCs w:val="20"/>
                <w:highlight w:val="none"/>
              </w:rPr>
            </w:pPr>
            <w:r>
              <w:rPr>
                <w:rStyle w:val="31"/>
                <w:rFonts w:hint="default"/>
                <w:color w:val="auto"/>
                <w:sz w:val="24"/>
                <w:szCs w:val="20"/>
                <w:highlight w:val="none"/>
              </w:rPr>
              <w:t>月</w:t>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7D21D763">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0FE247B5">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35678127">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2C152768">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22BFC928">
            <w:pPr>
              <w:pStyle w:val="107"/>
              <w:spacing w:beforeLines="0" w:afterLines="0"/>
              <w:rPr>
                <w:rStyle w:val="31"/>
                <w:rFonts w:hint="default"/>
                <w:color w:val="auto"/>
                <w:sz w:val="24"/>
                <w:szCs w:val="24"/>
                <w:highlight w:val="none"/>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2D0BB0C0">
            <w:pPr>
              <w:pStyle w:val="107"/>
              <w:spacing w:beforeLines="0" w:afterLines="0"/>
              <w:rPr>
                <w:rStyle w:val="31"/>
                <w:rFonts w:hint="default"/>
                <w:color w:val="auto"/>
                <w:sz w:val="24"/>
                <w:szCs w:val="24"/>
                <w:highlight w:val="none"/>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05494611">
            <w:pPr>
              <w:pStyle w:val="107"/>
              <w:spacing w:beforeLines="0" w:afterLines="0"/>
              <w:rPr>
                <w:rStyle w:val="31"/>
                <w:rFonts w:hint="default"/>
                <w:color w:val="auto"/>
                <w:sz w:val="24"/>
                <w:szCs w:val="24"/>
                <w:highlight w:val="none"/>
              </w:rPr>
            </w:pPr>
          </w:p>
        </w:tc>
      </w:tr>
      <w:tr w14:paraId="61C0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850" w:type="dxa"/>
            <w:vMerge w:val="continue"/>
            <w:tcBorders>
              <w:top w:val="nil"/>
              <w:left w:val="single" w:color="auto" w:sz="4" w:space="0"/>
              <w:bottom w:val="nil"/>
              <w:right w:val="nil"/>
              <w:tl2br w:val="nil"/>
              <w:tr2bl w:val="nil"/>
            </w:tcBorders>
            <w:shd w:val="clear" w:color="auto" w:fill="FFFFFF"/>
            <w:noWrap w:val="0"/>
            <w:vAlign w:val="center"/>
          </w:tcPr>
          <w:p w14:paraId="49D4DAE9">
            <w:pPr>
              <w:pStyle w:val="107"/>
              <w:spacing w:beforeLines="0" w:afterLines="0"/>
              <w:rPr>
                <w:rStyle w:val="31"/>
                <w:rFonts w:hint="default"/>
                <w:color w:val="auto"/>
                <w:sz w:val="24"/>
                <w:szCs w:val="24"/>
                <w:highlight w:val="none"/>
              </w:rPr>
            </w:pP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4B38CBB4">
            <w:pPr>
              <w:pStyle w:val="108"/>
              <w:spacing w:beforeLines="0" w:afterLines="0" w:line="240" w:lineRule="auto"/>
              <w:ind w:left="1120" w:firstLine="0"/>
              <w:rPr>
                <w:rStyle w:val="31"/>
                <w:rFonts w:hint="default"/>
                <w:color w:val="auto"/>
                <w:sz w:val="24"/>
                <w:szCs w:val="20"/>
                <w:highlight w:val="none"/>
              </w:rPr>
            </w:pPr>
            <w:r>
              <w:rPr>
                <w:rStyle w:val="31"/>
                <w:rFonts w:hint="default"/>
                <w:color w:val="auto"/>
                <w:sz w:val="24"/>
                <w:szCs w:val="20"/>
                <w:highlight w:val="none"/>
              </w:rPr>
              <w:t>月</w:t>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7B637E3E">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38AB1BD">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68D17F8">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CD1F0D8">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0C6A17EA">
            <w:pPr>
              <w:pStyle w:val="107"/>
              <w:spacing w:beforeLines="0" w:afterLines="0"/>
              <w:rPr>
                <w:rStyle w:val="31"/>
                <w:rFonts w:hint="default"/>
                <w:color w:val="auto"/>
                <w:sz w:val="24"/>
                <w:szCs w:val="24"/>
                <w:highlight w:val="none"/>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0550BC44">
            <w:pPr>
              <w:pStyle w:val="107"/>
              <w:spacing w:beforeLines="0" w:afterLines="0"/>
              <w:rPr>
                <w:rStyle w:val="31"/>
                <w:rFonts w:hint="default"/>
                <w:color w:val="auto"/>
                <w:sz w:val="24"/>
                <w:szCs w:val="24"/>
                <w:highlight w:val="none"/>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0FB2C92D">
            <w:pPr>
              <w:pStyle w:val="107"/>
              <w:spacing w:beforeLines="0" w:afterLines="0"/>
              <w:rPr>
                <w:rStyle w:val="31"/>
                <w:rFonts w:hint="default"/>
                <w:color w:val="auto"/>
                <w:sz w:val="24"/>
                <w:szCs w:val="24"/>
                <w:highlight w:val="none"/>
              </w:rPr>
            </w:pPr>
          </w:p>
        </w:tc>
      </w:tr>
      <w:tr w14:paraId="642EC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1" w:hRule="exact"/>
          <w:jc w:val="center"/>
        </w:trPr>
        <w:tc>
          <w:tcPr>
            <w:tcW w:w="850" w:type="dxa"/>
            <w:vMerge w:val="continue"/>
            <w:tcBorders>
              <w:top w:val="nil"/>
              <w:left w:val="single" w:color="auto" w:sz="4" w:space="0"/>
              <w:bottom w:val="nil"/>
              <w:right w:val="nil"/>
              <w:tl2br w:val="nil"/>
              <w:tr2bl w:val="nil"/>
            </w:tcBorders>
            <w:shd w:val="clear" w:color="auto" w:fill="FFFFFF"/>
            <w:noWrap w:val="0"/>
            <w:vAlign w:val="center"/>
          </w:tcPr>
          <w:p w14:paraId="2761F460">
            <w:pPr>
              <w:pStyle w:val="107"/>
              <w:spacing w:beforeLines="0" w:afterLines="0"/>
              <w:rPr>
                <w:rStyle w:val="31"/>
                <w:rFonts w:hint="default"/>
                <w:color w:val="auto"/>
                <w:sz w:val="24"/>
                <w:szCs w:val="24"/>
                <w:highlight w:val="none"/>
              </w:rPr>
            </w:pP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65AEC0C8">
            <w:pPr>
              <w:pStyle w:val="108"/>
              <w:tabs>
                <w:tab w:val="left" w:leader="dot" w:pos="326"/>
              </w:tabs>
              <w:spacing w:beforeLines="0" w:afterLines="0" w:line="240" w:lineRule="auto"/>
              <w:ind w:firstLine="0"/>
              <w:jc w:val="right"/>
              <w:rPr>
                <w:rStyle w:val="31"/>
                <w:rFonts w:hint="default"/>
                <w:color w:val="auto"/>
                <w:sz w:val="24"/>
                <w:szCs w:val="20"/>
                <w:highlight w:val="none"/>
              </w:rPr>
            </w:pPr>
            <w:r>
              <w:rPr>
                <w:rStyle w:val="31"/>
                <w:rFonts w:hint="default" w:ascii="Arial" w:hAnsi="Arial" w:cs="Arial"/>
                <w:color w:val="auto"/>
                <w:sz w:val="24"/>
                <w:szCs w:val="24"/>
                <w:highlight w:val="none"/>
                <w:lang w:val="en-US" w:eastAsia="en-US" w:bidi="en-US"/>
              </w:rPr>
              <w:tab/>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4C914625">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1038E533">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2CAD8EE5">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1671C4CA">
            <w:pPr>
              <w:pStyle w:val="107"/>
              <w:spacing w:beforeLines="0" w:afterLines="0"/>
              <w:rPr>
                <w:rStyle w:val="31"/>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63F3AD23">
            <w:pPr>
              <w:pStyle w:val="107"/>
              <w:spacing w:beforeLines="0" w:afterLines="0"/>
              <w:rPr>
                <w:rStyle w:val="31"/>
                <w:rFonts w:hint="default"/>
                <w:color w:val="auto"/>
                <w:sz w:val="24"/>
                <w:szCs w:val="24"/>
                <w:highlight w:val="none"/>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3C3BA632">
            <w:pPr>
              <w:pStyle w:val="107"/>
              <w:spacing w:beforeLines="0" w:afterLines="0"/>
              <w:rPr>
                <w:rStyle w:val="31"/>
                <w:rFonts w:hint="default"/>
                <w:color w:val="auto"/>
                <w:sz w:val="24"/>
                <w:szCs w:val="24"/>
                <w:highlight w:val="none"/>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6058A8F1">
            <w:pPr>
              <w:pStyle w:val="107"/>
              <w:spacing w:beforeLines="0" w:afterLines="0"/>
              <w:rPr>
                <w:rStyle w:val="31"/>
                <w:rFonts w:hint="default"/>
                <w:color w:val="auto"/>
                <w:sz w:val="24"/>
                <w:szCs w:val="24"/>
                <w:highlight w:val="none"/>
              </w:rPr>
            </w:pPr>
          </w:p>
        </w:tc>
      </w:tr>
      <w:tr w14:paraId="0198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jc w:val="center"/>
        </w:trPr>
        <w:tc>
          <w:tcPr>
            <w:tcW w:w="6121" w:type="dxa"/>
            <w:gridSpan w:val="7"/>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7E657F32">
            <w:pPr>
              <w:pStyle w:val="108"/>
              <w:spacing w:beforeLines="0" w:afterLines="0" w:line="240" w:lineRule="auto"/>
              <w:ind w:firstLine="0"/>
              <w:jc w:val="center"/>
              <w:rPr>
                <w:rStyle w:val="31"/>
                <w:rFonts w:hint="default"/>
                <w:color w:val="auto"/>
                <w:sz w:val="24"/>
                <w:szCs w:val="20"/>
                <w:highlight w:val="none"/>
              </w:rPr>
            </w:pPr>
            <w:r>
              <w:rPr>
                <w:rStyle w:val="31"/>
                <w:rFonts w:hint="default"/>
                <w:color w:val="auto"/>
                <w:sz w:val="24"/>
                <w:szCs w:val="20"/>
                <w:highlight w:val="none"/>
              </w:rPr>
              <w:t>总 计</w:t>
            </w:r>
          </w:p>
        </w:tc>
        <w:tc>
          <w:tcPr>
            <w:tcW w:w="947"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525D89C9">
            <w:pPr>
              <w:pStyle w:val="107"/>
              <w:spacing w:beforeLines="0" w:afterLines="0"/>
              <w:rPr>
                <w:rStyle w:val="31"/>
                <w:rFonts w:hint="default"/>
                <w:color w:val="auto"/>
                <w:sz w:val="24"/>
                <w:szCs w:val="24"/>
                <w:highlight w:val="none"/>
              </w:rPr>
            </w:pPr>
          </w:p>
        </w:tc>
        <w:tc>
          <w:tcPr>
            <w:tcW w:w="13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08482C55">
            <w:pPr>
              <w:pStyle w:val="107"/>
              <w:spacing w:beforeLines="0" w:afterLines="0"/>
              <w:rPr>
                <w:rStyle w:val="31"/>
                <w:rFonts w:hint="default"/>
                <w:color w:val="auto"/>
                <w:sz w:val="24"/>
                <w:szCs w:val="24"/>
                <w:highlight w:val="none"/>
              </w:rPr>
            </w:pPr>
          </w:p>
        </w:tc>
      </w:tr>
    </w:tbl>
    <w:p w14:paraId="2050893A">
      <w:pPr>
        <w:pStyle w:val="107"/>
        <w:spacing w:beforeLines="0" w:after="299" w:afterLines="0" w:line="1" w:lineRule="exact"/>
        <w:rPr>
          <w:rStyle w:val="31"/>
          <w:rFonts w:hint="default"/>
          <w:color w:val="auto"/>
          <w:sz w:val="24"/>
          <w:szCs w:val="24"/>
          <w:highlight w:val="none"/>
        </w:rPr>
      </w:pPr>
    </w:p>
    <w:p w14:paraId="17CFFDC5">
      <w:pPr>
        <w:pStyle w:val="106"/>
        <w:tabs>
          <w:tab w:val="left" w:pos="847"/>
          <w:tab w:val="left" w:leader="underscore" w:pos="850"/>
          <w:tab w:val="left" w:leader="underscore" w:pos="1906"/>
          <w:tab w:val="left" w:pos="1908"/>
          <w:tab w:val="left" w:pos="2964"/>
        </w:tabs>
        <w:spacing w:beforeLines="0" w:after="420" w:afterLines="0" w:line="350" w:lineRule="exact"/>
        <w:ind w:firstLine="0"/>
        <w:rPr>
          <w:rStyle w:val="31"/>
          <w:rFonts w:hint="default"/>
          <w:b/>
          <w:color w:val="auto"/>
          <w:sz w:val="28"/>
          <w:szCs w:val="20"/>
          <w:highlight w:val="none"/>
          <w:lang w:val="en-US" w:bidi="en-US"/>
        </w:rPr>
      </w:pPr>
      <w:bookmarkStart w:id="107" w:name="bookmark2243"/>
      <w:bookmarkStart w:id="108" w:name="bookmark2244"/>
      <w:bookmarkStart w:id="109" w:name="bookmark2245"/>
    </w:p>
    <w:p w14:paraId="773D87B2">
      <w:pPr>
        <w:pStyle w:val="106"/>
        <w:tabs>
          <w:tab w:val="left" w:pos="847"/>
          <w:tab w:val="left" w:leader="underscore" w:pos="850"/>
          <w:tab w:val="left" w:leader="underscore" w:pos="1906"/>
          <w:tab w:val="left" w:pos="1908"/>
          <w:tab w:val="left" w:pos="2964"/>
        </w:tabs>
        <w:spacing w:beforeLines="0" w:after="420" w:afterLines="0" w:line="350" w:lineRule="exact"/>
        <w:ind w:firstLine="0"/>
        <w:rPr>
          <w:rStyle w:val="31"/>
          <w:rFonts w:hint="default"/>
          <w:b/>
          <w:color w:val="auto"/>
          <w:sz w:val="28"/>
          <w:szCs w:val="20"/>
          <w:highlight w:val="none"/>
          <w:lang w:val="en-US" w:bidi="en-US"/>
        </w:rPr>
      </w:pPr>
    </w:p>
    <w:p w14:paraId="0635CF20">
      <w:pPr>
        <w:pStyle w:val="106"/>
        <w:tabs>
          <w:tab w:val="left" w:pos="847"/>
          <w:tab w:val="left" w:leader="underscore" w:pos="850"/>
          <w:tab w:val="left" w:leader="underscore" w:pos="1906"/>
          <w:tab w:val="left" w:pos="1908"/>
          <w:tab w:val="left" w:pos="2964"/>
        </w:tabs>
        <w:spacing w:beforeLines="0" w:after="420" w:afterLines="0" w:line="350" w:lineRule="exact"/>
        <w:ind w:firstLine="0"/>
        <w:rPr>
          <w:rStyle w:val="31"/>
          <w:rFonts w:hint="default"/>
          <w:b/>
          <w:color w:val="auto"/>
          <w:sz w:val="28"/>
          <w:szCs w:val="20"/>
          <w:highlight w:val="none"/>
        </w:rPr>
      </w:pPr>
      <w:r>
        <w:rPr>
          <w:rStyle w:val="31"/>
          <w:rFonts w:hint="default"/>
          <w:b/>
          <w:color w:val="auto"/>
          <w:sz w:val="28"/>
          <w:szCs w:val="20"/>
          <w:highlight w:val="none"/>
          <w:lang w:val="en-US" w:bidi="en-US"/>
        </w:rPr>
        <w:t>附件四：拟投入本合同工程的材料进场计划表</w:t>
      </w:r>
      <w:bookmarkEnd w:id="107"/>
      <w:bookmarkEnd w:id="108"/>
      <w:bookmarkEnd w:id="109"/>
    </w:p>
    <w:p w14:paraId="563CA7D5">
      <w:pPr>
        <w:pStyle w:val="107"/>
        <w:spacing w:beforeLines="0" w:afterLines="0"/>
        <w:jc w:val="center"/>
        <w:rPr>
          <w:rStyle w:val="31"/>
          <w:rFonts w:hint="default" w:ascii="宋体" w:hAnsi="宋体" w:eastAsia="宋体" w:cs="宋体"/>
          <w:b/>
          <w:color w:val="auto"/>
          <w:sz w:val="24"/>
          <w:szCs w:val="24"/>
          <w:highlight w:val="none"/>
          <w:lang w:eastAsia="zh-CN"/>
        </w:rPr>
      </w:pPr>
      <w:bookmarkStart w:id="110" w:name="_Toc16708"/>
      <w:bookmarkStart w:id="111" w:name="_Toc16851"/>
      <w:bookmarkStart w:id="112" w:name="bookmark2247"/>
      <w:bookmarkStart w:id="113" w:name="bookmark2248"/>
      <w:bookmarkStart w:id="114" w:name="bookmark2246"/>
      <w:r>
        <w:rPr>
          <w:rStyle w:val="31"/>
          <w:rFonts w:hint="default" w:ascii="宋体" w:hAnsi="宋体" w:eastAsia="宋体" w:cs="宋体"/>
          <w:b/>
          <w:color w:val="auto"/>
          <w:sz w:val="24"/>
          <w:szCs w:val="24"/>
          <w:highlight w:val="none"/>
          <w:lang w:eastAsia="zh-CN"/>
        </w:rPr>
        <w:t>拟投入本合同工程的材料进场计划表</w:t>
      </w:r>
      <w:bookmarkEnd w:id="110"/>
      <w:bookmarkEnd w:id="111"/>
      <w:bookmarkEnd w:id="112"/>
      <w:bookmarkEnd w:id="113"/>
      <w:bookmarkEnd w:id="114"/>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090"/>
        <w:gridCol w:w="902"/>
        <w:gridCol w:w="907"/>
        <w:gridCol w:w="907"/>
        <w:gridCol w:w="907"/>
        <w:gridCol w:w="912"/>
        <w:gridCol w:w="902"/>
        <w:gridCol w:w="907"/>
        <w:gridCol w:w="917"/>
      </w:tblGrid>
      <w:tr w14:paraId="1DADF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jc w:val="center"/>
        </w:trPr>
        <w:tc>
          <w:tcPr>
            <w:tcW w:w="1090" w:type="dxa"/>
            <w:vMerge w:val="restart"/>
            <w:tcBorders>
              <w:top w:val="single" w:color="auto" w:sz="4" w:space="0"/>
              <w:left w:val="single" w:color="auto" w:sz="4" w:space="0"/>
              <w:bottom w:val="nil"/>
              <w:right w:val="nil"/>
              <w:tl2br w:val="nil"/>
              <w:tr2bl w:val="nil"/>
            </w:tcBorders>
            <w:shd w:val="clear" w:color="auto" w:fill="FFFFFF"/>
            <w:noWrap w:val="0"/>
            <w:vAlign w:val="center"/>
          </w:tcPr>
          <w:p w14:paraId="34D59CA7">
            <w:pPr>
              <w:pStyle w:val="108"/>
              <w:spacing w:beforeLines="0" w:afterLines="0" w:line="240" w:lineRule="auto"/>
              <w:ind w:firstLine="0"/>
              <w:jc w:val="center"/>
              <w:rPr>
                <w:rStyle w:val="31"/>
                <w:rFonts w:hint="default"/>
                <w:color w:val="auto"/>
                <w:sz w:val="24"/>
                <w:szCs w:val="24"/>
                <w:highlight w:val="none"/>
              </w:rPr>
            </w:pPr>
            <w:r>
              <w:rPr>
                <w:rStyle w:val="31"/>
                <w:rFonts w:hint="default"/>
                <w:color w:val="auto"/>
                <w:sz w:val="24"/>
                <w:szCs w:val="24"/>
                <w:highlight w:val="none"/>
              </w:rPr>
              <w:t>名称</w:t>
            </w:r>
          </w:p>
        </w:tc>
        <w:tc>
          <w:tcPr>
            <w:tcW w:w="902" w:type="dxa"/>
            <w:vMerge w:val="restart"/>
            <w:tcBorders>
              <w:top w:val="single" w:color="auto" w:sz="4" w:space="0"/>
              <w:left w:val="single" w:color="auto" w:sz="4" w:space="0"/>
              <w:bottom w:val="nil"/>
              <w:right w:val="nil"/>
              <w:tl2br w:val="nil"/>
              <w:tr2bl w:val="nil"/>
            </w:tcBorders>
            <w:shd w:val="clear" w:color="auto" w:fill="FFFFFF"/>
            <w:noWrap w:val="0"/>
            <w:vAlign w:val="center"/>
          </w:tcPr>
          <w:p w14:paraId="5A6C644E">
            <w:pPr>
              <w:pStyle w:val="108"/>
              <w:spacing w:beforeLines="0" w:afterLines="0" w:line="240" w:lineRule="auto"/>
              <w:ind w:firstLine="0"/>
              <w:jc w:val="center"/>
              <w:rPr>
                <w:rStyle w:val="31"/>
                <w:rFonts w:hint="default"/>
                <w:color w:val="auto"/>
                <w:sz w:val="24"/>
                <w:szCs w:val="24"/>
                <w:highlight w:val="none"/>
              </w:rPr>
            </w:pPr>
            <w:r>
              <w:rPr>
                <w:rStyle w:val="31"/>
                <w:rFonts w:hint="default"/>
                <w:color w:val="auto"/>
                <w:sz w:val="24"/>
                <w:szCs w:val="24"/>
                <w:highlight w:val="none"/>
              </w:rPr>
              <w:t>规格</w:t>
            </w:r>
          </w:p>
        </w:tc>
        <w:tc>
          <w:tcPr>
            <w:tcW w:w="907" w:type="dxa"/>
            <w:vMerge w:val="restart"/>
            <w:tcBorders>
              <w:top w:val="single" w:color="auto" w:sz="4" w:space="0"/>
              <w:left w:val="single" w:color="auto" w:sz="4" w:space="0"/>
              <w:bottom w:val="nil"/>
              <w:right w:val="nil"/>
              <w:tl2br w:val="nil"/>
              <w:tr2bl w:val="nil"/>
            </w:tcBorders>
            <w:shd w:val="clear" w:color="auto" w:fill="FFFFFF"/>
            <w:noWrap w:val="0"/>
            <w:vAlign w:val="center"/>
          </w:tcPr>
          <w:p w14:paraId="6A3DED74">
            <w:pPr>
              <w:pStyle w:val="108"/>
              <w:spacing w:beforeLines="0" w:afterLines="0" w:line="269" w:lineRule="exact"/>
              <w:ind w:firstLine="0"/>
              <w:jc w:val="center"/>
              <w:rPr>
                <w:rStyle w:val="31"/>
                <w:rFonts w:hint="default"/>
                <w:color w:val="auto"/>
                <w:sz w:val="24"/>
                <w:szCs w:val="24"/>
                <w:highlight w:val="none"/>
              </w:rPr>
            </w:pPr>
            <w:r>
              <w:rPr>
                <w:rStyle w:val="31"/>
                <w:rFonts w:hint="default"/>
                <w:color w:val="auto"/>
                <w:sz w:val="24"/>
                <w:szCs w:val="24"/>
                <w:highlight w:val="none"/>
              </w:rPr>
              <w:t>计量</w:t>
            </w:r>
          </w:p>
          <w:p w14:paraId="34887780">
            <w:pPr>
              <w:pStyle w:val="108"/>
              <w:spacing w:beforeLines="0" w:afterLines="0" w:line="269" w:lineRule="exact"/>
              <w:ind w:firstLine="0"/>
              <w:jc w:val="center"/>
              <w:rPr>
                <w:rStyle w:val="31"/>
                <w:rFonts w:hint="default"/>
                <w:color w:val="auto"/>
                <w:sz w:val="24"/>
                <w:szCs w:val="24"/>
                <w:highlight w:val="none"/>
              </w:rPr>
            </w:pPr>
            <w:r>
              <w:rPr>
                <w:rStyle w:val="31"/>
                <w:rFonts w:hint="default"/>
                <w:color w:val="auto"/>
                <w:sz w:val="24"/>
                <w:szCs w:val="24"/>
                <w:highlight w:val="none"/>
              </w:rPr>
              <w:t>单位</w:t>
            </w:r>
          </w:p>
        </w:tc>
        <w:tc>
          <w:tcPr>
            <w:tcW w:w="4535" w:type="dxa"/>
            <w:gridSpan w:val="5"/>
            <w:tcBorders>
              <w:top w:val="single" w:color="auto" w:sz="4" w:space="0"/>
              <w:left w:val="single" w:color="auto" w:sz="4" w:space="0"/>
              <w:bottom w:val="nil"/>
              <w:right w:val="nil"/>
              <w:tl2br w:val="nil"/>
              <w:tr2bl w:val="nil"/>
            </w:tcBorders>
            <w:shd w:val="clear" w:color="auto" w:fill="FFFFFF"/>
            <w:noWrap w:val="0"/>
            <w:vAlign w:val="center"/>
          </w:tcPr>
          <w:p w14:paraId="66EF1EBC">
            <w:pPr>
              <w:pStyle w:val="108"/>
              <w:spacing w:beforeLines="0" w:afterLines="0" w:line="240" w:lineRule="auto"/>
              <w:ind w:firstLine="0"/>
              <w:jc w:val="center"/>
              <w:rPr>
                <w:rStyle w:val="31"/>
                <w:rFonts w:hint="default"/>
                <w:color w:val="auto"/>
                <w:sz w:val="24"/>
                <w:szCs w:val="24"/>
                <w:highlight w:val="none"/>
              </w:rPr>
            </w:pPr>
            <w:r>
              <w:rPr>
                <w:rStyle w:val="31"/>
                <w:rFonts w:hint="default"/>
                <w:color w:val="auto"/>
                <w:sz w:val="24"/>
                <w:szCs w:val="24"/>
                <w:highlight w:val="none"/>
              </w:rPr>
              <w:t>数 量</w:t>
            </w:r>
          </w:p>
        </w:tc>
        <w:tc>
          <w:tcPr>
            <w:tcW w:w="917" w:type="dxa"/>
            <w:vMerge w:val="restart"/>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73F76A96">
            <w:pPr>
              <w:pStyle w:val="108"/>
              <w:spacing w:beforeLines="0" w:afterLines="0" w:line="240" w:lineRule="auto"/>
              <w:ind w:firstLine="0"/>
              <w:jc w:val="center"/>
              <w:rPr>
                <w:rStyle w:val="31"/>
                <w:rFonts w:hint="default"/>
                <w:color w:val="auto"/>
                <w:sz w:val="24"/>
                <w:szCs w:val="24"/>
                <w:highlight w:val="none"/>
              </w:rPr>
            </w:pPr>
            <w:r>
              <w:rPr>
                <w:rStyle w:val="31"/>
                <w:rFonts w:hint="default"/>
                <w:color w:val="auto"/>
                <w:sz w:val="24"/>
                <w:szCs w:val="24"/>
                <w:highlight w:val="none"/>
              </w:rPr>
              <w:t>备注</w:t>
            </w:r>
          </w:p>
        </w:tc>
      </w:tr>
      <w:tr w14:paraId="3F69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1090" w:type="dxa"/>
            <w:vMerge w:val="continue"/>
            <w:tcBorders>
              <w:top w:val="nil"/>
              <w:left w:val="single" w:color="auto" w:sz="4" w:space="0"/>
              <w:bottom w:val="nil"/>
              <w:right w:val="nil"/>
              <w:tl2br w:val="nil"/>
              <w:tr2bl w:val="nil"/>
            </w:tcBorders>
            <w:shd w:val="clear" w:color="auto" w:fill="FFFFFF"/>
            <w:noWrap w:val="0"/>
            <w:vAlign w:val="center"/>
          </w:tcPr>
          <w:p w14:paraId="335C336A">
            <w:pPr>
              <w:pStyle w:val="107"/>
              <w:spacing w:beforeLines="0" w:afterLines="0"/>
              <w:jc w:val="center"/>
              <w:rPr>
                <w:rStyle w:val="31"/>
                <w:rFonts w:hint="default"/>
                <w:color w:val="auto"/>
                <w:sz w:val="24"/>
                <w:szCs w:val="24"/>
                <w:highlight w:val="none"/>
              </w:rPr>
            </w:pPr>
          </w:p>
        </w:tc>
        <w:tc>
          <w:tcPr>
            <w:tcW w:w="902" w:type="dxa"/>
            <w:vMerge w:val="continue"/>
            <w:tcBorders>
              <w:top w:val="nil"/>
              <w:left w:val="single" w:color="auto" w:sz="4" w:space="0"/>
              <w:bottom w:val="nil"/>
              <w:right w:val="nil"/>
              <w:tl2br w:val="nil"/>
              <w:tr2bl w:val="nil"/>
            </w:tcBorders>
            <w:shd w:val="clear" w:color="auto" w:fill="FFFFFF"/>
            <w:noWrap w:val="0"/>
            <w:vAlign w:val="center"/>
          </w:tcPr>
          <w:p w14:paraId="6C3A44A2">
            <w:pPr>
              <w:pStyle w:val="107"/>
              <w:spacing w:beforeLines="0" w:afterLines="0"/>
              <w:jc w:val="center"/>
              <w:rPr>
                <w:rStyle w:val="31"/>
                <w:rFonts w:hint="default"/>
                <w:color w:val="auto"/>
                <w:sz w:val="24"/>
                <w:szCs w:val="24"/>
                <w:highlight w:val="none"/>
              </w:rPr>
            </w:pPr>
          </w:p>
        </w:tc>
        <w:tc>
          <w:tcPr>
            <w:tcW w:w="907" w:type="dxa"/>
            <w:vMerge w:val="continue"/>
            <w:tcBorders>
              <w:top w:val="nil"/>
              <w:left w:val="single" w:color="auto" w:sz="4" w:space="0"/>
              <w:bottom w:val="nil"/>
              <w:right w:val="nil"/>
              <w:tl2br w:val="nil"/>
              <w:tr2bl w:val="nil"/>
            </w:tcBorders>
            <w:shd w:val="clear" w:color="auto" w:fill="FFFFFF"/>
            <w:noWrap w:val="0"/>
            <w:vAlign w:val="center"/>
          </w:tcPr>
          <w:p w14:paraId="47C90159">
            <w:pPr>
              <w:pStyle w:val="107"/>
              <w:spacing w:beforeLines="0" w:afterLines="0"/>
              <w:jc w:val="center"/>
              <w:rPr>
                <w:rStyle w:val="31"/>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025594C5">
            <w:pPr>
              <w:pStyle w:val="108"/>
              <w:spacing w:beforeLines="0" w:afterLines="0" w:line="240" w:lineRule="auto"/>
              <w:ind w:firstLine="0"/>
              <w:jc w:val="center"/>
              <w:rPr>
                <w:rStyle w:val="31"/>
                <w:rFonts w:hint="default"/>
                <w:color w:val="auto"/>
                <w:sz w:val="24"/>
                <w:szCs w:val="24"/>
                <w:highlight w:val="none"/>
              </w:rPr>
            </w:pPr>
            <w:r>
              <w:rPr>
                <w:rStyle w:val="31"/>
                <w:rFonts w:hint="default"/>
                <w:color w:val="auto"/>
                <w:sz w:val="24"/>
                <w:szCs w:val="24"/>
                <w:highlight w:val="none"/>
              </w:rPr>
              <w:t>总量</w:t>
            </w: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4C90C893">
            <w:pPr>
              <w:pStyle w:val="108"/>
              <w:spacing w:beforeLines="0" w:afterLines="0" w:line="240" w:lineRule="auto"/>
              <w:ind w:firstLine="0"/>
              <w:jc w:val="center"/>
              <w:rPr>
                <w:rStyle w:val="31"/>
                <w:rFonts w:hint="default"/>
                <w:color w:val="auto"/>
                <w:sz w:val="24"/>
                <w:szCs w:val="24"/>
                <w:highlight w:val="none"/>
              </w:rPr>
            </w:pPr>
            <w:r>
              <w:rPr>
                <w:rStyle w:val="31"/>
                <w:rFonts w:hint="default"/>
                <w:color w:val="auto"/>
                <w:sz w:val="24"/>
                <w:szCs w:val="24"/>
                <w:highlight w:val="none"/>
              </w:rPr>
              <w:t>月</w:t>
            </w:r>
          </w:p>
        </w:tc>
        <w:tc>
          <w:tcPr>
            <w:tcW w:w="912" w:type="dxa"/>
            <w:tcBorders>
              <w:top w:val="single" w:color="auto" w:sz="4" w:space="0"/>
              <w:left w:val="single" w:color="auto" w:sz="4" w:space="0"/>
              <w:bottom w:val="nil"/>
              <w:right w:val="nil"/>
              <w:tl2br w:val="nil"/>
              <w:tr2bl w:val="nil"/>
            </w:tcBorders>
            <w:shd w:val="clear" w:color="auto" w:fill="FFFFFF"/>
            <w:noWrap w:val="0"/>
            <w:vAlign w:val="center"/>
          </w:tcPr>
          <w:p w14:paraId="31E1AED6">
            <w:pPr>
              <w:pStyle w:val="108"/>
              <w:spacing w:beforeLines="0" w:afterLines="0" w:line="240" w:lineRule="auto"/>
              <w:ind w:firstLine="0"/>
              <w:jc w:val="center"/>
              <w:rPr>
                <w:rStyle w:val="31"/>
                <w:rFonts w:hint="default"/>
                <w:color w:val="auto"/>
                <w:sz w:val="24"/>
                <w:szCs w:val="24"/>
                <w:highlight w:val="none"/>
              </w:rPr>
            </w:pPr>
            <w:r>
              <w:rPr>
                <w:rStyle w:val="31"/>
                <w:rFonts w:hint="default"/>
                <w:color w:val="auto"/>
                <w:sz w:val="24"/>
                <w:szCs w:val="24"/>
                <w:highlight w:val="none"/>
              </w:rPr>
              <w:t>月</w:t>
            </w: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4D7A847D">
            <w:pPr>
              <w:pStyle w:val="108"/>
              <w:spacing w:beforeLines="0" w:afterLines="0" w:line="240" w:lineRule="auto"/>
              <w:ind w:firstLine="0"/>
              <w:jc w:val="center"/>
              <w:rPr>
                <w:rStyle w:val="31"/>
                <w:rFonts w:hint="default"/>
                <w:color w:val="auto"/>
                <w:sz w:val="24"/>
                <w:szCs w:val="24"/>
                <w:highlight w:val="none"/>
              </w:rPr>
            </w:pPr>
            <w:r>
              <w:rPr>
                <w:rStyle w:val="31"/>
                <w:rFonts w:hint="default"/>
                <w:color w:val="auto"/>
                <w:sz w:val="24"/>
                <w:szCs w:val="24"/>
                <w:highlight w:val="none"/>
              </w:rPr>
              <w:t>月</w:t>
            </w: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408CC465">
            <w:pPr>
              <w:pStyle w:val="108"/>
              <w:spacing w:beforeLines="0" w:afterLines="0" w:line="240" w:lineRule="auto"/>
              <w:ind w:right="380" w:firstLine="0"/>
              <w:jc w:val="center"/>
              <w:rPr>
                <w:rStyle w:val="31"/>
                <w:rFonts w:hint="default"/>
                <w:color w:val="auto"/>
                <w:sz w:val="24"/>
                <w:szCs w:val="24"/>
                <w:highlight w:val="none"/>
              </w:rPr>
            </w:pPr>
            <w:r>
              <w:rPr>
                <w:rStyle w:val="31"/>
                <w:rFonts w:hint="default"/>
                <w:color w:val="auto"/>
                <w:sz w:val="24"/>
                <w:szCs w:val="24"/>
                <w:highlight w:val="none"/>
              </w:rPr>
              <w:t>月</w:t>
            </w:r>
          </w:p>
        </w:tc>
        <w:tc>
          <w:tcPr>
            <w:tcW w:w="917" w:type="dxa"/>
            <w:vMerge w:val="continue"/>
            <w:tcBorders>
              <w:top w:val="nil"/>
              <w:left w:val="single" w:color="auto" w:sz="4" w:space="0"/>
              <w:bottom w:val="nil"/>
              <w:right w:val="single" w:color="auto" w:sz="4" w:space="0"/>
              <w:tl2br w:val="nil"/>
              <w:tr2bl w:val="nil"/>
            </w:tcBorders>
            <w:shd w:val="clear" w:color="auto" w:fill="FFFFFF"/>
            <w:noWrap w:val="0"/>
            <w:vAlign w:val="center"/>
          </w:tcPr>
          <w:p w14:paraId="58A7FCB7">
            <w:pPr>
              <w:pStyle w:val="107"/>
              <w:spacing w:beforeLines="0" w:afterLines="0"/>
              <w:jc w:val="center"/>
              <w:rPr>
                <w:rStyle w:val="31"/>
                <w:rFonts w:hint="default"/>
                <w:color w:val="auto"/>
                <w:sz w:val="24"/>
                <w:szCs w:val="24"/>
                <w:highlight w:val="none"/>
              </w:rPr>
            </w:pPr>
          </w:p>
        </w:tc>
      </w:tr>
      <w:tr w14:paraId="3A875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bottom w:val="nil"/>
              <w:right w:val="nil"/>
              <w:tl2br w:val="nil"/>
              <w:tr2bl w:val="nil"/>
            </w:tcBorders>
            <w:shd w:val="clear" w:color="auto" w:fill="FFFFFF"/>
            <w:noWrap w:val="0"/>
            <w:vAlign w:val="center"/>
          </w:tcPr>
          <w:p w14:paraId="7A42D379">
            <w:pPr>
              <w:pStyle w:val="107"/>
              <w:spacing w:beforeLines="0" w:afterLines="0"/>
              <w:jc w:val="center"/>
              <w:rPr>
                <w:rStyle w:val="31"/>
                <w:rFonts w:hint="default"/>
                <w:color w:val="auto"/>
                <w:sz w:val="24"/>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2082380C">
            <w:pPr>
              <w:pStyle w:val="107"/>
              <w:spacing w:beforeLines="0" w:afterLines="0"/>
              <w:jc w:val="center"/>
              <w:rPr>
                <w:rStyle w:val="31"/>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10A89ED3">
            <w:pPr>
              <w:pStyle w:val="107"/>
              <w:spacing w:beforeLines="0" w:afterLines="0"/>
              <w:jc w:val="center"/>
              <w:rPr>
                <w:rStyle w:val="31"/>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52EC7BE2">
            <w:pPr>
              <w:pStyle w:val="107"/>
              <w:spacing w:beforeLines="0" w:afterLines="0"/>
              <w:jc w:val="center"/>
              <w:rPr>
                <w:rStyle w:val="31"/>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753D76F8">
            <w:pPr>
              <w:pStyle w:val="107"/>
              <w:spacing w:beforeLines="0" w:afterLines="0"/>
              <w:jc w:val="center"/>
              <w:rPr>
                <w:rStyle w:val="31"/>
                <w:rFonts w:hint="default"/>
                <w:color w:val="auto"/>
                <w:sz w:val="24"/>
                <w:szCs w:val="24"/>
                <w:highlight w:val="none"/>
              </w:rPr>
            </w:pPr>
          </w:p>
        </w:tc>
        <w:tc>
          <w:tcPr>
            <w:tcW w:w="912" w:type="dxa"/>
            <w:tcBorders>
              <w:top w:val="single" w:color="auto" w:sz="4" w:space="0"/>
              <w:left w:val="single" w:color="auto" w:sz="4" w:space="0"/>
              <w:bottom w:val="nil"/>
              <w:right w:val="nil"/>
              <w:tl2br w:val="nil"/>
              <w:tr2bl w:val="nil"/>
            </w:tcBorders>
            <w:shd w:val="clear" w:color="auto" w:fill="FFFFFF"/>
            <w:noWrap w:val="0"/>
            <w:vAlign w:val="center"/>
          </w:tcPr>
          <w:p w14:paraId="28D2F7C6">
            <w:pPr>
              <w:pStyle w:val="107"/>
              <w:spacing w:beforeLines="0" w:afterLines="0"/>
              <w:jc w:val="center"/>
              <w:rPr>
                <w:rStyle w:val="31"/>
                <w:rFonts w:hint="default"/>
                <w:color w:val="auto"/>
                <w:sz w:val="24"/>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3C452453">
            <w:pPr>
              <w:pStyle w:val="107"/>
              <w:spacing w:beforeLines="0" w:afterLines="0"/>
              <w:jc w:val="center"/>
              <w:rPr>
                <w:rStyle w:val="31"/>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5B182582">
            <w:pPr>
              <w:pStyle w:val="107"/>
              <w:spacing w:beforeLines="0" w:afterLines="0"/>
              <w:jc w:val="center"/>
              <w:rPr>
                <w:rStyle w:val="31"/>
                <w:rFonts w:hint="default"/>
                <w:color w:val="auto"/>
                <w:sz w:val="24"/>
                <w:szCs w:val="24"/>
                <w:highlight w:val="none"/>
              </w:rPr>
            </w:pP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20CDF047">
            <w:pPr>
              <w:pStyle w:val="107"/>
              <w:spacing w:beforeLines="0" w:afterLines="0"/>
              <w:jc w:val="center"/>
              <w:rPr>
                <w:rStyle w:val="31"/>
                <w:rFonts w:hint="default"/>
                <w:color w:val="auto"/>
                <w:sz w:val="24"/>
                <w:szCs w:val="24"/>
                <w:highlight w:val="none"/>
              </w:rPr>
            </w:pPr>
          </w:p>
        </w:tc>
      </w:tr>
      <w:tr w14:paraId="07E1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bottom w:val="nil"/>
              <w:right w:val="nil"/>
              <w:tl2br w:val="nil"/>
              <w:tr2bl w:val="nil"/>
            </w:tcBorders>
            <w:shd w:val="clear" w:color="auto" w:fill="FFFFFF"/>
            <w:noWrap w:val="0"/>
            <w:vAlign w:val="center"/>
          </w:tcPr>
          <w:p w14:paraId="3CD00A8E">
            <w:pPr>
              <w:pStyle w:val="107"/>
              <w:spacing w:beforeLines="0" w:afterLines="0"/>
              <w:jc w:val="center"/>
              <w:rPr>
                <w:rStyle w:val="31"/>
                <w:rFonts w:hint="default"/>
                <w:color w:val="auto"/>
                <w:sz w:val="18"/>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5219A946">
            <w:pPr>
              <w:pStyle w:val="107"/>
              <w:spacing w:beforeLines="0" w:afterLines="0"/>
              <w:jc w:val="center"/>
              <w:rPr>
                <w:rStyle w:val="31"/>
                <w:rFonts w:hint="default"/>
                <w:color w:val="auto"/>
                <w:sz w:val="18"/>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7B4F21AE">
            <w:pPr>
              <w:pStyle w:val="107"/>
              <w:spacing w:beforeLines="0" w:afterLines="0"/>
              <w:jc w:val="center"/>
              <w:rPr>
                <w:rStyle w:val="31"/>
                <w:rFonts w:hint="default"/>
                <w:color w:val="auto"/>
                <w:sz w:val="18"/>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56869A3F">
            <w:pPr>
              <w:pStyle w:val="107"/>
              <w:spacing w:beforeLines="0" w:afterLines="0"/>
              <w:jc w:val="center"/>
              <w:rPr>
                <w:rStyle w:val="31"/>
                <w:rFonts w:hint="default"/>
                <w:color w:val="auto"/>
                <w:sz w:val="18"/>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41B65216">
            <w:pPr>
              <w:pStyle w:val="107"/>
              <w:spacing w:beforeLines="0" w:afterLines="0"/>
              <w:jc w:val="center"/>
              <w:rPr>
                <w:rStyle w:val="31"/>
                <w:rFonts w:hint="default"/>
                <w:color w:val="auto"/>
                <w:sz w:val="18"/>
                <w:szCs w:val="24"/>
                <w:highlight w:val="none"/>
              </w:rPr>
            </w:pPr>
          </w:p>
        </w:tc>
        <w:tc>
          <w:tcPr>
            <w:tcW w:w="912" w:type="dxa"/>
            <w:tcBorders>
              <w:top w:val="single" w:color="auto" w:sz="4" w:space="0"/>
              <w:left w:val="single" w:color="auto" w:sz="4" w:space="0"/>
              <w:bottom w:val="nil"/>
              <w:right w:val="nil"/>
              <w:tl2br w:val="nil"/>
              <w:tr2bl w:val="nil"/>
            </w:tcBorders>
            <w:shd w:val="clear" w:color="auto" w:fill="FFFFFF"/>
            <w:noWrap w:val="0"/>
            <w:vAlign w:val="center"/>
          </w:tcPr>
          <w:p w14:paraId="2151AE71">
            <w:pPr>
              <w:pStyle w:val="107"/>
              <w:spacing w:beforeLines="0" w:afterLines="0"/>
              <w:jc w:val="center"/>
              <w:rPr>
                <w:rStyle w:val="31"/>
                <w:rFonts w:hint="default"/>
                <w:color w:val="auto"/>
                <w:sz w:val="18"/>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1908E029">
            <w:pPr>
              <w:pStyle w:val="107"/>
              <w:spacing w:beforeLines="0" w:afterLines="0"/>
              <w:jc w:val="center"/>
              <w:rPr>
                <w:rStyle w:val="31"/>
                <w:rFonts w:hint="default"/>
                <w:color w:val="auto"/>
                <w:sz w:val="18"/>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65544156">
            <w:pPr>
              <w:pStyle w:val="107"/>
              <w:spacing w:beforeLines="0" w:afterLines="0"/>
              <w:jc w:val="center"/>
              <w:rPr>
                <w:rStyle w:val="31"/>
                <w:rFonts w:hint="default"/>
                <w:color w:val="auto"/>
                <w:sz w:val="18"/>
                <w:szCs w:val="24"/>
                <w:highlight w:val="none"/>
              </w:rPr>
            </w:pP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2FC6E123">
            <w:pPr>
              <w:pStyle w:val="107"/>
              <w:spacing w:beforeLines="0" w:afterLines="0"/>
              <w:jc w:val="center"/>
              <w:rPr>
                <w:rStyle w:val="31"/>
                <w:rFonts w:hint="default"/>
                <w:color w:val="auto"/>
                <w:sz w:val="18"/>
                <w:szCs w:val="24"/>
                <w:highlight w:val="none"/>
              </w:rPr>
            </w:pPr>
          </w:p>
        </w:tc>
      </w:tr>
      <w:tr w14:paraId="13D4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bottom w:val="nil"/>
              <w:right w:val="nil"/>
              <w:tl2br w:val="nil"/>
              <w:tr2bl w:val="nil"/>
            </w:tcBorders>
            <w:shd w:val="clear" w:color="auto" w:fill="FFFFFF"/>
            <w:noWrap w:val="0"/>
            <w:vAlign w:val="center"/>
          </w:tcPr>
          <w:p w14:paraId="7D089EF6">
            <w:pPr>
              <w:pStyle w:val="107"/>
              <w:spacing w:beforeLines="0" w:afterLines="0"/>
              <w:jc w:val="center"/>
              <w:rPr>
                <w:rStyle w:val="31"/>
                <w:rFonts w:hint="default"/>
                <w:color w:val="auto"/>
                <w:sz w:val="18"/>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73989AD7">
            <w:pPr>
              <w:pStyle w:val="107"/>
              <w:spacing w:beforeLines="0" w:afterLines="0"/>
              <w:jc w:val="center"/>
              <w:rPr>
                <w:rStyle w:val="31"/>
                <w:rFonts w:hint="default"/>
                <w:color w:val="auto"/>
                <w:sz w:val="18"/>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3A4B99C6">
            <w:pPr>
              <w:pStyle w:val="107"/>
              <w:spacing w:beforeLines="0" w:afterLines="0"/>
              <w:jc w:val="center"/>
              <w:rPr>
                <w:rStyle w:val="31"/>
                <w:rFonts w:hint="default"/>
                <w:color w:val="auto"/>
                <w:sz w:val="18"/>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06AEF5CC">
            <w:pPr>
              <w:pStyle w:val="107"/>
              <w:spacing w:beforeLines="0" w:afterLines="0"/>
              <w:jc w:val="center"/>
              <w:rPr>
                <w:rStyle w:val="31"/>
                <w:rFonts w:hint="default"/>
                <w:color w:val="auto"/>
                <w:sz w:val="18"/>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72C72742">
            <w:pPr>
              <w:pStyle w:val="107"/>
              <w:spacing w:beforeLines="0" w:afterLines="0"/>
              <w:jc w:val="center"/>
              <w:rPr>
                <w:rStyle w:val="31"/>
                <w:rFonts w:hint="default"/>
                <w:color w:val="auto"/>
                <w:sz w:val="18"/>
                <w:szCs w:val="24"/>
                <w:highlight w:val="none"/>
              </w:rPr>
            </w:pPr>
          </w:p>
        </w:tc>
        <w:tc>
          <w:tcPr>
            <w:tcW w:w="912" w:type="dxa"/>
            <w:tcBorders>
              <w:top w:val="single" w:color="auto" w:sz="4" w:space="0"/>
              <w:left w:val="single" w:color="auto" w:sz="4" w:space="0"/>
              <w:bottom w:val="nil"/>
              <w:right w:val="nil"/>
              <w:tl2br w:val="nil"/>
              <w:tr2bl w:val="nil"/>
            </w:tcBorders>
            <w:shd w:val="clear" w:color="auto" w:fill="FFFFFF"/>
            <w:noWrap w:val="0"/>
            <w:vAlign w:val="center"/>
          </w:tcPr>
          <w:p w14:paraId="1A7B2D56">
            <w:pPr>
              <w:pStyle w:val="107"/>
              <w:spacing w:beforeLines="0" w:afterLines="0"/>
              <w:jc w:val="center"/>
              <w:rPr>
                <w:rStyle w:val="31"/>
                <w:rFonts w:hint="default"/>
                <w:color w:val="auto"/>
                <w:sz w:val="18"/>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7F8AF675">
            <w:pPr>
              <w:pStyle w:val="107"/>
              <w:spacing w:beforeLines="0" w:afterLines="0"/>
              <w:jc w:val="center"/>
              <w:rPr>
                <w:rStyle w:val="31"/>
                <w:rFonts w:hint="default"/>
                <w:color w:val="auto"/>
                <w:sz w:val="18"/>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3A06D307">
            <w:pPr>
              <w:pStyle w:val="107"/>
              <w:spacing w:beforeLines="0" w:afterLines="0"/>
              <w:jc w:val="center"/>
              <w:rPr>
                <w:rStyle w:val="31"/>
                <w:rFonts w:hint="default"/>
                <w:color w:val="auto"/>
                <w:sz w:val="18"/>
                <w:szCs w:val="24"/>
                <w:highlight w:val="none"/>
              </w:rPr>
            </w:pP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17494171">
            <w:pPr>
              <w:pStyle w:val="107"/>
              <w:spacing w:beforeLines="0" w:afterLines="0"/>
              <w:jc w:val="center"/>
              <w:rPr>
                <w:rStyle w:val="31"/>
                <w:rFonts w:hint="default"/>
                <w:color w:val="auto"/>
                <w:sz w:val="18"/>
                <w:szCs w:val="24"/>
                <w:highlight w:val="none"/>
              </w:rPr>
            </w:pPr>
          </w:p>
        </w:tc>
      </w:tr>
      <w:tr w14:paraId="29E8A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81" w:hRule="exact"/>
          <w:jc w:val="center"/>
        </w:trPr>
        <w:tc>
          <w:tcPr>
            <w:tcW w:w="1090"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6AF62755">
            <w:pPr>
              <w:pStyle w:val="107"/>
              <w:spacing w:beforeLines="0" w:afterLines="0"/>
              <w:jc w:val="center"/>
              <w:rPr>
                <w:rStyle w:val="31"/>
                <w:rFonts w:hint="default"/>
                <w:color w:val="auto"/>
                <w:sz w:val="18"/>
                <w:szCs w:val="24"/>
                <w:highlight w:val="none"/>
              </w:rPr>
            </w:pPr>
          </w:p>
        </w:tc>
        <w:tc>
          <w:tcPr>
            <w:tcW w:w="902"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6CE7907A">
            <w:pPr>
              <w:pStyle w:val="107"/>
              <w:spacing w:beforeLines="0" w:afterLines="0"/>
              <w:jc w:val="center"/>
              <w:rPr>
                <w:rStyle w:val="31"/>
                <w:rFonts w:hint="default"/>
                <w:color w:val="auto"/>
                <w:sz w:val="18"/>
                <w:szCs w:val="24"/>
                <w:highlight w:val="none"/>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7D11B8BA">
            <w:pPr>
              <w:pStyle w:val="107"/>
              <w:spacing w:beforeLines="0" w:afterLines="0"/>
              <w:jc w:val="center"/>
              <w:rPr>
                <w:rStyle w:val="31"/>
                <w:rFonts w:hint="default"/>
                <w:color w:val="auto"/>
                <w:sz w:val="18"/>
                <w:szCs w:val="24"/>
                <w:highlight w:val="none"/>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043BDE25">
            <w:pPr>
              <w:pStyle w:val="107"/>
              <w:spacing w:beforeLines="0" w:afterLines="0"/>
              <w:jc w:val="center"/>
              <w:rPr>
                <w:rStyle w:val="31"/>
                <w:rFonts w:hint="default"/>
                <w:color w:val="auto"/>
                <w:sz w:val="18"/>
                <w:szCs w:val="24"/>
                <w:highlight w:val="none"/>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7EE4F213">
            <w:pPr>
              <w:pStyle w:val="107"/>
              <w:spacing w:beforeLines="0" w:afterLines="0"/>
              <w:jc w:val="center"/>
              <w:rPr>
                <w:rStyle w:val="31"/>
                <w:rFonts w:hint="default"/>
                <w:color w:val="auto"/>
                <w:sz w:val="18"/>
                <w:szCs w:val="24"/>
                <w:highlight w:val="none"/>
              </w:rPr>
            </w:pPr>
          </w:p>
        </w:tc>
        <w:tc>
          <w:tcPr>
            <w:tcW w:w="912"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408357FA">
            <w:pPr>
              <w:pStyle w:val="107"/>
              <w:spacing w:beforeLines="0" w:afterLines="0"/>
              <w:jc w:val="center"/>
              <w:rPr>
                <w:rStyle w:val="31"/>
                <w:rFonts w:hint="default"/>
                <w:color w:val="auto"/>
                <w:sz w:val="18"/>
                <w:szCs w:val="24"/>
                <w:highlight w:val="none"/>
              </w:rPr>
            </w:pPr>
          </w:p>
        </w:tc>
        <w:tc>
          <w:tcPr>
            <w:tcW w:w="902"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4A0124DF">
            <w:pPr>
              <w:pStyle w:val="107"/>
              <w:spacing w:beforeLines="0" w:afterLines="0"/>
              <w:jc w:val="center"/>
              <w:rPr>
                <w:rStyle w:val="31"/>
                <w:rFonts w:hint="default"/>
                <w:color w:val="auto"/>
                <w:sz w:val="18"/>
                <w:szCs w:val="24"/>
                <w:highlight w:val="none"/>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2B5A80C7">
            <w:pPr>
              <w:pStyle w:val="107"/>
              <w:spacing w:beforeLines="0" w:afterLines="0"/>
              <w:jc w:val="center"/>
              <w:rPr>
                <w:rStyle w:val="31"/>
                <w:rFonts w:hint="default"/>
                <w:color w:val="auto"/>
                <w:sz w:val="18"/>
                <w:szCs w:val="24"/>
                <w:highlight w:val="none"/>
              </w:rPr>
            </w:pPr>
          </w:p>
        </w:tc>
        <w:tc>
          <w:tcPr>
            <w:tcW w:w="9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C6D643A">
            <w:pPr>
              <w:pStyle w:val="107"/>
              <w:spacing w:beforeLines="0" w:afterLines="0"/>
              <w:jc w:val="center"/>
              <w:rPr>
                <w:rStyle w:val="31"/>
                <w:rFonts w:hint="default"/>
                <w:color w:val="auto"/>
                <w:sz w:val="18"/>
                <w:szCs w:val="24"/>
                <w:highlight w:val="none"/>
              </w:rPr>
            </w:pPr>
          </w:p>
        </w:tc>
      </w:tr>
    </w:tbl>
    <w:p w14:paraId="25363EF9">
      <w:pPr>
        <w:pStyle w:val="107"/>
        <w:spacing w:beforeLines="0" w:afterLines="0"/>
        <w:rPr>
          <w:rStyle w:val="31"/>
          <w:rFonts w:hint="default"/>
          <w:color w:val="auto"/>
          <w:sz w:val="24"/>
          <w:szCs w:val="24"/>
          <w:highlight w:val="none"/>
        </w:rPr>
      </w:pPr>
    </w:p>
    <w:p w14:paraId="34EE8366">
      <w:pPr>
        <w:pStyle w:val="107"/>
        <w:spacing w:beforeLines="0" w:afterLines="0"/>
        <w:rPr>
          <w:rStyle w:val="31"/>
          <w:rFonts w:hint="default"/>
          <w:color w:val="auto"/>
          <w:sz w:val="24"/>
          <w:szCs w:val="24"/>
          <w:highlight w:val="none"/>
        </w:rPr>
      </w:pPr>
      <w:r>
        <w:rPr>
          <w:rStyle w:val="31"/>
          <w:rFonts w:hint="default"/>
          <w:color w:val="auto"/>
          <w:sz w:val="24"/>
          <w:szCs w:val="24"/>
          <w:highlight w:val="none"/>
        </w:rPr>
        <w:br w:type="page"/>
      </w:r>
    </w:p>
    <w:p w14:paraId="190041C1">
      <w:pPr>
        <w:pStyle w:val="106"/>
        <w:tabs>
          <w:tab w:val="left" w:pos="847"/>
          <w:tab w:val="left" w:leader="underscore" w:pos="850"/>
          <w:tab w:val="left" w:leader="underscore" w:pos="1906"/>
          <w:tab w:val="left" w:pos="1908"/>
          <w:tab w:val="left" w:pos="2964"/>
        </w:tabs>
        <w:spacing w:beforeLines="0" w:after="420" w:afterLines="0" w:line="350" w:lineRule="exact"/>
        <w:ind w:firstLine="0"/>
        <w:rPr>
          <w:rStyle w:val="31"/>
          <w:rFonts w:hint="default"/>
          <w:b/>
          <w:color w:val="auto"/>
          <w:sz w:val="28"/>
          <w:szCs w:val="20"/>
          <w:highlight w:val="none"/>
          <w:lang w:val="en-US" w:bidi="en-US"/>
        </w:rPr>
      </w:pPr>
      <w:bookmarkStart w:id="115" w:name="bookmark2251"/>
      <w:bookmarkStart w:id="116" w:name="bookmark2249"/>
      <w:bookmarkStart w:id="117" w:name="bookmark2250"/>
      <w:r>
        <w:rPr>
          <w:rStyle w:val="31"/>
          <w:rFonts w:hint="default"/>
          <w:b/>
          <w:color w:val="auto"/>
          <w:sz w:val="28"/>
          <w:szCs w:val="20"/>
          <w:highlight w:val="none"/>
          <w:lang w:val="en-US" w:bidi="en-US"/>
        </w:rPr>
        <w:t>附件五：计划开工日期、完工日期和施工进度网络图（或横道图）</w:t>
      </w:r>
      <w:bookmarkEnd w:id="115"/>
      <w:bookmarkEnd w:id="116"/>
      <w:bookmarkEnd w:id="117"/>
    </w:p>
    <w:p w14:paraId="6FDABFFF">
      <w:pPr>
        <w:pStyle w:val="107"/>
        <w:spacing w:beforeLines="0" w:afterLines="0"/>
        <w:jc w:val="center"/>
        <w:rPr>
          <w:rStyle w:val="31"/>
          <w:rFonts w:hint="default" w:ascii="宋体" w:hAnsi="宋体" w:eastAsia="宋体" w:cs="宋体"/>
          <w:b/>
          <w:color w:val="auto"/>
          <w:sz w:val="24"/>
          <w:szCs w:val="24"/>
          <w:highlight w:val="none"/>
          <w:lang w:eastAsia="zh-CN"/>
        </w:rPr>
      </w:pPr>
      <w:bookmarkStart w:id="118" w:name="bookmark2253"/>
      <w:bookmarkStart w:id="119" w:name="bookmark2254"/>
      <w:bookmarkStart w:id="120" w:name="bookmark2252"/>
      <w:bookmarkStart w:id="121" w:name="_Toc24573"/>
      <w:bookmarkStart w:id="122" w:name="_Toc2597"/>
      <w:r>
        <w:rPr>
          <w:rStyle w:val="31"/>
          <w:rFonts w:hint="default" w:ascii="宋体" w:hAnsi="宋体" w:eastAsia="宋体" w:cs="宋体"/>
          <w:b/>
          <w:color w:val="auto"/>
          <w:sz w:val="24"/>
          <w:szCs w:val="24"/>
          <w:highlight w:val="none"/>
          <w:lang w:eastAsia="zh-CN"/>
        </w:rPr>
        <w:t>计划开工日期、完工日期和施工进度网络图（或横道图）</w:t>
      </w:r>
      <w:bookmarkEnd w:id="118"/>
      <w:bookmarkEnd w:id="119"/>
      <w:bookmarkEnd w:id="120"/>
      <w:bookmarkEnd w:id="121"/>
      <w:bookmarkEnd w:id="122"/>
    </w:p>
    <w:p w14:paraId="5C8E2374">
      <w:pPr>
        <w:pStyle w:val="107"/>
        <w:spacing w:beforeLines="0" w:afterLines="0"/>
        <w:jc w:val="center"/>
        <w:rPr>
          <w:rStyle w:val="31"/>
          <w:rFonts w:hint="default"/>
          <w:b/>
          <w:color w:val="auto"/>
          <w:sz w:val="24"/>
          <w:szCs w:val="24"/>
          <w:highlight w:val="none"/>
          <w:lang w:eastAsia="zh-CN"/>
        </w:rPr>
      </w:pPr>
    </w:p>
    <w:p w14:paraId="7278344D">
      <w:pPr>
        <w:pStyle w:val="106"/>
        <w:numPr>
          <w:ilvl w:val="0"/>
          <w:numId w:val="4"/>
        </w:numPr>
        <w:tabs>
          <w:tab w:val="left" w:pos="747"/>
        </w:tabs>
        <w:spacing w:beforeLines="0" w:after="120" w:afterLines="0" w:line="343" w:lineRule="exact"/>
        <w:ind w:firstLine="420"/>
        <w:jc w:val="both"/>
        <w:rPr>
          <w:rStyle w:val="31"/>
          <w:rFonts w:hint="default"/>
          <w:color w:val="auto"/>
          <w:sz w:val="24"/>
          <w:szCs w:val="20"/>
          <w:highlight w:val="none"/>
        </w:rPr>
      </w:pPr>
      <w:bookmarkStart w:id="123" w:name="bookmark2255"/>
      <w:bookmarkEnd w:id="123"/>
      <w:r>
        <w:rPr>
          <w:rStyle w:val="31"/>
          <w:rFonts w:hint="default"/>
          <w:color w:val="auto"/>
          <w:sz w:val="24"/>
          <w:szCs w:val="20"/>
          <w:highlight w:val="none"/>
        </w:rPr>
        <w:t>投标人应递交施工进度网络图或施工进度表，说明按招标文件要求的计划工期进行施工的各个关键日期。</w:t>
      </w:r>
    </w:p>
    <w:p w14:paraId="417D5BD1">
      <w:pPr>
        <w:pStyle w:val="106"/>
        <w:tabs>
          <w:tab w:val="left" w:pos="754"/>
        </w:tabs>
        <w:spacing w:beforeLines="0" w:after="500" w:afterLines="0"/>
        <w:rPr>
          <w:rStyle w:val="31"/>
          <w:rFonts w:hint="default"/>
          <w:color w:val="auto"/>
          <w:sz w:val="24"/>
          <w:szCs w:val="20"/>
          <w:highlight w:val="none"/>
        </w:rPr>
      </w:pPr>
      <w:bookmarkStart w:id="124" w:name="bookmark2256"/>
      <w:bookmarkEnd w:id="124"/>
      <w:r>
        <w:rPr>
          <w:rStyle w:val="31"/>
          <w:rFonts w:hint="default"/>
          <w:color w:val="auto"/>
          <w:sz w:val="24"/>
          <w:szCs w:val="20"/>
          <w:highlight w:val="none"/>
        </w:rPr>
        <w:t>施工进度表可采用网络图（或横道图）表示。</w:t>
      </w:r>
      <w:bookmarkStart w:id="125" w:name="bookmark2259"/>
      <w:bookmarkStart w:id="126" w:name="bookmark2257"/>
      <w:bookmarkStart w:id="127" w:name="bookmark2258"/>
    </w:p>
    <w:p w14:paraId="216BA22F">
      <w:pPr>
        <w:pStyle w:val="106"/>
        <w:tabs>
          <w:tab w:val="left" w:pos="754"/>
        </w:tabs>
        <w:spacing w:beforeLines="0" w:after="500" w:afterLines="0"/>
        <w:ind w:firstLine="0"/>
        <w:rPr>
          <w:rStyle w:val="31"/>
          <w:rFonts w:hint="default"/>
          <w:b/>
          <w:color w:val="auto"/>
          <w:sz w:val="28"/>
          <w:szCs w:val="24"/>
          <w:highlight w:val="none"/>
          <w:lang w:eastAsia="zh-CN"/>
        </w:rPr>
      </w:pPr>
      <w:r>
        <w:rPr>
          <w:rStyle w:val="31"/>
          <w:rFonts w:hint="default" w:ascii="宋体" w:hAnsi="宋体" w:eastAsia="宋体" w:cs="宋体"/>
          <w:b/>
          <w:color w:val="auto"/>
          <w:sz w:val="28"/>
          <w:szCs w:val="28"/>
          <w:highlight w:val="none"/>
          <w:lang w:eastAsia="zh-CN"/>
        </w:rPr>
        <w:t>附件六：施工总平面图</w:t>
      </w:r>
      <w:bookmarkEnd w:id="125"/>
      <w:bookmarkEnd w:id="126"/>
      <w:bookmarkEnd w:id="127"/>
    </w:p>
    <w:p w14:paraId="3F6B0B17">
      <w:pPr>
        <w:pStyle w:val="107"/>
        <w:spacing w:beforeLines="0" w:afterLines="0"/>
        <w:jc w:val="center"/>
        <w:rPr>
          <w:rStyle w:val="31"/>
          <w:rFonts w:hint="default" w:ascii="宋体" w:hAnsi="宋体" w:eastAsia="宋体" w:cs="宋体"/>
          <w:b/>
          <w:color w:val="auto"/>
          <w:sz w:val="24"/>
          <w:szCs w:val="24"/>
          <w:highlight w:val="none"/>
          <w:lang w:eastAsia="zh-CN"/>
        </w:rPr>
      </w:pPr>
      <w:bookmarkStart w:id="128" w:name="_Toc768"/>
      <w:bookmarkStart w:id="129" w:name="bookmark2260"/>
      <w:bookmarkStart w:id="130" w:name="bookmark2261"/>
      <w:bookmarkStart w:id="131" w:name="_Toc30163"/>
      <w:bookmarkStart w:id="132" w:name="bookmark2262"/>
      <w:r>
        <w:rPr>
          <w:rStyle w:val="31"/>
          <w:rFonts w:hint="default" w:ascii="宋体" w:hAnsi="宋体" w:eastAsia="宋体" w:cs="宋体"/>
          <w:b/>
          <w:color w:val="auto"/>
          <w:sz w:val="24"/>
          <w:szCs w:val="24"/>
          <w:highlight w:val="none"/>
          <w:lang w:eastAsia="zh-CN"/>
        </w:rPr>
        <w:t>施工总平面图</w:t>
      </w:r>
      <w:bookmarkEnd w:id="128"/>
      <w:bookmarkEnd w:id="129"/>
      <w:bookmarkEnd w:id="130"/>
      <w:bookmarkEnd w:id="131"/>
      <w:bookmarkEnd w:id="132"/>
    </w:p>
    <w:p w14:paraId="60938D37">
      <w:pPr>
        <w:pStyle w:val="107"/>
        <w:spacing w:beforeLines="0" w:afterLines="0"/>
        <w:jc w:val="center"/>
        <w:rPr>
          <w:rStyle w:val="31"/>
          <w:rFonts w:hint="default"/>
          <w:b/>
          <w:color w:val="auto"/>
          <w:sz w:val="24"/>
          <w:szCs w:val="24"/>
          <w:highlight w:val="none"/>
          <w:lang w:eastAsia="zh-CN"/>
        </w:rPr>
      </w:pPr>
    </w:p>
    <w:p w14:paraId="707BEDEA">
      <w:pPr>
        <w:pStyle w:val="106"/>
        <w:spacing w:beforeLines="0" w:after="560" w:afterLines="0" w:line="350" w:lineRule="exact"/>
        <w:ind w:firstLine="420"/>
        <w:jc w:val="both"/>
        <w:rPr>
          <w:rStyle w:val="31"/>
          <w:rFonts w:hint="default"/>
          <w:color w:val="auto"/>
          <w:sz w:val="24"/>
          <w:szCs w:val="24"/>
          <w:highlight w:val="none"/>
        </w:rPr>
      </w:pPr>
      <w:r>
        <w:rPr>
          <w:rStyle w:val="31"/>
          <w:rFonts w:hint="default"/>
          <w:color w:val="auto"/>
          <w:sz w:val="24"/>
          <w:szCs w:val="24"/>
          <w:highlight w:val="none"/>
        </w:rPr>
        <w:t>投标人应递交一份施工总平面图，绘出现场临时设施布置图及表并附文字说明，说明临时设施、加工车间、现场办公、设备及仓储、供电、供水、卫生、生活、道路、消防等设施的情况和布置。</w:t>
      </w:r>
    </w:p>
    <w:p w14:paraId="44675B81">
      <w:pPr>
        <w:pStyle w:val="106"/>
        <w:spacing w:beforeLines="0" w:after="560" w:afterLines="0" w:line="350" w:lineRule="exact"/>
        <w:ind w:firstLine="420"/>
        <w:jc w:val="both"/>
        <w:rPr>
          <w:rStyle w:val="31"/>
          <w:rFonts w:hint="default"/>
          <w:color w:val="auto"/>
          <w:sz w:val="24"/>
          <w:szCs w:val="24"/>
          <w:highlight w:val="none"/>
        </w:rPr>
      </w:pPr>
      <w:r>
        <w:rPr>
          <w:rStyle w:val="31"/>
          <w:rFonts w:hint="default"/>
          <w:color w:val="auto"/>
          <w:sz w:val="24"/>
          <w:szCs w:val="24"/>
          <w:highlight w:val="none"/>
        </w:rPr>
        <w:t>其他</w:t>
      </w:r>
      <w:bookmarkStart w:id="133" w:name="bookmark2264"/>
      <w:bookmarkStart w:id="134" w:name="bookmark2263"/>
      <w:bookmarkStart w:id="135" w:name="bookmark2265"/>
    </w:p>
    <w:p w14:paraId="12F7821E">
      <w:pPr>
        <w:pStyle w:val="106"/>
        <w:spacing w:beforeLines="0" w:after="560" w:afterLines="0" w:line="350" w:lineRule="exact"/>
        <w:ind w:firstLine="420"/>
        <w:jc w:val="both"/>
        <w:rPr>
          <w:rStyle w:val="31"/>
          <w:rFonts w:hint="default"/>
          <w:b/>
          <w:color w:val="auto"/>
          <w:sz w:val="28"/>
          <w:szCs w:val="20"/>
          <w:highlight w:val="none"/>
        </w:rPr>
      </w:pPr>
      <w:r>
        <w:rPr>
          <w:rStyle w:val="31"/>
          <w:rFonts w:hint="default"/>
          <w:b/>
          <w:color w:val="auto"/>
          <w:sz w:val="28"/>
          <w:szCs w:val="20"/>
          <w:highlight w:val="none"/>
          <w:lang w:val="en-US"/>
        </w:rPr>
        <w:t>附件七：</w:t>
      </w:r>
      <w:r>
        <w:rPr>
          <w:rStyle w:val="31"/>
          <w:rFonts w:hint="default"/>
          <w:b/>
          <w:color w:val="auto"/>
          <w:sz w:val="28"/>
          <w:szCs w:val="20"/>
          <w:highlight w:val="none"/>
        </w:rPr>
        <w:t>临时用地表</w:t>
      </w:r>
      <w:bookmarkEnd w:id="133"/>
      <w:bookmarkEnd w:id="134"/>
      <w:bookmarkEnd w:id="135"/>
    </w:p>
    <w:p w14:paraId="10A2AFE2">
      <w:pPr>
        <w:pStyle w:val="107"/>
        <w:spacing w:beforeLines="0" w:afterLines="0"/>
        <w:jc w:val="center"/>
        <w:rPr>
          <w:rStyle w:val="31"/>
          <w:rFonts w:hint="default" w:ascii="宋体" w:hAnsi="宋体" w:eastAsia="宋体" w:cs="宋体"/>
          <w:b/>
          <w:color w:val="auto"/>
          <w:sz w:val="24"/>
          <w:szCs w:val="24"/>
          <w:highlight w:val="none"/>
          <w:lang w:eastAsia="zh-CN"/>
        </w:rPr>
      </w:pPr>
      <w:bookmarkStart w:id="136" w:name="_Toc3522"/>
      <w:bookmarkStart w:id="137" w:name="bookmark2267"/>
      <w:bookmarkStart w:id="138" w:name="_Toc31330"/>
      <w:bookmarkStart w:id="139" w:name="bookmark2266"/>
      <w:bookmarkStart w:id="140" w:name="bookmark2268"/>
      <w:r>
        <w:rPr>
          <w:rStyle w:val="31"/>
          <w:rFonts w:hint="default" w:ascii="宋体" w:hAnsi="宋体" w:eastAsia="宋体" w:cs="宋体"/>
          <w:b/>
          <w:color w:val="auto"/>
          <w:sz w:val="24"/>
          <w:szCs w:val="24"/>
          <w:highlight w:val="none"/>
          <w:lang w:eastAsia="zh-CN"/>
        </w:rPr>
        <w:t>临时用地表</w:t>
      </w:r>
      <w:bookmarkEnd w:id="136"/>
      <w:bookmarkEnd w:id="137"/>
      <w:bookmarkEnd w:id="138"/>
      <w:bookmarkEnd w:id="139"/>
      <w:bookmarkEnd w:id="140"/>
    </w:p>
    <w:p w14:paraId="0BD403D3">
      <w:pPr>
        <w:pStyle w:val="107"/>
        <w:spacing w:beforeLines="0" w:afterLines="0"/>
        <w:jc w:val="center"/>
        <w:rPr>
          <w:rStyle w:val="31"/>
          <w:rFonts w:hint="default"/>
          <w:b/>
          <w:color w:val="auto"/>
          <w:sz w:val="24"/>
          <w:szCs w:val="24"/>
          <w:highlight w:val="none"/>
          <w:lang w:eastAsia="zh-CN"/>
        </w:rPr>
      </w:pPr>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2093"/>
        <w:gridCol w:w="2083"/>
        <w:gridCol w:w="2083"/>
        <w:gridCol w:w="2093"/>
      </w:tblGrid>
      <w:tr w14:paraId="2ADA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jc w:val="center"/>
        </w:trPr>
        <w:tc>
          <w:tcPr>
            <w:tcW w:w="2093" w:type="dxa"/>
            <w:tcBorders>
              <w:top w:val="single" w:color="auto" w:sz="4" w:space="0"/>
              <w:left w:val="single" w:color="auto" w:sz="4" w:space="0"/>
              <w:bottom w:val="nil"/>
              <w:right w:val="nil"/>
              <w:tl2br w:val="nil"/>
              <w:tr2bl w:val="nil"/>
            </w:tcBorders>
            <w:shd w:val="clear" w:color="auto" w:fill="FFFFFF"/>
            <w:noWrap w:val="0"/>
            <w:vAlign w:val="center"/>
          </w:tcPr>
          <w:p w14:paraId="01B160E5">
            <w:pPr>
              <w:pStyle w:val="108"/>
              <w:spacing w:beforeLines="0" w:afterLines="0" w:line="240" w:lineRule="auto"/>
              <w:ind w:firstLine="0"/>
              <w:jc w:val="center"/>
              <w:rPr>
                <w:rStyle w:val="31"/>
                <w:rFonts w:hint="default"/>
                <w:color w:val="auto"/>
                <w:sz w:val="24"/>
                <w:szCs w:val="20"/>
                <w:highlight w:val="none"/>
              </w:rPr>
            </w:pPr>
            <w:r>
              <w:rPr>
                <w:rStyle w:val="31"/>
                <w:rFonts w:hint="default"/>
                <w:color w:val="auto"/>
                <w:sz w:val="24"/>
                <w:szCs w:val="20"/>
                <w:highlight w:val="none"/>
              </w:rPr>
              <w:t>用途</w:t>
            </w:r>
          </w:p>
        </w:tc>
        <w:tc>
          <w:tcPr>
            <w:tcW w:w="2083" w:type="dxa"/>
            <w:tcBorders>
              <w:top w:val="single" w:color="auto" w:sz="4" w:space="0"/>
              <w:left w:val="single" w:color="auto" w:sz="4" w:space="0"/>
              <w:bottom w:val="nil"/>
              <w:right w:val="nil"/>
              <w:tl2br w:val="nil"/>
              <w:tr2bl w:val="nil"/>
            </w:tcBorders>
            <w:shd w:val="clear" w:color="auto" w:fill="FFFFFF"/>
            <w:noWrap w:val="0"/>
            <w:vAlign w:val="center"/>
          </w:tcPr>
          <w:p w14:paraId="23568D53">
            <w:pPr>
              <w:pStyle w:val="108"/>
              <w:spacing w:beforeLines="0" w:afterLines="0" w:line="240" w:lineRule="auto"/>
              <w:ind w:firstLine="0"/>
              <w:jc w:val="center"/>
              <w:rPr>
                <w:rStyle w:val="31"/>
                <w:rFonts w:hint="default"/>
                <w:color w:val="auto"/>
                <w:sz w:val="24"/>
                <w:szCs w:val="20"/>
                <w:highlight w:val="none"/>
              </w:rPr>
            </w:pPr>
            <w:r>
              <w:rPr>
                <w:rStyle w:val="31"/>
                <w:rFonts w:hint="default"/>
                <w:color w:val="auto"/>
                <w:sz w:val="24"/>
                <w:szCs w:val="20"/>
                <w:highlight w:val="none"/>
              </w:rPr>
              <w:t>面积（</w:t>
            </w:r>
            <w:r>
              <w:rPr>
                <w:rStyle w:val="31"/>
                <w:rFonts w:hint="default"/>
                <w:color w:val="auto"/>
                <w:sz w:val="24"/>
                <w:szCs w:val="20"/>
                <w:highlight w:val="none"/>
                <w:lang w:bidi="en-US"/>
              </w:rPr>
              <w:t>m</w:t>
            </w:r>
            <w:r>
              <w:rPr>
                <w:rStyle w:val="31"/>
                <w:rFonts w:hint="default"/>
                <w:color w:val="auto"/>
                <w:sz w:val="24"/>
                <w:szCs w:val="20"/>
                <w:highlight w:val="none"/>
                <w:vertAlign w:val="superscript"/>
                <w:lang w:bidi="en-US"/>
              </w:rPr>
              <w:t>2</w:t>
            </w:r>
            <w:r>
              <w:rPr>
                <w:rStyle w:val="31"/>
                <w:rFonts w:hint="default"/>
                <w:color w:val="auto"/>
                <w:sz w:val="24"/>
                <w:szCs w:val="20"/>
                <w:highlight w:val="none"/>
              </w:rPr>
              <w:t>）</w:t>
            </w:r>
          </w:p>
        </w:tc>
        <w:tc>
          <w:tcPr>
            <w:tcW w:w="2083" w:type="dxa"/>
            <w:tcBorders>
              <w:top w:val="single" w:color="auto" w:sz="4" w:space="0"/>
              <w:left w:val="single" w:color="auto" w:sz="4" w:space="0"/>
              <w:bottom w:val="nil"/>
              <w:right w:val="nil"/>
              <w:tl2br w:val="nil"/>
              <w:tr2bl w:val="nil"/>
            </w:tcBorders>
            <w:shd w:val="clear" w:color="auto" w:fill="FFFFFF"/>
            <w:noWrap w:val="0"/>
            <w:vAlign w:val="center"/>
          </w:tcPr>
          <w:p w14:paraId="3CC88C60">
            <w:pPr>
              <w:pStyle w:val="108"/>
              <w:spacing w:beforeLines="0" w:afterLines="0" w:line="240" w:lineRule="auto"/>
              <w:ind w:firstLine="0"/>
              <w:jc w:val="center"/>
              <w:rPr>
                <w:rStyle w:val="31"/>
                <w:rFonts w:hint="default"/>
                <w:color w:val="auto"/>
                <w:sz w:val="24"/>
                <w:szCs w:val="20"/>
                <w:highlight w:val="none"/>
              </w:rPr>
            </w:pPr>
            <w:r>
              <w:rPr>
                <w:rStyle w:val="31"/>
                <w:rFonts w:hint="default"/>
                <w:color w:val="auto"/>
                <w:sz w:val="24"/>
                <w:szCs w:val="20"/>
                <w:highlight w:val="none"/>
              </w:rPr>
              <w:t>位置</w:t>
            </w:r>
          </w:p>
        </w:tc>
        <w:tc>
          <w:tcPr>
            <w:tcW w:w="2093"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6488E0BC">
            <w:pPr>
              <w:pStyle w:val="108"/>
              <w:spacing w:beforeLines="0" w:afterLines="0" w:line="240" w:lineRule="auto"/>
              <w:ind w:firstLine="0"/>
              <w:jc w:val="center"/>
              <w:rPr>
                <w:rStyle w:val="31"/>
                <w:rFonts w:hint="default"/>
                <w:color w:val="auto"/>
                <w:sz w:val="24"/>
                <w:szCs w:val="20"/>
                <w:highlight w:val="none"/>
              </w:rPr>
            </w:pPr>
            <w:r>
              <w:rPr>
                <w:rStyle w:val="31"/>
                <w:rFonts w:hint="default"/>
                <w:color w:val="auto"/>
                <w:sz w:val="24"/>
                <w:szCs w:val="20"/>
                <w:highlight w:val="none"/>
              </w:rPr>
              <w:t>需用时间</w:t>
            </w:r>
          </w:p>
        </w:tc>
      </w:tr>
      <w:tr w14:paraId="5D150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bottom w:val="nil"/>
              <w:right w:val="nil"/>
              <w:tl2br w:val="nil"/>
              <w:tr2bl w:val="nil"/>
            </w:tcBorders>
            <w:shd w:val="clear" w:color="auto" w:fill="FFFFFF"/>
            <w:noWrap w:val="0"/>
            <w:vAlign w:val="top"/>
          </w:tcPr>
          <w:p w14:paraId="1CF322DA">
            <w:pPr>
              <w:pStyle w:val="107"/>
              <w:spacing w:beforeLines="0" w:afterLines="0"/>
              <w:rPr>
                <w:rStyle w:val="31"/>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146CF94D">
            <w:pPr>
              <w:pStyle w:val="107"/>
              <w:spacing w:beforeLines="0" w:afterLines="0"/>
              <w:rPr>
                <w:rStyle w:val="31"/>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631CFC81">
            <w:pPr>
              <w:pStyle w:val="107"/>
              <w:spacing w:beforeLines="0" w:afterLines="0"/>
              <w:rPr>
                <w:rStyle w:val="31"/>
                <w:rFonts w:hint="default"/>
                <w:color w:val="auto"/>
                <w:sz w:val="24"/>
                <w:szCs w:val="24"/>
                <w:highlight w:val="none"/>
              </w:rPr>
            </w:pPr>
          </w:p>
        </w:tc>
        <w:tc>
          <w:tcPr>
            <w:tcW w:w="2093"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19848876">
            <w:pPr>
              <w:pStyle w:val="107"/>
              <w:spacing w:beforeLines="0" w:afterLines="0"/>
              <w:rPr>
                <w:rStyle w:val="31"/>
                <w:rFonts w:hint="default"/>
                <w:color w:val="auto"/>
                <w:sz w:val="24"/>
                <w:szCs w:val="24"/>
                <w:highlight w:val="none"/>
              </w:rPr>
            </w:pPr>
          </w:p>
        </w:tc>
      </w:tr>
      <w:tr w14:paraId="11D17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bottom w:val="nil"/>
              <w:right w:val="nil"/>
              <w:tl2br w:val="nil"/>
              <w:tr2bl w:val="nil"/>
            </w:tcBorders>
            <w:shd w:val="clear" w:color="auto" w:fill="FFFFFF"/>
            <w:noWrap w:val="0"/>
            <w:vAlign w:val="top"/>
          </w:tcPr>
          <w:p w14:paraId="335F151C">
            <w:pPr>
              <w:pStyle w:val="107"/>
              <w:spacing w:beforeLines="0" w:afterLines="0"/>
              <w:rPr>
                <w:rStyle w:val="31"/>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04D5B0B8">
            <w:pPr>
              <w:pStyle w:val="107"/>
              <w:spacing w:beforeLines="0" w:afterLines="0"/>
              <w:rPr>
                <w:rStyle w:val="31"/>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04910BBC">
            <w:pPr>
              <w:pStyle w:val="107"/>
              <w:spacing w:beforeLines="0" w:afterLines="0"/>
              <w:rPr>
                <w:rStyle w:val="31"/>
                <w:rFonts w:hint="default"/>
                <w:color w:val="auto"/>
                <w:sz w:val="24"/>
                <w:szCs w:val="24"/>
                <w:highlight w:val="none"/>
              </w:rPr>
            </w:pPr>
          </w:p>
        </w:tc>
        <w:tc>
          <w:tcPr>
            <w:tcW w:w="2093"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6781C1A3">
            <w:pPr>
              <w:pStyle w:val="107"/>
              <w:spacing w:beforeLines="0" w:afterLines="0"/>
              <w:rPr>
                <w:rStyle w:val="31"/>
                <w:rFonts w:hint="default"/>
                <w:color w:val="auto"/>
                <w:sz w:val="24"/>
                <w:szCs w:val="24"/>
                <w:highlight w:val="none"/>
              </w:rPr>
            </w:pPr>
          </w:p>
        </w:tc>
      </w:tr>
      <w:tr w14:paraId="0E111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bottom w:val="nil"/>
              <w:right w:val="nil"/>
              <w:tl2br w:val="nil"/>
              <w:tr2bl w:val="nil"/>
            </w:tcBorders>
            <w:shd w:val="clear" w:color="auto" w:fill="FFFFFF"/>
            <w:noWrap w:val="0"/>
            <w:vAlign w:val="top"/>
          </w:tcPr>
          <w:p w14:paraId="341B0791">
            <w:pPr>
              <w:pStyle w:val="107"/>
              <w:spacing w:beforeLines="0" w:afterLines="0"/>
              <w:rPr>
                <w:rStyle w:val="31"/>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6337DFB8">
            <w:pPr>
              <w:pStyle w:val="107"/>
              <w:spacing w:beforeLines="0" w:afterLines="0"/>
              <w:rPr>
                <w:rStyle w:val="31"/>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7A65ABB1">
            <w:pPr>
              <w:pStyle w:val="107"/>
              <w:spacing w:beforeLines="0" w:afterLines="0"/>
              <w:rPr>
                <w:rStyle w:val="31"/>
                <w:rFonts w:hint="default"/>
                <w:color w:val="auto"/>
                <w:sz w:val="24"/>
                <w:szCs w:val="24"/>
                <w:highlight w:val="none"/>
              </w:rPr>
            </w:pPr>
          </w:p>
        </w:tc>
        <w:tc>
          <w:tcPr>
            <w:tcW w:w="2093"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15DBEABE">
            <w:pPr>
              <w:pStyle w:val="107"/>
              <w:spacing w:beforeLines="0" w:afterLines="0"/>
              <w:rPr>
                <w:rStyle w:val="31"/>
                <w:rFonts w:hint="default"/>
                <w:color w:val="auto"/>
                <w:sz w:val="24"/>
                <w:szCs w:val="24"/>
                <w:highlight w:val="none"/>
              </w:rPr>
            </w:pPr>
          </w:p>
        </w:tc>
      </w:tr>
      <w:tr w14:paraId="2C02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bottom w:val="nil"/>
              <w:right w:val="nil"/>
              <w:tl2br w:val="nil"/>
              <w:tr2bl w:val="nil"/>
            </w:tcBorders>
            <w:shd w:val="clear" w:color="auto" w:fill="FFFFFF"/>
            <w:noWrap w:val="0"/>
            <w:vAlign w:val="top"/>
          </w:tcPr>
          <w:p w14:paraId="66C0CF7E">
            <w:pPr>
              <w:pStyle w:val="107"/>
              <w:spacing w:beforeLines="0" w:afterLines="0"/>
              <w:rPr>
                <w:rStyle w:val="31"/>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0C163C8F">
            <w:pPr>
              <w:pStyle w:val="107"/>
              <w:spacing w:beforeLines="0" w:afterLines="0"/>
              <w:rPr>
                <w:rStyle w:val="31"/>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485E4757">
            <w:pPr>
              <w:pStyle w:val="107"/>
              <w:spacing w:beforeLines="0" w:afterLines="0"/>
              <w:rPr>
                <w:rStyle w:val="31"/>
                <w:rFonts w:hint="default"/>
                <w:color w:val="auto"/>
                <w:sz w:val="24"/>
                <w:szCs w:val="24"/>
                <w:highlight w:val="none"/>
              </w:rPr>
            </w:pPr>
          </w:p>
        </w:tc>
        <w:tc>
          <w:tcPr>
            <w:tcW w:w="2093"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3D0E7378">
            <w:pPr>
              <w:pStyle w:val="107"/>
              <w:spacing w:beforeLines="0" w:afterLines="0"/>
              <w:rPr>
                <w:rStyle w:val="31"/>
                <w:rFonts w:hint="default"/>
                <w:color w:val="auto"/>
                <w:sz w:val="24"/>
                <w:szCs w:val="24"/>
                <w:highlight w:val="none"/>
              </w:rPr>
            </w:pPr>
          </w:p>
        </w:tc>
      </w:tr>
      <w:tr w14:paraId="1471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bottom w:val="nil"/>
              <w:right w:val="nil"/>
              <w:tl2br w:val="nil"/>
              <w:tr2bl w:val="nil"/>
            </w:tcBorders>
            <w:shd w:val="clear" w:color="auto" w:fill="FFFFFF"/>
            <w:noWrap w:val="0"/>
            <w:vAlign w:val="top"/>
          </w:tcPr>
          <w:p w14:paraId="19E340B5">
            <w:pPr>
              <w:pStyle w:val="107"/>
              <w:spacing w:beforeLines="0" w:afterLines="0"/>
              <w:rPr>
                <w:rStyle w:val="31"/>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33C720F1">
            <w:pPr>
              <w:pStyle w:val="107"/>
              <w:spacing w:beforeLines="0" w:afterLines="0"/>
              <w:rPr>
                <w:rStyle w:val="31"/>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35F9DE11">
            <w:pPr>
              <w:pStyle w:val="107"/>
              <w:spacing w:beforeLines="0" w:afterLines="0"/>
              <w:rPr>
                <w:rStyle w:val="31"/>
                <w:rFonts w:hint="default"/>
                <w:color w:val="auto"/>
                <w:sz w:val="24"/>
                <w:szCs w:val="24"/>
                <w:highlight w:val="none"/>
              </w:rPr>
            </w:pPr>
          </w:p>
        </w:tc>
        <w:tc>
          <w:tcPr>
            <w:tcW w:w="2093"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21B98B9A">
            <w:pPr>
              <w:pStyle w:val="107"/>
              <w:spacing w:beforeLines="0" w:afterLines="0"/>
              <w:rPr>
                <w:rStyle w:val="31"/>
                <w:rFonts w:hint="default"/>
                <w:color w:val="auto"/>
                <w:sz w:val="24"/>
                <w:szCs w:val="24"/>
                <w:highlight w:val="none"/>
              </w:rPr>
            </w:pPr>
          </w:p>
        </w:tc>
      </w:tr>
      <w:tr w14:paraId="7EC0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jc w:val="center"/>
        </w:trPr>
        <w:tc>
          <w:tcPr>
            <w:tcW w:w="2093"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56D4E433">
            <w:pPr>
              <w:pStyle w:val="107"/>
              <w:spacing w:beforeLines="0" w:afterLines="0"/>
              <w:rPr>
                <w:rStyle w:val="31"/>
                <w:rFonts w:hint="default"/>
                <w:color w:val="auto"/>
                <w:sz w:val="24"/>
                <w:szCs w:val="24"/>
                <w:highlight w:val="none"/>
              </w:rPr>
            </w:pPr>
          </w:p>
        </w:tc>
        <w:tc>
          <w:tcPr>
            <w:tcW w:w="2083"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661A863B">
            <w:pPr>
              <w:pStyle w:val="107"/>
              <w:spacing w:beforeLines="0" w:afterLines="0"/>
              <w:rPr>
                <w:rStyle w:val="31"/>
                <w:rFonts w:hint="default"/>
                <w:color w:val="auto"/>
                <w:sz w:val="24"/>
                <w:szCs w:val="24"/>
                <w:highlight w:val="none"/>
              </w:rPr>
            </w:pPr>
          </w:p>
        </w:tc>
        <w:tc>
          <w:tcPr>
            <w:tcW w:w="2083"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10CF3702">
            <w:pPr>
              <w:pStyle w:val="107"/>
              <w:spacing w:beforeLines="0" w:afterLines="0"/>
              <w:rPr>
                <w:rStyle w:val="31"/>
                <w:rFonts w:hint="default"/>
                <w:color w:val="auto"/>
                <w:sz w:val="24"/>
                <w:szCs w:val="24"/>
                <w:highlight w:val="none"/>
              </w:rPr>
            </w:pPr>
          </w:p>
        </w:tc>
        <w:tc>
          <w:tcPr>
            <w:tcW w:w="20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09680E01">
            <w:pPr>
              <w:pStyle w:val="107"/>
              <w:spacing w:beforeLines="0" w:afterLines="0"/>
              <w:rPr>
                <w:rStyle w:val="31"/>
                <w:rFonts w:hint="default"/>
                <w:color w:val="auto"/>
                <w:sz w:val="24"/>
                <w:szCs w:val="24"/>
                <w:highlight w:val="none"/>
              </w:rPr>
            </w:pPr>
          </w:p>
        </w:tc>
      </w:tr>
    </w:tbl>
    <w:p w14:paraId="76FD3B66">
      <w:pPr>
        <w:pageBreakBefore/>
        <w:spacing w:line="440" w:lineRule="exact"/>
        <w:jc w:val="left"/>
        <w:rPr>
          <w:rFonts w:hint="default" w:ascii="宋体" w:hAnsi="宋体" w:eastAsia="宋体" w:cs="宋体"/>
          <w:b/>
          <w:color w:val="auto"/>
          <w:sz w:val="36"/>
          <w:szCs w:val="24"/>
          <w:highlight w:val="none"/>
        </w:rPr>
      </w:pPr>
      <w:r>
        <w:rPr>
          <w:rFonts w:hint="default" w:ascii="宋体" w:hAnsi="宋体" w:eastAsia="宋体" w:cs="宋体"/>
          <w:b/>
          <w:color w:val="auto"/>
          <w:sz w:val="36"/>
          <w:szCs w:val="24"/>
          <w:highlight w:val="none"/>
        </w:rPr>
        <w:t>十四、按本竞争性磋商文件规定提交的其它资料。</w:t>
      </w:r>
    </w:p>
    <w:p w14:paraId="11186089">
      <w:pPr>
        <w:spacing w:line="440" w:lineRule="exact"/>
        <w:jc w:val="center"/>
        <w:rPr>
          <w:rFonts w:hint="default" w:ascii="宋体" w:hAnsi="宋体" w:eastAsia="宋体" w:cs="宋体"/>
          <w:b/>
          <w:color w:val="auto"/>
          <w:sz w:val="48"/>
          <w:szCs w:val="24"/>
          <w:highlight w:val="none"/>
        </w:rPr>
      </w:pPr>
    </w:p>
    <w:p w14:paraId="546CF40C">
      <w:pPr>
        <w:spacing w:line="520" w:lineRule="exact"/>
        <w:ind w:firstLine="602" w:firstLineChars="200"/>
        <w:jc w:val="left"/>
        <w:rPr>
          <w:rFonts w:hint="default" w:ascii="宋体" w:hAnsi="宋体" w:eastAsia="宋体" w:cs="宋体"/>
          <w:b/>
          <w:color w:val="auto"/>
          <w:sz w:val="30"/>
          <w:szCs w:val="30"/>
          <w:highlight w:val="none"/>
        </w:rPr>
      </w:pPr>
    </w:p>
    <w:p w14:paraId="782824BA">
      <w:pPr>
        <w:autoSpaceDE w:val="0"/>
        <w:autoSpaceDN w:val="0"/>
        <w:spacing w:line="360" w:lineRule="auto"/>
        <w:ind w:left="4335" w:leftChars="1950" w:hanging="240" w:hangingChars="100"/>
        <w:rPr>
          <w:rFonts w:hint="default" w:ascii="宋体" w:hAnsi="宋体" w:eastAsia="宋体" w:cs="宋体"/>
          <w:color w:val="auto"/>
          <w:kern w:val="0"/>
          <w:sz w:val="24"/>
          <w:szCs w:val="24"/>
          <w:highlight w:val="none"/>
        </w:rPr>
      </w:pPr>
    </w:p>
    <w:p w14:paraId="25D6F80A">
      <w:pPr>
        <w:autoSpaceDE w:val="0"/>
        <w:autoSpaceDN w:val="0"/>
        <w:spacing w:line="360" w:lineRule="auto"/>
        <w:ind w:left="4335" w:leftChars="1950" w:hanging="240" w:hangingChars="100"/>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供应商名称（电子签章）：</w:t>
      </w:r>
    </w:p>
    <w:p w14:paraId="733BBFF4">
      <w:pPr>
        <w:autoSpaceDE w:val="0"/>
        <w:autoSpaceDN w:val="0"/>
        <w:spacing w:line="360" w:lineRule="auto"/>
        <w:ind w:firstLine="6480" w:firstLineChars="2700"/>
        <w:rPr>
          <w:rFonts w:hint="default" w:ascii="宋体" w:hAnsi="宋体" w:eastAsia="宋体" w:cs="宋体"/>
          <w:color w:val="auto"/>
          <w:kern w:val="0"/>
          <w:sz w:val="24"/>
          <w:szCs w:val="24"/>
          <w:highlight w:val="none"/>
          <w:lang w:val="zh-CN"/>
        </w:rPr>
      </w:pPr>
      <w:r>
        <w:rPr>
          <w:rFonts w:hint="default" w:ascii="宋体" w:hAnsi="宋体" w:eastAsia="宋体" w:cs="宋体"/>
          <w:color w:val="auto"/>
          <w:kern w:val="0"/>
          <w:sz w:val="24"/>
          <w:szCs w:val="24"/>
          <w:highlight w:val="none"/>
          <w:lang w:val="zh-CN"/>
        </w:rPr>
        <w:t>日期：  年  月   日</w:t>
      </w:r>
    </w:p>
    <w:p w14:paraId="0481A43D">
      <w:pPr>
        <w:snapToGrid w:val="0"/>
        <w:spacing w:line="360" w:lineRule="auto"/>
        <w:ind w:firstLine="482" w:firstLineChars="200"/>
        <w:rPr>
          <w:rFonts w:hint="default" w:ascii="宋体" w:hAnsi="宋体" w:eastAsia="宋体" w:cs="宋体"/>
          <w:b/>
          <w:color w:val="auto"/>
          <w:sz w:val="24"/>
          <w:szCs w:val="24"/>
          <w:highlight w:val="none"/>
        </w:rPr>
        <w:sectPr>
          <w:headerReference r:id="rId4" w:type="default"/>
          <w:footerReference r:id="rId5" w:type="default"/>
          <w:pgSz w:w="11910" w:h="16840"/>
          <w:pgMar w:top="1340" w:right="1500" w:bottom="1304" w:left="1680" w:header="720" w:footer="720" w:gutter="0"/>
          <w:lnNumType w:countBy="0" w:distance="360"/>
          <w:cols w:space="720" w:num="1"/>
        </w:sectPr>
      </w:pPr>
    </w:p>
    <w:p w14:paraId="083B4307">
      <w:pPr>
        <w:rPr>
          <w:rFonts w:hint="eastAsia" w:ascii="仿宋" w:hAnsi="仿宋" w:eastAsia="仿宋" w:cs="仿宋_GB2312"/>
          <w:b/>
          <w:color w:val="auto"/>
          <w:sz w:val="30"/>
          <w:szCs w:val="30"/>
          <w:lang w:bidi="ar"/>
        </w:rPr>
      </w:pPr>
    </w:p>
    <w:p w14:paraId="57C3CBE9">
      <w:pPr>
        <w:pStyle w:val="3"/>
        <w:widowControl/>
        <w:jc w:val="center"/>
        <w:rPr>
          <w:rFonts w:hint="eastAsia" w:ascii="宋体" w:hAnsi="宋体" w:eastAsia="宋体" w:cs="宋体"/>
          <w:color w:val="auto"/>
        </w:rPr>
      </w:pPr>
      <w:bookmarkStart w:id="141" w:name="_Toc80205941"/>
      <w:bookmarkStart w:id="142" w:name="_Toc15918"/>
      <w:r>
        <w:rPr>
          <w:rFonts w:hint="eastAsia" w:ascii="宋体" w:hAnsi="宋体" w:eastAsia="宋体" w:cs="宋体"/>
          <w:color w:val="auto"/>
        </w:rPr>
        <w:t>第四节 报价文件格式</w:t>
      </w:r>
      <w:bookmarkEnd w:id="141"/>
      <w:bookmarkEnd w:id="142"/>
    </w:p>
    <w:p w14:paraId="66A0C033">
      <w:pPr>
        <w:snapToGrid w:val="0"/>
        <w:spacing w:before="156" w:beforeLines="50" w:after="50"/>
        <w:rPr>
          <w:rFonts w:hint="eastAsia" w:ascii="宋体" w:hAnsi="宋体" w:eastAsia="宋体" w:cs="宋体"/>
          <w:bCs/>
          <w:color w:val="auto"/>
          <w:sz w:val="32"/>
          <w:szCs w:val="20"/>
        </w:rPr>
      </w:pPr>
      <w:r>
        <w:rPr>
          <w:rFonts w:hint="eastAsia" w:ascii="宋体" w:hAnsi="宋体" w:eastAsia="宋体" w:cs="宋体"/>
          <w:color w:val="auto"/>
          <w:sz w:val="24"/>
          <w:lang w:bidi="ar"/>
        </w:rPr>
        <w:t xml:space="preserve">                                                    </w:t>
      </w:r>
      <w:r>
        <w:rPr>
          <w:rFonts w:hint="eastAsia" w:ascii="宋体" w:hAnsi="宋体" w:eastAsia="宋体" w:cs="宋体"/>
          <w:bCs/>
          <w:color w:val="auto"/>
          <w:lang w:bidi="ar"/>
        </w:rPr>
        <w:t>全流程电子文件</w:t>
      </w:r>
    </w:p>
    <w:p w14:paraId="6B89376D">
      <w:pPr>
        <w:snapToGrid w:val="0"/>
        <w:spacing w:before="156" w:beforeLines="50" w:after="50"/>
        <w:rPr>
          <w:rFonts w:hint="eastAsia" w:ascii="宋体" w:hAnsi="宋体" w:eastAsia="宋体" w:cs="宋体"/>
          <w:color w:val="auto"/>
          <w:sz w:val="24"/>
          <w:szCs w:val="20"/>
        </w:rPr>
      </w:pPr>
    </w:p>
    <w:p w14:paraId="0B9DE017">
      <w:pPr>
        <w:snapToGrid w:val="0"/>
        <w:spacing w:before="156" w:beforeLines="50" w:after="50"/>
        <w:rPr>
          <w:rFonts w:hint="eastAsia" w:ascii="宋体" w:hAnsi="宋体" w:eastAsia="宋体" w:cs="宋体"/>
          <w:color w:val="auto"/>
          <w:sz w:val="24"/>
          <w:szCs w:val="20"/>
        </w:rPr>
      </w:pPr>
    </w:p>
    <w:p w14:paraId="043F1898">
      <w:pPr>
        <w:snapToGrid w:val="0"/>
        <w:spacing w:before="156" w:beforeLines="50" w:after="50"/>
        <w:rPr>
          <w:rFonts w:hint="eastAsia" w:ascii="宋体" w:hAnsi="宋体" w:eastAsia="宋体" w:cs="宋体"/>
          <w:color w:val="auto"/>
          <w:sz w:val="24"/>
          <w:szCs w:val="20"/>
        </w:rPr>
      </w:pPr>
    </w:p>
    <w:p w14:paraId="747A5E13">
      <w:pPr>
        <w:snapToGrid w:val="0"/>
        <w:spacing w:before="156"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bidi="ar"/>
        </w:rPr>
        <w:t>报  价  文  件（封面）</w:t>
      </w:r>
    </w:p>
    <w:p w14:paraId="7E98CB29">
      <w:pPr>
        <w:snapToGrid w:val="0"/>
        <w:spacing w:before="156" w:beforeLines="50" w:after="50"/>
        <w:rPr>
          <w:rFonts w:hint="eastAsia" w:ascii="宋体" w:hAnsi="宋体" w:eastAsia="宋体" w:cs="宋体"/>
          <w:bCs/>
          <w:color w:val="auto"/>
          <w:sz w:val="24"/>
          <w:szCs w:val="20"/>
        </w:rPr>
      </w:pPr>
    </w:p>
    <w:p w14:paraId="62054AFA">
      <w:pPr>
        <w:snapToGrid w:val="0"/>
        <w:spacing w:before="156" w:beforeLines="50" w:after="50"/>
        <w:rPr>
          <w:rFonts w:hint="eastAsia" w:ascii="宋体" w:hAnsi="宋体" w:eastAsia="宋体" w:cs="宋体"/>
          <w:bCs/>
          <w:color w:val="auto"/>
          <w:sz w:val="24"/>
          <w:szCs w:val="20"/>
        </w:rPr>
      </w:pPr>
    </w:p>
    <w:p w14:paraId="1708667E">
      <w:pPr>
        <w:snapToGrid w:val="0"/>
        <w:spacing w:before="156" w:beforeLines="50" w:after="50"/>
        <w:rPr>
          <w:rFonts w:hint="eastAsia" w:ascii="宋体" w:hAnsi="宋体" w:eastAsia="宋体" w:cs="宋体"/>
          <w:bCs/>
          <w:color w:val="auto"/>
          <w:sz w:val="24"/>
          <w:szCs w:val="20"/>
        </w:rPr>
      </w:pPr>
    </w:p>
    <w:p w14:paraId="654E07FD">
      <w:pPr>
        <w:snapToGrid w:val="0"/>
        <w:spacing w:before="156" w:beforeLines="50" w:after="50"/>
        <w:rPr>
          <w:rFonts w:hint="eastAsia" w:ascii="宋体" w:hAnsi="宋体" w:eastAsia="宋体" w:cs="宋体"/>
          <w:bCs/>
          <w:color w:val="auto"/>
          <w:sz w:val="24"/>
          <w:szCs w:val="20"/>
        </w:rPr>
      </w:pPr>
    </w:p>
    <w:p w14:paraId="73A9C809">
      <w:pPr>
        <w:snapToGrid w:val="0"/>
        <w:spacing w:before="156" w:beforeLines="50" w:after="50"/>
        <w:rPr>
          <w:rFonts w:hint="eastAsia" w:ascii="宋体" w:hAnsi="宋体" w:eastAsia="宋体" w:cs="宋体"/>
          <w:bCs/>
          <w:color w:val="auto"/>
          <w:sz w:val="24"/>
          <w:szCs w:val="20"/>
        </w:rPr>
      </w:pPr>
    </w:p>
    <w:p w14:paraId="11AD00ED">
      <w:pPr>
        <w:snapToGrid w:val="0"/>
        <w:spacing w:before="156" w:beforeLines="50" w:after="50"/>
        <w:ind w:firstLine="640" w:firstLineChars="200"/>
        <w:rPr>
          <w:rFonts w:hint="eastAsia" w:ascii="宋体" w:hAnsi="宋体" w:cs="仿宋_GB2312" w:eastAsiaTheme="minorEastAsia"/>
          <w:bCs/>
          <w:color w:val="auto"/>
          <w:sz w:val="32"/>
          <w:szCs w:val="32"/>
          <w:lang w:eastAsia="zh-CN"/>
        </w:rPr>
      </w:pPr>
      <w:r>
        <w:rPr>
          <w:rFonts w:hint="eastAsia" w:ascii="宋体" w:hAnsi="宋体" w:cs="仿宋_GB2312"/>
          <w:bCs/>
          <w:color w:val="auto"/>
          <w:sz w:val="32"/>
          <w:szCs w:val="32"/>
        </w:rPr>
        <w:t>项目名称：</w:t>
      </w:r>
      <w:r>
        <w:rPr>
          <w:rFonts w:hint="eastAsia" w:ascii="宋体" w:hAnsi="宋体" w:cs="仿宋_GB2312"/>
          <w:bCs/>
          <w:color w:val="auto"/>
          <w:sz w:val="32"/>
          <w:szCs w:val="32"/>
          <w:lang w:eastAsia="zh-CN"/>
        </w:rPr>
        <w:t>南宁市武鸣区2025年第一批中央财政水利发展资金农村饮水工程维修养护项目</w:t>
      </w:r>
    </w:p>
    <w:p w14:paraId="573B0724">
      <w:pPr>
        <w:snapToGrid w:val="0"/>
        <w:spacing w:before="156" w:beforeLines="50" w:after="50"/>
        <w:ind w:firstLine="720" w:firstLineChars="225"/>
        <w:rPr>
          <w:rFonts w:hint="eastAsia" w:ascii="宋体" w:hAnsi="宋体" w:cs="仿宋_GB2312"/>
          <w:bCs/>
          <w:color w:val="auto"/>
          <w:sz w:val="32"/>
          <w:szCs w:val="32"/>
        </w:rPr>
      </w:pPr>
    </w:p>
    <w:p w14:paraId="53573CB1">
      <w:pPr>
        <w:snapToGrid w:val="0"/>
        <w:spacing w:before="156" w:beforeLines="50" w:after="50"/>
        <w:ind w:firstLine="640" w:firstLineChars="200"/>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项目编号：[项目采购-项目编号_7]</w:t>
      </w:r>
    </w:p>
    <w:p w14:paraId="452B379A">
      <w:pPr>
        <w:snapToGrid w:val="0"/>
        <w:spacing w:before="156" w:beforeLines="50" w:after="50"/>
        <w:ind w:firstLine="720" w:firstLineChars="225"/>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 xml:space="preserve"> </w:t>
      </w:r>
    </w:p>
    <w:p w14:paraId="3D6C6399">
      <w:pPr>
        <w:snapToGrid w:val="0"/>
        <w:spacing w:before="156" w:beforeLines="50" w:after="50"/>
        <w:ind w:firstLine="720" w:firstLineChars="225"/>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 xml:space="preserve"> </w:t>
      </w:r>
    </w:p>
    <w:p w14:paraId="32245B8B">
      <w:pPr>
        <w:snapToGrid w:val="0"/>
        <w:spacing w:before="156" w:beforeLines="50" w:after="50"/>
        <w:ind w:firstLine="640" w:firstLineChars="200"/>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所竞分标（如有则填写，无分标时填写“无”或者留空）：</w:t>
      </w:r>
    </w:p>
    <w:p w14:paraId="790C3BFE">
      <w:pPr>
        <w:snapToGrid w:val="0"/>
        <w:spacing w:before="156" w:beforeLines="50" w:after="50"/>
        <w:ind w:firstLine="720" w:firstLineChars="225"/>
        <w:rPr>
          <w:rFonts w:hint="eastAsia" w:ascii="宋体" w:hAnsi="宋体" w:eastAsia="宋体" w:cs="仿宋_GB2312"/>
          <w:bCs/>
          <w:color w:val="auto"/>
          <w:sz w:val="32"/>
          <w:szCs w:val="32"/>
        </w:rPr>
      </w:pPr>
    </w:p>
    <w:p w14:paraId="50E7608B">
      <w:pPr>
        <w:pStyle w:val="9"/>
        <w:widowControl/>
        <w:snapToGrid w:val="0"/>
        <w:spacing w:before="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67964512">
      <w:pPr>
        <w:pStyle w:val="9"/>
        <w:widowControl/>
        <w:snapToGrid w:val="0"/>
        <w:spacing w:before="50" w:after="50"/>
        <w:ind w:firstLine="720" w:firstLineChars="225"/>
        <w:rPr>
          <w:rFonts w:hint="eastAsia" w:ascii="宋体" w:hAnsi="宋体" w:cs="仿宋_GB2312"/>
          <w:bCs/>
          <w:color w:val="auto"/>
          <w:sz w:val="32"/>
          <w:szCs w:val="32"/>
        </w:rPr>
      </w:pPr>
    </w:p>
    <w:p w14:paraId="0AC07927">
      <w:pPr>
        <w:pStyle w:val="9"/>
        <w:widowControl/>
        <w:snapToGrid w:val="0"/>
        <w:spacing w:before="50" w:after="50"/>
        <w:ind w:firstLine="720" w:firstLineChars="225"/>
        <w:rPr>
          <w:rFonts w:hint="eastAsia" w:ascii="宋体" w:hAnsi="宋体" w:cs="仿宋_GB2312"/>
          <w:bCs/>
          <w:color w:val="auto"/>
          <w:sz w:val="32"/>
          <w:szCs w:val="32"/>
        </w:rPr>
      </w:pPr>
    </w:p>
    <w:p w14:paraId="7785451C">
      <w:pPr>
        <w:pStyle w:val="9"/>
        <w:widowControl/>
        <w:snapToGrid w:val="0"/>
        <w:spacing w:before="50" w:after="50"/>
        <w:ind w:firstLine="1280" w:firstLineChars="400"/>
        <w:rPr>
          <w:rFonts w:hint="eastAsia" w:ascii="宋体" w:hAnsi="宋体" w:cs="仿宋_GB2312"/>
          <w:bCs/>
          <w:color w:val="auto"/>
          <w:sz w:val="32"/>
          <w:szCs w:val="32"/>
        </w:rPr>
      </w:pPr>
    </w:p>
    <w:p w14:paraId="68A2568E">
      <w:pPr>
        <w:snapToGrid w:val="0"/>
        <w:spacing w:before="156" w:beforeLines="50" w:after="50"/>
        <w:jc w:val="center"/>
        <w:rPr>
          <w:rFonts w:hint="eastAsia" w:ascii="宋体" w:hAnsi="宋体" w:eastAsia="宋体" w:cs="仿宋_GB2312"/>
          <w:color w:val="auto"/>
          <w:sz w:val="32"/>
          <w:szCs w:val="32"/>
        </w:rPr>
      </w:pPr>
      <w:r>
        <w:rPr>
          <w:rFonts w:hint="eastAsia" w:ascii="宋体" w:hAnsi="宋体" w:eastAsia="宋体" w:cs="仿宋_GB2312"/>
          <w:color w:val="auto"/>
          <w:sz w:val="32"/>
          <w:szCs w:val="32"/>
          <w:lang w:bidi="ar"/>
        </w:rPr>
        <w:t>年    月    日</w:t>
      </w:r>
    </w:p>
    <w:p w14:paraId="596F6F21">
      <w:pPr>
        <w:snapToGrid w:val="0"/>
        <w:spacing w:before="156" w:beforeLines="50" w:after="50" w:line="400" w:lineRule="exact"/>
        <w:jc w:val="center"/>
        <w:rPr>
          <w:rFonts w:hint="eastAsia" w:ascii="宋体" w:hAnsi="宋体" w:eastAsia="宋体" w:cs="宋体"/>
          <w:b/>
          <w:bCs/>
          <w:color w:val="auto"/>
          <w:sz w:val="32"/>
          <w:szCs w:val="32"/>
        </w:rPr>
      </w:pPr>
      <w:r>
        <w:rPr>
          <w:rFonts w:hint="eastAsia" w:ascii="宋体" w:hAnsi="宋体" w:eastAsia="宋体" w:cs="Times New Roman"/>
          <w:color w:val="auto"/>
          <w:sz w:val="24"/>
          <w:lang w:bidi="ar"/>
        </w:rPr>
        <w:br w:type="page"/>
      </w:r>
      <w:r>
        <w:rPr>
          <w:rFonts w:hint="eastAsia" w:ascii="宋体" w:hAnsi="宋体" w:eastAsia="宋体" w:cs="宋体"/>
          <w:b/>
          <w:bCs/>
          <w:color w:val="auto"/>
          <w:sz w:val="32"/>
          <w:szCs w:val="32"/>
          <w:lang w:bidi="ar"/>
        </w:rPr>
        <w:t>报价文件目录</w:t>
      </w:r>
    </w:p>
    <w:p w14:paraId="33AD738E">
      <w:pPr>
        <w:rPr>
          <w:rFonts w:hint="eastAsia" w:ascii="宋体" w:hAnsi="宋体" w:eastAsia="宋体" w:cs="宋体"/>
          <w:color w:val="auto"/>
        </w:rPr>
      </w:pPr>
    </w:p>
    <w:p w14:paraId="2E1B0C43">
      <w:pPr>
        <w:numPr>
          <w:ilvl w:val="0"/>
          <w:numId w:val="5"/>
        </w:numPr>
        <w:spacing w:line="360" w:lineRule="auto"/>
        <w:rPr>
          <w:rFonts w:hint="eastAsia" w:ascii="宋体" w:hAnsi="宋体" w:cs="宋体"/>
          <w:color w:val="auto"/>
          <w:kern w:val="0"/>
          <w:sz w:val="24"/>
        </w:rPr>
      </w:pPr>
      <w:r>
        <w:rPr>
          <w:rFonts w:hint="eastAsia" w:ascii="宋体" w:hAnsi="宋体" w:cs="宋体"/>
          <w:color w:val="auto"/>
          <w:kern w:val="0"/>
          <w:sz w:val="24"/>
        </w:rPr>
        <w:t>响应函……………………………………………………………………（页码）</w:t>
      </w:r>
    </w:p>
    <w:p w14:paraId="62A13E5A">
      <w:pPr>
        <w:numPr>
          <w:ilvl w:val="0"/>
          <w:numId w:val="5"/>
        </w:numPr>
        <w:spacing w:line="360" w:lineRule="auto"/>
        <w:rPr>
          <w:rFonts w:hint="eastAsia" w:ascii="宋体" w:hAnsi="宋体" w:cs="宋体"/>
          <w:color w:val="auto"/>
          <w:kern w:val="0"/>
          <w:sz w:val="24"/>
        </w:rPr>
      </w:pPr>
      <w:r>
        <w:rPr>
          <w:rFonts w:hint="eastAsia" w:ascii="宋体" w:hAnsi="宋体" w:cs="宋体"/>
          <w:color w:val="auto"/>
          <w:kern w:val="0"/>
          <w:sz w:val="24"/>
        </w:rPr>
        <w:t>响应函附录………………………………………………………………（页码）</w:t>
      </w:r>
    </w:p>
    <w:p w14:paraId="12CAC8B8">
      <w:pPr>
        <w:spacing w:line="360" w:lineRule="auto"/>
        <w:rPr>
          <w:rFonts w:hint="eastAsia" w:ascii="宋体" w:hAnsi="宋体" w:cs="宋体"/>
          <w:color w:val="auto"/>
          <w:kern w:val="0"/>
          <w:sz w:val="24"/>
        </w:rPr>
      </w:pPr>
      <w:r>
        <w:rPr>
          <w:rFonts w:hint="eastAsia" w:ascii="宋体" w:hAnsi="宋体" w:cs="宋体"/>
          <w:color w:val="auto"/>
          <w:kern w:val="0"/>
          <w:sz w:val="24"/>
        </w:rPr>
        <w:t>三、响应报价表………………………………………………………………（页码）</w:t>
      </w:r>
    </w:p>
    <w:p w14:paraId="2688AABC">
      <w:pPr>
        <w:spacing w:line="360" w:lineRule="auto"/>
        <w:rPr>
          <w:rFonts w:hint="eastAsia" w:ascii="宋体" w:hAnsi="宋体" w:cs="宋体"/>
          <w:color w:val="auto"/>
          <w:kern w:val="0"/>
          <w:sz w:val="24"/>
        </w:rPr>
      </w:pPr>
      <w:r>
        <w:rPr>
          <w:rFonts w:hint="eastAsia" w:ascii="宋体" w:hAnsi="宋体" w:cs="宋体"/>
          <w:color w:val="auto"/>
          <w:kern w:val="0"/>
          <w:sz w:val="24"/>
        </w:rPr>
        <w:t>四、已标价工程量清单………………………………………………………（页码）</w:t>
      </w:r>
    </w:p>
    <w:p w14:paraId="0C7846AA">
      <w:pPr>
        <w:snapToGrid w:val="0"/>
        <w:spacing w:before="156" w:beforeLines="50" w:after="50" w:line="360" w:lineRule="auto"/>
        <w:ind w:left="142" w:firstLine="480" w:firstLineChars="200"/>
        <w:jc w:val="left"/>
        <w:rPr>
          <w:rFonts w:hint="eastAsia" w:hAnsi="宋体" w:cs="仿宋_GB2312"/>
          <w:color w:val="auto"/>
          <w:sz w:val="24"/>
        </w:rPr>
      </w:pPr>
      <w:r>
        <w:rPr>
          <w:rFonts w:ascii="Times New Roman" w:hAnsi="宋体" w:eastAsia="宋体" w:cs="仿宋_GB2312"/>
          <w:color w:val="auto"/>
          <w:sz w:val="24"/>
          <w:lang w:bidi="ar"/>
        </w:rPr>
        <w:br w:type="page"/>
      </w:r>
      <w:r>
        <w:rPr>
          <w:rFonts w:hint="eastAsia" w:ascii="Times New Roman" w:hAnsi="宋体" w:eastAsia="宋体" w:cs="宋体"/>
          <w:b/>
          <w:bCs/>
          <w:color w:val="auto"/>
          <w:sz w:val="32"/>
          <w:szCs w:val="32"/>
          <w:lang w:bidi="ar"/>
        </w:rPr>
        <w:t>一、响应函</w:t>
      </w:r>
    </w:p>
    <w:p w14:paraId="1B958711">
      <w:pPr>
        <w:pStyle w:val="17"/>
        <w:widowControl/>
        <w:spacing w:line="500" w:lineRule="exact"/>
        <w:jc w:val="center"/>
        <w:rPr>
          <w:rFonts w:hint="default" w:ascii="Times New Roman" w:hAnsi="Times New Roman"/>
          <w:b/>
          <w:bCs/>
          <w:color w:val="auto"/>
          <w:sz w:val="30"/>
          <w:szCs w:val="30"/>
        </w:rPr>
      </w:pPr>
      <w:r>
        <w:rPr>
          <w:rFonts w:ascii="Times New Roman" w:hAnsi="Times New Roman"/>
          <w:b/>
          <w:bCs/>
          <w:color w:val="auto"/>
          <w:sz w:val="30"/>
          <w:szCs w:val="30"/>
        </w:rPr>
        <w:t>响应函</w:t>
      </w:r>
    </w:p>
    <w:p w14:paraId="70ECE616">
      <w:pPr>
        <w:pStyle w:val="17"/>
        <w:widowControl/>
        <w:spacing w:line="360" w:lineRule="auto"/>
        <w:rPr>
          <w:rFonts w:hint="default" w:ascii="Times New Roman" w:hAnsi="Times New Roman"/>
          <w:color w:val="auto"/>
          <w:szCs w:val="20"/>
        </w:rPr>
      </w:pPr>
      <w:r>
        <w:rPr>
          <w:rFonts w:ascii="Times New Roman" w:hAnsi="Times New Roman"/>
          <w:color w:val="auto"/>
          <w:szCs w:val="20"/>
        </w:rPr>
        <w:t>致：</w:t>
      </w:r>
      <w:r>
        <w:rPr>
          <w:rFonts w:ascii="Times New Roman" w:hAnsi="Times New Roman"/>
          <w:color w:val="auto"/>
          <w:szCs w:val="20"/>
          <w:u w:val="single"/>
        </w:rPr>
        <w:t xml:space="preserve"> 广西翔正项目管理有限公司</w:t>
      </w:r>
    </w:p>
    <w:p w14:paraId="20F376CA">
      <w:pPr>
        <w:pStyle w:val="17"/>
        <w:widowControl/>
        <w:spacing w:line="360" w:lineRule="auto"/>
        <w:ind w:firstLine="400" w:firstLineChars="200"/>
        <w:rPr>
          <w:rFonts w:hint="default" w:ascii="Times New Roman" w:hAnsi="Times New Roman"/>
          <w:color w:val="auto"/>
          <w:szCs w:val="20"/>
        </w:rPr>
      </w:pPr>
      <w:r>
        <w:rPr>
          <w:color w:val="auto"/>
          <w:szCs w:val="20"/>
        </w:rPr>
        <w:t>我方已仔细阅读了贵方组织的</w:t>
      </w:r>
      <w:r>
        <w:rPr>
          <w:color w:val="auto"/>
          <w:szCs w:val="20"/>
          <w:u w:val="single"/>
        </w:rPr>
        <w:t xml:space="preserve"> </w:t>
      </w:r>
      <w:r>
        <w:rPr>
          <w:rFonts w:hint="eastAsia" w:hAnsi="宋体"/>
          <w:color w:val="auto"/>
          <w:szCs w:val="20"/>
          <w:u w:val="single"/>
          <w:lang w:val="en-US" w:eastAsia="zh-CN"/>
        </w:rPr>
        <w:t xml:space="preserve">           </w:t>
      </w:r>
      <w:r>
        <w:rPr>
          <w:rFonts w:hint="eastAsia"/>
          <w:color w:val="auto"/>
          <w:szCs w:val="20"/>
          <w:u w:val="none"/>
          <w:lang w:val="en-US" w:eastAsia="zh-CN"/>
        </w:rPr>
        <w:t xml:space="preserve"> 项目</w:t>
      </w:r>
      <w:r>
        <w:rPr>
          <w:color w:val="auto"/>
          <w:szCs w:val="20"/>
        </w:rPr>
        <w:t>（项目编号：</w:t>
      </w:r>
      <w:r>
        <w:rPr>
          <w:rFonts w:hint="eastAsia" w:hAnsi="宋体"/>
          <w:color w:val="auto"/>
          <w:szCs w:val="20"/>
          <w:u w:val="single"/>
          <w:lang w:val="en-US" w:eastAsia="zh-CN"/>
        </w:rPr>
        <w:t xml:space="preserve">               </w:t>
      </w:r>
      <w:r>
        <w:rPr>
          <w:color w:val="auto"/>
          <w:szCs w:val="20"/>
        </w:rPr>
        <w:t xml:space="preserve">）的竞争性磋商采购文件的全部内容，现正式递交下述文件参加贵方组织的本次政府采购活动： </w:t>
      </w:r>
    </w:p>
    <w:p w14:paraId="4A181246">
      <w:pPr>
        <w:pStyle w:val="17"/>
        <w:widowControl/>
        <w:spacing w:line="360" w:lineRule="auto"/>
        <w:ind w:firstLine="400" w:firstLineChars="200"/>
        <w:rPr>
          <w:rFonts w:hint="default" w:ascii="Times New Roman" w:hAnsi="Times New Roman"/>
          <w:color w:val="auto"/>
          <w:szCs w:val="20"/>
        </w:rPr>
      </w:pPr>
      <w:r>
        <w:rPr>
          <w:color w:val="auto"/>
          <w:szCs w:val="20"/>
        </w:rPr>
        <w:t>一、首次报价文件电子版</w:t>
      </w:r>
      <w:r>
        <w:rPr>
          <w:color w:val="auto"/>
          <w:szCs w:val="20"/>
          <w:u w:val="single"/>
        </w:rPr>
        <w:t xml:space="preserve">   </w:t>
      </w:r>
      <w:r>
        <w:rPr>
          <w:color w:val="auto"/>
          <w:szCs w:val="20"/>
        </w:rPr>
        <w:t>份（包含按“第三章 供应商须知”提交的全部文件）；</w:t>
      </w:r>
    </w:p>
    <w:p w14:paraId="4CC556C7">
      <w:pPr>
        <w:pStyle w:val="17"/>
        <w:widowControl/>
        <w:spacing w:line="360" w:lineRule="auto"/>
        <w:ind w:firstLine="400" w:firstLineChars="200"/>
        <w:rPr>
          <w:rFonts w:hint="default"/>
          <w:color w:val="auto"/>
          <w:szCs w:val="20"/>
        </w:rPr>
      </w:pPr>
      <w:r>
        <w:rPr>
          <w:color w:val="auto"/>
          <w:szCs w:val="20"/>
        </w:rPr>
        <w:t>二、</w:t>
      </w:r>
      <w:r>
        <w:rPr>
          <w:rFonts w:hAnsi="宋体"/>
          <w:color w:val="auto"/>
          <w:szCs w:val="20"/>
        </w:rPr>
        <w:t>技术</w:t>
      </w:r>
      <w:r>
        <w:rPr>
          <w:color w:val="auto"/>
          <w:szCs w:val="20"/>
        </w:rPr>
        <w:t>文件电子版</w:t>
      </w:r>
      <w:r>
        <w:rPr>
          <w:color w:val="auto"/>
          <w:szCs w:val="20"/>
          <w:u w:val="single"/>
        </w:rPr>
        <w:t xml:space="preserve">   </w:t>
      </w:r>
      <w:r>
        <w:rPr>
          <w:color w:val="auto"/>
          <w:szCs w:val="20"/>
        </w:rPr>
        <w:t>份（包含按“第三章 供应商须知”提交的全部文件）；商务</w:t>
      </w:r>
      <w:r>
        <w:rPr>
          <w:rFonts w:hAnsi="宋体"/>
          <w:color w:val="auto"/>
          <w:szCs w:val="20"/>
        </w:rPr>
        <w:t>文件</w:t>
      </w:r>
      <w:r>
        <w:rPr>
          <w:color w:val="auto"/>
          <w:szCs w:val="20"/>
        </w:rPr>
        <w:t>电子版</w:t>
      </w:r>
      <w:r>
        <w:rPr>
          <w:color w:val="auto"/>
          <w:szCs w:val="20"/>
          <w:u w:val="single"/>
        </w:rPr>
        <w:t xml:space="preserve">   </w:t>
      </w:r>
      <w:r>
        <w:rPr>
          <w:color w:val="auto"/>
          <w:szCs w:val="20"/>
        </w:rPr>
        <w:t>份（包含按“第三章 供应商须知”提交的全部文件）；（商务技术文件已合并装订成册）；</w:t>
      </w:r>
    </w:p>
    <w:p w14:paraId="3CF2FF6E">
      <w:pPr>
        <w:pStyle w:val="17"/>
        <w:widowControl/>
        <w:spacing w:line="360" w:lineRule="auto"/>
        <w:ind w:firstLine="400" w:firstLineChars="200"/>
        <w:rPr>
          <w:rFonts w:hint="default"/>
          <w:color w:val="auto"/>
          <w:szCs w:val="20"/>
        </w:rPr>
      </w:pPr>
      <w:r>
        <w:rPr>
          <w:color w:val="auto"/>
          <w:szCs w:val="20"/>
        </w:rPr>
        <w:t>三、资格证明文件电子版（包含按“第三章供应商须知”提交的全部文件）；</w:t>
      </w:r>
    </w:p>
    <w:p w14:paraId="5C7D2E26">
      <w:pPr>
        <w:pStyle w:val="17"/>
        <w:widowControl/>
        <w:spacing w:line="360" w:lineRule="auto"/>
        <w:ind w:firstLine="400" w:firstLineChars="200"/>
        <w:rPr>
          <w:rFonts w:hint="default" w:ascii="Times New Roman" w:hAnsi="Times New Roman"/>
          <w:color w:val="auto"/>
          <w:szCs w:val="20"/>
        </w:rPr>
      </w:pPr>
      <w:r>
        <w:rPr>
          <w:color w:val="auto"/>
          <w:szCs w:val="20"/>
        </w:rPr>
        <w:t>据此函，签字人兹宣布：</w:t>
      </w:r>
    </w:p>
    <w:p w14:paraId="48A4A115">
      <w:pPr>
        <w:pStyle w:val="17"/>
        <w:widowControl/>
        <w:spacing w:line="360" w:lineRule="auto"/>
        <w:ind w:firstLine="482"/>
        <w:rPr>
          <w:rFonts w:hint="default" w:ascii="Times New Roman" w:hAnsi="Times New Roman"/>
          <w:color w:val="auto"/>
          <w:szCs w:val="20"/>
        </w:rPr>
      </w:pPr>
      <w:r>
        <w:rPr>
          <w:color w:val="auto"/>
          <w:szCs w:val="20"/>
        </w:rPr>
        <w:t>1、我方愿意以（大写）人民币</w:t>
      </w:r>
      <w:r>
        <w:rPr>
          <w:color w:val="auto"/>
          <w:szCs w:val="20"/>
          <w:u w:val="single"/>
        </w:rPr>
        <w:t xml:space="preserve">              </w:t>
      </w:r>
      <w:r>
        <w:rPr>
          <w:color w:val="auto"/>
          <w:szCs w:val="20"/>
        </w:rPr>
        <w:t>（￥</w:t>
      </w:r>
      <w:r>
        <w:rPr>
          <w:color w:val="auto"/>
          <w:szCs w:val="20"/>
          <w:u w:val="single"/>
        </w:rPr>
        <w:t xml:space="preserve">          </w:t>
      </w:r>
      <w:r>
        <w:rPr>
          <w:color w:val="auto"/>
          <w:szCs w:val="20"/>
        </w:rPr>
        <w:t>元)的竞标总报价，提供服务期（无分标时填写）：</w:t>
      </w:r>
      <w:r>
        <w:rPr>
          <w:color w:val="auto"/>
          <w:szCs w:val="20"/>
          <w:u w:val="single"/>
        </w:rPr>
        <w:t xml:space="preserve">            </w:t>
      </w:r>
      <w:r>
        <w:rPr>
          <w:color w:val="auto"/>
          <w:szCs w:val="20"/>
        </w:rPr>
        <w:t>，提供本项目竞争性磋商采购文件第二章“服务需求一览表”中相应的采购内容。</w:t>
      </w:r>
    </w:p>
    <w:p w14:paraId="1160C282">
      <w:pPr>
        <w:pStyle w:val="17"/>
        <w:widowControl/>
        <w:spacing w:line="360" w:lineRule="auto"/>
        <w:ind w:firstLine="482"/>
        <w:rPr>
          <w:rFonts w:hint="default"/>
          <w:color w:val="auto"/>
          <w:szCs w:val="20"/>
        </w:rPr>
      </w:pPr>
      <w:r>
        <w:rPr>
          <w:color w:val="auto"/>
          <w:szCs w:val="20"/>
        </w:rPr>
        <w:t>2、我方同意自本项目竞争性磋商采购文件采购公告规定的递交响应文件截止时间起遵循</w:t>
      </w:r>
      <w:r>
        <w:rPr>
          <w:rFonts w:hAnsi="宋体"/>
          <w:color w:val="auto"/>
          <w:szCs w:val="20"/>
        </w:rPr>
        <w:t>本响应函</w:t>
      </w:r>
      <w:r>
        <w:rPr>
          <w:color w:val="auto"/>
          <w:szCs w:val="20"/>
        </w:rPr>
        <w:t>，并承诺在“第三章 供应商须知”规定的响应有效期内不修改、撤销响应文件。</w:t>
      </w:r>
    </w:p>
    <w:p w14:paraId="264C07D2">
      <w:pPr>
        <w:pStyle w:val="17"/>
        <w:widowControl/>
        <w:spacing w:line="360" w:lineRule="auto"/>
        <w:ind w:firstLine="482"/>
        <w:rPr>
          <w:rFonts w:hint="default"/>
          <w:color w:val="auto"/>
          <w:szCs w:val="20"/>
        </w:rPr>
      </w:pPr>
      <w:r>
        <w:rPr>
          <w:color w:val="auto"/>
          <w:szCs w:val="20"/>
        </w:rPr>
        <w:t>3、我方在此声明，所递交的响应文件及有关资料内容完整、真实和准确。</w:t>
      </w:r>
    </w:p>
    <w:p w14:paraId="5F96E675">
      <w:pPr>
        <w:pStyle w:val="17"/>
        <w:widowControl/>
        <w:spacing w:line="360" w:lineRule="auto"/>
        <w:ind w:firstLine="482"/>
        <w:rPr>
          <w:rFonts w:hint="default"/>
          <w:color w:val="auto"/>
          <w:szCs w:val="20"/>
        </w:rPr>
      </w:pPr>
      <w:r>
        <w:rPr>
          <w:color w:val="auto"/>
          <w:szCs w:val="20"/>
        </w:rPr>
        <w:t>4、如本项目采购内容涉及须符合国家强制规定的，我方承诺我方本次竞标均符合国家有关强制规定。</w:t>
      </w:r>
    </w:p>
    <w:p w14:paraId="3F49D4FE">
      <w:pPr>
        <w:pStyle w:val="17"/>
        <w:widowControl/>
        <w:spacing w:line="360" w:lineRule="auto"/>
        <w:ind w:firstLine="482"/>
        <w:rPr>
          <w:rFonts w:hint="default"/>
          <w:color w:val="auto"/>
          <w:szCs w:val="20"/>
        </w:rPr>
      </w:pPr>
      <w:r>
        <w:rPr>
          <w:color w:val="auto"/>
          <w:szCs w:val="20"/>
        </w:rPr>
        <w:t>5、如我方成交，我方承诺在收到成交通知书后，在成交通知书规定的期限内，</w:t>
      </w:r>
      <w:r>
        <w:rPr>
          <w:rFonts w:hAnsi="宋体"/>
          <w:color w:val="auto"/>
          <w:szCs w:val="20"/>
        </w:rPr>
        <w:t>根据竞争性磋商采购文件、我方的响应文件及有关澄清承诺书的要求按第六章“合同文本”与采购人订立书面合同，并按照合同约定</w:t>
      </w:r>
      <w:r>
        <w:rPr>
          <w:color w:val="auto"/>
          <w:szCs w:val="20"/>
        </w:rPr>
        <w:t>承担完成合同的责任和义务。</w:t>
      </w:r>
    </w:p>
    <w:p w14:paraId="499AFD3B">
      <w:pPr>
        <w:pStyle w:val="17"/>
        <w:widowControl/>
        <w:spacing w:line="360" w:lineRule="auto"/>
        <w:ind w:firstLine="482"/>
        <w:rPr>
          <w:rFonts w:hint="default"/>
          <w:color w:val="auto"/>
          <w:szCs w:val="20"/>
        </w:rPr>
      </w:pPr>
      <w:r>
        <w:rPr>
          <w:color w:val="auto"/>
          <w:szCs w:val="20"/>
        </w:rPr>
        <w:t>6、我方已详细审核竞争性磋商采购文件，我方知道必须放弃提出含糊不清或误解问题的权利。</w:t>
      </w:r>
    </w:p>
    <w:p w14:paraId="069FEDC7">
      <w:pPr>
        <w:pStyle w:val="17"/>
        <w:widowControl/>
        <w:spacing w:line="360" w:lineRule="auto"/>
        <w:ind w:firstLine="482"/>
        <w:rPr>
          <w:rFonts w:hint="default"/>
          <w:color w:val="auto"/>
          <w:szCs w:val="20"/>
        </w:rPr>
      </w:pPr>
      <w:r>
        <w:rPr>
          <w:color w:val="auto"/>
          <w:szCs w:val="20"/>
        </w:rPr>
        <w:t>7、我方承诺满足竞争性磋商采购文件</w:t>
      </w:r>
      <w:r>
        <w:rPr>
          <w:rFonts w:hAnsi="宋体"/>
          <w:color w:val="auto"/>
          <w:szCs w:val="20"/>
        </w:rPr>
        <w:t>第六章“合同文本”</w:t>
      </w:r>
      <w:r>
        <w:rPr>
          <w:color w:val="auto"/>
          <w:szCs w:val="20"/>
        </w:rPr>
        <w:t>的条款，承担完成合同的责任和义务。</w:t>
      </w:r>
    </w:p>
    <w:p w14:paraId="716F6C94">
      <w:pPr>
        <w:pStyle w:val="17"/>
        <w:widowControl/>
        <w:spacing w:line="360" w:lineRule="auto"/>
        <w:ind w:firstLine="482"/>
        <w:rPr>
          <w:rFonts w:hint="default"/>
          <w:color w:val="auto"/>
          <w:szCs w:val="20"/>
        </w:rPr>
      </w:pPr>
      <w:r>
        <w:rPr>
          <w:color w:val="auto"/>
          <w:szCs w:val="20"/>
        </w:rPr>
        <w:t>8、我方同意应贵方要求提供与本竞标有关的任何数据或资料。若贵方需要，我方愿意提供我方作出的一切承诺的证明材料。</w:t>
      </w:r>
    </w:p>
    <w:p w14:paraId="65968622">
      <w:pPr>
        <w:pStyle w:val="17"/>
        <w:widowControl/>
        <w:spacing w:line="360" w:lineRule="auto"/>
        <w:ind w:firstLine="482"/>
        <w:rPr>
          <w:rFonts w:hint="default"/>
          <w:color w:val="auto"/>
          <w:szCs w:val="20"/>
        </w:rPr>
      </w:pPr>
      <w:r>
        <w:rPr>
          <w:color w:val="auto"/>
          <w:szCs w:val="20"/>
        </w:rPr>
        <w:t>9、我方完全理解贵方不一定接受响应报价最低的竞标人为成交供应商的行为。</w:t>
      </w:r>
    </w:p>
    <w:p w14:paraId="44B3CDA1">
      <w:pPr>
        <w:pStyle w:val="17"/>
        <w:widowControl/>
        <w:spacing w:line="360" w:lineRule="auto"/>
        <w:ind w:firstLine="482"/>
        <w:rPr>
          <w:rFonts w:hint="default"/>
          <w:color w:val="auto"/>
          <w:szCs w:val="20"/>
        </w:rPr>
      </w:pPr>
      <w:r>
        <w:rPr>
          <w:color w:val="auto"/>
          <w:szCs w:val="20"/>
        </w:rPr>
        <w:t>10、我方将严格遵守《中华人民共和国政府采购法》第七十七条的规定，即供应商有下列情形之一的，处以采购金额千分之五以上千分之十</w:t>
      </w:r>
      <w:r>
        <w:rPr>
          <w:rFonts w:hAnsi="宋体"/>
          <w:color w:val="auto"/>
          <w:szCs w:val="20"/>
        </w:rPr>
        <w:t>以下的罚款，列入不良行为记录名单，在一至三年内禁止参加政府采购活动，有违法所得的，并处没收违法所得，情节严重的，由工商行政管理机关吊销营业执照；构成犯罪的，依法追究刑事责任：</w:t>
      </w:r>
    </w:p>
    <w:p w14:paraId="280C5A35">
      <w:pPr>
        <w:pStyle w:val="17"/>
        <w:widowControl/>
        <w:numPr>
          <w:ilvl w:val="0"/>
          <w:numId w:val="6"/>
        </w:numPr>
        <w:tabs>
          <w:tab w:val="left" w:pos="945"/>
        </w:tabs>
        <w:spacing w:line="360" w:lineRule="auto"/>
        <w:rPr>
          <w:rFonts w:hAnsi="宋体"/>
          <w:color w:val="auto"/>
          <w:szCs w:val="20"/>
        </w:rPr>
      </w:pPr>
      <w:r>
        <w:rPr>
          <w:rFonts w:hAnsi="宋体"/>
          <w:color w:val="auto"/>
          <w:szCs w:val="20"/>
        </w:rPr>
        <w:t>提供虚假材料谋取中标、成交的；</w:t>
      </w:r>
    </w:p>
    <w:p w14:paraId="75B64D4E">
      <w:pPr>
        <w:pStyle w:val="17"/>
        <w:widowControl/>
        <w:numPr>
          <w:ilvl w:val="0"/>
          <w:numId w:val="6"/>
        </w:numPr>
        <w:tabs>
          <w:tab w:val="left" w:pos="945"/>
        </w:tabs>
        <w:spacing w:line="360" w:lineRule="auto"/>
        <w:rPr>
          <w:rFonts w:hAnsi="宋体"/>
          <w:color w:val="auto"/>
          <w:szCs w:val="20"/>
        </w:rPr>
      </w:pPr>
      <w:r>
        <w:rPr>
          <w:rFonts w:hAnsi="宋体"/>
          <w:color w:val="auto"/>
          <w:szCs w:val="20"/>
        </w:rPr>
        <w:t>采取不正当手段诋毁、排挤其他供应商的；</w:t>
      </w:r>
    </w:p>
    <w:p w14:paraId="7AF7B3AD">
      <w:pPr>
        <w:pStyle w:val="17"/>
        <w:widowControl/>
        <w:numPr>
          <w:ilvl w:val="0"/>
          <w:numId w:val="6"/>
        </w:numPr>
        <w:tabs>
          <w:tab w:val="left" w:pos="945"/>
        </w:tabs>
        <w:spacing w:line="360" w:lineRule="auto"/>
        <w:rPr>
          <w:rFonts w:hint="default"/>
          <w:color w:val="auto"/>
          <w:szCs w:val="20"/>
        </w:rPr>
      </w:pPr>
      <w:r>
        <w:rPr>
          <w:rFonts w:hAnsi="宋体"/>
          <w:color w:val="auto"/>
          <w:szCs w:val="20"/>
        </w:rPr>
        <w:t>与采购人、其他供应商或者采购代理机构恶意串通的；</w:t>
      </w:r>
    </w:p>
    <w:p w14:paraId="5FD961B5">
      <w:pPr>
        <w:pStyle w:val="17"/>
        <w:widowControl/>
        <w:numPr>
          <w:ilvl w:val="0"/>
          <w:numId w:val="6"/>
        </w:numPr>
        <w:tabs>
          <w:tab w:val="left" w:pos="945"/>
        </w:tabs>
        <w:spacing w:line="360" w:lineRule="auto"/>
        <w:rPr>
          <w:rFonts w:hint="default"/>
          <w:color w:val="auto"/>
          <w:szCs w:val="20"/>
        </w:rPr>
      </w:pPr>
      <w:r>
        <w:rPr>
          <w:rFonts w:hAnsi="宋体"/>
          <w:color w:val="auto"/>
          <w:szCs w:val="20"/>
        </w:rPr>
        <w:t>向采购人、采购代理机构行贿或者提供其他不正当利益的；</w:t>
      </w:r>
    </w:p>
    <w:p w14:paraId="0057E7FA">
      <w:pPr>
        <w:pStyle w:val="17"/>
        <w:widowControl/>
        <w:numPr>
          <w:ilvl w:val="0"/>
          <w:numId w:val="6"/>
        </w:numPr>
        <w:tabs>
          <w:tab w:val="left" w:pos="945"/>
        </w:tabs>
        <w:spacing w:line="360" w:lineRule="auto"/>
        <w:rPr>
          <w:rFonts w:hint="default"/>
          <w:color w:val="auto"/>
          <w:szCs w:val="20"/>
        </w:rPr>
      </w:pPr>
      <w:r>
        <w:rPr>
          <w:rFonts w:hAnsi="宋体"/>
          <w:color w:val="auto"/>
          <w:szCs w:val="20"/>
        </w:rPr>
        <w:t>在采购过程中与采购人进行协商谈判的；</w:t>
      </w:r>
    </w:p>
    <w:p w14:paraId="1C72A935">
      <w:pPr>
        <w:pStyle w:val="17"/>
        <w:widowControl/>
        <w:numPr>
          <w:ilvl w:val="0"/>
          <w:numId w:val="6"/>
        </w:numPr>
        <w:tabs>
          <w:tab w:val="left" w:pos="945"/>
        </w:tabs>
        <w:spacing w:line="360" w:lineRule="auto"/>
        <w:rPr>
          <w:rFonts w:hint="default"/>
          <w:color w:val="auto"/>
          <w:szCs w:val="20"/>
        </w:rPr>
      </w:pPr>
      <w:r>
        <w:rPr>
          <w:rFonts w:hAnsi="宋体"/>
          <w:color w:val="auto"/>
          <w:szCs w:val="20"/>
        </w:rPr>
        <w:t>拒绝有关部门监督检查或提供虚假情况的。</w:t>
      </w:r>
    </w:p>
    <w:p w14:paraId="280EC85C">
      <w:pPr>
        <w:pStyle w:val="17"/>
        <w:widowControl/>
        <w:spacing w:line="360" w:lineRule="auto"/>
        <w:ind w:firstLine="420"/>
        <w:rPr>
          <w:rFonts w:hint="default"/>
          <w:color w:val="auto"/>
          <w:szCs w:val="20"/>
        </w:rPr>
      </w:pPr>
      <w:r>
        <w:rPr>
          <w:rFonts w:hAnsi="宋体" w:cs="宋体"/>
          <w:color w:val="auto"/>
          <w:szCs w:val="20"/>
        </w:rPr>
        <w:t>11.与本磋商有关的一切正式往来信函请寄</w:t>
      </w:r>
      <w:r>
        <w:rPr>
          <w:color w:val="auto"/>
          <w:szCs w:val="20"/>
        </w:rPr>
        <w:t>：</w:t>
      </w:r>
      <w:r>
        <w:rPr>
          <w:color w:val="auto"/>
          <w:szCs w:val="20"/>
          <w:u w:val="single"/>
        </w:rPr>
        <w:t xml:space="preserve"> </w:t>
      </w:r>
    </w:p>
    <w:p w14:paraId="3B0609C0">
      <w:pPr>
        <w:pStyle w:val="17"/>
        <w:widowControl/>
        <w:spacing w:line="360" w:lineRule="auto"/>
        <w:ind w:firstLine="420"/>
        <w:rPr>
          <w:rFonts w:hint="default"/>
          <w:color w:val="auto"/>
          <w:szCs w:val="20"/>
        </w:rPr>
      </w:pPr>
      <w:r>
        <w:rPr>
          <w:color w:val="auto"/>
          <w:szCs w:val="20"/>
        </w:rPr>
        <w:t>地址：</w:t>
      </w:r>
      <w:r>
        <w:rPr>
          <w:color w:val="auto"/>
          <w:szCs w:val="20"/>
          <w:u w:val="single"/>
        </w:rPr>
        <w:t xml:space="preserve">                                                        </w:t>
      </w:r>
      <w:r>
        <w:rPr>
          <w:color w:val="auto"/>
          <w:szCs w:val="20"/>
        </w:rPr>
        <w:t xml:space="preserve"> </w:t>
      </w:r>
    </w:p>
    <w:p w14:paraId="201D0DC6">
      <w:pPr>
        <w:pStyle w:val="17"/>
        <w:widowControl/>
        <w:spacing w:line="360" w:lineRule="auto"/>
        <w:ind w:firstLine="420"/>
        <w:rPr>
          <w:rFonts w:hint="default"/>
          <w:color w:val="auto"/>
          <w:szCs w:val="20"/>
          <w:u w:val="single"/>
        </w:rPr>
      </w:pPr>
      <w:r>
        <w:rPr>
          <w:color w:val="auto"/>
          <w:szCs w:val="20"/>
        </w:rPr>
        <w:t>电话：</w:t>
      </w:r>
      <w:r>
        <w:rPr>
          <w:color w:val="auto"/>
          <w:szCs w:val="20"/>
          <w:u w:val="single"/>
        </w:rPr>
        <w:t xml:space="preserve">                                      　　　　　　　　　</w:t>
      </w:r>
    </w:p>
    <w:p w14:paraId="341B3D40">
      <w:pPr>
        <w:pStyle w:val="17"/>
        <w:widowControl/>
        <w:spacing w:line="360" w:lineRule="auto"/>
        <w:ind w:firstLine="420"/>
        <w:rPr>
          <w:rFonts w:hint="default"/>
          <w:color w:val="auto"/>
          <w:szCs w:val="20"/>
        </w:rPr>
      </w:pPr>
      <w:r>
        <w:rPr>
          <w:color w:val="auto"/>
          <w:szCs w:val="20"/>
        </w:rPr>
        <w:t>传真：</w:t>
      </w:r>
      <w:r>
        <w:rPr>
          <w:color w:val="auto"/>
          <w:szCs w:val="20"/>
          <w:u w:val="single"/>
        </w:rPr>
        <w:t>　　　　　　　　　　　　　　　　　　　　　　　　　　　　</w:t>
      </w:r>
    </w:p>
    <w:p w14:paraId="71EF7BF5">
      <w:pPr>
        <w:pStyle w:val="17"/>
        <w:widowControl/>
        <w:spacing w:line="360" w:lineRule="auto"/>
        <w:ind w:firstLine="420"/>
        <w:rPr>
          <w:rFonts w:hint="default"/>
          <w:color w:val="auto"/>
          <w:szCs w:val="20"/>
          <w:u w:val="single"/>
        </w:rPr>
      </w:pPr>
      <w:r>
        <w:rPr>
          <w:color w:val="auto"/>
          <w:szCs w:val="20"/>
        </w:rPr>
        <w:t>邮政编码：</w:t>
      </w:r>
      <w:r>
        <w:rPr>
          <w:color w:val="auto"/>
          <w:szCs w:val="20"/>
          <w:u w:val="single"/>
        </w:rPr>
        <w:t xml:space="preserve">                                                    </w:t>
      </w:r>
    </w:p>
    <w:p w14:paraId="187FB4E5">
      <w:pPr>
        <w:pStyle w:val="17"/>
        <w:widowControl/>
        <w:spacing w:line="360" w:lineRule="auto"/>
        <w:ind w:firstLine="420"/>
        <w:rPr>
          <w:rFonts w:hint="default"/>
          <w:color w:val="auto"/>
          <w:szCs w:val="20"/>
          <w:u w:val="single"/>
        </w:rPr>
      </w:pPr>
      <w:r>
        <w:rPr>
          <w:color w:val="auto"/>
          <w:szCs w:val="20"/>
        </w:rPr>
        <w:t>开户名称：</w:t>
      </w:r>
      <w:r>
        <w:rPr>
          <w:color w:val="auto"/>
          <w:szCs w:val="20"/>
          <w:u w:val="single"/>
        </w:rPr>
        <w:t xml:space="preserve">                                                    </w:t>
      </w:r>
    </w:p>
    <w:p w14:paraId="3706DF89">
      <w:pPr>
        <w:pStyle w:val="17"/>
        <w:widowControl/>
        <w:spacing w:line="360" w:lineRule="auto"/>
        <w:ind w:firstLine="420"/>
        <w:rPr>
          <w:rFonts w:hint="default"/>
          <w:color w:val="auto"/>
          <w:szCs w:val="20"/>
          <w:u w:val="single"/>
        </w:rPr>
      </w:pPr>
      <w:r>
        <w:rPr>
          <w:color w:val="auto"/>
          <w:szCs w:val="20"/>
        </w:rPr>
        <w:t>开户银行：</w:t>
      </w:r>
      <w:r>
        <w:rPr>
          <w:color w:val="auto"/>
          <w:szCs w:val="20"/>
          <w:u w:val="single"/>
        </w:rPr>
        <w:t xml:space="preserve">                                                    </w:t>
      </w:r>
    </w:p>
    <w:p w14:paraId="2D770B33">
      <w:pPr>
        <w:pStyle w:val="17"/>
        <w:widowControl/>
        <w:spacing w:line="360" w:lineRule="auto"/>
        <w:ind w:firstLine="420"/>
        <w:rPr>
          <w:rFonts w:hint="default"/>
          <w:color w:val="auto"/>
          <w:szCs w:val="20"/>
          <w:u w:val="single"/>
        </w:rPr>
      </w:pPr>
      <w:r>
        <w:rPr>
          <w:color w:val="auto"/>
          <w:szCs w:val="20"/>
        </w:rPr>
        <w:t>银行账号：</w:t>
      </w:r>
      <w:r>
        <w:rPr>
          <w:color w:val="auto"/>
          <w:szCs w:val="20"/>
          <w:u w:val="single"/>
        </w:rPr>
        <w:t xml:space="preserve">                                                    </w:t>
      </w:r>
    </w:p>
    <w:p w14:paraId="74755D0A">
      <w:pPr>
        <w:pStyle w:val="15"/>
        <w:widowControl/>
        <w:tabs>
          <w:tab w:val="left" w:pos="939"/>
        </w:tabs>
        <w:spacing w:line="360" w:lineRule="auto"/>
        <w:ind w:left="141" w:leftChars="67" w:firstLine="300" w:firstLineChars="150"/>
        <w:rPr>
          <w:rFonts w:hint="eastAsia" w:ascii="宋体" w:hAnsi="宋体" w:cs="宋体"/>
          <w:color w:val="auto"/>
          <w:sz w:val="20"/>
          <w:szCs w:val="20"/>
        </w:rPr>
      </w:pPr>
      <w:r>
        <w:rPr>
          <w:rFonts w:hint="eastAsia" w:ascii="宋体" w:hAnsi="宋体" w:cs="宋体"/>
          <w:color w:val="auto"/>
          <w:sz w:val="20"/>
          <w:szCs w:val="20"/>
        </w:rPr>
        <w:t>特此承诺。</w:t>
      </w:r>
    </w:p>
    <w:p w14:paraId="4EE38054">
      <w:pPr>
        <w:spacing w:line="360" w:lineRule="auto"/>
        <w:jc w:val="left"/>
        <w:rPr>
          <w:rFonts w:hint="eastAsia" w:ascii="宋体" w:hAnsi="宋体" w:eastAsia="宋体" w:cs="宋体"/>
          <w:color w:val="auto"/>
          <w:szCs w:val="21"/>
        </w:rPr>
      </w:pPr>
    </w:p>
    <w:p w14:paraId="12D13609">
      <w:pPr>
        <w:autoSpaceDE w:val="0"/>
        <w:autoSpaceDN w:val="0"/>
        <w:spacing w:line="360" w:lineRule="auto"/>
        <w:ind w:left="4335" w:leftChars="1950" w:hanging="240" w:hangingChars="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0C2031AB">
      <w:pPr>
        <w:autoSpaceDE w:val="0"/>
        <w:autoSpaceDN w:val="0"/>
        <w:spacing w:line="360" w:lineRule="auto"/>
        <w:ind w:firstLine="6480" w:firstLineChars="270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bidi="ar"/>
        </w:rPr>
        <w:t>日期：  年  月   日</w:t>
      </w:r>
    </w:p>
    <w:p w14:paraId="768337A1">
      <w:pPr>
        <w:spacing w:line="360" w:lineRule="auto"/>
        <w:rPr>
          <w:rFonts w:hint="eastAsia" w:ascii="仿宋_GB2312" w:hAnsi="仿宋" w:eastAsia="仿宋_GB2312" w:cs="仿宋_GB2312"/>
          <w:color w:val="auto"/>
          <w:sz w:val="24"/>
          <w:lang w:val="zh-CN" w:bidi="ar"/>
        </w:rPr>
        <w:sectPr>
          <w:pgSz w:w="11910" w:h="16840"/>
          <w:pgMar w:top="1340" w:right="1500" w:bottom="280" w:left="1680" w:header="720" w:footer="720" w:gutter="0"/>
          <w:pgNumType w:fmt="decimal"/>
          <w:cols w:space="425" w:num="1"/>
          <w:docGrid w:type="lines" w:linePitch="312" w:charSpace="0"/>
        </w:sectPr>
      </w:pPr>
    </w:p>
    <w:p w14:paraId="79BC676F">
      <w:pPr>
        <w:autoSpaceDE w:val="0"/>
        <w:autoSpaceDN w:val="0"/>
        <w:spacing w:line="360" w:lineRule="auto"/>
        <w:ind w:firstLine="6480" w:firstLineChars="2700"/>
        <w:rPr>
          <w:rFonts w:hint="eastAsia" w:ascii="仿宋_GB2312" w:hAnsi="仿宋" w:eastAsia="仿宋_GB2312" w:cs="仿宋_GB2312"/>
          <w:color w:val="auto"/>
          <w:kern w:val="0"/>
          <w:sz w:val="24"/>
          <w:lang w:val="zh-CN"/>
        </w:rPr>
      </w:pPr>
    </w:p>
    <w:p w14:paraId="7D2F3844">
      <w:pPr>
        <w:pStyle w:val="92"/>
        <w:keepNext w:val="0"/>
        <w:keepLines w:val="0"/>
        <w:pageBreakBefore w:val="0"/>
        <w:widowControl w:val="0"/>
        <w:kinsoku/>
        <w:wordWrap/>
        <w:overflowPunct/>
        <w:topLinePunct w:val="0"/>
        <w:autoSpaceDE/>
        <w:autoSpaceDN/>
        <w:bidi w:val="0"/>
        <w:adjustRightInd/>
        <w:snapToGrid/>
        <w:jc w:val="center"/>
        <w:textAlignment w:val="auto"/>
        <w:outlineLvl w:val="9"/>
        <w:rPr>
          <w:b/>
          <w:bCs/>
          <w:color w:val="auto"/>
        </w:rPr>
      </w:pPr>
      <w:r>
        <w:rPr>
          <w:rFonts w:hint="eastAsia" w:ascii="宋体" w:hAnsi="宋体" w:cs="宋体"/>
          <w:color w:val="auto"/>
          <w:sz w:val="36"/>
          <w:szCs w:val="36"/>
        </w:rPr>
        <w:t>二</w:t>
      </w:r>
      <w:r>
        <w:rPr>
          <w:rFonts w:hint="eastAsia" w:ascii="宋体" w:hAnsi="宋体" w:cs="宋体"/>
          <w:b/>
          <w:bCs/>
          <w:color w:val="auto"/>
          <w:sz w:val="32"/>
          <w:szCs w:val="32"/>
        </w:rPr>
        <w:t>、响应函附录</w:t>
      </w:r>
    </w:p>
    <w:p w14:paraId="2F967711">
      <w:pPr>
        <w:pStyle w:val="92"/>
        <w:jc w:val="center"/>
        <w:rPr>
          <w:color w:val="auto"/>
          <w:sz w:val="28"/>
          <w:szCs w:val="28"/>
        </w:rPr>
      </w:pPr>
    </w:p>
    <w:p w14:paraId="585D644B">
      <w:pPr>
        <w:ind w:firstLine="588" w:firstLineChars="245"/>
        <w:rPr>
          <w:color w:val="auto"/>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rPr>
        <w:t xml:space="preserve">   项目编号：</w:t>
      </w:r>
      <w:r>
        <w:rPr>
          <w:rFonts w:hint="eastAsia" w:ascii="宋体" w:hAnsi="宋体" w:cs="宋体"/>
          <w:color w:val="auto"/>
          <w:sz w:val="24"/>
          <w:u w:val="single"/>
        </w:rPr>
        <w:t xml:space="preserve">              </w:t>
      </w:r>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820"/>
        <w:gridCol w:w="1730"/>
        <w:gridCol w:w="1615"/>
        <w:gridCol w:w="3215"/>
        <w:gridCol w:w="840"/>
      </w:tblGrid>
      <w:tr w14:paraId="5C2F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80"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70A6EE4A">
            <w:pPr>
              <w:pStyle w:val="108"/>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序号</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1183721E">
            <w:pPr>
              <w:pStyle w:val="108"/>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条款名称</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087FC3E8">
            <w:pPr>
              <w:pStyle w:val="108"/>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合同条款号</w:t>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015C1722">
            <w:pPr>
              <w:pStyle w:val="108"/>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约定内容</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37B7D31F">
            <w:pPr>
              <w:pStyle w:val="108"/>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备注</w:t>
            </w:r>
          </w:p>
        </w:tc>
      </w:tr>
      <w:tr w14:paraId="16A7D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757"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71956254">
            <w:pPr>
              <w:pStyle w:val="108"/>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1</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27C04878">
            <w:pPr>
              <w:pStyle w:val="108"/>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项目经理</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681BD4FC">
            <w:pPr>
              <w:pStyle w:val="108"/>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lang w:val="en-US" w:eastAsia="en-US" w:bidi="en-US"/>
              </w:rPr>
              <w:t>1. 1.2.4</w:t>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205780EB">
            <w:pPr>
              <w:pStyle w:val="107"/>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1"/>
                <w:rFonts w:hint="eastAsia" w:ascii="宋体" w:hAnsi="宋体" w:eastAsia="宋体" w:cs="宋体"/>
                <w:color w:val="auto"/>
                <w:sz w:val="24"/>
                <w:szCs w:val="24"/>
                <w:highlight w:val="none"/>
                <w:lang w:eastAsia="zh-CN"/>
              </w:rPr>
            </w:pPr>
            <w:r>
              <w:rPr>
                <w:rStyle w:val="31"/>
                <w:rFonts w:hint="eastAsia" w:ascii="宋体" w:hAnsi="宋体" w:eastAsia="宋体" w:cs="宋体"/>
                <w:color w:val="auto"/>
                <w:sz w:val="24"/>
                <w:szCs w:val="24"/>
                <w:highlight w:val="none"/>
                <w:lang w:eastAsia="zh-CN"/>
              </w:rPr>
              <w:t>姓名：</w:t>
            </w:r>
          </w:p>
          <w:p w14:paraId="5FE58C8D">
            <w:pPr>
              <w:pStyle w:val="107"/>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1"/>
                <w:rFonts w:hint="eastAsia" w:ascii="宋体" w:hAnsi="宋体" w:eastAsia="宋体" w:cs="宋体"/>
                <w:color w:val="auto"/>
                <w:sz w:val="24"/>
                <w:szCs w:val="24"/>
                <w:highlight w:val="none"/>
                <w:lang w:eastAsia="zh-CN"/>
              </w:rPr>
            </w:pPr>
            <w:r>
              <w:rPr>
                <w:rStyle w:val="31"/>
                <w:rFonts w:hint="eastAsia" w:ascii="宋体" w:hAnsi="宋体" w:eastAsia="宋体" w:cs="宋体"/>
                <w:color w:val="auto"/>
                <w:sz w:val="24"/>
                <w:szCs w:val="24"/>
                <w:highlight w:val="none"/>
                <w:lang w:eastAsia="zh-CN"/>
              </w:rPr>
              <w:t>身份证号码：</w:t>
            </w:r>
          </w:p>
          <w:p w14:paraId="0C38AEF3">
            <w:pPr>
              <w:pStyle w:val="107"/>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1"/>
                <w:rFonts w:hint="eastAsia" w:ascii="宋体" w:hAnsi="宋体" w:eastAsia="宋体" w:cs="宋体"/>
                <w:color w:val="auto"/>
                <w:sz w:val="24"/>
                <w:szCs w:val="24"/>
                <w:highlight w:val="none"/>
                <w:lang w:eastAsia="zh-CN"/>
              </w:rPr>
            </w:pPr>
            <w:r>
              <w:rPr>
                <w:rStyle w:val="31"/>
                <w:rFonts w:hint="eastAsia" w:ascii="宋体" w:hAnsi="宋体" w:eastAsia="宋体" w:cs="宋体"/>
                <w:color w:val="auto"/>
                <w:sz w:val="24"/>
                <w:szCs w:val="24"/>
                <w:highlight w:val="none"/>
                <w:lang w:eastAsia="zh-CN"/>
              </w:rPr>
              <w:t>职称：</w:t>
            </w:r>
          </w:p>
          <w:p w14:paraId="775B98E8">
            <w:pPr>
              <w:pStyle w:val="107"/>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lang w:eastAsia="zh-CN"/>
              </w:rPr>
              <w:t>注册执业资格：</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1668B8AA">
            <w:pPr>
              <w:pStyle w:val="107"/>
              <w:spacing w:beforeLines="0" w:afterLines="0"/>
              <w:rPr>
                <w:rStyle w:val="31"/>
                <w:rFonts w:hint="eastAsia" w:ascii="宋体" w:hAnsi="宋体" w:eastAsia="宋体" w:cs="宋体"/>
                <w:color w:val="auto"/>
                <w:sz w:val="24"/>
                <w:szCs w:val="24"/>
                <w:highlight w:val="none"/>
              </w:rPr>
            </w:pPr>
          </w:p>
        </w:tc>
      </w:tr>
      <w:tr w14:paraId="1EA7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410"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36B3B9CC">
            <w:pPr>
              <w:pStyle w:val="108"/>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2</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668A8141">
            <w:pPr>
              <w:pStyle w:val="108"/>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技术负责人</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6EDBD33C">
            <w:pPr>
              <w:pStyle w:val="108"/>
              <w:spacing w:beforeLines="0" w:afterLines="0" w:line="240" w:lineRule="auto"/>
              <w:ind w:firstLine="0"/>
              <w:jc w:val="center"/>
              <w:rPr>
                <w:rStyle w:val="31"/>
                <w:rFonts w:hint="eastAsia" w:ascii="宋体" w:hAnsi="宋体" w:eastAsia="宋体" w:cs="宋体"/>
                <w:color w:val="auto"/>
                <w:sz w:val="24"/>
                <w:szCs w:val="24"/>
                <w:highlight w:val="none"/>
                <w:lang w:val="en-US" w:eastAsia="en-US" w:bidi="en-US"/>
              </w:rPr>
            </w:pPr>
            <w:r>
              <w:rPr>
                <w:rStyle w:val="31"/>
                <w:rFonts w:hint="eastAsia" w:ascii="宋体" w:hAnsi="宋体" w:eastAsia="宋体" w:cs="宋体"/>
                <w:color w:val="auto"/>
                <w:sz w:val="24"/>
                <w:szCs w:val="24"/>
                <w:highlight w:val="none"/>
                <w:lang w:val="en-US" w:eastAsia="en-US" w:bidi="en-US"/>
              </w:rPr>
              <w:t>1. 1.2.4</w:t>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46972040">
            <w:pPr>
              <w:pStyle w:val="107"/>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1"/>
                <w:rFonts w:hint="eastAsia" w:ascii="宋体" w:hAnsi="宋体" w:eastAsia="宋体" w:cs="宋体"/>
                <w:color w:val="auto"/>
                <w:sz w:val="24"/>
                <w:szCs w:val="24"/>
                <w:highlight w:val="none"/>
                <w:lang w:eastAsia="zh-CN"/>
              </w:rPr>
            </w:pPr>
            <w:r>
              <w:rPr>
                <w:rStyle w:val="31"/>
                <w:rFonts w:hint="eastAsia" w:ascii="宋体" w:hAnsi="宋体" w:eastAsia="宋体" w:cs="宋体"/>
                <w:color w:val="auto"/>
                <w:sz w:val="24"/>
                <w:szCs w:val="24"/>
                <w:highlight w:val="none"/>
                <w:lang w:eastAsia="zh-CN"/>
              </w:rPr>
              <w:t>姓名：</w:t>
            </w:r>
          </w:p>
          <w:p w14:paraId="3B246C6F">
            <w:pPr>
              <w:pStyle w:val="107"/>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1"/>
                <w:rFonts w:hint="eastAsia" w:ascii="宋体" w:hAnsi="宋体" w:eastAsia="宋体" w:cs="宋体"/>
                <w:color w:val="auto"/>
                <w:sz w:val="24"/>
                <w:szCs w:val="24"/>
                <w:highlight w:val="none"/>
                <w:lang w:eastAsia="zh-CN"/>
              </w:rPr>
            </w:pPr>
            <w:r>
              <w:rPr>
                <w:rStyle w:val="31"/>
                <w:rFonts w:hint="eastAsia" w:ascii="宋体" w:hAnsi="宋体" w:eastAsia="宋体" w:cs="宋体"/>
                <w:color w:val="auto"/>
                <w:sz w:val="24"/>
                <w:szCs w:val="24"/>
                <w:highlight w:val="none"/>
                <w:lang w:eastAsia="zh-CN"/>
              </w:rPr>
              <w:t>身份证号码：</w:t>
            </w:r>
          </w:p>
          <w:p w14:paraId="5BE2CA88">
            <w:pPr>
              <w:pStyle w:val="107"/>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1"/>
                <w:rFonts w:hint="eastAsia" w:ascii="宋体" w:hAnsi="宋体" w:eastAsia="宋体" w:cs="宋体"/>
                <w:color w:val="auto"/>
                <w:sz w:val="24"/>
                <w:szCs w:val="24"/>
                <w:highlight w:val="none"/>
                <w:lang w:eastAsia="zh-CN"/>
              </w:rPr>
            </w:pPr>
            <w:r>
              <w:rPr>
                <w:rStyle w:val="31"/>
                <w:rFonts w:hint="eastAsia" w:ascii="宋体" w:hAnsi="宋体" w:eastAsia="宋体" w:cs="宋体"/>
                <w:color w:val="auto"/>
                <w:sz w:val="24"/>
                <w:szCs w:val="24"/>
                <w:highlight w:val="none"/>
                <w:lang w:eastAsia="zh-CN"/>
              </w:rPr>
              <w:t>职称：</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236C9F4F">
            <w:pPr>
              <w:pStyle w:val="107"/>
              <w:spacing w:beforeLines="0" w:afterLines="0"/>
              <w:rPr>
                <w:rStyle w:val="31"/>
                <w:rFonts w:hint="eastAsia" w:ascii="宋体" w:hAnsi="宋体" w:eastAsia="宋体" w:cs="宋体"/>
                <w:color w:val="auto"/>
                <w:sz w:val="24"/>
                <w:szCs w:val="24"/>
                <w:highlight w:val="none"/>
                <w:lang w:eastAsia="zh-CN"/>
              </w:rPr>
            </w:pPr>
          </w:p>
        </w:tc>
      </w:tr>
      <w:tr w14:paraId="2FFD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756"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56AD3F69">
            <w:pPr>
              <w:pStyle w:val="108"/>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3</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5311574B">
            <w:pPr>
              <w:pStyle w:val="108"/>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专职安全员</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3F5E2832">
            <w:pPr>
              <w:pStyle w:val="108"/>
              <w:spacing w:beforeLines="0" w:afterLines="0" w:line="240" w:lineRule="auto"/>
              <w:ind w:firstLine="0"/>
              <w:jc w:val="center"/>
              <w:rPr>
                <w:rStyle w:val="31"/>
                <w:rFonts w:hint="eastAsia" w:ascii="宋体" w:hAnsi="宋体" w:eastAsia="宋体" w:cs="宋体"/>
                <w:color w:val="auto"/>
                <w:sz w:val="24"/>
                <w:szCs w:val="24"/>
                <w:highlight w:val="none"/>
                <w:lang w:val="en-US" w:eastAsia="en-US" w:bidi="en-US"/>
              </w:rPr>
            </w:pPr>
            <w:r>
              <w:rPr>
                <w:rStyle w:val="31"/>
                <w:rFonts w:hint="eastAsia" w:ascii="宋体" w:hAnsi="宋体" w:eastAsia="宋体" w:cs="宋体"/>
                <w:color w:val="auto"/>
                <w:sz w:val="24"/>
                <w:szCs w:val="24"/>
                <w:highlight w:val="none"/>
                <w:lang w:val="en-US" w:eastAsia="en-US" w:bidi="en-US"/>
              </w:rPr>
              <w:t>1. 1.2.4</w:t>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48105E38">
            <w:pPr>
              <w:pStyle w:val="107"/>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1"/>
                <w:rFonts w:hint="eastAsia" w:ascii="宋体" w:hAnsi="宋体" w:eastAsia="宋体" w:cs="宋体"/>
                <w:color w:val="auto"/>
                <w:sz w:val="24"/>
                <w:szCs w:val="24"/>
                <w:highlight w:val="none"/>
                <w:lang w:eastAsia="zh-CN"/>
              </w:rPr>
            </w:pPr>
            <w:r>
              <w:rPr>
                <w:rStyle w:val="31"/>
                <w:rFonts w:hint="eastAsia" w:ascii="宋体" w:hAnsi="宋体" w:eastAsia="宋体" w:cs="宋体"/>
                <w:color w:val="auto"/>
                <w:sz w:val="24"/>
                <w:szCs w:val="24"/>
                <w:highlight w:val="none"/>
                <w:lang w:eastAsia="zh-CN"/>
              </w:rPr>
              <w:t>姓名：</w:t>
            </w:r>
          </w:p>
          <w:p w14:paraId="6EAF3147">
            <w:pPr>
              <w:pStyle w:val="107"/>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1"/>
                <w:rFonts w:hint="eastAsia" w:ascii="宋体" w:hAnsi="宋体" w:eastAsia="宋体" w:cs="宋体"/>
                <w:color w:val="auto"/>
                <w:sz w:val="24"/>
                <w:szCs w:val="24"/>
                <w:highlight w:val="none"/>
                <w:lang w:eastAsia="zh-CN"/>
              </w:rPr>
            </w:pPr>
            <w:r>
              <w:rPr>
                <w:rStyle w:val="31"/>
                <w:rFonts w:hint="eastAsia" w:ascii="宋体" w:hAnsi="宋体" w:eastAsia="宋体" w:cs="宋体"/>
                <w:color w:val="auto"/>
                <w:sz w:val="24"/>
                <w:szCs w:val="24"/>
                <w:highlight w:val="none"/>
                <w:lang w:eastAsia="zh-CN"/>
              </w:rPr>
              <w:t>身份证号码：</w:t>
            </w:r>
          </w:p>
          <w:p w14:paraId="6AA25813">
            <w:pPr>
              <w:pStyle w:val="107"/>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1"/>
                <w:rFonts w:hint="eastAsia" w:ascii="宋体" w:hAnsi="宋体" w:eastAsia="宋体" w:cs="宋体"/>
                <w:color w:val="auto"/>
                <w:sz w:val="24"/>
                <w:szCs w:val="24"/>
                <w:highlight w:val="none"/>
                <w:lang w:eastAsia="zh-CN"/>
              </w:rPr>
            </w:pPr>
            <w:r>
              <w:rPr>
                <w:rStyle w:val="31"/>
                <w:rFonts w:hint="eastAsia" w:ascii="宋体" w:hAnsi="宋体" w:eastAsia="宋体" w:cs="宋体"/>
                <w:color w:val="auto"/>
                <w:sz w:val="24"/>
                <w:szCs w:val="24"/>
                <w:highlight w:val="none"/>
                <w:lang w:eastAsia="zh-CN"/>
              </w:rPr>
              <w:t>水行政主管部门颁发的安全生产考核合格证书号码：</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7401C13F">
            <w:pPr>
              <w:pStyle w:val="107"/>
              <w:spacing w:beforeLines="0" w:afterLines="0"/>
              <w:rPr>
                <w:rStyle w:val="31"/>
                <w:rFonts w:hint="eastAsia" w:ascii="宋体" w:hAnsi="宋体" w:eastAsia="宋体" w:cs="宋体"/>
                <w:color w:val="auto"/>
                <w:sz w:val="24"/>
                <w:szCs w:val="24"/>
                <w:highlight w:val="none"/>
                <w:lang w:eastAsia="zh-CN"/>
              </w:rPr>
            </w:pPr>
          </w:p>
        </w:tc>
      </w:tr>
      <w:tr w14:paraId="12194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384"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389ADE2D">
            <w:pPr>
              <w:pStyle w:val="108"/>
              <w:spacing w:beforeLines="0" w:afterLines="0" w:line="240" w:lineRule="auto"/>
              <w:ind w:firstLine="0"/>
              <w:jc w:val="center"/>
              <w:rPr>
                <w:rStyle w:val="31"/>
                <w:rFonts w:hint="eastAsia" w:ascii="宋体" w:hAnsi="宋体" w:eastAsia="宋体" w:cs="宋体"/>
                <w:color w:val="auto"/>
                <w:sz w:val="24"/>
                <w:szCs w:val="24"/>
                <w:highlight w:val="none"/>
                <w:lang w:val="en-US" w:eastAsia="zh-CN"/>
              </w:rPr>
            </w:pPr>
            <w:r>
              <w:rPr>
                <w:rStyle w:val="31"/>
                <w:rFonts w:hint="eastAsia" w:ascii="宋体" w:hAnsi="宋体" w:eastAsia="宋体" w:cs="宋体"/>
                <w:color w:val="auto"/>
                <w:sz w:val="24"/>
                <w:szCs w:val="24"/>
                <w:highlight w:val="none"/>
                <w:lang w:val="en-US" w:eastAsia="zh-CN"/>
              </w:rPr>
              <w:t>4</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044C93D8">
            <w:pPr>
              <w:pStyle w:val="108"/>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rPr>
              <w:t>质量管理员</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2947F01A">
            <w:pPr>
              <w:pStyle w:val="108"/>
              <w:spacing w:beforeLines="0" w:afterLines="0" w:line="240" w:lineRule="auto"/>
              <w:ind w:firstLine="0"/>
              <w:jc w:val="center"/>
              <w:rPr>
                <w:rStyle w:val="31"/>
                <w:rFonts w:hint="eastAsia" w:ascii="宋体" w:hAnsi="宋体" w:eastAsia="宋体" w:cs="宋体"/>
                <w:color w:val="auto"/>
                <w:sz w:val="24"/>
                <w:szCs w:val="24"/>
                <w:highlight w:val="none"/>
                <w:lang w:val="en-US" w:eastAsia="en-US" w:bidi="en-US"/>
              </w:rPr>
            </w:pPr>
            <w:r>
              <w:rPr>
                <w:rStyle w:val="31"/>
                <w:rFonts w:hint="eastAsia" w:ascii="宋体" w:hAnsi="宋体" w:eastAsia="宋体" w:cs="宋体"/>
                <w:color w:val="auto"/>
                <w:sz w:val="24"/>
                <w:szCs w:val="24"/>
                <w:highlight w:val="none"/>
                <w:lang w:val="en-US" w:eastAsia="en-US" w:bidi="en-US"/>
              </w:rPr>
              <w:t>1. 1.2.4</w:t>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1772EB4F">
            <w:pPr>
              <w:pStyle w:val="107"/>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1"/>
                <w:rFonts w:hint="eastAsia" w:ascii="宋体" w:hAnsi="宋体" w:eastAsia="宋体" w:cs="宋体"/>
                <w:color w:val="auto"/>
                <w:sz w:val="24"/>
                <w:szCs w:val="24"/>
                <w:highlight w:val="none"/>
                <w:lang w:eastAsia="zh-CN"/>
              </w:rPr>
            </w:pPr>
            <w:r>
              <w:rPr>
                <w:rStyle w:val="31"/>
                <w:rFonts w:hint="eastAsia" w:ascii="宋体" w:hAnsi="宋体" w:eastAsia="宋体" w:cs="宋体"/>
                <w:color w:val="auto"/>
                <w:sz w:val="24"/>
                <w:szCs w:val="24"/>
                <w:highlight w:val="none"/>
                <w:lang w:eastAsia="zh-CN"/>
              </w:rPr>
              <w:t>姓名：</w:t>
            </w:r>
          </w:p>
          <w:p w14:paraId="2A8620C2">
            <w:pPr>
              <w:pStyle w:val="107"/>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1"/>
                <w:rFonts w:hint="eastAsia" w:ascii="宋体" w:hAnsi="宋体" w:eastAsia="宋体" w:cs="宋体"/>
                <w:color w:val="auto"/>
                <w:sz w:val="24"/>
                <w:szCs w:val="24"/>
                <w:highlight w:val="none"/>
                <w:lang w:eastAsia="zh-CN"/>
              </w:rPr>
            </w:pPr>
            <w:r>
              <w:rPr>
                <w:rStyle w:val="31"/>
                <w:rFonts w:hint="eastAsia" w:ascii="宋体" w:hAnsi="宋体" w:eastAsia="宋体" w:cs="宋体"/>
                <w:color w:val="auto"/>
                <w:sz w:val="24"/>
                <w:szCs w:val="24"/>
                <w:highlight w:val="none"/>
                <w:lang w:eastAsia="zh-CN"/>
              </w:rPr>
              <w:t>身份证号码：</w:t>
            </w:r>
          </w:p>
          <w:p w14:paraId="249FF817">
            <w:pPr>
              <w:pStyle w:val="107"/>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1"/>
                <w:rFonts w:hint="eastAsia" w:ascii="宋体" w:hAnsi="宋体" w:eastAsia="宋体" w:cs="宋体"/>
                <w:color w:val="auto"/>
                <w:sz w:val="24"/>
                <w:szCs w:val="24"/>
                <w:highlight w:val="none"/>
                <w:lang w:eastAsia="zh-CN"/>
              </w:rPr>
            </w:pPr>
            <w:r>
              <w:rPr>
                <w:rStyle w:val="31"/>
                <w:rFonts w:hint="eastAsia" w:ascii="宋体" w:hAnsi="宋体" w:eastAsia="宋体" w:cs="宋体"/>
                <w:color w:val="auto"/>
                <w:sz w:val="24"/>
                <w:szCs w:val="24"/>
                <w:highlight w:val="none"/>
                <w:lang w:eastAsia="zh-CN"/>
              </w:rPr>
              <w:t>职称：</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593BC8A8">
            <w:pPr>
              <w:pStyle w:val="107"/>
              <w:spacing w:beforeLines="0" w:afterLines="0"/>
              <w:rPr>
                <w:rStyle w:val="31"/>
                <w:rFonts w:hint="eastAsia" w:ascii="宋体" w:hAnsi="宋体" w:eastAsia="宋体" w:cs="宋体"/>
                <w:color w:val="auto"/>
                <w:sz w:val="24"/>
                <w:szCs w:val="24"/>
                <w:highlight w:val="none"/>
                <w:lang w:eastAsia="zh-CN"/>
              </w:rPr>
            </w:pPr>
          </w:p>
        </w:tc>
      </w:tr>
      <w:tr w14:paraId="52775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80"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1875D1C3">
            <w:pPr>
              <w:pStyle w:val="108"/>
              <w:spacing w:beforeLines="0" w:afterLines="0" w:line="240" w:lineRule="auto"/>
              <w:ind w:firstLine="0"/>
              <w:jc w:val="center"/>
              <w:rPr>
                <w:rStyle w:val="31"/>
                <w:rFonts w:hint="eastAsia" w:ascii="宋体" w:hAnsi="宋体" w:eastAsia="宋体" w:cs="宋体"/>
                <w:color w:val="auto"/>
                <w:sz w:val="24"/>
                <w:szCs w:val="24"/>
                <w:highlight w:val="none"/>
                <w:lang w:eastAsia="zh-CN"/>
              </w:rPr>
            </w:pPr>
            <w:r>
              <w:rPr>
                <w:rStyle w:val="31"/>
                <w:rFonts w:hint="eastAsia" w:ascii="宋体" w:hAnsi="宋体" w:eastAsia="宋体" w:cs="宋体"/>
                <w:color w:val="auto"/>
                <w:sz w:val="24"/>
                <w:szCs w:val="24"/>
                <w:highlight w:val="none"/>
                <w:lang w:val="en-US" w:eastAsia="zh-CN"/>
              </w:rPr>
              <w:t>5</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4CB0BD1D">
            <w:pPr>
              <w:pStyle w:val="108"/>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工期</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77267222">
            <w:pPr>
              <w:pStyle w:val="108"/>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lang w:val="en-US" w:eastAsia="en-US" w:bidi="en-US"/>
              </w:rPr>
              <w:t>1. 1.4.3</w:t>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31A6BEF6">
            <w:pPr>
              <w:pStyle w:val="108"/>
              <w:tabs>
                <w:tab w:val="left" w:leader="underscore" w:pos="1212"/>
              </w:tabs>
              <w:spacing w:beforeLines="0" w:afterLines="0" w:line="240" w:lineRule="auto"/>
              <w:ind w:firstLine="0"/>
              <w:rPr>
                <w:rStyle w:val="31"/>
                <w:rFonts w:hint="eastAsia" w:ascii="宋体" w:hAnsi="宋体" w:eastAsia="宋体" w:cs="宋体"/>
                <w:color w:val="auto"/>
                <w:sz w:val="24"/>
                <w:szCs w:val="24"/>
                <w:highlight w:val="none"/>
              </w:rPr>
            </w:pP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37042799">
            <w:pPr>
              <w:pStyle w:val="107"/>
              <w:spacing w:beforeLines="0" w:afterLines="0"/>
              <w:rPr>
                <w:rStyle w:val="31"/>
                <w:rFonts w:hint="eastAsia" w:ascii="宋体" w:hAnsi="宋体" w:eastAsia="宋体" w:cs="宋体"/>
                <w:color w:val="auto"/>
                <w:sz w:val="24"/>
                <w:szCs w:val="24"/>
                <w:highlight w:val="none"/>
              </w:rPr>
            </w:pPr>
          </w:p>
        </w:tc>
      </w:tr>
      <w:tr w14:paraId="6D10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80"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4ED562BE">
            <w:pPr>
              <w:pStyle w:val="108"/>
              <w:spacing w:beforeLines="0" w:afterLines="0" w:line="240" w:lineRule="auto"/>
              <w:ind w:firstLine="0"/>
              <w:jc w:val="center"/>
              <w:rPr>
                <w:rStyle w:val="31"/>
                <w:rFonts w:hint="eastAsia" w:ascii="宋体" w:hAnsi="宋体" w:eastAsia="宋体" w:cs="宋体"/>
                <w:color w:val="auto"/>
                <w:sz w:val="24"/>
                <w:szCs w:val="24"/>
                <w:highlight w:val="none"/>
                <w:lang w:eastAsia="zh-CN"/>
              </w:rPr>
            </w:pPr>
            <w:r>
              <w:rPr>
                <w:rStyle w:val="31"/>
                <w:rFonts w:hint="eastAsia" w:ascii="宋体" w:hAnsi="宋体" w:eastAsia="宋体" w:cs="宋体"/>
                <w:color w:val="auto"/>
                <w:sz w:val="24"/>
                <w:szCs w:val="24"/>
                <w:highlight w:val="none"/>
                <w:lang w:val="en-US" w:eastAsia="zh-CN"/>
              </w:rPr>
              <w:t>6</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00A71FA1">
            <w:pPr>
              <w:pStyle w:val="108"/>
              <w:spacing w:beforeLines="0" w:afterLines="0" w:line="271" w:lineRule="exact"/>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工程质量保修期</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20947337">
            <w:pPr>
              <w:pStyle w:val="108"/>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lang w:val="en-US" w:eastAsia="en-US" w:bidi="en-US"/>
              </w:rPr>
              <w:t>1. 1.4.5</w:t>
            </w:r>
          </w:p>
        </w:tc>
        <w:tc>
          <w:tcPr>
            <w:tcW w:w="3215" w:type="dxa"/>
            <w:tcBorders>
              <w:top w:val="single" w:color="auto" w:sz="4" w:space="0"/>
              <w:left w:val="single" w:color="auto" w:sz="4" w:space="0"/>
              <w:bottom w:val="nil"/>
              <w:right w:val="nil"/>
              <w:tl2br w:val="nil"/>
              <w:tr2bl w:val="nil"/>
            </w:tcBorders>
            <w:shd w:val="clear" w:color="auto" w:fill="FFFFFF"/>
            <w:noWrap w:val="0"/>
            <w:vAlign w:val="top"/>
          </w:tcPr>
          <w:p w14:paraId="019750A0">
            <w:pPr>
              <w:pStyle w:val="107"/>
              <w:spacing w:beforeLines="0" w:afterLines="0"/>
              <w:rPr>
                <w:rStyle w:val="31"/>
                <w:rFonts w:hint="eastAsia" w:ascii="宋体" w:hAnsi="宋体" w:eastAsia="宋体" w:cs="宋体"/>
                <w:color w:val="auto"/>
                <w:sz w:val="24"/>
                <w:szCs w:val="24"/>
                <w:highlight w:val="none"/>
              </w:rPr>
            </w:pP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6825E954">
            <w:pPr>
              <w:pStyle w:val="107"/>
              <w:spacing w:beforeLines="0" w:afterLines="0"/>
              <w:rPr>
                <w:rStyle w:val="31"/>
                <w:rFonts w:hint="eastAsia" w:ascii="宋体" w:hAnsi="宋体" w:eastAsia="宋体" w:cs="宋体"/>
                <w:color w:val="auto"/>
                <w:sz w:val="24"/>
                <w:szCs w:val="24"/>
                <w:highlight w:val="none"/>
              </w:rPr>
            </w:pPr>
          </w:p>
        </w:tc>
      </w:tr>
      <w:tr w14:paraId="3A1E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023"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5F3A137D">
            <w:pPr>
              <w:pStyle w:val="108"/>
              <w:spacing w:beforeLines="0" w:afterLines="0" w:line="240" w:lineRule="auto"/>
              <w:ind w:firstLine="0"/>
              <w:jc w:val="center"/>
              <w:rPr>
                <w:rStyle w:val="31"/>
                <w:rFonts w:hint="eastAsia" w:ascii="宋体" w:hAnsi="宋体" w:eastAsia="宋体" w:cs="宋体"/>
                <w:color w:val="auto"/>
                <w:sz w:val="24"/>
                <w:szCs w:val="24"/>
                <w:highlight w:val="none"/>
                <w:lang w:val="en-US" w:eastAsia="zh-CN"/>
              </w:rPr>
            </w:pPr>
            <w:r>
              <w:rPr>
                <w:rStyle w:val="31"/>
                <w:rFonts w:hint="eastAsia" w:ascii="宋体" w:hAnsi="宋体" w:eastAsia="宋体" w:cs="宋体"/>
                <w:color w:val="auto"/>
                <w:sz w:val="24"/>
                <w:szCs w:val="24"/>
                <w:highlight w:val="none"/>
                <w:lang w:val="en-US" w:eastAsia="zh-CN"/>
              </w:rPr>
              <w:t>7</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4EC0CFFD">
            <w:pPr>
              <w:pStyle w:val="108"/>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分包</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2611A16D">
            <w:pPr>
              <w:pStyle w:val="108"/>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lang w:val="en-US" w:eastAsia="en-US" w:bidi="en-US"/>
              </w:rPr>
              <w:t>4.3</w:t>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038FE465">
            <w:pPr>
              <w:pStyle w:val="107"/>
              <w:spacing w:beforeLines="0" w:afterLines="0"/>
              <w:jc w:val="both"/>
              <w:rPr>
                <w:rStyle w:val="31"/>
                <w:rFonts w:hint="eastAsia" w:ascii="宋体" w:hAnsi="宋体" w:eastAsia="宋体" w:cs="宋体"/>
                <w:color w:val="auto"/>
                <w:sz w:val="24"/>
                <w:szCs w:val="24"/>
                <w:highlight w:val="none"/>
                <w:lang w:eastAsia="zh-CN"/>
              </w:rPr>
            </w:pPr>
            <w:r>
              <w:rPr>
                <w:rStyle w:val="31"/>
                <w:rFonts w:hint="eastAsia" w:ascii="宋体" w:hAnsi="宋体" w:eastAsia="宋体" w:cs="宋体"/>
                <w:color w:val="auto"/>
                <w:sz w:val="24"/>
                <w:szCs w:val="24"/>
                <w:highlight w:val="none"/>
                <w:lang w:eastAsia="zh-CN"/>
              </w:rPr>
              <w:t>□不允许；</w:t>
            </w:r>
          </w:p>
          <w:p w14:paraId="5C9D8DF9">
            <w:pPr>
              <w:pStyle w:val="107"/>
              <w:spacing w:beforeLines="0" w:afterLines="0"/>
              <w:jc w:val="both"/>
              <w:rPr>
                <w:rStyle w:val="31"/>
                <w:rFonts w:hint="eastAsia" w:ascii="宋体" w:hAnsi="宋体" w:eastAsia="宋体" w:cs="宋体"/>
                <w:color w:val="auto"/>
                <w:sz w:val="24"/>
                <w:szCs w:val="24"/>
                <w:highlight w:val="none"/>
                <w:lang w:eastAsia="zh-CN"/>
              </w:rPr>
            </w:pPr>
            <w:r>
              <w:rPr>
                <w:rStyle w:val="31"/>
                <w:rFonts w:hint="eastAsia" w:ascii="宋体" w:hAnsi="宋体" w:eastAsia="宋体" w:cs="宋体"/>
                <w:color w:val="auto"/>
                <w:sz w:val="24"/>
                <w:szCs w:val="24"/>
                <w:highlight w:val="none"/>
                <w:lang w:eastAsia="zh-CN"/>
              </w:rPr>
              <w:t>□允许，分包工程项目：</w:t>
            </w:r>
          </w:p>
          <w:p w14:paraId="6301D2E0">
            <w:pPr>
              <w:pStyle w:val="107"/>
              <w:spacing w:beforeLines="0" w:afterLines="0"/>
              <w:ind w:firstLine="960" w:firstLineChars="400"/>
              <w:jc w:val="both"/>
              <w:rPr>
                <w:rStyle w:val="31"/>
                <w:rFonts w:hint="eastAsia" w:ascii="宋体" w:hAnsi="宋体" w:eastAsia="宋体" w:cs="宋体"/>
                <w:color w:val="auto"/>
                <w:sz w:val="24"/>
                <w:szCs w:val="24"/>
                <w:highlight w:val="none"/>
                <w:lang w:eastAsia="zh-CN"/>
              </w:rPr>
            </w:pPr>
            <w:r>
              <w:rPr>
                <w:rStyle w:val="31"/>
                <w:rFonts w:hint="eastAsia" w:ascii="宋体" w:hAnsi="宋体" w:eastAsia="宋体" w:cs="宋体"/>
                <w:color w:val="auto"/>
                <w:sz w:val="24"/>
                <w:szCs w:val="24"/>
                <w:highlight w:val="none"/>
                <w:lang w:eastAsia="zh-CN"/>
              </w:rPr>
              <w:t>分包金额限额：</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41314112">
            <w:pPr>
              <w:pStyle w:val="107"/>
              <w:spacing w:beforeLines="0" w:afterLines="0"/>
              <w:rPr>
                <w:rStyle w:val="31"/>
                <w:rFonts w:hint="eastAsia" w:ascii="宋体" w:hAnsi="宋体" w:eastAsia="宋体" w:cs="宋体"/>
                <w:color w:val="auto"/>
                <w:sz w:val="24"/>
                <w:szCs w:val="24"/>
                <w:highlight w:val="none"/>
              </w:rPr>
            </w:pPr>
          </w:p>
        </w:tc>
      </w:tr>
      <w:tr w14:paraId="4489C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80"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27872E56">
            <w:pPr>
              <w:pStyle w:val="108"/>
              <w:spacing w:beforeLines="0" w:afterLines="0" w:line="240" w:lineRule="auto"/>
              <w:ind w:firstLine="0"/>
              <w:jc w:val="center"/>
              <w:rPr>
                <w:rStyle w:val="31"/>
                <w:rFonts w:hint="eastAsia" w:ascii="宋体" w:hAnsi="宋体" w:eastAsia="宋体" w:cs="宋体"/>
                <w:color w:val="auto"/>
                <w:sz w:val="24"/>
                <w:szCs w:val="24"/>
                <w:highlight w:val="none"/>
                <w:lang w:val="en-US" w:eastAsia="zh-CN"/>
              </w:rPr>
            </w:pPr>
            <w:r>
              <w:rPr>
                <w:rStyle w:val="31"/>
                <w:rFonts w:hint="eastAsia" w:ascii="宋体" w:hAnsi="宋体" w:eastAsia="宋体" w:cs="宋体"/>
                <w:color w:val="auto"/>
                <w:sz w:val="24"/>
                <w:szCs w:val="24"/>
                <w:highlight w:val="none"/>
                <w:lang w:val="en-US" w:eastAsia="zh-CN"/>
              </w:rPr>
              <w:t>8</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727EA37C">
            <w:pPr>
              <w:pStyle w:val="108"/>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价格调整的差额计算</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3A64719A">
            <w:pPr>
              <w:pStyle w:val="108"/>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lang w:val="en-US" w:eastAsia="en-US" w:bidi="en-US"/>
              </w:rPr>
              <w:t xml:space="preserve">16. 1. </w:t>
            </w:r>
            <w:r>
              <w:rPr>
                <w:rStyle w:val="31"/>
                <w:rFonts w:hint="eastAsia" w:ascii="宋体" w:hAnsi="宋体" w:eastAsia="宋体" w:cs="宋体"/>
                <w:color w:val="auto"/>
                <w:sz w:val="24"/>
                <w:szCs w:val="24"/>
                <w:highlight w:val="none"/>
              </w:rPr>
              <w:t>1</w:t>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0327EC09">
            <w:pPr>
              <w:pStyle w:val="108"/>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见价格指数权重表</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5F58F4D9">
            <w:pPr>
              <w:pStyle w:val="107"/>
              <w:spacing w:beforeLines="0" w:afterLines="0"/>
              <w:rPr>
                <w:rStyle w:val="31"/>
                <w:rFonts w:hint="eastAsia" w:ascii="宋体" w:hAnsi="宋体" w:eastAsia="宋体" w:cs="宋体"/>
                <w:color w:val="auto"/>
                <w:sz w:val="24"/>
                <w:szCs w:val="24"/>
                <w:highlight w:val="none"/>
              </w:rPr>
            </w:pPr>
          </w:p>
        </w:tc>
      </w:tr>
      <w:tr w14:paraId="00972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80"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top"/>
          </w:tcPr>
          <w:p w14:paraId="181C1AFA">
            <w:pPr>
              <w:pStyle w:val="107"/>
              <w:spacing w:beforeLines="0" w:afterLines="0"/>
              <w:rPr>
                <w:rStyle w:val="31"/>
                <w:rFonts w:hint="eastAsia" w:ascii="宋体" w:hAnsi="宋体" w:eastAsia="宋体" w:cs="宋体"/>
                <w:color w:val="auto"/>
                <w:sz w:val="24"/>
                <w:szCs w:val="24"/>
                <w:highlight w:val="none"/>
              </w:rPr>
            </w:pP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19DC850D">
            <w:pPr>
              <w:pStyle w:val="108"/>
              <w:tabs>
                <w:tab w:val="left" w:leader="dot" w:pos="324"/>
              </w:tabs>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lang w:val="en-US" w:eastAsia="en-US" w:bidi="en-US"/>
              </w:rPr>
              <w:tab/>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7703A6F4">
            <w:pPr>
              <w:pStyle w:val="108"/>
              <w:tabs>
                <w:tab w:val="left" w:leader="dot" w:pos="324"/>
              </w:tabs>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lang w:val="en-US" w:eastAsia="en-US" w:bidi="en-US"/>
              </w:rPr>
              <w:tab/>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6EA8CF76">
            <w:pPr>
              <w:pStyle w:val="108"/>
              <w:tabs>
                <w:tab w:val="left" w:leader="dot" w:pos="324"/>
              </w:tabs>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lang w:val="en-US" w:eastAsia="en-US" w:bidi="en-US"/>
              </w:rPr>
              <w:tab/>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6DBA6B61">
            <w:pPr>
              <w:pStyle w:val="107"/>
              <w:spacing w:beforeLines="0" w:afterLines="0"/>
              <w:rPr>
                <w:rStyle w:val="31"/>
                <w:rFonts w:hint="eastAsia" w:ascii="宋体" w:hAnsi="宋体" w:eastAsia="宋体" w:cs="宋体"/>
                <w:color w:val="auto"/>
                <w:sz w:val="24"/>
                <w:szCs w:val="24"/>
                <w:highlight w:val="none"/>
              </w:rPr>
            </w:pPr>
          </w:p>
        </w:tc>
      </w:tr>
      <w:tr w14:paraId="2822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80" w:hRule="exact"/>
          <w:jc w:val="center"/>
        </w:trPr>
        <w:tc>
          <w:tcPr>
            <w:tcW w:w="820"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6115D582">
            <w:pPr>
              <w:pStyle w:val="107"/>
              <w:spacing w:beforeLines="0" w:afterLines="0"/>
              <w:rPr>
                <w:rStyle w:val="31"/>
                <w:rFonts w:hint="eastAsia" w:ascii="宋体" w:hAnsi="宋体" w:eastAsia="宋体" w:cs="宋体"/>
                <w:color w:val="auto"/>
                <w:sz w:val="24"/>
                <w:szCs w:val="24"/>
                <w:highlight w:val="none"/>
              </w:rPr>
            </w:pPr>
          </w:p>
        </w:tc>
        <w:tc>
          <w:tcPr>
            <w:tcW w:w="1730"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50E6C4A2">
            <w:pPr>
              <w:pStyle w:val="108"/>
              <w:tabs>
                <w:tab w:val="left" w:leader="dot" w:pos="324"/>
              </w:tabs>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lang w:val="en-US" w:eastAsia="en-US" w:bidi="en-US"/>
              </w:rPr>
              <w:tab/>
            </w:r>
          </w:p>
        </w:tc>
        <w:tc>
          <w:tcPr>
            <w:tcW w:w="1615"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68BF5F45">
            <w:pPr>
              <w:pStyle w:val="108"/>
              <w:tabs>
                <w:tab w:val="left" w:leader="dot" w:pos="324"/>
              </w:tabs>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lang w:val="en-US" w:eastAsia="en-US" w:bidi="en-US"/>
              </w:rPr>
              <w:tab/>
            </w:r>
          </w:p>
        </w:tc>
        <w:tc>
          <w:tcPr>
            <w:tcW w:w="3215"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4BB71D46">
            <w:pPr>
              <w:pStyle w:val="108"/>
              <w:tabs>
                <w:tab w:val="left" w:leader="dot" w:pos="324"/>
              </w:tabs>
              <w:spacing w:beforeLines="0" w:afterLines="0" w:line="240" w:lineRule="auto"/>
              <w:ind w:firstLine="0"/>
              <w:jc w:val="center"/>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lang w:val="en-US" w:eastAsia="en-US" w:bidi="en-US"/>
              </w:rPr>
              <w:tab/>
            </w: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3F75EC2C">
            <w:pPr>
              <w:pStyle w:val="107"/>
              <w:spacing w:beforeLines="0" w:afterLines="0"/>
              <w:rPr>
                <w:rStyle w:val="31"/>
                <w:rFonts w:hint="eastAsia" w:ascii="宋体" w:hAnsi="宋体" w:eastAsia="宋体" w:cs="宋体"/>
                <w:color w:val="auto"/>
                <w:sz w:val="24"/>
                <w:szCs w:val="24"/>
                <w:highlight w:val="none"/>
              </w:rPr>
            </w:pPr>
          </w:p>
        </w:tc>
      </w:tr>
    </w:tbl>
    <w:p w14:paraId="730CEB2F">
      <w:pPr>
        <w:spacing w:line="480" w:lineRule="exact"/>
        <w:ind w:left="3360" w:leftChars="1600" w:firstLine="420" w:firstLineChars="200"/>
        <w:rPr>
          <w:rFonts w:hint="eastAsia" w:cs="宋体"/>
          <w:color w:val="auto"/>
        </w:rPr>
      </w:pPr>
      <w:r>
        <w:rPr>
          <w:rFonts w:hint="eastAsia" w:cs="宋体"/>
          <w:color w:val="auto"/>
        </w:rPr>
        <w:t>供应商名称（电子签章</w:t>
      </w:r>
      <w:r>
        <w:rPr>
          <w:rFonts w:hint="eastAsia" w:cs="宋体"/>
          <w:color w:val="auto"/>
        </w:rPr>
        <w:t>）：</w:t>
      </w:r>
    </w:p>
    <w:p w14:paraId="7E8E18B2">
      <w:pPr>
        <w:spacing w:line="480" w:lineRule="exact"/>
        <w:ind w:left="3360" w:leftChars="1600" w:firstLine="420" w:firstLineChars="200"/>
        <w:rPr>
          <w:color w:val="auto"/>
        </w:rPr>
      </w:pPr>
      <w:r>
        <w:rPr>
          <w:rFonts w:hint="eastAsia" w:cs="宋体"/>
          <w:color w:val="auto"/>
        </w:rPr>
        <w:t xml:space="preserve">日期：              </w:t>
      </w:r>
      <w:r>
        <w:rPr>
          <w:rFonts w:hint="eastAsia" w:cs="宋体"/>
          <w:color w:val="auto"/>
        </w:rPr>
        <w:t xml:space="preserve">年      </w:t>
      </w:r>
      <w:r>
        <w:rPr>
          <w:rFonts w:hint="eastAsia" w:cs="宋体"/>
          <w:color w:val="auto"/>
        </w:rPr>
        <w:t xml:space="preserve">月   </w:t>
      </w:r>
      <w:r>
        <w:rPr>
          <w:color w:val="auto"/>
          <w:u w:val="single"/>
        </w:rPr>
        <w:t xml:space="preserve">   </w:t>
      </w:r>
      <w:r>
        <w:rPr>
          <w:rFonts w:hint="eastAsia" w:cs="宋体"/>
          <w:color w:val="auto"/>
        </w:rPr>
        <w:t>日</w:t>
      </w:r>
    </w:p>
    <w:p w14:paraId="0AA3DF68">
      <w:pPr>
        <w:pStyle w:val="3"/>
        <w:widowControl/>
        <w:jc w:val="center"/>
        <w:rPr>
          <w:rFonts w:hint="eastAsia" w:ascii="宋体" w:hAnsi="宋体" w:eastAsia="宋体" w:cs="宋体"/>
          <w:color w:val="auto"/>
        </w:rPr>
        <w:sectPr>
          <w:pgSz w:w="11906" w:h="16838"/>
          <w:pgMar w:top="1135" w:right="1135" w:bottom="1135" w:left="1135" w:header="720" w:footer="720" w:gutter="0"/>
          <w:pgNumType w:fmt="decimal"/>
          <w:cols w:space="425" w:num="1"/>
          <w:docGrid w:type="lines" w:linePitch="331" w:charSpace="0"/>
        </w:sectPr>
      </w:pPr>
    </w:p>
    <w:p w14:paraId="7D2D438B">
      <w:pPr>
        <w:spacing w:line="520" w:lineRule="exact"/>
        <w:rPr>
          <w:rFonts w:hint="eastAsia" w:ascii="宋体" w:hAnsi="宋体" w:cs="宋体"/>
          <w:b/>
          <w:bCs/>
          <w:color w:val="auto"/>
          <w:sz w:val="32"/>
          <w:szCs w:val="32"/>
        </w:rPr>
      </w:pPr>
      <w:r>
        <w:rPr>
          <w:rFonts w:hint="eastAsia" w:ascii="宋体" w:hAnsi="宋体" w:cs="宋体"/>
          <w:b/>
          <w:bCs/>
          <w:color w:val="auto"/>
          <w:sz w:val="36"/>
          <w:szCs w:val="36"/>
        </w:rPr>
        <w:t>三、</w:t>
      </w:r>
      <w:r>
        <w:rPr>
          <w:rFonts w:hint="eastAsia" w:ascii="宋体" w:hAnsi="宋体" w:cs="宋体"/>
          <w:b/>
          <w:bCs/>
          <w:color w:val="auto"/>
          <w:sz w:val="32"/>
          <w:szCs w:val="32"/>
        </w:rPr>
        <w:t>响应报价表</w:t>
      </w:r>
    </w:p>
    <w:p w14:paraId="4F972C44">
      <w:pPr>
        <w:snapToGrid w:val="0"/>
        <w:spacing w:before="50" w:after="50" w:line="360" w:lineRule="auto"/>
        <w:jc w:val="center"/>
        <w:rPr>
          <w:rFonts w:hint="eastAsia" w:ascii="宋体" w:hAnsi="宋体" w:cs="宋体"/>
          <w:color w:val="auto"/>
          <w:sz w:val="30"/>
          <w:szCs w:val="30"/>
        </w:rPr>
      </w:pPr>
      <w:r>
        <w:rPr>
          <w:rFonts w:hint="eastAsia" w:ascii="宋体" w:hAnsi="宋体" w:cs="宋体"/>
          <w:b/>
          <w:bCs/>
          <w:color w:val="auto"/>
          <w:sz w:val="30"/>
          <w:szCs w:val="30"/>
        </w:rPr>
        <w:t>响应报价表</w:t>
      </w:r>
    </w:p>
    <w:p w14:paraId="4B569A58">
      <w:pPr>
        <w:snapToGrid w:val="0"/>
        <w:spacing w:before="50" w:after="50" w:line="360" w:lineRule="auto"/>
        <w:rPr>
          <w:rFonts w:hint="eastAsia"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rPr>
        <w:t xml:space="preserve">         项目编号：</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4EDA9699">
      <w:pPr>
        <w:snapToGrid w:val="0"/>
        <w:spacing w:before="50" w:after="50" w:line="360" w:lineRule="auto"/>
        <w:rPr>
          <w:rFonts w:hint="eastAsia"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Fonts w:hint="eastAsia" w:ascii="宋体" w:hAnsi="宋体" w:cs="宋体"/>
          <w:color w:val="auto"/>
          <w:sz w:val="24"/>
        </w:rPr>
        <w:t xml:space="preserve">          分标号： </w:t>
      </w:r>
      <w:r>
        <w:rPr>
          <w:rFonts w:hint="eastAsia" w:ascii="宋体" w:hAnsi="宋体" w:cs="宋体"/>
          <w:color w:val="auto"/>
          <w:sz w:val="24"/>
          <w:u w:val="single"/>
        </w:rPr>
        <w:t xml:space="preserve">              </w:t>
      </w:r>
      <w:r>
        <w:rPr>
          <w:rFonts w:hint="eastAsia" w:ascii="宋体" w:hAnsi="宋体" w:cs="宋体"/>
          <w:color w:val="auto"/>
          <w:sz w:val="24"/>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023"/>
        <w:gridCol w:w="1680"/>
        <w:gridCol w:w="1995"/>
        <w:gridCol w:w="2193"/>
      </w:tblGrid>
      <w:tr w14:paraId="67D4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294FB8">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序号</w:t>
            </w:r>
          </w:p>
        </w:tc>
        <w:tc>
          <w:tcPr>
            <w:tcW w:w="3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0A7EB7">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工程名称</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2137A4">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数量及单位</w:t>
            </w:r>
          </w:p>
        </w:tc>
        <w:tc>
          <w:tcPr>
            <w:tcW w:w="1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33D2C8">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总价（元）</w:t>
            </w:r>
          </w:p>
        </w:tc>
        <w:tc>
          <w:tcPr>
            <w:tcW w:w="2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3D7606">
            <w:pPr>
              <w:jc w:val="center"/>
              <w:rPr>
                <w:rFonts w:hint="default" w:ascii="宋体" w:hAnsi="宋体" w:eastAsia="宋体" w:cs="宋体"/>
                <w:color w:val="auto"/>
                <w:sz w:val="24"/>
                <w:szCs w:val="24"/>
                <w:highlight w:val="none"/>
              </w:rPr>
            </w:pPr>
            <w:r>
              <w:rPr>
                <w:rFonts w:hint="default" w:ascii="宋体" w:hAnsi="宋体" w:eastAsia="宋体"/>
                <w:color w:val="auto"/>
                <w:sz w:val="24"/>
                <w:szCs w:val="24"/>
                <w:highlight w:val="none"/>
                <w:u w:val="none" w:color="000000"/>
              </w:rPr>
              <w:t>其中：安全生产费（元）</w:t>
            </w:r>
          </w:p>
        </w:tc>
      </w:tr>
      <w:tr w14:paraId="40CB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A56EE">
            <w:pPr>
              <w:spacing w:line="420" w:lineRule="exact"/>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w:t>
            </w:r>
          </w:p>
        </w:tc>
        <w:tc>
          <w:tcPr>
            <w:tcW w:w="3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7EC047">
            <w:pPr>
              <w:spacing w:line="420" w:lineRule="exact"/>
              <w:jc w:val="center"/>
              <w:rPr>
                <w:rFonts w:hint="default" w:ascii="宋体" w:hAnsi="宋体" w:eastAsia="宋体" w:cs="宋体"/>
                <w:color w:val="auto"/>
                <w:sz w:val="24"/>
                <w:szCs w:val="24"/>
                <w:highlight w:val="none"/>
              </w:rPr>
            </w:pP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2389E8">
            <w:pPr>
              <w:jc w:val="center"/>
              <w:rPr>
                <w:rFonts w:hint="default" w:ascii="宋体" w:hAnsi="宋体" w:eastAsia="宋体" w:cs="宋体"/>
                <w:color w:val="auto"/>
                <w:sz w:val="24"/>
                <w:szCs w:val="24"/>
                <w:highlight w:val="none"/>
              </w:rPr>
            </w:pPr>
          </w:p>
        </w:tc>
        <w:tc>
          <w:tcPr>
            <w:tcW w:w="1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52AC26">
            <w:pPr>
              <w:jc w:val="center"/>
              <w:rPr>
                <w:rFonts w:hint="default" w:ascii="宋体" w:hAnsi="宋体" w:eastAsia="宋体" w:cs="宋体"/>
                <w:color w:val="auto"/>
                <w:sz w:val="24"/>
                <w:szCs w:val="24"/>
                <w:highlight w:val="none"/>
              </w:rPr>
            </w:pPr>
          </w:p>
        </w:tc>
        <w:tc>
          <w:tcPr>
            <w:tcW w:w="2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619965">
            <w:pPr>
              <w:jc w:val="center"/>
              <w:rPr>
                <w:rFonts w:hint="default" w:ascii="宋体" w:hAnsi="宋体" w:eastAsia="宋体" w:cs="宋体"/>
                <w:color w:val="auto"/>
                <w:sz w:val="24"/>
                <w:szCs w:val="24"/>
                <w:highlight w:val="none"/>
              </w:rPr>
            </w:pPr>
          </w:p>
        </w:tc>
      </w:tr>
      <w:tr w14:paraId="4AD3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A2620">
            <w:pPr>
              <w:spacing w:line="420" w:lineRule="exact"/>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w:t>
            </w:r>
          </w:p>
        </w:tc>
        <w:tc>
          <w:tcPr>
            <w:tcW w:w="3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CADC58">
            <w:pPr>
              <w:spacing w:line="420" w:lineRule="exact"/>
              <w:jc w:val="center"/>
              <w:rPr>
                <w:rFonts w:hint="default" w:ascii="宋体" w:hAnsi="宋体" w:eastAsia="宋体" w:cs="宋体"/>
                <w:color w:val="auto"/>
                <w:sz w:val="24"/>
                <w:szCs w:val="24"/>
                <w:highlight w:val="none"/>
              </w:rPr>
            </w:pP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4054AB">
            <w:pPr>
              <w:jc w:val="center"/>
              <w:rPr>
                <w:rFonts w:hint="default" w:ascii="宋体" w:hAnsi="宋体" w:eastAsia="宋体" w:cs="宋体"/>
                <w:color w:val="auto"/>
                <w:sz w:val="24"/>
                <w:szCs w:val="24"/>
                <w:highlight w:val="none"/>
              </w:rPr>
            </w:pPr>
          </w:p>
        </w:tc>
        <w:tc>
          <w:tcPr>
            <w:tcW w:w="1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996998">
            <w:pPr>
              <w:jc w:val="center"/>
              <w:rPr>
                <w:rFonts w:hint="default" w:ascii="宋体" w:hAnsi="宋体" w:eastAsia="宋体" w:cs="宋体"/>
                <w:color w:val="auto"/>
                <w:sz w:val="24"/>
                <w:szCs w:val="24"/>
                <w:highlight w:val="none"/>
              </w:rPr>
            </w:pPr>
          </w:p>
        </w:tc>
        <w:tc>
          <w:tcPr>
            <w:tcW w:w="2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A450BA">
            <w:pPr>
              <w:jc w:val="center"/>
              <w:rPr>
                <w:rFonts w:hint="default" w:ascii="宋体" w:hAnsi="宋体" w:eastAsia="宋体" w:cs="宋体"/>
                <w:color w:val="auto"/>
                <w:sz w:val="24"/>
                <w:szCs w:val="24"/>
                <w:highlight w:val="none"/>
              </w:rPr>
            </w:pPr>
          </w:p>
        </w:tc>
      </w:tr>
      <w:tr w14:paraId="18C9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961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077B97B">
            <w:pP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报价合计（包含税费等所有费用）：（大写）人民币             （¥        元）</w:t>
            </w:r>
          </w:p>
        </w:tc>
      </w:tr>
      <w:tr w14:paraId="5D6B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961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E1D0AE3">
            <w:pP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工期：</w:t>
            </w:r>
          </w:p>
        </w:tc>
      </w:tr>
      <w:tr w14:paraId="525E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61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6F27B49">
            <w:pP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验收标准、规范：</w:t>
            </w:r>
          </w:p>
        </w:tc>
      </w:tr>
      <w:tr w14:paraId="3F30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961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4DAB01F">
            <w:pP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工程质量保修期：</w:t>
            </w:r>
          </w:p>
        </w:tc>
      </w:tr>
    </w:tbl>
    <w:p w14:paraId="191520BC">
      <w:pPr>
        <w:snapToGrid w:val="0"/>
        <w:spacing w:before="50" w:after="50" w:line="360" w:lineRule="auto"/>
        <w:rPr>
          <w:rFonts w:hint="eastAsia" w:ascii="宋体" w:hAnsi="宋体" w:cs="宋体"/>
          <w:color w:val="auto"/>
          <w:sz w:val="24"/>
          <w:u w:val="single"/>
        </w:rPr>
      </w:pPr>
      <w:r>
        <w:rPr>
          <w:rFonts w:hint="eastAsia" w:ascii="宋体" w:hAnsi="宋体" w:cs="宋体"/>
          <w:color w:val="auto"/>
          <w:sz w:val="24"/>
        </w:rPr>
        <w:t xml:space="preserve">     </w:t>
      </w:r>
    </w:p>
    <w:p w14:paraId="367524ED">
      <w:pPr>
        <w:snapToGrid w:val="0"/>
        <w:spacing w:before="50" w:after="50" w:line="360" w:lineRule="auto"/>
        <w:ind w:firstLine="480" w:firstLineChars="200"/>
        <w:jc w:val="left"/>
        <w:rPr>
          <w:rFonts w:hint="eastAsia" w:ascii="宋体" w:hAnsi="宋体" w:cs="宋体"/>
          <w:color w:val="auto"/>
          <w:kern w:val="0"/>
          <w:sz w:val="24"/>
          <w:lang w:val="zh-CN"/>
        </w:rPr>
      </w:pPr>
      <w:r>
        <w:rPr>
          <w:rFonts w:hint="eastAsia" w:ascii="宋体" w:hAnsi="宋体" w:cs="宋体"/>
          <w:color w:val="auto"/>
          <w:kern w:val="0"/>
          <w:sz w:val="24"/>
          <w:lang w:val="zh-CN"/>
        </w:rPr>
        <w:t xml:space="preserve">注： </w:t>
      </w:r>
    </w:p>
    <w:p w14:paraId="2AA27657">
      <w:pPr>
        <w:snapToGrid w:val="0"/>
        <w:spacing w:before="50" w:after="50" w:line="360" w:lineRule="auto"/>
        <w:ind w:firstLine="480" w:firstLineChars="200"/>
        <w:jc w:val="left"/>
        <w:rPr>
          <w:rFonts w:hint="eastAsia" w:ascii="宋体" w:hAnsi="宋体" w:cs="宋体"/>
          <w:color w:val="auto"/>
          <w:kern w:val="0"/>
          <w:sz w:val="24"/>
          <w:lang w:val="zh-CN"/>
        </w:rPr>
      </w:pPr>
      <w:r>
        <w:rPr>
          <w:rFonts w:hint="eastAsia" w:ascii="宋体" w:hAnsi="宋体" w:cs="宋体"/>
          <w:color w:val="auto"/>
          <w:kern w:val="0"/>
          <w:sz w:val="24"/>
          <w:lang w:val="zh-CN"/>
        </w:rPr>
        <w:t>1</w:t>
      </w:r>
      <w:r>
        <w:rPr>
          <w:rFonts w:hint="eastAsia" w:ascii="宋体" w:hAnsi="宋体" w:cs="宋体"/>
          <w:color w:val="auto"/>
          <w:kern w:val="0"/>
          <w:sz w:val="24"/>
        </w:rPr>
        <w:t>.</w:t>
      </w:r>
      <w:r>
        <w:rPr>
          <w:rFonts w:hint="eastAsia" w:ascii="宋体" w:hAnsi="宋体" w:cs="宋体"/>
          <w:color w:val="auto"/>
          <w:kern w:val="0"/>
          <w:sz w:val="24"/>
          <w:lang w:val="zh-CN"/>
        </w:rPr>
        <w:t>供应商需按本表格式填写，不得自行更改，也不得留空, 如有多分标，按分标分别提供响应报价表</w:t>
      </w:r>
      <w:r>
        <w:rPr>
          <w:rFonts w:hint="eastAsia" w:ascii="宋体" w:hAnsi="宋体" w:cs="宋体"/>
          <w:b/>
          <w:color w:val="auto"/>
          <w:kern w:val="0"/>
          <w:sz w:val="24"/>
          <w:lang w:val="zh-CN"/>
        </w:rPr>
        <w:t>。</w:t>
      </w:r>
    </w:p>
    <w:p w14:paraId="795D6065">
      <w:pPr>
        <w:snapToGrid w:val="0"/>
        <w:spacing w:before="50" w:after="50" w:line="360" w:lineRule="auto"/>
        <w:ind w:firstLine="480" w:firstLineChars="200"/>
        <w:jc w:val="left"/>
        <w:rPr>
          <w:rFonts w:hint="eastAsia" w:ascii="宋体" w:hAnsi="宋体" w:cs="宋体"/>
          <w:b/>
          <w:color w:val="auto"/>
          <w:kern w:val="0"/>
          <w:sz w:val="24"/>
          <w:lang w:val="zh-CN"/>
        </w:rPr>
      </w:pPr>
      <w:r>
        <w:rPr>
          <w:rFonts w:hint="eastAsia" w:ascii="宋体" w:hAnsi="宋体" w:cs="宋体"/>
          <w:color w:val="auto"/>
          <w:kern w:val="0"/>
          <w:sz w:val="24"/>
          <w:lang w:val="zh-CN"/>
        </w:rPr>
        <w:t>2</w:t>
      </w:r>
      <w:r>
        <w:rPr>
          <w:rFonts w:hint="eastAsia" w:ascii="宋体" w:hAnsi="宋体" w:cs="宋体"/>
          <w:color w:val="auto"/>
          <w:kern w:val="0"/>
          <w:sz w:val="24"/>
        </w:rPr>
        <w:t>.</w:t>
      </w:r>
      <w:r>
        <w:rPr>
          <w:rFonts w:hint="eastAsia" w:ascii="宋体" w:hAnsi="宋体" w:cs="宋体"/>
          <w:color w:val="auto"/>
          <w:kern w:val="0"/>
          <w:sz w:val="24"/>
          <w:lang w:val="zh-CN"/>
        </w:rPr>
        <w:t>如为联合体响应的，“供应商名称”处必须列明联合体各方名称，并标注联合体牵头人名称，且盖章处须加盖联合体各方公章，</w:t>
      </w:r>
      <w:r>
        <w:rPr>
          <w:rFonts w:hint="eastAsia" w:ascii="宋体" w:hAnsi="宋体" w:cs="宋体"/>
          <w:b/>
          <w:color w:val="auto"/>
          <w:kern w:val="0"/>
          <w:sz w:val="24"/>
          <w:lang w:val="zh-CN"/>
        </w:rPr>
        <w:t>否则其响应作无效响应处理。</w:t>
      </w:r>
    </w:p>
    <w:p w14:paraId="16AEFC40">
      <w:pPr>
        <w:snapToGrid w:val="0"/>
        <w:spacing w:line="360" w:lineRule="auto"/>
        <w:ind w:firstLine="480" w:firstLineChars="200"/>
        <w:jc w:val="left"/>
        <w:rPr>
          <w:rFonts w:hint="eastAsia" w:ascii="宋体" w:hAnsi="宋体" w:cs="宋体"/>
          <w:color w:val="auto"/>
          <w:kern w:val="0"/>
          <w:sz w:val="24"/>
          <w:lang w:val="zh-CN"/>
        </w:rPr>
      </w:pPr>
      <w:r>
        <w:rPr>
          <w:rFonts w:hint="eastAsia" w:ascii="宋体" w:hAnsi="宋体" w:cs="宋体"/>
          <w:color w:val="auto"/>
          <w:kern w:val="0"/>
          <w:sz w:val="24"/>
          <w:lang w:val="zh-CN"/>
        </w:rPr>
        <w:t>3</w:t>
      </w:r>
      <w:r>
        <w:rPr>
          <w:rFonts w:hint="eastAsia" w:ascii="宋体" w:hAnsi="宋体" w:cs="宋体"/>
          <w:color w:val="auto"/>
          <w:kern w:val="0"/>
          <w:sz w:val="24"/>
        </w:rPr>
        <w:t>.</w:t>
      </w:r>
      <w:r>
        <w:rPr>
          <w:rFonts w:hint="eastAsia" w:ascii="宋体" w:hAnsi="宋体" w:cs="宋体"/>
          <w:color w:val="auto"/>
          <w:kern w:val="0"/>
          <w:sz w:val="24"/>
          <w:lang w:val="zh-CN"/>
        </w:rPr>
        <w:t>特别提示：采购机构将对项目名称和项目编号，成交供应商名称、地址和成交金额，主要成交标的的名称、施工范围、施工工期、项目经理、执业证书信息等予以公示。</w:t>
      </w:r>
    </w:p>
    <w:p w14:paraId="3DA6FC7F">
      <w:pPr>
        <w:snapToGrid w:val="0"/>
        <w:spacing w:line="360" w:lineRule="auto"/>
        <w:ind w:firstLine="480" w:firstLineChars="200"/>
        <w:jc w:val="left"/>
        <w:rPr>
          <w:rFonts w:hint="eastAsia" w:ascii="宋体" w:hAnsi="宋体" w:cs="宋体"/>
          <w:color w:val="auto"/>
          <w:kern w:val="0"/>
          <w:sz w:val="24"/>
          <w:lang w:val="zh-CN"/>
        </w:rPr>
      </w:pPr>
      <w:r>
        <w:rPr>
          <w:rFonts w:hint="eastAsia" w:ascii="宋体" w:hAnsi="宋体" w:cs="宋体"/>
          <w:color w:val="auto"/>
          <w:kern w:val="0"/>
          <w:sz w:val="24"/>
          <w:szCs w:val="22"/>
        </w:rPr>
        <w:t>4.</w:t>
      </w:r>
      <w:r>
        <w:rPr>
          <w:rFonts w:hint="eastAsia" w:ascii="宋体" w:hAnsi="宋体" w:cs="宋体"/>
          <w:color w:val="auto"/>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74D36238">
      <w:pPr>
        <w:autoSpaceDE w:val="0"/>
        <w:autoSpaceDN w:val="0"/>
        <w:spacing w:line="360" w:lineRule="auto"/>
        <w:ind w:left="4335" w:leftChars="1950" w:hanging="240" w:hangingChars="100"/>
        <w:rPr>
          <w:rFonts w:hint="eastAsia" w:ascii="宋体" w:hAnsi="宋体" w:cs="宋体"/>
          <w:color w:val="auto"/>
          <w:kern w:val="0"/>
          <w:sz w:val="24"/>
        </w:rPr>
      </w:pPr>
      <w:r>
        <w:rPr>
          <w:rFonts w:hint="eastAsia" w:ascii="宋体" w:hAnsi="宋体" w:cs="宋体"/>
          <w:color w:val="auto"/>
          <w:kern w:val="0"/>
          <w:sz w:val="24"/>
        </w:rPr>
        <w:t>供应商名称（电子签章）：</w:t>
      </w:r>
    </w:p>
    <w:p w14:paraId="45501107">
      <w:pPr>
        <w:pStyle w:val="17"/>
        <w:spacing w:line="500" w:lineRule="exact"/>
        <w:ind w:firstLine="6300" w:firstLineChars="2625"/>
        <w:rPr>
          <w:rFonts w:hint="eastAsia" w:hAnsi="宋体" w:cs="宋体"/>
          <w:color w:val="auto"/>
          <w:sz w:val="24"/>
          <w:lang w:val="zh-CN"/>
        </w:rPr>
        <w:sectPr>
          <w:pgSz w:w="11905" w:h="16838"/>
          <w:pgMar w:top="1134" w:right="1587" w:bottom="1134" w:left="1587" w:header="720" w:footer="720" w:gutter="0"/>
          <w:pgNumType w:fmt="decimal"/>
          <w:cols w:space="720" w:num="1"/>
          <w:docGrid w:type="lines" w:linePitch="331" w:charSpace="0"/>
        </w:sectPr>
      </w:pPr>
      <w:r>
        <w:rPr>
          <w:rFonts w:hint="eastAsia" w:hAnsi="宋体" w:cs="宋体"/>
          <w:color w:val="auto"/>
          <w:sz w:val="24"/>
          <w:lang w:val="zh-CN"/>
        </w:rPr>
        <w:t xml:space="preserve">日期：  年  </w:t>
      </w:r>
      <w:r>
        <w:rPr>
          <w:rFonts w:hint="eastAsia" w:hAnsi="宋体" w:cs="宋体"/>
          <w:color w:val="auto"/>
          <w:sz w:val="24"/>
        </w:rPr>
        <w:t xml:space="preserve"> </w:t>
      </w:r>
      <w:r>
        <w:rPr>
          <w:rFonts w:hint="eastAsia" w:hAnsi="宋体" w:cs="宋体"/>
          <w:color w:val="auto"/>
          <w:sz w:val="24"/>
          <w:lang w:val="zh-CN"/>
        </w:rPr>
        <w:t>月   日</w:t>
      </w:r>
    </w:p>
    <w:p w14:paraId="1D8EDC76">
      <w:pPr>
        <w:spacing w:line="520" w:lineRule="exact"/>
        <w:ind w:firstLine="643" w:firstLineChars="200"/>
        <w:rPr>
          <w:rFonts w:hint="eastAsia" w:ascii="宋体" w:hAnsi="宋体" w:cs="宋体"/>
          <w:b/>
          <w:bCs/>
          <w:color w:val="auto"/>
          <w:sz w:val="32"/>
          <w:szCs w:val="32"/>
        </w:rPr>
      </w:pPr>
      <w:r>
        <w:rPr>
          <w:rFonts w:hint="eastAsia" w:ascii="宋体" w:hAnsi="宋体" w:cs="宋体"/>
          <w:b/>
          <w:bCs/>
          <w:color w:val="auto"/>
          <w:sz w:val="32"/>
          <w:szCs w:val="32"/>
        </w:rPr>
        <w:t>四、已标价工程量清单</w:t>
      </w:r>
    </w:p>
    <w:p w14:paraId="78F448BF">
      <w:pPr>
        <w:rPr>
          <w:color w:val="auto"/>
        </w:rPr>
      </w:pPr>
    </w:p>
    <w:p w14:paraId="1D1048DC">
      <w:pPr>
        <w:jc w:val="center"/>
        <w:rPr>
          <w:rFonts w:ascii="宋体" w:hAnsi="宋体" w:cs="宋体"/>
          <w:b/>
          <w:color w:val="auto"/>
          <w:sz w:val="30"/>
          <w:szCs w:val="30"/>
        </w:rPr>
      </w:pPr>
      <w:r>
        <w:rPr>
          <w:rFonts w:hint="eastAsia" w:ascii="宋体" w:hAnsi="宋体" w:cs="宋体"/>
          <w:b/>
          <w:color w:val="auto"/>
          <w:sz w:val="30"/>
          <w:szCs w:val="30"/>
        </w:rPr>
        <w:t>（根据发布的工程量清单中的相关表格及报价说明填写）</w:t>
      </w:r>
    </w:p>
    <w:p w14:paraId="456B06E3">
      <w:pPr>
        <w:rPr>
          <w:color w:val="auto"/>
        </w:rPr>
      </w:pPr>
    </w:p>
    <w:p w14:paraId="07BAF856">
      <w:pPr>
        <w:rPr>
          <w:color w:val="auto"/>
        </w:rPr>
      </w:pPr>
    </w:p>
    <w:p w14:paraId="43CFCF6F">
      <w:pPr>
        <w:pStyle w:val="17"/>
        <w:widowControl/>
        <w:spacing w:line="500" w:lineRule="exact"/>
        <w:ind w:firstLine="6360" w:firstLineChars="2650"/>
        <w:rPr>
          <w:rFonts w:ascii="仿宋_GB2312" w:hAnsi="仿宋" w:eastAsia="仿宋_GB2312" w:cs="仿宋_GB2312"/>
          <w:color w:val="auto"/>
          <w:sz w:val="24"/>
          <w:lang w:val="zh-CN"/>
        </w:rPr>
      </w:pPr>
    </w:p>
    <w:p w14:paraId="614E2517">
      <w:pPr>
        <w:rPr>
          <w:rFonts w:hint="eastAsia" w:ascii="宋体" w:hAnsi="宋体" w:eastAsia="宋体" w:cs="宋体"/>
          <w:color w:val="auto"/>
        </w:rPr>
      </w:pPr>
      <w:bookmarkStart w:id="143" w:name="_Toc31728084"/>
      <w:bookmarkEnd w:id="143"/>
      <w:bookmarkStart w:id="144" w:name="_Toc31723070"/>
      <w:bookmarkEnd w:id="144"/>
      <w:bookmarkStart w:id="145" w:name="_Toc35611516"/>
      <w:bookmarkEnd w:id="145"/>
      <w:bookmarkStart w:id="146" w:name="_Toc35611438"/>
      <w:bookmarkEnd w:id="146"/>
      <w:bookmarkStart w:id="147" w:name="_Toc44229899"/>
      <w:bookmarkEnd w:id="147"/>
      <w:bookmarkStart w:id="148" w:name="_Toc80205942"/>
      <w:bookmarkStart w:id="149" w:name="_Toc2153"/>
      <w:r>
        <w:rPr>
          <w:rFonts w:hint="eastAsia" w:ascii="宋体" w:hAnsi="宋体" w:eastAsia="宋体" w:cs="宋体"/>
          <w:color w:val="auto"/>
        </w:rPr>
        <w:br w:type="page"/>
      </w:r>
    </w:p>
    <w:p w14:paraId="4AFEDBDB">
      <w:pPr>
        <w:pStyle w:val="3"/>
        <w:widowControl/>
        <w:jc w:val="center"/>
        <w:rPr>
          <w:rFonts w:hint="eastAsia" w:ascii="宋体" w:hAnsi="宋体" w:eastAsia="宋体" w:cs="宋体"/>
          <w:b w:val="0"/>
          <w:color w:val="auto"/>
        </w:rPr>
      </w:pPr>
      <w:r>
        <w:rPr>
          <w:rFonts w:hint="eastAsia" w:ascii="宋体" w:hAnsi="宋体" w:eastAsia="宋体" w:cs="宋体"/>
          <w:color w:val="auto"/>
        </w:rPr>
        <w:t>第五节 其他文书、文件格式</w:t>
      </w:r>
      <w:bookmarkEnd w:id="148"/>
      <w:bookmarkEnd w:id="149"/>
    </w:p>
    <w:p w14:paraId="439F1241">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知识产权合规性声明</w:t>
      </w:r>
    </w:p>
    <w:p w14:paraId="131A53AF">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bidi="ar"/>
        </w:rPr>
        <w:t xml:space="preserve">    </w:t>
      </w:r>
    </w:p>
    <w:p w14:paraId="03FCF579">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bidi="ar"/>
        </w:rPr>
        <w:t xml:space="preserve">    本企业（单位）自愿参与政府投资政府采购的</w:t>
      </w:r>
      <w:r>
        <w:rPr>
          <w:rFonts w:hint="eastAsia" w:ascii="宋体" w:hAnsi="宋体" w:cs="宋体"/>
          <w:color w:val="auto"/>
          <w:sz w:val="28"/>
          <w:szCs w:val="28"/>
          <w:u w:val="single"/>
        </w:rPr>
        <w:t xml:space="preserve">     （项目名称）</w:t>
      </w:r>
      <w:r>
        <w:rPr>
          <w:rFonts w:hint="eastAsia" w:ascii="仿宋_GB2312" w:hAnsi="仿宋_GB2312" w:eastAsia="仿宋_GB2312" w:cs="仿宋_GB2312"/>
          <w:color w:val="auto"/>
          <w:sz w:val="30"/>
          <w:szCs w:val="30"/>
          <w:lang w:bidi="ar"/>
        </w:rPr>
        <w:t>，</w:t>
      </w:r>
      <w:r>
        <w:rPr>
          <w:rFonts w:hint="eastAsia" w:ascii="仿宋_GB2312" w:hAnsi="仿宋_GB2312" w:eastAsia="仿宋_GB2312" w:cs="仿宋_GB2312"/>
          <w:b/>
          <w:bCs/>
          <w:color w:val="auto"/>
          <w:sz w:val="30"/>
          <w:szCs w:val="30"/>
          <w:lang w:bidi="ar"/>
        </w:rPr>
        <w:t>在此郑重承诺：</w:t>
      </w:r>
      <w:r>
        <w:rPr>
          <w:rFonts w:hint="eastAsia" w:ascii="仿宋_GB2312" w:hAnsi="仿宋_GB2312" w:eastAsia="仿宋_GB2312" w:cs="仿宋_GB2312"/>
          <w:color w:val="auto"/>
          <w:sz w:val="30"/>
          <w:szCs w:val="30"/>
          <w:lang w:bidi="ar"/>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55AEB1C3">
      <w:pPr>
        <w:snapToGrid w:val="0"/>
        <w:spacing w:line="360" w:lineRule="auto"/>
        <w:ind w:left="5137" w:leftChars="1736" w:hanging="1491" w:hangingChars="825"/>
        <w:rPr>
          <w:b/>
          <w:color w:val="auto"/>
          <w:sz w:val="18"/>
          <w:szCs w:val="18"/>
        </w:rPr>
      </w:pPr>
      <w:r>
        <w:rPr>
          <w:rFonts w:ascii="Times New Roman" w:hAnsi="Times New Roman" w:eastAsia="宋体" w:cs="Times New Roman"/>
          <w:b/>
          <w:color w:val="auto"/>
          <w:sz w:val="18"/>
          <w:szCs w:val="18"/>
          <w:lang w:bidi="ar"/>
        </w:rPr>
        <w:t xml:space="preserve">           </w:t>
      </w:r>
    </w:p>
    <w:p w14:paraId="3488D571">
      <w:pPr>
        <w:snapToGrid w:val="0"/>
        <w:spacing w:line="360" w:lineRule="auto"/>
        <w:ind w:left="5137" w:leftChars="1736" w:hanging="1491" w:hangingChars="825"/>
        <w:rPr>
          <w:b/>
          <w:color w:val="auto"/>
          <w:sz w:val="18"/>
          <w:szCs w:val="18"/>
        </w:rPr>
      </w:pPr>
    </w:p>
    <w:p w14:paraId="2BED7AA3">
      <w:pPr>
        <w:snapToGrid w:val="0"/>
        <w:spacing w:line="360" w:lineRule="auto"/>
        <w:ind w:left="5137" w:leftChars="1736" w:hanging="1491" w:hangingChars="825"/>
        <w:rPr>
          <w:b/>
          <w:color w:val="auto"/>
          <w:sz w:val="18"/>
          <w:szCs w:val="18"/>
        </w:rPr>
      </w:pPr>
    </w:p>
    <w:p w14:paraId="58B27B98">
      <w:pPr>
        <w:snapToGrid w:val="0"/>
        <w:spacing w:line="360" w:lineRule="auto"/>
        <w:ind w:left="5137" w:leftChars="1736" w:hanging="1491" w:hangingChars="825"/>
        <w:rPr>
          <w:b/>
          <w:color w:val="auto"/>
          <w:sz w:val="18"/>
          <w:szCs w:val="18"/>
        </w:rPr>
      </w:pPr>
    </w:p>
    <w:p w14:paraId="1FDACCCF">
      <w:pPr>
        <w:snapToGrid w:val="0"/>
        <w:spacing w:line="360" w:lineRule="auto"/>
        <w:ind w:left="5137" w:leftChars="1736" w:hanging="1491" w:hangingChars="825"/>
        <w:rPr>
          <w:rFonts w:hint="eastAsia" w:ascii="仿宋_GB2312" w:hAnsi="仿宋" w:eastAsia="仿宋_GB2312" w:cs="仿宋_GB2312"/>
          <w:color w:val="auto"/>
          <w:kern w:val="0"/>
          <w:sz w:val="24"/>
        </w:rPr>
      </w:pPr>
      <w:r>
        <w:rPr>
          <w:rFonts w:ascii="Times New Roman" w:hAnsi="Times New Roman" w:eastAsia="宋体" w:cs="Times New Roman"/>
          <w:b/>
          <w:color w:val="auto"/>
          <w:sz w:val="18"/>
          <w:szCs w:val="18"/>
          <w:lang w:bidi="ar"/>
        </w:rPr>
        <w:t xml:space="preserve">      </w:t>
      </w:r>
      <w:r>
        <w:rPr>
          <w:rFonts w:hint="eastAsia" w:ascii="仿宋_GB2312" w:hAnsi="仿宋" w:eastAsia="仿宋_GB2312" w:cs="仿宋_GB2312"/>
          <w:color w:val="auto"/>
          <w:kern w:val="0"/>
          <w:sz w:val="24"/>
          <w:lang w:val="zh-CN" w:bidi="ar"/>
        </w:rPr>
        <w:t>投标人名称(电子签章)：</w:t>
      </w:r>
    </w:p>
    <w:p w14:paraId="128C82A1">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bidi="ar"/>
        </w:rPr>
        <w:t>日期</w:t>
      </w:r>
      <w:r>
        <w:rPr>
          <w:rFonts w:hint="eastAsia" w:ascii="仿宋_GB2312" w:hAnsi="仿宋" w:eastAsia="仿宋_GB2312" w:cs="仿宋_GB2312"/>
          <w:color w:val="auto"/>
          <w:kern w:val="0"/>
          <w:sz w:val="24"/>
          <w:lang w:bidi="ar"/>
        </w:rPr>
        <w:t xml:space="preserve">：  年  </w:t>
      </w:r>
      <w:r>
        <w:rPr>
          <w:rFonts w:hint="eastAsia" w:ascii="仿宋_GB2312" w:hAnsi="仿宋" w:eastAsia="仿宋_GB2312" w:cs="仿宋_GB2312"/>
          <w:color w:val="auto"/>
          <w:kern w:val="0"/>
          <w:sz w:val="24"/>
          <w:lang w:val="zh-CN" w:bidi="ar"/>
        </w:rPr>
        <w:t>月</w:t>
      </w:r>
      <w:r>
        <w:rPr>
          <w:rFonts w:hint="eastAsia" w:ascii="仿宋_GB2312" w:hAnsi="仿宋" w:eastAsia="仿宋_GB2312" w:cs="仿宋_GB2312"/>
          <w:color w:val="auto"/>
          <w:kern w:val="0"/>
          <w:sz w:val="24"/>
          <w:lang w:bidi="ar"/>
        </w:rPr>
        <w:t xml:space="preserve">   </w:t>
      </w:r>
      <w:r>
        <w:rPr>
          <w:rFonts w:hint="eastAsia" w:ascii="仿宋_GB2312" w:hAnsi="仿宋" w:eastAsia="仿宋_GB2312" w:cs="仿宋_GB2312"/>
          <w:color w:val="auto"/>
          <w:kern w:val="0"/>
          <w:sz w:val="24"/>
          <w:lang w:val="zh-CN" w:bidi="ar"/>
        </w:rPr>
        <w:t>日</w:t>
      </w:r>
    </w:p>
    <w:p w14:paraId="30A7A0E4">
      <w:pPr>
        <w:rPr>
          <w:rFonts w:hint="eastAsia" w:ascii="宋体" w:hAnsi="宋体" w:eastAsia="宋体" w:cs="仿宋_GB2312"/>
          <w:color w:val="auto"/>
          <w:sz w:val="24"/>
          <w:lang w:bidi="ar"/>
        </w:rPr>
        <w:sectPr>
          <w:pgSz w:w="11906" w:h="16838"/>
          <w:pgMar w:top="1135" w:right="1135" w:bottom="1135" w:left="1135" w:header="720" w:footer="720" w:gutter="0"/>
          <w:pgNumType w:fmt="decimal"/>
          <w:cols w:space="425" w:num="1"/>
          <w:docGrid w:type="lines" w:linePitch="331" w:charSpace="0"/>
        </w:sectPr>
      </w:pPr>
    </w:p>
    <w:p w14:paraId="30BF8A39">
      <w:pPr>
        <w:spacing w:line="360" w:lineRule="auto"/>
        <w:rPr>
          <w:rFonts w:hint="eastAsia" w:ascii="宋体" w:hAnsi="宋体" w:eastAsia="宋体" w:cs="仿宋_GB2312"/>
          <w:color w:val="auto"/>
          <w:sz w:val="24"/>
        </w:rPr>
      </w:pPr>
    </w:p>
    <w:p w14:paraId="74439C2C">
      <w:pPr>
        <w:pStyle w:val="2"/>
        <w:widowControl/>
        <w:jc w:val="center"/>
        <w:rPr>
          <w:rFonts w:hint="eastAsia" w:ascii="宋体" w:hAnsi="宋体" w:cs="宋体"/>
          <w:b w:val="0"/>
          <w:bCs w:val="0"/>
          <w:color w:val="auto"/>
        </w:rPr>
      </w:pPr>
      <w:bookmarkStart w:id="150" w:name="_Toc11892"/>
      <w:r>
        <w:rPr>
          <w:rFonts w:hint="eastAsia" w:ascii="宋体" w:hAnsi="宋体" w:cs="宋体"/>
          <w:b w:val="0"/>
          <w:bCs w:val="0"/>
          <w:color w:val="auto"/>
        </w:rPr>
        <w:t>第六章  合同文本</w:t>
      </w:r>
      <w:r>
        <w:rPr>
          <w:rFonts w:hint="eastAsia" w:ascii="宋体" w:hAnsi="宋体" w:cs="宋体"/>
          <w:b w:val="0"/>
          <w:bCs w:val="0"/>
          <w:color w:val="auto"/>
        </w:rPr>
        <w:br w:type="page"/>
      </w:r>
      <w:bookmarkEnd w:id="150"/>
    </w:p>
    <w:p w14:paraId="4A03C1C4">
      <w:pPr>
        <w:rPr>
          <w:rFonts w:hint="eastAsia" w:ascii="宋体" w:hAnsi="宋体" w:eastAsia="宋体" w:cs="宋体"/>
          <w:b/>
          <w:bCs/>
          <w:color w:val="auto"/>
        </w:rPr>
      </w:pPr>
      <w:r>
        <w:rPr>
          <w:rFonts w:hint="eastAsia" w:ascii="仿宋_GB2312" w:hAnsi="楷体" w:eastAsia="仿宋_GB2312" w:cs="仿宋_GB2312"/>
          <w:color w:val="auto"/>
          <w:sz w:val="24"/>
          <w:lang w:bidi="ar"/>
        </w:rPr>
        <w:t>“广西政府采购云”平台合同编号：</w:t>
      </w:r>
    </w:p>
    <w:p w14:paraId="2B722F1A">
      <w:pPr>
        <w:spacing w:line="360" w:lineRule="auto"/>
        <w:jc w:val="center"/>
        <w:rPr>
          <w:rFonts w:ascii="宋体" w:hAnsi="Times New Roman" w:eastAsia="宋体" w:cs="宋体"/>
          <w:b/>
          <w:bCs/>
          <w:color w:val="auto"/>
          <w:sz w:val="52"/>
        </w:rPr>
      </w:pPr>
      <w:r>
        <w:rPr>
          <w:rFonts w:hint="eastAsia" w:ascii="宋体" w:hAnsi="Times New Roman" w:eastAsia="宋体" w:cs="宋体"/>
          <w:b/>
          <w:bCs/>
          <w:color w:val="auto"/>
          <w:sz w:val="52"/>
          <w:lang w:bidi="ar"/>
        </w:rPr>
        <w:t>南 宁 市 政 府 采 购</w:t>
      </w:r>
    </w:p>
    <w:p w14:paraId="3A92D230">
      <w:pPr>
        <w:spacing w:line="360" w:lineRule="auto"/>
        <w:ind w:firstLine="420" w:firstLineChars="200"/>
        <w:rPr>
          <w:rFonts w:ascii="宋体" w:hAnsi="Times New Roman" w:eastAsia="宋体" w:cs="宋体"/>
          <w:color w:val="auto"/>
        </w:rPr>
      </w:pPr>
    </w:p>
    <w:p w14:paraId="4384925C">
      <w:pPr>
        <w:spacing w:line="360" w:lineRule="auto"/>
        <w:ind w:firstLine="420" w:firstLineChars="200"/>
        <w:rPr>
          <w:rFonts w:ascii="宋体" w:hAnsi="Times New Roman" w:eastAsia="宋体" w:cs="宋体"/>
          <w:color w:val="auto"/>
        </w:rPr>
      </w:pPr>
      <w:r>
        <w:rPr>
          <w:rFonts w:hint="eastAsia" w:ascii="宋体" w:hAnsi="Times New Roman" w:eastAsia="宋体" w:cs="宋体"/>
          <w:color w:val="auto"/>
          <w:lang w:bidi="ar"/>
        </w:rPr>
        <w:t xml:space="preserve">                                                 </w:t>
      </w:r>
    </w:p>
    <w:p w14:paraId="25A632DE">
      <w:pPr>
        <w:spacing w:line="360" w:lineRule="auto"/>
        <w:jc w:val="center"/>
        <w:rPr>
          <w:rFonts w:ascii="宋体" w:hAnsi="Times New Roman" w:eastAsia="宋体" w:cs="宋体"/>
          <w:b/>
          <w:bCs/>
          <w:color w:val="auto"/>
          <w:sz w:val="44"/>
        </w:rPr>
      </w:pPr>
      <w:r>
        <w:rPr>
          <w:rFonts w:hint="eastAsia" w:ascii="宋体" w:hAnsi="Times New Roman" w:eastAsia="宋体" w:cs="宋体"/>
          <w:b/>
          <w:bCs/>
          <w:color w:val="auto"/>
          <w:sz w:val="44"/>
          <w:u w:val="single"/>
          <w:lang w:bidi="ar"/>
        </w:rPr>
        <w:t xml:space="preserve"> </w:t>
      </w:r>
      <w:r>
        <w:rPr>
          <w:rFonts w:hint="eastAsia" w:ascii="宋体" w:eastAsia="宋体"/>
          <w:b/>
          <w:bCs/>
          <w:color w:val="auto"/>
          <w:sz w:val="44"/>
          <w:u w:val="single"/>
          <w:lang w:eastAsia="zh-CN"/>
        </w:rPr>
        <w:t>南宁市武鸣区2025年第一批中央财政水利发展资金农村饮水工程维修养护项目</w:t>
      </w:r>
      <w:r>
        <w:rPr>
          <w:rFonts w:hint="eastAsia" w:ascii="宋体" w:hAnsi="Times New Roman" w:eastAsia="宋体" w:cs="宋体"/>
          <w:b/>
          <w:bCs/>
          <w:color w:val="auto"/>
          <w:sz w:val="44"/>
          <w:lang w:bidi="ar"/>
        </w:rPr>
        <w:t>合同</w:t>
      </w:r>
    </w:p>
    <w:p w14:paraId="1733A023">
      <w:pPr>
        <w:spacing w:line="360" w:lineRule="auto"/>
        <w:jc w:val="center"/>
        <w:rPr>
          <w:rFonts w:ascii="宋体" w:hAnsi="Times New Roman" w:eastAsia="宋体" w:cs="宋体"/>
          <w:b/>
          <w:bCs/>
          <w:color w:val="auto"/>
          <w:sz w:val="44"/>
        </w:rPr>
      </w:pPr>
    </w:p>
    <w:p w14:paraId="289FDC8B">
      <w:pPr>
        <w:spacing w:line="360" w:lineRule="auto"/>
        <w:ind w:firstLine="3507" w:firstLineChars="794"/>
        <w:rPr>
          <w:rFonts w:ascii="宋体" w:hAnsi="Times New Roman" w:eastAsia="宋体" w:cs="宋体"/>
          <w:b/>
          <w:bCs/>
          <w:color w:val="auto"/>
          <w:sz w:val="44"/>
        </w:rPr>
      </w:pPr>
    </w:p>
    <w:p w14:paraId="066F4D1F">
      <w:pPr>
        <w:spacing w:line="360" w:lineRule="auto"/>
        <w:ind w:firstLine="3507" w:firstLineChars="794"/>
        <w:rPr>
          <w:rFonts w:ascii="宋体" w:hAnsi="Times New Roman" w:eastAsia="宋体" w:cs="宋体"/>
          <w:b/>
          <w:bCs/>
          <w:color w:val="auto"/>
          <w:sz w:val="44"/>
        </w:rPr>
      </w:pPr>
    </w:p>
    <w:p w14:paraId="3FBD838B">
      <w:pPr>
        <w:ind w:firstLine="1995" w:firstLineChars="552"/>
        <w:rPr>
          <w:rFonts w:hint="eastAsia" w:ascii="宋体" w:hAnsi="宋体" w:eastAsia="宋体"/>
          <w:b/>
          <w:color w:val="auto"/>
          <w:sz w:val="36"/>
          <w:szCs w:val="36"/>
          <w:u w:val="single"/>
        </w:rPr>
      </w:pPr>
      <w:r>
        <w:rPr>
          <w:rFonts w:hint="eastAsia" w:ascii="宋体" w:hAnsi="宋体" w:eastAsia="宋体" w:cs="宋体"/>
          <w:b/>
          <w:color w:val="auto"/>
          <w:sz w:val="36"/>
          <w:szCs w:val="36"/>
          <w:lang w:bidi="ar"/>
        </w:rPr>
        <w:t>采购项目编号：</w:t>
      </w:r>
      <w:r>
        <w:rPr>
          <w:rFonts w:hint="eastAsia" w:ascii="宋体" w:hAnsi="宋体"/>
          <w:b/>
          <w:color w:val="auto"/>
          <w:sz w:val="36"/>
          <w:szCs w:val="36"/>
          <w:u w:val="single"/>
        </w:rPr>
        <w:t xml:space="preserve">  </w:t>
      </w:r>
    </w:p>
    <w:p w14:paraId="265D16FC">
      <w:pPr>
        <w:ind w:firstLine="1995" w:firstLineChars="552"/>
        <w:rPr>
          <w:rFonts w:hint="eastAsia" w:ascii="宋体" w:hAnsi="宋体" w:eastAsia="宋体" w:cs="宋体"/>
          <w:b/>
          <w:color w:val="auto"/>
          <w:sz w:val="36"/>
          <w:szCs w:val="36"/>
        </w:rPr>
      </w:pPr>
    </w:p>
    <w:p w14:paraId="056ABD05">
      <w:pPr>
        <w:ind w:firstLine="1995" w:firstLineChars="552"/>
        <w:rPr>
          <w:rFonts w:hint="eastAsia" w:ascii="宋体" w:hAnsi="宋体"/>
          <w:b/>
          <w:color w:val="auto"/>
          <w:sz w:val="36"/>
          <w:szCs w:val="36"/>
          <w:u w:val="single"/>
        </w:rPr>
      </w:pPr>
      <w:r>
        <w:rPr>
          <w:rFonts w:hint="eastAsia" w:ascii="宋体" w:hAnsi="宋体" w:eastAsia="宋体" w:cs="宋体"/>
          <w:b/>
          <w:color w:val="auto"/>
          <w:sz w:val="36"/>
          <w:szCs w:val="36"/>
          <w:lang w:bidi="ar"/>
        </w:rPr>
        <w:t>采购计划编号：</w:t>
      </w:r>
      <w:r>
        <w:rPr>
          <w:rFonts w:hint="eastAsia" w:ascii="宋体" w:hAnsi="宋体"/>
          <w:b/>
          <w:color w:val="auto"/>
          <w:sz w:val="36"/>
          <w:szCs w:val="36"/>
          <w:u w:val="single"/>
        </w:rPr>
        <w:t xml:space="preserve">    </w:t>
      </w:r>
    </w:p>
    <w:p w14:paraId="466A1DE5">
      <w:pPr>
        <w:ind w:firstLine="1308" w:firstLineChars="545"/>
        <w:rPr>
          <w:rFonts w:hint="eastAsia" w:ascii="宋体" w:hAnsi="宋体" w:eastAsia="宋体" w:cs="宋体"/>
          <w:color w:val="auto"/>
          <w:sz w:val="24"/>
        </w:rPr>
      </w:pPr>
    </w:p>
    <w:p w14:paraId="508CD944">
      <w:pPr>
        <w:ind w:firstLine="1995" w:firstLineChars="552"/>
        <w:rPr>
          <w:rFonts w:hint="eastAsia" w:ascii="宋体" w:hAnsi="宋体" w:eastAsia="宋体" w:cs="宋体"/>
          <w:b/>
          <w:color w:val="auto"/>
          <w:sz w:val="36"/>
          <w:szCs w:val="36"/>
          <w:u w:val="single"/>
        </w:rPr>
      </w:pPr>
    </w:p>
    <w:p w14:paraId="21EA7BA2">
      <w:pPr>
        <w:ind w:firstLine="1995" w:firstLineChars="552"/>
        <w:rPr>
          <w:rFonts w:hint="eastAsia" w:ascii="宋体" w:hAnsi="宋体" w:eastAsia="宋体" w:cs="宋体"/>
          <w:b/>
          <w:color w:val="auto"/>
          <w:sz w:val="36"/>
          <w:szCs w:val="36"/>
          <w:u w:val="single"/>
        </w:rPr>
      </w:pPr>
    </w:p>
    <w:p w14:paraId="5CEB7DF9">
      <w:pPr>
        <w:tabs>
          <w:tab w:val="left" w:pos="7200"/>
        </w:tabs>
        <w:spacing w:line="360" w:lineRule="auto"/>
        <w:ind w:firstLine="1995" w:firstLineChars="552"/>
        <w:rPr>
          <w:rFonts w:hint="eastAsia" w:ascii="宋体" w:hAnsi="宋体" w:eastAsia="宋体" w:cs="宋体"/>
          <w:b/>
          <w:color w:val="auto"/>
          <w:sz w:val="36"/>
          <w:szCs w:val="36"/>
          <w:u w:val="single"/>
        </w:rPr>
      </w:pPr>
      <w:r>
        <w:rPr>
          <w:rFonts w:hint="eastAsia" w:ascii="宋体" w:hAnsi="宋体" w:eastAsia="宋体" w:cs="宋体"/>
          <w:b/>
          <w:color w:val="auto"/>
          <w:sz w:val="36"/>
          <w:szCs w:val="36"/>
          <w:lang w:bidi="ar"/>
        </w:rPr>
        <w:t>采购人：</w:t>
      </w:r>
      <w:r>
        <w:rPr>
          <w:rFonts w:hint="eastAsia" w:ascii="宋体" w:hAnsi="宋体"/>
          <w:b/>
          <w:color w:val="auto"/>
          <w:sz w:val="36"/>
          <w:szCs w:val="36"/>
          <w:u w:val="single"/>
        </w:rPr>
        <w:t xml:space="preserve">南宁市武鸣区水利工程服务站  </w:t>
      </w:r>
    </w:p>
    <w:p w14:paraId="644195C7">
      <w:pPr>
        <w:tabs>
          <w:tab w:val="left" w:pos="7380"/>
        </w:tabs>
        <w:spacing w:line="360" w:lineRule="auto"/>
        <w:ind w:firstLine="1995" w:firstLineChars="552"/>
        <w:rPr>
          <w:rFonts w:ascii="宋体" w:hAnsi="Times New Roman" w:eastAsia="宋体" w:cs="宋体"/>
          <w:b/>
          <w:bCs/>
          <w:color w:val="auto"/>
          <w:sz w:val="44"/>
        </w:rPr>
      </w:pPr>
      <w:r>
        <w:rPr>
          <w:rFonts w:hint="eastAsia" w:ascii="宋体" w:hAnsi="宋体" w:eastAsia="宋体" w:cs="宋体"/>
          <w:b/>
          <w:color w:val="auto"/>
          <w:sz w:val="36"/>
          <w:szCs w:val="36"/>
          <w:lang w:bidi="ar"/>
        </w:rPr>
        <w:t>中标供应商：</w:t>
      </w:r>
      <w:r>
        <w:rPr>
          <w:rFonts w:hint="eastAsia" w:ascii="宋体" w:hAnsi="宋体" w:eastAsia="宋体" w:cs="宋体"/>
          <w:b/>
          <w:color w:val="auto"/>
          <w:sz w:val="36"/>
          <w:szCs w:val="36"/>
          <w:u w:val="single"/>
          <w:lang w:bidi="ar"/>
        </w:rPr>
        <w:t xml:space="preserve">                   </w:t>
      </w:r>
    </w:p>
    <w:p w14:paraId="1FF42060">
      <w:pPr>
        <w:tabs>
          <w:tab w:val="left" w:pos="7380"/>
        </w:tabs>
        <w:spacing w:line="360" w:lineRule="auto"/>
        <w:rPr>
          <w:rFonts w:ascii="宋体" w:hAnsi="Times New Roman" w:eastAsia="宋体" w:cs="宋体"/>
          <w:b/>
          <w:bCs/>
          <w:color w:val="auto"/>
          <w:sz w:val="44"/>
        </w:rPr>
      </w:pPr>
    </w:p>
    <w:p w14:paraId="43FCC841">
      <w:pPr>
        <w:tabs>
          <w:tab w:val="left" w:pos="7380"/>
        </w:tabs>
        <w:spacing w:line="360" w:lineRule="auto"/>
        <w:rPr>
          <w:rFonts w:ascii="宋体" w:hAnsi="Times New Roman" w:eastAsia="宋体" w:cs="宋体"/>
          <w:b/>
          <w:bCs/>
          <w:color w:val="auto"/>
          <w:sz w:val="44"/>
        </w:rPr>
      </w:pPr>
    </w:p>
    <w:p w14:paraId="1765D641">
      <w:pPr>
        <w:tabs>
          <w:tab w:val="left" w:pos="7380"/>
        </w:tabs>
        <w:spacing w:line="360" w:lineRule="auto"/>
        <w:rPr>
          <w:rFonts w:ascii="宋体" w:hAnsi="Times New Roman" w:eastAsia="宋体" w:cs="宋体"/>
          <w:b/>
          <w:bCs/>
          <w:color w:val="auto"/>
          <w:sz w:val="44"/>
        </w:rPr>
      </w:pPr>
    </w:p>
    <w:p w14:paraId="4260786D">
      <w:pPr>
        <w:tabs>
          <w:tab w:val="left" w:pos="7380"/>
        </w:tabs>
        <w:spacing w:line="360" w:lineRule="auto"/>
        <w:ind w:firstLine="3360" w:firstLineChars="1400"/>
        <w:rPr>
          <w:rFonts w:hint="eastAsia" w:ascii="仿宋_GB2312" w:hAnsi="楷体" w:eastAsia="仿宋_GB2312" w:cs="仿宋_GB2312"/>
          <w:color w:val="auto"/>
          <w:sz w:val="24"/>
          <w:lang w:val="zh-CN"/>
        </w:rPr>
      </w:pPr>
      <w:r>
        <w:rPr>
          <w:rFonts w:hint="eastAsia" w:ascii="仿宋_GB2312" w:hAnsi="楷体" w:eastAsia="仿宋_GB2312" w:cs="仿宋_GB2312"/>
          <w:color w:val="auto"/>
          <w:sz w:val="24"/>
          <w:lang w:val="zh-CN" w:bidi="ar"/>
        </w:rPr>
        <w:t>签订时间：</w:t>
      </w:r>
      <w:r>
        <w:rPr>
          <w:rFonts w:hint="eastAsia" w:ascii="仿宋_GB2312" w:hAnsi="楷体" w:eastAsia="仿宋_GB2312" w:cs="仿宋_GB2312"/>
          <w:color w:val="auto"/>
          <w:sz w:val="24"/>
          <w:u w:val="single"/>
          <w:lang w:val="zh-CN" w:bidi="ar"/>
        </w:rPr>
        <w:t xml:space="preserve">     </w:t>
      </w:r>
      <w:r>
        <w:rPr>
          <w:rFonts w:hint="eastAsia" w:ascii="仿宋_GB2312" w:hAnsi="楷体" w:eastAsia="仿宋_GB2312" w:cs="仿宋_GB2312"/>
          <w:color w:val="auto"/>
          <w:sz w:val="24"/>
          <w:lang w:val="zh-CN" w:bidi="ar"/>
        </w:rPr>
        <w:t>年</w:t>
      </w:r>
      <w:r>
        <w:rPr>
          <w:rFonts w:hint="eastAsia" w:ascii="仿宋_GB2312" w:hAnsi="楷体" w:eastAsia="仿宋_GB2312" w:cs="仿宋_GB2312"/>
          <w:color w:val="auto"/>
          <w:sz w:val="24"/>
          <w:u w:val="single"/>
          <w:lang w:val="zh-CN" w:bidi="ar"/>
        </w:rPr>
        <w:t xml:space="preserve">    </w:t>
      </w:r>
      <w:r>
        <w:rPr>
          <w:rFonts w:hint="eastAsia" w:ascii="仿宋_GB2312" w:hAnsi="楷体" w:eastAsia="仿宋_GB2312" w:cs="仿宋_GB2312"/>
          <w:color w:val="auto"/>
          <w:sz w:val="24"/>
          <w:lang w:val="zh-CN" w:bidi="ar"/>
        </w:rPr>
        <w:t>月</w:t>
      </w:r>
      <w:r>
        <w:rPr>
          <w:rFonts w:hint="eastAsia" w:ascii="仿宋_GB2312" w:hAnsi="楷体" w:eastAsia="仿宋_GB2312" w:cs="仿宋_GB2312"/>
          <w:color w:val="auto"/>
          <w:sz w:val="24"/>
          <w:u w:val="single"/>
          <w:lang w:val="zh-CN" w:bidi="ar"/>
        </w:rPr>
        <w:t xml:space="preserve">    </w:t>
      </w:r>
      <w:r>
        <w:rPr>
          <w:rFonts w:hint="eastAsia" w:ascii="仿宋_GB2312" w:hAnsi="楷体" w:eastAsia="仿宋_GB2312" w:cs="仿宋_GB2312"/>
          <w:color w:val="auto"/>
          <w:sz w:val="24"/>
          <w:lang w:val="zh-CN" w:bidi="ar"/>
        </w:rPr>
        <w:t>日</w:t>
      </w:r>
    </w:p>
    <w:p w14:paraId="476FE948">
      <w:pPr>
        <w:rPr>
          <w:rFonts w:hint="eastAsia" w:ascii="宋体" w:hAnsi="宋体" w:eastAsia="宋体" w:cs="仿宋_GB2312"/>
          <w:b/>
          <w:color w:val="auto"/>
          <w:sz w:val="44"/>
          <w:szCs w:val="44"/>
        </w:rPr>
      </w:pPr>
      <w:r>
        <w:rPr>
          <w:rFonts w:hint="eastAsia" w:ascii="宋体" w:hAnsi="Times New Roman" w:eastAsia="宋体" w:cs="Times New Roman"/>
          <w:b/>
          <w:bCs/>
          <w:color w:val="auto"/>
          <w:sz w:val="44"/>
          <w:lang w:bidi="ar"/>
        </w:rPr>
        <w:br w:type="page"/>
      </w:r>
    </w:p>
    <w:p w14:paraId="369678D0">
      <w:pPr>
        <w:spacing w:before="316" w:line="225" w:lineRule="auto"/>
        <w:ind w:left="2858"/>
        <w:outlineLvl w:val="1"/>
        <w:rPr>
          <w:rFonts w:ascii="宋体" w:hAnsi="宋体" w:eastAsia="宋体" w:cs="宋体"/>
          <w:color w:val="auto"/>
          <w:sz w:val="31"/>
          <w:szCs w:val="31"/>
        </w:rPr>
      </w:pPr>
      <w:r>
        <w:rPr>
          <w:rFonts w:ascii="宋体" w:hAnsi="宋体" w:eastAsia="宋体" w:cs="宋体"/>
          <w:b/>
          <w:bCs/>
          <w:color w:val="auto"/>
          <w:spacing w:val="6"/>
          <w:sz w:val="31"/>
          <w:szCs w:val="31"/>
        </w:rPr>
        <w:t>第一部分</w:t>
      </w:r>
      <w:r>
        <w:rPr>
          <w:rFonts w:ascii="宋体" w:hAnsi="宋体" w:eastAsia="宋体" w:cs="宋体"/>
          <w:color w:val="auto"/>
          <w:spacing w:val="6"/>
          <w:sz w:val="31"/>
          <w:szCs w:val="31"/>
        </w:rPr>
        <w:t xml:space="preserve"> </w:t>
      </w:r>
      <w:r>
        <w:rPr>
          <w:rFonts w:ascii="宋体" w:hAnsi="宋体" w:eastAsia="宋体" w:cs="宋体"/>
          <w:b/>
          <w:bCs/>
          <w:color w:val="auto"/>
          <w:spacing w:val="6"/>
          <w:sz w:val="31"/>
          <w:szCs w:val="31"/>
        </w:rPr>
        <w:t>通用合同条款</w:t>
      </w:r>
    </w:p>
    <w:p w14:paraId="71B52362">
      <w:pPr>
        <w:pStyle w:val="13"/>
        <w:spacing w:line="465" w:lineRule="auto"/>
        <w:rPr>
          <w:color w:val="auto"/>
        </w:rPr>
      </w:pPr>
    </w:p>
    <w:p w14:paraId="6E2E68E2">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lang w:eastAsia="zh-CN"/>
        </w:rPr>
      </w:pPr>
      <w:bookmarkStart w:id="151" w:name="bookmark882"/>
      <w:bookmarkStart w:id="152" w:name="_Toc8348"/>
      <w:bookmarkStart w:id="153" w:name="_Toc256000006"/>
      <w:bookmarkStart w:id="154" w:name="_Toc19504"/>
      <w:bookmarkStart w:id="155" w:name="bookmark883"/>
      <w:bookmarkStart w:id="156" w:name="bookmark881"/>
      <w:bookmarkStart w:id="157" w:name="_Toc29692"/>
      <w:r>
        <w:rPr>
          <w:rStyle w:val="31"/>
          <w:rFonts w:hint="eastAsia" w:ascii="宋体" w:hAnsi="宋体" w:eastAsia="宋体" w:cs="宋体"/>
          <w:color w:val="auto"/>
          <w:lang w:eastAsia="zh-CN"/>
        </w:rPr>
        <w:t>1. 一般约定</w:t>
      </w:r>
      <w:bookmarkEnd w:id="151"/>
      <w:bookmarkEnd w:id="152"/>
      <w:bookmarkEnd w:id="153"/>
      <w:bookmarkEnd w:id="154"/>
      <w:bookmarkEnd w:id="155"/>
      <w:bookmarkEnd w:id="156"/>
    </w:p>
    <w:p w14:paraId="44938EDA">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58" w:name="bookmark885"/>
      <w:bookmarkStart w:id="159" w:name="_Toc5974"/>
      <w:bookmarkStart w:id="160" w:name="bookmark884"/>
      <w:bookmarkStart w:id="161" w:name="bookmark886"/>
      <w:bookmarkStart w:id="162" w:name="_Toc13265"/>
      <w:bookmarkStart w:id="163" w:name="_Toc256000007"/>
      <w:r>
        <w:rPr>
          <w:rStyle w:val="31"/>
          <w:rFonts w:hint="eastAsia" w:ascii="宋体" w:hAnsi="宋体" w:eastAsia="宋体" w:cs="宋体"/>
          <w:color w:val="auto"/>
          <w:sz w:val="24"/>
          <w:szCs w:val="24"/>
          <w:lang w:eastAsia="zh-CN"/>
        </w:rPr>
        <w:t>1.1词语定义</w:t>
      </w:r>
      <w:bookmarkEnd w:id="158"/>
      <w:bookmarkEnd w:id="159"/>
      <w:bookmarkEnd w:id="160"/>
      <w:bookmarkEnd w:id="161"/>
      <w:bookmarkEnd w:id="162"/>
      <w:bookmarkEnd w:id="163"/>
    </w:p>
    <w:p w14:paraId="040A05E0">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rPr>
        <w:t>通用合同条款、专用合同条款中的下列词语应具有本款所赋予的含义。</w:t>
      </w:r>
    </w:p>
    <w:p w14:paraId="2569113E">
      <w:pPr>
        <w:pStyle w:val="96"/>
        <w:pageBreakBefore w:val="0"/>
        <w:widowControl w:val="0"/>
        <w:kinsoku/>
        <w:wordWrap/>
        <w:overflowPunct/>
        <w:topLinePunct w:val="0"/>
        <w:autoSpaceDE/>
        <w:autoSpaceDN/>
        <w:bidi w:val="0"/>
        <w:adjustRightInd/>
        <w:snapToGrid/>
        <w:spacing w:after="0" w:line="440" w:lineRule="exact"/>
        <w:ind w:left="0" w:leftChars="0"/>
        <w:jc w:val="both"/>
        <w:textAlignment w:val="auto"/>
        <w:rPr>
          <w:rStyle w:val="31"/>
          <w:rFonts w:hint="eastAsia" w:ascii="宋体" w:hAnsi="宋体" w:eastAsia="宋体" w:cs="宋体"/>
          <w:color w:val="auto"/>
          <w:lang w:eastAsia="zh-CN"/>
        </w:rPr>
      </w:pPr>
      <w:r>
        <w:rPr>
          <w:rStyle w:val="31"/>
          <w:rFonts w:hint="eastAsia" w:ascii="宋体" w:hAnsi="宋体" w:eastAsia="宋体" w:cs="宋体"/>
          <w:color w:val="auto"/>
          <w:lang w:eastAsia="zh-CN"/>
        </w:rPr>
        <w:t>1.1.</w:t>
      </w:r>
      <w:r>
        <w:rPr>
          <w:rStyle w:val="31"/>
          <w:rFonts w:hint="eastAsia" w:ascii="宋体" w:hAnsi="宋体" w:eastAsia="宋体" w:cs="宋体"/>
          <w:color w:val="auto"/>
          <w:lang w:val="zh-CN" w:eastAsia="zh-CN" w:bidi="zh-CN"/>
        </w:rPr>
        <w:t>1合同</w:t>
      </w:r>
    </w:p>
    <w:p w14:paraId="4E0991FB">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1.1.1.1</w:t>
      </w:r>
      <w:r>
        <w:rPr>
          <w:rStyle w:val="31"/>
          <w:rFonts w:hint="eastAsia" w:ascii="宋体" w:hAnsi="宋体" w:eastAsia="宋体" w:cs="宋体"/>
          <w:color w:val="auto"/>
        </w:rPr>
        <w:t>合同文件（或称合同）：指合同协议书、中标通知书、投标函及投标函附录、专用合同条款、通用合同条款、技术标准和要求、图纸、已标价工程量清单，以及其他合同文件。</w:t>
      </w:r>
    </w:p>
    <w:p w14:paraId="16C0287A">
      <w:pPr>
        <w:pStyle w:val="95"/>
        <w:pageBreakBefore w:val="0"/>
        <w:widowControl w:val="0"/>
        <w:tabs>
          <w:tab w:val="left" w:pos="944"/>
        </w:tabs>
        <w:kinsoku/>
        <w:wordWrap/>
        <w:overflowPunct/>
        <w:topLinePunct w:val="0"/>
        <w:autoSpaceDE/>
        <w:autoSpaceDN/>
        <w:bidi w:val="0"/>
        <w:adjustRightInd/>
        <w:snapToGrid/>
        <w:spacing w:line="440" w:lineRule="exact"/>
        <w:ind w:left="0" w:leftChars="0" w:firstLine="0"/>
        <w:textAlignment w:val="auto"/>
        <w:rPr>
          <w:rStyle w:val="31"/>
          <w:rFonts w:hint="eastAsia" w:ascii="宋体" w:hAnsi="宋体" w:eastAsia="宋体" w:cs="宋体"/>
          <w:color w:val="auto"/>
        </w:rPr>
      </w:pPr>
      <w:bookmarkStart w:id="164" w:name="bookmark887"/>
      <w:bookmarkEnd w:id="164"/>
      <w:r>
        <w:rPr>
          <w:rStyle w:val="31"/>
          <w:rFonts w:hint="eastAsia" w:ascii="宋体" w:hAnsi="宋体" w:eastAsia="宋体" w:cs="宋体"/>
          <w:color w:val="auto"/>
          <w:lang w:val="en-US" w:bidi="en-US"/>
        </w:rPr>
        <w:t>1.1.1.</w:t>
      </w:r>
      <w:r>
        <w:rPr>
          <w:rStyle w:val="31"/>
          <w:rFonts w:hint="eastAsia" w:ascii="宋体" w:hAnsi="宋体" w:eastAsia="宋体" w:cs="宋体"/>
          <w:color w:val="auto"/>
        </w:rPr>
        <w:t>2合同协议书：指第</w:t>
      </w:r>
      <w:r>
        <w:rPr>
          <w:rStyle w:val="31"/>
          <w:rFonts w:hint="eastAsia" w:ascii="宋体" w:hAnsi="宋体" w:eastAsia="宋体" w:cs="宋体"/>
          <w:color w:val="auto"/>
          <w:lang w:val="en-US" w:bidi="en-US"/>
        </w:rPr>
        <w:t>1.5</w:t>
      </w:r>
      <w:r>
        <w:rPr>
          <w:rStyle w:val="31"/>
          <w:rFonts w:hint="eastAsia" w:ascii="宋体" w:hAnsi="宋体" w:eastAsia="宋体" w:cs="宋体"/>
          <w:color w:val="auto"/>
        </w:rPr>
        <w:t>款所指的合同协议书。</w:t>
      </w:r>
    </w:p>
    <w:p w14:paraId="4B55B795">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1.1.1.</w:t>
      </w:r>
      <w:r>
        <w:rPr>
          <w:rStyle w:val="31"/>
          <w:rFonts w:hint="eastAsia" w:ascii="宋体" w:hAnsi="宋体" w:eastAsia="宋体" w:cs="宋体"/>
          <w:color w:val="auto"/>
        </w:rPr>
        <w:t>3中标通知书：指发包人通知承包人中标的函件。</w:t>
      </w:r>
    </w:p>
    <w:p w14:paraId="0689A892">
      <w:pPr>
        <w:pStyle w:val="95"/>
        <w:pageBreakBefore w:val="0"/>
        <w:widowControl w:val="0"/>
        <w:tabs>
          <w:tab w:val="left" w:pos="944"/>
        </w:tabs>
        <w:kinsoku/>
        <w:wordWrap/>
        <w:overflowPunct/>
        <w:topLinePunct w:val="0"/>
        <w:autoSpaceDE/>
        <w:autoSpaceDN/>
        <w:bidi w:val="0"/>
        <w:adjustRightInd/>
        <w:snapToGrid/>
        <w:spacing w:line="440" w:lineRule="exact"/>
        <w:ind w:left="0" w:leftChars="0" w:firstLine="0"/>
        <w:textAlignment w:val="auto"/>
        <w:rPr>
          <w:rStyle w:val="31"/>
          <w:rFonts w:hint="eastAsia" w:ascii="宋体" w:hAnsi="宋体" w:eastAsia="宋体" w:cs="宋体"/>
          <w:color w:val="auto"/>
        </w:rPr>
      </w:pPr>
      <w:bookmarkStart w:id="165" w:name="bookmark888"/>
      <w:bookmarkEnd w:id="165"/>
      <w:r>
        <w:rPr>
          <w:rStyle w:val="31"/>
          <w:rFonts w:hint="eastAsia" w:ascii="宋体" w:hAnsi="宋体" w:eastAsia="宋体" w:cs="宋体"/>
          <w:color w:val="auto"/>
          <w:lang w:val="en-US" w:bidi="en-US"/>
        </w:rPr>
        <w:t>1.1.1.</w:t>
      </w:r>
      <w:r>
        <w:rPr>
          <w:rStyle w:val="31"/>
          <w:rFonts w:hint="eastAsia" w:ascii="宋体" w:hAnsi="宋体" w:eastAsia="宋体" w:cs="宋体"/>
          <w:color w:val="auto"/>
        </w:rPr>
        <w:t>4投标函：指构成合同文件组成部分的由承包人填写并签署的投标函。</w:t>
      </w:r>
    </w:p>
    <w:p w14:paraId="4BF09C11">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1.1.1.</w:t>
      </w:r>
      <w:r>
        <w:rPr>
          <w:rStyle w:val="31"/>
          <w:rFonts w:hint="eastAsia" w:ascii="宋体" w:hAnsi="宋体" w:eastAsia="宋体" w:cs="宋体"/>
          <w:color w:val="auto"/>
        </w:rPr>
        <w:t>5投标函附录：指附在投标函后构成合同文件的投标函附录。</w:t>
      </w:r>
    </w:p>
    <w:p w14:paraId="4CDFE2F1">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lang w:val="en-US" w:bidi="en-US"/>
        </w:rPr>
      </w:pPr>
      <w:bookmarkStart w:id="166" w:name="bookmark889"/>
      <w:bookmarkEnd w:id="166"/>
      <w:r>
        <w:rPr>
          <w:rStyle w:val="31"/>
          <w:rFonts w:hint="eastAsia" w:ascii="宋体" w:hAnsi="宋体" w:eastAsia="宋体" w:cs="宋体"/>
          <w:color w:val="auto"/>
          <w:lang w:val="en-US" w:bidi="en-US"/>
        </w:rPr>
        <w:t>1.1.1.6技术标准和要求：指构成合同文件组成部分的名为技术标准和要求（合同技术条款）的文件，包括合同双方当事人约定对其所做的修改或补充。</w:t>
      </w:r>
    </w:p>
    <w:p w14:paraId="23BA7B37">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lang w:val="en-US" w:bidi="en-US"/>
        </w:rPr>
      </w:pPr>
      <w:bookmarkStart w:id="167" w:name="bookmark890"/>
      <w:bookmarkEnd w:id="167"/>
      <w:r>
        <w:rPr>
          <w:rStyle w:val="31"/>
          <w:rFonts w:hint="eastAsia" w:ascii="宋体" w:hAnsi="宋体" w:eastAsia="宋体" w:cs="宋体"/>
          <w:color w:val="auto"/>
          <w:lang w:val="en-US" w:bidi="en-US"/>
        </w:rPr>
        <w:t>1.1.1.7图纸：指列入合同的招标图纸、投标图纸和发包人按合同约定向承包人提供 的施工图纸和其他图纸（包括配套说明和有关资料）。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14:paraId="33486F92">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1.1.1.</w:t>
      </w:r>
      <w:r>
        <w:rPr>
          <w:rStyle w:val="31"/>
          <w:rFonts w:hint="eastAsia" w:ascii="宋体" w:hAnsi="宋体" w:eastAsia="宋体" w:cs="宋体"/>
          <w:color w:val="auto"/>
        </w:rPr>
        <w:t>8已标价工程量清单：指构成合同文件组成部分的由承包人按照规定的格式和要求填写并标明价格的工程量清单。</w:t>
      </w:r>
    </w:p>
    <w:p w14:paraId="02D834EC">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1.1.1.</w:t>
      </w:r>
      <w:r>
        <w:rPr>
          <w:rStyle w:val="31"/>
          <w:rFonts w:hint="eastAsia" w:ascii="宋体" w:hAnsi="宋体" w:eastAsia="宋体" w:cs="宋体"/>
          <w:color w:val="auto"/>
        </w:rPr>
        <w:t>9其他合同文件：指经合同双方当事人确认构成合同文件的其他文件。</w:t>
      </w:r>
    </w:p>
    <w:p w14:paraId="5A157B24">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1.1.2</w:t>
      </w:r>
      <w:r>
        <w:rPr>
          <w:rStyle w:val="31"/>
          <w:rFonts w:hint="eastAsia" w:ascii="宋体" w:hAnsi="宋体" w:eastAsia="宋体" w:cs="宋体"/>
          <w:color w:val="auto"/>
        </w:rPr>
        <w:t>合同当事人和人员。</w:t>
      </w:r>
    </w:p>
    <w:p w14:paraId="388210B2">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1.1.2.1</w:t>
      </w:r>
      <w:r>
        <w:rPr>
          <w:rStyle w:val="31"/>
          <w:rFonts w:hint="eastAsia" w:ascii="宋体" w:hAnsi="宋体" w:eastAsia="宋体" w:cs="宋体"/>
          <w:color w:val="auto"/>
        </w:rPr>
        <w:t>合同当事人：指发包人和（或）承包人。</w:t>
      </w:r>
    </w:p>
    <w:p w14:paraId="7E7B3F53">
      <w:pPr>
        <w:pStyle w:val="95"/>
        <w:pageBreakBefore w:val="0"/>
        <w:widowControl w:val="0"/>
        <w:tabs>
          <w:tab w:val="left" w:pos="944"/>
        </w:tabs>
        <w:kinsoku/>
        <w:wordWrap/>
        <w:overflowPunct/>
        <w:topLinePunct w:val="0"/>
        <w:autoSpaceDE/>
        <w:autoSpaceDN/>
        <w:bidi w:val="0"/>
        <w:adjustRightInd/>
        <w:snapToGrid/>
        <w:spacing w:line="440" w:lineRule="exact"/>
        <w:ind w:left="0" w:leftChars="0" w:firstLine="0"/>
        <w:textAlignment w:val="auto"/>
        <w:rPr>
          <w:rStyle w:val="31"/>
          <w:rFonts w:hint="eastAsia" w:ascii="宋体" w:hAnsi="宋体" w:eastAsia="宋体" w:cs="宋体"/>
          <w:color w:val="auto"/>
        </w:rPr>
      </w:pPr>
      <w:bookmarkStart w:id="168" w:name="bookmark891"/>
      <w:bookmarkEnd w:id="168"/>
      <w:r>
        <w:rPr>
          <w:rStyle w:val="31"/>
          <w:rFonts w:hint="eastAsia" w:ascii="宋体" w:hAnsi="宋体" w:eastAsia="宋体" w:cs="宋体"/>
          <w:color w:val="auto"/>
          <w:lang w:val="en-US" w:bidi="en-US"/>
        </w:rPr>
        <w:t>1.1.2.2</w:t>
      </w:r>
      <w:r>
        <w:rPr>
          <w:rStyle w:val="31"/>
          <w:rFonts w:hint="eastAsia" w:ascii="宋体" w:hAnsi="宋体" w:eastAsia="宋体" w:cs="宋体"/>
          <w:color w:val="auto"/>
        </w:rPr>
        <w:t>发包人：指专用合同条款中指明并与承包人在合同协议书中签字的当事人。</w:t>
      </w:r>
    </w:p>
    <w:p w14:paraId="1C83B402">
      <w:pPr>
        <w:pStyle w:val="95"/>
        <w:pageBreakBefore w:val="0"/>
        <w:widowControl w:val="0"/>
        <w:tabs>
          <w:tab w:val="left" w:pos="944"/>
        </w:tabs>
        <w:kinsoku/>
        <w:wordWrap/>
        <w:overflowPunct/>
        <w:topLinePunct w:val="0"/>
        <w:autoSpaceDE/>
        <w:autoSpaceDN/>
        <w:bidi w:val="0"/>
        <w:adjustRightInd/>
        <w:snapToGrid/>
        <w:spacing w:line="440" w:lineRule="exact"/>
        <w:ind w:left="0" w:leftChars="0" w:firstLine="0"/>
        <w:textAlignment w:val="auto"/>
        <w:rPr>
          <w:rStyle w:val="31"/>
          <w:rFonts w:hint="eastAsia" w:ascii="宋体" w:hAnsi="宋体" w:eastAsia="宋体" w:cs="宋体"/>
          <w:color w:val="auto"/>
        </w:rPr>
      </w:pPr>
      <w:bookmarkStart w:id="169" w:name="bookmark892"/>
      <w:bookmarkEnd w:id="169"/>
      <w:r>
        <w:rPr>
          <w:rStyle w:val="31"/>
          <w:rFonts w:hint="eastAsia" w:ascii="宋体" w:hAnsi="宋体" w:eastAsia="宋体" w:cs="宋体"/>
          <w:color w:val="auto"/>
          <w:lang w:val="en-US" w:bidi="en-US"/>
        </w:rPr>
        <w:t>1.1.2.3</w:t>
      </w:r>
      <w:r>
        <w:rPr>
          <w:rStyle w:val="31"/>
          <w:rFonts w:hint="eastAsia" w:ascii="宋体" w:hAnsi="宋体" w:eastAsia="宋体" w:cs="宋体"/>
          <w:color w:val="auto"/>
        </w:rPr>
        <w:t>承包人：指专用合同条款中指明并与发包人在合同协议书中签字的当事人。</w:t>
      </w:r>
    </w:p>
    <w:p w14:paraId="49DC36FF">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1.1.2.4</w:t>
      </w:r>
      <w:r>
        <w:rPr>
          <w:rStyle w:val="31"/>
          <w:rFonts w:hint="eastAsia" w:ascii="宋体" w:hAnsi="宋体" w:eastAsia="宋体" w:cs="宋体"/>
          <w:color w:val="auto"/>
        </w:rPr>
        <w:t>承包人项目经理：指承包人派驻施工场地的全权负责人。</w:t>
      </w:r>
    </w:p>
    <w:p w14:paraId="09299534">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1.1.2.5</w:t>
      </w:r>
      <w:r>
        <w:rPr>
          <w:rStyle w:val="31"/>
          <w:rFonts w:hint="eastAsia" w:ascii="宋体" w:hAnsi="宋体" w:eastAsia="宋体" w:cs="宋体"/>
          <w:color w:val="auto"/>
        </w:rPr>
        <w:t>分包人：指专用合同条款中指明的，从承包人处分包合同中某一部分工程, 并与其签订分包合同的分包人。</w:t>
      </w:r>
    </w:p>
    <w:p w14:paraId="200471AB">
      <w:pPr>
        <w:pStyle w:val="95"/>
        <w:pageBreakBefore w:val="0"/>
        <w:widowControl w:val="0"/>
        <w:tabs>
          <w:tab w:val="left" w:pos="951"/>
        </w:tabs>
        <w:kinsoku/>
        <w:wordWrap/>
        <w:overflowPunct/>
        <w:topLinePunct w:val="0"/>
        <w:autoSpaceDE/>
        <w:autoSpaceDN/>
        <w:bidi w:val="0"/>
        <w:adjustRightInd/>
        <w:snapToGrid/>
        <w:spacing w:line="440" w:lineRule="exact"/>
        <w:ind w:left="0" w:leftChars="0" w:firstLine="0"/>
        <w:jc w:val="both"/>
        <w:textAlignment w:val="auto"/>
        <w:rPr>
          <w:rStyle w:val="31"/>
          <w:rFonts w:hint="eastAsia" w:ascii="宋体" w:hAnsi="宋体" w:eastAsia="宋体" w:cs="宋体"/>
          <w:color w:val="auto"/>
        </w:rPr>
      </w:pPr>
      <w:bookmarkStart w:id="170" w:name="bookmark893"/>
      <w:bookmarkEnd w:id="170"/>
      <w:r>
        <w:rPr>
          <w:rStyle w:val="31"/>
          <w:rFonts w:hint="eastAsia" w:ascii="宋体" w:hAnsi="宋体" w:eastAsia="宋体" w:cs="宋体"/>
          <w:color w:val="auto"/>
          <w:lang w:val="en-US" w:bidi="en-US"/>
        </w:rPr>
        <w:t xml:space="preserve">1.1.2.6  </w:t>
      </w:r>
      <w:r>
        <w:rPr>
          <w:rStyle w:val="31"/>
          <w:rFonts w:hint="eastAsia" w:ascii="宋体" w:hAnsi="宋体" w:eastAsia="宋体" w:cs="宋体"/>
          <w:color w:val="auto"/>
        </w:rPr>
        <w:t>监理人：指在专用合同条款中指明的，受发包人委托对合同履行实施管理的 法人或其他组织。</w:t>
      </w:r>
    </w:p>
    <w:p w14:paraId="4DE324FE">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1.1.2.</w:t>
      </w:r>
      <w:r>
        <w:rPr>
          <w:rStyle w:val="31"/>
          <w:rFonts w:hint="eastAsia" w:ascii="宋体" w:hAnsi="宋体" w:eastAsia="宋体" w:cs="宋体"/>
          <w:color w:val="auto"/>
        </w:rPr>
        <w:t>7总监理工程师（总监）:指由监理人委派常驻施工场地对合同履行实施管理的全权负责人。</w:t>
      </w:r>
    </w:p>
    <w:p w14:paraId="48590628">
      <w:pPr>
        <w:pStyle w:val="96"/>
        <w:pageBreakBefore w:val="0"/>
        <w:widowControl w:val="0"/>
        <w:kinsoku/>
        <w:wordWrap/>
        <w:overflowPunct/>
        <w:topLinePunct w:val="0"/>
        <w:autoSpaceDE/>
        <w:autoSpaceDN/>
        <w:bidi w:val="0"/>
        <w:adjustRightInd/>
        <w:snapToGrid/>
        <w:spacing w:after="0" w:line="440" w:lineRule="exact"/>
        <w:ind w:left="0" w:leftChars="0"/>
        <w:jc w:val="both"/>
        <w:textAlignment w:val="auto"/>
        <w:rPr>
          <w:rStyle w:val="31"/>
          <w:rFonts w:hint="eastAsia" w:ascii="宋体" w:hAnsi="宋体" w:eastAsia="宋体" w:cs="宋体"/>
          <w:color w:val="auto"/>
          <w:lang w:eastAsia="zh-CN"/>
        </w:rPr>
      </w:pPr>
      <w:r>
        <w:rPr>
          <w:rStyle w:val="31"/>
          <w:rFonts w:hint="eastAsia" w:ascii="宋体" w:hAnsi="宋体" w:eastAsia="宋体" w:cs="宋体"/>
          <w:color w:val="auto"/>
          <w:lang w:eastAsia="zh-CN"/>
        </w:rPr>
        <w:t>1.1.</w:t>
      </w:r>
      <w:r>
        <w:rPr>
          <w:rStyle w:val="31"/>
          <w:rFonts w:hint="eastAsia" w:ascii="宋体" w:hAnsi="宋体" w:eastAsia="宋体" w:cs="宋体"/>
          <w:color w:val="auto"/>
          <w:lang w:val="zh-CN" w:eastAsia="zh-CN" w:bidi="zh-CN"/>
        </w:rPr>
        <w:t>3工程和设备</w:t>
      </w:r>
    </w:p>
    <w:p w14:paraId="20359D76">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1.1.3.</w:t>
      </w:r>
      <w:r>
        <w:rPr>
          <w:rStyle w:val="31"/>
          <w:rFonts w:hint="eastAsia" w:ascii="宋体" w:hAnsi="宋体" w:eastAsia="宋体" w:cs="宋体"/>
          <w:color w:val="auto"/>
        </w:rPr>
        <w:t>1工程：指永久工程和（或）临时工程。</w:t>
      </w:r>
    </w:p>
    <w:p w14:paraId="19D0D933">
      <w:pPr>
        <w:pStyle w:val="95"/>
        <w:pageBreakBefore w:val="0"/>
        <w:widowControl w:val="0"/>
        <w:tabs>
          <w:tab w:val="left" w:pos="944"/>
        </w:tabs>
        <w:kinsoku/>
        <w:wordWrap/>
        <w:overflowPunct/>
        <w:topLinePunct w:val="0"/>
        <w:autoSpaceDE/>
        <w:autoSpaceDN/>
        <w:bidi w:val="0"/>
        <w:adjustRightInd/>
        <w:snapToGrid/>
        <w:spacing w:line="440" w:lineRule="exact"/>
        <w:ind w:left="0" w:leftChars="0" w:firstLine="0"/>
        <w:jc w:val="both"/>
        <w:textAlignment w:val="auto"/>
        <w:rPr>
          <w:rStyle w:val="31"/>
          <w:rFonts w:hint="eastAsia" w:ascii="宋体" w:hAnsi="宋体" w:eastAsia="宋体" w:cs="宋体"/>
          <w:color w:val="auto"/>
        </w:rPr>
      </w:pPr>
      <w:bookmarkStart w:id="171" w:name="bookmark894"/>
      <w:bookmarkEnd w:id="171"/>
      <w:r>
        <w:rPr>
          <w:rStyle w:val="31"/>
          <w:rFonts w:hint="eastAsia" w:ascii="宋体" w:hAnsi="宋体" w:eastAsia="宋体" w:cs="宋体"/>
          <w:color w:val="auto"/>
          <w:lang w:val="en-US" w:bidi="en-US"/>
        </w:rPr>
        <w:t>1.1.3.</w:t>
      </w:r>
      <w:r>
        <w:rPr>
          <w:rStyle w:val="31"/>
          <w:rFonts w:hint="eastAsia" w:ascii="宋体" w:hAnsi="宋体" w:eastAsia="宋体" w:cs="宋体"/>
          <w:color w:val="auto"/>
        </w:rPr>
        <w:t>2永久工程：指按合同约定建造并移交给发包人的工程，包括工程设备。</w:t>
      </w:r>
    </w:p>
    <w:p w14:paraId="6FE2727E">
      <w:pPr>
        <w:pStyle w:val="95"/>
        <w:pageBreakBefore w:val="0"/>
        <w:widowControl w:val="0"/>
        <w:tabs>
          <w:tab w:val="left" w:pos="954"/>
        </w:tabs>
        <w:kinsoku/>
        <w:wordWrap/>
        <w:overflowPunct/>
        <w:topLinePunct w:val="0"/>
        <w:autoSpaceDE/>
        <w:autoSpaceDN/>
        <w:bidi w:val="0"/>
        <w:adjustRightInd/>
        <w:snapToGrid/>
        <w:spacing w:line="440" w:lineRule="exact"/>
        <w:ind w:left="0" w:leftChars="0" w:firstLine="426" w:firstLineChars="213"/>
        <w:jc w:val="both"/>
        <w:textAlignment w:val="auto"/>
        <w:rPr>
          <w:rStyle w:val="31"/>
          <w:rFonts w:hint="eastAsia" w:ascii="宋体" w:hAnsi="宋体" w:eastAsia="宋体" w:cs="宋体"/>
          <w:color w:val="auto"/>
        </w:rPr>
      </w:pPr>
      <w:bookmarkStart w:id="172" w:name="bookmark895"/>
      <w:bookmarkEnd w:id="172"/>
      <w:r>
        <w:rPr>
          <w:rStyle w:val="31"/>
          <w:rFonts w:hint="eastAsia" w:ascii="宋体" w:hAnsi="宋体" w:eastAsia="宋体" w:cs="宋体"/>
          <w:color w:val="auto"/>
          <w:lang w:val="en-US" w:bidi="en-US"/>
        </w:rPr>
        <w:t>1.1.3.</w:t>
      </w:r>
      <w:r>
        <w:rPr>
          <w:rStyle w:val="31"/>
          <w:rFonts w:hint="eastAsia" w:ascii="宋体" w:hAnsi="宋体" w:eastAsia="宋体" w:cs="宋体"/>
          <w:color w:val="auto"/>
        </w:rPr>
        <w:t>3临时工程：指为完成合同约定的永久工程所修建的各类临时性工程，不包括施工设备。</w:t>
      </w:r>
    </w:p>
    <w:p w14:paraId="16277AE6">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1.1.3.</w:t>
      </w:r>
      <w:r>
        <w:rPr>
          <w:rStyle w:val="31"/>
          <w:rFonts w:hint="eastAsia" w:ascii="宋体" w:hAnsi="宋体" w:eastAsia="宋体" w:cs="宋体"/>
          <w:color w:val="auto"/>
        </w:rPr>
        <w:t>4单位工程：指专用合同条款中指明特定范围的永久工程。</w:t>
      </w:r>
    </w:p>
    <w:p w14:paraId="2B56B58D">
      <w:pPr>
        <w:pStyle w:val="95"/>
        <w:pageBreakBefore w:val="0"/>
        <w:widowControl w:val="0"/>
        <w:tabs>
          <w:tab w:val="left" w:pos="951"/>
        </w:tabs>
        <w:kinsoku/>
        <w:wordWrap/>
        <w:overflowPunct/>
        <w:topLinePunct w:val="0"/>
        <w:autoSpaceDE/>
        <w:autoSpaceDN/>
        <w:bidi w:val="0"/>
        <w:adjustRightInd/>
        <w:snapToGrid/>
        <w:spacing w:line="440" w:lineRule="exact"/>
        <w:ind w:left="0" w:leftChars="0" w:firstLine="426" w:firstLineChars="213"/>
        <w:jc w:val="both"/>
        <w:textAlignment w:val="auto"/>
        <w:rPr>
          <w:rStyle w:val="31"/>
          <w:rFonts w:hint="eastAsia" w:ascii="宋体" w:hAnsi="宋体" w:eastAsia="宋体" w:cs="宋体"/>
          <w:color w:val="auto"/>
        </w:rPr>
      </w:pPr>
      <w:bookmarkStart w:id="173" w:name="bookmark896"/>
      <w:bookmarkEnd w:id="173"/>
      <w:r>
        <w:rPr>
          <w:rStyle w:val="31"/>
          <w:rFonts w:hint="eastAsia" w:ascii="宋体" w:hAnsi="宋体" w:eastAsia="宋体" w:cs="宋体"/>
          <w:color w:val="auto"/>
          <w:lang w:val="en-US" w:bidi="en-US"/>
        </w:rPr>
        <w:t>1.1.3.</w:t>
      </w:r>
      <w:r>
        <w:rPr>
          <w:rStyle w:val="31"/>
          <w:rFonts w:hint="eastAsia" w:ascii="宋体" w:hAnsi="宋体" w:eastAsia="宋体" w:cs="宋体"/>
          <w:color w:val="auto"/>
        </w:rPr>
        <w:t>5工程设备：指构成或计划构成永久工程一部分的机电设备、金属结构设备、仪器装置及其他类似的设备和装置。</w:t>
      </w:r>
    </w:p>
    <w:p w14:paraId="0C8B6568">
      <w:pPr>
        <w:pStyle w:val="95"/>
        <w:pageBreakBefore w:val="0"/>
        <w:widowControl w:val="0"/>
        <w:tabs>
          <w:tab w:val="left" w:pos="954"/>
        </w:tabs>
        <w:kinsoku/>
        <w:wordWrap/>
        <w:overflowPunct/>
        <w:topLinePunct w:val="0"/>
        <w:autoSpaceDE/>
        <w:autoSpaceDN/>
        <w:bidi w:val="0"/>
        <w:adjustRightInd/>
        <w:snapToGrid/>
        <w:spacing w:line="440" w:lineRule="exact"/>
        <w:ind w:left="0" w:leftChars="0" w:firstLine="426" w:firstLineChars="213"/>
        <w:jc w:val="both"/>
        <w:textAlignment w:val="auto"/>
        <w:rPr>
          <w:rStyle w:val="31"/>
          <w:rFonts w:hint="eastAsia" w:ascii="宋体" w:hAnsi="宋体" w:eastAsia="宋体" w:cs="宋体"/>
          <w:color w:val="auto"/>
        </w:rPr>
      </w:pPr>
      <w:bookmarkStart w:id="174" w:name="bookmark897"/>
      <w:bookmarkEnd w:id="174"/>
      <w:r>
        <w:rPr>
          <w:rStyle w:val="31"/>
          <w:rFonts w:hint="eastAsia" w:ascii="宋体" w:hAnsi="宋体" w:eastAsia="宋体" w:cs="宋体"/>
          <w:color w:val="auto"/>
          <w:lang w:val="en-US" w:bidi="en-US"/>
        </w:rPr>
        <w:t>1.1.3.</w:t>
      </w:r>
      <w:r>
        <w:rPr>
          <w:rStyle w:val="31"/>
          <w:rFonts w:hint="eastAsia" w:ascii="宋体" w:hAnsi="宋体" w:eastAsia="宋体" w:cs="宋体"/>
          <w:color w:val="auto"/>
        </w:rPr>
        <w:t>6施工设备：指为完成合同约定的各项工作所需的设备、器具和其他物品，不包括临时工程和材料。</w:t>
      </w:r>
    </w:p>
    <w:p w14:paraId="0ED0C9F5">
      <w:pPr>
        <w:pStyle w:val="95"/>
        <w:pageBreakBefore w:val="0"/>
        <w:widowControl w:val="0"/>
        <w:tabs>
          <w:tab w:val="left" w:pos="944"/>
        </w:tabs>
        <w:kinsoku/>
        <w:wordWrap/>
        <w:overflowPunct/>
        <w:topLinePunct w:val="0"/>
        <w:autoSpaceDE/>
        <w:autoSpaceDN/>
        <w:bidi w:val="0"/>
        <w:adjustRightInd/>
        <w:snapToGrid/>
        <w:spacing w:line="440" w:lineRule="exact"/>
        <w:ind w:left="0" w:leftChars="0" w:firstLine="0"/>
        <w:jc w:val="both"/>
        <w:textAlignment w:val="auto"/>
        <w:rPr>
          <w:rStyle w:val="31"/>
          <w:rFonts w:hint="eastAsia" w:ascii="宋体" w:hAnsi="宋体" w:eastAsia="宋体" w:cs="宋体"/>
          <w:color w:val="auto"/>
        </w:rPr>
      </w:pPr>
      <w:bookmarkStart w:id="175" w:name="bookmark898"/>
      <w:bookmarkEnd w:id="175"/>
      <w:r>
        <w:rPr>
          <w:rStyle w:val="31"/>
          <w:rFonts w:hint="eastAsia" w:ascii="宋体" w:hAnsi="宋体" w:eastAsia="宋体" w:cs="宋体"/>
          <w:color w:val="auto"/>
          <w:lang w:val="en-US" w:bidi="en-US"/>
        </w:rPr>
        <w:t>1.1.3.7</w:t>
      </w:r>
      <w:r>
        <w:rPr>
          <w:rStyle w:val="31"/>
          <w:rFonts w:hint="eastAsia" w:ascii="宋体" w:hAnsi="宋体" w:eastAsia="宋体" w:cs="宋体"/>
          <w:color w:val="auto"/>
        </w:rPr>
        <w:t>临时设施：指为完成合同约定的各项工作所服务的临时性生产和生活设施。</w:t>
      </w:r>
    </w:p>
    <w:p w14:paraId="67CDBF1E">
      <w:pPr>
        <w:pStyle w:val="95"/>
        <w:pageBreakBefore w:val="0"/>
        <w:widowControl w:val="0"/>
        <w:tabs>
          <w:tab w:val="left" w:pos="954"/>
        </w:tabs>
        <w:kinsoku/>
        <w:wordWrap/>
        <w:overflowPunct/>
        <w:topLinePunct w:val="0"/>
        <w:autoSpaceDE/>
        <w:autoSpaceDN/>
        <w:bidi w:val="0"/>
        <w:adjustRightInd/>
        <w:snapToGrid/>
        <w:spacing w:line="440" w:lineRule="exact"/>
        <w:ind w:left="0" w:leftChars="0" w:firstLine="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1.1.3.8</w:t>
      </w:r>
      <w:r>
        <w:rPr>
          <w:rStyle w:val="31"/>
          <w:rFonts w:hint="eastAsia" w:ascii="宋体" w:hAnsi="宋体" w:eastAsia="宋体" w:cs="宋体"/>
          <w:color w:val="auto"/>
        </w:rPr>
        <w:t>承包人设备：指承包人自带的施工设备。</w:t>
      </w:r>
    </w:p>
    <w:p w14:paraId="39019F2F">
      <w:pPr>
        <w:pStyle w:val="95"/>
        <w:pageBreakBefore w:val="0"/>
        <w:widowControl w:val="0"/>
        <w:tabs>
          <w:tab w:val="left" w:pos="954"/>
        </w:tabs>
        <w:kinsoku/>
        <w:wordWrap/>
        <w:overflowPunct/>
        <w:topLinePunct w:val="0"/>
        <w:autoSpaceDE/>
        <w:autoSpaceDN/>
        <w:bidi w:val="0"/>
        <w:adjustRightInd/>
        <w:snapToGrid/>
        <w:spacing w:line="440" w:lineRule="exact"/>
        <w:ind w:left="0" w:leftChars="0" w:firstLine="426" w:firstLineChars="213"/>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1.1.3.9</w:t>
      </w:r>
      <w:r>
        <w:rPr>
          <w:rStyle w:val="31"/>
          <w:rFonts w:hint="eastAsia" w:ascii="宋体" w:hAnsi="宋体" w:eastAsia="宋体" w:cs="宋体"/>
          <w:color w:val="auto"/>
        </w:rPr>
        <w:t>施工场地（或称工地、现场）：指用于合同工程施工的场所，以及在合同中指定作为施工场地组成部分的其他场所，包括永久占地和临时占地。</w:t>
      </w:r>
    </w:p>
    <w:p w14:paraId="7AF5999C">
      <w:pPr>
        <w:pStyle w:val="95"/>
        <w:pageBreakBefore w:val="0"/>
        <w:widowControl w:val="0"/>
        <w:tabs>
          <w:tab w:val="left" w:pos="951"/>
        </w:tabs>
        <w:kinsoku/>
        <w:wordWrap/>
        <w:overflowPunct/>
        <w:topLinePunct w:val="0"/>
        <w:autoSpaceDE/>
        <w:autoSpaceDN/>
        <w:bidi w:val="0"/>
        <w:adjustRightInd/>
        <w:snapToGrid/>
        <w:spacing w:line="440" w:lineRule="exact"/>
        <w:ind w:left="0" w:leftChars="0" w:firstLine="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1.1.3.10</w:t>
      </w:r>
      <w:r>
        <w:rPr>
          <w:rStyle w:val="31"/>
          <w:rFonts w:hint="eastAsia" w:ascii="宋体" w:hAnsi="宋体" w:eastAsia="宋体" w:cs="宋体"/>
          <w:color w:val="auto"/>
        </w:rPr>
        <w:t>永久占地：指发包人为建设本合同工程永久征用的场地。</w:t>
      </w:r>
    </w:p>
    <w:p w14:paraId="614AAC66">
      <w:pPr>
        <w:pStyle w:val="95"/>
        <w:pageBreakBefore w:val="0"/>
        <w:widowControl w:val="0"/>
        <w:tabs>
          <w:tab w:val="left" w:pos="951"/>
        </w:tabs>
        <w:kinsoku/>
        <w:wordWrap/>
        <w:overflowPunct/>
        <w:topLinePunct w:val="0"/>
        <w:autoSpaceDE/>
        <w:autoSpaceDN/>
        <w:bidi w:val="0"/>
        <w:adjustRightInd/>
        <w:snapToGrid/>
        <w:spacing w:line="440" w:lineRule="exact"/>
        <w:ind w:left="0" w:leftChars="0" w:firstLine="426" w:firstLineChars="213"/>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1.1.3.11</w:t>
      </w:r>
      <w:r>
        <w:rPr>
          <w:rStyle w:val="31"/>
          <w:rFonts w:hint="eastAsia" w:ascii="宋体" w:hAnsi="宋体" w:eastAsia="宋体" w:cs="宋体"/>
          <w:color w:val="auto"/>
        </w:rPr>
        <w:t>临时占地：指发包人为建设本合同工程临时征用，并应在完工后须按合同 要求退还的场地。</w:t>
      </w:r>
    </w:p>
    <w:p w14:paraId="1458E679">
      <w:pPr>
        <w:pStyle w:val="96"/>
        <w:pageBreakBefore w:val="0"/>
        <w:widowControl w:val="0"/>
        <w:kinsoku/>
        <w:wordWrap/>
        <w:overflowPunct/>
        <w:topLinePunct w:val="0"/>
        <w:autoSpaceDE/>
        <w:autoSpaceDN/>
        <w:bidi w:val="0"/>
        <w:adjustRightInd/>
        <w:snapToGrid/>
        <w:spacing w:after="0" w:line="440" w:lineRule="exact"/>
        <w:ind w:left="0" w:leftChars="0"/>
        <w:jc w:val="both"/>
        <w:textAlignment w:val="auto"/>
        <w:rPr>
          <w:rStyle w:val="31"/>
          <w:rFonts w:hint="eastAsia" w:ascii="宋体" w:hAnsi="宋体" w:eastAsia="宋体" w:cs="宋体"/>
          <w:color w:val="auto"/>
          <w:lang w:eastAsia="zh-CN"/>
        </w:rPr>
      </w:pPr>
      <w:r>
        <w:rPr>
          <w:rStyle w:val="31"/>
          <w:rFonts w:hint="eastAsia" w:ascii="宋体" w:hAnsi="宋体" w:eastAsia="宋体" w:cs="宋体"/>
          <w:color w:val="auto"/>
          <w:lang w:eastAsia="zh-CN"/>
        </w:rPr>
        <w:t>1.1.4</w:t>
      </w:r>
      <w:r>
        <w:rPr>
          <w:rStyle w:val="31"/>
          <w:rFonts w:hint="eastAsia" w:ascii="宋体" w:hAnsi="宋体" w:eastAsia="宋体" w:cs="宋体"/>
          <w:color w:val="auto"/>
          <w:lang w:val="zh-CN" w:eastAsia="zh-CN" w:bidi="zh-CN"/>
        </w:rPr>
        <w:t>日期</w:t>
      </w:r>
    </w:p>
    <w:p w14:paraId="0CFBBFAF">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 xml:space="preserve">1.1.4. </w:t>
      </w:r>
      <w:r>
        <w:rPr>
          <w:rStyle w:val="31"/>
          <w:rFonts w:hint="eastAsia" w:ascii="宋体" w:hAnsi="宋体" w:eastAsia="宋体" w:cs="宋体"/>
          <w:color w:val="auto"/>
        </w:rPr>
        <w:t>1开工通知：指监理人按第</w:t>
      </w:r>
      <w:r>
        <w:rPr>
          <w:rStyle w:val="31"/>
          <w:rFonts w:hint="eastAsia" w:ascii="宋体" w:hAnsi="宋体" w:eastAsia="宋体" w:cs="宋体"/>
          <w:color w:val="auto"/>
          <w:lang w:val="en-US" w:bidi="en-US"/>
        </w:rPr>
        <w:t xml:space="preserve">11. </w:t>
      </w:r>
      <w:r>
        <w:rPr>
          <w:rStyle w:val="31"/>
          <w:rFonts w:hint="eastAsia" w:ascii="宋体" w:hAnsi="宋体" w:eastAsia="宋体" w:cs="宋体"/>
          <w:color w:val="auto"/>
        </w:rPr>
        <w:t>1款通知承包人开工的函件。</w:t>
      </w:r>
    </w:p>
    <w:p w14:paraId="65ED9F19">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1.1.4.2</w:t>
      </w:r>
      <w:r>
        <w:rPr>
          <w:rStyle w:val="31"/>
          <w:rFonts w:hint="eastAsia" w:ascii="宋体" w:hAnsi="宋体" w:eastAsia="宋体" w:cs="宋体"/>
          <w:color w:val="auto"/>
        </w:rPr>
        <w:t>开工日期：指监理人按第</w:t>
      </w:r>
      <w:r>
        <w:rPr>
          <w:rStyle w:val="31"/>
          <w:rFonts w:hint="eastAsia" w:ascii="宋体" w:hAnsi="宋体" w:eastAsia="宋体" w:cs="宋体"/>
          <w:color w:val="auto"/>
          <w:lang w:val="en-US" w:bidi="en-US"/>
        </w:rPr>
        <w:t xml:space="preserve">11. </w:t>
      </w:r>
      <w:r>
        <w:rPr>
          <w:rStyle w:val="31"/>
          <w:rFonts w:hint="eastAsia" w:ascii="宋体" w:hAnsi="宋体" w:eastAsia="宋体" w:cs="宋体"/>
          <w:color w:val="auto"/>
        </w:rPr>
        <w:t>1款发出的开工通知中写明的开工日期。</w:t>
      </w:r>
    </w:p>
    <w:p w14:paraId="695D9033">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1.1.4.3</w:t>
      </w:r>
      <w:r>
        <w:rPr>
          <w:rStyle w:val="31"/>
          <w:rFonts w:hint="eastAsia" w:ascii="宋体" w:hAnsi="宋体" w:eastAsia="宋体" w:cs="宋体"/>
          <w:color w:val="auto"/>
        </w:rPr>
        <w:t>工期：指承包人在投标函中承诺的完成合同工程所需的期限，包括按第</w:t>
      </w:r>
      <w:r>
        <w:rPr>
          <w:rStyle w:val="31"/>
          <w:rFonts w:hint="eastAsia" w:ascii="宋体" w:hAnsi="宋体" w:eastAsia="宋体" w:cs="宋体"/>
          <w:color w:val="auto"/>
          <w:lang w:val="en-US" w:bidi="en-US"/>
        </w:rPr>
        <w:t xml:space="preserve">11.3 </w:t>
      </w:r>
      <w:r>
        <w:rPr>
          <w:rStyle w:val="31"/>
          <w:rFonts w:hint="eastAsia" w:ascii="宋体" w:hAnsi="宋体" w:eastAsia="宋体" w:cs="宋体"/>
          <w:color w:val="auto"/>
        </w:rPr>
        <w:t>款、第</w:t>
      </w:r>
      <w:r>
        <w:rPr>
          <w:rStyle w:val="31"/>
          <w:rFonts w:hint="eastAsia" w:ascii="宋体" w:hAnsi="宋体" w:eastAsia="宋体" w:cs="宋体"/>
          <w:color w:val="auto"/>
          <w:lang w:val="en-US" w:bidi="en-US"/>
        </w:rPr>
        <w:t xml:space="preserve">11. </w:t>
      </w:r>
      <w:r>
        <w:rPr>
          <w:rStyle w:val="31"/>
          <w:rFonts w:hint="eastAsia" w:ascii="宋体" w:hAnsi="宋体" w:eastAsia="宋体" w:cs="宋体"/>
          <w:color w:val="auto"/>
        </w:rPr>
        <w:t>4款和第</w:t>
      </w:r>
      <w:r>
        <w:rPr>
          <w:rStyle w:val="31"/>
          <w:rFonts w:hint="eastAsia" w:ascii="宋体" w:hAnsi="宋体" w:eastAsia="宋体" w:cs="宋体"/>
          <w:color w:val="auto"/>
          <w:lang w:val="en-US" w:bidi="en-US"/>
        </w:rPr>
        <w:t xml:space="preserve">11. </w:t>
      </w:r>
      <w:r>
        <w:rPr>
          <w:rStyle w:val="31"/>
          <w:rFonts w:hint="eastAsia" w:ascii="宋体" w:hAnsi="宋体" w:eastAsia="宋体" w:cs="宋体"/>
          <w:color w:val="auto"/>
        </w:rPr>
        <w:t>6款约定所作的变更。</w:t>
      </w:r>
    </w:p>
    <w:p w14:paraId="2660524D">
      <w:pPr>
        <w:pStyle w:val="95"/>
        <w:pageBreakBefore w:val="0"/>
        <w:widowControl w:val="0"/>
        <w:tabs>
          <w:tab w:val="left" w:pos="949"/>
        </w:tabs>
        <w:kinsoku/>
        <w:wordWrap/>
        <w:overflowPunct/>
        <w:topLinePunct w:val="0"/>
        <w:autoSpaceDE/>
        <w:autoSpaceDN/>
        <w:bidi w:val="0"/>
        <w:adjustRightInd/>
        <w:snapToGrid/>
        <w:spacing w:line="440" w:lineRule="exact"/>
        <w:ind w:left="0" w:leftChars="0" w:firstLine="426" w:firstLineChars="213"/>
        <w:jc w:val="both"/>
        <w:textAlignment w:val="auto"/>
        <w:rPr>
          <w:rStyle w:val="31"/>
          <w:rFonts w:hint="eastAsia" w:ascii="宋体" w:hAnsi="宋体" w:eastAsia="宋体" w:cs="宋体"/>
          <w:color w:val="auto"/>
        </w:rPr>
      </w:pPr>
      <w:bookmarkStart w:id="176" w:name="bookmark899"/>
      <w:bookmarkEnd w:id="176"/>
      <w:r>
        <w:rPr>
          <w:rStyle w:val="31"/>
          <w:rFonts w:hint="eastAsia" w:ascii="宋体" w:hAnsi="宋体" w:eastAsia="宋体" w:cs="宋体"/>
          <w:color w:val="auto"/>
          <w:lang w:val="en-US" w:bidi="en-US"/>
        </w:rPr>
        <w:t xml:space="preserve">1.1.4.4  </w:t>
      </w:r>
      <w:r>
        <w:rPr>
          <w:rStyle w:val="31"/>
          <w:rFonts w:hint="eastAsia" w:ascii="宋体" w:hAnsi="宋体" w:eastAsia="宋体" w:cs="宋体"/>
          <w:color w:val="auto"/>
        </w:rPr>
        <w:t>竣工日期：即合同工程完工日期，指第</w:t>
      </w:r>
      <w:r>
        <w:rPr>
          <w:rStyle w:val="31"/>
          <w:rFonts w:hint="eastAsia" w:ascii="宋体" w:hAnsi="宋体" w:eastAsia="宋体" w:cs="宋体"/>
          <w:color w:val="auto"/>
          <w:lang w:val="en-US" w:bidi="en-US"/>
        </w:rPr>
        <w:t xml:space="preserve">1.1. 4. </w:t>
      </w:r>
      <w:r>
        <w:rPr>
          <w:rStyle w:val="31"/>
          <w:rFonts w:hint="eastAsia" w:ascii="宋体" w:hAnsi="宋体" w:eastAsia="宋体" w:cs="宋体"/>
          <w:color w:val="auto"/>
        </w:rPr>
        <w:t>3目约定工期届满时的日期。 实际完工时间以合同工程完工证书中写明的日期为准。</w:t>
      </w:r>
    </w:p>
    <w:p w14:paraId="3867F655">
      <w:pPr>
        <w:pStyle w:val="95"/>
        <w:pageBreakBefore w:val="0"/>
        <w:widowControl w:val="0"/>
        <w:tabs>
          <w:tab w:val="left" w:pos="954"/>
        </w:tabs>
        <w:kinsoku/>
        <w:wordWrap/>
        <w:overflowPunct/>
        <w:topLinePunct w:val="0"/>
        <w:autoSpaceDE/>
        <w:autoSpaceDN/>
        <w:bidi w:val="0"/>
        <w:adjustRightInd/>
        <w:snapToGrid/>
        <w:spacing w:line="440" w:lineRule="exact"/>
        <w:ind w:left="0" w:leftChars="0" w:firstLine="426" w:firstLineChars="213"/>
        <w:jc w:val="both"/>
        <w:textAlignment w:val="auto"/>
        <w:rPr>
          <w:rStyle w:val="31"/>
          <w:rFonts w:hint="eastAsia" w:ascii="宋体" w:hAnsi="宋体" w:eastAsia="宋体" w:cs="宋体"/>
          <w:color w:val="auto"/>
        </w:rPr>
      </w:pPr>
      <w:bookmarkStart w:id="177" w:name="bookmark900"/>
      <w:bookmarkEnd w:id="177"/>
      <w:r>
        <w:rPr>
          <w:rStyle w:val="31"/>
          <w:rFonts w:hint="eastAsia" w:ascii="宋体" w:hAnsi="宋体" w:eastAsia="宋体" w:cs="宋体"/>
          <w:color w:val="auto"/>
          <w:lang w:val="en-US" w:bidi="en-US"/>
        </w:rPr>
        <w:t xml:space="preserve">1.1.4.5  </w:t>
      </w:r>
      <w:r>
        <w:rPr>
          <w:rStyle w:val="31"/>
          <w:rFonts w:hint="eastAsia" w:ascii="宋体" w:hAnsi="宋体" w:eastAsia="宋体" w:cs="宋体"/>
          <w:color w:val="auto"/>
        </w:rPr>
        <w:t>缺陷责任期：即工程质量保修期，指履行第</w:t>
      </w:r>
      <w:r>
        <w:rPr>
          <w:rStyle w:val="31"/>
          <w:rFonts w:hint="eastAsia" w:ascii="宋体" w:hAnsi="宋体" w:eastAsia="宋体" w:cs="宋体"/>
          <w:color w:val="auto"/>
          <w:lang w:val="en-US" w:bidi="en-US"/>
        </w:rPr>
        <w:t xml:space="preserve">19. </w:t>
      </w:r>
      <w:r>
        <w:rPr>
          <w:rStyle w:val="31"/>
          <w:rFonts w:hint="eastAsia" w:ascii="宋体" w:hAnsi="宋体" w:eastAsia="宋体" w:cs="宋体"/>
          <w:color w:val="auto"/>
        </w:rPr>
        <w:t>2款约定的缺陷责任的期限, 包括根据第</w:t>
      </w:r>
      <w:r>
        <w:rPr>
          <w:rStyle w:val="31"/>
          <w:rFonts w:hint="eastAsia" w:ascii="宋体" w:hAnsi="宋体" w:eastAsia="宋体" w:cs="宋体"/>
          <w:color w:val="auto"/>
          <w:lang w:val="en-US" w:bidi="en-US"/>
        </w:rPr>
        <w:t xml:space="preserve">19. </w:t>
      </w:r>
      <w:r>
        <w:rPr>
          <w:rStyle w:val="31"/>
          <w:rFonts w:hint="eastAsia" w:ascii="宋体" w:hAnsi="宋体" w:eastAsia="宋体" w:cs="宋体"/>
          <w:color w:val="auto"/>
        </w:rPr>
        <w:t>3款约定所作的延长，具体期限由专用合同条款约定。</w:t>
      </w:r>
    </w:p>
    <w:p w14:paraId="5CC9B0D9">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1.1.4.6</w:t>
      </w:r>
      <w:r>
        <w:rPr>
          <w:rStyle w:val="31"/>
          <w:rFonts w:hint="eastAsia" w:ascii="宋体" w:hAnsi="宋体" w:eastAsia="宋体" w:cs="宋体"/>
          <w:color w:val="auto"/>
        </w:rPr>
        <w:t>基准日期：指投标截止时间前28天的日期。</w:t>
      </w:r>
    </w:p>
    <w:p w14:paraId="4E2C3D0D">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1.1.4.7</w:t>
      </w:r>
      <w:r>
        <w:rPr>
          <w:rStyle w:val="31"/>
          <w:rFonts w:hint="eastAsia" w:ascii="宋体" w:hAnsi="宋体" w:eastAsia="宋体" w:cs="宋体"/>
          <w:color w:val="auto"/>
        </w:rPr>
        <w:t>天：除特别指明外，指日历天。合同中按天计算时间的，开始当天不计入, 从次日开始计算。期限最后一天的截止时间为当天24：</w:t>
      </w:r>
      <w:r>
        <w:rPr>
          <w:rStyle w:val="31"/>
          <w:rFonts w:hint="eastAsia" w:ascii="宋体" w:hAnsi="宋体" w:eastAsia="宋体" w:cs="宋体"/>
          <w:color w:val="auto"/>
          <w:lang w:val="en-US" w:bidi="en-US"/>
        </w:rPr>
        <w:t>00</w:t>
      </w:r>
      <w:r>
        <w:rPr>
          <w:rStyle w:val="31"/>
          <w:rFonts w:hint="eastAsia" w:ascii="宋体" w:hAnsi="宋体" w:eastAsia="宋体" w:cs="宋体"/>
          <w:color w:val="auto"/>
          <w:vertAlign w:val="subscript"/>
          <w:lang w:val="en-US" w:bidi="en-US"/>
        </w:rPr>
        <w:t>o</w:t>
      </w:r>
    </w:p>
    <w:p w14:paraId="1811D2F2">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1.1.5</w:t>
      </w:r>
      <w:r>
        <w:rPr>
          <w:rStyle w:val="31"/>
          <w:rFonts w:hint="eastAsia" w:ascii="宋体" w:hAnsi="宋体" w:eastAsia="宋体" w:cs="宋体"/>
          <w:color w:val="auto"/>
        </w:rPr>
        <w:t>合同价格和费用</w:t>
      </w:r>
    </w:p>
    <w:p w14:paraId="1E80831A">
      <w:pPr>
        <w:pStyle w:val="95"/>
        <w:pageBreakBefore w:val="0"/>
        <w:widowControl w:val="0"/>
        <w:tabs>
          <w:tab w:val="left" w:pos="934"/>
        </w:tabs>
        <w:kinsoku/>
        <w:wordWrap/>
        <w:overflowPunct/>
        <w:topLinePunct w:val="0"/>
        <w:autoSpaceDE/>
        <w:autoSpaceDN/>
        <w:bidi w:val="0"/>
        <w:adjustRightInd/>
        <w:snapToGrid/>
        <w:spacing w:line="440" w:lineRule="exact"/>
        <w:ind w:left="0" w:leftChars="0" w:firstLine="426" w:firstLineChars="213"/>
        <w:jc w:val="both"/>
        <w:textAlignment w:val="auto"/>
        <w:rPr>
          <w:rStyle w:val="31"/>
          <w:rFonts w:hint="eastAsia" w:ascii="宋体" w:hAnsi="宋体" w:eastAsia="宋体" w:cs="宋体"/>
          <w:color w:val="auto"/>
        </w:rPr>
      </w:pPr>
      <w:bookmarkStart w:id="178" w:name="bookmark901"/>
      <w:bookmarkEnd w:id="178"/>
      <w:r>
        <w:rPr>
          <w:rStyle w:val="31"/>
          <w:rFonts w:hint="eastAsia" w:ascii="宋体" w:hAnsi="宋体" w:eastAsia="宋体" w:cs="宋体"/>
          <w:color w:val="auto"/>
          <w:lang w:val="en-US" w:bidi="en-US"/>
        </w:rPr>
        <w:t>1.1.5.1</w:t>
      </w:r>
      <w:r>
        <w:rPr>
          <w:rStyle w:val="31"/>
          <w:rFonts w:hint="eastAsia" w:ascii="宋体" w:hAnsi="宋体" w:eastAsia="宋体" w:cs="宋体"/>
          <w:color w:val="auto"/>
        </w:rPr>
        <w:t>签约合同价：指签定合同时合同协议书中写明的，包括了暂列金额、暂估价的合同总金额。</w:t>
      </w:r>
    </w:p>
    <w:p w14:paraId="45639123">
      <w:pPr>
        <w:pStyle w:val="95"/>
        <w:pageBreakBefore w:val="0"/>
        <w:widowControl w:val="0"/>
        <w:tabs>
          <w:tab w:val="left" w:pos="954"/>
        </w:tabs>
        <w:kinsoku/>
        <w:wordWrap/>
        <w:overflowPunct/>
        <w:topLinePunct w:val="0"/>
        <w:autoSpaceDE/>
        <w:autoSpaceDN/>
        <w:bidi w:val="0"/>
        <w:adjustRightInd/>
        <w:snapToGrid/>
        <w:spacing w:line="440" w:lineRule="exact"/>
        <w:ind w:left="0" w:leftChars="0" w:firstLine="426" w:firstLineChars="213"/>
        <w:jc w:val="both"/>
        <w:textAlignment w:val="auto"/>
        <w:rPr>
          <w:rStyle w:val="31"/>
          <w:rFonts w:hint="eastAsia" w:ascii="宋体" w:hAnsi="宋体" w:eastAsia="宋体" w:cs="宋体"/>
          <w:color w:val="auto"/>
        </w:rPr>
      </w:pPr>
      <w:bookmarkStart w:id="179" w:name="bookmark902"/>
      <w:bookmarkEnd w:id="179"/>
      <w:r>
        <w:rPr>
          <w:rStyle w:val="31"/>
          <w:rFonts w:hint="eastAsia" w:ascii="宋体" w:hAnsi="宋体" w:eastAsia="宋体" w:cs="宋体"/>
          <w:color w:val="auto"/>
        </w:rPr>
        <w:t>1.1.5.2合同价格：指承包人按合同约定完成了包括缺陷责任期内的全部承包工作后，发包人应付给承包人的金额，包括在履行合同过程中按合同约定进行的变更和调整。</w:t>
      </w:r>
    </w:p>
    <w:p w14:paraId="71DBE608">
      <w:pPr>
        <w:pStyle w:val="95"/>
        <w:pageBreakBefore w:val="0"/>
        <w:widowControl w:val="0"/>
        <w:tabs>
          <w:tab w:val="left" w:pos="954"/>
        </w:tabs>
        <w:kinsoku/>
        <w:wordWrap/>
        <w:overflowPunct/>
        <w:topLinePunct w:val="0"/>
        <w:autoSpaceDE/>
        <w:autoSpaceDN/>
        <w:bidi w:val="0"/>
        <w:adjustRightInd/>
        <w:snapToGrid/>
        <w:spacing w:line="440" w:lineRule="exact"/>
        <w:ind w:left="0" w:leftChars="0" w:firstLine="426" w:firstLineChars="213"/>
        <w:jc w:val="both"/>
        <w:textAlignment w:val="auto"/>
        <w:rPr>
          <w:rStyle w:val="31"/>
          <w:rFonts w:hint="eastAsia" w:ascii="宋体" w:hAnsi="宋体" w:eastAsia="宋体" w:cs="宋体"/>
          <w:color w:val="auto"/>
        </w:rPr>
      </w:pPr>
      <w:bookmarkStart w:id="180" w:name="bookmark903"/>
      <w:bookmarkEnd w:id="180"/>
      <w:r>
        <w:rPr>
          <w:rStyle w:val="31"/>
          <w:rFonts w:hint="eastAsia" w:ascii="宋体" w:hAnsi="宋体" w:eastAsia="宋体" w:cs="宋体"/>
          <w:color w:val="auto"/>
        </w:rPr>
        <w:t>1.1.5.3费用：指为履行合同所发生的或将要发生的所有合理开支，包括管理费和应分摊的其他费用，但不包括利润。</w:t>
      </w:r>
    </w:p>
    <w:p w14:paraId="2EC7F79B">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1.1.5.4</w:t>
      </w:r>
      <w:r>
        <w:rPr>
          <w:rStyle w:val="31"/>
          <w:rFonts w:hint="eastAsia" w:ascii="宋体" w:hAnsi="宋体" w:eastAsia="宋体" w:cs="宋体"/>
          <w:color w:val="auto"/>
        </w:rPr>
        <w:t>暂列金额：指已标价工程量清单中所列的暂列金额，用于在签订协议书时尚 未确定或不可预见变更的施工及其所需材料、工程设备、服务等的金额，包括以计日工方式支付的金额。</w:t>
      </w:r>
    </w:p>
    <w:p w14:paraId="77492B4E">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1. 1.5.5</w:t>
      </w:r>
      <w:r>
        <w:rPr>
          <w:rStyle w:val="31"/>
          <w:rFonts w:hint="eastAsia" w:ascii="宋体" w:hAnsi="宋体" w:eastAsia="宋体" w:cs="宋体"/>
          <w:color w:val="auto"/>
        </w:rPr>
        <w:t>暂估价：指发包人在工程量清单中给定的用于支付必然发生但暂时不能确定价格的材料、设备以及专业工程的金额。</w:t>
      </w:r>
    </w:p>
    <w:p w14:paraId="34865243">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81" w:name="bookmark904"/>
      <w:bookmarkEnd w:id="181"/>
      <w:r>
        <w:rPr>
          <w:rStyle w:val="31"/>
          <w:rFonts w:hint="eastAsia" w:ascii="宋体" w:hAnsi="宋体" w:eastAsia="宋体" w:cs="宋体"/>
          <w:color w:val="auto"/>
          <w:lang w:val="en-US" w:bidi="en-US"/>
        </w:rPr>
        <w:t>1.1.5. 6</w:t>
      </w:r>
      <w:r>
        <w:rPr>
          <w:rStyle w:val="31"/>
          <w:rFonts w:hint="eastAsia" w:ascii="宋体" w:hAnsi="宋体" w:eastAsia="宋体" w:cs="宋体"/>
          <w:color w:val="auto"/>
        </w:rPr>
        <w:t>计日工：指对零星工作采取的一种计价方式，按合同中的计日工子目及其单 价计价付款。</w:t>
      </w:r>
    </w:p>
    <w:p w14:paraId="58DA389C">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1.1.5.7</w:t>
      </w:r>
      <w:r>
        <w:rPr>
          <w:rStyle w:val="31"/>
          <w:rFonts w:hint="eastAsia" w:ascii="宋体" w:hAnsi="宋体" w:eastAsia="宋体" w:cs="宋体"/>
          <w:color w:val="auto"/>
        </w:rPr>
        <w:t>质量保证金(或称保留金)：指按第</w:t>
      </w:r>
      <w:r>
        <w:rPr>
          <w:rStyle w:val="31"/>
          <w:rFonts w:hint="eastAsia" w:ascii="宋体" w:hAnsi="宋体" w:eastAsia="宋体" w:cs="宋体"/>
          <w:color w:val="auto"/>
          <w:lang w:val="en-US" w:bidi="en-US"/>
        </w:rPr>
        <w:t>17.4.1</w:t>
      </w:r>
      <w:r>
        <w:rPr>
          <w:rStyle w:val="31"/>
          <w:rFonts w:hint="eastAsia" w:ascii="宋体" w:hAnsi="宋体" w:eastAsia="宋体" w:cs="宋体"/>
          <w:color w:val="auto"/>
        </w:rPr>
        <w:t>项约定用于保证在缺陷责任期内履行缺陷修复义务的金额。</w:t>
      </w:r>
    </w:p>
    <w:p w14:paraId="0FA6EAE6">
      <w:pPr>
        <w:pStyle w:val="96"/>
        <w:pageBreakBefore w:val="0"/>
        <w:widowControl w:val="0"/>
        <w:kinsoku/>
        <w:wordWrap/>
        <w:overflowPunct/>
        <w:topLinePunct w:val="0"/>
        <w:autoSpaceDE/>
        <w:autoSpaceDN/>
        <w:bidi w:val="0"/>
        <w:adjustRightInd/>
        <w:snapToGrid/>
        <w:spacing w:after="0" w:line="440" w:lineRule="exact"/>
        <w:ind w:left="0" w:leftChars="0" w:firstLine="440"/>
        <w:jc w:val="both"/>
        <w:textAlignment w:val="auto"/>
        <w:rPr>
          <w:rStyle w:val="31"/>
          <w:rFonts w:hint="eastAsia" w:ascii="宋体" w:hAnsi="宋体" w:eastAsia="宋体" w:cs="宋体"/>
          <w:color w:val="auto"/>
          <w:lang w:eastAsia="zh-CN"/>
        </w:rPr>
      </w:pPr>
      <w:r>
        <w:rPr>
          <w:rStyle w:val="31"/>
          <w:rFonts w:hint="eastAsia" w:ascii="宋体" w:hAnsi="宋体" w:eastAsia="宋体" w:cs="宋体"/>
          <w:color w:val="auto"/>
          <w:lang w:eastAsia="zh-CN"/>
        </w:rPr>
        <w:t>1.1.6</w:t>
      </w:r>
      <w:r>
        <w:rPr>
          <w:rStyle w:val="31"/>
          <w:rFonts w:hint="eastAsia" w:ascii="宋体" w:hAnsi="宋体" w:eastAsia="宋体" w:cs="宋体"/>
          <w:color w:val="auto"/>
          <w:lang w:val="zh-CN" w:eastAsia="zh-CN" w:bidi="zh-CN"/>
        </w:rPr>
        <w:t>其他</w:t>
      </w:r>
    </w:p>
    <w:p w14:paraId="6C46CEB0">
      <w:pPr>
        <w:pStyle w:val="95"/>
        <w:pageBreakBefore w:val="0"/>
        <w:widowControl w:val="0"/>
        <w:tabs>
          <w:tab w:val="left" w:pos="954"/>
        </w:tabs>
        <w:kinsoku/>
        <w:wordWrap/>
        <w:overflowPunct/>
        <w:topLinePunct w:val="0"/>
        <w:autoSpaceDE/>
        <w:autoSpaceDN/>
        <w:bidi w:val="0"/>
        <w:adjustRightInd/>
        <w:snapToGrid/>
        <w:spacing w:line="440" w:lineRule="exact"/>
        <w:ind w:left="0" w:leftChars="0" w:firstLine="0"/>
        <w:jc w:val="both"/>
        <w:textAlignment w:val="auto"/>
        <w:rPr>
          <w:rStyle w:val="31"/>
          <w:rFonts w:hint="eastAsia" w:ascii="宋体" w:hAnsi="宋体" w:eastAsia="宋体" w:cs="宋体"/>
          <w:color w:val="auto"/>
        </w:rPr>
      </w:pPr>
      <w:bookmarkStart w:id="182" w:name="bookmark905"/>
      <w:bookmarkEnd w:id="182"/>
      <w:r>
        <w:rPr>
          <w:rStyle w:val="31"/>
          <w:rFonts w:hint="eastAsia" w:ascii="宋体" w:hAnsi="宋体" w:eastAsia="宋体" w:cs="宋体"/>
          <w:color w:val="auto"/>
          <w:lang w:val="en-US" w:bidi="en-US"/>
        </w:rPr>
        <w:t>1.1.6.1</w:t>
      </w:r>
      <w:r>
        <w:rPr>
          <w:rStyle w:val="31"/>
          <w:rFonts w:hint="eastAsia" w:ascii="宋体" w:hAnsi="宋体" w:eastAsia="宋体" w:cs="宋体"/>
          <w:color w:val="auto"/>
        </w:rPr>
        <w:t>书面形式：指合同文件、信函、电报、传真等可以有形地表现所载内容的形式。</w:t>
      </w:r>
    </w:p>
    <w:p w14:paraId="68406C8B">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8"/>
          <w:szCs w:val="28"/>
          <w:lang w:eastAsia="zh-CN"/>
        </w:rPr>
      </w:pPr>
      <w:bookmarkStart w:id="183" w:name="bookmark908"/>
      <w:bookmarkStart w:id="184" w:name="_Toc6385"/>
      <w:bookmarkStart w:id="185" w:name="_Toc16626"/>
      <w:bookmarkStart w:id="186" w:name="_Toc256000008"/>
      <w:bookmarkStart w:id="187" w:name="bookmark906"/>
      <w:bookmarkStart w:id="188" w:name="bookmark907"/>
      <w:r>
        <w:rPr>
          <w:rStyle w:val="31"/>
          <w:rFonts w:hint="eastAsia" w:ascii="宋体" w:hAnsi="宋体" w:eastAsia="宋体" w:cs="宋体"/>
          <w:color w:val="auto"/>
          <w:sz w:val="24"/>
          <w:szCs w:val="24"/>
          <w:lang w:eastAsia="zh-CN"/>
        </w:rPr>
        <w:t>1.2语言文字</w:t>
      </w:r>
      <w:bookmarkEnd w:id="183"/>
      <w:bookmarkEnd w:id="184"/>
      <w:bookmarkEnd w:id="185"/>
      <w:bookmarkEnd w:id="186"/>
      <w:bookmarkEnd w:id="187"/>
      <w:bookmarkEnd w:id="188"/>
    </w:p>
    <w:p w14:paraId="56165B42">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rPr>
        <w:t>除专用术语外，合同使用的语言文字为中文。必要时专用术语应附有中文注释。</w:t>
      </w:r>
    </w:p>
    <w:p w14:paraId="7A3744DC">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89" w:name="bookmark910"/>
      <w:bookmarkStart w:id="190" w:name="_Toc256000009"/>
      <w:bookmarkStart w:id="191" w:name="bookmark911"/>
      <w:bookmarkStart w:id="192" w:name="_Toc24132"/>
      <w:bookmarkStart w:id="193" w:name="_Toc7852"/>
      <w:bookmarkStart w:id="194" w:name="bookmark909"/>
      <w:r>
        <w:rPr>
          <w:rStyle w:val="31"/>
          <w:rFonts w:hint="eastAsia" w:ascii="宋体" w:hAnsi="宋体" w:eastAsia="宋体" w:cs="宋体"/>
          <w:color w:val="auto"/>
          <w:sz w:val="24"/>
          <w:szCs w:val="24"/>
          <w:lang w:eastAsia="zh-CN"/>
        </w:rPr>
        <w:t>1.3法律</w:t>
      </w:r>
      <w:bookmarkEnd w:id="189"/>
      <w:bookmarkEnd w:id="190"/>
      <w:bookmarkEnd w:id="191"/>
      <w:bookmarkEnd w:id="192"/>
      <w:bookmarkEnd w:id="193"/>
      <w:bookmarkEnd w:id="194"/>
    </w:p>
    <w:p w14:paraId="712E27A2">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适用于合同的法律包括中华人民共和国法律、行政法规、部门规章，以及工程所在地的地方法规、自治条例、单行条例和地方政府规章。</w:t>
      </w:r>
    </w:p>
    <w:p w14:paraId="0DEA42B6">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95" w:name="_Toc256000010"/>
      <w:bookmarkStart w:id="196" w:name="bookmark913"/>
      <w:bookmarkStart w:id="197" w:name="bookmark912"/>
      <w:bookmarkStart w:id="198" w:name="bookmark914"/>
      <w:bookmarkStart w:id="199" w:name="_Toc17089"/>
      <w:bookmarkStart w:id="200" w:name="_Toc32102"/>
      <w:r>
        <w:rPr>
          <w:rStyle w:val="31"/>
          <w:rFonts w:hint="eastAsia" w:ascii="宋体" w:hAnsi="宋体" w:eastAsia="宋体" w:cs="宋体"/>
          <w:color w:val="auto"/>
          <w:sz w:val="24"/>
          <w:szCs w:val="24"/>
          <w:lang w:eastAsia="zh-CN"/>
        </w:rPr>
        <w:t>1.4合同文件的优先顺序</w:t>
      </w:r>
      <w:bookmarkEnd w:id="195"/>
      <w:bookmarkEnd w:id="196"/>
      <w:bookmarkEnd w:id="197"/>
      <w:bookmarkEnd w:id="198"/>
      <w:bookmarkEnd w:id="199"/>
      <w:bookmarkEnd w:id="200"/>
    </w:p>
    <w:p w14:paraId="61F204BF">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组成合同的各项文件应互相解释，互为说明。除专用合同条款另有约定外，解释合同文件的优先顺序如下：</w:t>
      </w:r>
    </w:p>
    <w:p w14:paraId="700F6D1C">
      <w:pPr>
        <w:pStyle w:val="95"/>
        <w:pageBreakBefore w:val="0"/>
        <w:widowControl w:val="0"/>
        <w:numPr>
          <w:ilvl w:val="0"/>
          <w:numId w:val="7"/>
        </w:numPr>
        <w:tabs>
          <w:tab w:val="left" w:pos="923"/>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201" w:name="bookmark915"/>
      <w:bookmarkEnd w:id="201"/>
      <w:r>
        <w:rPr>
          <w:rStyle w:val="31"/>
          <w:rFonts w:hint="eastAsia" w:ascii="宋体" w:hAnsi="宋体" w:eastAsia="宋体" w:cs="宋体"/>
          <w:color w:val="auto"/>
        </w:rPr>
        <w:t>合同协议书；</w:t>
      </w:r>
    </w:p>
    <w:p w14:paraId="06F81B3A">
      <w:pPr>
        <w:pStyle w:val="95"/>
        <w:pageBreakBefore w:val="0"/>
        <w:widowControl w:val="0"/>
        <w:numPr>
          <w:ilvl w:val="0"/>
          <w:numId w:val="7"/>
        </w:numPr>
        <w:tabs>
          <w:tab w:val="left" w:pos="923"/>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202" w:name="bookmark916"/>
      <w:bookmarkEnd w:id="202"/>
      <w:r>
        <w:rPr>
          <w:rStyle w:val="31"/>
          <w:rFonts w:hint="eastAsia" w:ascii="宋体" w:hAnsi="宋体" w:eastAsia="宋体" w:cs="宋体"/>
          <w:color w:val="auto"/>
        </w:rPr>
        <w:t>中标通知书；</w:t>
      </w:r>
    </w:p>
    <w:p w14:paraId="6DACC840">
      <w:pPr>
        <w:pStyle w:val="95"/>
        <w:pageBreakBefore w:val="0"/>
        <w:widowControl w:val="0"/>
        <w:numPr>
          <w:ilvl w:val="0"/>
          <w:numId w:val="7"/>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203" w:name="bookmark917"/>
      <w:bookmarkEnd w:id="203"/>
      <w:r>
        <w:rPr>
          <w:rStyle w:val="31"/>
          <w:rFonts w:hint="eastAsia" w:ascii="宋体" w:hAnsi="宋体" w:eastAsia="宋体" w:cs="宋体"/>
          <w:color w:val="auto"/>
        </w:rPr>
        <w:t>投标函及投标函附录；</w:t>
      </w:r>
    </w:p>
    <w:p w14:paraId="3857926C">
      <w:pPr>
        <w:pStyle w:val="95"/>
        <w:pageBreakBefore w:val="0"/>
        <w:widowControl w:val="0"/>
        <w:numPr>
          <w:ilvl w:val="0"/>
          <w:numId w:val="7"/>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204" w:name="bookmark918"/>
      <w:bookmarkEnd w:id="204"/>
      <w:r>
        <w:rPr>
          <w:rStyle w:val="31"/>
          <w:rFonts w:hint="eastAsia" w:ascii="宋体" w:hAnsi="宋体" w:eastAsia="宋体" w:cs="宋体"/>
          <w:color w:val="auto"/>
        </w:rPr>
        <w:t>专用合同条款；</w:t>
      </w:r>
    </w:p>
    <w:p w14:paraId="2CEF0C0D">
      <w:pPr>
        <w:pStyle w:val="95"/>
        <w:pageBreakBefore w:val="0"/>
        <w:widowControl w:val="0"/>
        <w:numPr>
          <w:ilvl w:val="0"/>
          <w:numId w:val="7"/>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205" w:name="bookmark919"/>
      <w:bookmarkEnd w:id="205"/>
      <w:r>
        <w:rPr>
          <w:rStyle w:val="31"/>
          <w:rFonts w:hint="eastAsia" w:ascii="宋体" w:hAnsi="宋体" w:eastAsia="宋体" w:cs="宋体"/>
          <w:color w:val="auto"/>
        </w:rPr>
        <w:t>通用合同条款；</w:t>
      </w:r>
    </w:p>
    <w:p w14:paraId="1518ECF6">
      <w:pPr>
        <w:pStyle w:val="95"/>
        <w:pageBreakBefore w:val="0"/>
        <w:widowControl w:val="0"/>
        <w:numPr>
          <w:ilvl w:val="0"/>
          <w:numId w:val="7"/>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206" w:name="bookmark920"/>
      <w:bookmarkEnd w:id="206"/>
      <w:r>
        <w:rPr>
          <w:rStyle w:val="31"/>
          <w:rFonts w:hint="eastAsia" w:ascii="宋体" w:hAnsi="宋体" w:eastAsia="宋体" w:cs="宋体"/>
          <w:color w:val="auto"/>
        </w:rPr>
        <w:t>技术标准和要求；</w:t>
      </w:r>
    </w:p>
    <w:p w14:paraId="68DAAE49">
      <w:pPr>
        <w:pStyle w:val="95"/>
        <w:pageBreakBefore w:val="0"/>
        <w:widowControl w:val="0"/>
        <w:numPr>
          <w:ilvl w:val="0"/>
          <w:numId w:val="7"/>
        </w:numPr>
        <w:tabs>
          <w:tab w:val="left" w:pos="903"/>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207" w:name="bookmark921"/>
      <w:bookmarkEnd w:id="207"/>
      <w:r>
        <w:rPr>
          <w:rStyle w:val="31"/>
          <w:rFonts w:hint="eastAsia" w:ascii="宋体" w:hAnsi="宋体" w:eastAsia="宋体" w:cs="宋体"/>
          <w:color w:val="auto"/>
        </w:rPr>
        <w:t>图纸；</w:t>
      </w:r>
    </w:p>
    <w:p w14:paraId="51020377">
      <w:pPr>
        <w:pStyle w:val="95"/>
        <w:pageBreakBefore w:val="0"/>
        <w:widowControl w:val="0"/>
        <w:numPr>
          <w:ilvl w:val="0"/>
          <w:numId w:val="7"/>
        </w:numPr>
        <w:tabs>
          <w:tab w:val="left" w:pos="903"/>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208" w:name="bookmark922"/>
      <w:bookmarkEnd w:id="208"/>
      <w:r>
        <w:rPr>
          <w:rStyle w:val="31"/>
          <w:rFonts w:hint="eastAsia" w:ascii="宋体" w:hAnsi="宋体" w:eastAsia="宋体" w:cs="宋体"/>
          <w:color w:val="auto"/>
        </w:rPr>
        <w:t>已标价工程量清单；</w:t>
      </w:r>
    </w:p>
    <w:p w14:paraId="67D43F9B">
      <w:pPr>
        <w:pStyle w:val="95"/>
        <w:pageBreakBefore w:val="0"/>
        <w:widowControl w:val="0"/>
        <w:numPr>
          <w:ilvl w:val="0"/>
          <w:numId w:val="7"/>
        </w:numPr>
        <w:tabs>
          <w:tab w:val="left" w:pos="903"/>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209" w:name="bookmark923"/>
      <w:bookmarkEnd w:id="209"/>
      <w:r>
        <w:rPr>
          <w:rStyle w:val="31"/>
          <w:rFonts w:hint="eastAsia" w:ascii="宋体" w:hAnsi="宋体" w:eastAsia="宋体" w:cs="宋体"/>
          <w:color w:val="auto"/>
        </w:rPr>
        <w:t>其他合同文件。</w:t>
      </w:r>
    </w:p>
    <w:p w14:paraId="21A4D605">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210" w:name="_Toc256000011"/>
      <w:bookmarkStart w:id="211" w:name="bookmark925"/>
      <w:bookmarkStart w:id="212" w:name="bookmark926"/>
      <w:bookmarkStart w:id="213" w:name="bookmark924"/>
      <w:bookmarkStart w:id="214" w:name="_Toc11037"/>
      <w:bookmarkStart w:id="215" w:name="_Toc30693"/>
      <w:r>
        <w:rPr>
          <w:rStyle w:val="31"/>
          <w:rFonts w:hint="eastAsia" w:ascii="宋体" w:hAnsi="宋体" w:eastAsia="宋体" w:cs="宋体"/>
          <w:color w:val="auto"/>
          <w:sz w:val="24"/>
          <w:szCs w:val="24"/>
          <w:lang w:eastAsia="zh-CN"/>
        </w:rPr>
        <w:t>1.5合同协议书</w:t>
      </w:r>
      <w:bookmarkEnd w:id="210"/>
      <w:bookmarkEnd w:id="211"/>
      <w:bookmarkEnd w:id="212"/>
      <w:bookmarkEnd w:id="213"/>
      <w:bookmarkEnd w:id="214"/>
      <w:bookmarkEnd w:id="215"/>
    </w:p>
    <w:p w14:paraId="1DA20643">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承包人按中标通知书规定的时间与发包人签订合同协议书。除法律另有规定或合同另有约定外，发包人和承包人的法定代表人或其委托代理人在合同协议书上签字并盖单位电子公章后，合同生效。</w:t>
      </w:r>
    </w:p>
    <w:p w14:paraId="62668D66">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216" w:name="bookmark929"/>
      <w:bookmarkStart w:id="217" w:name="_Toc14160"/>
      <w:bookmarkStart w:id="218" w:name="_Toc256000012"/>
      <w:bookmarkStart w:id="219" w:name="bookmark927"/>
      <w:bookmarkStart w:id="220" w:name="bookmark928"/>
      <w:bookmarkStart w:id="221" w:name="_Toc10434"/>
      <w:r>
        <w:rPr>
          <w:rStyle w:val="31"/>
          <w:rFonts w:hint="eastAsia" w:ascii="宋体" w:hAnsi="宋体" w:eastAsia="宋体" w:cs="宋体"/>
          <w:color w:val="auto"/>
          <w:sz w:val="24"/>
          <w:szCs w:val="24"/>
          <w:lang w:eastAsia="zh-CN"/>
        </w:rPr>
        <w:t>1.6图纸和承包人文件</w:t>
      </w:r>
      <w:bookmarkEnd w:id="216"/>
      <w:bookmarkEnd w:id="217"/>
      <w:bookmarkEnd w:id="218"/>
      <w:bookmarkEnd w:id="219"/>
      <w:bookmarkEnd w:id="220"/>
      <w:bookmarkEnd w:id="221"/>
    </w:p>
    <w:p w14:paraId="3A27FD1C">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1.6.1</w:t>
      </w:r>
      <w:r>
        <w:rPr>
          <w:rStyle w:val="31"/>
          <w:rFonts w:hint="eastAsia" w:ascii="宋体" w:hAnsi="宋体" w:eastAsia="宋体" w:cs="宋体"/>
          <w:color w:val="auto"/>
        </w:rPr>
        <w:t>图纸的提供</w:t>
      </w:r>
    </w:p>
    <w:p w14:paraId="37CCC758">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发包人应按技术标准和要求(合同技术条款)约定的期限和数量将施工图纸以及其它图纸（包括配套说明和有关资料）提供给承包人。由于发包人未按时提供图纸造成工期延误的，按第</w:t>
      </w:r>
      <w:r>
        <w:rPr>
          <w:rStyle w:val="31"/>
          <w:rFonts w:hint="eastAsia" w:ascii="宋体" w:hAnsi="宋体" w:eastAsia="宋体" w:cs="宋体"/>
          <w:color w:val="auto"/>
          <w:lang w:val="en-US" w:bidi="en-US"/>
        </w:rPr>
        <w:t xml:space="preserve">11. </w:t>
      </w:r>
      <w:r>
        <w:rPr>
          <w:rStyle w:val="31"/>
          <w:rFonts w:hint="eastAsia" w:ascii="宋体" w:hAnsi="宋体" w:eastAsia="宋体" w:cs="宋体"/>
          <w:color w:val="auto"/>
        </w:rPr>
        <w:t>3款的约定办理。</w:t>
      </w:r>
    </w:p>
    <w:p w14:paraId="17464631">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rPr>
        <w:t>1.6.</w:t>
      </w:r>
      <w:r>
        <w:rPr>
          <w:rStyle w:val="31"/>
          <w:rFonts w:hint="eastAsia" w:ascii="宋体" w:hAnsi="宋体" w:eastAsia="宋体" w:cs="宋体"/>
          <w:color w:val="auto"/>
        </w:rPr>
        <w:t>2承包人提供的文件</w:t>
      </w:r>
    </w:p>
    <w:p w14:paraId="12022D7F">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承包人提供的文件应按技术标准和要求（合同技术条款）约定的期限和数量提供给监理人。监理人应按技术标准和要求（合同技术条款）约定的期限批复承包人。</w:t>
      </w:r>
    </w:p>
    <w:p w14:paraId="661ACC7B">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rPr>
        <w:t>1.6.3</w:t>
      </w:r>
      <w:r>
        <w:rPr>
          <w:rStyle w:val="31"/>
          <w:rFonts w:hint="eastAsia" w:ascii="宋体" w:hAnsi="宋体" w:eastAsia="宋体" w:cs="宋体"/>
          <w:color w:val="auto"/>
        </w:rPr>
        <w:t>图纸的修改</w:t>
      </w:r>
    </w:p>
    <w:p w14:paraId="6F2A1284">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06B59EBC">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rPr>
        <w:t>1.6.4</w:t>
      </w:r>
      <w:r>
        <w:rPr>
          <w:rStyle w:val="31"/>
          <w:rFonts w:hint="eastAsia" w:ascii="宋体" w:hAnsi="宋体" w:eastAsia="宋体" w:cs="宋体"/>
          <w:color w:val="auto"/>
        </w:rPr>
        <w:t>图纸的错误</w:t>
      </w:r>
    </w:p>
    <w:p w14:paraId="5B6B237F">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承包人发现发包人提供的图纸存在明显错误或疏忽，应及时通知监理人。</w:t>
      </w:r>
    </w:p>
    <w:p w14:paraId="7CC0F613">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rPr>
        <w:t>1.6.5</w:t>
      </w:r>
      <w:r>
        <w:rPr>
          <w:rStyle w:val="31"/>
          <w:rFonts w:hint="eastAsia" w:ascii="宋体" w:hAnsi="宋体" w:eastAsia="宋体" w:cs="宋体"/>
          <w:color w:val="auto"/>
        </w:rPr>
        <w:t>图纸和承包人文件的保管</w:t>
      </w:r>
    </w:p>
    <w:p w14:paraId="669F5C5C">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监理人和承包人均应在施工场地各保存一套完整的包含第</w:t>
      </w:r>
      <w:r>
        <w:rPr>
          <w:rStyle w:val="31"/>
          <w:rFonts w:hint="eastAsia" w:ascii="宋体" w:hAnsi="宋体" w:eastAsia="宋体" w:cs="宋体"/>
          <w:color w:val="auto"/>
          <w:lang w:val="en-US" w:bidi="en-US"/>
        </w:rPr>
        <w:t xml:space="preserve">1. 6. </w:t>
      </w:r>
      <w:r>
        <w:rPr>
          <w:rStyle w:val="31"/>
          <w:rFonts w:hint="eastAsia" w:ascii="宋体" w:hAnsi="宋体" w:eastAsia="宋体" w:cs="宋体"/>
          <w:color w:val="auto"/>
        </w:rPr>
        <w:t>1项、第</w:t>
      </w:r>
      <w:r>
        <w:rPr>
          <w:rStyle w:val="31"/>
          <w:rFonts w:hint="eastAsia" w:ascii="宋体" w:hAnsi="宋体" w:eastAsia="宋体" w:cs="宋体"/>
          <w:color w:val="auto"/>
          <w:lang w:val="en-US" w:bidi="en-US"/>
        </w:rPr>
        <w:t>1.6.2</w:t>
      </w:r>
      <w:r>
        <w:rPr>
          <w:rStyle w:val="31"/>
          <w:rFonts w:hint="eastAsia" w:ascii="宋体" w:hAnsi="宋体" w:eastAsia="宋体" w:cs="宋体"/>
          <w:color w:val="auto"/>
        </w:rPr>
        <w:t xml:space="preserve">项、第 </w:t>
      </w:r>
      <w:r>
        <w:rPr>
          <w:rStyle w:val="31"/>
          <w:rFonts w:hint="eastAsia" w:ascii="宋体" w:hAnsi="宋体" w:eastAsia="宋体" w:cs="宋体"/>
          <w:color w:val="auto"/>
          <w:lang w:val="en-US" w:bidi="en-US"/>
        </w:rPr>
        <w:t xml:space="preserve">1.6. </w:t>
      </w:r>
      <w:r>
        <w:rPr>
          <w:rStyle w:val="31"/>
          <w:rFonts w:hint="eastAsia" w:ascii="宋体" w:hAnsi="宋体" w:eastAsia="宋体" w:cs="宋体"/>
          <w:color w:val="auto"/>
        </w:rPr>
        <w:t>3项约定内容的图纸和承包人文件。</w:t>
      </w:r>
    </w:p>
    <w:p w14:paraId="5B98173E">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222" w:name="_Toc18431"/>
      <w:bookmarkStart w:id="223" w:name="_Toc256000013"/>
      <w:bookmarkStart w:id="224" w:name="bookmark930"/>
      <w:bookmarkStart w:id="225" w:name="_Toc28325"/>
      <w:bookmarkStart w:id="226" w:name="bookmark932"/>
      <w:bookmarkStart w:id="227" w:name="bookmark931"/>
      <w:r>
        <w:rPr>
          <w:rStyle w:val="31"/>
          <w:rFonts w:hint="eastAsia" w:ascii="宋体" w:hAnsi="宋体" w:eastAsia="宋体" w:cs="宋体"/>
          <w:color w:val="auto"/>
          <w:sz w:val="24"/>
          <w:szCs w:val="24"/>
          <w:lang w:eastAsia="zh-CN"/>
        </w:rPr>
        <w:t>1.7联络</w:t>
      </w:r>
      <w:bookmarkEnd w:id="222"/>
      <w:bookmarkEnd w:id="223"/>
      <w:bookmarkEnd w:id="224"/>
      <w:bookmarkEnd w:id="225"/>
      <w:bookmarkEnd w:id="226"/>
      <w:bookmarkEnd w:id="227"/>
    </w:p>
    <w:p w14:paraId="76BEE7D6">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1.7.1</w:t>
      </w:r>
      <w:r>
        <w:rPr>
          <w:rStyle w:val="31"/>
          <w:rFonts w:hint="eastAsia" w:ascii="宋体" w:hAnsi="宋体" w:eastAsia="宋体" w:cs="宋体"/>
          <w:color w:val="auto"/>
        </w:rPr>
        <w:t>与合同有关的通知、批准、证明、证书、指示、要求、请求、同意、意见、确 定和决定等，均应采用书面形式。</w:t>
      </w:r>
    </w:p>
    <w:p w14:paraId="60BB72CF">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1.7.2</w:t>
      </w:r>
      <w:r>
        <w:rPr>
          <w:rStyle w:val="31"/>
          <w:rFonts w:hint="eastAsia" w:ascii="宋体" w:hAnsi="宋体" w:eastAsia="宋体" w:cs="宋体"/>
          <w:color w:val="auto"/>
        </w:rPr>
        <w:t>第</w:t>
      </w:r>
      <w:r>
        <w:rPr>
          <w:rStyle w:val="31"/>
          <w:rFonts w:hint="eastAsia" w:ascii="宋体" w:hAnsi="宋体" w:eastAsia="宋体" w:cs="宋体"/>
          <w:color w:val="auto"/>
          <w:lang w:val="en-US" w:bidi="en-US"/>
        </w:rPr>
        <w:t>1.7.1</w:t>
      </w:r>
      <w:r>
        <w:rPr>
          <w:rStyle w:val="31"/>
          <w:rFonts w:hint="eastAsia" w:ascii="宋体" w:hAnsi="宋体" w:eastAsia="宋体" w:cs="宋体"/>
          <w:color w:val="auto"/>
        </w:rPr>
        <w:t>项中的通知、批准、证明、证书、指示、要求、请求、同意、意见、 确定和决定等来往函件，均应在合同约定的期限内送达指定地点和接收人，并办理签收手续。来往函件的送达期限在技术标准和要求（合同技术条款）中约定，送达地点在专用合同条款中约定。</w:t>
      </w:r>
    </w:p>
    <w:p w14:paraId="1DCAF01F">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1.7.3</w:t>
      </w:r>
      <w:r>
        <w:rPr>
          <w:rStyle w:val="31"/>
          <w:rFonts w:hint="eastAsia" w:ascii="宋体" w:hAnsi="宋体" w:eastAsia="宋体" w:cs="宋体"/>
          <w:color w:val="auto"/>
        </w:rPr>
        <w:t>来往函件均应按合同约定的期限及时发出和答复，不得无故扣压和拖延，亦不得拒收。否则，由此造成的后果由责任方负责。</w:t>
      </w:r>
    </w:p>
    <w:p w14:paraId="5805F3C8">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228" w:name="bookmark933"/>
      <w:bookmarkStart w:id="229" w:name="_Toc256000014"/>
      <w:bookmarkStart w:id="230" w:name="_Toc11450"/>
      <w:bookmarkStart w:id="231" w:name="_Toc31757"/>
      <w:bookmarkStart w:id="232" w:name="bookmark934"/>
      <w:bookmarkStart w:id="233" w:name="bookmark935"/>
      <w:r>
        <w:rPr>
          <w:rStyle w:val="31"/>
          <w:rFonts w:hint="eastAsia" w:ascii="宋体" w:hAnsi="宋体" w:eastAsia="宋体" w:cs="宋体"/>
          <w:color w:val="auto"/>
          <w:sz w:val="24"/>
          <w:szCs w:val="24"/>
          <w:lang w:eastAsia="zh-CN"/>
        </w:rPr>
        <w:t>1.8转让</w:t>
      </w:r>
      <w:bookmarkEnd w:id="228"/>
      <w:bookmarkEnd w:id="229"/>
      <w:bookmarkEnd w:id="230"/>
      <w:bookmarkEnd w:id="231"/>
      <w:bookmarkEnd w:id="232"/>
      <w:bookmarkEnd w:id="233"/>
    </w:p>
    <w:p w14:paraId="563085ED">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除合同另有约定外，未经对方当事人同意，一方当事人不得将合同权利全部或部分转让给第三人，也不得全部或部分转移合同义务。</w:t>
      </w:r>
    </w:p>
    <w:p w14:paraId="0B7A3343">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234" w:name="_Toc25110"/>
      <w:bookmarkStart w:id="235" w:name="_Toc256000015"/>
      <w:bookmarkStart w:id="236" w:name="bookmark937"/>
      <w:bookmarkStart w:id="237" w:name="_Toc28520"/>
      <w:bookmarkStart w:id="238" w:name="bookmark936"/>
      <w:bookmarkStart w:id="239" w:name="bookmark938"/>
      <w:r>
        <w:rPr>
          <w:rStyle w:val="31"/>
          <w:rFonts w:hint="eastAsia" w:ascii="宋体" w:hAnsi="宋体" w:eastAsia="宋体" w:cs="宋体"/>
          <w:color w:val="auto"/>
          <w:sz w:val="24"/>
          <w:szCs w:val="24"/>
          <w:lang w:eastAsia="zh-CN"/>
        </w:rPr>
        <w:t>1.9严禁贿赂</w:t>
      </w:r>
      <w:bookmarkEnd w:id="234"/>
      <w:bookmarkEnd w:id="235"/>
      <w:bookmarkEnd w:id="236"/>
      <w:bookmarkEnd w:id="237"/>
      <w:bookmarkEnd w:id="238"/>
      <w:bookmarkEnd w:id="239"/>
    </w:p>
    <w:p w14:paraId="4D254605">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合同双方当事人不得以贿赂或变相贿赂的方式，谋取不当利益或损害对方权益。因贿赂造成对方损失的，行为人应赔偿损失，并承担相应的法律责任。</w:t>
      </w:r>
    </w:p>
    <w:p w14:paraId="737BF230">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240" w:name="bookmark941"/>
      <w:bookmarkStart w:id="241" w:name="bookmark940"/>
      <w:bookmarkStart w:id="242" w:name="_Toc27697"/>
      <w:bookmarkStart w:id="243" w:name="bookmark939"/>
      <w:bookmarkStart w:id="244" w:name="_Toc256000016"/>
      <w:bookmarkStart w:id="245" w:name="_Toc18518"/>
      <w:r>
        <w:rPr>
          <w:rStyle w:val="31"/>
          <w:rFonts w:hint="eastAsia" w:ascii="宋体" w:hAnsi="宋体" w:eastAsia="宋体" w:cs="宋体"/>
          <w:color w:val="auto"/>
          <w:sz w:val="24"/>
          <w:szCs w:val="24"/>
          <w:lang w:eastAsia="zh-CN"/>
        </w:rPr>
        <w:t>1.10化石、文物</w:t>
      </w:r>
      <w:bookmarkEnd w:id="240"/>
      <w:bookmarkEnd w:id="241"/>
      <w:bookmarkEnd w:id="242"/>
      <w:bookmarkEnd w:id="243"/>
      <w:bookmarkEnd w:id="244"/>
      <w:bookmarkEnd w:id="245"/>
    </w:p>
    <w:p w14:paraId="5854A546">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 xml:space="preserve">1.10. </w:t>
      </w:r>
      <w:r>
        <w:rPr>
          <w:rStyle w:val="31"/>
          <w:rFonts w:hint="eastAsia" w:ascii="宋体" w:hAnsi="宋体" w:eastAsia="宋体" w:cs="宋体"/>
          <w:color w:val="auto"/>
        </w:rPr>
        <w:t>1在施工场地发掘的所有文物、古迹以及具有地质研究或考古价值的其他遗迹、 化石、钱币或物品属于国家所有。一旦发现上述文物，承包人应采取有效合理的保护措施, 防止任何人员移动或损坏上述物品，并立即报告当地文物行政部门，同时通知监理人。发包人、监理人和承包人应按文物行政部门要求采取妥善保护措施，由此导致费用增加和（或）工期延误由发包人承担。</w:t>
      </w:r>
    </w:p>
    <w:p w14:paraId="7ADA284D">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1.10.</w:t>
      </w:r>
      <w:r>
        <w:rPr>
          <w:rStyle w:val="31"/>
          <w:rFonts w:hint="eastAsia" w:ascii="宋体" w:hAnsi="宋体" w:eastAsia="宋体" w:cs="宋体"/>
          <w:color w:val="auto"/>
        </w:rPr>
        <w:t>2承包人发现文物后不及时报告或隐瞒不报，致使文物丢失或损坏的，应赔偿损失，并承担相应的法律责任。</w:t>
      </w:r>
    </w:p>
    <w:p w14:paraId="0342E7FA">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246" w:name="bookmark944"/>
      <w:bookmarkStart w:id="247" w:name="bookmark942"/>
      <w:bookmarkStart w:id="248" w:name="_Toc12830"/>
      <w:bookmarkStart w:id="249" w:name="_Toc8461"/>
      <w:bookmarkStart w:id="250" w:name="_Toc256000017"/>
      <w:bookmarkStart w:id="251" w:name="bookmark943"/>
      <w:r>
        <w:rPr>
          <w:rStyle w:val="31"/>
          <w:rFonts w:hint="eastAsia" w:ascii="宋体" w:hAnsi="宋体" w:eastAsia="宋体" w:cs="宋体"/>
          <w:color w:val="auto"/>
          <w:sz w:val="24"/>
          <w:szCs w:val="24"/>
          <w:lang w:eastAsia="zh-CN"/>
        </w:rPr>
        <w:t>1.11专利技术</w:t>
      </w:r>
      <w:bookmarkEnd w:id="246"/>
      <w:bookmarkEnd w:id="247"/>
      <w:bookmarkEnd w:id="248"/>
      <w:bookmarkEnd w:id="249"/>
      <w:bookmarkEnd w:id="250"/>
      <w:bookmarkEnd w:id="251"/>
    </w:p>
    <w:p w14:paraId="4A9AC05E">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1.11.1</w:t>
      </w:r>
      <w:r>
        <w:rPr>
          <w:rStyle w:val="31"/>
          <w:rFonts w:hint="eastAsia" w:ascii="宋体" w:hAnsi="宋体" w:eastAsia="宋体" w:cs="宋体"/>
          <w:color w:val="auto"/>
        </w:rPr>
        <w:t>承包人在使用任何材料、承包人设备、工程设备或采用施工工艺时，因侵犯专利权或其他知识产权所引起的责任，由承包人承担，但由于遵照发包人提供的设计或技术标准和要求引起的除外。</w:t>
      </w:r>
    </w:p>
    <w:p w14:paraId="71FC5F9F">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1.11.2</w:t>
      </w:r>
      <w:r>
        <w:rPr>
          <w:rStyle w:val="31"/>
          <w:rFonts w:hint="eastAsia" w:ascii="宋体" w:hAnsi="宋体" w:eastAsia="宋体" w:cs="宋体"/>
          <w:color w:val="auto"/>
        </w:rPr>
        <w:t>承包人在投标文件中采用专利技术的，专利技术的使用费包含在投标报价内。</w:t>
      </w:r>
    </w:p>
    <w:p w14:paraId="29D55F4D">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1.11.3</w:t>
      </w:r>
      <w:r>
        <w:rPr>
          <w:rStyle w:val="31"/>
          <w:rFonts w:hint="eastAsia" w:ascii="宋体" w:hAnsi="宋体" w:eastAsia="宋体" w:cs="宋体"/>
          <w:color w:val="auto"/>
        </w:rPr>
        <w:t>承包人的技术秘密和声明需要保密的资料和信息，发包人和监理人不得为合同以外的目的泄露给他人。</w:t>
      </w:r>
    </w:p>
    <w:p w14:paraId="01AA8938">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1.11.4</w:t>
      </w:r>
      <w:r>
        <w:rPr>
          <w:rStyle w:val="31"/>
          <w:rFonts w:hint="eastAsia" w:ascii="宋体" w:hAnsi="宋体" w:eastAsia="宋体" w:cs="宋体"/>
          <w:color w:val="auto"/>
        </w:rPr>
        <w:t>合同实施过程中，发包人要求承包人采用专利技术的，发包人应办理相应的使用手续，承包人应按发包人约定的条件使用，并承担使用专利技术的相关试验工作。所需的费用由发包人承担。</w:t>
      </w:r>
    </w:p>
    <w:p w14:paraId="54B3C296">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252" w:name="_Toc21439"/>
      <w:bookmarkStart w:id="253" w:name="_Toc29021"/>
      <w:bookmarkStart w:id="254" w:name="bookmark945"/>
      <w:bookmarkStart w:id="255" w:name="_Toc256000018"/>
      <w:bookmarkStart w:id="256" w:name="bookmark946"/>
      <w:bookmarkStart w:id="257" w:name="bookmark947"/>
      <w:r>
        <w:rPr>
          <w:rStyle w:val="31"/>
          <w:rFonts w:hint="eastAsia" w:ascii="宋体" w:hAnsi="宋体" w:eastAsia="宋体" w:cs="宋体"/>
          <w:color w:val="auto"/>
          <w:sz w:val="24"/>
          <w:szCs w:val="24"/>
          <w:lang w:eastAsia="zh-CN"/>
        </w:rPr>
        <w:t>1.12图纸和文件的保密</w:t>
      </w:r>
      <w:bookmarkEnd w:id="252"/>
      <w:bookmarkEnd w:id="253"/>
      <w:bookmarkEnd w:id="254"/>
      <w:bookmarkEnd w:id="255"/>
      <w:bookmarkEnd w:id="256"/>
      <w:bookmarkEnd w:id="257"/>
    </w:p>
    <w:p w14:paraId="6606CD08">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1.12.1</w:t>
      </w:r>
      <w:r>
        <w:rPr>
          <w:rStyle w:val="31"/>
          <w:rFonts w:hint="eastAsia" w:ascii="宋体" w:hAnsi="宋体" w:eastAsia="宋体" w:cs="宋体"/>
          <w:color w:val="auto"/>
        </w:rPr>
        <w:t>发包人提供的图纸和文件，未经发包人同意，承包人不得为合同以外的目的泄露给他人或公开发表与引用。</w:t>
      </w:r>
    </w:p>
    <w:p w14:paraId="4B194D6C">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1.12.2</w:t>
      </w:r>
      <w:r>
        <w:rPr>
          <w:rStyle w:val="31"/>
          <w:rFonts w:hint="eastAsia" w:ascii="宋体" w:hAnsi="宋体" w:eastAsia="宋体" w:cs="宋体"/>
          <w:color w:val="auto"/>
        </w:rPr>
        <w:t>承包人提供的文件，未经承包人同意，发包人和监理人不得为合同以外的目的泄露给他人或公开发表与引用。</w:t>
      </w:r>
    </w:p>
    <w:p w14:paraId="5BB12AE7">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lang w:eastAsia="zh-CN"/>
        </w:rPr>
      </w:pPr>
      <w:bookmarkStart w:id="258" w:name="bookmark950"/>
      <w:bookmarkEnd w:id="258"/>
      <w:bookmarkStart w:id="259" w:name="_Toc3842"/>
      <w:bookmarkStart w:id="260" w:name="bookmark948"/>
      <w:bookmarkStart w:id="261" w:name="_Toc16330"/>
      <w:bookmarkStart w:id="262" w:name="_Toc256000019"/>
      <w:bookmarkStart w:id="263" w:name="bookmark951"/>
      <w:bookmarkStart w:id="264" w:name="bookmark949"/>
      <w:r>
        <w:rPr>
          <w:rStyle w:val="31"/>
          <w:rFonts w:hint="eastAsia" w:ascii="宋体" w:hAnsi="宋体" w:eastAsia="宋体" w:cs="宋体"/>
          <w:color w:val="auto"/>
          <w:lang w:eastAsia="zh-CN"/>
        </w:rPr>
        <w:t>2.发包人义务</w:t>
      </w:r>
      <w:bookmarkEnd w:id="259"/>
      <w:bookmarkEnd w:id="260"/>
      <w:bookmarkEnd w:id="261"/>
      <w:bookmarkEnd w:id="262"/>
      <w:bookmarkEnd w:id="263"/>
      <w:bookmarkEnd w:id="264"/>
    </w:p>
    <w:p w14:paraId="6FE43291">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265" w:name="_Toc19875"/>
      <w:bookmarkStart w:id="266" w:name="bookmark952"/>
      <w:bookmarkStart w:id="267" w:name="_Toc256000020"/>
      <w:bookmarkStart w:id="268" w:name="_Toc27192"/>
      <w:bookmarkStart w:id="269" w:name="bookmark953"/>
      <w:bookmarkStart w:id="270" w:name="bookmark954"/>
      <w:r>
        <w:rPr>
          <w:rStyle w:val="31"/>
          <w:rFonts w:hint="eastAsia" w:ascii="宋体" w:hAnsi="宋体" w:eastAsia="宋体" w:cs="宋体"/>
          <w:color w:val="auto"/>
          <w:sz w:val="24"/>
          <w:szCs w:val="24"/>
          <w:lang w:eastAsia="zh-CN"/>
        </w:rPr>
        <w:t>2.1遵守法律</w:t>
      </w:r>
      <w:bookmarkEnd w:id="265"/>
      <w:bookmarkEnd w:id="266"/>
      <w:bookmarkEnd w:id="267"/>
      <w:bookmarkEnd w:id="268"/>
      <w:bookmarkEnd w:id="269"/>
      <w:bookmarkEnd w:id="270"/>
    </w:p>
    <w:p w14:paraId="7BE06680">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发包人在履行合同过程中应遵守法律，并保证承包人免于承担因发包人违反法律而引 起的任何责任。</w:t>
      </w:r>
    </w:p>
    <w:p w14:paraId="701BBBF8">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271" w:name="bookmark956"/>
      <w:bookmarkStart w:id="272" w:name="bookmark957"/>
      <w:bookmarkStart w:id="273" w:name="_Toc256000021"/>
      <w:bookmarkStart w:id="274" w:name="_Toc15166"/>
      <w:bookmarkStart w:id="275" w:name="bookmark955"/>
      <w:bookmarkStart w:id="276" w:name="_Toc16693"/>
      <w:r>
        <w:rPr>
          <w:rStyle w:val="31"/>
          <w:rFonts w:hint="eastAsia" w:ascii="宋体" w:hAnsi="宋体" w:eastAsia="宋体" w:cs="宋体"/>
          <w:color w:val="auto"/>
          <w:sz w:val="24"/>
          <w:szCs w:val="24"/>
          <w:lang w:eastAsia="zh-CN"/>
        </w:rPr>
        <w:t>2.2发出开工通知</w:t>
      </w:r>
      <w:bookmarkEnd w:id="271"/>
      <w:bookmarkEnd w:id="272"/>
      <w:bookmarkEnd w:id="273"/>
      <w:bookmarkEnd w:id="274"/>
      <w:bookmarkEnd w:id="275"/>
      <w:bookmarkEnd w:id="276"/>
    </w:p>
    <w:p w14:paraId="639D4A48">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rPr>
        <w:t>发包人应委托监理人按第</w:t>
      </w:r>
      <w:r>
        <w:rPr>
          <w:rStyle w:val="31"/>
          <w:rFonts w:hint="eastAsia" w:ascii="宋体" w:hAnsi="宋体" w:eastAsia="宋体" w:cs="宋体"/>
          <w:color w:val="auto"/>
          <w:lang w:val="en-US" w:bidi="en-US"/>
        </w:rPr>
        <w:t xml:space="preserve">H. </w:t>
      </w:r>
      <w:r>
        <w:rPr>
          <w:rStyle w:val="31"/>
          <w:rFonts w:hint="eastAsia" w:ascii="宋体" w:hAnsi="宋体" w:eastAsia="宋体" w:cs="宋体"/>
          <w:color w:val="auto"/>
        </w:rPr>
        <w:t>1款的约定向承包人发出开工通知。</w:t>
      </w:r>
    </w:p>
    <w:p w14:paraId="7BF3239E">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277" w:name="_Toc5643"/>
      <w:bookmarkStart w:id="278" w:name="_Toc25325"/>
      <w:bookmarkStart w:id="279" w:name="_Toc256000022"/>
      <w:bookmarkStart w:id="280" w:name="bookmark958"/>
      <w:bookmarkStart w:id="281" w:name="bookmark959"/>
      <w:bookmarkStart w:id="282" w:name="bookmark960"/>
      <w:r>
        <w:rPr>
          <w:rStyle w:val="31"/>
          <w:rFonts w:hint="eastAsia" w:ascii="宋体" w:hAnsi="宋体" w:eastAsia="宋体" w:cs="宋体"/>
          <w:color w:val="auto"/>
          <w:sz w:val="24"/>
          <w:szCs w:val="24"/>
          <w:lang w:eastAsia="zh-CN"/>
        </w:rPr>
        <w:t>2.3提供施工场地</w:t>
      </w:r>
      <w:bookmarkEnd w:id="277"/>
      <w:bookmarkEnd w:id="278"/>
      <w:bookmarkEnd w:id="279"/>
      <w:bookmarkEnd w:id="280"/>
      <w:bookmarkEnd w:id="281"/>
      <w:bookmarkEnd w:id="282"/>
    </w:p>
    <w:p w14:paraId="393110D3">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2.3.1</w:t>
      </w:r>
      <w:r>
        <w:rPr>
          <w:rStyle w:val="31"/>
          <w:rFonts w:hint="eastAsia" w:ascii="宋体" w:hAnsi="宋体" w:eastAsia="宋体" w:cs="宋体"/>
          <w:color w:val="auto"/>
        </w:rPr>
        <w:t>发包人应在合同双方签定合同协议书后的14天内，将本合同工程的施工场地范围图提交给承包人。发包人提供的施工用地范围图应标明用地范围内永久占地与临时占地的范围和界限，以及指明提供给承包人用于施工场地布置的范围和界限及其有关资料。</w:t>
      </w:r>
    </w:p>
    <w:p w14:paraId="4E26B1F0">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2.3.2</w:t>
      </w:r>
      <w:r>
        <w:rPr>
          <w:rStyle w:val="31"/>
          <w:rFonts w:hint="eastAsia" w:ascii="宋体" w:hAnsi="宋体" w:eastAsia="宋体" w:cs="宋体"/>
          <w:color w:val="auto"/>
        </w:rPr>
        <w:t>发包人提供的施工用地范围在专用合同条款中约定。</w:t>
      </w:r>
    </w:p>
    <w:p w14:paraId="2989C067">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2.3.3</w:t>
      </w:r>
      <w:r>
        <w:rPr>
          <w:rStyle w:val="31"/>
          <w:rFonts w:hint="eastAsia" w:ascii="宋体" w:hAnsi="宋体" w:eastAsia="宋体" w:cs="宋体"/>
          <w:color w:val="auto"/>
        </w:rPr>
        <w:t>除专用合同条款另有约定外，发包人应按技术标准和要求（合同技术条款）的约定，向承包人提供施工场地内的工程地质图纸和报告，以及地下障碍物图纸等施工场地有关资料，并保证资料的真实、准确、完整。</w:t>
      </w:r>
    </w:p>
    <w:p w14:paraId="31703680">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283" w:name="bookmark962"/>
      <w:bookmarkStart w:id="284" w:name="_Toc3862"/>
      <w:bookmarkStart w:id="285" w:name="_Toc256000023"/>
      <w:bookmarkStart w:id="286" w:name="bookmark963"/>
      <w:bookmarkStart w:id="287" w:name="_Toc14473"/>
      <w:bookmarkStart w:id="288" w:name="bookmark961"/>
      <w:r>
        <w:rPr>
          <w:rStyle w:val="31"/>
          <w:rFonts w:hint="eastAsia" w:ascii="宋体" w:hAnsi="宋体" w:eastAsia="宋体" w:cs="宋体"/>
          <w:color w:val="auto"/>
          <w:sz w:val="24"/>
          <w:szCs w:val="24"/>
          <w:lang w:eastAsia="zh-CN"/>
        </w:rPr>
        <w:t>2.4协助承包人办理证件和批件</w:t>
      </w:r>
      <w:bookmarkEnd w:id="283"/>
      <w:bookmarkEnd w:id="284"/>
      <w:bookmarkEnd w:id="285"/>
      <w:bookmarkEnd w:id="286"/>
      <w:bookmarkEnd w:id="287"/>
      <w:bookmarkEnd w:id="288"/>
    </w:p>
    <w:p w14:paraId="2FC9F5C7">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rPr>
        <w:t>发包人应协助承包人办理法律规定的有关施工证件和批件。</w:t>
      </w:r>
    </w:p>
    <w:p w14:paraId="6629496C">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289" w:name="bookmark964"/>
      <w:bookmarkStart w:id="290" w:name="_Toc15085"/>
      <w:bookmarkStart w:id="291" w:name="bookmark965"/>
      <w:bookmarkStart w:id="292" w:name="bookmark966"/>
      <w:bookmarkStart w:id="293" w:name="_Toc27327"/>
      <w:bookmarkStart w:id="294" w:name="_Toc256000024"/>
      <w:r>
        <w:rPr>
          <w:rStyle w:val="31"/>
          <w:rFonts w:hint="eastAsia" w:ascii="宋体" w:hAnsi="宋体" w:eastAsia="宋体" w:cs="宋体"/>
          <w:color w:val="auto"/>
          <w:sz w:val="24"/>
          <w:szCs w:val="24"/>
          <w:lang w:eastAsia="zh-CN"/>
        </w:rPr>
        <w:t>2.5组织设计交底</w:t>
      </w:r>
      <w:bookmarkEnd w:id="289"/>
      <w:bookmarkEnd w:id="290"/>
      <w:bookmarkEnd w:id="291"/>
      <w:bookmarkEnd w:id="292"/>
      <w:bookmarkEnd w:id="293"/>
      <w:bookmarkEnd w:id="294"/>
    </w:p>
    <w:p w14:paraId="628AFB4F">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rPr>
        <w:t>发包人应根据合同进度计划，组织设计单位向承包人进行设计交底。</w:t>
      </w:r>
    </w:p>
    <w:p w14:paraId="4C65BAB1">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295" w:name="_Toc15125"/>
      <w:bookmarkStart w:id="296" w:name="_Toc11916"/>
      <w:bookmarkStart w:id="297" w:name="bookmark968"/>
      <w:bookmarkStart w:id="298" w:name="bookmark969"/>
      <w:bookmarkStart w:id="299" w:name="_Toc256000025"/>
      <w:bookmarkStart w:id="300" w:name="bookmark967"/>
      <w:r>
        <w:rPr>
          <w:rStyle w:val="31"/>
          <w:rFonts w:hint="eastAsia" w:ascii="宋体" w:hAnsi="宋体" w:eastAsia="宋体" w:cs="宋体"/>
          <w:color w:val="auto"/>
          <w:sz w:val="24"/>
          <w:szCs w:val="24"/>
          <w:lang w:eastAsia="zh-CN"/>
        </w:rPr>
        <w:t>2.6支付合同价款</w:t>
      </w:r>
      <w:bookmarkEnd w:id="295"/>
      <w:bookmarkEnd w:id="296"/>
      <w:bookmarkEnd w:id="297"/>
      <w:bookmarkEnd w:id="298"/>
      <w:bookmarkEnd w:id="299"/>
      <w:bookmarkEnd w:id="300"/>
    </w:p>
    <w:p w14:paraId="05B6016F">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rPr>
        <w:t>发包人应按合同约定向承包人及时支付合同价款。</w:t>
      </w:r>
    </w:p>
    <w:p w14:paraId="3C4303C1">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301" w:name="_Toc5624"/>
      <w:bookmarkStart w:id="302" w:name="bookmark971"/>
      <w:bookmarkStart w:id="303" w:name="_Toc256000026"/>
      <w:bookmarkStart w:id="304" w:name="bookmark972"/>
      <w:bookmarkStart w:id="305" w:name="bookmark970"/>
      <w:bookmarkStart w:id="306" w:name="_Toc14608"/>
      <w:r>
        <w:rPr>
          <w:rStyle w:val="31"/>
          <w:rFonts w:hint="eastAsia" w:ascii="宋体" w:hAnsi="宋体" w:eastAsia="宋体" w:cs="宋体"/>
          <w:color w:val="auto"/>
          <w:sz w:val="24"/>
          <w:szCs w:val="24"/>
          <w:lang w:eastAsia="zh-CN"/>
        </w:rPr>
        <w:t>2.7组织竣工验收（组织法人验收）</w:t>
      </w:r>
      <w:bookmarkEnd w:id="301"/>
      <w:bookmarkEnd w:id="302"/>
      <w:bookmarkEnd w:id="303"/>
      <w:bookmarkEnd w:id="304"/>
      <w:bookmarkEnd w:id="305"/>
      <w:bookmarkEnd w:id="306"/>
    </w:p>
    <w:p w14:paraId="1205F42F">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rPr>
        <w:t>发包人应按合同约定及时组织法人验收。</w:t>
      </w:r>
    </w:p>
    <w:p w14:paraId="328A7BFD">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307" w:name="bookmark974"/>
      <w:bookmarkStart w:id="308" w:name="bookmark973"/>
      <w:bookmarkStart w:id="309" w:name="bookmark975"/>
      <w:bookmarkStart w:id="310" w:name="_Toc256000027"/>
      <w:bookmarkStart w:id="311" w:name="_Toc16585"/>
      <w:bookmarkStart w:id="312" w:name="_Toc26461"/>
      <w:r>
        <w:rPr>
          <w:rStyle w:val="31"/>
          <w:rFonts w:hint="eastAsia" w:ascii="宋体" w:hAnsi="宋体" w:eastAsia="宋体" w:cs="宋体"/>
          <w:color w:val="auto"/>
          <w:sz w:val="24"/>
          <w:szCs w:val="24"/>
          <w:lang w:eastAsia="zh-CN"/>
        </w:rPr>
        <w:t>2.8其它义务</w:t>
      </w:r>
      <w:bookmarkEnd w:id="307"/>
      <w:bookmarkEnd w:id="308"/>
      <w:bookmarkEnd w:id="309"/>
      <w:bookmarkEnd w:id="310"/>
      <w:bookmarkEnd w:id="311"/>
      <w:bookmarkEnd w:id="312"/>
    </w:p>
    <w:p w14:paraId="1A5EA95F">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rPr>
        <w:t>其它义务在专用合同条款中补充约定。</w:t>
      </w:r>
    </w:p>
    <w:p w14:paraId="3192EF91">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lang w:eastAsia="zh-CN"/>
        </w:rPr>
      </w:pPr>
      <w:bookmarkStart w:id="313" w:name="bookmark976"/>
      <w:bookmarkStart w:id="314" w:name="bookmark977"/>
      <w:bookmarkStart w:id="315" w:name="bookmark978"/>
      <w:bookmarkStart w:id="316" w:name="_Toc25929"/>
      <w:bookmarkStart w:id="317" w:name="_Toc256000028"/>
      <w:bookmarkStart w:id="318" w:name="_Toc17454"/>
      <w:r>
        <w:rPr>
          <w:rStyle w:val="31"/>
          <w:rFonts w:hint="eastAsia" w:ascii="宋体" w:hAnsi="宋体" w:eastAsia="宋体" w:cs="宋体"/>
          <w:color w:val="auto"/>
          <w:lang w:eastAsia="zh-CN"/>
        </w:rPr>
        <w:t>3.监理人</w:t>
      </w:r>
      <w:bookmarkEnd w:id="313"/>
      <w:bookmarkEnd w:id="314"/>
      <w:bookmarkEnd w:id="315"/>
      <w:bookmarkEnd w:id="316"/>
      <w:bookmarkEnd w:id="317"/>
      <w:bookmarkEnd w:id="318"/>
    </w:p>
    <w:p w14:paraId="0809A7EA">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319" w:name="_Toc28768"/>
      <w:bookmarkStart w:id="320" w:name="_Toc5442"/>
      <w:bookmarkStart w:id="321" w:name="bookmark981"/>
      <w:bookmarkStart w:id="322" w:name="bookmark980"/>
      <w:bookmarkStart w:id="323" w:name="bookmark979"/>
      <w:bookmarkStart w:id="324" w:name="_Toc256000029"/>
      <w:r>
        <w:rPr>
          <w:rStyle w:val="31"/>
          <w:rFonts w:hint="eastAsia" w:ascii="宋体" w:hAnsi="宋体" w:eastAsia="宋体" w:cs="宋体"/>
          <w:color w:val="auto"/>
          <w:sz w:val="24"/>
          <w:szCs w:val="24"/>
          <w:lang w:eastAsia="zh-CN"/>
        </w:rPr>
        <w:t>3.1监理人的职责和权利</w:t>
      </w:r>
      <w:bookmarkEnd w:id="319"/>
      <w:bookmarkEnd w:id="320"/>
      <w:bookmarkEnd w:id="321"/>
      <w:bookmarkEnd w:id="322"/>
      <w:bookmarkEnd w:id="323"/>
      <w:bookmarkEnd w:id="324"/>
    </w:p>
    <w:p w14:paraId="372B0F58">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3.1.1</w:t>
      </w:r>
      <w:r>
        <w:rPr>
          <w:rStyle w:val="31"/>
          <w:rFonts w:hint="eastAsia" w:ascii="宋体" w:hAnsi="宋体" w:eastAsia="宋体" w:cs="宋体"/>
          <w:color w:val="auto"/>
        </w:rPr>
        <w:t>监理人受发包人的委托，享有合同约定的权力。监理人的权力范围在专用合同条款中约定。当监理人认为出现了危及生命、工程或毗邻财产等安全的紧急事件时，在不免除合同约定的承包人责任的情况下，监理人可以指示承包人实施为消除或减少这种危险 所必须进行的工作，即使没有发包人的事先批准，承包人也应立即遵照执行。监理人应按 第15条的约定增加相应的费用，并通知承包人。</w:t>
      </w:r>
    </w:p>
    <w:p w14:paraId="26EB7F61">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3.1.2</w:t>
      </w:r>
      <w:r>
        <w:rPr>
          <w:rStyle w:val="31"/>
          <w:rFonts w:hint="eastAsia" w:ascii="宋体" w:hAnsi="宋体" w:eastAsia="宋体" w:cs="宋体"/>
          <w:color w:val="auto"/>
        </w:rPr>
        <w:t>监理人发出的任何指示应视为已得到发包人的批准，但监理人无权免除或变更合同约定的发包人和承包人的权利、义务和责任。</w:t>
      </w:r>
    </w:p>
    <w:p w14:paraId="7B18C6F6">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3.1.3</w:t>
      </w:r>
      <w:r>
        <w:rPr>
          <w:rStyle w:val="31"/>
          <w:rFonts w:hint="eastAsia" w:ascii="宋体" w:hAnsi="宋体" w:eastAsia="宋体" w:cs="宋体"/>
          <w:color w:val="auto"/>
        </w:rPr>
        <w:t>合同约定应由承包人承担的义务和责任，不因监理人对承包人提交文件的审查或批准，对工程、材料和设备的检查和检验，以及为实施监理作出的指示等职务行为而减轻或解除。</w:t>
      </w:r>
    </w:p>
    <w:p w14:paraId="444D3C84">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325" w:name="_Toc20317"/>
      <w:bookmarkStart w:id="326" w:name="bookmark984"/>
      <w:bookmarkStart w:id="327" w:name="bookmark982"/>
      <w:bookmarkStart w:id="328" w:name="bookmark983"/>
      <w:bookmarkStart w:id="329" w:name="_Toc28424"/>
      <w:bookmarkStart w:id="330" w:name="_Toc256000030"/>
      <w:r>
        <w:rPr>
          <w:rStyle w:val="31"/>
          <w:rFonts w:hint="eastAsia" w:ascii="宋体" w:hAnsi="宋体" w:eastAsia="宋体" w:cs="宋体"/>
          <w:color w:val="auto"/>
          <w:sz w:val="24"/>
          <w:szCs w:val="24"/>
          <w:lang w:eastAsia="zh-CN"/>
        </w:rPr>
        <w:t>3.2总监理工程师</w:t>
      </w:r>
      <w:bookmarkEnd w:id="325"/>
      <w:bookmarkEnd w:id="326"/>
      <w:bookmarkEnd w:id="327"/>
      <w:bookmarkEnd w:id="328"/>
      <w:bookmarkEnd w:id="329"/>
      <w:bookmarkEnd w:id="330"/>
    </w:p>
    <w:p w14:paraId="3ED86CFA">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发包人应在发出开工通知前将总监理工程师的任命通知承包人。总监理工程师更换时, 应在调离14天前通知承包人。总监理工程师短期离开施工场地的，应委派代表代行其职 责，并通知承包人。</w:t>
      </w:r>
    </w:p>
    <w:p w14:paraId="10D3A6A1">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331" w:name="bookmark985"/>
      <w:bookmarkStart w:id="332" w:name="_Toc13884"/>
      <w:bookmarkStart w:id="333" w:name="bookmark986"/>
      <w:bookmarkStart w:id="334" w:name="bookmark987"/>
      <w:bookmarkStart w:id="335" w:name="_Toc11573"/>
      <w:bookmarkStart w:id="336" w:name="_Toc256000031"/>
      <w:r>
        <w:rPr>
          <w:rStyle w:val="31"/>
          <w:rFonts w:hint="eastAsia" w:ascii="宋体" w:hAnsi="宋体" w:eastAsia="宋体" w:cs="宋体"/>
          <w:color w:val="auto"/>
          <w:sz w:val="24"/>
          <w:szCs w:val="24"/>
          <w:lang w:eastAsia="zh-CN"/>
        </w:rPr>
        <w:t>3.3监理人员</w:t>
      </w:r>
      <w:bookmarkEnd w:id="331"/>
      <w:bookmarkEnd w:id="332"/>
      <w:bookmarkEnd w:id="333"/>
      <w:bookmarkEnd w:id="334"/>
      <w:bookmarkEnd w:id="335"/>
      <w:bookmarkEnd w:id="336"/>
    </w:p>
    <w:p w14:paraId="1C0F5929">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337" w:name="bookmark988"/>
      <w:bookmarkEnd w:id="337"/>
      <w:r>
        <w:rPr>
          <w:rStyle w:val="31"/>
          <w:rFonts w:hint="eastAsia" w:ascii="宋体" w:hAnsi="宋体" w:eastAsia="宋体" w:cs="宋体"/>
          <w:color w:val="auto"/>
        </w:rPr>
        <w:t>3.3.1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2D1CB384">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3.3.2</w:t>
      </w:r>
      <w:r>
        <w:rPr>
          <w:rStyle w:val="31"/>
          <w:rFonts w:hint="eastAsia" w:ascii="宋体" w:hAnsi="宋体" w:eastAsia="宋体" w:cs="宋体"/>
          <w:color w:val="auto"/>
        </w:rPr>
        <w:t>监理人员对承包人的任何工作、工程或其采用的材料和工程设备未在约定的或合理的期限内提出否定意见的，视为已获批准，但不影响监理人在以后拒绝该项工作、工程、材料或工程设备的权利。</w:t>
      </w:r>
    </w:p>
    <w:p w14:paraId="484850E5">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3.3.3</w:t>
      </w:r>
      <w:r>
        <w:rPr>
          <w:rStyle w:val="31"/>
          <w:rFonts w:hint="eastAsia" w:ascii="宋体" w:hAnsi="宋体" w:eastAsia="宋体" w:cs="宋体"/>
          <w:color w:val="auto"/>
        </w:rPr>
        <w:t>承包人对总监理工程师授权的监理人员发出的指示有疑问的，可向总监理工程师提出书面异议，总监理工程师应在48小时内对该指示予以确认、更改或撤销。</w:t>
      </w:r>
    </w:p>
    <w:p w14:paraId="0FF4E817">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338" w:name="bookmark989"/>
      <w:bookmarkEnd w:id="338"/>
      <w:r>
        <w:rPr>
          <w:rStyle w:val="31"/>
          <w:rFonts w:hint="eastAsia" w:ascii="宋体" w:hAnsi="宋体" w:eastAsia="宋体" w:cs="宋体"/>
          <w:color w:val="auto"/>
        </w:rPr>
        <w:t>3.3.4除专用合同条款另有约定外，总监理工程师不应将第3. 5款约定应由总监理工程师作出确定的权力授权或委托给其他监理人员。</w:t>
      </w:r>
    </w:p>
    <w:p w14:paraId="3F710BC4">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339" w:name="bookmark990"/>
      <w:bookmarkStart w:id="340" w:name="_Toc29343"/>
      <w:bookmarkStart w:id="341" w:name="_Toc28235"/>
      <w:bookmarkStart w:id="342" w:name="bookmark991"/>
      <w:bookmarkStart w:id="343" w:name="_Toc256000032"/>
      <w:bookmarkStart w:id="344" w:name="bookmark992"/>
      <w:r>
        <w:rPr>
          <w:rStyle w:val="31"/>
          <w:rFonts w:hint="eastAsia" w:ascii="宋体" w:hAnsi="宋体" w:eastAsia="宋体" w:cs="宋体"/>
          <w:color w:val="auto"/>
          <w:sz w:val="24"/>
          <w:szCs w:val="24"/>
          <w:lang w:eastAsia="zh-CN"/>
        </w:rPr>
        <w:t>3.4监理人的指示</w:t>
      </w:r>
      <w:bookmarkEnd w:id="339"/>
      <w:bookmarkEnd w:id="340"/>
      <w:bookmarkEnd w:id="341"/>
      <w:bookmarkEnd w:id="342"/>
      <w:bookmarkEnd w:id="343"/>
      <w:bookmarkEnd w:id="344"/>
    </w:p>
    <w:p w14:paraId="59E48C8A">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3.4.</w:t>
      </w:r>
      <w:r>
        <w:rPr>
          <w:rStyle w:val="31"/>
          <w:rFonts w:hint="eastAsia" w:ascii="宋体" w:hAnsi="宋体" w:eastAsia="宋体" w:cs="宋体"/>
          <w:color w:val="auto"/>
        </w:rPr>
        <w:t>1监理人应按第</w:t>
      </w:r>
      <w:r>
        <w:rPr>
          <w:rStyle w:val="31"/>
          <w:rFonts w:hint="eastAsia" w:ascii="宋体" w:hAnsi="宋体" w:eastAsia="宋体" w:cs="宋体"/>
          <w:color w:val="auto"/>
          <w:lang w:val="en-US" w:bidi="en-US"/>
        </w:rPr>
        <w:t xml:space="preserve">3. </w:t>
      </w:r>
      <w:r>
        <w:rPr>
          <w:rStyle w:val="31"/>
          <w:rFonts w:hint="eastAsia" w:ascii="宋体" w:hAnsi="宋体" w:eastAsia="宋体" w:cs="宋体"/>
          <w:color w:val="auto"/>
        </w:rPr>
        <w:t>1款的约定向承包人发出指示，监理人的指示应盖有监理人授权的施工场地机构章，并由总监理工程师或总监理工程师按第</w:t>
      </w:r>
      <w:r>
        <w:rPr>
          <w:rStyle w:val="31"/>
          <w:rFonts w:hint="eastAsia" w:ascii="宋体" w:hAnsi="宋体" w:eastAsia="宋体" w:cs="宋体"/>
          <w:color w:val="auto"/>
          <w:lang w:val="en-US" w:bidi="en-US"/>
        </w:rPr>
        <w:t xml:space="preserve">3. 3. </w:t>
      </w:r>
      <w:r>
        <w:rPr>
          <w:rStyle w:val="31"/>
          <w:rFonts w:hint="eastAsia" w:ascii="宋体" w:hAnsi="宋体" w:eastAsia="宋体" w:cs="宋体"/>
          <w:color w:val="auto"/>
        </w:rPr>
        <w:t>1项约定授权的监理人员签字</w:t>
      </w:r>
      <w:r>
        <w:rPr>
          <w:rStyle w:val="31"/>
          <w:rFonts w:hint="eastAsia" w:ascii="宋体" w:hAnsi="宋体" w:eastAsia="宋体" w:cs="宋体"/>
          <w:color w:val="auto"/>
          <w:lang w:val="en-US" w:bidi="en-US"/>
        </w:rPr>
        <w:t>。</w:t>
      </w:r>
    </w:p>
    <w:p w14:paraId="6F19904A">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3.4.2</w:t>
      </w:r>
      <w:r>
        <w:rPr>
          <w:rStyle w:val="31"/>
          <w:rFonts w:hint="eastAsia" w:ascii="宋体" w:hAnsi="宋体" w:eastAsia="宋体" w:cs="宋体"/>
          <w:color w:val="auto"/>
        </w:rPr>
        <w:t>承包人收到监理人按第</w:t>
      </w:r>
      <w:r>
        <w:rPr>
          <w:rStyle w:val="31"/>
          <w:rFonts w:hint="eastAsia" w:ascii="宋体" w:hAnsi="宋体" w:eastAsia="宋体" w:cs="宋体"/>
          <w:color w:val="auto"/>
          <w:lang w:val="en-US" w:bidi="en-US"/>
        </w:rPr>
        <w:t>3. 4.1</w:t>
      </w:r>
      <w:r>
        <w:rPr>
          <w:rStyle w:val="31"/>
          <w:rFonts w:hint="eastAsia" w:ascii="宋体" w:hAnsi="宋体" w:eastAsia="宋体" w:cs="宋体"/>
          <w:color w:val="auto"/>
        </w:rPr>
        <w:t>项作出的指示后应遵照执行。指示构成变更的，应按第15条处理。</w:t>
      </w:r>
    </w:p>
    <w:p w14:paraId="73BBB66C">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3.4.3</w:t>
      </w:r>
      <w:r>
        <w:rPr>
          <w:rStyle w:val="31"/>
          <w:rFonts w:hint="eastAsia" w:ascii="宋体" w:hAnsi="宋体" w:eastAsia="宋体" w:cs="宋体"/>
          <w:color w:val="auto"/>
        </w:rPr>
        <w:t>在紧急情况下，总监理工程师或被授权的监理人员可以当场签发临时书面指示，承包人应遵照执行。承包人应在收到上述临时书面指示后24小时内，向监理人发出书 面确认函。监理人在收到书面确认函后24小时内未予答复的，该书面确认函应被视为监理人的正式指示。</w:t>
      </w:r>
    </w:p>
    <w:p w14:paraId="6C98D706">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3.4.4</w:t>
      </w:r>
      <w:r>
        <w:rPr>
          <w:rStyle w:val="31"/>
          <w:rFonts w:hint="eastAsia" w:ascii="宋体" w:hAnsi="宋体" w:eastAsia="宋体" w:cs="宋体"/>
          <w:color w:val="auto"/>
        </w:rPr>
        <w:t>除合同另有约定外，承包人只从总监理工程师或按第</w:t>
      </w:r>
      <w:r>
        <w:rPr>
          <w:rStyle w:val="31"/>
          <w:rFonts w:hint="eastAsia" w:ascii="宋体" w:hAnsi="宋体" w:eastAsia="宋体" w:cs="宋体"/>
          <w:color w:val="auto"/>
          <w:lang w:val="en-US" w:bidi="en-US"/>
        </w:rPr>
        <w:t xml:space="preserve">3. 3. </w:t>
      </w:r>
      <w:r>
        <w:rPr>
          <w:rStyle w:val="31"/>
          <w:rFonts w:hint="eastAsia" w:ascii="宋体" w:hAnsi="宋体" w:eastAsia="宋体" w:cs="宋体"/>
          <w:color w:val="auto"/>
        </w:rPr>
        <w:t>1项被授权的监理人员处取得指示。</w:t>
      </w:r>
    </w:p>
    <w:p w14:paraId="3AE6C851">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3.4.5</w:t>
      </w:r>
      <w:r>
        <w:rPr>
          <w:rStyle w:val="31"/>
          <w:rFonts w:hint="eastAsia" w:ascii="宋体" w:hAnsi="宋体" w:eastAsia="宋体" w:cs="宋体"/>
          <w:color w:val="auto"/>
        </w:rPr>
        <w:t>由于监理人未能按合同约定发出指示、指示延误或指示错误而导致承包人费用增加和（或）工期延误的，由发包人承担赔偿责任。</w:t>
      </w:r>
    </w:p>
    <w:p w14:paraId="19EF70FD">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345" w:name="_Toc15164"/>
      <w:bookmarkStart w:id="346" w:name="bookmark995"/>
      <w:bookmarkStart w:id="347" w:name="bookmark994"/>
      <w:bookmarkStart w:id="348" w:name="bookmark993"/>
      <w:bookmarkStart w:id="349" w:name="_Toc22411"/>
      <w:bookmarkStart w:id="350" w:name="_Toc256000033"/>
      <w:r>
        <w:rPr>
          <w:rStyle w:val="31"/>
          <w:rFonts w:hint="eastAsia" w:ascii="宋体" w:hAnsi="宋体" w:eastAsia="宋体" w:cs="宋体"/>
          <w:color w:val="auto"/>
          <w:sz w:val="24"/>
          <w:szCs w:val="24"/>
          <w:lang w:eastAsia="zh-CN"/>
        </w:rPr>
        <w:t>3.5商定或确定</w:t>
      </w:r>
      <w:bookmarkEnd w:id="345"/>
      <w:bookmarkEnd w:id="346"/>
      <w:bookmarkEnd w:id="347"/>
      <w:bookmarkEnd w:id="348"/>
      <w:bookmarkEnd w:id="349"/>
      <w:bookmarkEnd w:id="350"/>
    </w:p>
    <w:p w14:paraId="3E77B8E8">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3.5.1</w:t>
      </w:r>
      <w:r>
        <w:rPr>
          <w:rStyle w:val="31"/>
          <w:rFonts w:hint="eastAsia" w:ascii="宋体" w:hAnsi="宋体" w:eastAsia="宋体" w:cs="宋体"/>
          <w:color w:val="auto"/>
        </w:rPr>
        <w:t>合同约定总监理工程师应按照本款对任何事项进行商定或确定时，总监理工程师应与合同当事人协商，尽量达成一致。不能达成一致的，总监理工程师应认真研究后审慎确定。</w:t>
      </w:r>
    </w:p>
    <w:p w14:paraId="09A48FF4">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3.5.2</w:t>
      </w:r>
      <w:r>
        <w:rPr>
          <w:rStyle w:val="31"/>
          <w:rFonts w:hint="eastAsia" w:ascii="宋体" w:hAnsi="宋体" w:eastAsia="宋体" w:cs="宋体"/>
          <w:color w:val="auto"/>
        </w:rPr>
        <w:t>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 改后的结果执行</w:t>
      </w:r>
      <w:r>
        <w:rPr>
          <w:rStyle w:val="31"/>
          <w:rFonts w:hint="eastAsia" w:ascii="宋体" w:hAnsi="宋体" w:eastAsia="宋体" w:cs="宋体"/>
          <w:color w:val="auto"/>
          <w:lang w:val="en-US" w:bidi="en-US"/>
        </w:rPr>
        <w:t>。</w:t>
      </w:r>
    </w:p>
    <w:p w14:paraId="03DF2C23">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lang w:eastAsia="zh-CN"/>
        </w:rPr>
      </w:pPr>
      <w:bookmarkStart w:id="351" w:name="bookmark996"/>
      <w:bookmarkStart w:id="352" w:name="_Toc30773"/>
      <w:bookmarkStart w:id="353" w:name="bookmark997"/>
      <w:bookmarkStart w:id="354" w:name="_Toc13765"/>
      <w:bookmarkStart w:id="355" w:name="bookmark998"/>
      <w:bookmarkStart w:id="356" w:name="_Toc256000034"/>
      <w:r>
        <w:rPr>
          <w:rStyle w:val="31"/>
          <w:rFonts w:hint="eastAsia" w:ascii="宋体" w:hAnsi="宋体" w:eastAsia="宋体" w:cs="宋体"/>
          <w:color w:val="auto"/>
          <w:lang w:eastAsia="zh-CN"/>
        </w:rPr>
        <w:t>4.承包人</w:t>
      </w:r>
      <w:bookmarkEnd w:id="351"/>
      <w:bookmarkEnd w:id="352"/>
      <w:bookmarkEnd w:id="353"/>
      <w:bookmarkEnd w:id="354"/>
      <w:bookmarkEnd w:id="355"/>
      <w:bookmarkEnd w:id="356"/>
    </w:p>
    <w:p w14:paraId="67E8DE2A">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357" w:name="bookmark999"/>
      <w:bookmarkStart w:id="358" w:name="_Toc11324"/>
      <w:bookmarkStart w:id="359" w:name="_Toc3815"/>
      <w:bookmarkStart w:id="360" w:name="bookmark1001"/>
      <w:bookmarkStart w:id="361" w:name="bookmark1000"/>
      <w:bookmarkStart w:id="362" w:name="_Toc256000035"/>
      <w:r>
        <w:rPr>
          <w:rStyle w:val="31"/>
          <w:rFonts w:hint="eastAsia" w:ascii="宋体" w:hAnsi="宋体" w:eastAsia="宋体" w:cs="宋体"/>
          <w:color w:val="auto"/>
          <w:sz w:val="24"/>
          <w:szCs w:val="24"/>
          <w:lang w:eastAsia="zh-CN"/>
        </w:rPr>
        <w:t>4.1承包人的一般义务</w:t>
      </w:r>
      <w:bookmarkEnd w:id="357"/>
      <w:bookmarkEnd w:id="358"/>
      <w:bookmarkEnd w:id="359"/>
      <w:bookmarkEnd w:id="360"/>
      <w:bookmarkEnd w:id="361"/>
      <w:bookmarkEnd w:id="362"/>
    </w:p>
    <w:p w14:paraId="6D219A6C">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4.1.1</w:t>
      </w:r>
      <w:r>
        <w:rPr>
          <w:rStyle w:val="31"/>
          <w:rFonts w:hint="eastAsia" w:ascii="宋体" w:hAnsi="宋体" w:eastAsia="宋体" w:cs="宋体"/>
          <w:color w:val="auto"/>
        </w:rPr>
        <w:t>遵守法律</w:t>
      </w:r>
    </w:p>
    <w:p w14:paraId="1CDD3236">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承包人在履行合同过程中应遵守法律，并保证发包人免于承担因承包人违反法律而引起的任何责任。</w:t>
      </w:r>
    </w:p>
    <w:p w14:paraId="0160E4C3">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363" w:name="bookmark1002"/>
      <w:bookmarkEnd w:id="363"/>
      <w:r>
        <w:rPr>
          <w:rStyle w:val="31"/>
          <w:rFonts w:hint="eastAsia" w:ascii="宋体" w:hAnsi="宋体" w:eastAsia="宋体" w:cs="宋体"/>
          <w:color w:val="auto"/>
          <w:lang w:val="en-US"/>
        </w:rPr>
        <w:t>4.1.2</w:t>
      </w:r>
      <w:r>
        <w:rPr>
          <w:rStyle w:val="31"/>
          <w:rFonts w:hint="eastAsia" w:ascii="宋体" w:hAnsi="宋体" w:eastAsia="宋体" w:cs="宋体"/>
          <w:color w:val="auto"/>
        </w:rPr>
        <w:t>依法纳税</w:t>
      </w:r>
    </w:p>
    <w:p w14:paraId="680F877A">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承包人应按有关法律规定纳税，应缴纳的税金包括在合同价格内。</w:t>
      </w:r>
    </w:p>
    <w:p w14:paraId="179320C8">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rPr>
        <w:t>4.1.3</w:t>
      </w:r>
      <w:r>
        <w:rPr>
          <w:rStyle w:val="31"/>
          <w:rFonts w:hint="eastAsia" w:ascii="宋体" w:hAnsi="宋体" w:eastAsia="宋体" w:cs="宋体"/>
          <w:color w:val="auto"/>
        </w:rPr>
        <w:t>完成各项承包工作</w:t>
      </w:r>
    </w:p>
    <w:p w14:paraId="3AFD58DB">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承包人应按合同约定以及监理人根据第</w:t>
      </w:r>
      <w:r>
        <w:rPr>
          <w:rStyle w:val="31"/>
          <w:rFonts w:hint="eastAsia" w:ascii="宋体" w:hAnsi="宋体" w:eastAsia="宋体" w:cs="宋体"/>
          <w:color w:val="auto"/>
          <w:lang w:val="en-US" w:bidi="en-US"/>
        </w:rPr>
        <w:t>3.4</w:t>
      </w:r>
      <w:r>
        <w:rPr>
          <w:rStyle w:val="31"/>
          <w:rFonts w:hint="eastAsia" w:ascii="宋体" w:hAnsi="宋体" w:eastAsia="宋体" w:cs="宋体"/>
          <w:color w:val="auto"/>
        </w:rPr>
        <w:t>款作出的指示，实施、完成全部工程，并修补工程中的任何缺陷。除第</w:t>
      </w:r>
      <w:r>
        <w:rPr>
          <w:rStyle w:val="31"/>
          <w:rFonts w:hint="eastAsia" w:ascii="宋体" w:hAnsi="宋体" w:eastAsia="宋体" w:cs="宋体"/>
          <w:color w:val="auto"/>
          <w:lang w:val="en-US" w:bidi="en-US"/>
        </w:rPr>
        <w:t xml:space="preserve">5. </w:t>
      </w:r>
      <w:r>
        <w:rPr>
          <w:rStyle w:val="31"/>
          <w:rFonts w:hint="eastAsia" w:ascii="宋体" w:hAnsi="宋体" w:eastAsia="宋体" w:cs="宋体"/>
          <w:color w:val="auto"/>
        </w:rPr>
        <w:t>2款、第</w:t>
      </w:r>
      <w:r>
        <w:rPr>
          <w:rStyle w:val="31"/>
          <w:rFonts w:hint="eastAsia" w:ascii="宋体" w:hAnsi="宋体" w:eastAsia="宋体" w:cs="宋体"/>
          <w:color w:val="auto"/>
          <w:lang w:val="en-US" w:bidi="en-US"/>
        </w:rPr>
        <w:t xml:space="preserve">6. </w:t>
      </w:r>
      <w:r>
        <w:rPr>
          <w:rStyle w:val="31"/>
          <w:rFonts w:hint="eastAsia" w:ascii="宋体" w:hAnsi="宋体" w:eastAsia="宋体" w:cs="宋体"/>
          <w:color w:val="auto"/>
        </w:rPr>
        <w:t>2款另有约定外，承包人应提供为完成合同工作所需的劳务、材料、施工设备、工程设备和其它物品，并按合同约定负责临时设施的设计、建造、运行、维护、管理和拆除。</w:t>
      </w:r>
    </w:p>
    <w:p w14:paraId="70461200">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rPr>
        <w:t>4.1.4</w:t>
      </w:r>
      <w:r>
        <w:rPr>
          <w:rStyle w:val="31"/>
          <w:rFonts w:hint="eastAsia" w:ascii="宋体" w:hAnsi="宋体" w:eastAsia="宋体" w:cs="宋体"/>
          <w:color w:val="auto"/>
        </w:rPr>
        <w:t>对施工作业和施工方法的完备性负责</w:t>
      </w:r>
    </w:p>
    <w:p w14:paraId="201B4F10">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承包人应按合同约定的工作内容和施工进度要求，编制施工组织设计和施工措施计划，并对所有施工作业和施工方法的完备性和安全可靠性负责。</w:t>
      </w:r>
    </w:p>
    <w:p w14:paraId="0BD80182">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rPr>
        <w:t>4.1.5</w:t>
      </w:r>
      <w:r>
        <w:rPr>
          <w:rStyle w:val="31"/>
          <w:rFonts w:hint="eastAsia" w:ascii="宋体" w:hAnsi="宋体" w:eastAsia="宋体" w:cs="宋体"/>
          <w:color w:val="auto"/>
        </w:rPr>
        <w:t>保证工程施工和人员的安全</w:t>
      </w:r>
    </w:p>
    <w:p w14:paraId="4474D413">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承包人应按第</w:t>
      </w:r>
      <w:r>
        <w:rPr>
          <w:rStyle w:val="31"/>
          <w:rFonts w:hint="eastAsia" w:ascii="宋体" w:hAnsi="宋体" w:eastAsia="宋体" w:cs="宋体"/>
          <w:color w:val="auto"/>
          <w:lang w:val="en-US" w:bidi="en-US"/>
        </w:rPr>
        <w:t xml:space="preserve">9. </w:t>
      </w:r>
      <w:r>
        <w:rPr>
          <w:rStyle w:val="31"/>
          <w:rFonts w:hint="eastAsia" w:ascii="宋体" w:hAnsi="宋体" w:eastAsia="宋体" w:cs="宋体"/>
          <w:color w:val="auto"/>
        </w:rPr>
        <w:t>2款约定采取施工安全措施，确保工程及其人员、材料、设备和设施的安全，防止因工程施工造成的人身伤害和财产损失。</w:t>
      </w:r>
    </w:p>
    <w:p w14:paraId="3DACB0C4">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364" w:name="bookmark1003"/>
      <w:bookmarkEnd w:id="364"/>
      <w:r>
        <w:rPr>
          <w:rStyle w:val="31"/>
          <w:rFonts w:hint="eastAsia" w:ascii="宋体" w:hAnsi="宋体" w:eastAsia="宋体" w:cs="宋体"/>
          <w:color w:val="auto"/>
          <w:lang w:val="en-US"/>
        </w:rPr>
        <w:t>4.1.6</w:t>
      </w:r>
      <w:r>
        <w:rPr>
          <w:rStyle w:val="31"/>
          <w:rFonts w:hint="eastAsia" w:ascii="宋体" w:hAnsi="宋体" w:eastAsia="宋体" w:cs="宋体"/>
          <w:color w:val="auto"/>
        </w:rPr>
        <w:t>负责施工场地及其周边环境与生态的保护工作</w:t>
      </w:r>
    </w:p>
    <w:p w14:paraId="12B6373A">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承包人应按照第</w:t>
      </w:r>
      <w:r>
        <w:rPr>
          <w:rStyle w:val="31"/>
          <w:rFonts w:hint="eastAsia" w:ascii="宋体" w:hAnsi="宋体" w:eastAsia="宋体" w:cs="宋体"/>
          <w:color w:val="auto"/>
          <w:lang w:val="en-US" w:bidi="en-US"/>
        </w:rPr>
        <w:t>9.4</w:t>
      </w:r>
      <w:r>
        <w:rPr>
          <w:rStyle w:val="31"/>
          <w:rFonts w:hint="eastAsia" w:ascii="宋体" w:hAnsi="宋体" w:eastAsia="宋体" w:cs="宋体"/>
          <w:color w:val="auto"/>
        </w:rPr>
        <w:t>款约定负责施工场地及其周边环境与生态的保护工作。</w:t>
      </w:r>
    </w:p>
    <w:p w14:paraId="0E6E75C0">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rPr>
        <w:t xml:space="preserve">4. 1. </w:t>
      </w:r>
      <w:r>
        <w:rPr>
          <w:rStyle w:val="31"/>
          <w:rFonts w:hint="eastAsia" w:ascii="宋体" w:hAnsi="宋体" w:eastAsia="宋体" w:cs="宋体"/>
          <w:color w:val="auto"/>
        </w:rPr>
        <w:t>7避免施工对公众与他人的利益造成损害</w:t>
      </w:r>
    </w:p>
    <w:p w14:paraId="3EE0F3A5">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承包人在进行合同约定的各项工作时，不得侵害发包人与他人使用公用道路、水源、 市政管网等公共设施的权利，避免对邻近的公共设施产生干扰。承包人占用或使用他人的施工场地，影响他人作业或生活的，应承担相应责任。</w:t>
      </w:r>
    </w:p>
    <w:p w14:paraId="6ED960C2">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rPr>
        <w:t>4. 1.8</w:t>
      </w:r>
      <w:r>
        <w:rPr>
          <w:rStyle w:val="31"/>
          <w:rFonts w:hint="eastAsia" w:ascii="宋体" w:hAnsi="宋体" w:eastAsia="宋体" w:cs="宋体"/>
          <w:color w:val="auto"/>
        </w:rPr>
        <w:t>为他人提供方便</w:t>
      </w:r>
    </w:p>
    <w:p w14:paraId="218FFA7F">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承包人应按监理人的指示为他人在施工场地或附近实施与工程有关的其他各项工作提供可能的条件。除合同另有约定外，提供有关条件的内容和可能发生的费用，由监理人按 第</w:t>
      </w:r>
      <w:r>
        <w:rPr>
          <w:rStyle w:val="31"/>
          <w:rFonts w:hint="eastAsia" w:ascii="宋体" w:hAnsi="宋体" w:eastAsia="宋体" w:cs="宋体"/>
          <w:color w:val="auto"/>
          <w:lang w:val="en-US" w:bidi="en-US"/>
        </w:rPr>
        <w:t xml:space="preserve">3. </w:t>
      </w:r>
      <w:r>
        <w:rPr>
          <w:rStyle w:val="31"/>
          <w:rFonts w:hint="eastAsia" w:ascii="宋体" w:hAnsi="宋体" w:eastAsia="宋体" w:cs="宋体"/>
          <w:color w:val="auto"/>
        </w:rPr>
        <w:t>5款商定或确定。</w:t>
      </w:r>
    </w:p>
    <w:p w14:paraId="7243AEB6">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rPr>
        <w:t>4.1.9</w:t>
      </w:r>
      <w:r>
        <w:rPr>
          <w:rStyle w:val="31"/>
          <w:rFonts w:hint="eastAsia" w:ascii="宋体" w:hAnsi="宋体" w:eastAsia="宋体" w:cs="宋体"/>
          <w:color w:val="auto"/>
        </w:rPr>
        <w:t>工程的维护和照管</w:t>
      </w:r>
    </w:p>
    <w:p w14:paraId="56990F35">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5718A5F6">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4.1.10其它义务</w:t>
      </w:r>
    </w:p>
    <w:p w14:paraId="2A376379">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其它义务在专用合同条款中补充约定。</w:t>
      </w:r>
    </w:p>
    <w:p w14:paraId="6D9BEFB2">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365" w:name="bookmark1004"/>
      <w:bookmarkStart w:id="366" w:name="_Toc30450"/>
      <w:bookmarkStart w:id="367" w:name="_Toc256000036"/>
      <w:bookmarkStart w:id="368" w:name="_Toc11535"/>
      <w:bookmarkStart w:id="369" w:name="bookmark1006"/>
      <w:bookmarkStart w:id="370" w:name="bookmark1005"/>
      <w:r>
        <w:rPr>
          <w:rStyle w:val="31"/>
          <w:rFonts w:hint="eastAsia" w:ascii="宋体" w:hAnsi="宋体" w:eastAsia="宋体" w:cs="宋体"/>
          <w:color w:val="auto"/>
          <w:sz w:val="24"/>
          <w:szCs w:val="24"/>
          <w:lang w:eastAsia="zh-CN"/>
        </w:rPr>
        <w:t>4.2履约担保</w:t>
      </w:r>
      <w:bookmarkEnd w:id="365"/>
      <w:bookmarkEnd w:id="366"/>
      <w:bookmarkEnd w:id="367"/>
      <w:bookmarkEnd w:id="368"/>
      <w:bookmarkEnd w:id="369"/>
      <w:bookmarkEnd w:id="370"/>
    </w:p>
    <w:p w14:paraId="246AD189">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承包人应保证其履约担保在发包人颁发合同工程完工证书前一直有效。发包人应在合同工程完工证书颁发后28天内将履约担保退还给承包人。</w:t>
      </w:r>
    </w:p>
    <w:p w14:paraId="1709B128">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371" w:name="_Toc256000037"/>
      <w:bookmarkStart w:id="372" w:name="_Toc14304"/>
      <w:bookmarkStart w:id="373" w:name="_Toc31393"/>
      <w:bookmarkStart w:id="374" w:name="bookmark1007"/>
      <w:bookmarkStart w:id="375" w:name="bookmark1009"/>
      <w:bookmarkStart w:id="376" w:name="bookmark1008"/>
      <w:r>
        <w:rPr>
          <w:rStyle w:val="31"/>
          <w:rFonts w:hint="eastAsia" w:ascii="宋体" w:hAnsi="宋体" w:eastAsia="宋体" w:cs="宋体"/>
          <w:color w:val="auto"/>
          <w:sz w:val="24"/>
          <w:szCs w:val="24"/>
          <w:lang w:eastAsia="zh-CN"/>
        </w:rPr>
        <w:t>4.3分包</w:t>
      </w:r>
      <w:bookmarkEnd w:id="371"/>
      <w:bookmarkEnd w:id="372"/>
      <w:bookmarkEnd w:id="373"/>
      <w:bookmarkEnd w:id="374"/>
      <w:bookmarkEnd w:id="375"/>
      <w:bookmarkEnd w:id="376"/>
    </w:p>
    <w:p w14:paraId="1C0274C0">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4.3.1</w:t>
      </w:r>
      <w:r>
        <w:rPr>
          <w:rStyle w:val="31"/>
          <w:rFonts w:hint="eastAsia" w:ascii="宋体" w:hAnsi="宋体" w:eastAsia="宋体" w:cs="宋体"/>
          <w:color w:val="auto"/>
        </w:rPr>
        <w:t>承包人不得将其承包的全部工程转包给第三人，或将其承包的全部工程肢解后以分包的名义转包给第三人。</w:t>
      </w:r>
    </w:p>
    <w:p w14:paraId="0A4697CF">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4.3.2</w:t>
      </w:r>
      <w:r>
        <w:rPr>
          <w:rStyle w:val="31"/>
          <w:rFonts w:hint="eastAsia" w:ascii="宋体" w:hAnsi="宋体" w:eastAsia="宋体" w:cs="宋体"/>
          <w:color w:val="auto"/>
        </w:rPr>
        <w:t>承包人不得将工程主体、关键性工作分包给第三人。除专用合同条款另有约定外，未经发包人同意，承包人不得将工程的其他部分或工作分包给第三人。</w:t>
      </w:r>
    </w:p>
    <w:p w14:paraId="6475CF6E">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4.3.</w:t>
      </w:r>
      <w:r>
        <w:rPr>
          <w:rStyle w:val="31"/>
          <w:rFonts w:hint="eastAsia" w:ascii="宋体" w:hAnsi="宋体" w:eastAsia="宋体" w:cs="宋体"/>
          <w:color w:val="auto"/>
        </w:rPr>
        <w:t>3分包人的资格能力应与其分包工程的标准和规模相适应。</w:t>
      </w:r>
    </w:p>
    <w:p w14:paraId="53A21028">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4.3.4</w:t>
      </w:r>
      <w:r>
        <w:rPr>
          <w:rStyle w:val="31"/>
          <w:rFonts w:hint="eastAsia" w:ascii="宋体" w:hAnsi="宋体" w:eastAsia="宋体" w:cs="宋体"/>
          <w:color w:val="auto"/>
        </w:rPr>
        <w:t>按投标函附录约定分包工程的，承包人应向发包人和监理人提交分包合同 副本。</w:t>
      </w:r>
    </w:p>
    <w:p w14:paraId="5C27C204">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4.3.5</w:t>
      </w:r>
      <w:r>
        <w:rPr>
          <w:rStyle w:val="31"/>
          <w:rFonts w:hint="eastAsia" w:ascii="宋体" w:hAnsi="宋体" w:eastAsia="宋体" w:cs="宋体"/>
          <w:color w:val="auto"/>
        </w:rPr>
        <w:t>承包人应与分包人就分包工程向发包人承担连带责任。</w:t>
      </w:r>
    </w:p>
    <w:p w14:paraId="48AEF2E8">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4.3.6</w:t>
      </w:r>
      <w:r>
        <w:rPr>
          <w:rStyle w:val="31"/>
          <w:rFonts w:hint="eastAsia" w:ascii="宋体" w:hAnsi="宋体" w:eastAsia="宋体" w:cs="宋体"/>
          <w:color w:val="auto"/>
        </w:rPr>
        <w:t>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733BBFF9">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4.3.7</w:t>
      </w:r>
      <w:r>
        <w:rPr>
          <w:rStyle w:val="31"/>
          <w:rFonts w:hint="eastAsia" w:ascii="宋体" w:hAnsi="宋体" w:eastAsia="宋体" w:cs="宋体"/>
          <w:color w:val="auto"/>
        </w:rPr>
        <w:t>在合同实施过程中，如承包人无力在合同规定的期限内完成合同中的应急防 汛、抢险等危及公共安全和工程安全的项目，发包人可对该应急防汛、抢险等项目的部分工程指定分包人。因非承包人原因形成指定分包条件的，发包人的指定分包不得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14:paraId="2FA76F7B">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4.3.8</w:t>
      </w:r>
      <w:r>
        <w:rPr>
          <w:rStyle w:val="31"/>
          <w:rFonts w:hint="eastAsia" w:ascii="宋体" w:hAnsi="宋体" w:eastAsia="宋体" w:cs="宋体"/>
          <w:color w:val="auto"/>
        </w:rPr>
        <w:t>承包人和发包人应当签订分包合同，并履行合同约定的义务。分包合同必须遵循承包合同的各项原则，满足相应条款的要求。发包人可以对分包合同实施情况进行监督检查。承包人应将分包合同副本提交发包人和监理人。</w:t>
      </w:r>
    </w:p>
    <w:p w14:paraId="6CC4300E">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4.3.9</w:t>
      </w:r>
      <w:r>
        <w:rPr>
          <w:rStyle w:val="31"/>
          <w:rFonts w:hint="eastAsia" w:ascii="宋体" w:hAnsi="宋体" w:eastAsia="宋体" w:cs="宋体"/>
          <w:color w:val="auto"/>
        </w:rPr>
        <w:t>除第</w:t>
      </w:r>
      <w:r>
        <w:rPr>
          <w:rStyle w:val="31"/>
          <w:rFonts w:hint="eastAsia" w:ascii="宋体" w:hAnsi="宋体" w:eastAsia="宋体" w:cs="宋体"/>
          <w:color w:val="auto"/>
          <w:lang w:val="en-US" w:bidi="en-US"/>
        </w:rPr>
        <w:t xml:space="preserve">4. 3. </w:t>
      </w:r>
      <w:r>
        <w:rPr>
          <w:rStyle w:val="31"/>
          <w:rFonts w:hint="eastAsia" w:ascii="宋体" w:hAnsi="宋体" w:eastAsia="宋体" w:cs="宋体"/>
          <w:color w:val="auto"/>
        </w:rPr>
        <w:t>7项规定的指定分包外，承包人对其分包项目的实施以及分包人的行为向发包人负全部责任。承包人应对分包项目的工程进度、质量、安全、计量和验收等实施监督和管理。</w:t>
      </w:r>
    </w:p>
    <w:p w14:paraId="1933C879">
      <w:pPr>
        <w:pStyle w:val="95"/>
        <w:pageBreakBefore w:val="0"/>
        <w:widowControl w:val="0"/>
        <w:tabs>
          <w:tab w:val="left" w:pos="736"/>
        </w:tabs>
        <w:kinsoku/>
        <w:wordWrap/>
        <w:overflowPunct/>
        <w:topLinePunct w:val="0"/>
        <w:autoSpaceDE/>
        <w:autoSpaceDN/>
        <w:bidi w:val="0"/>
        <w:adjustRightInd/>
        <w:snapToGrid/>
        <w:spacing w:line="440" w:lineRule="exact"/>
        <w:ind w:left="0" w:leftChars="0" w:firstLine="0"/>
        <w:jc w:val="both"/>
        <w:textAlignment w:val="auto"/>
        <w:rPr>
          <w:rStyle w:val="31"/>
          <w:rFonts w:hint="eastAsia" w:ascii="宋体" w:hAnsi="宋体" w:eastAsia="宋体" w:cs="宋体"/>
          <w:color w:val="auto"/>
        </w:rPr>
      </w:pPr>
      <w:bookmarkStart w:id="377" w:name="bookmark1010"/>
      <w:bookmarkEnd w:id="377"/>
      <w:r>
        <w:rPr>
          <w:rStyle w:val="31"/>
          <w:rFonts w:hint="eastAsia" w:ascii="宋体" w:hAnsi="宋体" w:eastAsia="宋体" w:cs="宋体"/>
          <w:color w:val="auto"/>
          <w:lang w:val="en-US" w:bidi="en-US"/>
        </w:rPr>
        <w:t>4.3.</w:t>
      </w:r>
      <w:r>
        <w:rPr>
          <w:rStyle w:val="31"/>
          <w:rFonts w:hint="eastAsia" w:ascii="宋体" w:hAnsi="宋体" w:eastAsia="宋体" w:cs="宋体"/>
          <w:color w:val="auto"/>
        </w:rPr>
        <w:t>10分包人应按专用合同条款的约定设立项目管理机构组织管理分包工程的施工 活动。</w:t>
      </w:r>
    </w:p>
    <w:p w14:paraId="1C8EAA13">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378" w:name="bookmark1013"/>
      <w:bookmarkStart w:id="379" w:name="bookmark1012"/>
      <w:bookmarkStart w:id="380" w:name="_Toc256000038"/>
      <w:bookmarkStart w:id="381" w:name="_Toc27582"/>
      <w:bookmarkStart w:id="382" w:name="_Toc20891"/>
      <w:bookmarkStart w:id="383" w:name="bookmark1011"/>
      <w:r>
        <w:rPr>
          <w:rStyle w:val="31"/>
          <w:rFonts w:hint="eastAsia" w:ascii="宋体" w:hAnsi="宋体" w:eastAsia="宋体" w:cs="宋体"/>
          <w:color w:val="auto"/>
          <w:sz w:val="24"/>
          <w:szCs w:val="24"/>
          <w:lang w:eastAsia="zh-CN"/>
        </w:rPr>
        <w:t>4.4联合体</w:t>
      </w:r>
      <w:bookmarkEnd w:id="378"/>
      <w:bookmarkEnd w:id="379"/>
      <w:bookmarkEnd w:id="380"/>
      <w:bookmarkEnd w:id="381"/>
      <w:bookmarkEnd w:id="382"/>
      <w:bookmarkEnd w:id="383"/>
    </w:p>
    <w:p w14:paraId="47C86EC1">
      <w:pPr>
        <w:pStyle w:val="95"/>
        <w:pageBreakBefore w:val="0"/>
        <w:widowControl w:val="0"/>
        <w:tabs>
          <w:tab w:val="left" w:pos="738"/>
        </w:tabs>
        <w:kinsoku/>
        <w:wordWrap/>
        <w:overflowPunct/>
        <w:topLinePunct w:val="0"/>
        <w:autoSpaceDE/>
        <w:autoSpaceDN/>
        <w:bidi w:val="0"/>
        <w:adjustRightInd/>
        <w:snapToGrid/>
        <w:spacing w:line="440" w:lineRule="exact"/>
        <w:ind w:left="0" w:leftChars="0" w:firstLine="400" w:firstLineChars="200"/>
        <w:jc w:val="both"/>
        <w:textAlignment w:val="auto"/>
        <w:rPr>
          <w:rStyle w:val="31"/>
          <w:rFonts w:hint="eastAsia" w:ascii="宋体" w:hAnsi="宋体" w:eastAsia="宋体" w:cs="宋体"/>
          <w:color w:val="auto"/>
        </w:rPr>
      </w:pPr>
      <w:bookmarkStart w:id="384" w:name="bookmark1014"/>
      <w:bookmarkEnd w:id="384"/>
      <w:r>
        <w:rPr>
          <w:rStyle w:val="31"/>
          <w:rFonts w:hint="eastAsia" w:ascii="宋体" w:hAnsi="宋体" w:eastAsia="宋体" w:cs="宋体"/>
          <w:color w:val="auto"/>
          <w:lang w:val="en-US" w:bidi="en-US"/>
        </w:rPr>
        <w:t>4.4.1</w:t>
      </w:r>
      <w:r>
        <w:rPr>
          <w:rStyle w:val="31"/>
          <w:rFonts w:hint="eastAsia" w:ascii="宋体" w:hAnsi="宋体" w:eastAsia="宋体" w:cs="宋体"/>
          <w:color w:val="auto"/>
        </w:rPr>
        <w:t>联合体各方应共同与发包人签订合同协议书。联合体各方应为履行合同承担连带责任。</w:t>
      </w:r>
    </w:p>
    <w:p w14:paraId="597F41C1">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4.4.2</w:t>
      </w:r>
      <w:r>
        <w:rPr>
          <w:rStyle w:val="31"/>
          <w:rFonts w:hint="eastAsia" w:ascii="宋体" w:hAnsi="宋体" w:eastAsia="宋体" w:cs="宋体"/>
          <w:color w:val="auto"/>
        </w:rPr>
        <w:t>联合体协议经发包人确认后作为合同附件。在履行合同过程中，未经发包人同意，不得修改联合体协议。</w:t>
      </w:r>
    </w:p>
    <w:p w14:paraId="54BBA183">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4.4.3</w:t>
      </w:r>
      <w:r>
        <w:rPr>
          <w:rStyle w:val="31"/>
          <w:rFonts w:hint="eastAsia" w:ascii="宋体" w:hAnsi="宋体" w:eastAsia="宋体" w:cs="宋体"/>
          <w:color w:val="auto"/>
        </w:rPr>
        <w:t>联合体牵头人负责与发包人和监理人联系，并接受指示，负责组织联合体各成员全面履行合同。</w:t>
      </w:r>
    </w:p>
    <w:p w14:paraId="3B8998EF">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385" w:name="_Toc22472"/>
      <w:bookmarkStart w:id="386" w:name="_Toc256000039"/>
      <w:bookmarkStart w:id="387" w:name="bookmark1017"/>
      <w:bookmarkStart w:id="388" w:name="_Toc27934"/>
      <w:bookmarkStart w:id="389" w:name="bookmark1015"/>
      <w:bookmarkStart w:id="390" w:name="bookmark1016"/>
      <w:r>
        <w:rPr>
          <w:rStyle w:val="31"/>
          <w:rFonts w:hint="eastAsia" w:ascii="宋体" w:hAnsi="宋体" w:eastAsia="宋体" w:cs="宋体"/>
          <w:color w:val="auto"/>
          <w:sz w:val="24"/>
          <w:szCs w:val="24"/>
          <w:lang w:eastAsia="zh-CN"/>
        </w:rPr>
        <w:t>4.5承包人项目经理</w:t>
      </w:r>
      <w:bookmarkEnd w:id="385"/>
      <w:bookmarkEnd w:id="386"/>
      <w:bookmarkEnd w:id="387"/>
      <w:bookmarkEnd w:id="388"/>
      <w:bookmarkEnd w:id="389"/>
      <w:bookmarkEnd w:id="390"/>
    </w:p>
    <w:p w14:paraId="56093231">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4.5.1</w:t>
      </w:r>
      <w:r>
        <w:rPr>
          <w:rStyle w:val="31"/>
          <w:rFonts w:hint="eastAsia" w:ascii="宋体" w:hAnsi="宋体" w:eastAsia="宋体" w:cs="宋体"/>
          <w:color w:val="auto"/>
        </w:rPr>
        <w:t>承包人应按合同约定指派项目经理，并在约定的期限内到职。承包人更换项目经理应事先征得发包人同意，并应在更换14天前通知发包人和监理人。承包人项目经理短 期离开施工场地，应事先征得监理人同意，并委派代表代行其职责。</w:t>
      </w:r>
    </w:p>
    <w:p w14:paraId="04838FE2">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4.5.2</w:t>
      </w:r>
      <w:r>
        <w:rPr>
          <w:rStyle w:val="31"/>
          <w:rFonts w:hint="eastAsia" w:ascii="宋体" w:hAnsi="宋体" w:eastAsia="宋体" w:cs="宋体"/>
          <w:color w:val="auto"/>
        </w:rPr>
        <w:t>承包人项目经理应按合同约定以及监理人按第</w:t>
      </w:r>
      <w:r>
        <w:rPr>
          <w:rStyle w:val="31"/>
          <w:rFonts w:hint="eastAsia" w:ascii="宋体" w:hAnsi="宋体" w:eastAsia="宋体" w:cs="宋体"/>
          <w:color w:val="auto"/>
          <w:lang w:val="en-US" w:bidi="en-US"/>
        </w:rPr>
        <w:t xml:space="preserve">3. </w:t>
      </w:r>
      <w:r>
        <w:rPr>
          <w:rStyle w:val="31"/>
          <w:rFonts w:hint="eastAsia" w:ascii="宋体" w:hAnsi="宋体" w:eastAsia="宋体" w:cs="宋体"/>
          <w:color w:val="auto"/>
        </w:rPr>
        <w:t>4款作出的指示，负责组织合同工程的实施。在情况紧急且无法与监理人取得联系时，可采取保证工程和人员生命财产 安全的紧急措施，并在采取措施后24小时内向监理人提交书面报告。</w:t>
      </w:r>
    </w:p>
    <w:p w14:paraId="06DFF33A">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4.5.</w:t>
      </w:r>
      <w:r>
        <w:rPr>
          <w:rStyle w:val="31"/>
          <w:rFonts w:hint="eastAsia" w:ascii="宋体" w:hAnsi="宋体" w:eastAsia="宋体" w:cs="宋体"/>
          <w:color w:val="auto"/>
        </w:rPr>
        <w:t>3承包人为履行合同发出的一切函件均应盖有承包人授权的施工场地管理机构章，并由承包人项目经理或其授权代表签字。</w:t>
      </w:r>
    </w:p>
    <w:p w14:paraId="09AA393F">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4.5.4</w:t>
      </w:r>
      <w:r>
        <w:rPr>
          <w:rStyle w:val="31"/>
          <w:rFonts w:hint="eastAsia" w:ascii="宋体" w:hAnsi="宋体" w:eastAsia="宋体" w:cs="宋体"/>
          <w:color w:val="auto"/>
        </w:rPr>
        <w:t>承包人项目经理可以授权其下属人员履行其某项职责，但事先应将这些人员的姓名和授权范围通知监理人。</w:t>
      </w:r>
    </w:p>
    <w:p w14:paraId="2800B9EA">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391" w:name="_Toc256000040"/>
      <w:bookmarkStart w:id="392" w:name="_Toc1095"/>
      <w:bookmarkStart w:id="393" w:name="bookmark1020"/>
      <w:bookmarkStart w:id="394" w:name="_Toc20561"/>
      <w:bookmarkStart w:id="395" w:name="bookmark1018"/>
      <w:bookmarkStart w:id="396" w:name="bookmark1019"/>
      <w:r>
        <w:rPr>
          <w:rStyle w:val="31"/>
          <w:rFonts w:hint="eastAsia" w:ascii="宋体" w:hAnsi="宋体" w:eastAsia="宋体" w:cs="宋体"/>
          <w:color w:val="auto"/>
          <w:sz w:val="24"/>
          <w:szCs w:val="24"/>
          <w:lang w:eastAsia="zh-CN"/>
        </w:rPr>
        <w:t>4.6承包人人员的管理</w:t>
      </w:r>
      <w:bookmarkEnd w:id="391"/>
      <w:bookmarkEnd w:id="392"/>
      <w:bookmarkEnd w:id="393"/>
      <w:bookmarkEnd w:id="394"/>
      <w:bookmarkEnd w:id="395"/>
      <w:bookmarkEnd w:id="396"/>
    </w:p>
    <w:p w14:paraId="18189672">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4.6.1</w:t>
      </w:r>
      <w:r>
        <w:rPr>
          <w:rStyle w:val="31"/>
          <w:rFonts w:hint="eastAsia" w:ascii="宋体" w:hAnsi="宋体" w:eastAsia="宋体" w:cs="宋体"/>
          <w:color w:val="auto"/>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698E6398">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4.6.2</w:t>
      </w:r>
      <w:r>
        <w:rPr>
          <w:rStyle w:val="31"/>
          <w:rFonts w:hint="eastAsia" w:ascii="宋体" w:hAnsi="宋体" w:eastAsia="宋体" w:cs="宋体"/>
          <w:color w:val="auto"/>
        </w:rPr>
        <w:t>为完成合同约定的各项工作，承包人应向施工场地派遣或雇佣足够数量的下列 人员：</w:t>
      </w:r>
    </w:p>
    <w:p w14:paraId="27EF00DD">
      <w:pPr>
        <w:pStyle w:val="95"/>
        <w:pageBreakBefore w:val="0"/>
        <w:widowControl w:val="0"/>
        <w:numPr>
          <w:ilvl w:val="0"/>
          <w:numId w:val="8"/>
        </w:numPr>
        <w:tabs>
          <w:tab w:val="left" w:pos="899"/>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397" w:name="bookmark1021"/>
      <w:bookmarkEnd w:id="397"/>
      <w:r>
        <w:rPr>
          <w:rStyle w:val="31"/>
          <w:rFonts w:hint="eastAsia" w:ascii="宋体" w:hAnsi="宋体" w:eastAsia="宋体" w:cs="宋体"/>
          <w:color w:val="auto"/>
        </w:rPr>
        <w:t>具有相应资格的专业技工和合格的普工；</w:t>
      </w:r>
    </w:p>
    <w:p w14:paraId="0BBCDDCC">
      <w:pPr>
        <w:pStyle w:val="95"/>
        <w:pageBreakBefore w:val="0"/>
        <w:widowControl w:val="0"/>
        <w:numPr>
          <w:ilvl w:val="0"/>
          <w:numId w:val="8"/>
        </w:numPr>
        <w:tabs>
          <w:tab w:val="left" w:pos="899"/>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398" w:name="bookmark1022"/>
      <w:bookmarkEnd w:id="398"/>
      <w:r>
        <w:rPr>
          <w:rStyle w:val="31"/>
          <w:rFonts w:hint="eastAsia" w:ascii="宋体" w:hAnsi="宋体" w:eastAsia="宋体" w:cs="宋体"/>
          <w:color w:val="auto"/>
        </w:rPr>
        <w:t>具有相应施工经验的技术人员；</w:t>
      </w:r>
    </w:p>
    <w:p w14:paraId="7C811A38">
      <w:pPr>
        <w:pStyle w:val="95"/>
        <w:pageBreakBefore w:val="0"/>
        <w:widowControl w:val="0"/>
        <w:numPr>
          <w:ilvl w:val="0"/>
          <w:numId w:val="8"/>
        </w:numPr>
        <w:tabs>
          <w:tab w:val="left" w:pos="899"/>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399" w:name="bookmark1023"/>
      <w:bookmarkEnd w:id="399"/>
      <w:r>
        <w:rPr>
          <w:rStyle w:val="31"/>
          <w:rFonts w:hint="eastAsia" w:ascii="宋体" w:hAnsi="宋体" w:eastAsia="宋体" w:cs="宋体"/>
          <w:color w:val="auto"/>
        </w:rPr>
        <w:t>具有相应岗位资格的各级管理人员。</w:t>
      </w:r>
    </w:p>
    <w:p w14:paraId="61B2B99E">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4.6.3</w:t>
      </w:r>
      <w:r>
        <w:rPr>
          <w:rStyle w:val="31"/>
          <w:rFonts w:hint="eastAsia" w:ascii="宋体" w:hAnsi="宋体" w:eastAsia="宋体" w:cs="宋体"/>
          <w:color w:val="auto"/>
        </w:rPr>
        <w:t>承包人安排在施工场地的主要管理人员和技术骨干应相对稳定。承包人更换主要管理人员和技术骨干时，应取得监理人的同意。</w:t>
      </w:r>
    </w:p>
    <w:p w14:paraId="124E2441">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4. 6.4</w:t>
      </w:r>
      <w:r>
        <w:rPr>
          <w:rStyle w:val="31"/>
          <w:rFonts w:hint="eastAsia" w:ascii="宋体" w:hAnsi="宋体" w:eastAsia="宋体" w:cs="宋体"/>
          <w:color w:val="auto"/>
        </w:rPr>
        <w:t>特殊岗位的工作人员均应持有相应的资格证明，监理人有权随时检查。监理人认为有必要时，可进行现场考核。</w:t>
      </w:r>
    </w:p>
    <w:p w14:paraId="48AFA0BA">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400" w:name="bookmark1026"/>
      <w:bookmarkStart w:id="401" w:name="_Toc30195"/>
      <w:bookmarkStart w:id="402" w:name="bookmark1024"/>
      <w:bookmarkStart w:id="403" w:name="_Toc24736"/>
      <w:bookmarkStart w:id="404" w:name="_Toc256000041"/>
      <w:bookmarkStart w:id="405" w:name="bookmark1025"/>
      <w:r>
        <w:rPr>
          <w:rStyle w:val="31"/>
          <w:rFonts w:hint="eastAsia" w:ascii="宋体" w:hAnsi="宋体" w:eastAsia="宋体" w:cs="宋体"/>
          <w:color w:val="auto"/>
          <w:sz w:val="24"/>
          <w:szCs w:val="24"/>
          <w:lang w:eastAsia="zh-CN"/>
        </w:rPr>
        <w:t>4.7撤换承包人项目经理和其他人员</w:t>
      </w:r>
      <w:bookmarkEnd w:id="400"/>
      <w:bookmarkEnd w:id="401"/>
      <w:bookmarkEnd w:id="402"/>
      <w:bookmarkEnd w:id="403"/>
      <w:bookmarkEnd w:id="404"/>
      <w:bookmarkEnd w:id="405"/>
    </w:p>
    <w:p w14:paraId="3435A14A">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承包人应对其项目经理和其他人员进行有效管理。监理人要求撤换不能胜任本职工作、 行为不端或玩忽职守的承包人项目经理和其他人员的，承包人应予以撤换。</w:t>
      </w:r>
    </w:p>
    <w:p w14:paraId="2277DD24">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406" w:name="bookmark1027"/>
      <w:bookmarkStart w:id="407" w:name="_Toc1547"/>
      <w:bookmarkStart w:id="408" w:name="bookmark1028"/>
      <w:bookmarkStart w:id="409" w:name="_Toc19207"/>
      <w:bookmarkStart w:id="410" w:name="_Toc256000042"/>
      <w:bookmarkStart w:id="411" w:name="bookmark1029"/>
      <w:r>
        <w:rPr>
          <w:rStyle w:val="31"/>
          <w:rFonts w:hint="eastAsia" w:ascii="宋体" w:hAnsi="宋体" w:eastAsia="宋体" w:cs="宋体"/>
          <w:color w:val="auto"/>
          <w:sz w:val="24"/>
          <w:szCs w:val="24"/>
          <w:lang w:eastAsia="zh-CN"/>
        </w:rPr>
        <w:t>4.8保障承包人人员的合法权益</w:t>
      </w:r>
      <w:bookmarkEnd w:id="406"/>
      <w:bookmarkEnd w:id="407"/>
      <w:bookmarkEnd w:id="408"/>
      <w:bookmarkEnd w:id="409"/>
      <w:bookmarkEnd w:id="410"/>
      <w:bookmarkEnd w:id="411"/>
    </w:p>
    <w:p w14:paraId="718C3B06">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4.8.</w:t>
      </w:r>
      <w:r>
        <w:rPr>
          <w:rStyle w:val="31"/>
          <w:rFonts w:hint="eastAsia" w:ascii="宋体" w:hAnsi="宋体" w:eastAsia="宋体" w:cs="宋体"/>
          <w:color w:val="auto"/>
        </w:rPr>
        <w:t>1承包人应与其雇佣的人员签订劳动合同，并按时发放工资。</w:t>
      </w:r>
    </w:p>
    <w:p w14:paraId="1A6BD70E">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4.8.</w:t>
      </w:r>
      <w:r>
        <w:rPr>
          <w:rStyle w:val="31"/>
          <w:rFonts w:hint="eastAsia" w:ascii="宋体" w:hAnsi="宋体" w:eastAsia="宋体" w:cs="宋体"/>
          <w:color w:val="auto"/>
        </w:rPr>
        <w:t>2承包人应按劳动法的规定安排工作时间，保证其雇佣人员享有休息和休假的权利。因工程施工的特殊需要占用休假日或延长工作时间的，应不超过法律规定的限度，并按法律规定给予补休或付酬。</w:t>
      </w:r>
    </w:p>
    <w:p w14:paraId="03CCF488">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4.8.3</w:t>
      </w:r>
      <w:r>
        <w:rPr>
          <w:rStyle w:val="31"/>
          <w:rFonts w:hint="eastAsia" w:ascii="宋体" w:hAnsi="宋体" w:eastAsia="宋体" w:cs="宋体"/>
          <w:color w:val="auto"/>
        </w:rPr>
        <w:t>承包人应为其雇佣人员提供必要的食宿条件，以及符合环境保护和卫生要求的生活环境，在远离城镇的施工场地，还应配备必要的伤病防治和急救的医务人员与医疗设施。</w:t>
      </w:r>
    </w:p>
    <w:p w14:paraId="4388C4BA">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4. 8.4</w:t>
      </w:r>
      <w:r>
        <w:rPr>
          <w:rStyle w:val="31"/>
          <w:rFonts w:hint="eastAsia" w:ascii="宋体" w:hAnsi="宋体" w:eastAsia="宋体" w:cs="宋体"/>
          <w:color w:val="auto"/>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5844BF84">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4.8.5</w:t>
      </w:r>
      <w:r>
        <w:rPr>
          <w:rStyle w:val="31"/>
          <w:rFonts w:hint="eastAsia" w:ascii="宋体" w:hAnsi="宋体" w:eastAsia="宋体" w:cs="宋体"/>
          <w:color w:val="auto"/>
        </w:rPr>
        <w:t>承包人应按有关法律规定和合同约定，为其雇佣人员办理保险。</w:t>
      </w:r>
    </w:p>
    <w:p w14:paraId="4B8CD8B6">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4.8.6</w:t>
      </w:r>
      <w:r>
        <w:rPr>
          <w:rStyle w:val="31"/>
          <w:rFonts w:hint="eastAsia" w:ascii="宋体" w:hAnsi="宋体" w:eastAsia="宋体" w:cs="宋体"/>
          <w:color w:val="auto"/>
        </w:rPr>
        <w:t>承包人应负责处理其雇佣人员因工伤亡事故的善后事宜。</w:t>
      </w:r>
    </w:p>
    <w:p w14:paraId="05C3520E">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412" w:name="_Toc1725"/>
      <w:bookmarkStart w:id="413" w:name="_Toc7851"/>
      <w:bookmarkStart w:id="414" w:name="bookmark1032"/>
      <w:bookmarkStart w:id="415" w:name="bookmark1030"/>
      <w:bookmarkStart w:id="416" w:name="_Toc256000043"/>
      <w:bookmarkStart w:id="417" w:name="bookmark1031"/>
      <w:r>
        <w:rPr>
          <w:rStyle w:val="31"/>
          <w:rFonts w:hint="eastAsia" w:ascii="宋体" w:hAnsi="宋体" w:eastAsia="宋体" w:cs="宋体"/>
          <w:color w:val="auto"/>
          <w:sz w:val="24"/>
          <w:szCs w:val="24"/>
          <w:lang w:eastAsia="zh-CN"/>
        </w:rPr>
        <w:t>4.9工程价款应专款专用</w:t>
      </w:r>
      <w:bookmarkEnd w:id="412"/>
      <w:bookmarkEnd w:id="413"/>
      <w:bookmarkEnd w:id="414"/>
      <w:bookmarkEnd w:id="415"/>
      <w:bookmarkEnd w:id="416"/>
      <w:bookmarkEnd w:id="417"/>
    </w:p>
    <w:p w14:paraId="5D8AA056">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rPr>
        <w:t>发包人按合同约定支付给承包人的各项价款应专用于合同工程。</w:t>
      </w:r>
    </w:p>
    <w:p w14:paraId="452DC90F">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418" w:name="bookmark1035"/>
      <w:bookmarkStart w:id="419" w:name="bookmark1033"/>
      <w:bookmarkStart w:id="420" w:name="_Toc5606"/>
      <w:bookmarkStart w:id="421" w:name="_Toc30630"/>
      <w:bookmarkStart w:id="422" w:name="_Toc256000044"/>
      <w:bookmarkStart w:id="423" w:name="bookmark1034"/>
      <w:r>
        <w:rPr>
          <w:rStyle w:val="31"/>
          <w:rFonts w:hint="eastAsia" w:ascii="宋体" w:hAnsi="宋体" w:eastAsia="宋体" w:cs="宋体"/>
          <w:color w:val="auto"/>
          <w:sz w:val="24"/>
          <w:szCs w:val="24"/>
          <w:lang w:eastAsia="zh-CN"/>
        </w:rPr>
        <w:t>4.10承包人现场查勘</w:t>
      </w:r>
      <w:bookmarkEnd w:id="418"/>
      <w:bookmarkEnd w:id="419"/>
      <w:bookmarkEnd w:id="420"/>
      <w:bookmarkEnd w:id="421"/>
      <w:bookmarkEnd w:id="422"/>
      <w:bookmarkEnd w:id="423"/>
    </w:p>
    <w:p w14:paraId="6AA6F770">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4.10.</w:t>
      </w:r>
      <w:r>
        <w:rPr>
          <w:rStyle w:val="31"/>
          <w:rFonts w:hint="eastAsia" w:ascii="宋体" w:hAnsi="宋体" w:eastAsia="宋体" w:cs="宋体"/>
          <w:color w:val="auto"/>
        </w:rPr>
        <w:t>1发包人应将其持有的现场地质勘探资料、水文气象资料提供给承包人，并对其准确性负责。但承包人应对其阅读上述有关资料后所作出的解释和推断负责。</w:t>
      </w:r>
    </w:p>
    <w:p w14:paraId="40F2AB6A">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424" w:name="bookmark1036"/>
      <w:bookmarkEnd w:id="424"/>
      <w:r>
        <w:rPr>
          <w:rStyle w:val="31"/>
          <w:rFonts w:hint="eastAsia" w:ascii="宋体" w:hAnsi="宋体" w:eastAsia="宋体" w:cs="宋体"/>
          <w:color w:val="auto"/>
        </w:rPr>
        <w:t>4.10.2承包人应对施工场地和周围环境进行查勘，并收集有关地质、水文、气象条件、交通条件、风俗习惯以及其他为完成合同工作有关的当地资料。在全部合同工作中，应视为承包人已充分估计了应承担的责任和风险。</w:t>
      </w:r>
    </w:p>
    <w:p w14:paraId="35499D24">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425" w:name="bookmark1037"/>
      <w:bookmarkStart w:id="426" w:name="bookmark1038"/>
      <w:bookmarkStart w:id="427" w:name="_Toc2080"/>
      <w:bookmarkStart w:id="428" w:name="_Toc2993"/>
      <w:bookmarkStart w:id="429" w:name="bookmark1039"/>
      <w:bookmarkStart w:id="430" w:name="_Toc256000045"/>
      <w:r>
        <w:rPr>
          <w:rStyle w:val="31"/>
          <w:rFonts w:hint="eastAsia" w:ascii="宋体" w:hAnsi="宋体" w:eastAsia="宋体" w:cs="宋体"/>
          <w:color w:val="auto"/>
          <w:sz w:val="24"/>
          <w:szCs w:val="24"/>
          <w:lang w:eastAsia="zh-CN"/>
        </w:rPr>
        <w:t>4.11不利物质条件</w:t>
      </w:r>
      <w:bookmarkEnd w:id="425"/>
      <w:bookmarkEnd w:id="426"/>
      <w:bookmarkEnd w:id="427"/>
      <w:bookmarkEnd w:id="428"/>
      <w:bookmarkEnd w:id="429"/>
      <w:bookmarkEnd w:id="430"/>
    </w:p>
    <w:p w14:paraId="4B50493C">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4.11.1</w:t>
      </w:r>
      <w:r>
        <w:rPr>
          <w:rStyle w:val="31"/>
          <w:rFonts w:hint="eastAsia" w:ascii="宋体" w:hAnsi="宋体" w:eastAsia="宋体" w:cs="宋体"/>
          <w:color w:val="auto"/>
        </w:rPr>
        <w:t>除专用合同条款另有约定外，不利的物质条件是指在施工中遭遇不可预见的外界障碍或自然条件造成施工受阻。</w:t>
      </w:r>
    </w:p>
    <w:p w14:paraId="55792F01">
      <w:pPr>
        <w:pStyle w:val="95"/>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4.11.2</w:t>
      </w:r>
      <w:r>
        <w:rPr>
          <w:rStyle w:val="31"/>
          <w:rFonts w:hint="eastAsia" w:ascii="宋体" w:hAnsi="宋体" w:eastAsia="宋体" w:cs="宋体"/>
          <w:color w:val="auto"/>
        </w:rPr>
        <w:t>承包人遇到不利物质条件时，应采取适应不利物质条件的合理措施继续施工, 并及时通知监理人。承包人应有权根据第</w:t>
      </w:r>
      <w:r>
        <w:rPr>
          <w:rStyle w:val="31"/>
          <w:rFonts w:hint="eastAsia" w:ascii="宋体" w:hAnsi="宋体" w:eastAsia="宋体" w:cs="宋体"/>
          <w:color w:val="auto"/>
          <w:lang w:val="en-US" w:bidi="en-US"/>
        </w:rPr>
        <w:t>23.1</w:t>
      </w:r>
      <w:r>
        <w:rPr>
          <w:rStyle w:val="31"/>
          <w:rFonts w:hint="eastAsia" w:ascii="宋体" w:hAnsi="宋体" w:eastAsia="宋体" w:cs="宋体"/>
          <w:color w:val="auto"/>
        </w:rPr>
        <w:t>款的约定，要求延长工期及增加费用。监理人收到此类要求后，应在分析上述外界障碍或自然条件是否不可预见及不可预见程度的基础上，按照通用合同条款第15条的约定办理。</w:t>
      </w:r>
    </w:p>
    <w:p w14:paraId="384C3FAD">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lang w:eastAsia="zh-CN"/>
        </w:rPr>
      </w:pPr>
      <w:bookmarkStart w:id="431" w:name="bookmark1042"/>
      <w:bookmarkEnd w:id="431"/>
      <w:bookmarkStart w:id="432" w:name="bookmark1040"/>
      <w:bookmarkStart w:id="433" w:name="_Toc6145"/>
      <w:bookmarkStart w:id="434" w:name="bookmark1043"/>
      <w:bookmarkStart w:id="435" w:name="_Toc256000046"/>
      <w:bookmarkStart w:id="436" w:name="_Toc25230"/>
      <w:bookmarkStart w:id="437" w:name="bookmark1041"/>
      <w:r>
        <w:rPr>
          <w:rStyle w:val="31"/>
          <w:rFonts w:hint="eastAsia" w:ascii="宋体" w:hAnsi="宋体" w:eastAsia="宋体" w:cs="宋体"/>
          <w:color w:val="auto"/>
          <w:lang w:eastAsia="zh-CN"/>
        </w:rPr>
        <w:t>5.材料和工程设备</w:t>
      </w:r>
      <w:bookmarkEnd w:id="432"/>
      <w:bookmarkEnd w:id="433"/>
      <w:bookmarkEnd w:id="434"/>
      <w:bookmarkEnd w:id="435"/>
      <w:bookmarkEnd w:id="436"/>
      <w:bookmarkEnd w:id="437"/>
    </w:p>
    <w:p w14:paraId="1A16FCD5">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438" w:name="_Toc9121"/>
      <w:bookmarkStart w:id="439" w:name="bookmark1045"/>
      <w:bookmarkStart w:id="440" w:name="bookmark1046"/>
      <w:bookmarkStart w:id="441" w:name="_Toc256000047"/>
      <w:bookmarkStart w:id="442" w:name="bookmark1044"/>
      <w:bookmarkStart w:id="443" w:name="_Toc5421"/>
      <w:r>
        <w:rPr>
          <w:rStyle w:val="31"/>
          <w:rFonts w:hint="eastAsia" w:ascii="宋体" w:hAnsi="宋体" w:eastAsia="宋体" w:cs="宋体"/>
          <w:color w:val="auto"/>
          <w:sz w:val="24"/>
          <w:szCs w:val="24"/>
          <w:lang w:eastAsia="zh-CN"/>
        </w:rPr>
        <w:t>5.1承包人提供的材料和工程设备</w:t>
      </w:r>
      <w:bookmarkEnd w:id="438"/>
      <w:bookmarkEnd w:id="439"/>
      <w:bookmarkEnd w:id="440"/>
      <w:bookmarkEnd w:id="441"/>
      <w:bookmarkEnd w:id="442"/>
      <w:bookmarkEnd w:id="443"/>
    </w:p>
    <w:p w14:paraId="321A45C9">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lang w:val="en-US" w:bidi="en-US"/>
        </w:rPr>
      </w:pPr>
      <w:bookmarkStart w:id="444" w:name="bookmark1047"/>
      <w:bookmarkEnd w:id="444"/>
      <w:r>
        <w:rPr>
          <w:rStyle w:val="31"/>
          <w:rFonts w:hint="eastAsia" w:ascii="宋体" w:hAnsi="宋体" w:eastAsia="宋体" w:cs="宋体"/>
          <w:color w:val="auto"/>
          <w:lang w:val="en-US" w:bidi="en-US"/>
        </w:rPr>
        <w:t>5.1.1除第5.2款约定由发包人提供的材料和工程设备外，承包人负责采购、运输和保管完成本合同工作所需的材料和工程设备。承包人应对其采购的材料和工程设备负责。</w:t>
      </w:r>
    </w:p>
    <w:p w14:paraId="14B8A9B0">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lang w:val="en-US" w:bidi="en-US"/>
        </w:rPr>
      </w:pPr>
      <w:r>
        <w:rPr>
          <w:rStyle w:val="31"/>
          <w:rFonts w:hint="eastAsia" w:ascii="宋体" w:hAnsi="宋体" w:eastAsia="宋体" w:cs="宋体"/>
          <w:color w:val="auto"/>
          <w:lang w:val="en-US" w:bidi="en-US"/>
        </w:rPr>
        <w:t>5.1.2承包人应按专用合同条款的约定，将各项材料和工程设备的供货人及品种、规格、数量和供货时间等报送监理人审批。承包人应向监理人提交其负责提供的材料和工程 设备的质量证明文件，并满足合同约定的质量标准。</w:t>
      </w:r>
    </w:p>
    <w:p w14:paraId="48A35F71">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lang w:val="en-US" w:bidi="en-US"/>
        </w:rPr>
      </w:pPr>
      <w:r>
        <w:rPr>
          <w:rStyle w:val="31"/>
          <w:rFonts w:hint="eastAsia" w:ascii="宋体" w:hAnsi="宋体" w:eastAsia="宋体" w:cs="宋体"/>
          <w:color w:val="auto"/>
          <w:lang w:val="en-US" w:bidi="en-US"/>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1FDB6025">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445" w:name="bookmark1049"/>
      <w:bookmarkStart w:id="446" w:name="bookmark1048"/>
      <w:bookmarkStart w:id="447" w:name="_Toc18208"/>
      <w:bookmarkStart w:id="448" w:name="_Toc16936"/>
      <w:bookmarkStart w:id="449" w:name="_Toc256000048"/>
      <w:bookmarkStart w:id="450" w:name="bookmark1050"/>
      <w:r>
        <w:rPr>
          <w:rStyle w:val="31"/>
          <w:rFonts w:hint="eastAsia" w:ascii="宋体" w:hAnsi="宋体" w:eastAsia="宋体" w:cs="宋体"/>
          <w:color w:val="auto"/>
          <w:sz w:val="24"/>
          <w:szCs w:val="24"/>
          <w:lang w:eastAsia="zh-CN"/>
        </w:rPr>
        <w:t>5.2发包人提供的材料和工程设备</w:t>
      </w:r>
      <w:bookmarkEnd w:id="445"/>
      <w:bookmarkEnd w:id="446"/>
      <w:bookmarkEnd w:id="447"/>
      <w:bookmarkEnd w:id="448"/>
      <w:bookmarkEnd w:id="449"/>
      <w:bookmarkEnd w:id="450"/>
    </w:p>
    <w:p w14:paraId="16F2F4A4">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451" w:name="bookmark1051"/>
      <w:bookmarkEnd w:id="451"/>
      <w:r>
        <w:rPr>
          <w:rStyle w:val="31"/>
          <w:rFonts w:hint="eastAsia" w:ascii="宋体" w:hAnsi="宋体" w:eastAsia="宋体" w:cs="宋体"/>
          <w:color w:val="auto"/>
        </w:rPr>
        <w:t>5.2.1发包人提供的材料和工程设备，应在专用合同条款中写明材料和工程设备的名称、规格、数量、价格、交货方式、交货地点和计划交货日期等。</w:t>
      </w:r>
    </w:p>
    <w:p w14:paraId="0B7D81AF">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5.2.2</w:t>
      </w:r>
      <w:r>
        <w:rPr>
          <w:rStyle w:val="31"/>
          <w:rFonts w:hint="eastAsia" w:ascii="宋体" w:hAnsi="宋体" w:eastAsia="宋体" w:cs="宋体"/>
          <w:color w:val="auto"/>
        </w:rPr>
        <w:t>承包人应根据合同进度计划的安排，向监理人报送要求发包人交货的日期计划。发包人应按照监理人与合同双方当事人商定的交货日期，向承包人提交材料和工程设备。</w:t>
      </w:r>
    </w:p>
    <w:p w14:paraId="4872DD41">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5.2.3</w:t>
      </w:r>
      <w:r>
        <w:rPr>
          <w:rStyle w:val="31"/>
          <w:rFonts w:hint="eastAsia" w:ascii="宋体" w:hAnsi="宋体" w:eastAsia="宋体" w:cs="宋体"/>
          <w:color w:val="auto"/>
        </w:rPr>
        <w:t>发包人应在材料和工程设备到货7天前通知承包人，承包人应会同监理人在约定的时间内，赴交货地点共同进行验收。发包人提供的材料和工程设备运至交货地点验收后，由承包人负责接收、卸货、运输和保管。</w:t>
      </w:r>
    </w:p>
    <w:p w14:paraId="61F253E3">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5. 2.4</w:t>
      </w:r>
      <w:r>
        <w:rPr>
          <w:rStyle w:val="31"/>
          <w:rFonts w:hint="eastAsia" w:ascii="宋体" w:hAnsi="宋体" w:eastAsia="宋体" w:cs="宋体"/>
          <w:color w:val="auto"/>
        </w:rPr>
        <w:t>发包人要求向承包人提前交货的，承包人不得拒绝，但发包人应承担承包人由此增加的费用。</w:t>
      </w:r>
    </w:p>
    <w:p w14:paraId="1B51F986">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5.2.5</w:t>
      </w:r>
      <w:r>
        <w:rPr>
          <w:rStyle w:val="31"/>
          <w:rFonts w:hint="eastAsia" w:ascii="宋体" w:hAnsi="宋体" w:eastAsia="宋体" w:cs="宋体"/>
          <w:color w:val="auto"/>
        </w:rPr>
        <w:t>承包人要求更改交货日期或地点的，应事先报请监理人批准。由于承包人要求更改交货时间或地点所增加的费用和（或）工期延误由承包人承担。</w:t>
      </w:r>
    </w:p>
    <w:p w14:paraId="76CE60F1">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5.2.6</w:t>
      </w:r>
      <w:r>
        <w:rPr>
          <w:rStyle w:val="31"/>
          <w:rFonts w:hint="eastAsia" w:ascii="宋体" w:hAnsi="宋体" w:eastAsia="宋体" w:cs="宋体"/>
          <w:color w:val="auto"/>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42419C29">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452" w:name="_Toc2255"/>
      <w:bookmarkStart w:id="453" w:name="_Toc17795"/>
      <w:bookmarkStart w:id="454" w:name="bookmark1052"/>
      <w:bookmarkStart w:id="455" w:name="bookmark1053"/>
      <w:bookmarkStart w:id="456" w:name="_Toc256000049"/>
      <w:bookmarkStart w:id="457" w:name="bookmark1054"/>
      <w:r>
        <w:rPr>
          <w:rStyle w:val="31"/>
          <w:rFonts w:hint="eastAsia" w:ascii="宋体" w:hAnsi="宋体" w:eastAsia="宋体" w:cs="宋体"/>
          <w:color w:val="auto"/>
          <w:sz w:val="24"/>
          <w:szCs w:val="24"/>
          <w:lang w:eastAsia="zh-CN"/>
        </w:rPr>
        <w:t>5.3材料和工程设备专用于合同工程</w:t>
      </w:r>
      <w:bookmarkEnd w:id="452"/>
      <w:bookmarkEnd w:id="453"/>
      <w:bookmarkEnd w:id="454"/>
      <w:bookmarkEnd w:id="455"/>
      <w:bookmarkEnd w:id="456"/>
      <w:bookmarkEnd w:id="457"/>
    </w:p>
    <w:p w14:paraId="09DBA780">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5.3.1</w:t>
      </w:r>
      <w:r>
        <w:rPr>
          <w:rStyle w:val="31"/>
          <w:rFonts w:hint="eastAsia" w:ascii="宋体" w:hAnsi="宋体" w:eastAsia="宋体" w:cs="宋体"/>
          <w:color w:val="auto"/>
        </w:rPr>
        <w:t>运入施工场地的材料、工程设备，包括备品备件、安装专用工器具与随机资料，必须专用于合同工程，未经监理人同意，承包人不得运出施工场地或挪作他用。</w:t>
      </w:r>
    </w:p>
    <w:p w14:paraId="71B41279">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5.3.2</w:t>
      </w:r>
      <w:r>
        <w:rPr>
          <w:rStyle w:val="31"/>
          <w:rFonts w:hint="eastAsia" w:ascii="宋体" w:hAnsi="宋体" w:eastAsia="宋体" w:cs="宋体"/>
          <w:color w:val="auto"/>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55C3F27D">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458" w:name="_Toc30864"/>
      <w:bookmarkStart w:id="459" w:name="bookmark1055"/>
      <w:bookmarkStart w:id="460" w:name="bookmark1056"/>
      <w:bookmarkStart w:id="461" w:name="_Toc23254"/>
      <w:bookmarkStart w:id="462" w:name="bookmark1057"/>
      <w:bookmarkStart w:id="463" w:name="_Toc256000050"/>
      <w:r>
        <w:rPr>
          <w:rStyle w:val="31"/>
          <w:rFonts w:hint="eastAsia" w:ascii="宋体" w:hAnsi="宋体" w:eastAsia="宋体" w:cs="宋体"/>
          <w:color w:val="auto"/>
          <w:sz w:val="24"/>
          <w:szCs w:val="24"/>
          <w:lang w:eastAsia="zh-CN"/>
        </w:rPr>
        <w:t>5.4禁止使用不合格的材料和工程设备</w:t>
      </w:r>
      <w:bookmarkEnd w:id="458"/>
      <w:bookmarkEnd w:id="459"/>
      <w:bookmarkEnd w:id="460"/>
      <w:bookmarkEnd w:id="461"/>
      <w:bookmarkEnd w:id="462"/>
      <w:bookmarkEnd w:id="463"/>
    </w:p>
    <w:p w14:paraId="70665517">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464" w:name="bookmark1058"/>
      <w:bookmarkEnd w:id="464"/>
      <w:r>
        <w:rPr>
          <w:rStyle w:val="31"/>
          <w:rFonts w:hint="eastAsia" w:ascii="宋体" w:hAnsi="宋体" w:eastAsia="宋体" w:cs="宋体"/>
          <w:color w:val="auto"/>
        </w:rPr>
        <w:t>5.4.1监理人有权拒绝承包人提供的不合格材料或工程设备，并要求承包人立即进行更换。监理人应在更换后再次进行检查和检验，由此增加的费用和（或）工期延误由承包 人承担。</w:t>
      </w:r>
    </w:p>
    <w:p w14:paraId="104AB4B0">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465" w:name="bookmark1059"/>
      <w:bookmarkEnd w:id="465"/>
      <w:r>
        <w:rPr>
          <w:rStyle w:val="31"/>
          <w:rFonts w:hint="eastAsia" w:ascii="宋体" w:hAnsi="宋体" w:eastAsia="宋体" w:cs="宋体"/>
          <w:color w:val="auto"/>
        </w:rPr>
        <w:t>5.4.2监理人发现承包人使用了不合格的材料和工程设备，应即时发出指示要求承包人立即改正，并禁止在工程中继续使用不合格的材料和工程设备。</w:t>
      </w:r>
    </w:p>
    <w:p w14:paraId="140EC6D4">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5.4.3</w:t>
      </w:r>
      <w:r>
        <w:rPr>
          <w:rStyle w:val="31"/>
          <w:rFonts w:hint="eastAsia" w:ascii="宋体" w:hAnsi="宋体" w:eastAsia="宋体" w:cs="宋体"/>
          <w:color w:val="auto"/>
        </w:rPr>
        <w:t>发包人提供的材料或工程设备不符合合同要求的，承包人有权拒绝，并可要求发包人更换，由此增加的费用和（或）工期延误由发包人承担。</w:t>
      </w:r>
    </w:p>
    <w:p w14:paraId="7E279E82">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lang w:eastAsia="zh-CN"/>
        </w:rPr>
      </w:pPr>
      <w:bookmarkStart w:id="466" w:name="bookmark1062"/>
      <w:bookmarkEnd w:id="466"/>
      <w:bookmarkStart w:id="467" w:name="bookmark1060"/>
      <w:bookmarkStart w:id="468" w:name="_Toc21496"/>
      <w:bookmarkStart w:id="469" w:name="bookmark1063"/>
      <w:bookmarkStart w:id="470" w:name="bookmark1061"/>
      <w:bookmarkStart w:id="471" w:name="_Toc256000051"/>
      <w:bookmarkStart w:id="472" w:name="_Toc3256"/>
      <w:r>
        <w:rPr>
          <w:rStyle w:val="31"/>
          <w:rFonts w:hint="eastAsia" w:ascii="宋体" w:hAnsi="宋体" w:eastAsia="宋体" w:cs="宋体"/>
          <w:color w:val="auto"/>
          <w:lang w:eastAsia="zh-CN"/>
        </w:rPr>
        <w:t>6.施工设备和临时设施</w:t>
      </w:r>
      <w:bookmarkEnd w:id="467"/>
      <w:bookmarkEnd w:id="468"/>
      <w:bookmarkEnd w:id="469"/>
      <w:bookmarkEnd w:id="470"/>
      <w:bookmarkEnd w:id="471"/>
      <w:bookmarkEnd w:id="472"/>
    </w:p>
    <w:p w14:paraId="396D97C2">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473" w:name="bookmark1064"/>
      <w:bookmarkStart w:id="474" w:name="_Toc29023"/>
      <w:bookmarkStart w:id="475" w:name="bookmark1066"/>
      <w:bookmarkStart w:id="476" w:name="bookmark1065"/>
      <w:bookmarkStart w:id="477" w:name="_Toc9863"/>
      <w:bookmarkStart w:id="478" w:name="_Toc256000052"/>
      <w:r>
        <w:rPr>
          <w:rStyle w:val="31"/>
          <w:rFonts w:hint="eastAsia" w:ascii="宋体" w:hAnsi="宋体" w:eastAsia="宋体" w:cs="宋体"/>
          <w:color w:val="auto"/>
          <w:sz w:val="24"/>
          <w:szCs w:val="24"/>
          <w:lang w:eastAsia="zh-CN"/>
        </w:rPr>
        <w:t>6.1承包人提供的施工设备和临时设施</w:t>
      </w:r>
      <w:bookmarkEnd w:id="473"/>
      <w:bookmarkEnd w:id="474"/>
      <w:bookmarkEnd w:id="475"/>
      <w:bookmarkEnd w:id="476"/>
      <w:bookmarkEnd w:id="477"/>
      <w:bookmarkEnd w:id="478"/>
    </w:p>
    <w:p w14:paraId="08E78C76">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6.1.1</w:t>
      </w:r>
      <w:r>
        <w:rPr>
          <w:rStyle w:val="31"/>
          <w:rFonts w:hint="eastAsia" w:ascii="宋体" w:hAnsi="宋体" w:eastAsia="宋体" w:cs="宋体"/>
          <w:color w:val="auto"/>
        </w:rPr>
        <w:t>承包人应按合同进度计划的要求，及时配置施工设备和修建临时设施。进入施工场地的承包人设备需经监理人核查后才能投入使用。承包人更换合同约定的承包人设备的，应报监理人批准。</w:t>
      </w:r>
    </w:p>
    <w:p w14:paraId="76AFD135">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6.1.2</w:t>
      </w:r>
      <w:r>
        <w:rPr>
          <w:rStyle w:val="31"/>
          <w:rFonts w:hint="eastAsia" w:ascii="宋体" w:hAnsi="宋体" w:eastAsia="宋体" w:cs="宋体"/>
          <w:color w:val="auto"/>
        </w:rPr>
        <w:t>除专用合同条款另有约定外，承包人应自行承担修建临时设施的费用，需要临时占地的，应由发包人办理申请手续并承担相应费用。</w:t>
      </w:r>
    </w:p>
    <w:p w14:paraId="06F88684">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479" w:name="_Toc15863"/>
      <w:bookmarkStart w:id="480" w:name="_Toc31030"/>
      <w:bookmarkStart w:id="481" w:name="bookmark1069"/>
      <w:bookmarkStart w:id="482" w:name="bookmark1067"/>
      <w:bookmarkStart w:id="483" w:name="_Toc256000053"/>
      <w:bookmarkStart w:id="484" w:name="bookmark1068"/>
      <w:r>
        <w:rPr>
          <w:rStyle w:val="31"/>
          <w:rFonts w:hint="eastAsia" w:ascii="宋体" w:hAnsi="宋体" w:eastAsia="宋体" w:cs="宋体"/>
          <w:color w:val="auto"/>
          <w:sz w:val="24"/>
          <w:szCs w:val="24"/>
          <w:lang w:eastAsia="zh-CN"/>
        </w:rPr>
        <w:t>6.2发包人提供的施工设备和临时设施</w:t>
      </w:r>
      <w:bookmarkEnd w:id="479"/>
      <w:bookmarkEnd w:id="480"/>
      <w:bookmarkEnd w:id="481"/>
      <w:bookmarkEnd w:id="482"/>
      <w:bookmarkEnd w:id="483"/>
      <w:bookmarkEnd w:id="484"/>
    </w:p>
    <w:p w14:paraId="1919D9B7">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发包人提供的施工设备或临时设施在专用合同条款中约定。</w:t>
      </w:r>
    </w:p>
    <w:p w14:paraId="75C11345">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485" w:name="_Toc27703"/>
      <w:bookmarkStart w:id="486" w:name="bookmark1070"/>
      <w:bookmarkStart w:id="487" w:name="bookmark1072"/>
      <w:bookmarkStart w:id="488" w:name="bookmark1071"/>
      <w:bookmarkStart w:id="489" w:name="_Toc256000054"/>
      <w:bookmarkStart w:id="490" w:name="_Toc30722"/>
      <w:r>
        <w:rPr>
          <w:rStyle w:val="31"/>
          <w:rFonts w:hint="eastAsia" w:ascii="宋体" w:hAnsi="宋体" w:eastAsia="宋体" w:cs="宋体"/>
          <w:color w:val="auto"/>
          <w:sz w:val="24"/>
          <w:szCs w:val="24"/>
          <w:lang w:eastAsia="zh-CN"/>
        </w:rPr>
        <w:t>6.3要求承包人增加或更换施工设备</w:t>
      </w:r>
      <w:bookmarkEnd w:id="485"/>
      <w:bookmarkEnd w:id="486"/>
      <w:bookmarkEnd w:id="487"/>
      <w:bookmarkEnd w:id="488"/>
      <w:bookmarkEnd w:id="489"/>
      <w:bookmarkEnd w:id="490"/>
    </w:p>
    <w:p w14:paraId="5C51A91F">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承包人使用的施工设备不能满足合同进度计划和（或）质量要求时，监理人有权要求承包人增加或更换施工设备，承包人应及时增加或更换，由此增加的费用和（或）工期延误由承包人承担。</w:t>
      </w:r>
    </w:p>
    <w:p w14:paraId="2C5AECD6">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491" w:name="_Toc23117"/>
      <w:bookmarkStart w:id="492" w:name="_Toc256000055"/>
      <w:bookmarkStart w:id="493" w:name="bookmark1075"/>
      <w:bookmarkStart w:id="494" w:name="bookmark1074"/>
      <w:bookmarkStart w:id="495" w:name="bookmark1073"/>
      <w:bookmarkStart w:id="496" w:name="_Toc21826"/>
      <w:r>
        <w:rPr>
          <w:rStyle w:val="31"/>
          <w:rFonts w:hint="eastAsia" w:ascii="宋体" w:hAnsi="宋体" w:eastAsia="宋体" w:cs="宋体"/>
          <w:color w:val="auto"/>
          <w:sz w:val="24"/>
          <w:szCs w:val="24"/>
          <w:lang w:eastAsia="zh-CN"/>
        </w:rPr>
        <w:t>6.4施工设备和临时设施专用于合同工程</w:t>
      </w:r>
      <w:bookmarkEnd w:id="491"/>
      <w:bookmarkEnd w:id="492"/>
      <w:bookmarkEnd w:id="493"/>
      <w:bookmarkEnd w:id="494"/>
      <w:bookmarkEnd w:id="495"/>
      <w:bookmarkEnd w:id="496"/>
    </w:p>
    <w:p w14:paraId="6F6555FB">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497" w:name="bookmark1076"/>
      <w:bookmarkEnd w:id="497"/>
      <w:r>
        <w:rPr>
          <w:rStyle w:val="31"/>
          <w:rFonts w:hint="eastAsia" w:ascii="宋体" w:hAnsi="宋体" w:eastAsia="宋体" w:cs="宋体"/>
          <w:color w:val="auto"/>
        </w:rPr>
        <w:t>6.4.1除合同另有约定外，运入施工场地的所有施工设备以及在施工场地建设的临时设施应专用于合同工程。未经监理人同意，不得将上述施工设备和临时设施中的任何部分运出施工场地或挪作他用。</w:t>
      </w:r>
    </w:p>
    <w:p w14:paraId="5853E3F8">
      <w:pPr>
        <w:pStyle w:val="95"/>
        <w:pageBreakBefore w:val="0"/>
        <w:widowControl w:val="0"/>
        <w:tabs>
          <w:tab w:val="left" w:pos="754"/>
        </w:tabs>
        <w:kinsoku/>
        <w:wordWrap/>
        <w:overflowPunct/>
        <w:topLinePunct w:val="0"/>
        <w:autoSpaceDE/>
        <w:autoSpaceDN/>
        <w:bidi w:val="0"/>
        <w:adjustRightInd/>
        <w:snapToGrid/>
        <w:spacing w:line="440" w:lineRule="exact"/>
        <w:ind w:left="0" w:leftChars="0" w:firstLine="0"/>
        <w:textAlignment w:val="auto"/>
        <w:rPr>
          <w:rStyle w:val="31"/>
          <w:rFonts w:hint="eastAsia" w:ascii="宋体" w:hAnsi="宋体" w:eastAsia="宋体" w:cs="宋体"/>
          <w:color w:val="auto"/>
        </w:rPr>
      </w:pPr>
      <w:bookmarkStart w:id="498" w:name="bookmark1077"/>
      <w:bookmarkEnd w:id="498"/>
      <w:r>
        <w:rPr>
          <w:rStyle w:val="31"/>
          <w:rFonts w:hint="eastAsia" w:ascii="宋体" w:hAnsi="宋体" w:eastAsia="宋体" w:cs="宋体"/>
          <w:color w:val="auto"/>
          <w:lang w:val="en-US" w:bidi="en-US"/>
        </w:rPr>
        <w:t>6.4.2</w:t>
      </w:r>
      <w:r>
        <w:rPr>
          <w:rStyle w:val="31"/>
          <w:rFonts w:hint="eastAsia" w:ascii="宋体" w:hAnsi="宋体" w:eastAsia="宋体" w:cs="宋体"/>
          <w:color w:val="auto"/>
        </w:rPr>
        <w:t>经监理人同意，承包人可根据合同进度计划撤走闲置的施工设备。</w:t>
      </w:r>
    </w:p>
    <w:p w14:paraId="57B28CC4">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lang w:eastAsia="zh-CN"/>
        </w:rPr>
      </w:pPr>
      <w:bookmarkStart w:id="499" w:name="bookmark1080"/>
      <w:bookmarkEnd w:id="499"/>
      <w:bookmarkStart w:id="500" w:name="_Toc256000056"/>
      <w:bookmarkStart w:id="501" w:name="_Toc13833"/>
      <w:bookmarkStart w:id="502" w:name="bookmark1081"/>
      <w:bookmarkStart w:id="503" w:name="_Toc18104"/>
      <w:bookmarkStart w:id="504" w:name="bookmark1079"/>
      <w:bookmarkStart w:id="505" w:name="bookmark1078"/>
      <w:r>
        <w:rPr>
          <w:rStyle w:val="31"/>
          <w:rFonts w:hint="eastAsia" w:ascii="宋体" w:hAnsi="宋体" w:eastAsia="宋体" w:cs="宋体"/>
          <w:color w:val="auto"/>
          <w:lang w:eastAsia="zh-CN"/>
        </w:rPr>
        <w:t>7.交通运输</w:t>
      </w:r>
      <w:bookmarkEnd w:id="500"/>
      <w:bookmarkEnd w:id="501"/>
      <w:bookmarkEnd w:id="502"/>
      <w:bookmarkEnd w:id="503"/>
      <w:bookmarkEnd w:id="504"/>
      <w:bookmarkEnd w:id="505"/>
    </w:p>
    <w:p w14:paraId="3483A660">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506" w:name="bookmark1084"/>
      <w:bookmarkStart w:id="507" w:name="_Toc14817"/>
      <w:bookmarkStart w:id="508" w:name="_Toc22987"/>
      <w:bookmarkStart w:id="509" w:name="bookmark1082"/>
      <w:bookmarkStart w:id="510" w:name="bookmark1083"/>
      <w:bookmarkStart w:id="511" w:name="_Toc256000057"/>
      <w:r>
        <w:rPr>
          <w:rStyle w:val="31"/>
          <w:rFonts w:hint="eastAsia" w:ascii="宋体" w:hAnsi="宋体" w:eastAsia="宋体" w:cs="宋体"/>
          <w:color w:val="auto"/>
          <w:sz w:val="24"/>
          <w:szCs w:val="24"/>
          <w:lang w:eastAsia="zh-CN"/>
        </w:rPr>
        <w:t>7.1道路通行权和场外设施</w:t>
      </w:r>
      <w:bookmarkEnd w:id="506"/>
      <w:bookmarkEnd w:id="507"/>
      <w:bookmarkEnd w:id="508"/>
      <w:bookmarkEnd w:id="509"/>
      <w:bookmarkEnd w:id="510"/>
      <w:bookmarkEnd w:id="511"/>
    </w:p>
    <w:p w14:paraId="63EB82F9">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7BDC17CF">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512" w:name="_Toc19760"/>
      <w:bookmarkStart w:id="513" w:name="_Toc256000058"/>
      <w:bookmarkStart w:id="514" w:name="bookmark1087"/>
      <w:bookmarkStart w:id="515" w:name="bookmark1086"/>
      <w:bookmarkStart w:id="516" w:name="_Toc25046"/>
      <w:bookmarkStart w:id="517" w:name="bookmark1085"/>
      <w:r>
        <w:rPr>
          <w:rStyle w:val="31"/>
          <w:rFonts w:hint="eastAsia" w:ascii="宋体" w:hAnsi="宋体" w:eastAsia="宋体" w:cs="宋体"/>
          <w:color w:val="auto"/>
          <w:sz w:val="24"/>
          <w:szCs w:val="24"/>
          <w:lang w:eastAsia="zh-CN"/>
        </w:rPr>
        <w:t>7.2场内施工道路</w:t>
      </w:r>
      <w:bookmarkEnd w:id="512"/>
      <w:bookmarkEnd w:id="513"/>
      <w:bookmarkEnd w:id="514"/>
      <w:bookmarkEnd w:id="515"/>
      <w:bookmarkEnd w:id="516"/>
      <w:bookmarkEnd w:id="517"/>
    </w:p>
    <w:p w14:paraId="52866209">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7.2.1</w:t>
      </w:r>
      <w:r>
        <w:rPr>
          <w:rStyle w:val="31"/>
          <w:rFonts w:hint="eastAsia" w:ascii="宋体" w:hAnsi="宋体" w:eastAsia="宋体" w:cs="宋体"/>
          <w:color w:val="auto"/>
        </w:rPr>
        <w:t>除本合同约定由发包人提供的部分道路和交通设施外，承包人应负责修建、维 修、养护和管理其施工所需的全部临时道路和交通设施（包括合同约定由发包人提供的部 分道路和交通设施维修、养护和管理），并承担相应费用。</w:t>
      </w:r>
    </w:p>
    <w:p w14:paraId="6C990AF2">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7.2.2</w:t>
      </w:r>
      <w:r>
        <w:rPr>
          <w:rStyle w:val="31"/>
          <w:rFonts w:hint="eastAsia" w:ascii="宋体" w:hAnsi="宋体" w:eastAsia="宋体" w:cs="宋体"/>
          <w:color w:val="auto"/>
        </w:rPr>
        <w:t>承包人修建的临时道路和交通设施，应免费提供发包人、监理人，以及与本合 同有关的其他承包人使用。</w:t>
      </w:r>
    </w:p>
    <w:p w14:paraId="012442BC">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518" w:name="bookmark1090"/>
      <w:bookmarkStart w:id="519" w:name="_Toc256000059"/>
      <w:bookmarkStart w:id="520" w:name="bookmark1088"/>
      <w:bookmarkStart w:id="521" w:name="_Toc1077"/>
      <w:bookmarkStart w:id="522" w:name="bookmark1089"/>
      <w:bookmarkStart w:id="523" w:name="_Toc9625"/>
      <w:r>
        <w:rPr>
          <w:rStyle w:val="31"/>
          <w:rFonts w:hint="eastAsia" w:ascii="宋体" w:hAnsi="宋体" w:eastAsia="宋体" w:cs="宋体"/>
          <w:color w:val="auto"/>
          <w:sz w:val="24"/>
          <w:szCs w:val="24"/>
          <w:lang w:eastAsia="zh-CN"/>
        </w:rPr>
        <w:t>7.3场外交通</w:t>
      </w:r>
      <w:bookmarkEnd w:id="518"/>
      <w:bookmarkEnd w:id="519"/>
      <w:bookmarkEnd w:id="520"/>
      <w:bookmarkEnd w:id="521"/>
      <w:bookmarkEnd w:id="522"/>
      <w:bookmarkEnd w:id="523"/>
    </w:p>
    <w:p w14:paraId="60A04C0E">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7.3.1</w:t>
      </w:r>
      <w:r>
        <w:rPr>
          <w:rStyle w:val="31"/>
          <w:rFonts w:hint="eastAsia" w:ascii="宋体" w:hAnsi="宋体" w:eastAsia="宋体" w:cs="宋体"/>
          <w:color w:val="auto"/>
        </w:rPr>
        <w:t>承包人车辆外出行驶所需的场外公共道路的通行费、养路费和税款等由承包人承担。</w:t>
      </w:r>
    </w:p>
    <w:p w14:paraId="6BA8BD44">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rPr>
        <w:t>7.3.2</w:t>
      </w:r>
      <w:r>
        <w:rPr>
          <w:rStyle w:val="31"/>
          <w:rFonts w:hint="eastAsia" w:ascii="宋体" w:hAnsi="宋体" w:eastAsia="宋体" w:cs="宋体"/>
          <w:color w:val="auto"/>
        </w:rPr>
        <w:t>承包人应遵守有关交通法规，严格按照道路和桥梁的限制荷重安全行驶，并服从交通管理部门的检查和监督</w:t>
      </w:r>
      <w:r>
        <w:rPr>
          <w:rStyle w:val="31"/>
          <w:rFonts w:hint="eastAsia" w:ascii="宋体" w:hAnsi="宋体" w:eastAsia="宋体" w:cs="宋体"/>
          <w:color w:val="auto"/>
          <w:lang w:val="en-US"/>
        </w:rPr>
        <w:t>。</w:t>
      </w:r>
    </w:p>
    <w:p w14:paraId="76A039D1">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524" w:name="_Toc256000060"/>
      <w:bookmarkStart w:id="525" w:name="bookmark1093"/>
      <w:bookmarkStart w:id="526" w:name="bookmark1092"/>
      <w:bookmarkStart w:id="527" w:name="_Toc25595"/>
      <w:bookmarkStart w:id="528" w:name="bookmark1091"/>
      <w:bookmarkStart w:id="529" w:name="_Toc10137"/>
      <w:r>
        <w:rPr>
          <w:rStyle w:val="31"/>
          <w:rFonts w:hint="eastAsia" w:ascii="宋体" w:hAnsi="宋体" w:eastAsia="宋体" w:cs="宋体"/>
          <w:color w:val="auto"/>
          <w:sz w:val="24"/>
          <w:szCs w:val="24"/>
          <w:lang w:eastAsia="zh-CN"/>
        </w:rPr>
        <w:t>7.4超大件和超重件的运输</w:t>
      </w:r>
      <w:bookmarkEnd w:id="524"/>
      <w:bookmarkEnd w:id="525"/>
      <w:bookmarkEnd w:id="526"/>
      <w:bookmarkEnd w:id="527"/>
      <w:bookmarkEnd w:id="528"/>
      <w:bookmarkEnd w:id="529"/>
    </w:p>
    <w:p w14:paraId="4966E07E">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由承包人负责运输的超大件或超重件，应由承包人负责向交通管理部门办理申请手续, 发包人给予协助。运输超大件或超重件所需的道路和桥梁临时加固改造费用和其他有关费用，由承包人承担，但专用合同条款另有约定除外。</w:t>
      </w:r>
    </w:p>
    <w:p w14:paraId="6877EAC4">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530" w:name="_Toc256000061"/>
      <w:bookmarkStart w:id="531" w:name="bookmark1094"/>
      <w:bookmarkStart w:id="532" w:name="bookmark1095"/>
      <w:bookmarkStart w:id="533" w:name="bookmark1096"/>
      <w:bookmarkStart w:id="534" w:name="_Toc19673"/>
      <w:bookmarkStart w:id="535" w:name="_Toc31023"/>
      <w:r>
        <w:rPr>
          <w:rStyle w:val="31"/>
          <w:rFonts w:hint="eastAsia" w:ascii="宋体" w:hAnsi="宋体" w:eastAsia="宋体" w:cs="宋体"/>
          <w:color w:val="auto"/>
          <w:sz w:val="24"/>
          <w:szCs w:val="24"/>
          <w:lang w:eastAsia="zh-CN"/>
        </w:rPr>
        <w:t>7.5道路和桥梁的损坏责任</w:t>
      </w:r>
      <w:bookmarkEnd w:id="530"/>
      <w:bookmarkEnd w:id="531"/>
      <w:bookmarkEnd w:id="532"/>
      <w:bookmarkEnd w:id="533"/>
      <w:bookmarkEnd w:id="534"/>
      <w:bookmarkEnd w:id="535"/>
    </w:p>
    <w:p w14:paraId="09D522EF">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因承包人运输造成施工场地内外公共道路和桥梁损坏的，由承包人承担修复损坏的全部费用和可能引起的赔偿。</w:t>
      </w:r>
    </w:p>
    <w:p w14:paraId="5FA3AADD">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536" w:name="_Toc32607"/>
      <w:bookmarkStart w:id="537" w:name="bookmark1097"/>
      <w:bookmarkStart w:id="538" w:name="_Toc256000062"/>
      <w:bookmarkStart w:id="539" w:name="bookmark1098"/>
      <w:bookmarkStart w:id="540" w:name="_Toc30116"/>
      <w:bookmarkStart w:id="541" w:name="bookmark1099"/>
      <w:r>
        <w:rPr>
          <w:rStyle w:val="31"/>
          <w:rFonts w:hint="eastAsia" w:ascii="宋体" w:hAnsi="宋体" w:eastAsia="宋体" w:cs="宋体"/>
          <w:color w:val="auto"/>
          <w:sz w:val="24"/>
          <w:szCs w:val="24"/>
          <w:lang w:eastAsia="zh-CN"/>
        </w:rPr>
        <w:t>7.6水路和航空运输</w:t>
      </w:r>
      <w:bookmarkEnd w:id="536"/>
      <w:bookmarkEnd w:id="537"/>
      <w:bookmarkEnd w:id="538"/>
      <w:bookmarkEnd w:id="539"/>
      <w:bookmarkEnd w:id="540"/>
      <w:bookmarkEnd w:id="541"/>
    </w:p>
    <w:p w14:paraId="7D22E22F">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本条上述各款的内容适用于水路运输和航空运输，其中“道路” 一词的涵义包括河道、 航线、船闸、机场、码头、堤防以及水路或航空运输中其他相似结构物；“车辆” 一词的涵义包括船舶和飞机等。</w:t>
      </w:r>
    </w:p>
    <w:p w14:paraId="3BE6D02D">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lang w:eastAsia="zh-CN"/>
        </w:rPr>
      </w:pPr>
      <w:bookmarkStart w:id="542" w:name="bookmark1102"/>
      <w:bookmarkEnd w:id="542"/>
      <w:bookmarkStart w:id="543" w:name="bookmark1103"/>
      <w:bookmarkStart w:id="544" w:name="_Toc14055"/>
      <w:bookmarkStart w:id="545" w:name="bookmark1100"/>
      <w:bookmarkStart w:id="546" w:name="_Toc256000063"/>
      <w:bookmarkStart w:id="547" w:name="bookmark1101"/>
      <w:bookmarkStart w:id="548" w:name="_Toc7491"/>
      <w:r>
        <w:rPr>
          <w:rStyle w:val="31"/>
          <w:rFonts w:hint="eastAsia" w:ascii="宋体" w:hAnsi="宋体" w:eastAsia="宋体" w:cs="宋体"/>
          <w:color w:val="auto"/>
          <w:lang w:eastAsia="zh-CN"/>
        </w:rPr>
        <w:t>8.测量放线</w:t>
      </w:r>
      <w:bookmarkEnd w:id="543"/>
      <w:bookmarkEnd w:id="544"/>
      <w:bookmarkEnd w:id="545"/>
      <w:bookmarkEnd w:id="546"/>
      <w:bookmarkEnd w:id="547"/>
      <w:bookmarkEnd w:id="548"/>
    </w:p>
    <w:p w14:paraId="1B107D77">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549" w:name="bookmark1104"/>
      <w:bookmarkStart w:id="550" w:name="bookmark1106"/>
      <w:bookmarkStart w:id="551" w:name="bookmark1105"/>
      <w:bookmarkStart w:id="552" w:name="_Toc7125"/>
      <w:bookmarkStart w:id="553" w:name="_Toc16690"/>
      <w:bookmarkStart w:id="554" w:name="_Toc256000064"/>
      <w:r>
        <w:rPr>
          <w:rStyle w:val="31"/>
          <w:rFonts w:hint="eastAsia" w:ascii="宋体" w:hAnsi="宋体" w:eastAsia="宋体" w:cs="宋体"/>
          <w:color w:val="auto"/>
          <w:sz w:val="24"/>
          <w:szCs w:val="24"/>
          <w:lang w:eastAsia="zh-CN"/>
        </w:rPr>
        <w:t>8.1施工控制网</w:t>
      </w:r>
      <w:bookmarkEnd w:id="549"/>
      <w:bookmarkEnd w:id="550"/>
      <w:bookmarkEnd w:id="551"/>
      <w:bookmarkEnd w:id="552"/>
      <w:bookmarkEnd w:id="553"/>
      <w:bookmarkEnd w:id="554"/>
    </w:p>
    <w:p w14:paraId="7D2B6F97">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8.1.1</w:t>
      </w:r>
      <w:r>
        <w:rPr>
          <w:rStyle w:val="31"/>
          <w:rFonts w:hint="eastAsia" w:ascii="宋体" w:hAnsi="宋体" w:eastAsia="宋体" w:cs="宋体"/>
          <w:color w:val="auto"/>
        </w:rPr>
        <w:t>除专用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51CE136D">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8.1.2</w:t>
      </w:r>
      <w:r>
        <w:rPr>
          <w:rStyle w:val="31"/>
          <w:rFonts w:hint="eastAsia" w:ascii="宋体" w:hAnsi="宋体" w:eastAsia="宋体" w:cs="宋体"/>
          <w:color w:val="auto"/>
        </w:rPr>
        <w:t>承包人应负责管理施工控制网点。施工控制网点丢失或损坏的，承包人应及时修复。承包人应承担施工控制网点的管理与修复费用，并在工程竣工后将施工控制网点移交发包人。</w:t>
      </w:r>
    </w:p>
    <w:p w14:paraId="0FDA9B48">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555" w:name="_Toc28033"/>
      <w:bookmarkStart w:id="556" w:name="bookmark1107"/>
      <w:bookmarkStart w:id="557" w:name="bookmark1109"/>
      <w:bookmarkStart w:id="558" w:name="_Toc8732"/>
      <w:bookmarkStart w:id="559" w:name="_Toc256000065"/>
      <w:bookmarkStart w:id="560" w:name="bookmark1108"/>
      <w:r>
        <w:rPr>
          <w:rStyle w:val="31"/>
          <w:rFonts w:hint="eastAsia" w:ascii="宋体" w:hAnsi="宋体" w:eastAsia="宋体" w:cs="宋体"/>
          <w:color w:val="auto"/>
          <w:sz w:val="24"/>
          <w:szCs w:val="24"/>
          <w:lang w:eastAsia="zh-CN"/>
        </w:rPr>
        <w:t>8.2施工测量</w:t>
      </w:r>
      <w:bookmarkEnd w:id="555"/>
      <w:bookmarkEnd w:id="556"/>
      <w:bookmarkEnd w:id="557"/>
      <w:bookmarkEnd w:id="558"/>
      <w:bookmarkEnd w:id="559"/>
      <w:bookmarkEnd w:id="560"/>
    </w:p>
    <w:p w14:paraId="4B71A774">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8.2.1</w:t>
      </w:r>
      <w:r>
        <w:rPr>
          <w:rStyle w:val="31"/>
          <w:rFonts w:hint="eastAsia" w:ascii="宋体" w:hAnsi="宋体" w:eastAsia="宋体" w:cs="宋体"/>
          <w:color w:val="auto"/>
        </w:rPr>
        <w:t>承包人应负责施工过程中的全部施工测量放线工作，并配置合格的人员、仪 器、设备和其他物品。</w:t>
      </w:r>
    </w:p>
    <w:p w14:paraId="61E6FDF9">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8.2.2</w:t>
      </w:r>
      <w:r>
        <w:rPr>
          <w:rStyle w:val="31"/>
          <w:rFonts w:hint="eastAsia" w:ascii="宋体" w:hAnsi="宋体" w:eastAsia="宋体" w:cs="宋体"/>
          <w:color w:val="auto"/>
        </w:rPr>
        <w:t>监理人可以指示承包人进行抽样复测，当复测中发现错误或出现超过合同约定的误差时，承包人应按监理人指示进行修正或补测，并承担相应的复测费用。</w:t>
      </w:r>
    </w:p>
    <w:p w14:paraId="5E4F0B59">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561" w:name="bookmark1111"/>
      <w:bookmarkStart w:id="562" w:name="_Toc256000066"/>
      <w:bookmarkStart w:id="563" w:name="bookmark1110"/>
      <w:bookmarkStart w:id="564" w:name="bookmark1112"/>
      <w:bookmarkStart w:id="565" w:name="_Toc2222"/>
      <w:bookmarkStart w:id="566" w:name="_Toc18249"/>
      <w:r>
        <w:rPr>
          <w:rStyle w:val="31"/>
          <w:rFonts w:hint="eastAsia" w:ascii="宋体" w:hAnsi="宋体" w:eastAsia="宋体" w:cs="宋体"/>
          <w:color w:val="auto"/>
          <w:sz w:val="24"/>
          <w:szCs w:val="24"/>
          <w:lang w:eastAsia="zh-CN"/>
        </w:rPr>
        <w:t>8.3基准资料错误的责任</w:t>
      </w:r>
      <w:bookmarkEnd w:id="561"/>
      <w:bookmarkEnd w:id="562"/>
      <w:bookmarkEnd w:id="563"/>
      <w:bookmarkEnd w:id="564"/>
      <w:bookmarkEnd w:id="565"/>
      <w:bookmarkEnd w:id="566"/>
    </w:p>
    <w:p w14:paraId="0D36F98C">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792C8520">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567" w:name="_Toc24310"/>
      <w:bookmarkStart w:id="568" w:name="bookmark1114"/>
      <w:bookmarkStart w:id="569" w:name="_Toc256000067"/>
      <w:bookmarkStart w:id="570" w:name="bookmark1113"/>
      <w:bookmarkStart w:id="571" w:name="bookmark1115"/>
      <w:bookmarkStart w:id="572" w:name="_Toc26810"/>
      <w:r>
        <w:rPr>
          <w:rStyle w:val="31"/>
          <w:rFonts w:hint="eastAsia" w:ascii="宋体" w:hAnsi="宋体" w:eastAsia="宋体" w:cs="宋体"/>
          <w:color w:val="auto"/>
          <w:sz w:val="24"/>
          <w:szCs w:val="24"/>
          <w:lang w:eastAsia="zh-CN"/>
        </w:rPr>
        <w:t>8.4监理人使用施工控制网</w:t>
      </w:r>
      <w:bookmarkEnd w:id="567"/>
      <w:bookmarkEnd w:id="568"/>
      <w:bookmarkEnd w:id="569"/>
      <w:bookmarkEnd w:id="570"/>
      <w:bookmarkEnd w:id="571"/>
      <w:bookmarkEnd w:id="572"/>
    </w:p>
    <w:p w14:paraId="3FE3F82A">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监理人需要使用施工控制网的，承包人应提供必要的协助，发包人不再为此支付费用。</w:t>
      </w:r>
    </w:p>
    <w:p w14:paraId="28EE8663">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573" w:name="_Toc256000068"/>
      <w:bookmarkStart w:id="574" w:name="bookmark1116"/>
      <w:bookmarkStart w:id="575" w:name="bookmark1117"/>
      <w:bookmarkStart w:id="576" w:name="_Toc3157"/>
      <w:bookmarkStart w:id="577" w:name="bookmark1118"/>
      <w:bookmarkStart w:id="578" w:name="_Toc26237"/>
      <w:r>
        <w:rPr>
          <w:rStyle w:val="31"/>
          <w:rFonts w:hint="eastAsia" w:ascii="宋体" w:hAnsi="宋体" w:eastAsia="宋体" w:cs="宋体"/>
          <w:color w:val="auto"/>
          <w:sz w:val="24"/>
          <w:szCs w:val="24"/>
          <w:lang w:eastAsia="zh-CN"/>
        </w:rPr>
        <w:t>8.5补充地质勘探</w:t>
      </w:r>
      <w:bookmarkEnd w:id="573"/>
      <w:bookmarkEnd w:id="574"/>
      <w:bookmarkEnd w:id="575"/>
      <w:bookmarkEnd w:id="576"/>
      <w:bookmarkEnd w:id="577"/>
      <w:bookmarkEnd w:id="578"/>
    </w:p>
    <w:p w14:paraId="4E0431BC">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在合同实施期间，监理人可以指示承包人进行必要的补充地质勘探和提供有关资料; 承包人为本合同永久工程施工的需要进行补充地质勘探时，须经监理人批准，并应向监理人提交有关资料，上述补充勘探的费用由发包人承担。承包人为其临时工程所需进行的补 充地质勘探，其费用由承包人承担。</w:t>
      </w:r>
    </w:p>
    <w:p w14:paraId="60DE288B">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lang w:eastAsia="zh-CN"/>
        </w:rPr>
      </w:pPr>
      <w:bookmarkStart w:id="579" w:name="bookmark1121"/>
      <w:bookmarkEnd w:id="579"/>
      <w:bookmarkStart w:id="580" w:name="_Toc15267"/>
      <w:bookmarkStart w:id="581" w:name="bookmark1120"/>
      <w:bookmarkStart w:id="582" w:name="_Toc256000069"/>
      <w:bookmarkStart w:id="583" w:name="bookmark1122"/>
      <w:bookmarkStart w:id="584" w:name="_Toc18693"/>
      <w:bookmarkStart w:id="585" w:name="bookmark1119"/>
      <w:r>
        <w:rPr>
          <w:rStyle w:val="31"/>
          <w:rFonts w:hint="eastAsia" w:ascii="宋体" w:hAnsi="宋体" w:eastAsia="宋体" w:cs="宋体"/>
          <w:color w:val="auto"/>
          <w:lang w:eastAsia="zh-CN"/>
        </w:rPr>
        <w:t>9.施工安全、治安保卫和环境保护</w:t>
      </w:r>
      <w:bookmarkEnd w:id="580"/>
      <w:bookmarkEnd w:id="581"/>
      <w:bookmarkEnd w:id="582"/>
      <w:bookmarkEnd w:id="583"/>
      <w:bookmarkEnd w:id="584"/>
      <w:bookmarkEnd w:id="585"/>
    </w:p>
    <w:p w14:paraId="59B0D77E">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586" w:name="bookmark1124"/>
      <w:bookmarkStart w:id="587" w:name="bookmark1123"/>
      <w:bookmarkStart w:id="588" w:name="bookmark1125"/>
      <w:bookmarkStart w:id="589" w:name="_Toc256000070"/>
      <w:bookmarkStart w:id="590" w:name="_Toc13008"/>
      <w:bookmarkStart w:id="591" w:name="_Toc1087"/>
      <w:r>
        <w:rPr>
          <w:rStyle w:val="31"/>
          <w:rFonts w:hint="eastAsia" w:ascii="宋体" w:hAnsi="宋体" w:eastAsia="宋体" w:cs="宋体"/>
          <w:color w:val="auto"/>
          <w:sz w:val="24"/>
          <w:szCs w:val="24"/>
          <w:lang w:eastAsia="zh-CN"/>
        </w:rPr>
        <w:t>9.1发包人的施工安全责任</w:t>
      </w:r>
      <w:bookmarkEnd w:id="586"/>
      <w:bookmarkEnd w:id="587"/>
      <w:bookmarkEnd w:id="588"/>
      <w:bookmarkEnd w:id="589"/>
      <w:bookmarkEnd w:id="590"/>
      <w:bookmarkEnd w:id="591"/>
    </w:p>
    <w:p w14:paraId="21ECA4FC">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9.1.1</w:t>
      </w:r>
      <w:r>
        <w:rPr>
          <w:rStyle w:val="31"/>
          <w:rFonts w:hint="eastAsia" w:ascii="宋体" w:hAnsi="宋体" w:eastAsia="宋体" w:cs="宋体"/>
          <w:color w:val="auto"/>
        </w:rPr>
        <w:t>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68B5BE19">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9.1.2</w:t>
      </w:r>
      <w:r>
        <w:rPr>
          <w:rStyle w:val="31"/>
          <w:rFonts w:hint="eastAsia" w:ascii="宋体" w:hAnsi="宋体" w:eastAsia="宋体" w:cs="宋体"/>
          <w:color w:val="auto"/>
        </w:rPr>
        <w:t>发包人应对其现场机构雇佣的全部人员的工伤事故承担责任，但由于承包人原因造成发包人人员工伤的，应由承包人承担责任。</w:t>
      </w:r>
    </w:p>
    <w:p w14:paraId="3E31873A">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 xml:space="preserve">9. 1. </w:t>
      </w:r>
      <w:r>
        <w:rPr>
          <w:rStyle w:val="31"/>
          <w:rFonts w:hint="eastAsia" w:ascii="宋体" w:hAnsi="宋体" w:eastAsia="宋体" w:cs="宋体"/>
          <w:color w:val="auto"/>
        </w:rPr>
        <w:t>3发包人应负责赔偿以下各种情况造成的第三者人身伤亡和财产损失：</w:t>
      </w:r>
    </w:p>
    <w:p w14:paraId="7EBFABB1">
      <w:pPr>
        <w:pStyle w:val="95"/>
        <w:pageBreakBefore w:val="0"/>
        <w:widowControl w:val="0"/>
        <w:numPr>
          <w:ilvl w:val="0"/>
          <w:numId w:val="9"/>
        </w:numPr>
        <w:tabs>
          <w:tab w:val="left" w:pos="898"/>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592" w:name="bookmark1126"/>
      <w:bookmarkEnd w:id="592"/>
      <w:r>
        <w:rPr>
          <w:rStyle w:val="31"/>
          <w:rFonts w:hint="eastAsia" w:ascii="宋体" w:hAnsi="宋体" w:eastAsia="宋体" w:cs="宋体"/>
          <w:color w:val="auto"/>
        </w:rPr>
        <w:t>工程或工程的任何部分对土地的占用所造成的第三者财产损失；</w:t>
      </w:r>
    </w:p>
    <w:p w14:paraId="14368401">
      <w:pPr>
        <w:pStyle w:val="95"/>
        <w:pageBreakBefore w:val="0"/>
        <w:widowControl w:val="0"/>
        <w:numPr>
          <w:ilvl w:val="0"/>
          <w:numId w:val="9"/>
        </w:numPr>
        <w:tabs>
          <w:tab w:val="left" w:pos="898"/>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593" w:name="bookmark1127"/>
      <w:bookmarkEnd w:id="593"/>
      <w:r>
        <w:rPr>
          <w:rStyle w:val="31"/>
          <w:rFonts w:hint="eastAsia" w:ascii="宋体" w:hAnsi="宋体" w:eastAsia="宋体" w:cs="宋体"/>
          <w:color w:val="auto"/>
        </w:rPr>
        <w:t>由于发包人原因在施工场地及其毗邻地带造成的第三者人身伤亡和财产损失。</w:t>
      </w:r>
    </w:p>
    <w:p w14:paraId="4C1DDE40">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9.1.4</w:t>
      </w:r>
      <w:r>
        <w:rPr>
          <w:rStyle w:val="31"/>
          <w:rFonts w:hint="eastAsia" w:ascii="宋体" w:hAnsi="宋体" w:eastAsia="宋体" w:cs="宋体"/>
          <w:color w:val="auto"/>
        </w:rPr>
        <w:t>除专用合同条款另有约定外，发包人负责向承包人提供施工现场及施工可能影响的毗邻区域内供水、排水、供电、供气、供热、通信、广播电视等地下管线资料，气象 和水文观测资料，拟建工程可能影响的相邻建筑物地下工程的有关资料，并保证有关资料的真实、准确、完整，满足有关技术规程的要求。</w:t>
      </w:r>
    </w:p>
    <w:p w14:paraId="70B56E5F">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9.1.5</w:t>
      </w:r>
      <w:r>
        <w:rPr>
          <w:rStyle w:val="31"/>
          <w:rFonts w:hint="eastAsia" w:ascii="宋体" w:hAnsi="宋体" w:eastAsia="宋体" w:cs="宋体"/>
          <w:color w:val="auto"/>
        </w:rPr>
        <w:t>发包人按照已标价工程量清单所列金额和合同约定的计量支付规定，支付安全作业环境及安全施工措施所需费用。</w:t>
      </w:r>
    </w:p>
    <w:p w14:paraId="34274615">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9.1.6</w:t>
      </w:r>
      <w:r>
        <w:rPr>
          <w:rStyle w:val="31"/>
          <w:rFonts w:hint="eastAsia" w:ascii="宋体" w:hAnsi="宋体" w:eastAsia="宋体" w:cs="宋体"/>
          <w:color w:val="auto"/>
        </w:rPr>
        <w:t>发包人负责组织工程参建单位编制保证安全生产的措施方案。工程开工前，就 落实安全生产的措施进行全面系统的布置，进一步明确承包人的安全生产责任。</w:t>
      </w:r>
    </w:p>
    <w:p w14:paraId="1F21C2CF">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9.1.7</w:t>
      </w:r>
      <w:r>
        <w:rPr>
          <w:rStyle w:val="31"/>
          <w:rFonts w:hint="eastAsia" w:ascii="宋体" w:hAnsi="宋体" w:eastAsia="宋体" w:cs="宋体"/>
          <w:color w:val="auto"/>
        </w:rPr>
        <w:t>发包人负责在拆除工程和爆破工程施工14天前向有关部门或机构报送相关备案资料。</w:t>
      </w:r>
    </w:p>
    <w:p w14:paraId="05C18BD6">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594" w:name="bookmark1128"/>
      <w:bookmarkStart w:id="595" w:name="_Toc32671"/>
      <w:bookmarkStart w:id="596" w:name="_Toc256000071"/>
      <w:bookmarkStart w:id="597" w:name="bookmark1130"/>
      <w:bookmarkStart w:id="598" w:name="_Toc920"/>
      <w:bookmarkStart w:id="599" w:name="bookmark1129"/>
      <w:r>
        <w:rPr>
          <w:rStyle w:val="31"/>
          <w:rFonts w:hint="eastAsia" w:ascii="宋体" w:hAnsi="宋体" w:eastAsia="宋体" w:cs="宋体"/>
          <w:color w:val="auto"/>
          <w:sz w:val="24"/>
          <w:szCs w:val="24"/>
          <w:lang w:eastAsia="zh-CN"/>
        </w:rPr>
        <w:t>9.2承包人的施工安全责任</w:t>
      </w:r>
      <w:bookmarkEnd w:id="594"/>
      <w:bookmarkEnd w:id="595"/>
      <w:bookmarkEnd w:id="596"/>
      <w:bookmarkEnd w:id="597"/>
      <w:bookmarkEnd w:id="598"/>
      <w:bookmarkEnd w:id="599"/>
    </w:p>
    <w:p w14:paraId="1C6991ED">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9.2.1</w:t>
      </w:r>
      <w:r>
        <w:rPr>
          <w:rStyle w:val="31"/>
          <w:rFonts w:hint="eastAsia" w:ascii="宋体" w:hAnsi="宋体" w:eastAsia="宋体" w:cs="宋体"/>
          <w:color w:val="auto"/>
        </w:rPr>
        <w:t>承包人应按合同约定履行安全职责，执行监理人有关安全工作的指示。承包人应按技术标准和要求(合同技术条款)约定的内容和期限，以及监理人的指示，编制施工安全技术措施提交监理人审批。监理人应技术标准和要求(合同技术条款)约定的期限内 批复承包人。</w:t>
      </w:r>
    </w:p>
    <w:p w14:paraId="6F915932">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9.2.2</w:t>
      </w:r>
      <w:r>
        <w:rPr>
          <w:rStyle w:val="31"/>
          <w:rFonts w:hint="eastAsia" w:ascii="宋体" w:hAnsi="宋体" w:eastAsia="宋体" w:cs="宋体"/>
          <w:color w:val="auto"/>
        </w:rPr>
        <w:t>承包人应加强施工作业安全管理，特别应加强易燃、易爆材料、火工器材、有毒与腐蚀性材料和其他危险品的管理，以及对爆破作业和地下工程施工等危险作业的管理。</w:t>
      </w:r>
    </w:p>
    <w:p w14:paraId="3813DCC1">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9.2.3</w:t>
      </w:r>
      <w:r>
        <w:rPr>
          <w:rStyle w:val="31"/>
          <w:rFonts w:hint="eastAsia" w:ascii="宋体" w:hAnsi="宋体" w:eastAsia="宋体" w:cs="宋体"/>
          <w:color w:val="auto"/>
        </w:rPr>
        <w:t>承包人应严格按照国家安全标准制定施工安全操作规程，配备必要的安全生产 和劳动保护设施，加强对承包人人员的安全教育，并发放安全工作手册和劳动保护用具。</w:t>
      </w:r>
    </w:p>
    <w:p w14:paraId="2A6D64E5">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9. 2.4</w:t>
      </w:r>
      <w:r>
        <w:rPr>
          <w:rStyle w:val="31"/>
          <w:rFonts w:hint="eastAsia" w:ascii="宋体" w:hAnsi="宋体" w:eastAsia="宋体" w:cs="宋体"/>
          <w:color w:val="auto"/>
        </w:rPr>
        <w:t>承包人应按监理人的指示制定应对灾害的紧急预案，报送监理人审批。承包人还应按预案做好安全检查，配置必要的救助物资和器材，切实保护好有关人员的人身和财产安全。</w:t>
      </w:r>
    </w:p>
    <w:p w14:paraId="50CADD09">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9.2.5</w:t>
      </w:r>
      <w:r>
        <w:rPr>
          <w:rStyle w:val="31"/>
          <w:rFonts w:hint="eastAsia" w:ascii="宋体" w:hAnsi="宋体" w:eastAsia="宋体" w:cs="宋体"/>
          <w:color w:val="auto"/>
        </w:rPr>
        <w:t>合同约定的安全作业环境及安全施工措施所需费用应遵守有关规定，并包括在相关工作的合同价格中。因采取合同未约定的安全作业环境及安全施工措施增加的费用，由监理人按第</w:t>
      </w:r>
      <w:r>
        <w:rPr>
          <w:rStyle w:val="31"/>
          <w:rFonts w:hint="eastAsia" w:ascii="宋体" w:hAnsi="宋体" w:eastAsia="宋体" w:cs="宋体"/>
          <w:color w:val="auto"/>
          <w:lang w:val="en-US" w:bidi="en-US"/>
        </w:rPr>
        <w:t xml:space="preserve">3. </w:t>
      </w:r>
      <w:r>
        <w:rPr>
          <w:rStyle w:val="31"/>
          <w:rFonts w:hint="eastAsia" w:ascii="宋体" w:hAnsi="宋体" w:eastAsia="宋体" w:cs="宋体"/>
          <w:color w:val="auto"/>
        </w:rPr>
        <w:t>5款商定或确定。</w:t>
      </w:r>
    </w:p>
    <w:p w14:paraId="16DEE15D">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9.2.6</w:t>
      </w:r>
      <w:r>
        <w:rPr>
          <w:rStyle w:val="31"/>
          <w:rFonts w:hint="eastAsia" w:ascii="宋体" w:hAnsi="宋体" w:eastAsia="宋体" w:cs="宋体"/>
          <w:color w:val="auto"/>
        </w:rPr>
        <w:t>承包人应对其履行合同所雇佣的全部人员，包括分包人人员的工伤事故承担责任，但由于发包人原因造成承包人人员工伤事故的，应由发包人承担责任。</w:t>
      </w:r>
    </w:p>
    <w:p w14:paraId="00B5C632">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9.2.</w:t>
      </w:r>
      <w:r>
        <w:rPr>
          <w:rStyle w:val="31"/>
          <w:rFonts w:hint="eastAsia" w:ascii="宋体" w:hAnsi="宋体" w:eastAsia="宋体" w:cs="宋体"/>
          <w:color w:val="auto"/>
        </w:rPr>
        <w:t>7由于承包人原因在施工场地内及其毗邻地带造成的第三者人员伤亡和财产损失，由承包人负责赔偿。</w:t>
      </w:r>
    </w:p>
    <w:p w14:paraId="7CAF1236">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9.2.</w:t>
      </w:r>
      <w:r>
        <w:rPr>
          <w:rStyle w:val="31"/>
          <w:rFonts w:hint="eastAsia" w:ascii="宋体" w:hAnsi="宋体" w:eastAsia="宋体" w:cs="宋体"/>
          <w:color w:val="auto"/>
        </w:rPr>
        <w:t>8承包人已标价工程量清单应包含工程安全作业环境及安全施工措施所需费用。</w:t>
      </w:r>
    </w:p>
    <w:p w14:paraId="42ED0B76">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9.2.9</w:t>
      </w:r>
      <w:r>
        <w:rPr>
          <w:rStyle w:val="31"/>
          <w:rFonts w:hint="eastAsia" w:ascii="宋体" w:hAnsi="宋体" w:eastAsia="宋体" w:cs="宋体"/>
          <w:color w:val="auto"/>
        </w:rPr>
        <w:t>承包人应建立健全安全生产责任制度和安全生产教育培训制度，制定安全生产 规章制度和操作规程，保证本单位建立和完善安全生产条件所需资金的投入，对本工程进行定期和专项安全检查，并做好安全检查记录。</w:t>
      </w:r>
    </w:p>
    <w:p w14:paraId="1667BC4F">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 xml:space="preserve">9. 2. </w:t>
      </w:r>
      <w:r>
        <w:rPr>
          <w:rStyle w:val="31"/>
          <w:rFonts w:hint="eastAsia" w:ascii="宋体" w:hAnsi="宋体" w:eastAsia="宋体" w:cs="宋体"/>
          <w:color w:val="auto"/>
        </w:rPr>
        <w:t>10承包人应设立安全生产管理机构，施工现场应有专职安全生产管理人员。</w:t>
      </w:r>
    </w:p>
    <w:p w14:paraId="5789C58B">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9. 2.11</w:t>
      </w:r>
      <w:r>
        <w:rPr>
          <w:rStyle w:val="31"/>
          <w:rFonts w:hint="eastAsia" w:ascii="宋体" w:hAnsi="宋体" w:eastAsia="宋体" w:cs="宋体"/>
          <w:color w:val="auto"/>
        </w:rPr>
        <w:t>承包人应负责对特种作业人员进行专门的安全作业培训，并保证特种作业人员持证上岗。</w:t>
      </w:r>
    </w:p>
    <w:p w14:paraId="716E692D">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 xml:space="preserve">9. 2. </w:t>
      </w:r>
      <w:r>
        <w:rPr>
          <w:rStyle w:val="31"/>
          <w:rFonts w:hint="eastAsia" w:ascii="宋体" w:hAnsi="宋体" w:eastAsia="宋体" w:cs="宋体"/>
          <w:color w:val="auto"/>
        </w:rPr>
        <w:t>12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1C83A599">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 xml:space="preserve">9. 2. </w:t>
      </w:r>
      <w:r>
        <w:rPr>
          <w:rStyle w:val="31"/>
          <w:rFonts w:hint="eastAsia" w:ascii="宋体" w:hAnsi="宋体" w:eastAsia="宋体" w:cs="宋体"/>
          <w:color w:val="auto"/>
        </w:rPr>
        <w:t>13承包人在使用施工起重机构和整体提升脚手架、模板等自升式架设设施前, 应组织有关单位进行验收。</w:t>
      </w:r>
    </w:p>
    <w:p w14:paraId="60D1D925">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600" w:name="_Toc17287"/>
      <w:bookmarkStart w:id="601" w:name="_Toc24520"/>
      <w:bookmarkStart w:id="602" w:name="bookmark1131"/>
      <w:bookmarkStart w:id="603" w:name="bookmark1132"/>
      <w:bookmarkStart w:id="604" w:name="_Toc256000072"/>
      <w:bookmarkStart w:id="605" w:name="bookmark1133"/>
      <w:r>
        <w:rPr>
          <w:rStyle w:val="31"/>
          <w:rFonts w:hint="eastAsia" w:ascii="宋体" w:hAnsi="宋体" w:eastAsia="宋体" w:cs="宋体"/>
          <w:color w:val="auto"/>
          <w:sz w:val="24"/>
          <w:szCs w:val="24"/>
          <w:lang w:eastAsia="zh-CN"/>
        </w:rPr>
        <w:t>9.3治安保卫</w:t>
      </w:r>
      <w:bookmarkEnd w:id="600"/>
      <w:bookmarkEnd w:id="601"/>
      <w:bookmarkEnd w:id="602"/>
      <w:bookmarkEnd w:id="603"/>
      <w:bookmarkEnd w:id="604"/>
      <w:bookmarkEnd w:id="605"/>
    </w:p>
    <w:p w14:paraId="319745A5">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9.3.1</w:t>
      </w:r>
      <w:r>
        <w:rPr>
          <w:rStyle w:val="31"/>
          <w:rFonts w:hint="eastAsia" w:ascii="宋体" w:hAnsi="宋体" w:eastAsia="宋体" w:cs="宋体"/>
          <w:color w:val="auto"/>
        </w:rPr>
        <w:t>除合同另有约定外，发包人应与当地公安部门协商，在现场建立治安管理机构或联防组织，统一管理施工场地的治安保卫事项，履行合同工程的治安保卫职责。</w:t>
      </w:r>
    </w:p>
    <w:p w14:paraId="461B95B1">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9.3.</w:t>
      </w:r>
      <w:r>
        <w:rPr>
          <w:rStyle w:val="31"/>
          <w:rFonts w:hint="eastAsia" w:ascii="宋体" w:hAnsi="宋体" w:eastAsia="宋体" w:cs="宋体"/>
          <w:color w:val="auto"/>
        </w:rPr>
        <w:t>2发包人和承包人除应协助现场治安管理机构或联防组织维护施工场地的社会治安外，还应做好包括生活区在内的各自管辖区的治安保卫工作。</w:t>
      </w:r>
    </w:p>
    <w:p w14:paraId="4A0C814D">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9.3.3</w:t>
      </w:r>
      <w:r>
        <w:rPr>
          <w:rStyle w:val="31"/>
          <w:rFonts w:hint="eastAsia" w:ascii="宋体" w:hAnsi="宋体" w:eastAsia="宋体" w:cs="宋体"/>
          <w:color w:val="auto"/>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1CFA4D3B">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606" w:name="bookmark1135"/>
      <w:bookmarkStart w:id="607" w:name="_Toc19282"/>
      <w:bookmarkStart w:id="608" w:name="bookmark1136"/>
      <w:bookmarkStart w:id="609" w:name="_Toc256000073"/>
      <w:bookmarkStart w:id="610" w:name="_Toc24105"/>
      <w:bookmarkStart w:id="611" w:name="bookmark1134"/>
      <w:r>
        <w:rPr>
          <w:rStyle w:val="31"/>
          <w:rFonts w:hint="eastAsia" w:ascii="宋体" w:hAnsi="宋体" w:eastAsia="宋体" w:cs="宋体"/>
          <w:color w:val="auto"/>
          <w:sz w:val="24"/>
          <w:szCs w:val="24"/>
          <w:lang w:eastAsia="zh-CN"/>
        </w:rPr>
        <w:t>9.4环境保护</w:t>
      </w:r>
      <w:bookmarkEnd w:id="606"/>
      <w:bookmarkEnd w:id="607"/>
      <w:bookmarkEnd w:id="608"/>
      <w:bookmarkEnd w:id="609"/>
      <w:bookmarkEnd w:id="610"/>
      <w:bookmarkEnd w:id="611"/>
    </w:p>
    <w:p w14:paraId="0B0675F9">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9.4.1</w:t>
      </w:r>
      <w:r>
        <w:rPr>
          <w:rStyle w:val="31"/>
          <w:rFonts w:hint="eastAsia" w:ascii="宋体" w:hAnsi="宋体" w:eastAsia="宋体" w:cs="宋体"/>
          <w:color w:val="auto"/>
        </w:rPr>
        <w:t>承包人在施工过程中，应遵守有关环境保护的法律，履行合同约定的环境保护义务，并对违反法律和合同约定义务所造成的环境破坏、人身伤害和财产损失负责。</w:t>
      </w:r>
    </w:p>
    <w:p w14:paraId="5AD0D7B2">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9.4.2</w:t>
      </w:r>
      <w:r>
        <w:rPr>
          <w:rStyle w:val="31"/>
          <w:rFonts w:hint="eastAsia" w:ascii="宋体" w:hAnsi="宋体" w:eastAsia="宋体" w:cs="宋体"/>
          <w:color w:val="auto"/>
        </w:rPr>
        <w:t>承包人应按合同约定的环保工作内容，编制施工环保措施计划，报送监理人审批。</w:t>
      </w:r>
    </w:p>
    <w:p w14:paraId="4C571EF2">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9.4.3</w:t>
      </w:r>
      <w:r>
        <w:rPr>
          <w:rStyle w:val="31"/>
          <w:rFonts w:hint="eastAsia" w:ascii="宋体" w:hAnsi="宋体" w:eastAsia="宋体" w:cs="宋体"/>
          <w:color w:val="auto"/>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3BDB668E">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9.4.4</w:t>
      </w:r>
      <w:r>
        <w:rPr>
          <w:rStyle w:val="31"/>
          <w:rFonts w:hint="eastAsia" w:ascii="宋体" w:hAnsi="宋体" w:eastAsia="宋体" w:cs="宋体"/>
          <w:color w:val="auto"/>
        </w:rPr>
        <w:t>承包人应按合同约定采取有效措施，对施工开挖的边坡及时进行支护，维护排 水设施，并进行水土保护，避免因施工造成的地质灾害。</w:t>
      </w:r>
    </w:p>
    <w:p w14:paraId="62A9D011">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9.4.5</w:t>
      </w:r>
      <w:r>
        <w:rPr>
          <w:rStyle w:val="31"/>
          <w:rFonts w:hint="eastAsia" w:ascii="宋体" w:hAnsi="宋体" w:eastAsia="宋体" w:cs="宋体"/>
          <w:color w:val="auto"/>
        </w:rPr>
        <w:t>承包人应按国家饮用水管理标准定期对饮用水源进行监测，防止施工活动污染饮用水源。</w:t>
      </w:r>
    </w:p>
    <w:p w14:paraId="0F2FCD2B">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9.4.6</w:t>
      </w:r>
      <w:r>
        <w:rPr>
          <w:rStyle w:val="31"/>
          <w:rFonts w:hint="eastAsia" w:ascii="宋体" w:hAnsi="宋体" w:eastAsia="宋体" w:cs="宋体"/>
          <w:color w:val="auto"/>
        </w:rPr>
        <w:t>承包人应按合同约定，加强对噪声、粉尘、废气、废水和废油的控制，努力降低噪声，控制粉尘和废气浓度，做好废水和废油的治理和排放。</w:t>
      </w:r>
    </w:p>
    <w:p w14:paraId="12195FFA">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612" w:name="_Toc256000074"/>
      <w:bookmarkStart w:id="613" w:name="bookmark1137"/>
      <w:bookmarkStart w:id="614" w:name="_Toc486"/>
      <w:bookmarkStart w:id="615" w:name="bookmark1138"/>
      <w:bookmarkStart w:id="616" w:name="_Toc1363"/>
      <w:bookmarkStart w:id="617" w:name="bookmark1139"/>
      <w:r>
        <w:rPr>
          <w:rStyle w:val="31"/>
          <w:rFonts w:hint="eastAsia" w:ascii="宋体" w:hAnsi="宋体" w:eastAsia="宋体" w:cs="宋体"/>
          <w:color w:val="auto"/>
          <w:sz w:val="24"/>
          <w:szCs w:val="24"/>
          <w:lang w:eastAsia="zh-CN"/>
        </w:rPr>
        <w:t>9.5事故处理</w:t>
      </w:r>
      <w:bookmarkEnd w:id="612"/>
      <w:bookmarkEnd w:id="613"/>
      <w:bookmarkEnd w:id="614"/>
      <w:bookmarkEnd w:id="615"/>
      <w:bookmarkEnd w:id="616"/>
      <w:bookmarkEnd w:id="617"/>
    </w:p>
    <w:p w14:paraId="2904712D">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9.5.1</w:t>
      </w:r>
      <w:r>
        <w:rPr>
          <w:rStyle w:val="31"/>
          <w:rFonts w:hint="eastAsia" w:ascii="宋体" w:hAnsi="宋体" w:eastAsia="宋体" w:cs="宋体"/>
          <w:color w:val="auto"/>
        </w:rPr>
        <w:t>发包人负责组织参建单位制定本工程的质量与安全事故应急预案，建立质量与安全事故应急处置指挥部。</w:t>
      </w:r>
    </w:p>
    <w:p w14:paraId="041EFCF1">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9.5.2</w:t>
      </w:r>
      <w:r>
        <w:rPr>
          <w:rStyle w:val="31"/>
          <w:rFonts w:hint="eastAsia" w:ascii="宋体" w:hAnsi="宋体" w:eastAsia="宋体" w:cs="宋体"/>
          <w:color w:val="auto"/>
        </w:rPr>
        <w:t>承包人应对施工现场易发生重大事故的部位、环节的进行监控，配备救援器材、设备，并定期组织演练。</w:t>
      </w:r>
    </w:p>
    <w:p w14:paraId="2E6CC4AC">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9.5.3</w:t>
      </w:r>
      <w:r>
        <w:rPr>
          <w:rStyle w:val="31"/>
          <w:rFonts w:hint="eastAsia" w:ascii="宋体" w:hAnsi="宋体" w:eastAsia="宋体" w:cs="宋体"/>
          <w:color w:val="auto"/>
        </w:rPr>
        <w:t>工程开工前，承包人应根据本工程特点制定施工现场施工质量与安全事故应急预案，并报发包人备案。</w:t>
      </w:r>
    </w:p>
    <w:p w14:paraId="5F76E0AA">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9.5.4</w:t>
      </w:r>
      <w:r>
        <w:rPr>
          <w:rStyle w:val="31"/>
          <w:rFonts w:hint="eastAsia" w:ascii="宋体" w:hAnsi="宋体" w:eastAsia="宋体" w:cs="宋体"/>
          <w:color w:val="auto"/>
        </w:rPr>
        <w:t>施工过程中发生事故时，发包人、承包人应立即启动应急预案。</w:t>
      </w:r>
    </w:p>
    <w:p w14:paraId="31BECEC8">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9.5.5</w:t>
      </w:r>
      <w:r>
        <w:rPr>
          <w:rStyle w:val="31"/>
          <w:rFonts w:hint="eastAsia" w:ascii="宋体" w:hAnsi="宋体" w:eastAsia="宋体" w:cs="宋体"/>
          <w:color w:val="auto"/>
        </w:rPr>
        <w:t>事故调查处理由发包人按相关规定履行手续，承包人应配合。</w:t>
      </w:r>
    </w:p>
    <w:p w14:paraId="1DECCCFE">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618" w:name="bookmark1141"/>
      <w:bookmarkStart w:id="619" w:name="_Toc1975"/>
      <w:bookmarkStart w:id="620" w:name="_Toc10912"/>
      <w:bookmarkStart w:id="621" w:name="bookmark1140"/>
      <w:bookmarkStart w:id="622" w:name="bookmark1142"/>
      <w:bookmarkStart w:id="623" w:name="_Toc256000075"/>
      <w:r>
        <w:rPr>
          <w:rStyle w:val="31"/>
          <w:rFonts w:hint="eastAsia" w:ascii="宋体" w:hAnsi="宋体" w:eastAsia="宋体" w:cs="宋体"/>
          <w:color w:val="auto"/>
          <w:sz w:val="24"/>
          <w:szCs w:val="24"/>
          <w:lang w:eastAsia="zh-CN"/>
        </w:rPr>
        <w:t>9.6水土保持</w:t>
      </w:r>
      <w:bookmarkEnd w:id="618"/>
      <w:bookmarkEnd w:id="619"/>
      <w:bookmarkEnd w:id="620"/>
      <w:bookmarkEnd w:id="621"/>
      <w:bookmarkEnd w:id="622"/>
      <w:bookmarkEnd w:id="623"/>
    </w:p>
    <w:p w14:paraId="4A88746D">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9.6.</w:t>
      </w:r>
      <w:r>
        <w:rPr>
          <w:rStyle w:val="31"/>
          <w:rFonts w:hint="eastAsia" w:ascii="宋体" w:hAnsi="宋体" w:eastAsia="宋体" w:cs="宋体"/>
          <w:color w:val="auto"/>
        </w:rPr>
        <w:t>1发包人应及时向承包人提供水土保持方案。</w:t>
      </w:r>
    </w:p>
    <w:p w14:paraId="005B353E">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9.6.2</w:t>
      </w:r>
      <w:r>
        <w:rPr>
          <w:rStyle w:val="31"/>
          <w:rFonts w:hint="eastAsia" w:ascii="宋体" w:hAnsi="宋体" w:eastAsia="宋体" w:cs="宋体"/>
          <w:color w:val="auto"/>
        </w:rPr>
        <w:t>承包人在施工过程中，应遵守有关水土保持的法律法规和规章，履行合同约定的水土保持义务，并对其违反法律和合同约定义务所造成的水土流失灾害、人身伤害和财 产损失负责。</w:t>
      </w:r>
    </w:p>
    <w:p w14:paraId="70181859">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9.6.3</w:t>
      </w:r>
      <w:r>
        <w:rPr>
          <w:rStyle w:val="31"/>
          <w:rFonts w:hint="eastAsia" w:ascii="宋体" w:hAnsi="宋体" w:eastAsia="宋体" w:cs="宋体"/>
          <w:color w:val="auto"/>
        </w:rPr>
        <w:t>承包人的水土保持措施计划，应满足技术标准和要求（合同技术条款）约定的要求。</w:t>
      </w:r>
    </w:p>
    <w:p w14:paraId="70213821">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624" w:name="_Toc9534"/>
      <w:bookmarkStart w:id="625" w:name="bookmark1143"/>
      <w:bookmarkStart w:id="626" w:name="bookmark1145"/>
      <w:bookmarkStart w:id="627" w:name="_Toc32599"/>
      <w:bookmarkStart w:id="628" w:name="_Toc256000076"/>
      <w:bookmarkStart w:id="629" w:name="bookmark1144"/>
      <w:r>
        <w:rPr>
          <w:rStyle w:val="31"/>
          <w:rFonts w:hint="eastAsia" w:ascii="宋体" w:hAnsi="宋体" w:eastAsia="宋体" w:cs="宋体"/>
          <w:color w:val="auto"/>
          <w:sz w:val="24"/>
          <w:szCs w:val="24"/>
          <w:lang w:eastAsia="zh-CN"/>
        </w:rPr>
        <w:t>9.7文明工地</w:t>
      </w:r>
      <w:bookmarkEnd w:id="624"/>
      <w:bookmarkEnd w:id="625"/>
      <w:bookmarkEnd w:id="626"/>
      <w:bookmarkEnd w:id="627"/>
      <w:bookmarkEnd w:id="628"/>
      <w:bookmarkEnd w:id="629"/>
    </w:p>
    <w:p w14:paraId="52E112BD">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9.7.1</w:t>
      </w:r>
      <w:r>
        <w:rPr>
          <w:rStyle w:val="31"/>
          <w:rFonts w:hint="eastAsia" w:ascii="宋体" w:hAnsi="宋体" w:eastAsia="宋体" w:cs="宋体"/>
          <w:color w:val="auto"/>
        </w:rPr>
        <w:t>发包人应按专用合同条款的约定，负责建立创建文明建设工地的组织机构，制定创建文明建设工地的规划和办法。</w:t>
      </w:r>
    </w:p>
    <w:p w14:paraId="4707967E">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9.7.2</w:t>
      </w:r>
      <w:r>
        <w:rPr>
          <w:rStyle w:val="31"/>
          <w:rFonts w:hint="eastAsia" w:ascii="宋体" w:hAnsi="宋体" w:eastAsia="宋体" w:cs="宋体"/>
          <w:color w:val="auto"/>
        </w:rPr>
        <w:t>承包人应按创建文明建设工地的规划和办法，履行职责，承担相应责任。所需费用应含在已标价工程量清单中。</w:t>
      </w:r>
    </w:p>
    <w:p w14:paraId="0B9E2E14">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630" w:name="_Toc2182"/>
      <w:bookmarkStart w:id="631" w:name="bookmark1146"/>
      <w:bookmarkStart w:id="632" w:name="_Toc10413"/>
      <w:bookmarkStart w:id="633" w:name="bookmark1148"/>
      <w:bookmarkStart w:id="634" w:name="_Toc256000077"/>
      <w:bookmarkStart w:id="635" w:name="bookmark1147"/>
      <w:r>
        <w:rPr>
          <w:rStyle w:val="31"/>
          <w:rFonts w:hint="eastAsia" w:ascii="宋体" w:hAnsi="宋体" w:eastAsia="宋体" w:cs="宋体"/>
          <w:color w:val="auto"/>
          <w:sz w:val="24"/>
          <w:szCs w:val="24"/>
          <w:lang w:eastAsia="zh-CN"/>
        </w:rPr>
        <w:t>9.8防汛度汛</w:t>
      </w:r>
      <w:bookmarkEnd w:id="630"/>
      <w:bookmarkEnd w:id="631"/>
      <w:bookmarkEnd w:id="632"/>
      <w:bookmarkEnd w:id="633"/>
      <w:bookmarkEnd w:id="634"/>
      <w:bookmarkEnd w:id="635"/>
    </w:p>
    <w:p w14:paraId="499E3E9E">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9.8.</w:t>
      </w:r>
      <w:r>
        <w:rPr>
          <w:rStyle w:val="31"/>
          <w:rFonts w:hint="eastAsia" w:ascii="宋体" w:hAnsi="宋体" w:eastAsia="宋体" w:cs="宋体"/>
          <w:color w:val="auto"/>
        </w:rPr>
        <w:t>1发包人负责组织工程参建单位编制本工程的度汛方案和措施。</w:t>
      </w:r>
    </w:p>
    <w:p w14:paraId="0549E365">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9.8.2</w:t>
      </w:r>
      <w:r>
        <w:rPr>
          <w:rStyle w:val="31"/>
          <w:rFonts w:hint="eastAsia" w:ascii="宋体" w:hAnsi="宋体" w:eastAsia="宋体" w:cs="宋体"/>
          <w:color w:val="auto"/>
        </w:rPr>
        <w:t>承包人应根据发包人编制的本工程度汛方案和措施，制定相应的度汛方案，报发包人批准后实施。</w:t>
      </w:r>
    </w:p>
    <w:p w14:paraId="5A86B4A7">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lang w:eastAsia="zh-CN"/>
        </w:rPr>
      </w:pPr>
      <w:bookmarkStart w:id="636" w:name="bookmark1150"/>
      <w:bookmarkStart w:id="637" w:name="_Toc27960"/>
      <w:bookmarkStart w:id="638" w:name="_Toc14784"/>
      <w:bookmarkStart w:id="639" w:name="_Toc256000078"/>
      <w:bookmarkStart w:id="640" w:name="bookmark1151"/>
      <w:bookmarkStart w:id="641" w:name="bookmark1149"/>
      <w:r>
        <w:rPr>
          <w:rStyle w:val="31"/>
          <w:rFonts w:hint="eastAsia" w:ascii="宋体" w:hAnsi="宋体" w:eastAsia="宋体" w:cs="宋体"/>
          <w:color w:val="auto"/>
          <w:lang w:eastAsia="zh-CN"/>
        </w:rPr>
        <w:t>10.进度计划</w:t>
      </w:r>
      <w:bookmarkEnd w:id="636"/>
      <w:bookmarkEnd w:id="637"/>
      <w:bookmarkEnd w:id="638"/>
      <w:bookmarkEnd w:id="639"/>
      <w:bookmarkEnd w:id="640"/>
      <w:bookmarkEnd w:id="641"/>
    </w:p>
    <w:p w14:paraId="7BF72010">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642" w:name="bookmark1153"/>
      <w:bookmarkStart w:id="643" w:name="_Toc26167"/>
      <w:bookmarkStart w:id="644" w:name="bookmark1154"/>
      <w:bookmarkStart w:id="645" w:name="_Toc15277"/>
      <w:bookmarkStart w:id="646" w:name="bookmark1152"/>
      <w:bookmarkStart w:id="647" w:name="_Toc256000079"/>
      <w:r>
        <w:rPr>
          <w:rStyle w:val="31"/>
          <w:rFonts w:hint="eastAsia" w:ascii="宋体" w:hAnsi="宋体" w:eastAsia="宋体" w:cs="宋体"/>
          <w:color w:val="auto"/>
          <w:sz w:val="24"/>
          <w:szCs w:val="24"/>
          <w:lang w:eastAsia="zh-CN"/>
        </w:rPr>
        <w:t>10.1合同进度计划</w:t>
      </w:r>
      <w:bookmarkEnd w:id="642"/>
      <w:bookmarkEnd w:id="643"/>
      <w:bookmarkEnd w:id="644"/>
      <w:bookmarkEnd w:id="645"/>
      <w:bookmarkEnd w:id="646"/>
      <w:bookmarkEnd w:id="647"/>
    </w:p>
    <w:p w14:paraId="3BDEAA78">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承包人应按技术标准和要求（合同技术条款）约定的内容和期限以及监理人的指示, 编制详细的施工总进度计划及其说明提交监理人审批。监理人应在技术标准和要求（合同 技术条款）约定的期限内批复承包人，否则该进度计划视为已得到批准。经监理人批准的 施工进度计划称为合同进度计划，是控制合同工程进度的依据。承包人还应根据合同进度 计划，编制更为详细的分阶段或单位工程或分部工程进度计划，报监理人审批。</w:t>
      </w:r>
    </w:p>
    <w:p w14:paraId="21D3FCBF">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648" w:name="_Toc256000080"/>
      <w:bookmarkStart w:id="649" w:name="_Toc8733"/>
      <w:bookmarkStart w:id="650" w:name="bookmark1157"/>
      <w:bookmarkStart w:id="651" w:name="bookmark1155"/>
      <w:bookmarkStart w:id="652" w:name="_Toc27886"/>
      <w:bookmarkStart w:id="653" w:name="bookmark1156"/>
      <w:r>
        <w:rPr>
          <w:rStyle w:val="31"/>
          <w:rFonts w:hint="eastAsia" w:ascii="宋体" w:hAnsi="宋体" w:eastAsia="宋体" w:cs="宋体"/>
          <w:color w:val="auto"/>
          <w:sz w:val="24"/>
          <w:szCs w:val="24"/>
          <w:lang w:eastAsia="zh-CN"/>
        </w:rPr>
        <w:t>10.2合同进度计划的修订</w:t>
      </w:r>
      <w:bookmarkEnd w:id="648"/>
      <w:bookmarkEnd w:id="649"/>
      <w:bookmarkEnd w:id="650"/>
      <w:bookmarkEnd w:id="651"/>
      <w:bookmarkEnd w:id="652"/>
      <w:bookmarkEnd w:id="653"/>
    </w:p>
    <w:p w14:paraId="0ECCB33E">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不论何种原因造成工程的实际进度与第</w:t>
      </w:r>
      <w:r>
        <w:rPr>
          <w:rStyle w:val="31"/>
          <w:rFonts w:hint="eastAsia" w:ascii="宋体" w:hAnsi="宋体" w:eastAsia="宋体" w:cs="宋体"/>
          <w:color w:val="auto"/>
          <w:lang w:val="en-US" w:bidi="en-US"/>
        </w:rPr>
        <w:t xml:space="preserve">10. </w:t>
      </w:r>
      <w:r>
        <w:rPr>
          <w:rStyle w:val="31"/>
          <w:rFonts w:hint="eastAsia" w:ascii="宋体" w:hAnsi="宋体" w:eastAsia="宋体" w:cs="宋体"/>
          <w:color w:val="auto"/>
        </w:rPr>
        <w:t>1款的合同进度计划不符时，承包人均应在 14天内向监理人提交修订合同进度计划的申请报告，并附有关措施和相关资料，报监理人审批；监理人应在收到申请报告后的14天内批复。当监理人认为需要修订合同进度计划 时，承包人应按监理人的指示，在14天内向监理人提交修订的合同进度计划，并附调整计 划的相关资料，提交监理人审批。监理人应在收到进度计划后的14天内批复。</w:t>
      </w:r>
    </w:p>
    <w:p w14:paraId="454AD966">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w:t>
      </w:r>
      <w:r>
        <w:rPr>
          <w:rStyle w:val="31"/>
          <w:rFonts w:hint="eastAsia" w:ascii="宋体" w:hAnsi="宋体" w:eastAsia="宋体" w:cs="宋体"/>
          <w:color w:val="auto"/>
          <w:lang w:val="en-US" w:bidi="en-US"/>
        </w:rPr>
        <w:t xml:space="preserve">11. </w:t>
      </w:r>
      <w:r>
        <w:rPr>
          <w:rStyle w:val="31"/>
          <w:rFonts w:hint="eastAsia" w:ascii="宋体" w:hAnsi="宋体" w:eastAsia="宋体" w:cs="宋体"/>
          <w:color w:val="auto"/>
        </w:rPr>
        <w:t>3款的约定办理；由于承包人原因造成施工进度延迟，应按第</w:t>
      </w:r>
      <w:r>
        <w:rPr>
          <w:rStyle w:val="31"/>
          <w:rFonts w:hint="eastAsia" w:ascii="宋体" w:hAnsi="宋体" w:eastAsia="宋体" w:cs="宋体"/>
          <w:color w:val="auto"/>
          <w:lang w:val="en-US" w:bidi="en-US"/>
        </w:rPr>
        <w:t xml:space="preserve">11. </w:t>
      </w:r>
      <w:r>
        <w:rPr>
          <w:rStyle w:val="31"/>
          <w:rFonts w:hint="eastAsia" w:ascii="宋体" w:hAnsi="宋体" w:eastAsia="宋体" w:cs="宋体"/>
          <w:color w:val="auto"/>
        </w:rPr>
        <w:t>5款的约定办理。</w:t>
      </w:r>
    </w:p>
    <w:p w14:paraId="19F6723F">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654" w:name="bookmark1158"/>
      <w:bookmarkStart w:id="655" w:name="bookmark1159"/>
      <w:bookmarkStart w:id="656" w:name="_Toc256000081"/>
      <w:bookmarkStart w:id="657" w:name="_Toc25361"/>
      <w:bookmarkStart w:id="658" w:name="_Toc29411"/>
      <w:bookmarkStart w:id="659" w:name="bookmark1160"/>
      <w:r>
        <w:rPr>
          <w:rStyle w:val="31"/>
          <w:rFonts w:hint="eastAsia" w:ascii="宋体" w:hAnsi="宋体" w:eastAsia="宋体" w:cs="宋体"/>
          <w:color w:val="auto"/>
          <w:sz w:val="24"/>
          <w:szCs w:val="24"/>
          <w:lang w:eastAsia="zh-CN"/>
        </w:rPr>
        <w:t>10.3单位工程进度计划</w:t>
      </w:r>
      <w:bookmarkEnd w:id="654"/>
      <w:bookmarkEnd w:id="655"/>
      <w:bookmarkEnd w:id="656"/>
      <w:bookmarkEnd w:id="657"/>
      <w:bookmarkEnd w:id="658"/>
      <w:bookmarkEnd w:id="659"/>
    </w:p>
    <w:p w14:paraId="51737A70">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监理人认为有必要时，承包人应按监理人指示的内容和期限，并根据合同进度计划的进度控制要求，编制单位工程进度计划，提交监理人审批。</w:t>
      </w:r>
    </w:p>
    <w:p w14:paraId="736715A1">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660" w:name="_Toc256000082"/>
      <w:bookmarkStart w:id="661" w:name="bookmark1161"/>
      <w:bookmarkStart w:id="662" w:name="_Toc5993"/>
      <w:bookmarkStart w:id="663" w:name="bookmark1162"/>
      <w:bookmarkStart w:id="664" w:name="_Toc18009"/>
      <w:bookmarkStart w:id="665" w:name="bookmark1163"/>
      <w:r>
        <w:rPr>
          <w:rStyle w:val="31"/>
          <w:rFonts w:hint="eastAsia" w:ascii="宋体" w:hAnsi="宋体" w:eastAsia="宋体" w:cs="宋体"/>
          <w:color w:val="auto"/>
          <w:sz w:val="24"/>
          <w:szCs w:val="24"/>
          <w:lang w:eastAsia="zh-CN"/>
        </w:rPr>
        <w:t>10.4提交资金流估算表</w:t>
      </w:r>
      <w:bookmarkEnd w:id="660"/>
      <w:bookmarkEnd w:id="661"/>
      <w:bookmarkEnd w:id="662"/>
      <w:bookmarkEnd w:id="663"/>
      <w:bookmarkEnd w:id="664"/>
      <w:bookmarkEnd w:id="665"/>
    </w:p>
    <w:p w14:paraId="6C5A020E">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承包人应在按第</w:t>
      </w:r>
      <w:r>
        <w:rPr>
          <w:rStyle w:val="31"/>
          <w:rFonts w:hint="eastAsia" w:ascii="宋体" w:hAnsi="宋体" w:eastAsia="宋体" w:cs="宋体"/>
          <w:color w:val="auto"/>
          <w:lang w:val="en-US" w:bidi="en-US"/>
        </w:rPr>
        <w:t xml:space="preserve">10. </w:t>
      </w:r>
      <w:r>
        <w:rPr>
          <w:rStyle w:val="31"/>
          <w:rFonts w:hint="eastAsia" w:ascii="宋体" w:hAnsi="宋体" w:eastAsia="宋体" w:cs="宋体"/>
          <w:color w:val="auto"/>
        </w:rPr>
        <w:t>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09294A94">
      <w:pPr>
        <w:pStyle w:val="95"/>
        <w:pageBreakBefore w:val="0"/>
        <w:widowControl w:val="0"/>
        <w:tabs>
          <w:tab w:val="left" w:pos="3329"/>
        </w:tabs>
        <w:kinsoku/>
        <w:wordWrap/>
        <w:overflowPunct/>
        <w:topLinePunct w:val="0"/>
        <w:autoSpaceDE/>
        <w:autoSpaceDN/>
        <w:bidi w:val="0"/>
        <w:adjustRightInd/>
        <w:snapToGrid/>
        <w:spacing w:line="440" w:lineRule="exact"/>
        <w:ind w:left="0" w:leftChars="0" w:firstLine="0"/>
        <w:jc w:val="center"/>
        <w:textAlignment w:val="auto"/>
        <w:rPr>
          <w:rStyle w:val="31"/>
          <w:rFonts w:hint="eastAsia" w:ascii="宋体" w:hAnsi="宋体" w:eastAsia="宋体" w:cs="宋体"/>
          <w:color w:val="auto"/>
        </w:rPr>
      </w:pPr>
      <w:r>
        <w:rPr>
          <w:rStyle w:val="31"/>
          <w:rFonts w:hint="eastAsia" w:ascii="宋体" w:hAnsi="宋体" w:eastAsia="宋体" w:cs="宋体"/>
          <w:color w:val="auto"/>
          <w:lang w:val="en-US"/>
        </w:rPr>
        <w:t xml:space="preserve">                          </w:t>
      </w:r>
      <w:r>
        <w:rPr>
          <w:rStyle w:val="31"/>
          <w:rFonts w:hint="eastAsia" w:ascii="宋体" w:hAnsi="宋体" w:eastAsia="宋体" w:cs="宋体"/>
          <w:color w:val="auto"/>
        </w:rPr>
        <w:t>资金流估算表（参考格式）</w:t>
      </w:r>
      <w:r>
        <w:rPr>
          <w:rStyle w:val="31"/>
          <w:rFonts w:hint="eastAsia" w:ascii="宋体" w:hAnsi="宋体" w:eastAsia="宋体" w:cs="宋体"/>
          <w:color w:val="auto"/>
          <w:lang w:val="en-US"/>
        </w:rPr>
        <w:t xml:space="preserve">                   </w:t>
      </w:r>
      <w:r>
        <w:rPr>
          <w:rStyle w:val="31"/>
          <w:rFonts w:hint="eastAsia" w:ascii="宋体" w:hAnsi="宋体" w:eastAsia="宋体" w:cs="宋体"/>
          <w:color w:val="auto"/>
        </w:rPr>
        <w:t>金额单位：</w:t>
      </w:r>
    </w:p>
    <w:tbl>
      <w:tblPr>
        <w:tblStyle w:val="29"/>
        <w:tblW w:w="0" w:type="auto"/>
        <w:jc w:val="center"/>
        <w:tblLayout w:type="fixed"/>
        <w:tblCellMar>
          <w:top w:w="0" w:type="dxa"/>
          <w:left w:w="10" w:type="dxa"/>
          <w:bottom w:w="0" w:type="dxa"/>
          <w:right w:w="10" w:type="dxa"/>
        </w:tblCellMar>
      </w:tblPr>
      <w:tblGrid>
        <w:gridCol w:w="293"/>
        <w:gridCol w:w="283"/>
        <w:gridCol w:w="1022"/>
        <w:gridCol w:w="1416"/>
        <w:gridCol w:w="1022"/>
        <w:gridCol w:w="1018"/>
        <w:gridCol w:w="1022"/>
        <w:gridCol w:w="451"/>
        <w:gridCol w:w="682"/>
        <w:gridCol w:w="1142"/>
      </w:tblGrid>
      <w:tr w14:paraId="72A6A345">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noWrap w:val="0"/>
            <w:vAlign w:val="center"/>
          </w:tcPr>
          <w:p w14:paraId="7EDD9DC5">
            <w:pPr>
              <w:pStyle w:val="97"/>
              <w:pageBreakBefore w:val="0"/>
              <w:widowControl w:val="0"/>
              <w:kinsoku/>
              <w:wordWrap/>
              <w:overflowPunct/>
              <w:topLinePunct w:val="0"/>
              <w:autoSpaceDE/>
              <w:autoSpaceDN/>
              <w:bidi w:val="0"/>
              <w:adjustRightInd/>
              <w:snapToGrid/>
              <w:spacing w:line="440" w:lineRule="exact"/>
              <w:ind w:left="0" w:leftChars="0" w:firstLine="0"/>
              <w:textAlignment w:val="auto"/>
              <w:rPr>
                <w:rStyle w:val="31"/>
                <w:rFonts w:hint="eastAsia" w:ascii="宋体" w:hAnsi="宋体" w:eastAsia="宋体" w:cs="宋体"/>
                <w:color w:val="auto"/>
                <w:sz w:val="18"/>
                <w:szCs w:val="18"/>
              </w:rPr>
            </w:pPr>
            <w:r>
              <w:rPr>
                <w:rStyle w:val="31"/>
                <w:rFonts w:hint="eastAsia" w:ascii="宋体" w:hAnsi="宋体" w:eastAsia="宋体" w:cs="宋体"/>
                <w:color w:val="auto"/>
                <w:sz w:val="18"/>
                <w:szCs w:val="18"/>
              </w:rPr>
              <w:t>年</w:t>
            </w:r>
          </w:p>
        </w:tc>
        <w:tc>
          <w:tcPr>
            <w:tcW w:w="283" w:type="dxa"/>
            <w:tcBorders>
              <w:top w:val="single" w:color="auto" w:sz="4" w:space="0"/>
              <w:left w:val="single" w:color="auto" w:sz="4" w:space="0"/>
            </w:tcBorders>
            <w:shd w:val="clear" w:color="auto" w:fill="FFFFFF"/>
            <w:noWrap w:val="0"/>
            <w:vAlign w:val="center"/>
          </w:tcPr>
          <w:p w14:paraId="2E1C9055">
            <w:pPr>
              <w:pStyle w:val="97"/>
              <w:pageBreakBefore w:val="0"/>
              <w:widowControl w:val="0"/>
              <w:kinsoku/>
              <w:wordWrap/>
              <w:overflowPunct/>
              <w:topLinePunct w:val="0"/>
              <w:autoSpaceDE/>
              <w:autoSpaceDN/>
              <w:bidi w:val="0"/>
              <w:adjustRightInd/>
              <w:snapToGrid/>
              <w:spacing w:line="440" w:lineRule="exact"/>
              <w:ind w:left="0" w:leftChars="0" w:firstLine="0"/>
              <w:textAlignment w:val="auto"/>
              <w:rPr>
                <w:rStyle w:val="31"/>
                <w:rFonts w:hint="eastAsia" w:ascii="宋体" w:hAnsi="宋体" w:eastAsia="宋体" w:cs="宋体"/>
                <w:color w:val="auto"/>
                <w:sz w:val="18"/>
                <w:szCs w:val="18"/>
              </w:rPr>
            </w:pPr>
            <w:r>
              <w:rPr>
                <w:rStyle w:val="31"/>
                <w:rFonts w:hint="eastAsia" w:ascii="宋体" w:hAnsi="宋体" w:eastAsia="宋体" w:cs="宋体"/>
                <w:color w:val="auto"/>
                <w:sz w:val="18"/>
                <w:szCs w:val="18"/>
              </w:rPr>
              <w:t>月</w:t>
            </w:r>
          </w:p>
        </w:tc>
        <w:tc>
          <w:tcPr>
            <w:tcW w:w="1022" w:type="dxa"/>
            <w:tcBorders>
              <w:top w:val="single" w:color="auto" w:sz="4" w:space="0"/>
              <w:left w:val="single" w:color="auto" w:sz="4" w:space="0"/>
            </w:tcBorders>
            <w:shd w:val="clear" w:color="auto" w:fill="FFFFFF"/>
            <w:noWrap w:val="0"/>
            <w:vAlign w:val="center"/>
          </w:tcPr>
          <w:p w14:paraId="787B8A8D">
            <w:pPr>
              <w:pStyle w:val="97"/>
              <w:pageBreakBefore w:val="0"/>
              <w:widowControl w:val="0"/>
              <w:kinsoku/>
              <w:wordWrap/>
              <w:overflowPunct/>
              <w:topLinePunct w:val="0"/>
              <w:autoSpaceDE/>
              <w:autoSpaceDN/>
              <w:bidi w:val="0"/>
              <w:adjustRightInd/>
              <w:snapToGrid/>
              <w:spacing w:line="440" w:lineRule="exact"/>
              <w:ind w:left="0" w:leftChars="0" w:firstLine="0"/>
              <w:textAlignment w:val="auto"/>
              <w:rPr>
                <w:rStyle w:val="31"/>
                <w:rFonts w:hint="eastAsia" w:ascii="宋体" w:hAnsi="宋体" w:eastAsia="宋体" w:cs="宋体"/>
                <w:color w:val="auto"/>
                <w:sz w:val="18"/>
                <w:szCs w:val="18"/>
              </w:rPr>
            </w:pPr>
            <w:r>
              <w:rPr>
                <w:rStyle w:val="31"/>
                <w:rFonts w:hint="eastAsia" w:ascii="宋体" w:hAnsi="宋体" w:eastAsia="宋体" w:cs="宋体"/>
                <w:color w:val="auto"/>
                <w:sz w:val="18"/>
                <w:szCs w:val="18"/>
              </w:rPr>
              <w:t>工程预付款</w:t>
            </w:r>
          </w:p>
        </w:tc>
        <w:tc>
          <w:tcPr>
            <w:tcW w:w="1416" w:type="dxa"/>
            <w:tcBorders>
              <w:top w:val="single" w:color="auto" w:sz="4" w:space="0"/>
              <w:left w:val="single" w:color="auto" w:sz="4" w:space="0"/>
            </w:tcBorders>
            <w:shd w:val="clear" w:color="auto" w:fill="FFFFFF"/>
            <w:noWrap w:val="0"/>
            <w:vAlign w:val="center"/>
          </w:tcPr>
          <w:p w14:paraId="70B99909">
            <w:pPr>
              <w:pStyle w:val="97"/>
              <w:pageBreakBefore w:val="0"/>
              <w:widowControl w:val="0"/>
              <w:kinsoku/>
              <w:wordWrap/>
              <w:overflowPunct/>
              <w:topLinePunct w:val="0"/>
              <w:autoSpaceDE/>
              <w:autoSpaceDN/>
              <w:bidi w:val="0"/>
              <w:adjustRightInd/>
              <w:snapToGrid/>
              <w:spacing w:line="440" w:lineRule="exact"/>
              <w:ind w:left="0" w:leftChars="0" w:firstLine="0"/>
              <w:textAlignment w:val="auto"/>
              <w:rPr>
                <w:rStyle w:val="31"/>
                <w:rFonts w:hint="eastAsia" w:ascii="宋体" w:hAnsi="宋体" w:eastAsia="宋体" w:cs="宋体"/>
                <w:color w:val="auto"/>
                <w:sz w:val="18"/>
                <w:szCs w:val="18"/>
              </w:rPr>
            </w:pPr>
            <w:r>
              <w:rPr>
                <w:rStyle w:val="31"/>
                <w:rFonts w:hint="eastAsia" w:ascii="宋体" w:hAnsi="宋体" w:eastAsia="宋体" w:cs="宋体"/>
                <w:color w:val="auto"/>
                <w:sz w:val="18"/>
                <w:szCs w:val="18"/>
              </w:rPr>
              <w:t>完成工作量付款</w:t>
            </w:r>
          </w:p>
        </w:tc>
        <w:tc>
          <w:tcPr>
            <w:tcW w:w="1022" w:type="dxa"/>
            <w:tcBorders>
              <w:top w:val="single" w:color="auto" w:sz="4" w:space="0"/>
              <w:left w:val="single" w:color="auto" w:sz="4" w:space="0"/>
            </w:tcBorders>
            <w:shd w:val="clear" w:color="auto" w:fill="FFFFFF"/>
            <w:noWrap w:val="0"/>
            <w:vAlign w:val="center"/>
          </w:tcPr>
          <w:p w14:paraId="083B8FC9">
            <w:pPr>
              <w:pStyle w:val="97"/>
              <w:pageBreakBefore w:val="0"/>
              <w:widowControl w:val="0"/>
              <w:kinsoku/>
              <w:wordWrap/>
              <w:overflowPunct/>
              <w:topLinePunct w:val="0"/>
              <w:autoSpaceDE/>
              <w:autoSpaceDN/>
              <w:bidi w:val="0"/>
              <w:adjustRightInd/>
              <w:snapToGrid/>
              <w:spacing w:line="440" w:lineRule="exact"/>
              <w:ind w:left="0" w:leftChars="0" w:firstLine="0"/>
              <w:textAlignment w:val="auto"/>
              <w:rPr>
                <w:rStyle w:val="31"/>
                <w:rFonts w:hint="eastAsia" w:ascii="宋体" w:hAnsi="宋体" w:eastAsia="宋体" w:cs="宋体"/>
                <w:color w:val="auto"/>
                <w:sz w:val="18"/>
                <w:szCs w:val="18"/>
              </w:rPr>
            </w:pPr>
            <w:r>
              <w:rPr>
                <w:rStyle w:val="31"/>
                <w:rFonts w:hint="eastAsia" w:ascii="宋体" w:hAnsi="宋体" w:eastAsia="宋体" w:cs="宋体"/>
                <w:color w:val="auto"/>
                <w:sz w:val="18"/>
                <w:szCs w:val="18"/>
              </w:rPr>
              <w:t>保留金扣留</w:t>
            </w:r>
          </w:p>
        </w:tc>
        <w:tc>
          <w:tcPr>
            <w:tcW w:w="1018" w:type="dxa"/>
            <w:tcBorders>
              <w:top w:val="single" w:color="auto" w:sz="4" w:space="0"/>
              <w:left w:val="single" w:color="auto" w:sz="4" w:space="0"/>
            </w:tcBorders>
            <w:shd w:val="clear" w:color="auto" w:fill="FFFFFF"/>
            <w:noWrap w:val="0"/>
            <w:vAlign w:val="center"/>
          </w:tcPr>
          <w:p w14:paraId="1A5D262B">
            <w:pPr>
              <w:pStyle w:val="97"/>
              <w:pageBreakBefore w:val="0"/>
              <w:widowControl w:val="0"/>
              <w:kinsoku/>
              <w:wordWrap/>
              <w:overflowPunct/>
              <w:topLinePunct w:val="0"/>
              <w:autoSpaceDE/>
              <w:autoSpaceDN/>
              <w:bidi w:val="0"/>
              <w:adjustRightInd/>
              <w:snapToGrid/>
              <w:spacing w:line="440" w:lineRule="exact"/>
              <w:ind w:left="0" w:leftChars="0" w:firstLine="0"/>
              <w:jc w:val="right"/>
              <w:textAlignment w:val="auto"/>
              <w:rPr>
                <w:rStyle w:val="31"/>
                <w:rFonts w:hint="eastAsia" w:ascii="宋体" w:hAnsi="宋体" w:eastAsia="宋体" w:cs="宋体"/>
                <w:color w:val="auto"/>
                <w:sz w:val="18"/>
                <w:szCs w:val="18"/>
              </w:rPr>
            </w:pPr>
            <w:r>
              <w:rPr>
                <w:rStyle w:val="31"/>
                <w:rFonts w:hint="eastAsia" w:ascii="宋体" w:hAnsi="宋体" w:eastAsia="宋体" w:cs="宋体"/>
                <w:color w:val="auto"/>
                <w:sz w:val="18"/>
                <w:szCs w:val="18"/>
              </w:rPr>
              <w:t>材料款扣除</w:t>
            </w:r>
          </w:p>
        </w:tc>
        <w:tc>
          <w:tcPr>
            <w:tcW w:w="1022" w:type="dxa"/>
            <w:tcBorders>
              <w:top w:val="single" w:color="auto" w:sz="4" w:space="0"/>
              <w:left w:val="single" w:color="auto" w:sz="4" w:space="0"/>
            </w:tcBorders>
            <w:shd w:val="clear" w:color="auto" w:fill="FFFFFF"/>
            <w:noWrap w:val="0"/>
            <w:vAlign w:val="center"/>
          </w:tcPr>
          <w:p w14:paraId="2A31DC65">
            <w:pPr>
              <w:pStyle w:val="97"/>
              <w:pageBreakBefore w:val="0"/>
              <w:widowControl w:val="0"/>
              <w:kinsoku/>
              <w:wordWrap/>
              <w:overflowPunct/>
              <w:topLinePunct w:val="0"/>
              <w:autoSpaceDE/>
              <w:autoSpaceDN/>
              <w:bidi w:val="0"/>
              <w:adjustRightInd/>
              <w:snapToGrid/>
              <w:spacing w:line="440" w:lineRule="exact"/>
              <w:ind w:left="0" w:leftChars="0" w:firstLine="0"/>
              <w:jc w:val="right"/>
              <w:textAlignment w:val="auto"/>
              <w:rPr>
                <w:rStyle w:val="31"/>
                <w:rFonts w:hint="eastAsia" w:ascii="宋体" w:hAnsi="宋体" w:eastAsia="宋体" w:cs="宋体"/>
                <w:color w:val="auto"/>
                <w:sz w:val="18"/>
                <w:szCs w:val="18"/>
              </w:rPr>
            </w:pPr>
            <w:r>
              <w:rPr>
                <w:rStyle w:val="31"/>
                <w:rFonts w:hint="eastAsia" w:ascii="宋体" w:hAnsi="宋体" w:eastAsia="宋体" w:cs="宋体"/>
                <w:color w:val="auto"/>
                <w:sz w:val="18"/>
                <w:szCs w:val="18"/>
              </w:rPr>
              <w:t>预付款扣还</w:t>
            </w:r>
          </w:p>
        </w:tc>
        <w:tc>
          <w:tcPr>
            <w:tcW w:w="451" w:type="dxa"/>
            <w:tcBorders>
              <w:top w:val="single" w:color="auto" w:sz="4" w:space="0"/>
              <w:left w:val="single" w:color="auto" w:sz="4" w:space="0"/>
            </w:tcBorders>
            <w:shd w:val="clear" w:color="auto" w:fill="FFFFFF"/>
            <w:noWrap w:val="0"/>
            <w:vAlign w:val="center"/>
          </w:tcPr>
          <w:p w14:paraId="4D53A1F0">
            <w:pPr>
              <w:pStyle w:val="97"/>
              <w:pageBreakBefore w:val="0"/>
              <w:widowControl w:val="0"/>
              <w:kinsoku/>
              <w:wordWrap/>
              <w:overflowPunct/>
              <w:topLinePunct w:val="0"/>
              <w:autoSpaceDE/>
              <w:autoSpaceDN/>
              <w:bidi w:val="0"/>
              <w:adjustRightInd/>
              <w:snapToGrid/>
              <w:spacing w:line="440" w:lineRule="exact"/>
              <w:ind w:left="0" w:leftChars="0" w:firstLine="0"/>
              <w:jc w:val="right"/>
              <w:textAlignment w:val="auto"/>
              <w:rPr>
                <w:rStyle w:val="31"/>
                <w:rFonts w:hint="eastAsia" w:ascii="宋体" w:hAnsi="宋体" w:eastAsia="宋体" w:cs="宋体"/>
                <w:color w:val="auto"/>
                <w:sz w:val="18"/>
                <w:szCs w:val="18"/>
              </w:rPr>
            </w:pPr>
            <w:r>
              <w:rPr>
                <w:rStyle w:val="31"/>
                <w:rFonts w:hint="eastAsia" w:ascii="宋体" w:hAnsi="宋体" w:eastAsia="宋体" w:cs="宋体"/>
                <w:color w:val="auto"/>
                <w:sz w:val="18"/>
                <w:szCs w:val="18"/>
              </w:rPr>
              <w:t>其他</w:t>
            </w:r>
          </w:p>
        </w:tc>
        <w:tc>
          <w:tcPr>
            <w:tcW w:w="682" w:type="dxa"/>
            <w:tcBorders>
              <w:top w:val="single" w:color="auto" w:sz="4" w:space="0"/>
              <w:left w:val="single" w:color="auto" w:sz="4" w:space="0"/>
            </w:tcBorders>
            <w:shd w:val="clear" w:color="auto" w:fill="FFFFFF"/>
            <w:noWrap w:val="0"/>
            <w:vAlign w:val="center"/>
          </w:tcPr>
          <w:p w14:paraId="6F3037D6">
            <w:pPr>
              <w:pStyle w:val="97"/>
              <w:pageBreakBefore w:val="0"/>
              <w:widowControl w:val="0"/>
              <w:kinsoku/>
              <w:wordWrap/>
              <w:overflowPunct/>
              <w:topLinePunct w:val="0"/>
              <w:autoSpaceDE/>
              <w:autoSpaceDN/>
              <w:bidi w:val="0"/>
              <w:adjustRightInd/>
              <w:snapToGrid/>
              <w:spacing w:line="440" w:lineRule="exact"/>
              <w:ind w:left="0" w:leftChars="0" w:firstLine="0"/>
              <w:jc w:val="right"/>
              <w:textAlignment w:val="auto"/>
              <w:rPr>
                <w:rStyle w:val="31"/>
                <w:rFonts w:hint="eastAsia" w:ascii="宋体" w:hAnsi="宋体" w:eastAsia="宋体" w:cs="宋体"/>
                <w:color w:val="auto"/>
                <w:sz w:val="18"/>
                <w:szCs w:val="18"/>
              </w:rPr>
            </w:pPr>
            <w:r>
              <w:rPr>
                <w:rStyle w:val="31"/>
                <w:rFonts w:hint="eastAsia" w:ascii="宋体" w:hAnsi="宋体" w:eastAsia="宋体" w:cs="宋体"/>
                <w:color w:val="auto"/>
                <w:sz w:val="18"/>
                <w:szCs w:val="18"/>
              </w:rPr>
              <w:t>应收款</w:t>
            </w:r>
          </w:p>
        </w:tc>
        <w:tc>
          <w:tcPr>
            <w:tcW w:w="1142" w:type="dxa"/>
            <w:tcBorders>
              <w:top w:val="single" w:color="auto" w:sz="4" w:space="0"/>
              <w:left w:val="single" w:color="auto" w:sz="4" w:space="0"/>
              <w:right w:val="single" w:color="auto" w:sz="4" w:space="0"/>
            </w:tcBorders>
            <w:shd w:val="clear" w:color="auto" w:fill="FFFFFF"/>
            <w:noWrap w:val="0"/>
            <w:vAlign w:val="center"/>
          </w:tcPr>
          <w:p w14:paraId="08174178">
            <w:pPr>
              <w:pStyle w:val="97"/>
              <w:pageBreakBefore w:val="0"/>
              <w:widowControl w:val="0"/>
              <w:kinsoku/>
              <w:wordWrap/>
              <w:overflowPunct/>
              <w:topLinePunct w:val="0"/>
              <w:autoSpaceDE/>
              <w:autoSpaceDN/>
              <w:bidi w:val="0"/>
              <w:adjustRightInd/>
              <w:snapToGrid/>
              <w:spacing w:line="440" w:lineRule="exact"/>
              <w:ind w:left="0" w:leftChars="0" w:firstLine="0"/>
              <w:jc w:val="center"/>
              <w:textAlignment w:val="auto"/>
              <w:rPr>
                <w:rStyle w:val="31"/>
                <w:rFonts w:hint="eastAsia" w:ascii="宋体" w:hAnsi="宋体" w:eastAsia="宋体" w:cs="宋体"/>
                <w:color w:val="auto"/>
                <w:sz w:val="18"/>
                <w:szCs w:val="18"/>
              </w:rPr>
            </w:pPr>
            <w:r>
              <w:rPr>
                <w:rStyle w:val="31"/>
                <w:rFonts w:hint="eastAsia" w:ascii="宋体" w:hAnsi="宋体" w:eastAsia="宋体" w:cs="宋体"/>
                <w:color w:val="auto"/>
                <w:sz w:val="18"/>
                <w:szCs w:val="18"/>
              </w:rPr>
              <w:t>累计应收款</w:t>
            </w:r>
          </w:p>
        </w:tc>
      </w:tr>
      <w:tr w14:paraId="112B3DAF">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noWrap w:val="0"/>
            <w:vAlign w:val="top"/>
          </w:tcPr>
          <w:p w14:paraId="571D47A0">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283" w:type="dxa"/>
            <w:tcBorders>
              <w:top w:val="single" w:color="auto" w:sz="4" w:space="0"/>
              <w:left w:val="single" w:color="auto" w:sz="4" w:space="0"/>
            </w:tcBorders>
            <w:shd w:val="clear" w:color="auto" w:fill="FFFFFF"/>
            <w:noWrap w:val="0"/>
            <w:vAlign w:val="top"/>
          </w:tcPr>
          <w:p w14:paraId="1A635695">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1022" w:type="dxa"/>
            <w:tcBorders>
              <w:top w:val="single" w:color="auto" w:sz="4" w:space="0"/>
              <w:left w:val="single" w:color="auto" w:sz="4" w:space="0"/>
            </w:tcBorders>
            <w:shd w:val="clear" w:color="auto" w:fill="FFFFFF"/>
            <w:noWrap w:val="0"/>
            <w:vAlign w:val="top"/>
          </w:tcPr>
          <w:p w14:paraId="002F9687">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1416" w:type="dxa"/>
            <w:tcBorders>
              <w:top w:val="single" w:color="auto" w:sz="4" w:space="0"/>
              <w:left w:val="single" w:color="auto" w:sz="4" w:space="0"/>
            </w:tcBorders>
            <w:shd w:val="clear" w:color="auto" w:fill="FFFFFF"/>
            <w:noWrap w:val="0"/>
            <w:vAlign w:val="top"/>
          </w:tcPr>
          <w:p w14:paraId="362FA138">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1022" w:type="dxa"/>
            <w:tcBorders>
              <w:top w:val="single" w:color="auto" w:sz="4" w:space="0"/>
              <w:left w:val="single" w:color="auto" w:sz="4" w:space="0"/>
            </w:tcBorders>
            <w:shd w:val="clear" w:color="auto" w:fill="FFFFFF"/>
            <w:noWrap w:val="0"/>
            <w:vAlign w:val="top"/>
          </w:tcPr>
          <w:p w14:paraId="5F13E585">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1018" w:type="dxa"/>
            <w:tcBorders>
              <w:top w:val="single" w:color="auto" w:sz="4" w:space="0"/>
              <w:left w:val="single" w:color="auto" w:sz="4" w:space="0"/>
            </w:tcBorders>
            <w:shd w:val="clear" w:color="auto" w:fill="FFFFFF"/>
            <w:noWrap w:val="0"/>
            <w:vAlign w:val="top"/>
          </w:tcPr>
          <w:p w14:paraId="759203CC">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1022" w:type="dxa"/>
            <w:tcBorders>
              <w:top w:val="single" w:color="auto" w:sz="4" w:space="0"/>
              <w:left w:val="single" w:color="auto" w:sz="4" w:space="0"/>
            </w:tcBorders>
            <w:shd w:val="clear" w:color="auto" w:fill="FFFFFF"/>
            <w:noWrap w:val="0"/>
            <w:vAlign w:val="top"/>
          </w:tcPr>
          <w:p w14:paraId="03B0DCEA">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451" w:type="dxa"/>
            <w:tcBorders>
              <w:top w:val="single" w:color="auto" w:sz="4" w:space="0"/>
              <w:left w:val="single" w:color="auto" w:sz="4" w:space="0"/>
            </w:tcBorders>
            <w:shd w:val="clear" w:color="auto" w:fill="FFFFFF"/>
            <w:noWrap w:val="0"/>
            <w:vAlign w:val="top"/>
          </w:tcPr>
          <w:p w14:paraId="45427EEC">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682" w:type="dxa"/>
            <w:tcBorders>
              <w:top w:val="single" w:color="auto" w:sz="4" w:space="0"/>
              <w:left w:val="single" w:color="auto" w:sz="4" w:space="0"/>
            </w:tcBorders>
            <w:shd w:val="clear" w:color="auto" w:fill="FFFFFF"/>
            <w:noWrap w:val="0"/>
            <w:vAlign w:val="top"/>
          </w:tcPr>
          <w:p w14:paraId="2E3AB0E3">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3EDBA922">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r>
      <w:tr w14:paraId="17295C90">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noWrap w:val="0"/>
            <w:vAlign w:val="top"/>
          </w:tcPr>
          <w:p w14:paraId="352D34BD">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283" w:type="dxa"/>
            <w:tcBorders>
              <w:top w:val="single" w:color="auto" w:sz="4" w:space="0"/>
              <w:left w:val="single" w:color="auto" w:sz="4" w:space="0"/>
            </w:tcBorders>
            <w:shd w:val="clear" w:color="auto" w:fill="FFFFFF"/>
            <w:noWrap w:val="0"/>
            <w:vAlign w:val="top"/>
          </w:tcPr>
          <w:p w14:paraId="3C71FC0B">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1022" w:type="dxa"/>
            <w:tcBorders>
              <w:top w:val="single" w:color="auto" w:sz="4" w:space="0"/>
              <w:left w:val="single" w:color="auto" w:sz="4" w:space="0"/>
            </w:tcBorders>
            <w:shd w:val="clear" w:color="auto" w:fill="FFFFFF"/>
            <w:noWrap w:val="0"/>
            <w:vAlign w:val="top"/>
          </w:tcPr>
          <w:p w14:paraId="14D6410E">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1416" w:type="dxa"/>
            <w:tcBorders>
              <w:top w:val="single" w:color="auto" w:sz="4" w:space="0"/>
              <w:left w:val="single" w:color="auto" w:sz="4" w:space="0"/>
            </w:tcBorders>
            <w:shd w:val="clear" w:color="auto" w:fill="FFFFFF"/>
            <w:noWrap w:val="0"/>
            <w:vAlign w:val="top"/>
          </w:tcPr>
          <w:p w14:paraId="7F2C4D66">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1022" w:type="dxa"/>
            <w:tcBorders>
              <w:top w:val="single" w:color="auto" w:sz="4" w:space="0"/>
              <w:left w:val="single" w:color="auto" w:sz="4" w:space="0"/>
            </w:tcBorders>
            <w:shd w:val="clear" w:color="auto" w:fill="FFFFFF"/>
            <w:noWrap w:val="0"/>
            <w:vAlign w:val="top"/>
          </w:tcPr>
          <w:p w14:paraId="44667237">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1018" w:type="dxa"/>
            <w:tcBorders>
              <w:top w:val="single" w:color="auto" w:sz="4" w:space="0"/>
              <w:left w:val="single" w:color="auto" w:sz="4" w:space="0"/>
            </w:tcBorders>
            <w:shd w:val="clear" w:color="auto" w:fill="FFFFFF"/>
            <w:noWrap w:val="0"/>
            <w:vAlign w:val="top"/>
          </w:tcPr>
          <w:p w14:paraId="6C33C167">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1022" w:type="dxa"/>
            <w:tcBorders>
              <w:top w:val="single" w:color="auto" w:sz="4" w:space="0"/>
              <w:left w:val="single" w:color="auto" w:sz="4" w:space="0"/>
            </w:tcBorders>
            <w:shd w:val="clear" w:color="auto" w:fill="FFFFFF"/>
            <w:noWrap w:val="0"/>
            <w:vAlign w:val="top"/>
          </w:tcPr>
          <w:p w14:paraId="67386BEA">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451" w:type="dxa"/>
            <w:tcBorders>
              <w:top w:val="single" w:color="auto" w:sz="4" w:space="0"/>
              <w:left w:val="single" w:color="auto" w:sz="4" w:space="0"/>
            </w:tcBorders>
            <w:shd w:val="clear" w:color="auto" w:fill="FFFFFF"/>
            <w:noWrap w:val="0"/>
            <w:vAlign w:val="top"/>
          </w:tcPr>
          <w:p w14:paraId="0958BC13">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682" w:type="dxa"/>
            <w:tcBorders>
              <w:top w:val="single" w:color="auto" w:sz="4" w:space="0"/>
              <w:left w:val="single" w:color="auto" w:sz="4" w:space="0"/>
            </w:tcBorders>
            <w:shd w:val="clear" w:color="auto" w:fill="FFFFFF"/>
            <w:noWrap w:val="0"/>
            <w:vAlign w:val="top"/>
          </w:tcPr>
          <w:p w14:paraId="1FF6EA30">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11B23FB6">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r>
      <w:tr w14:paraId="2FBB0CB2">
        <w:tblPrEx>
          <w:tblCellMar>
            <w:top w:w="0" w:type="dxa"/>
            <w:left w:w="10" w:type="dxa"/>
            <w:bottom w:w="0" w:type="dxa"/>
            <w:right w:w="10" w:type="dxa"/>
          </w:tblCellMar>
        </w:tblPrEx>
        <w:trPr>
          <w:trHeight w:val="461" w:hRule="exact"/>
          <w:jc w:val="center"/>
        </w:trPr>
        <w:tc>
          <w:tcPr>
            <w:tcW w:w="293" w:type="dxa"/>
            <w:tcBorders>
              <w:top w:val="single" w:color="auto" w:sz="4" w:space="0"/>
              <w:left w:val="single" w:color="auto" w:sz="4" w:space="0"/>
              <w:bottom w:val="single" w:color="auto" w:sz="4" w:space="0"/>
            </w:tcBorders>
            <w:shd w:val="clear" w:color="auto" w:fill="FFFFFF"/>
            <w:noWrap w:val="0"/>
            <w:vAlign w:val="top"/>
          </w:tcPr>
          <w:p w14:paraId="508542CA">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283" w:type="dxa"/>
            <w:tcBorders>
              <w:top w:val="single" w:color="auto" w:sz="4" w:space="0"/>
              <w:left w:val="single" w:color="auto" w:sz="4" w:space="0"/>
              <w:bottom w:val="single" w:color="auto" w:sz="4" w:space="0"/>
            </w:tcBorders>
            <w:shd w:val="clear" w:color="auto" w:fill="FFFFFF"/>
            <w:noWrap w:val="0"/>
            <w:vAlign w:val="top"/>
          </w:tcPr>
          <w:p w14:paraId="172E61F3">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1022" w:type="dxa"/>
            <w:tcBorders>
              <w:top w:val="single" w:color="auto" w:sz="4" w:space="0"/>
              <w:left w:val="single" w:color="auto" w:sz="4" w:space="0"/>
              <w:bottom w:val="single" w:color="auto" w:sz="4" w:space="0"/>
            </w:tcBorders>
            <w:shd w:val="clear" w:color="auto" w:fill="FFFFFF"/>
            <w:noWrap w:val="0"/>
            <w:vAlign w:val="top"/>
          </w:tcPr>
          <w:p w14:paraId="775CD5F3">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1416" w:type="dxa"/>
            <w:tcBorders>
              <w:top w:val="single" w:color="auto" w:sz="4" w:space="0"/>
              <w:left w:val="single" w:color="auto" w:sz="4" w:space="0"/>
              <w:bottom w:val="single" w:color="auto" w:sz="4" w:space="0"/>
            </w:tcBorders>
            <w:shd w:val="clear" w:color="auto" w:fill="FFFFFF"/>
            <w:noWrap w:val="0"/>
            <w:vAlign w:val="top"/>
          </w:tcPr>
          <w:p w14:paraId="77E2E45F">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1022" w:type="dxa"/>
            <w:tcBorders>
              <w:top w:val="single" w:color="auto" w:sz="4" w:space="0"/>
              <w:left w:val="single" w:color="auto" w:sz="4" w:space="0"/>
              <w:bottom w:val="single" w:color="auto" w:sz="4" w:space="0"/>
            </w:tcBorders>
            <w:shd w:val="clear" w:color="auto" w:fill="FFFFFF"/>
            <w:noWrap w:val="0"/>
            <w:vAlign w:val="top"/>
          </w:tcPr>
          <w:p w14:paraId="52B5C805">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1018" w:type="dxa"/>
            <w:tcBorders>
              <w:top w:val="single" w:color="auto" w:sz="4" w:space="0"/>
              <w:left w:val="single" w:color="auto" w:sz="4" w:space="0"/>
              <w:bottom w:val="single" w:color="auto" w:sz="4" w:space="0"/>
            </w:tcBorders>
            <w:shd w:val="clear" w:color="auto" w:fill="FFFFFF"/>
            <w:noWrap w:val="0"/>
            <w:vAlign w:val="top"/>
          </w:tcPr>
          <w:p w14:paraId="0F95B040">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1022" w:type="dxa"/>
            <w:tcBorders>
              <w:top w:val="single" w:color="auto" w:sz="4" w:space="0"/>
              <w:left w:val="single" w:color="auto" w:sz="4" w:space="0"/>
              <w:bottom w:val="single" w:color="auto" w:sz="4" w:space="0"/>
            </w:tcBorders>
            <w:shd w:val="clear" w:color="auto" w:fill="FFFFFF"/>
            <w:noWrap w:val="0"/>
            <w:vAlign w:val="top"/>
          </w:tcPr>
          <w:p w14:paraId="26FEC3BA">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451" w:type="dxa"/>
            <w:tcBorders>
              <w:top w:val="single" w:color="auto" w:sz="4" w:space="0"/>
              <w:left w:val="single" w:color="auto" w:sz="4" w:space="0"/>
              <w:bottom w:val="single" w:color="auto" w:sz="4" w:space="0"/>
            </w:tcBorders>
            <w:shd w:val="clear" w:color="auto" w:fill="FFFFFF"/>
            <w:noWrap w:val="0"/>
            <w:vAlign w:val="top"/>
          </w:tcPr>
          <w:p w14:paraId="5C9351D1">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682" w:type="dxa"/>
            <w:tcBorders>
              <w:top w:val="single" w:color="auto" w:sz="4" w:space="0"/>
              <w:left w:val="single" w:color="auto" w:sz="4" w:space="0"/>
              <w:bottom w:val="single" w:color="auto" w:sz="4" w:space="0"/>
            </w:tcBorders>
            <w:shd w:val="clear" w:color="auto" w:fill="FFFFFF"/>
            <w:noWrap w:val="0"/>
            <w:vAlign w:val="top"/>
          </w:tcPr>
          <w:p w14:paraId="444C2E74">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c>
          <w:tcPr>
            <w:tcW w:w="114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ABF0F8C">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18"/>
                <w:szCs w:val="18"/>
              </w:rPr>
            </w:pPr>
          </w:p>
        </w:tc>
      </w:tr>
    </w:tbl>
    <w:p w14:paraId="32D0E33F">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rPr>
      </w:pPr>
    </w:p>
    <w:p w14:paraId="06EAACDE">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lang w:eastAsia="zh-CN"/>
        </w:rPr>
      </w:pPr>
      <w:bookmarkStart w:id="666" w:name="bookmark1166"/>
      <w:bookmarkEnd w:id="666"/>
      <w:bookmarkStart w:id="667" w:name="bookmark1165"/>
      <w:bookmarkStart w:id="668" w:name="bookmark1167"/>
      <w:bookmarkStart w:id="669" w:name="_Toc24903"/>
      <w:bookmarkStart w:id="670" w:name="bookmark1164"/>
      <w:bookmarkStart w:id="671" w:name="_Toc256000083"/>
      <w:bookmarkStart w:id="672" w:name="_Toc14490"/>
      <w:r>
        <w:rPr>
          <w:rStyle w:val="31"/>
          <w:rFonts w:hint="eastAsia" w:ascii="宋体" w:hAnsi="宋体" w:eastAsia="宋体" w:cs="宋体"/>
          <w:color w:val="auto"/>
          <w:lang w:eastAsia="zh-CN"/>
        </w:rPr>
        <w:t>11. 开工和竣工（完工）</w:t>
      </w:r>
      <w:bookmarkEnd w:id="667"/>
      <w:bookmarkEnd w:id="668"/>
      <w:bookmarkEnd w:id="669"/>
      <w:bookmarkEnd w:id="670"/>
      <w:bookmarkEnd w:id="671"/>
      <w:bookmarkEnd w:id="672"/>
    </w:p>
    <w:p w14:paraId="6DABBC68">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673" w:name="bookmark1170"/>
      <w:bookmarkStart w:id="674" w:name="bookmark1169"/>
      <w:bookmarkStart w:id="675" w:name="_Toc21224"/>
      <w:bookmarkStart w:id="676" w:name="bookmark1168"/>
      <w:bookmarkStart w:id="677" w:name="_Toc23713"/>
      <w:bookmarkStart w:id="678" w:name="_Toc256000084"/>
      <w:r>
        <w:rPr>
          <w:rStyle w:val="31"/>
          <w:rFonts w:hint="eastAsia" w:ascii="宋体" w:hAnsi="宋体" w:eastAsia="宋体" w:cs="宋体"/>
          <w:color w:val="auto"/>
          <w:sz w:val="24"/>
          <w:szCs w:val="24"/>
          <w:lang w:eastAsia="zh-CN"/>
        </w:rPr>
        <w:t>11.1 开工</w:t>
      </w:r>
      <w:bookmarkEnd w:id="673"/>
      <w:bookmarkEnd w:id="674"/>
      <w:bookmarkEnd w:id="675"/>
      <w:bookmarkEnd w:id="676"/>
      <w:bookmarkEnd w:id="677"/>
      <w:bookmarkEnd w:id="678"/>
    </w:p>
    <w:p w14:paraId="29306298">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11.1.1</w:t>
      </w:r>
      <w:r>
        <w:rPr>
          <w:rStyle w:val="31"/>
          <w:rFonts w:hint="eastAsia" w:ascii="宋体" w:hAnsi="宋体" w:eastAsia="宋体" w:cs="宋体"/>
          <w:color w:val="auto"/>
        </w:rPr>
        <w:t>监理人应在开工日期7天前向承包人发出开工通知。监理人在发出开工通知前应获得发包人同意。工期自监理人发出的开工通知中载明的开工日期起计算。承包人应 在开工日期后尽快施工。</w:t>
      </w:r>
    </w:p>
    <w:p w14:paraId="63A27B1F">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11.1.</w:t>
      </w:r>
      <w:r>
        <w:rPr>
          <w:rStyle w:val="31"/>
          <w:rFonts w:hint="eastAsia" w:ascii="宋体" w:hAnsi="宋体" w:eastAsia="宋体" w:cs="宋体"/>
          <w:color w:val="auto"/>
        </w:rPr>
        <w:t>2承包人应按第</w:t>
      </w:r>
      <w:r>
        <w:rPr>
          <w:rStyle w:val="31"/>
          <w:rFonts w:hint="eastAsia" w:ascii="宋体" w:hAnsi="宋体" w:eastAsia="宋体" w:cs="宋体"/>
          <w:color w:val="auto"/>
          <w:lang w:val="en-US" w:bidi="en-US"/>
        </w:rPr>
        <w:t xml:space="preserve">10. </w:t>
      </w:r>
      <w:r>
        <w:rPr>
          <w:rStyle w:val="31"/>
          <w:rFonts w:hint="eastAsia" w:ascii="宋体" w:hAnsi="宋体" w:eastAsia="宋体" w:cs="宋体"/>
          <w:color w:val="auto"/>
        </w:rPr>
        <w:t>1款约定的合同进度计划，向监理人提交工程开工报审表, 经监理人审批后执行。开工报审表应详细说明按合同进度计划正常施工所需的施工道路、临时设施、材料设备、施工人员等施工组织措施的落实情况以及工程的进度安排。</w:t>
      </w:r>
    </w:p>
    <w:p w14:paraId="6ED0509B">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11.1.3</w:t>
      </w:r>
      <w:r>
        <w:rPr>
          <w:rStyle w:val="31"/>
          <w:rFonts w:hint="eastAsia" w:ascii="宋体" w:hAnsi="宋体" w:eastAsia="宋体" w:cs="宋体"/>
          <w:color w:val="auto"/>
        </w:rPr>
        <w:t>若发包人未能按合同约定向承包人提供开工的必要条件，承包人有权要求延 长工期。监理人应在收到承包人的书面要求后，按第</w:t>
      </w:r>
      <w:r>
        <w:rPr>
          <w:rStyle w:val="31"/>
          <w:rFonts w:hint="eastAsia" w:ascii="宋体" w:hAnsi="宋体" w:eastAsia="宋体" w:cs="宋体"/>
          <w:color w:val="auto"/>
          <w:lang w:val="en-US" w:bidi="en-US"/>
        </w:rPr>
        <w:t xml:space="preserve">3. </w:t>
      </w:r>
      <w:r>
        <w:rPr>
          <w:rStyle w:val="31"/>
          <w:rFonts w:hint="eastAsia" w:ascii="宋体" w:hAnsi="宋体" w:eastAsia="宋体" w:cs="宋体"/>
          <w:color w:val="auto"/>
        </w:rPr>
        <w:t>5款的约定，与合同双方商定或确定增加的费用和延长的工期。</w:t>
      </w:r>
    </w:p>
    <w:p w14:paraId="2129531D">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11.1.4</w:t>
      </w:r>
      <w:r>
        <w:rPr>
          <w:rStyle w:val="31"/>
          <w:rFonts w:hint="eastAsia" w:ascii="宋体" w:hAnsi="宋体" w:eastAsia="宋体" w:cs="宋体"/>
          <w:color w:val="auto"/>
        </w:rPr>
        <w:t>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07D6F746">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679" w:name="_Toc256000085"/>
      <w:bookmarkStart w:id="680" w:name="bookmark1173"/>
      <w:bookmarkStart w:id="681" w:name="_Toc29025"/>
      <w:bookmarkStart w:id="682" w:name="_Toc19403"/>
      <w:bookmarkStart w:id="683" w:name="bookmark1172"/>
      <w:bookmarkStart w:id="684" w:name="bookmark1171"/>
      <w:r>
        <w:rPr>
          <w:rStyle w:val="31"/>
          <w:rFonts w:hint="eastAsia" w:ascii="宋体" w:hAnsi="宋体" w:eastAsia="宋体" w:cs="宋体"/>
          <w:color w:val="auto"/>
          <w:sz w:val="24"/>
          <w:szCs w:val="24"/>
          <w:lang w:eastAsia="zh-CN"/>
        </w:rPr>
        <w:t>11.2竣工(完工)</w:t>
      </w:r>
      <w:bookmarkEnd w:id="679"/>
      <w:bookmarkEnd w:id="680"/>
      <w:bookmarkEnd w:id="681"/>
      <w:bookmarkEnd w:id="682"/>
      <w:bookmarkEnd w:id="683"/>
      <w:bookmarkEnd w:id="684"/>
    </w:p>
    <w:p w14:paraId="28496F1D">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承包人应在第</w:t>
      </w:r>
      <w:r>
        <w:rPr>
          <w:rStyle w:val="31"/>
          <w:rFonts w:hint="eastAsia" w:ascii="宋体" w:hAnsi="宋体" w:eastAsia="宋体" w:cs="宋体"/>
          <w:color w:val="auto"/>
          <w:lang w:val="en-US" w:bidi="en-US"/>
        </w:rPr>
        <w:t xml:space="preserve">1.1. 4. </w:t>
      </w:r>
      <w:r>
        <w:rPr>
          <w:rStyle w:val="31"/>
          <w:rFonts w:hint="eastAsia" w:ascii="宋体" w:hAnsi="宋体" w:eastAsia="宋体" w:cs="宋体"/>
          <w:color w:val="auto"/>
        </w:rPr>
        <w:t>3目约定的期限内完成合同工程。合同工程实际完工时间在合同工程完工证书中明确（以完工验收鉴定书或竣工验收鉴定书标明的验收日期为准，没有标明验收日期的则以印发鉴定书的日期为准）</w:t>
      </w:r>
      <w:r>
        <w:rPr>
          <w:rStyle w:val="31"/>
          <w:rFonts w:hint="eastAsia" w:ascii="宋体" w:hAnsi="宋体" w:eastAsia="宋体" w:cs="宋体"/>
          <w:color w:val="auto"/>
          <w:lang w:val="en-US" w:bidi="en-US"/>
        </w:rPr>
        <w:t>。</w:t>
      </w:r>
    </w:p>
    <w:p w14:paraId="06F9285B">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685" w:name="bookmark1174"/>
      <w:bookmarkStart w:id="686" w:name="bookmark1176"/>
      <w:bookmarkStart w:id="687" w:name="_Toc256000086"/>
      <w:bookmarkStart w:id="688" w:name="_Toc7284"/>
      <w:bookmarkStart w:id="689" w:name="_Toc1391"/>
      <w:bookmarkStart w:id="690" w:name="bookmark1175"/>
      <w:r>
        <w:rPr>
          <w:rStyle w:val="31"/>
          <w:rFonts w:hint="eastAsia" w:ascii="宋体" w:hAnsi="宋体" w:eastAsia="宋体" w:cs="宋体"/>
          <w:color w:val="auto"/>
          <w:sz w:val="24"/>
          <w:szCs w:val="24"/>
          <w:lang w:eastAsia="zh-CN"/>
        </w:rPr>
        <w:t>11.3发包人的工期延误</w:t>
      </w:r>
      <w:bookmarkEnd w:id="685"/>
      <w:bookmarkEnd w:id="686"/>
      <w:bookmarkEnd w:id="687"/>
      <w:bookmarkEnd w:id="688"/>
      <w:bookmarkEnd w:id="689"/>
      <w:bookmarkEnd w:id="690"/>
    </w:p>
    <w:p w14:paraId="2E66E86B">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在履行合同过程中，由于发包人的下列原因造成工期延误的，承包人有权要求发包人延长工期和(或)增加费用，并支付合理利润。需要修订合同进度计划的，按照第</w:t>
      </w:r>
      <w:r>
        <w:rPr>
          <w:rStyle w:val="31"/>
          <w:rFonts w:hint="eastAsia" w:ascii="宋体" w:hAnsi="宋体" w:eastAsia="宋体" w:cs="宋体"/>
          <w:color w:val="auto"/>
          <w:lang w:val="en-US" w:bidi="en-US"/>
        </w:rPr>
        <w:t xml:space="preserve">10. </w:t>
      </w:r>
      <w:r>
        <w:rPr>
          <w:rStyle w:val="31"/>
          <w:rFonts w:hint="eastAsia" w:ascii="宋体" w:hAnsi="宋体" w:eastAsia="宋体" w:cs="宋体"/>
          <w:color w:val="auto"/>
        </w:rPr>
        <w:t>2款的约定办理。</w:t>
      </w:r>
    </w:p>
    <w:p w14:paraId="63974E43">
      <w:pPr>
        <w:pStyle w:val="95"/>
        <w:pageBreakBefore w:val="0"/>
        <w:widowControl w:val="0"/>
        <w:numPr>
          <w:ilvl w:val="0"/>
          <w:numId w:val="10"/>
        </w:numPr>
        <w:tabs>
          <w:tab w:val="left" w:pos="923"/>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691" w:name="bookmark1177"/>
      <w:bookmarkEnd w:id="691"/>
      <w:r>
        <w:rPr>
          <w:rStyle w:val="31"/>
          <w:rFonts w:hint="eastAsia" w:ascii="宋体" w:hAnsi="宋体" w:eastAsia="宋体" w:cs="宋体"/>
          <w:color w:val="auto"/>
        </w:rPr>
        <w:t>增加合同工作内容；</w:t>
      </w:r>
    </w:p>
    <w:p w14:paraId="0553D765">
      <w:pPr>
        <w:pStyle w:val="95"/>
        <w:pageBreakBefore w:val="0"/>
        <w:widowControl w:val="0"/>
        <w:numPr>
          <w:ilvl w:val="0"/>
          <w:numId w:val="10"/>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692" w:name="bookmark1178"/>
      <w:bookmarkEnd w:id="692"/>
      <w:r>
        <w:rPr>
          <w:rStyle w:val="31"/>
          <w:rFonts w:hint="eastAsia" w:ascii="宋体" w:hAnsi="宋体" w:eastAsia="宋体" w:cs="宋体"/>
          <w:color w:val="auto"/>
        </w:rPr>
        <w:t>改变合同中任何一项工作的质量要求或其他特性；</w:t>
      </w:r>
    </w:p>
    <w:p w14:paraId="25DF4CBD">
      <w:pPr>
        <w:pStyle w:val="95"/>
        <w:pageBreakBefore w:val="0"/>
        <w:widowControl w:val="0"/>
        <w:numPr>
          <w:ilvl w:val="0"/>
          <w:numId w:val="10"/>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693" w:name="bookmark1179"/>
      <w:bookmarkEnd w:id="693"/>
      <w:r>
        <w:rPr>
          <w:rStyle w:val="31"/>
          <w:rFonts w:hint="eastAsia" w:ascii="宋体" w:hAnsi="宋体" w:eastAsia="宋体" w:cs="宋体"/>
          <w:color w:val="auto"/>
        </w:rPr>
        <w:t>发包人迟延提供材料、工程设备或变更交货地点的；</w:t>
      </w:r>
    </w:p>
    <w:p w14:paraId="1247F4D2">
      <w:pPr>
        <w:pStyle w:val="95"/>
        <w:pageBreakBefore w:val="0"/>
        <w:widowControl w:val="0"/>
        <w:numPr>
          <w:ilvl w:val="0"/>
          <w:numId w:val="10"/>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694" w:name="bookmark1180"/>
      <w:bookmarkEnd w:id="694"/>
      <w:r>
        <w:rPr>
          <w:rStyle w:val="31"/>
          <w:rFonts w:hint="eastAsia" w:ascii="宋体" w:hAnsi="宋体" w:eastAsia="宋体" w:cs="宋体"/>
          <w:color w:val="auto"/>
        </w:rPr>
        <w:t>因发包人原因导致的暂停施工；</w:t>
      </w:r>
    </w:p>
    <w:p w14:paraId="44E8B71B">
      <w:pPr>
        <w:pStyle w:val="95"/>
        <w:pageBreakBefore w:val="0"/>
        <w:widowControl w:val="0"/>
        <w:numPr>
          <w:ilvl w:val="0"/>
          <w:numId w:val="10"/>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695" w:name="bookmark1181"/>
      <w:bookmarkEnd w:id="695"/>
      <w:r>
        <w:rPr>
          <w:rStyle w:val="31"/>
          <w:rFonts w:hint="eastAsia" w:ascii="宋体" w:hAnsi="宋体" w:eastAsia="宋体" w:cs="宋体"/>
          <w:color w:val="auto"/>
        </w:rPr>
        <w:t>提供图纸延误；</w:t>
      </w:r>
    </w:p>
    <w:p w14:paraId="1CF600CA">
      <w:pPr>
        <w:pStyle w:val="95"/>
        <w:pageBreakBefore w:val="0"/>
        <w:widowControl w:val="0"/>
        <w:numPr>
          <w:ilvl w:val="0"/>
          <w:numId w:val="10"/>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696" w:name="bookmark1182"/>
      <w:bookmarkEnd w:id="696"/>
      <w:r>
        <w:rPr>
          <w:rStyle w:val="31"/>
          <w:rFonts w:hint="eastAsia" w:ascii="宋体" w:hAnsi="宋体" w:eastAsia="宋体" w:cs="宋体"/>
          <w:color w:val="auto"/>
        </w:rPr>
        <w:t>未按合同约定及时支付预付款、进度款；</w:t>
      </w:r>
    </w:p>
    <w:p w14:paraId="417700C9">
      <w:pPr>
        <w:pStyle w:val="95"/>
        <w:pageBreakBefore w:val="0"/>
        <w:widowControl w:val="0"/>
        <w:numPr>
          <w:ilvl w:val="0"/>
          <w:numId w:val="10"/>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697" w:name="bookmark1183"/>
      <w:bookmarkEnd w:id="697"/>
      <w:r>
        <w:rPr>
          <w:rStyle w:val="31"/>
          <w:rFonts w:hint="eastAsia" w:ascii="宋体" w:hAnsi="宋体" w:eastAsia="宋体" w:cs="宋体"/>
          <w:color w:val="auto"/>
        </w:rPr>
        <w:t>发包人造成工期延误的其他原因。</w:t>
      </w:r>
    </w:p>
    <w:p w14:paraId="346BDC19">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698" w:name="bookmark1186"/>
      <w:bookmarkStart w:id="699" w:name="_Toc10371"/>
      <w:bookmarkStart w:id="700" w:name="_Toc14471"/>
      <w:bookmarkStart w:id="701" w:name="bookmark1185"/>
      <w:bookmarkStart w:id="702" w:name="bookmark1184"/>
      <w:bookmarkStart w:id="703" w:name="_Toc256000087"/>
      <w:r>
        <w:rPr>
          <w:rStyle w:val="31"/>
          <w:rFonts w:hint="eastAsia" w:ascii="宋体" w:hAnsi="宋体" w:eastAsia="宋体" w:cs="宋体"/>
          <w:color w:val="auto"/>
          <w:sz w:val="24"/>
          <w:szCs w:val="24"/>
          <w:lang w:eastAsia="zh-CN"/>
        </w:rPr>
        <w:t>11.4异常恶劣的气候条件</w:t>
      </w:r>
      <w:bookmarkEnd w:id="698"/>
      <w:bookmarkEnd w:id="699"/>
      <w:bookmarkEnd w:id="700"/>
      <w:bookmarkEnd w:id="701"/>
      <w:bookmarkEnd w:id="702"/>
      <w:bookmarkEnd w:id="703"/>
    </w:p>
    <w:p w14:paraId="56E3B52A">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11.4.1</w:t>
      </w:r>
      <w:r>
        <w:rPr>
          <w:rStyle w:val="31"/>
          <w:rFonts w:hint="eastAsia" w:ascii="宋体" w:hAnsi="宋体" w:eastAsia="宋体" w:cs="宋体"/>
          <w:color w:val="auto"/>
        </w:rPr>
        <w:t>当工程所在地发生危及施工安全的异常恶劣气候时，发包人和承包人应按本合同通用合同条款第12条的约定，及时采取暂停施工或部分暂停施工措施。异常恶劣气候条件解除后，承包人应及时安排复工。</w:t>
      </w:r>
    </w:p>
    <w:p w14:paraId="272A545C">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11.4.2</w:t>
      </w:r>
      <w:r>
        <w:rPr>
          <w:rStyle w:val="31"/>
          <w:rFonts w:hint="eastAsia" w:ascii="宋体" w:hAnsi="宋体" w:eastAsia="宋体" w:cs="宋体"/>
          <w:color w:val="auto"/>
        </w:rPr>
        <w:t>异常恶劣气候条件造成的工期延误和工程损坏，应由发包人与承包人参照本合同通用合同条款第</w:t>
      </w:r>
      <w:r>
        <w:rPr>
          <w:rStyle w:val="31"/>
          <w:rFonts w:hint="eastAsia" w:ascii="宋体" w:hAnsi="宋体" w:eastAsia="宋体" w:cs="宋体"/>
          <w:color w:val="auto"/>
          <w:lang w:val="en-US" w:bidi="en-US"/>
        </w:rPr>
        <w:t xml:space="preserve">21. </w:t>
      </w:r>
      <w:r>
        <w:rPr>
          <w:rStyle w:val="31"/>
          <w:rFonts w:hint="eastAsia" w:ascii="宋体" w:hAnsi="宋体" w:eastAsia="宋体" w:cs="宋体"/>
          <w:color w:val="auto"/>
        </w:rPr>
        <w:t>3款的约定共同协商处理。</w:t>
      </w:r>
    </w:p>
    <w:p w14:paraId="0C0E33D4">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11.4.</w:t>
      </w:r>
      <w:r>
        <w:rPr>
          <w:rStyle w:val="31"/>
          <w:rFonts w:hint="eastAsia" w:ascii="宋体" w:hAnsi="宋体" w:eastAsia="宋体" w:cs="宋体"/>
          <w:color w:val="auto"/>
        </w:rPr>
        <w:t>3本合同工程界定异常恶劣气候条件的范围在专用合同条款中约定。</w:t>
      </w:r>
    </w:p>
    <w:p w14:paraId="38E71A53">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704" w:name="bookmark1187"/>
      <w:bookmarkStart w:id="705" w:name="bookmark1189"/>
      <w:bookmarkStart w:id="706" w:name="bookmark1188"/>
      <w:bookmarkStart w:id="707" w:name="_Toc256000088"/>
      <w:bookmarkStart w:id="708" w:name="_Toc22626"/>
      <w:bookmarkStart w:id="709" w:name="_Toc1075"/>
      <w:r>
        <w:rPr>
          <w:rStyle w:val="31"/>
          <w:rFonts w:hint="eastAsia" w:ascii="宋体" w:hAnsi="宋体" w:eastAsia="宋体" w:cs="宋体"/>
          <w:color w:val="auto"/>
          <w:sz w:val="24"/>
          <w:szCs w:val="24"/>
          <w:lang w:eastAsia="zh-CN"/>
        </w:rPr>
        <w:t>11.5承包人工期延误</w:t>
      </w:r>
      <w:bookmarkEnd w:id="704"/>
      <w:bookmarkEnd w:id="705"/>
      <w:bookmarkEnd w:id="706"/>
      <w:bookmarkEnd w:id="707"/>
      <w:bookmarkEnd w:id="708"/>
      <w:bookmarkEnd w:id="709"/>
    </w:p>
    <w:p w14:paraId="2A6B56F1">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24EAACF7">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710" w:name="_Toc14969"/>
      <w:bookmarkStart w:id="711" w:name="bookmark1191"/>
      <w:bookmarkStart w:id="712" w:name="bookmark1192"/>
      <w:bookmarkStart w:id="713" w:name="_Toc256000089"/>
      <w:bookmarkStart w:id="714" w:name="bookmark1190"/>
      <w:bookmarkStart w:id="715" w:name="_Toc474"/>
      <w:r>
        <w:rPr>
          <w:rStyle w:val="31"/>
          <w:rFonts w:hint="eastAsia" w:ascii="宋体" w:hAnsi="宋体" w:eastAsia="宋体" w:cs="宋体"/>
          <w:color w:val="auto"/>
          <w:sz w:val="24"/>
          <w:szCs w:val="24"/>
          <w:lang w:eastAsia="zh-CN"/>
        </w:rPr>
        <w:t>11.6工期提前</w:t>
      </w:r>
      <w:bookmarkEnd w:id="710"/>
      <w:bookmarkEnd w:id="711"/>
      <w:bookmarkEnd w:id="712"/>
      <w:bookmarkEnd w:id="713"/>
      <w:bookmarkEnd w:id="714"/>
      <w:bookmarkEnd w:id="715"/>
    </w:p>
    <w:p w14:paraId="47B5CDF1">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发包人要求承包人提前完工，或承包人提出提前完工的建议能够给发包人带来效益的， 应由监理人与承包人共同协商采取加快工程进度的措施和修订合同进度计划。发包人应承担承包人由此增加的费用，并向承包人支付专用合同条款约定的相应奖金。</w:t>
      </w:r>
    </w:p>
    <w:p w14:paraId="1DC44AB4">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rPr>
        <w:t>发包人要求提前完工的，双方协商一致后应签订提前完工协议，协议内容包括：</w:t>
      </w:r>
    </w:p>
    <w:p w14:paraId="2BB9686A">
      <w:pPr>
        <w:pStyle w:val="95"/>
        <w:pageBreakBefore w:val="0"/>
        <w:widowControl w:val="0"/>
        <w:numPr>
          <w:ilvl w:val="0"/>
          <w:numId w:val="11"/>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716" w:name="bookmark1193"/>
      <w:bookmarkEnd w:id="716"/>
      <w:r>
        <w:rPr>
          <w:rStyle w:val="31"/>
          <w:rFonts w:hint="eastAsia" w:ascii="宋体" w:hAnsi="宋体" w:eastAsia="宋体" w:cs="宋体"/>
          <w:color w:val="auto"/>
        </w:rPr>
        <w:t>提前的时间和修订后的进度计划。</w:t>
      </w:r>
    </w:p>
    <w:p w14:paraId="7B04A8D7">
      <w:pPr>
        <w:pStyle w:val="95"/>
        <w:pageBreakBefore w:val="0"/>
        <w:widowControl w:val="0"/>
        <w:numPr>
          <w:ilvl w:val="0"/>
          <w:numId w:val="11"/>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717" w:name="bookmark1194"/>
      <w:bookmarkEnd w:id="717"/>
      <w:r>
        <w:rPr>
          <w:rStyle w:val="31"/>
          <w:rFonts w:hint="eastAsia" w:ascii="宋体" w:hAnsi="宋体" w:eastAsia="宋体" w:cs="宋体"/>
          <w:color w:val="auto"/>
        </w:rPr>
        <w:t>承包人的赶工措施。</w:t>
      </w:r>
    </w:p>
    <w:p w14:paraId="4378608D">
      <w:pPr>
        <w:pStyle w:val="95"/>
        <w:pageBreakBefore w:val="0"/>
        <w:widowControl w:val="0"/>
        <w:numPr>
          <w:ilvl w:val="0"/>
          <w:numId w:val="11"/>
        </w:numPr>
        <w:tabs>
          <w:tab w:val="left" w:pos="923"/>
        </w:tabs>
        <w:kinsoku/>
        <w:wordWrap/>
        <w:overflowPunct/>
        <w:topLinePunct w:val="0"/>
        <w:autoSpaceDE/>
        <w:autoSpaceDN/>
        <w:bidi w:val="0"/>
        <w:adjustRightInd/>
        <w:snapToGrid/>
        <w:spacing w:line="440" w:lineRule="exact"/>
        <w:ind w:left="0" w:leftChars="0" w:firstLine="440"/>
        <w:textAlignment w:val="auto"/>
        <w:rPr>
          <w:rStyle w:val="31"/>
          <w:rFonts w:hint="eastAsia" w:ascii="宋体" w:hAnsi="宋体" w:eastAsia="宋体" w:cs="宋体"/>
          <w:color w:val="auto"/>
        </w:rPr>
      </w:pPr>
      <w:r>
        <w:rPr>
          <w:rStyle w:val="31"/>
          <w:rFonts w:hint="eastAsia" w:ascii="宋体" w:hAnsi="宋体" w:eastAsia="宋体" w:cs="宋体"/>
          <w:color w:val="auto"/>
        </w:rPr>
        <w:t>发包人为赶工提供的条件。</w:t>
      </w:r>
    </w:p>
    <w:p w14:paraId="3A030463">
      <w:pPr>
        <w:pStyle w:val="95"/>
        <w:pageBreakBefore w:val="0"/>
        <w:widowControl w:val="0"/>
        <w:numPr>
          <w:ilvl w:val="0"/>
          <w:numId w:val="11"/>
        </w:numPr>
        <w:tabs>
          <w:tab w:val="left" w:pos="923"/>
        </w:tabs>
        <w:kinsoku/>
        <w:wordWrap/>
        <w:overflowPunct/>
        <w:topLinePunct w:val="0"/>
        <w:autoSpaceDE/>
        <w:autoSpaceDN/>
        <w:bidi w:val="0"/>
        <w:adjustRightInd/>
        <w:snapToGrid/>
        <w:spacing w:line="440" w:lineRule="exact"/>
        <w:ind w:left="0" w:leftChars="0" w:firstLine="440"/>
        <w:textAlignment w:val="auto"/>
        <w:rPr>
          <w:rStyle w:val="31"/>
          <w:rFonts w:hint="eastAsia" w:ascii="宋体" w:hAnsi="宋体" w:eastAsia="宋体" w:cs="宋体"/>
          <w:color w:val="auto"/>
        </w:rPr>
      </w:pPr>
      <w:bookmarkStart w:id="718" w:name="bookmark1196"/>
      <w:bookmarkEnd w:id="718"/>
      <w:r>
        <w:rPr>
          <w:rStyle w:val="31"/>
          <w:rFonts w:hint="eastAsia" w:ascii="宋体" w:hAnsi="宋体" w:eastAsia="宋体" w:cs="宋体"/>
          <w:color w:val="auto"/>
        </w:rPr>
        <w:t>赶工费用(包括利润和奖金)</w:t>
      </w:r>
    </w:p>
    <w:p w14:paraId="3ECD29A4">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lang w:eastAsia="zh-CN"/>
        </w:rPr>
      </w:pPr>
      <w:bookmarkStart w:id="719" w:name="bookmark1198"/>
      <w:bookmarkStart w:id="720" w:name="bookmark1199"/>
      <w:bookmarkStart w:id="721" w:name="_Toc8400"/>
      <w:bookmarkStart w:id="722" w:name="bookmark1197"/>
      <w:bookmarkStart w:id="723" w:name="_Toc256000090"/>
      <w:bookmarkStart w:id="724" w:name="_Toc3335"/>
      <w:r>
        <w:rPr>
          <w:rStyle w:val="31"/>
          <w:rFonts w:hint="eastAsia" w:ascii="宋体" w:hAnsi="宋体" w:eastAsia="宋体" w:cs="宋体"/>
          <w:color w:val="auto"/>
          <w:lang w:eastAsia="zh-CN"/>
        </w:rPr>
        <w:t>12.暂停施工</w:t>
      </w:r>
      <w:bookmarkEnd w:id="719"/>
      <w:bookmarkEnd w:id="720"/>
      <w:bookmarkEnd w:id="721"/>
      <w:bookmarkEnd w:id="722"/>
      <w:bookmarkEnd w:id="723"/>
      <w:bookmarkEnd w:id="724"/>
    </w:p>
    <w:p w14:paraId="6C1315A6">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725" w:name="bookmark1201"/>
      <w:bookmarkStart w:id="726" w:name="bookmark1200"/>
      <w:bookmarkStart w:id="727" w:name="_Toc25279"/>
      <w:bookmarkStart w:id="728" w:name="bookmark1202"/>
      <w:bookmarkStart w:id="729" w:name="_Toc11440"/>
      <w:bookmarkStart w:id="730" w:name="_Toc256000091"/>
      <w:r>
        <w:rPr>
          <w:rStyle w:val="31"/>
          <w:rFonts w:hint="eastAsia" w:ascii="宋体" w:hAnsi="宋体" w:eastAsia="宋体" w:cs="宋体"/>
          <w:color w:val="auto"/>
          <w:sz w:val="24"/>
          <w:szCs w:val="24"/>
          <w:lang w:eastAsia="zh-CN"/>
        </w:rPr>
        <w:t>12.1承包人暂停施工的责任</w:t>
      </w:r>
      <w:bookmarkEnd w:id="725"/>
      <w:bookmarkEnd w:id="726"/>
      <w:bookmarkEnd w:id="727"/>
      <w:bookmarkEnd w:id="728"/>
      <w:bookmarkEnd w:id="729"/>
      <w:bookmarkEnd w:id="730"/>
    </w:p>
    <w:p w14:paraId="55BEE9DD">
      <w:pPr>
        <w:pStyle w:val="95"/>
        <w:pageBreakBefore w:val="0"/>
        <w:widowControl w:val="0"/>
        <w:kinsoku/>
        <w:wordWrap/>
        <w:overflowPunct/>
        <w:topLinePunct w:val="0"/>
        <w:autoSpaceDE/>
        <w:autoSpaceDN/>
        <w:bidi w:val="0"/>
        <w:adjustRightInd/>
        <w:snapToGrid/>
        <w:spacing w:line="440" w:lineRule="exact"/>
        <w:ind w:left="0" w:leftChars="0" w:firstLine="442"/>
        <w:textAlignment w:val="auto"/>
        <w:rPr>
          <w:rStyle w:val="31"/>
          <w:rFonts w:hint="eastAsia" w:ascii="宋体" w:hAnsi="宋体" w:eastAsia="宋体" w:cs="宋体"/>
          <w:color w:val="auto"/>
        </w:rPr>
      </w:pPr>
      <w:r>
        <w:rPr>
          <w:rStyle w:val="31"/>
          <w:rFonts w:hint="eastAsia" w:ascii="宋体" w:hAnsi="宋体" w:eastAsia="宋体" w:cs="宋体"/>
          <w:color w:val="auto"/>
        </w:rPr>
        <w:t>因下列暂停施工增加的费用和(或)工期延误由承包人承担：</w:t>
      </w:r>
    </w:p>
    <w:p w14:paraId="26CBA647">
      <w:pPr>
        <w:pStyle w:val="95"/>
        <w:pageBreakBefore w:val="0"/>
        <w:widowControl w:val="0"/>
        <w:numPr>
          <w:ilvl w:val="0"/>
          <w:numId w:val="12"/>
        </w:numPr>
        <w:tabs>
          <w:tab w:val="left" w:pos="923"/>
        </w:tabs>
        <w:kinsoku/>
        <w:wordWrap/>
        <w:overflowPunct/>
        <w:topLinePunct w:val="0"/>
        <w:autoSpaceDE/>
        <w:autoSpaceDN/>
        <w:bidi w:val="0"/>
        <w:adjustRightInd/>
        <w:snapToGrid/>
        <w:spacing w:line="440" w:lineRule="exact"/>
        <w:ind w:left="0" w:leftChars="0" w:firstLine="442"/>
        <w:textAlignment w:val="auto"/>
        <w:rPr>
          <w:rStyle w:val="31"/>
          <w:rFonts w:hint="eastAsia" w:ascii="宋体" w:hAnsi="宋体" w:eastAsia="宋体" w:cs="宋体"/>
          <w:color w:val="auto"/>
        </w:rPr>
      </w:pPr>
      <w:bookmarkStart w:id="731" w:name="bookmark1203"/>
      <w:bookmarkEnd w:id="731"/>
      <w:r>
        <w:rPr>
          <w:rStyle w:val="31"/>
          <w:rFonts w:hint="eastAsia" w:ascii="宋体" w:hAnsi="宋体" w:eastAsia="宋体" w:cs="宋体"/>
          <w:color w:val="auto"/>
        </w:rPr>
        <w:t>承包人违约引起的暂停施工；</w:t>
      </w:r>
    </w:p>
    <w:p w14:paraId="63403163">
      <w:pPr>
        <w:pStyle w:val="95"/>
        <w:pageBreakBefore w:val="0"/>
        <w:widowControl w:val="0"/>
        <w:numPr>
          <w:ilvl w:val="0"/>
          <w:numId w:val="12"/>
        </w:numPr>
        <w:tabs>
          <w:tab w:val="left" w:pos="923"/>
        </w:tabs>
        <w:kinsoku/>
        <w:wordWrap/>
        <w:overflowPunct/>
        <w:topLinePunct w:val="0"/>
        <w:autoSpaceDE/>
        <w:autoSpaceDN/>
        <w:bidi w:val="0"/>
        <w:adjustRightInd/>
        <w:snapToGrid/>
        <w:spacing w:line="440" w:lineRule="exact"/>
        <w:ind w:left="0" w:leftChars="0" w:firstLine="442"/>
        <w:textAlignment w:val="auto"/>
        <w:rPr>
          <w:rStyle w:val="31"/>
          <w:rFonts w:hint="eastAsia" w:ascii="宋体" w:hAnsi="宋体" w:eastAsia="宋体" w:cs="宋体"/>
          <w:color w:val="auto"/>
        </w:rPr>
      </w:pPr>
      <w:bookmarkStart w:id="732" w:name="bookmark1204"/>
      <w:bookmarkEnd w:id="732"/>
      <w:r>
        <w:rPr>
          <w:rStyle w:val="31"/>
          <w:rFonts w:hint="eastAsia" w:ascii="宋体" w:hAnsi="宋体" w:eastAsia="宋体" w:cs="宋体"/>
          <w:color w:val="auto"/>
        </w:rPr>
        <w:t>由于承包人原因为工程合理施工和安全保障所必需的暂停施工；</w:t>
      </w:r>
    </w:p>
    <w:p w14:paraId="7776F1BB">
      <w:pPr>
        <w:pStyle w:val="95"/>
        <w:pageBreakBefore w:val="0"/>
        <w:widowControl w:val="0"/>
        <w:numPr>
          <w:ilvl w:val="0"/>
          <w:numId w:val="12"/>
        </w:numPr>
        <w:tabs>
          <w:tab w:val="left" w:pos="923"/>
        </w:tabs>
        <w:kinsoku/>
        <w:wordWrap/>
        <w:overflowPunct/>
        <w:topLinePunct w:val="0"/>
        <w:autoSpaceDE/>
        <w:autoSpaceDN/>
        <w:bidi w:val="0"/>
        <w:adjustRightInd/>
        <w:snapToGrid/>
        <w:spacing w:line="440" w:lineRule="exact"/>
        <w:ind w:left="0" w:leftChars="0" w:firstLine="442"/>
        <w:textAlignment w:val="auto"/>
        <w:rPr>
          <w:rStyle w:val="31"/>
          <w:rFonts w:hint="eastAsia" w:ascii="宋体" w:hAnsi="宋体" w:eastAsia="宋体" w:cs="宋体"/>
          <w:color w:val="auto"/>
        </w:rPr>
      </w:pPr>
      <w:bookmarkStart w:id="733" w:name="bookmark1205"/>
      <w:bookmarkEnd w:id="733"/>
      <w:r>
        <w:rPr>
          <w:rStyle w:val="31"/>
          <w:rFonts w:hint="eastAsia" w:ascii="宋体" w:hAnsi="宋体" w:eastAsia="宋体" w:cs="宋体"/>
          <w:color w:val="auto"/>
        </w:rPr>
        <w:t>承包人擅自暂停施工；</w:t>
      </w:r>
    </w:p>
    <w:p w14:paraId="7B7E03EF">
      <w:pPr>
        <w:pStyle w:val="95"/>
        <w:pageBreakBefore w:val="0"/>
        <w:widowControl w:val="0"/>
        <w:numPr>
          <w:ilvl w:val="0"/>
          <w:numId w:val="12"/>
        </w:numPr>
        <w:tabs>
          <w:tab w:val="left" w:pos="923"/>
        </w:tabs>
        <w:kinsoku/>
        <w:wordWrap/>
        <w:overflowPunct/>
        <w:topLinePunct w:val="0"/>
        <w:autoSpaceDE/>
        <w:autoSpaceDN/>
        <w:bidi w:val="0"/>
        <w:adjustRightInd/>
        <w:snapToGrid/>
        <w:spacing w:line="440" w:lineRule="exact"/>
        <w:ind w:left="0" w:leftChars="0" w:firstLine="442"/>
        <w:textAlignment w:val="auto"/>
        <w:rPr>
          <w:rStyle w:val="31"/>
          <w:rFonts w:hint="eastAsia" w:ascii="宋体" w:hAnsi="宋体" w:eastAsia="宋体" w:cs="宋体"/>
          <w:color w:val="auto"/>
        </w:rPr>
      </w:pPr>
      <w:bookmarkStart w:id="734" w:name="bookmark1206"/>
      <w:bookmarkEnd w:id="734"/>
      <w:r>
        <w:rPr>
          <w:rStyle w:val="31"/>
          <w:rFonts w:hint="eastAsia" w:ascii="宋体" w:hAnsi="宋体" w:eastAsia="宋体" w:cs="宋体"/>
          <w:color w:val="auto"/>
        </w:rPr>
        <w:t>承包人其他原因引起的暂停施工；</w:t>
      </w:r>
    </w:p>
    <w:p w14:paraId="6DC3B314">
      <w:pPr>
        <w:pStyle w:val="95"/>
        <w:pageBreakBefore w:val="0"/>
        <w:widowControl w:val="0"/>
        <w:numPr>
          <w:ilvl w:val="0"/>
          <w:numId w:val="12"/>
        </w:numPr>
        <w:tabs>
          <w:tab w:val="left" w:pos="923"/>
        </w:tabs>
        <w:kinsoku/>
        <w:wordWrap/>
        <w:overflowPunct/>
        <w:topLinePunct w:val="0"/>
        <w:autoSpaceDE/>
        <w:autoSpaceDN/>
        <w:bidi w:val="0"/>
        <w:adjustRightInd/>
        <w:snapToGrid/>
        <w:spacing w:line="440" w:lineRule="exact"/>
        <w:ind w:left="0" w:leftChars="0" w:firstLine="442"/>
        <w:textAlignment w:val="auto"/>
        <w:rPr>
          <w:rStyle w:val="31"/>
          <w:rFonts w:hint="eastAsia" w:ascii="宋体" w:hAnsi="宋体" w:eastAsia="宋体" w:cs="宋体"/>
          <w:color w:val="auto"/>
        </w:rPr>
      </w:pPr>
      <w:bookmarkStart w:id="735" w:name="bookmark1207"/>
      <w:bookmarkEnd w:id="735"/>
      <w:r>
        <w:rPr>
          <w:rStyle w:val="31"/>
          <w:rFonts w:hint="eastAsia" w:ascii="宋体" w:hAnsi="宋体" w:eastAsia="宋体" w:cs="宋体"/>
          <w:color w:val="auto"/>
        </w:rPr>
        <w:t>专用合同条款约定由承包人承担的其他暂停施工。</w:t>
      </w:r>
    </w:p>
    <w:p w14:paraId="09EF9D1D">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736" w:name="bookmark1208"/>
      <w:bookmarkStart w:id="737" w:name="_Toc256000092"/>
      <w:bookmarkStart w:id="738" w:name="_Toc19655"/>
      <w:bookmarkStart w:id="739" w:name="bookmark1209"/>
      <w:bookmarkStart w:id="740" w:name="bookmark1210"/>
      <w:bookmarkStart w:id="741" w:name="_Toc16980"/>
      <w:r>
        <w:rPr>
          <w:rStyle w:val="31"/>
          <w:rFonts w:hint="eastAsia" w:ascii="宋体" w:hAnsi="宋体" w:eastAsia="宋体" w:cs="宋体"/>
          <w:color w:val="auto"/>
          <w:sz w:val="24"/>
          <w:szCs w:val="24"/>
          <w:lang w:eastAsia="zh-CN"/>
        </w:rPr>
        <w:t>12.2发包人暂停施工的责任</w:t>
      </w:r>
      <w:bookmarkEnd w:id="736"/>
      <w:bookmarkEnd w:id="737"/>
      <w:bookmarkEnd w:id="738"/>
      <w:bookmarkEnd w:id="739"/>
      <w:bookmarkEnd w:id="740"/>
      <w:bookmarkEnd w:id="741"/>
    </w:p>
    <w:p w14:paraId="7B97AE78">
      <w:pPr>
        <w:pStyle w:val="95"/>
        <w:pageBreakBefore w:val="0"/>
        <w:widowControl w:val="0"/>
        <w:kinsoku/>
        <w:wordWrap/>
        <w:overflowPunct/>
        <w:topLinePunct w:val="0"/>
        <w:autoSpaceDE/>
        <w:autoSpaceDN/>
        <w:bidi w:val="0"/>
        <w:adjustRightInd/>
        <w:snapToGrid/>
        <w:spacing w:line="440" w:lineRule="exact"/>
        <w:ind w:left="0" w:leftChars="0" w:firstLine="442"/>
        <w:jc w:val="both"/>
        <w:textAlignment w:val="auto"/>
        <w:rPr>
          <w:rStyle w:val="31"/>
          <w:rFonts w:hint="eastAsia" w:ascii="宋体" w:hAnsi="宋体" w:eastAsia="宋体" w:cs="宋体"/>
          <w:color w:val="auto"/>
        </w:rPr>
      </w:pPr>
      <w:r>
        <w:rPr>
          <w:rStyle w:val="31"/>
          <w:rFonts w:hint="eastAsia" w:ascii="宋体" w:hAnsi="宋体" w:eastAsia="宋体" w:cs="宋体"/>
          <w:color w:val="auto"/>
        </w:rPr>
        <w:t>由于发包人原因引起的暂停施工造成工期延误的，承包人有权要求发包人延长工期和 (或)增加费用，并支付合理利润。属于下列任何一种情况引起的暂停施工，均为发包人的责任：</w:t>
      </w:r>
    </w:p>
    <w:p w14:paraId="56936A09">
      <w:pPr>
        <w:pStyle w:val="95"/>
        <w:pageBreakBefore w:val="0"/>
        <w:widowControl w:val="0"/>
        <w:numPr>
          <w:ilvl w:val="0"/>
          <w:numId w:val="13"/>
        </w:numPr>
        <w:tabs>
          <w:tab w:val="left" w:pos="923"/>
        </w:tabs>
        <w:kinsoku/>
        <w:wordWrap/>
        <w:overflowPunct/>
        <w:topLinePunct w:val="0"/>
        <w:autoSpaceDE/>
        <w:autoSpaceDN/>
        <w:bidi w:val="0"/>
        <w:adjustRightInd/>
        <w:snapToGrid/>
        <w:spacing w:line="440" w:lineRule="exact"/>
        <w:ind w:left="0" w:leftChars="0" w:firstLine="442"/>
        <w:jc w:val="both"/>
        <w:textAlignment w:val="auto"/>
        <w:rPr>
          <w:rStyle w:val="31"/>
          <w:rFonts w:hint="eastAsia" w:ascii="宋体" w:hAnsi="宋体" w:eastAsia="宋体" w:cs="宋体"/>
          <w:color w:val="auto"/>
        </w:rPr>
      </w:pPr>
      <w:bookmarkStart w:id="742" w:name="bookmark1211"/>
      <w:bookmarkEnd w:id="742"/>
      <w:r>
        <w:rPr>
          <w:rStyle w:val="31"/>
          <w:rFonts w:hint="eastAsia" w:ascii="宋体" w:hAnsi="宋体" w:eastAsia="宋体" w:cs="宋体"/>
          <w:color w:val="auto"/>
        </w:rPr>
        <w:t>由于发包人违约引起的暂停施工。</w:t>
      </w:r>
    </w:p>
    <w:p w14:paraId="7B275E6C">
      <w:pPr>
        <w:pStyle w:val="95"/>
        <w:pageBreakBefore w:val="0"/>
        <w:widowControl w:val="0"/>
        <w:numPr>
          <w:ilvl w:val="0"/>
          <w:numId w:val="13"/>
        </w:numPr>
        <w:tabs>
          <w:tab w:val="left" w:pos="923"/>
        </w:tabs>
        <w:kinsoku/>
        <w:wordWrap/>
        <w:overflowPunct/>
        <w:topLinePunct w:val="0"/>
        <w:autoSpaceDE/>
        <w:autoSpaceDN/>
        <w:bidi w:val="0"/>
        <w:adjustRightInd/>
        <w:snapToGrid/>
        <w:spacing w:line="440" w:lineRule="exact"/>
        <w:ind w:left="0" w:leftChars="0" w:firstLine="442"/>
        <w:textAlignment w:val="auto"/>
        <w:rPr>
          <w:rStyle w:val="31"/>
          <w:rFonts w:hint="eastAsia" w:ascii="宋体" w:hAnsi="宋体" w:eastAsia="宋体" w:cs="宋体"/>
          <w:color w:val="auto"/>
        </w:rPr>
      </w:pPr>
      <w:bookmarkStart w:id="743" w:name="bookmark1212"/>
      <w:bookmarkEnd w:id="743"/>
      <w:r>
        <w:rPr>
          <w:rStyle w:val="31"/>
          <w:rFonts w:hint="eastAsia" w:ascii="宋体" w:hAnsi="宋体" w:eastAsia="宋体" w:cs="宋体"/>
          <w:color w:val="auto"/>
        </w:rPr>
        <w:t>由于不可抗力的自然或社会因素引起的暂停施工。</w:t>
      </w:r>
    </w:p>
    <w:p w14:paraId="4C6C43A1">
      <w:pPr>
        <w:pStyle w:val="95"/>
        <w:pageBreakBefore w:val="0"/>
        <w:widowControl w:val="0"/>
        <w:numPr>
          <w:ilvl w:val="0"/>
          <w:numId w:val="13"/>
        </w:numPr>
        <w:tabs>
          <w:tab w:val="left" w:pos="923"/>
        </w:tabs>
        <w:kinsoku/>
        <w:wordWrap/>
        <w:overflowPunct/>
        <w:topLinePunct w:val="0"/>
        <w:autoSpaceDE/>
        <w:autoSpaceDN/>
        <w:bidi w:val="0"/>
        <w:adjustRightInd/>
        <w:snapToGrid/>
        <w:spacing w:line="440" w:lineRule="exact"/>
        <w:ind w:left="0" w:leftChars="0" w:firstLine="442"/>
        <w:textAlignment w:val="auto"/>
        <w:rPr>
          <w:rStyle w:val="31"/>
          <w:rFonts w:hint="eastAsia" w:ascii="宋体" w:hAnsi="宋体" w:eastAsia="宋体" w:cs="宋体"/>
          <w:color w:val="auto"/>
        </w:rPr>
      </w:pPr>
      <w:bookmarkStart w:id="744" w:name="bookmark1213"/>
      <w:bookmarkEnd w:id="744"/>
      <w:r>
        <w:rPr>
          <w:rStyle w:val="31"/>
          <w:rFonts w:hint="eastAsia" w:ascii="宋体" w:hAnsi="宋体" w:eastAsia="宋体" w:cs="宋体"/>
          <w:color w:val="auto"/>
        </w:rPr>
        <w:t>专用合同条款中约定的其它由于发包人原因引起的暂停施工。</w:t>
      </w:r>
    </w:p>
    <w:p w14:paraId="326B8811">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745" w:name="bookmark1215"/>
      <w:bookmarkStart w:id="746" w:name="bookmark1214"/>
      <w:bookmarkStart w:id="747" w:name="_Toc4901"/>
      <w:bookmarkStart w:id="748" w:name="bookmark1216"/>
      <w:bookmarkStart w:id="749" w:name="_Toc15099"/>
      <w:bookmarkStart w:id="750" w:name="_Toc256000093"/>
      <w:r>
        <w:rPr>
          <w:rStyle w:val="31"/>
          <w:rFonts w:hint="eastAsia" w:ascii="宋体" w:hAnsi="宋体" w:eastAsia="宋体" w:cs="宋体"/>
          <w:color w:val="auto"/>
          <w:sz w:val="24"/>
          <w:szCs w:val="24"/>
          <w:lang w:eastAsia="zh-CN"/>
        </w:rPr>
        <w:t>12.3监理人暂停施工指示</w:t>
      </w:r>
      <w:bookmarkEnd w:id="745"/>
      <w:bookmarkEnd w:id="746"/>
      <w:bookmarkEnd w:id="747"/>
      <w:bookmarkEnd w:id="748"/>
      <w:bookmarkEnd w:id="749"/>
      <w:bookmarkEnd w:id="750"/>
    </w:p>
    <w:p w14:paraId="49A1CA8B">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12.3.1</w:t>
      </w:r>
      <w:r>
        <w:rPr>
          <w:rStyle w:val="31"/>
          <w:rFonts w:hint="eastAsia" w:ascii="宋体" w:hAnsi="宋体" w:eastAsia="宋体" w:cs="宋体"/>
          <w:color w:val="auto"/>
        </w:rPr>
        <w:t>监理人认为有必要时，可向承包人作出暂停施工的指示，承包人应按监理人指示暂停施工。不论由于何种原因引起的暂停施工，暂停施工期间承包人应负责妥善保护工程并提供安全保障。</w:t>
      </w:r>
    </w:p>
    <w:p w14:paraId="72EC165A">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12.3.2</w:t>
      </w:r>
      <w:r>
        <w:rPr>
          <w:rStyle w:val="31"/>
          <w:rFonts w:hint="eastAsia" w:ascii="宋体" w:hAnsi="宋体" w:eastAsia="宋体" w:cs="宋体"/>
          <w:color w:val="auto"/>
        </w:rPr>
        <w:t>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4914ADCC">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751" w:name="bookmark1219"/>
      <w:bookmarkStart w:id="752" w:name="_Toc14048"/>
      <w:bookmarkStart w:id="753" w:name="bookmark1217"/>
      <w:bookmarkStart w:id="754" w:name="bookmark1218"/>
      <w:bookmarkStart w:id="755" w:name="_Toc7679"/>
      <w:bookmarkStart w:id="756" w:name="_Toc256000094"/>
      <w:r>
        <w:rPr>
          <w:rStyle w:val="31"/>
          <w:rFonts w:hint="eastAsia" w:ascii="宋体" w:hAnsi="宋体" w:eastAsia="宋体" w:cs="宋体"/>
          <w:color w:val="auto"/>
          <w:sz w:val="24"/>
          <w:szCs w:val="24"/>
          <w:lang w:eastAsia="zh-CN"/>
        </w:rPr>
        <w:t>12.4暂停施工后的复工</w:t>
      </w:r>
      <w:bookmarkEnd w:id="751"/>
      <w:bookmarkEnd w:id="752"/>
      <w:bookmarkEnd w:id="753"/>
      <w:bookmarkEnd w:id="754"/>
      <w:bookmarkEnd w:id="755"/>
      <w:bookmarkEnd w:id="756"/>
    </w:p>
    <w:p w14:paraId="6A2786A6">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757" w:name="bookmark1220"/>
      <w:bookmarkEnd w:id="757"/>
      <w:r>
        <w:rPr>
          <w:rStyle w:val="31"/>
          <w:rFonts w:hint="eastAsia" w:ascii="宋体" w:hAnsi="宋体" w:eastAsia="宋体" w:cs="宋体"/>
          <w:color w:val="auto"/>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2EDB2914">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758" w:name="bookmark1221"/>
      <w:bookmarkEnd w:id="758"/>
      <w:r>
        <w:rPr>
          <w:rStyle w:val="31"/>
          <w:rFonts w:hint="eastAsia" w:ascii="宋体" w:hAnsi="宋体" w:eastAsia="宋体" w:cs="宋体"/>
          <w:color w:val="auto"/>
        </w:rPr>
        <w:t>12</w:t>
      </w:r>
      <w:r>
        <w:rPr>
          <w:rStyle w:val="31"/>
          <w:rFonts w:hint="eastAsia" w:ascii="宋体" w:hAnsi="宋体" w:eastAsia="宋体" w:cs="宋体"/>
          <w:color w:val="auto"/>
          <w:lang w:val="en-US"/>
        </w:rPr>
        <w:t>.4.</w:t>
      </w:r>
      <w:r>
        <w:rPr>
          <w:rStyle w:val="31"/>
          <w:rFonts w:hint="eastAsia" w:ascii="宋体" w:hAnsi="宋体" w:eastAsia="宋体" w:cs="宋体"/>
          <w:color w:val="auto"/>
        </w:rPr>
        <w:t>2承包人无故拖延和拒绝复工的，由此增加的费用和工期延误由承包人承担；因发包人原因无法按时复工的，承包人有权要求发包人延长工期和(或)增加费用，并支付合理利润。</w:t>
      </w:r>
    </w:p>
    <w:p w14:paraId="743C4445">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759" w:name="bookmark1195"/>
      <w:bookmarkEnd w:id="759"/>
      <w:bookmarkStart w:id="760" w:name="_Toc6811"/>
      <w:bookmarkStart w:id="761" w:name="bookmark1223"/>
      <w:bookmarkStart w:id="762" w:name="_Toc256000095"/>
      <w:bookmarkStart w:id="763" w:name="bookmark1222"/>
      <w:bookmarkStart w:id="764" w:name="bookmark1224"/>
      <w:bookmarkStart w:id="765" w:name="_Toc24826"/>
      <w:r>
        <w:rPr>
          <w:rStyle w:val="31"/>
          <w:rFonts w:hint="eastAsia" w:ascii="宋体" w:hAnsi="宋体" w:eastAsia="宋体" w:cs="宋体"/>
          <w:color w:val="auto"/>
          <w:sz w:val="24"/>
          <w:szCs w:val="24"/>
          <w:lang w:eastAsia="zh-CN"/>
        </w:rPr>
        <w:t>12.5暂停施工持续56天以上</w:t>
      </w:r>
      <w:bookmarkEnd w:id="760"/>
      <w:bookmarkEnd w:id="761"/>
      <w:bookmarkEnd w:id="762"/>
      <w:bookmarkEnd w:id="763"/>
      <w:bookmarkEnd w:id="764"/>
      <w:bookmarkEnd w:id="765"/>
    </w:p>
    <w:p w14:paraId="04C0EF7B">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12.5.1</w:t>
      </w:r>
      <w:r>
        <w:rPr>
          <w:rStyle w:val="31"/>
          <w:rFonts w:hint="eastAsia" w:ascii="宋体" w:hAnsi="宋体" w:eastAsia="宋体" w:cs="宋体"/>
          <w:color w:val="auto"/>
        </w:rPr>
        <w:t>监理人发出暂停施工指示后56天内未向承包人发出复工通知，除了该项停工属于第</w:t>
      </w:r>
      <w:r>
        <w:rPr>
          <w:rStyle w:val="31"/>
          <w:rFonts w:hint="eastAsia" w:ascii="宋体" w:hAnsi="宋体" w:eastAsia="宋体" w:cs="宋体"/>
          <w:color w:val="auto"/>
          <w:lang w:val="en-US" w:bidi="en-US"/>
        </w:rPr>
        <w:t>12.1</w:t>
      </w:r>
      <w:r>
        <w:rPr>
          <w:rStyle w:val="31"/>
          <w:rFonts w:hint="eastAsia" w:ascii="宋体" w:hAnsi="宋体" w:eastAsia="宋体" w:cs="宋体"/>
          <w:color w:val="auto"/>
        </w:rPr>
        <w:t>款的情况外，承包人可向监理人提交书面通知，要求监理人在收到书面通知后 28天内准许已暂停施工的工程或其中一部分工程继续施工。如监理人逾期不予批准，则承包人可以通知监理人，将工程受影响的部分视为按第</w:t>
      </w:r>
      <w:r>
        <w:rPr>
          <w:rStyle w:val="31"/>
          <w:rFonts w:hint="eastAsia" w:ascii="宋体" w:hAnsi="宋体" w:eastAsia="宋体" w:cs="宋体"/>
          <w:color w:val="auto"/>
          <w:lang w:val="en-US" w:bidi="en-US"/>
        </w:rPr>
        <w:t xml:space="preserve">15.1 </w:t>
      </w:r>
      <w:r>
        <w:rPr>
          <w:rStyle w:val="31"/>
          <w:rFonts w:hint="eastAsia" w:ascii="宋体" w:hAnsi="宋体" w:eastAsia="宋体" w:cs="宋体"/>
          <w:color w:val="auto"/>
        </w:rPr>
        <w:t>(1)项的可取消工作。如暂停 施工影响到整个工程，可视为发包人违约，应按第</w:t>
      </w:r>
      <w:r>
        <w:rPr>
          <w:rStyle w:val="31"/>
          <w:rFonts w:hint="eastAsia" w:ascii="宋体" w:hAnsi="宋体" w:eastAsia="宋体" w:cs="宋体"/>
          <w:color w:val="auto"/>
          <w:lang w:val="en-US" w:bidi="en-US"/>
        </w:rPr>
        <w:t xml:space="preserve">22. </w:t>
      </w:r>
      <w:r>
        <w:rPr>
          <w:rStyle w:val="31"/>
          <w:rFonts w:hint="eastAsia" w:ascii="宋体" w:hAnsi="宋体" w:eastAsia="宋体" w:cs="宋体"/>
          <w:color w:val="auto"/>
        </w:rPr>
        <w:t>2款的约定办理。</w:t>
      </w:r>
    </w:p>
    <w:p w14:paraId="4EF04FE9">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12.5.2</w:t>
      </w:r>
      <w:r>
        <w:rPr>
          <w:rStyle w:val="31"/>
          <w:rFonts w:hint="eastAsia" w:ascii="宋体" w:hAnsi="宋体" w:eastAsia="宋体" w:cs="宋体"/>
          <w:color w:val="auto"/>
        </w:rPr>
        <w:t>由于承包人责任引起的暂停施工，如承包人在收到监理人暂停施工指示后56 天内不认真采取有效的复工措施，造成工期延误，可视为承包人违约，应按第</w:t>
      </w:r>
      <w:r>
        <w:rPr>
          <w:rStyle w:val="31"/>
          <w:rFonts w:hint="eastAsia" w:ascii="宋体" w:hAnsi="宋体" w:eastAsia="宋体" w:cs="宋体"/>
          <w:color w:val="auto"/>
          <w:lang w:val="en-US" w:bidi="en-US"/>
        </w:rPr>
        <w:t>22.1</w:t>
      </w:r>
      <w:r>
        <w:rPr>
          <w:rStyle w:val="31"/>
          <w:rFonts w:hint="eastAsia" w:ascii="宋体" w:hAnsi="宋体" w:eastAsia="宋体" w:cs="宋体"/>
          <w:color w:val="auto"/>
        </w:rPr>
        <w:t>款的约定办理。</w:t>
      </w:r>
    </w:p>
    <w:p w14:paraId="3B8E04AE">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lang w:eastAsia="zh-CN"/>
        </w:rPr>
      </w:pPr>
      <w:bookmarkStart w:id="766" w:name="_Toc256000096"/>
      <w:bookmarkStart w:id="767" w:name="_Toc10322"/>
      <w:bookmarkStart w:id="768" w:name="bookmark1225"/>
      <w:bookmarkStart w:id="769" w:name="bookmark1227"/>
      <w:bookmarkStart w:id="770" w:name="bookmark1226"/>
      <w:bookmarkStart w:id="771" w:name="_Toc6946"/>
      <w:r>
        <w:rPr>
          <w:rStyle w:val="31"/>
          <w:rFonts w:hint="eastAsia" w:ascii="宋体" w:hAnsi="宋体" w:eastAsia="宋体" w:cs="宋体"/>
          <w:color w:val="auto"/>
          <w:lang w:eastAsia="zh-CN"/>
        </w:rPr>
        <w:t>13.工程质量</w:t>
      </w:r>
      <w:bookmarkEnd w:id="766"/>
      <w:bookmarkEnd w:id="767"/>
      <w:bookmarkEnd w:id="768"/>
      <w:bookmarkEnd w:id="769"/>
      <w:bookmarkEnd w:id="770"/>
      <w:bookmarkEnd w:id="771"/>
    </w:p>
    <w:p w14:paraId="2CA07744">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772" w:name="bookmark1228"/>
      <w:bookmarkStart w:id="773" w:name="_Toc256000097"/>
      <w:bookmarkStart w:id="774" w:name="_Toc19924"/>
      <w:bookmarkStart w:id="775" w:name="bookmark1230"/>
      <w:bookmarkStart w:id="776" w:name="_Toc9064"/>
      <w:bookmarkStart w:id="777" w:name="bookmark1229"/>
      <w:r>
        <w:rPr>
          <w:rStyle w:val="31"/>
          <w:rFonts w:hint="eastAsia" w:ascii="宋体" w:hAnsi="宋体" w:eastAsia="宋体" w:cs="宋体"/>
          <w:color w:val="auto"/>
          <w:sz w:val="24"/>
          <w:szCs w:val="24"/>
          <w:lang w:eastAsia="zh-CN"/>
        </w:rPr>
        <w:t>13.1工程质量要求</w:t>
      </w:r>
      <w:bookmarkEnd w:id="772"/>
      <w:bookmarkEnd w:id="773"/>
      <w:bookmarkEnd w:id="774"/>
      <w:bookmarkEnd w:id="775"/>
      <w:bookmarkEnd w:id="776"/>
      <w:bookmarkEnd w:id="777"/>
    </w:p>
    <w:p w14:paraId="7BB07E3B">
      <w:pPr>
        <w:pStyle w:val="95"/>
        <w:pageBreakBefore w:val="0"/>
        <w:widowControl w:val="0"/>
        <w:tabs>
          <w:tab w:val="left" w:pos="820"/>
        </w:tabs>
        <w:kinsoku/>
        <w:wordWrap/>
        <w:overflowPunct/>
        <w:topLinePunct w:val="0"/>
        <w:autoSpaceDE/>
        <w:autoSpaceDN/>
        <w:bidi w:val="0"/>
        <w:adjustRightInd/>
        <w:snapToGrid/>
        <w:spacing w:line="440" w:lineRule="exact"/>
        <w:ind w:left="0" w:leftChars="0" w:firstLine="0"/>
        <w:jc w:val="both"/>
        <w:textAlignment w:val="auto"/>
        <w:rPr>
          <w:rStyle w:val="31"/>
          <w:rFonts w:hint="eastAsia" w:ascii="宋体" w:hAnsi="宋体" w:eastAsia="宋体" w:cs="宋体"/>
          <w:color w:val="auto"/>
        </w:rPr>
      </w:pPr>
      <w:bookmarkStart w:id="778" w:name="bookmark1231"/>
      <w:bookmarkEnd w:id="778"/>
      <w:r>
        <w:rPr>
          <w:rStyle w:val="31"/>
          <w:rFonts w:hint="eastAsia" w:ascii="宋体" w:hAnsi="宋体" w:eastAsia="宋体" w:cs="宋体"/>
          <w:color w:val="auto"/>
          <w:lang w:val="en-US" w:bidi="en-US"/>
        </w:rPr>
        <w:t xml:space="preserve">13.1. </w:t>
      </w:r>
      <w:r>
        <w:rPr>
          <w:rStyle w:val="31"/>
          <w:rFonts w:hint="eastAsia" w:ascii="宋体" w:hAnsi="宋体" w:eastAsia="宋体" w:cs="宋体"/>
          <w:color w:val="auto"/>
        </w:rPr>
        <w:t>1工程质量验收按合同约定验收标准执行。</w:t>
      </w:r>
    </w:p>
    <w:p w14:paraId="5A39E44F">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13.1.2</w:t>
      </w:r>
      <w:r>
        <w:rPr>
          <w:rStyle w:val="31"/>
          <w:rFonts w:hint="eastAsia" w:ascii="宋体" w:hAnsi="宋体" w:eastAsia="宋体" w:cs="宋体"/>
          <w:color w:val="auto"/>
        </w:rPr>
        <w:t>因承包人原因造成工程质量达不到合同约定验收标准的，监理人有权要求承包人返工直至符合合同要求为止，由此造成的费用增加和（或）工期延误由承包人承担。</w:t>
      </w:r>
    </w:p>
    <w:p w14:paraId="1078B70C">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13.1.3</w:t>
      </w:r>
      <w:r>
        <w:rPr>
          <w:rStyle w:val="31"/>
          <w:rFonts w:hint="eastAsia" w:ascii="宋体" w:hAnsi="宋体" w:eastAsia="宋体" w:cs="宋体"/>
          <w:color w:val="auto"/>
        </w:rPr>
        <w:t>因发包人原因造成工程质量达不到合同约定验收标准的，发包人应承担由于承包人返工造成的费用增加和（或）工期延误，并支付承包人合理利润。</w:t>
      </w:r>
    </w:p>
    <w:p w14:paraId="51AD2FA4">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779" w:name="bookmark1232"/>
      <w:bookmarkStart w:id="780" w:name="_Toc4852"/>
      <w:bookmarkStart w:id="781" w:name="_Toc6308"/>
      <w:bookmarkStart w:id="782" w:name="_Toc256000098"/>
      <w:bookmarkStart w:id="783" w:name="bookmark1234"/>
      <w:bookmarkStart w:id="784" w:name="bookmark1233"/>
      <w:r>
        <w:rPr>
          <w:rStyle w:val="31"/>
          <w:rFonts w:hint="eastAsia" w:ascii="宋体" w:hAnsi="宋体" w:eastAsia="宋体" w:cs="宋体"/>
          <w:color w:val="auto"/>
          <w:sz w:val="24"/>
          <w:szCs w:val="24"/>
          <w:lang w:eastAsia="zh-CN"/>
        </w:rPr>
        <w:t>13.2承包人的质量管理</w:t>
      </w:r>
      <w:bookmarkEnd w:id="779"/>
      <w:bookmarkEnd w:id="780"/>
      <w:bookmarkEnd w:id="781"/>
      <w:bookmarkEnd w:id="782"/>
      <w:bookmarkEnd w:id="783"/>
      <w:bookmarkEnd w:id="784"/>
    </w:p>
    <w:p w14:paraId="375A6F8B">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13.2.1</w:t>
      </w:r>
      <w:r>
        <w:rPr>
          <w:rStyle w:val="31"/>
          <w:rFonts w:hint="eastAsia" w:ascii="宋体" w:hAnsi="宋体" w:eastAsia="宋体" w:cs="宋体"/>
          <w:color w:val="auto"/>
        </w:rPr>
        <w:t>承包人应在施工场地设置专门的质量检查机构，配备专职质量检查人员，建立完善的质量检查制度。承包人应按技术标准和要求（合同技术条款）约定的内容和期限, 编制工程质量保证措施文件，包括质量检查机构的组织和岗位责任、质量检查人员的组成、质量检查程序和实施细则等，提交监理人监批。监理人应在技术标准和要求（合同技术条 款）约定期限内批复承包人。</w:t>
      </w:r>
    </w:p>
    <w:p w14:paraId="6CF0FD51">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785" w:name="bookmark1235"/>
      <w:bookmarkEnd w:id="785"/>
      <w:r>
        <w:rPr>
          <w:rStyle w:val="31"/>
          <w:rFonts w:hint="eastAsia" w:ascii="宋体" w:hAnsi="宋体" w:eastAsia="宋体" w:cs="宋体"/>
          <w:color w:val="auto"/>
        </w:rPr>
        <w:t>13.2. 2承包人应加强对施工人员的质量教育和技术培训，定期考核施工人员的劳动 技能，严格执行规范和操作规程。</w:t>
      </w:r>
    </w:p>
    <w:p w14:paraId="35EA140E">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786" w:name="_Toc256000099"/>
      <w:bookmarkStart w:id="787" w:name="_Toc27102"/>
      <w:bookmarkStart w:id="788" w:name="bookmark1238"/>
      <w:bookmarkStart w:id="789" w:name="bookmark1236"/>
      <w:bookmarkStart w:id="790" w:name="_Toc19429"/>
      <w:bookmarkStart w:id="791" w:name="bookmark1237"/>
      <w:r>
        <w:rPr>
          <w:rStyle w:val="31"/>
          <w:rFonts w:hint="eastAsia" w:ascii="宋体" w:hAnsi="宋体" w:eastAsia="宋体" w:cs="宋体"/>
          <w:color w:val="auto"/>
          <w:sz w:val="24"/>
          <w:szCs w:val="24"/>
          <w:lang w:eastAsia="zh-CN"/>
        </w:rPr>
        <w:t>13.3承包人的质量检查</w:t>
      </w:r>
      <w:bookmarkEnd w:id="786"/>
      <w:bookmarkEnd w:id="787"/>
      <w:bookmarkEnd w:id="788"/>
      <w:bookmarkEnd w:id="789"/>
      <w:bookmarkEnd w:id="790"/>
      <w:bookmarkEnd w:id="791"/>
    </w:p>
    <w:p w14:paraId="6450E5EB">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承包人应按合同约定对材料、工程设备以及工程的所有部位及其施工工艺进行全过程的质量检查和检验，并作详细记录，编制工程质量报表，报送监理人审查。</w:t>
      </w:r>
    </w:p>
    <w:p w14:paraId="6B272ADE">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792" w:name="_Toc26103"/>
      <w:bookmarkStart w:id="793" w:name="_Toc256000100"/>
      <w:bookmarkStart w:id="794" w:name="bookmark1241"/>
      <w:bookmarkStart w:id="795" w:name="_Toc30829"/>
      <w:bookmarkStart w:id="796" w:name="bookmark1239"/>
      <w:bookmarkStart w:id="797" w:name="bookmark1240"/>
      <w:r>
        <w:rPr>
          <w:rStyle w:val="31"/>
          <w:rFonts w:hint="eastAsia" w:ascii="宋体" w:hAnsi="宋体" w:eastAsia="宋体" w:cs="宋体"/>
          <w:color w:val="auto"/>
          <w:sz w:val="24"/>
          <w:szCs w:val="24"/>
          <w:lang w:eastAsia="zh-CN"/>
        </w:rPr>
        <w:t>13.4监理人的质量检查</w:t>
      </w:r>
      <w:bookmarkEnd w:id="792"/>
      <w:bookmarkEnd w:id="793"/>
      <w:bookmarkEnd w:id="794"/>
      <w:bookmarkEnd w:id="795"/>
      <w:bookmarkEnd w:id="796"/>
      <w:bookmarkEnd w:id="797"/>
    </w:p>
    <w:p w14:paraId="54A68C93">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2B6FD8FF">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798" w:name="_Toc30255"/>
      <w:bookmarkStart w:id="799" w:name="bookmark1242"/>
      <w:bookmarkStart w:id="800" w:name="_Toc16458"/>
      <w:bookmarkStart w:id="801" w:name="bookmark1244"/>
      <w:bookmarkStart w:id="802" w:name="_Toc256000101"/>
      <w:bookmarkStart w:id="803" w:name="bookmark1243"/>
      <w:r>
        <w:rPr>
          <w:rStyle w:val="31"/>
          <w:rFonts w:hint="eastAsia" w:ascii="宋体" w:hAnsi="宋体" w:eastAsia="宋体" w:cs="宋体"/>
          <w:color w:val="auto"/>
          <w:sz w:val="24"/>
          <w:szCs w:val="24"/>
          <w:lang w:eastAsia="zh-CN"/>
        </w:rPr>
        <w:t>13.5工程隐蔽部位覆盖前的检查</w:t>
      </w:r>
      <w:bookmarkEnd w:id="798"/>
      <w:bookmarkEnd w:id="799"/>
      <w:bookmarkEnd w:id="800"/>
      <w:bookmarkEnd w:id="801"/>
      <w:bookmarkEnd w:id="802"/>
      <w:bookmarkEnd w:id="803"/>
    </w:p>
    <w:p w14:paraId="129EDC39">
      <w:pPr>
        <w:pStyle w:val="95"/>
        <w:pageBreakBefore w:val="0"/>
        <w:widowControl w:val="0"/>
        <w:tabs>
          <w:tab w:val="left" w:pos="840"/>
        </w:tabs>
        <w:kinsoku/>
        <w:wordWrap/>
        <w:overflowPunct/>
        <w:topLinePunct w:val="0"/>
        <w:autoSpaceDE/>
        <w:autoSpaceDN/>
        <w:bidi w:val="0"/>
        <w:adjustRightInd/>
        <w:snapToGrid/>
        <w:spacing w:line="440" w:lineRule="exact"/>
        <w:ind w:left="0" w:leftChars="0" w:firstLine="400" w:firstLineChars="200"/>
        <w:jc w:val="both"/>
        <w:textAlignment w:val="auto"/>
        <w:rPr>
          <w:rStyle w:val="31"/>
          <w:rFonts w:hint="eastAsia" w:ascii="宋体" w:hAnsi="宋体" w:eastAsia="宋体" w:cs="宋体"/>
          <w:color w:val="auto"/>
        </w:rPr>
      </w:pPr>
      <w:bookmarkStart w:id="804" w:name="bookmark1245"/>
      <w:bookmarkEnd w:id="804"/>
      <w:r>
        <w:rPr>
          <w:rStyle w:val="31"/>
          <w:rFonts w:hint="eastAsia" w:ascii="宋体" w:hAnsi="宋体" w:eastAsia="宋体" w:cs="宋体"/>
          <w:color w:val="auto"/>
          <w:lang w:val="en-US" w:bidi="en-US"/>
        </w:rPr>
        <w:t xml:space="preserve">13.5. </w:t>
      </w:r>
      <w:r>
        <w:rPr>
          <w:rStyle w:val="31"/>
          <w:rFonts w:hint="eastAsia" w:ascii="宋体" w:hAnsi="宋体" w:eastAsia="宋体" w:cs="宋体"/>
          <w:color w:val="auto"/>
        </w:rPr>
        <w:t>1通知监理人检查</w:t>
      </w:r>
    </w:p>
    <w:p w14:paraId="5EF5E964">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经承包人自检确认的工程隐蔽部位具备覆盖条件后，承包人应通知监理人在约定的期 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7647C9B4">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13.5.2</w:t>
      </w:r>
      <w:r>
        <w:rPr>
          <w:rStyle w:val="31"/>
          <w:rFonts w:hint="eastAsia" w:ascii="宋体" w:hAnsi="宋体" w:eastAsia="宋体" w:cs="宋体"/>
          <w:color w:val="auto"/>
        </w:rPr>
        <w:t>监理人未到场检查</w:t>
      </w:r>
    </w:p>
    <w:p w14:paraId="31D9C0B3">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监理人未按第</w:t>
      </w:r>
      <w:r>
        <w:rPr>
          <w:rStyle w:val="31"/>
          <w:rFonts w:hint="eastAsia" w:ascii="宋体" w:hAnsi="宋体" w:eastAsia="宋体" w:cs="宋体"/>
          <w:color w:val="auto"/>
          <w:lang w:val="en-US" w:bidi="en-US"/>
        </w:rPr>
        <w:t>13.5.1</w:t>
      </w:r>
      <w:r>
        <w:rPr>
          <w:rStyle w:val="31"/>
          <w:rFonts w:hint="eastAsia" w:ascii="宋体" w:hAnsi="宋体" w:eastAsia="宋体" w:cs="宋体"/>
          <w:color w:val="auto"/>
        </w:rPr>
        <w:t>项约定的时间进行检查的，除监理人另有指示外，承包人可自行完成覆盖工作，并作相应记录报送监理人，监理人应签字确认。监理人事后对检查记录有疑问的，可按第</w:t>
      </w:r>
      <w:r>
        <w:rPr>
          <w:rStyle w:val="31"/>
          <w:rFonts w:hint="eastAsia" w:ascii="宋体" w:hAnsi="宋体" w:eastAsia="宋体" w:cs="宋体"/>
          <w:color w:val="auto"/>
          <w:lang w:val="en-US" w:bidi="en-US"/>
        </w:rPr>
        <w:t>13.5.3</w:t>
      </w:r>
      <w:r>
        <w:rPr>
          <w:rStyle w:val="31"/>
          <w:rFonts w:hint="eastAsia" w:ascii="宋体" w:hAnsi="宋体" w:eastAsia="宋体" w:cs="宋体"/>
          <w:color w:val="auto"/>
        </w:rPr>
        <w:t>项的约定重新检查。</w:t>
      </w:r>
    </w:p>
    <w:p w14:paraId="1AFEFC60">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13.5.3</w:t>
      </w:r>
      <w:r>
        <w:rPr>
          <w:rStyle w:val="31"/>
          <w:rFonts w:hint="eastAsia" w:ascii="宋体" w:hAnsi="宋体" w:eastAsia="宋体" w:cs="宋体"/>
          <w:color w:val="auto"/>
        </w:rPr>
        <w:t>监理人重新检查</w:t>
      </w:r>
    </w:p>
    <w:p w14:paraId="50A34535">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承包人按第</w:t>
      </w:r>
      <w:r>
        <w:rPr>
          <w:rStyle w:val="31"/>
          <w:rFonts w:hint="eastAsia" w:ascii="宋体" w:hAnsi="宋体" w:eastAsia="宋体" w:cs="宋体"/>
          <w:color w:val="auto"/>
          <w:lang w:val="en-US" w:bidi="en-US"/>
        </w:rPr>
        <w:t xml:space="preserve">13. 5. </w:t>
      </w:r>
      <w:r>
        <w:rPr>
          <w:rStyle w:val="31"/>
          <w:rFonts w:hint="eastAsia" w:ascii="宋体" w:hAnsi="宋体" w:eastAsia="宋体" w:cs="宋体"/>
          <w:color w:val="auto"/>
        </w:rPr>
        <w:t>1项或第</w:t>
      </w:r>
      <w:r>
        <w:rPr>
          <w:rStyle w:val="31"/>
          <w:rFonts w:hint="eastAsia" w:ascii="宋体" w:hAnsi="宋体" w:eastAsia="宋体" w:cs="宋体"/>
          <w:color w:val="auto"/>
          <w:lang w:val="en-US" w:bidi="en-US"/>
        </w:rPr>
        <w:t xml:space="preserve">13. 5. </w:t>
      </w:r>
      <w:r>
        <w:rPr>
          <w:rStyle w:val="31"/>
          <w:rFonts w:hint="eastAsia" w:ascii="宋体" w:hAnsi="宋体" w:eastAsia="宋体" w:cs="宋体"/>
          <w:color w:val="auto"/>
        </w:rPr>
        <w:t>2项覆盖工程隐蔽部位后，监理人对质量有疑问的，可要求承包人对已覆盖的部位进行钻孔探测或揭开重新检验，承包人应遵照执行，并在检 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2E3708C3">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13.5.4</w:t>
      </w:r>
      <w:r>
        <w:rPr>
          <w:rStyle w:val="31"/>
          <w:rFonts w:hint="eastAsia" w:ascii="宋体" w:hAnsi="宋体" w:eastAsia="宋体" w:cs="宋体"/>
          <w:color w:val="auto"/>
        </w:rPr>
        <w:t>承包人私自覆盖</w:t>
      </w:r>
    </w:p>
    <w:p w14:paraId="0A911964">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承包人未通知监理人到场检查，私自将工程隐蔽部位覆盖的，监理人有权指示承包人钻孔探测或揭开检查，由此增加的费用和（或）工期延误由承包人承担。</w:t>
      </w:r>
    </w:p>
    <w:p w14:paraId="7E9F7C5A">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805" w:name="_Toc256000102"/>
      <w:bookmarkStart w:id="806" w:name="bookmark1247"/>
      <w:bookmarkStart w:id="807" w:name="_Toc31851"/>
      <w:bookmarkStart w:id="808" w:name="_Toc17861"/>
      <w:bookmarkStart w:id="809" w:name="bookmark1248"/>
      <w:bookmarkStart w:id="810" w:name="bookmark1246"/>
      <w:r>
        <w:rPr>
          <w:rStyle w:val="31"/>
          <w:rFonts w:hint="eastAsia" w:ascii="宋体" w:hAnsi="宋体" w:eastAsia="宋体" w:cs="宋体"/>
          <w:color w:val="auto"/>
          <w:sz w:val="24"/>
          <w:szCs w:val="24"/>
          <w:lang w:eastAsia="zh-CN"/>
        </w:rPr>
        <w:t>13.6清除不合格工程</w:t>
      </w:r>
      <w:bookmarkEnd w:id="805"/>
      <w:bookmarkEnd w:id="806"/>
      <w:bookmarkEnd w:id="807"/>
      <w:bookmarkEnd w:id="808"/>
      <w:bookmarkEnd w:id="809"/>
      <w:bookmarkEnd w:id="810"/>
    </w:p>
    <w:p w14:paraId="5368D606">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13.6.1</w:t>
      </w:r>
      <w:r>
        <w:rPr>
          <w:rStyle w:val="31"/>
          <w:rFonts w:hint="eastAsia" w:ascii="宋体" w:hAnsi="宋体" w:eastAsia="宋体" w:cs="宋体"/>
          <w:color w:val="auto"/>
        </w:rPr>
        <w:t>承包人使用不合格材料、工程设备，或采用不适当的施工工艺，或施工不当， 造成工程不合格的，监理人可以随时发出指示，要求承包人立即采取措施进行补救，直至达到合同要求的质量标准，由此增加的费用和（或）工期延误由承包人承担。</w:t>
      </w:r>
    </w:p>
    <w:p w14:paraId="7F3C2E2C">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13.6.2</w:t>
      </w:r>
      <w:r>
        <w:rPr>
          <w:rStyle w:val="31"/>
          <w:rFonts w:hint="eastAsia" w:ascii="宋体" w:hAnsi="宋体" w:eastAsia="宋体" w:cs="宋体"/>
          <w:color w:val="auto"/>
        </w:rPr>
        <w:t>由于发包人提供的材料或工程设备不合格造成的工程不合格，需要承包人采取措施补救的，发包人应承担由此增加的费用和（或）工期延误，并支付承包人合理利润。</w:t>
      </w:r>
    </w:p>
    <w:p w14:paraId="070D8F80">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811" w:name="_Toc3708"/>
      <w:bookmarkStart w:id="812" w:name="_Toc14095"/>
      <w:bookmarkStart w:id="813" w:name="_Toc256000103"/>
      <w:r>
        <w:rPr>
          <w:rStyle w:val="31"/>
          <w:rFonts w:hint="eastAsia" w:ascii="宋体" w:hAnsi="宋体" w:eastAsia="宋体" w:cs="宋体"/>
          <w:color w:val="auto"/>
          <w:sz w:val="24"/>
          <w:szCs w:val="24"/>
          <w:lang w:eastAsia="zh-CN"/>
        </w:rPr>
        <w:t>13.7质量评定</w:t>
      </w:r>
      <w:bookmarkEnd w:id="811"/>
      <w:bookmarkEnd w:id="812"/>
      <w:bookmarkEnd w:id="813"/>
    </w:p>
    <w:p w14:paraId="16941726">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13.7.1</w:t>
      </w:r>
      <w:r>
        <w:rPr>
          <w:rStyle w:val="31"/>
          <w:rFonts w:hint="eastAsia" w:ascii="宋体" w:hAnsi="宋体" w:eastAsia="宋体" w:cs="宋体"/>
          <w:color w:val="auto"/>
        </w:rPr>
        <w:t>发包人应组织承包人进行工程项目划分，并确定单位工程、主要分部工程、重要隐蔽单元工程和关键部位单元工程。</w:t>
      </w:r>
    </w:p>
    <w:p w14:paraId="7C004221">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13.7.2</w:t>
      </w:r>
      <w:r>
        <w:rPr>
          <w:rStyle w:val="31"/>
          <w:rFonts w:hint="eastAsia" w:ascii="宋体" w:hAnsi="宋体" w:eastAsia="宋体" w:cs="宋体"/>
          <w:color w:val="auto"/>
        </w:rPr>
        <w:t>工程实施过程中，单位工程、主要分部工程、重要隐蔽单元工程和关键部位单元工程的项目划分需要调整时，承包人应报发包人确认。</w:t>
      </w:r>
    </w:p>
    <w:p w14:paraId="7216801C">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13.7.3</w:t>
      </w:r>
      <w:r>
        <w:rPr>
          <w:rStyle w:val="31"/>
          <w:rFonts w:hint="eastAsia" w:ascii="宋体" w:hAnsi="宋体" w:eastAsia="宋体" w:cs="宋体"/>
          <w:color w:val="auto"/>
        </w:rPr>
        <w:t>承包人应在单元（工序）工程质量自评合格后，报监理人核定质量等级并签证认可。</w:t>
      </w:r>
    </w:p>
    <w:p w14:paraId="74EB5E31">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13.7.4</w:t>
      </w:r>
      <w:r>
        <w:rPr>
          <w:rStyle w:val="31"/>
          <w:rFonts w:hint="eastAsia" w:ascii="宋体" w:hAnsi="宋体" w:eastAsia="宋体" w:cs="宋体"/>
          <w:color w:val="auto"/>
        </w:rPr>
        <w:t>除专用合同条款另有约定外，承包人应在重要隐蔽单元工程和关键部位单元工程质量自评合格后以及监理人抽检后，由监理人组织承包人等单位组成的联合小组，共同检查核定其质量等级并填写签证表。发包人按有关规定完成质量结论报工程质量监督机构核备手续。</w:t>
      </w:r>
    </w:p>
    <w:p w14:paraId="6E60B601">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13.7.5</w:t>
      </w:r>
      <w:r>
        <w:rPr>
          <w:rStyle w:val="31"/>
          <w:rFonts w:hint="eastAsia" w:ascii="宋体" w:hAnsi="宋体" w:eastAsia="宋体" w:cs="宋体"/>
          <w:color w:val="auto"/>
        </w:rPr>
        <w:t>承包人应在分部工程质量自评合格后，报监理人复核和发包人认定。发包人负责按有关规定完成分部工程质量结论报工程质量监督机构核备（核定）手续。</w:t>
      </w:r>
    </w:p>
    <w:p w14:paraId="48CC0AAF">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13.7.6</w:t>
      </w:r>
      <w:r>
        <w:rPr>
          <w:rStyle w:val="31"/>
          <w:rFonts w:hint="eastAsia" w:ascii="宋体" w:hAnsi="宋体" w:eastAsia="宋体" w:cs="宋体"/>
          <w:color w:val="auto"/>
        </w:rPr>
        <w:t>承包人应在单位工程质量自评合格后，报监理人复核和发包人认定。发包人负责按有关规定完成单位工程质量结论报工程质量监督机构核定手续。</w:t>
      </w:r>
    </w:p>
    <w:p w14:paraId="7D69C41D">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13.7.7</w:t>
      </w:r>
      <w:r>
        <w:rPr>
          <w:rStyle w:val="31"/>
          <w:rFonts w:hint="eastAsia" w:ascii="宋体" w:hAnsi="宋体" w:eastAsia="宋体" w:cs="宋体"/>
          <w:color w:val="auto"/>
        </w:rPr>
        <w:t>除专用合同条款另有约定外，工程质量等级分为合格和优良，应分别达到约定的标准。</w:t>
      </w:r>
    </w:p>
    <w:p w14:paraId="314869B6">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814" w:name="_Toc21295"/>
      <w:bookmarkStart w:id="815" w:name="bookmark1251"/>
      <w:bookmarkStart w:id="816" w:name="_Toc19883"/>
      <w:bookmarkStart w:id="817" w:name="_Toc256000104"/>
      <w:bookmarkStart w:id="818" w:name="bookmark1249"/>
      <w:bookmarkStart w:id="819" w:name="bookmark1250"/>
      <w:r>
        <w:rPr>
          <w:rStyle w:val="31"/>
          <w:rFonts w:hint="eastAsia" w:ascii="宋体" w:hAnsi="宋体" w:eastAsia="宋体" w:cs="宋体"/>
          <w:color w:val="auto"/>
          <w:sz w:val="24"/>
          <w:szCs w:val="24"/>
          <w:lang w:eastAsia="zh-CN"/>
        </w:rPr>
        <w:t>13.8质量事故处理</w:t>
      </w:r>
      <w:bookmarkEnd w:id="814"/>
      <w:bookmarkEnd w:id="815"/>
      <w:bookmarkEnd w:id="816"/>
      <w:bookmarkEnd w:id="817"/>
      <w:bookmarkEnd w:id="818"/>
      <w:bookmarkEnd w:id="819"/>
    </w:p>
    <w:p w14:paraId="57477BA8">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13.8.1</w:t>
      </w:r>
      <w:r>
        <w:rPr>
          <w:rStyle w:val="31"/>
          <w:rFonts w:hint="eastAsia" w:ascii="宋体" w:hAnsi="宋体" w:eastAsia="宋体" w:cs="宋体"/>
          <w:color w:val="auto"/>
        </w:rPr>
        <w:t>发生质量事故时，承包人应及时向发包人和监理人报告。</w:t>
      </w:r>
    </w:p>
    <w:p w14:paraId="2B4179AA">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13.8.2</w:t>
      </w:r>
      <w:r>
        <w:rPr>
          <w:rStyle w:val="31"/>
          <w:rFonts w:hint="eastAsia" w:ascii="宋体" w:hAnsi="宋体" w:eastAsia="宋体" w:cs="宋体"/>
          <w:color w:val="auto"/>
        </w:rPr>
        <w:t>质量事故调查处理由发包人按相关规定履行手续，承包人应配合。</w:t>
      </w:r>
    </w:p>
    <w:p w14:paraId="207ECA10">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13.8.3</w:t>
      </w:r>
      <w:r>
        <w:rPr>
          <w:rStyle w:val="31"/>
          <w:rFonts w:hint="eastAsia" w:ascii="宋体" w:hAnsi="宋体" w:eastAsia="宋体" w:cs="宋体"/>
          <w:color w:val="auto"/>
        </w:rPr>
        <w:t>承包人应对质量缺陷进行备案。发包人委托监理人对质量缺陷备案情况进行监督检查并履行相关手续。</w:t>
      </w:r>
    </w:p>
    <w:p w14:paraId="17F03588">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13.8.4</w:t>
      </w:r>
      <w:r>
        <w:rPr>
          <w:rStyle w:val="31"/>
          <w:rFonts w:hint="eastAsia" w:ascii="宋体" w:hAnsi="宋体" w:eastAsia="宋体" w:cs="宋体"/>
          <w:color w:val="auto"/>
        </w:rPr>
        <w:t>除专用合同条款另有约定外，工程竣工验收时，发包人负责向竣工验收委员会汇报并提交历次质量缺陷处理的备案资料。</w:t>
      </w:r>
    </w:p>
    <w:p w14:paraId="1C89A132">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lang w:eastAsia="zh-CN"/>
        </w:rPr>
      </w:pPr>
      <w:bookmarkStart w:id="820" w:name="bookmark1254"/>
      <w:bookmarkStart w:id="821" w:name="_Toc256000105"/>
      <w:bookmarkStart w:id="822" w:name="bookmark1252"/>
      <w:bookmarkStart w:id="823" w:name="_Toc17645"/>
      <w:bookmarkStart w:id="824" w:name="bookmark1253"/>
      <w:bookmarkStart w:id="825" w:name="_Toc3911"/>
      <w:r>
        <w:rPr>
          <w:rStyle w:val="31"/>
          <w:rFonts w:hint="eastAsia" w:ascii="宋体" w:hAnsi="宋体" w:eastAsia="宋体" w:cs="宋体"/>
          <w:color w:val="auto"/>
          <w:lang w:eastAsia="zh-CN"/>
        </w:rPr>
        <w:t>14 .试验和检验</w:t>
      </w:r>
      <w:bookmarkEnd w:id="820"/>
      <w:bookmarkEnd w:id="821"/>
      <w:bookmarkEnd w:id="822"/>
      <w:bookmarkEnd w:id="823"/>
      <w:bookmarkEnd w:id="824"/>
      <w:bookmarkEnd w:id="825"/>
    </w:p>
    <w:p w14:paraId="492CBDC2">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826" w:name="_Toc18503"/>
      <w:bookmarkStart w:id="827" w:name="_Toc16875"/>
      <w:bookmarkStart w:id="828" w:name="bookmark1255"/>
      <w:bookmarkStart w:id="829" w:name="bookmark1257"/>
      <w:bookmarkStart w:id="830" w:name="_Toc256000106"/>
      <w:bookmarkStart w:id="831" w:name="bookmark1256"/>
      <w:r>
        <w:rPr>
          <w:rStyle w:val="31"/>
          <w:rFonts w:hint="eastAsia" w:ascii="宋体" w:hAnsi="宋体" w:eastAsia="宋体" w:cs="宋体"/>
          <w:color w:val="auto"/>
          <w:sz w:val="24"/>
          <w:szCs w:val="24"/>
          <w:lang w:eastAsia="zh-CN"/>
        </w:rPr>
        <w:t>14.1材料、工程设备和工程的试验和检验</w:t>
      </w:r>
      <w:bookmarkEnd w:id="826"/>
      <w:bookmarkEnd w:id="827"/>
      <w:bookmarkEnd w:id="828"/>
      <w:bookmarkEnd w:id="829"/>
      <w:bookmarkEnd w:id="830"/>
      <w:bookmarkEnd w:id="831"/>
    </w:p>
    <w:p w14:paraId="6220C1AE">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832" w:name="bookmark1258"/>
      <w:bookmarkEnd w:id="832"/>
      <w:r>
        <w:rPr>
          <w:rStyle w:val="31"/>
          <w:rFonts w:hint="eastAsia" w:ascii="宋体" w:hAnsi="宋体" w:eastAsia="宋体" w:cs="宋体"/>
          <w:color w:val="auto"/>
        </w:rPr>
        <w:t>14.1.1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20C0478">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14.1.2</w:t>
      </w:r>
      <w:r>
        <w:rPr>
          <w:rStyle w:val="31"/>
          <w:rFonts w:hint="eastAsia" w:ascii="宋体" w:hAnsi="宋体" w:eastAsia="宋体" w:cs="宋体"/>
          <w:color w:val="auto"/>
        </w:rPr>
        <w:t>监理人未按合同约定派员参加试验和检验的，除监理人另有指示外，承包人可自行试验和检验，并应立即将试验和检验结果报送监理人，监理人应签字确认。</w:t>
      </w:r>
    </w:p>
    <w:p w14:paraId="7157F35B">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14.1.3</w:t>
      </w:r>
      <w:r>
        <w:rPr>
          <w:rStyle w:val="31"/>
          <w:rFonts w:hint="eastAsia" w:ascii="宋体" w:hAnsi="宋体" w:eastAsia="宋体" w:cs="宋体"/>
          <w:color w:val="auto"/>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04CF462C">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14.1.4</w:t>
      </w:r>
      <w:r>
        <w:rPr>
          <w:rStyle w:val="31"/>
          <w:rFonts w:hint="eastAsia" w:ascii="宋体" w:hAnsi="宋体" w:eastAsia="宋体" w:cs="宋体"/>
          <w:color w:val="auto"/>
        </w:rPr>
        <w:t>承包人应按相关规定和标准对水泥、钢材等原材料与中间产品质量进行检验, 并报监理人复核。</w:t>
      </w:r>
    </w:p>
    <w:p w14:paraId="2F46092A">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14.1.5</w:t>
      </w:r>
      <w:r>
        <w:rPr>
          <w:rStyle w:val="31"/>
          <w:rFonts w:hint="eastAsia" w:ascii="宋体" w:hAnsi="宋体" w:eastAsia="宋体" w:cs="宋体"/>
          <w:color w:val="auto"/>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78A2F179">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14.1.6</w:t>
      </w:r>
      <w:r>
        <w:rPr>
          <w:rStyle w:val="31"/>
          <w:rFonts w:hint="eastAsia" w:ascii="宋体" w:hAnsi="宋体" w:eastAsia="宋体" w:cs="宋体"/>
          <w:color w:val="auto"/>
        </w:rPr>
        <w:t>对专用合同条款约定的试块、试件及有关材料，监理人实行见证取样。见证取样资料由承包人制备，记录应真实齐全，监理人、承包人等参与见证取样人员均应在相关文件上签字。</w:t>
      </w:r>
    </w:p>
    <w:p w14:paraId="3B4A7480">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833" w:name="_Toc14685"/>
      <w:bookmarkStart w:id="834" w:name="_Toc256000107"/>
      <w:bookmarkStart w:id="835" w:name="bookmark1261"/>
      <w:bookmarkStart w:id="836" w:name="bookmark1260"/>
      <w:bookmarkStart w:id="837" w:name="_Toc24338"/>
      <w:bookmarkStart w:id="838" w:name="bookmark1259"/>
      <w:r>
        <w:rPr>
          <w:rStyle w:val="31"/>
          <w:rFonts w:hint="eastAsia" w:ascii="宋体" w:hAnsi="宋体" w:eastAsia="宋体" w:cs="宋体"/>
          <w:color w:val="auto"/>
          <w:sz w:val="24"/>
          <w:szCs w:val="24"/>
          <w:lang w:eastAsia="zh-CN"/>
        </w:rPr>
        <w:t>14.2现场材料试验</w:t>
      </w:r>
      <w:bookmarkEnd w:id="833"/>
      <w:bookmarkEnd w:id="834"/>
      <w:bookmarkEnd w:id="835"/>
      <w:bookmarkEnd w:id="836"/>
      <w:bookmarkEnd w:id="837"/>
      <w:bookmarkEnd w:id="838"/>
    </w:p>
    <w:p w14:paraId="2E33A787">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839" w:name="bookmark1262"/>
      <w:bookmarkEnd w:id="839"/>
      <w:r>
        <w:rPr>
          <w:rStyle w:val="31"/>
          <w:rFonts w:hint="eastAsia" w:ascii="宋体" w:hAnsi="宋体" w:eastAsia="宋体" w:cs="宋体"/>
          <w:color w:val="auto"/>
          <w:lang w:val="en-US" w:bidi="en-US"/>
        </w:rPr>
        <w:t>14.2.</w:t>
      </w:r>
      <w:r>
        <w:rPr>
          <w:rStyle w:val="31"/>
          <w:rFonts w:hint="eastAsia" w:ascii="宋体" w:hAnsi="宋体" w:eastAsia="宋体" w:cs="宋体"/>
          <w:color w:val="auto"/>
        </w:rPr>
        <w:t>1承包人根据合同约定或监理人指示进行的现场材料试验，应由承包人提供试 验场所、试验人员、试验设备器材以及其他必要的试验条件。</w:t>
      </w:r>
    </w:p>
    <w:p w14:paraId="33F55E4A">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840" w:name="bookmark1263"/>
      <w:bookmarkEnd w:id="840"/>
      <w:r>
        <w:rPr>
          <w:rStyle w:val="31"/>
          <w:rFonts w:hint="eastAsia" w:ascii="宋体" w:hAnsi="宋体" w:eastAsia="宋体" w:cs="宋体"/>
          <w:color w:val="auto"/>
          <w:lang w:val="en-US" w:bidi="en-US"/>
        </w:rPr>
        <w:t>14.2.</w:t>
      </w:r>
      <w:r>
        <w:rPr>
          <w:rStyle w:val="31"/>
          <w:rFonts w:hint="eastAsia" w:ascii="宋体" w:hAnsi="宋体" w:eastAsia="宋体" w:cs="宋体"/>
          <w:color w:val="auto"/>
        </w:rPr>
        <w:t>2监理人在必要时可以使用承包人的试验场所、试验设备器材以及其他试验条件，进行以工程质量检查为目的的复核性材料试验，承包人应予以协助。</w:t>
      </w:r>
    </w:p>
    <w:p w14:paraId="3702D04C">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841" w:name="_Toc9735"/>
      <w:bookmarkStart w:id="842" w:name="_Toc21991"/>
      <w:bookmarkStart w:id="843" w:name="bookmark1265"/>
      <w:bookmarkStart w:id="844" w:name="_Toc256000108"/>
      <w:bookmarkStart w:id="845" w:name="bookmark1266"/>
      <w:bookmarkStart w:id="846" w:name="bookmark1264"/>
      <w:r>
        <w:rPr>
          <w:rStyle w:val="31"/>
          <w:rFonts w:hint="eastAsia" w:ascii="宋体" w:hAnsi="宋体" w:eastAsia="宋体" w:cs="宋体"/>
          <w:color w:val="auto"/>
          <w:sz w:val="24"/>
          <w:szCs w:val="24"/>
          <w:lang w:eastAsia="zh-CN"/>
        </w:rPr>
        <w:t>14.3现场工艺试验</w:t>
      </w:r>
      <w:bookmarkEnd w:id="841"/>
      <w:bookmarkEnd w:id="842"/>
      <w:bookmarkEnd w:id="843"/>
      <w:bookmarkEnd w:id="844"/>
      <w:bookmarkEnd w:id="845"/>
      <w:bookmarkEnd w:id="846"/>
    </w:p>
    <w:p w14:paraId="29FE6C0A">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承包人应按合同约定或监理人指示进行现场工艺试验。对大型的现场工艺试验，监理人认为必要时，应由承包人根据监理人提出的工艺试验要求，编制工艺试验措施计划，报送监理人审批。</w:t>
      </w:r>
    </w:p>
    <w:p w14:paraId="25EBC137">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lang w:eastAsia="zh-CN"/>
        </w:rPr>
      </w:pPr>
      <w:bookmarkStart w:id="847" w:name="bookmark1269"/>
      <w:bookmarkStart w:id="848" w:name="_Toc256000109"/>
      <w:bookmarkStart w:id="849" w:name="_Toc9858"/>
      <w:bookmarkStart w:id="850" w:name="_Toc5435"/>
      <w:bookmarkStart w:id="851" w:name="bookmark1268"/>
      <w:bookmarkStart w:id="852" w:name="bookmark1267"/>
      <w:r>
        <w:rPr>
          <w:rStyle w:val="31"/>
          <w:rFonts w:hint="eastAsia" w:ascii="宋体" w:hAnsi="宋体" w:eastAsia="宋体" w:cs="宋体"/>
          <w:color w:val="auto"/>
          <w:lang w:eastAsia="zh-CN"/>
        </w:rPr>
        <w:t>15.变更</w:t>
      </w:r>
      <w:bookmarkEnd w:id="847"/>
      <w:bookmarkEnd w:id="848"/>
      <w:bookmarkEnd w:id="849"/>
      <w:bookmarkEnd w:id="850"/>
    </w:p>
    <w:p w14:paraId="33069056">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853" w:name="_Toc30097"/>
      <w:bookmarkStart w:id="854" w:name="_Toc256000110"/>
      <w:bookmarkStart w:id="855" w:name="bookmark1270"/>
      <w:bookmarkStart w:id="856" w:name="_Toc8153"/>
      <w:r>
        <w:rPr>
          <w:rStyle w:val="31"/>
          <w:rFonts w:hint="eastAsia" w:ascii="宋体" w:hAnsi="宋体" w:eastAsia="宋体" w:cs="宋体"/>
          <w:color w:val="auto"/>
          <w:sz w:val="24"/>
          <w:szCs w:val="24"/>
          <w:lang w:eastAsia="zh-CN"/>
        </w:rPr>
        <w:t>15.1变更的范围和内容</w:t>
      </w:r>
      <w:bookmarkEnd w:id="851"/>
      <w:bookmarkEnd w:id="852"/>
      <w:bookmarkEnd w:id="853"/>
      <w:bookmarkEnd w:id="854"/>
      <w:bookmarkEnd w:id="855"/>
      <w:bookmarkEnd w:id="856"/>
    </w:p>
    <w:p w14:paraId="46EA5476">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在履行合同中发生以下情形之一，应按照本条规定进行变更。</w:t>
      </w:r>
    </w:p>
    <w:p w14:paraId="287C9833">
      <w:pPr>
        <w:pStyle w:val="95"/>
        <w:pageBreakBefore w:val="0"/>
        <w:widowControl w:val="0"/>
        <w:numPr>
          <w:ilvl w:val="0"/>
          <w:numId w:val="14"/>
        </w:numPr>
        <w:tabs>
          <w:tab w:val="left" w:pos="923"/>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857" w:name="bookmark1271"/>
      <w:bookmarkEnd w:id="857"/>
      <w:r>
        <w:rPr>
          <w:rStyle w:val="31"/>
          <w:rFonts w:hint="eastAsia" w:ascii="宋体" w:hAnsi="宋体" w:eastAsia="宋体" w:cs="宋体"/>
          <w:color w:val="auto"/>
        </w:rPr>
        <w:t>取消合同中任何一项工作，但被取消的工作不能转由发包人或其它人实施；</w:t>
      </w:r>
    </w:p>
    <w:p w14:paraId="7020EBCB">
      <w:pPr>
        <w:pStyle w:val="95"/>
        <w:pageBreakBefore w:val="0"/>
        <w:widowControl w:val="0"/>
        <w:numPr>
          <w:ilvl w:val="0"/>
          <w:numId w:val="14"/>
        </w:numPr>
        <w:tabs>
          <w:tab w:val="left" w:pos="923"/>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858" w:name="bookmark1272"/>
      <w:bookmarkEnd w:id="858"/>
      <w:r>
        <w:rPr>
          <w:rStyle w:val="31"/>
          <w:rFonts w:hint="eastAsia" w:ascii="宋体" w:hAnsi="宋体" w:eastAsia="宋体" w:cs="宋体"/>
          <w:color w:val="auto"/>
        </w:rPr>
        <w:t>改变合同中任何一项工作的质量或其它特性；</w:t>
      </w:r>
    </w:p>
    <w:p w14:paraId="702FF269">
      <w:pPr>
        <w:pStyle w:val="95"/>
        <w:pageBreakBefore w:val="0"/>
        <w:widowControl w:val="0"/>
        <w:numPr>
          <w:ilvl w:val="0"/>
          <w:numId w:val="14"/>
        </w:numPr>
        <w:tabs>
          <w:tab w:val="left" w:pos="923"/>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859" w:name="bookmark1273"/>
      <w:bookmarkEnd w:id="859"/>
      <w:r>
        <w:rPr>
          <w:rStyle w:val="31"/>
          <w:rFonts w:hint="eastAsia" w:ascii="宋体" w:hAnsi="宋体" w:eastAsia="宋体" w:cs="宋体"/>
          <w:color w:val="auto"/>
        </w:rPr>
        <w:t>改变合同工程的基线、标高、位置或尺寸；</w:t>
      </w:r>
    </w:p>
    <w:p w14:paraId="75743FB5">
      <w:pPr>
        <w:pStyle w:val="95"/>
        <w:pageBreakBefore w:val="0"/>
        <w:widowControl w:val="0"/>
        <w:numPr>
          <w:ilvl w:val="0"/>
          <w:numId w:val="14"/>
        </w:numPr>
        <w:tabs>
          <w:tab w:val="left" w:pos="923"/>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860" w:name="bookmark1274"/>
      <w:bookmarkEnd w:id="860"/>
      <w:r>
        <w:rPr>
          <w:rStyle w:val="31"/>
          <w:rFonts w:hint="eastAsia" w:ascii="宋体" w:hAnsi="宋体" w:eastAsia="宋体" w:cs="宋体"/>
          <w:color w:val="auto"/>
        </w:rPr>
        <w:t>改变合同中任何一项工作的施工时间或改变已批准的施工工艺或顺序；</w:t>
      </w:r>
    </w:p>
    <w:p w14:paraId="5BE8179C">
      <w:pPr>
        <w:pStyle w:val="95"/>
        <w:pageBreakBefore w:val="0"/>
        <w:widowControl w:val="0"/>
        <w:numPr>
          <w:ilvl w:val="0"/>
          <w:numId w:val="14"/>
        </w:numPr>
        <w:tabs>
          <w:tab w:val="left" w:pos="923"/>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861" w:name="bookmark1275"/>
      <w:bookmarkEnd w:id="861"/>
      <w:r>
        <w:rPr>
          <w:rStyle w:val="31"/>
          <w:rFonts w:hint="eastAsia" w:ascii="宋体" w:hAnsi="宋体" w:eastAsia="宋体" w:cs="宋体"/>
          <w:color w:val="auto"/>
        </w:rPr>
        <w:t>为完成工程需要追加的额外工作；</w:t>
      </w:r>
    </w:p>
    <w:p w14:paraId="6CC695FF">
      <w:pPr>
        <w:pStyle w:val="95"/>
        <w:pageBreakBefore w:val="0"/>
        <w:widowControl w:val="0"/>
        <w:numPr>
          <w:ilvl w:val="0"/>
          <w:numId w:val="14"/>
        </w:numPr>
        <w:tabs>
          <w:tab w:val="left" w:pos="920"/>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862" w:name="bookmark1276"/>
      <w:bookmarkEnd w:id="862"/>
      <w:r>
        <w:rPr>
          <w:rStyle w:val="31"/>
          <w:rFonts w:hint="eastAsia" w:ascii="宋体" w:hAnsi="宋体" w:eastAsia="宋体" w:cs="宋体"/>
          <w:color w:val="auto"/>
        </w:rPr>
        <w:t>增加或减少专用合同条款中约定的关键项目工程量超过其工程总量的一定数量的百分比。</w:t>
      </w:r>
    </w:p>
    <w:p w14:paraId="68A9F2D9">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上述第(1)~ (6)目的变更内容引起工程施工组织和进度计划发生实质性变动和影响其原定的价格时，才予调整该项目的单价。第(6)目情形下单价调整方式在专用合同条款中约定。</w:t>
      </w:r>
    </w:p>
    <w:p w14:paraId="7E97A58A">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863" w:name="bookmark1278"/>
      <w:bookmarkStart w:id="864" w:name="_Toc256000111"/>
      <w:bookmarkStart w:id="865" w:name="bookmark1279"/>
      <w:bookmarkStart w:id="866" w:name="_Toc17873"/>
      <w:bookmarkStart w:id="867" w:name="_Toc25903"/>
      <w:bookmarkStart w:id="868" w:name="bookmark1277"/>
      <w:r>
        <w:rPr>
          <w:rStyle w:val="31"/>
          <w:rFonts w:hint="eastAsia" w:ascii="宋体" w:hAnsi="宋体" w:eastAsia="宋体" w:cs="宋体"/>
          <w:color w:val="auto"/>
          <w:sz w:val="24"/>
          <w:szCs w:val="24"/>
          <w:lang w:eastAsia="zh-CN"/>
        </w:rPr>
        <w:t>15.2变更权</w:t>
      </w:r>
      <w:bookmarkEnd w:id="863"/>
      <w:bookmarkEnd w:id="864"/>
      <w:bookmarkEnd w:id="865"/>
      <w:bookmarkEnd w:id="866"/>
      <w:bookmarkEnd w:id="867"/>
      <w:bookmarkEnd w:id="868"/>
    </w:p>
    <w:p w14:paraId="257D4A44">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在履行合同过程中，经发包人同意，监理人可按第</w:t>
      </w:r>
      <w:r>
        <w:rPr>
          <w:rStyle w:val="31"/>
          <w:rFonts w:hint="eastAsia" w:ascii="宋体" w:hAnsi="宋体" w:eastAsia="宋体" w:cs="宋体"/>
          <w:color w:val="auto"/>
          <w:lang w:val="en-US" w:bidi="en-US"/>
        </w:rPr>
        <w:t xml:space="preserve">15. </w:t>
      </w:r>
      <w:r>
        <w:rPr>
          <w:rStyle w:val="31"/>
          <w:rFonts w:hint="eastAsia" w:ascii="宋体" w:hAnsi="宋体" w:eastAsia="宋体" w:cs="宋体"/>
          <w:color w:val="auto"/>
        </w:rPr>
        <w:t>3款约定的变更程序向承包人作出变更指示，承包人应遵照执行。没有监理人的变更指示，承包人不得擅自变更。</w:t>
      </w:r>
    </w:p>
    <w:p w14:paraId="4E8ABD94">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869" w:name="_Toc256000112"/>
      <w:bookmarkStart w:id="870" w:name="bookmark1281"/>
      <w:bookmarkStart w:id="871" w:name="bookmark1280"/>
      <w:bookmarkStart w:id="872" w:name="bookmark1282"/>
      <w:bookmarkStart w:id="873" w:name="_Toc6368"/>
      <w:bookmarkStart w:id="874" w:name="_Toc24991"/>
      <w:r>
        <w:rPr>
          <w:rStyle w:val="31"/>
          <w:rFonts w:hint="eastAsia" w:ascii="宋体" w:hAnsi="宋体" w:eastAsia="宋体" w:cs="宋体"/>
          <w:color w:val="auto"/>
          <w:sz w:val="24"/>
          <w:szCs w:val="24"/>
          <w:lang w:eastAsia="zh-CN"/>
        </w:rPr>
        <w:t>15.3变更程序</w:t>
      </w:r>
      <w:bookmarkEnd w:id="869"/>
      <w:bookmarkEnd w:id="870"/>
      <w:bookmarkEnd w:id="871"/>
      <w:bookmarkEnd w:id="872"/>
      <w:bookmarkEnd w:id="873"/>
      <w:bookmarkEnd w:id="874"/>
    </w:p>
    <w:p w14:paraId="0A7DE896">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eastAsia="en-US" w:bidi="en-US"/>
        </w:rPr>
        <w:t>15.3.1</w:t>
      </w:r>
      <w:r>
        <w:rPr>
          <w:rStyle w:val="31"/>
          <w:rFonts w:hint="eastAsia" w:ascii="宋体" w:hAnsi="宋体" w:eastAsia="宋体" w:cs="宋体"/>
          <w:color w:val="auto"/>
        </w:rPr>
        <w:t>变更的提出</w:t>
      </w:r>
    </w:p>
    <w:p w14:paraId="7F6C06B3">
      <w:pPr>
        <w:pStyle w:val="95"/>
        <w:pageBreakBefore w:val="0"/>
        <w:widowControl w:val="0"/>
        <w:numPr>
          <w:ilvl w:val="0"/>
          <w:numId w:val="15"/>
        </w:numPr>
        <w:tabs>
          <w:tab w:val="left" w:pos="918"/>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875" w:name="bookmark1283"/>
      <w:bookmarkEnd w:id="875"/>
      <w:r>
        <w:rPr>
          <w:rStyle w:val="31"/>
          <w:rFonts w:hint="eastAsia" w:ascii="宋体" w:hAnsi="宋体" w:eastAsia="宋体" w:cs="宋体"/>
          <w:color w:val="auto"/>
        </w:rPr>
        <w:t>在合同履行过程中，可能发生第</w:t>
      </w:r>
      <w:r>
        <w:rPr>
          <w:rStyle w:val="31"/>
          <w:rFonts w:hint="eastAsia" w:ascii="宋体" w:hAnsi="宋体" w:eastAsia="宋体" w:cs="宋体"/>
          <w:color w:val="auto"/>
          <w:lang w:val="en-US" w:bidi="en-US"/>
        </w:rPr>
        <w:t>15.1</w:t>
      </w:r>
      <w:r>
        <w:rPr>
          <w:rStyle w:val="31"/>
          <w:rFonts w:hint="eastAsia" w:ascii="宋体" w:hAnsi="宋体" w:eastAsia="宋体" w:cs="宋体"/>
          <w:color w:val="auto"/>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rStyle w:val="31"/>
          <w:rFonts w:hint="eastAsia" w:ascii="宋体" w:hAnsi="宋体" w:eastAsia="宋体" w:cs="宋体"/>
          <w:color w:val="auto"/>
          <w:lang w:val="en-US" w:bidi="en-US"/>
        </w:rPr>
        <w:t xml:space="preserve">15. </w:t>
      </w:r>
      <w:r>
        <w:rPr>
          <w:rStyle w:val="31"/>
          <w:rFonts w:hint="eastAsia" w:ascii="宋体" w:hAnsi="宋体" w:eastAsia="宋体" w:cs="宋体"/>
          <w:color w:val="auto"/>
          <w:lang w:val="en-US" w:eastAsia="en-US" w:bidi="en-US"/>
        </w:rPr>
        <w:t xml:space="preserve">3. </w:t>
      </w:r>
      <w:r>
        <w:rPr>
          <w:rStyle w:val="31"/>
          <w:rFonts w:hint="eastAsia" w:ascii="宋体" w:hAnsi="宋体" w:eastAsia="宋体" w:cs="宋体"/>
          <w:color w:val="auto"/>
        </w:rPr>
        <w:t>3项约定发出变更指示。</w:t>
      </w:r>
    </w:p>
    <w:p w14:paraId="70973755">
      <w:pPr>
        <w:pStyle w:val="95"/>
        <w:pageBreakBefore w:val="0"/>
        <w:widowControl w:val="0"/>
        <w:numPr>
          <w:ilvl w:val="0"/>
          <w:numId w:val="15"/>
        </w:numPr>
        <w:tabs>
          <w:tab w:val="left" w:pos="901"/>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876" w:name="bookmark1284"/>
      <w:bookmarkEnd w:id="876"/>
      <w:r>
        <w:rPr>
          <w:rStyle w:val="31"/>
          <w:rFonts w:hint="eastAsia" w:ascii="宋体" w:hAnsi="宋体" w:eastAsia="宋体" w:cs="宋体"/>
          <w:color w:val="auto"/>
        </w:rPr>
        <w:t>在合同履行过程中，发生第</w:t>
      </w:r>
      <w:r>
        <w:rPr>
          <w:rStyle w:val="31"/>
          <w:rFonts w:hint="eastAsia" w:ascii="宋体" w:hAnsi="宋体" w:eastAsia="宋体" w:cs="宋体"/>
          <w:color w:val="auto"/>
          <w:lang w:val="en-US" w:bidi="en-US"/>
        </w:rPr>
        <w:t xml:space="preserve">15. </w:t>
      </w:r>
      <w:r>
        <w:rPr>
          <w:rStyle w:val="31"/>
          <w:rFonts w:hint="eastAsia" w:ascii="宋体" w:hAnsi="宋体" w:eastAsia="宋体" w:cs="宋体"/>
          <w:color w:val="auto"/>
        </w:rPr>
        <w:t>1款约定情形的，监理人应按照第</w:t>
      </w:r>
      <w:r>
        <w:rPr>
          <w:rStyle w:val="31"/>
          <w:rFonts w:hint="eastAsia" w:ascii="宋体" w:hAnsi="宋体" w:eastAsia="宋体" w:cs="宋体"/>
          <w:color w:val="auto"/>
          <w:lang w:val="en-US" w:bidi="en-US"/>
        </w:rPr>
        <w:t xml:space="preserve">15. 3. </w:t>
      </w:r>
      <w:r>
        <w:rPr>
          <w:rStyle w:val="31"/>
          <w:rFonts w:hint="eastAsia" w:ascii="宋体" w:hAnsi="宋体" w:eastAsia="宋体" w:cs="宋体"/>
          <w:color w:val="auto"/>
        </w:rPr>
        <w:t>3项约定向承包人发出变更指示。</w:t>
      </w:r>
    </w:p>
    <w:p w14:paraId="79DBE5C5">
      <w:pPr>
        <w:pStyle w:val="95"/>
        <w:pageBreakBefore w:val="0"/>
        <w:widowControl w:val="0"/>
        <w:numPr>
          <w:ilvl w:val="0"/>
          <w:numId w:val="15"/>
        </w:numPr>
        <w:tabs>
          <w:tab w:val="left" w:pos="922"/>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877" w:name="bookmark1285"/>
      <w:bookmarkEnd w:id="877"/>
      <w:r>
        <w:rPr>
          <w:rStyle w:val="31"/>
          <w:rFonts w:hint="eastAsia" w:ascii="宋体" w:hAnsi="宋体" w:eastAsia="宋体" w:cs="宋体"/>
          <w:color w:val="auto"/>
        </w:rPr>
        <w:t>承包人收到监理人按合同约定发出的图纸和文件，经检查认为其中存在第</w:t>
      </w:r>
      <w:r>
        <w:rPr>
          <w:rStyle w:val="31"/>
          <w:rFonts w:hint="eastAsia" w:ascii="宋体" w:hAnsi="宋体" w:eastAsia="宋体" w:cs="宋体"/>
          <w:color w:val="auto"/>
          <w:lang w:val="en-US" w:bidi="en-US"/>
        </w:rPr>
        <w:t xml:space="preserve">15. </w:t>
      </w:r>
      <w:r>
        <w:rPr>
          <w:rStyle w:val="31"/>
          <w:rFonts w:hint="eastAsia" w:ascii="宋体" w:hAnsi="宋体" w:eastAsia="宋体" w:cs="宋体"/>
          <w:color w:val="auto"/>
        </w:rPr>
        <w:t>1款 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270C671F">
      <w:pPr>
        <w:pStyle w:val="95"/>
        <w:pageBreakBefore w:val="0"/>
        <w:widowControl w:val="0"/>
        <w:numPr>
          <w:ilvl w:val="0"/>
          <w:numId w:val="15"/>
        </w:numPr>
        <w:tabs>
          <w:tab w:val="left" w:pos="922"/>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878" w:name="bookmark1286"/>
      <w:bookmarkEnd w:id="878"/>
      <w:r>
        <w:rPr>
          <w:rStyle w:val="31"/>
          <w:rFonts w:hint="eastAsia" w:ascii="宋体" w:hAnsi="宋体" w:eastAsia="宋体" w:cs="宋体"/>
          <w:color w:val="auto"/>
        </w:rPr>
        <w:t>若承包人收到监理人的变更意向书后认为难以实施此项变更，应立即通知监理人, 说明原因并附详细依据。监理人与承包人和发包人协商后确定撤销、改变或不改变原变更 意向书。</w:t>
      </w:r>
    </w:p>
    <w:p w14:paraId="66001D9C">
      <w:pPr>
        <w:pStyle w:val="96"/>
        <w:pageBreakBefore w:val="0"/>
        <w:widowControl w:val="0"/>
        <w:kinsoku/>
        <w:wordWrap/>
        <w:overflowPunct/>
        <w:topLinePunct w:val="0"/>
        <w:autoSpaceDE/>
        <w:autoSpaceDN/>
        <w:bidi w:val="0"/>
        <w:adjustRightInd/>
        <w:snapToGrid/>
        <w:spacing w:after="0"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15.3.2</w:t>
      </w:r>
      <w:r>
        <w:rPr>
          <w:rStyle w:val="31"/>
          <w:rFonts w:hint="eastAsia" w:ascii="宋体" w:hAnsi="宋体" w:eastAsia="宋体" w:cs="宋体"/>
          <w:color w:val="auto"/>
          <w:lang w:val="zh-CN" w:eastAsia="zh-CN" w:bidi="zh-CN"/>
        </w:rPr>
        <w:t>变更估价</w:t>
      </w:r>
    </w:p>
    <w:p w14:paraId="409AD786">
      <w:pPr>
        <w:pStyle w:val="95"/>
        <w:pageBreakBefore w:val="0"/>
        <w:widowControl w:val="0"/>
        <w:numPr>
          <w:ilvl w:val="0"/>
          <w:numId w:val="16"/>
        </w:numPr>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879" w:name="bookmark1287"/>
      <w:bookmarkEnd w:id="879"/>
      <w:r>
        <w:rPr>
          <w:rStyle w:val="31"/>
          <w:rFonts w:hint="eastAsia" w:ascii="宋体" w:hAnsi="宋体" w:eastAsia="宋体" w:cs="宋体"/>
          <w:color w:val="auto"/>
        </w:rPr>
        <w:t>除专用合同条款对期限另有约定外，承包人应在收到变更指示或变更意向书后的14天内，向监理人提交变更报价书，报价内容应根据第</w:t>
      </w:r>
      <w:r>
        <w:rPr>
          <w:rStyle w:val="31"/>
          <w:rFonts w:hint="eastAsia" w:ascii="宋体" w:hAnsi="宋体" w:eastAsia="宋体" w:cs="宋体"/>
          <w:color w:val="auto"/>
          <w:lang w:val="en-US" w:bidi="en-US"/>
        </w:rPr>
        <w:t xml:space="preserve">15. </w:t>
      </w:r>
      <w:r>
        <w:rPr>
          <w:rStyle w:val="31"/>
          <w:rFonts w:hint="eastAsia" w:ascii="宋体" w:hAnsi="宋体" w:eastAsia="宋体" w:cs="宋体"/>
          <w:color w:val="auto"/>
        </w:rPr>
        <w:t>4款约定的估价原则，详细开列变更工作的价格组成及其依据，并附必要的施工方法说明和有关图纸。</w:t>
      </w:r>
    </w:p>
    <w:p w14:paraId="78614ACC">
      <w:pPr>
        <w:pStyle w:val="95"/>
        <w:pageBreakBefore w:val="0"/>
        <w:widowControl w:val="0"/>
        <w:numPr>
          <w:ilvl w:val="0"/>
          <w:numId w:val="16"/>
        </w:numPr>
        <w:tabs>
          <w:tab w:val="left" w:pos="915"/>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880" w:name="bookmark1288"/>
      <w:bookmarkEnd w:id="880"/>
      <w:r>
        <w:rPr>
          <w:rStyle w:val="31"/>
          <w:rFonts w:hint="eastAsia" w:ascii="宋体" w:hAnsi="宋体" w:eastAsia="宋体" w:cs="宋体"/>
          <w:color w:val="auto"/>
        </w:rPr>
        <w:t>变更工作影响工期的，承包人应提出调整工期的具体细节。监理人认为有必要时, 可要求承包人提交要求提前或延长工期的施工进度计划及相应施工措施等详细资料。</w:t>
      </w:r>
    </w:p>
    <w:p w14:paraId="790F2631">
      <w:pPr>
        <w:pStyle w:val="95"/>
        <w:pageBreakBefore w:val="0"/>
        <w:widowControl w:val="0"/>
        <w:numPr>
          <w:ilvl w:val="0"/>
          <w:numId w:val="16"/>
        </w:numPr>
        <w:tabs>
          <w:tab w:val="left" w:pos="920"/>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881" w:name="bookmark1289"/>
      <w:bookmarkEnd w:id="881"/>
      <w:r>
        <w:rPr>
          <w:rStyle w:val="31"/>
          <w:rFonts w:hint="eastAsia" w:ascii="宋体" w:hAnsi="宋体" w:eastAsia="宋体" w:cs="宋体"/>
          <w:color w:val="auto"/>
        </w:rPr>
        <w:t>除专用合同条款对期限另有约定外，监理人收到承包人变更报价书后的14天内，根据第</w:t>
      </w:r>
      <w:r>
        <w:rPr>
          <w:rStyle w:val="31"/>
          <w:rFonts w:hint="eastAsia" w:ascii="宋体" w:hAnsi="宋体" w:eastAsia="宋体" w:cs="宋体"/>
          <w:color w:val="auto"/>
          <w:lang w:val="en-US" w:bidi="en-US"/>
        </w:rPr>
        <w:t xml:space="preserve">15. </w:t>
      </w:r>
      <w:r>
        <w:rPr>
          <w:rStyle w:val="31"/>
          <w:rFonts w:hint="eastAsia" w:ascii="宋体" w:hAnsi="宋体" w:eastAsia="宋体" w:cs="宋体"/>
          <w:color w:val="auto"/>
        </w:rPr>
        <w:t>4款约定的估价原则，按照第</w:t>
      </w:r>
      <w:r>
        <w:rPr>
          <w:rStyle w:val="31"/>
          <w:rFonts w:hint="eastAsia" w:ascii="宋体" w:hAnsi="宋体" w:eastAsia="宋体" w:cs="宋体"/>
          <w:color w:val="auto"/>
          <w:lang w:val="en-US" w:bidi="en-US"/>
        </w:rPr>
        <w:t xml:space="preserve">3. </w:t>
      </w:r>
      <w:r>
        <w:rPr>
          <w:rStyle w:val="31"/>
          <w:rFonts w:hint="eastAsia" w:ascii="宋体" w:hAnsi="宋体" w:eastAsia="宋体" w:cs="宋体"/>
          <w:color w:val="auto"/>
        </w:rPr>
        <w:t>5款商定或确定变更价格。</w:t>
      </w:r>
    </w:p>
    <w:p w14:paraId="4ACAB233">
      <w:pPr>
        <w:pStyle w:val="96"/>
        <w:pageBreakBefore w:val="0"/>
        <w:widowControl w:val="0"/>
        <w:kinsoku/>
        <w:wordWrap/>
        <w:overflowPunct/>
        <w:topLinePunct w:val="0"/>
        <w:autoSpaceDE/>
        <w:autoSpaceDN/>
        <w:bidi w:val="0"/>
        <w:adjustRightInd/>
        <w:snapToGrid/>
        <w:spacing w:after="0"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15.3.3</w:t>
      </w:r>
      <w:r>
        <w:rPr>
          <w:rStyle w:val="31"/>
          <w:rFonts w:hint="eastAsia" w:ascii="宋体" w:hAnsi="宋体" w:eastAsia="宋体" w:cs="宋体"/>
          <w:color w:val="auto"/>
          <w:lang w:val="zh-CN" w:eastAsia="zh-CN" w:bidi="zh-CN"/>
        </w:rPr>
        <w:t>变更指示</w:t>
      </w:r>
    </w:p>
    <w:p w14:paraId="39602137">
      <w:pPr>
        <w:pStyle w:val="95"/>
        <w:pageBreakBefore w:val="0"/>
        <w:widowControl w:val="0"/>
        <w:numPr>
          <w:ilvl w:val="0"/>
          <w:numId w:val="17"/>
        </w:numPr>
        <w:tabs>
          <w:tab w:val="left" w:pos="923"/>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882" w:name="bookmark1290"/>
      <w:bookmarkEnd w:id="882"/>
      <w:r>
        <w:rPr>
          <w:rStyle w:val="31"/>
          <w:rFonts w:hint="eastAsia" w:ascii="宋体" w:hAnsi="宋体" w:eastAsia="宋体" w:cs="宋体"/>
          <w:color w:val="auto"/>
        </w:rPr>
        <w:t>变更指示只能由监理人发出。</w:t>
      </w:r>
    </w:p>
    <w:p w14:paraId="2E73C634">
      <w:pPr>
        <w:pStyle w:val="95"/>
        <w:pageBreakBefore w:val="0"/>
        <w:widowControl w:val="0"/>
        <w:numPr>
          <w:ilvl w:val="0"/>
          <w:numId w:val="17"/>
        </w:numPr>
        <w:tabs>
          <w:tab w:val="left" w:pos="922"/>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883" w:name="bookmark1291"/>
      <w:bookmarkEnd w:id="883"/>
      <w:r>
        <w:rPr>
          <w:rStyle w:val="31"/>
          <w:rFonts w:hint="eastAsia" w:ascii="宋体" w:hAnsi="宋体" w:eastAsia="宋体" w:cs="宋体"/>
          <w:color w:val="auto"/>
        </w:rPr>
        <w:t>变更指示应说明变更的目的、范围、变更内容以及变更的工程量及其进度和技术要求，并附有关图纸和文件。承包人收到变更指示后，应按变更指示进行变更工作。</w:t>
      </w:r>
    </w:p>
    <w:p w14:paraId="13BD8553">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884" w:name="bookmark1293"/>
      <w:bookmarkStart w:id="885" w:name="_Toc19837"/>
      <w:bookmarkStart w:id="886" w:name="bookmark1292"/>
      <w:bookmarkStart w:id="887" w:name="bookmark1294"/>
      <w:bookmarkStart w:id="888" w:name="_Toc9569"/>
      <w:bookmarkStart w:id="889" w:name="_Toc256000113"/>
      <w:r>
        <w:rPr>
          <w:rStyle w:val="31"/>
          <w:rFonts w:hint="eastAsia" w:ascii="宋体" w:hAnsi="宋体" w:eastAsia="宋体" w:cs="宋体"/>
          <w:color w:val="auto"/>
          <w:sz w:val="24"/>
          <w:szCs w:val="24"/>
          <w:lang w:eastAsia="zh-CN"/>
        </w:rPr>
        <w:t>15.4变更的估价原则</w:t>
      </w:r>
      <w:bookmarkEnd w:id="884"/>
      <w:bookmarkEnd w:id="885"/>
      <w:bookmarkEnd w:id="886"/>
      <w:bookmarkEnd w:id="887"/>
      <w:bookmarkEnd w:id="888"/>
      <w:bookmarkEnd w:id="889"/>
    </w:p>
    <w:p w14:paraId="7B09B96B">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rPr>
        <w:t>除专用合同条款另有约定外，因变更引起的价格调整按照本款约定处理。</w:t>
      </w:r>
    </w:p>
    <w:p w14:paraId="093EA1F9">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15.4.1</w:t>
      </w:r>
      <w:r>
        <w:rPr>
          <w:rStyle w:val="31"/>
          <w:rFonts w:hint="eastAsia" w:ascii="宋体" w:hAnsi="宋体" w:eastAsia="宋体" w:cs="宋体"/>
          <w:color w:val="auto"/>
        </w:rPr>
        <w:t>已标价工程量清单中有适用于变更工作的子目的，采用该子目的单价。</w:t>
      </w:r>
    </w:p>
    <w:p w14:paraId="693509F8">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15.4.2</w:t>
      </w:r>
      <w:r>
        <w:rPr>
          <w:rStyle w:val="31"/>
          <w:rFonts w:hint="eastAsia" w:ascii="宋体" w:hAnsi="宋体" w:eastAsia="宋体" w:cs="宋体"/>
          <w:color w:val="auto"/>
        </w:rPr>
        <w:t>已标价工程量清单中无适用于变更工作的子目，但有类似子目的，可在合理范围内参照类似子目的单价，由监理人按第</w:t>
      </w:r>
      <w:r>
        <w:rPr>
          <w:rStyle w:val="31"/>
          <w:rFonts w:hint="eastAsia" w:ascii="宋体" w:hAnsi="宋体" w:eastAsia="宋体" w:cs="宋体"/>
          <w:color w:val="auto"/>
          <w:lang w:val="en-US" w:bidi="en-US"/>
        </w:rPr>
        <w:t xml:space="preserve">3. </w:t>
      </w:r>
      <w:r>
        <w:rPr>
          <w:rStyle w:val="31"/>
          <w:rFonts w:hint="eastAsia" w:ascii="宋体" w:hAnsi="宋体" w:eastAsia="宋体" w:cs="宋体"/>
          <w:color w:val="auto"/>
        </w:rPr>
        <w:t>5款商定或确定变更工作的单价。</w:t>
      </w:r>
    </w:p>
    <w:p w14:paraId="357B3CBB">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15.4.3</w:t>
      </w:r>
      <w:r>
        <w:rPr>
          <w:rStyle w:val="31"/>
          <w:rFonts w:hint="eastAsia" w:ascii="宋体" w:hAnsi="宋体" w:eastAsia="宋体" w:cs="宋体"/>
          <w:color w:val="auto"/>
        </w:rPr>
        <w:t>已标价工程量清单中无适用或类似子目的单价，可按照成本加利润的原则，由监理人按第</w:t>
      </w:r>
      <w:r>
        <w:rPr>
          <w:rStyle w:val="31"/>
          <w:rFonts w:hint="eastAsia" w:ascii="宋体" w:hAnsi="宋体" w:eastAsia="宋体" w:cs="宋体"/>
          <w:color w:val="auto"/>
          <w:lang w:val="en-US" w:bidi="en-US"/>
        </w:rPr>
        <w:t>3.</w:t>
      </w:r>
      <w:r>
        <w:rPr>
          <w:rStyle w:val="31"/>
          <w:rFonts w:hint="eastAsia" w:ascii="宋体" w:hAnsi="宋体" w:eastAsia="宋体" w:cs="宋体"/>
          <w:color w:val="auto"/>
        </w:rPr>
        <w:t>5款商定或确定变更工作的单价。</w:t>
      </w:r>
    </w:p>
    <w:p w14:paraId="3529B6D8">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890" w:name="bookmark1296"/>
      <w:bookmarkStart w:id="891" w:name="bookmark1295"/>
      <w:bookmarkStart w:id="892" w:name="bookmark1297"/>
      <w:bookmarkStart w:id="893" w:name="_Toc256000114"/>
      <w:bookmarkStart w:id="894" w:name="_Toc28730"/>
      <w:r>
        <w:rPr>
          <w:rStyle w:val="31"/>
          <w:rFonts w:hint="eastAsia" w:ascii="宋体" w:hAnsi="宋体" w:eastAsia="宋体" w:cs="宋体"/>
          <w:color w:val="auto"/>
          <w:sz w:val="24"/>
          <w:szCs w:val="24"/>
          <w:lang w:eastAsia="zh-CN"/>
        </w:rPr>
        <w:t>15.5承包人的合理化建议</w:t>
      </w:r>
      <w:bookmarkEnd w:id="890"/>
      <w:bookmarkEnd w:id="891"/>
      <w:bookmarkEnd w:id="892"/>
      <w:bookmarkEnd w:id="893"/>
      <w:bookmarkEnd w:id="894"/>
    </w:p>
    <w:p w14:paraId="595BEB13">
      <w:pPr>
        <w:pStyle w:val="95"/>
        <w:pageBreakBefore w:val="0"/>
        <w:widowControl w:val="0"/>
        <w:tabs>
          <w:tab w:val="left" w:pos="854"/>
        </w:tabs>
        <w:kinsoku/>
        <w:wordWrap/>
        <w:overflowPunct/>
        <w:topLinePunct w:val="0"/>
        <w:autoSpaceDE/>
        <w:autoSpaceDN/>
        <w:bidi w:val="0"/>
        <w:adjustRightInd/>
        <w:snapToGrid/>
        <w:spacing w:line="440" w:lineRule="exact"/>
        <w:ind w:left="0" w:leftChars="0" w:firstLine="0"/>
        <w:jc w:val="both"/>
        <w:textAlignment w:val="auto"/>
        <w:rPr>
          <w:rStyle w:val="31"/>
          <w:rFonts w:hint="eastAsia" w:ascii="宋体" w:hAnsi="宋体" w:eastAsia="宋体" w:cs="宋体"/>
          <w:color w:val="auto"/>
        </w:rPr>
      </w:pPr>
      <w:bookmarkStart w:id="895" w:name="bookmark1298"/>
      <w:bookmarkEnd w:id="895"/>
      <w:r>
        <w:rPr>
          <w:rStyle w:val="31"/>
          <w:rFonts w:hint="eastAsia" w:ascii="宋体" w:hAnsi="宋体" w:eastAsia="宋体" w:cs="宋体"/>
          <w:color w:val="auto"/>
          <w:lang w:val="en-US" w:bidi="en-US"/>
        </w:rPr>
        <w:t xml:space="preserve">15.5. </w:t>
      </w:r>
      <w:r>
        <w:rPr>
          <w:rStyle w:val="31"/>
          <w:rFonts w:hint="eastAsia" w:ascii="宋体" w:hAnsi="宋体" w:eastAsia="宋体" w:cs="宋体"/>
          <w:color w:val="auto"/>
        </w:rPr>
        <w:t>1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Style w:val="31"/>
          <w:rFonts w:hint="eastAsia" w:ascii="宋体" w:hAnsi="宋体" w:eastAsia="宋体" w:cs="宋体"/>
          <w:color w:val="auto"/>
          <w:lang w:val="en-US" w:bidi="en-US"/>
        </w:rPr>
        <w:t xml:space="preserve">15. 3. </w:t>
      </w:r>
      <w:r>
        <w:rPr>
          <w:rStyle w:val="31"/>
          <w:rFonts w:hint="eastAsia" w:ascii="宋体" w:hAnsi="宋体" w:eastAsia="宋体" w:cs="宋体"/>
          <w:color w:val="auto"/>
        </w:rPr>
        <w:t>3项约定向承包人发出变更指示。</w:t>
      </w:r>
    </w:p>
    <w:p w14:paraId="060A0B66">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15.5.2</w:t>
      </w:r>
      <w:r>
        <w:rPr>
          <w:rStyle w:val="31"/>
          <w:rFonts w:hint="eastAsia" w:ascii="宋体" w:hAnsi="宋体" w:eastAsia="宋体" w:cs="宋体"/>
          <w:color w:val="auto"/>
        </w:rPr>
        <w:t>承包人提出的合理化建议降低了合同价格、缩短了工期或者提高了工程经济效益的，发包人可按国家有关规定在专用合同条款中约定给予奖励。</w:t>
      </w:r>
    </w:p>
    <w:p w14:paraId="2066B9C4">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896" w:name="_Toc10362"/>
      <w:bookmarkStart w:id="897" w:name="bookmark1301"/>
      <w:bookmarkStart w:id="898" w:name="bookmark1299"/>
      <w:bookmarkStart w:id="899" w:name="_Toc256000115"/>
      <w:bookmarkStart w:id="900" w:name="bookmark1300"/>
      <w:bookmarkStart w:id="901" w:name="_Toc7702"/>
      <w:r>
        <w:rPr>
          <w:rStyle w:val="31"/>
          <w:rFonts w:hint="eastAsia" w:ascii="宋体" w:hAnsi="宋体" w:eastAsia="宋体" w:cs="宋体"/>
          <w:color w:val="auto"/>
          <w:sz w:val="24"/>
          <w:szCs w:val="24"/>
          <w:lang w:eastAsia="zh-CN"/>
        </w:rPr>
        <w:t>15.6暂列金额</w:t>
      </w:r>
      <w:bookmarkEnd w:id="896"/>
      <w:bookmarkEnd w:id="897"/>
      <w:bookmarkEnd w:id="898"/>
      <w:bookmarkEnd w:id="899"/>
      <w:bookmarkEnd w:id="900"/>
      <w:bookmarkEnd w:id="901"/>
    </w:p>
    <w:p w14:paraId="4550C450">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rPr>
        <w:t>暂列金额只能按照监理人的指示使用，并对合同价格进行相应调整。</w:t>
      </w:r>
    </w:p>
    <w:p w14:paraId="498CE828">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902" w:name="_Toc14275"/>
      <w:bookmarkStart w:id="903" w:name="bookmark1303"/>
      <w:bookmarkStart w:id="904" w:name="_Toc256000116"/>
      <w:bookmarkStart w:id="905" w:name="_Toc23161"/>
      <w:bookmarkStart w:id="906" w:name="bookmark1302"/>
      <w:bookmarkStart w:id="907" w:name="bookmark1304"/>
      <w:r>
        <w:rPr>
          <w:rStyle w:val="31"/>
          <w:rFonts w:hint="eastAsia" w:ascii="宋体" w:hAnsi="宋体" w:eastAsia="宋体" w:cs="宋体"/>
          <w:color w:val="auto"/>
          <w:sz w:val="24"/>
          <w:szCs w:val="24"/>
          <w:lang w:eastAsia="zh-CN"/>
        </w:rPr>
        <w:t>15.7计日工</w:t>
      </w:r>
      <w:bookmarkEnd w:id="902"/>
      <w:bookmarkEnd w:id="903"/>
      <w:bookmarkEnd w:id="904"/>
      <w:bookmarkEnd w:id="905"/>
      <w:bookmarkEnd w:id="906"/>
      <w:bookmarkEnd w:id="907"/>
    </w:p>
    <w:p w14:paraId="08004CB0">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rPr>
        <w:t>15.7.1</w:t>
      </w:r>
      <w:r>
        <w:rPr>
          <w:rStyle w:val="31"/>
          <w:rFonts w:hint="eastAsia" w:ascii="宋体" w:hAnsi="宋体" w:eastAsia="宋体" w:cs="宋体"/>
          <w:color w:val="auto"/>
        </w:rPr>
        <w:t>发包人认为有必要时，由监理人通知承包人以计日工方式实施变更的零星工作。其价款按列入已标价工程量清单中的计日工计价子目及其单价进行计算。</w:t>
      </w:r>
    </w:p>
    <w:p w14:paraId="43C15B7A">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15.7.2</w:t>
      </w:r>
      <w:r>
        <w:rPr>
          <w:rStyle w:val="31"/>
          <w:rFonts w:hint="eastAsia" w:ascii="宋体" w:hAnsi="宋体" w:eastAsia="宋体" w:cs="宋体"/>
          <w:color w:val="auto"/>
        </w:rPr>
        <w:t>采用计日工计价的任何一项变更工作，应从暂列金额中支付，承包人应在该项变更的实施过程中，每天提交以下报表和有关凭证报送监理人审批：</w:t>
      </w:r>
    </w:p>
    <w:p w14:paraId="18F2D7C1">
      <w:pPr>
        <w:pStyle w:val="95"/>
        <w:pageBreakBefore w:val="0"/>
        <w:widowControl w:val="0"/>
        <w:numPr>
          <w:ilvl w:val="0"/>
          <w:numId w:val="18"/>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908" w:name="bookmark1305"/>
      <w:bookmarkEnd w:id="908"/>
      <w:r>
        <w:rPr>
          <w:rStyle w:val="31"/>
          <w:rFonts w:hint="eastAsia" w:ascii="宋体" w:hAnsi="宋体" w:eastAsia="宋体" w:cs="宋体"/>
          <w:color w:val="auto"/>
        </w:rPr>
        <w:t>工作名称、内容和数量；</w:t>
      </w:r>
    </w:p>
    <w:p w14:paraId="14854A0F">
      <w:pPr>
        <w:pStyle w:val="95"/>
        <w:pageBreakBefore w:val="0"/>
        <w:widowControl w:val="0"/>
        <w:numPr>
          <w:ilvl w:val="0"/>
          <w:numId w:val="18"/>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909" w:name="bookmark1306"/>
      <w:bookmarkEnd w:id="909"/>
      <w:r>
        <w:rPr>
          <w:rStyle w:val="31"/>
          <w:rFonts w:hint="eastAsia" w:ascii="宋体" w:hAnsi="宋体" w:eastAsia="宋体" w:cs="宋体"/>
          <w:color w:val="auto"/>
        </w:rPr>
        <w:t>投入该工作所有人员的姓名、工种、级别和耗用工时；</w:t>
      </w:r>
    </w:p>
    <w:p w14:paraId="10656BC2">
      <w:pPr>
        <w:pStyle w:val="95"/>
        <w:pageBreakBefore w:val="0"/>
        <w:widowControl w:val="0"/>
        <w:numPr>
          <w:ilvl w:val="0"/>
          <w:numId w:val="18"/>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910" w:name="bookmark1307"/>
      <w:bookmarkEnd w:id="910"/>
      <w:r>
        <w:rPr>
          <w:rStyle w:val="31"/>
          <w:rFonts w:hint="eastAsia" w:ascii="宋体" w:hAnsi="宋体" w:eastAsia="宋体" w:cs="宋体"/>
          <w:color w:val="auto"/>
        </w:rPr>
        <w:t>投入该工作的材料类别和数量；</w:t>
      </w:r>
    </w:p>
    <w:p w14:paraId="437C777F">
      <w:pPr>
        <w:pStyle w:val="95"/>
        <w:pageBreakBefore w:val="0"/>
        <w:widowControl w:val="0"/>
        <w:numPr>
          <w:ilvl w:val="0"/>
          <w:numId w:val="18"/>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911" w:name="bookmark1308"/>
      <w:bookmarkEnd w:id="911"/>
      <w:r>
        <w:rPr>
          <w:rStyle w:val="31"/>
          <w:rFonts w:hint="eastAsia" w:ascii="宋体" w:hAnsi="宋体" w:eastAsia="宋体" w:cs="宋体"/>
          <w:color w:val="auto"/>
        </w:rPr>
        <w:t>投入该工作的施工设备型号、台数和耗用台时；</w:t>
      </w:r>
    </w:p>
    <w:p w14:paraId="6EB7D78B">
      <w:pPr>
        <w:pStyle w:val="95"/>
        <w:pageBreakBefore w:val="0"/>
        <w:widowControl w:val="0"/>
        <w:numPr>
          <w:ilvl w:val="0"/>
          <w:numId w:val="18"/>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912" w:name="bookmark1309"/>
      <w:bookmarkEnd w:id="912"/>
      <w:r>
        <w:rPr>
          <w:rStyle w:val="31"/>
          <w:rFonts w:hint="eastAsia" w:ascii="宋体" w:hAnsi="宋体" w:eastAsia="宋体" w:cs="宋体"/>
          <w:color w:val="auto"/>
        </w:rPr>
        <w:t>监理人要求提交的其他资料和凭证。</w:t>
      </w:r>
    </w:p>
    <w:p w14:paraId="00F87E36">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15.7.3</w:t>
      </w:r>
      <w:r>
        <w:rPr>
          <w:rStyle w:val="31"/>
          <w:rFonts w:hint="eastAsia" w:ascii="宋体" w:hAnsi="宋体" w:eastAsia="宋体" w:cs="宋体"/>
          <w:color w:val="auto"/>
        </w:rPr>
        <w:t>计日工由承包人汇总后，按第</w:t>
      </w:r>
      <w:r>
        <w:rPr>
          <w:rStyle w:val="31"/>
          <w:rFonts w:hint="eastAsia" w:ascii="宋体" w:hAnsi="宋体" w:eastAsia="宋体" w:cs="宋体"/>
          <w:color w:val="auto"/>
          <w:lang w:val="en-US" w:bidi="en-US"/>
        </w:rPr>
        <w:t>17.3.2</w:t>
      </w:r>
      <w:r>
        <w:rPr>
          <w:rStyle w:val="31"/>
          <w:rFonts w:hint="eastAsia" w:ascii="宋体" w:hAnsi="宋体" w:eastAsia="宋体" w:cs="宋体"/>
          <w:color w:val="auto"/>
        </w:rPr>
        <w:t>项的约定列入进度付款申请单，由监理人复核并经发包人同意后列入进度付款。</w:t>
      </w:r>
    </w:p>
    <w:p w14:paraId="5B477EF1">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913" w:name="_Toc21886"/>
      <w:bookmarkStart w:id="914" w:name="_Toc6776"/>
      <w:bookmarkStart w:id="915" w:name="bookmark1311"/>
      <w:bookmarkStart w:id="916" w:name="bookmark1310"/>
      <w:bookmarkStart w:id="917" w:name="bookmark1312"/>
      <w:bookmarkStart w:id="918" w:name="_Toc256000117"/>
      <w:r>
        <w:rPr>
          <w:rStyle w:val="31"/>
          <w:rFonts w:hint="eastAsia" w:ascii="宋体" w:hAnsi="宋体" w:eastAsia="宋体" w:cs="宋体"/>
          <w:color w:val="auto"/>
          <w:sz w:val="24"/>
          <w:szCs w:val="24"/>
          <w:lang w:eastAsia="zh-CN"/>
        </w:rPr>
        <w:t>15.8暂估价</w:t>
      </w:r>
      <w:bookmarkEnd w:id="913"/>
      <w:bookmarkEnd w:id="914"/>
      <w:bookmarkEnd w:id="915"/>
      <w:bookmarkEnd w:id="916"/>
      <w:bookmarkEnd w:id="917"/>
      <w:bookmarkEnd w:id="918"/>
    </w:p>
    <w:p w14:paraId="1105E612">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919" w:name="bookmark1313"/>
      <w:bookmarkEnd w:id="919"/>
      <w:r>
        <w:rPr>
          <w:rStyle w:val="31"/>
          <w:rFonts w:hint="eastAsia" w:ascii="宋体" w:hAnsi="宋体" w:eastAsia="宋体" w:cs="宋体"/>
          <w:color w:val="auto"/>
        </w:rPr>
        <w:t>15.8.1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 量清单中所列金额差以及相应的税金等其他费用列入合同价格。必须招标的暂估价项目招标组织形式、发包人和承包人组织招标时双方的权利义务关系在专用合同条款中约定。</w:t>
      </w:r>
    </w:p>
    <w:p w14:paraId="14765734">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920" w:name="bookmark1314"/>
      <w:bookmarkEnd w:id="920"/>
      <w:r>
        <w:rPr>
          <w:rStyle w:val="31"/>
          <w:rFonts w:hint="eastAsia" w:ascii="宋体" w:hAnsi="宋体" w:eastAsia="宋体" w:cs="宋体"/>
          <w:color w:val="auto"/>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276DF387">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921" w:name="bookmark1315"/>
      <w:bookmarkEnd w:id="921"/>
      <w:r>
        <w:rPr>
          <w:rStyle w:val="31"/>
          <w:rFonts w:hint="eastAsia" w:ascii="宋体" w:hAnsi="宋体" w:eastAsia="宋体" w:cs="宋体"/>
          <w:color w:val="auto"/>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2CBF7F0B">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lang w:eastAsia="zh-CN"/>
        </w:rPr>
      </w:pPr>
      <w:bookmarkStart w:id="922" w:name="_Toc256000118"/>
      <w:bookmarkStart w:id="923" w:name="bookmark1317"/>
      <w:bookmarkStart w:id="924" w:name="bookmark1316"/>
      <w:bookmarkStart w:id="925" w:name="_Toc242"/>
      <w:bookmarkStart w:id="926" w:name="bookmark1318"/>
      <w:bookmarkStart w:id="927" w:name="_Toc32383"/>
      <w:r>
        <w:rPr>
          <w:rStyle w:val="31"/>
          <w:rFonts w:hint="eastAsia" w:ascii="宋体" w:hAnsi="宋体" w:eastAsia="宋体" w:cs="宋体"/>
          <w:color w:val="auto"/>
          <w:lang w:eastAsia="zh-CN"/>
        </w:rPr>
        <w:t>16 .价格调整</w:t>
      </w:r>
      <w:bookmarkEnd w:id="922"/>
      <w:bookmarkEnd w:id="923"/>
      <w:bookmarkEnd w:id="924"/>
      <w:bookmarkEnd w:id="925"/>
      <w:bookmarkEnd w:id="926"/>
      <w:bookmarkEnd w:id="927"/>
    </w:p>
    <w:p w14:paraId="4AB8E250">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928" w:name="_Toc2131"/>
      <w:bookmarkStart w:id="929" w:name="bookmark1321"/>
      <w:bookmarkStart w:id="930" w:name="bookmark1319"/>
      <w:bookmarkStart w:id="931" w:name="_Toc256000119"/>
      <w:bookmarkStart w:id="932" w:name="bookmark1320"/>
      <w:bookmarkStart w:id="933" w:name="_Toc3602"/>
      <w:r>
        <w:rPr>
          <w:rStyle w:val="31"/>
          <w:rFonts w:hint="eastAsia" w:ascii="宋体" w:hAnsi="宋体" w:eastAsia="宋体" w:cs="宋体"/>
          <w:color w:val="auto"/>
          <w:sz w:val="24"/>
          <w:szCs w:val="24"/>
          <w:lang w:eastAsia="zh-CN"/>
        </w:rPr>
        <w:t>16.1物价波动引起的价格调整</w:t>
      </w:r>
      <w:bookmarkEnd w:id="928"/>
      <w:bookmarkEnd w:id="929"/>
      <w:bookmarkEnd w:id="930"/>
      <w:bookmarkEnd w:id="931"/>
      <w:bookmarkEnd w:id="932"/>
      <w:bookmarkEnd w:id="933"/>
    </w:p>
    <w:p w14:paraId="47D62CF7">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由于物价波动原因引起合同价格需要调整的，其价格调整方式在专用合同条款中约定；除专用合同条款另有约定外，因物价波动引起的价格调整按照本款约定处理。</w:t>
      </w:r>
    </w:p>
    <w:p w14:paraId="7BAAD62F">
      <w:pPr>
        <w:pStyle w:val="95"/>
        <w:pageBreakBefore w:val="0"/>
        <w:widowControl w:val="0"/>
        <w:tabs>
          <w:tab w:val="left" w:pos="839"/>
        </w:tabs>
        <w:kinsoku/>
        <w:wordWrap/>
        <w:overflowPunct/>
        <w:topLinePunct w:val="0"/>
        <w:autoSpaceDE/>
        <w:autoSpaceDN/>
        <w:bidi w:val="0"/>
        <w:adjustRightInd/>
        <w:snapToGrid/>
        <w:spacing w:line="440" w:lineRule="exact"/>
        <w:ind w:left="0" w:leftChars="0" w:firstLine="0"/>
        <w:jc w:val="both"/>
        <w:textAlignment w:val="auto"/>
        <w:rPr>
          <w:rStyle w:val="31"/>
          <w:rFonts w:hint="eastAsia" w:ascii="宋体" w:hAnsi="宋体" w:eastAsia="宋体" w:cs="宋体"/>
          <w:color w:val="auto"/>
        </w:rPr>
      </w:pPr>
      <w:bookmarkStart w:id="934" w:name="bookmark1322"/>
      <w:bookmarkEnd w:id="934"/>
      <w:r>
        <w:rPr>
          <w:rStyle w:val="31"/>
          <w:rFonts w:hint="eastAsia" w:ascii="宋体" w:hAnsi="宋体" w:eastAsia="宋体" w:cs="宋体"/>
          <w:color w:val="auto"/>
          <w:lang w:val="en-US" w:bidi="en-US"/>
        </w:rPr>
        <w:t xml:space="preserve">16.1. </w:t>
      </w:r>
      <w:r>
        <w:rPr>
          <w:rStyle w:val="31"/>
          <w:rFonts w:hint="eastAsia" w:ascii="宋体" w:hAnsi="宋体" w:eastAsia="宋体" w:cs="宋体"/>
          <w:color w:val="auto"/>
        </w:rPr>
        <w:t>1采用价格指数调整价格差额</w:t>
      </w:r>
    </w:p>
    <w:p w14:paraId="1B8C080C">
      <w:pPr>
        <w:pStyle w:val="96"/>
        <w:pageBreakBefore w:val="0"/>
        <w:widowControl w:val="0"/>
        <w:tabs>
          <w:tab w:val="left" w:pos="839"/>
        </w:tabs>
        <w:kinsoku/>
        <w:wordWrap/>
        <w:overflowPunct/>
        <w:topLinePunct w:val="0"/>
        <w:autoSpaceDE/>
        <w:autoSpaceDN/>
        <w:bidi w:val="0"/>
        <w:adjustRightInd/>
        <w:snapToGrid/>
        <w:spacing w:after="0" w:line="440" w:lineRule="exact"/>
        <w:ind w:left="0" w:leftChars="0" w:firstLine="0"/>
        <w:jc w:val="both"/>
        <w:textAlignment w:val="auto"/>
        <w:rPr>
          <w:rStyle w:val="31"/>
          <w:rFonts w:hint="eastAsia" w:ascii="宋体" w:hAnsi="宋体" w:eastAsia="宋体" w:cs="宋体"/>
          <w:color w:val="auto"/>
          <w:lang w:eastAsia="zh-CN"/>
        </w:rPr>
      </w:pPr>
      <w:bookmarkStart w:id="935" w:name="bookmark1323"/>
      <w:bookmarkEnd w:id="935"/>
      <w:r>
        <w:rPr>
          <w:rStyle w:val="31"/>
          <w:rFonts w:hint="eastAsia" w:ascii="宋体" w:hAnsi="宋体" w:eastAsia="宋体" w:cs="宋体"/>
          <w:color w:val="auto"/>
          <w:lang w:eastAsia="zh-CN"/>
        </w:rPr>
        <w:t xml:space="preserve">16. 1. 1. </w:t>
      </w:r>
      <w:r>
        <w:rPr>
          <w:rStyle w:val="31"/>
          <w:rFonts w:hint="eastAsia" w:ascii="宋体" w:hAnsi="宋体" w:eastAsia="宋体" w:cs="宋体"/>
          <w:color w:val="auto"/>
          <w:lang w:val="zh-CN" w:eastAsia="zh-CN" w:bidi="zh-CN"/>
        </w:rPr>
        <w:t>1价格调整公式</w:t>
      </w:r>
    </w:p>
    <w:p w14:paraId="1E7C1741">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因人工、材料和设备等价格波动影响合同价格时，根据投标函附录中的价格指数和权重表约定的数据，按以下公式计算差额并调整合同价格。</w:t>
      </w:r>
    </w:p>
    <w:p w14:paraId="6920D163">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lang w:val="en-US"/>
        </w:rPr>
      </w:pPr>
      <w:r>
        <w:rPr>
          <w:rFonts w:hint="eastAsia" w:ascii="宋体" w:hAnsi="宋体" w:eastAsia="宋体" w:cs="宋体"/>
          <w:color w:val="auto"/>
          <w:position w:val="-34"/>
          <w:sz w:val="24"/>
        </w:rPr>
        <w:object>
          <v:shape id="_x0000_i1025" o:spt="75" type="#_x0000_t75" style="height:49.5pt;width:324.05pt;" o:ole="t" filled="f" o:preferrelative="t" stroked="f" coordsize="21600,21600">
            <v:path/>
            <v:fill on="f" focussize="0,0"/>
            <v:stroke on="f"/>
            <v:imagedata r:id="rId10" o:title=""/>
            <o:lock v:ext="edit" aspectratio="t"/>
            <w10:wrap type="none"/>
            <w10:anchorlock/>
          </v:shape>
          <o:OLEObject Type="Embed" ProgID="Equation.3" ShapeID="_x0000_i1025" DrawAspect="Content" ObjectID="_1468075725" r:id="rId9">
            <o:LockedField>false</o:LockedField>
          </o:OLEObject>
        </w:object>
      </w:r>
    </w:p>
    <w:p w14:paraId="7F9A790F">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lang w:val="en-US"/>
        </w:rPr>
      </w:pPr>
    </w:p>
    <w:p w14:paraId="1654B945">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lang w:val="en-US"/>
        </w:rPr>
      </w:pPr>
      <w:r>
        <w:rPr>
          <w:rStyle w:val="31"/>
          <w:rFonts w:hint="eastAsia" w:ascii="宋体" w:hAnsi="宋体" w:eastAsia="宋体" w:cs="宋体"/>
          <w:color w:val="auto"/>
          <w:lang w:val="en-US"/>
        </w:rPr>
        <w:t>式中： △P -- 需调整的价格差额；</w:t>
      </w:r>
    </w:p>
    <w:p w14:paraId="54ADD20D">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lang w:val="en-US"/>
        </w:rPr>
      </w:pPr>
      <w:r>
        <w:rPr>
          <w:rStyle w:val="31"/>
          <w:rFonts w:hint="eastAsia" w:ascii="宋体" w:hAnsi="宋体" w:eastAsia="宋体" w:cs="宋体"/>
          <w:color w:val="auto"/>
          <w:lang w:val="en-US"/>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2D2518A6">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lang w:val="en-US"/>
        </w:rPr>
      </w:pPr>
      <w:bookmarkStart w:id="936" w:name="_Toc144974686"/>
      <w:bookmarkStart w:id="937" w:name="_Toc152042495"/>
      <w:r>
        <w:rPr>
          <w:rStyle w:val="31"/>
          <w:rFonts w:hint="eastAsia" w:ascii="宋体" w:hAnsi="宋体" w:eastAsia="宋体" w:cs="宋体"/>
          <w:color w:val="auto"/>
          <w:lang w:val="en-US"/>
        </w:rPr>
        <w:t>A -- 定值权重(即不调部分的权重)；</w:t>
      </w:r>
      <w:bookmarkEnd w:id="936"/>
      <w:bookmarkEnd w:id="937"/>
    </w:p>
    <w:p w14:paraId="04D8AC02">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lang w:val="en-US"/>
        </w:rPr>
      </w:pPr>
      <w:r>
        <w:rPr>
          <w:rStyle w:val="31"/>
          <w:rFonts w:hint="eastAsia" w:ascii="宋体" w:hAnsi="宋体" w:eastAsia="宋体" w:cs="宋体"/>
          <w:color w:val="auto"/>
          <w:lang w:val="en-US"/>
        </w:rPr>
        <w:t>B1；B2；B3·····Bn -- 各可调因子的变值权重(即可调部分的权重)为各可调因子在投标函投标总报价中所占的比例；</w:t>
      </w:r>
    </w:p>
    <w:p w14:paraId="3788B200">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lang w:val="en-US"/>
        </w:rPr>
      </w:pPr>
      <w:r>
        <w:rPr>
          <w:rStyle w:val="31"/>
          <w:rFonts w:hint="eastAsia" w:ascii="宋体" w:hAnsi="宋体" w:eastAsia="宋体" w:cs="宋体"/>
          <w:color w:val="auto"/>
          <w:lang w:val="en-US"/>
        </w:rPr>
        <w:t>Ft1；Ft2；Ft3·····Ftn -- 各可调因子的现行价格指数，指第17.3.3项、第17.5.2项和第17.6.2项约定的付款证书相关周期最后一天的前42天的各可调因子的价格指数；</w:t>
      </w:r>
    </w:p>
    <w:p w14:paraId="4E6B18FF">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lang w:val="en-US"/>
        </w:rPr>
      </w:pPr>
      <w:r>
        <w:rPr>
          <w:rStyle w:val="31"/>
          <w:rFonts w:hint="eastAsia" w:ascii="宋体" w:hAnsi="宋体" w:eastAsia="宋体" w:cs="宋体"/>
          <w:color w:val="auto"/>
          <w:lang w:val="en-US"/>
        </w:rPr>
        <w:t>Fo1；Fo2; Fo3·····Fon -- 各可调因子的基本价格指数，指基准日期的各可调因子的价格指数。</w:t>
      </w:r>
    </w:p>
    <w:p w14:paraId="35CE983D">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5F87584C">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16.1.1.2</w:t>
      </w:r>
      <w:r>
        <w:rPr>
          <w:rStyle w:val="31"/>
          <w:rFonts w:hint="eastAsia" w:ascii="宋体" w:hAnsi="宋体" w:eastAsia="宋体" w:cs="宋体"/>
          <w:color w:val="auto"/>
        </w:rPr>
        <w:t>暂时确定调整差额</w:t>
      </w:r>
    </w:p>
    <w:p w14:paraId="5FC3F9E4">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在计算调整差额时得不到现行价格指数的，可暂用上一次价格指数计算，并在以后的付款中再按实际价格指数进行调整。</w:t>
      </w:r>
    </w:p>
    <w:p w14:paraId="4D6AC43A">
      <w:pPr>
        <w:pStyle w:val="96"/>
        <w:pageBreakBefore w:val="0"/>
        <w:widowControl w:val="0"/>
        <w:kinsoku/>
        <w:wordWrap/>
        <w:overflowPunct/>
        <w:topLinePunct w:val="0"/>
        <w:autoSpaceDE/>
        <w:autoSpaceDN/>
        <w:bidi w:val="0"/>
        <w:adjustRightInd/>
        <w:snapToGrid/>
        <w:spacing w:after="0" w:line="440" w:lineRule="exact"/>
        <w:ind w:left="0" w:leftChars="0" w:firstLine="440"/>
        <w:jc w:val="both"/>
        <w:textAlignment w:val="auto"/>
        <w:rPr>
          <w:rStyle w:val="31"/>
          <w:rFonts w:hint="eastAsia" w:ascii="宋体" w:hAnsi="宋体" w:eastAsia="宋体" w:cs="宋体"/>
          <w:color w:val="auto"/>
          <w:lang w:eastAsia="zh-CN"/>
        </w:rPr>
      </w:pPr>
      <w:r>
        <w:rPr>
          <w:rStyle w:val="31"/>
          <w:rFonts w:hint="eastAsia" w:ascii="宋体" w:hAnsi="宋体" w:eastAsia="宋体" w:cs="宋体"/>
          <w:color w:val="auto"/>
          <w:lang w:eastAsia="zh-CN"/>
        </w:rPr>
        <w:t>16.1.1.3</w:t>
      </w:r>
      <w:r>
        <w:rPr>
          <w:rStyle w:val="31"/>
          <w:rFonts w:hint="eastAsia" w:ascii="宋体" w:hAnsi="宋体" w:eastAsia="宋体" w:cs="宋体"/>
          <w:color w:val="auto"/>
          <w:lang w:val="zh-CN" w:eastAsia="zh-CN" w:bidi="zh-CN"/>
        </w:rPr>
        <w:t>权重的调整</w:t>
      </w:r>
    </w:p>
    <w:p w14:paraId="02799E45">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按第</w:t>
      </w:r>
      <w:r>
        <w:rPr>
          <w:rStyle w:val="31"/>
          <w:rFonts w:hint="eastAsia" w:ascii="宋体" w:hAnsi="宋体" w:eastAsia="宋体" w:cs="宋体"/>
          <w:color w:val="auto"/>
          <w:lang w:val="en-US" w:bidi="en-US"/>
        </w:rPr>
        <w:t xml:space="preserve">15. </w:t>
      </w:r>
      <w:r>
        <w:rPr>
          <w:rStyle w:val="31"/>
          <w:rFonts w:hint="eastAsia" w:ascii="宋体" w:hAnsi="宋体" w:eastAsia="宋体" w:cs="宋体"/>
          <w:color w:val="auto"/>
        </w:rPr>
        <w:t>1款约定的变更导致原定合同中的权重不合理时，由监理人与承包人和发包人协商后进行调整。</w:t>
      </w:r>
    </w:p>
    <w:p w14:paraId="7FA5B9AD">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16.1.1.4</w:t>
      </w:r>
      <w:r>
        <w:rPr>
          <w:rStyle w:val="31"/>
          <w:rFonts w:hint="eastAsia" w:ascii="宋体" w:hAnsi="宋体" w:eastAsia="宋体" w:cs="宋体"/>
          <w:color w:val="auto"/>
        </w:rPr>
        <w:t>承包人工期延误后的价格调整</w:t>
      </w:r>
    </w:p>
    <w:p w14:paraId="16F27CBF">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由于承包人原因未在约定的工期内竣工的，则对原约定竣工日期后继续施工的工程, 在使用第</w:t>
      </w:r>
      <w:r>
        <w:rPr>
          <w:rStyle w:val="31"/>
          <w:rFonts w:hint="eastAsia" w:ascii="宋体" w:hAnsi="宋体" w:eastAsia="宋体" w:cs="宋体"/>
          <w:color w:val="auto"/>
          <w:lang w:val="en-US" w:bidi="en-US"/>
        </w:rPr>
        <w:t xml:space="preserve">16. 1. 1. </w:t>
      </w:r>
      <w:r>
        <w:rPr>
          <w:rStyle w:val="31"/>
          <w:rFonts w:hint="eastAsia" w:ascii="宋体" w:hAnsi="宋体" w:eastAsia="宋体" w:cs="宋体"/>
          <w:color w:val="auto"/>
        </w:rPr>
        <w:t>1目价格调整公式时，应采用原约定竣工日期与实际竣工日期的两个价格指数中较低的一个作为现行价格指数。</w:t>
      </w:r>
    </w:p>
    <w:p w14:paraId="3E4E4012">
      <w:pPr>
        <w:pStyle w:val="95"/>
        <w:pageBreakBefore w:val="0"/>
        <w:widowControl w:val="0"/>
        <w:tabs>
          <w:tab w:val="left" w:pos="861"/>
        </w:tabs>
        <w:kinsoku/>
        <w:wordWrap/>
        <w:overflowPunct/>
        <w:topLinePunct w:val="0"/>
        <w:autoSpaceDE/>
        <w:autoSpaceDN/>
        <w:bidi w:val="0"/>
        <w:adjustRightInd/>
        <w:snapToGrid/>
        <w:spacing w:line="440" w:lineRule="exact"/>
        <w:ind w:left="0" w:leftChars="0" w:firstLine="0"/>
        <w:jc w:val="both"/>
        <w:textAlignment w:val="auto"/>
        <w:rPr>
          <w:rStyle w:val="31"/>
          <w:rFonts w:hint="eastAsia" w:ascii="宋体" w:hAnsi="宋体" w:eastAsia="宋体" w:cs="宋体"/>
          <w:color w:val="auto"/>
        </w:rPr>
      </w:pPr>
      <w:bookmarkStart w:id="938" w:name="bookmark1325"/>
      <w:bookmarkEnd w:id="938"/>
      <w:r>
        <w:rPr>
          <w:rStyle w:val="31"/>
          <w:rFonts w:hint="eastAsia" w:ascii="宋体" w:hAnsi="宋体" w:eastAsia="宋体" w:cs="宋体"/>
          <w:color w:val="auto"/>
          <w:lang w:val="en-US" w:bidi="en-US"/>
        </w:rPr>
        <w:t xml:space="preserve">16.1. </w:t>
      </w:r>
      <w:r>
        <w:rPr>
          <w:rStyle w:val="31"/>
          <w:rFonts w:hint="eastAsia" w:ascii="宋体" w:hAnsi="宋体" w:eastAsia="宋体" w:cs="宋体"/>
          <w:color w:val="auto"/>
        </w:rPr>
        <w:t>2采用造价信息调整价格差额</w:t>
      </w:r>
    </w:p>
    <w:p w14:paraId="6C11A040">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 数量，作为调整工程合同价格差额的依据。</w:t>
      </w:r>
    </w:p>
    <w:p w14:paraId="1E162A4D">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rPr>
        <w:t>工程造价信息的来源以及价格调整的项目和系数在专用合同条款中约定。</w:t>
      </w:r>
    </w:p>
    <w:p w14:paraId="24B507D8">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939" w:name="bookmark1328"/>
      <w:bookmarkStart w:id="940" w:name="bookmark1327"/>
      <w:bookmarkStart w:id="941" w:name="_Toc256000120"/>
      <w:bookmarkStart w:id="942" w:name="_Toc19456"/>
      <w:bookmarkStart w:id="943" w:name="_Toc30516"/>
      <w:bookmarkStart w:id="944" w:name="bookmark1326"/>
      <w:r>
        <w:rPr>
          <w:rStyle w:val="31"/>
          <w:rFonts w:hint="eastAsia" w:ascii="宋体" w:hAnsi="宋体" w:eastAsia="宋体" w:cs="宋体"/>
          <w:color w:val="auto"/>
          <w:sz w:val="24"/>
          <w:szCs w:val="24"/>
          <w:lang w:eastAsia="zh-CN"/>
        </w:rPr>
        <w:t>16.2法律变化引起的价格调整</w:t>
      </w:r>
      <w:bookmarkEnd w:id="939"/>
      <w:bookmarkEnd w:id="940"/>
      <w:bookmarkEnd w:id="941"/>
      <w:bookmarkEnd w:id="942"/>
      <w:bookmarkEnd w:id="943"/>
      <w:bookmarkEnd w:id="944"/>
    </w:p>
    <w:p w14:paraId="7DCFFF9F">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在基准日后，因法律变化导致承包人在合同履行中所需要的工程费用发生除第</w:t>
      </w:r>
      <w:r>
        <w:rPr>
          <w:rStyle w:val="31"/>
          <w:rFonts w:hint="eastAsia" w:ascii="宋体" w:hAnsi="宋体" w:eastAsia="宋体" w:cs="宋体"/>
          <w:color w:val="auto"/>
          <w:lang w:val="en-US" w:bidi="en-US"/>
        </w:rPr>
        <w:t xml:space="preserve">16. </w:t>
      </w:r>
      <w:r>
        <w:rPr>
          <w:rStyle w:val="31"/>
          <w:rFonts w:hint="eastAsia" w:ascii="宋体" w:hAnsi="宋体" w:eastAsia="宋体" w:cs="宋体"/>
          <w:color w:val="auto"/>
        </w:rPr>
        <w:t>1款约定以外的增减时，监理人应根据法律、国家或省、自治区、直辖市有关部门的规定，按第</w:t>
      </w:r>
      <w:r>
        <w:rPr>
          <w:rStyle w:val="31"/>
          <w:rFonts w:hint="eastAsia" w:ascii="宋体" w:hAnsi="宋体" w:eastAsia="宋体" w:cs="宋体"/>
          <w:color w:val="auto"/>
          <w:lang w:val="en-US" w:bidi="en-US"/>
        </w:rPr>
        <w:t xml:space="preserve">3. </w:t>
      </w:r>
      <w:r>
        <w:rPr>
          <w:rStyle w:val="31"/>
          <w:rFonts w:hint="eastAsia" w:ascii="宋体" w:hAnsi="宋体" w:eastAsia="宋体" w:cs="宋体"/>
          <w:color w:val="auto"/>
        </w:rPr>
        <w:t>5款商定或确定需调整的合同价款。</w:t>
      </w:r>
    </w:p>
    <w:p w14:paraId="3125C6B5">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lang w:eastAsia="zh-CN"/>
        </w:rPr>
      </w:pPr>
      <w:bookmarkStart w:id="945" w:name="bookmark1329"/>
      <w:bookmarkStart w:id="946" w:name="bookmark1331"/>
      <w:bookmarkStart w:id="947" w:name="_Toc15158"/>
      <w:bookmarkStart w:id="948" w:name="_Toc256000121"/>
      <w:bookmarkStart w:id="949" w:name="bookmark1330"/>
      <w:bookmarkStart w:id="950" w:name="_Toc26355"/>
      <w:r>
        <w:rPr>
          <w:rStyle w:val="31"/>
          <w:rFonts w:hint="eastAsia" w:ascii="宋体" w:hAnsi="宋体" w:eastAsia="宋体" w:cs="宋体"/>
          <w:color w:val="auto"/>
          <w:lang w:eastAsia="zh-CN"/>
        </w:rPr>
        <w:t>17.计量与支付</w:t>
      </w:r>
      <w:bookmarkEnd w:id="945"/>
      <w:bookmarkEnd w:id="946"/>
      <w:bookmarkEnd w:id="947"/>
      <w:bookmarkEnd w:id="948"/>
      <w:bookmarkEnd w:id="949"/>
      <w:bookmarkEnd w:id="950"/>
    </w:p>
    <w:p w14:paraId="783680FB">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951" w:name="bookmark1333"/>
      <w:bookmarkStart w:id="952" w:name="_Toc256000122"/>
      <w:bookmarkStart w:id="953" w:name="_Toc2006"/>
      <w:bookmarkStart w:id="954" w:name="bookmark1334"/>
      <w:bookmarkStart w:id="955" w:name="bookmark1332"/>
      <w:bookmarkStart w:id="956" w:name="_Toc7733"/>
      <w:r>
        <w:rPr>
          <w:rStyle w:val="31"/>
          <w:rFonts w:hint="eastAsia" w:ascii="宋体" w:hAnsi="宋体" w:eastAsia="宋体" w:cs="宋体"/>
          <w:color w:val="auto"/>
          <w:sz w:val="24"/>
          <w:szCs w:val="24"/>
          <w:lang w:eastAsia="zh-CN"/>
        </w:rPr>
        <w:t>17.1计量</w:t>
      </w:r>
      <w:bookmarkEnd w:id="951"/>
      <w:bookmarkEnd w:id="952"/>
      <w:bookmarkEnd w:id="953"/>
      <w:bookmarkEnd w:id="954"/>
      <w:bookmarkEnd w:id="955"/>
      <w:bookmarkEnd w:id="956"/>
    </w:p>
    <w:p w14:paraId="6B1C1583">
      <w:pPr>
        <w:pStyle w:val="96"/>
        <w:pageBreakBefore w:val="0"/>
        <w:widowControl w:val="0"/>
        <w:tabs>
          <w:tab w:val="left" w:pos="841"/>
        </w:tabs>
        <w:kinsoku/>
        <w:wordWrap/>
        <w:overflowPunct/>
        <w:topLinePunct w:val="0"/>
        <w:autoSpaceDE/>
        <w:autoSpaceDN/>
        <w:bidi w:val="0"/>
        <w:adjustRightInd/>
        <w:snapToGrid/>
        <w:spacing w:after="0" w:line="440" w:lineRule="exact"/>
        <w:ind w:left="0" w:leftChars="0" w:firstLine="0"/>
        <w:textAlignment w:val="auto"/>
        <w:rPr>
          <w:rStyle w:val="31"/>
          <w:rFonts w:hint="eastAsia" w:ascii="宋体" w:hAnsi="宋体" w:eastAsia="宋体" w:cs="宋体"/>
          <w:color w:val="auto"/>
          <w:lang w:eastAsia="zh-CN"/>
        </w:rPr>
      </w:pPr>
      <w:bookmarkStart w:id="957" w:name="bookmark1335"/>
      <w:bookmarkEnd w:id="957"/>
      <w:r>
        <w:rPr>
          <w:rStyle w:val="31"/>
          <w:rFonts w:hint="eastAsia" w:ascii="宋体" w:hAnsi="宋体" w:eastAsia="宋体" w:cs="宋体"/>
          <w:color w:val="auto"/>
          <w:lang w:eastAsia="zh-CN"/>
        </w:rPr>
        <w:t xml:space="preserve">        17.1. </w:t>
      </w:r>
      <w:r>
        <w:rPr>
          <w:rStyle w:val="31"/>
          <w:rFonts w:hint="eastAsia" w:ascii="宋体" w:hAnsi="宋体" w:eastAsia="宋体" w:cs="宋体"/>
          <w:color w:val="auto"/>
          <w:lang w:val="zh-CN" w:eastAsia="zh-CN" w:bidi="zh-CN"/>
        </w:rPr>
        <w:t>1计量单位</w:t>
      </w:r>
    </w:p>
    <w:p w14:paraId="274AA023">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rPr>
        <w:t>计量采用国家法定的计量单位。</w:t>
      </w:r>
    </w:p>
    <w:p w14:paraId="04CC20CD">
      <w:pPr>
        <w:pStyle w:val="95"/>
        <w:pageBreakBefore w:val="0"/>
        <w:widowControl w:val="0"/>
        <w:tabs>
          <w:tab w:val="left" w:pos="841"/>
        </w:tabs>
        <w:kinsoku/>
        <w:wordWrap/>
        <w:overflowPunct/>
        <w:topLinePunct w:val="0"/>
        <w:autoSpaceDE/>
        <w:autoSpaceDN/>
        <w:bidi w:val="0"/>
        <w:adjustRightInd/>
        <w:snapToGrid/>
        <w:spacing w:line="440" w:lineRule="exact"/>
        <w:ind w:left="0" w:leftChars="0" w:firstLine="0"/>
        <w:textAlignment w:val="auto"/>
        <w:rPr>
          <w:rStyle w:val="31"/>
          <w:rFonts w:hint="eastAsia" w:ascii="宋体" w:hAnsi="宋体" w:eastAsia="宋体" w:cs="宋体"/>
          <w:color w:val="auto"/>
        </w:rPr>
      </w:pPr>
      <w:bookmarkStart w:id="958" w:name="bookmark1336"/>
      <w:bookmarkEnd w:id="958"/>
      <w:r>
        <w:rPr>
          <w:rStyle w:val="31"/>
          <w:rFonts w:hint="eastAsia" w:ascii="宋体" w:hAnsi="宋体" w:eastAsia="宋体" w:cs="宋体"/>
          <w:color w:val="auto"/>
          <w:lang w:val="en-US" w:bidi="en-US"/>
        </w:rPr>
        <w:t xml:space="preserve">17.1. </w:t>
      </w:r>
      <w:r>
        <w:rPr>
          <w:rStyle w:val="31"/>
          <w:rFonts w:hint="eastAsia" w:ascii="宋体" w:hAnsi="宋体" w:eastAsia="宋体" w:cs="宋体"/>
          <w:color w:val="auto"/>
        </w:rPr>
        <w:t>2计量方法</w:t>
      </w:r>
    </w:p>
    <w:p w14:paraId="34D9766A">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rPr>
        <w:t>结算工程量应按工程量清单中约定的方法计算。</w:t>
      </w:r>
    </w:p>
    <w:p w14:paraId="2402F57F">
      <w:pPr>
        <w:pStyle w:val="96"/>
        <w:pageBreakBefore w:val="0"/>
        <w:widowControl w:val="0"/>
        <w:kinsoku/>
        <w:wordWrap/>
        <w:overflowPunct/>
        <w:topLinePunct w:val="0"/>
        <w:autoSpaceDE/>
        <w:autoSpaceDN/>
        <w:bidi w:val="0"/>
        <w:adjustRightInd/>
        <w:snapToGrid/>
        <w:spacing w:after="0" w:line="440" w:lineRule="exact"/>
        <w:ind w:left="0" w:leftChars="0"/>
        <w:textAlignment w:val="auto"/>
        <w:rPr>
          <w:rStyle w:val="31"/>
          <w:rFonts w:hint="eastAsia" w:ascii="宋体" w:hAnsi="宋体" w:eastAsia="宋体" w:cs="宋体"/>
          <w:color w:val="auto"/>
          <w:lang w:eastAsia="zh-CN"/>
        </w:rPr>
      </w:pPr>
      <w:r>
        <w:rPr>
          <w:rStyle w:val="31"/>
          <w:rFonts w:hint="eastAsia" w:ascii="宋体" w:hAnsi="宋体" w:eastAsia="宋体" w:cs="宋体"/>
          <w:color w:val="auto"/>
          <w:lang w:eastAsia="zh-CN"/>
        </w:rPr>
        <w:t>17.1.</w:t>
      </w:r>
      <w:r>
        <w:rPr>
          <w:rStyle w:val="31"/>
          <w:rFonts w:hint="eastAsia" w:ascii="宋体" w:hAnsi="宋体" w:eastAsia="宋体" w:cs="宋体"/>
          <w:color w:val="auto"/>
          <w:lang w:val="zh-CN" w:eastAsia="zh-CN" w:bidi="zh-CN"/>
        </w:rPr>
        <w:t>3计量周期</w:t>
      </w:r>
    </w:p>
    <w:p w14:paraId="4F39C92A">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除专用合同条款另有约定外，单价子目已完成工程量按月计量，总价子目的计量周期 按批准的支付分解报告确定。</w:t>
      </w:r>
    </w:p>
    <w:p w14:paraId="379B5F40">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eastAsia="en-US" w:bidi="en-US"/>
        </w:rPr>
        <w:t>17.1.4</w:t>
      </w:r>
      <w:r>
        <w:rPr>
          <w:rStyle w:val="31"/>
          <w:rFonts w:hint="eastAsia" w:ascii="宋体" w:hAnsi="宋体" w:eastAsia="宋体" w:cs="宋体"/>
          <w:color w:val="auto"/>
        </w:rPr>
        <w:t>单价子目的计量</w:t>
      </w:r>
    </w:p>
    <w:p w14:paraId="2695C849">
      <w:pPr>
        <w:pStyle w:val="95"/>
        <w:pageBreakBefore w:val="0"/>
        <w:widowControl w:val="0"/>
        <w:numPr>
          <w:ilvl w:val="0"/>
          <w:numId w:val="19"/>
        </w:numPr>
        <w:tabs>
          <w:tab w:val="left" w:pos="920"/>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959" w:name="bookmark1337"/>
      <w:bookmarkEnd w:id="959"/>
      <w:r>
        <w:rPr>
          <w:rStyle w:val="31"/>
          <w:rFonts w:hint="eastAsia" w:ascii="宋体" w:hAnsi="宋体" w:eastAsia="宋体" w:cs="宋体"/>
          <w:color w:val="auto"/>
        </w:rPr>
        <w:t>已标价工程量清单中的单价子目工程量为估算工程量。结算工程量是承包人实际完成的，并按合同约定的计量方法进行计量的工程量。</w:t>
      </w:r>
    </w:p>
    <w:p w14:paraId="00F991BC">
      <w:pPr>
        <w:pStyle w:val="95"/>
        <w:pageBreakBefore w:val="0"/>
        <w:widowControl w:val="0"/>
        <w:numPr>
          <w:ilvl w:val="0"/>
          <w:numId w:val="19"/>
        </w:numPr>
        <w:tabs>
          <w:tab w:val="left" w:pos="920"/>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960" w:name="bookmark1338"/>
      <w:bookmarkEnd w:id="960"/>
      <w:r>
        <w:rPr>
          <w:rStyle w:val="31"/>
          <w:rFonts w:hint="eastAsia" w:ascii="宋体" w:hAnsi="宋体" w:eastAsia="宋体" w:cs="宋体"/>
          <w:color w:val="auto"/>
        </w:rPr>
        <w:t>承包人对已完成的工程进行计量，向监理人提交进度付款申请单、已完成工程量报表和有关计量资料。</w:t>
      </w:r>
    </w:p>
    <w:p w14:paraId="04AF1672">
      <w:pPr>
        <w:pStyle w:val="95"/>
        <w:pageBreakBefore w:val="0"/>
        <w:widowControl w:val="0"/>
        <w:numPr>
          <w:ilvl w:val="0"/>
          <w:numId w:val="19"/>
        </w:numPr>
        <w:tabs>
          <w:tab w:val="left" w:pos="483"/>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监理人对承包人提交的工程量报表进行复核，以确定实际完成的工程量。对数量</w:t>
      </w:r>
      <w:bookmarkStart w:id="961" w:name="bookmark1339"/>
      <w:bookmarkEnd w:id="961"/>
      <w:r>
        <w:rPr>
          <w:rStyle w:val="31"/>
          <w:rFonts w:hint="eastAsia" w:ascii="宋体" w:hAnsi="宋体" w:eastAsia="宋体" w:cs="宋体"/>
          <w:color w:val="auto"/>
        </w:rPr>
        <w:t>有异议的，可要求承包人按第</w:t>
      </w:r>
      <w:r>
        <w:rPr>
          <w:rStyle w:val="31"/>
          <w:rFonts w:hint="eastAsia" w:ascii="宋体" w:hAnsi="宋体" w:eastAsia="宋体" w:cs="宋体"/>
          <w:color w:val="auto"/>
          <w:lang w:val="en-US" w:bidi="en-US"/>
        </w:rPr>
        <w:t xml:space="preserve">8. </w:t>
      </w:r>
      <w:r>
        <w:rPr>
          <w:rStyle w:val="31"/>
          <w:rFonts w:hint="eastAsia" w:ascii="宋体" w:hAnsi="宋体" w:eastAsia="宋体" w:cs="宋体"/>
          <w:color w:val="auto"/>
        </w:rPr>
        <w:t>2款约定进行共同复核和抽样复测。承包人应协助监理人进行复核并按监理人要求提供补充计量资料。承包人未按监理人要求参加复核，监理人复核或修正的工程量视为承包人实际完成的工程量。</w:t>
      </w:r>
    </w:p>
    <w:p w14:paraId="2A526E5F">
      <w:pPr>
        <w:pStyle w:val="95"/>
        <w:pageBreakBefore w:val="0"/>
        <w:widowControl w:val="0"/>
        <w:numPr>
          <w:ilvl w:val="0"/>
          <w:numId w:val="19"/>
        </w:numPr>
        <w:tabs>
          <w:tab w:val="left" w:pos="899"/>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962" w:name="bookmark1340"/>
      <w:bookmarkEnd w:id="962"/>
      <w:r>
        <w:rPr>
          <w:rStyle w:val="31"/>
          <w:rFonts w:hint="eastAsia" w:ascii="宋体" w:hAnsi="宋体" w:eastAsia="宋体" w:cs="宋体"/>
          <w:color w:val="auto"/>
        </w:rPr>
        <w:t>监理人认为有必要时，可通知承包人共同进行联合测量、计量，承包人应遵照执行。</w:t>
      </w:r>
    </w:p>
    <w:p w14:paraId="1DFCB016">
      <w:pPr>
        <w:pStyle w:val="95"/>
        <w:pageBreakBefore w:val="0"/>
        <w:widowControl w:val="0"/>
        <w:numPr>
          <w:ilvl w:val="0"/>
          <w:numId w:val="19"/>
        </w:numPr>
        <w:tabs>
          <w:tab w:val="left" w:pos="902"/>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963" w:name="bookmark1341"/>
      <w:bookmarkEnd w:id="963"/>
      <w:r>
        <w:rPr>
          <w:rStyle w:val="31"/>
          <w:rFonts w:hint="eastAsia" w:ascii="宋体" w:hAnsi="宋体" w:eastAsia="宋体" w:cs="宋体"/>
          <w:color w:val="auto"/>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382BC650">
      <w:pPr>
        <w:pStyle w:val="95"/>
        <w:pageBreakBefore w:val="0"/>
        <w:widowControl w:val="0"/>
        <w:numPr>
          <w:ilvl w:val="0"/>
          <w:numId w:val="19"/>
        </w:numPr>
        <w:tabs>
          <w:tab w:val="left" w:pos="902"/>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964" w:name="bookmark1342"/>
      <w:bookmarkEnd w:id="964"/>
      <w:r>
        <w:rPr>
          <w:rStyle w:val="31"/>
          <w:rFonts w:hint="eastAsia" w:ascii="宋体" w:hAnsi="宋体" w:eastAsia="宋体" w:cs="宋体"/>
          <w:color w:val="auto"/>
        </w:rPr>
        <w:t>监理人应在收到承包人提交的工程量报表后的7天内进行复核，监理人未在约定时间内复核的，承包人提交的工程量报表中的工程量视为承包人实际完成的工程量，据此计算工程价款。</w:t>
      </w:r>
    </w:p>
    <w:p w14:paraId="67080C51">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17.1.5</w:t>
      </w:r>
      <w:r>
        <w:rPr>
          <w:rStyle w:val="31"/>
          <w:rFonts w:hint="eastAsia" w:ascii="宋体" w:hAnsi="宋体" w:eastAsia="宋体" w:cs="宋体"/>
          <w:color w:val="auto"/>
        </w:rPr>
        <w:t>总价子目的计量</w:t>
      </w:r>
    </w:p>
    <w:p w14:paraId="508C7202">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rPr>
        <w:t>总价子目的分解和计量按照下述约定进行。</w:t>
      </w:r>
    </w:p>
    <w:p w14:paraId="2D75DAA0">
      <w:pPr>
        <w:pStyle w:val="95"/>
        <w:pageBreakBefore w:val="0"/>
        <w:widowControl w:val="0"/>
        <w:numPr>
          <w:ilvl w:val="0"/>
          <w:numId w:val="20"/>
        </w:numPr>
        <w:tabs>
          <w:tab w:val="left" w:pos="899"/>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965" w:name="bookmark1343"/>
      <w:bookmarkEnd w:id="965"/>
      <w:r>
        <w:rPr>
          <w:rStyle w:val="31"/>
          <w:rFonts w:hint="eastAsia" w:ascii="宋体" w:hAnsi="宋体" w:eastAsia="宋体" w:cs="宋体"/>
          <w:color w:val="auto"/>
        </w:rPr>
        <w:t>总价子目的计量和支付应以总价为基础，不因第</w:t>
      </w:r>
      <w:r>
        <w:rPr>
          <w:rStyle w:val="31"/>
          <w:rFonts w:hint="eastAsia" w:ascii="宋体" w:hAnsi="宋体" w:eastAsia="宋体" w:cs="宋体"/>
          <w:color w:val="auto"/>
          <w:lang w:val="en-US" w:bidi="en-US"/>
        </w:rPr>
        <w:t>16.1</w:t>
      </w:r>
      <w:r>
        <w:rPr>
          <w:rStyle w:val="31"/>
          <w:rFonts w:hint="eastAsia" w:ascii="宋体" w:hAnsi="宋体" w:eastAsia="宋体" w:cs="宋体"/>
          <w:color w:val="auto"/>
        </w:rPr>
        <w:t>款中的因素而进行调整。承包人实际完成的工程量，是进行工程目标管理和控制进度支付的依据。</w:t>
      </w:r>
    </w:p>
    <w:p w14:paraId="10CBA345">
      <w:pPr>
        <w:pStyle w:val="95"/>
        <w:pageBreakBefore w:val="0"/>
        <w:widowControl w:val="0"/>
        <w:numPr>
          <w:ilvl w:val="0"/>
          <w:numId w:val="20"/>
        </w:numPr>
        <w:tabs>
          <w:tab w:val="left" w:pos="899"/>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966" w:name="bookmark1344"/>
      <w:bookmarkEnd w:id="966"/>
      <w:r>
        <w:rPr>
          <w:rStyle w:val="31"/>
          <w:rFonts w:hint="eastAsia" w:ascii="宋体" w:hAnsi="宋体" w:eastAsia="宋体" w:cs="宋体"/>
          <w:color w:val="auto"/>
        </w:rPr>
        <w:t>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1F3C4C4A">
      <w:pPr>
        <w:pStyle w:val="95"/>
        <w:pageBreakBefore w:val="0"/>
        <w:widowControl w:val="0"/>
        <w:numPr>
          <w:ilvl w:val="0"/>
          <w:numId w:val="20"/>
        </w:numPr>
        <w:tabs>
          <w:tab w:val="left" w:pos="899"/>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967" w:name="bookmark1345"/>
      <w:bookmarkEnd w:id="967"/>
      <w:r>
        <w:rPr>
          <w:rStyle w:val="31"/>
          <w:rFonts w:hint="eastAsia" w:ascii="宋体" w:hAnsi="宋体" w:eastAsia="宋体" w:cs="宋体"/>
          <w:color w:val="auto"/>
        </w:rPr>
        <w:t>监理人对承包人提交的上述资料进行复核，以确定分阶段实际完成的工程量和工程形象目标。对其有异议的，可要求承包人按第</w:t>
      </w:r>
      <w:r>
        <w:rPr>
          <w:rStyle w:val="31"/>
          <w:rFonts w:hint="eastAsia" w:ascii="宋体" w:hAnsi="宋体" w:eastAsia="宋体" w:cs="宋体"/>
          <w:color w:val="auto"/>
          <w:lang w:val="en-US" w:bidi="en-US"/>
        </w:rPr>
        <w:t xml:space="preserve">8. </w:t>
      </w:r>
      <w:r>
        <w:rPr>
          <w:rStyle w:val="31"/>
          <w:rFonts w:hint="eastAsia" w:ascii="宋体" w:hAnsi="宋体" w:eastAsia="宋体" w:cs="宋体"/>
          <w:color w:val="auto"/>
        </w:rPr>
        <w:t>2款约定进行共同复核和抽样复测。</w:t>
      </w:r>
    </w:p>
    <w:p w14:paraId="77A26FF3">
      <w:pPr>
        <w:pStyle w:val="95"/>
        <w:pageBreakBefore w:val="0"/>
        <w:widowControl w:val="0"/>
        <w:numPr>
          <w:ilvl w:val="0"/>
          <w:numId w:val="20"/>
        </w:numPr>
        <w:tabs>
          <w:tab w:val="left" w:pos="899"/>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968" w:name="bookmark1346"/>
      <w:bookmarkEnd w:id="968"/>
      <w:r>
        <w:rPr>
          <w:rStyle w:val="31"/>
          <w:rFonts w:hint="eastAsia" w:ascii="宋体" w:hAnsi="宋体" w:eastAsia="宋体" w:cs="宋体"/>
          <w:color w:val="auto"/>
        </w:rPr>
        <w:t>除按照第15条约定的变更外，总价子目的工程量是承包人用于结算的最终工程量。</w:t>
      </w:r>
    </w:p>
    <w:p w14:paraId="0195C25B">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969" w:name="_Toc256000123"/>
      <w:bookmarkStart w:id="970" w:name="_Toc1366"/>
      <w:bookmarkStart w:id="971" w:name="bookmark1347"/>
      <w:bookmarkStart w:id="972" w:name="_Toc16419"/>
      <w:bookmarkStart w:id="973" w:name="bookmark1348"/>
      <w:bookmarkStart w:id="974" w:name="bookmark1349"/>
      <w:r>
        <w:rPr>
          <w:rStyle w:val="31"/>
          <w:rFonts w:hint="eastAsia" w:ascii="宋体" w:hAnsi="宋体" w:eastAsia="宋体" w:cs="宋体"/>
          <w:color w:val="auto"/>
          <w:sz w:val="24"/>
          <w:szCs w:val="24"/>
          <w:lang w:eastAsia="zh-CN"/>
        </w:rPr>
        <w:t>17.2预付款</w:t>
      </w:r>
      <w:bookmarkEnd w:id="969"/>
      <w:bookmarkEnd w:id="970"/>
      <w:bookmarkEnd w:id="971"/>
      <w:bookmarkEnd w:id="972"/>
      <w:bookmarkEnd w:id="973"/>
      <w:bookmarkEnd w:id="974"/>
    </w:p>
    <w:p w14:paraId="52979194">
      <w:pPr>
        <w:pStyle w:val="96"/>
        <w:pageBreakBefore w:val="0"/>
        <w:widowControl w:val="0"/>
        <w:kinsoku/>
        <w:wordWrap/>
        <w:overflowPunct/>
        <w:topLinePunct w:val="0"/>
        <w:autoSpaceDE/>
        <w:autoSpaceDN/>
        <w:bidi w:val="0"/>
        <w:adjustRightInd/>
        <w:snapToGrid/>
        <w:spacing w:after="0" w:line="440" w:lineRule="exact"/>
        <w:ind w:left="0" w:leftChars="0" w:firstLine="440"/>
        <w:jc w:val="both"/>
        <w:textAlignment w:val="auto"/>
        <w:rPr>
          <w:rStyle w:val="31"/>
          <w:rFonts w:hint="eastAsia" w:ascii="宋体" w:hAnsi="宋体" w:eastAsia="宋体" w:cs="宋体"/>
          <w:color w:val="auto"/>
          <w:lang w:eastAsia="zh-CN"/>
        </w:rPr>
      </w:pPr>
      <w:r>
        <w:rPr>
          <w:rStyle w:val="31"/>
          <w:rFonts w:hint="eastAsia" w:ascii="宋体" w:hAnsi="宋体" w:eastAsia="宋体" w:cs="宋体"/>
          <w:color w:val="auto"/>
          <w:lang w:eastAsia="zh-CN"/>
        </w:rPr>
        <w:t>17.2.1</w:t>
      </w:r>
      <w:r>
        <w:rPr>
          <w:rStyle w:val="31"/>
          <w:rFonts w:hint="eastAsia" w:ascii="宋体" w:hAnsi="宋体" w:eastAsia="宋体" w:cs="宋体"/>
          <w:color w:val="auto"/>
          <w:lang w:val="zh-CN" w:eastAsia="zh-CN" w:bidi="zh-CN"/>
        </w:rPr>
        <w:t>预付款</w:t>
      </w:r>
    </w:p>
    <w:p w14:paraId="09FBE25B">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727AF4BF">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eastAsia="en-US" w:bidi="en-US"/>
        </w:rPr>
        <w:t>17.2.2</w:t>
      </w:r>
      <w:r>
        <w:rPr>
          <w:rStyle w:val="31"/>
          <w:rFonts w:hint="eastAsia" w:ascii="宋体" w:hAnsi="宋体" w:eastAsia="宋体" w:cs="宋体"/>
          <w:color w:val="auto"/>
        </w:rPr>
        <w:t>预付款保函(担保)</w:t>
      </w:r>
    </w:p>
    <w:p w14:paraId="5C18984C">
      <w:pPr>
        <w:pStyle w:val="95"/>
        <w:pageBreakBefore w:val="0"/>
        <w:widowControl w:val="0"/>
        <w:numPr>
          <w:ilvl w:val="0"/>
          <w:numId w:val="21"/>
        </w:numPr>
        <w:tabs>
          <w:tab w:val="left" w:pos="899"/>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975" w:name="bookmark1350"/>
      <w:bookmarkEnd w:id="975"/>
      <w:r>
        <w:rPr>
          <w:rStyle w:val="31"/>
          <w:rFonts w:hint="eastAsia" w:ascii="宋体" w:hAnsi="宋体" w:eastAsia="宋体" w:cs="宋体"/>
          <w:color w:val="auto"/>
        </w:rPr>
        <w:t>承包人应在收到第一次工程预付款的同时向发包人提交工程预付款担保，担保金额应与第一次工程预付款金额相同，工程预付款担保在第一次工程预付款被发包人扣回前一直有效。</w:t>
      </w:r>
    </w:p>
    <w:p w14:paraId="76B7C315">
      <w:pPr>
        <w:pStyle w:val="95"/>
        <w:pageBreakBefore w:val="0"/>
        <w:widowControl w:val="0"/>
        <w:numPr>
          <w:ilvl w:val="0"/>
          <w:numId w:val="21"/>
        </w:numPr>
        <w:tabs>
          <w:tab w:val="left" w:pos="903"/>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976" w:name="bookmark1351"/>
      <w:bookmarkEnd w:id="976"/>
      <w:r>
        <w:rPr>
          <w:rStyle w:val="31"/>
          <w:rFonts w:hint="eastAsia" w:ascii="宋体" w:hAnsi="宋体" w:eastAsia="宋体" w:cs="宋体"/>
          <w:color w:val="auto"/>
        </w:rPr>
        <w:t>工程材料预付款的担保在专用合同条款中约定。</w:t>
      </w:r>
    </w:p>
    <w:p w14:paraId="6352B73E">
      <w:pPr>
        <w:pStyle w:val="95"/>
        <w:pageBreakBefore w:val="0"/>
        <w:widowControl w:val="0"/>
        <w:numPr>
          <w:ilvl w:val="0"/>
          <w:numId w:val="21"/>
        </w:numPr>
        <w:tabs>
          <w:tab w:val="left" w:pos="88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977" w:name="bookmark1352"/>
      <w:bookmarkEnd w:id="977"/>
      <w:r>
        <w:rPr>
          <w:rStyle w:val="31"/>
          <w:rFonts w:hint="eastAsia" w:ascii="宋体" w:hAnsi="宋体" w:eastAsia="宋体" w:cs="宋体"/>
          <w:color w:val="auto"/>
        </w:rPr>
        <w:t>预付款担保的担保金额可根据预付款扣回的金额相应递减。</w:t>
      </w:r>
    </w:p>
    <w:p w14:paraId="55E83E37">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17.2.3</w:t>
      </w:r>
      <w:r>
        <w:rPr>
          <w:rStyle w:val="31"/>
          <w:rFonts w:hint="eastAsia" w:ascii="宋体" w:hAnsi="宋体" w:eastAsia="宋体" w:cs="宋体"/>
          <w:color w:val="auto"/>
        </w:rPr>
        <w:t>预付款的扣回与还清</w:t>
      </w:r>
    </w:p>
    <w:p w14:paraId="24CE6B5A">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预付款在进度付款中扣回，扣回与还清办法在专用合同条款中约定。在颁发合同工程 完工证书前，由于不可抗力或其它原因解除合同时，预付款尚未扣清的，尚未扣清的预付款余额应作为承包人的到期应付款。</w:t>
      </w:r>
    </w:p>
    <w:p w14:paraId="02C7E5FC">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978" w:name="bookmark1355"/>
      <w:bookmarkStart w:id="979" w:name="bookmark1354"/>
      <w:bookmarkStart w:id="980" w:name="_Toc2053"/>
      <w:bookmarkStart w:id="981" w:name="bookmark1353"/>
      <w:bookmarkStart w:id="982" w:name="_Toc13772"/>
      <w:bookmarkStart w:id="983" w:name="_Toc256000124"/>
      <w:r>
        <w:rPr>
          <w:rStyle w:val="31"/>
          <w:rFonts w:hint="eastAsia" w:ascii="宋体" w:hAnsi="宋体" w:eastAsia="宋体" w:cs="宋体"/>
          <w:color w:val="auto"/>
          <w:sz w:val="24"/>
          <w:szCs w:val="24"/>
          <w:lang w:eastAsia="zh-CN"/>
        </w:rPr>
        <w:t>17.3工程进度付款</w:t>
      </w:r>
      <w:bookmarkEnd w:id="978"/>
      <w:bookmarkEnd w:id="979"/>
      <w:bookmarkEnd w:id="980"/>
      <w:bookmarkEnd w:id="981"/>
      <w:bookmarkEnd w:id="982"/>
      <w:bookmarkEnd w:id="983"/>
    </w:p>
    <w:p w14:paraId="75123D14">
      <w:pPr>
        <w:pStyle w:val="96"/>
        <w:pageBreakBefore w:val="0"/>
        <w:widowControl w:val="0"/>
        <w:kinsoku/>
        <w:wordWrap/>
        <w:overflowPunct/>
        <w:topLinePunct w:val="0"/>
        <w:autoSpaceDE/>
        <w:autoSpaceDN/>
        <w:bidi w:val="0"/>
        <w:adjustRightInd/>
        <w:snapToGrid/>
        <w:spacing w:after="0" w:line="440" w:lineRule="exact"/>
        <w:ind w:left="0" w:leftChars="0"/>
        <w:textAlignment w:val="auto"/>
        <w:rPr>
          <w:rStyle w:val="31"/>
          <w:rFonts w:hint="eastAsia" w:ascii="宋体" w:hAnsi="宋体" w:eastAsia="宋体" w:cs="宋体"/>
          <w:color w:val="auto"/>
          <w:lang w:eastAsia="zh-CN"/>
        </w:rPr>
      </w:pPr>
      <w:r>
        <w:rPr>
          <w:rStyle w:val="31"/>
          <w:rFonts w:hint="eastAsia" w:ascii="宋体" w:hAnsi="宋体" w:eastAsia="宋体" w:cs="宋体"/>
          <w:color w:val="auto"/>
          <w:lang w:eastAsia="zh-CN"/>
        </w:rPr>
        <w:t>17.3.1</w:t>
      </w:r>
      <w:r>
        <w:rPr>
          <w:rStyle w:val="31"/>
          <w:rFonts w:hint="eastAsia" w:ascii="宋体" w:hAnsi="宋体" w:eastAsia="宋体" w:cs="宋体"/>
          <w:color w:val="auto"/>
          <w:lang w:val="zh-CN" w:eastAsia="zh-CN" w:bidi="zh-CN"/>
        </w:rPr>
        <w:t>付款周期</w:t>
      </w:r>
    </w:p>
    <w:p w14:paraId="4EC270F0">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rPr>
        <w:t>付款周期同计量周期。</w:t>
      </w:r>
    </w:p>
    <w:p w14:paraId="276E2F09">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17.3.2</w:t>
      </w:r>
      <w:r>
        <w:rPr>
          <w:rStyle w:val="31"/>
          <w:rFonts w:hint="eastAsia" w:ascii="宋体" w:hAnsi="宋体" w:eastAsia="宋体" w:cs="宋体"/>
          <w:color w:val="auto"/>
        </w:rPr>
        <w:t>进度付款申请单</w:t>
      </w:r>
    </w:p>
    <w:p w14:paraId="1A915C00">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5CA5C5B4">
      <w:pPr>
        <w:pStyle w:val="95"/>
        <w:pageBreakBefore w:val="0"/>
        <w:widowControl w:val="0"/>
        <w:numPr>
          <w:ilvl w:val="0"/>
          <w:numId w:val="22"/>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984" w:name="bookmark1356"/>
      <w:bookmarkEnd w:id="984"/>
      <w:r>
        <w:rPr>
          <w:rStyle w:val="31"/>
          <w:rFonts w:hint="eastAsia" w:ascii="宋体" w:hAnsi="宋体" w:eastAsia="宋体" w:cs="宋体"/>
          <w:color w:val="auto"/>
        </w:rPr>
        <w:t>截至本次付款周期末已实施工程的价款；</w:t>
      </w:r>
    </w:p>
    <w:p w14:paraId="46CA1EB9">
      <w:pPr>
        <w:pStyle w:val="95"/>
        <w:pageBreakBefore w:val="0"/>
        <w:widowControl w:val="0"/>
        <w:numPr>
          <w:ilvl w:val="0"/>
          <w:numId w:val="22"/>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985" w:name="bookmark1357"/>
      <w:bookmarkEnd w:id="985"/>
      <w:r>
        <w:rPr>
          <w:rStyle w:val="31"/>
          <w:rFonts w:hint="eastAsia" w:ascii="宋体" w:hAnsi="宋体" w:eastAsia="宋体" w:cs="宋体"/>
          <w:color w:val="auto"/>
        </w:rPr>
        <w:t>根据第15条应增加和扣减的变更金额；</w:t>
      </w:r>
    </w:p>
    <w:p w14:paraId="551C9F47">
      <w:pPr>
        <w:pStyle w:val="95"/>
        <w:pageBreakBefore w:val="0"/>
        <w:widowControl w:val="0"/>
        <w:numPr>
          <w:ilvl w:val="0"/>
          <w:numId w:val="22"/>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986" w:name="bookmark1358"/>
      <w:bookmarkEnd w:id="986"/>
      <w:r>
        <w:rPr>
          <w:rStyle w:val="31"/>
          <w:rFonts w:hint="eastAsia" w:ascii="宋体" w:hAnsi="宋体" w:eastAsia="宋体" w:cs="宋体"/>
          <w:color w:val="auto"/>
        </w:rPr>
        <w:t>根据第23条应增加和扣减的索赔金额；</w:t>
      </w:r>
    </w:p>
    <w:p w14:paraId="5D9A671E">
      <w:pPr>
        <w:pStyle w:val="95"/>
        <w:pageBreakBefore w:val="0"/>
        <w:widowControl w:val="0"/>
        <w:numPr>
          <w:ilvl w:val="0"/>
          <w:numId w:val="22"/>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987" w:name="bookmark1359"/>
      <w:bookmarkEnd w:id="987"/>
      <w:r>
        <w:rPr>
          <w:rStyle w:val="31"/>
          <w:rFonts w:hint="eastAsia" w:ascii="宋体" w:hAnsi="宋体" w:eastAsia="宋体" w:cs="宋体"/>
          <w:color w:val="auto"/>
        </w:rPr>
        <w:t>根据第</w:t>
      </w:r>
      <w:r>
        <w:rPr>
          <w:rStyle w:val="31"/>
          <w:rFonts w:hint="eastAsia" w:ascii="宋体" w:hAnsi="宋体" w:eastAsia="宋体" w:cs="宋体"/>
          <w:color w:val="auto"/>
          <w:lang w:val="en-US" w:bidi="en-US"/>
        </w:rPr>
        <w:t xml:space="preserve">17. </w:t>
      </w:r>
      <w:r>
        <w:rPr>
          <w:rStyle w:val="31"/>
          <w:rFonts w:hint="eastAsia" w:ascii="宋体" w:hAnsi="宋体" w:eastAsia="宋体" w:cs="宋体"/>
          <w:color w:val="auto"/>
        </w:rPr>
        <w:t>2款约定应支付的预付款和扣减的返还预付款；</w:t>
      </w:r>
    </w:p>
    <w:p w14:paraId="46603E03">
      <w:pPr>
        <w:pStyle w:val="95"/>
        <w:pageBreakBefore w:val="0"/>
        <w:widowControl w:val="0"/>
        <w:numPr>
          <w:ilvl w:val="0"/>
          <w:numId w:val="22"/>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988" w:name="bookmark1360"/>
      <w:bookmarkEnd w:id="988"/>
      <w:r>
        <w:rPr>
          <w:rStyle w:val="31"/>
          <w:rFonts w:hint="eastAsia" w:ascii="宋体" w:hAnsi="宋体" w:eastAsia="宋体" w:cs="宋体"/>
          <w:color w:val="auto"/>
        </w:rPr>
        <w:t>根据第</w:t>
      </w:r>
      <w:r>
        <w:rPr>
          <w:rStyle w:val="31"/>
          <w:rFonts w:hint="eastAsia" w:ascii="宋体" w:hAnsi="宋体" w:eastAsia="宋体" w:cs="宋体"/>
          <w:color w:val="auto"/>
          <w:lang w:val="en-US" w:bidi="en-US"/>
        </w:rPr>
        <w:t xml:space="preserve">17.4. </w:t>
      </w:r>
      <w:r>
        <w:rPr>
          <w:rStyle w:val="31"/>
          <w:rFonts w:hint="eastAsia" w:ascii="宋体" w:hAnsi="宋体" w:eastAsia="宋体" w:cs="宋体"/>
          <w:color w:val="auto"/>
        </w:rPr>
        <w:t>1项约定应扣减的质量保证金；</w:t>
      </w:r>
    </w:p>
    <w:p w14:paraId="70A2400D">
      <w:pPr>
        <w:pStyle w:val="95"/>
        <w:pageBreakBefore w:val="0"/>
        <w:widowControl w:val="0"/>
        <w:numPr>
          <w:ilvl w:val="0"/>
          <w:numId w:val="22"/>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989" w:name="bookmark1361"/>
      <w:bookmarkEnd w:id="989"/>
      <w:r>
        <w:rPr>
          <w:rStyle w:val="31"/>
          <w:rFonts w:hint="eastAsia" w:ascii="宋体" w:hAnsi="宋体" w:eastAsia="宋体" w:cs="宋体"/>
          <w:color w:val="auto"/>
        </w:rPr>
        <w:t>根据合同应增加和扣减的其他金额。</w:t>
      </w:r>
    </w:p>
    <w:p w14:paraId="307F2EA7">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17.3.3</w:t>
      </w:r>
      <w:r>
        <w:rPr>
          <w:rStyle w:val="31"/>
          <w:rFonts w:hint="eastAsia" w:ascii="宋体" w:hAnsi="宋体" w:eastAsia="宋体" w:cs="宋体"/>
          <w:color w:val="auto"/>
        </w:rPr>
        <w:t>进度付款证书和支付时间</w:t>
      </w:r>
    </w:p>
    <w:p w14:paraId="62D7E34F">
      <w:pPr>
        <w:pStyle w:val="95"/>
        <w:pageBreakBefore w:val="0"/>
        <w:widowControl w:val="0"/>
        <w:numPr>
          <w:ilvl w:val="0"/>
          <w:numId w:val="23"/>
        </w:numPr>
        <w:tabs>
          <w:tab w:val="left" w:pos="920"/>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990" w:name="bookmark1362"/>
      <w:bookmarkEnd w:id="990"/>
      <w:r>
        <w:rPr>
          <w:rStyle w:val="31"/>
          <w:rFonts w:hint="eastAsia" w:ascii="宋体" w:hAnsi="宋体" w:eastAsia="宋体" w:cs="宋体"/>
          <w:color w:val="auto"/>
        </w:rPr>
        <w:t>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12DA4A8F">
      <w:pPr>
        <w:pStyle w:val="95"/>
        <w:pageBreakBefore w:val="0"/>
        <w:widowControl w:val="0"/>
        <w:numPr>
          <w:ilvl w:val="0"/>
          <w:numId w:val="23"/>
        </w:numPr>
        <w:tabs>
          <w:tab w:val="left" w:pos="922"/>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991" w:name="bookmark1363"/>
      <w:bookmarkEnd w:id="991"/>
      <w:r>
        <w:rPr>
          <w:rStyle w:val="31"/>
          <w:rFonts w:hint="eastAsia" w:ascii="宋体" w:hAnsi="宋体" w:eastAsia="宋体" w:cs="宋体"/>
          <w:color w:val="auto"/>
        </w:rPr>
        <w:t>发包人应在监理人收到进度付款申请单后的28天内，将进度应付款支付给承包人。发包人不按期支付的，按专用合同条款的约定支付逾期付款违约金。</w:t>
      </w:r>
    </w:p>
    <w:p w14:paraId="66F7F2E5">
      <w:pPr>
        <w:pStyle w:val="95"/>
        <w:pageBreakBefore w:val="0"/>
        <w:widowControl w:val="0"/>
        <w:numPr>
          <w:ilvl w:val="0"/>
          <w:numId w:val="23"/>
        </w:numPr>
        <w:tabs>
          <w:tab w:val="left" w:pos="922"/>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992" w:name="bookmark1364"/>
      <w:bookmarkEnd w:id="992"/>
      <w:r>
        <w:rPr>
          <w:rStyle w:val="31"/>
          <w:rFonts w:hint="eastAsia" w:ascii="宋体" w:hAnsi="宋体" w:eastAsia="宋体" w:cs="宋体"/>
          <w:color w:val="auto"/>
        </w:rPr>
        <w:t>监理人出具进度付款证书，不应视为监理人已同意、批准或接受了承包人完成的该部分工作。</w:t>
      </w:r>
    </w:p>
    <w:p w14:paraId="06A46F0D">
      <w:pPr>
        <w:pStyle w:val="95"/>
        <w:pageBreakBefore w:val="0"/>
        <w:widowControl w:val="0"/>
        <w:numPr>
          <w:ilvl w:val="0"/>
          <w:numId w:val="23"/>
        </w:numPr>
        <w:tabs>
          <w:tab w:val="left" w:pos="918"/>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993" w:name="bookmark1365"/>
      <w:bookmarkEnd w:id="993"/>
      <w:r>
        <w:rPr>
          <w:rStyle w:val="31"/>
          <w:rFonts w:hint="eastAsia" w:ascii="宋体" w:hAnsi="宋体" w:eastAsia="宋体" w:cs="宋体"/>
          <w:color w:val="auto"/>
        </w:rPr>
        <w:t>进度付款涉及政府投资资金的，按照国库集中支付等国家相关规定和专用合同条款的约定办理。</w:t>
      </w:r>
    </w:p>
    <w:p w14:paraId="636A8419">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17.3.4</w:t>
      </w:r>
      <w:r>
        <w:rPr>
          <w:rStyle w:val="31"/>
          <w:rFonts w:hint="eastAsia" w:ascii="宋体" w:hAnsi="宋体" w:eastAsia="宋体" w:cs="宋体"/>
          <w:color w:val="auto"/>
        </w:rPr>
        <w:t>工程进度付款的修正</w:t>
      </w:r>
    </w:p>
    <w:p w14:paraId="26CDBBB5">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在对以往历次已签发的进度付款证书进行汇总和复核中发现错、漏或重复的，监理人有权予以修正，承包人也有权提出修正申请。经双方复核同意的修正，应在本次进度付款中支付或扣除。</w:t>
      </w:r>
    </w:p>
    <w:p w14:paraId="05B08F59">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994" w:name="bookmark1366"/>
      <w:bookmarkStart w:id="995" w:name="_Toc27343"/>
      <w:bookmarkStart w:id="996" w:name="_Toc256000125"/>
      <w:bookmarkStart w:id="997" w:name="_Toc24179"/>
      <w:bookmarkStart w:id="998" w:name="bookmark1367"/>
      <w:bookmarkStart w:id="999" w:name="bookmark1368"/>
      <w:r>
        <w:rPr>
          <w:rStyle w:val="31"/>
          <w:rFonts w:hint="eastAsia" w:ascii="宋体" w:hAnsi="宋体" w:eastAsia="宋体" w:cs="宋体"/>
          <w:color w:val="auto"/>
          <w:sz w:val="24"/>
          <w:szCs w:val="24"/>
          <w:lang w:eastAsia="zh-CN"/>
        </w:rPr>
        <w:t>17.4质量保证金</w:t>
      </w:r>
      <w:bookmarkEnd w:id="994"/>
      <w:bookmarkEnd w:id="995"/>
      <w:bookmarkEnd w:id="996"/>
      <w:bookmarkEnd w:id="997"/>
      <w:bookmarkEnd w:id="998"/>
      <w:bookmarkEnd w:id="999"/>
    </w:p>
    <w:p w14:paraId="4D1FEF97">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17.4.1</w:t>
      </w:r>
      <w:r>
        <w:rPr>
          <w:rStyle w:val="31"/>
          <w:rFonts w:hint="eastAsia" w:ascii="宋体" w:hAnsi="宋体" w:eastAsia="宋体" w:cs="宋体"/>
          <w:color w:val="auto"/>
        </w:rPr>
        <w:t>监理人应从第一个工程进度付款周期开始，在发包人的进度付款中，按专用合同条款约定扣留质量保证金，直至扣留的工程质量保证金总额达到专用合同条款约定的金额或比例为止。质量保证金的计算额度不包括预付款的支付与扣回金额。</w:t>
      </w:r>
    </w:p>
    <w:p w14:paraId="511823DC">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17.4.2</w:t>
      </w:r>
      <w:r>
        <w:rPr>
          <w:rStyle w:val="31"/>
          <w:rFonts w:hint="eastAsia" w:ascii="宋体" w:hAnsi="宋体" w:eastAsia="宋体" w:cs="宋体"/>
          <w:color w:val="auto"/>
        </w:rPr>
        <w:t>竣工验收鉴定书签署后14天内，发包人将质量保证金总额的一半支付给承包人。在第</w:t>
      </w:r>
      <w:r>
        <w:rPr>
          <w:rStyle w:val="31"/>
          <w:rFonts w:hint="eastAsia" w:ascii="宋体" w:hAnsi="宋体" w:eastAsia="宋体" w:cs="宋体"/>
          <w:color w:val="auto"/>
          <w:lang w:val="en-US" w:bidi="en-US"/>
        </w:rPr>
        <w:t xml:space="preserve">1.1. 4. </w:t>
      </w:r>
      <w:r>
        <w:rPr>
          <w:rStyle w:val="31"/>
          <w:rFonts w:hint="eastAsia" w:ascii="宋体" w:hAnsi="宋体" w:eastAsia="宋体" w:cs="宋体"/>
          <w:color w:val="auto"/>
        </w:rPr>
        <w:t>5目约定的缺陷责任期(工程质量保修期)满时，发包人将在30个工作日内会同承包人按照合同约定的内容核实承包人是否完成保修责任。如无异议，发包人应当在核实后将剩余的质量保证金支付给承包人。</w:t>
      </w:r>
    </w:p>
    <w:p w14:paraId="07093437">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17.4.3</w:t>
      </w:r>
      <w:r>
        <w:rPr>
          <w:rStyle w:val="31"/>
          <w:rFonts w:hint="eastAsia" w:ascii="宋体" w:hAnsi="宋体" w:eastAsia="宋体" w:cs="宋体"/>
          <w:color w:val="auto"/>
        </w:rPr>
        <w:t>在第</w:t>
      </w:r>
      <w:r>
        <w:rPr>
          <w:rStyle w:val="31"/>
          <w:rFonts w:hint="eastAsia" w:ascii="宋体" w:hAnsi="宋体" w:eastAsia="宋体" w:cs="宋体"/>
          <w:color w:val="auto"/>
          <w:lang w:val="en-US" w:bidi="en-US"/>
        </w:rPr>
        <w:t>1.1.4.</w:t>
      </w:r>
      <w:r>
        <w:rPr>
          <w:rStyle w:val="31"/>
          <w:rFonts w:hint="eastAsia" w:ascii="宋体" w:hAnsi="宋体" w:eastAsia="宋体" w:cs="宋体"/>
          <w:color w:val="auto"/>
        </w:rPr>
        <w:t>5目约定的缺陷责任期满时，承包人没有完成缺陷责任的，发包人有权扣留与未履行责任剩余工作所需金额相应的质量保证金余额，并有权根据第</w:t>
      </w:r>
      <w:r>
        <w:rPr>
          <w:rStyle w:val="31"/>
          <w:rFonts w:hint="eastAsia" w:ascii="宋体" w:hAnsi="宋体" w:eastAsia="宋体" w:cs="宋体"/>
          <w:color w:val="auto"/>
          <w:lang w:val="en-US" w:bidi="en-US"/>
        </w:rPr>
        <w:t xml:space="preserve">19. </w:t>
      </w:r>
      <w:r>
        <w:rPr>
          <w:rStyle w:val="31"/>
          <w:rFonts w:hint="eastAsia" w:ascii="宋体" w:hAnsi="宋体" w:eastAsia="宋体" w:cs="宋体"/>
          <w:color w:val="auto"/>
        </w:rPr>
        <w:t>3款约定要求延长缺陷责任期，直至完成剩余工作为止。</w:t>
      </w:r>
    </w:p>
    <w:p w14:paraId="7341EC1A">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000" w:name="bookmark1369"/>
      <w:bookmarkStart w:id="1001" w:name="bookmark1370"/>
      <w:bookmarkStart w:id="1002" w:name="_Toc27561"/>
      <w:bookmarkStart w:id="1003" w:name="_Toc256000126"/>
      <w:bookmarkStart w:id="1004" w:name="_Toc23362"/>
      <w:bookmarkStart w:id="1005" w:name="bookmark1371"/>
      <w:r>
        <w:rPr>
          <w:rStyle w:val="31"/>
          <w:rFonts w:hint="eastAsia" w:ascii="宋体" w:hAnsi="宋体" w:eastAsia="宋体" w:cs="宋体"/>
          <w:color w:val="auto"/>
          <w:sz w:val="24"/>
          <w:szCs w:val="24"/>
          <w:lang w:eastAsia="zh-CN"/>
        </w:rPr>
        <w:t>17.5竣工结算(完工结算)</w:t>
      </w:r>
      <w:bookmarkEnd w:id="1000"/>
      <w:bookmarkEnd w:id="1001"/>
      <w:bookmarkEnd w:id="1002"/>
      <w:bookmarkEnd w:id="1003"/>
      <w:bookmarkEnd w:id="1004"/>
      <w:bookmarkEnd w:id="1005"/>
    </w:p>
    <w:p w14:paraId="40A7E4FC">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17.5.1</w:t>
      </w:r>
      <w:r>
        <w:rPr>
          <w:rStyle w:val="31"/>
          <w:rFonts w:hint="eastAsia" w:ascii="宋体" w:hAnsi="宋体" w:eastAsia="宋体" w:cs="宋体"/>
          <w:color w:val="auto"/>
        </w:rPr>
        <w:t>竣工(完工)付款申请单</w:t>
      </w:r>
    </w:p>
    <w:p w14:paraId="6DF134EC">
      <w:pPr>
        <w:pStyle w:val="95"/>
        <w:pageBreakBefore w:val="0"/>
        <w:widowControl w:val="0"/>
        <w:numPr>
          <w:ilvl w:val="0"/>
          <w:numId w:val="24"/>
        </w:numPr>
        <w:tabs>
          <w:tab w:val="left" w:pos="918"/>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006" w:name="bookmark1372"/>
      <w:bookmarkEnd w:id="1006"/>
      <w:r>
        <w:rPr>
          <w:rStyle w:val="31"/>
          <w:rFonts w:hint="eastAsia" w:ascii="宋体" w:hAnsi="宋体" w:eastAsia="宋体" w:cs="宋体"/>
          <w:color w:val="auto"/>
        </w:rPr>
        <w:t>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75B3C5AC">
      <w:pPr>
        <w:pStyle w:val="95"/>
        <w:pageBreakBefore w:val="0"/>
        <w:widowControl w:val="0"/>
        <w:numPr>
          <w:ilvl w:val="0"/>
          <w:numId w:val="24"/>
        </w:numPr>
        <w:tabs>
          <w:tab w:val="left" w:pos="916"/>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007" w:name="bookmark1373"/>
      <w:bookmarkEnd w:id="1007"/>
      <w:r>
        <w:rPr>
          <w:rStyle w:val="31"/>
          <w:rFonts w:hint="eastAsia" w:ascii="宋体" w:hAnsi="宋体" w:eastAsia="宋体" w:cs="宋体"/>
          <w:color w:val="auto"/>
        </w:rPr>
        <w:t>监理人对完工付款申请单有异议的，有权要求承包人进行修正和提供补充资料。经监理人和承包人协商后，由承包人向监理人提交修正后的完工付款申请单。</w:t>
      </w:r>
    </w:p>
    <w:p w14:paraId="1260489F">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17.5.2</w:t>
      </w:r>
      <w:r>
        <w:rPr>
          <w:rStyle w:val="31"/>
          <w:rFonts w:hint="eastAsia" w:ascii="宋体" w:hAnsi="宋体" w:eastAsia="宋体" w:cs="宋体"/>
          <w:color w:val="auto"/>
        </w:rPr>
        <w:t>竣工(完工)付款证书及支付时间</w:t>
      </w:r>
    </w:p>
    <w:p w14:paraId="7A6F495B">
      <w:pPr>
        <w:pStyle w:val="95"/>
        <w:pageBreakBefore w:val="0"/>
        <w:widowControl w:val="0"/>
        <w:numPr>
          <w:ilvl w:val="0"/>
          <w:numId w:val="25"/>
        </w:numPr>
        <w:tabs>
          <w:tab w:val="left" w:pos="918"/>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008" w:name="bookmark1374"/>
      <w:bookmarkEnd w:id="1008"/>
      <w:r>
        <w:rPr>
          <w:rStyle w:val="31"/>
          <w:rFonts w:hint="eastAsia" w:ascii="宋体" w:hAnsi="宋体" w:eastAsia="宋体" w:cs="宋体"/>
          <w:color w:val="auto"/>
        </w:rPr>
        <w:t>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 又未提出具体意见的，视为承包人提交的完工付款申请单已经监理人核查同意。发包人未 在约定时间内审核又未提出具体意见的，监理人提出发包人到期应支付给承包人的价款视 为已经发包人同意。</w:t>
      </w:r>
    </w:p>
    <w:p w14:paraId="5162BC8D">
      <w:pPr>
        <w:pStyle w:val="95"/>
        <w:pageBreakBefore w:val="0"/>
        <w:widowControl w:val="0"/>
        <w:numPr>
          <w:ilvl w:val="0"/>
          <w:numId w:val="25"/>
        </w:numPr>
        <w:tabs>
          <w:tab w:val="left" w:pos="918"/>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009" w:name="bookmark1375"/>
      <w:bookmarkEnd w:id="1009"/>
      <w:r>
        <w:rPr>
          <w:rStyle w:val="31"/>
          <w:rFonts w:hint="eastAsia" w:ascii="宋体" w:hAnsi="宋体" w:eastAsia="宋体" w:cs="宋体"/>
          <w:color w:val="auto"/>
        </w:rPr>
        <w:t>发包人应在监理人出具完工付款证书后的14天内，将应支付款支付给承包人。发包人不按期支付的，按第</w:t>
      </w:r>
      <w:r>
        <w:rPr>
          <w:rStyle w:val="31"/>
          <w:rFonts w:hint="eastAsia" w:ascii="宋体" w:hAnsi="宋体" w:eastAsia="宋体" w:cs="宋体"/>
          <w:color w:val="auto"/>
          <w:lang w:val="en-US" w:bidi="en-US"/>
        </w:rPr>
        <w:t xml:space="preserve">17.3.3 </w:t>
      </w:r>
      <w:r>
        <w:rPr>
          <w:rStyle w:val="31"/>
          <w:rFonts w:hint="eastAsia" w:ascii="宋体" w:hAnsi="宋体" w:eastAsia="宋体" w:cs="宋体"/>
          <w:color w:val="auto"/>
        </w:rPr>
        <w:t>(2)目的约定，将逾期付款违约金支付给承包人。</w:t>
      </w:r>
    </w:p>
    <w:p w14:paraId="02AB3D70">
      <w:pPr>
        <w:pStyle w:val="95"/>
        <w:pageBreakBefore w:val="0"/>
        <w:widowControl w:val="0"/>
        <w:numPr>
          <w:ilvl w:val="0"/>
          <w:numId w:val="25"/>
        </w:numPr>
        <w:tabs>
          <w:tab w:val="left" w:pos="914"/>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010" w:name="bookmark1376"/>
      <w:bookmarkEnd w:id="1010"/>
      <w:r>
        <w:rPr>
          <w:rStyle w:val="31"/>
          <w:rFonts w:hint="eastAsia" w:ascii="宋体" w:hAnsi="宋体" w:eastAsia="宋体" w:cs="宋体"/>
          <w:color w:val="auto"/>
        </w:rPr>
        <w:t>承包人对发包人签认的完工付款证书有异议的，发包人可出具完工付款申请单中承包人已同意部分的临时付款证书。存在争议的部分，按第24条的约定办理。</w:t>
      </w:r>
    </w:p>
    <w:p w14:paraId="6E7EAF06">
      <w:pPr>
        <w:pStyle w:val="95"/>
        <w:pageBreakBefore w:val="0"/>
        <w:widowControl w:val="0"/>
        <w:numPr>
          <w:ilvl w:val="0"/>
          <w:numId w:val="25"/>
        </w:numPr>
        <w:tabs>
          <w:tab w:val="left" w:pos="922"/>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011" w:name="bookmark1377"/>
      <w:bookmarkEnd w:id="1011"/>
      <w:r>
        <w:rPr>
          <w:rStyle w:val="31"/>
          <w:rFonts w:hint="eastAsia" w:ascii="宋体" w:hAnsi="宋体" w:eastAsia="宋体" w:cs="宋体"/>
          <w:color w:val="auto"/>
        </w:rPr>
        <w:t>完工付款涉及政府投资资金的，按第</w:t>
      </w:r>
      <w:r>
        <w:rPr>
          <w:rStyle w:val="31"/>
          <w:rFonts w:hint="eastAsia" w:ascii="宋体" w:hAnsi="宋体" w:eastAsia="宋体" w:cs="宋体"/>
          <w:color w:val="auto"/>
          <w:lang w:val="en-US" w:bidi="en-US"/>
        </w:rPr>
        <w:t xml:space="preserve">17.3.3 </w:t>
      </w:r>
      <w:r>
        <w:rPr>
          <w:rStyle w:val="31"/>
          <w:rFonts w:hint="eastAsia" w:ascii="宋体" w:hAnsi="宋体" w:eastAsia="宋体" w:cs="宋体"/>
          <w:color w:val="auto"/>
        </w:rPr>
        <w:t>(4)目的约定办理。</w:t>
      </w:r>
    </w:p>
    <w:p w14:paraId="40C14511">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012" w:name="bookmark1379"/>
      <w:bookmarkStart w:id="1013" w:name="bookmark1378"/>
      <w:bookmarkStart w:id="1014" w:name="_Toc12143"/>
      <w:bookmarkStart w:id="1015" w:name="bookmark1380"/>
      <w:bookmarkStart w:id="1016" w:name="_Toc256000127"/>
      <w:bookmarkStart w:id="1017" w:name="_Toc20149"/>
      <w:r>
        <w:rPr>
          <w:rStyle w:val="31"/>
          <w:rFonts w:hint="eastAsia" w:ascii="宋体" w:hAnsi="宋体" w:eastAsia="宋体" w:cs="宋体"/>
          <w:color w:val="auto"/>
          <w:sz w:val="24"/>
          <w:szCs w:val="24"/>
          <w:lang w:eastAsia="zh-CN"/>
        </w:rPr>
        <w:t>17.6最终结清</w:t>
      </w:r>
      <w:bookmarkEnd w:id="1012"/>
      <w:bookmarkEnd w:id="1013"/>
      <w:bookmarkEnd w:id="1014"/>
      <w:bookmarkEnd w:id="1015"/>
      <w:bookmarkEnd w:id="1016"/>
      <w:bookmarkEnd w:id="1017"/>
    </w:p>
    <w:p w14:paraId="0DBEDDF8">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17.6.1</w:t>
      </w:r>
      <w:r>
        <w:rPr>
          <w:rStyle w:val="31"/>
          <w:rFonts w:hint="eastAsia" w:ascii="宋体" w:hAnsi="宋体" w:eastAsia="宋体" w:cs="宋体"/>
          <w:color w:val="auto"/>
        </w:rPr>
        <w:t>最终结清申请单</w:t>
      </w:r>
    </w:p>
    <w:p w14:paraId="008C0E01">
      <w:pPr>
        <w:pStyle w:val="95"/>
        <w:pageBreakBefore w:val="0"/>
        <w:widowControl w:val="0"/>
        <w:numPr>
          <w:ilvl w:val="0"/>
          <w:numId w:val="26"/>
        </w:numPr>
        <w:tabs>
          <w:tab w:val="left" w:pos="894"/>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018" w:name="bookmark1381"/>
      <w:bookmarkEnd w:id="1018"/>
      <w:r>
        <w:rPr>
          <w:rStyle w:val="31"/>
          <w:rFonts w:hint="eastAsia" w:ascii="宋体" w:hAnsi="宋体" w:eastAsia="宋体" w:cs="宋体"/>
          <w:color w:val="auto"/>
        </w:rPr>
        <w:t>工程质量保修责任终止证书签发后，承包人应按监理人批准的格式提交最终结清申请单。提交最终结清申请单的份数在专用合同条款中约定。</w:t>
      </w:r>
    </w:p>
    <w:p w14:paraId="0BCE7B23">
      <w:pPr>
        <w:pStyle w:val="95"/>
        <w:pageBreakBefore w:val="0"/>
        <w:widowControl w:val="0"/>
        <w:numPr>
          <w:ilvl w:val="0"/>
          <w:numId w:val="26"/>
        </w:numPr>
        <w:tabs>
          <w:tab w:val="left" w:pos="918"/>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019" w:name="bookmark1382"/>
      <w:bookmarkEnd w:id="1019"/>
      <w:r>
        <w:rPr>
          <w:rStyle w:val="31"/>
          <w:rFonts w:hint="eastAsia" w:ascii="宋体" w:hAnsi="宋体" w:eastAsia="宋体" w:cs="宋体"/>
          <w:color w:val="auto"/>
        </w:rPr>
        <w:t>发包人对最终结清申请单内容有异议的，有权要求承包人进行修正和提供补充资料，由承包人向监理人提交修正后的最终结清申请单。</w:t>
      </w:r>
    </w:p>
    <w:p w14:paraId="276874A5">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17.6.2</w:t>
      </w:r>
      <w:r>
        <w:rPr>
          <w:rStyle w:val="31"/>
          <w:rFonts w:hint="eastAsia" w:ascii="宋体" w:hAnsi="宋体" w:eastAsia="宋体" w:cs="宋体"/>
          <w:color w:val="auto"/>
        </w:rPr>
        <w:t>最终结清证书和支付时间</w:t>
      </w:r>
    </w:p>
    <w:p w14:paraId="39AF8798">
      <w:pPr>
        <w:pStyle w:val="95"/>
        <w:pageBreakBefore w:val="0"/>
        <w:widowControl w:val="0"/>
        <w:numPr>
          <w:ilvl w:val="0"/>
          <w:numId w:val="27"/>
        </w:numPr>
        <w:tabs>
          <w:tab w:val="left" w:pos="918"/>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020" w:name="bookmark1383"/>
      <w:bookmarkEnd w:id="1020"/>
      <w:r>
        <w:rPr>
          <w:rStyle w:val="31"/>
          <w:rFonts w:hint="eastAsia" w:ascii="宋体" w:hAnsi="宋体" w:eastAsia="宋体" w:cs="宋体"/>
          <w:color w:val="auto"/>
        </w:rPr>
        <w:t>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4B0B3298">
      <w:pPr>
        <w:pStyle w:val="95"/>
        <w:pageBreakBefore w:val="0"/>
        <w:widowControl w:val="0"/>
        <w:numPr>
          <w:ilvl w:val="0"/>
          <w:numId w:val="27"/>
        </w:numPr>
        <w:tabs>
          <w:tab w:val="left" w:pos="918"/>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021" w:name="bookmark1384"/>
      <w:bookmarkEnd w:id="1021"/>
      <w:r>
        <w:rPr>
          <w:rStyle w:val="31"/>
          <w:rFonts w:hint="eastAsia" w:ascii="宋体" w:hAnsi="宋体" w:eastAsia="宋体" w:cs="宋体"/>
          <w:color w:val="auto"/>
        </w:rPr>
        <w:t>发包人应在监理人出具最终结清证书后的14天内，将应支付款支付给承包人。发包人不按期支付的，按第</w:t>
      </w:r>
      <w:r>
        <w:rPr>
          <w:rStyle w:val="31"/>
          <w:rFonts w:hint="eastAsia" w:ascii="宋体" w:hAnsi="宋体" w:eastAsia="宋体" w:cs="宋体"/>
          <w:color w:val="auto"/>
          <w:lang w:val="en-US" w:bidi="en-US"/>
        </w:rPr>
        <w:t xml:space="preserve">17.3.3 </w:t>
      </w:r>
      <w:r>
        <w:rPr>
          <w:rStyle w:val="31"/>
          <w:rFonts w:hint="eastAsia" w:ascii="宋体" w:hAnsi="宋体" w:eastAsia="宋体" w:cs="宋体"/>
          <w:color w:val="auto"/>
        </w:rPr>
        <w:t>(2)目的约定，将逾期付款违约金支付给承包人。</w:t>
      </w:r>
    </w:p>
    <w:p w14:paraId="25A50C02">
      <w:pPr>
        <w:pStyle w:val="95"/>
        <w:pageBreakBefore w:val="0"/>
        <w:widowControl w:val="0"/>
        <w:numPr>
          <w:ilvl w:val="0"/>
          <w:numId w:val="27"/>
        </w:numPr>
        <w:tabs>
          <w:tab w:val="left" w:pos="922"/>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022" w:name="bookmark1385"/>
      <w:bookmarkEnd w:id="1022"/>
      <w:r>
        <w:rPr>
          <w:rStyle w:val="31"/>
          <w:rFonts w:hint="eastAsia" w:ascii="宋体" w:hAnsi="宋体" w:eastAsia="宋体" w:cs="宋体"/>
          <w:color w:val="auto"/>
        </w:rPr>
        <w:t>承包人对发包人签认的最终结清证书有异议的，按第24条的约定办理。</w:t>
      </w:r>
    </w:p>
    <w:p w14:paraId="470871BE">
      <w:pPr>
        <w:pStyle w:val="95"/>
        <w:pageBreakBefore w:val="0"/>
        <w:widowControl w:val="0"/>
        <w:numPr>
          <w:ilvl w:val="0"/>
          <w:numId w:val="27"/>
        </w:numPr>
        <w:tabs>
          <w:tab w:val="left" w:pos="922"/>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023" w:name="bookmark1386"/>
      <w:bookmarkEnd w:id="1023"/>
      <w:r>
        <w:rPr>
          <w:rStyle w:val="31"/>
          <w:rFonts w:hint="eastAsia" w:ascii="宋体" w:hAnsi="宋体" w:eastAsia="宋体" w:cs="宋体"/>
          <w:color w:val="auto"/>
        </w:rPr>
        <w:t>最终结清付款涉及政府投资资金的，按第</w:t>
      </w:r>
      <w:r>
        <w:rPr>
          <w:rStyle w:val="31"/>
          <w:rFonts w:hint="eastAsia" w:ascii="宋体" w:hAnsi="宋体" w:eastAsia="宋体" w:cs="宋体"/>
          <w:color w:val="auto"/>
          <w:lang w:val="en-US" w:bidi="en-US"/>
        </w:rPr>
        <w:t xml:space="preserve">17.3.3 </w:t>
      </w:r>
      <w:r>
        <w:rPr>
          <w:rStyle w:val="31"/>
          <w:rFonts w:hint="eastAsia" w:ascii="宋体" w:hAnsi="宋体" w:eastAsia="宋体" w:cs="宋体"/>
          <w:color w:val="auto"/>
        </w:rPr>
        <w:t>(4)目的约定办理。</w:t>
      </w:r>
    </w:p>
    <w:p w14:paraId="58A79077">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024" w:name="bookmark1389"/>
      <w:bookmarkStart w:id="1025" w:name="_Toc1639"/>
      <w:bookmarkStart w:id="1026" w:name="bookmark1388"/>
      <w:bookmarkStart w:id="1027" w:name="bookmark1387"/>
      <w:bookmarkStart w:id="1028" w:name="_Toc4347"/>
      <w:bookmarkStart w:id="1029" w:name="_Toc256000128"/>
      <w:r>
        <w:rPr>
          <w:rStyle w:val="31"/>
          <w:rFonts w:hint="eastAsia" w:ascii="宋体" w:hAnsi="宋体" w:eastAsia="宋体" w:cs="宋体"/>
          <w:color w:val="auto"/>
          <w:sz w:val="24"/>
          <w:szCs w:val="24"/>
          <w:lang w:eastAsia="zh-CN"/>
        </w:rPr>
        <w:t>17.7竣工财务决算</w:t>
      </w:r>
      <w:bookmarkEnd w:id="1024"/>
      <w:bookmarkEnd w:id="1025"/>
      <w:bookmarkEnd w:id="1026"/>
      <w:bookmarkEnd w:id="1027"/>
      <w:bookmarkEnd w:id="1028"/>
      <w:bookmarkEnd w:id="1029"/>
    </w:p>
    <w:p w14:paraId="1A88BEEA">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发包人负责编制本工程项目竣工财务决算，承包人应按专用合同条款的约定提供竣工财务决算编制所需的相关材料。</w:t>
      </w:r>
    </w:p>
    <w:p w14:paraId="0847468B">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030" w:name="_Toc9623"/>
      <w:bookmarkStart w:id="1031" w:name="_Toc256000129"/>
      <w:bookmarkStart w:id="1032" w:name="bookmark1391"/>
      <w:bookmarkStart w:id="1033" w:name="_Toc22243"/>
      <w:bookmarkStart w:id="1034" w:name="bookmark1390"/>
      <w:bookmarkStart w:id="1035" w:name="bookmark1392"/>
      <w:r>
        <w:rPr>
          <w:rStyle w:val="31"/>
          <w:rFonts w:hint="eastAsia" w:ascii="宋体" w:hAnsi="宋体" w:eastAsia="宋体" w:cs="宋体"/>
          <w:color w:val="auto"/>
          <w:sz w:val="24"/>
          <w:szCs w:val="24"/>
          <w:lang w:eastAsia="zh-CN"/>
        </w:rPr>
        <w:t>17.8竣工审计</w:t>
      </w:r>
      <w:bookmarkEnd w:id="1030"/>
      <w:bookmarkEnd w:id="1031"/>
      <w:bookmarkEnd w:id="1032"/>
      <w:bookmarkEnd w:id="1033"/>
      <w:bookmarkEnd w:id="1034"/>
      <w:bookmarkEnd w:id="1035"/>
    </w:p>
    <w:p w14:paraId="044FEDA0">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rPr>
        <w:t>发包人负责完成本工程竣工审计手续，承包人应完成相关配合工作。</w:t>
      </w:r>
    </w:p>
    <w:p w14:paraId="45C1CD38">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lang w:eastAsia="zh-CN"/>
        </w:rPr>
      </w:pPr>
      <w:bookmarkStart w:id="1036" w:name="_Toc256000130"/>
      <w:bookmarkStart w:id="1037" w:name="bookmark1394"/>
      <w:bookmarkStart w:id="1038" w:name="_Toc15468"/>
      <w:bookmarkStart w:id="1039" w:name="bookmark1393"/>
      <w:bookmarkStart w:id="1040" w:name="_Toc27318"/>
      <w:bookmarkStart w:id="1041" w:name="bookmark1395"/>
      <w:r>
        <w:rPr>
          <w:rStyle w:val="31"/>
          <w:rFonts w:hint="eastAsia" w:ascii="宋体" w:hAnsi="宋体" w:eastAsia="宋体" w:cs="宋体"/>
          <w:color w:val="auto"/>
          <w:lang w:eastAsia="zh-CN"/>
        </w:rPr>
        <w:t>18.竣工验收（验收）</w:t>
      </w:r>
      <w:bookmarkEnd w:id="1036"/>
      <w:bookmarkEnd w:id="1037"/>
      <w:bookmarkEnd w:id="1038"/>
      <w:bookmarkEnd w:id="1039"/>
      <w:bookmarkEnd w:id="1040"/>
      <w:bookmarkEnd w:id="1041"/>
    </w:p>
    <w:p w14:paraId="21D57DFC">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042" w:name="_Toc1314"/>
      <w:bookmarkStart w:id="1043" w:name="_Toc20245"/>
      <w:bookmarkStart w:id="1044" w:name="bookmark1398"/>
      <w:bookmarkStart w:id="1045" w:name="bookmark1396"/>
      <w:bookmarkStart w:id="1046" w:name="_Toc256000131"/>
      <w:bookmarkStart w:id="1047" w:name="bookmark1397"/>
      <w:r>
        <w:rPr>
          <w:rStyle w:val="31"/>
          <w:rFonts w:hint="eastAsia" w:ascii="宋体" w:hAnsi="宋体" w:eastAsia="宋体" w:cs="宋体"/>
          <w:color w:val="auto"/>
          <w:sz w:val="24"/>
          <w:szCs w:val="24"/>
          <w:lang w:eastAsia="zh-CN"/>
        </w:rPr>
        <w:t>18.1验收工作分类</w:t>
      </w:r>
      <w:bookmarkEnd w:id="1042"/>
      <w:bookmarkEnd w:id="1043"/>
      <w:bookmarkEnd w:id="1044"/>
      <w:bookmarkEnd w:id="1045"/>
      <w:bookmarkEnd w:id="1046"/>
      <w:bookmarkEnd w:id="1047"/>
    </w:p>
    <w:p w14:paraId="5333AB0D">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4FD96EEE">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048" w:name="_Toc256000132"/>
      <w:bookmarkStart w:id="1049" w:name="_Toc8655"/>
      <w:bookmarkStart w:id="1050" w:name="bookmark1400"/>
      <w:bookmarkStart w:id="1051" w:name="_Toc29537"/>
      <w:bookmarkStart w:id="1052" w:name="bookmark1401"/>
      <w:bookmarkStart w:id="1053" w:name="bookmark1399"/>
      <w:r>
        <w:rPr>
          <w:rStyle w:val="31"/>
          <w:rFonts w:hint="eastAsia" w:ascii="宋体" w:hAnsi="宋体" w:eastAsia="宋体" w:cs="宋体"/>
          <w:color w:val="auto"/>
          <w:sz w:val="24"/>
          <w:szCs w:val="24"/>
          <w:lang w:eastAsia="zh-CN"/>
        </w:rPr>
        <w:t>18.2分部工程验收</w:t>
      </w:r>
      <w:bookmarkEnd w:id="1048"/>
      <w:bookmarkEnd w:id="1049"/>
      <w:bookmarkEnd w:id="1050"/>
      <w:bookmarkEnd w:id="1051"/>
      <w:bookmarkEnd w:id="1052"/>
      <w:bookmarkEnd w:id="1053"/>
    </w:p>
    <w:p w14:paraId="56177EBA">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18.2.1</w:t>
      </w:r>
      <w:r>
        <w:rPr>
          <w:rStyle w:val="31"/>
          <w:rFonts w:hint="eastAsia" w:ascii="宋体" w:hAnsi="宋体" w:eastAsia="宋体" w:cs="宋体"/>
          <w:color w:val="auto"/>
        </w:rPr>
        <w:t>分部工程具备验收条件时，承包人应向发包人提交验收申请报告，发包人应在收到验收申请报告之日起10个工作日内决定是否同意进行验收。</w:t>
      </w:r>
    </w:p>
    <w:p w14:paraId="4563EA22">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18.2.2</w:t>
      </w:r>
      <w:r>
        <w:rPr>
          <w:rStyle w:val="31"/>
          <w:rFonts w:hint="eastAsia" w:ascii="宋体" w:hAnsi="宋体" w:eastAsia="宋体" w:cs="宋体"/>
          <w:color w:val="auto"/>
        </w:rPr>
        <w:t>除专用合同条款另有约定外，监理人主持分部工程验收，承包人应派符合条件的代表参加验收工作组。</w:t>
      </w:r>
    </w:p>
    <w:p w14:paraId="30A0661B">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18.2.3</w:t>
      </w:r>
      <w:r>
        <w:rPr>
          <w:rStyle w:val="31"/>
          <w:rFonts w:hint="eastAsia" w:ascii="宋体" w:hAnsi="宋体" w:eastAsia="宋体" w:cs="宋体"/>
          <w:color w:val="auto"/>
        </w:rPr>
        <w:t>分部工程验收通过后，发包人向承包人发送分部工程验收鉴定书。承包人应及时完成分部工程验收鉴定书载明应由承包人处理的遗留问题。</w:t>
      </w:r>
    </w:p>
    <w:p w14:paraId="4D50703C">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054" w:name="_Toc19460"/>
      <w:bookmarkStart w:id="1055" w:name="bookmark1402"/>
      <w:bookmarkStart w:id="1056" w:name="_Toc256000133"/>
      <w:bookmarkStart w:id="1057" w:name="_Toc16242"/>
      <w:bookmarkStart w:id="1058" w:name="bookmark1403"/>
      <w:bookmarkStart w:id="1059" w:name="bookmark1404"/>
      <w:r>
        <w:rPr>
          <w:rStyle w:val="31"/>
          <w:rFonts w:hint="eastAsia" w:ascii="宋体" w:hAnsi="宋体" w:eastAsia="宋体" w:cs="宋体"/>
          <w:color w:val="auto"/>
          <w:sz w:val="24"/>
          <w:szCs w:val="24"/>
          <w:lang w:eastAsia="zh-CN"/>
        </w:rPr>
        <w:t>18.3单位工程验收</w:t>
      </w:r>
      <w:bookmarkEnd w:id="1054"/>
      <w:bookmarkEnd w:id="1055"/>
      <w:bookmarkEnd w:id="1056"/>
      <w:bookmarkEnd w:id="1057"/>
      <w:bookmarkEnd w:id="1058"/>
      <w:bookmarkEnd w:id="1059"/>
    </w:p>
    <w:p w14:paraId="3FC7A417">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18.3.1</w:t>
      </w:r>
      <w:r>
        <w:rPr>
          <w:rStyle w:val="31"/>
          <w:rFonts w:hint="eastAsia" w:ascii="宋体" w:hAnsi="宋体" w:eastAsia="宋体" w:cs="宋体"/>
          <w:color w:val="auto"/>
        </w:rPr>
        <w:t>单位工程具备验收条件时，承包人应向发包人提交验收申请报告，发包人应在收到验收申请报告之日起10个工作日内决定是否同意进行验收。</w:t>
      </w:r>
    </w:p>
    <w:p w14:paraId="7041F86A">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18.3.2</w:t>
      </w:r>
      <w:r>
        <w:rPr>
          <w:rStyle w:val="31"/>
          <w:rFonts w:hint="eastAsia" w:ascii="宋体" w:hAnsi="宋体" w:eastAsia="宋体" w:cs="宋体"/>
          <w:color w:val="auto"/>
        </w:rPr>
        <w:t>发包人主持单位工程验收，承包人应派符合条件的代表参加验收工作组。</w:t>
      </w:r>
    </w:p>
    <w:p w14:paraId="052FE238">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18.3.3</w:t>
      </w:r>
      <w:r>
        <w:rPr>
          <w:rStyle w:val="31"/>
          <w:rFonts w:hint="eastAsia" w:ascii="宋体" w:hAnsi="宋体" w:eastAsia="宋体" w:cs="宋体"/>
          <w:color w:val="auto"/>
        </w:rPr>
        <w:t>单位工程验收通过后，发包人向承包人发送单位工程验收鉴定书。承包人应及时完成单位工程验收鉴定书载明应由承包人处理的遗留问题。</w:t>
      </w:r>
    </w:p>
    <w:p w14:paraId="127192E9">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18.3.4</w:t>
      </w:r>
      <w:r>
        <w:rPr>
          <w:rStyle w:val="31"/>
          <w:rFonts w:hint="eastAsia" w:ascii="宋体" w:hAnsi="宋体" w:eastAsia="宋体" w:cs="宋体"/>
          <w:color w:val="auto"/>
        </w:rPr>
        <w:t>需提前投入使用的单位工程在专用合同条款中明确。</w:t>
      </w:r>
    </w:p>
    <w:p w14:paraId="3F67613B">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060" w:name="_Toc23192"/>
      <w:bookmarkStart w:id="1061" w:name="bookmark1407"/>
      <w:bookmarkStart w:id="1062" w:name="bookmark1406"/>
      <w:bookmarkStart w:id="1063" w:name="_Toc24227"/>
      <w:bookmarkStart w:id="1064" w:name="bookmark1405"/>
      <w:bookmarkStart w:id="1065" w:name="_Toc256000134"/>
      <w:r>
        <w:rPr>
          <w:rStyle w:val="31"/>
          <w:rFonts w:hint="eastAsia" w:ascii="宋体" w:hAnsi="宋体" w:eastAsia="宋体" w:cs="宋体"/>
          <w:color w:val="auto"/>
          <w:sz w:val="24"/>
          <w:szCs w:val="24"/>
          <w:lang w:eastAsia="zh-CN"/>
        </w:rPr>
        <w:t>18.4合同工程完工验收</w:t>
      </w:r>
      <w:bookmarkEnd w:id="1060"/>
      <w:bookmarkEnd w:id="1061"/>
      <w:bookmarkEnd w:id="1062"/>
      <w:bookmarkEnd w:id="1063"/>
      <w:bookmarkEnd w:id="1064"/>
      <w:bookmarkEnd w:id="1065"/>
    </w:p>
    <w:p w14:paraId="17CA38CC">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18.4.1</w:t>
      </w:r>
      <w:r>
        <w:rPr>
          <w:rStyle w:val="31"/>
          <w:rFonts w:hint="eastAsia" w:ascii="宋体" w:hAnsi="宋体" w:eastAsia="宋体" w:cs="宋体"/>
          <w:color w:val="auto"/>
        </w:rPr>
        <w:t>合同工程具备验收条件时，承包人应向发包人提交验收申请报告，发包人应在收到验收申请报告之日起20个工作日内决定是否同意进行验收。</w:t>
      </w:r>
    </w:p>
    <w:p w14:paraId="36F881B5">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18.4.2</w:t>
      </w:r>
      <w:r>
        <w:rPr>
          <w:rStyle w:val="31"/>
          <w:rFonts w:hint="eastAsia" w:ascii="宋体" w:hAnsi="宋体" w:eastAsia="宋体" w:cs="宋体"/>
          <w:color w:val="auto"/>
        </w:rPr>
        <w:t>发包人主持合同工程完工验收，承包人应派项目经理参加验收工作组。</w:t>
      </w:r>
    </w:p>
    <w:p w14:paraId="74D20A99">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18.4.3</w:t>
      </w:r>
      <w:r>
        <w:rPr>
          <w:rStyle w:val="31"/>
          <w:rFonts w:hint="eastAsia" w:ascii="宋体" w:hAnsi="宋体" w:eastAsia="宋体" w:cs="宋体"/>
          <w:color w:val="auto"/>
        </w:rPr>
        <w:t>合同工程完工验收通过后，发包人向承包人发送合同工程完工验收鉴定书。承包人应及时完成合同工程完工验收鉴定书载明应由承包人处理的遗留问题。</w:t>
      </w:r>
    </w:p>
    <w:p w14:paraId="4363FFC7">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18.4.4</w:t>
      </w:r>
      <w:r>
        <w:rPr>
          <w:rStyle w:val="31"/>
          <w:rFonts w:hint="eastAsia" w:ascii="宋体" w:hAnsi="宋体" w:eastAsia="宋体" w:cs="宋体"/>
          <w:color w:val="auto"/>
        </w:rPr>
        <w:t>合同工程完工验收通过后，发包人与承包人应在30个工作日内组织专人负责工程交接，双方交接负责人应在交接记录上签字。承包人应按验收鉴定书约定的时间及时 移交工程及其档案资料。工程移交时，承包人应向发包人递交工程质量保修书。在承包人 递交了工程质量保修书、完成施工场地清理以及提交有关资料后，发包人应30个工作日内 向承包人颁发合同工程完工证书。</w:t>
      </w:r>
    </w:p>
    <w:p w14:paraId="77E66060">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066" w:name="_Toc14197"/>
      <w:bookmarkStart w:id="1067" w:name="_Toc32064"/>
      <w:bookmarkStart w:id="1068" w:name="bookmark1408"/>
      <w:bookmarkStart w:id="1069" w:name="bookmark1409"/>
      <w:bookmarkStart w:id="1070" w:name="_Toc256000135"/>
      <w:bookmarkStart w:id="1071" w:name="bookmark1410"/>
      <w:r>
        <w:rPr>
          <w:rStyle w:val="31"/>
          <w:rFonts w:hint="eastAsia" w:ascii="宋体" w:hAnsi="宋体" w:eastAsia="宋体" w:cs="宋体"/>
          <w:color w:val="auto"/>
          <w:sz w:val="24"/>
          <w:szCs w:val="24"/>
          <w:lang w:eastAsia="zh-CN"/>
        </w:rPr>
        <w:t>18.5阶段验收</w:t>
      </w:r>
      <w:bookmarkEnd w:id="1066"/>
      <w:bookmarkEnd w:id="1067"/>
      <w:bookmarkEnd w:id="1068"/>
      <w:bookmarkEnd w:id="1069"/>
      <w:bookmarkEnd w:id="1070"/>
      <w:bookmarkEnd w:id="1071"/>
    </w:p>
    <w:p w14:paraId="6673BDD8">
      <w:pPr>
        <w:pStyle w:val="95"/>
        <w:pageBreakBefore w:val="0"/>
        <w:widowControl w:val="0"/>
        <w:kinsoku/>
        <w:wordWrap/>
        <w:overflowPunct/>
        <w:topLinePunct w:val="0"/>
        <w:autoSpaceDE/>
        <w:autoSpaceDN/>
        <w:bidi w:val="0"/>
        <w:adjustRightInd/>
        <w:snapToGrid/>
        <w:spacing w:line="440" w:lineRule="exact"/>
        <w:ind w:left="0" w:leftChars="0" w:firstLine="426" w:firstLineChars="213"/>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18.5.1</w:t>
      </w:r>
      <w:r>
        <w:rPr>
          <w:rStyle w:val="31"/>
          <w:rFonts w:hint="eastAsia" w:ascii="宋体" w:hAnsi="宋体" w:eastAsia="宋体" w:cs="宋体"/>
          <w:color w:val="auto"/>
        </w:rPr>
        <w:t>工程建设具备阶段验收条件时，发包人负责提出阶段验收申请报告。承包人应派代表参加阶段验收，并作为被验收单位在验收鉴定书上签字。阶段验收的具体类别在专用合同条款中约定。</w:t>
      </w:r>
    </w:p>
    <w:p w14:paraId="64EB7406">
      <w:pPr>
        <w:pStyle w:val="95"/>
        <w:pageBreakBefore w:val="0"/>
        <w:widowControl w:val="0"/>
        <w:tabs>
          <w:tab w:val="left" w:pos="841"/>
        </w:tabs>
        <w:kinsoku/>
        <w:wordWrap/>
        <w:overflowPunct/>
        <w:topLinePunct w:val="0"/>
        <w:autoSpaceDE/>
        <w:autoSpaceDN/>
        <w:bidi w:val="0"/>
        <w:adjustRightInd/>
        <w:snapToGrid/>
        <w:spacing w:line="440" w:lineRule="exact"/>
        <w:ind w:left="0" w:leftChars="0" w:firstLine="0"/>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18.5.</w:t>
      </w:r>
      <w:r>
        <w:rPr>
          <w:rStyle w:val="31"/>
          <w:rFonts w:hint="eastAsia" w:ascii="宋体" w:hAnsi="宋体" w:eastAsia="宋体" w:cs="宋体"/>
          <w:color w:val="auto"/>
        </w:rPr>
        <w:t>2承包人应及时完成阶段验收鉴定书载明应由承包人处理的遗留问题。</w:t>
      </w:r>
    </w:p>
    <w:p w14:paraId="4C17A8FA">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072" w:name="bookmark1413"/>
      <w:bookmarkStart w:id="1073" w:name="_Toc256000136"/>
      <w:bookmarkStart w:id="1074" w:name="bookmark1414"/>
      <w:bookmarkStart w:id="1075" w:name="_Toc22175"/>
      <w:bookmarkStart w:id="1076" w:name="bookmark1412"/>
      <w:bookmarkStart w:id="1077" w:name="_Toc16235"/>
      <w:r>
        <w:rPr>
          <w:rStyle w:val="31"/>
          <w:rFonts w:hint="eastAsia" w:ascii="宋体" w:hAnsi="宋体" w:eastAsia="宋体" w:cs="宋体"/>
          <w:color w:val="auto"/>
          <w:sz w:val="24"/>
          <w:szCs w:val="24"/>
          <w:lang w:eastAsia="zh-CN"/>
        </w:rPr>
        <w:t>18.6专项验收</w:t>
      </w:r>
      <w:bookmarkEnd w:id="1072"/>
      <w:bookmarkEnd w:id="1073"/>
      <w:bookmarkEnd w:id="1074"/>
      <w:bookmarkEnd w:id="1075"/>
      <w:bookmarkEnd w:id="1076"/>
      <w:bookmarkEnd w:id="1077"/>
    </w:p>
    <w:p w14:paraId="34FA0A18">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18.6.1</w:t>
      </w:r>
      <w:r>
        <w:rPr>
          <w:rStyle w:val="31"/>
          <w:rFonts w:hint="eastAsia" w:ascii="宋体" w:hAnsi="宋体" w:eastAsia="宋体" w:cs="宋体"/>
          <w:color w:val="auto"/>
        </w:rPr>
        <w:t>发包人负责提出专项验收申请报告。承包人应按专项验收的相关规定参加专项验收。专项验收的具体类别在专用合同条款中约定。</w:t>
      </w:r>
    </w:p>
    <w:p w14:paraId="5A11D08A">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18.6.</w:t>
      </w:r>
      <w:r>
        <w:rPr>
          <w:rStyle w:val="31"/>
          <w:rFonts w:hint="eastAsia" w:ascii="宋体" w:hAnsi="宋体" w:eastAsia="宋体" w:cs="宋体"/>
          <w:color w:val="auto"/>
        </w:rPr>
        <w:t>2承包应及时完成专项验收成果性文件载明应由承包人处理的遗留问题。</w:t>
      </w:r>
    </w:p>
    <w:p w14:paraId="7F78F6E2">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078" w:name="_Toc256000137"/>
      <w:bookmarkStart w:id="1079" w:name="_Toc31377"/>
      <w:bookmarkStart w:id="1080" w:name="bookmark1416"/>
      <w:bookmarkStart w:id="1081" w:name="bookmark1415"/>
      <w:bookmarkStart w:id="1082" w:name="_Toc13138"/>
      <w:bookmarkStart w:id="1083" w:name="bookmark1417"/>
      <w:r>
        <w:rPr>
          <w:rStyle w:val="31"/>
          <w:rFonts w:hint="eastAsia" w:ascii="宋体" w:hAnsi="宋体" w:eastAsia="宋体" w:cs="宋体"/>
          <w:color w:val="auto"/>
          <w:sz w:val="24"/>
          <w:szCs w:val="24"/>
          <w:lang w:eastAsia="zh-CN"/>
        </w:rPr>
        <w:t>18.7竣工验收</w:t>
      </w:r>
      <w:bookmarkEnd w:id="1078"/>
      <w:bookmarkEnd w:id="1079"/>
      <w:bookmarkEnd w:id="1080"/>
      <w:bookmarkEnd w:id="1081"/>
      <w:bookmarkEnd w:id="1082"/>
      <w:bookmarkEnd w:id="1083"/>
    </w:p>
    <w:p w14:paraId="2075E955">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18.7.1</w:t>
      </w:r>
      <w:r>
        <w:rPr>
          <w:rStyle w:val="31"/>
          <w:rFonts w:hint="eastAsia" w:ascii="宋体" w:hAnsi="宋体" w:eastAsia="宋体" w:cs="宋体"/>
          <w:color w:val="auto"/>
        </w:rPr>
        <w:t>申请竣工验收前，发包人组织竣工验收自查，承包人应派项目经理或技术负责人参加。</w:t>
      </w:r>
    </w:p>
    <w:p w14:paraId="23AE38A7">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18.7.2</w:t>
      </w:r>
      <w:r>
        <w:rPr>
          <w:rStyle w:val="31"/>
          <w:rFonts w:hint="eastAsia" w:ascii="宋体" w:hAnsi="宋体" w:eastAsia="宋体" w:cs="宋体"/>
          <w:color w:val="auto"/>
        </w:rPr>
        <w:t>竣工验收分为竣工技术预验收和竣工验收两个阶段，发包人应通知承包人派法定代表人或项目经理参加技术预验收和竣工验收。</w:t>
      </w:r>
    </w:p>
    <w:p w14:paraId="614F2A0B">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18.7.3</w:t>
      </w:r>
      <w:r>
        <w:rPr>
          <w:rStyle w:val="31"/>
          <w:rFonts w:hint="eastAsia" w:ascii="宋体" w:hAnsi="宋体" w:eastAsia="宋体" w:cs="宋体"/>
          <w:color w:val="auto"/>
        </w:rPr>
        <w:t>专用合同条款约定工程需要进行技术鉴定的，承包人应提交有关资料并完成配合工作。</w:t>
      </w:r>
    </w:p>
    <w:p w14:paraId="138CCFD9">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18.7.4</w:t>
      </w:r>
      <w:r>
        <w:rPr>
          <w:rStyle w:val="31"/>
          <w:rFonts w:hint="eastAsia" w:ascii="宋体" w:hAnsi="宋体" w:eastAsia="宋体" w:cs="宋体"/>
          <w:color w:val="auto"/>
        </w:rPr>
        <w:t>竣工验收需要进行质量检测的，所需费用由发包人承担，但因承包人原因造成质量不合格的除外。</w:t>
      </w:r>
    </w:p>
    <w:p w14:paraId="3D8F9F1C">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18.7.5</w:t>
      </w:r>
      <w:r>
        <w:rPr>
          <w:rStyle w:val="31"/>
          <w:rFonts w:hint="eastAsia" w:ascii="宋体" w:hAnsi="宋体" w:eastAsia="宋体" w:cs="宋体"/>
          <w:color w:val="auto"/>
        </w:rPr>
        <w:t>工程质量保修期满以及竣工验收遗留问题和尾工处理完成并通过验收后，发包人负责将处理情况和验收成果报送竣工验收主持单位，申请领取工程竣工证书，并发送承包人。</w:t>
      </w:r>
    </w:p>
    <w:p w14:paraId="5E148DFD">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084" w:name="bookmark1419"/>
      <w:bookmarkStart w:id="1085" w:name="_Toc28956"/>
      <w:bookmarkStart w:id="1086" w:name="bookmark1418"/>
      <w:bookmarkStart w:id="1087" w:name="bookmark1420"/>
      <w:bookmarkStart w:id="1088" w:name="_Toc256000138"/>
      <w:bookmarkStart w:id="1089" w:name="_Toc7258"/>
      <w:r>
        <w:rPr>
          <w:rStyle w:val="31"/>
          <w:rFonts w:hint="eastAsia" w:ascii="宋体" w:hAnsi="宋体" w:eastAsia="宋体" w:cs="宋体"/>
          <w:color w:val="auto"/>
          <w:sz w:val="24"/>
          <w:szCs w:val="24"/>
          <w:lang w:eastAsia="zh-CN"/>
        </w:rPr>
        <w:t>18.8施工期运行</w:t>
      </w:r>
      <w:bookmarkEnd w:id="1084"/>
      <w:bookmarkEnd w:id="1085"/>
      <w:bookmarkEnd w:id="1086"/>
      <w:bookmarkEnd w:id="1087"/>
      <w:bookmarkEnd w:id="1088"/>
      <w:bookmarkEnd w:id="1089"/>
    </w:p>
    <w:p w14:paraId="28767F41">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18.8.1</w:t>
      </w:r>
      <w:r>
        <w:rPr>
          <w:rStyle w:val="31"/>
          <w:rFonts w:hint="eastAsia" w:ascii="宋体" w:hAnsi="宋体" w:eastAsia="宋体" w:cs="宋体"/>
          <w:color w:val="auto"/>
        </w:rPr>
        <w:t>施工期运行是指合同工程尚未全部完工，其中某单位工程或部分工程已完工, 需要投入施工期运行的，经发包人按第</w:t>
      </w:r>
      <w:r>
        <w:rPr>
          <w:rStyle w:val="31"/>
          <w:rFonts w:hint="eastAsia" w:ascii="宋体" w:hAnsi="宋体" w:eastAsia="宋体" w:cs="宋体"/>
          <w:color w:val="auto"/>
          <w:lang w:val="en-US" w:bidi="en-US"/>
        </w:rPr>
        <w:t xml:space="preserve">18. </w:t>
      </w:r>
      <w:r>
        <w:rPr>
          <w:rStyle w:val="31"/>
          <w:rFonts w:hint="eastAsia" w:ascii="宋体" w:hAnsi="宋体" w:eastAsia="宋体" w:cs="宋体"/>
          <w:color w:val="auto"/>
        </w:rPr>
        <w:t>2款或第</w:t>
      </w:r>
      <w:r>
        <w:rPr>
          <w:rStyle w:val="31"/>
          <w:rFonts w:hint="eastAsia" w:ascii="宋体" w:hAnsi="宋体" w:eastAsia="宋体" w:cs="宋体"/>
          <w:color w:val="auto"/>
          <w:lang w:val="en-US" w:bidi="en-US"/>
        </w:rPr>
        <w:t xml:space="preserve">18. </w:t>
      </w:r>
      <w:r>
        <w:rPr>
          <w:rStyle w:val="31"/>
          <w:rFonts w:hint="eastAsia" w:ascii="宋体" w:hAnsi="宋体" w:eastAsia="宋体" w:cs="宋体"/>
          <w:color w:val="auto"/>
        </w:rPr>
        <w:t>3款的约定验收合格，证明能确保安全后，才能在施工期投入运行。需要在施工期运行的单位工程或部分工程在专用合同条款中约定。</w:t>
      </w:r>
    </w:p>
    <w:p w14:paraId="1A24552B">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18.8.2</w:t>
      </w:r>
      <w:r>
        <w:rPr>
          <w:rStyle w:val="31"/>
          <w:rFonts w:hint="eastAsia" w:ascii="宋体" w:hAnsi="宋体" w:eastAsia="宋体" w:cs="宋体"/>
          <w:color w:val="auto"/>
        </w:rPr>
        <w:t>在施工期运行中发现工程或工程设备损坏或存在缺陷的，由承包人按第</w:t>
      </w:r>
      <w:r>
        <w:rPr>
          <w:rStyle w:val="31"/>
          <w:rFonts w:hint="eastAsia" w:ascii="宋体" w:hAnsi="宋体" w:eastAsia="宋体" w:cs="宋体"/>
          <w:color w:val="auto"/>
          <w:lang w:val="en-US" w:bidi="en-US"/>
        </w:rPr>
        <w:t xml:space="preserve">19. </w:t>
      </w:r>
      <w:r>
        <w:rPr>
          <w:rStyle w:val="31"/>
          <w:rFonts w:hint="eastAsia" w:ascii="宋体" w:hAnsi="宋体" w:eastAsia="宋体" w:cs="宋体"/>
          <w:color w:val="auto"/>
        </w:rPr>
        <w:t>2 款约定进行修复。</w:t>
      </w:r>
    </w:p>
    <w:p w14:paraId="629D4C5E">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090" w:name="bookmark1422"/>
      <w:bookmarkStart w:id="1091" w:name="_Toc256000139"/>
      <w:bookmarkStart w:id="1092" w:name="_Toc6863"/>
      <w:bookmarkStart w:id="1093" w:name="bookmark1421"/>
      <w:bookmarkStart w:id="1094" w:name="bookmark1423"/>
      <w:bookmarkStart w:id="1095" w:name="_Toc20150"/>
      <w:r>
        <w:rPr>
          <w:rStyle w:val="31"/>
          <w:rFonts w:hint="eastAsia" w:ascii="宋体" w:hAnsi="宋体" w:eastAsia="宋体" w:cs="宋体"/>
          <w:color w:val="auto"/>
          <w:sz w:val="24"/>
          <w:szCs w:val="24"/>
          <w:lang w:eastAsia="zh-CN"/>
        </w:rPr>
        <w:t>18.9试运行</w:t>
      </w:r>
      <w:bookmarkEnd w:id="1090"/>
      <w:bookmarkEnd w:id="1091"/>
      <w:bookmarkEnd w:id="1092"/>
      <w:bookmarkEnd w:id="1093"/>
      <w:bookmarkEnd w:id="1094"/>
      <w:bookmarkEnd w:id="1095"/>
    </w:p>
    <w:p w14:paraId="17140C3B">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18.9.1</w:t>
      </w:r>
      <w:r>
        <w:rPr>
          <w:rStyle w:val="31"/>
          <w:rFonts w:hint="eastAsia" w:ascii="宋体" w:hAnsi="宋体" w:eastAsia="宋体" w:cs="宋体"/>
          <w:color w:val="auto"/>
        </w:rPr>
        <w:t>除专用合同条款另有约定外，承包人应按规定进行工程及工程设备试运行, 负责提供试运行所需的人员、器材和必要的条件，并承担全部试运行费用。</w:t>
      </w:r>
    </w:p>
    <w:p w14:paraId="75B3D94E">
      <w:pPr>
        <w:pStyle w:val="95"/>
        <w:pageBreakBefore w:val="0"/>
        <w:widowControl w:val="0"/>
        <w:kinsoku/>
        <w:wordWrap/>
        <w:overflowPunct/>
        <w:topLinePunct w:val="0"/>
        <w:autoSpaceDE/>
        <w:autoSpaceDN/>
        <w:bidi w:val="0"/>
        <w:adjustRightInd/>
        <w:snapToGrid/>
        <w:spacing w:line="440" w:lineRule="exact"/>
        <w:ind w:left="0" w:leftChars="0" w:firstLine="426" w:firstLineChars="213"/>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18.9.2</w:t>
      </w:r>
      <w:r>
        <w:rPr>
          <w:rStyle w:val="31"/>
          <w:rFonts w:hint="eastAsia" w:ascii="宋体" w:hAnsi="宋体" w:eastAsia="宋体" w:cs="宋体"/>
          <w:color w:val="auto"/>
        </w:rPr>
        <w:t>由于承包人的原因导致试运行失败的，承包人应采取措施保证试运行合格, 并承担相应费用。由于发包人的原因导致试运行失败的，承包人应当采取措施保证试运行合格，发包人应承担由此产生的费用，并支付承包人合理利润。</w:t>
      </w:r>
      <w:bookmarkStart w:id="1096" w:name="bookmark1411"/>
      <w:bookmarkEnd w:id="1096"/>
    </w:p>
    <w:p w14:paraId="5BB20D39">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097" w:name="bookmark1424"/>
      <w:bookmarkStart w:id="1098" w:name="bookmark1426"/>
      <w:bookmarkStart w:id="1099" w:name="bookmark1425"/>
      <w:bookmarkStart w:id="1100" w:name="_Toc3577"/>
      <w:bookmarkStart w:id="1101" w:name="_Toc256000140"/>
      <w:bookmarkStart w:id="1102" w:name="_Toc1706"/>
      <w:r>
        <w:rPr>
          <w:rStyle w:val="31"/>
          <w:rFonts w:hint="eastAsia" w:ascii="宋体" w:hAnsi="宋体" w:eastAsia="宋体" w:cs="宋体"/>
          <w:color w:val="auto"/>
          <w:sz w:val="24"/>
          <w:szCs w:val="24"/>
          <w:lang w:eastAsia="zh-CN"/>
        </w:rPr>
        <w:t>18.10竣工（完工）清场</w:t>
      </w:r>
      <w:bookmarkEnd w:id="1097"/>
      <w:bookmarkEnd w:id="1098"/>
      <w:bookmarkEnd w:id="1099"/>
      <w:bookmarkEnd w:id="1100"/>
      <w:bookmarkEnd w:id="1101"/>
      <w:bookmarkEnd w:id="1102"/>
    </w:p>
    <w:p w14:paraId="0BCD4974">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18.10.1</w:t>
      </w:r>
      <w:r>
        <w:rPr>
          <w:rStyle w:val="31"/>
          <w:rFonts w:hint="eastAsia" w:ascii="宋体" w:hAnsi="宋体" w:eastAsia="宋体" w:cs="宋体"/>
          <w:color w:val="auto"/>
        </w:rPr>
        <w:t>工程项目竣工（完工）清场的工作范围和内容在技术标准和要求（合同技术条款）中约定。</w:t>
      </w:r>
    </w:p>
    <w:p w14:paraId="0A92D92D">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18.10.2</w:t>
      </w:r>
      <w:r>
        <w:rPr>
          <w:rStyle w:val="31"/>
          <w:rFonts w:hint="eastAsia" w:ascii="宋体" w:hAnsi="宋体" w:eastAsia="宋体" w:cs="宋体"/>
          <w:color w:val="auto"/>
        </w:rPr>
        <w:t>承包未按监理人的要求恢复临时占地，或者场地清理未达到合同约定的，发包人有权委托其它人恢复或清理，所发生的金额从拟支付给承包人的款项中扣除。</w:t>
      </w:r>
    </w:p>
    <w:p w14:paraId="05035325">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103" w:name="bookmark1429"/>
      <w:bookmarkStart w:id="1104" w:name="_Toc22352"/>
      <w:bookmarkStart w:id="1105" w:name="_Toc28474"/>
      <w:bookmarkStart w:id="1106" w:name="_Toc256000141"/>
      <w:bookmarkStart w:id="1107" w:name="bookmark1428"/>
      <w:bookmarkStart w:id="1108" w:name="bookmark1427"/>
      <w:r>
        <w:rPr>
          <w:rStyle w:val="31"/>
          <w:rFonts w:hint="eastAsia" w:ascii="宋体" w:hAnsi="宋体" w:eastAsia="宋体" w:cs="宋体"/>
          <w:color w:val="auto"/>
          <w:sz w:val="24"/>
          <w:szCs w:val="24"/>
          <w:lang w:eastAsia="zh-CN"/>
        </w:rPr>
        <w:t>18.11施工队伍的撤离</w:t>
      </w:r>
      <w:bookmarkEnd w:id="1103"/>
      <w:bookmarkEnd w:id="1104"/>
      <w:bookmarkEnd w:id="1105"/>
      <w:bookmarkEnd w:id="1106"/>
      <w:bookmarkEnd w:id="1107"/>
      <w:bookmarkEnd w:id="1108"/>
    </w:p>
    <w:p w14:paraId="3959B20E">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 承包人的人员和施工设备应全部撤离施工场地。</w:t>
      </w:r>
    </w:p>
    <w:p w14:paraId="7342DD96">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lang w:eastAsia="zh-CN"/>
        </w:rPr>
      </w:pPr>
      <w:bookmarkStart w:id="1109" w:name="_Toc15410"/>
      <w:bookmarkStart w:id="1110" w:name="bookmark1431"/>
      <w:bookmarkStart w:id="1111" w:name="bookmark1430"/>
      <w:bookmarkStart w:id="1112" w:name="_Toc1913"/>
      <w:bookmarkStart w:id="1113" w:name="bookmark1432"/>
      <w:bookmarkStart w:id="1114" w:name="_Toc256000142"/>
      <w:r>
        <w:rPr>
          <w:rStyle w:val="31"/>
          <w:rFonts w:hint="eastAsia" w:ascii="宋体" w:hAnsi="宋体" w:eastAsia="宋体" w:cs="宋体"/>
          <w:color w:val="auto"/>
          <w:lang w:eastAsia="zh-CN"/>
        </w:rPr>
        <w:t>19.缺陷责任与保修责任</w:t>
      </w:r>
      <w:bookmarkEnd w:id="1109"/>
      <w:bookmarkEnd w:id="1110"/>
      <w:bookmarkEnd w:id="1111"/>
      <w:bookmarkEnd w:id="1112"/>
      <w:bookmarkEnd w:id="1113"/>
      <w:bookmarkEnd w:id="1114"/>
    </w:p>
    <w:p w14:paraId="377CCE52">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115" w:name="_Toc256000143"/>
      <w:bookmarkStart w:id="1116" w:name="_Toc13406"/>
      <w:bookmarkStart w:id="1117" w:name="bookmark1434"/>
      <w:bookmarkStart w:id="1118" w:name="bookmark1435"/>
      <w:bookmarkStart w:id="1119" w:name="_Toc22913"/>
      <w:bookmarkStart w:id="1120" w:name="bookmark1433"/>
      <w:r>
        <w:rPr>
          <w:rStyle w:val="31"/>
          <w:rFonts w:hint="eastAsia" w:ascii="宋体" w:hAnsi="宋体" w:eastAsia="宋体" w:cs="宋体"/>
          <w:color w:val="auto"/>
          <w:sz w:val="24"/>
          <w:szCs w:val="24"/>
          <w:lang w:eastAsia="zh-CN"/>
        </w:rPr>
        <w:t>19.1缺陷责任期（工程质量保修期）的起算时间</w:t>
      </w:r>
      <w:bookmarkEnd w:id="1115"/>
      <w:bookmarkEnd w:id="1116"/>
      <w:bookmarkEnd w:id="1117"/>
      <w:bookmarkEnd w:id="1118"/>
      <w:bookmarkEnd w:id="1119"/>
      <w:bookmarkEnd w:id="1120"/>
    </w:p>
    <w:p w14:paraId="62D188D4">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除专用合同条款另有约定外，缺陷责任期（工程质量保修期）从工程通过合同工程完 工验收后开始计算。在合同工程完工验收前，已经发包人提前验收的单位工程或部分工程, 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54345767">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121" w:name="bookmark1438"/>
      <w:bookmarkStart w:id="1122" w:name="bookmark1437"/>
      <w:bookmarkStart w:id="1123" w:name="bookmark1436"/>
      <w:bookmarkStart w:id="1124" w:name="_Toc256000144"/>
      <w:bookmarkStart w:id="1125" w:name="_Toc4030"/>
      <w:bookmarkStart w:id="1126" w:name="_Toc27743"/>
      <w:r>
        <w:rPr>
          <w:rStyle w:val="31"/>
          <w:rFonts w:hint="eastAsia" w:ascii="宋体" w:hAnsi="宋体" w:eastAsia="宋体" w:cs="宋体"/>
          <w:color w:val="auto"/>
          <w:sz w:val="24"/>
          <w:szCs w:val="24"/>
          <w:lang w:eastAsia="zh-CN"/>
        </w:rPr>
        <w:t>19.2缺陷责任</w:t>
      </w:r>
      <w:bookmarkEnd w:id="1121"/>
      <w:bookmarkEnd w:id="1122"/>
      <w:bookmarkEnd w:id="1123"/>
      <w:bookmarkEnd w:id="1124"/>
      <w:bookmarkEnd w:id="1125"/>
      <w:bookmarkEnd w:id="1126"/>
    </w:p>
    <w:p w14:paraId="019E1F12">
      <w:pPr>
        <w:pStyle w:val="95"/>
        <w:pageBreakBefore w:val="0"/>
        <w:widowControl w:val="0"/>
        <w:tabs>
          <w:tab w:val="left" w:pos="853"/>
        </w:tabs>
        <w:kinsoku/>
        <w:wordWrap/>
        <w:overflowPunct/>
        <w:topLinePunct w:val="0"/>
        <w:autoSpaceDE/>
        <w:autoSpaceDN/>
        <w:bidi w:val="0"/>
        <w:adjustRightInd/>
        <w:snapToGrid/>
        <w:spacing w:line="440" w:lineRule="exact"/>
        <w:ind w:left="0" w:leftChars="0" w:firstLine="0"/>
        <w:jc w:val="both"/>
        <w:textAlignment w:val="auto"/>
        <w:rPr>
          <w:rStyle w:val="31"/>
          <w:rFonts w:hint="eastAsia" w:ascii="宋体" w:hAnsi="宋体" w:eastAsia="宋体" w:cs="宋体"/>
          <w:color w:val="auto"/>
        </w:rPr>
      </w:pPr>
      <w:bookmarkStart w:id="1127" w:name="bookmark1439"/>
      <w:bookmarkEnd w:id="1127"/>
      <w:r>
        <w:rPr>
          <w:rStyle w:val="31"/>
          <w:rFonts w:hint="eastAsia" w:ascii="宋体" w:hAnsi="宋体" w:eastAsia="宋体" w:cs="宋体"/>
          <w:color w:val="auto"/>
          <w:lang w:val="en-US" w:bidi="en-US"/>
        </w:rPr>
        <w:t xml:space="preserve">19.2. </w:t>
      </w:r>
      <w:r>
        <w:rPr>
          <w:rStyle w:val="31"/>
          <w:rFonts w:hint="eastAsia" w:ascii="宋体" w:hAnsi="宋体" w:eastAsia="宋体" w:cs="宋体"/>
          <w:color w:val="auto"/>
        </w:rPr>
        <w:t>1承包人应在缺陷责任期内对已交付使用的工程承担缺陷责任。</w:t>
      </w:r>
    </w:p>
    <w:p w14:paraId="269F89D6">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19.2.2</w:t>
      </w:r>
      <w:r>
        <w:rPr>
          <w:rStyle w:val="31"/>
          <w:rFonts w:hint="eastAsia" w:ascii="宋体" w:hAnsi="宋体" w:eastAsia="宋体" w:cs="宋体"/>
          <w:color w:val="auto"/>
        </w:rPr>
        <w:t>缺陷责任期内，发包人对已接收使用的工程负责日常维护工作。发包人在使用过程中，发现已接收的工程存在新的缺陷或已修复的缺陷部位或部件又遭损坏的，承包人应负责修复，直至检验合格为止。</w:t>
      </w:r>
    </w:p>
    <w:p w14:paraId="4A1FF096">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19.2.3</w:t>
      </w:r>
      <w:r>
        <w:rPr>
          <w:rStyle w:val="31"/>
          <w:rFonts w:hint="eastAsia" w:ascii="宋体" w:hAnsi="宋体" w:eastAsia="宋体" w:cs="宋体"/>
          <w:color w:val="auto"/>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69FCE37A">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19.2.4</w:t>
      </w:r>
      <w:r>
        <w:rPr>
          <w:rStyle w:val="31"/>
          <w:rFonts w:hint="eastAsia" w:ascii="宋体" w:hAnsi="宋体" w:eastAsia="宋体" w:cs="宋体"/>
          <w:color w:val="auto"/>
        </w:rPr>
        <w:t>承包人不能在合理时间内修复缺陷的，发包人可自行修复或委托其他人修复, 所需费用和利润的承担，按第</w:t>
      </w:r>
      <w:r>
        <w:rPr>
          <w:rStyle w:val="31"/>
          <w:rFonts w:hint="eastAsia" w:ascii="宋体" w:hAnsi="宋体" w:eastAsia="宋体" w:cs="宋体"/>
          <w:color w:val="auto"/>
          <w:lang w:val="en-US" w:bidi="en-US"/>
        </w:rPr>
        <w:t xml:space="preserve">19. 2. </w:t>
      </w:r>
      <w:r>
        <w:rPr>
          <w:rStyle w:val="31"/>
          <w:rFonts w:hint="eastAsia" w:ascii="宋体" w:hAnsi="宋体" w:eastAsia="宋体" w:cs="宋体"/>
          <w:color w:val="auto"/>
        </w:rPr>
        <w:t>3项约定办理。</w:t>
      </w:r>
    </w:p>
    <w:p w14:paraId="6170C449">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128" w:name="bookmark1441"/>
      <w:bookmarkStart w:id="1129" w:name="_Toc18661"/>
      <w:bookmarkStart w:id="1130" w:name="bookmark1442"/>
      <w:bookmarkStart w:id="1131" w:name="_Toc19734"/>
      <w:bookmarkStart w:id="1132" w:name="_Toc256000145"/>
      <w:bookmarkStart w:id="1133" w:name="bookmark1440"/>
      <w:r>
        <w:rPr>
          <w:rStyle w:val="31"/>
          <w:rFonts w:hint="eastAsia" w:ascii="宋体" w:hAnsi="宋体" w:eastAsia="宋体" w:cs="宋体"/>
          <w:color w:val="auto"/>
          <w:sz w:val="24"/>
          <w:szCs w:val="24"/>
          <w:lang w:eastAsia="zh-CN"/>
        </w:rPr>
        <w:t>19.3缺陷责任期的延长</w:t>
      </w:r>
      <w:bookmarkEnd w:id="1128"/>
      <w:bookmarkEnd w:id="1129"/>
      <w:bookmarkEnd w:id="1130"/>
      <w:bookmarkEnd w:id="1131"/>
      <w:bookmarkEnd w:id="1132"/>
      <w:bookmarkEnd w:id="1133"/>
    </w:p>
    <w:p w14:paraId="7D4EFED0">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由于承包人原因造成某项缺陷或损坏使某项工程或工程设备不能按原定目标使用而需要再次检查、检验和修复的，发包人有权要求承包人相应延长缺陷责任期，但缺陷责任期最长不超过2年。</w:t>
      </w:r>
    </w:p>
    <w:p w14:paraId="2738D48A">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134" w:name="_Toc256000146"/>
      <w:bookmarkStart w:id="1135" w:name="bookmark1445"/>
      <w:bookmarkStart w:id="1136" w:name="_Toc4593"/>
      <w:bookmarkStart w:id="1137" w:name="bookmark1443"/>
      <w:bookmarkStart w:id="1138" w:name="bookmark1444"/>
      <w:bookmarkStart w:id="1139" w:name="_Toc10058"/>
      <w:r>
        <w:rPr>
          <w:rStyle w:val="31"/>
          <w:rFonts w:hint="eastAsia" w:ascii="宋体" w:hAnsi="宋体" w:eastAsia="宋体" w:cs="宋体"/>
          <w:color w:val="auto"/>
          <w:sz w:val="24"/>
          <w:szCs w:val="24"/>
          <w:lang w:eastAsia="zh-CN"/>
        </w:rPr>
        <w:t>19.4进一步试验和试运行</w:t>
      </w:r>
      <w:bookmarkEnd w:id="1134"/>
      <w:bookmarkEnd w:id="1135"/>
      <w:bookmarkEnd w:id="1136"/>
      <w:bookmarkEnd w:id="1137"/>
      <w:bookmarkEnd w:id="1138"/>
      <w:bookmarkEnd w:id="1139"/>
    </w:p>
    <w:p w14:paraId="57BE4C95">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任何一项缺陷或损坏修复后，经检查证明其影响了工程或工程设备的使用性能，承包人应重新进行合同约定的试验和试运行，试验和试运行的全部费用应由责任方承担。</w:t>
      </w:r>
    </w:p>
    <w:p w14:paraId="71BA963F">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140" w:name="_Toc13710"/>
      <w:bookmarkStart w:id="1141" w:name="bookmark1446"/>
      <w:bookmarkStart w:id="1142" w:name="_Toc27517"/>
      <w:bookmarkStart w:id="1143" w:name="bookmark1447"/>
      <w:bookmarkStart w:id="1144" w:name="_Toc256000147"/>
      <w:bookmarkStart w:id="1145" w:name="bookmark1448"/>
      <w:r>
        <w:rPr>
          <w:rStyle w:val="31"/>
          <w:rFonts w:hint="eastAsia" w:ascii="宋体" w:hAnsi="宋体" w:eastAsia="宋体" w:cs="宋体"/>
          <w:color w:val="auto"/>
          <w:sz w:val="24"/>
          <w:szCs w:val="24"/>
          <w:lang w:eastAsia="zh-CN"/>
        </w:rPr>
        <w:t>19.5承包人的进入权</w:t>
      </w:r>
      <w:bookmarkEnd w:id="1140"/>
      <w:bookmarkEnd w:id="1141"/>
      <w:bookmarkEnd w:id="1142"/>
      <w:bookmarkEnd w:id="1143"/>
      <w:bookmarkEnd w:id="1144"/>
      <w:bookmarkEnd w:id="1145"/>
    </w:p>
    <w:p w14:paraId="49D32D48">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缺陷责任期内承包人为缺陷修复工作需要，有权进入工程现场，但应遵守发包人的保安和保密规定。</w:t>
      </w:r>
    </w:p>
    <w:p w14:paraId="622FAA29">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146" w:name="_Toc256000148"/>
      <w:bookmarkStart w:id="1147" w:name="bookmark1450"/>
      <w:bookmarkStart w:id="1148" w:name="bookmark1451"/>
      <w:bookmarkStart w:id="1149" w:name="bookmark1449"/>
      <w:bookmarkStart w:id="1150" w:name="_Toc16024"/>
      <w:bookmarkStart w:id="1151" w:name="_Toc18929"/>
      <w:r>
        <w:rPr>
          <w:rStyle w:val="31"/>
          <w:rFonts w:hint="eastAsia" w:ascii="宋体" w:hAnsi="宋体" w:eastAsia="宋体" w:cs="宋体"/>
          <w:color w:val="auto"/>
          <w:sz w:val="24"/>
          <w:szCs w:val="24"/>
          <w:lang w:eastAsia="zh-CN"/>
        </w:rPr>
        <w:t>19.6缺陷责任期终止证书（工程质量保修责任终止证书）</w:t>
      </w:r>
      <w:bookmarkEnd w:id="1146"/>
      <w:bookmarkEnd w:id="1147"/>
      <w:bookmarkEnd w:id="1148"/>
      <w:bookmarkEnd w:id="1149"/>
      <w:bookmarkEnd w:id="1150"/>
      <w:bookmarkEnd w:id="1151"/>
    </w:p>
    <w:p w14:paraId="13608566">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合同工程完工验收后，发包人与承包人应办理工程交接手续，承包人应向发包人递交工程质量保修书。</w:t>
      </w:r>
    </w:p>
    <w:p w14:paraId="6C31FCA2">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缺陷责任期（工程质量保修期）满后30个工作日内，发包人应向承包人颁发工程质量保修责任终止证书，并退还剩余的质量保证金，但保修责任范围内的质量缺陷未处理完成的应除外。</w:t>
      </w:r>
    </w:p>
    <w:p w14:paraId="75B0C3B9">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152" w:name="_Toc4569"/>
      <w:bookmarkStart w:id="1153" w:name="_Toc256000149"/>
      <w:bookmarkStart w:id="1154" w:name="_Toc10377"/>
      <w:bookmarkStart w:id="1155" w:name="bookmark1452"/>
      <w:bookmarkStart w:id="1156" w:name="bookmark1453"/>
      <w:bookmarkStart w:id="1157" w:name="bookmark1454"/>
      <w:r>
        <w:rPr>
          <w:rStyle w:val="31"/>
          <w:rFonts w:hint="eastAsia" w:ascii="宋体" w:hAnsi="宋体" w:eastAsia="宋体" w:cs="宋体"/>
          <w:color w:val="auto"/>
          <w:sz w:val="24"/>
          <w:szCs w:val="24"/>
          <w:lang w:eastAsia="zh-CN"/>
        </w:rPr>
        <w:t>19.7保修责任</w:t>
      </w:r>
      <w:bookmarkEnd w:id="1152"/>
      <w:bookmarkEnd w:id="1153"/>
      <w:bookmarkEnd w:id="1154"/>
      <w:bookmarkEnd w:id="1155"/>
      <w:bookmarkEnd w:id="1156"/>
      <w:bookmarkEnd w:id="1157"/>
    </w:p>
    <w:p w14:paraId="02BA1A18">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合同当事人根据有关法律规定，在专用合同条款中约定工程质量保修范围、期限和责任。保修期自实际完工验收日期起计算。在全部工程竣工验收前，已经发包人提前验收的单位工程，其保修期的起算日期相应提前。</w:t>
      </w:r>
    </w:p>
    <w:p w14:paraId="7C958BEC">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lang w:eastAsia="zh-CN"/>
        </w:rPr>
      </w:pPr>
      <w:bookmarkStart w:id="1158" w:name="_Toc8963"/>
      <w:bookmarkStart w:id="1159" w:name="bookmark1457"/>
      <w:bookmarkStart w:id="1160" w:name="_Toc31099"/>
      <w:bookmarkStart w:id="1161" w:name="_Toc256000150"/>
      <w:bookmarkStart w:id="1162" w:name="bookmark1455"/>
      <w:bookmarkStart w:id="1163" w:name="bookmark1456"/>
      <w:r>
        <w:rPr>
          <w:rStyle w:val="31"/>
          <w:rFonts w:hint="eastAsia" w:ascii="宋体" w:hAnsi="宋体" w:eastAsia="宋体" w:cs="宋体"/>
          <w:color w:val="auto"/>
          <w:lang w:eastAsia="zh-CN"/>
        </w:rPr>
        <w:t>20.保险</w:t>
      </w:r>
      <w:bookmarkEnd w:id="1158"/>
      <w:bookmarkEnd w:id="1159"/>
      <w:bookmarkEnd w:id="1160"/>
      <w:bookmarkEnd w:id="1161"/>
    </w:p>
    <w:p w14:paraId="3FAF2951">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164" w:name="_Toc256000151"/>
      <w:bookmarkStart w:id="1165" w:name="_Toc15571"/>
      <w:bookmarkStart w:id="1166" w:name="_Toc16520"/>
      <w:bookmarkStart w:id="1167" w:name="bookmark1458"/>
      <w:r>
        <w:rPr>
          <w:rStyle w:val="31"/>
          <w:rFonts w:hint="eastAsia" w:ascii="宋体" w:hAnsi="宋体" w:eastAsia="宋体" w:cs="宋体"/>
          <w:color w:val="auto"/>
          <w:sz w:val="24"/>
          <w:szCs w:val="24"/>
          <w:lang w:eastAsia="zh-CN"/>
        </w:rPr>
        <w:t>20.1工程保险</w:t>
      </w:r>
      <w:bookmarkEnd w:id="1162"/>
      <w:bookmarkEnd w:id="1163"/>
      <w:bookmarkEnd w:id="1164"/>
      <w:bookmarkEnd w:id="1165"/>
      <w:bookmarkEnd w:id="1166"/>
      <w:bookmarkEnd w:id="1167"/>
    </w:p>
    <w:p w14:paraId="0C221452">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除专用合同条款另有约定外，承包人应以发包人和承包人的共同名义向双方同意的保险人投保建筑工程一切险、安装工程一切险。其具体的投保内容、保险金额、保险费率、 保险期限等有关内容在专用合同条款中约定。</w:t>
      </w:r>
    </w:p>
    <w:p w14:paraId="04BF903B">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168" w:name="_Toc19236"/>
      <w:bookmarkStart w:id="1169" w:name="bookmark1461"/>
      <w:bookmarkStart w:id="1170" w:name="bookmark1460"/>
      <w:bookmarkStart w:id="1171" w:name="_Toc12206"/>
      <w:bookmarkStart w:id="1172" w:name="bookmark1459"/>
      <w:bookmarkStart w:id="1173" w:name="_Toc256000152"/>
      <w:r>
        <w:rPr>
          <w:rStyle w:val="31"/>
          <w:rFonts w:hint="eastAsia" w:ascii="宋体" w:hAnsi="宋体" w:eastAsia="宋体" w:cs="宋体"/>
          <w:color w:val="auto"/>
          <w:sz w:val="24"/>
          <w:szCs w:val="24"/>
          <w:lang w:eastAsia="zh-CN"/>
        </w:rPr>
        <w:t>20.2人员工伤事故的保险</w:t>
      </w:r>
      <w:bookmarkEnd w:id="1168"/>
      <w:bookmarkEnd w:id="1169"/>
      <w:bookmarkEnd w:id="1170"/>
      <w:bookmarkEnd w:id="1171"/>
      <w:bookmarkEnd w:id="1172"/>
      <w:bookmarkEnd w:id="1173"/>
    </w:p>
    <w:p w14:paraId="7DBB03C8">
      <w:pPr>
        <w:pStyle w:val="95"/>
        <w:pageBreakBefore w:val="0"/>
        <w:widowControl w:val="0"/>
        <w:tabs>
          <w:tab w:val="left" w:pos="878"/>
        </w:tabs>
        <w:kinsoku/>
        <w:wordWrap/>
        <w:overflowPunct/>
        <w:topLinePunct w:val="0"/>
        <w:autoSpaceDE/>
        <w:autoSpaceDN/>
        <w:bidi w:val="0"/>
        <w:adjustRightInd/>
        <w:snapToGrid/>
        <w:spacing w:line="440" w:lineRule="exact"/>
        <w:ind w:left="0" w:leftChars="0" w:firstLine="0"/>
        <w:jc w:val="both"/>
        <w:textAlignment w:val="auto"/>
        <w:rPr>
          <w:rStyle w:val="31"/>
          <w:rFonts w:hint="eastAsia" w:ascii="宋体" w:hAnsi="宋体" w:eastAsia="宋体" w:cs="宋体"/>
          <w:color w:val="auto"/>
        </w:rPr>
      </w:pPr>
      <w:bookmarkStart w:id="1174" w:name="bookmark1462"/>
      <w:bookmarkEnd w:id="1174"/>
      <w:r>
        <w:rPr>
          <w:rStyle w:val="31"/>
          <w:rFonts w:hint="eastAsia" w:ascii="宋体" w:hAnsi="宋体" w:eastAsia="宋体" w:cs="宋体"/>
          <w:color w:val="auto"/>
          <w:lang w:val="en-US" w:bidi="en-US"/>
        </w:rPr>
        <w:t>20.2.</w:t>
      </w:r>
      <w:r>
        <w:rPr>
          <w:rStyle w:val="31"/>
          <w:rFonts w:hint="eastAsia" w:ascii="宋体" w:hAnsi="宋体" w:eastAsia="宋体" w:cs="宋体"/>
          <w:color w:val="auto"/>
        </w:rPr>
        <w:t>1承包人员工伤事故的保险</w:t>
      </w:r>
    </w:p>
    <w:p w14:paraId="41698C0A">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承包人应依照有关法律规定参加工伤保险，为其履行合同所雇佣的全部人员，缴纳工 伤保险费，并要求其分包人也进行此项保险。</w:t>
      </w:r>
    </w:p>
    <w:p w14:paraId="6C70829D">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20.2.</w:t>
      </w:r>
      <w:r>
        <w:rPr>
          <w:rStyle w:val="31"/>
          <w:rFonts w:hint="eastAsia" w:ascii="宋体" w:hAnsi="宋体" w:eastAsia="宋体" w:cs="宋体"/>
          <w:color w:val="auto"/>
        </w:rPr>
        <w:t>2发包人员工伤事故的保险</w:t>
      </w:r>
    </w:p>
    <w:p w14:paraId="1F0D8AE3">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发包人应依照有关法律规定参加工伤保险，为其现场机构雇佣的全部人员，缴纳工伤保险费，并要求其监理人也进行此项保险。</w:t>
      </w:r>
    </w:p>
    <w:p w14:paraId="65E395FC">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175" w:name="bookmark1465"/>
      <w:bookmarkStart w:id="1176" w:name="_Toc9146"/>
      <w:bookmarkStart w:id="1177" w:name="bookmark1463"/>
      <w:bookmarkStart w:id="1178" w:name="_Toc256000153"/>
      <w:bookmarkStart w:id="1179" w:name="bookmark1464"/>
      <w:bookmarkStart w:id="1180" w:name="_Toc23979"/>
      <w:r>
        <w:rPr>
          <w:rStyle w:val="31"/>
          <w:rFonts w:hint="eastAsia" w:ascii="宋体" w:hAnsi="宋体" w:eastAsia="宋体" w:cs="宋体"/>
          <w:color w:val="auto"/>
          <w:sz w:val="24"/>
          <w:szCs w:val="24"/>
          <w:lang w:eastAsia="zh-CN"/>
        </w:rPr>
        <w:t>20.3人身意外伤害险</w:t>
      </w:r>
      <w:bookmarkEnd w:id="1175"/>
      <w:bookmarkEnd w:id="1176"/>
      <w:bookmarkEnd w:id="1177"/>
      <w:bookmarkEnd w:id="1178"/>
      <w:bookmarkEnd w:id="1179"/>
      <w:bookmarkEnd w:id="1180"/>
    </w:p>
    <w:p w14:paraId="07A51737">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20.3.1</w:t>
      </w:r>
      <w:r>
        <w:rPr>
          <w:rStyle w:val="31"/>
          <w:rFonts w:hint="eastAsia" w:ascii="宋体" w:hAnsi="宋体" w:eastAsia="宋体" w:cs="宋体"/>
          <w:color w:val="auto"/>
        </w:rPr>
        <w:t>发包人应在整个施工期间为其现场机构雇用的全部人员，投保人身意外伤害险，缴纳保险费，并要求其监理人也进行此项保险。</w:t>
      </w:r>
    </w:p>
    <w:p w14:paraId="11502921">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20.3.2</w:t>
      </w:r>
      <w:r>
        <w:rPr>
          <w:rStyle w:val="31"/>
          <w:rFonts w:hint="eastAsia" w:ascii="宋体" w:hAnsi="宋体" w:eastAsia="宋体" w:cs="宋体"/>
          <w:color w:val="auto"/>
        </w:rPr>
        <w:t>承包人应在整个施工期间为其现场机构雇用的全部人员，投保人身意外伤害险，缴纳保险费，并要求其分包人也进行此项保险。</w:t>
      </w:r>
    </w:p>
    <w:p w14:paraId="781F7BAC">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181" w:name="_Toc256000154"/>
      <w:bookmarkStart w:id="1182" w:name="bookmark1468"/>
      <w:bookmarkStart w:id="1183" w:name="_Toc10679"/>
      <w:bookmarkStart w:id="1184" w:name="bookmark1467"/>
      <w:bookmarkStart w:id="1185" w:name="_Toc10666"/>
      <w:bookmarkStart w:id="1186" w:name="bookmark1466"/>
      <w:r>
        <w:rPr>
          <w:rStyle w:val="31"/>
          <w:rFonts w:hint="eastAsia" w:ascii="宋体" w:hAnsi="宋体" w:eastAsia="宋体" w:cs="宋体"/>
          <w:color w:val="auto"/>
          <w:sz w:val="24"/>
          <w:szCs w:val="24"/>
          <w:lang w:eastAsia="zh-CN"/>
        </w:rPr>
        <w:t>20.4第三者责任险</w:t>
      </w:r>
      <w:bookmarkEnd w:id="1181"/>
      <w:bookmarkEnd w:id="1182"/>
      <w:bookmarkEnd w:id="1183"/>
      <w:bookmarkEnd w:id="1184"/>
      <w:bookmarkEnd w:id="1185"/>
      <w:bookmarkEnd w:id="1186"/>
    </w:p>
    <w:p w14:paraId="22259FC5">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20.4.1</w:t>
      </w:r>
      <w:r>
        <w:rPr>
          <w:rStyle w:val="31"/>
          <w:rFonts w:hint="eastAsia" w:ascii="宋体" w:hAnsi="宋体" w:eastAsia="宋体" w:cs="宋体"/>
          <w:color w:val="auto"/>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3E6DCE25">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20.4.2</w:t>
      </w:r>
      <w:r>
        <w:rPr>
          <w:rStyle w:val="31"/>
          <w:rFonts w:hint="eastAsia" w:ascii="宋体" w:hAnsi="宋体" w:eastAsia="宋体" w:cs="宋体"/>
          <w:color w:val="auto"/>
        </w:rPr>
        <w:t>在缺陷责任期终止证书颁发前，承包人应以承包人和发包人的共同名义，投保第</w:t>
      </w:r>
      <w:r>
        <w:rPr>
          <w:rStyle w:val="31"/>
          <w:rFonts w:hint="eastAsia" w:ascii="宋体" w:hAnsi="宋体" w:eastAsia="宋体" w:cs="宋体"/>
          <w:color w:val="auto"/>
          <w:lang w:val="en-US" w:bidi="en-US"/>
        </w:rPr>
        <w:t>20. 4.1</w:t>
      </w:r>
      <w:r>
        <w:rPr>
          <w:rStyle w:val="31"/>
          <w:rFonts w:hint="eastAsia" w:ascii="宋体" w:hAnsi="宋体" w:eastAsia="宋体" w:cs="宋体"/>
          <w:color w:val="auto"/>
        </w:rPr>
        <w:t>项约定的第三者责任险，其保险费率、保险金额等有关内容在专用合同条款中约定。</w:t>
      </w:r>
    </w:p>
    <w:p w14:paraId="4F9996CB">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187" w:name="_Toc256000155"/>
      <w:bookmarkStart w:id="1188" w:name="bookmark1471"/>
      <w:bookmarkStart w:id="1189" w:name="bookmark1470"/>
      <w:bookmarkStart w:id="1190" w:name="_Toc18039"/>
      <w:bookmarkStart w:id="1191" w:name="bookmark1469"/>
      <w:bookmarkStart w:id="1192" w:name="_Toc15855"/>
      <w:r>
        <w:rPr>
          <w:rStyle w:val="31"/>
          <w:rFonts w:hint="eastAsia" w:ascii="宋体" w:hAnsi="宋体" w:eastAsia="宋体" w:cs="宋体"/>
          <w:color w:val="auto"/>
          <w:sz w:val="24"/>
          <w:szCs w:val="24"/>
          <w:lang w:eastAsia="zh-CN"/>
        </w:rPr>
        <w:t>20.5其他保险</w:t>
      </w:r>
      <w:bookmarkEnd w:id="1187"/>
      <w:bookmarkEnd w:id="1188"/>
      <w:bookmarkEnd w:id="1189"/>
      <w:bookmarkEnd w:id="1190"/>
      <w:bookmarkEnd w:id="1191"/>
      <w:bookmarkEnd w:id="1192"/>
    </w:p>
    <w:p w14:paraId="71A9729F">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除专用合同条款另有约定外，承包人应为其施工设备、进场的材料和工程设备等办理保险。</w:t>
      </w:r>
    </w:p>
    <w:p w14:paraId="11CDE893">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193" w:name="bookmark1474"/>
      <w:bookmarkStart w:id="1194" w:name="_Toc9403"/>
      <w:bookmarkStart w:id="1195" w:name="bookmark1473"/>
      <w:bookmarkStart w:id="1196" w:name="_Toc256000156"/>
      <w:bookmarkStart w:id="1197" w:name="_Toc20306"/>
      <w:bookmarkStart w:id="1198" w:name="bookmark1472"/>
      <w:r>
        <w:rPr>
          <w:rStyle w:val="31"/>
          <w:rFonts w:hint="eastAsia" w:ascii="宋体" w:hAnsi="宋体" w:eastAsia="宋体" w:cs="宋体"/>
          <w:color w:val="auto"/>
          <w:sz w:val="24"/>
          <w:szCs w:val="24"/>
          <w:lang w:eastAsia="zh-CN"/>
        </w:rPr>
        <w:t>20.6对各项保险的一般要求</w:t>
      </w:r>
      <w:bookmarkEnd w:id="1193"/>
      <w:bookmarkEnd w:id="1194"/>
      <w:bookmarkEnd w:id="1195"/>
      <w:bookmarkEnd w:id="1196"/>
      <w:bookmarkEnd w:id="1197"/>
      <w:bookmarkEnd w:id="1198"/>
    </w:p>
    <w:p w14:paraId="2805CD7A">
      <w:pPr>
        <w:pStyle w:val="96"/>
        <w:pageBreakBefore w:val="0"/>
        <w:widowControl w:val="0"/>
        <w:kinsoku/>
        <w:wordWrap/>
        <w:overflowPunct/>
        <w:topLinePunct w:val="0"/>
        <w:autoSpaceDE/>
        <w:autoSpaceDN/>
        <w:bidi w:val="0"/>
        <w:adjustRightInd/>
        <w:snapToGrid/>
        <w:spacing w:after="0" w:line="440" w:lineRule="exact"/>
        <w:ind w:left="0" w:leftChars="0" w:firstLine="442"/>
        <w:jc w:val="both"/>
        <w:textAlignment w:val="auto"/>
        <w:rPr>
          <w:rStyle w:val="31"/>
          <w:rFonts w:hint="eastAsia" w:ascii="宋体" w:hAnsi="宋体" w:eastAsia="宋体" w:cs="宋体"/>
          <w:color w:val="auto"/>
          <w:lang w:eastAsia="zh-CN"/>
        </w:rPr>
      </w:pPr>
      <w:r>
        <w:rPr>
          <w:rStyle w:val="31"/>
          <w:rFonts w:hint="eastAsia" w:ascii="宋体" w:hAnsi="宋体" w:eastAsia="宋体" w:cs="宋体"/>
          <w:color w:val="auto"/>
          <w:lang w:eastAsia="zh-CN"/>
        </w:rPr>
        <w:t>20. 6.</w:t>
      </w:r>
      <w:r>
        <w:rPr>
          <w:rStyle w:val="31"/>
          <w:rFonts w:hint="eastAsia" w:ascii="宋体" w:hAnsi="宋体" w:eastAsia="宋体" w:cs="宋体"/>
          <w:color w:val="auto"/>
          <w:lang w:val="zh-CN" w:eastAsia="zh-CN" w:bidi="zh-CN"/>
        </w:rPr>
        <w:t>1保险凭证</w:t>
      </w:r>
    </w:p>
    <w:p w14:paraId="29355546">
      <w:pPr>
        <w:pStyle w:val="95"/>
        <w:pageBreakBefore w:val="0"/>
        <w:widowControl w:val="0"/>
        <w:kinsoku/>
        <w:wordWrap/>
        <w:overflowPunct/>
        <w:topLinePunct w:val="0"/>
        <w:autoSpaceDE/>
        <w:autoSpaceDN/>
        <w:bidi w:val="0"/>
        <w:adjustRightInd/>
        <w:snapToGrid/>
        <w:spacing w:line="440" w:lineRule="exact"/>
        <w:ind w:left="0" w:leftChars="0" w:firstLine="442"/>
        <w:jc w:val="both"/>
        <w:textAlignment w:val="auto"/>
        <w:rPr>
          <w:rStyle w:val="31"/>
          <w:rFonts w:hint="eastAsia" w:ascii="宋体" w:hAnsi="宋体" w:eastAsia="宋体" w:cs="宋体"/>
          <w:color w:val="auto"/>
        </w:rPr>
      </w:pPr>
      <w:r>
        <w:rPr>
          <w:rStyle w:val="31"/>
          <w:rFonts w:hint="eastAsia" w:ascii="宋体" w:hAnsi="宋体" w:eastAsia="宋体" w:cs="宋体"/>
          <w:color w:val="auto"/>
        </w:rPr>
        <w:t>承包人应在专用合同条款约定的期限内向发包人提交各项保险生效的证据和保险单副本，保险单必须与专用合同条款约定的条件保持一致。</w:t>
      </w:r>
    </w:p>
    <w:p w14:paraId="07526068">
      <w:pPr>
        <w:pStyle w:val="95"/>
        <w:pageBreakBefore w:val="0"/>
        <w:widowControl w:val="0"/>
        <w:kinsoku/>
        <w:wordWrap/>
        <w:overflowPunct/>
        <w:topLinePunct w:val="0"/>
        <w:autoSpaceDE/>
        <w:autoSpaceDN/>
        <w:bidi w:val="0"/>
        <w:adjustRightInd/>
        <w:snapToGrid/>
        <w:spacing w:line="440" w:lineRule="exact"/>
        <w:ind w:left="0" w:leftChars="0" w:firstLine="442"/>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20.6.2</w:t>
      </w:r>
      <w:r>
        <w:rPr>
          <w:rStyle w:val="31"/>
          <w:rFonts w:hint="eastAsia" w:ascii="宋体" w:hAnsi="宋体" w:eastAsia="宋体" w:cs="宋体"/>
          <w:color w:val="auto"/>
        </w:rPr>
        <w:t>保险合同条款的变动</w:t>
      </w:r>
    </w:p>
    <w:p w14:paraId="40E561E7">
      <w:pPr>
        <w:pStyle w:val="95"/>
        <w:pageBreakBefore w:val="0"/>
        <w:widowControl w:val="0"/>
        <w:kinsoku/>
        <w:wordWrap/>
        <w:overflowPunct/>
        <w:topLinePunct w:val="0"/>
        <w:autoSpaceDE/>
        <w:autoSpaceDN/>
        <w:bidi w:val="0"/>
        <w:adjustRightInd/>
        <w:snapToGrid/>
        <w:spacing w:line="440" w:lineRule="exact"/>
        <w:ind w:left="0" w:leftChars="0" w:firstLine="442"/>
        <w:jc w:val="both"/>
        <w:textAlignment w:val="auto"/>
        <w:rPr>
          <w:rStyle w:val="31"/>
          <w:rFonts w:hint="eastAsia" w:ascii="宋体" w:hAnsi="宋体" w:eastAsia="宋体" w:cs="宋体"/>
          <w:color w:val="auto"/>
        </w:rPr>
      </w:pPr>
      <w:r>
        <w:rPr>
          <w:rStyle w:val="31"/>
          <w:rFonts w:hint="eastAsia" w:ascii="宋体" w:hAnsi="宋体" w:eastAsia="宋体" w:cs="宋体"/>
          <w:color w:val="auto"/>
        </w:rPr>
        <w:t>承包人需要变动保险合同条款时，应事先征得发包人同意，并通知监理人。保险人作出变动的，承包人应在收到保险人通知后立即通知发包人和监理人。</w:t>
      </w:r>
    </w:p>
    <w:p w14:paraId="246401B8">
      <w:pPr>
        <w:pStyle w:val="96"/>
        <w:pageBreakBefore w:val="0"/>
        <w:widowControl w:val="0"/>
        <w:kinsoku/>
        <w:wordWrap/>
        <w:overflowPunct/>
        <w:topLinePunct w:val="0"/>
        <w:autoSpaceDE/>
        <w:autoSpaceDN/>
        <w:bidi w:val="0"/>
        <w:adjustRightInd/>
        <w:snapToGrid/>
        <w:spacing w:after="0" w:line="440" w:lineRule="exact"/>
        <w:ind w:left="0" w:leftChars="0" w:firstLine="442"/>
        <w:jc w:val="both"/>
        <w:textAlignment w:val="auto"/>
        <w:rPr>
          <w:rStyle w:val="31"/>
          <w:rFonts w:hint="eastAsia" w:ascii="宋体" w:hAnsi="宋体" w:eastAsia="宋体" w:cs="宋体"/>
          <w:color w:val="auto"/>
          <w:lang w:eastAsia="zh-CN"/>
        </w:rPr>
      </w:pPr>
      <w:r>
        <w:rPr>
          <w:rStyle w:val="31"/>
          <w:rFonts w:hint="eastAsia" w:ascii="宋体" w:hAnsi="宋体" w:eastAsia="宋体" w:cs="宋体"/>
          <w:color w:val="auto"/>
          <w:lang w:eastAsia="zh-CN"/>
        </w:rPr>
        <w:t>20.6.</w:t>
      </w:r>
      <w:r>
        <w:rPr>
          <w:rStyle w:val="31"/>
          <w:rFonts w:hint="eastAsia" w:ascii="宋体" w:hAnsi="宋体" w:eastAsia="宋体" w:cs="宋体"/>
          <w:color w:val="auto"/>
          <w:lang w:val="zh-CN" w:eastAsia="zh-CN" w:bidi="zh-CN"/>
        </w:rPr>
        <w:t>3持续保险</w:t>
      </w:r>
    </w:p>
    <w:p w14:paraId="49D1BFE4">
      <w:pPr>
        <w:pStyle w:val="95"/>
        <w:pageBreakBefore w:val="0"/>
        <w:widowControl w:val="0"/>
        <w:kinsoku/>
        <w:wordWrap/>
        <w:overflowPunct/>
        <w:topLinePunct w:val="0"/>
        <w:autoSpaceDE/>
        <w:autoSpaceDN/>
        <w:bidi w:val="0"/>
        <w:adjustRightInd/>
        <w:snapToGrid/>
        <w:spacing w:line="440" w:lineRule="exact"/>
        <w:ind w:left="0" w:leftChars="0" w:firstLine="442"/>
        <w:jc w:val="both"/>
        <w:textAlignment w:val="auto"/>
        <w:rPr>
          <w:rStyle w:val="31"/>
          <w:rFonts w:hint="eastAsia" w:ascii="宋体" w:hAnsi="宋体" w:eastAsia="宋体" w:cs="宋体"/>
          <w:color w:val="auto"/>
        </w:rPr>
      </w:pPr>
      <w:r>
        <w:rPr>
          <w:rStyle w:val="31"/>
          <w:rFonts w:hint="eastAsia" w:ascii="宋体" w:hAnsi="宋体" w:eastAsia="宋体" w:cs="宋体"/>
          <w:color w:val="auto"/>
        </w:rPr>
        <w:t>承包人应与保险人保持联系，使保险人能够随时了解工程实施中的变动，并确保按保险合同条款要求持续保险。</w:t>
      </w:r>
    </w:p>
    <w:p w14:paraId="70E9BF71">
      <w:pPr>
        <w:pStyle w:val="95"/>
        <w:pageBreakBefore w:val="0"/>
        <w:widowControl w:val="0"/>
        <w:kinsoku/>
        <w:wordWrap/>
        <w:overflowPunct/>
        <w:topLinePunct w:val="0"/>
        <w:autoSpaceDE/>
        <w:autoSpaceDN/>
        <w:bidi w:val="0"/>
        <w:adjustRightInd/>
        <w:snapToGrid/>
        <w:spacing w:line="440" w:lineRule="exact"/>
        <w:ind w:left="0" w:leftChars="0" w:firstLine="442"/>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20.6.4</w:t>
      </w:r>
      <w:r>
        <w:rPr>
          <w:rStyle w:val="31"/>
          <w:rFonts w:hint="eastAsia" w:ascii="宋体" w:hAnsi="宋体" w:eastAsia="宋体" w:cs="宋体"/>
          <w:color w:val="auto"/>
        </w:rPr>
        <w:t>保险金不足的补偿</w:t>
      </w:r>
    </w:p>
    <w:p w14:paraId="22E79CCE">
      <w:pPr>
        <w:pStyle w:val="95"/>
        <w:pageBreakBefore w:val="0"/>
        <w:widowControl w:val="0"/>
        <w:kinsoku/>
        <w:wordWrap/>
        <w:overflowPunct/>
        <w:topLinePunct w:val="0"/>
        <w:autoSpaceDE/>
        <w:autoSpaceDN/>
        <w:bidi w:val="0"/>
        <w:adjustRightInd/>
        <w:snapToGrid/>
        <w:spacing w:line="440" w:lineRule="exact"/>
        <w:ind w:left="0" w:leftChars="0" w:firstLine="442"/>
        <w:jc w:val="both"/>
        <w:textAlignment w:val="auto"/>
        <w:rPr>
          <w:rStyle w:val="31"/>
          <w:rFonts w:hint="eastAsia" w:ascii="宋体" w:hAnsi="宋体" w:eastAsia="宋体" w:cs="宋体"/>
          <w:color w:val="auto"/>
        </w:rPr>
      </w:pPr>
      <w:r>
        <w:rPr>
          <w:rStyle w:val="31"/>
          <w:rFonts w:hint="eastAsia" w:ascii="宋体" w:hAnsi="宋体" w:eastAsia="宋体" w:cs="宋体"/>
          <w:color w:val="auto"/>
        </w:rPr>
        <w:t>保险金不足以补偿损失时，应由承包人和发包人各自负责补偿的范围和金额在专用合 同条款中约定。</w:t>
      </w:r>
    </w:p>
    <w:p w14:paraId="36A2BCB4">
      <w:pPr>
        <w:pStyle w:val="95"/>
        <w:pageBreakBefore w:val="0"/>
        <w:widowControl w:val="0"/>
        <w:kinsoku/>
        <w:wordWrap/>
        <w:overflowPunct/>
        <w:topLinePunct w:val="0"/>
        <w:autoSpaceDE/>
        <w:autoSpaceDN/>
        <w:bidi w:val="0"/>
        <w:adjustRightInd/>
        <w:snapToGrid/>
        <w:spacing w:line="440" w:lineRule="exact"/>
        <w:ind w:left="0" w:leftChars="0" w:firstLine="442"/>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eastAsia="en-US" w:bidi="en-US"/>
        </w:rPr>
        <w:t>20. 6.</w:t>
      </w:r>
      <w:r>
        <w:rPr>
          <w:rStyle w:val="31"/>
          <w:rFonts w:hint="eastAsia" w:ascii="宋体" w:hAnsi="宋体" w:eastAsia="宋体" w:cs="宋体"/>
          <w:color w:val="auto"/>
        </w:rPr>
        <w:t>5未按约定投保的补救</w:t>
      </w:r>
    </w:p>
    <w:p w14:paraId="53E89032">
      <w:pPr>
        <w:pStyle w:val="95"/>
        <w:pageBreakBefore w:val="0"/>
        <w:widowControl w:val="0"/>
        <w:numPr>
          <w:ilvl w:val="0"/>
          <w:numId w:val="28"/>
        </w:numPr>
        <w:tabs>
          <w:tab w:val="left" w:pos="903"/>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199" w:name="bookmark1475"/>
      <w:bookmarkEnd w:id="1199"/>
      <w:r>
        <w:rPr>
          <w:rStyle w:val="31"/>
          <w:rFonts w:hint="eastAsia" w:ascii="宋体" w:hAnsi="宋体" w:eastAsia="宋体" w:cs="宋体"/>
          <w:color w:val="auto"/>
        </w:rPr>
        <w:t>由于负有投保义务的一方当事人未按合同约定办理保险，或未能使保险持续有效的，另一方当事人可代为办理，所需费用由对方当事人承担。</w:t>
      </w:r>
    </w:p>
    <w:p w14:paraId="4D63D4DC">
      <w:pPr>
        <w:pStyle w:val="95"/>
        <w:pageBreakBefore w:val="0"/>
        <w:widowControl w:val="0"/>
        <w:numPr>
          <w:ilvl w:val="0"/>
          <w:numId w:val="28"/>
        </w:numPr>
        <w:tabs>
          <w:tab w:val="left" w:pos="915"/>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200" w:name="bookmark1476"/>
      <w:bookmarkEnd w:id="1200"/>
      <w:r>
        <w:rPr>
          <w:rStyle w:val="31"/>
          <w:rFonts w:hint="eastAsia" w:ascii="宋体" w:hAnsi="宋体" w:eastAsia="宋体" w:cs="宋体"/>
          <w:color w:val="auto"/>
        </w:rPr>
        <w:t>由于负有投保义务的一方当事人未按合同约定办理某项保险，导致受益人未能得到保险人的赔偿，原应从该项保险得到的保险金应由负有投保义务的一方当事人支付。</w:t>
      </w:r>
    </w:p>
    <w:p w14:paraId="5FB38EBD">
      <w:pPr>
        <w:pStyle w:val="96"/>
        <w:pageBreakBefore w:val="0"/>
        <w:widowControl w:val="0"/>
        <w:kinsoku/>
        <w:wordWrap/>
        <w:overflowPunct/>
        <w:topLinePunct w:val="0"/>
        <w:autoSpaceDE/>
        <w:autoSpaceDN/>
        <w:bidi w:val="0"/>
        <w:adjustRightInd/>
        <w:snapToGrid/>
        <w:spacing w:after="0" w:line="440" w:lineRule="exact"/>
        <w:ind w:left="0" w:leftChars="0"/>
        <w:jc w:val="both"/>
        <w:textAlignment w:val="auto"/>
        <w:rPr>
          <w:rStyle w:val="31"/>
          <w:rFonts w:hint="eastAsia" w:ascii="宋体" w:hAnsi="宋体" w:eastAsia="宋体" w:cs="宋体"/>
          <w:color w:val="auto"/>
          <w:lang w:eastAsia="zh-CN"/>
        </w:rPr>
      </w:pPr>
      <w:r>
        <w:rPr>
          <w:rStyle w:val="31"/>
          <w:rFonts w:hint="eastAsia" w:ascii="宋体" w:hAnsi="宋体" w:eastAsia="宋体" w:cs="宋体"/>
          <w:color w:val="auto"/>
          <w:lang w:eastAsia="zh-CN"/>
        </w:rPr>
        <w:t>20.6.6</w:t>
      </w:r>
      <w:r>
        <w:rPr>
          <w:rStyle w:val="31"/>
          <w:rFonts w:hint="eastAsia" w:ascii="宋体" w:hAnsi="宋体" w:eastAsia="宋体" w:cs="宋体"/>
          <w:color w:val="auto"/>
          <w:lang w:val="zh-CN" w:eastAsia="zh-CN" w:bidi="zh-CN"/>
        </w:rPr>
        <w:t>报告义务</w:t>
      </w:r>
    </w:p>
    <w:p w14:paraId="31C8DF11">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当保险事故发生时，投保人应按照保险单规定的条件和期限及时向保险人报告。</w:t>
      </w:r>
    </w:p>
    <w:p w14:paraId="3F63958A">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201" w:name="_Toc12103"/>
      <w:bookmarkStart w:id="1202" w:name="bookmark1479"/>
      <w:bookmarkStart w:id="1203" w:name="bookmark1478"/>
      <w:bookmarkStart w:id="1204" w:name="bookmark1477"/>
      <w:bookmarkStart w:id="1205" w:name="_Toc1749"/>
      <w:bookmarkStart w:id="1206" w:name="_Toc256000157"/>
      <w:r>
        <w:rPr>
          <w:rStyle w:val="31"/>
          <w:rFonts w:hint="eastAsia" w:ascii="宋体" w:hAnsi="宋体" w:eastAsia="宋体" w:cs="宋体"/>
          <w:color w:val="auto"/>
          <w:sz w:val="24"/>
          <w:szCs w:val="24"/>
          <w:lang w:eastAsia="zh-CN"/>
        </w:rPr>
        <w:t>20.7风险责任的转移</w:t>
      </w:r>
      <w:bookmarkEnd w:id="1201"/>
      <w:bookmarkEnd w:id="1202"/>
      <w:bookmarkEnd w:id="1203"/>
      <w:bookmarkEnd w:id="1204"/>
      <w:bookmarkEnd w:id="1205"/>
      <w:bookmarkEnd w:id="1206"/>
    </w:p>
    <w:p w14:paraId="1B5EEFA7">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工程通过合同工程完工验收并移交给发包人后，原由承包人应承担的风险责任，以及保险的责任、权利和义务同时转移给发包人，但承包人在缺陷责任期(工程质量保修期) 前造成损失和损坏情形除外</w:t>
      </w:r>
      <w:r>
        <w:rPr>
          <w:rStyle w:val="31"/>
          <w:rFonts w:hint="eastAsia" w:ascii="宋体" w:hAnsi="宋体" w:eastAsia="宋体" w:cs="宋体"/>
          <w:color w:val="auto"/>
          <w:lang w:val="en-US" w:bidi="en-US"/>
        </w:rPr>
        <w:t>。</w:t>
      </w:r>
    </w:p>
    <w:p w14:paraId="26E790F0">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lang w:eastAsia="zh-CN"/>
        </w:rPr>
      </w:pPr>
      <w:bookmarkStart w:id="1207" w:name="bookmark1480"/>
      <w:bookmarkStart w:id="1208" w:name="_Toc5879"/>
      <w:bookmarkStart w:id="1209" w:name="bookmark1482"/>
      <w:bookmarkStart w:id="1210" w:name="_Toc24408"/>
      <w:bookmarkStart w:id="1211" w:name="bookmark1481"/>
      <w:bookmarkStart w:id="1212" w:name="_Toc256000158"/>
      <w:r>
        <w:rPr>
          <w:rStyle w:val="31"/>
          <w:rFonts w:hint="eastAsia" w:ascii="宋体" w:hAnsi="宋体" w:eastAsia="宋体" w:cs="宋体"/>
          <w:color w:val="auto"/>
          <w:lang w:eastAsia="zh-CN"/>
        </w:rPr>
        <w:t>21.不可抗力</w:t>
      </w:r>
      <w:bookmarkEnd w:id="1207"/>
      <w:bookmarkEnd w:id="1208"/>
      <w:bookmarkEnd w:id="1209"/>
      <w:bookmarkEnd w:id="1210"/>
      <w:bookmarkEnd w:id="1211"/>
      <w:bookmarkEnd w:id="1212"/>
    </w:p>
    <w:p w14:paraId="4EE68F0E">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213" w:name="bookmark1485"/>
      <w:bookmarkStart w:id="1214" w:name="_Toc256000159"/>
      <w:bookmarkStart w:id="1215" w:name="bookmark1484"/>
      <w:bookmarkStart w:id="1216" w:name="_Toc18271"/>
      <w:bookmarkStart w:id="1217" w:name="bookmark1483"/>
      <w:bookmarkStart w:id="1218" w:name="_Toc15722"/>
      <w:r>
        <w:rPr>
          <w:rStyle w:val="31"/>
          <w:rFonts w:hint="eastAsia" w:ascii="宋体" w:hAnsi="宋体" w:eastAsia="宋体" w:cs="宋体"/>
          <w:color w:val="auto"/>
          <w:sz w:val="24"/>
          <w:szCs w:val="24"/>
          <w:lang w:eastAsia="zh-CN"/>
        </w:rPr>
        <w:t>21.1不可抗力的确认</w:t>
      </w:r>
      <w:bookmarkEnd w:id="1213"/>
      <w:bookmarkEnd w:id="1214"/>
      <w:bookmarkEnd w:id="1215"/>
      <w:bookmarkEnd w:id="1216"/>
      <w:bookmarkEnd w:id="1217"/>
      <w:bookmarkEnd w:id="1218"/>
    </w:p>
    <w:p w14:paraId="4F6F257A">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21.1.1</w:t>
      </w:r>
      <w:r>
        <w:rPr>
          <w:rStyle w:val="31"/>
          <w:rFonts w:hint="eastAsia" w:ascii="宋体" w:hAnsi="宋体" w:eastAsia="宋体" w:cs="宋体"/>
          <w:color w:val="auto"/>
        </w:rPr>
        <w:t>不可抗力是指承包人和发包人在订立合同时不可预见，在工程施工过程中不可避免发生并不能克服的自然灾害和社会性突发事件，如地震、海啸、瘟疫、水灾、骚乱、 暴动、战争和专用合同条款约定的其他情形。</w:t>
      </w:r>
    </w:p>
    <w:p w14:paraId="06CAE3CD">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21.1.2</w:t>
      </w:r>
      <w:r>
        <w:rPr>
          <w:rStyle w:val="31"/>
          <w:rFonts w:hint="eastAsia" w:ascii="宋体" w:hAnsi="宋体" w:eastAsia="宋体" w:cs="宋体"/>
          <w:color w:val="auto"/>
        </w:rPr>
        <w:t>不可抗力发生后，发包人和承包人应及时认真统计所造成的损失，收集不可抗力造成损失的证据。合同双方对是否属于不可抗力或其损失的意见不一致的，由监理人按第</w:t>
      </w:r>
      <w:r>
        <w:rPr>
          <w:rStyle w:val="31"/>
          <w:rFonts w:hint="eastAsia" w:ascii="宋体" w:hAnsi="宋体" w:eastAsia="宋体" w:cs="宋体"/>
          <w:color w:val="auto"/>
          <w:lang w:val="en-US" w:bidi="en-US"/>
        </w:rPr>
        <w:t xml:space="preserve">3. </w:t>
      </w:r>
      <w:r>
        <w:rPr>
          <w:rStyle w:val="31"/>
          <w:rFonts w:hint="eastAsia" w:ascii="宋体" w:hAnsi="宋体" w:eastAsia="宋体" w:cs="宋体"/>
          <w:color w:val="auto"/>
        </w:rPr>
        <w:t>5款商定或确定。发生争议时，按第24条的约定办理。</w:t>
      </w:r>
    </w:p>
    <w:p w14:paraId="30B4775C">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219" w:name="bookmark1486"/>
      <w:bookmarkStart w:id="1220" w:name="bookmark1487"/>
      <w:bookmarkStart w:id="1221" w:name="_Toc5372"/>
      <w:bookmarkStart w:id="1222" w:name="_Toc2385"/>
      <w:bookmarkStart w:id="1223" w:name="bookmark1488"/>
      <w:bookmarkStart w:id="1224" w:name="_Toc256000160"/>
      <w:r>
        <w:rPr>
          <w:rStyle w:val="31"/>
          <w:rFonts w:hint="eastAsia" w:ascii="宋体" w:hAnsi="宋体" w:eastAsia="宋体" w:cs="宋体"/>
          <w:color w:val="auto"/>
          <w:sz w:val="24"/>
          <w:szCs w:val="24"/>
          <w:lang w:eastAsia="zh-CN"/>
        </w:rPr>
        <w:t>21.2不可抗力的通知</w:t>
      </w:r>
      <w:bookmarkEnd w:id="1219"/>
      <w:bookmarkEnd w:id="1220"/>
      <w:bookmarkEnd w:id="1221"/>
      <w:bookmarkEnd w:id="1222"/>
      <w:bookmarkEnd w:id="1223"/>
      <w:bookmarkEnd w:id="1224"/>
    </w:p>
    <w:p w14:paraId="6921EF52">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21.2.1</w:t>
      </w:r>
      <w:r>
        <w:rPr>
          <w:rStyle w:val="31"/>
          <w:rFonts w:hint="eastAsia" w:ascii="宋体" w:hAnsi="宋体" w:eastAsia="宋体" w:cs="宋体"/>
          <w:color w:val="auto"/>
        </w:rPr>
        <w:t>合同一方当事人遇到不可抗力事件，使其履行合同义务受到阻碍时，应立即通知合同另一方当事人和监理人，书面说明不可抗力和受阻碍的详细情况，并提供必要的证明。</w:t>
      </w:r>
    </w:p>
    <w:p w14:paraId="22A403B6">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21.2.2</w:t>
      </w:r>
      <w:r>
        <w:rPr>
          <w:rStyle w:val="31"/>
          <w:rFonts w:hint="eastAsia" w:ascii="宋体" w:hAnsi="宋体" w:eastAsia="宋体" w:cs="宋体"/>
          <w:color w:val="auto"/>
        </w:rPr>
        <w:t>如不可抗力持续发生，合同一方当事人应及时向合同另一方当事人和监理人提交中间报告，说明不可抗力和履行合同受阻的情况，并于不可抗力事件结束后28天内提交最终报告及有关资料。</w:t>
      </w:r>
    </w:p>
    <w:p w14:paraId="1C885C48">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225" w:name="bookmark1489"/>
      <w:bookmarkStart w:id="1226" w:name="bookmark1491"/>
      <w:bookmarkStart w:id="1227" w:name="_Toc17208"/>
      <w:bookmarkStart w:id="1228" w:name="bookmark1490"/>
      <w:bookmarkStart w:id="1229" w:name="_Toc32024"/>
      <w:bookmarkStart w:id="1230" w:name="_Toc256000161"/>
      <w:r>
        <w:rPr>
          <w:rStyle w:val="31"/>
          <w:rFonts w:hint="eastAsia" w:ascii="宋体" w:hAnsi="宋体" w:eastAsia="宋体" w:cs="宋体"/>
          <w:color w:val="auto"/>
          <w:sz w:val="24"/>
          <w:szCs w:val="24"/>
          <w:lang w:eastAsia="zh-CN"/>
        </w:rPr>
        <w:t>21.3不可抗力后果及其处理</w:t>
      </w:r>
      <w:bookmarkEnd w:id="1225"/>
      <w:bookmarkEnd w:id="1226"/>
      <w:bookmarkEnd w:id="1227"/>
      <w:bookmarkEnd w:id="1228"/>
      <w:bookmarkEnd w:id="1229"/>
      <w:bookmarkEnd w:id="1230"/>
    </w:p>
    <w:p w14:paraId="48C85A24">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21.3.1</w:t>
      </w:r>
      <w:r>
        <w:rPr>
          <w:rStyle w:val="31"/>
          <w:rFonts w:hint="eastAsia" w:ascii="宋体" w:hAnsi="宋体" w:eastAsia="宋体" w:cs="宋体"/>
          <w:color w:val="auto"/>
        </w:rPr>
        <w:t>不可抗力造成损害的责任</w:t>
      </w:r>
    </w:p>
    <w:p w14:paraId="60FFF435">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除专用合同条款另有约定外，不可抗力导致的人员伤亡、财产损失、费用增加和(或) 工期延误等后果，由合同双方按以下原则承担：</w:t>
      </w:r>
    </w:p>
    <w:p w14:paraId="3AF4F1B3">
      <w:pPr>
        <w:pStyle w:val="95"/>
        <w:pageBreakBefore w:val="0"/>
        <w:widowControl w:val="0"/>
        <w:numPr>
          <w:ilvl w:val="0"/>
          <w:numId w:val="29"/>
        </w:numPr>
        <w:tabs>
          <w:tab w:val="left" w:pos="903"/>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231" w:name="bookmark1492"/>
      <w:bookmarkEnd w:id="1231"/>
      <w:r>
        <w:rPr>
          <w:rStyle w:val="31"/>
          <w:rFonts w:hint="eastAsia" w:ascii="宋体" w:hAnsi="宋体" w:eastAsia="宋体" w:cs="宋体"/>
          <w:color w:val="auto"/>
        </w:rPr>
        <w:t>永久工程，包括已运至施工场地的材料和工程设备的损害，以及因工程损害造成的第三者人员伤亡和财产损失由发包人承担；</w:t>
      </w:r>
    </w:p>
    <w:p w14:paraId="1E8971C6">
      <w:pPr>
        <w:pStyle w:val="95"/>
        <w:pageBreakBefore w:val="0"/>
        <w:widowControl w:val="0"/>
        <w:numPr>
          <w:ilvl w:val="0"/>
          <w:numId w:val="29"/>
        </w:numPr>
        <w:tabs>
          <w:tab w:val="left" w:pos="923"/>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232" w:name="bookmark1493"/>
      <w:bookmarkEnd w:id="1232"/>
      <w:r>
        <w:rPr>
          <w:rStyle w:val="31"/>
          <w:rFonts w:hint="eastAsia" w:ascii="宋体" w:hAnsi="宋体" w:eastAsia="宋体" w:cs="宋体"/>
          <w:color w:val="auto"/>
        </w:rPr>
        <w:t>承包人设备的损坏由承包人承担；</w:t>
      </w:r>
    </w:p>
    <w:p w14:paraId="0491722B">
      <w:pPr>
        <w:pStyle w:val="95"/>
        <w:pageBreakBefore w:val="0"/>
        <w:widowControl w:val="0"/>
        <w:numPr>
          <w:ilvl w:val="0"/>
          <w:numId w:val="29"/>
        </w:numPr>
        <w:tabs>
          <w:tab w:val="left" w:pos="923"/>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233" w:name="bookmark1494"/>
      <w:bookmarkEnd w:id="1233"/>
      <w:r>
        <w:rPr>
          <w:rStyle w:val="31"/>
          <w:rFonts w:hint="eastAsia" w:ascii="宋体" w:hAnsi="宋体" w:eastAsia="宋体" w:cs="宋体"/>
          <w:color w:val="auto"/>
        </w:rPr>
        <w:t>发包人和承包人各自承担其人员伤亡和其他财产损失及其相关费用；</w:t>
      </w:r>
    </w:p>
    <w:p w14:paraId="230BF0BA">
      <w:pPr>
        <w:pStyle w:val="95"/>
        <w:pageBreakBefore w:val="0"/>
        <w:widowControl w:val="0"/>
        <w:numPr>
          <w:ilvl w:val="0"/>
          <w:numId w:val="29"/>
        </w:numPr>
        <w:tabs>
          <w:tab w:val="left" w:pos="915"/>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234" w:name="bookmark1495"/>
      <w:bookmarkEnd w:id="1234"/>
      <w:r>
        <w:rPr>
          <w:rStyle w:val="31"/>
          <w:rFonts w:hint="eastAsia" w:ascii="宋体" w:hAnsi="宋体" w:eastAsia="宋体" w:cs="宋体"/>
          <w:color w:val="auto"/>
        </w:rPr>
        <w:t>承包人的停工损失由承包人承担，但停工期间应监理人要求照管工程和清理、修复工程的金额由发包人承担；</w:t>
      </w:r>
    </w:p>
    <w:p w14:paraId="3B1A8724">
      <w:pPr>
        <w:pStyle w:val="95"/>
        <w:pageBreakBefore w:val="0"/>
        <w:widowControl w:val="0"/>
        <w:numPr>
          <w:ilvl w:val="0"/>
          <w:numId w:val="29"/>
        </w:numPr>
        <w:tabs>
          <w:tab w:val="left" w:pos="920"/>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235" w:name="bookmark1496"/>
      <w:bookmarkEnd w:id="1235"/>
      <w:r>
        <w:rPr>
          <w:rStyle w:val="31"/>
          <w:rFonts w:hint="eastAsia" w:ascii="宋体" w:hAnsi="宋体" w:eastAsia="宋体" w:cs="宋体"/>
          <w:color w:val="auto"/>
        </w:rPr>
        <w:t>不能按期竣工的，应合理延长工期，承包人不需支付逾期竣工违约金。发包人要求赶工的，承包人应采取赶工措施，赶工费用由发包人承担。</w:t>
      </w:r>
    </w:p>
    <w:p w14:paraId="1F636372">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21.3.2</w:t>
      </w:r>
      <w:r>
        <w:rPr>
          <w:rStyle w:val="31"/>
          <w:rFonts w:hint="eastAsia" w:ascii="宋体" w:hAnsi="宋体" w:eastAsia="宋体" w:cs="宋体"/>
          <w:color w:val="auto"/>
        </w:rPr>
        <w:t>延迟履行期间发生的不可抗力</w:t>
      </w:r>
    </w:p>
    <w:p w14:paraId="725CFBCB">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合同一方当事人延迟履行，在延迟履行期间发生不可抗力的，不免除其责任。</w:t>
      </w:r>
    </w:p>
    <w:p w14:paraId="7C6EEF24">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rPr>
        <w:t>21.3.3</w:t>
      </w:r>
      <w:r>
        <w:rPr>
          <w:rStyle w:val="31"/>
          <w:rFonts w:hint="eastAsia" w:ascii="宋体" w:hAnsi="宋体" w:eastAsia="宋体" w:cs="宋体"/>
          <w:color w:val="auto"/>
        </w:rPr>
        <w:t>避免和减少不可抗力损失</w:t>
      </w:r>
    </w:p>
    <w:p w14:paraId="23E7837B">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不可抗力发生后，发包人和承包人均应采取措施尽量避免和减少损失的扩大，任何一 方没有采取有效措施导致损失扩大的，应对扩大的损失承担责任。</w:t>
      </w:r>
    </w:p>
    <w:p w14:paraId="01A62941">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lang w:val="en-US"/>
        </w:rPr>
      </w:pPr>
      <w:r>
        <w:rPr>
          <w:rStyle w:val="31"/>
          <w:rFonts w:hint="eastAsia" w:ascii="宋体" w:hAnsi="宋体" w:eastAsia="宋体" w:cs="宋体"/>
          <w:color w:val="auto"/>
          <w:lang w:val="en-US"/>
        </w:rPr>
        <w:t>21.3.4因不可抗力解除合同</w:t>
      </w:r>
    </w:p>
    <w:p w14:paraId="74E4F45C">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合同一方当事人因不可抗力不能履行合同的，应当及时通知对方解除合同。合同解除后，承包人应按照第</w:t>
      </w:r>
      <w:r>
        <w:rPr>
          <w:rStyle w:val="31"/>
          <w:rFonts w:hint="eastAsia" w:ascii="宋体" w:hAnsi="宋体" w:eastAsia="宋体" w:cs="宋体"/>
          <w:color w:val="auto"/>
          <w:lang w:val="en-US" w:bidi="en-US"/>
        </w:rPr>
        <w:t>22.2.5</w:t>
      </w:r>
      <w:r>
        <w:rPr>
          <w:rStyle w:val="31"/>
          <w:rFonts w:hint="eastAsia" w:ascii="宋体" w:hAnsi="宋体" w:eastAsia="宋体" w:cs="宋体"/>
          <w:color w:val="auto"/>
        </w:rPr>
        <w:t>项约定撤离施工场地。已经订货的材料、设备由订货方负责退货或解除订货合同，不能退还的货款和因退货、解除订货合同发生的费用，由发包人承担, 因未及时退货造成的损失由责任方承担。合同解除后的付款，参照第</w:t>
      </w:r>
      <w:r>
        <w:rPr>
          <w:rStyle w:val="31"/>
          <w:rFonts w:hint="eastAsia" w:ascii="宋体" w:hAnsi="宋体" w:eastAsia="宋体" w:cs="宋体"/>
          <w:color w:val="auto"/>
          <w:lang w:val="en-US" w:bidi="en-US"/>
        </w:rPr>
        <w:t>22. 2.4</w:t>
      </w:r>
      <w:r>
        <w:rPr>
          <w:rStyle w:val="31"/>
          <w:rFonts w:hint="eastAsia" w:ascii="宋体" w:hAnsi="宋体" w:eastAsia="宋体" w:cs="宋体"/>
          <w:color w:val="auto"/>
        </w:rPr>
        <w:t>项约定，由监理人按第</w:t>
      </w:r>
      <w:r>
        <w:rPr>
          <w:rStyle w:val="31"/>
          <w:rFonts w:hint="eastAsia" w:ascii="宋体" w:hAnsi="宋体" w:eastAsia="宋体" w:cs="宋体"/>
          <w:color w:val="auto"/>
          <w:lang w:val="en-US" w:bidi="en-US"/>
        </w:rPr>
        <w:t xml:space="preserve">3. </w:t>
      </w:r>
      <w:r>
        <w:rPr>
          <w:rStyle w:val="31"/>
          <w:rFonts w:hint="eastAsia" w:ascii="宋体" w:hAnsi="宋体" w:eastAsia="宋体" w:cs="宋体"/>
          <w:color w:val="auto"/>
        </w:rPr>
        <w:t>5款商定或确定。</w:t>
      </w:r>
    </w:p>
    <w:p w14:paraId="65698230">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lang w:eastAsia="zh-CN"/>
        </w:rPr>
      </w:pPr>
      <w:bookmarkStart w:id="1236" w:name="bookmark1499"/>
      <w:bookmarkStart w:id="1237" w:name="_Toc6299"/>
      <w:bookmarkStart w:id="1238" w:name="_Toc256000162"/>
      <w:bookmarkStart w:id="1239" w:name="_Toc15837"/>
      <w:bookmarkStart w:id="1240" w:name="bookmark1497"/>
      <w:bookmarkStart w:id="1241" w:name="bookmark1498"/>
      <w:r>
        <w:rPr>
          <w:rStyle w:val="31"/>
          <w:rFonts w:hint="eastAsia" w:ascii="宋体" w:hAnsi="宋体" w:eastAsia="宋体" w:cs="宋体"/>
          <w:color w:val="auto"/>
          <w:lang w:eastAsia="zh-CN"/>
        </w:rPr>
        <w:t>22.违约</w:t>
      </w:r>
      <w:bookmarkEnd w:id="1236"/>
      <w:bookmarkEnd w:id="1237"/>
      <w:bookmarkEnd w:id="1238"/>
      <w:bookmarkEnd w:id="1239"/>
    </w:p>
    <w:p w14:paraId="7287AD23">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242" w:name="_Toc256000163"/>
      <w:bookmarkStart w:id="1243" w:name="_Toc3191"/>
      <w:bookmarkStart w:id="1244" w:name="bookmark1500"/>
      <w:bookmarkStart w:id="1245" w:name="_Toc15198"/>
      <w:r>
        <w:rPr>
          <w:rStyle w:val="31"/>
          <w:rFonts w:hint="eastAsia" w:ascii="宋体" w:hAnsi="宋体" w:eastAsia="宋体" w:cs="宋体"/>
          <w:color w:val="auto"/>
          <w:sz w:val="24"/>
          <w:szCs w:val="24"/>
          <w:lang w:eastAsia="zh-CN"/>
        </w:rPr>
        <w:t>22.1承包人违约</w:t>
      </w:r>
      <w:bookmarkEnd w:id="1240"/>
      <w:bookmarkEnd w:id="1241"/>
      <w:bookmarkEnd w:id="1242"/>
      <w:bookmarkEnd w:id="1243"/>
      <w:bookmarkEnd w:id="1244"/>
      <w:bookmarkEnd w:id="1245"/>
    </w:p>
    <w:p w14:paraId="6B8B8323">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22.1.1</w:t>
      </w:r>
      <w:r>
        <w:rPr>
          <w:rStyle w:val="31"/>
          <w:rFonts w:hint="eastAsia" w:ascii="宋体" w:hAnsi="宋体" w:eastAsia="宋体" w:cs="宋体"/>
          <w:color w:val="auto"/>
        </w:rPr>
        <w:t>承包人违约的情形</w:t>
      </w:r>
    </w:p>
    <w:p w14:paraId="39EBE4C8">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在履行合同过程中发生的下列情况属承包人违约：</w:t>
      </w:r>
    </w:p>
    <w:p w14:paraId="47C6E5DC">
      <w:pPr>
        <w:pStyle w:val="95"/>
        <w:pageBreakBefore w:val="0"/>
        <w:widowControl w:val="0"/>
        <w:numPr>
          <w:ilvl w:val="0"/>
          <w:numId w:val="30"/>
        </w:numPr>
        <w:tabs>
          <w:tab w:val="left" w:pos="920"/>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246" w:name="bookmark1501"/>
      <w:bookmarkEnd w:id="1246"/>
      <w:r>
        <w:rPr>
          <w:rStyle w:val="31"/>
          <w:rFonts w:hint="eastAsia" w:ascii="宋体" w:hAnsi="宋体" w:eastAsia="宋体" w:cs="宋体"/>
          <w:color w:val="auto"/>
        </w:rPr>
        <w:t>承包人违反第</w:t>
      </w:r>
      <w:r>
        <w:rPr>
          <w:rStyle w:val="31"/>
          <w:rFonts w:hint="eastAsia" w:ascii="宋体" w:hAnsi="宋体" w:eastAsia="宋体" w:cs="宋体"/>
          <w:color w:val="auto"/>
          <w:lang w:val="en-US" w:bidi="en-US"/>
        </w:rPr>
        <w:t>1.8</w:t>
      </w:r>
      <w:r>
        <w:rPr>
          <w:rStyle w:val="31"/>
          <w:rFonts w:hint="eastAsia" w:ascii="宋体" w:hAnsi="宋体" w:eastAsia="宋体" w:cs="宋体"/>
          <w:color w:val="auto"/>
        </w:rPr>
        <w:t>款或第</w:t>
      </w:r>
      <w:r>
        <w:rPr>
          <w:rStyle w:val="31"/>
          <w:rFonts w:hint="eastAsia" w:ascii="宋体" w:hAnsi="宋体" w:eastAsia="宋体" w:cs="宋体"/>
          <w:color w:val="auto"/>
          <w:lang w:val="en-US" w:bidi="en-US"/>
        </w:rPr>
        <w:t xml:space="preserve">4. </w:t>
      </w:r>
      <w:r>
        <w:rPr>
          <w:rStyle w:val="31"/>
          <w:rFonts w:hint="eastAsia" w:ascii="宋体" w:hAnsi="宋体" w:eastAsia="宋体" w:cs="宋体"/>
          <w:color w:val="auto"/>
        </w:rPr>
        <w:t>3款的约定，私自将合同的全部或部分权利转让给其他人，或私自将合同的全部或部分义务转移给其他人；</w:t>
      </w:r>
    </w:p>
    <w:p w14:paraId="10148C3F">
      <w:pPr>
        <w:pStyle w:val="95"/>
        <w:pageBreakBefore w:val="0"/>
        <w:widowControl w:val="0"/>
        <w:numPr>
          <w:ilvl w:val="0"/>
          <w:numId w:val="30"/>
        </w:numPr>
        <w:tabs>
          <w:tab w:val="left" w:pos="920"/>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247" w:name="bookmark1502"/>
      <w:bookmarkEnd w:id="1247"/>
      <w:r>
        <w:rPr>
          <w:rStyle w:val="31"/>
          <w:rFonts w:hint="eastAsia" w:ascii="宋体" w:hAnsi="宋体" w:eastAsia="宋体" w:cs="宋体"/>
          <w:color w:val="auto"/>
        </w:rPr>
        <w:t>承包人违反第</w:t>
      </w:r>
      <w:r>
        <w:rPr>
          <w:rStyle w:val="31"/>
          <w:rFonts w:hint="eastAsia" w:ascii="宋体" w:hAnsi="宋体" w:eastAsia="宋体" w:cs="宋体"/>
          <w:color w:val="auto"/>
          <w:lang w:val="en-US" w:bidi="en-US"/>
        </w:rPr>
        <w:t xml:space="preserve">5. </w:t>
      </w:r>
      <w:r>
        <w:rPr>
          <w:rStyle w:val="31"/>
          <w:rFonts w:hint="eastAsia" w:ascii="宋体" w:hAnsi="宋体" w:eastAsia="宋体" w:cs="宋体"/>
          <w:color w:val="auto"/>
        </w:rPr>
        <w:t>3款或第</w:t>
      </w:r>
      <w:r>
        <w:rPr>
          <w:rStyle w:val="31"/>
          <w:rFonts w:hint="eastAsia" w:ascii="宋体" w:hAnsi="宋体" w:eastAsia="宋体" w:cs="宋体"/>
          <w:color w:val="auto"/>
          <w:lang w:val="en-US" w:bidi="en-US"/>
        </w:rPr>
        <w:t xml:space="preserve">6. </w:t>
      </w:r>
      <w:r>
        <w:rPr>
          <w:rStyle w:val="31"/>
          <w:rFonts w:hint="eastAsia" w:ascii="宋体" w:hAnsi="宋体" w:eastAsia="宋体" w:cs="宋体"/>
          <w:color w:val="auto"/>
        </w:rPr>
        <w:t>4款的约定，未经监理人批准，私自将已按合同约定进入施工场地的施工设备、临时设施或材料撤离施工场地；</w:t>
      </w:r>
    </w:p>
    <w:p w14:paraId="7D44121F">
      <w:pPr>
        <w:pStyle w:val="95"/>
        <w:pageBreakBefore w:val="0"/>
        <w:widowControl w:val="0"/>
        <w:numPr>
          <w:ilvl w:val="0"/>
          <w:numId w:val="30"/>
        </w:numPr>
        <w:tabs>
          <w:tab w:val="left" w:pos="922"/>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248" w:name="bookmark1503"/>
      <w:bookmarkEnd w:id="1248"/>
      <w:r>
        <w:rPr>
          <w:rStyle w:val="31"/>
          <w:rFonts w:hint="eastAsia" w:ascii="宋体" w:hAnsi="宋体" w:eastAsia="宋体" w:cs="宋体"/>
          <w:color w:val="auto"/>
        </w:rPr>
        <w:t>承包人违反第</w:t>
      </w:r>
      <w:r>
        <w:rPr>
          <w:rStyle w:val="31"/>
          <w:rFonts w:hint="eastAsia" w:ascii="宋体" w:hAnsi="宋体" w:eastAsia="宋体" w:cs="宋体"/>
          <w:color w:val="auto"/>
          <w:lang w:val="en-US" w:bidi="en-US"/>
        </w:rPr>
        <w:t xml:space="preserve">5. </w:t>
      </w:r>
      <w:r>
        <w:rPr>
          <w:rStyle w:val="31"/>
          <w:rFonts w:hint="eastAsia" w:ascii="宋体" w:hAnsi="宋体" w:eastAsia="宋体" w:cs="宋体"/>
          <w:color w:val="auto"/>
        </w:rPr>
        <w:t>4款的约定使用了不合格材料或工程设备，工程质量达不到标准要求，又拒绝清除不合格工程；</w:t>
      </w:r>
    </w:p>
    <w:p w14:paraId="6A7B55F9">
      <w:pPr>
        <w:pStyle w:val="95"/>
        <w:pageBreakBefore w:val="0"/>
        <w:widowControl w:val="0"/>
        <w:numPr>
          <w:ilvl w:val="0"/>
          <w:numId w:val="30"/>
        </w:numPr>
        <w:tabs>
          <w:tab w:val="left" w:pos="922"/>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249" w:name="bookmark1504"/>
      <w:bookmarkEnd w:id="1249"/>
      <w:r>
        <w:rPr>
          <w:rStyle w:val="31"/>
          <w:rFonts w:hint="eastAsia" w:ascii="宋体" w:hAnsi="宋体" w:eastAsia="宋体" w:cs="宋体"/>
          <w:color w:val="auto"/>
        </w:rPr>
        <w:t>承包人未能按合同进度计划及时完成合同约定的工作，已造成或预期造成工期延误；</w:t>
      </w:r>
    </w:p>
    <w:p w14:paraId="6D40FF4E">
      <w:pPr>
        <w:pStyle w:val="95"/>
        <w:pageBreakBefore w:val="0"/>
        <w:widowControl w:val="0"/>
        <w:numPr>
          <w:ilvl w:val="0"/>
          <w:numId w:val="30"/>
        </w:numPr>
        <w:tabs>
          <w:tab w:val="left" w:pos="922"/>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250" w:name="bookmark1505"/>
      <w:bookmarkEnd w:id="1250"/>
      <w:r>
        <w:rPr>
          <w:rStyle w:val="31"/>
          <w:rFonts w:hint="eastAsia" w:ascii="宋体" w:hAnsi="宋体" w:eastAsia="宋体" w:cs="宋体"/>
          <w:color w:val="auto"/>
        </w:rPr>
        <w:t>承包人在缺陷责任期(工程质量保修期)内，未能对合同工程完工验收鉴定书中所列的缺陷清单的内容或缺陷责任期(工程质量保修期)内发生的缺陷进行修复，而又拒绝按监理人指示再进行修补；</w:t>
      </w:r>
    </w:p>
    <w:p w14:paraId="1C31B31D">
      <w:pPr>
        <w:pStyle w:val="95"/>
        <w:pageBreakBefore w:val="0"/>
        <w:widowControl w:val="0"/>
        <w:numPr>
          <w:ilvl w:val="0"/>
          <w:numId w:val="30"/>
        </w:numPr>
        <w:tabs>
          <w:tab w:val="left" w:pos="903"/>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1251" w:name="bookmark1506"/>
      <w:bookmarkEnd w:id="1251"/>
      <w:r>
        <w:rPr>
          <w:rStyle w:val="31"/>
          <w:rFonts w:hint="eastAsia" w:ascii="宋体" w:hAnsi="宋体" w:eastAsia="宋体" w:cs="宋体"/>
          <w:color w:val="auto"/>
        </w:rPr>
        <w:t>承包人无法继续履行或明确表示不履行或实质上已停止履行合同；</w:t>
      </w:r>
    </w:p>
    <w:p w14:paraId="3D3879A8">
      <w:pPr>
        <w:pStyle w:val="95"/>
        <w:pageBreakBefore w:val="0"/>
        <w:widowControl w:val="0"/>
        <w:numPr>
          <w:ilvl w:val="0"/>
          <w:numId w:val="30"/>
        </w:numPr>
        <w:tabs>
          <w:tab w:val="left" w:pos="903"/>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1252" w:name="bookmark1507"/>
      <w:bookmarkEnd w:id="1252"/>
      <w:r>
        <w:rPr>
          <w:rStyle w:val="31"/>
          <w:rFonts w:hint="eastAsia" w:ascii="宋体" w:hAnsi="宋体" w:eastAsia="宋体" w:cs="宋体"/>
          <w:color w:val="auto"/>
        </w:rPr>
        <w:t>承包人不按合同约定履行义务的其他情况。</w:t>
      </w:r>
    </w:p>
    <w:p w14:paraId="6A359237">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eastAsia="en-US" w:bidi="en-US"/>
        </w:rPr>
        <w:t>22.1.2</w:t>
      </w:r>
      <w:r>
        <w:rPr>
          <w:rStyle w:val="31"/>
          <w:rFonts w:hint="eastAsia" w:ascii="宋体" w:hAnsi="宋体" w:eastAsia="宋体" w:cs="宋体"/>
          <w:color w:val="auto"/>
        </w:rPr>
        <w:t>对承包人违约的处理</w:t>
      </w:r>
    </w:p>
    <w:p w14:paraId="251311D3">
      <w:pPr>
        <w:pStyle w:val="95"/>
        <w:pageBreakBefore w:val="0"/>
        <w:widowControl w:val="0"/>
        <w:numPr>
          <w:ilvl w:val="0"/>
          <w:numId w:val="31"/>
        </w:numPr>
        <w:tabs>
          <w:tab w:val="left" w:pos="922"/>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253" w:name="bookmark1508"/>
      <w:bookmarkEnd w:id="1253"/>
      <w:r>
        <w:rPr>
          <w:rStyle w:val="31"/>
          <w:rFonts w:hint="eastAsia" w:ascii="宋体" w:hAnsi="宋体" w:eastAsia="宋体" w:cs="宋体"/>
          <w:color w:val="auto"/>
        </w:rPr>
        <w:t>承包人发生第</w:t>
      </w:r>
      <w:r>
        <w:rPr>
          <w:rStyle w:val="31"/>
          <w:rFonts w:hint="eastAsia" w:ascii="宋体" w:hAnsi="宋体" w:eastAsia="宋体" w:cs="宋体"/>
          <w:color w:val="auto"/>
          <w:lang w:val="en-US" w:bidi="en-US"/>
        </w:rPr>
        <w:t xml:space="preserve">22.1.1 </w:t>
      </w:r>
      <w:r>
        <w:rPr>
          <w:rStyle w:val="31"/>
          <w:rFonts w:hint="eastAsia" w:ascii="宋体" w:hAnsi="宋体" w:eastAsia="宋体" w:cs="宋体"/>
          <w:color w:val="auto"/>
        </w:rPr>
        <w:t>(6)目约定的违约情况时，发包人可通知承包人立即解除合同，并按有关法律处理。</w:t>
      </w:r>
    </w:p>
    <w:p w14:paraId="42417DC9">
      <w:pPr>
        <w:pStyle w:val="95"/>
        <w:pageBreakBefore w:val="0"/>
        <w:widowControl w:val="0"/>
        <w:numPr>
          <w:ilvl w:val="0"/>
          <w:numId w:val="31"/>
        </w:numPr>
        <w:tabs>
          <w:tab w:val="left" w:pos="920"/>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254" w:name="bookmark1509"/>
      <w:bookmarkEnd w:id="1254"/>
      <w:r>
        <w:rPr>
          <w:rStyle w:val="31"/>
          <w:rFonts w:hint="eastAsia" w:ascii="宋体" w:hAnsi="宋体" w:eastAsia="宋体" w:cs="宋体"/>
          <w:color w:val="auto"/>
        </w:rPr>
        <w:t>承包人发生除第</w:t>
      </w:r>
      <w:r>
        <w:rPr>
          <w:rStyle w:val="31"/>
          <w:rFonts w:hint="eastAsia" w:ascii="宋体" w:hAnsi="宋体" w:eastAsia="宋体" w:cs="宋体"/>
          <w:color w:val="auto"/>
          <w:lang w:val="en-US" w:bidi="en-US"/>
        </w:rPr>
        <w:t xml:space="preserve">22. 1. </w:t>
      </w:r>
      <w:r>
        <w:rPr>
          <w:rStyle w:val="31"/>
          <w:rFonts w:hint="eastAsia" w:ascii="宋体" w:hAnsi="宋体" w:eastAsia="宋体" w:cs="宋体"/>
          <w:color w:val="auto"/>
        </w:rPr>
        <w:t>1 (6)目约定以外的其他违约情况时，监理人可向承包人发出整改通知，要求其在指定的期限内改正。承包人应承担其违约所引起的费用增加和 (或)工期延误。</w:t>
      </w:r>
    </w:p>
    <w:p w14:paraId="4E15812B">
      <w:pPr>
        <w:pStyle w:val="95"/>
        <w:pageBreakBefore w:val="0"/>
        <w:widowControl w:val="0"/>
        <w:numPr>
          <w:ilvl w:val="0"/>
          <w:numId w:val="31"/>
        </w:numPr>
        <w:tabs>
          <w:tab w:val="left" w:pos="922"/>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255" w:name="bookmark1510"/>
      <w:bookmarkEnd w:id="1255"/>
      <w:r>
        <w:rPr>
          <w:rStyle w:val="31"/>
          <w:rFonts w:hint="eastAsia" w:ascii="宋体" w:hAnsi="宋体" w:eastAsia="宋体" w:cs="宋体"/>
          <w:color w:val="auto"/>
        </w:rPr>
        <w:t>经检查证明承包人已采取了有效措施纠正违约行为，具备复工条件的，可由监理人签发复工通知复工。</w:t>
      </w:r>
    </w:p>
    <w:p w14:paraId="36AD34A5">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22.1.3</w:t>
      </w:r>
      <w:r>
        <w:rPr>
          <w:rStyle w:val="31"/>
          <w:rFonts w:hint="eastAsia" w:ascii="宋体" w:hAnsi="宋体" w:eastAsia="宋体" w:cs="宋体"/>
          <w:color w:val="auto"/>
        </w:rPr>
        <w:t>承包人违约解除合同</w:t>
      </w:r>
    </w:p>
    <w:p w14:paraId="431D08DA">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 定享有的索赔权利。</w:t>
      </w:r>
    </w:p>
    <w:p w14:paraId="35B1C045">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rPr>
        <w:t>22.1.4</w:t>
      </w:r>
      <w:r>
        <w:rPr>
          <w:rStyle w:val="31"/>
          <w:rFonts w:hint="eastAsia" w:ascii="宋体" w:hAnsi="宋体" w:eastAsia="宋体" w:cs="宋体"/>
          <w:color w:val="auto"/>
        </w:rPr>
        <w:t>合同解除后的估价、付款和结清</w:t>
      </w:r>
    </w:p>
    <w:p w14:paraId="1B652736">
      <w:pPr>
        <w:pStyle w:val="95"/>
        <w:pageBreakBefore w:val="0"/>
        <w:widowControl w:val="0"/>
        <w:numPr>
          <w:ilvl w:val="0"/>
          <w:numId w:val="32"/>
        </w:numPr>
        <w:tabs>
          <w:tab w:val="left" w:pos="920"/>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256" w:name="bookmark1511"/>
      <w:bookmarkEnd w:id="1256"/>
      <w:r>
        <w:rPr>
          <w:rStyle w:val="31"/>
          <w:rFonts w:hint="eastAsia" w:ascii="宋体" w:hAnsi="宋体" w:eastAsia="宋体" w:cs="宋体"/>
          <w:color w:val="auto"/>
        </w:rPr>
        <w:t>合同解除后，监理人按第</w:t>
      </w:r>
      <w:r>
        <w:rPr>
          <w:rStyle w:val="31"/>
          <w:rFonts w:hint="eastAsia" w:ascii="宋体" w:hAnsi="宋体" w:eastAsia="宋体" w:cs="宋体"/>
          <w:color w:val="auto"/>
          <w:lang w:val="en-US" w:bidi="en-US"/>
        </w:rPr>
        <w:t xml:space="preserve">3. </w:t>
      </w:r>
      <w:r>
        <w:rPr>
          <w:rStyle w:val="31"/>
          <w:rFonts w:hint="eastAsia" w:ascii="宋体" w:hAnsi="宋体" w:eastAsia="宋体" w:cs="宋体"/>
          <w:color w:val="auto"/>
        </w:rPr>
        <w:t>5款商定或确定承包人实际完成工作的价值，以及承包人已提供的材料、施工设备、工程设备和临时工程等的价值。</w:t>
      </w:r>
    </w:p>
    <w:p w14:paraId="68B89CA2">
      <w:pPr>
        <w:pStyle w:val="95"/>
        <w:pageBreakBefore w:val="0"/>
        <w:widowControl w:val="0"/>
        <w:numPr>
          <w:ilvl w:val="0"/>
          <w:numId w:val="32"/>
        </w:numPr>
        <w:tabs>
          <w:tab w:val="left" w:pos="922"/>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257" w:name="bookmark1512"/>
      <w:bookmarkEnd w:id="1257"/>
      <w:r>
        <w:rPr>
          <w:rStyle w:val="31"/>
          <w:rFonts w:hint="eastAsia" w:ascii="宋体" w:hAnsi="宋体" w:eastAsia="宋体" w:cs="宋体"/>
          <w:color w:val="auto"/>
        </w:rPr>
        <w:t>合同解除后，发包人应暂停对承包人的一切付款，查清各项付款和已扣款金额, 包括承包人应支付的违约金。</w:t>
      </w:r>
    </w:p>
    <w:p w14:paraId="58C6E9C5">
      <w:pPr>
        <w:pStyle w:val="95"/>
        <w:pageBreakBefore w:val="0"/>
        <w:widowControl w:val="0"/>
        <w:numPr>
          <w:ilvl w:val="0"/>
          <w:numId w:val="32"/>
        </w:numPr>
        <w:tabs>
          <w:tab w:val="left" w:pos="920"/>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258" w:name="bookmark1513"/>
      <w:bookmarkEnd w:id="1258"/>
      <w:r>
        <w:rPr>
          <w:rStyle w:val="31"/>
          <w:rFonts w:hint="eastAsia" w:ascii="宋体" w:hAnsi="宋体" w:eastAsia="宋体" w:cs="宋体"/>
          <w:color w:val="auto"/>
        </w:rPr>
        <w:t>合同解除后，发包人应按第</w:t>
      </w:r>
      <w:r>
        <w:rPr>
          <w:rStyle w:val="31"/>
          <w:rFonts w:hint="eastAsia" w:ascii="宋体" w:hAnsi="宋体" w:eastAsia="宋体" w:cs="宋体"/>
          <w:color w:val="auto"/>
          <w:lang w:val="en-US" w:bidi="en-US"/>
        </w:rPr>
        <w:t xml:space="preserve">23. </w:t>
      </w:r>
      <w:r>
        <w:rPr>
          <w:rStyle w:val="31"/>
          <w:rFonts w:hint="eastAsia" w:ascii="宋体" w:hAnsi="宋体" w:eastAsia="宋体" w:cs="宋体"/>
          <w:color w:val="auto"/>
        </w:rPr>
        <w:t>4款的约定向承包人索赔由于解除合同给发包人造成的损失。</w:t>
      </w:r>
    </w:p>
    <w:p w14:paraId="02F94796">
      <w:pPr>
        <w:pStyle w:val="95"/>
        <w:pageBreakBefore w:val="0"/>
        <w:widowControl w:val="0"/>
        <w:numPr>
          <w:ilvl w:val="0"/>
          <w:numId w:val="32"/>
        </w:numPr>
        <w:tabs>
          <w:tab w:val="left" w:pos="903"/>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1259" w:name="bookmark1514"/>
      <w:bookmarkEnd w:id="1259"/>
      <w:r>
        <w:rPr>
          <w:rStyle w:val="31"/>
          <w:rFonts w:hint="eastAsia" w:ascii="宋体" w:hAnsi="宋体" w:eastAsia="宋体" w:cs="宋体"/>
          <w:color w:val="auto"/>
        </w:rPr>
        <w:t>合同双方确认上述往来款项后，出具最终结清付款证书，结清全部合同款项。</w:t>
      </w:r>
    </w:p>
    <w:p w14:paraId="5586ACDB">
      <w:pPr>
        <w:pStyle w:val="95"/>
        <w:pageBreakBefore w:val="0"/>
        <w:widowControl w:val="0"/>
        <w:numPr>
          <w:ilvl w:val="0"/>
          <w:numId w:val="32"/>
        </w:numPr>
        <w:tabs>
          <w:tab w:val="left" w:pos="922"/>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260" w:name="bookmark1515"/>
      <w:bookmarkEnd w:id="1260"/>
      <w:r>
        <w:rPr>
          <w:rStyle w:val="31"/>
          <w:rFonts w:hint="eastAsia" w:ascii="宋体" w:hAnsi="宋体" w:eastAsia="宋体" w:cs="宋体"/>
          <w:color w:val="auto"/>
        </w:rPr>
        <w:t>发包人和承包人未能就解除合同后的结清达成一致而形成争议的，按第24条的约定办理。</w:t>
      </w:r>
    </w:p>
    <w:p w14:paraId="75F845DB">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22.1.5</w:t>
      </w:r>
      <w:r>
        <w:rPr>
          <w:rStyle w:val="31"/>
          <w:rFonts w:hint="eastAsia" w:ascii="宋体" w:hAnsi="宋体" w:eastAsia="宋体" w:cs="宋体"/>
          <w:color w:val="auto"/>
        </w:rPr>
        <w:t>协议利益的转让</w:t>
      </w:r>
    </w:p>
    <w:p w14:paraId="23455636">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因承包人违约解除合同的，发包人有权要求承包人将其为实施合同而签订的材料和设备的订货协议或任何服务协议利益转让给发包人，并在解除合同后的14天内，依法办理转让手续。</w:t>
      </w:r>
    </w:p>
    <w:p w14:paraId="56567F61">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lang w:val="en-US"/>
        </w:rPr>
      </w:pPr>
      <w:bookmarkStart w:id="1261" w:name="bookmark1516"/>
      <w:bookmarkEnd w:id="1261"/>
      <w:r>
        <w:rPr>
          <w:rStyle w:val="31"/>
          <w:rFonts w:hint="eastAsia" w:ascii="宋体" w:hAnsi="宋体" w:eastAsia="宋体" w:cs="宋体"/>
          <w:color w:val="auto"/>
          <w:lang w:val="en-US"/>
        </w:rPr>
        <w:t>22.1.6紧急情况下无能力或不愿进行抢救</w:t>
      </w:r>
    </w:p>
    <w:p w14:paraId="6E77CCB3">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348F9B02">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262" w:name="bookmark1517"/>
      <w:bookmarkStart w:id="1263" w:name="bookmark1518"/>
      <w:bookmarkStart w:id="1264" w:name="bookmark1519"/>
      <w:bookmarkStart w:id="1265" w:name="_Toc32348"/>
      <w:bookmarkStart w:id="1266" w:name="_Toc256000164"/>
      <w:bookmarkStart w:id="1267" w:name="_Toc24772"/>
      <w:r>
        <w:rPr>
          <w:rStyle w:val="31"/>
          <w:rFonts w:hint="eastAsia" w:ascii="宋体" w:hAnsi="宋体" w:eastAsia="宋体" w:cs="宋体"/>
          <w:color w:val="auto"/>
          <w:sz w:val="24"/>
          <w:szCs w:val="24"/>
          <w:lang w:eastAsia="zh-CN"/>
        </w:rPr>
        <w:t>22.2发包人违约</w:t>
      </w:r>
      <w:bookmarkEnd w:id="1262"/>
      <w:bookmarkEnd w:id="1263"/>
      <w:bookmarkEnd w:id="1264"/>
      <w:bookmarkEnd w:id="1265"/>
      <w:bookmarkEnd w:id="1266"/>
      <w:bookmarkEnd w:id="1267"/>
    </w:p>
    <w:p w14:paraId="430A1511">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22.2.1</w:t>
      </w:r>
      <w:r>
        <w:rPr>
          <w:rStyle w:val="31"/>
          <w:rFonts w:hint="eastAsia" w:ascii="宋体" w:hAnsi="宋体" w:eastAsia="宋体" w:cs="宋体"/>
          <w:color w:val="auto"/>
        </w:rPr>
        <w:t>发包人违约的情形</w:t>
      </w:r>
    </w:p>
    <w:p w14:paraId="6A77F1D4">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在履行合同过程中发生的下列情形，属发包人违约：</w:t>
      </w:r>
    </w:p>
    <w:p w14:paraId="4B4E55FA">
      <w:pPr>
        <w:pStyle w:val="95"/>
        <w:pageBreakBefore w:val="0"/>
        <w:widowControl w:val="0"/>
        <w:numPr>
          <w:ilvl w:val="0"/>
          <w:numId w:val="33"/>
        </w:numPr>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1268" w:name="bookmark1520"/>
      <w:bookmarkEnd w:id="1268"/>
      <w:r>
        <w:rPr>
          <w:rStyle w:val="31"/>
          <w:rFonts w:hint="eastAsia" w:ascii="宋体" w:hAnsi="宋体" w:eastAsia="宋体" w:cs="宋体"/>
          <w:color w:val="auto"/>
        </w:rPr>
        <w:t>发包人未能按合同约定支付预付款或合同价款，或拖延、拒绝批准付款申请和支付凭证，导致付款延误的；</w:t>
      </w:r>
    </w:p>
    <w:p w14:paraId="393B1866">
      <w:pPr>
        <w:pStyle w:val="95"/>
        <w:pageBreakBefore w:val="0"/>
        <w:widowControl w:val="0"/>
        <w:numPr>
          <w:ilvl w:val="0"/>
          <w:numId w:val="33"/>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1269" w:name="bookmark1521"/>
      <w:bookmarkEnd w:id="1269"/>
      <w:r>
        <w:rPr>
          <w:rStyle w:val="31"/>
          <w:rFonts w:hint="eastAsia" w:ascii="宋体" w:hAnsi="宋体" w:eastAsia="宋体" w:cs="宋体"/>
          <w:color w:val="auto"/>
        </w:rPr>
        <w:t>发包人原因造成停工的；</w:t>
      </w:r>
    </w:p>
    <w:p w14:paraId="2D4FE2B3">
      <w:pPr>
        <w:pStyle w:val="95"/>
        <w:pageBreakBefore w:val="0"/>
        <w:widowControl w:val="0"/>
        <w:numPr>
          <w:ilvl w:val="0"/>
          <w:numId w:val="33"/>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1270" w:name="bookmark1522"/>
      <w:bookmarkEnd w:id="1270"/>
      <w:r>
        <w:rPr>
          <w:rStyle w:val="31"/>
          <w:rFonts w:hint="eastAsia" w:ascii="宋体" w:hAnsi="宋体" w:eastAsia="宋体" w:cs="宋体"/>
          <w:color w:val="auto"/>
        </w:rPr>
        <w:t>监理人无正当理由没有在约定期限内发出复工指示，导致承包人无法复工的；</w:t>
      </w:r>
    </w:p>
    <w:p w14:paraId="46E70675">
      <w:pPr>
        <w:pStyle w:val="95"/>
        <w:pageBreakBefore w:val="0"/>
        <w:widowControl w:val="0"/>
        <w:numPr>
          <w:ilvl w:val="0"/>
          <w:numId w:val="33"/>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1271" w:name="bookmark1523"/>
      <w:bookmarkEnd w:id="1271"/>
      <w:r>
        <w:rPr>
          <w:rStyle w:val="31"/>
          <w:rFonts w:hint="eastAsia" w:ascii="宋体" w:hAnsi="宋体" w:eastAsia="宋体" w:cs="宋体"/>
          <w:color w:val="auto"/>
        </w:rPr>
        <w:t>发包人无法继续履行或明确表示不履行或实质上已停止履行合同的；</w:t>
      </w:r>
    </w:p>
    <w:p w14:paraId="7B6B4C84">
      <w:pPr>
        <w:pStyle w:val="95"/>
        <w:pageBreakBefore w:val="0"/>
        <w:widowControl w:val="0"/>
        <w:numPr>
          <w:ilvl w:val="0"/>
          <w:numId w:val="33"/>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1272" w:name="bookmark1524"/>
      <w:bookmarkEnd w:id="1272"/>
      <w:r>
        <w:rPr>
          <w:rStyle w:val="31"/>
          <w:rFonts w:hint="eastAsia" w:ascii="宋体" w:hAnsi="宋体" w:eastAsia="宋体" w:cs="宋体"/>
          <w:color w:val="auto"/>
        </w:rPr>
        <w:t>发包人不履行合同约定其他义务的。</w:t>
      </w:r>
    </w:p>
    <w:p w14:paraId="0FF4A66F">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22.2.2</w:t>
      </w:r>
      <w:r>
        <w:rPr>
          <w:rStyle w:val="31"/>
          <w:rFonts w:hint="eastAsia" w:ascii="宋体" w:hAnsi="宋体" w:eastAsia="宋体" w:cs="宋体"/>
          <w:color w:val="auto"/>
        </w:rPr>
        <w:t>承包人有权暂停施工</w:t>
      </w:r>
    </w:p>
    <w:p w14:paraId="5B748006">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发包人发生除第</w:t>
      </w:r>
      <w:r>
        <w:rPr>
          <w:rStyle w:val="31"/>
          <w:rFonts w:hint="eastAsia" w:ascii="宋体" w:hAnsi="宋体" w:eastAsia="宋体" w:cs="宋体"/>
          <w:color w:val="auto"/>
          <w:lang w:val="en-US" w:bidi="en-US"/>
        </w:rPr>
        <w:t xml:space="preserve">22.2.1 </w:t>
      </w:r>
      <w:r>
        <w:rPr>
          <w:rStyle w:val="31"/>
          <w:rFonts w:hint="eastAsia" w:ascii="宋体" w:hAnsi="宋体" w:eastAsia="宋体" w:cs="宋体"/>
          <w:color w:val="auto"/>
        </w:rPr>
        <w:t>(4)目以外的违约情况时，承包人可向发包人发出通知，要求发包人采取有效措施纠正违约行为。发包人收到承包人通知后的28天内仍不履行合同义 务，承包人有权暂停施工，并通知监理人，发包人应承担由此增加的费用和(或)工期延误，并支付承包人合理利润。</w:t>
      </w:r>
    </w:p>
    <w:p w14:paraId="6C5142DF">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r>
        <w:rPr>
          <w:rStyle w:val="31"/>
          <w:rFonts w:hint="eastAsia" w:ascii="宋体" w:hAnsi="宋体" w:eastAsia="宋体" w:cs="宋体"/>
          <w:color w:val="auto"/>
          <w:lang w:val="en-US" w:eastAsia="en-US"/>
        </w:rPr>
        <w:t>22.2.3</w:t>
      </w:r>
      <w:r>
        <w:rPr>
          <w:rStyle w:val="31"/>
          <w:rFonts w:hint="eastAsia" w:ascii="宋体" w:hAnsi="宋体" w:eastAsia="宋体" w:cs="宋体"/>
          <w:color w:val="auto"/>
        </w:rPr>
        <w:t>发包人违约解除合同</w:t>
      </w:r>
    </w:p>
    <w:p w14:paraId="6A83D1DE">
      <w:pPr>
        <w:pStyle w:val="95"/>
        <w:pageBreakBefore w:val="0"/>
        <w:widowControl w:val="0"/>
        <w:numPr>
          <w:ilvl w:val="0"/>
          <w:numId w:val="34"/>
        </w:numPr>
        <w:tabs>
          <w:tab w:val="left" w:pos="923"/>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273" w:name="bookmark1525"/>
      <w:bookmarkEnd w:id="1273"/>
      <w:r>
        <w:rPr>
          <w:rStyle w:val="31"/>
          <w:rFonts w:hint="eastAsia" w:ascii="宋体" w:hAnsi="宋体" w:eastAsia="宋体" w:cs="宋体"/>
          <w:color w:val="auto"/>
        </w:rPr>
        <w:t>发生第</w:t>
      </w:r>
      <w:r>
        <w:rPr>
          <w:rStyle w:val="31"/>
          <w:rFonts w:hint="eastAsia" w:ascii="宋体" w:hAnsi="宋体" w:eastAsia="宋体" w:cs="宋体"/>
          <w:color w:val="auto"/>
          <w:lang w:val="en-US" w:bidi="en-US"/>
        </w:rPr>
        <w:t xml:space="preserve">22.2.1 </w:t>
      </w:r>
      <w:r>
        <w:rPr>
          <w:rStyle w:val="31"/>
          <w:rFonts w:hint="eastAsia" w:ascii="宋体" w:hAnsi="宋体" w:eastAsia="宋体" w:cs="宋体"/>
          <w:color w:val="auto"/>
        </w:rPr>
        <w:t>(4)目的违约情况时，承包人可书面通知发包人解除合同。</w:t>
      </w:r>
    </w:p>
    <w:p w14:paraId="288BFFD5">
      <w:pPr>
        <w:pStyle w:val="95"/>
        <w:pageBreakBefore w:val="0"/>
        <w:widowControl w:val="0"/>
        <w:numPr>
          <w:ilvl w:val="0"/>
          <w:numId w:val="34"/>
        </w:numPr>
        <w:tabs>
          <w:tab w:val="left" w:pos="920"/>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274" w:name="bookmark1526"/>
      <w:bookmarkEnd w:id="1274"/>
      <w:r>
        <w:rPr>
          <w:rStyle w:val="31"/>
          <w:rFonts w:hint="eastAsia" w:ascii="宋体" w:hAnsi="宋体" w:eastAsia="宋体" w:cs="宋体"/>
          <w:color w:val="auto"/>
        </w:rPr>
        <w:t>承包人按</w:t>
      </w:r>
      <w:r>
        <w:rPr>
          <w:rStyle w:val="31"/>
          <w:rFonts w:hint="eastAsia" w:ascii="宋体" w:hAnsi="宋体" w:eastAsia="宋体" w:cs="宋体"/>
          <w:color w:val="auto"/>
          <w:lang w:val="en-US" w:bidi="en-US"/>
        </w:rPr>
        <w:t xml:space="preserve">22. 2. </w:t>
      </w:r>
      <w:r>
        <w:rPr>
          <w:rStyle w:val="31"/>
          <w:rFonts w:hint="eastAsia" w:ascii="宋体" w:hAnsi="宋体" w:eastAsia="宋体" w:cs="宋体"/>
          <w:color w:val="auto"/>
        </w:rPr>
        <w:t>2项暂停施工28天后，发包人仍不纠正违约行为的，承包人可向发包人发出解除合同通知。但承包人的这一行动不免除发包人承担的违约责任，也不影响承包人根据合同约定享有的索赔权利。</w:t>
      </w:r>
    </w:p>
    <w:p w14:paraId="236A90B0">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22.2.4</w:t>
      </w:r>
      <w:r>
        <w:rPr>
          <w:rStyle w:val="31"/>
          <w:rFonts w:hint="eastAsia" w:ascii="宋体" w:hAnsi="宋体" w:eastAsia="宋体" w:cs="宋体"/>
          <w:color w:val="auto"/>
        </w:rPr>
        <w:t>解除合同后的付款</w:t>
      </w:r>
    </w:p>
    <w:p w14:paraId="374EC550">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因发包人违约解除合同的，发包人应在解除合同后28天内向承包人支付下列金额，承包人应在此期限内及时向发包人提交要求支付下列金额的有关资料和凭证：</w:t>
      </w:r>
    </w:p>
    <w:p w14:paraId="1DEC4EF2">
      <w:pPr>
        <w:pStyle w:val="95"/>
        <w:pageBreakBefore w:val="0"/>
        <w:widowControl w:val="0"/>
        <w:numPr>
          <w:ilvl w:val="0"/>
          <w:numId w:val="35"/>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1275" w:name="bookmark1527"/>
      <w:bookmarkEnd w:id="1275"/>
      <w:r>
        <w:rPr>
          <w:rStyle w:val="31"/>
          <w:rFonts w:hint="eastAsia" w:ascii="宋体" w:hAnsi="宋体" w:eastAsia="宋体" w:cs="宋体"/>
          <w:color w:val="auto"/>
        </w:rPr>
        <w:t>合同解除日以前所完成工作的价款；</w:t>
      </w:r>
    </w:p>
    <w:p w14:paraId="51D2F3E7">
      <w:pPr>
        <w:pStyle w:val="95"/>
        <w:pageBreakBefore w:val="0"/>
        <w:widowControl w:val="0"/>
        <w:numPr>
          <w:ilvl w:val="0"/>
          <w:numId w:val="35"/>
        </w:numPr>
        <w:tabs>
          <w:tab w:val="left" w:pos="920"/>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276" w:name="bookmark1528"/>
      <w:bookmarkEnd w:id="1276"/>
      <w:r>
        <w:rPr>
          <w:rStyle w:val="31"/>
          <w:rFonts w:hint="eastAsia" w:ascii="宋体" w:hAnsi="宋体" w:eastAsia="宋体" w:cs="宋体"/>
          <w:color w:val="auto"/>
        </w:rPr>
        <w:t>承包人为该工程施工订购并已付款的材料、工程设备和其他物品的金额。发包人付还后，该材料、工程设备和其他物品归发包人所有；</w:t>
      </w:r>
    </w:p>
    <w:p w14:paraId="128BD912">
      <w:pPr>
        <w:pStyle w:val="95"/>
        <w:pageBreakBefore w:val="0"/>
        <w:widowControl w:val="0"/>
        <w:numPr>
          <w:ilvl w:val="0"/>
          <w:numId w:val="35"/>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1277" w:name="bookmark1529"/>
      <w:bookmarkEnd w:id="1277"/>
      <w:r>
        <w:rPr>
          <w:rStyle w:val="31"/>
          <w:rFonts w:hint="eastAsia" w:ascii="宋体" w:hAnsi="宋体" w:eastAsia="宋体" w:cs="宋体"/>
          <w:color w:val="auto"/>
        </w:rPr>
        <w:t>承包人为完成工程所发生的，而发包人未支付的金额；</w:t>
      </w:r>
    </w:p>
    <w:p w14:paraId="52A09A66">
      <w:pPr>
        <w:pStyle w:val="95"/>
        <w:pageBreakBefore w:val="0"/>
        <w:widowControl w:val="0"/>
        <w:numPr>
          <w:ilvl w:val="0"/>
          <w:numId w:val="35"/>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1278" w:name="bookmark1530"/>
      <w:bookmarkEnd w:id="1278"/>
      <w:r>
        <w:rPr>
          <w:rStyle w:val="31"/>
          <w:rFonts w:hint="eastAsia" w:ascii="宋体" w:hAnsi="宋体" w:eastAsia="宋体" w:cs="宋体"/>
          <w:color w:val="auto"/>
        </w:rPr>
        <w:t>承包人撤离施工场地以及遣散承包人人员的金额；</w:t>
      </w:r>
    </w:p>
    <w:p w14:paraId="32899FBE">
      <w:pPr>
        <w:pStyle w:val="95"/>
        <w:pageBreakBefore w:val="0"/>
        <w:widowControl w:val="0"/>
        <w:numPr>
          <w:ilvl w:val="0"/>
          <w:numId w:val="35"/>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1279" w:name="bookmark1531"/>
      <w:bookmarkEnd w:id="1279"/>
      <w:r>
        <w:rPr>
          <w:rStyle w:val="31"/>
          <w:rFonts w:hint="eastAsia" w:ascii="宋体" w:hAnsi="宋体" w:eastAsia="宋体" w:cs="宋体"/>
          <w:color w:val="auto"/>
        </w:rPr>
        <w:t>由于解除合同应赔偿的承包人损失；</w:t>
      </w:r>
    </w:p>
    <w:p w14:paraId="43B1EA9E">
      <w:pPr>
        <w:pStyle w:val="95"/>
        <w:pageBreakBefore w:val="0"/>
        <w:widowControl w:val="0"/>
        <w:numPr>
          <w:ilvl w:val="0"/>
          <w:numId w:val="35"/>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rPr>
      </w:pPr>
      <w:bookmarkStart w:id="1280" w:name="bookmark1532"/>
      <w:bookmarkEnd w:id="1280"/>
      <w:r>
        <w:rPr>
          <w:rStyle w:val="31"/>
          <w:rFonts w:hint="eastAsia" w:ascii="宋体" w:hAnsi="宋体" w:eastAsia="宋体" w:cs="宋体"/>
          <w:color w:val="auto"/>
        </w:rPr>
        <w:t>按合同约定在合同解除日前应支付给承包人的其他金额。</w:t>
      </w:r>
    </w:p>
    <w:p w14:paraId="6E86B2DB">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发包人应按本项约定支付上述金额并退还质量保证金和履约担保，但有权要求承包人支付应偿还给发包人的各项金额。</w:t>
      </w:r>
    </w:p>
    <w:p w14:paraId="2D310CFA">
      <w:pPr>
        <w:pStyle w:val="95"/>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lang w:val="en-US"/>
        </w:rPr>
      </w:pPr>
      <w:r>
        <w:rPr>
          <w:rStyle w:val="31"/>
          <w:rFonts w:hint="eastAsia" w:ascii="宋体" w:hAnsi="宋体" w:eastAsia="宋体" w:cs="宋体"/>
          <w:color w:val="auto"/>
          <w:lang w:val="en-US"/>
        </w:rPr>
        <w:t>22.2.5解除合同后的承包人撤离</w:t>
      </w:r>
    </w:p>
    <w:p w14:paraId="501D0591">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因发包人违约而解除合同后，承包人应妥善做好已竣工工程和已购材料、设备的保护和移交工作，按发包人要求将承包人设备和人员撤出施工场地。承包人撤出施工场地应遵 守第</w:t>
      </w:r>
      <w:r>
        <w:rPr>
          <w:rStyle w:val="31"/>
          <w:rFonts w:hint="eastAsia" w:ascii="宋体" w:hAnsi="宋体" w:eastAsia="宋体" w:cs="宋体"/>
          <w:color w:val="auto"/>
          <w:lang w:val="en-US" w:bidi="en-US"/>
        </w:rPr>
        <w:t xml:space="preserve">18. 7. </w:t>
      </w:r>
      <w:r>
        <w:rPr>
          <w:rStyle w:val="31"/>
          <w:rFonts w:hint="eastAsia" w:ascii="宋体" w:hAnsi="宋体" w:eastAsia="宋体" w:cs="宋体"/>
          <w:color w:val="auto"/>
        </w:rPr>
        <w:t>1项的约定，发包人应为承包人撤出提供必要条件。</w:t>
      </w:r>
    </w:p>
    <w:p w14:paraId="3BEBC2C5">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281" w:name="_Toc7744"/>
      <w:bookmarkStart w:id="1282" w:name="_Toc256000165"/>
      <w:bookmarkStart w:id="1283" w:name="bookmark1534"/>
      <w:bookmarkStart w:id="1284" w:name="_Toc9266"/>
      <w:bookmarkStart w:id="1285" w:name="bookmark1535"/>
      <w:bookmarkStart w:id="1286" w:name="bookmark1533"/>
      <w:r>
        <w:rPr>
          <w:rStyle w:val="31"/>
          <w:rFonts w:hint="eastAsia" w:ascii="宋体" w:hAnsi="宋体" w:eastAsia="宋体" w:cs="宋体"/>
          <w:color w:val="auto"/>
          <w:sz w:val="24"/>
          <w:szCs w:val="24"/>
          <w:lang w:eastAsia="zh-CN"/>
        </w:rPr>
        <w:t>22.3第三人造成的违约</w:t>
      </w:r>
      <w:bookmarkEnd w:id="1281"/>
      <w:bookmarkEnd w:id="1282"/>
      <w:bookmarkEnd w:id="1283"/>
      <w:bookmarkEnd w:id="1284"/>
      <w:bookmarkEnd w:id="1285"/>
      <w:bookmarkEnd w:id="1286"/>
    </w:p>
    <w:p w14:paraId="30AB3841">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在履行合同过程中，一方当事人因第三人的原因造成违约的，应当向对方当事人承担违约责任。一方当事人和第三人之间的纠纷，依照法律规定或者按照约定解决。</w:t>
      </w:r>
    </w:p>
    <w:p w14:paraId="25585C91">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lang w:eastAsia="zh-CN"/>
        </w:rPr>
      </w:pPr>
      <w:bookmarkStart w:id="1287" w:name="_Toc29128"/>
      <w:bookmarkStart w:id="1288" w:name="_Toc26868"/>
      <w:bookmarkStart w:id="1289" w:name="_Toc256000166"/>
      <w:r>
        <w:rPr>
          <w:rStyle w:val="31"/>
          <w:rFonts w:hint="eastAsia" w:ascii="宋体" w:hAnsi="宋体" w:eastAsia="宋体" w:cs="宋体"/>
          <w:color w:val="auto"/>
          <w:lang w:eastAsia="zh-CN"/>
        </w:rPr>
        <w:t>23.索赔</w:t>
      </w:r>
      <w:bookmarkEnd w:id="1287"/>
      <w:bookmarkEnd w:id="1288"/>
      <w:bookmarkEnd w:id="1289"/>
    </w:p>
    <w:p w14:paraId="54493565">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290" w:name="bookmark1538"/>
      <w:bookmarkStart w:id="1291" w:name="_Toc25030"/>
      <w:bookmarkStart w:id="1292" w:name="bookmark1537"/>
      <w:bookmarkStart w:id="1293" w:name="bookmark1536"/>
      <w:bookmarkStart w:id="1294" w:name="_Toc256000167"/>
      <w:bookmarkStart w:id="1295" w:name="_Toc12223"/>
      <w:r>
        <w:rPr>
          <w:rStyle w:val="31"/>
          <w:rFonts w:hint="eastAsia" w:ascii="宋体" w:hAnsi="宋体" w:eastAsia="宋体" w:cs="宋体"/>
          <w:color w:val="auto"/>
          <w:sz w:val="24"/>
          <w:szCs w:val="24"/>
          <w:lang w:eastAsia="zh-CN"/>
        </w:rPr>
        <w:t>23.1承包人索赔的提出</w:t>
      </w:r>
      <w:bookmarkEnd w:id="1290"/>
      <w:bookmarkEnd w:id="1291"/>
      <w:bookmarkEnd w:id="1292"/>
      <w:bookmarkEnd w:id="1293"/>
      <w:bookmarkEnd w:id="1294"/>
      <w:bookmarkEnd w:id="1295"/>
    </w:p>
    <w:p w14:paraId="42B8408D">
      <w:pPr>
        <w:pStyle w:val="94"/>
        <w:pageBreakBefore w:val="0"/>
        <w:widowControl w:val="0"/>
        <w:kinsoku/>
        <w:wordWrap/>
        <w:overflowPunct/>
        <w:topLinePunct w:val="0"/>
        <w:autoSpaceDE/>
        <w:autoSpaceDN/>
        <w:bidi w:val="0"/>
        <w:adjustRightInd/>
        <w:snapToGrid/>
        <w:spacing w:line="440" w:lineRule="exact"/>
        <w:ind w:left="0" w:leftChars="0" w:firstLine="400" w:firstLineChars="200"/>
        <w:textAlignment w:val="auto"/>
        <w:rPr>
          <w:rStyle w:val="31"/>
          <w:rFonts w:hint="eastAsia" w:ascii="宋体" w:hAnsi="宋体" w:eastAsia="宋体" w:cs="宋体"/>
          <w:color w:val="auto"/>
          <w:sz w:val="20"/>
          <w:szCs w:val="20"/>
          <w:lang w:eastAsia="zh-CN"/>
        </w:rPr>
      </w:pPr>
      <w:r>
        <w:rPr>
          <w:rStyle w:val="31"/>
          <w:rFonts w:hint="eastAsia" w:ascii="宋体" w:hAnsi="宋体" w:eastAsia="宋体" w:cs="宋体"/>
          <w:color w:val="auto"/>
          <w:sz w:val="20"/>
          <w:szCs w:val="20"/>
          <w:lang w:eastAsia="zh-CN"/>
        </w:rPr>
        <w:t>根据合同约定，承包人认为有权得到追加付款和(或)延长工期的，应按以下程序向发包人提出索赔：</w:t>
      </w:r>
    </w:p>
    <w:p w14:paraId="4A7B6C30">
      <w:pPr>
        <w:pStyle w:val="95"/>
        <w:pageBreakBefore w:val="0"/>
        <w:widowControl w:val="0"/>
        <w:numPr>
          <w:ilvl w:val="0"/>
          <w:numId w:val="36"/>
        </w:numPr>
        <w:tabs>
          <w:tab w:val="left" w:pos="918"/>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296" w:name="bookmark1539"/>
      <w:bookmarkEnd w:id="1296"/>
      <w:r>
        <w:rPr>
          <w:rStyle w:val="31"/>
          <w:rFonts w:hint="eastAsia" w:ascii="宋体" w:hAnsi="宋体" w:eastAsia="宋体" w:cs="宋体"/>
          <w:color w:val="auto"/>
        </w:rPr>
        <w:t>承包人应在知道或应当知道索赔事件发生后28天内，向监理人递交索赔意向通知书，并说明发生索赔事件的事由。承包人未在前述28天内发出索赔意向通知书的，丧失要求追加付款和(或)延长工期的权利；</w:t>
      </w:r>
    </w:p>
    <w:p w14:paraId="57B1A304">
      <w:pPr>
        <w:pStyle w:val="95"/>
        <w:pageBreakBefore w:val="0"/>
        <w:widowControl w:val="0"/>
        <w:numPr>
          <w:ilvl w:val="0"/>
          <w:numId w:val="36"/>
        </w:numPr>
        <w:tabs>
          <w:tab w:val="left" w:pos="918"/>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297" w:name="bookmark1540"/>
      <w:bookmarkEnd w:id="1297"/>
      <w:r>
        <w:rPr>
          <w:rStyle w:val="31"/>
          <w:rFonts w:hint="eastAsia" w:ascii="宋体" w:hAnsi="宋体" w:eastAsia="宋体" w:cs="宋体"/>
          <w:color w:val="auto"/>
        </w:rPr>
        <w:t>承包人应在发出索赔意向通知书后28天内，向监理人正式递交索赔通知书。索赔通知书应详细说明索赔理由以及要求追加的付款金额和(或)延长的工期，并附必要的记 录和证明材料；</w:t>
      </w:r>
    </w:p>
    <w:p w14:paraId="6B822342">
      <w:pPr>
        <w:pStyle w:val="95"/>
        <w:pageBreakBefore w:val="0"/>
        <w:widowControl w:val="0"/>
        <w:numPr>
          <w:ilvl w:val="0"/>
          <w:numId w:val="36"/>
        </w:numPr>
        <w:tabs>
          <w:tab w:val="left" w:pos="903"/>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298" w:name="bookmark1541"/>
      <w:bookmarkEnd w:id="1298"/>
      <w:r>
        <w:rPr>
          <w:rStyle w:val="31"/>
          <w:rFonts w:hint="eastAsia" w:ascii="宋体" w:hAnsi="宋体" w:eastAsia="宋体" w:cs="宋体"/>
          <w:color w:val="auto"/>
        </w:rPr>
        <w:t>索赔事件具有连续影响的，承包人应按合理时间间隔继续递交延续索赔通知，说明连续影响的实际情况和记录，列出累计的追加付款金额和(或)工期延长天数；</w:t>
      </w:r>
    </w:p>
    <w:p w14:paraId="71B7113F">
      <w:pPr>
        <w:pStyle w:val="95"/>
        <w:pageBreakBefore w:val="0"/>
        <w:widowControl w:val="0"/>
        <w:numPr>
          <w:ilvl w:val="0"/>
          <w:numId w:val="36"/>
        </w:numPr>
        <w:tabs>
          <w:tab w:val="left" w:pos="920"/>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299" w:name="bookmark1542"/>
      <w:bookmarkEnd w:id="1299"/>
      <w:r>
        <w:rPr>
          <w:rStyle w:val="31"/>
          <w:rFonts w:hint="eastAsia" w:ascii="宋体" w:hAnsi="宋体" w:eastAsia="宋体" w:cs="宋体"/>
          <w:color w:val="auto"/>
        </w:rPr>
        <w:t>在索赔事件影响结束后的28天内，承包人应向监理人递交最终索赔通知书，说明最终要求索赔的追加付款金额和延长的工期，并附必要的记录和证明材料。</w:t>
      </w:r>
    </w:p>
    <w:p w14:paraId="4CA08826">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300" w:name="_Toc256000168"/>
      <w:bookmarkStart w:id="1301" w:name="bookmark1543"/>
      <w:bookmarkStart w:id="1302" w:name="_Toc5534"/>
      <w:bookmarkStart w:id="1303" w:name="bookmark1545"/>
      <w:bookmarkStart w:id="1304" w:name="_Toc1402"/>
      <w:bookmarkStart w:id="1305" w:name="bookmark1544"/>
      <w:r>
        <w:rPr>
          <w:rStyle w:val="31"/>
          <w:rFonts w:hint="eastAsia" w:ascii="宋体" w:hAnsi="宋体" w:eastAsia="宋体" w:cs="宋体"/>
          <w:color w:val="auto"/>
          <w:sz w:val="24"/>
          <w:szCs w:val="24"/>
          <w:lang w:eastAsia="zh-CN"/>
        </w:rPr>
        <w:t>23.2承包人索赔处理程序</w:t>
      </w:r>
      <w:bookmarkEnd w:id="1300"/>
      <w:bookmarkEnd w:id="1301"/>
      <w:bookmarkEnd w:id="1302"/>
      <w:bookmarkEnd w:id="1303"/>
      <w:bookmarkEnd w:id="1304"/>
      <w:bookmarkEnd w:id="1305"/>
    </w:p>
    <w:p w14:paraId="3005842D">
      <w:pPr>
        <w:pStyle w:val="95"/>
        <w:pageBreakBefore w:val="0"/>
        <w:widowControl w:val="0"/>
        <w:numPr>
          <w:ilvl w:val="0"/>
          <w:numId w:val="37"/>
        </w:numPr>
        <w:tabs>
          <w:tab w:val="left" w:pos="922"/>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306" w:name="bookmark1546"/>
      <w:bookmarkEnd w:id="1306"/>
      <w:r>
        <w:rPr>
          <w:rStyle w:val="31"/>
          <w:rFonts w:hint="eastAsia" w:ascii="宋体" w:hAnsi="宋体" w:eastAsia="宋体" w:cs="宋体"/>
          <w:color w:val="auto"/>
        </w:rPr>
        <w:t>监理人收到承包人提交的索赔通知书后，应及时审查索赔通知书的内容、查验承包人的记录和证明材料，必要时监理人可要求承包人提交全部原始记录副本。</w:t>
      </w:r>
    </w:p>
    <w:p w14:paraId="4AB63251">
      <w:pPr>
        <w:pStyle w:val="95"/>
        <w:pageBreakBefore w:val="0"/>
        <w:widowControl w:val="0"/>
        <w:numPr>
          <w:ilvl w:val="0"/>
          <w:numId w:val="37"/>
        </w:numPr>
        <w:tabs>
          <w:tab w:val="left" w:pos="918"/>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307" w:name="bookmark1547"/>
      <w:bookmarkEnd w:id="1307"/>
      <w:r>
        <w:rPr>
          <w:rStyle w:val="31"/>
          <w:rFonts w:hint="eastAsia" w:ascii="宋体" w:hAnsi="宋体" w:eastAsia="宋体" w:cs="宋体"/>
          <w:color w:val="auto"/>
        </w:rPr>
        <w:t>监理人应按第</w:t>
      </w:r>
      <w:r>
        <w:rPr>
          <w:rStyle w:val="31"/>
          <w:rFonts w:hint="eastAsia" w:ascii="宋体" w:hAnsi="宋体" w:eastAsia="宋体" w:cs="宋体"/>
          <w:color w:val="auto"/>
          <w:lang w:val="en-US" w:bidi="en-US"/>
        </w:rPr>
        <w:t xml:space="preserve">3. </w:t>
      </w:r>
      <w:r>
        <w:rPr>
          <w:rStyle w:val="31"/>
          <w:rFonts w:hint="eastAsia" w:ascii="宋体" w:hAnsi="宋体" w:eastAsia="宋体" w:cs="宋体"/>
          <w:color w:val="auto"/>
        </w:rPr>
        <w:t>5款商定或确定追加的付款和(或)延长的工期，并在收到上述索赔通知书或有关索赔的进一步证明材料后的42天内，将索赔处理结果答复承包人。</w:t>
      </w:r>
    </w:p>
    <w:p w14:paraId="4DE5CF27">
      <w:pPr>
        <w:pStyle w:val="95"/>
        <w:pageBreakBefore w:val="0"/>
        <w:widowControl w:val="0"/>
        <w:numPr>
          <w:ilvl w:val="0"/>
          <w:numId w:val="37"/>
        </w:numPr>
        <w:tabs>
          <w:tab w:val="left" w:pos="920"/>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308" w:name="bookmark1548"/>
      <w:bookmarkEnd w:id="1308"/>
      <w:r>
        <w:rPr>
          <w:rStyle w:val="31"/>
          <w:rFonts w:hint="eastAsia" w:ascii="宋体" w:hAnsi="宋体" w:eastAsia="宋体" w:cs="宋体"/>
          <w:color w:val="auto"/>
        </w:rPr>
        <w:t>承包人接受索赔处理结果的，发包人应在作出索赔处理结果答复后28天内完成赔付。承包人不接受索赔处理结果的，按第24条的约定办理。</w:t>
      </w:r>
    </w:p>
    <w:p w14:paraId="7B66ADE9">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309" w:name="_Toc25861"/>
      <w:bookmarkStart w:id="1310" w:name="bookmark1549"/>
      <w:bookmarkStart w:id="1311" w:name="bookmark1551"/>
      <w:bookmarkStart w:id="1312" w:name="_Toc2285"/>
      <w:bookmarkStart w:id="1313" w:name="_Toc256000169"/>
      <w:bookmarkStart w:id="1314" w:name="bookmark1550"/>
      <w:r>
        <w:rPr>
          <w:rStyle w:val="31"/>
          <w:rFonts w:hint="eastAsia" w:ascii="宋体" w:hAnsi="宋体" w:eastAsia="宋体" w:cs="宋体"/>
          <w:color w:val="auto"/>
          <w:sz w:val="24"/>
          <w:szCs w:val="24"/>
          <w:lang w:eastAsia="zh-CN"/>
        </w:rPr>
        <w:t>23.3承包人提出索赔的期限</w:t>
      </w:r>
      <w:bookmarkEnd w:id="1309"/>
      <w:bookmarkEnd w:id="1310"/>
      <w:bookmarkEnd w:id="1311"/>
      <w:bookmarkEnd w:id="1312"/>
      <w:bookmarkEnd w:id="1313"/>
      <w:bookmarkEnd w:id="1314"/>
    </w:p>
    <w:p w14:paraId="220FD4B1">
      <w:pPr>
        <w:pStyle w:val="95"/>
        <w:pageBreakBefore w:val="0"/>
        <w:widowControl w:val="0"/>
        <w:numPr>
          <w:ilvl w:val="0"/>
          <w:numId w:val="38"/>
        </w:numPr>
        <w:tabs>
          <w:tab w:val="left" w:pos="855"/>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315" w:name="bookmark1552"/>
      <w:bookmarkEnd w:id="1315"/>
      <w:r>
        <w:rPr>
          <w:rStyle w:val="31"/>
          <w:rFonts w:hint="eastAsia" w:ascii="宋体" w:hAnsi="宋体" w:eastAsia="宋体" w:cs="宋体"/>
          <w:color w:val="auto"/>
          <w:lang w:val="en-US" w:bidi="en-US"/>
        </w:rPr>
        <w:t xml:space="preserve">3. </w:t>
      </w:r>
      <w:r>
        <w:rPr>
          <w:rStyle w:val="31"/>
          <w:rFonts w:hint="eastAsia" w:ascii="宋体" w:hAnsi="宋体" w:eastAsia="宋体" w:cs="宋体"/>
          <w:color w:val="auto"/>
        </w:rPr>
        <w:t>1承包人按第</w:t>
      </w:r>
      <w:r>
        <w:rPr>
          <w:rStyle w:val="31"/>
          <w:rFonts w:hint="eastAsia" w:ascii="宋体" w:hAnsi="宋体" w:eastAsia="宋体" w:cs="宋体"/>
          <w:color w:val="auto"/>
          <w:lang w:val="en-US" w:bidi="en-US"/>
        </w:rPr>
        <w:t xml:space="preserve">17. </w:t>
      </w:r>
      <w:r>
        <w:rPr>
          <w:rStyle w:val="31"/>
          <w:rFonts w:hint="eastAsia" w:ascii="宋体" w:hAnsi="宋体" w:eastAsia="宋体" w:cs="宋体"/>
          <w:color w:val="auto"/>
        </w:rPr>
        <w:t>5款的约定接受了完工付款证书后，应被认为已无权再提出在合同工程完工证书颁发前所发生的任何索赔。</w:t>
      </w:r>
    </w:p>
    <w:p w14:paraId="2A858E7F">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23.3.2</w:t>
      </w:r>
      <w:r>
        <w:rPr>
          <w:rStyle w:val="31"/>
          <w:rFonts w:hint="eastAsia" w:ascii="宋体" w:hAnsi="宋体" w:eastAsia="宋体" w:cs="宋体"/>
          <w:color w:val="auto"/>
        </w:rPr>
        <w:t>承包人按第</w:t>
      </w:r>
      <w:r>
        <w:rPr>
          <w:rStyle w:val="31"/>
          <w:rFonts w:hint="eastAsia" w:ascii="宋体" w:hAnsi="宋体" w:eastAsia="宋体" w:cs="宋体"/>
          <w:color w:val="auto"/>
          <w:lang w:val="en-US" w:bidi="en-US"/>
        </w:rPr>
        <w:t xml:space="preserve">17. </w:t>
      </w:r>
      <w:r>
        <w:rPr>
          <w:rStyle w:val="31"/>
          <w:rFonts w:hint="eastAsia" w:ascii="宋体" w:hAnsi="宋体" w:eastAsia="宋体" w:cs="宋体"/>
          <w:color w:val="auto"/>
        </w:rPr>
        <w:t>6款的约定提交的最终结清申请单中，只限于提出合同工程完工证书颁发后发生的索赔。提出索赔的期限自接受最终结清证书时终止。</w:t>
      </w:r>
    </w:p>
    <w:p w14:paraId="4F89EA21">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316" w:name="bookmark1554"/>
      <w:bookmarkStart w:id="1317" w:name="_Toc256000170"/>
      <w:bookmarkStart w:id="1318" w:name="_Toc13664"/>
      <w:bookmarkStart w:id="1319" w:name="bookmark1553"/>
      <w:bookmarkStart w:id="1320" w:name="_Toc1321"/>
      <w:bookmarkStart w:id="1321" w:name="bookmark1555"/>
      <w:r>
        <w:rPr>
          <w:rStyle w:val="31"/>
          <w:rFonts w:hint="eastAsia" w:ascii="宋体" w:hAnsi="宋体" w:eastAsia="宋体" w:cs="宋体"/>
          <w:color w:val="auto"/>
          <w:sz w:val="24"/>
          <w:szCs w:val="24"/>
          <w:lang w:eastAsia="zh-CN"/>
        </w:rPr>
        <w:t>23.4发包人的索赔</w:t>
      </w:r>
      <w:bookmarkEnd w:id="1316"/>
      <w:bookmarkEnd w:id="1317"/>
      <w:bookmarkEnd w:id="1318"/>
      <w:bookmarkEnd w:id="1319"/>
      <w:bookmarkEnd w:id="1320"/>
      <w:bookmarkEnd w:id="1321"/>
    </w:p>
    <w:p w14:paraId="1534D302">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23.4.1</w:t>
      </w:r>
      <w:r>
        <w:rPr>
          <w:rStyle w:val="31"/>
          <w:rFonts w:hint="eastAsia" w:ascii="宋体" w:hAnsi="宋体" w:eastAsia="宋体" w:cs="宋体"/>
          <w:color w:val="auto"/>
        </w:rPr>
        <w:t>发生索赔事件后，监理人应及时书面通知承包人，详细说明发包人有权得到的索赔金额和(或)延长缺陷责任期的细节和依据。发包人提出索赔的期限和要求与第</w:t>
      </w:r>
      <w:bookmarkStart w:id="1322" w:name="bookmark1556"/>
      <w:bookmarkEnd w:id="1322"/>
      <w:r>
        <w:rPr>
          <w:rStyle w:val="31"/>
          <w:rFonts w:hint="eastAsia" w:ascii="宋体" w:hAnsi="宋体" w:eastAsia="宋体" w:cs="宋体"/>
          <w:color w:val="auto"/>
          <w:lang w:val="en-US"/>
        </w:rPr>
        <w:t>23.</w:t>
      </w:r>
      <w:r>
        <w:rPr>
          <w:rStyle w:val="31"/>
          <w:rFonts w:hint="eastAsia" w:ascii="宋体" w:hAnsi="宋体" w:eastAsia="宋体" w:cs="宋体"/>
          <w:color w:val="auto"/>
        </w:rPr>
        <w:t>3款的约定相同，延长缺陷责任期的通知应在缺陷责任期届满前发出。</w:t>
      </w:r>
    </w:p>
    <w:p w14:paraId="43C5EE39">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23.4.2</w:t>
      </w:r>
      <w:r>
        <w:rPr>
          <w:rStyle w:val="31"/>
          <w:rFonts w:hint="eastAsia" w:ascii="宋体" w:hAnsi="宋体" w:eastAsia="宋体" w:cs="宋体"/>
          <w:color w:val="auto"/>
        </w:rPr>
        <w:t>监理人按第</w:t>
      </w:r>
      <w:r>
        <w:rPr>
          <w:rStyle w:val="31"/>
          <w:rFonts w:hint="eastAsia" w:ascii="宋体" w:hAnsi="宋体" w:eastAsia="宋体" w:cs="宋体"/>
          <w:color w:val="auto"/>
          <w:lang w:val="en-US" w:bidi="en-US"/>
        </w:rPr>
        <w:t xml:space="preserve">3. </w:t>
      </w:r>
      <w:r>
        <w:rPr>
          <w:rStyle w:val="31"/>
          <w:rFonts w:hint="eastAsia" w:ascii="宋体" w:hAnsi="宋体" w:eastAsia="宋体" w:cs="宋体"/>
          <w:color w:val="auto"/>
        </w:rPr>
        <w:t>5款商定或确定发包人从承包人处得到赔付的金额和(或)缺陷责任期的延长期。承包人应付给发包人的金额可从拟支付给承包人的合同价款中扣除, 或由承包人以其他方式支付给发包人。</w:t>
      </w:r>
    </w:p>
    <w:p w14:paraId="672EC4F1">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 xml:space="preserve">23. 4. </w:t>
      </w:r>
      <w:r>
        <w:rPr>
          <w:rStyle w:val="31"/>
          <w:rFonts w:hint="eastAsia" w:ascii="宋体" w:hAnsi="宋体" w:eastAsia="宋体" w:cs="宋体"/>
          <w:color w:val="auto"/>
        </w:rPr>
        <w:t>3承包人对监理人按第</w:t>
      </w:r>
      <w:r>
        <w:rPr>
          <w:rStyle w:val="31"/>
          <w:rFonts w:hint="eastAsia" w:ascii="宋体" w:hAnsi="宋体" w:eastAsia="宋体" w:cs="宋体"/>
          <w:color w:val="auto"/>
          <w:lang w:val="en-US" w:bidi="en-US"/>
        </w:rPr>
        <w:t xml:space="preserve">23.4. </w:t>
      </w:r>
      <w:r>
        <w:rPr>
          <w:rStyle w:val="31"/>
          <w:rFonts w:hint="eastAsia" w:ascii="宋体" w:hAnsi="宋体" w:eastAsia="宋体" w:cs="宋体"/>
          <w:color w:val="auto"/>
        </w:rPr>
        <w:t>1项发出的索赔书面通知内容持异议时，应在收到书面通知后的14天内，将持有异议的书面报告及其证明材料提交监理人。监理人应在收到 承包人书面报告后的14天内，将异议的处理意见通知承包人，并按第</w:t>
      </w:r>
      <w:r>
        <w:rPr>
          <w:rStyle w:val="31"/>
          <w:rFonts w:hint="eastAsia" w:ascii="宋体" w:hAnsi="宋体" w:eastAsia="宋体" w:cs="宋体"/>
          <w:color w:val="auto"/>
          <w:lang w:val="en-US" w:bidi="en-US"/>
        </w:rPr>
        <w:t>23.4.2</w:t>
      </w:r>
      <w:r>
        <w:rPr>
          <w:rStyle w:val="31"/>
          <w:rFonts w:hint="eastAsia" w:ascii="宋体" w:hAnsi="宋体" w:eastAsia="宋体" w:cs="宋体"/>
          <w:color w:val="auto"/>
        </w:rPr>
        <w:t>项的约定执 行赔付。若承包人不接受监理人的索赔处理意见，可按本合同第24条的规定办理。</w:t>
      </w:r>
    </w:p>
    <w:p w14:paraId="2A5B04CD">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lang w:eastAsia="zh-CN"/>
        </w:rPr>
      </w:pPr>
      <w:bookmarkStart w:id="1323" w:name="bookmark1559"/>
      <w:bookmarkEnd w:id="1323"/>
      <w:bookmarkStart w:id="1324" w:name="bookmark1560"/>
      <w:bookmarkStart w:id="1325" w:name="bookmark1558"/>
      <w:bookmarkStart w:id="1326" w:name="_Toc19085"/>
      <w:bookmarkStart w:id="1327" w:name="_Toc32550"/>
      <w:bookmarkStart w:id="1328" w:name="bookmark1557"/>
      <w:bookmarkStart w:id="1329" w:name="_Toc256000171"/>
      <w:r>
        <w:rPr>
          <w:rStyle w:val="31"/>
          <w:rFonts w:hint="eastAsia" w:ascii="宋体" w:hAnsi="宋体" w:eastAsia="宋体" w:cs="宋体"/>
          <w:color w:val="auto"/>
          <w:lang w:eastAsia="zh-CN"/>
        </w:rPr>
        <w:t>24.争议的解决</w:t>
      </w:r>
      <w:bookmarkEnd w:id="1324"/>
      <w:bookmarkEnd w:id="1325"/>
      <w:bookmarkEnd w:id="1326"/>
      <w:bookmarkEnd w:id="1327"/>
      <w:bookmarkEnd w:id="1328"/>
      <w:bookmarkEnd w:id="1329"/>
    </w:p>
    <w:p w14:paraId="43D0B3DF">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330" w:name="bookmark1562"/>
      <w:bookmarkStart w:id="1331" w:name="_Toc256000172"/>
      <w:bookmarkStart w:id="1332" w:name="_Toc16058"/>
      <w:bookmarkStart w:id="1333" w:name="bookmark1561"/>
      <w:bookmarkStart w:id="1334" w:name="bookmark1563"/>
      <w:bookmarkStart w:id="1335" w:name="_Toc12687"/>
      <w:r>
        <w:rPr>
          <w:rStyle w:val="31"/>
          <w:rFonts w:hint="eastAsia" w:ascii="宋体" w:hAnsi="宋体" w:eastAsia="宋体" w:cs="宋体"/>
          <w:color w:val="auto"/>
          <w:sz w:val="24"/>
          <w:szCs w:val="24"/>
          <w:lang w:eastAsia="zh-CN"/>
        </w:rPr>
        <w:t>24.1争议的解决方式</w:t>
      </w:r>
      <w:bookmarkEnd w:id="1330"/>
      <w:bookmarkEnd w:id="1331"/>
      <w:bookmarkEnd w:id="1332"/>
      <w:bookmarkEnd w:id="1333"/>
      <w:bookmarkEnd w:id="1334"/>
      <w:bookmarkEnd w:id="1335"/>
    </w:p>
    <w:p w14:paraId="454A5044">
      <w:pPr>
        <w:pStyle w:val="95"/>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6074ECAD">
      <w:pPr>
        <w:pStyle w:val="95"/>
        <w:pageBreakBefore w:val="0"/>
        <w:widowControl w:val="0"/>
        <w:numPr>
          <w:ilvl w:val="0"/>
          <w:numId w:val="39"/>
        </w:numPr>
        <w:tabs>
          <w:tab w:val="left" w:pos="901"/>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1336" w:name="bookmark1564"/>
      <w:bookmarkEnd w:id="1336"/>
      <w:r>
        <w:rPr>
          <w:rStyle w:val="31"/>
          <w:rFonts w:hint="eastAsia" w:ascii="宋体" w:hAnsi="宋体" w:eastAsia="宋体" w:cs="宋体"/>
          <w:color w:val="auto"/>
        </w:rPr>
        <w:t>向约定的仲裁委员会申请仲裁；</w:t>
      </w:r>
    </w:p>
    <w:p w14:paraId="595C2335">
      <w:pPr>
        <w:pStyle w:val="95"/>
        <w:pageBreakBefore w:val="0"/>
        <w:widowControl w:val="0"/>
        <w:numPr>
          <w:ilvl w:val="0"/>
          <w:numId w:val="39"/>
        </w:numPr>
        <w:tabs>
          <w:tab w:val="left" w:pos="901"/>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1337" w:name="bookmark1565"/>
      <w:bookmarkEnd w:id="1337"/>
      <w:r>
        <w:rPr>
          <w:rStyle w:val="31"/>
          <w:rFonts w:hint="eastAsia" w:ascii="宋体" w:hAnsi="宋体" w:eastAsia="宋体" w:cs="宋体"/>
          <w:color w:val="auto"/>
        </w:rPr>
        <w:t>向有管辖权的人民法院提起诉讼。</w:t>
      </w:r>
    </w:p>
    <w:p w14:paraId="0814E9ED">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338" w:name="bookmark1567"/>
      <w:bookmarkStart w:id="1339" w:name="_Toc256000173"/>
      <w:bookmarkStart w:id="1340" w:name="_Toc13255"/>
      <w:bookmarkStart w:id="1341" w:name="bookmark1568"/>
      <w:bookmarkStart w:id="1342" w:name="bookmark1566"/>
      <w:bookmarkStart w:id="1343" w:name="_Toc13288"/>
      <w:r>
        <w:rPr>
          <w:rStyle w:val="31"/>
          <w:rFonts w:hint="eastAsia" w:ascii="宋体" w:hAnsi="宋体" w:eastAsia="宋体" w:cs="宋体"/>
          <w:color w:val="auto"/>
          <w:sz w:val="24"/>
          <w:szCs w:val="24"/>
          <w:lang w:eastAsia="zh-CN"/>
        </w:rPr>
        <w:t>24.2友好解决</w:t>
      </w:r>
      <w:bookmarkEnd w:id="1338"/>
      <w:bookmarkEnd w:id="1339"/>
      <w:bookmarkEnd w:id="1340"/>
      <w:bookmarkEnd w:id="1341"/>
      <w:bookmarkEnd w:id="1342"/>
      <w:bookmarkEnd w:id="1343"/>
    </w:p>
    <w:p w14:paraId="1AE892C3">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在提请争议评审、仲裁或者诉讼前，以及在争议评审、仲裁或诉讼过程中，发包人和承包人均可共同努力友好协商解决争议。</w:t>
      </w:r>
    </w:p>
    <w:p w14:paraId="45A0C4C9">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344" w:name="_Toc12305"/>
      <w:bookmarkStart w:id="1345" w:name="bookmark1571"/>
      <w:bookmarkStart w:id="1346" w:name="bookmark1569"/>
      <w:bookmarkStart w:id="1347" w:name="bookmark1570"/>
      <w:bookmarkStart w:id="1348" w:name="_Toc256000174"/>
      <w:bookmarkStart w:id="1349" w:name="_Toc22991"/>
      <w:r>
        <w:rPr>
          <w:rStyle w:val="31"/>
          <w:rFonts w:hint="eastAsia" w:ascii="宋体" w:hAnsi="宋体" w:eastAsia="宋体" w:cs="宋体"/>
          <w:color w:val="auto"/>
          <w:sz w:val="24"/>
          <w:szCs w:val="24"/>
          <w:lang w:eastAsia="zh-CN"/>
        </w:rPr>
        <w:t>24.3争议评审</w:t>
      </w:r>
      <w:bookmarkEnd w:id="1344"/>
      <w:bookmarkEnd w:id="1345"/>
      <w:bookmarkEnd w:id="1346"/>
      <w:bookmarkEnd w:id="1347"/>
      <w:bookmarkEnd w:id="1348"/>
      <w:bookmarkEnd w:id="1349"/>
    </w:p>
    <w:p w14:paraId="7DE84A2F">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24.3.1</w:t>
      </w:r>
      <w:r>
        <w:rPr>
          <w:rStyle w:val="31"/>
          <w:rFonts w:hint="eastAsia" w:ascii="宋体" w:hAnsi="宋体" w:eastAsia="宋体" w:cs="宋体"/>
          <w:color w:val="auto"/>
        </w:rPr>
        <w:t>采用争议评审的，发包人和承包人应在开工日后的28天内或在争议发生后, 协商成立争议评审组。争议评审组由有合同管理和工程实践经验的专家组成。</w:t>
      </w:r>
    </w:p>
    <w:p w14:paraId="009CD693">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24.3.2</w:t>
      </w:r>
      <w:r>
        <w:rPr>
          <w:rStyle w:val="31"/>
          <w:rFonts w:hint="eastAsia" w:ascii="宋体" w:hAnsi="宋体" w:eastAsia="宋体" w:cs="宋体"/>
          <w:color w:val="auto"/>
        </w:rPr>
        <w:t>合同双方的争议，应首先由申请人向争议评审组提交一份详细的评审申请报告，并附必要的文件、图纸和证明材料，申请人还应将上述报告的副本同时提交给被申请人和监理人。</w:t>
      </w:r>
    </w:p>
    <w:p w14:paraId="05D1281E">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24.3.3</w:t>
      </w:r>
      <w:r>
        <w:rPr>
          <w:rStyle w:val="31"/>
          <w:rFonts w:hint="eastAsia" w:ascii="宋体" w:hAnsi="宋体" w:eastAsia="宋体" w:cs="宋体"/>
          <w:color w:val="auto"/>
        </w:rPr>
        <w:t>被申请人在收到申请人评审申请报告副本后的28天内，向争议评审组提交一份答辩报告，并附证明材料。被申请人应将答辩报告的副本同时提交给申请人和监理人。</w:t>
      </w:r>
    </w:p>
    <w:p w14:paraId="41911D43">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24.3.4</w:t>
      </w:r>
      <w:r>
        <w:rPr>
          <w:rStyle w:val="31"/>
          <w:rFonts w:hint="eastAsia" w:ascii="宋体" w:hAnsi="宋体" w:eastAsia="宋体" w:cs="宋体"/>
          <w:color w:val="auto"/>
        </w:rPr>
        <w:t>除专用合同条款另有约定外，争议评审组在收到合同双方报告后的14天内， 邀请双方代表和有关人员举行调查会，向双方调查争议细节；必要时争议评审组可要求双方进一步提供补充材料。</w:t>
      </w:r>
    </w:p>
    <w:p w14:paraId="313980A0">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bookmarkStart w:id="1350" w:name="bookmark1572"/>
      <w:bookmarkEnd w:id="1350"/>
      <w:r>
        <w:rPr>
          <w:rStyle w:val="31"/>
          <w:rFonts w:hint="eastAsia" w:ascii="宋体" w:hAnsi="宋体" w:eastAsia="宋体" w:cs="宋体"/>
          <w:color w:val="auto"/>
        </w:rPr>
        <w:t>24.3.5除专用合同条款另有约定外，在调查会结束后的14天内，争议评审组应在不受任何干扰的情况下进行独立、公正的评审，作出书面评审意见，并说明理由。在争议评审期间，争议双方暂按总监理工程师的确定执行。</w:t>
      </w:r>
    </w:p>
    <w:p w14:paraId="2A82C8D6">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24.3.6</w:t>
      </w:r>
      <w:r>
        <w:rPr>
          <w:rStyle w:val="31"/>
          <w:rFonts w:hint="eastAsia" w:ascii="宋体" w:hAnsi="宋体" w:eastAsia="宋体" w:cs="宋体"/>
          <w:color w:val="auto"/>
        </w:rPr>
        <w:t>发包人和承包人接受评审意见的，由监理人根据评审意见拟定执行协议，经争议双方签字后作为合同的补充文件，并遵照执行。</w:t>
      </w:r>
    </w:p>
    <w:p w14:paraId="4397BA87">
      <w:pPr>
        <w:pStyle w:val="95"/>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24.3.7</w:t>
      </w:r>
      <w:r>
        <w:rPr>
          <w:rStyle w:val="31"/>
          <w:rFonts w:hint="eastAsia" w:ascii="宋体" w:hAnsi="宋体" w:eastAsia="宋体" w:cs="宋体"/>
          <w:color w:val="auto"/>
        </w:rPr>
        <w:t>发包人或承包人不接受评审意见，并要求提交仲裁或提起诉讼的，应在收到评审意见后的14天内将仲裁或起诉意向书面通知另一方，并抄送监理人，但在仲裁或诉讼结束前应暂按总监理工程师的确定执行。</w:t>
      </w:r>
    </w:p>
    <w:p w14:paraId="28C7BE0B">
      <w:pPr>
        <w:pStyle w:val="93"/>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351" w:name="bookmark1573"/>
      <w:bookmarkStart w:id="1352" w:name="bookmark1575"/>
      <w:bookmarkStart w:id="1353" w:name="_Toc256000175"/>
      <w:bookmarkStart w:id="1354" w:name="bookmark1574"/>
      <w:bookmarkStart w:id="1355" w:name="_Toc548"/>
      <w:bookmarkStart w:id="1356" w:name="_Toc10843"/>
      <w:r>
        <w:rPr>
          <w:rStyle w:val="31"/>
          <w:rFonts w:hint="eastAsia" w:ascii="宋体" w:hAnsi="宋体" w:eastAsia="宋体" w:cs="宋体"/>
          <w:color w:val="auto"/>
          <w:sz w:val="24"/>
          <w:szCs w:val="24"/>
          <w:lang w:eastAsia="zh-CN"/>
        </w:rPr>
        <w:t>24.4仲裁</w:t>
      </w:r>
      <w:bookmarkEnd w:id="1351"/>
      <w:bookmarkEnd w:id="1352"/>
      <w:bookmarkEnd w:id="1353"/>
      <w:bookmarkEnd w:id="1354"/>
      <w:bookmarkEnd w:id="1355"/>
      <w:bookmarkEnd w:id="1356"/>
    </w:p>
    <w:p w14:paraId="4E317CB7">
      <w:pPr>
        <w:pStyle w:val="95"/>
        <w:pageBreakBefore w:val="0"/>
        <w:widowControl w:val="0"/>
        <w:kinsoku/>
        <w:wordWrap/>
        <w:overflowPunct/>
        <w:topLinePunct w:val="0"/>
        <w:autoSpaceDE/>
        <w:autoSpaceDN/>
        <w:bidi w:val="0"/>
        <w:adjustRightInd/>
        <w:snapToGrid/>
        <w:spacing w:line="440" w:lineRule="exact"/>
        <w:ind w:left="0" w:leftChars="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24.4.1</w:t>
      </w:r>
      <w:r>
        <w:rPr>
          <w:rStyle w:val="31"/>
          <w:rFonts w:hint="eastAsia" w:ascii="宋体" w:hAnsi="宋体" w:eastAsia="宋体" w:cs="宋体"/>
          <w:color w:val="auto"/>
        </w:rPr>
        <w:t>若合同双方商定直接向仲裁机构申请仲裁，应签订仲裁协议并约定仲裁机构。</w:t>
      </w:r>
    </w:p>
    <w:p w14:paraId="007632C7">
      <w:pPr>
        <w:pStyle w:val="95"/>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24.4.2</w:t>
      </w:r>
      <w:r>
        <w:rPr>
          <w:rStyle w:val="31"/>
          <w:rFonts w:hint="eastAsia" w:ascii="宋体" w:hAnsi="宋体" w:eastAsia="宋体" w:cs="宋体"/>
          <w:color w:val="auto"/>
        </w:rPr>
        <w:t>若合同双方未能达成仲裁协议，则本合同的仲裁条款无效，任一方均有权向人民法院提起诉讼。</w:t>
      </w:r>
    </w:p>
    <w:p w14:paraId="24F0D3BE">
      <w:pPr>
        <w:pStyle w:val="98"/>
        <w:pageBreakBefore w:val="0"/>
        <w:widowControl w:val="0"/>
        <w:kinsoku/>
        <w:wordWrap/>
        <w:overflowPunct/>
        <w:topLinePunct w:val="0"/>
        <w:autoSpaceDE/>
        <w:autoSpaceDN/>
        <w:bidi w:val="0"/>
        <w:adjustRightInd/>
        <w:snapToGrid/>
        <w:spacing w:before="0" w:after="0" w:line="440" w:lineRule="exact"/>
        <w:ind w:left="0" w:leftChars="0"/>
        <w:textAlignment w:val="auto"/>
        <w:rPr>
          <w:rStyle w:val="31"/>
          <w:rFonts w:hint="eastAsia" w:ascii="宋体" w:hAnsi="宋体" w:eastAsia="宋体" w:cs="宋体"/>
          <w:color w:val="auto"/>
          <w:sz w:val="32"/>
          <w:szCs w:val="32"/>
          <w:lang w:eastAsia="zh-CN"/>
        </w:rPr>
      </w:pPr>
      <w:bookmarkStart w:id="1357" w:name="bookmark1576"/>
      <w:bookmarkStart w:id="1358" w:name="_Toc1972"/>
      <w:bookmarkStart w:id="1359" w:name="bookmark1577"/>
      <w:bookmarkStart w:id="1360" w:name="bookmark1578"/>
      <w:bookmarkStart w:id="1361" w:name="_Toc27368"/>
      <w:bookmarkStart w:id="1362" w:name="_Toc14907"/>
      <w:r>
        <w:rPr>
          <w:rStyle w:val="31"/>
          <w:rFonts w:hint="eastAsia" w:ascii="宋体" w:hAnsi="宋体" w:eastAsia="宋体" w:cs="宋体"/>
          <w:color w:val="auto"/>
          <w:sz w:val="32"/>
          <w:szCs w:val="32"/>
          <w:lang w:eastAsia="zh-CN"/>
        </w:rPr>
        <w:br w:type="page"/>
      </w:r>
      <w:bookmarkStart w:id="1363" w:name="_Toc256000176"/>
      <w:r>
        <w:rPr>
          <w:rStyle w:val="31"/>
          <w:rFonts w:hint="eastAsia" w:ascii="宋体" w:hAnsi="宋体" w:eastAsia="宋体" w:cs="宋体"/>
          <w:color w:val="auto"/>
          <w:sz w:val="32"/>
          <w:szCs w:val="32"/>
          <w:lang w:eastAsia="zh-CN"/>
        </w:rPr>
        <w:t>第二节 专用合同条款</w:t>
      </w:r>
      <w:bookmarkEnd w:id="1357"/>
      <w:bookmarkEnd w:id="1358"/>
      <w:bookmarkEnd w:id="1359"/>
      <w:bookmarkEnd w:id="1360"/>
      <w:bookmarkEnd w:id="1361"/>
      <w:bookmarkEnd w:id="1362"/>
      <w:bookmarkEnd w:id="1363"/>
    </w:p>
    <w:p w14:paraId="1ECDA290">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lang w:eastAsia="zh-CN"/>
        </w:rPr>
      </w:pPr>
      <w:bookmarkStart w:id="1364" w:name="bookmark1581"/>
      <w:bookmarkEnd w:id="1364"/>
      <w:bookmarkStart w:id="1365" w:name="_Toc21852"/>
      <w:bookmarkStart w:id="1366" w:name="_Toc256000177"/>
      <w:bookmarkStart w:id="1367" w:name="bookmark1579"/>
      <w:bookmarkStart w:id="1368" w:name="bookmark1580"/>
      <w:bookmarkStart w:id="1369" w:name="_Toc27068"/>
      <w:bookmarkStart w:id="1370" w:name="_Toc256000254"/>
      <w:bookmarkStart w:id="1371" w:name="_Toc30818"/>
      <w:bookmarkStart w:id="1372" w:name="bookmark1582"/>
      <w:bookmarkStart w:id="1373" w:name="_Toc15420"/>
      <w:bookmarkStart w:id="1374" w:name="bookmark1892"/>
      <w:bookmarkStart w:id="1375" w:name="_Toc14930"/>
      <w:bookmarkStart w:id="1376" w:name="_Toc10268"/>
      <w:bookmarkStart w:id="1377" w:name="bookmark1891"/>
      <w:bookmarkStart w:id="1378" w:name="bookmark1893"/>
      <w:r>
        <w:rPr>
          <w:rStyle w:val="31"/>
          <w:rFonts w:hint="eastAsia" w:ascii="宋体" w:hAnsi="宋体" w:eastAsia="宋体" w:cs="宋体"/>
          <w:color w:val="auto"/>
          <w:lang w:eastAsia="zh-CN"/>
        </w:rPr>
        <w:t>1. 一般约定</w:t>
      </w:r>
      <w:bookmarkEnd w:id="1365"/>
      <w:bookmarkEnd w:id="1366"/>
      <w:bookmarkEnd w:id="1367"/>
      <w:bookmarkEnd w:id="1368"/>
      <w:bookmarkEnd w:id="1369"/>
      <w:bookmarkEnd w:id="1370"/>
      <w:bookmarkEnd w:id="1371"/>
      <w:bookmarkEnd w:id="1372"/>
    </w:p>
    <w:p w14:paraId="33B71093">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lang w:eastAsia="zh-CN"/>
        </w:rPr>
      </w:pPr>
      <w:bookmarkStart w:id="1379" w:name="bookmark1584"/>
      <w:bookmarkStart w:id="1380" w:name="bookmark1583"/>
      <w:bookmarkStart w:id="1381" w:name="bookmark1585"/>
      <w:bookmarkStart w:id="1382" w:name="_Toc256000255"/>
      <w:bookmarkStart w:id="1383" w:name="_Toc256000178"/>
      <w:r>
        <w:rPr>
          <w:rStyle w:val="31"/>
          <w:rFonts w:hint="eastAsia" w:ascii="宋体" w:hAnsi="宋体" w:eastAsia="宋体" w:cs="宋体"/>
          <w:color w:val="auto"/>
          <w:sz w:val="24"/>
          <w:szCs w:val="24"/>
          <w:lang w:eastAsia="zh-CN"/>
        </w:rPr>
        <w:t>1.1词语定义</w:t>
      </w:r>
      <w:bookmarkEnd w:id="1379"/>
      <w:bookmarkEnd w:id="1380"/>
      <w:bookmarkEnd w:id="1381"/>
      <w:bookmarkEnd w:id="1382"/>
      <w:bookmarkEnd w:id="1383"/>
    </w:p>
    <w:p w14:paraId="4B6179B4">
      <w:pPr>
        <w:pStyle w:val="101"/>
        <w:pageBreakBefore w:val="0"/>
        <w:widowControl w:val="0"/>
        <w:kinsoku/>
        <w:wordWrap/>
        <w:overflowPunct/>
        <w:topLinePunct w:val="0"/>
        <w:autoSpaceDE/>
        <w:autoSpaceDN/>
        <w:bidi w:val="0"/>
        <w:adjustRightInd/>
        <w:snapToGrid/>
        <w:spacing w:line="440" w:lineRule="exact"/>
        <w:ind w:left="0" w:leftChars="0" w:firstLine="440"/>
        <w:textAlignment w:val="auto"/>
        <w:rPr>
          <w:rStyle w:val="31"/>
          <w:rFonts w:hint="eastAsia" w:ascii="宋体" w:hAnsi="宋体" w:eastAsia="宋体" w:cs="宋体"/>
          <w:color w:val="auto"/>
        </w:rPr>
      </w:pPr>
      <w:r>
        <w:rPr>
          <w:rStyle w:val="31"/>
          <w:rFonts w:hint="eastAsia" w:ascii="宋体" w:hAnsi="宋体" w:eastAsia="宋体" w:cs="宋体"/>
          <w:color w:val="auto"/>
          <w:lang w:val="en-US" w:bidi="en-US"/>
        </w:rPr>
        <w:t>1.1.2</w:t>
      </w:r>
      <w:r>
        <w:rPr>
          <w:rStyle w:val="31"/>
          <w:rFonts w:hint="eastAsia" w:ascii="宋体" w:hAnsi="宋体" w:eastAsia="宋体" w:cs="宋体"/>
          <w:color w:val="auto"/>
        </w:rPr>
        <w:t>合同当事人和人员</w:t>
      </w:r>
    </w:p>
    <w:p w14:paraId="62BDEE34">
      <w:pPr>
        <w:pStyle w:val="102"/>
        <w:pageBreakBefore w:val="0"/>
        <w:widowControl w:val="0"/>
        <w:tabs>
          <w:tab w:val="left" w:pos="4064"/>
        </w:tabs>
        <w:kinsoku/>
        <w:wordWrap/>
        <w:overflowPunct/>
        <w:topLinePunct w:val="0"/>
        <w:autoSpaceDE/>
        <w:autoSpaceDN/>
        <w:bidi w:val="0"/>
        <w:adjustRightInd/>
        <w:snapToGrid/>
        <w:spacing w:after="0" w:line="440" w:lineRule="exact"/>
        <w:ind w:left="0" w:leftChars="0" w:firstLine="440"/>
        <w:textAlignment w:val="auto"/>
        <w:rPr>
          <w:rStyle w:val="31"/>
          <w:rFonts w:hint="eastAsia" w:ascii="宋体" w:hAnsi="宋体" w:eastAsia="宋体" w:cs="宋体"/>
          <w:color w:val="auto"/>
          <w:lang w:eastAsia="zh-CN"/>
        </w:rPr>
      </w:pPr>
      <w:r>
        <w:rPr>
          <w:rStyle w:val="31"/>
          <w:rFonts w:hint="eastAsia" w:ascii="宋体" w:hAnsi="宋体" w:eastAsia="宋体" w:cs="宋体"/>
          <w:color w:val="auto"/>
          <w:lang w:eastAsia="zh-CN"/>
        </w:rPr>
        <w:t>1.1.2.</w:t>
      </w:r>
      <w:r>
        <w:rPr>
          <w:rStyle w:val="31"/>
          <w:rFonts w:hint="eastAsia" w:ascii="宋体" w:hAnsi="宋体" w:eastAsia="宋体" w:cs="宋体"/>
          <w:color w:val="auto"/>
          <w:lang w:val="zh-CN" w:eastAsia="zh-CN" w:bidi="zh-CN"/>
        </w:rPr>
        <w:t>2发包人：</w:t>
      </w:r>
      <w:r>
        <w:rPr>
          <w:rStyle w:val="31"/>
          <w:rFonts w:hint="eastAsia" w:ascii="宋体" w:hAnsi="宋体" w:eastAsia="宋体" w:cs="宋体"/>
          <w:color w:val="auto"/>
          <w:kern w:val="0"/>
          <w:sz w:val="20"/>
          <w:szCs w:val="20"/>
          <w:u w:val="single"/>
          <w:lang w:eastAsia="zh-CN"/>
        </w:rPr>
        <w:t>南宁市武鸣区水利工程服务站</w:t>
      </w:r>
      <w:r>
        <w:rPr>
          <w:rStyle w:val="31"/>
          <w:rFonts w:hint="eastAsia" w:ascii="宋体" w:hAnsi="宋体" w:eastAsia="宋体" w:cs="宋体"/>
          <w:color w:val="auto"/>
          <w:lang w:eastAsia="zh-CN"/>
        </w:rPr>
        <w:t>。</w:t>
      </w:r>
    </w:p>
    <w:p w14:paraId="67BEEDC0">
      <w:pPr>
        <w:pStyle w:val="102"/>
        <w:pageBreakBefore w:val="0"/>
        <w:widowControl w:val="0"/>
        <w:tabs>
          <w:tab w:val="left" w:pos="4066"/>
        </w:tabs>
        <w:kinsoku/>
        <w:wordWrap/>
        <w:overflowPunct/>
        <w:topLinePunct w:val="0"/>
        <w:autoSpaceDE/>
        <w:autoSpaceDN/>
        <w:bidi w:val="0"/>
        <w:adjustRightInd/>
        <w:snapToGrid/>
        <w:spacing w:after="0" w:line="440" w:lineRule="exact"/>
        <w:ind w:left="0" w:leftChars="0" w:firstLine="440"/>
        <w:textAlignment w:val="auto"/>
        <w:rPr>
          <w:rStyle w:val="31"/>
          <w:rFonts w:hint="eastAsia" w:ascii="宋体" w:hAnsi="宋体" w:eastAsia="宋体" w:cs="宋体"/>
          <w:color w:val="auto"/>
          <w:lang w:eastAsia="zh-CN"/>
        </w:rPr>
      </w:pPr>
      <w:r>
        <w:rPr>
          <w:rStyle w:val="31"/>
          <w:rFonts w:hint="eastAsia" w:ascii="宋体" w:hAnsi="宋体" w:eastAsia="宋体" w:cs="宋体"/>
          <w:color w:val="auto"/>
          <w:lang w:eastAsia="zh-CN"/>
        </w:rPr>
        <w:t>1.1.2.</w:t>
      </w:r>
      <w:r>
        <w:rPr>
          <w:rStyle w:val="31"/>
          <w:rFonts w:hint="eastAsia" w:ascii="宋体" w:hAnsi="宋体" w:eastAsia="宋体" w:cs="宋体"/>
          <w:color w:val="auto"/>
          <w:lang w:val="zh-CN" w:eastAsia="zh-CN" w:bidi="zh-CN"/>
        </w:rPr>
        <w:t>3承包人：</w:t>
      </w:r>
      <w:r>
        <w:rPr>
          <w:rStyle w:val="31"/>
          <w:rFonts w:hint="eastAsia" w:ascii="宋体" w:hAnsi="宋体" w:eastAsia="宋体" w:cs="宋体"/>
          <w:color w:val="auto"/>
          <w:u w:val="single"/>
          <w:lang w:eastAsia="zh-CN"/>
        </w:rPr>
        <w:tab/>
      </w:r>
      <w:r>
        <w:rPr>
          <w:rStyle w:val="31"/>
          <w:rFonts w:hint="eastAsia" w:ascii="宋体" w:hAnsi="宋体" w:eastAsia="宋体" w:cs="宋体"/>
          <w:color w:val="auto"/>
          <w:lang w:eastAsia="zh-CN"/>
        </w:rPr>
        <w:t>。</w:t>
      </w:r>
    </w:p>
    <w:p w14:paraId="76AC65A5">
      <w:pPr>
        <w:pStyle w:val="102"/>
        <w:pageBreakBefore w:val="0"/>
        <w:widowControl w:val="0"/>
        <w:tabs>
          <w:tab w:val="left" w:pos="4066"/>
        </w:tabs>
        <w:kinsoku/>
        <w:wordWrap/>
        <w:overflowPunct/>
        <w:topLinePunct w:val="0"/>
        <w:autoSpaceDE/>
        <w:autoSpaceDN/>
        <w:bidi w:val="0"/>
        <w:adjustRightInd/>
        <w:snapToGrid/>
        <w:spacing w:after="0" w:line="440" w:lineRule="exact"/>
        <w:ind w:left="0" w:leftChars="0" w:firstLine="440"/>
        <w:textAlignment w:val="auto"/>
        <w:rPr>
          <w:rStyle w:val="31"/>
          <w:rFonts w:hint="eastAsia" w:ascii="宋体" w:hAnsi="宋体" w:eastAsia="宋体" w:cs="宋体"/>
          <w:color w:val="auto"/>
          <w:highlight w:val="none"/>
          <w:lang w:eastAsia="zh-CN"/>
        </w:rPr>
      </w:pPr>
      <w:r>
        <w:rPr>
          <w:rStyle w:val="31"/>
          <w:rFonts w:hint="eastAsia" w:ascii="宋体" w:hAnsi="宋体" w:eastAsia="宋体" w:cs="宋体"/>
          <w:color w:val="auto"/>
          <w:lang w:eastAsia="zh-CN"/>
        </w:rPr>
        <w:t>1.1.2.</w:t>
      </w:r>
      <w:r>
        <w:rPr>
          <w:rStyle w:val="31"/>
          <w:rFonts w:hint="eastAsia" w:ascii="宋体" w:hAnsi="宋体" w:eastAsia="宋体" w:cs="宋体"/>
          <w:color w:val="auto"/>
          <w:lang w:eastAsia="zh-CN" w:bidi="zh-CN"/>
        </w:rPr>
        <w:t>4承包人项目负责人、技术负责人和专职安全员</w:t>
      </w:r>
      <w:r>
        <w:rPr>
          <w:rStyle w:val="31"/>
          <w:rFonts w:hint="eastAsia" w:ascii="宋体" w:hAnsi="宋体" w:eastAsia="宋体" w:cs="宋体"/>
          <w:color w:val="auto"/>
          <w:lang w:val="zh-CN" w:eastAsia="zh-CN" w:bidi="zh-CN"/>
        </w:rPr>
        <w:t>：</w:t>
      </w:r>
      <w:r>
        <w:rPr>
          <w:rStyle w:val="31"/>
          <w:rFonts w:hint="eastAsia" w:ascii="宋体" w:hAnsi="宋体" w:eastAsia="宋体" w:cs="宋体"/>
          <w:color w:val="auto"/>
          <w:u w:val="single"/>
          <w:lang w:eastAsia="zh-CN"/>
        </w:rPr>
        <w:tab/>
      </w:r>
      <w:r>
        <w:rPr>
          <w:rStyle w:val="31"/>
          <w:rFonts w:hint="eastAsia" w:ascii="宋体" w:hAnsi="宋体" w:eastAsia="宋体" w:cs="宋体"/>
          <w:color w:val="auto"/>
          <w:u w:val="single"/>
          <w:lang w:eastAsia="zh-CN"/>
        </w:rPr>
        <w:t xml:space="preserve">             </w:t>
      </w:r>
      <w:r>
        <w:rPr>
          <w:rStyle w:val="31"/>
          <w:rFonts w:hint="eastAsia" w:ascii="宋体" w:hAnsi="宋体" w:eastAsia="宋体" w:cs="宋体"/>
          <w:color w:val="auto"/>
          <w:lang w:eastAsia="zh-CN"/>
        </w:rPr>
        <w:t>（项目负责人、技术负责人和专职安全员的姓名、身份证号号码</w:t>
      </w:r>
      <w:r>
        <w:rPr>
          <w:rStyle w:val="31"/>
          <w:rFonts w:hint="eastAsia" w:ascii="宋体" w:hAnsi="宋体" w:eastAsia="宋体" w:cs="宋体"/>
          <w:color w:val="auto"/>
          <w:highlight w:val="none"/>
          <w:lang w:eastAsia="zh-CN"/>
        </w:rPr>
        <w:t>，项目负责人执业证书号码以及项目负责人和专职安全员水行政主管部门颁发的安全生产考核合格证书号码）。</w:t>
      </w:r>
    </w:p>
    <w:p w14:paraId="655543BE">
      <w:pPr>
        <w:pStyle w:val="102"/>
        <w:pageBreakBefore w:val="0"/>
        <w:widowControl w:val="0"/>
        <w:tabs>
          <w:tab w:val="left" w:pos="4064"/>
        </w:tabs>
        <w:kinsoku/>
        <w:wordWrap/>
        <w:overflowPunct/>
        <w:topLinePunct w:val="0"/>
        <w:autoSpaceDE/>
        <w:autoSpaceDN/>
        <w:bidi w:val="0"/>
        <w:adjustRightInd/>
        <w:snapToGrid/>
        <w:spacing w:after="0" w:line="440" w:lineRule="exact"/>
        <w:ind w:left="0" w:leftChars="0" w:firstLine="440"/>
        <w:textAlignment w:val="auto"/>
        <w:rPr>
          <w:rStyle w:val="31"/>
          <w:rFonts w:hint="eastAsia" w:ascii="宋体" w:hAnsi="宋体" w:eastAsia="宋体" w:cs="宋体"/>
          <w:color w:val="auto"/>
          <w:highlight w:val="none"/>
          <w:lang w:eastAsia="zh-CN"/>
        </w:rPr>
      </w:pPr>
      <w:r>
        <w:rPr>
          <w:rStyle w:val="31"/>
          <w:rFonts w:hint="eastAsia" w:ascii="宋体" w:hAnsi="宋体" w:eastAsia="宋体" w:cs="宋体"/>
          <w:color w:val="auto"/>
          <w:highlight w:val="none"/>
          <w:lang w:eastAsia="zh-CN"/>
        </w:rPr>
        <w:t>1.1.2.</w:t>
      </w:r>
      <w:r>
        <w:rPr>
          <w:rStyle w:val="31"/>
          <w:rFonts w:hint="eastAsia" w:ascii="宋体" w:hAnsi="宋体" w:eastAsia="宋体" w:cs="宋体"/>
          <w:color w:val="auto"/>
          <w:highlight w:val="none"/>
          <w:lang w:val="zh-CN" w:eastAsia="zh-CN" w:bidi="zh-CN"/>
        </w:rPr>
        <w:t>5分包人:</w:t>
      </w:r>
      <w:r>
        <w:rPr>
          <w:rStyle w:val="31"/>
          <w:rFonts w:hint="eastAsia" w:ascii="宋体" w:hAnsi="宋体" w:eastAsia="宋体" w:cs="宋体"/>
          <w:color w:val="auto"/>
          <w:highlight w:val="none"/>
          <w:u w:val="single"/>
          <w:lang w:eastAsia="zh-CN"/>
        </w:rPr>
        <w:tab/>
      </w:r>
      <w:r>
        <w:rPr>
          <w:rStyle w:val="31"/>
          <w:rFonts w:hint="eastAsia" w:ascii="宋体" w:hAnsi="宋体" w:eastAsia="宋体" w:cs="宋体"/>
          <w:color w:val="auto"/>
          <w:highlight w:val="none"/>
          <w:lang w:eastAsia="zh-CN"/>
        </w:rPr>
        <w:t>。</w:t>
      </w:r>
    </w:p>
    <w:p w14:paraId="67EE9BCE">
      <w:pPr>
        <w:pStyle w:val="102"/>
        <w:pageBreakBefore w:val="0"/>
        <w:widowControl w:val="0"/>
        <w:tabs>
          <w:tab w:val="left" w:pos="4064"/>
        </w:tabs>
        <w:kinsoku/>
        <w:wordWrap/>
        <w:overflowPunct/>
        <w:topLinePunct w:val="0"/>
        <w:autoSpaceDE/>
        <w:autoSpaceDN/>
        <w:bidi w:val="0"/>
        <w:adjustRightInd/>
        <w:snapToGrid/>
        <w:spacing w:after="0" w:line="440" w:lineRule="exact"/>
        <w:ind w:left="0" w:leftChars="0" w:firstLine="440"/>
        <w:textAlignment w:val="auto"/>
        <w:rPr>
          <w:rStyle w:val="31"/>
          <w:rFonts w:hint="eastAsia" w:ascii="宋体" w:hAnsi="宋体" w:eastAsia="宋体" w:cs="宋体"/>
          <w:color w:val="auto"/>
          <w:highlight w:val="none"/>
          <w:lang w:eastAsia="zh-CN"/>
        </w:rPr>
      </w:pPr>
      <w:r>
        <w:rPr>
          <w:rStyle w:val="31"/>
          <w:rFonts w:hint="eastAsia" w:ascii="宋体" w:hAnsi="宋体" w:eastAsia="宋体" w:cs="宋体"/>
          <w:color w:val="auto"/>
          <w:highlight w:val="none"/>
          <w:lang w:eastAsia="zh-CN"/>
        </w:rPr>
        <w:t>1.1.2.6</w:t>
      </w:r>
      <w:r>
        <w:rPr>
          <w:rStyle w:val="31"/>
          <w:rFonts w:hint="eastAsia" w:ascii="宋体" w:hAnsi="宋体" w:eastAsia="宋体" w:cs="宋体"/>
          <w:color w:val="auto"/>
          <w:highlight w:val="none"/>
          <w:lang w:val="zh-CN" w:eastAsia="zh-CN" w:bidi="zh-CN"/>
        </w:rPr>
        <w:t>监理人：</w:t>
      </w:r>
      <w:r>
        <w:rPr>
          <w:rStyle w:val="31"/>
          <w:rFonts w:hint="eastAsia" w:ascii="宋体" w:hAnsi="宋体" w:eastAsia="宋体" w:cs="宋体"/>
          <w:color w:val="auto"/>
          <w:highlight w:val="none"/>
          <w:u w:val="single"/>
          <w:lang w:eastAsia="zh-CN"/>
        </w:rPr>
        <w:tab/>
      </w:r>
      <w:r>
        <w:rPr>
          <w:rStyle w:val="31"/>
          <w:rFonts w:hint="eastAsia" w:ascii="宋体" w:hAnsi="宋体" w:eastAsia="宋体" w:cs="宋体"/>
          <w:color w:val="auto"/>
          <w:highlight w:val="none"/>
          <w:lang w:eastAsia="zh-CN"/>
        </w:rPr>
        <w:t>。</w:t>
      </w:r>
    </w:p>
    <w:p w14:paraId="4CD7F9B7">
      <w:pPr>
        <w:pStyle w:val="102"/>
        <w:pageBreakBefore w:val="0"/>
        <w:widowControl w:val="0"/>
        <w:tabs>
          <w:tab w:val="left" w:pos="3649"/>
        </w:tabs>
        <w:kinsoku/>
        <w:wordWrap/>
        <w:overflowPunct/>
        <w:topLinePunct w:val="0"/>
        <w:autoSpaceDE/>
        <w:autoSpaceDN/>
        <w:bidi w:val="0"/>
        <w:adjustRightInd/>
        <w:snapToGrid/>
        <w:spacing w:after="0" w:line="440" w:lineRule="exact"/>
        <w:ind w:left="0" w:leftChars="0" w:firstLine="440"/>
        <w:textAlignment w:val="auto"/>
        <w:rPr>
          <w:rStyle w:val="31"/>
          <w:rFonts w:hint="eastAsia" w:ascii="宋体" w:hAnsi="宋体" w:eastAsia="宋体" w:cs="宋体"/>
          <w:color w:val="auto"/>
          <w:highlight w:val="none"/>
          <w:lang w:eastAsia="zh-CN"/>
        </w:rPr>
      </w:pPr>
      <w:r>
        <w:rPr>
          <w:rStyle w:val="31"/>
          <w:rFonts w:hint="eastAsia" w:ascii="宋体" w:hAnsi="宋体" w:eastAsia="宋体" w:cs="宋体"/>
          <w:color w:val="auto"/>
          <w:highlight w:val="none"/>
          <w:lang w:eastAsia="zh-CN"/>
        </w:rPr>
        <w:t>1.1.4</w:t>
      </w:r>
      <w:r>
        <w:rPr>
          <w:rStyle w:val="31"/>
          <w:rFonts w:hint="eastAsia" w:ascii="宋体" w:hAnsi="宋体" w:eastAsia="宋体" w:cs="宋体"/>
          <w:color w:val="auto"/>
          <w:highlight w:val="none"/>
          <w:lang w:val="zh-CN" w:eastAsia="zh-CN" w:bidi="zh-CN"/>
        </w:rPr>
        <w:t>日期：</w:t>
      </w:r>
      <w:r>
        <w:rPr>
          <w:rStyle w:val="31"/>
          <w:rFonts w:hint="eastAsia" w:ascii="宋体" w:hAnsi="宋体" w:eastAsia="宋体" w:cs="宋体"/>
          <w:color w:val="auto"/>
          <w:highlight w:val="none"/>
          <w:u w:val="single"/>
          <w:lang w:eastAsia="zh-CN"/>
        </w:rPr>
        <w:tab/>
      </w:r>
      <w:r>
        <w:rPr>
          <w:rStyle w:val="31"/>
          <w:rFonts w:hint="eastAsia" w:ascii="宋体" w:hAnsi="宋体" w:eastAsia="宋体" w:cs="宋体"/>
          <w:color w:val="auto"/>
          <w:highlight w:val="none"/>
          <w:lang w:eastAsia="zh-CN"/>
        </w:rPr>
        <w:t>。</w:t>
      </w:r>
    </w:p>
    <w:p w14:paraId="49DB7C3A">
      <w:pPr>
        <w:pStyle w:val="101"/>
        <w:pageBreakBefore w:val="0"/>
        <w:widowControl w:val="0"/>
        <w:tabs>
          <w:tab w:val="left" w:pos="6303"/>
        </w:tabs>
        <w:kinsoku/>
        <w:wordWrap/>
        <w:overflowPunct/>
        <w:topLinePunct w:val="0"/>
        <w:autoSpaceDE/>
        <w:autoSpaceDN/>
        <w:bidi w:val="0"/>
        <w:adjustRightInd/>
        <w:snapToGrid/>
        <w:spacing w:line="440" w:lineRule="exact"/>
        <w:ind w:left="0" w:leftChars="0" w:firstLine="44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1.1.4.</w:t>
      </w:r>
      <w:r>
        <w:rPr>
          <w:rStyle w:val="31"/>
          <w:rFonts w:hint="eastAsia" w:ascii="宋体" w:hAnsi="宋体" w:eastAsia="宋体" w:cs="宋体"/>
          <w:color w:val="auto"/>
          <w:highlight w:val="none"/>
        </w:rPr>
        <w:t>5缺陷责任期(工程质量保修期):</w:t>
      </w:r>
      <w:r>
        <w:rPr>
          <w:rStyle w:val="31"/>
          <w:rFonts w:hint="eastAsia" w:ascii="宋体" w:hAnsi="宋体" w:eastAsia="宋体" w:cs="宋体"/>
          <w:color w:val="auto"/>
          <w:highlight w:val="none"/>
          <w:u w:val="single"/>
        </w:rPr>
        <w:t>工程通过竣工验收后</w:t>
      </w:r>
      <w:r>
        <w:rPr>
          <w:rStyle w:val="31"/>
          <w:rFonts w:hint="eastAsia" w:cs="宋体"/>
          <w:color w:val="auto"/>
          <w:highlight w:val="none"/>
          <w:u w:val="single"/>
          <w:lang w:val="en-US" w:eastAsia="zh-CN"/>
        </w:rPr>
        <w:t>12</w:t>
      </w:r>
      <w:r>
        <w:rPr>
          <w:rStyle w:val="31"/>
          <w:rFonts w:hint="eastAsia" w:ascii="宋体" w:hAnsi="宋体" w:eastAsia="宋体" w:cs="宋体"/>
          <w:color w:val="auto"/>
          <w:highlight w:val="none"/>
          <w:u w:val="single"/>
        </w:rPr>
        <w:t>个</w:t>
      </w:r>
      <w:r>
        <w:rPr>
          <w:rStyle w:val="31"/>
          <w:rFonts w:hint="eastAsia" w:ascii="宋体" w:hAnsi="宋体" w:eastAsia="宋体" w:cs="宋体"/>
          <w:color w:val="auto"/>
          <w:highlight w:val="none"/>
        </w:rPr>
        <w:t>月</w:t>
      </w:r>
      <w:r>
        <w:rPr>
          <w:rStyle w:val="31"/>
          <w:rFonts w:hint="eastAsia" w:ascii="宋体" w:hAnsi="宋体" w:eastAsia="宋体" w:cs="宋体"/>
          <w:color w:val="auto"/>
          <w:highlight w:val="none"/>
          <w:lang w:val="en-US" w:bidi="en-US"/>
        </w:rPr>
        <w:t>。</w:t>
      </w:r>
    </w:p>
    <w:p w14:paraId="7463A89E">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rPr>
      </w:pPr>
      <w:bookmarkStart w:id="1384" w:name="bookmark1586"/>
      <w:bookmarkStart w:id="1385" w:name="bookmark1588"/>
      <w:bookmarkStart w:id="1386" w:name="_Toc256000179"/>
      <w:bookmarkStart w:id="1387" w:name="_Toc256000256"/>
      <w:bookmarkStart w:id="1388" w:name="bookmark1587"/>
      <w:r>
        <w:rPr>
          <w:rStyle w:val="31"/>
          <w:rFonts w:hint="eastAsia" w:ascii="宋体" w:hAnsi="宋体" w:eastAsia="宋体" w:cs="宋体"/>
          <w:color w:val="auto"/>
          <w:sz w:val="24"/>
          <w:szCs w:val="24"/>
          <w:highlight w:val="none"/>
          <w:lang w:eastAsia="zh-CN"/>
        </w:rPr>
        <w:t>1.4合同文件的优先顺序</w:t>
      </w:r>
      <w:bookmarkEnd w:id="1384"/>
      <w:bookmarkEnd w:id="1385"/>
      <w:bookmarkEnd w:id="1386"/>
      <w:bookmarkEnd w:id="1387"/>
      <w:bookmarkEnd w:id="1388"/>
    </w:p>
    <w:p w14:paraId="1F5FC276">
      <w:pPr>
        <w:pStyle w:val="101"/>
        <w:pageBreakBefore w:val="0"/>
        <w:widowControl w:val="0"/>
        <w:kinsoku/>
        <w:wordWrap/>
        <w:overflowPunct/>
        <w:topLinePunct w:val="0"/>
        <w:autoSpaceDE/>
        <w:autoSpaceDN/>
        <w:bidi w:val="0"/>
        <w:adjustRightInd/>
        <w:snapToGrid/>
        <w:spacing w:line="440" w:lineRule="exact"/>
        <w:ind w:left="0" w:leftChars="0" w:firstLine="44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进入合同的各项文件及其优先顺序如下：</w:t>
      </w:r>
    </w:p>
    <w:p w14:paraId="44AFB280">
      <w:pPr>
        <w:pStyle w:val="101"/>
        <w:pageBreakBefore w:val="0"/>
        <w:widowControl w:val="0"/>
        <w:numPr>
          <w:ilvl w:val="0"/>
          <w:numId w:val="40"/>
        </w:numPr>
        <w:tabs>
          <w:tab w:val="left" w:pos="923"/>
        </w:tabs>
        <w:kinsoku/>
        <w:wordWrap/>
        <w:overflowPunct/>
        <w:topLinePunct w:val="0"/>
        <w:autoSpaceDE/>
        <w:autoSpaceDN/>
        <w:bidi w:val="0"/>
        <w:adjustRightInd/>
        <w:snapToGrid/>
        <w:spacing w:line="440" w:lineRule="exact"/>
        <w:ind w:left="0" w:leftChars="0" w:firstLine="440"/>
        <w:textAlignment w:val="auto"/>
        <w:rPr>
          <w:rStyle w:val="31"/>
          <w:rFonts w:hint="eastAsia" w:ascii="宋体" w:hAnsi="宋体" w:eastAsia="宋体" w:cs="宋体"/>
          <w:color w:val="auto"/>
          <w:highlight w:val="none"/>
        </w:rPr>
      </w:pPr>
      <w:bookmarkStart w:id="1389" w:name="bookmark1589"/>
      <w:bookmarkEnd w:id="1389"/>
      <w:r>
        <w:rPr>
          <w:rStyle w:val="31"/>
          <w:rFonts w:hint="eastAsia" w:ascii="宋体" w:hAnsi="宋体" w:eastAsia="宋体" w:cs="宋体"/>
          <w:color w:val="auto"/>
          <w:highlight w:val="none"/>
        </w:rPr>
        <w:t>合同协议书(包括补充协议、合同谈判备忘录)；</w:t>
      </w:r>
    </w:p>
    <w:p w14:paraId="71D89B7C">
      <w:pPr>
        <w:pStyle w:val="101"/>
        <w:pageBreakBefore w:val="0"/>
        <w:widowControl w:val="0"/>
        <w:numPr>
          <w:ilvl w:val="0"/>
          <w:numId w:val="40"/>
        </w:numPr>
        <w:tabs>
          <w:tab w:val="left" w:pos="923"/>
        </w:tabs>
        <w:kinsoku/>
        <w:wordWrap/>
        <w:overflowPunct/>
        <w:topLinePunct w:val="0"/>
        <w:autoSpaceDE/>
        <w:autoSpaceDN/>
        <w:bidi w:val="0"/>
        <w:adjustRightInd/>
        <w:snapToGrid/>
        <w:spacing w:line="440" w:lineRule="exact"/>
        <w:ind w:left="0" w:leftChars="0" w:firstLine="440"/>
        <w:textAlignment w:val="auto"/>
        <w:rPr>
          <w:rStyle w:val="31"/>
          <w:rFonts w:hint="eastAsia" w:ascii="宋体" w:hAnsi="宋体" w:eastAsia="宋体" w:cs="宋体"/>
          <w:color w:val="auto"/>
          <w:highlight w:val="none"/>
        </w:rPr>
      </w:pPr>
      <w:bookmarkStart w:id="1390" w:name="bookmark1590"/>
      <w:bookmarkEnd w:id="1390"/>
      <w:r>
        <w:rPr>
          <w:rStyle w:val="31"/>
          <w:rFonts w:hint="eastAsia" w:ascii="宋体" w:hAnsi="宋体" w:eastAsia="宋体" w:cs="宋体"/>
          <w:color w:val="auto"/>
          <w:highlight w:val="none"/>
        </w:rPr>
        <w:t>中标通知书；</w:t>
      </w:r>
    </w:p>
    <w:p w14:paraId="1999F76B">
      <w:pPr>
        <w:pStyle w:val="101"/>
        <w:pageBreakBefore w:val="0"/>
        <w:widowControl w:val="0"/>
        <w:numPr>
          <w:ilvl w:val="0"/>
          <w:numId w:val="40"/>
        </w:numPr>
        <w:tabs>
          <w:tab w:val="left" w:pos="923"/>
        </w:tabs>
        <w:kinsoku/>
        <w:wordWrap/>
        <w:overflowPunct/>
        <w:topLinePunct w:val="0"/>
        <w:autoSpaceDE/>
        <w:autoSpaceDN/>
        <w:bidi w:val="0"/>
        <w:adjustRightInd/>
        <w:snapToGrid/>
        <w:spacing w:line="440" w:lineRule="exact"/>
        <w:ind w:left="0" w:leftChars="0" w:firstLine="440"/>
        <w:textAlignment w:val="auto"/>
        <w:rPr>
          <w:rStyle w:val="31"/>
          <w:rFonts w:hint="eastAsia" w:ascii="宋体" w:hAnsi="宋体" w:eastAsia="宋体" w:cs="宋体"/>
          <w:color w:val="auto"/>
          <w:highlight w:val="none"/>
        </w:rPr>
      </w:pPr>
      <w:bookmarkStart w:id="1391" w:name="bookmark1591"/>
      <w:bookmarkEnd w:id="1391"/>
      <w:r>
        <w:rPr>
          <w:rStyle w:val="31"/>
          <w:rFonts w:hint="eastAsia" w:ascii="宋体" w:hAnsi="宋体" w:eastAsia="宋体" w:cs="宋体"/>
          <w:color w:val="auto"/>
          <w:highlight w:val="none"/>
        </w:rPr>
        <w:t>投标函及投标函附录；</w:t>
      </w:r>
    </w:p>
    <w:p w14:paraId="67F699C2">
      <w:pPr>
        <w:pStyle w:val="101"/>
        <w:pageBreakBefore w:val="0"/>
        <w:widowControl w:val="0"/>
        <w:numPr>
          <w:ilvl w:val="0"/>
          <w:numId w:val="40"/>
        </w:numPr>
        <w:tabs>
          <w:tab w:val="left" w:pos="923"/>
        </w:tabs>
        <w:kinsoku/>
        <w:wordWrap/>
        <w:overflowPunct/>
        <w:topLinePunct w:val="0"/>
        <w:autoSpaceDE/>
        <w:autoSpaceDN/>
        <w:bidi w:val="0"/>
        <w:adjustRightInd/>
        <w:snapToGrid/>
        <w:spacing w:line="440" w:lineRule="exact"/>
        <w:ind w:left="0" w:leftChars="0" w:firstLine="440"/>
        <w:textAlignment w:val="auto"/>
        <w:rPr>
          <w:rStyle w:val="31"/>
          <w:rFonts w:hint="eastAsia" w:ascii="宋体" w:hAnsi="宋体" w:eastAsia="宋体" w:cs="宋体"/>
          <w:color w:val="auto"/>
          <w:highlight w:val="none"/>
        </w:rPr>
      </w:pPr>
      <w:bookmarkStart w:id="1392" w:name="bookmark1592"/>
      <w:bookmarkEnd w:id="1392"/>
      <w:r>
        <w:rPr>
          <w:rStyle w:val="31"/>
          <w:rFonts w:hint="eastAsia" w:ascii="宋体" w:hAnsi="宋体" w:eastAsia="宋体" w:cs="宋体"/>
          <w:color w:val="auto"/>
          <w:highlight w:val="none"/>
        </w:rPr>
        <w:t>专用合同条款(含附加条款)；</w:t>
      </w:r>
    </w:p>
    <w:p w14:paraId="2C7C9EE6">
      <w:pPr>
        <w:pStyle w:val="101"/>
        <w:pageBreakBefore w:val="0"/>
        <w:widowControl w:val="0"/>
        <w:numPr>
          <w:ilvl w:val="0"/>
          <w:numId w:val="40"/>
        </w:numPr>
        <w:tabs>
          <w:tab w:val="left" w:pos="923"/>
        </w:tabs>
        <w:kinsoku/>
        <w:wordWrap/>
        <w:overflowPunct/>
        <w:topLinePunct w:val="0"/>
        <w:autoSpaceDE/>
        <w:autoSpaceDN/>
        <w:bidi w:val="0"/>
        <w:adjustRightInd/>
        <w:snapToGrid/>
        <w:spacing w:line="440" w:lineRule="exact"/>
        <w:ind w:left="0" w:leftChars="0" w:firstLine="440"/>
        <w:textAlignment w:val="auto"/>
        <w:rPr>
          <w:rStyle w:val="31"/>
          <w:rFonts w:hint="eastAsia" w:ascii="宋体" w:hAnsi="宋体" w:eastAsia="宋体" w:cs="宋体"/>
          <w:color w:val="auto"/>
          <w:highlight w:val="none"/>
        </w:rPr>
      </w:pPr>
      <w:bookmarkStart w:id="1393" w:name="bookmark1593"/>
      <w:bookmarkEnd w:id="1393"/>
      <w:r>
        <w:rPr>
          <w:rStyle w:val="31"/>
          <w:rFonts w:hint="eastAsia" w:ascii="宋体" w:hAnsi="宋体" w:eastAsia="宋体" w:cs="宋体"/>
          <w:color w:val="auto"/>
          <w:highlight w:val="none"/>
        </w:rPr>
        <w:t>通用合同条款；</w:t>
      </w:r>
    </w:p>
    <w:p w14:paraId="2D93B1DA">
      <w:pPr>
        <w:pStyle w:val="101"/>
        <w:pageBreakBefore w:val="0"/>
        <w:widowControl w:val="0"/>
        <w:numPr>
          <w:ilvl w:val="0"/>
          <w:numId w:val="40"/>
        </w:numPr>
        <w:tabs>
          <w:tab w:val="left" w:pos="923"/>
        </w:tabs>
        <w:kinsoku/>
        <w:wordWrap/>
        <w:overflowPunct/>
        <w:topLinePunct w:val="0"/>
        <w:autoSpaceDE/>
        <w:autoSpaceDN/>
        <w:bidi w:val="0"/>
        <w:adjustRightInd/>
        <w:snapToGrid/>
        <w:spacing w:line="440" w:lineRule="exact"/>
        <w:ind w:left="0" w:leftChars="0" w:firstLine="440"/>
        <w:textAlignment w:val="auto"/>
        <w:rPr>
          <w:rStyle w:val="31"/>
          <w:rFonts w:hint="eastAsia" w:ascii="宋体" w:hAnsi="宋体" w:eastAsia="宋体" w:cs="宋体"/>
          <w:color w:val="auto"/>
          <w:highlight w:val="none"/>
        </w:rPr>
      </w:pPr>
      <w:bookmarkStart w:id="1394" w:name="bookmark1594"/>
      <w:bookmarkEnd w:id="1394"/>
      <w:r>
        <w:rPr>
          <w:rStyle w:val="31"/>
          <w:rFonts w:hint="eastAsia" w:ascii="宋体" w:hAnsi="宋体" w:eastAsia="宋体" w:cs="宋体"/>
          <w:color w:val="auto"/>
          <w:highlight w:val="none"/>
        </w:rPr>
        <w:t>技术标准和要求(合同技术条款)；</w:t>
      </w:r>
    </w:p>
    <w:p w14:paraId="6B6A92B0">
      <w:pPr>
        <w:pStyle w:val="101"/>
        <w:pageBreakBefore w:val="0"/>
        <w:widowControl w:val="0"/>
        <w:numPr>
          <w:ilvl w:val="0"/>
          <w:numId w:val="40"/>
        </w:numPr>
        <w:tabs>
          <w:tab w:val="left" w:pos="923"/>
        </w:tabs>
        <w:kinsoku/>
        <w:wordWrap/>
        <w:overflowPunct/>
        <w:topLinePunct w:val="0"/>
        <w:autoSpaceDE/>
        <w:autoSpaceDN/>
        <w:bidi w:val="0"/>
        <w:adjustRightInd/>
        <w:snapToGrid/>
        <w:spacing w:line="440" w:lineRule="exact"/>
        <w:ind w:left="0" w:leftChars="0" w:firstLine="440"/>
        <w:textAlignment w:val="auto"/>
        <w:rPr>
          <w:rStyle w:val="31"/>
          <w:rFonts w:hint="eastAsia" w:ascii="宋体" w:hAnsi="宋体" w:eastAsia="宋体" w:cs="宋体"/>
          <w:color w:val="auto"/>
          <w:highlight w:val="none"/>
        </w:rPr>
      </w:pPr>
      <w:bookmarkStart w:id="1395" w:name="bookmark1595"/>
      <w:bookmarkEnd w:id="1395"/>
      <w:r>
        <w:rPr>
          <w:rStyle w:val="31"/>
          <w:rFonts w:hint="eastAsia" w:ascii="宋体" w:hAnsi="宋体" w:eastAsia="宋体" w:cs="宋体"/>
          <w:color w:val="auto"/>
          <w:highlight w:val="none"/>
        </w:rPr>
        <w:t>图纸；</w:t>
      </w:r>
    </w:p>
    <w:p w14:paraId="633DF9F1">
      <w:pPr>
        <w:pStyle w:val="101"/>
        <w:pageBreakBefore w:val="0"/>
        <w:widowControl w:val="0"/>
        <w:numPr>
          <w:ilvl w:val="0"/>
          <w:numId w:val="40"/>
        </w:numPr>
        <w:tabs>
          <w:tab w:val="left" w:pos="923"/>
        </w:tabs>
        <w:kinsoku/>
        <w:wordWrap/>
        <w:overflowPunct/>
        <w:topLinePunct w:val="0"/>
        <w:autoSpaceDE/>
        <w:autoSpaceDN/>
        <w:bidi w:val="0"/>
        <w:adjustRightInd/>
        <w:snapToGrid/>
        <w:spacing w:line="440" w:lineRule="exact"/>
        <w:ind w:left="0" w:leftChars="0" w:firstLine="440"/>
        <w:textAlignment w:val="auto"/>
        <w:rPr>
          <w:rStyle w:val="31"/>
          <w:rFonts w:hint="eastAsia" w:ascii="宋体" w:hAnsi="宋体" w:eastAsia="宋体" w:cs="宋体"/>
          <w:color w:val="auto"/>
          <w:highlight w:val="none"/>
        </w:rPr>
      </w:pPr>
      <w:bookmarkStart w:id="1396" w:name="bookmark1596"/>
      <w:bookmarkEnd w:id="1396"/>
      <w:r>
        <w:rPr>
          <w:rStyle w:val="31"/>
          <w:rFonts w:hint="eastAsia" w:ascii="宋体" w:hAnsi="宋体" w:eastAsia="宋体" w:cs="宋体"/>
          <w:color w:val="auto"/>
          <w:highlight w:val="none"/>
        </w:rPr>
        <w:t>已标价工程量清单；</w:t>
      </w:r>
    </w:p>
    <w:p w14:paraId="6F41B979">
      <w:pPr>
        <w:pStyle w:val="101"/>
        <w:pageBreakBefore w:val="0"/>
        <w:widowControl w:val="0"/>
        <w:numPr>
          <w:ilvl w:val="0"/>
          <w:numId w:val="40"/>
        </w:numPr>
        <w:tabs>
          <w:tab w:val="left" w:pos="923"/>
        </w:tabs>
        <w:kinsoku/>
        <w:wordWrap/>
        <w:overflowPunct/>
        <w:topLinePunct w:val="0"/>
        <w:autoSpaceDE/>
        <w:autoSpaceDN/>
        <w:bidi w:val="0"/>
        <w:adjustRightInd/>
        <w:snapToGrid/>
        <w:spacing w:line="440" w:lineRule="exact"/>
        <w:ind w:left="0" w:leftChars="0" w:firstLine="440"/>
        <w:textAlignment w:val="auto"/>
        <w:rPr>
          <w:rStyle w:val="31"/>
          <w:rFonts w:hint="eastAsia" w:ascii="宋体" w:hAnsi="宋体" w:eastAsia="宋体" w:cs="宋体"/>
          <w:color w:val="auto"/>
          <w:highlight w:val="none"/>
        </w:rPr>
      </w:pPr>
      <w:bookmarkStart w:id="1397" w:name="bookmark1597"/>
      <w:bookmarkEnd w:id="1397"/>
      <w:r>
        <w:rPr>
          <w:rStyle w:val="31"/>
          <w:rFonts w:hint="eastAsia" w:ascii="宋体" w:hAnsi="宋体" w:eastAsia="宋体" w:cs="宋体"/>
          <w:color w:val="auto"/>
          <w:highlight w:val="none"/>
        </w:rPr>
        <w:t>投标文件其他内容；</w:t>
      </w:r>
    </w:p>
    <w:p w14:paraId="0E7DA269">
      <w:pPr>
        <w:pStyle w:val="101"/>
        <w:pageBreakBefore w:val="0"/>
        <w:widowControl w:val="0"/>
        <w:numPr>
          <w:ilvl w:val="0"/>
          <w:numId w:val="40"/>
        </w:numPr>
        <w:tabs>
          <w:tab w:val="left" w:pos="1026"/>
        </w:tabs>
        <w:kinsoku/>
        <w:wordWrap/>
        <w:overflowPunct/>
        <w:topLinePunct w:val="0"/>
        <w:autoSpaceDE/>
        <w:autoSpaceDN/>
        <w:bidi w:val="0"/>
        <w:adjustRightInd/>
        <w:snapToGrid/>
        <w:spacing w:line="440" w:lineRule="exact"/>
        <w:ind w:left="0" w:leftChars="0" w:firstLine="440"/>
        <w:textAlignment w:val="auto"/>
        <w:rPr>
          <w:rStyle w:val="31"/>
          <w:rFonts w:hint="eastAsia" w:ascii="宋体" w:hAnsi="宋体" w:eastAsia="宋体" w:cs="宋体"/>
          <w:color w:val="auto"/>
          <w:highlight w:val="none"/>
        </w:rPr>
      </w:pPr>
      <w:bookmarkStart w:id="1398" w:name="bookmark1598"/>
      <w:bookmarkEnd w:id="1398"/>
      <w:r>
        <w:rPr>
          <w:rStyle w:val="31"/>
          <w:rFonts w:hint="eastAsia" w:ascii="宋体" w:hAnsi="宋体" w:eastAsia="宋体" w:cs="宋体"/>
          <w:color w:val="auto"/>
          <w:highlight w:val="none"/>
        </w:rPr>
        <w:t>其他合同文件。</w:t>
      </w:r>
    </w:p>
    <w:p w14:paraId="3E8D5DB4">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rPr>
      </w:pPr>
      <w:bookmarkStart w:id="1399" w:name="bookmark1600"/>
      <w:bookmarkStart w:id="1400" w:name="_Toc256000180"/>
      <w:bookmarkStart w:id="1401" w:name="bookmark1599"/>
      <w:bookmarkStart w:id="1402" w:name="bookmark1601"/>
      <w:bookmarkStart w:id="1403" w:name="_Toc256000257"/>
      <w:r>
        <w:rPr>
          <w:rStyle w:val="31"/>
          <w:rFonts w:hint="eastAsia" w:ascii="宋体" w:hAnsi="宋体" w:eastAsia="宋体" w:cs="宋体"/>
          <w:color w:val="auto"/>
          <w:sz w:val="24"/>
          <w:szCs w:val="24"/>
          <w:highlight w:val="none"/>
          <w:lang w:eastAsia="zh-CN"/>
        </w:rPr>
        <w:t>1.7联络</w:t>
      </w:r>
      <w:bookmarkEnd w:id="1399"/>
      <w:bookmarkEnd w:id="1400"/>
      <w:bookmarkEnd w:id="1401"/>
      <w:bookmarkEnd w:id="1402"/>
      <w:bookmarkEnd w:id="1403"/>
    </w:p>
    <w:p w14:paraId="681C9A97">
      <w:pPr>
        <w:pStyle w:val="101"/>
        <w:pageBreakBefore w:val="0"/>
        <w:widowControl w:val="0"/>
        <w:tabs>
          <w:tab w:val="left" w:pos="2074"/>
        </w:tabs>
        <w:kinsoku/>
        <w:wordWrap/>
        <w:overflowPunct/>
        <w:topLinePunct w:val="0"/>
        <w:autoSpaceDE/>
        <w:autoSpaceDN/>
        <w:bidi w:val="0"/>
        <w:adjustRightInd/>
        <w:snapToGrid/>
        <w:spacing w:line="440" w:lineRule="exact"/>
        <w:ind w:left="0" w:leftChars="0" w:firstLine="46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1.7.2</w:t>
      </w:r>
      <w:r>
        <w:rPr>
          <w:rStyle w:val="31"/>
          <w:rFonts w:hint="eastAsia" w:ascii="宋体" w:hAnsi="宋体" w:eastAsia="宋体" w:cs="宋体"/>
          <w:color w:val="auto"/>
          <w:highlight w:val="none"/>
        </w:rPr>
        <w:t>来往函件均应按技术标准和要求(合同技术条款)约定的期限送</w:t>
      </w:r>
      <w:r>
        <w:rPr>
          <w:rStyle w:val="31"/>
          <w:rFonts w:hint="eastAsia" w:ascii="宋体" w:hAnsi="宋体" w:eastAsia="宋体" w:cs="宋体"/>
          <w:color w:val="auto"/>
          <w:highlight w:val="none"/>
          <w:u w:val="single"/>
          <w:lang w:eastAsia="zh-CN"/>
        </w:rPr>
        <w:t>南宁市武鸣区水利工程服务站</w:t>
      </w:r>
      <w:r>
        <w:rPr>
          <w:rStyle w:val="31"/>
          <w:rFonts w:hint="eastAsia" w:ascii="宋体" w:hAnsi="宋体" w:eastAsia="宋体" w:cs="宋体"/>
          <w:color w:val="auto"/>
          <w:highlight w:val="none"/>
          <w:lang w:val="en-US" w:bidi="en-US"/>
        </w:rPr>
        <w:t>。</w:t>
      </w:r>
    </w:p>
    <w:p w14:paraId="721B73A5">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highlight w:val="none"/>
          <w:lang w:eastAsia="zh-CN"/>
        </w:rPr>
      </w:pPr>
      <w:bookmarkStart w:id="1404" w:name="bookmark1604"/>
      <w:bookmarkEnd w:id="1404"/>
      <w:bookmarkStart w:id="1405" w:name="_Toc256000258"/>
      <w:bookmarkStart w:id="1406" w:name="bookmark1603"/>
      <w:bookmarkStart w:id="1407" w:name="bookmark1605"/>
      <w:bookmarkStart w:id="1408" w:name="_Toc7249"/>
      <w:bookmarkStart w:id="1409" w:name="_Toc27866"/>
      <w:bookmarkStart w:id="1410" w:name="_Toc21193"/>
      <w:bookmarkStart w:id="1411" w:name="_Toc256000181"/>
      <w:bookmarkStart w:id="1412" w:name="bookmark1602"/>
      <w:r>
        <w:rPr>
          <w:rStyle w:val="31"/>
          <w:rFonts w:hint="eastAsia" w:ascii="宋体" w:hAnsi="宋体" w:eastAsia="宋体" w:cs="宋体"/>
          <w:color w:val="auto"/>
          <w:highlight w:val="none"/>
          <w:lang w:eastAsia="zh-CN"/>
        </w:rPr>
        <w:t>2. 发包人义务</w:t>
      </w:r>
      <w:bookmarkEnd w:id="1405"/>
      <w:bookmarkEnd w:id="1406"/>
      <w:bookmarkEnd w:id="1407"/>
      <w:bookmarkEnd w:id="1408"/>
      <w:bookmarkEnd w:id="1409"/>
      <w:bookmarkEnd w:id="1410"/>
      <w:bookmarkEnd w:id="1411"/>
      <w:bookmarkEnd w:id="1412"/>
    </w:p>
    <w:p w14:paraId="2DF91E06">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413" w:name="_Toc256000259"/>
      <w:bookmarkStart w:id="1414" w:name="bookmark1606"/>
      <w:bookmarkStart w:id="1415" w:name="bookmark1607"/>
      <w:bookmarkStart w:id="1416" w:name="bookmark1608"/>
      <w:bookmarkStart w:id="1417" w:name="_Toc256000182"/>
      <w:r>
        <w:rPr>
          <w:rStyle w:val="31"/>
          <w:rFonts w:hint="eastAsia" w:ascii="宋体" w:hAnsi="宋体" w:eastAsia="宋体" w:cs="宋体"/>
          <w:color w:val="auto"/>
          <w:sz w:val="24"/>
          <w:szCs w:val="24"/>
          <w:highlight w:val="none"/>
          <w:lang w:eastAsia="zh-CN" w:bidi="en-US"/>
        </w:rPr>
        <w:t>2.3提供施工场地</w:t>
      </w:r>
      <w:bookmarkEnd w:id="1413"/>
      <w:bookmarkEnd w:id="1414"/>
      <w:bookmarkEnd w:id="1415"/>
      <w:bookmarkEnd w:id="1416"/>
      <w:bookmarkEnd w:id="1417"/>
    </w:p>
    <w:p w14:paraId="05141C00">
      <w:pPr>
        <w:pStyle w:val="101"/>
        <w:pageBreakBefore w:val="0"/>
        <w:widowControl w:val="0"/>
        <w:tabs>
          <w:tab w:val="left" w:pos="8265"/>
        </w:tabs>
        <w:kinsoku/>
        <w:wordWrap/>
        <w:overflowPunct/>
        <w:topLinePunct w:val="0"/>
        <w:autoSpaceDE/>
        <w:autoSpaceDN/>
        <w:bidi w:val="0"/>
        <w:adjustRightInd/>
        <w:snapToGrid/>
        <w:spacing w:line="440" w:lineRule="exact"/>
        <w:ind w:left="0" w:leftChars="0" w:firstLine="46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2.3.2</w:t>
      </w:r>
      <w:r>
        <w:rPr>
          <w:rStyle w:val="31"/>
          <w:rFonts w:hint="eastAsia" w:ascii="宋体" w:hAnsi="宋体" w:eastAsia="宋体" w:cs="宋体"/>
          <w:color w:val="auto"/>
          <w:highlight w:val="none"/>
        </w:rPr>
        <w:t>发包人提供的施工场地范围为：</w:t>
      </w:r>
      <w:r>
        <w:rPr>
          <w:rStyle w:val="31"/>
          <w:rFonts w:hint="eastAsia" w:ascii="宋体" w:hAnsi="宋体" w:eastAsia="宋体" w:cs="宋体"/>
          <w:color w:val="auto"/>
          <w:highlight w:val="none"/>
          <w:u w:val="single"/>
        </w:rPr>
        <w:t>发包人负责办理工地范围内的征地、拆迁和移民等有关手续，向承包人提供施工用地</w:t>
      </w:r>
      <w:r>
        <w:rPr>
          <w:rStyle w:val="31"/>
          <w:rFonts w:hint="eastAsia" w:ascii="宋体" w:hAnsi="宋体" w:eastAsia="宋体" w:cs="宋体"/>
          <w:color w:val="auto"/>
          <w:highlight w:val="none"/>
        </w:rPr>
        <w:t xml:space="preserve"> </w:t>
      </w:r>
      <w:r>
        <w:rPr>
          <w:rStyle w:val="31"/>
          <w:rFonts w:hint="eastAsia" w:ascii="宋体" w:hAnsi="宋体" w:eastAsia="宋体" w:cs="宋体"/>
          <w:color w:val="auto"/>
          <w:highlight w:val="none"/>
          <w:lang w:val="en-US" w:bidi="en-US"/>
        </w:rPr>
        <w:t>。</w:t>
      </w:r>
    </w:p>
    <w:p w14:paraId="5FD27212">
      <w:pPr>
        <w:pStyle w:val="101"/>
        <w:pageBreakBefore w:val="0"/>
        <w:widowControl w:val="0"/>
        <w:tabs>
          <w:tab w:val="left" w:pos="8227"/>
        </w:tabs>
        <w:kinsoku/>
        <w:wordWrap/>
        <w:overflowPunct/>
        <w:topLinePunct w:val="0"/>
        <w:autoSpaceDE/>
        <w:autoSpaceDN/>
        <w:bidi w:val="0"/>
        <w:adjustRightInd/>
        <w:snapToGrid/>
        <w:spacing w:line="440" w:lineRule="exact"/>
        <w:ind w:left="0" w:leftChars="0" w:firstLine="460"/>
        <w:textAlignment w:val="auto"/>
        <w:rPr>
          <w:rStyle w:val="31"/>
          <w:rFonts w:hint="eastAsia" w:ascii="宋体" w:hAnsi="宋体" w:eastAsia="宋体" w:cs="宋体"/>
          <w:color w:val="auto"/>
          <w:highlight w:val="none"/>
          <w:lang w:val="en-US" w:bidi="en-US"/>
        </w:rPr>
      </w:pPr>
      <w:r>
        <w:rPr>
          <w:rStyle w:val="31"/>
          <w:rFonts w:hint="eastAsia" w:ascii="宋体" w:hAnsi="宋体" w:eastAsia="宋体" w:cs="宋体"/>
          <w:color w:val="auto"/>
          <w:highlight w:val="none"/>
          <w:lang w:val="en-US" w:bidi="en-US"/>
        </w:rPr>
        <w:t>2.3.3发包人应在开工前14天内，向承包人提供与施工现场相关的工程地质和地下管线资料，对资料的真实准确性负责。但发包人对承包人在使用上述资料时所作的分析、判断和推论不承担责任。发包人负责协调处理施工场地周围地下管线和邻近建筑物、构筑物的保护工作，并协助解决对承包人施工有干扰的外部条件。</w:t>
      </w:r>
    </w:p>
    <w:p w14:paraId="5BC4F274">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418" w:name="_Toc256000183"/>
      <w:bookmarkStart w:id="1419" w:name="_Toc256000260"/>
      <w:r>
        <w:rPr>
          <w:rStyle w:val="31"/>
          <w:rFonts w:hint="eastAsia" w:ascii="宋体" w:hAnsi="宋体" w:eastAsia="宋体" w:cs="宋体"/>
          <w:color w:val="auto"/>
          <w:sz w:val="24"/>
          <w:szCs w:val="24"/>
          <w:highlight w:val="none"/>
          <w:lang w:eastAsia="zh-CN" w:bidi="en-US"/>
        </w:rPr>
        <w:t>2.8其它义务</w:t>
      </w:r>
      <w:bookmarkEnd w:id="1418"/>
      <w:bookmarkEnd w:id="1419"/>
    </w:p>
    <w:p w14:paraId="4A1485A6">
      <w:pPr>
        <w:pStyle w:val="101"/>
        <w:keepNext w:val="0"/>
        <w:keepLines w:val="0"/>
        <w:pageBreakBefore w:val="0"/>
        <w:widowControl w:val="0"/>
        <w:tabs>
          <w:tab w:val="left" w:pos="8227"/>
        </w:tabs>
        <w:kinsoku/>
        <w:wordWrap/>
        <w:overflowPunct/>
        <w:topLinePunct w:val="0"/>
        <w:autoSpaceDE/>
        <w:autoSpaceDN/>
        <w:bidi w:val="0"/>
        <w:adjustRightInd/>
        <w:snapToGrid/>
        <w:spacing w:line="440" w:lineRule="exact"/>
        <w:ind w:left="0" w:leftChars="0" w:firstLine="459"/>
        <w:textAlignment w:val="auto"/>
        <w:rPr>
          <w:rStyle w:val="31"/>
          <w:rFonts w:hint="eastAsia" w:ascii="宋体" w:hAnsi="宋体" w:eastAsia="宋体" w:cs="宋体"/>
          <w:color w:val="auto"/>
          <w:highlight w:val="none"/>
          <w:lang w:val="en-US" w:bidi="en-US"/>
        </w:rPr>
      </w:pPr>
      <w:bookmarkStart w:id="1420" w:name="bookmark1609"/>
      <w:bookmarkEnd w:id="1420"/>
      <w:bookmarkStart w:id="1421" w:name="bookmark1614"/>
      <w:bookmarkEnd w:id="1421"/>
      <w:bookmarkStart w:id="1422" w:name="_Toc32577"/>
      <w:bookmarkStart w:id="1423" w:name="bookmark1615"/>
      <w:bookmarkStart w:id="1424" w:name="_Toc5847"/>
      <w:bookmarkStart w:id="1425" w:name="_Toc12839"/>
      <w:bookmarkStart w:id="1426" w:name="_Toc6637"/>
      <w:bookmarkStart w:id="1427" w:name="bookmark1613"/>
      <w:bookmarkStart w:id="1428" w:name="bookmark1612"/>
      <w:r>
        <w:rPr>
          <w:rStyle w:val="31"/>
          <w:rFonts w:hint="eastAsia" w:ascii="宋体" w:hAnsi="宋体" w:eastAsia="宋体" w:cs="宋体"/>
          <w:color w:val="auto"/>
          <w:highlight w:val="none"/>
          <w:lang w:val="en-US" w:bidi="en-US"/>
        </w:rPr>
        <w:t>2.8.1执行农民工工资保证金制度，缴纳农民工工资保证金（适用于在本自治区行政区域内施工的所有水利水电工程项目）根据《国务院办公厅关于全面治理拖欠农民工工资问题的意见》（国办发〔2016〕1号）和《广西壮族自治区人民政府办公厅关于全面治理拖欠农民工工资问题的实施意见》（桂政办发〔2016〕113号）精神，承包人在办理工程项目开工手续前必须履行以下义务:</w:t>
      </w:r>
      <w:bookmarkEnd w:id="1422"/>
    </w:p>
    <w:p w14:paraId="7C247D14">
      <w:pPr>
        <w:pStyle w:val="101"/>
        <w:keepNext w:val="0"/>
        <w:keepLines w:val="0"/>
        <w:pageBreakBefore w:val="0"/>
        <w:widowControl w:val="0"/>
        <w:tabs>
          <w:tab w:val="left" w:pos="8227"/>
        </w:tabs>
        <w:kinsoku/>
        <w:wordWrap/>
        <w:overflowPunct/>
        <w:topLinePunct w:val="0"/>
        <w:autoSpaceDE/>
        <w:autoSpaceDN/>
        <w:bidi w:val="0"/>
        <w:adjustRightInd/>
        <w:snapToGrid/>
        <w:spacing w:line="440" w:lineRule="exact"/>
        <w:ind w:left="0" w:leftChars="0" w:firstLine="459"/>
        <w:textAlignment w:val="auto"/>
        <w:rPr>
          <w:rStyle w:val="31"/>
          <w:rFonts w:hint="eastAsia" w:ascii="宋体" w:hAnsi="宋体" w:eastAsia="宋体" w:cs="宋体"/>
          <w:color w:val="auto"/>
          <w:highlight w:val="none"/>
          <w:lang w:val="en-US" w:bidi="en-US"/>
        </w:rPr>
      </w:pPr>
      <w:bookmarkStart w:id="1429" w:name="_Toc29388"/>
      <w:r>
        <w:rPr>
          <w:rStyle w:val="31"/>
          <w:rFonts w:hint="eastAsia" w:ascii="宋体" w:hAnsi="宋体" w:eastAsia="宋体" w:cs="宋体"/>
          <w:color w:val="auto"/>
          <w:highlight w:val="none"/>
          <w:lang w:val="en-US" w:bidi="en-US"/>
        </w:rPr>
        <w:t>（1）按以下标准由承包人开设农民工工资保证金专户并足额存入农民工工资保证金：工程项目中标价(合同价)1000万元(含1000万元)以下的，按2%计算；超过1000万元部分，按1%计算。</w:t>
      </w:r>
      <w:bookmarkEnd w:id="1429"/>
    </w:p>
    <w:p w14:paraId="3EF5FB0A">
      <w:pPr>
        <w:pStyle w:val="101"/>
        <w:keepNext w:val="0"/>
        <w:keepLines w:val="0"/>
        <w:pageBreakBefore w:val="0"/>
        <w:widowControl w:val="0"/>
        <w:tabs>
          <w:tab w:val="left" w:pos="8227"/>
        </w:tabs>
        <w:kinsoku/>
        <w:wordWrap/>
        <w:overflowPunct/>
        <w:topLinePunct w:val="0"/>
        <w:autoSpaceDE/>
        <w:autoSpaceDN/>
        <w:bidi w:val="0"/>
        <w:adjustRightInd/>
        <w:snapToGrid/>
        <w:spacing w:line="440" w:lineRule="exact"/>
        <w:ind w:left="0" w:leftChars="0" w:firstLine="459"/>
        <w:textAlignment w:val="auto"/>
        <w:rPr>
          <w:rStyle w:val="31"/>
          <w:rFonts w:hint="eastAsia" w:ascii="宋体" w:hAnsi="宋体" w:eastAsia="宋体" w:cs="宋体"/>
          <w:color w:val="auto"/>
          <w:highlight w:val="none"/>
          <w:lang w:val="en-US" w:bidi="en-US"/>
        </w:rPr>
      </w:pPr>
      <w:bookmarkStart w:id="1430" w:name="_Toc654"/>
      <w:r>
        <w:rPr>
          <w:rStyle w:val="31"/>
          <w:rFonts w:hint="eastAsia" w:ascii="宋体" w:hAnsi="宋体" w:eastAsia="宋体" w:cs="宋体"/>
          <w:color w:val="auto"/>
          <w:highlight w:val="none"/>
          <w:lang w:val="en-US" w:bidi="en-US"/>
        </w:rPr>
        <w:t>（2）承诺一旦其出现拖欠农民工工资时，可由农民工工资保证金专户从工资保证金中先予垫支。</w:t>
      </w:r>
      <w:bookmarkEnd w:id="1430"/>
    </w:p>
    <w:p w14:paraId="515385BE">
      <w:pPr>
        <w:pStyle w:val="101"/>
        <w:keepNext w:val="0"/>
        <w:keepLines w:val="0"/>
        <w:pageBreakBefore w:val="0"/>
        <w:widowControl w:val="0"/>
        <w:tabs>
          <w:tab w:val="left" w:pos="8227"/>
        </w:tabs>
        <w:kinsoku/>
        <w:wordWrap/>
        <w:overflowPunct/>
        <w:topLinePunct w:val="0"/>
        <w:autoSpaceDE/>
        <w:autoSpaceDN/>
        <w:bidi w:val="0"/>
        <w:adjustRightInd/>
        <w:snapToGrid/>
        <w:spacing w:line="440" w:lineRule="exact"/>
        <w:ind w:left="0" w:leftChars="0" w:firstLine="459"/>
        <w:textAlignment w:val="auto"/>
        <w:rPr>
          <w:rStyle w:val="31"/>
          <w:rFonts w:hint="eastAsia" w:ascii="宋体" w:hAnsi="宋体" w:eastAsia="宋体" w:cs="宋体"/>
          <w:color w:val="auto"/>
          <w:highlight w:val="none"/>
          <w:lang w:val="en-US" w:bidi="en-US"/>
        </w:rPr>
      </w:pPr>
      <w:bookmarkStart w:id="1431" w:name="_Toc1301"/>
      <w:r>
        <w:rPr>
          <w:rStyle w:val="31"/>
          <w:rFonts w:hint="eastAsia" w:ascii="宋体" w:hAnsi="宋体" w:eastAsia="宋体" w:cs="宋体"/>
          <w:color w:val="auto"/>
          <w:highlight w:val="none"/>
          <w:lang w:val="en-US" w:bidi="en-US"/>
        </w:rPr>
        <w:t>（3）发包人应当根据上述作出的义务、持存入农民工工资保证金的银行凭证到劳动保障部门报备。由劳动保障部门出具备案证明后到水利部门办理开工手续。</w:t>
      </w:r>
      <w:bookmarkEnd w:id="1431"/>
    </w:p>
    <w:p w14:paraId="71318CF1">
      <w:pPr>
        <w:pStyle w:val="101"/>
        <w:pageBreakBefore w:val="0"/>
        <w:widowControl w:val="0"/>
        <w:tabs>
          <w:tab w:val="left" w:pos="8227"/>
        </w:tabs>
        <w:kinsoku/>
        <w:wordWrap/>
        <w:overflowPunct/>
        <w:topLinePunct w:val="0"/>
        <w:autoSpaceDE/>
        <w:autoSpaceDN/>
        <w:bidi w:val="0"/>
        <w:adjustRightInd/>
        <w:snapToGrid/>
        <w:spacing w:line="440" w:lineRule="exact"/>
        <w:ind w:left="0" w:leftChars="0" w:firstLine="460"/>
        <w:textAlignment w:val="auto"/>
        <w:rPr>
          <w:rStyle w:val="31"/>
          <w:rFonts w:hint="eastAsia" w:ascii="宋体" w:hAnsi="宋体" w:eastAsia="宋体" w:cs="宋体"/>
          <w:color w:val="auto"/>
          <w:highlight w:val="none"/>
          <w:lang w:val="en-US" w:bidi="en-US"/>
        </w:rPr>
      </w:pPr>
      <w:r>
        <w:rPr>
          <w:rStyle w:val="31"/>
          <w:rFonts w:hint="eastAsia" w:ascii="宋体" w:hAnsi="宋体" w:eastAsia="宋体" w:cs="宋体"/>
          <w:b/>
          <w:bCs/>
          <w:color w:val="auto"/>
          <w:highlight w:val="none"/>
          <w:lang w:val="en-US" w:eastAsia="zh-CN" w:bidi="en-US"/>
        </w:rPr>
        <w:t>（4）</w:t>
      </w:r>
      <w:r>
        <w:rPr>
          <w:rStyle w:val="31"/>
          <w:rFonts w:hint="eastAsia" w:ascii="宋体" w:hAnsi="宋体" w:eastAsia="宋体" w:cs="宋体"/>
          <w:b/>
          <w:bCs/>
          <w:color w:val="auto"/>
          <w:highlight w:val="none"/>
          <w:lang w:val="en-US" w:bidi="en-US"/>
        </w:rPr>
        <w:t>发包人应根据核准的承包人每月上报的已完工程量，将劳务人员工资按已完工程量的20%向承包人开设的农民工工资支付专用账户拨付农民工工资。农民工工资专户必须专款专用，除发放农民工工资外，不得用于其他用途，不能提取现金。发包人未按规定按时足额将农民工工资存入农民工工资支付专用账户，造成拖欠问题的，负主要责任；承包人未按规定支付农民工工资，造成拖欠问题的，负主要责任。</w:t>
      </w:r>
    </w:p>
    <w:p w14:paraId="6BFF2BBE">
      <w:pPr>
        <w:pStyle w:val="101"/>
        <w:pageBreakBefore w:val="0"/>
        <w:widowControl w:val="0"/>
        <w:tabs>
          <w:tab w:val="left" w:pos="8227"/>
        </w:tabs>
        <w:kinsoku/>
        <w:wordWrap/>
        <w:overflowPunct/>
        <w:topLinePunct w:val="0"/>
        <w:autoSpaceDE/>
        <w:autoSpaceDN/>
        <w:bidi w:val="0"/>
        <w:adjustRightInd/>
        <w:snapToGrid/>
        <w:spacing w:line="440" w:lineRule="exact"/>
        <w:ind w:left="0" w:leftChars="0" w:firstLine="460"/>
        <w:textAlignment w:val="auto"/>
        <w:rPr>
          <w:rStyle w:val="31"/>
          <w:rFonts w:hint="eastAsia" w:ascii="宋体" w:hAnsi="宋体" w:eastAsia="宋体" w:cs="宋体"/>
          <w:color w:val="auto"/>
          <w:highlight w:val="none"/>
          <w:lang w:val="en-US" w:bidi="en-US"/>
        </w:rPr>
      </w:pPr>
      <w:bookmarkStart w:id="1432" w:name="_Toc6156"/>
      <w:r>
        <w:rPr>
          <w:rStyle w:val="31"/>
          <w:rFonts w:hint="eastAsia" w:ascii="宋体" w:hAnsi="宋体" w:eastAsia="宋体" w:cs="宋体"/>
          <w:color w:val="auto"/>
          <w:highlight w:val="none"/>
          <w:lang w:val="en-US" w:bidi="en-US"/>
        </w:rPr>
        <w:t>2.8.2其他未尽事宜待签订施工合同时双方再协商。</w:t>
      </w:r>
      <w:bookmarkEnd w:id="1432"/>
    </w:p>
    <w:p w14:paraId="373E850B">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highlight w:val="none"/>
          <w:lang w:eastAsia="zh-CN"/>
        </w:rPr>
      </w:pPr>
      <w:bookmarkStart w:id="1433" w:name="_Toc256000184"/>
      <w:bookmarkStart w:id="1434" w:name="_Toc256000261"/>
      <w:r>
        <w:rPr>
          <w:rStyle w:val="31"/>
          <w:rFonts w:hint="eastAsia" w:ascii="宋体" w:hAnsi="宋体" w:eastAsia="宋体" w:cs="宋体"/>
          <w:color w:val="auto"/>
          <w:highlight w:val="none"/>
          <w:lang w:eastAsia="zh-CN"/>
        </w:rPr>
        <w:t>3. 监理人</w:t>
      </w:r>
      <w:bookmarkEnd w:id="1423"/>
      <w:bookmarkEnd w:id="1424"/>
      <w:bookmarkEnd w:id="1425"/>
      <w:bookmarkEnd w:id="1426"/>
      <w:bookmarkEnd w:id="1433"/>
      <w:bookmarkEnd w:id="1434"/>
    </w:p>
    <w:p w14:paraId="10196B59">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435" w:name="_Toc256000185"/>
      <w:bookmarkStart w:id="1436" w:name="_Toc256000262"/>
      <w:bookmarkStart w:id="1437" w:name="bookmark1616"/>
      <w:r>
        <w:rPr>
          <w:rStyle w:val="31"/>
          <w:rFonts w:hint="eastAsia" w:ascii="宋体" w:hAnsi="宋体" w:eastAsia="宋体" w:cs="宋体"/>
          <w:color w:val="auto"/>
          <w:sz w:val="24"/>
          <w:szCs w:val="24"/>
          <w:highlight w:val="none"/>
          <w:lang w:eastAsia="zh-CN" w:bidi="en-US"/>
        </w:rPr>
        <w:t>3.1监理人的职责和权力</w:t>
      </w:r>
      <w:bookmarkEnd w:id="1427"/>
      <w:bookmarkEnd w:id="1428"/>
      <w:bookmarkEnd w:id="1435"/>
      <w:bookmarkEnd w:id="1436"/>
      <w:bookmarkEnd w:id="1437"/>
    </w:p>
    <w:p w14:paraId="211EA0BB">
      <w:pPr>
        <w:pStyle w:val="101"/>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3.1.1</w:t>
      </w:r>
      <w:r>
        <w:rPr>
          <w:rStyle w:val="31"/>
          <w:rFonts w:hint="eastAsia" w:ascii="宋体" w:hAnsi="宋体" w:eastAsia="宋体" w:cs="宋体"/>
          <w:color w:val="auto"/>
          <w:highlight w:val="none"/>
        </w:rPr>
        <w:t>监理人须根据发包人事先批准的权力范围行使权力，发包人批准的权力范围： 按本工程委托监理合同。</w:t>
      </w:r>
    </w:p>
    <w:p w14:paraId="7A9CB769">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highlight w:val="none"/>
          <w:lang w:eastAsia="zh-CN"/>
        </w:rPr>
      </w:pPr>
      <w:bookmarkStart w:id="1438" w:name="bookmark1619"/>
      <w:bookmarkEnd w:id="1438"/>
      <w:bookmarkStart w:id="1439" w:name="_Toc23429"/>
      <w:bookmarkStart w:id="1440" w:name="bookmark1620"/>
      <w:bookmarkStart w:id="1441" w:name="_Toc4014"/>
      <w:bookmarkStart w:id="1442" w:name="_Toc256000186"/>
      <w:bookmarkStart w:id="1443" w:name="_Toc239"/>
      <w:bookmarkStart w:id="1444" w:name="_Toc256000263"/>
      <w:bookmarkStart w:id="1445" w:name="bookmark1617"/>
      <w:bookmarkStart w:id="1446" w:name="bookmark1618"/>
      <w:r>
        <w:rPr>
          <w:rStyle w:val="31"/>
          <w:rFonts w:hint="eastAsia" w:ascii="宋体" w:hAnsi="宋体" w:eastAsia="宋体" w:cs="宋体"/>
          <w:color w:val="auto"/>
          <w:highlight w:val="none"/>
          <w:lang w:eastAsia="zh-CN"/>
        </w:rPr>
        <w:t>4. 承包人</w:t>
      </w:r>
      <w:bookmarkEnd w:id="1439"/>
      <w:bookmarkEnd w:id="1440"/>
      <w:bookmarkEnd w:id="1441"/>
      <w:bookmarkEnd w:id="1442"/>
      <w:bookmarkEnd w:id="1443"/>
      <w:bookmarkEnd w:id="1444"/>
    </w:p>
    <w:p w14:paraId="106EC955">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447" w:name="_Toc256000187"/>
      <w:bookmarkStart w:id="1448" w:name="bookmark1621"/>
      <w:bookmarkStart w:id="1449" w:name="_Toc256000264"/>
      <w:r>
        <w:rPr>
          <w:rStyle w:val="31"/>
          <w:rFonts w:hint="eastAsia" w:ascii="宋体" w:hAnsi="宋体" w:eastAsia="宋体" w:cs="宋体"/>
          <w:color w:val="auto"/>
          <w:sz w:val="24"/>
          <w:szCs w:val="24"/>
          <w:highlight w:val="none"/>
          <w:lang w:eastAsia="zh-CN" w:bidi="en-US"/>
        </w:rPr>
        <w:t>4.1承包人的一般义务</w:t>
      </w:r>
      <w:bookmarkEnd w:id="1445"/>
      <w:bookmarkEnd w:id="1446"/>
      <w:bookmarkEnd w:id="1447"/>
      <w:bookmarkEnd w:id="1448"/>
      <w:bookmarkEnd w:id="1449"/>
    </w:p>
    <w:p w14:paraId="34F2B37B">
      <w:pPr>
        <w:pStyle w:val="100"/>
        <w:pageBreakBefore w:val="0"/>
        <w:widowControl w:val="0"/>
        <w:kinsoku/>
        <w:wordWrap/>
        <w:overflowPunct/>
        <w:topLinePunct w:val="0"/>
        <w:autoSpaceDE/>
        <w:autoSpaceDN/>
        <w:bidi w:val="0"/>
        <w:adjustRightInd/>
        <w:snapToGrid/>
        <w:spacing w:line="440" w:lineRule="exact"/>
        <w:ind w:left="0" w:leftChars="0" w:firstLine="400" w:firstLineChars="200"/>
        <w:textAlignment w:val="auto"/>
        <w:rPr>
          <w:rStyle w:val="31"/>
          <w:rFonts w:hint="eastAsia" w:ascii="宋体" w:hAnsi="宋体" w:eastAsia="宋体" w:cs="宋体"/>
          <w:color w:val="auto"/>
          <w:sz w:val="20"/>
          <w:szCs w:val="20"/>
          <w:highlight w:val="none"/>
          <w:lang w:eastAsia="zh-CN"/>
        </w:rPr>
      </w:pPr>
      <w:bookmarkStart w:id="1450" w:name="bookmark1622"/>
      <w:bookmarkEnd w:id="1450"/>
      <w:r>
        <w:rPr>
          <w:rStyle w:val="31"/>
          <w:rFonts w:hint="eastAsia" w:ascii="宋体" w:hAnsi="宋体" w:eastAsia="宋体" w:cs="宋体"/>
          <w:color w:val="auto"/>
          <w:sz w:val="20"/>
          <w:szCs w:val="20"/>
          <w:highlight w:val="none"/>
          <w:lang w:eastAsia="zh-CN"/>
        </w:rPr>
        <w:t>4.1.10其他义务</w:t>
      </w:r>
    </w:p>
    <w:p w14:paraId="42819842">
      <w:pPr>
        <w:pStyle w:val="101"/>
        <w:pageBreakBefore w:val="0"/>
        <w:widowControl w:val="0"/>
        <w:kinsoku/>
        <w:wordWrap/>
        <w:overflowPunct/>
        <w:topLinePunct w:val="0"/>
        <w:autoSpaceDE/>
        <w:autoSpaceDN/>
        <w:bidi w:val="0"/>
        <w:adjustRightInd/>
        <w:snapToGrid/>
        <w:spacing w:line="440" w:lineRule="exact"/>
        <w:ind w:left="0" w:leftChars="0" w:firstLine="442"/>
        <w:textAlignment w:val="auto"/>
        <w:rPr>
          <w:rStyle w:val="31"/>
          <w:rFonts w:hint="eastAsia" w:ascii="宋体" w:hAnsi="宋体" w:eastAsia="宋体" w:cs="宋体"/>
          <w:color w:val="auto"/>
          <w:highlight w:val="none"/>
        </w:rPr>
      </w:pPr>
      <w:bookmarkStart w:id="1451" w:name="bookmark1623"/>
      <w:bookmarkEnd w:id="1451"/>
      <w:r>
        <w:rPr>
          <w:rStyle w:val="31"/>
          <w:rFonts w:hint="eastAsia" w:ascii="宋体" w:hAnsi="宋体" w:eastAsia="宋体" w:cs="宋体"/>
          <w:color w:val="auto"/>
          <w:highlight w:val="none"/>
        </w:rPr>
        <w:t>（一）办理有关保险。</w:t>
      </w:r>
    </w:p>
    <w:p w14:paraId="2154CE72">
      <w:pPr>
        <w:pStyle w:val="101"/>
        <w:pageBreakBefore w:val="0"/>
        <w:widowControl w:val="0"/>
        <w:kinsoku/>
        <w:wordWrap/>
        <w:overflowPunct/>
        <w:topLinePunct w:val="0"/>
        <w:autoSpaceDE/>
        <w:autoSpaceDN/>
        <w:bidi w:val="0"/>
        <w:adjustRightInd/>
        <w:snapToGrid/>
        <w:spacing w:line="440" w:lineRule="exact"/>
        <w:ind w:left="0" w:leftChars="0" w:firstLine="442"/>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按照《建筑法》规定，必须在工程开工前，为参加本合同工程现场施工的所有作业人员及管理人员，包括参加工程建设的管理人员、监理人员、施工人员(含民工)办理工伤保险，并缴纳工伤保险费。保险期限自投保之日(工程开工之日)起至工程竣工验收时止, 时间上涵盖施工全过程的任一时段。</w:t>
      </w:r>
    </w:p>
    <w:p w14:paraId="22389B99">
      <w:pPr>
        <w:pStyle w:val="101"/>
        <w:pageBreakBefore w:val="0"/>
        <w:widowControl w:val="0"/>
        <w:kinsoku/>
        <w:wordWrap/>
        <w:overflowPunct/>
        <w:topLinePunct w:val="0"/>
        <w:autoSpaceDE/>
        <w:autoSpaceDN/>
        <w:bidi w:val="0"/>
        <w:adjustRightInd/>
        <w:snapToGrid/>
        <w:spacing w:line="440" w:lineRule="exact"/>
        <w:ind w:left="0" w:leftChars="0" w:firstLine="442"/>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按照《建筑法》规定，鼓励为从事危险作业的职工办理意外伤害保险。</w:t>
      </w:r>
    </w:p>
    <w:p w14:paraId="4B43DA24">
      <w:pPr>
        <w:pStyle w:val="101"/>
        <w:pageBreakBefore w:val="0"/>
        <w:widowControl w:val="0"/>
        <w:tabs>
          <w:tab w:val="left" w:pos="1028"/>
        </w:tabs>
        <w:kinsoku/>
        <w:wordWrap/>
        <w:overflowPunct/>
        <w:topLinePunct w:val="0"/>
        <w:autoSpaceDE/>
        <w:autoSpaceDN/>
        <w:bidi w:val="0"/>
        <w:adjustRightInd/>
        <w:snapToGrid/>
        <w:spacing w:line="440" w:lineRule="exact"/>
        <w:ind w:left="0" w:leftChars="0" w:firstLine="200" w:firstLineChars="100"/>
        <w:jc w:val="both"/>
        <w:textAlignment w:val="auto"/>
        <w:rPr>
          <w:rStyle w:val="31"/>
          <w:rFonts w:hint="eastAsia" w:ascii="宋体" w:hAnsi="宋体" w:eastAsia="宋体" w:cs="宋体"/>
          <w:color w:val="auto"/>
          <w:highlight w:val="none"/>
        </w:rPr>
      </w:pPr>
      <w:bookmarkStart w:id="1452" w:name="bookmark1624"/>
      <w:bookmarkEnd w:id="1452"/>
      <w:r>
        <w:rPr>
          <w:rStyle w:val="31"/>
          <w:rFonts w:hint="eastAsia" w:ascii="宋体" w:hAnsi="宋体" w:eastAsia="宋体" w:cs="宋体"/>
          <w:color w:val="auto"/>
          <w:highlight w:val="none"/>
        </w:rPr>
        <w:t>（二）执行广西壮族自治区解决企业拖欠工资问题联席会议关于保障农民工工资支付的有关规定，确保农民工工资无拖欠。</w:t>
      </w:r>
    </w:p>
    <w:p w14:paraId="4B070F62">
      <w:pPr>
        <w:pStyle w:val="101"/>
        <w:pageBreakBefore w:val="0"/>
        <w:widowControl w:val="0"/>
        <w:kinsoku/>
        <w:wordWrap/>
        <w:overflowPunct/>
        <w:topLinePunct w:val="0"/>
        <w:autoSpaceDE/>
        <w:autoSpaceDN/>
        <w:bidi w:val="0"/>
        <w:adjustRightInd/>
        <w:snapToGrid/>
        <w:spacing w:line="440" w:lineRule="exact"/>
        <w:ind w:left="0" w:leftChars="0" w:firstLine="442"/>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依法与招用的农民工签订并履行劳动合同，建立职工名册，及时办理劳动用工备案。实行农民工工资专用账户管理、银行代发农民工工资制度和农民工工资保证金制度。</w:t>
      </w:r>
    </w:p>
    <w:p w14:paraId="728DBCB4">
      <w:pPr>
        <w:pStyle w:val="101"/>
        <w:pageBreakBefore w:val="0"/>
        <w:widowControl w:val="0"/>
        <w:tabs>
          <w:tab w:val="left" w:pos="1031"/>
        </w:tabs>
        <w:kinsoku/>
        <w:wordWrap/>
        <w:overflowPunct/>
        <w:topLinePunct w:val="0"/>
        <w:autoSpaceDE/>
        <w:autoSpaceDN/>
        <w:bidi w:val="0"/>
        <w:adjustRightInd/>
        <w:snapToGrid/>
        <w:spacing w:line="440" w:lineRule="exact"/>
        <w:ind w:left="0" w:leftChars="0" w:firstLine="200" w:firstLineChars="100"/>
        <w:jc w:val="both"/>
        <w:textAlignment w:val="auto"/>
        <w:rPr>
          <w:rStyle w:val="31"/>
          <w:rFonts w:hint="eastAsia" w:ascii="宋体" w:hAnsi="宋体" w:eastAsia="宋体" w:cs="宋体"/>
          <w:color w:val="auto"/>
          <w:highlight w:val="none"/>
        </w:rPr>
      </w:pPr>
      <w:bookmarkStart w:id="1453" w:name="bookmark1625"/>
      <w:bookmarkEnd w:id="1453"/>
      <w:r>
        <w:rPr>
          <w:rStyle w:val="31"/>
          <w:rFonts w:hint="eastAsia" w:ascii="宋体" w:hAnsi="宋体" w:eastAsia="宋体" w:cs="宋体"/>
          <w:color w:val="auto"/>
          <w:highlight w:val="none"/>
        </w:rPr>
        <w:t>（三）工程施工的义务和责任</w:t>
      </w:r>
    </w:p>
    <w:p w14:paraId="091A1288">
      <w:pPr>
        <w:pStyle w:val="101"/>
        <w:pageBreakBefore w:val="0"/>
        <w:widowControl w:val="0"/>
        <w:numPr>
          <w:ilvl w:val="0"/>
          <w:numId w:val="41"/>
        </w:numPr>
        <w:tabs>
          <w:tab w:val="left" w:pos="920"/>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454" w:name="bookmark1626"/>
      <w:bookmarkEnd w:id="1454"/>
      <w:r>
        <w:rPr>
          <w:rStyle w:val="31"/>
          <w:rFonts w:hint="eastAsia" w:ascii="宋体" w:hAnsi="宋体" w:eastAsia="宋体" w:cs="宋体"/>
          <w:color w:val="auto"/>
          <w:highlight w:val="none"/>
        </w:rPr>
        <w:t>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33B34D21">
      <w:pPr>
        <w:pStyle w:val="101"/>
        <w:pageBreakBefore w:val="0"/>
        <w:widowControl w:val="0"/>
        <w:numPr>
          <w:ilvl w:val="0"/>
          <w:numId w:val="41"/>
        </w:numPr>
        <w:tabs>
          <w:tab w:val="left" w:pos="918"/>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455" w:name="bookmark1627"/>
      <w:bookmarkEnd w:id="1455"/>
      <w:r>
        <w:rPr>
          <w:rStyle w:val="31"/>
          <w:rFonts w:hint="eastAsia" w:ascii="宋体" w:hAnsi="宋体" w:eastAsia="宋体" w:cs="宋体"/>
          <w:color w:val="auto"/>
          <w:highlight w:val="none"/>
        </w:rPr>
        <w:t>除民房外，承包人应按监理人的指示负责拆除、清理已征用土地上的杂物、灌木、 树木、树根、杂草等。</w:t>
      </w:r>
    </w:p>
    <w:p w14:paraId="015792EC">
      <w:pPr>
        <w:pStyle w:val="101"/>
        <w:pageBreakBefore w:val="0"/>
        <w:widowControl w:val="0"/>
        <w:numPr>
          <w:ilvl w:val="0"/>
          <w:numId w:val="41"/>
        </w:numPr>
        <w:tabs>
          <w:tab w:val="left" w:pos="920"/>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456" w:name="bookmark1628"/>
      <w:bookmarkEnd w:id="1456"/>
      <w:r>
        <w:rPr>
          <w:rStyle w:val="31"/>
          <w:rFonts w:hint="eastAsia" w:ascii="宋体" w:hAnsi="宋体" w:eastAsia="宋体" w:cs="宋体"/>
          <w:color w:val="auto"/>
          <w:highlight w:val="none"/>
        </w:rPr>
        <w:t>承包人应充分理解有一些设施(如施工道路、桥梁)可能会有其它人和单位使用通行，在使用过程中发生干扰时，应立即通知监理人并服从监理人的决定。</w:t>
      </w:r>
    </w:p>
    <w:p w14:paraId="6FEB0EA9">
      <w:pPr>
        <w:pStyle w:val="101"/>
        <w:pageBreakBefore w:val="0"/>
        <w:widowControl w:val="0"/>
        <w:numPr>
          <w:ilvl w:val="0"/>
          <w:numId w:val="41"/>
        </w:numPr>
        <w:tabs>
          <w:tab w:val="left" w:pos="922"/>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457" w:name="bookmark1629"/>
      <w:bookmarkEnd w:id="1457"/>
      <w:r>
        <w:rPr>
          <w:rStyle w:val="31"/>
          <w:rFonts w:hint="eastAsia" w:ascii="宋体" w:hAnsi="宋体" w:eastAsia="宋体" w:cs="宋体"/>
          <w:color w:val="auto"/>
          <w:highlight w:val="none"/>
        </w:rPr>
        <w:t>承包人应为监理人、发包人现场代表对施工现场的检查监督提供必要的配合，并对这种配合对施工的影响应有充分的考虑。</w:t>
      </w:r>
    </w:p>
    <w:p w14:paraId="1842F011">
      <w:pPr>
        <w:pStyle w:val="101"/>
        <w:pageBreakBefore w:val="0"/>
        <w:widowControl w:val="0"/>
        <w:numPr>
          <w:ilvl w:val="0"/>
          <w:numId w:val="41"/>
        </w:numPr>
        <w:tabs>
          <w:tab w:val="left" w:pos="915"/>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458" w:name="bookmark1630"/>
      <w:bookmarkEnd w:id="1458"/>
      <w:r>
        <w:rPr>
          <w:rStyle w:val="31"/>
          <w:rFonts w:hint="eastAsia" w:ascii="宋体" w:hAnsi="宋体" w:eastAsia="宋体" w:cs="宋体"/>
          <w:color w:val="auto"/>
          <w:highlight w:val="none"/>
        </w:rPr>
        <w:t>工程竣工后，承包人应按监理人的指示清理施工现场直至监理人、发包人满意 为止。</w:t>
      </w:r>
    </w:p>
    <w:p w14:paraId="7E4605CC">
      <w:pPr>
        <w:pStyle w:val="101"/>
        <w:pageBreakBefore w:val="0"/>
        <w:widowControl w:val="0"/>
        <w:numPr>
          <w:ilvl w:val="0"/>
          <w:numId w:val="41"/>
        </w:numPr>
        <w:tabs>
          <w:tab w:val="left" w:pos="920"/>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459" w:name="bookmark1631"/>
      <w:bookmarkEnd w:id="1459"/>
      <w:r>
        <w:rPr>
          <w:rStyle w:val="31"/>
          <w:rFonts w:hint="eastAsia" w:ascii="宋体" w:hAnsi="宋体" w:eastAsia="宋体" w:cs="宋体"/>
          <w:color w:val="auto"/>
          <w:highlight w:val="none"/>
        </w:rPr>
        <w:t>对上述(1) ~ (5)项工作，费用已包括在有关单价和总价中，发包人不再另行支付由此所发生的一切费用。</w:t>
      </w:r>
    </w:p>
    <w:p w14:paraId="033E8BF0">
      <w:pPr>
        <w:pStyle w:val="101"/>
        <w:pageBreakBefore w:val="0"/>
        <w:widowControl w:val="0"/>
        <w:numPr>
          <w:ilvl w:val="0"/>
          <w:numId w:val="41"/>
        </w:numPr>
        <w:tabs>
          <w:tab w:val="left" w:pos="922"/>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460" w:name="bookmark1632"/>
      <w:bookmarkEnd w:id="1460"/>
      <w:r>
        <w:rPr>
          <w:rStyle w:val="31"/>
          <w:rFonts w:hint="eastAsia" w:ascii="宋体" w:hAnsi="宋体" w:eastAsia="宋体" w:cs="宋体"/>
          <w:color w:val="auto"/>
          <w:highlight w:val="none"/>
        </w:rPr>
        <w:t>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55B251A2">
      <w:pPr>
        <w:pStyle w:val="101"/>
        <w:pageBreakBefore w:val="0"/>
        <w:widowControl w:val="0"/>
        <w:numPr>
          <w:ilvl w:val="0"/>
          <w:numId w:val="41"/>
        </w:numPr>
        <w:tabs>
          <w:tab w:val="left" w:pos="924"/>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461" w:name="bookmark1633"/>
      <w:bookmarkEnd w:id="1461"/>
      <w:r>
        <w:rPr>
          <w:rStyle w:val="31"/>
          <w:rFonts w:hint="eastAsia" w:ascii="宋体" w:hAnsi="宋体" w:eastAsia="宋体" w:cs="宋体"/>
          <w:color w:val="auto"/>
          <w:highlight w:val="none"/>
        </w:rPr>
        <w:t>承包人必须文明、安全施工，在施工期间发生的一切人员伤亡和财产损失等责任事故和所发生的一切费用概由承包人承担。</w:t>
      </w:r>
    </w:p>
    <w:p w14:paraId="5CDE1F2D">
      <w:pPr>
        <w:pStyle w:val="101"/>
        <w:pageBreakBefore w:val="0"/>
        <w:widowControl w:val="0"/>
        <w:numPr>
          <w:ilvl w:val="0"/>
          <w:numId w:val="41"/>
        </w:numPr>
        <w:tabs>
          <w:tab w:val="left" w:pos="924"/>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462" w:name="bookmark1634"/>
      <w:bookmarkEnd w:id="1462"/>
      <w:r>
        <w:rPr>
          <w:rStyle w:val="31"/>
          <w:rFonts w:hint="eastAsia" w:ascii="宋体" w:hAnsi="宋体" w:eastAsia="宋体" w:cs="宋体"/>
          <w:color w:val="auto"/>
          <w:highlight w:val="none"/>
        </w:rPr>
        <w:t>按照发包人的要求做好安全文明宣传、监督检查宣传等工作，相关费用由承包人承担。</w:t>
      </w:r>
    </w:p>
    <w:p w14:paraId="728C43A1">
      <w:pPr>
        <w:pStyle w:val="101"/>
        <w:pageBreakBefore w:val="0"/>
        <w:widowControl w:val="0"/>
        <w:numPr>
          <w:ilvl w:val="0"/>
          <w:numId w:val="41"/>
        </w:numPr>
        <w:tabs>
          <w:tab w:val="left" w:pos="924"/>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463" w:name="bookmark1635"/>
      <w:bookmarkEnd w:id="1463"/>
      <w:r>
        <w:rPr>
          <w:rStyle w:val="31"/>
          <w:rFonts w:hint="eastAsia" w:ascii="宋体" w:hAnsi="宋体" w:eastAsia="宋体" w:cs="宋体"/>
          <w:color w:val="auto"/>
          <w:highlight w:val="none"/>
        </w:rPr>
        <w:t>承包人应按约定时间和要求，完成以下工作：</w:t>
      </w:r>
    </w:p>
    <w:p w14:paraId="4FE7D80D">
      <w:pPr>
        <w:pStyle w:val="101"/>
        <w:pageBreakBefore w:val="0"/>
        <w:widowControl w:val="0"/>
        <w:numPr>
          <w:ilvl w:val="0"/>
          <w:numId w:val="42"/>
        </w:numPr>
        <w:tabs>
          <w:tab w:val="left" w:pos="839"/>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464" w:name="bookmark1636"/>
      <w:bookmarkEnd w:id="1464"/>
      <w:r>
        <w:rPr>
          <w:rStyle w:val="31"/>
          <w:rFonts w:hint="eastAsia" w:ascii="宋体" w:hAnsi="宋体" w:eastAsia="宋体" w:cs="宋体"/>
          <w:color w:val="auto"/>
          <w:highlight w:val="none"/>
        </w:rPr>
        <w:t>按时提交施工组织设计、单位工程的施工方案。</w:t>
      </w:r>
    </w:p>
    <w:p w14:paraId="473ECA5E">
      <w:pPr>
        <w:pStyle w:val="101"/>
        <w:pageBreakBefore w:val="0"/>
        <w:widowControl w:val="0"/>
        <w:numPr>
          <w:ilvl w:val="0"/>
          <w:numId w:val="42"/>
        </w:numPr>
        <w:tabs>
          <w:tab w:val="left" w:pos="839"/>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465" w:name="bookmark1637"/>
      <w:bookmarkEnd w:id="1465"/>
      <w:r>
        <w:rPr>
          <w:rStyle w:val="31"/>
          <w:rFonts w:hint="eastAsia" w:ascii="宋体" w:hAnsi="宋体" w:eastAsia="宋体" w:cs="宋体"/>
          <w:color w:val="auto"/>
          <w:highlight w:val="none"/>
        </w:rPr>
        <w:t>每月25日向监理人提交当月工程进度报表及下月进度计划。</w:t>
      </w:r>
    </w:p>
    <w:p w14:paraId="63C5FCF4">
      <w:pPr>
        <w:pStyle w:val="101"/>
        <w:pageBreakBefore w:val="0"/>
        <w:widowControl w:val="0"/>
        <w:numPr>
          <w:ilvl w:val="0"/>
          <w:numId w:val="42"/>
        </w:numPr>
        <w:tabs>
          <w:tab w:val="left" w:pos="839"/>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466" w:name="bookmark1638"/>
      <w:bookmarkEnd w:id="1466"/>
      <w:r>
        <w:rPr>
          <w:rStyle w:val="31"/>
          <w:rFonts w:hint="eastAsia" w:ascii="宋体" w:hAnsi="宋体" w:eastAsia="宋体" w:cs="宋体"/>
          <w:color w:val="auto"/>
          <w:highlight w:val="none"/>
        </w:rPr>
        <w:t>承包人自行负责施工安全保卫工作及夜间施工照明。</w:t>
      </w:r>
    </w:p>
    <w:p w14:paraId="236E0F9E">
      <w:pPr>
        <w:pStyle w:val="101"/>
        <w:pageBreakBefore w:val="0"/>
        <w:widowControl w:val="0"/>
        <w:numPr>
          <w:ilvl w:val="0"/>
          <w:numId w:val="42"/>
        </w:numPr>
        <w:tabs>
          <w:tab w:val="left" w:pos="798"/>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467" w:name="bookmark1639"/>
      <w:bookmarkEnd w:id="1467"/>
      <w:r>
        <w:rPr>
          <w:rStyle w:val="31"/>
          <w:rFonts w:hint="eastAsia" w:ascii="宋体" w:hAnsi="宋体" w:eastAsia="宋体" w:cs="宋体"/>
          <w:color w:val="auto"/>
          <w:highlight w:val="none"/>
        </w:rPr>
        <w:t>需承包人办理的有关施工场地交通、环卫和施工噪音降尘管理等手续：遵守有关部门对施工现场交通、环卫和施工噪音降尘管理规定，如有发生，费用由承包人承担。</w:t>
      </w:r>
    </w:p>
    <w:p w14:paraId="4F059622">
      <w:pPr>
        <w:pStyle w:val="101"/>
        <w:pageBreakBefore w:val="0"/>
        <w:widowControl w:val="0"/>
        <w:numPr>
          <w:ilvl w:val="0"/>
          <w:numId w:val="42"/>
        </w:numPr>
        <w:tabs>
          <w:tab w:val="left" w:pos="819"/>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468" w:name="bookmark1640"/>
      <w:bookmarkEnd w:id="1468"/>
      <w:r>
        <w:rPr>
          <w:rStyle w:val="31"/>
          <w:rFonts w:hint="eastAsia" w:ascii="宋体" w:hAnsi="宋体" w:eastAsia="宋体" w:cs="宋体"/>
          <w:color w:val="auto"/>
          <w:highlight w:val="none"/>
        </w:rPr>
        <w:t>已完工程成品保护的特殊要求及费用承担：已完工工程未交付发包人之前，承包人按协议条款约定负责已完成工程的成品保护工作，保护期间发生损坏，承包人自费予以修复。</w:t>
      </w:r>
    </w:p>
    <w:p w14:paraId="1FA84A67">
      <w:pPr>
        <w:pStyle w:val="101"/>
        <w:pageBreakBefore w:val="0"/>
        <w:widowControl w:val="0"/>
        <w:numPr>
          <w:ilvl w:val="0"/>
          <w:numId w:val="42"/>
        </w:numPr>
        <w:tabs>
          <w:tab w:val="left" w:pos="814"/>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469" w:name="bookmark1641"/>
      <w:bookmarkEnd w:id="1469"/>
      <w:r>
        <w:rPr>
          <w:rStyle w:val="31"/>
          <w:rFonts w:hint="eastAsia" w:ascii="宋体" w:hAnsi="宋体" w:eastAsia="宋体" w:cs="宋体"/>
          <w:color w:val="auto"/>
          <w:highlight w:val="none"/>
        </w:rPr>
        <w:t>承包人有义务对施工场地周围管线(含地上及地下)和邻近建筑物、构筑物(含文物保护建筑)、古树名木等进行探明并负责保护。</w:t>
      </w:r>
    </w:p>
    <w:p w14:paraId="6EBAAF76">
      <w:pPr>
        <w:pStyle w:val="101"/>
        <w:pageBreakBefore w:val="0"/>
        <w:widowControl w:val="0"/>
        <w:numPr>
          <w:ilvl w:val="0"/>
          <w:numId w:val="42"/>
        </w:numPr>
        <w:tabs>
          <w:tab w:val="left" w:pos="819"/>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470" w:name="bookmark1642"/>
      <w:bookmarkEnd w:id="1470"/>
      <w:r>
        <w:rPr>
          <w:rStyle w:val="31"/>
          <w:rFonts w:hint="eastAsia" w:ascii="宋体" w:hAnsi="宋体" w:eastAsia="宋体" w:cs="宋体"/>
          <w:color w:val="auto"/>
          <w:highlight w:val="none"/>
        </w:rPr>
        <w:t>施工场地清洁卫生的要求：按城建卫生有关规定执行，由承包人负责，费用由承包人承担。</w:t>
      </w:r>
    </w:p>
    <w:p w14:paraId="2F9CDE9F">
      <w:pPr>
        <w:pStyle w:val="101"/>
        <w:pageBreakBefore w:val="0"/>
        <w:widowControl w:val="0"/>
        <w:numPr>
          <w:ilvl w:val="0"/>
          <w:numId w:val="42"/>
        </w:numPr>
        <w:tabs>
          <w:tab w:val="left" w:pos="839"/>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471" w:name="bookmark1643"/>
      <w:bookmarkEnd w:id="1471"/>
      <w:r>
        <w:rPr>
          <w:rStyle w:val="31"/>
          <w:rFonts w:hint="eastAsia" w:ascii="宋体" w:hAnsi="宋体" w:eastAsia="宋体" w:cs="宋体"/>
          <w:color w:val="auto"/>
          <w:highlight w:val="none"/>
        </w:rPr>
        <w:t>承包人承担施工场地、水电及运输通道的修建和维护、清场等费用。</w:t>
      </w:r>
    </w:p>
    <w:p w14:paraId="5C1BDA6C">
      <w:pPr>
        <w:pStyle w:val="101"/>
        <w:pageBreakBefore w:val="0"/>
        <w:widowControl w:val="0"/>
        <w:numPr>
          <w:ilvl w:val="0"/>
          <w:numId w:val="41"/>
        </w:numPr>
        <w:tabs>
          <w:tab w:val="left" w:pos="1026"/>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472" w:name="bookmark1644"/>
      <w:bookmarkEnd w:id="1472"/>
      <w:r>
        <w:rPr>
          <w:rStyle w:val="31"/>
          <w:rFonts w:hint="eastAsia" w:ascii="宋体" w:hAnsi="宋体" w:eastAsia="宋体" w:cs="宋体"/>
          <w:color w:val="auto"/>
          <w:highlight w:val="none"/>
        </w:rPr>
        <w:t>双方约定承包人应做的其他工作：</w:t>
      </w:r>
    </w:p>
    <w:p w14:paraId="1AEE2D0E">
      <w:pPr>
        <w:pStyle w:val="101"/>
        <w:pageBreakBefore w:val="0"/>
        <w:widowControl w:val="0"/>
        <w:numPr>
          <w:ilvl w:val="0"/>
          <w:numId w:val="43"/>
        </w:numPr>
        <w:tabs>
          <w:tab w:val="left" w:pos="819"/>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473" w:name="bookmark1645"/>
      <w:bookmarkEnd w:id="1473"/>
      <w:r>
        <w:rPr>
          <w:rStyle w:val="31"/>
          <w:rFonts w:hint="eastAsia" w:ascii="宋体" w:hAnsi="宋体" w:eastAsia="宋体" w:cs="宋体"/>
          <w:color w:val="auto"/>
          <w:highlight w:val="none"/>
        </w:rPr>
        <w:t>凡属于需要承包人交付给其他承包人的工作面以及与其他承包人交叉作业的工作面, 承包人必须服从监理人的决定，按规定的完工日期完成并将清理好的工作面移交给发包人, 并取得监理人的同意。</w:t>
      </w:r>
    </w:p>
    <w:p w14:paraId="5AD8089C">
      <w:pPr>
        <w:pStyle w:val="101"/>
        <w:pageBreakBefore w:val="0"/>
        <w:widowControl w:val="0"/>
        <w:numPr>
          <w:ilvl w:val="0"/>
          <w:numId w:val="43"/>
        </w:numPr>
        <w:tabs>
          <w:tab w:val="left" w:pos="817"/>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474" w:name="bookmark1646"/>
      <w:bookmarkEnd w:id="1474"/>
      <w:r>
        <w:rPr>
          <w:rStyle w:val="31"/>
          <w:rFonts w:hint="eastAsia" w:ascii="宋体" w:hAnsi="宋体" w:eastAsia="宋体" w:cs="宋体"/>
          <w:color w:val="auto"/>
          <w:highlight w:val="none"/>
        </w:rPr>
        <w:t>工程完工后，承包人应按监理人的指示清理施工现场。并在工程完工后6个月内完成并提交工程竣工资料和工程结算资料。承包人逾期提交，发包人将对承包人的拖延行为视为违约，并按100。元/天计算违约金，违约金从承包人应得的工程款中扣除，但其最终的累计总金额与各项逾期完工违约金合计不超过合同价格的5%。</w:t>
      </w:r>
    </w:p>
    <w:p w14:paraId="7FB158ED">
      <w:pPr>
        <w:pStyle w:val="101"/>
        <w:pageBreakBefore w:val="0"/>
        <w:widowControl w:val="0"/>
        <w:numPr>
          <w:ilvl w:val="0"/>
          <w:numId w:val="41"/>
        </w:numPr>
        <w:tabs>
          <w:tab w:val="left" w:pos="1026"/>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475" w:name="bookmark1647"/>
      <w:bookmarkEnd w:id="1475"/>
      <w:r>
        <w:rPr>
          <w:rStyle w:val="31"/>
          <w:rFonts w:hint="eastAsia" w:ascii="宋体" w:hAnsi="宋体" w:eastAsia="宋体" w:cs="宋体"/>
          <w:color w:val="auto"/>
          <w:highlight w:val="none"/>
        </w:rPr>
        <w:t>其他未尽事宜待签订施工合同时双方再协商。</w:t>
      </w:r>
    </w:p>
    <w:p w14:paraId="3ED2096A">
      <w:pPr>
        <w:pStyle w:val="101"/>
        <w:pageBreakBefore w:val="0"/>
        <w:widowControl w:val="0"/>
        <w:tabs>
          <w:tab w:val="left" w:pos="1031"/>
        </w:tabs>
        <w:kinsoku/>
        <w:wordWrap/>
        <w:overflowPunct/>
        <w:topLinePunct w:val="0"/>
        <w:autoSpaceDE/>
        <w:autoSpaceDN/>
        <w:bidi w:val="0"/>
        <w:adjustRightInd/>
        <w:snapToGrid/>
        <w:spacing w:line="440" w:lineRule="exact"/>
        <w:ind w:left="0" w:leftChars="0" w:firstLine="400" w:firstLineChars="200"/>
        <w:jc w:val="both"/>
        <w:textAlignment w:val="auto"/>
        <w:rPr>
          <w:rStyle w:val="31"/>
          <w:rFonts w:hint="eastAsia" w:ascii="宋体" w:hAnsi="宋体" w:eastAsia="宋体" w:cs="宋体"/>
          <w:color w:val="auto"/>
          <w:highlight w:val="none"/>
        </w:rPr>
      </w:pPr>
      <w:bookmarkStart w:id="1476" w:name="bookmark1648"/>
      <w:bookmarkEnd w:id="1476"/>
      <w:r>
        <w:rPr>
          <w:rStyle w:val="31"/>
          <w:rFonts w:hint="eastAsia" w:ascii="宋体" w:hAnsi="宋体" w:eastAsia="宋体" w:cs="宋体"/>
          <w:color w:val="auto"/>
          <w:highlight w:val="none"/>
        </w:rPr>
        <w:t>（四）鼓励承包人根据工程建设实际，吸纳建档立卡贫困劳动力参加工程建设。</w:t>
      </w:r>
    </w:p>
    <w:p w14:paraId="2089DABC">
      <w:pPr>
        <w:pStyle w:val="101"/>
        <w:pageBreakBefore w:val="0"/>
        <w:widowControl w:val="0"/>
        <w:tabs>
          <w:tab w:val="left" w:pos="1030"/>
        </w:tabs>
        <w:kinsoku/>
        <w:wordWrap/>
        <w:overflowPunct/>
        <w:topLinePunct w:val="0"/>
        <w:autoSpaceDE/>
        <w:autoSpaceDN/>
        <w:bidi w:val="0"/>
        <w:adjustRightInd/>
        <w:snapToGrid/>
        <w:spacing w:line="440" w:lineRule="exact"/>
        <w:ind w:left="0" w:leftChars="0" w:firstLine="400" w:firstLineChars="200"/>
        <w:jc w:val="both"/>
        <w:textAlignment w:val="auto"/>
        <w:rPr>
          <w:rStyle w:val="31"/>
          <w:rFonts w:hint="eastAsia" w:ascii="宋体" w:hAnsi="宋体" w:eastAsia="宋体" w:cs="宋体"/>
          <w:color w:val="auto"/>
          <w:highlight w:val="none"/>
        </w:rPr>
      </w:pPr>
      <w:bookmarkStart w:id="1477" w:name="bookmark1649"/>
      <w:bookmarkEnd w:id="1477"/>
      <w:r>
        <w:rPr>
          <w:rStyle w:val="31"/>
          <w:rFonts w:hint="eastAsia" w:ascii="宋体" w:hAnsi="宋体" w:eastAsia="宋体" w:cs="宋体"/>
          <w:color w:val="auto"/>
          <w:highlight w:val="none"/>
        </w:rPr>
        <w:t>（五）执行自治区关于松材线虫病防控工作的有关规定，工程建设采用的模板、支撑及脚手架以钢模板、钢支撑为主，不使用松木及其包装材料。木质模板及仿材尽量就地采购，避免长途转运。</w:t>
      </w:r>
    </w:p>
    <w:p w14:paraId="3110BA47">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478" w:name="_Toc256000265"/>
      <w:bookmarkStart w:id="1479" w:name="bookmark1652"/>
      <w:bookmarkStart w:id="1480" w:name="_Toc256000188"/>
      <w:bookmarkStart w:id="1481" w:name="bookmark1651"/>
      <w:bookmarkStart w:id="1482" w:name="bookmark1650"/>
      <w:r>
        <w:rPr>
          <w:rStyle w:val="31"/>
          <w:rFonts w:hint="eastAsia" w:ascii="宋体" w:hAnsi="宋体" w:eastAsia="宋体" w:cs="宋体"/>
          <w:color w:val="auto"/>
          <w:sz w:val="24"/>
          <w:szCs w:val="24"/>
          <w:highlight w:val="none"/>
          <w:lang w:eastAsia="zh-CN" w:bidi="en-US"/>
        </w:rPr>
        <w:t>4.3分包</w:t>
      </w:r>
      <w:bookmarkEnd w:id="1478"/>
      <w:bookmarkEnd w:id="1479"/>
      <w:bookmarkEnd w:id="1480"/>
      <w:bookmarkEnd w:id="1481"/>
      <w:bookmarkEnd w:id="1482"/>
    </w:p>
    <w:p w14:paraId="52CCFF0F">
      <w:pPr>
        <w:pStyle w:val="101"/>
        <w:pageBreakBefore w:val="0"/>
        <w:widowControl w:val="0"/>
        <w:tabs>
          <w:tab w:val="left" w:pos="5849"/>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rPr>
        <w:t>4.3.</w:t>
      </w:r>
      <w:r>
        <w:rPr>
          <w:rStyle w:val="31"/>
          <w:rFonts w:hint="eastAsia" w:ascii="宋体" w:hAnsi="宋体" w:eastAsia="宋体" w:cs="宋体"/>
          <w:color w:val="auto"/>
          <w:highlight w:val="none"/>
        </w:rPr>
        <w:t>2允许承包人分包的工程项目、工作内容与分包金额限额为：</w:t>
      </w:r>
    </w:p>
    <w:p w14:paraId="2B6F9BB5">
      <w:pPr>
        <w:pStyle w:val="102"/>
        <w:pageBreakBefore w:val="0"/>
        <w:widowControl w:val="0"/>
        <w:numPr>
          <w:ilvl w:val="0"/>
          <w:numId w:val="44"/>
        </w:numPr>
        <w:tabs>
          <w:tab w:val="left" w:pos="924"/>
          <w:tab w:val="left" w:pos="3770"/>
        </w:tabs>
        <w:kinsoku/>
        <w:wordWrap/>
        <w:overflowPunct/>
        <w:topLinePunct w:val="0"/>
        <w:autoSpaceDE/>
        <w:autoSpaceDN/>
        <w:bidi w:val="0"/>
        <w:adjustRightInd/>
        <w:snapToGrid/>
        <w:spacing w:after="0" w:line="440" w:lineRule="exact"/>
        <w:ind w:left="0" w:leftChars="0"/>
        <w:jc w:val="both"/>
        <w:textAlignment w:val="auto"/>
        <w:rPr>
          <w:rStyle w:val="31"/>
          <w:rFonts w:hint="eastAsia" w:ascii="宋体" w:hAnsi="宋体" w:eastAsia="宋体" w:cs="宋体"/>
          <w:color w:val="auto"/>
          <w:highlight w:val="none"/>
        </w:rPr>
      </w:pPr>
      <w:bookmarkStart w:id="1483" w:name="bookmark1653"/>
      <w:bookmarkEnd w:id="1483"/>
      <w:r>
        <w:rPr>
          <w:rStyle w:val="31"/>
          <w:rFonts w:hint="eastAsia" w:ascii="宋体" w:hAnsi="宋体" w:eastAsia="宋体" w:cs="宋体"/>
          <w:color w:val="auto"/>
          <w:highlight w:val="none"/>
          <w:lang w:val="zh-CN" w:eastAsia="zh-CN" w:bidi="zh-CN"/>
        </w:rPr>
        <w:t>工程项目：</w:t>
      </w:r>
      <w:r>
        <w:rPr>
          <w:rStyle w:val="31"/>
          <w:rFonts w:hint="eastAsia" w:ascii="宋体" w:hAnsi="宋体" w:eastAsia="宋体" w:cs="宋体"/>
          <w:color w:val="auto"/>
          <w:highlight w:val="none"/>
          <w:u w:val="single"/>
          <w:lang w:val="zh-CN" w:eastAsia="zh-CN" w:bidi="zh-CN"/>
        </w:rPr>
        <w:t>无</w:t>
      </w:r>
      <w:r>
        <w:rPr>
          <w:rStyle w:val="31"/>
          <w:rFonts w:hint="eastAsia" w:ascii="宋体" w:hAnsi="宋体" w:eastAsia="宋体" w:cs="宋体"/>
          <w:color w:val="auto"/>
          <w:highlight w:val="none"/>
          <w:lang w:eastAsia="zh-CN"/>
        </w:rPr>
        <w:t>。</w:t>
      </w:r>
    </w:p>
    <w:p w14:paraId="06F32A0E">
      <w:pPr>
        <w:pStyle w:val="102"/>
        <w:pageBreakBefore w:val="0"/>
        <w:widowControl w:val="0"/>
        <w:numPr>
          <w:ilvl w:val="0"/>
          <w:numId w:val="44"/>
        </w:numPr>
        <w:tabs>
          <w:tab w:val="left" w:pos="924"/>
          <w:tab w:val="left" w:pos="3770"/>
        </w:tabs>
        <w:kinsoku/>
        <w:wordWrap/>
        <w:overflowPunct/>
        <w:topLinePunct w:val="0"/>
        <w:autoSpaceDE/>
        <w:autoSpaceDN/>
        <w:bidi w:val="0"/>
        <w:adjustRightInd/>
        <w:snapToGrid/>
        <w:spacing w:after="0" w:line="440" w:lineRule="exact"/>
        <w:ind w:left="0" w:leftChars="0"/>
        <w:jc w:val="both"/>
        <w:textAlignment w:val="auto"/>
        <w:rPr>
          <w:rStyle w:val="31"/>
          <w:rFonts w:hint="eastAsia" w:ascii="宋体" w:hAnsi="宋体" w:eastAsia="宋体" w:cs="宋体"/>
          <w:color w:val="auto"/>
          <w:highlight w:val="none"/>
        </w:rPr>
      </w:pPr>
      <w:bookmarkStart w:id="1484" w:name="bookmark1654"/>
      <w:bookmarkEnd w:id="1484"/>
      <w:r>
        <w:rPr>
          <w:rStyle w:val="31"/>
          <w:rFonts w:hint="eastAsia" w:ascii="宋体" w:hAnsi="宋体" w:eastAsia="宋体" w:cs="宋体"/>
          <w:color w:val="auto"/>
          <w:highlight w:val="none"/>
          <w:lang w:val="zh-CN" w:eastAsia="zh-CN" w:bidi="zh-CN"/>
        </w:rPr>
        <w:t>工作内容：</w:t>
      </w:r>
      <w:r>
        <w:rPr>
          <w:rStyle w:val="31"/>
          <w:rFonts w:hint="eastAsia" w:ascii="宋体" w:hAnsi="宋体" w:eastAsia="宋体" w:cs="宋体"/>
          <w:color w:val="auto"/>
          <w:highlight w:val="none"/>
          <w:u w:val="single"/>
          <w:lang w:val="zh-CN" w:eastAsia="zh-CN" w:bidi="zh-CN"/>
        </w:rPr>
        <w:t>无</w:t>
      </w:r>
      <w:r>
        <w:rPr>
          <w:rStyle w:val="31"/>
          <w:rFonts w:hint="eastAsia" w:ascii="宋体" w:hAnsi="宋体" w:eastAsia="宋体" w:cs="宋体"/>
          <w:color w:val="auto"/>
          <w:highlight w:val="none"/>
          <w:lang w:eastAsia="zh-CN"/>
        </w:rPr>
        <w:t>。</w:t>
      </w:r>
    </w:p>
    <w:p w14:paraId="556C4E57">
      <w:pPr>
        <w:pStyle w:val="101"/>
        <w:pageBreakBefore w:val="0"/>
        <w:widowControl w:val="0"/>
        <w:numPr>
          <w:ilvl w:val="0"/>
          <w:numId w:val="44"/>
        </w:numPr>
        <w:tabs>
          <w:tab w:val="left" w:pos="924"/>
          <w:tab w:val="left" w:pos="4190"/>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highlight w:val="none"/>
        </w:rPr>
      </w:pPr>
      <w:bookmarkStart w:id="1485" w:name="bookmark1655"/>
      <w:bookmarkEnd w:id="1485"/>
      <w:r>
        <w:rPr>
          <w:rStyle w:val="31"/>
          <w:rFonts w:hint="eastAsia" w:ascii="宋体" w:hAnsi="宋体" w:eastAsia="宋体" w:cs="宋体"/>
          <w:color w:val="auto"/>
          <w:highlight w:val="none"/>
        </w:rPr>
        <w:t>分包金额限额：</w:t>
      </w:r>
      <w:r>
        <w:rPr>
          <w:rStyle w:val="31"/>
          <w:rFonts w:hint="eastAsia" w:ascii="宋体" w:hAnsi="宋体" w:eastAsia="宋体" w:cs="宋体"/>
          <w:color w:val="auto"/>
          <w:highlight w:val="none"/>
          <w:u w:val="single"/>
          <w:lang w:val="zh-CN" w:eastAsia="zh-CN" w:bidi="zh-CN"/>
        </w:rPr>
        <w:t>无</w:t>
      </w:r>
      <w:r>
        <w:rPr>
          <w:rStyle w:val="31"/>
          <w:rFonts w:hint="eastAsia" w:ascii="宋体" w:hAnsi="宋体" w:eastAsia="宋体" w:cs="宋体"/>
          <w:color w:val="auto"/>
          <w:highlight w:val="none"/>
          <w:lang w:val="en-US" w:bidi="en-US"/>
        </w:rPr>
        <w:t>。</w:t>
      </w:r>
    </w:p>
    <w:p w14:paraId="35BE487D">
      <w:pPr>
        <w:pStyle w:val="101"/>
        <w:pageBreakBefore w:val="0"/>
        <w:widowControl w:val="0"/>
        <w:tabs>
          <w:tab w:val="left" w:pos="5849"/>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highlight w:val="none"/>
          <w:lang w:val="en-US" w:bidi="en-US"/>
        </w:rPr>
      </w:pPr>
      <w:r>
        <w:rPr>
          <w:rStyle w:val="31"/>
          <w:rFonts w:hint="eastAsia" w:ascii="宋体" w:hAnsi="宋体" w:eastAsia="宋体" w:cs="宋体"/>
          <w:color w:val="auto"/>
          <w:highlight w:val="none"/>
          <w:lang w:val="en-US" w:bidi="en-US"/>
        </w:rPr>
        <w:t>4.3.</w:t>
      </w:r>
      <w:r>
        <w:rPr>
          <w:rStyle w:val="31"/>
          <w:rFonts w:hint="eastAsia" w:ascii="宋体" w:hAnsi="宋体" w:eastAsia="宋体" w:cs="宋体"/>
          <w:color w:val="auto"/>
          <w:highlight w:val="none"/>
        </w:rPr>
        <w:t>10 分包人项目管理机构的设立：</w:t>
      </w:r>
      <w:r>
        <w:rPr>
          <w:rStyle w:val="31"/>
          <w:rFonts w:hint="eastAsia" w:ascii="宋体" w:hAnsi="宋体" w:eastAsia="宋体" w:cs="宋体"/>
          <w:color w:val="auto"/>
          <w:highlight w:val="none"/>
          <w:u w:val="single"/>
          <w:lang w:val="zh-CN" w:eastAsia="zh-CN" w:bidi="zh-CN"/>
        </w:rPr>
        <w:t>无</w:t>
      </w:r>
      <w:r>
        <w:rPr>
          <w:rStyle w:val="31"/>
          <w:rFonts w:hint="eastAsia" w:ascii="宋体" w:hAnsi="宋体" w:eastAsia="宋体" w:cs="宋体"/>
          <w:color w:val="auto"/>
          <w:highlight w:val="none"/>
          <w:lang w:val="en-US" w:bidi="en-US"/>
        </w:rPr>
        <w:t>。</w:t>
      </w:r>
    </w:p>
    <w:p w14:paraId="4DD1A268">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486" w:name="_Toc256000266"/>
      <w:bookmarkStart w:id="1487" w:name="_Toc256000189"/>
      <w:r>
        <w:rPr>
          <w:rStyle w:val="31"/>
          <w:rFonts w:hint="eastAsia" w:ascii="宋体" w:hAnsi="宋体" w:eastAsia="宋体" w:cs="宋体"/>
          <w:color w:val="auto"/>
          <w:sz w:val="24"/>
          <w:szCs w:val="24"/>
          <w:highlight w:val="none"/>
          <w:lang w:eastAsia="zh-CN" w:bidi="en-US"/>
        </w:rPr>
        <w:t>4.5承包人项目负责人</w:t>
      </w:r>
      <w:bookmarkEnd w:id="1486"/>
      <w:bookmarkEnd w:id="1487"/>
    </w:p>
    <w:p w14:paraId="3C90A9CD">
      <w:pPr>
        <w:pStyle w:val="101"/>
        <w:pageBreakBefore w:val="0"/>
        <w:widowControl w:val="0"/>
        <w:tabs>
          <w:tab w:val="left" w:pos="5849"/>
        </w:tabs>
        <w:kinsoku/>
        <w:wordWrap/>
        <w:overflowPunct/>
        <w:topLinePunct w:val="0"/>
        <w:autoSpaceDE/>
        <w:autoSpaceDN/>
        <w:bidi w:val="0"/>
        <w:adjustRightInd/>
        <w:snapToGrid/>
        <w:spacing w:line="440" w:lineRule="exact"/>
        <w:ind w:left="0" w:leftChars="0" w:firstLine="200" w:firstLineChars="100"/>
        <w:jc w:val="both"/>
        <w:textAlignment w:val="auto"/>
        <w:rPr>
          <w:rStyle w:val="31"/>
          <w:rFonts w:hint="eastAsia" w:ascii="宋体" w:hAnsi="宋体" w:eastAsia="宋体" w:cs="宋体"/>
          <w:color w:val="auto"/>
          <w:highlight w:val="none"/>
          <w:lang w:val="en-US" w:bidi="en-US"/>
        </w:rPr>
      </w:pPr>
      <w:r>
        <w:rPr>
          <w:rStyle w:val="31"/>
          <w:rFonts w:hint="eastAsia" w:ascii="宋体" w:hAnsi="宋体" w:eastAsia="宋体" w:cs="宋体"/>
          <w:color w:val="auto"/>
          <w:highlight w:val="none"/>
          <w:lang w:val="en-US" w:bidi="en-US"/>
        </w:rPr>
        <w:t>4.5.5（1）同一施工项目负责人不能同时在两个及以上的工程项目上担任施工项目负责人</w:t>
      </w:r>
    </w:p>
    <w:p w14:paraId="51FCE80D">
      <w:pPr>
        <w:pStyle w:val="101"/>
        <w:pageBreakBefore w:val="0"/>
        <w:widowControl w:val="0"/>
        <w:tabs>
          <w:tab w:val="left" w:pos="5849"/>
        </w:tabs>
        <w:kinsoku/>
        <w:wordWrap/>
        <w:overflowPunct/>
        <w:topLinePunct w:val="0"/>
        <w:autoSpaceDE/>
        <w:autoSpaceDN/>
        <w:bidi w:val="0"/>
        <w:adjustRightInd/>
        <w:snapToGrid/>
        <w:spacing w:line="440" w:lineRule="exact"/>
        <w:ind w:left="0" w:leftChars="0" w:firstLine="200" w:firstLineChars="100"/>
        <w:jc w:val="both"/>
        <w:textAlignment w:val="auto"/>
        <w:rPr>
          <w:rStyle w:val="31"/>
          <w:rFonts w:hint="eastAsia" w:ascii="宋体" w:hAnsi="宋体" w:eastAsia="宋体" w:cs="宋体"/>
          <w:color w:val="auto"/>
          <w:highlight w:val="none"/>
          <w:lang w:val="en-US" w:bidi="en-US"/>
        </w:rPr>
      </w:pPr>
      <w:r>
        <w:rPr>
          <w:rStyle w:val="31"/>
          <w:rFonts w:hint="eastAsia" w:ascii="宋体" w:hAnsi="宋体" w:eastAsia="宋体" w:cs="宋体"/>
          <w:color w:val="auto"/>
          <w:highlight w:val="none"/>
          <w:lang w:val="en-US" w:bidi="en-US"/>
        </w:rPr>
        <w:t>（2）承包人应保证项目负责人每月在工地现场的时间不少于</w:t>
      </w:r>
      <w:r>
        <w:rPr>
          <w:rStyle w:val="31"/>
          <w:rFonts w:hint="eastAsia" w:ascii="宋体" w:hAnsi="宋体" w:eastAsia="宋体" w:cs="宋体"/>
          <w:color w:val="auto"/>
          <w:highlight w:val="none"/>
          <w:u w:val="single"/>
          <w:lang w:val="en-US" w:eastAsia="zh-CN" w:bidi="en-US"/>
        </w:rPr>
        <w:t>22</w:t>
      </w:r>
      <w:r>
        <w:rPr>
          <w:rStyle w:val="31"/>
          <w:rFonts w:hint="eastAsia" w:ascii="宋体" w:hAnsi="宋体" w:eastAsia="宋体" w:cs="宋体"/>
          <w:color w:val="auto"/>
          <w:highlight w:val="none"/>
          <w:u w:val="single"/>
          <w:lang w:val="en-US" w:bidi="en-US"/>
        </w:rPr>
        <w:t xml:space="preserve"> </w:t>
      </w:r>
      <w:r>
        <w:rPr>
          <w:rStyle w:val="31"/>
          <w:rFonts w:hint="eastAsia" w:ascii="宋体" w:hAnsi="宋体" w:eastAsia="宋体" w:cs="宋体"/>
          <w:color w:val="auto"/>
          <w:highlight w:val="none"/>
          <w:lang w:val="en-US" w:bidi="en-US"/>
        </w:rPr>
        <w:t>日，否则将按每人每天人民币</w:t>
      </w:r>
      <w:r>
        <w:rPr>
          <w:rStyle w:val="31"/>
          <w:rFonts w:hint="eastAsia" w:ascii="宋体" w:hAnsi="宋体" w:eastAsia="宋体" w:cs="宋体"/>
          <w:color w:val="auto"/>
          <w:highlight w:val="none"/>
          <w:u w:val="single"/>
          <w:lang w:val="en-US" w:bidi="en-US"/>
        </w:rPr>
        <w:t xml:space="preserve">  </w:t>
      </w:r>
      <w:r>
        <w:rPr>
          <w:rStyle w:val="31"/>
          <w:rFonts w:hint="eastAsia" w:ascii="宋体" w:hAnsi="宋体" w:eastAsia="宋体" w:cs="宋体"/>
          <w:color w:val="auto"/>
          <w:highlight w:val="none"/>
          <w:u w:val="single"/>
          <w:lang w:val="en-US" w:eastAsia="zh-CN" w:bidi="en-US"/>
        </w:rPr>
        <w:t xml:space="preserve">    </w:t>
      </w:r>
      <w:r>
        <w:rPr>
          <w:rStyle w:val="31"/>
          <w:rFonts w:hint="eastAsia" w:ascii="宋体" w:hAnsi="宋体" w:eastAsia="宋体" w:cs="宋体"/>
          <w:color w:val="auto"/>
          <w:highlight w:val="none"/>
          <w:u w:val="single"/>
          <w:lang w:val="en-US" w:bidi="en-US"/>
        </w:rPr>
        <w:t xml:space="preserve">   </w:t>
      </w:r>
      <w:r>
        <w:rPr>
          <w:rStyle w:val="31"/>
          <w:rFonts w:hint="eastAsia" w:ascii="宋体" w:hAnsi="宋体" w:eastAsia="宋体" w:cs="宋体"/>
          <w:color w:val="auto"/>
          <w:highlight w:val="none"/>
          <w:lang w:val="en-US" w:bidi="en-US"/>
        </w:rPr>
        <w:t xml:space="preserve">元的标准向发包人支付违约金，由有关行政监督部门处理后报请有关行政监督部门将结果记入市场主体信用档案，公布不良行为记录。上述人员因其他事务需短期离开工地，应向发包人请假，经批准后方可离开，离开期间应委托项目相关负责人负责其外出时的日常工作。 </w:t>
      </w:r>
    </w:p>
    <w:p w14:paraId="778A07B6">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488" w:name="_Toc256000190"/>
      <w:bookmarkStart w:id="1489" w:name="_Toc256000267"/>
      <w:r>
        <w:rPr>
          <w:rStyle w:val="31"/>
          <w:rFonts w:hint="eastAsia" w:ascii="宋体" w:hAnsi="宋体" w:eastAsia="宋体" w:cs="宋体"/>
          <w:color w:val="auto"/>
          <w:sz w:val="24"/>
          <w:szCs w:val="24"/>
          <w:highlight w:val="none"/>
          <w:lang w:eastAsia="zh-CN" w:bidi="en-US"/>
        </w:rPr>
        <w:t>4.6承包人人员的管理</w:t>
      </w:r>
      <w:bookmarkEnd w:id="1488"/>
      <w:bookmarkEnd w:id="1489"/>
    </w:p>
    <w:p w14:paraId="5AA83375">
      <w:pPr>
        <w:pStyle w:val="101"/>
        <w:pageBreakBefore w:val="0"/>
        <w:widowControl w:val="0"/>
        <w:tabs>
          <w:tab w:val="left" w:pos="5849"/>
        </w:tabs>
        <w:kinsoku/>
        <w:wordWrap/>
        <w:overflowPunct/>
        <w:topLinePunct w:val="0"/>
        <w:autoSpaceDE/>
        <w:autoSpaceDN/>
        <w:bidi w:val="0"/>
        <w:adjustRightInd/>
        <w:snapToGrid/>
        <w:spacing w:line="440" w:lineRule="exact"/>
        <w:ind w:left="0" w:leftChars="0" w:firstLine="400" w:firstLineChars="200"/>
        <w:jc w:val="both"/>
        <w:textAlignment w:val="auto"/>
        <w:rPr>
          <w:rStyle w:val="31"/>
          <w:rFonts w:hint="eastAsia" w:ascii="宋体" w:hAnsi="宋体" w:eastAsia="宋体" w:cs="宋体"/>
          <w:color w:val="auto"/>
          <w:highlight w:val="none"/>
          <w:lang w:val="en-US" w:bidi="en-US"/>
        </w:rPr>
      </w:pPr>
      <w:r>
        <w:rPr>
          <w:rStyle w:val="31"/>
          <w:rFonts w:hint="eastAsia" w:ascii="宋体" w:hAnsi="宋体" w:eastAsia="宋体" w:cs="宋体"/>
          <w:color w:val="auto"/>
          <w:highlight w:val="none"/>
          <w:lang w:val="en-US" w:bidi="en-US"/>
        </w:rPr>
        <w:t>4.6.5承包人应保证项目总工（技术负责人）、专职安全员每月在工地现场的时间不少于</w:t>
      </w:r>
      <w:r>
        <w:rPr>
          <w:rStyle w:val="31"/>
          <w:rFonts w:hint="eastAsia" w:ascii="宋体" w:hAnsi="宋体" w:eastAsia="宋体" w:cs="宋体"/>
          <w:color w:val="auto"/>
          <w:highlight w:val="none"/>
          <w:u w:val="single"/>
          <w:lang w:val="en-US" w:bidi="en-US"/>
        </w:rPr>
        <w:t xml:space="preserve">   </w:t>
      </w:r>
      <w:r>
        <w:rPr>
          <w:rStyle w:val="31"/>
          <w:rFonts w:hint="eastAsia" w:ascii="宋体" w:hAnsi="宋体" w:eastAsia="宋体" w:cs="宋体"/>
          <w:color w:val="auto"/>
          <w:highlight w:val="none"/>
          <w:u w:val="single"/>
          <w:lang w:val="en-US" w:eastAsia="zh-CN" w:bidi="en-US"/>
        </w:rPr>
        <w:t>22</w:t>
      </w:r>
      <w:r>
        <w:rPr>
          <w:rStyle w:val="31"/>
          <w:rFonts w:hint="eastAsia" w:ascii="宋体" w:hAnsi="宋体" w:eastAsia="宋体" w:cs="宋体"/>
          <w:color w:val="auto"/>
          <w:highlight w:val="none"/>
          <w:u w:val="single"/>
          <w:lang w:val="en-US" w:bidi="en-US"/>
        </w:rPr>
        <w:t xml:space="preserve">   </w:t>
      </w:r>
      <w:r>
        <w:rPr>
          <w:rStyle w:val="31"/>
          <w:rFonts w:hint="eastAsia" w:ascii="宋体" w:hAnsi="宋体" w:eastAsia="宋体" w:cs="宋体"/>
          <w:color w:val="auto"/>
          <w:highlight w:val="none"/>
          <w:lang w:val="en-US" w:bidi="en-US"/>
        </w:rPr>
        <w:t>日，否则将按每人每天人民币</w:t>
      </w:r>
      <w:r>
        <w:rPr>
          <w:rStyle w:val="31"/>
          <w:rFonts w:hint="eastAsia" w:ascii="宋体" w:hAnsi="宋体" w:eastAsia="宋体" w:cs="宋体"/>
          <w:color w:val="auto"/>
          <w:highlight w:val="none"/>
          <w:u w:val="single"/>
          <w:lang w:val="en-US" w:bidi="en-US"/>
        </w:rPr>
        <w:t xml:space="preserve"> </w:t>
      </w:r>
      <w:r>
        <w:rPr>
          <w:rStyle w:val="31"/>
          <w:rFonts w:hint="eastAsia" w:ascii="宋体" w:hAnsi="宋体" w:eastAsia="宋体" w:cs="宋体"/>
          <w:color w:val="auto"/>
          <w:highlight w:val="none"/>
          <w:u w:val="single"/>
          <w:lang w:val="en-US" w:eastAsia="zh-CN" w:bidi="en-US"/>
        </w:rPr>
        <w:t>500</w:t>
      </w:r>
      <w:r>
        <w:rPr>
          <w:rStyle w:val="31"/>
          <w:rFonts w:hint="eastAsia" w:ascii="宋体" w:hAnsi="宋体" w:eastAsia="宋体" w:cs="宋体"/>
          <w:color w:val="auto"/>
          <w:highlight w:val="none"/>
          <w:u w:val="single"/>
          <w:lang w:val="en-US" w:bidi="en-US"/>
        </w:rPr>
        <w:t xml:space="preserve"> </w:t>
      </w:r>
      <w:r>
        <w:rPr>
          <w:rStyle w:val="31"/>
          <w:rFonts w:hint="eastAsia" w:ascii="宋体" w:hAnsi="宋体" w:eastAsia="宋体" w:cs="宋体"/>
          <w:color w:val="auto"/>
          <w:highlight w:val="none"/>
          <w:lang w:val="en-US" w:bidi="en-US"/>
        </w:rPr>
        <w:t>元的标准向发包人支付违约金。上述人员因其他事务需短期离开工地，应向发包人请假，经批准后方可离开，离开期间应委托项目相关负责人负责其外出时的日常工作。</w:t>
      </w:r>
    </w:p>
    <w:p w14:paraId="76A159FF">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490" w:name="_Toc256000268"/>
      <w:bookmarkStart w:id="1491" w:name="bookmark1658"/>
      <w:bookmarkStart w:id="1492" w:name="bookmark1657"/>
      <w:bookmarkStart w:id="1493" w:name="_Toc256000191"/>
      <w:bookmarkStart w:id="1494" w:name="bookmark1656"/>
      <w:r>
        <w:rPr>
          <w:rStyle w:val="31"/>
          <w:rFonts w:hint="eastAsia" w:ascii="宋体" w:hAnsi="宋体" w:eastAsia="宋体" w:cs="宋体"/>
          <w:color w:val="auto"/>
          <w:sz w:val="24"/>
          <w:szCs w:val="24"/>
          <w:highlight w:val="none"/>
          <w:lang w:eastAsia="zh-CN" w:bidi="en-US"/>
        </w:rPr>
        <w:t>4.7撤换承包人项目经理和其他人员</w:t>
      </w:r>
      <w:bookmarkEnd w:id="1490"/>
      <w:bookmarkEnd w:id="1491"/>
      <w:bookmarkEnd w:id="1492"/>
      <w:bookmarkEnd w:id="1493"/>
      <w:bookmarkEnd w:id="1494"/>
    </w:p>
    <w:p w14:paraId="22A8DDE1">
      <w:pPr>
        <w:pStyle w:val="101"/>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口</w:t>
      </w:r>
      <w:r>
        <w:rPr>
          <w:rStyle w:val="31"/>
          <w:rFonts w:hint="eastAsia" w:ascii="宋体" w:hAnsi="宋体" w:eastAsia="宋体" w:cs="宋体"/>
          <w:color w:val="auto"/>
          <w:highlight w:val="none"/>
          <w:lang w:val="en-US" w:bidi="en-US"/>
        </w:rPr>
        <w:t>4.7.</w:t>
      </w:r>
      <w:r>
        <w:rPr>
          <w:rStyle w:val="31"/>
          <w:rFonts w:hint="eastAsia" w:ascii="宋体" w:hAnsi="宋体" w:eastAsia="宋体" w:cs="宋体"/>
          <w:color w:val="auto"/>
          <w:highlight w:val="none"/>
        </w:rPr>
        <w:t>1中标人根据投标文件的承诺，投入本项目的项目经理、技术负责人、质量管理员、安全管理员等主要管理人员中标后不得更换(除因故去世、调离本单位外)。</w:t>
      </w:r>
    </w:p>
    <w:p w14:paraId="7810BCDA">
      <w:pPr>
        <w:pStyle w:val="101"/>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口</w:t>
      </w:r>
      <w:r>
        <w:rPr>
          <w:rStyle w:val="31"/>
          <w:rFonts w:hint="eastAsia" w:ascii="宋体" w:hAnsi="宋体" w:eastAsia="宋体" w:cs="宋体"/>
          <w:color w:val="auto"/>
          <w:highlight w:val="none"/>
          <w:lang w:val="en-US" w:bidi="en-US"/>
        </w:rPr>
        <w:t>4.7.</w:t>
      </w:r>
      <w:r>
        <w:rPr>
          <w:rStyle w:val="31"/>
          <w:rFonts w:hint="eastAsia" w:ascii="宋体" w:hAnsi="宋体" w:eastAsia="宋体" w:cs="宋体"/>
          <w:color w:val="auto"/>
          <w:highlight w:val="none"/>
        </w:rPr>
        <w:t>1投入本项目的项目经理、技术负责人、质量管理员、专职管理员等主要管理人员中标后，经中标人申请、监理机构审核允许、招标人同意后方可变更为不低于同等条 件的人员。</w:t>
      </w:r>
    </w:p>
    <w:p w14:paraId="62688A5A">
      <w:pPr>
        <w:pStyle w:val="101"/>
        <w:pageBreakBefore w:val="0"/>
        <w:widowControl w:val="0"/>
        <w:tabs>
          <w:tab w:val="left" w:pos="4711"/>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4.7.2除非发包人要求或者批准，承包人擅自更换项目经理、项目副经理、技术负责人、专职安全员的，将按每人每天人民币</w:t>
      </w:r>
      <w:r>
        <w:rPr>
          <w:rStyle w:val="31"/>
          <w:rFonts w:hint="eastAsia" w:ascii="宋体" w:hAnsi="宋体" w:eastAsia="宋体" w:cs="宋体"/>
          <w:color w:val="auto"/>
          <w:highlight w:val="none"/>
          <w:u w:val="single"/>
          <w:lang w:val="en-US" w:bidi="en-US"/>
        </w:rPr>
        <w:t xml:space="preserve">     </w:t>
      </w:r>
      <w:r>
        <w:rPr>
          <w:rStyle w:val="31"/>
          <w:rFonts w:hint="eastAsia" w:ascii="宋体" w:hAnsi="宋体" w:eastAsia="宋体" w:cs="宋体"/>
          <w:color w:val="auto"/>
          <w:highlight w:val="none"/>
          <w:lang w:val="en-US" w:bidi="en-US"/>
        </w:rPr>
        <w:t>元的标准向发包人支付违约金</w:t>
      </w:r>
      <w:r>
        <w:rPr>
          <w:rStyle w:val="31"/>
          <w:rFonts w:hint="eastAsia" w:ascii="宋体" w:hAnsi="宋体" w:eastAsia="宋体" w:cs="宋体"/>
          <w:color w:val="auto"/>
          <w:highlight w:val="none"/>
        </w:rPr>
        <w:t>，由有关行政监督部门处理后报请有关行政监督部门将结果记入市场主体信用档案，公布不良行为记录。</w:t>
      </w:r>
    </w:p>
    <w:p w14:paraId="6AC3DB9C">
      <w:pPr>
        <w:pStyle w:val="101"/>
        <w:pageBreakBefore w:val="0"/>
        <w:widowControl w:val="0"/>
        <w:tabs>
          <w:tab w:val="left" w:pos="4711"/>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lang w:val="en-US"/>
        </w:rPr>
      </w:pPr>
      <w:r>
        <w:rPr>
          <w:rStyle w:val="31"/>
          <w:rFonts w:hint="eastAsia" w:ascii="宋体" w:hAnsi="宋体" w:eastAsia="宋体" w:cs="宋体"/>
          <w:color w:val="auto"/>
          <w:highlight w:val="none"/>
          <w:lang w:val="en-US"/>
        </w:rPr>
        <w:t>4.7.3尽管承包人已按第4.6.2款的规定派遣了各类人员，但仍然不能满足合同工程的进度计划或质量要求时，发包人有权要求承包人继续增派（/或更换）人员。承包人在接到通知14天内，增派（和/或更换）的人员要到岗，否则，承包人应按</w:t>
      </w:r>
      <w:r>
        <w:rPr>
          <w:rStyle w:val="31"/>
          <w:rFonts w:hint="eastAsia" w:ascii="宋体" w:hAnsi="宋体" w:eastAsia="宋体" w:cs="宋体"/>
          <w:color w:val="auto"/>
          <w:highlight w:val="none"/>
          <w:lang w:val="en-US" w:bidi="en-US"/>
        </w:rPr>
        <w:t>每人每天人民币</w:t>
      </w:r>
      <w:r>
        <w:rPr>
          <w:rStyle w:val="31"/>
          <w:rFonts w:hint="eastAsia" w:ascii="宋体" w:hAnsi="宋体" w:eastAsia="宋体" w:cs="宋体"/>
          <w:color w:val="auto"/>
          <w:highlight w:val="none"/>
          <w:u w:val="single"/>
          <w:lang w:val="en-US" w:bidi="en-US"/>
        </w:rPr>
        <w:t xml:space="preserve">      </w:t>
      </w:r>
      <w:r>
        <w:rPr>
          <w:rStyle w:val="31"/>
          <w:rFonts w:hint="eastAsia" w:ascii="宋体" w:hAnsi="宋体" w:eastAsia="宋体" w:cs="宋体"/>
          <w:color w:val="auto"/>
          <w:highlight w:val="none"/>
          <w:lang w:val="en-US" w:bidi="en-US"/>
        </w:rPr>
        <w:t>元</w:t>
      </w:r>
      <w:r>
        <w:rPr>
          <w:rStyle w:val="31"/>
          <w:rFonts w:hint="eastAsia" w:ascii="宋体" w:hAnsi="宋体" w:eastAsia="宋体" w:cs="宋体"/>
          <w:color w:val="auto"/>
          <w:highlight w:val="none"/>
          <w:lang w:val="en-US"/>
        </w:rPr>
        <w:t>的标准向发包人支付违约金，直至按照发包人的要求增派（和/或更换）的人员到岗为此。</w:t>
      </w:r>
    </w:p>
    <w:p w14:paraId="023AFBDD">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495" w:name="bookmark1659"/>
      <w:bookmarkStart w:id="1496" w:name="bookmark1660"/>
      <w:bookmarkStart w:id="1497" w:name="bookmark1661"/>
      <w:bookmarkStart w:id="1498" w:name="_Toc256000192"/>
      <w:bookmarkStart w:id="1499" w:name="_Toc256000269"/>
      <w:r>
        <w:rPr>
          <w:rStyle w:val="31"/>
          <w:rFonts w:hint="eastAsia" w:ascii="宋体" w:hAnsi="宋体" w:eastAsia="宋体" w:cs="宋体"/>
          <w:color w:val="auto"/>
          <w:sz w:val="24"/>
          <w:szCs w:val="24"/>
          <w:highlight w:val="none"/>
          <w:lang w:eastAsia="zh-CN" w:bidi="en-US"/>
        </w:rPr>
        <w:t>4.11不利物质条件</w:t>
      </w:r>
      <w:bookmarkEnd w:id="1495"/>
      <w:bookmarkEnd w:id="1496"/>
      <w:bookmarkEnd w:id="1497"/>
      <w:bookmarkEnd w:id="1498"/>
      <w:bookmarkEnd w:id="1499"/>
    </w:p>
    <w:p w14:paraId="62E30995">
      <w:pPr>
        <w:pStyle w:val="101"/>
        <w:pageBreakBefore w:val="0"/>
        <w:widowControl w:val="0"/>
        <w:tabs>
          <w:tab w:val="left" w:pos="8230"/>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4.11.1</w:t>
      </w:r>
      <w:r>
        <w:rPr>
          <w:rStyle w:val="31"/>
          <w:rFonts w:hint="eastAsia" w:ascii="宋体" w:hAnsi="宋体" w:eastAsia="宋体" w:cs="宋体"/>
          <w:color w:val="auto"/>
          <w:highlight w:val="none"/>
        </w:rPr>
        <w:t>不利物质条件的范围：</w:t>
      </w:r>
      <w:r>
        <w:rPr>
          <w:rStyle w:val="31"/>
          <w:rFonts w:hint="eastAsia" w:ascii="宋体" w:hAnsi="宋体" w:eastAsia="宋体" w:cs="宋体"/>
          <w:color w:val="auto"/>
          <w:highlight w:val="none"/>
          <w:u w:val="single"/>
        </w:rPr>
        <w:t xml:space="preserve">  </w:t>
      </w:r>
      <w:r>
        <w:rPr>
          <w:rStyle w:val="31"/>
          <w:rFonts w:hint="eastAsia" w:ascii="宋体" w:hAnsi="宋体" w:eastAsia="宋体" w:cs="宋体"/>
          <w:color w:val="auto"/>
          <w:highlight w:val="none"/>
          <w:u w:val="single"/>
          <w:lang w:eastAsia="zh-CN"/>
        </w:rPr>
        <w:t>无</w:t>
      </w:r>
      <w:r>
        <w:rPr>
          <w:rStyle w:val="31"/>
          <w:rFonts w:hint="eastAsia" w:ascii="宋体" w:hAnsi="宋体" w:eastAsia="宋体" w:cs="宋体"/>
          <w:color w:val="auto"/>
          <w:highlight w:val="none"/>
          <w:u w:val="single"/>
        </w:rPr>
        <w:t xml:space="preserve">   </w:t>
      </w:r>
      <w:r>
        <w:rPr>
          <w:rStyle w:val="31"/>
          <w:rFonts w:hint="eastAsia" w:ascii="宋体" w:hAnsi="宋体" w:eastAsia="宋体" w:cs="宋体"/>
          <w:color w:val="auto"/>
          <w:highlight w:val="none"/>
          <w:lang w:val="en-US" w:bidi="en-US"/>
        </w:rPr>
        <w:t>。</w:t>
      </w:r>
    </w:p>
    <w:p w14:paraId="582C3D92">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highlight w:val="none"/>
          <w:lang w:eastAsia="zh-CN"/>
        </w:rPr>
      </w:pPr>
      <w:bookmarkStart w:id="1500" w:name="bookmark1664"/>
      <w:bookmarkEnd w:id="1500"/>
      <w:bookmarkStart w:id="1501" w:name="_Toc256000193"/>
      <w:bookmarkStart w:id="1502" w:name="bookmark1662"/>
      <w:bookmarkStart w:id="1503" w:name="_Toc22685"/>
      <w:bookmarkStart w:id="1504" w:name="bookmark1665"/>
      <w:bookmarkStart w:id="1505" w:name="_Toc256000270"/>
      <w:bookmarkStart w:id="1506" w:name="bookmark1663"/>
      <w:r>
        <w:rPr>
          <w:rStyle w:val="31"/>
          <w:rFonts w:hint="eastAsia" w:ascii="宋体" w:hAnsi="宋体" w:eastAsia="宋体" w:cs="宋体"/>
          <w:color w:val="auto"/>
          <w:highlight w:val="none"/>
          <w:lang w:eastAsia="zh-CN"/>
        </w:rPr>
        <w:t>5. 材料和工程设备</w:t>
      </w:r>
      <w:bookmarkEnd w:id="1501"/>
      <w:bookmarkEnd w:id="1502"/>
      <w:bookmarkEnd w:id="1503"/>
      <w:bookmarkEnd w:id="1504"/>
      <w:bookmarkEnd w:id="1505"/>
      <w:bookmarkEnd w:id="1506"/>
    </w:p>
    <w:p w14:paraId="07C49D9B">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507" w:name="_Toc256000194"/>
      <w:bookmarkStart w:id="1508" w:name="bookmark1668"/>
      <w:bookmarkStart w:id="1509" w:name="_Toc256000271"/>
      <w:bookmarkStart w:id="1510" w:name="bookmark1667"/>
      <w:bookmarkStart w:id="1511" w:name="bookmark1666"/>
      <w:r>
        <w:rPr>
          <w:rStyle w:val="31"/>
          <w:rFonts w:hint="eastAsia" w:ascii="宋体" w:hAnsi="宋体" w:eastAsia="宋体" w:cs="宋体"/>
          <w:color w:val="auto"/>
          <w:sz w:val="24"/>
          <w:szCs w:val="24"/>
          <w:highlight w:val="none"/>
          <w:lang w:eastAsia="zh-CN" w:bidi="en-US"/>
        </w:rPr>
        <w:t>5.2发包人提供的材料和工程设备</w:t>
      </w:r>
      <w:bookmarkEnd w:id="1507"/>
      <w:bookmarkEnd w:id="1508"/>
      <w:bookmarkEnd w:id="1509"/>
      <w:bookmarkEnd w:id="1510"/>
      <w:bookmarkEnd w:id="1511"/>
    </w:p>
    <w:p w14:paraId="0397AC0D">
      <w:pPr>
        <w:pStyle w:val="101"/>
        <w:pageBreakBefore w:val="0"/>
        <w:widowControl w:val="0"/>
        <w:tabs>
          <w:tab w:val="left" w:pos="8230"/>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highlight w:val="none"/>
          <w:u w:val="single"/>
          <w:lang w:eastAsia="zh-CN"/>
        </w:rPr>
      </w:pPr>
      <w:bookmarkStart w:id="1512" w:name="bookmark1669"/>
      <w:bookmarkEnd w:id="1512"/>
      <w:r>
        <w:rPr>
          <w:rStyle w:val="31"/>
          <w:rFonts w:hint="eastAsia" w:ascii="宋体" w:hAnsi="宋体" w:eastAsia="宋体" w:cs="宋体"/>
          <w:color w:val="auto"/>
          <w:highlight w:val="none"/>
        </w:rPr>
        <w:t>5.2.1  发包人提供的材料和工程设备：</w:t>
      </w:r>
      <w:r>
        <w:rPr>
          <w:rStyle w:val="31"/>
          <w:rFonts w:hint="eastAsia" w:ascii="宋体" w:hAnsi="宋体" w:eastAsia="宋体" w:cs="宋体"/>
          <w:color w:val="auto"/>
          <w:highlight w:val="none"/>
          <w:u w:val="single"/>
          <w:lang w:eastAsia="zh-CN"/>
        </w:rPr>
        <w:t>无。</w:t>
      </w:r>
    </w:p>
    <w:p w14:paraId="26CFC3AC">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highlight w:val="none"/>
          <w:lang w:eastAsia="zh-CN"/>
        </w:rPr>
      </w:pPr>
      <w:bookmarkStart w:id="1513" w:name="bookmark1672"/>
      <w:bookmarkEnd w:id="1513"/>
      <w:bookmarkStart w:id="1514" w:name="bookmark1670"/>
      <w:bookmarkStart w:id="1515" w:name="bookmark1673"/>
      <w:bookmarkStart w:id="1516" w:name="_Toc256000272"/>
      <w:bookmarkStart w:id="1517" w:name="_Toc6599"/>
      <w:bookmarkStart w:id="1518" w:name="_Toc453"/>
      <w:bookmarkStart w:id="1519" w:name="_Toc9582"/>
      <w:bookmarkStart w:id="1520" w:name="_Toc256000195"/>
      <w:bookmarkStart w:id="1521" w:name="bookmark1671"/>
      <w:r>
        <w:rPr>
          <w:rStyle w:val="31"/>
          <w:rFonts w:hint="eastAsia" w:ascii="宋体" w:hAnsi="宋体" w:eastAsia="宋体" w:cs="宋体"/>
          <w:color w:val="auto"/>
          <w:highlight w:val="none"/>
          <w:lang w:eastAsia="zh-CN"/>
        </w:rPr>
        <w:t>6. 施工设备和临时设施</w:t>
      </w:r>
      <w:bookmarkEnd w:id="1514"/>
      <w:bookmarkEnd w:id="1515"/>
      <w:bookmarkEnd w:id="1516"/>
      <w:bookmarkEnd w:id="1517"/>
      <w:bookmarkEnd w:id="1518"/>
      <w:bookmarkEnd w:id="1519"/>
      <w:bookmarkEnd w:id="1520"/>
      <w:bookmarkEnd w:id="1521"/>
    </w:p>
    <w:p w14:paraId="7D770720">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522" w:name="bookmark1675"/>
      <w:bookmarkStart w:id="1523" w:name="_Toc256000273"/>
      <w:bookmarkStart w:id="1524" w:name="bookmark1674"/>
      <w:bookmarkStart w:id="1525" w:name="_Toc256000196"/>
      <w:bookmarkStart w:id="1526" w:name="bookmark1676"/>
      <w:r>
        <w:rPr>
          <w:rStyle w:val="31"/>
          <w:rFonts w:hint="eastAsia" w:ascii="宋体" w:hAnsi="宋体" w:eastAsia="宋体" w:cs="宋体"/>
          <w:color w:val="auto"/>
          <w:sz w:val="24"/>
          <w:szCs w:val="24"/>
          <w:highlight w:val="none"/>
          <w:lang w:eastAsia="zh-CN" w:bidi="en-US"/>
        </w:rPr>
        <w:t>6.1承包人提供的施工设备和临时设施</w:t>
      </w:r>
      <w:bookmarkEnd w:id="1522"/>
      <w:bookmarkEnd w:id="1523"/>
      <w:bookmarkEnd w:id="1524"/>
      <w:bookmarkEnd w:id="1525"/>
      <w:bookmarkEnd w:id="1526"/>
    </w:p>
    <w:p w14:paraId="6B2D8B84">
      <w:pPr>
        <w:pStyle w:val="101"/>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6.1.2</w:t>
      </w:r>
      <w:r>
        <w:rPr>
          <w:rStyle w:val="31"/>
          <w:rFonts w:hint="eastAsia" w:ascii="宋体" w:hAnsi="宋体" w:eastAsia="宋体" w:cs="宋体"/>
          <w:color w:val="auto"/>
          <w:highlight w:val="none"/>
        </w:rPr>
        <w:t>承包人自行承担修建临时设施的费用，需要临时占地的，由承包人办理相关申请手续，发包人予以协助，发生的相关费用由承包人承担。</w:t>
      </w:r>
    </w:p>
    <w:p w14:paraId="18E6990B">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527" w:name="bookmark1677"/>
      <w:bookmarkStart w:id="1528" w:name="bookmark1678"/>
      <w:bookmarkStart w:id="1529" w:name="_Toc256000197"/>
      <w:bookmarkStart w:id="1530" w:name="_Toc256000274"/>
      <w:bookmarkStart w:id="1531" w:name="bookmark1679"/>
      <w:r>
        <w:rPr>
          <w:rStyle w:val="31"/>
          <w:rFonts w:hint="eastAsia" w:ascii="宋体" w:hAnsi="宋体" w:eastAsia="宋体" w:cs="宋体"/>
          <w:color w:val="auto"/>
          <w:sz w:val="24"/>
          <w:szCs w:val="24"/>
          <w:highlight w:val="none"/>
          <w:lang w:eastAsia="zh-CN" w:bidi="en-US"/>
        </w:rPr>
        <w:t>6.2发包人提供的施工设备和临时设施</w:t>
      </w:r>
      <w:bookmarkEnd w:id="1527"/>
      <w:bookmarkEnd w:id="1528"/>
      <w:bookmarkEnd w:id="1529"/>
      <w:bookmarkEnd w:id="1530"/>
      <w:bookmarkEnd w:id="1531"/>
    </w:p>
    <w:p w14:paraId="68092E01">
      <w:pPr>
        <w:pStyle w:val="101"/>
        <w:pageBreakBefore w:val="0"/>
        <w:widowControl w:val="0"/>
        <w:tabs>
          <w:tab w:val="left" w:pos="903"/>
          <w:tab w:val="left" w:pos="8198"/>
        </w:tabs>
        <w:kinsoku/>
        <w:wordWrap/>
        <w:overflowPunct/>
        <w:topLinePunct w:val="0"/>
        <w:autoSpaceDE/>
        <w:autoSpaceDN/>
        <w:bidi w:val="0"/>
        <w:adjustRightInd/>
        <w:snapToGrid/>
        <w:spacing w:line="440" w:lineRule="exact"/>
        <w:ind w:left="0" w:leftChars="0" w:firstLine="400" w:firstLineChars="200"/>
        <w:jc w:val="both"/>
        <w:textAlignment w:val="auto"/>
        <w:rPr>
          <w:rStyle w:val="31"/>
          <w:rFonts w:hint="eastAsia" w:ascii="宋体" w:hAnsi="宋体" w:eastAsia="宋体" w:cs="宋体"/>
          <w:color w:val="auto"/>
          <w:highlight w:val="none"/>
          <w:lang w:val="en-US" w:eastAsia="zh-CN" w:bidi="en-US"/>
        </w:rPr>
      </w:pPr>
      <w:bookmarkStart w:id="1532" w:name="bookmark1680"/>
      <w:bookmarkEnd w:id="1532"/>
      <w:r>
        <w:rPr>
          <w:rStyle w:val="31"/>
          <w:rFonts w:hint="eastAsia" w:ascii="宋体" w:hAnsi="宋体" w:eastAsia="宋体" w:cs="宋体"/>
          <w:color w:val="auto"/>
          <w:highlight w:val="none"/>
        </w:rPr>
        <w:t>（</w:t>
      </w:r>
      <w:r>
        <w:rPr>
          <w:rStyle w:val="31"/>
          <w:rFonts w:hint="eastAsia" w:ascii="宋体" w:hAnsi="宋体" w:eastAsia="宋体" w:cs="宋体"/>
          <w:color w:val="auto"/>
          <w:highlight w:val="none"/>
          <w:lang w:val="en-US"/>
        </w:rPr>
        <w:t>1</w:t>
      </w:r>
      <w:r>
        <w:rPr>
          <w:rStyle w:val="31"/>
          <w:rFonts w:hint="eastAsia" w:ascii="宋体" w:hAnsi="宋体" w:eastAsia="宋体" w:cs="宋体"/>
          <w:color w:val="auto"/>
          <w:highlight w:val="none"/>
        </w:rPr>
        <w:t>）发包人提供的的施工设备：</w:t>
      </w:r>
      <w:r>
        <w:rPr>
          <w:rStyle w:val="31"/>
          <w:rFonts w:hint="eastAsia" w:ascii="宋体" w:hAnsi="宋体" w:eastAsia="宋体" w:cs="宋体"/>
          <w:color w:val="auto"/>
          <w:highlight w:val="none"/>
          <w:u w:val="single"/>
          <w:lang w:eastAsia="zh-CN"/>
        </w:rPr>
        <w:t>无。</w:t>
      </w:r>
    </w:p>
    <w:p w14:paraId="78DC5CBC">
      <w:pPr>
        <w:pStyle w:val="101"/>
        <w:pageBreakBefore w:val="0"/>
        <w:widowControl w:val="0"/>
        <w:tabs>
          <w:tab w:val="left" w:pos="903"/>
          <w:tab w:val="left" w:pos="8198"/>
        </w:tabs>
        <w:kinsoku/>
        <w:wordWrap/>
        <w:overflowPunct/>
        <w:topLinePunct w:val="0"/>
        <w:autoSpaceDE/>
        <w:autoSpaceDN/>
        <w:bidi w:val="0"/>
        <w:adjustRightInd/>
        <w:snapToGrid/>
        <w:spacing w:line="440" w:lineRule="exact"/>
        <w:ind w:left="0" w:leftChars="0" w:firstLine="400" w:firstLineChars="200"/>
        <w:jc w:val="both"/>
        <w:textAlignment w:val="auto"/>
        <w:rPr>
          <w:rStyle w:val="31"/>
          <w:rFonts w:hint="eastAsia" w:ascii="宋体" w:hAnsi="宋体" w:eastAsia="宋体" w:cs="宋体"/>
          <w:color w:val="auto"/>
          <w:highlight w:val="none"/>
        </w:rPr>
      </w:pPr>
      <w:bookmarkStart w:id="1533" w:name="bookmark1681"/>
      <w:bookmarkEnd w:id="1533"/>
      <w:r>
        <w:rPr>
          <w:rStyle w:val="31"/>
          <w:rFonts w:hint="eastAsia" w:ascii="宋体" w:hAnsi="宋体" w:eastAsia="宋体" w:cs="宋体"/>
          <w:color w:val="auto"/>
          <w:highlight w:val="none"/>
        </w:rPr>
        <w:t>（</w:t>
      </w:r>
      <w:r>
        <w:rPr>
          <w:rStyle w:val="31"/>
          <w:rFonts w:hint="eastAsia" w:ascii="宋体" w:hAnsi="宋体" w:eastAsia="宋体" w:cs="宋体"/>
          <w:color w:val="auto"/>
          <w:highlight w:val="none"/>
          <w:lang w:val="en-US"/>
        </w:rPr>
        <w:t>2</w:t>
      </w:r>
      <w:r>
        <w:rPr>
          <w:rStyle w:val="31"/>
          <w:rFonts w:hint="eastAsia" w:ascii="宋体" w:hAnsi="宋体" w:eastAsia="宋体" w:cs="宋体"/>
          <w:color w:val="auto"/>
          <w:highlight w:val="none"/>
        </w:rPr>
        <w:t>）发包人提供的临时设施：</w:t>
      </w:r>
      <w:r>
        <w:rPr>
          <w:rStyle w:val="31"/>
          <w:rFonts w:hint="eastAsia" w:ascii="宋体" w:hAnsi="宋体" w:eastAsia="宋体" w:cs="宋体"/>
          <w:color w:val="auto"/>
          <w:highlight w:val="none"/>
          <w:u w:val="single"/>
        </w:rPr>
        <w:t xml:space="preserve">  </w:t>
      </w:r>
      <w:r>
        <w:rPr>
          <w:rStyle w:val="31"/>
          <w:rFonts w:hint="eastAsia" w:ascii="宋体" w:hAnsi="宋体" w:eastAsia="宋体" w:cs="宋体"/>
          <w:color w:val="auto"/>
          <w:highlight w:val="none"/>
          <w:u w:val="single"/>
          <w:lang w:eastAsia="zh-CN"/>
        </w:rPr>
        <w:t>无</w:t>
      </w:r>
      <w:r>
        <w:rPr>
          <w:rStyle w:val="31"/>
          <w:rFonts w:hint="eastAsia" w:ascii="宋体" w:hAnsi="宋体" w:eastAsia="宋体" w:cs="宋体"/>
          <w:color w:val="auto"/>
          <w:highlight w:val="none"/>
          <w:u w:val="single"/>
        </w:rPr>
        <w:t xml:space="preserve">  </w:t>
      </w:r>
      <w:r>
        <w:rPr>
          <w:rStyle w:val="31"/>
          <w:rFonts w:hint="eastAsia" w:ascii="宋体" w:hAnsi="宋体" w:eastAsia="宋体" w:cs="宋体"/>
          <w:color w:val="auto"/>
          <w:highlight w:val="none"/>
          <w:lang w:val="en-US" w:bidi="en-US"/>
        </w:rPr>
        <w:t>。</w:t>
      </w:r>
    </w:p>
    <w:p w14:paraId="2D13170A">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highlight w:val="none"/>
          <w:lang w:eastAsia="zh-CN"/>
        </w:rPr>
      </w:pPr>
      <w:bookmarkStart w:id="1534" w:name="bookmark1684"/>
      <w:bookmarkEnd w:id="1534"/>
      <w:bookmarkStart w:id="1535" w:name="_Toc256000275"/>
      <w:bookmarkStart w:id="1536" w:name="bookmark1683"/>
      <w:bookmarkStart w:id="1537" w:name="_Toc8746"/>
      <w:bookmarkStart w:id="1538" w:name="bookmark1685"/>
      <w:bookmarkStart w:id="1539" w:name="_Toc256000198"/>
      <w:bookmarkStart w:id="1540" w:name="_Toc9116"/>
      <w:bookmarkStart w:id="1541" w:name="_Toc18798"/>
      <w:bookmarkStart w:id="1542" w:name="bookmark1682"/>
      <w:bookmarkStart w:id="1543" w:name="bookmark1688"/>
      <w:bookmarkStart w:id="1544" w:name="bookmark1687"/>
      <w:bookmarkStart w:id="1545" w:name="bookmark1686"/>
      <w:r>
        <w:rPr>
          <w:rStyle w:val="31"/>
          <w:rFonts w:hint="eastAsia" w:ascii="宋体" w:hAnsi="宋体" w:eastAsia="宋体" w:cs="宋体"/>
          <w:color w:val="auto"/>
          <w:highlight w:val="none"/>
          <w:lang w:eastAsia="zh-CN"/>
        </w:rPr>
        <w:t>7. 交通运输</w:t>
      </w:r>
      <w:bookmarkEnd w:id="1535"/>
      <w:bookmarkEnd w:id="1536"/>
      <w:bookmarkEnd w:id="1537"/>
      <w:bookmarkEnd w:id="1538"/>
      <w:bookmarkEnd w:id="1539"/>
      <w:bookmarkEnd w:id="1540"/>
      <w:bookmarkEnd w:id="1541"/>
      <w:bookmarkEnd w:id="1542"/>
    </w:p>
    <w:p w14:paraId="4A0CCBE0">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546" w:name="_Toc256000199"/>
      <w:bookmarkStart w:id="1547" w:name="_Toc256000276"/>
      <w:r>
        <w:rPr>
          <w:rStyle w:val="31"/>
          <w:rFonts w:hint="eastAsia" w:ascii="宋体" w:hAnsi="宋体" w:eastAsia="宋体" w:cs="宋体"/>
          <w:color w:val="auto"/>
          <w:sz w:val="24"/>
          <w:szCs w:val="24"/>
          <w:highlight w:val="none"/>
          <w:lang w:eastAsia="zh-CN" w:bidi="en-US"/>
        </w:rPr>
        <w:t>7.1道路通行权和场外设施</w:t>
      </w:r>
      <w:bookmarkEnd w:id="1543"/>
      <w:bookmarkEnd w:id="1544"/>
      <w:bookmarkEnd w:id="1545"/>
      <w:bookmarkEnd w:id="1546"/>
      <w:bookmarkEnd w:id="1547"/>
    </w:p>
    <w:p w14:paraId="58619FDB">
      <w:pPr>
        <w:pStyle w:val="101"/>
        <w:pageBreakBefore w:val="0"/>
        <w:widowControl w:val="0"/>
        <w:tabs>
          <w:tab w:val="left" w:pos="8218"/>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highlight w:val="none"/>
          <w:lang w:val="en-US" w:bidi="en-US"/>
        </w:rPr>
      </w:pPr>
      <w:r>
        <w:rPr>
          <w:rStyle w:val="31"/>
          <w:rFonts w:hint="eastAsia" w:ascii="宋体" w:hAnsi="宋体" w:eastAsia="宋体" w:cs="宋体"/>
          <w:color w:val="auto"/>
          <w:highlight w:val="none"/>
        </w:rPr>
        <w:t>道路通行权和场外设施的约定：</w:t>
      </w:r>
      <w:r>
        <w:rPr>
          <w:rStyle w:val="31"/>
          <w:rFonts w:hint="eastAsia" w:ascii="宋体" w:hAnsi="宋体" w:eastAsia="宋体" w:cs="宋体"/>
          <w:color w:val="auto"/>
          <w:highlight w:val="none"/>
          <w:u w:val="single"/>
          <w:lang w:eastAsia="zh-CN"/>
        </w:rPr>
        <w:t>承包人应根据合同工程的施工需要，负责办理取得出入施工场地的专用和临时道路的通行权，以及取得为工程建设所需修建场外设施的权</w:t>
      </w:r>
      <w:r>
        <w:rPr>
          <w:rStyle w:val="103"/>
          <w:rFonts w:hint="eastAsia" w:ascii="宋体" w:hAnsi="宋体" w:eastAsia="宋体" w:cs="宋体"/>
          <w:color w:val="auto"/>
          <w:sz w:val="21"/>
          <w:szCs w:val="21"/>
          <w:highlight w:val="none"/>
          <w:u w:val="single"/>
        </w:rPr>
        <w:t>利</w:t>
      </w:r>
      <w:r>
        <w:rPr>
          <w:rStyle w:val="31"/>
          <w:rFonts w:hint="eastAsia" w:ascii="宋体" w:hAnsi="宋体" w:eastAsia="宋体" w:cs="宋体"/>
          <w:color w:val="auto"/>
          <w:highlight w:val="none"/>
          <w:lang w:val="en-US" w:bidi="en-US"/>
        </w:rPr>
        <w:t>。</w:t>
      </w:r>
    </w:p>
    <w:p w14:paraId="21F75669">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highlight w:val="none"/>
          <w:lang w:eastAsia="zh-CN"/>
        </w:rPr>
      </w:pPr>
      <w:bookmarkStart w:id="1548" w:name="_Toc6815"/>
      <w:bookmarkStart w:id="1549" w:name="_Toc256000277"/>
      <w:bookmarkStart w:id="1550" w:name="bookmark1690"/>
      <w:bookmarkStart w:id="1551" w:name="bookmark1689"/>
      <w:bookmarkStart w:id="1552" w:name="_Toc28858"/>
      <w:bookmarkStart w:id="1553" w:name="bookmark1692"/>
      <w:bookmarkStart w:id="1554" w:name="_Toc256000200"/>
      <w:bookmarkStart w:id="1555" w:name="_Toc976"/>
      <w:bookmarkStart w:id="1556" w:name="bookmark1694"/>
      <w:bookmarkStart w:id="1557" w:name="bookmark1693"/>
      <w:bookmarkStart w:id="1558" w:name="bookmark1695"/>
      <w:r>
        <w:rPr>
          <w:rStyle w:val="31"/>
          <w:rFonts w:hint="eastAsia" w:ascii="宋体" w:hAnsi="宋体" w:eastAsia="宋体" w:cs="宋体"/>
          <w:color w:val="auto"/>
          <w:highlight w:val="none"/>
          <w:lang w:eastAsia="zh-CN"/>
        </w:rPr>
        <w:t>8. 测量放线</w:t>
      </w:r>
      <w:bookmarkEnd w:id="1548"/>
      <w:bookmarkEnd w:id="1549"/>
      <w:bookmarkEnd w:id="1550"/>
      <w:bookmarkEnd w:id="1551"/>
      <w:bookmarkEnd w:id="1552"/>
      <w:bookmarkEnd w:id="1553"/>
      <w:bookmarkEnd w:id="1554"/>
      <w:bookmarkEnd w:id="1555"/>
    </w:p>
    <w:p w14:paraId="6A8284B6">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559" w:name="_Toc256000278"/>
      <w:bookmarkStart w:id="1560" w:name="_Toc256000201"/>
      <w:r>
        <w:rPr>
          <w:rStyle w:val="31"/>
          <w:rFonts w:hint="eastAsia" w:ascii="宋体" w:hAnsi="宋体" w:eastAsia="宋体" w:cs="宋体"/>
          <w:color w:val="auto"/>
          <w:sz w:val="24"/>
          <w:szCs w:val="24"/>
          <w:highlight w:val="none"/>
          <w:lang w:eastAsia="zh-CN" w:bidi="en-US"/>
        </w:rPr>
        <w:t>8.1施工控制网</w:t>
      </w:r>
      <w:bookmarkEnd w:id="1556"/>
      <w:bookmarkEnd w:id="1557"/>
      <w:bookmarkEnd w:id="1558"/>
      <w:bookmarkEnd w:id="1559"/>
      <w:bookmarkEnd w:id="1560"/>
    </w:p>
    <w:p w14:paraId="200DBB25">
      <w:pPr>
        <w:pStyle w:val="102"/>
        <w:pageBreakBefore w:val="0"/>
        <w:widowControl w:val="0"/>
        <w:tabs>
          <w:tab w:val="left" w:pos="750"/>
          <w:tab w:val="left" w:pos="4898"/>
        </w:tabs>
        <w:kinsoku/>
        <w:wordWrap/>
        <w:overflowPunct/>
        <w:topLinePunct w:val="0"/>
        <w:autoSpaceDE/>
        <w:autoSpaceDN/>
        <w:bidi w:val="0"/>
        <w:adjustRightInd/>
        <w:snapToGrid/>
        <w:spacing w:after="0" w:line="440" w:lineRule="exact"/>
        <w:ind w:left="0" w:leftChars="0" w:firstLine="0"/>
        <w:textAlignment w:val="auto"/>
        <w:rPr>
          <w:rStyle w:val="31"/>
          <w:rFonts w:hint="eastAsia" w:ascii="宋体" w:hAnsi="宋体" w:eastAsia="宋体" w:cs="宋体"/>
          <w:color w:val="auto"/>
          <w:highlight w:val="none"/>
          <w:lang w:eastAsia="zh-CN"/>
        </w:rPr>
      </w:pPr>
      <w:bookmarkStart w:id="1561" w:name="bookmark1696"/>
      <w:bookmarkEnd w:id="1561"/>
      <w:r>
        <w:rPr>
          <w:rStyle w:val="31"/>
          <w:rFonts w:hint="eastAsia" w:ascii="宋体" w:hAnsi="宋体" w:eastAsia="宋体" w:cs="宋体"/>
          <w:color w:val="auto"/>
          <w:highlight w:val="none"/>
          <w:lang w:eastAsia="zh-CN" w:bidi="zh-CN"/>
        </w:rPr>
        <w:t>8.1.</w:t>
      </w:r>
      <w:r>
        <w:rPr>
          <w:rStyle w:val="31"/>
          <w:rFonts w:hint="eastAsia" w:ascii="宋体" w:hAnsi="宋体" w:eastAsia="宋体" w:cs="宋体"/>
          <w:color w:val="auto"/>
          <w:highlight w:val="none"/>
          <w:lang w:val="zh-CN" w:eastAsia="zh-CN" w:bidi="zh-CN"/>
        </w:rPr>
        <w:t>1 施工控制网的约定：</w:t>
      </w:r>
      <w:r>
        <w:rPr>
          <w:rStyle w:val="31"/>
          <w:rFonts w:hint="eastAsia" w:ascii="宋体" w:hAnsi="宋体" w:eastAsia="宋体" w:cs="宋体"/>
          <w:color w:val="auto"/>
          <w:sz w:val="20"/>
          <w:szCs w:val="20"/>
          <w:highlight w:val="none"/>
          <w:u w:val="single"/>
          <w:lang w:val="en-US" w:eastAsia="zh-CN" w:bidi="zh-CN"/>
        </w:rPr>
        <w:t>由承包人负责测设，并报监理人审批，相关费用由承包人承担</w:t>
      </w:r>
      <w:r>
        <w:rPr>
          <w:rStyle w:val="31"/>
          <w:rFonts w:hint="eastAsia" w:ascii="宋体" w:hAnsi="宋体" w:eastAsia="宋体" w:cs="宋体"/>
          <w:color w:val="auto"/>
          <w:highlight w:val="none"/>
          <w:lang w:eastAsia="zh-CN"/>
        </w:rPr>
        <w:t>。</w:t>
      </w:r>
    </w:p>
    <w:p w14:paraId="090744FF">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highlight w:val="none"/>
          <w:lang w:eastAsia="zh-CN"/>
        </w:rPr>
      </w:pPr>
      <w:bookmarkStart w:id="1562" w:name="_Toc17055"/>
      <w:bookmarkStart w:id="1563" w:name="_Toc256000202"/>
      <w:bookmarkStart w:id="1564" w:name="_Toc256000279"/>
      <w:bookmarkStart w:id="1565" w:name="_Toc15272"/>
      <w:r>
        <w:rPr>
          <w:rStyle w:val="31"/>
          <w:rFonts w:hint="eastAsia" w:ascii="宋体" w:hAnsi="宋体" w:eastAsia="宋体" w:cs="宋体"/>
          <w:color w:val="auto"/>
          <w:highlight w:val="none"/>
          <w:lang w:eastAsia="zh-CN"/>
        </w:rPr>
        <w:t>9. 施工安全、治安保卫和环境保护</w:t>
      </w:r>
      <w:bookmarkEnd w:id="1562"/>
      <w:bookmarkEnd w:id="1563"/>
      <w:bookmarkEnd w:id="1564"/>
      <w:bookmarkEnd w:id="1565"/>
    </w:p>
    <w:p w14:paraId="23A1CCCC">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566" w:name="_Toc256000203"/>
      <w:bookmarkStart w:id="1567" w:name="_Toc256000280"/>
      <w:r>
        <w:rPr>
          <w:rStyle w:val="31"/>
          <w:rFonts w:hint="eastAsia" w:ascii="宋体" w:hAnsi="宋体" w:eastAsia="宋体" w:cs="宋体"/>
          <w:color w:val="auto"/>
          <w:sz w:val="24"/>
          <w:szCs w:val="24"/>
          <w:highlight w:val="none"/>
          <w:lang w:eastAsia="zh-CN" w:bidi="en-US"/>
        </w:rPr>
        <w:t>9.2承包人的施工安全责任</w:t>
      </w:r>
      <w:bookmarkEnd w:id="1566"/>
      <w:bookmarkEnd w:id="1567"/>
    </w:p>
    <w:p w14:paraId="6912A524">
      <w:pPr>
        <w:pStyle w:val="101"/>
        <w:pageBreakBefore w:val="0"/>
        <w:widowControl w:val="0"/>
        <w:tabs>
          <w:tab w:val="left" w:pos="754"/>
        </w:tabs>
        <w:kinsoku/>
        <w:wordWrap/>
        <w:overflowPunct/>
        <w:topLinePunct w:val="0"/>
        <w:autoSpaceDE/>
        <w:autoSpaceDN/>
        <w:bidi w:val="0"/>
        <w:adjustRightInd/>
        <w:snapToGrid/>
        <w:spacing w:line="440" w:lineRule="exact"/>
        <w:ind w:left="0" w:leftChars="0" w:firstLine="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 xml:space="preserve">9.2. </w:t>
      </w:r>
      <w:r>
        <w:rPr>
          <w:rStyle w:val="31"/>
          <w:rFonts w:hint="eastAsia" w:ascii="宋体" w:hAnsi="宋体" w:eastAsia="宋体" w:cs="宋体"/>
          <w:color w:val="auto"/>
          <w:highlight w:val="none"/>
        </w:rPr>
        <w:t>8安全施工措施所需费用在投标时不得做竞争调整。</w:t>
      </w:r>
    </w:p>
    <w:p w14:paraId="0BE48DA7">
      <w:pPr>
        <w:pStyle w:val="101"/>
        <w:pageBreakBefore w:val="0"/>
        <w:widowControl w:val="0"/>
        <w:tabs>
          <w:tab w:val="left" w:pos="4162"/>
          <w:tab w:val="left" w:pos="6139"/>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 xml:space="preserve">9. 2. </w:t>
      </w:r>
      <w:r>
        <w:rPr>
          <w:rStyle w:val="31"/>
          <w:rFonts w:hint="eastAsia" w:ascii="宋体" w:hAnsi="宋体" w:eastAsia="宋体" w:cs="宋体"/>
          <w:color w:val="auto"/>
          <w:highlight w:val="none"/>
        </w:rPr>
        <w:t>12下列工程应编制专项施工方案：</w:t>
      </w:r>
      <w:r>
        <w:rPr>
          <w:rStyle w:val="31"/>
          <w:rFonts w:hint="eastAsia" w:ascii="宋体" w:hAnsi="宋体" w:eastAsia="宋体" w:cs="宋体"/>
          <w:color w:val="auto"/>
          <w:highlight w:val="none"/>
          <w:u w:val="single"/>
        </w:rPr>
        <w:tab/>
      </w:r>
      <w:r>
        <w:rPr>
          <w:rStyle w:val="31"/>
          <w:rFonts w:hint="eastAsia" w:ascii="宋体" w:hAnsi="宋体" w:eastAsia="宋体" w:cs="宋体"/>
          <w:color w:val="auto"/>
          <w:highlight w:val="none"/>
          <w:u w:val="single"/>
          <w:lang w:val="en-US"/>
        </w:rPr>
        <w:t xml:space="preserve">      </w:t>
      </w:r>
      <w:r>
        <w:rPr>
          <w:rStyle w:val="31"/>
          <w:rFonts w:hint="eastAsia" w:ascii="宋体" w:hAnsi="宋体" w:eastAsia="宋体" w:cs="宋体"/>
          <w:color w:val="auto"/>
          <w:highlight w:val="none"/>
          <w:lang w:val="en-US" w:bidi="en-US"/>
        </w:rPr>
        <w:t>。</w:t>
      </w:r>
      <w:r>
        <w:rPr>
          <w:rStyle w:val="31"/>
          <w:rFonts w:hint="eastAsia" w:ascii="宋体" w:hAnsi="宋体" w:eastAsia="宋体" w:cs="宋体"/>
          <w:color w:val="auto"/>
          <w:highlight w:val="none"/>
        </w:rPr>
        <w:t>其中应组织专家论证 和审查的专项施工方案：</w:t>
      </w:r>
      <w:r>
        <w:rPr>
          <w:rStyle w:val="31"/>
          <w:rFonts w:hint="eastAsia" w:ascii="宋体" w:hAnsi="宋体" w:eastAsia="宋体" w:cs="宋体"/>
          <w:color w:val="auto"/>
          <w:highlight w:val="none"/>
          <w:u w:val="single"/>
        </w:rPr>
        <w:tab/>
      </w:r>
      <w:r>
        <w:rPr>
          <w:rStyle w:val="31"/>
          <w:rFonts w:hint="eastAsia" w:ascii="宋体" w:hAnsi="宋体" w:eastAsia="宋体" w:cs="宋体"/>
          <w:color w:val="auto"/>
          <w:highlight w:val="none"/>
          <w:lang w:val="en-US" w:bidi="en-US"/>
        </w:rPr>
        <w:t>。</w:t>
      </w:r>
    </w:p>
    <w:p w14:paraId="7142A0B2">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568" w:name="_Toc256000281"/>
      <w:bookmarkStart w:id="1569" w:name="_Toc256000204"/>
      <w:r>
        <w:rPr>
          <w:rStyle w:val="31"/>
          <w:rFonts w:hint="eastAsia" w:ascii="宋体" w:hAnsi="宋体" w:eastAsia="宋体" w:cs="宋体"/>
          <w:color w:val="auto"/>
          <w:sz w:val="24"/>
          <w:szCs w:val="24"/>
          <w:highlight w:val="none"/>
          <w:lang w:eastAsia="zh-CN" w:bidi="en-US"/>
        </w:rPr>
        <w:t>9.7文明工地</w:t>
      </w:r>
      <w:bookmarkEnd w:id="1568"/>
      <w:bookmarkEnd w:id="1569"/>
    </w:p>
    <w:p w14:paraId="19C12100">
      <w:pPr>
        <w:pStyle w:val="101"/>
        <w:pageBreakBefore w:val="0"/>
        <w:widowControl w:val="0"/>
        <w:tabs>
          <w:tab w:val="left" w:pos="532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lang w:val="en-US"/>
        </w:rPr>
      </w:pPr>
      <w:r>
        <w:rPr>
          <w:rStyle w:val="31"/>
          <w:rFonts w:hint="eastAsia" w:ascii="宋体" w:hAnsi="宋体" w:eastAsia="宋体" w:cs="宋体"/>
          <w:color w:val="auto"/>
          <w:highlight w:val="none"/>
          <w:lang w:val="en-US" w:bidi="en-US"/>
        </w:rPr>
        <w:t xml:space="preserve">9.7. </w:t>
      </w:r>
      <w:r>
        <w:rPr>
          <w:rStyle w:val="31"/>
          <w:rFonts w:hint="eastAsia" w:ascii="宋体" w:hAnsi="宋体" w:eastAsia="宋体" w:cs="宋体"/>
          <w:color w:val="auto"/>
          <w:highlight w:val="none"/>
        </w:rPr>
        <w:t>1本合同文明工地的约定：</w:t>
      </w:r>
      <w:r>
        <w:rPr>
          <w:rStyle w:val="31"/>
          <w:rFonts w:hint="eastAsia" w:ascii="宋体" w:hAnsi="宋体" w:eastAsia="宋体" w:cs="宋体"/>
          <w:color w:val="auto"/>
          <w:highlight w:val="none"/>
          <w:u w:val="single"/>
        </w:rPr>
        <w:t>按水利部《水利系统文明建设工地评审管理办法》创建文明建设工地</w:t>
      </w:r>
      <w:r>
        <w:rPr>
          <w:rStyle w:val="31"/>
          <w:rFonts w:hint="eastAsia" w:ascii="宋体" w:hAnsi="宋体" w:eastAsia="宋体" w:cs="宋体"/>
          <w:color w:val="auto"/>
          <w:highlight w:val="none"/>
          <w:lang w:val="en-US"/>
        </w:rPr>
        <w:t>。</w:t>
      </w:r>
      <w:bookmarkStart w:id="1570" w:name="bookmark1709"/>
      <w:bookmarkStart w:id="1571" w:name="_Toc845"/>
      <w:bookmarkStart w:id="1572" w:name="_Toc8738"/>
      <w:bookmarkStart w:id="1573" w:name="bookmark1710"/>
      <w:bookmarkStart w:id="1574" w:name="bookmark1708"/>
    </w:p>
    <w:p w14:paraId="2F58BE4F">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highlight w:val="none"/>
          <w:lang w:eastAsia="zh-CN"/>
        </w:rPr>
      </w:pPr>
      <w:bookmarkStart w:id="1575" w:name="_Toc256000205"/>
      <w:bookmarkStart w:id="1576" w:name="_Toc256000282"/>
      <w:bookmarkStart w:id="1577" w:name="_Toc15986"/>
      <w:r>
        <w:rPr>
          <w:rStyle w:val="31"/>
          <w:rFonts w:hint="eastAsia" w:ascii="宋体" w:hAnsi="宋体" w:eastAsia="宋体" w:cs="宋体"/>
          <w:color w:val="auto"/>
          <w:highlight w:val="none"/>
          <w:lang w:eastAsia="zh-CN"/>
        </w:rPr>
        <w:t>11. 开工和竣工（完工</w:t>
      </w:r>
      <w:bookmarkEnd w:id="1570"/>
      <w:bookmarkEnd w:id="1571"/>
      <w:bookmarkEnd w:id="1572"/>
      <w:bookmarkEnd w:id="1573"/>
      <w:bookmarkEnd w:id="1574"/>
      <w:r>
        <w:rPr>
          <w:rStyle w:val="31"/>
          <w:rFonts w:hint="eastAsia" w:ascii="宋体" w:hAnsi="宋体" w:eastAsia="宋体" w:cs="宋体"/>
          <w:color w:val="auto"/>
          <w:highlight w:val="none"/>
          <w:lang w:eastAsia="zh-CN"/>
        </w:rPr>
        <w:t>）</w:t>
      </w:r>
      <w:bookmarkEnd w:id="1575"/>
      <w:bookmarkEnd w:id="1576"/>
      <w:bookmarkEnd w:id="1577"/>
    </w:p>
    <w:p w14:paraId="50F180CA">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578" w:name="_Toc256000206"/>
      <w:bookmarkStart w:id="1579" w:name="bookmark1713"/>
      <w:bookmarkStart w:id="1580" w:name="_Toc256000283"/>
      <w:bookmarkStart w:id="1581" w:name="bookmark1712"/>
      <w:bookmarkStart w:id="1582" w:name="bookmark1711"/>
      <w:r>
        <w:rPr>
          <w:rStyle w:val="31"/>
          <w:rFonts w:hint="eastAsia" w:ascii="宋体" w:hAnsi="宋体" w:eastAsia="宋体" w:cs="宋体"/>
          <w:color w:val="auto"/>
          <w:sz w:val="24"/>
          <w:szCs w:val="24"/>
          <w:highlight w:val="none"/>
          <w:lang w:eastAsia="zh-CN" w:bidi="en-US"/>
        </w:rPr>
        <w:t>11.2本工程主体工程完工时间为：</w:t>
      </w:r>
      <w:r>
        <w:rPr>
          <w:rStyle w:val="31"/>
          <w:rFonts w:hint="eastAsia" w:ascii="宋体" w:hAnsi="宋体" w:eastAsia="宋体" w:cs="宋体"/>
          <w:color w:val="auto"/>
          <w:sz w:val="24"/>
          <w:szCs w:val="24"/>
          <w:highlight w:val="none"/>
          <w:u w:val="single"/>
          <w:lang w:eastAsia="zh-CN" w:bidi="en-US"/>
        </w:rPr>
        <w:t>年</w:t>
      </w:r>
      <w:r>
        <w:rPr>
          <w:rStyle w:val="31"/>
          <w:rFonts w:hint="eastAsia" w:ascii="宋体" w:hAnsi="宋体" w:eastAsia="宋体" w:cs="宋体"/>
          <w:color w:val="auto"/>
          <w:sz w:val="24"/>
          <w:szCs w:val="24"/>
          <w:highlight w:val="none"/>
          <w:u w:val="single"/>
          <w:lang w:val="en-US" w:eastAsia="zh-CN" w:bidi="en-US"/>
        </w:rPr>
        <w:t xml:space="preserve">   </w:t>
      </w:r>
      <w:r>
        <w:rPr>
          <w:rStyle w:val="31"/>
          <w:rFonts w:hint="eastAsia" w:ascii="宋体" w:hAnsi="宋体" w:eastAsia="宋体" w:cs="宋体"/>
          <w:color w:val="auto"/>
          <w:sz w:val="24"/>
          <w:szCs w:val="24"/>
          <w:highlight w:val="none"/>
          <w:u w:val="single"/>
          <w:lang w:eastAsia="zh-CN" w:bidi="en-US"/>
        </w:rPr>
        <w:t>月</w:t>
      </w:r>
      <w:r>
        <w:rPr>
          <w:rStyle w:val="31"/>
          <w:rFonts w:hint="eastAsia" w:ascii="宋体" w:hAnsi="宋体" w:eastAsia="宋体" w:cs="宋体"/>
          <w:color w:val="auto"/>
          <w:sz w:val="24"/>
          <w:szCs w:val="24"/>
          <w:highlight w:val="none"/>
          <w:u w:val="single"/>
          <w:lang w:val="en-US" w:eastAsia="zh-CN" w:bidi="en-US"/>
        </w:rPr>
        <w:t xml:space="preserve">   </w:t>
      </w:r>
      <w:r>
        <w:rPr>
          <w:rStyle w:val="31"/>
          <w:rFonts w:hint="eastAsia" w:ascii="宋体" w:hAnsi="宋体" w:eastAsia="宋体" w:cs="宋体"/>
          <w:color w:val="auto"/>
          <w:sz w:val="24"/>
          <w:szCs w:val="24"/>
          <w:highlight w:val="none"/>
          <w:u w:val="single"/>
          <w:lang w:eastAsia="zh-CN" w:bidi="en-US"/>
        </w:rPr>
        <w:t>日</w:t>
      </w:r>
      <w:r>
        <w:rPr>
          <w:rStyle w:val="31"/>
          <w:rFonts w:hint="eastAsia" w:ascii="宋体" w:hAnsi="宋体" w:eastAsia="宋体" w:cs="宋体"/>
          <w:color w:val="auto"/>
          <w:sz w:val="24"/>
          <w:szCs w:val="24"/>
          <w:highlight w:val="none"/>
          <w:lang w:eastAsia="zh-CN" w:bidi="en-US"/>
        </w:rPr>
        <w:t>。</w:t>
      </w:r>
      <w:bookmarkEnd w:id="1578"/>
      <w:bookmarkEnd w:id="1579"/>
      <w:bookmarkEnd w:id="1580"/>
      <w:bookmarkEnd w:id="1581"/>
      <w:bookmarkEnd w:id="1582"/>
    </w:p>
    <w:p w14:paraId="4E59AD4B">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583" w:name="_Toc256000207"/>
      <w:bookmarkStart w:id="1584" w:name="_Toc256000284"/>
      <w:bookmarkStart w:id="1585" w:name="bookmark1716"/>
      <w:bookmarkStart w:id="1586" w:name="bookmark1715"/>
      <w:bookmarkStart w:id="1587" w:name="bookmark1714"/>
      <w:r>
        <w:rPr>
          <w:rStyle w:val="31"/>
          <w:rFonts w:hint="eastAsia" w:ascii="宋体" w:hAnsi="宋体" w:eastAsia="宋体" w:cs="宋体"/>
          <w:color w:val="auto"/>
          <w:sz w:val="24"/>
          <w:szCs w:val="24"/>
          <w:highlight w:val="none"/>
          <w:lang w:eastAsia="zh-CN" w:bidi="en-US"/>
        </w:rPr>
        <w:t>11.3发包人的工期延误</w:t>
      </w:r>
      <w:bookmarkEnd w:id="1583"/>
      <w:bookmarkEnd w:id="1584"/>
      <w:bookmarkEnd w:id="1585"/>
      <w:bookmarkEnd w:id="1586"/>
      <w:bookmarkEnd w:id="1587"/>
    </w:p>
    <w:p w14:paraId="54265702">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588" w:name="_Toc256000208"/>
      <w:bookmarkStart w:id="1589" w:name="bookmark1718"/>
      <w:bookmarkStart w:id="1590" w:name="_Toc256000285"/>
      <w:bookmarkStart w:id="1591" w:name="bookmark1717"/>
      <w:bookmarkStart w:id="1592" w:name="bookmark1719"/>
      <w:r>
        <w:rPr>
          <w:rStyle w:val="31"/>
          <w:rFonts w:hint="eastAsia" w:ascii="宋体" w:hAnsi="宋体" w:eastAsia="宋体" w:cs="宋体"/>
          <w:color w:val="auto"/>
          <w:sz w:val="24"/>
          <w:szCs w:val="24"/>
          <w:highlight w:val="none"/>
          <w:lang w:eastAsia="zh-CN" w:bidi="en-US"/>
        </w:rPr>
        <w:t>11.4异常恶劣的气候条件</w:t>
      </w:r>
      <w:bookmarkEnd w:id="1588"/>
      <w:bookmarkEnd w:id="1589"/>
      <w:bookmarkEnd w:id="1590"/>
      <w:bookmarkEnd w:id="1591"/>
      <w:bookmarkEnd w:id="1592"/>
    </w:p>
    <w:p w14:paraId="14DB3F5C">
      <w:pPr>
        <w:pStyle w:val="101"/>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11.4.3</w:t>
      </w:r>
      <w:r>
        <w:rPr>
          <w:rStyle w:val="31"/>
          <w:rFonts w:hint="eastAsia" w:ascii="宋体" w:hAnsi="宋体" w:eastAsia="宋体" w:cs="宋体"/>
          <w:color w:val="auto"/>
          <w:highlight w:val="none"/>
        </w:rPr>
        <w:t>本合同工程界定异常恶劣气候条件的范围为：</w:t>
      </w:r>
    </w:p>
    <w:p w14:paraId="7E96675A">
      <w:pPr>
        <w:pStyle w:val="101"/>
        <w:pageBreakBefore w:val="0"/>
        <w:widowControl w:val="0"/>
        <w:numPr>
          <w:ilvl w:val="0"/>
          <w:numId w:val="45"/>
        </w:numPr>
        <w:tabs>
          <w:tab w:val="left" w:pos="903"/>
          <w:tab w:val="left" w:pos="2959"/>
          <w:tab w:val="left" w:pos="5261"/>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bookmarkStart w:id="1593" w:name="bookmark1720"/>
      <w:bookmarkEnd w:id="1593"/>
      <w:r>
        <w:rPr>
          <w:rStyle w:val="31"/>
          <w:rFonts w:hint="eastAsia" w:ascii="宋体" w:hAnsi="宋体" w:eastAsia="宋体" w:cs="宋体"/>
          <w:color w:val="auto"/>
          <w:highlight w:val="none"/>
        </w:rPr>
        <w:t>日降雨量大于</w:t>
      </w:r>
      <w:r>
        <w:rPr>
          <w:rStyle w:val="31"/>
          <w:rFonts w:hint="eastAsia" w:ascii="宋体" w:hAnsi="宋体" w:eastAsia="宋体" w:cs="宋体"/>
          <w:color w:val="auto"/>
          <w:highlight w:val="none"/>
          <w:u w:val="single"/>
          <w:lang w:val="en-US" w:eastAsia="zh-CN"/>
        </w:rPr>
        <w:t>200</w:t>
      </w:r>
      <w:r>
        <w:rPr>
          <w:rStyle w:val="31"/>
          <w:rFonts w:hint="eastAsia" w:ascii="宋体" w:hAnsi="宋体" w:eastAsia="宋体" w:cs="宋体"/>
          <w:color w:val="auto"/>
          <w:highlight w:val="none"/>
          <w:lang w:val="en-US" w:bidi="en-US"/>
        </w:rPr>
        <w:t>mm</w:t>
      </w:r>
      <w:r>
        <w:rPr>
          <w:rStyle w:val="31"/>
          <w:rFonts w:hint="eastAsia" w:ascii="宋体" w:hAnsi="宋体" w:eastAsia="宋体" w:cs="宋体"/>
          <w:color w:val="auto"/>
          <w:highlight w:val="none"/>
        </w:rPr>
        <w:t>的雨日超过</w:t>
      </w:r>
      <w:r>
        <w:rPr>
          <w:rStyle w:val="31"/>
          <w:rFonts w:hint="eastAsia" w:ascii="宋体" w:hAnsi="宋体" w:eastAsia="宋体" w:cs="宋体"/>
          <w:color w:val="auto"/>
          <w:highlight w:val="none"/>
          <w:u w:val="single"/>
          <w:lang w:val="en-US" w:eastAsia="zh-CN"/>
        </w:rPr>
        <w:t>1</w:t>
      </w:r>
      <w:r>
        <w:rPr>
          <w:rStyle w:val="31"/>
          <w:rFonts w:hint="eastAsia" w:ascii="宋体" w:hAnsi="宋体" w:eastAsia="宋体" w:cs="宋体"/>
          <w:color w:val="auto"/>
          <w:highlight w:val="none"/>
        </w:rPr>
        <w:t>天；</w:t>
      </w:r>
    </w:p>
    <w:p w14:paraId="08DF6B04">
      <w:pPr>
        <w:pStyle w:val="101"/>
        <w:pageBreakBefore w:val="0"/>
        <w:widowControl w:val="0"/>
        <w:numPr>
          <w:ilvl w:val="0"/>
          <w:numId w:val="45"/>
        </w:numPr>
        <w:tabs>
          <w:tab w:val="left" w:pos="903"/>
          <w:tab w:val="left" w:pos="2539"/>
          <w:tab w:val="left" w:pos="4044"/>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bookmarkStart w:id="1594" w:name="bookmark1721"/>
      <w:bookmarkEnd w:id="1594"/>
      <w:r>
        <w:rPr>
          <w:rStyle w:val="31"/>
          <w:rFonts w:hint="eastAsia" w:ascii="宋体" w:hAnsi="宋体" w:eastAsia="宋体" w:cs="宋体"/>
          <w:color w:val="auto"/>
          <w:highlight w:val="none"/>
        </w:rPr>
        <w:t>风速大于</w:t>
      </w:r>
      <w:r>
        <w:rPr>
          <w:rStyle w:val="31"/>
          <w:rFonts w:hint="eastAsia" w:ascii="宋体" w:hAnsi="宋体" w:eastAsia="宋体" w:cs="宋体"/>
          <w:color w:val="auto"/>
          <w:highlight w:val="none"/>
          <w:u w:val="single"/>
          <w:lang w:val="en-US" w:eastAsia="zh-CN"/>
        </w:rPr>
        <w:t>24.5</w:t>
      </w:r>
      <w:r>
        <w:rPr>
          <w:rStyle w:val="31"/>
          <w:rFonts w:hint="eastAsia" w:ascii="宋体" w:hAnsi="宋体" w:eastAsia="宋体" w:cs="宋体"/>
          <w:color w:val="auto"/>
          <w:highlight w:val="none"/>
          <w:lang w:val="en-US" w:bidi="en-US"/>
        </w:rPr>
        <w:t>m/s</w:t>
      </w:r>
      <w:r>
        <w:rPr>
          <w:rStyle w:val="31"/>
          <w:rFonts w:hint="eastAsia" w:ascii="宋体" w:hAnsi="宋体" w:eastAsia="宋体" w:cs="宋体"/>
          <w:color w:val="auto"/>
          <w:highlight w:val="none"/>
        </w:rPr>
        <w:t>的</w:t>
      </w:r>
      <w:r>
        <w:rPr>
          <w:rStyle w:val="31"/>
          <w:rFonts w:hint="eastAsia" w:ascii="宋体" w:hAnsi="宋体" w:eastAsia="宋体" w:cs="宋体"/>
          <w:color w:val="auto"/>
          <w:highlight w:val="none"/>
          <w:u w:val="single"/>
          <w:lang w:val="en-US" w:eastAsia="zh-CN"/>
        </w:rPr>
        <w:t>10</w:t>
      </w:r>
      <w:r>
        <w:rPr>
          <w:rStyle w:val="31"/>
          <w:rFonts w:hint="eastAsia" w:ascii="宋体" w:hAnsi="宋体" w:eastAsia="宋体" w:cs="宋体"/>
          <w:color w:val="auto"/>
          <w:highlight w:val="none"/>
        </w:rPr>
        <w:t>级以上台风灾害；</w:t>
      </w:r>
    </w:p>
    <w:p w14:paraId="144BFF82">
      <w:pPr>
        <w:pStyle w:val="101"/>
        <w:pageBreakBefore w:val="0"/>
        <w:widowControl w:val="0"/>
        <w:numPr>
          <w:ilvl w:val="0"/>
          <w:numId w:val="45"/>
        </w:numPr>
        <w:tabs>
          <w:tab w:val="left" w:pos="903"/>
          <w:tab w:val="left" w:pos="2750"/>
          <w:tab w:val="left" w:pos="4855"/>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bookmarkStart w:id="1595" w:name="bookmark1722"/>
      <w:bookmarkEnd w:id="1595"/>
      <w:r>
        <w:rPr>
          <w:rStyle w:val="31"/>
          <w:rFonts w:hint="eastAsia" w:ascii="宋体" w:hAnsi="宋体" w:eastAsia="宋体" w:cs="宋体"/>
          <w:color w:val="auto"/>
          <w:highlight w:val="none"/>
        </w:rPr>
        <w:t>日气温超过</w:t>
      </w:r>
      <w:r>
        <w:rPr>
          <w:rStyle w:val="31"/>
          <w:rFonts w:hint="eastAsia" w:ascii="宋体" w:hAnsi="宋体" w:eastAsia="宋体" w:cs="宋体"/>
          <w:color w:val="auto"/>
          <w:highlight w:val="none"/>
          <w:u w:val="single"/>
          <w:lang w:val="en-US" w:eastAsia="zh-CN"/>
        </w:rPr>
        <w:t>40</w:t>
      </w:r>
      <w:r>
        <w:rPr>
          <w:rStyle w:val="31"/>
          <w:rFonts w:hint="eastAsia" w:ascii="宋体" w:hAnsi="宋体" w:eastAsia="宋体" w:cs="宋体"/>
          <w:color w:val="auto"/>
          <w:highlight w:val="none"/>
          <w:lang w:val="en-US" w:bidi="en-US"/>
        </w:rPr>
        <w:t>℃</w:t>
      </w:r>
      <w:r>
        <w:rPr>
          <w:rStyle w:val="31"/>
          <w:rFonts w:hint="eastAsia" w:ascii="宋体" w:hAnsi="宋体" w:eastAsia="宋体" w:cs="宋体"/>
          <w:color w:val="auto"/>
          <w:highlight w:val="none"/>
        </w:rPr>
        <w:t>的高温大于</w:t>
      </w:r>
      <w:r>
        <w:rPr>
          <w:rStyle w:val="31"/>
          <w:rFonts w:hint="eastAsia" w:ascii="宋体" w:hAnsi="宋体" w:eastAsia="宋体" w:cs="宋体"/>
          <w:color w:val="auto"/>
          <w:highlight w:val="none"/>
          <w:u w:val="single"/>
          <w:lang w:val="en-US" w:eastAsia="zh-CN"/>
        </w:rPr>
        <w:t>2</w:t>
      </w:r>
      <w:r>
        <w:rPr>
          <w:rStyle w:val="31"/>
          <w:rFonts w:hint="eastAsia" w:ascii="宋体" w:hAnsi="宋体" w:eastAsia="宋体" w:cs="宋体"/>
          <w:color w:val="auto"/>
          <w:highlight w:val="none"/>
        </w:rPr>
        <w:t>天；</w:t>
      </w:r>
    </w:p>
    <w:p w14:paraId="4E5BC854">
      <w:pPr>
        <w:pStyle w:val="101"/>
        <w:pageBreakBefore w:val="0"/>
        <w:widowControl w:val="0"/>
        <w:numPr>
          <w:ilvl w:val="0"/>
          <w:numId w:val="45"/>
        </w:numPr>
        <w:tabs>
          <w:tab w:val="left" w:pos="903"/>
          <w:tab w:val="left" w:pos="2750"/>
          <w:tab w:val="left" w:pos="4855"/>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bookmarkStart w:id="1596" w:name="bookmark1723"/>
      <w:bookmarkEnd w:id="1596"/>
      <w:r>
        <w:rPr>
          <w:rStyle w:val="31"/>
          <w:rFonts w:hint="eastAsia" w:ascii="宋体" w:hAnsi="宋体" w:eastAsia="宋体" w:cs="宋体"/>
          <w:color w:val="auto"/>
          <w:highlight w:val="none"/>
        </w:rPr>
        <w:t>日气温低于</w:t>
      </w:r>
      <w:r>
        <w:rPr>
          <w:rStyle w:val="31"/>
          <w:rFonts w:hint="eastAsia" w:ascii="宋体" w:hAnsi="宋体" w:eastAsia="宋体" w:cs="宋体"/>
          <w:color w:val="auto"/>
          <w:highlight w:val="none"/>
          <w:u w:val="single"/>
          <w:lang w:val="en-US" w:eastAsia="zh-CN"/>
        </w:rPr>
        <w:t>-10</w:t>
      </w:r>
      <w:r>
        <w:rPr>
          <w:rStyle w:val="31"/>
          <w:rFonts w:hint="eastAsia" w:ascii="宋体" w:hAnsi="宋体" w:eastAsia="宋体" w:cs="宋体"/>
          <w:color w:val="auto"/>
          <w:highlight w:val="none"/>
          <w:lang w:val="en-US" w:bidi="en-US"/>
        </w:rPr>
        <w:t>℃</w:t>
      </w:r>
      <w:r>
        <w:rPr>
          <w:rStyle w:val="31"/>
          <w:rFonts w:hint="eastAsia" w:ascii="宋体" w:hAnsi="宋体" w:eastAsia="宋体" w:cs="宋体"/>
          <w:color w:val="auto"/>
          <w:highlight w:val="none"/>
        </w:rPr>
        <w:t>的严寒大于</w:t>
      </w:r>
      <w:r>
        <w:rPr>
          <w:rStyle w:val="31"/>
          <w:rFonts w:hint="eastAsia" w:ascii="宋体" w:hAnsi="宋体" w:eastAsia="宋体" w:cs="宋体"/>
          <w:color w:val="auto"/>
          <w:highlight w:val="none"/>
          <w:u w:val="single"/>
          <w:lang w:val="en-US" w:eastAsia="zh-CN"/>
        </w:rPr>
        <w:t>2</w:t>
      </w:r>
      <w:r>
        <w:rPr>
          <w:rStyle w:val="31"/>
          <w:rFonts w:hint="eastAsia" w:ascii="宋体" w:hAnsi="宋体" w:eastAsia="宋体" w:cs="宋体"/>
          <w:color w:val="auto"/>
          <w:highlight w:val="none"/>
        </w:rPr>
        <w:t>天。</w:t>
      </w:r>
    </w:p>
    <w:p w14:paraId="4251387D">
      <w:pPr>
        <w:pStyle w:val="101"/>
        <w:pageBreakBefore w:val="0"/>
        <w:widowControl w:val="0"/>
        <w:numPr>
          <w:ilvl w:val="0"/>
          <w:numId w:val="45"/>
        </w:numPr>
        <w:tabs>
          <w:tab w:val="left" w:pos="903"/>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bookmarkStart w:id="1597" w:name="bookmark1724"/>
      <w:bookmarkEnd w:id="1597"/>
      <w:r>
        <w:rPr>
          <w:rStyle w:val="31"/>
          <w:rFonts w:hint="eastAsia" w:ascii="宋体" w:hAnsi="宋体" w:eastAsia="宋体" w:cs="宋体"/>
          <w:color w:val="auto"/>
          <w:highlight w:val="none"/>
        </w:rPr>
        <w:t>造成工程损坏的冰雹和大雪灾害；</w:t>
      </w:r>
    </w:p>
    <w:p w14:paraId="52C01ED8">
      <w:pPr>
        <w:pStyle w:val="101"/>
        <w:pageBreakBefore w:val="0"/>
        <w:widowControl w:val="0"/>
        <w:numPr>
          <w:ilvl w:val="0"/>
          <w:numId w:val="45"/>
        </w:numPr>
        <w:tabs>
          <w:tab w:val="left" w:pos="903"/>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highlight w:val="none"/>
        </w:rPr>
      </w:pPr>
      <w:bookmarkStart w:id="1598" w:name="bookmark1725"/>
      <w:bookmarkEnd w:id="1598"/>
      <w:r>
        <w:rPr>
          <w:rStyle w:val="31"/>
          <w:rFonts w:hint="eastAsia" w:ascii="宋体" w:hAnsi="宋体" w:eastAsia="宋体" w:cs="宋体"/>
          <w:color w:val="auto"/>
          <w:highlight w:val="none"/>
          <w:u w:val="single"/>
          <w:lang w:val="en-US"/>
        </w:rPr>
        <w:t xml:space="preserve">  </w:t>
      </w:r>
      <w:r>
        <w:rPr>
          <w:rStyle w:val="31"/>
          <w:rFonts w:hint="eastAsia" w:ascii="宋体" w:hAnsi="宋体" w:eastAsia="宋体" w:cs="宋体"/>
          <w:color w:val="auto"/>
          <w:highlight w:val="none"/>
          <w:u w:val="single"/>
          <w:lang w:val="en-US" w:eastAsia="zh-CN"/>
        </w:rPr>
        <w:t>6</w:t>
      </w:r>
      <w:r>
        <w:rPr>
          <w:rStyle w:val="31"/>
          <w:rFonts w:hint="eastAsia" w:ascii="宋体" w:hAnsi="宋体" w:eastAsia="宋体" w:cs="宋体"/>
          <w:color w:val="auto"/>
          <w:highlight w:val="none"/>
          <w:u w:val="single"/>
          <w:lang w:val="en-US"/>
        </w:rPr>
        <w:t xml:space="preserve"> </w:t>
      </w:r>
      <w:r>
        <w:rPr>
          <w:rStyle w:val="31"/>
          <w:rFonts w:hint="eastAsia" w:ascii="宋体" w:hAnsi="宋体" w:eastAsia="宋体" w:cs="宋体"/>
          <w:color w:val="auto"/>
          <w:highlight w:val="none"/>
        </w:rPr>
        <w:t>级以上的地震；</w:t>
      </w:r>
    </w:p>
    <w:p w14:paraId="60B3D70A">
      <w:pPr>
        <w:pStyle w:val="101"/>
        <w:pageBreakBefore w:val="0"/>
        <w:widowControl w:val="0"/>
        <w:numPr>
          <w:ilvl w:val="0"/>
          <w:numId w:val="45"/>
        </w:numPr>
        <w:tabs>
          <w:tab w:val="left" w:pos="903"/>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highlight w:val="none"/>
        </w:rPr>
      </w:pPr>
      <w:bookmarkStart w:id="1599" w:name="bookmark1726"/>
      <w:bookmarkEnd w:id="1599"/>
      <w:r>
        <w:rPr>
          <w:rStyle w:val="31"/>
          <w:rFonts w:hint="eastAsia" w:ascii="宋体" w:hAnsi="宋体" w:eastAsia="宋体" w:cs="宋体"/>
          <w:color w:val="auto"/>
          <w:highlight w:val="none"/>
          <w:u w:val="single"/>
          <w:lang w:val="en-US"/>
        </w:rPr>
        <w:t xml:space="preserve"> </w:t>
      </w:r>
      <w:r>
        <w:rPr>
          <w:rStyle w:val="31"/>
          <w:rFonts w:hint="eastAsia" w:ascii="宋体" w:hAnsi="宋体" w:eastAsia="宋体" w:cs="宋体"/>
          <w:color w:val="auto"/>
          <w:highlight w:val="none"/>
          <w:u w:val="single"/>
          <w:lang w:val="en-US" w:eastAsia="zh-CN"/>
        </w:rPr>
        <w:t>50</w:t>
      </w:r>
      <w:r>
        <w:rPr>
          <w:rStyle w:val="31"/>
          <w:rFonts w:hint="eastAsia" w:ascii="宋体" w:hAnsi="宋体" w:eastAsia="宋体" w:cs="宋体"/>
          <w:color w:val="auto"/>
          <w:highlight w:val="none"/>
          <w:u w:val="single"/>
          <w:lang w:val="en-US"/>
        </w:rPr>
        <w:t xml:space="preserve">  </w:t>
      </w:r>
      <w:r>
        <w:rPr>
          <w:rStyle w:val="31"/>
          <w:rFonts w:hint="eastAsia" w:ascii="宋体" w:hAnsi="宋体" w:eastAsia="宋体" w:cs="宋体"/>
          <w:color w:val="auto"/>
          <w:highlight w:val="none"/>
        </w:rPr>
        <w:t>年一遇及以上的洪水；</w:t>
      </w:r>
    </w:p>
    <w:p w14:paraId="769B4223">
      <w:pPr>
        <w:pStyle w:val="101"/>
        <w:pageBreakBefore w:val="0"/>
        <w:widowControl w:val="0"/>
        <w:numPr>
          <w:ilvl w:val="0"/>
          <w:numId w:val="45"/>
        </w:numPr>
        <w:tabs>
          <w:tab w:val="left" w:pos="903"/>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highlight w:val="none"/>
        </w:rPr>
      </w:pPr>
      <w:bookmarkStart w:id="1600" w:name="bookmark1727"/>
      <w:bookmarkEnd w:id="1600"/>
      <w:r>
        <w:rPr>
          <w:rStyle w:val="31"/>
          <w:rFonts w:hint="eastAsia" w:ascii="宋体" w:hAnsi="宋体" w:eastAsia="宋体" w:cs="宋体"/>
          <w:color w:val="auto"/>
          <w:highlight w:val="none"/>
        </w:rPr>
        <w:t>其他异常恶劣气候灾害。</w:t>
      </w:r>
    </w:p>
    <w:p w14:paraId="2E2726B3">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601" w:name="bookmark1730"/>
      <w:bookmarkStart w:id="1602" w:name="bookmark1728"/>
      <w:bookmarkStart w:id="1603" w:name="_Toc256000209"/>
      <w:bookmarkStart w:id="1604" w:name="bookmark1729"/>
      <w:bookmarkStart w:id="1605" w:name="_Toc256000286"/>
      <w:r>
        <w:rPr>
          <w:rStyle w:val="31"/>
          <w:rFonts w:hint="eastAsia" w:ascii="宋体" w:hAnsi="宋体" w:eastAsia="宋体" w:cs="宋体"/>
          <w:color w:val="auto"/>
          <w:sz w:val="24"/>
          <w:szCs w:val="24"/>
          <w:highlight w:val="none"/>
          <w:lang w:eastAsia="zh-CN" w:bidi="en-US"/>
        </w:rPr>
        <w:t>11.5承包人工期延误</w:t>
      </w:r>
      <w:bookmarkEnd w:id="1601"/>
      <w:bookmarkEnd w:id="1602"/>
      <w:bookmarkEnd w:id="1603"/>
      <w:bookmarkEnd w:id="1604"/>
      <w:bookmarkEnd w:id="1605"/>
    </w:p>
    <w:p w14:paraId="42117B53">
      <w:pPr>
        <w:pStyle w:val="101"/>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(1)承包人如未能</w:t>
      </w:r>
      <w:r>
        <w:rPr>
          <w:rStyle w:val="31"/>
          <w:rFonts w:hint="eastAsia" w:ascii="宋体" w:hAnsi="宋体" w:eastAsia="宋体" w:cs="宋体"/>
          <w:color w:val="auto"/>
          <w:highlight w:val="none"/>
          <w:lang w:eastAsia="zh-CN"/>
        </w:rPr>
        <w:t>在本合同规定的</w:t>
      </w:r>
      <w:r>
        <w:rPr>
          <w:rStyle w:val="31"/>
          <w:rFonts w:hint="eastAsia" w:ascii="宋体" w:hAnsi="宋体" w:eastAsia="宋体" w:cs="宋体"/>
          <w:color w:val="auto"/>
          <w:highlight w:val="none"/>
        </w:rPr>
        <w:t>完工日期前完工，逾期完工违约金按</w:t>
      </w:r>
      <w:r>
        <w:rPr>
          <w:rStyle w:val="31"/>
          <w:rFonts w:hint="eastAsia" w:ascii="宋体" w:hAnsi="宋体" w:eastAsia="宋体" w:cs="宋体"/>
          <w:color w:val="auto"/>
          <w:highlight w:val="none"/>
          <w:u w:val="single"/>
          <w:lang w:val="en-US" w:eastAsia="zh-CN"/>
        </w:rPr>
        <w:t>1000</w:t>
      </w:r>
      <w:r>
        <w:rPr>
          <w:rStyle w:val="31"/>
          <w:rFonts w:hint="eastAsia" w:ascii="宋体" w:hAnsi="宋体" w:eastAsia="宋体" w:cs="宋体"/>
          <w:color w:val="auto"/>
          <w:highlight w:val="none"/>
        </w:rPr>
        <w:t>元/ 天</w:t>
      </w:r>
      <w:r>
        <w:rPr>
          <w:rStyle w:val="31"/>
          <w:rFonts w:hint="eastAsia" w:ascii="宋体" w:hAnsi="宋体" w:eastAsia="宋体" w:cs="宋体"/>
          <w:i/>
          <w:iCs/>
          <w:color w:val="auto"/>
          <w:highlight w:val="none"/>
        </w:rPr>
        <w:t>”</w:t>
      </w:r>
      <w:r>
        <w:rPr>
          <w:rStyle w:val="31"/>
          <w:rFonts w:hint="eastAsia" w:ascii="宋体" w:hAnsi="宋体" w:eastAsia="宋体" w:cs="宋体"/>
          <w:color w:val="auto"/>
          <w:highlight w:val="none"/>
        </w:rPr>
        <w:t>计算。</w:t>
      </w:r>
    </w:p>
    <w:p w14:paraId="543FD042">
      <w:pPr>
        <w:pStyle w:val="101"/>
        <w:pageBreakBefore w:val="0"/>
        <w:widowControl w:val="0"/>
        <w:numPr>
          <w:ilvl w:val="0"/>
          <w:numId w:val="46"/>
        </w:numPr>
        <w:tabs>
          <w:tab w:val="left" w:pos="922"/>
          <w:tab w:val="left" w:pos="6190"/>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606" w:name="bookmark1731"/>
      <w:bookmarkEnd w:id="1606"/>
      <w:r>
        <w:rPr>
          <w:rStyle w:val="31"/>
          <w:rFonts w:hint="eastAsia" w:ascii="宋体" w:hAnsi="宋体" w:eastAsia="宋体" w:cs="宋体"/>
          <w:color w:val="auto"/>
          <w:highlight w:val="none"/>
        </w:rPr>
        <w:t>全部逾期完工违约金的总限额不超过合同总价的</w:t>
      </w:r>
      <w:r>
        <w:rPr>
          <w:rStyle w:val="31"/>
          <w:rFonts w:hint="eastAsia" w:ascii="宋体" w:hAnsi="宋体" w:eastAsia="宋体" w:cs="宋体"/>
          <w:color w:val="auto"/>
          <w:highlight w:val="none"/>
          <w:u w:val="single"/>
          <w:lang w:val="en-US" w:eastAsia="zh-CN"/>
        </w:rPr>
        <w:t>2</w:t>
      </w:r>
      <w:r>
        <w:rPr>
          <w:rStyle w:val="31"/>
          <w:rFonts w:hint="eastAsia" w:ascii="宋体" w:hAnsi="宋体" w:eastAsia="宋体" w:cs="宋体"/>
          <w:color w:val="auto"/>
          <w:highlight w:val="none"/>
        </w:rPr>
        <w:t>%,发包人可从应向承包人支付的任何金额中扣除此项违约金或以其他方式收回此款，此违约金的支付并不能解除承包人应完成工程的责任或合同规定的其他责任。</w:t>
      </w:r>
    </w:p>
    <w:p w14:paraId="3E98CAE3">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607" w:name="bookmark1734"/>
      <w:bookmarkStart w:id="1608" w:name="_Toc256000210"/>
      <w:bookmarkStart w:id="1609" w:name="_Toc256000287"/>
      <w:bookmarkStart w:id="1610" w:name="bookmark1733"/>
      <w:bookmarkStart w:id="1611" w:name="bookmark1732"/>
      <w:r>
        <w:rPr>
          <w:rStyle w:val="31"/>
          <w:rFonts w:hint="eastAsia" w:ascii="宋体" w:hAnsi="宋体" w:eastAsia="宋体" w:cs="宋体"/>
          <w:color w:val="auto"/>
          <w:sz w:val="24"/>
          <w:szCs w:val="24"/>
          <w:highlight w:val="none"/>
          <w:lang w:eastAsia="zh-CN" w:bidi="en-US"/>
        </w:rPr>
        <w:t>11.6工期提前</w:t>
      </w:r>
      <w:bookmarkEnd w:id="1607"/>
      <w:bookmarkEnd w:id="1608"/>
      <w:bookmarkEnd w:id="1609"/>
      <w:bookmarkEnd w:id="1610"/>
      <w:bookmarkEnd w:id="1611"/>
    </w:p>
    <w:p w14:paraId="60DC7519">
      <w:pPr>
        <w:pStyle w:val="101"/>
        <w:pageBreakBefore w:val="0"/>
        <w:widowControl w:val="0"/>
        <w:tabs>
          <w:tab w:val="left" w:pos="8218"/>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工期提前的资金约定：</w:t>
      </w:r>
      <w:r>
        <w:rPr>
          <w:rStyle w:val="31"/>
          <w:rFonts w:hint="eastAsia" w:ascii="宋体" w:hAnsi="宋体" w:eastAsia="宋体" w:cs="宋体"/>
          <w:color w:val="auto"/>
          <w:highlight w:val="none"/>
          <w:u w:val="single"/>
          <w:lang w:val="en-US"/>
        </w:rPr>
        <w:t xml:space="preserve">在保证工程质量的前提下，发包人鼓励承包人提前完工，但本合同工程无提前工期奖金 </w:t>
      </w:r>
      <w:r>
        <w:rPr>
          <w:rStyle w:val="31"/>
          <w:rFonts w:hint="eastAsia" w:ascii="宋体" w:hAnsi="宋体" w:eastAsia="宋体" w:cs="宋体"/>
          <w:color w:val="auto"/>
          <w:highlight w:val="none"/>
        </w:rPr>
        <w:t xml:space="preserve"> </w:t>
      </w:r>
      <w:r>
        <w:rPr>
          <w:rStyle w:val="31"/>
          <w:rFonts w:hint="eastAsia" w:ascii="宋体" w:hAnsi="宋体" w:eastAsia="宋体" w:cs="宋体"/>
          <w:color w:val="auto"/>
          <w:highlight w:val="none"/>
          <w:lang w:val="en-US" w:bidi="en-US"/>
        </w:rPr>
        <w:t>。</w:t>
      </w:r>
    </w:p>
    <w:p w14:paraId="21BBC223">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highlight w:val="none"/>
          <w:lang w:eastAsia="zh-CN"/>
        </w:rPr>
      </w:pPr>
      <w:bookmarkStart w:id="1612" w:name="_Toc24244"/>
      <w:bookmarkStart w:id="1613" w:name="_Toc23224"/>
      <w:bookmarkStart w:id="1614" w:name="_Toc256000211"/>
      <w:bookmarkStart w:id="1615" w:name="_Toc256000288"/>
      <w:bookmarkStart w:id="1616" w:name="bookmark1736"/>
      <w:bookmarkStart w:id="1617" w:name="_Toc6849"/>
      <w:bookmarkStart w:id="1618" w:name="bookmark1737"/>
      <w:bookmarkStart w:id="1619" w:name="bookmark1735"/>
      <w:r>
        <w:rPr>
          <w:rStyle w:val="31"/>
          <w:rFonts w:hint="eastAsia" w:ascii="宋体" w:hAnsi="宋体" w:eastAsia="宋体" w:cs="宋体"/>
          <w:color w:val="auto"/>
          <w:highlight w:val="none"/>
          <w:lang w:eastAsia="zh-CN"/>
        </w:rPr>
        <w:t>12. 暂停施工</w:t>
      </w:r>
      <w:bookmarkEnd w:id="1612"/>
      <w:bookmarkEnd w:id="1613"/>
      <w:bookmarkEnd w:id="1614"/>
      <w:bookmarkEnd w:id="1615"/>
      <w:bookmarkEnd w:id="1616"/>
      <w:bookmarkEnd w:id="1617"/>
      <w:bookmarkEnd w:id="1618"/>
      <w:bookmarkEnd w:id="1619"/>
    </w:p>
    <w:p w14:paraId="73B57883">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620" w:name="bookmark1740"/>
      <w:bookmarkStart w:id="1621" w:name="_Toc256000289"/>
      <w:bookmarkStart w:id="1622" w:name="bookmark1738"/>
      <w:bookmarkStart w:id="1623" w:name="bookmark1739"/>
      <w:bookmarkStart w:id="1624" w:name="_Toc256000212"/>
      <w:r>
        <w:rPr>
          <w:rStyle w:val="31"/>
          <w:rFonts w:hint="eastAsia" w:ascii="宋体" w:hAnsi="宋体" w:eastAsia="宋体" w:cs="宋体"/>
          <w:color w:val="auto"/>
          <w:sz w:val="24"/>
          <w:szCs w:val="24"/>
          <w:highlight w:val="none"/>
          <w:lang w:eastAsia="zh-CN" w:bidi="en-US"/>
        </w:rPr>
        <w:t>12.1承包人暂停施工的责任</w:t>
      </w:r>
      <w:bookmarkEnd w:id="1620"/>
      <w:bookmarkEnd w:id="1621"/>
      <w:bookmarkEnd w:id="1622"/>
      <w:bookmarkEnd w:id="1623"/>
      <w:bookmarkEnd w:id="1624"/>
    </w:p>
    <w:p w14:paraId="0607650A">
      <w:pPr>
        <w:pStyle w:val="101"/>
        <w:pageBreakBefore w:val="0"/>
        <w:widowControl w:val="0"/>
        <w:tabs>
          <w:tab w:val="left" w:pos="8218"/>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highlight w:val="none"/>
          <w:u w:val="single"/>
        </w:rPr>
      </w:pPr>
      <w:bookmarkStart w:id="1625" w:name="bookmark1741"/>
      <w:bookmarkEnd w:id="1625"/>
      <w:r>
        <w:rPr>
          <w:rStyle w:val="31"/>
          <w:rFonts w:hint="eastAsia" w:ascii="宋体" w:hAnsi="宋体" w:eastAsia="宋体" w:cs="宋体"/>
          <w:color w:val="auto"/>
          <w:highlight w:val="none"/>
          <w:lang w:eastAsia="zh-CN"/>
        </w:rPr>
        <w:t>承</w:t>
      </w:r>
      <w:r>
        <w:rPr>
          <w:rStyle w:val="31"/>
          <w:rFonts w:hint="eastAsia" w:ascii="宋体" w:hAnsi="宋体" w:eastAsia="宋体" w:cs="宋体"/>
          <w:color w:val="auto"/>
          <w:highlight w:val="none"/>
        </w:rPr>
        <w:t>包人承担暂停施工责任的其它情形：</w:t>
      </w:r>
      <w:r>
        <w:rPr>
          <w:rStyle w:val="31"/>
          <w:rFonts w:hint="eastAsia" w:ascii="宋体" w:hAnsi="宋体" w:eastAsia="宋体" w:cs="宋体"/>
          <w:color w:val="auto"/>
          <w:highlight w:val="none"/>
          <w:u w:val="single"/>
        </w:rPr>
        <w:t>属于下列任何一种情况引起的暂停施工，承包人不能提出增加费用和延长工期的要求：</w:t>
      </w:r>
    </w:p>
    <w:p w14:paraId="5B44CB39">
      <w:pPr>
        <w:pStyle w:val="101"/>
        <w:pageBreakBefore w:val="0"/>
        <w:widowControl w:val="0"/>
        <w:tabs>
          <w:tab w:val="left" w:pos="8218"/>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highlight w:val="none"/>
          <w:u w:val="single"/>
        </w:rPr>
      </w:pPr>
      <w:r>
        <w:rPr>
          <w:rStyle w:val="31"/>
          <w:rFonts w:hint="eastAsia" w:ascii="宋体" w:hAnsi="宋体" w:eastAsia="宋体" w:cs="宋体"/>
          <w:color w:val="auto"/>
          <w:highlight w:val="none"/>
          <w:u w:val="single"/>
        </w:rPr>
        <w:t>①合同中另有规定的。</w:t>
      </w:r>
    </w:p>
    <w:p w14:paraId="1C1EA91C">
      <w:pPr>
        <w:pStyle w:val="101"/>
        <w:pageBreakBefore w:val="0"/>
        <w:widowControl w:val="0"/>
        <w:tabs>
          <w:tab w:val="left" w:pos="8218"/>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highlight w:val="none"/>
          <w:u w:val="single"/>
        </w:rPr>
      </w:pPr>
      <w:r>
        <w:rPr>
          <w:rStyle w:val="31"/>
          <w:rFonts w:hint="eastAsia" w:ascii="宋体" w:hAnsi="宋体" w:eastAsia="宋体" w:cs="宋体"/>
          <w:color w:val="auto"/>
          <w:highlight w:val="none"/>
          <w:u w:val="single"/>
        </w:rPr>
        <w:t>②由于承包人违约引起的暂停施工。</w:t>
      </w:r>
    </w:p>
    <w:p w14:paraId="41F44F68">
      <w:pPr>
        <w:pStyle w:val="101"/>
        <w:pageBreakBefore w:val="0"/>
        <w:widowControl w:val="0"/>
        <w:tabs>
          <w:tab w:val="left" w:pos="8218"/>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highlight w:val="none"/>
          <w:u w:val="single"/>
        </w:rPr>
      </w:pPr>
      <w:r>
        <w:rPr>
          <w:rStyle w:val="31"/>
          <w:rFonts w:hint="eastAsia" w:ascii="宋体" w:hAnsi="宋体" w:eastAsia="宋体" w:cs="宋体"/>
          <w:color w:val="auto"/>
          <w:highlight w:val="none"/>
          <w:u w:val="single"/>
        </w:rPr>
        <w:t>③由于现场非异常恶劣气候条件引起的正常停工。</w:t>
      </w:r>
    </w:p>
    <w:p w14:paraId="05D7C81A">
      <w:pPr>
        <w:pStyle w:val="101"/>
        <w:pageBreakBefore w:val="0"/>
        <w:widowControl w:val="0"/>
        <w:tabs>
          <w:tab w:val="left" w:pos="8218"/>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highlight w:val="none"/>
          <w:u w:val="single"/>
        </w:rPr>
      </w:pPr>
      <w:r>
        <w:rPr>
          <w:rStyle w:val="31"/>
          <w:rFonts w:hint="eastAsia" w:ascii="宋体" w:hAnsi="宋体" w:eastAsia="宋体" w:cs="宋体"/>
          <w:color w:val="auto"/>
          <w:highlight w:val="none"/>
          <w:u w:val="single"/>
        </w:rPr>
        <w:t>④由于承包人为工程的合理施工和保证安全所必须的暂停施工。</w:t>
      </w:r>
    </w:p>
    <w:p w14:paraId="5778561A">
      <w:pPr>
        <w:pStyle w:val="101"/>
        <w:pageBreakBefore w:val="0"/>
        <w:widowControl w:val="0"/>
        <w:tabs>
          <w:tab w:val="left" w:pos="8218"/>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highlight w:val="none"/>
          <w:u w:val="single"/>
        </w:rPr>
      </w:pPr>
      <w:r>
        <w:rPr>
          <w:rStyle w:val="31"/>
          <w:rFonts w:hint="eastAsia" w:ascii="宋体" w:hAnsi="宋体" w:eastAsia="宋体" w:cs="宋体"/>
          <w:color w:val="auto"/>
          <w:highlight w:val="none"/>
          <w:u w:val="single"/>
        </w:rPr>
        <w:t>⑤未得到监理人许可的承包人擅自停工。</w:t>
      </w:r>
    </w:p>
    <w:p w14:paraId="655FAD50">
      <w:pPr>
        <w:pStyle w:val="101"/>
        <w:pageBreakBefore w:val="0"/>
        <w:widowControl w:val="0"/>
        <w:tabs>
          <w:tab w:val="left" w:pos="8218"/>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highlight w:val="none"/>
          <w:lang w:val="en-US" w:bidi="en-US"/>
        </w:rPr>
      </w:pPr>
      <w:r>
        <w:rPr>
          <w:rStyle w:val="31"/>
          <w:rFonts w:hint="eastAsia" w:ascii="宋体" w:hAnsi="宋体" w:eastAsia="宋体" w:cs="宋体"/>
          <w:color w:val="auto"/>
          <w:highlight w:val="none"/>
          <w:u w:val="single"/>
        </w:rPr>
        <w:t>⑥其它由于承包人原因引起的暂停施工。</w:t>
      </w:r>
    </w:p>
    <w:p w14:paraId="659115A3">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626" w:name="_Toc256000213"/>
      <w:bookmarkStart w:id="1627" w:name="_Toc256000290"/>
      <w:r>
        <w:rPr>
          <w:rStyle w:val="31"/>
          <w:rFonts w:hint="eastAsia" w:ascii="宋体" w:hAnsi="宋体" w:eastAsia="宋体" w:cs="宋体"/>
          <w:color w:val="auto"/>
          <w:sz w:val="24"/>
          <w:szCs w:val="24"/>
          <w:highlight w:val="none"/>
          <w:lang w:eastAsia="zh-CN" w:bidi="en-US"/>
        </w:rPr>
        <w:t>12.2发包人暂停施工的责任</w:t>
      </w:r>
      <w:bookmarkEnd w:id="1626"/>
      <w:bookmarkEnd w:id="1627"/>
    </w:p>
    <w:p w14:paraId="7ED136EC">
      <w:pPr>
        <w:pStyle w:val="101"/>
        <w:pageBreakBefore w:val="0"/>
        <w:widowControl w:val="0"/>
        <w:numPr>
          <w:ilvl w:val="0"/>
          <w:numId w:val="46"/>
        </w:numPr>
        <w:tabs>
          <w:tab w:val="left" w:pos="923"/>
          <w:tab w:val="left" w:pos="8218"/>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628" w:name="bookmark1742"/>
      <w:bookmarkEnd w:id="1628"/>
      <w:r>
        <w:rPr>
          <w:rStyle w:val="31"/>
          <w:rFonts w:hint="eastAsia" w:ascii="宋体" w:hAnsi="宋体" w:eastAsia="宋体" w:cs="宋体"/>
          <w:color w:val="auto"/>
          <w:highlight w:val="none"/>
        </w:rPr>
        <w:t>发包人承担暂停施工责任的其它情形：</w:t>
      </w:r>
      <w:r>
        <w:rPr>
          <w:rStyle w:val="31"/>
          <w:rFonts w:hint="eastAsia" w:ascii="宋体" w:hAnsi="宋体" w:eastAsia="宋体" w:cs="宋体"/>
          <w:color w:val="auto"/>
          <w:highlight w:val="none"/>
          <w:u w:val="single"/>
        </w:rPr>
        <w:t xml:space="preserve">发包人可以根据资金到位情况暂停部分项目的施工，发包人只延长因该部分暂停施工增加的工期，但不增加投资 </w:t>
      </w:r>
      <w:r>
        <w:rPr>
          <w:rStyle w:val="31"/>
          <w:rFonts w:hint="eastAsia" w:ascii="宋体" w:hAnsi="宋体" w:eastAsia="宋体" w:cs="宋体"/>
          <w:color w:val="auto"/>
          <w:highlight w:val="none"/>
          <w:lang w:val="en-US" w:bidi="en-US"/>
        </w:rPr>
        <w:t>。</w:t>
      </w:r>
    </w:p>
    <w:p w14:paraId="52133B6B">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highlight w:val="none"/>
          <w:lang w:eastAsia="zh-CN"/>
        </w:rPr>
      </w:pPr>
      <w:bookmarkStart w:id="1629" w:name="_Toc13616"/>
      <w:bookmarkStart w:id="1630" w:name="bookmark1745"/>
      <w:bookmarkStart w:id="1631" w:name="_Toc4631"/>
      <w:bookmarkStart w:id="1632" w:name="bookmark1743"/>
      <w:bookmarkStart w:id="1633" w:name="bookmark1744"/>
      <w:bookmarkStart w:id="1634" w:name="_Toc256000214"/>
      <w:bookmarkStart w:id="1635" w:name="_Toc256000291"/>
      <w:bookmarkStart w:id="1636" w:name="_Toc26672"/>
      <w:r>
        <w:rPr>
          <w:rStyle w:val="31"/>
          <w:rFonts w:hint="eastAsia" w:ascii="宋体" w:hAnsi="宋体" w:eastAsia="宋体" w:cs="宋体"/>
          <w:color w:val="auto"/>
          <w:highlight w:val="none"/>
          <w:lang w:eastAsia="zh-CN"/>
        </w:rPr>
        <w:t>13. 工程质量</w:t>
      </w:r>
      <w:bookmarkEnd w:id="1629"/>
      <w:bookmarkEnd w:id="1630"/>
      <w:bookmarkEnd w:id="1631"/>
      <w:bookmarkEnd w:id="1632"/>
      <w:bookmarkEnd w:id="1633"/>
      <w:bookmarkEnd w:id="1634"/>
      <w:bookmarkEnd w:id="1635"/>
      <w:bookmarkEnd w:id="1636"/>
    </w:p>
    <w:p w14:paraId="355E7480">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637" w:name="_Toc256000292"/>
      <w:bookmarkStart w:id="1638" w:name="bookmark1747"/>
      <w:bookmarkStart w:id="1639" w:name="_Toc256000215"/>
      <w:bookmarkStart w:id="1640" w:name="bookmark1746"/>
      <w:bookmarkStart w:id="1641" w:name="bookmark1748"/>
      <w:r>
        <w:rPr>
          <w:rStyle w:val="31"/>
          <w:rFonts w:hint="eastAsia" w:ascii="宋体" w:hAnsi="宋体" w:eastAsia="宋体" w:cs="宋体"/>
          <w:color w:val="auto"/>
          <w:sz w:val="24"/>
          <w:szCs w:val="24"/>
          <w:highlight w:val="none"/>
          <w:lang w:eastAsia="zh-CN" w:bidi="en-US"/>
        </w:rPr>
        <w:t>13.7质量评定</w:t>
      </w:r>
      <w:bookmarkEnd w:id="1637"/>
      <w:bookmarkEnd w:id="1638"/>
      <w:bookmarkEnd w:id="1639"/>
      <w:bookmarkEnd w:id="1640"/>
      <w:bookmarkEnd w:id="1641"/>
    </w:p>
    <w:p w14:paraId="7F70AA5B">
      <w:pPr>
        <w:pStyle w:val="101"/>
        <w:pageBreakBefore w:val="0"/>
        <w:widowControl w:val="0"/>
        <w:tabs>
          <w:tab w:val="left" w:pos="8228"/>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13.7.4</w:t>
      </w:r>
      <w:r>
        <w:rPr>
          <w:rStyle w:val="31"/>
          <w:rFonts w:hint="eastAsia" w:ascii="宋体" w:hAnsi="宋体" w:eastAsia="宋体" w:cs="宋体"/>
          <w:color w:val="auto"/>
          <w:highlight w:val="none"/>
        </w:rPr>
        <w:t>重要隐蔽单元工程和关键部位单元工程质量评定的约定：</w:t>
      </w:r>
      <w:r>
        <w:rPr>
          <w:rStyle w:val="31"/>
          <w:rFonts w:hint="eastAsia" w:ascii="宋体" w:hAnsi="宋体" w:eastAsia="宋体" w:cs="宋体"/>
          <w:color w:val="auto"/>
          <w:highlight w:val="none"/>
          <w:u w:val="single"/>
        </w:rPr>
        <w:t>必须组织相关各方进行联检</w:t>
      </w:r>
      <w:r>
        <w:rPr>
          <w:rStyle w:val="31"/>
          <w:rFonts w:hint="eastAsia" w:ascii="宋体" w:hAnsi="宋体" w:eastAsia="宋体" w:cs="宋体"/>
          <w:color w:val="auto"/>
          <w:highlight w:val="none"/>
          <w:u w:val="single"/>
          <w:lang w:val="en-US"/>
        </w:rPr>
        <w:t>。</w:t>
      </w:r>
    </w:p>
    <w:p w14:paraId="2FE400B6">
      <w:pPr>
        <w:pStyle w:val="101"/>
        <w:pageBreakBefore w:val="0"/>
        <w:widowControl w:val="0"/>
        <w:tabs>
          <w:tab w:val="left" w:pos="3751"/>
          <w:tab w:val="left" w:pos="4834"/>
          <w:tab w:val="left" w:pos="8225"/>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 xml:space="preserve">13.7.7 </w:t>
      </w:r>
      <w:r>
        <w:rPr>
          <w:rStyle w:val="31"/>
          <w:rFonts w:hint="eastAsia" w:ascii="宋体" w:hAnsi="宋体" w:eastAsia="宋体" w:cs="宋体"/>
          <w:color w:val="auto"/>
          <w:highlight w:val="none"/>
        </w:rPr>
        <w:t>工程合格标准为：</w:t>
      </w:r>
      <w:r>
        <w:rPr>
          <w:rStyle w:val="31"/>
          <w:rFonts w:hint="eastAsia" w:ascii="宋体" w:hAnsi="宋体" w:eastAsia="宋体" w:cs="宋体"/>
          <w:color w:val="auto"/>
          <w:highlight w:val="none"/>
          <w:u w:val="single"/>
        </w:rPr>
        <w:t>执行《水利水电工程施工质量检验与评定规程》（SL176—2007）</w:t>
      </w:r>
      <w:r>
        <w:rPr>
          <w:rStyle w:val="31"/>
          <w:rFonts w:hint="eastAsia" w:ascii="宋体" w:hAnsi="宋体" w:eastAsia="宋体" w:cs="宋体"/>
          <w:color w:val="auto"/>
          <w:highlight w:val="none"/>
        </w:rPr>
        <w:t>；优良标准为：</w:t>
      </w:r>
      <w:r>
        <w:rPr>
          <w:rStyle w:val="31"/>
          <w:rFonts w:hint="eastAsia" w:ascii="宋体" w:hAnsi="宋体" w:eastAsia="宋体" w:cs="宋体"/>
          <w:color w:val="auto"/>
          <w:highlight w:val="none"/>
          <w:u w:val="single"/>
        </w:rPr>
        <w:t>执行《水利水电工程施工质量检验与评定规程》（SL176—2007）</w:t>
      </w:r>
      <w:r>
        <w:rPr>
          <w:rStyle w:val="31"/>
          <w:rFonts w:hint="eastAsia" w:ascii="宋体" w:hAnsi="宋体" w:eastAsia="宋体" w:cs="宋体"/>
          <w:color w:val="auto"/>
          <w:highlight w:val="none"/>
          <w:lang w:val="en-US" w:bidi="en-US"/>
        </w:rPr>
        <w:t>。</w:t>
      </w:r>
      <w:r>
        <w:rPr>
          <w:rStyle w:val="31"/>
          <w:rFonts w:hint="eastAsia" w:ascii="宋体" w:hAnsi="宋体" w:eastAsia="宋体" w:cs="宋体"/>
          <w:color w:val="auto"/>
          <w:highlight w:val="none"/>
        </w:rPr>
        <w:t>达到优良的奖金为：</w:t>
      </w:r>
      <w:r>
        <w:rPr>
          <w:rStyle w:val="31"/>
          <w:rFonts w:hint="eastAsia" w:ascii="宋体" w:hAnsi="宋体" w:eastAsia="宋体" w:cs="宋体"/>
          <w:color w:val="auto"/>
          <w:highlight w:val="none"/>
          <w:u w:val="single"/>
          <w:lang w:eastAsia="zh-CN"/>
        </w:rPr>
        <w:t>无</w:t>
      </w:r>
      <w:r>
        <w:rPr>
          <w:rStyle w:val="31"/>
          <w:rFonts w:hint="eastAsia" w:ascii="宋体" w:hAnsi="宋体" w:eastAsia="宋体" w:cs="宋体"/>
          <w:color w:val="auto"/>
          <w:highlight w:val="none"/>
          <w:lang w:val="en-US" w:bidi="en-US"/>
        </w:rPr>
        <w:t>。</w:t>
      </w:r>
    </w:p>
    <w:p w14:paraId="397E1F12">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642" w:name="bookmark1750"/>
      <w:bookmarkStart w:id="1643" w:name="bookmark1749"/>
      <w:bookmarkStart w:id="1644" w:name="_Toc256000216"/>
      <w:bookmarkStart w:id="1645" w:name="bookmark1751"/>
      <w:bookmarkStart w:id="1646" w:name="_Toc256000293"/>
      <w:r>
        <w:rPr>
          <w:rStyle w:val="31"/>
          <w:rFonts w:hint="eastAsia" w:ascii="宋体" w:hAnsi="宋体" w:eastAsia="宋体" w:cs="宋体"/>
          <w:color w:val="auto"/>
          <w:sz w:val="24"/>
          <w:szCs w:val="24"/>
          <w:highlight w:val="none"/>
          <w:lang w:eastAsia="zh-CN" w:bidi="en-US"/>
        </w:rPr>
        <w:t>13.8质量事故处理</w:t>
      </w:r>
      <w:bookmarkEnd w:id="1642"/>
      <w:bookmarkEnd w:id="1643"/>
      <w:bookmarkEnd w:id="1644"/>
      <w:bookmarkEnd w:id="1645"/>
      <w:bookmarkEnd w:id="1646"/>
    </w:p>
    <w:p w14:paraId="54CD9CD1">
      <w:pPr>
        <w:pStyle w:val="101"/>
        <w:pageBreakBefore w:val="0"/>
        <w:widowControl w:val="0"/>
        <w:tabs>
          <w:tab w:val="left" w:pos="4814"/>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13.8.4</w:t>
      </w:r>
      <w:r>
        <w:rPr>
          <w:rStyle w:val="31"/>
          <w:rFonts w:hint="eastAsia" w:ascii="宋体" w:hAnsi="宋体" w:eastAsia="宋体" w:cs="宋体"/>
          <w:color w:val="auto"/>
          <w:highlight w:val="none"/>
        </w:rPr>
        <w:t>工程竣工验收时，</w:t>
      </w:r>
      <w:r>
        <w:rPr>
          <w:rStyle w:val="31"/>
          <w:rFonts w:hint="eastAsia" w:ascii="宋体" w:hAnsi="宋体" w:eastAsia="宋体" w:cs="宋体"/>
          <w:color w:val="auto"/>
          <w:highlight w:val="none"/>
          <w:u w:val="single"/>
        </w:rPr>
        <w:t>承包人及监理人</w:t>
      </w:r>
      <w:r>
        <w:rPr>
          <w:rStyle w:val="31"/>
          <w:rFonts w:hint="eastAsia" w:ascii="宋体" w:hAnsi="宋体" w:eastAsia="宋体" w:cs="宋体"/>
          <w:color w:val="auto"/>
          <w:highlight w:val="none"/>
        </w:rPr>
        <w:t>向竣工验收委员会汇报并提交历次质量缺陷处理的备案资料。</w:t>
      </w:r>
    </w:p>
    <w:p w14:paraId="69D44D9D">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highlight w:val="none"/>
          <w:lang w:eastAsia="zh-CN"/>
        </w:rPr>
      </w:pPr>
      <w:bookmarkStart w:id="1647" w:name="_Toc20650"/>
      <w:bookmarkStart w:id="1648" w:name="_Toc6407"/>
      <w:bookmarkStart w:id="1649" w:name="_Toc256000217"/>
      <w:bookmarkStart w:id="1650" w:name="_Toc256000294"/>
      <w:bookmarkStart w:id="1651" w:name="bookmark1753"/>
      <w:bookmarkStart w:id="1652" w:name="bookmark1754"/>
      <w:bookmarkStart w:id="1653" w:name="bookmark1752"/>
      <w:bookmarkStart w:id="1654" w:name="_Toc29861"/>
      <w:r>
        <w:rPr>
          <w:rStyle w:val="31"/>
          <w:rFonts w:hint="eastAsia" w:ascii="宋体" w:hAnsi="宋体" w:eastAsia="宋体" w:cs="宋体"/>
          <w:color w:val="auto"/>
          <w:highlight w:val="none"/>
          <w:lang w:eastAsia="zh-CN"/>
        </w:rPr>
        <w:t>14 . 试验和检验</w:t>
      </w:r>
      <w:bookmarkEnd w:id="1647"/>
      <w:bookmarkEnd w:id="1648"/>
      <w:bookmarkEnd w:id="1649"/>
      <w:bookmarkEnd w:id="1650"/>
      <w:bookmarkEnd w:id="1651"/>
      <w:bookmarkEnd w:id="1652"/>
      <w:bookmarkEnd w:id="1653"/>
      <w:bookmarkEnd w:id="1654"/>
    </w:p>
    <w:p w14:paraId="1EB26AC6">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655" w:name="bookmark1755"/>
      <w:bookmarkStart w:id="1656" w:name="bookmark1757"/>
      <w:bookmarkStart w:id="1657" w:name="_Toc256000295"/>
      <w:bookmarkStart w:id="1658" w:name="_Toc256000218"/>
      <w:bookmarkStart w:id="1659" w:name="bookmark1756"/>
      <w:r>
        <w:rPr>
          <w:rStyle w:val="31"/>
          <w:rFonts w:hint="eastAsia" w:ascii="宋体" w:hAnsi="宋体" w:eastAsia="宋体" w:cs="宋体"/>
          <w:color w:val="auto"/>
          <w:sz w:val="24"/>
          <w:szCs w:val="24"/>
          <w:highlight w:val="none"/>
          <w:lang w:eastAsia="zh-CN" w:bidi="en-US"/>
        </w:rPr>
        <w:t>14.1材料、工程设备和工程的试验和检验</w:t>
      </w:r>
      <w:bookmarkEnd w:id="1655"/>
      <w:bookmarkEnd w:id="1656"/>
      <w:bookmarkEnd w:id="1657"/>
      <w:bookmarkEnd w:id="1658"/>
      <w:bookmarkEnd w:id="1659"/>
    </w:p>
    <w:p w14:paraId="11056FEC">
      <w:pPr>
        <w:pStyle w:val="101"/>
        <w:pageBreakBefore w:val="0"/>
        <w:widowControl w:val="0"/>
        <w:tabs>
          <w:tab w:val="left" w:pos="2071"/>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14.1.5</w:t>
      </w:r>
      <w:r>
        <w:rPr>
          <w:rStyle w:val="31"/>
          <w:rFonts w:hint="eastAsia" w:ascii="宋体" w:hAnsi="宋体" w:eastAsia="宋体" w:cs="宋体"/>
          <w:color w:val="auto"/>
          <w:highlight w:val="none"/>
        </w:rPr>
        <w:t>水工金属结构、启闭机及机电产品进场后的交货检查和验收中，承包人负责</w:t>
      </w:r>
      <w:r>
        <w:rPr>
          <w:rStyle w:val="31"/>
          <w:rFonts w:hint="eastAsia" w:ascii="宋体" w:hAnsi="宋体" w:eastAsia="宋体" w:cs="宋体"/>
          <w:color w:val="auto"/>
          <w:highlight w:val="none"/>
          <w:lang w:val="en-US" w:eastAsia="zh-CN"/>
        </w:rPr>
        <w:t xml:space="preserve"> </w:t>
      </w:r>
      <w:r>
        <w:rPr>
          <w:rStyle w:val="31"/>
          <w:rFonts w:hint="eastAsia" w:ascii="宋体" w:hAnsi="宋体" w:eastAsia="宋体" w:cs="宋体"/>
          <w:color w:val="auto"/>
          <w:highlight w:val="none"/>
          <w:u w:val="single"/>
        </w:rPr>
        <w:t>按通用条款执行</w:t>
      </w:r>
      <w:r>
        <w:rPr>
          <w:rStyle w:val="103"/>
          <w:rFonts w:hint="eastAsia" w:ascii="宋体" w:hAnsi="宋体" w:eastAsia="宋体" w:cs="宋体"/>
          <w:color w:val="auto"/>
          <w:sz w:val="21"/>
          <w:szCs w:val="21"/>
          <w:highlight w:val="none"/>
          <w:u w:val="single"/>
        </w:rPr>
        <w:t>。</w:t>
      </w:r>
    </w:p>
    <w:p w14:paraId="1885DB3A">
      <w:pPr>
        <w:pStyle w:val="101"/>
        <w:pageBreakBefore w:val="0"/>
        <w:widowControl w:val="0"/>
        <w:tabs>
          <w:tab w:val="left" w:pos="7525"/>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14.1.6</w:t>
      </w:r>
      <w:r>
        <w:rPr>
          <w:rStyle w:val="31"/>
          <w:rFonts w:hint="eastAsia" w:ascii="宋体" w:hAnsi="宋体" w:eastAsia="宋体" w:cs="宋体"/>
          <w:color w:val="auto"/>
          <w:highlight w:val="none"/>
        </w:rPr>
        <w:t>本工程实行见证取样的试块、试件及有关材料：</w:t>
      </w:r>
      <w:r>
        <w:rPr>
          <w:rStyle w:val="31"/>
          <w:rFonts w:hint="eastAsia" w:ascii="宋体" w:hAnsi="宋体" w:eastAsia="宋体" w:cs="宋体"/>
          <w:color w:val="auto"/>
          <w:highlight w:val="none"/>
          <w:u w:val="single"/>
        </w:rPr>
        <w:t>按通用条款执行</w:t>
      </w:r>
      <w:r>
        <w:rPr>
          <w:rStyle w:val="31"/>
          <w:rFonts w:hint="eastAsia" w:ascii="宋体" w:hAnsi="宋体" w:eastAsia="宋体" w:cs="宋体"/>
          <w:color w:val="auto"/>
          <w:highlight w:val="none"/>
          <w:lang w:val="en-US" w:bidi="en-US"/>
        </w:rPr>
        <w:t>。</w:t>
      </w:r>
    </w:p>
    <w:p w14:paraId="430A2120">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highlight w:val="none"/>
          <w:lang w:eastAsia="zh-CN"/>
        </w:rPr>
      </w:pPr>
      <w:bookmarkStart w:id="1660" w:name="_Toc29563"/>
      <w:bookmarkStart w:id="1661" w:name="bookmark1760"/>
      <w:bookmarkStart w:id="1662" w:name="_Toc256000296"/>
      <w:bookmarkStart w:id="1663" w:name="_Toc256000219"/>
      <w:bookmarkStart w:id="1664" w:name="_Toc217"/>
      <w:bookmarkStart w:id="1665" w:name="_Toc2879"/>
      <w:bookmarkStart w:id="1666" w:name="bookmark1759"/>
      <w:bookmarkStart w:id="1667" w:name="bookmark1758"/>
      <w:r>
        <w:rPr>
          <w:rStyle w:val="31"/>
          <w:rFonts w:hint="eastAsia" w:ascii="宋体" w:hAnsi="宋体" w:eastAsia="宋体" w:cs="宋体"/>
          <w:color w:val="auto"/>
          <w:highlight w:val="none"/>
          <w:lang w:eastAsia="zh-CN"/>
        </w:rPr>
        <w:t>15. 变更</w:t>
      </w:r>
      <w:bookmarkEnd w:id="1660"/>
      <w:bookmarkEnd w:id="1661"/>
      <w:bookmarkEnd w:id="1662"/>
      <w:bookmarkEnd w:id="1663"/>
      <w:bookmarkEnd w:id="1664"/>
      <w:bookmarkEnd w:id="1665"/>
    </w:p>
    <w:p w14:paraId="713160FE">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668" w:name="bookmark1761"/>
      <w:bookmarkStart w:id="1669" w:name="_Toc256000220"/>
      <w:bookmarkStart w:id="1670" w:name="_Toc256000297"/>
      <w:r>
        <w:rPr>
          <w:rStyle w:val="31"/>
          <w:rFonts w:hint="eastAsia" w:ascii="宋体" w:hAnsi="宋体" w:eastAsia="宋体" w:cs="宋体"/>
          <w:color w:val="auto"/>
          <w:sz w:val="24"/>
          <w:szCs w:val="24"/>
          <w:highlight w:val="none"/>
          <w:lang w:eastAsia="zh-CN" w:bidi="en-US"/>
        </w:rPr>
        <w:t>15.1变更的范围和内容</w:t>
      </w:r>
      <w:bookmarkEnd w:id="1666"/>
      <w:bookmarkEnd w:id="1667"/>
      <w:bookmarkEnd w:id="1668"/>
      <w:bookmarkEnd w:id="1669"/>
      <w:bookmarkEnd w:id="1670"/>
    </w:p>
    <w:p w14:paraId="66603B65">
      <w:pPr>
        <w:pStyle w:val="101"/>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lang w:val="en-US"/>
        </w:rPr>
      </w:pPr>
      <w:bookmarkStart w:id="1671" w:name="bookmark1762"/>
      <w:bookmarkEnd w:id="1671"/>
      <w:r>
        <w:rPr>
          <w:rStyle w:val="31"/>
          <w:rFonts w:hint="eastAsia" w:ascii="宋体" w:hAnsi="宋体" w:eastAsia="宋体" w:cs="宋体"/>
          <w:color w:val="auto"/>
          <w:highlight w:val="none"/>
          <w:lang w:val="en-US"/>
        </w:rPr>
        <w:t>□（6）增加或减少合同中关键项目的工程量超过其项目工程总量的</w:t>
      </w:r>
      <w:r>
        <w:rPr>
          <w:rStyle w:val="31"/>
          <w:rFonts w:hint="eastAsia" w:ascii="宋体" w:hAnsi="宋体" w:eastAsia="宋体" w:cs="宋体"/>
          <w:color w:val="auto"/>
          <w:highlight w:val="none"/>
          <w:u w:val="single"/>
          <w:lang w:val="en-US" w:eastAsia="zh-CN"/>
        </w:rPr>
        <w:t>10</w:t>
      </w:r>
      <w:r>
        <w:rPr>
          <w:rStyle w:val="31"/>
          <w:rFonts w:hint="eastAsia" w:ascii="宋体" w:hAnsi="宋体" w:eastAsia="宋体" w:cs="宋体"/>
          <w:color w:val="auto"/>
          <w:highlight w:val="none"/>
          <w:u w:val="single"/>
          <w:lang w:val="en-US"/>
        </w:rPr>
        <w:t xml:space="preserve"> </w:t>
      </w:r>
      <w:r>
        <w:rPr>
          <w:rStyle w:val="31"/>
          <w:rFonts w:hint="eastAsia" w:ascii="宋体" w:hAnsi="宋体" w:eastAsia="宋体" w:cs="宋体"/>
          <w:color w:val="auto"/>
          <w:highlight w:val="none"/>
          <w:lang w:val="en-US"/>
        </w:rPr>
        <w:t>%,关键项目：</w:t>
      </w:r>
      <w:r>
        <w:rPr>
          <w:rStyle w:val="31"/>
          <w:rFonts w:hint="eastAsia" w:ascii="宋体" w:hAnsi="宋体" w:eastAsia="宋体" w:cs="宋体"/>
          <w:color w:val="auto"/>
          <w:highlight w:val="none"/>
          <w:u w:val="single"/>
          <w:lang w:val="en-US" w:eastAsia="zh-CN"/>
        </w:rPr>
        <w:t>监督站核定的项目划分表确定关键项目</w:t>
      </w:r>
      <w:r>
        <w:rPr>
          <w:rStyle w:val="31"/>
          <w:rFonts w:hint="eastAsia" w:ascii="宋体" w:hAnsi="宋体" w:eastAsia="宋体" w:cs="宋体"/>
          <w:color w:val="auto"/>
          <w:highlight w:val="none"/>
        </w:rPr>
        <w:t>,单价调整方式：</w:t>
      </w:r>
      <w:r>
        <w:rPr>
          <w:rStyle w:val="31"/>
          <w:rFonts w:hint="eastAsia" w:ascii="宋体" w:hAnsi="宋体" w:eastAsia="宋体" w:cs="宋体"/>
          <w:color w:val="auto"/>
          <w:highlight w:val="none"/>
          <w:u w:val="single"/>
          <w:lang w:val="en-US" w:eastAsia="zh-CN"/>
        </w:rPr>
        <w:t>按承包人投标预算单价执行。无项目单价的按发包方与承包方确认的补充单价确定。在工程施工期间，因市场物价波动及政策变化而进行调整材料价格，超出招标预算中该材料的预算价格的，按本合同专用条款第16款执行</w:t>
      </w:r>
      <w:r>
        <w:rPr>
          <w:rStyle w:val="31"/>
          <w:rFonts w:hint="eastAsia" w:ascii="宋体" w:hAnsi="宋体" w:eastAsia="宋体" w:cs="宋体"/>
          <w:color w:val="auto"/>
          <w:highlight w:val="none"/>
          <w:lang w:val="en-US" w:eastAsia="zh-CN"/>
        </w:rPr>
        <w:t>。</w:t>
      </w:r>
    </w:p>
    <w:p w14:paraId="2BF21118">
      <w:pPr>
        <w:pStyle w:val="101"/>
        <w:pageBreakBefore w:val="0"/>
        <w:widowControl w:val="0"/>
        <w:tabs>
          <w:tab w:val="left" w:pos="2244"/>
          <w:tab w:val="left" w:pos="5791"/>
          <w:tab w:val="left" w:pos="7224"/>
        </w:tabs>
        <w:kinsoku/>
        <w:wordWrap/>
        <w:overflowPunct/>
        <w:topLinePunct w:val="0"/>
        <w:autoSpaceDE/>
        <w:autoSpaceDN/>
        <w:bidi w:val="0"/>
        <w:adjustRightInd/>
        <w:snapToGrid/>
        <w:spacing w:line="440" w:lineRule="exact"/>
        <w:ind w:left="0" w:leftChars="0" w:firstLine="0"/>
        <w:jc w:val="both"/>
        <w:textAlignment w:val="auto"/>
        <w:rPr>
          <w:rStyle w:val="31"/>
          <w:rFonts w:hint="eastAsia" w:ascii="宋体" w:hAnsi="宋体" w:eastAsia="宋体" w:cs="宋体"/>
          <w:color w:val="auto"/>
          <w:highlight w:val="none"/>
          <w:lang w:val="en-US" w:bidi="en-US"/>
        </w:rPr>
      </w:pPr>
      <w:r>
        <w:rPr>
          <w:rStyle w:val="31"/>
          <w:rFonts w:hint="eastAsia" w:ascii="宋体" w:hAnsi="宋体" w:eastAsia="宋体" w:cs="宋体"/>
          <w:color w:val="auto"/>
          <w:highlight w:val="none"/>
          <w:lang w:val="en-US" w:eastAsia="zh-CN" w:bidi="en-US"/>
        </w:rPr>
        <w:t>☑</w:t>
      </w:r>
      <w:r>
        <w:rPr>
          <w:rStyle w:val="31"/>
          <w:rFonts w:hint="eastAsia" w:ascii="宋体" w:hAnsi="宋体" w:eastAsia="宋体" w:cs="宋体"/>
          <w:color w:val="auto"/>
          <w:highlight w:val="none"/>
          <w:lang w:val="en-US" w:bidi="en-US"/>
        </w:rPr>
        <w:t>（6）本合同工程不因增加或减少合同工程量而调整合同单价。</w:t>
      </w:r>
    </w:p>
    <w:p w14:paraId="72C5AC40">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672" w:name="bookmark1763"/>
      <w:bookmarkStart w:id="1673" w:name="bookmark1764"/>
      <w:bookmarkStart w:id="1674" w:name="bookmark1765"/>
      <w:bookmarkStart w:id="1675" w:name="_Toc256000298"/>
      <w:bookmarkStart w:id="1676" w:name="_Toc256000221"/>
      <w:r>
        <w:rPr>
          <w:rStyle w:val="31"/>
          <w:rFonts w:hint="eastAsia" w:ascii="宋体" w:hAnsi="宋体" w:eastAsia="宋体" w:cs="宋体"/>
          <w:color w:val="auto"/>
          <w:sz w:val="24"/>
          <w:szCs w:val="24"/>
          <w:highlight w:val="none"/>
          <w:lang w:eastAsia="zh-CN" w:bidi="en-US"/>
        </w:rPr>
        <w:t>15.4变更的估价原则</w:t>
      </w:r>
      <w:bookmarkEnd w:id="1672"/>
      <w:bookmarkEnd w:id="1673"/>
      <w:bookmarkEnd w:id="1674"/>
      <w:bookmarkEnd w:id="1675"/>
      <w:bookmarkEnd w:id="1676"/>
    </w:p>
    <w:p w14:paraId="34AA110E">
      <w:pPr>
        <w:pStyle w:val="101"/>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15.4.3</w:t>
      </w:r>
      <w:r>
        <w:rPr>
          <w:rStyle w:val="31"/>
          <w:rFonts w:hint="eastAsia" w:ascii="宋体" w:hAnsi="宋体" w:eastAsia="宋体" w:cs="宋体"/>
          <w:color w:val="auto"/>
          <w:highlight w:val="none"/>
        </w:rPr>
        <w:t>已标价工程量清单中无适用或类似子目的单价，按照以下原则确定：</w:t>
      </w:r>
    </w:p>
    <w:p w14:paraId="3833C756">
      <w:pPr>
        <w:pStyle w:val="101"/>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①有定额可套的，套用编制控制价所选定额计算，并乘以中标价下浮系数(中标价下浮系数为中标价与控制价的比值)，其中材料价格有信息价的按当地同期信息价，无信息的由发包人、承包人、监理人市场询价确定。</w:t>
      </w:r>
    </w:p>
    <w:p w14:paraId="02499344">
      <w:pPr>
        <w:pStyle w:val="101"/>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②无定额可套的，由发包人、承包人、监理人市场询价确定。</w:t>
      </w:r>
    </w:p>
    <w:p w14:paraId="4F9C8F23">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677" w:name="bookmark1768"/>
      <w:bookmarkStart w:id="1678" w:name="bookmark1766"/>
      <w:bookmarkStart w:id="1679" w:name="bookmark1767"/>
      <w:bookmarkStart w:id="1680" w:name="_Toc256000222"/>
      <w:bookmarkStart w:id="1681" w:name="_Toc256000299"/>
      <w:r>
        <w:rPr>
          <w:rStyle w:val="31"/>
          <w:rFonts w:hint="eastAsia" w:ascii="宋体" w:hAnsi="宋体" w:eastAsia="宋体" w:cs="宋体"/>
          <w:color w:val="auto"/>
          <w:sz w:val="24"/>
          <w:szCs w:val="24"/>
          <w:highlight w:val="none"/>
          <w:lang w:eastAsia="zh-CN" w:bidi="en-US"/>
        </w:rPr>
        <w:t>15.5承包人的合理化建议</w:t>
      </w:r>
      <w:bookmarkEnd w:id="1677"/>
      <w:bookmarkEnd w:id="1678"/>
      <w:bookmarkEnd w:id="1679"/>
      <w:bookmarkEnd w:id="1680"/>
      <w:bookmarkEnd w:id="1681"/>
    </w:p>
    <w:p w14:paraId="3EE70629">
      <w:pPr>
        <w:pStyle w:val="101"/>
        <w:pageBreakBefore w:val="0"/>
        <w:widowControl w:val="0"/>
        <w:tabs>
          <w:tab w:val="left" w:pos="841"/>
          <w:tab w:val="left" w:pos="6665"/>
        </w:tabs>
        <w:kinsoku/>
        <w:wordWrap/>
        <w:overflowPunct/>
        <w:topLinePunct w:val="0"/>
        <w:autoSpaceDE/>
        <w:autoSpaceDN/>
        <w:bidi w:val="0"/>
        <w:adjustRightInd/>
        <w:snapToGrid/>
        <w:spacing w:line="440" w:lineRule="exact"/>
        <w:ind w:left="0" w:leftChars="0" w:firstLine="0"/>
        <w:textAlignment w:val="auto"/>
        <w:rPr>
          <w:rStyle w:val="31"/>
          <w:rFonts w:hint="eastAsia" w:ascii="宋体" w:hAnsi="宋体" w:eastAsia="宋体" w:cs="宋体"/>
          <w:color w:val="auto"/>
          <w:highlight w:val="none"/>
        </w:rPr>
      </w:pPr>
      <w:bookmarkStart w:id="1682" w:name="bookmark1769"/>
      <w:bookmarkEnd w:id="1682"/>
      <w:r>
        <w:rPr>
          <w:rStyle w:val="31"/>
          <w:rFonts w:hint="eastAsia" w:ascii="宋体" w:hAnsi="宋体" w:eastAsia="宋体" w:cs="宋体"/>
          <w:color w:val="auto"/>
          <w:highlight w:val="none"/>
          <w:lang w:val="en-US" w:bidi="en-US"/>
        </w:rPr>
        <w:t xml:space="preserve">15.5. </w:t>
      </w:r>
      <w:r>
        <w:rPr>
          <w:rStyle w:val="31"/>
          <w:rFonts w:hint="eastAsia" w:ascii="宋体" w:hAnsi="宋体" w:eastAsia="宋体" w:cs="宋体"/>
          <w:color w:val="auto"/>
          <w:highlight w:val="none"/>
        </w:rPr>
        <w:t xml:space="preserve">2承包人实现合理化建议的奖励金额为： </w:t>
      </w:r>
      <w:r>
        <w:rPr>
          <w:rStyle w:val="31"/>
          <w:rFonts w:hint="eastAsia" w:ascii="宋体" w:hAnsi="宋体" w:eastAsia="宋体" w:cs="宋体"/>
          <w:color w:val="auto"/>
          <w:highlight w:val="none"/>
          <w:u w:val="single"/>
          <w:lang w:eastAsia="zh-CN"/>
        </w:rPr>
        <w:t>无</w:t>
      </w:r>
      <w:r>
        <w:rPr>
          <w:rStyle w:val="31"/>
          <w:rFonts w:hint="eastAsia" w:ascii="宋体" w:hAnsi="宋体" w:eastAsia="宋体" w:cs="宋体"/>
          <w:color w:val="auto"/>
          <w:highlight w:val="none"/>
          <w:lang w:val="en-US" w:bidi="en-US"/>
        </w:rPr>
        <w:t>。</w:t>
      </w:r>
    </w:p>
    <w:p w14:paraId="2A86ADAF">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highlight w:val="none"/>
          <w:lang w:eastAsia="zh-CN"/>
        </w:rPr>
      </w:pPr>
      <w:bookmarkStart w:id="1683" w:name="_Toc13554"/>
      <w:bookmarkStart w:id="1684" w:name="_Toc28040"/>
      <w:bookmarkStart w:id="1685" w:name="_Toc256000223"/>
      <w:bookmarkStart w:id="1686" w:name="bookmark1772"/>
      <w:bookmarkStart w:id="1687" w:name="bookmark1771"/>
      <w:bookmarkStart w:id="1688" w:name="_Toc24486"/>
      <w:bookmarkStart w:id="1689" w:name="bookmark1770"/>
      <w:bookmarkStart w:id="1690" w:name="_Toc256000300"/>
      <w:r>
        <w:rPr>
          <w:rStyle w:val="31"/>
          <w:rFonts w:hint="eastAsia" w:ascii="宋体" w:hAnsi="宋体" w:eastAsia="宋体" w:cs="宋体"/>
          <w:color w:val="auto"/>
          <w:highlight w:val="none"/>
          <w:lang w:eastAsia="zh-CN"/>
        </w:rPr>
        <w:t>16 .价格调整</w:t>
      </w:r>
      <w:bookmarkEnd w:id="1683"/>
      <w:bookmarkEnd w:id="1684"/>
      <w:bookmarkEnd w:id="1685"/>
      <w:bookmarkEnd w:id="1686"/>
      <w:bookmarkEnd w:id="1687"/>
      <w:bookmarkEnd w:id="1688"/>
      <w:bookmarkEnd w:id="1689"/>
      <w:bookmarkEnd w:id="1690"/>
    </w:p>
    <w:p w14:paraId="15AA7AAE">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691" w:name="bookmark1773"/>
      <w:bookmarkStart w:id="1692" w:name="_Toc256000224"/>
      <w:bookmarkStart w:id="1693" w:name="_Toc256000301"/>
      <w:bookmarkStart w:id="1694" w:name="bookmark1775"/>
      <w:bookmarkStart w:id="1695" w:name="bookmark1774"/>
      <w:r>
        <w:rPr>
          <w:rStyle w:val="31"/>
          <w:rFonts w:hint="eastAsia" w:ascii="宋体" w:hAnsi="宋体" w:eastAsia="宋体" w:cs="宋体"/>
          <w:color w:val="auto"/>
          <w:sz w:val="24"/>
          <w:szCs w:val="24"/>
          <w:highlight w:val="none"/>
          <w:lang w:eastAsia="zh-CN" w:bidi="en-US"/>
        </w:rPr>
        <w:t>16.1物价波动引起的价格调整</w:t>
      </w:r>
      <w:bookmarkEnd w:id="1691"/>
      <w:bookmarkEnd w:id="1692"/>
      <w:bookmarkEnd w:id="1693"/>
      <w:bookmarkEnd w:id="1694"/>
      <w:bookmarkEnd w:id="1695"/>
    </w:p>
    <w:p w14:paraId="408F56A9">
      <w:pPr>
        <w:pStyle w:val="101"/>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highlight w:val="none"/>
        </w:rPr>
      </w:pPr>
      <w:r>
        <w:rPr>
          <w:rStyle w:val="103"/>
          <w:rFonts w:hint="eastAsia" w:ascii="宋体" w:hAnsi="宋体" w:eastAsia="宋体" w:cs="宋体"/>
          <w:color w:val="auto"/>
          <w:sz w:val="21"/>
          <w:szCs w:val="21"/>
          <w:highlight w:val="none"/>
        </w:rPr>
        <w:t>☑</w:t>
      </w:r>
      <w:r>
        <w:rPr>
          <w:rStyle w:val="31"/>
          <w:rFonts w:hint="eastAsia" w:ascii="宋体" w:hAnsi="宋体" w:eastAsia="宋体" w:cs="宋体"/>
          <w:color w:val="auto"/>
          <w:highlight w:val="none"/>
        </w:rPr>
        <w:t>本项目不因为物价波动原因引起合同价格变动而调整。</w:t>
      </w:r>
    </w:p>
    <w:p w14:paraId="302A4C04">
      <w:pPr>
        <w:pStyle w:val="101"/>
        <w:pageBreakBefore w:val="0"/>
        <w:widowControl w:val="0"/>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□本项目由于物价波动原因引起合同价格变动时，对其价格按下列方式进行调整。</w:t>
      </w:r>
    </w:p>
    <w:p w14:paraId="08CDBF19">
      <w:pPr>
        <w:pStyle w:val="101"/>
        <w:pageBreakBefore w:val="0"/>
        <w:widowControl w:val="0"/>
        <w:tabs>
          <w:tab w:val="left" w:pos="841"/>
          <w:tab w:val="left" w:pos="6036"/>
        </w:tabs>
        <w:kinsoku/>
        <w:wordWrap/>
        <w:overflowPunct/>
        <w:topLinePunct w:val="0"/>
        <w:autoSpaceDE/>
        <w:autoSpaceDN/>
        <w:bidi w:val="0"/>
        <w:adjustRightInd/>
        <w:snapToGrid/>
        <w:spacing w:line="440" w:lineRule="exact"/>
        <w:ind w:left="0" w:leftChars="0" w:firstLine="0"/>
        <w:jc w:val="both"/>
        <w:textAlignment w:val="auto"/>
        <w:rPr>
          <w:rStyle w:val="31"/>
          <w:rFonts w:hint="eastAsia" w:ascii="宋体" w:hAnsi="宋体" w:eastAsia="宋体" w:cs="宋体"/>
          <w:color w:val="auto"/>
          <w:highlight w:val="none"/>
        </w:rPr>
      </w:pPr>
      <w:bookmarkStart w:id="1696" w:name="bookmark1776"/>
      <w:bookmarkEnd w:id="1696"/>
      <w:r>
        <w:rPr>
          <w:rStyle w:val="31"/>
          <w:rFonts w:hint="eastAsia" w:ascii="宋体" w:hAnsi="宋体" w:eastAsia="宋体" w:cs="宋体"/>
          <w:color w:val="auto"/>
          <w:highlight w:val="none"/>
          <w:lang w:val="en-US" w:bidi="en-US"/>
        </w:rPr>
        <w:t xml:space="preserve">16.1. </w:t>
      </w:r>
      <w:r>
        <w:rPr>
          <w:rStyle w:val="31"/>
          <w:rFonts w:hint="eastAsia" w:ascii="宋体" w:hAnsi="宋体" w:eastAsia="宋体" w:cs="宋体"/>
          <w:color w:val="auto"/>
          <w:highlight w:val="none"/>
        </w:rPr>
        <w:t>1物价波动引起的价格调整方式：</w:t>
      </w:r>
      <w:r>
        <w:rPr>
          <w:rStyle w:val="31"/>
          <w:rFonts w:hint="eastAsia" w:ascii="宋体" w:hAnsi="宋体" w:eastAsia="宋体" w:cs="宋体"/>
          <w:color w:val="auto"/>
          <w:highlight w:val="none"/>
          <w:u w:val="single"/>
        </w:rPr>
        <w:tab/>
      </w:r>
      <w:r>
        <w:rPr>
          <w:rStyle w:val="31"/>
          <w:rFonts w:hint="eastAsia" w:ascii="宋体" w:hAnsi="宋体" w:eastAsia="宋体" w:cs="宋体"/>
          <w:color w:val="auto"/>
          <w:highlight w:val="none"/>
          <w:lang w:val="en-US" w:bidi="en-US"/>
        </w:rPr>
        <w:t>。</w:t>
      </w:r>
    </w:p>
    <w:p w14:paraId="6ACD7CA8">
      <w:pPr>
        <w:pStyle w:val="101"/>
        <w:pageBreakBefore w:val="0"/>
        <w:widowControl w:val="0"/>
        <w:tabs>
          <w:tab w:val="left" w:pos="5198"/>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16. 1.2</w:t>
      </w:r>
      <w:r>
        <w:rPr>
          <w:rStyle w:val="31"/>
          <w:rFonts w:hint="eastAsia" w:ascii="宋体" w:hAnsi="宋体" w:eastAsia="宋体" w:cs="宋体"/>
          <w:color w:val="auto"/>
          <w:highlight w:val="none"/>
        </w:rPr>
        <w:t>调整价格的主要材料：</w:t>
      </w:r>
      <w:r>
        <w:rPr>
          <w:rStyle w:val="31"/>
          <w:rFonts w:hint="eastAsia" w:ascii="宋体" w:hAnsi="宋体" w:eastAsia="宋体" w:cs="宋体"/>
          <w:color w:val="auto"/>
          <w:highlight w:val="none"/>
          <w:u w:val="single"/>
        </w:rPr>
        <w:tab/>
      </w:r>
      <w:r>
        <w:rPr>
          <w:rStyle w:val="31"/>
          <w:rFonts w:hint="eastAsia" w:ascii="宋体" w:hAnsi="宋体" w:eastAsia="宋体" w:cs="宋体"/>
          <w:color w:val="auto"/>
          <w:highlight w:val="none"/>
          <w:lang w:val="en-US" w:bidi="en-US"/>
        </w:rPr>
        <w:t>。</w:t>
      </w:r>
    </w:p>
    <w:p w14:paraId="4731586C">
      <w:pPr>
        <w:pStyle w:val="101"/>
        <w:pageBreakBefore w:val="0"/>
        <w:widowControl w:val="0"/>
        <w:tabs>
          <w:tab w:val="left" w:pos="5618"/>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16.1.3</w:t>
      </w:r>
      <w:r>
        <w:rPr>
          <w:rStyle w:val="31"/>
          <w:rFonts w:hint="eastAsia" w:ascii="宋体" w:hAnsi="宋体" w:eastAsia="宋体" w:cs="宋体"/>
          <w:color w:val="auto"/>
          <w:highlight w:val="none"/>
        </w:rPr>
        <w:t xml:space="preserve">主要材料补差的计算方法： </w:t>
      </w:r>
      <w:r>
        <w:rPr>
          <w:rStyle w:val="31"/>
          <w:rFonts w:hint="eastAsia" w:ascii="宋体" w:hAnsi="宋体" w:eastAsia="宋体" w:cs="宋体"/>
          <w:color w:val="auto"/>
          <w:highlight w:val="none"/>
          <w:u w:val="single"/>
        </w:rPr>
        <w:tab/>
      </w:r>
      <w:r>
        <w:rPr>
          <w:rStyle w:val="31"/>
          <w:rFonts w:hint="eastAsia" w:ascii="宋体" w:hAnsi="宋体" w:eastAsia="宋体" w:cs="宋体"/>
          <w:color w:val="auto"/>
          <w:highlight w:val="none"/>
          <w:lang w:val="en-US" w:bidi="en-US"/>
        </w:rPr>
        <w:t>。</w:t>
      </w:r>
    </w:p>
    <w:p w14:paraId="615CF76F">
      <w:pPr>
        <w:pStyle w:val="101"/>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16.1.4</w:t>
      </w:r>
      <w:r>
        <w:rPr>
          <w:rStyle w:val="31"/>
          <w:rFonts w:hint="eastAsia" w:ascii="宋体" w:hAnsi="宋体" w:eastAsia="宋体" w:cs="宋体"/>
          <w:color w:val="auto"/>
          <w:highlight w:val="none"/>
        </w:rPr>
        <w:t>采用造价信息调整价格差额：</w:t>
      </w:r>
    </w:p>
    <w:p w14:paraId="45D5544A">
      <w:pPr>
        <w:pStyle w:val="101"/>
        <w:pageBreakBefore w:val="0"/>
        <w:widowControl w:val="0"/>
        <w:tabs>
          <w:tab w:val="left" w:pos="4382"/>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工程造价信息的来源：</w:t>
      </w:r>
      <w:r>
        <w:rPr>
          <w:rStyle w:val="31"/>
          <w:rFonts w:hint="eastAsia" w:ascii="宋体" w:hAnsi="宋体" w:eastAsia="宋体" w:cs="宋体"/>
          <w:color w:val="auto"/>
          <w:highlight w:val="none"/>
          <w:u w:val="single"/>
        </w:rPr>
        <w:tab/>
      </w:r>
      <w:r>
        <w:rPr>
          <w:rStyle w:val="31"/>
          <w:rFonts w:hint="eastAsia" w:ascii="宋体" w:hAnsi="宋体" w:eastAsia="宋体" w:cs="宋体"/>
          <w:color w:val="auto"/>
          <w:highlight w:val="none"/>
          <w:lang w:val="en-US" w:bidi="en-US"/>
        </w:rPr>
        <w:t>。</w:t>
      </w:r>
    </w:p>
    <w:p w14:paraId="6E5D1CA1">
      <w:pPr>
        <w:pStyle w:val="101"/>
        <w:pageBreakBefore w:val="0"/>
        <w:widowControl w:val="0"/>
        <w:tabs>
          <w:tab w:val="left" w:pos="4591"/>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价格调整的项目和系数：</w:t>
      </w:r>
      <w:r>
        <w:rPr>
          <w:rStyle w:val="31"/>
          <w:rFonts w:hint="eastAsia" w:ascii="宋体" w:hAnsi="宋体" w:eastAsia="宋体" w:cs="宋体"/>
          <w:color w:val="auto"/>
          <w:highlight w:val="none"/>
          <w:u w:val="single"/>
        </w:rPr>
        <w:tab/>
      </w:r>
      <w:r>
        <w:rPr>
          <w:rStyle w:val="31"/>
          <w:rFonts w:hint="eastAsia" w:ascii="宋体" w:hAnsi="宋体" w:eastAsia="宋体" w:cs="宋体"/>
          <w:color w:val="auto"/>
          <w:highlight w:val="none"/>
          <w:lang w:val="en-US" w:bidi="en-US"/>
        </w:rPr>
        <w:t>。</w:t>
      </w:r>
    </w:p>
    <w:p w14:paraId="5AC2BDFD">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highlight w:val="none"/>
          <w:lang w:eastAsia="zh-CN"/>
        </w:rPr>
      </w:pPr>
      <w:bookmarkStart w:id="1697" w:name="bookmark1779"/>
      <w:bookmarkEnd w:id="1697"/>
      <w:bookmarkStart w:id="1698" w:name="bookmark1778"/>
      <w:bookmarkStart w:id="1699" w:name="bookmark1780"/>
      <w:bookmarkStart w:id="1700" w:name="bookmark1777"/>
      <w:bookmarkStart w:id="1701" w:name="_Toc256000225"/>
      <w:bookmarkStart w:id="1702" w:name="_Toc256000302"/>
      <w:bookmarkStart w:id="1703" w:name="_Toc20772"/>
      <w:bookmarkStart w:id="1704" w:name="_Toc13939"/>
      <w:bookmarkStart w:id="1705" w:name="_Toc12454"/>
      <w:r>
        <w:rPr>
          <w:rStyle w:val="31"/>
          <w:rFonts w:hint="eastAsia" w:ascii="宋体" w:hAnsi="宋体" w:eastAsia="宋体" w:cs="宋体"/>
          <w:color w:val="auto"/>
          <w:highlight w:val="none"/>
          <w:lang w:eastAsia="zh-CN"/>
        </w:rPr>
        <w:t>17. 计量与支付</w:t>
      </w:r>
      <w:bookmarkEnd w:id="1698"/>
      <w:bookmarkEnd w:id="1699"/>
      <w:bookmarkEnd w:id="1700"/>
      <w:bookmarkEnd w:id="1701"/>
      <w:bookmarkEnd w:id="1702"/>
      <w:bookmarkEnd w:id="1703"/>
      <w:bookmarkEnd w:id="1704"/>
      <w:bookmarkEnd w:id="1705"/>
    </w:p>
    <w:p w14:paraId="12F43127">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706" w:name="_Toc256000303"/>
      <w:bookmarkStart w:id="1707" w:name="bookmark1781"/>
      <w:bookmarkStart w:id="1708" w:name="_Toc256000226"/>
      <w:bookmarkStart w:id="1709" w:name="bookmark1782"/>
      <w:bookmarkStart w:id="1710" w:name="bookmark1783"/>
      <w:r>
        <w:rPr>
          <w:rStyle w:val="31"/>
          <w:rFonts w:hint="eastAsia" w:ascii="宋体" w:hAnsi="宋体" w:eastAsia="宋体" w:cs="宋体"/>
          <w:color w:val="auto"/>
          <w:sz w:val="24"/>
          <w:szCs w:val="24"/>
          <w:highlight w:val="none"/>
          <w:lang w:eastAsia="zh-CN" w:bidi="en-US"/>
        </w:rPr>
        <w:t>17.2预付款</w:t>
      </w:r>
      <w:bookmarkEnd w:id="1706"/>
      <w:bookmarkEnd w:id="1707"/>
      <w:bookmarkEnd w:id="1708"/>
      <w:bookmarkEnd w:id="1709"/>
      <w:bookmarkEnd w:id="1710"/>
    </w:p>
    <w:p w14:paraId="2EBBC2B0">
      <w:pPr>
        <w:pStyle w:val="102"/>
        <w:pageBreakBefore w:val="0"/>
        <w:widowControl w:val="0"/>
        <w:kinsoku/>
        <w:wordWrap/>
        <w:overflowPunct/>
        <w:topLinePunct w:val="0"/>
        <w:autoSpaceDE/>
        <w:autoSpaceDN/>
        <w:bidi w:val="0"/>
        <w:adjustRightInd/>
        <w:snapToGrid/>
        <w:spacing w:after="0" w:line="440" w:lineRule="exact"/>
        <w:ind w:left="0" w:leftChars="0"/>
        <w:textAlignment w:val="auto"/>
        <w:rPr>
          <w:rStyle w:val="31"/>
          <w:rFonts w:hint="eastAsia" w:ascii="宋体" w:hAnsi="宋体" w:eastAsia="宋体" w:cs="宋体"/>
          <w:color w:val="auto"/>
          <w:highlight w:val="none"/>
          <w:lang w:eastAsia="zh-CN"/>
        </w:rPr>
      </w:pPr>
      <w:r>
        <w:rPr>
          <w:rStyle w:val="31"/>
          <w:rFonts w:hint="eastAsia" w:ascii="宋体" w:hAnsi="宋体" w:eastAsia="宋体" w:cs="宋体"/>
          <w:color w:val="auto"/>
          <w:highlight w:val="none"/>
          <w:lang w:eastAsia="zh-CN"/>
        </w:rPr>
        <w:t>17.2.1</w:t>
      </w:r>
      <w:r>
        <w:rPr>
          <w:rStyle w:val="31"/>
          <w:rFonts w:hint="eastAsia" w:ascii="宋体" w:hAnsi="宋体" w:eastAsia="宋体" w:cs="宋体"/>
          <w:color w:val="auto"/>
          <w:highlight w:val="none"/>
          <w:lang w:val="zh-CN" w:eastAsia="zh-CN" w:bidi="zh-CN"/>
        </w:rPr>
        <w:t>预付款</w:t>
      </w:r>
    </w:p>
    <w:p w14:paraId="74E63F44">
      <w:pPr>
        <w:pStyle w:val="101"/>
        <w:pageBreakBefore w:val="0"/>
        <w:widowControl w:val="0"/>
        <w:numPr>
          <w:ilvl w:val="0"/>
          <w:numId w:val="0"/>
        </w:numPr>
        <w:tabs>
          <w:tab w:val="left" w:pos="825"/>
        </w:tabs>
        <w:kinsoku/>
        <w:wordWrap/>
        <w:overflowPunct/>
        <w:topLinePunct w:val="0"/>
        <w:autoSpaceDE/>
        <w:autoSpaceDN/>
        <w:bidi w:val="0"/>
        <w:adjustRightInd/>
        <w:snapToGrid/>
        <w:spacing w:line="440" w:lineRule="exact"/>
        <w:ind w:left="0" w:leftChars="0" w:firstLine="400" w:firstLineChars="200"/>
        <w:jc w:val="both"/>
        <w:textAlignment w:val="auto"/>
        <w:rPr>
          <w:rStyle w:val="31"/>
          <w:rFonts w:hint="eastAsia" w:ascii="宋体" w:hAnsi="宋体" w:eastAsia="宋体" w:cs="宋体"/>
          <w:color w:val="auto"/>
          <w:highlight w:val="none"/>
        </w:rPr>
      </w:pPr>
      <w:bookmarkStart w:id="1711" w:name="bookmark1784"/>
      <w:bookmarkEnd w:id="1711"/>
      <w:bookmarkStart w:id="1712" w:name="_Toc256000227"/>
      <w:bookmarkStart w:id="1713" w:name="bookmark1791"/>
      <w:bookmarkStart w:id="1714" w:name="bookmark1790"/>
      <w:bookmarkStart w:id="1715" w:name="bookmark1789"/>
      <w:r>
        <w:rPr>
          <w:rStyle w:val="31"/>
          <w:rFonts w:hint="eastAsia" w:ascii="宋体" w:hAnsi="宋体" w:eastAsia="宋体" w:cs="宋体"/>
          <w:color w:val="auto"/>
          <w:highlight w:val="none"/>
        </w:rPr>
        <w:t>（1）工程预付款的总金额为签约合同价的</w:t>
      </w:r>
      <w:r>
        <w:rPr>
          <w:rStyle w:val="31"/>
          <w:rFonts w:hint="eastAsia" w:ascii="宋体" w:hAnsi="宋体" w:eastAsia="宋体" w:cs="宋体"/>
          <w:color w:val="auto"/>
          <w:highlight w:val="none"/>
          <w:u w:val="single"/>
          <w:lang w:val="en-US" w:eastAsia="zh-CN"/>
        </w:rPr>
        <w:t>30</w:t>
      </w:r>
      <w:r>
        <w:rPr>
          <w:rStyle w:val="31"/>
          <w:rFonts w:hint="eastAsia" w:ascii="宋体" w:hAnsi="宋体" w:eastAsia="宋体" w:cs="宋体"/>
          <w:color w:val="auto"/>
          <w:highlight w:val="none"/>
        </w:rPr>
        <w:t>%</w:t>
      </w:r>
      <w:r>
        <w:rPr>
          <w:rStyle w:val="31"/>
          <w:rFonts w:hint="eastAsia" w:ascii="宋体" w:hAnsi="宋体" w:eastAsia="宋体" w:cs="宋体"/>
          <w:color w:val="auto"/>
          <w:highlight w:val="none"/>
          <w:lang w:eastAsia="zh-CN"/>
        </w:rPr>
        <w:t>。</w:t>
      </w:r>
      <w:r>
        <w:rPr>
          <w:rStyle w:val="31"/>
          <w:rFonts w:hint="eastAsia" w:ascii="宋体" w:hAnsi="宋体" w:eastAsia="宋体" w:cs="宋体"/>
          <w:color w:val="auto"/>
          <w:highlight w:val="none"/>
        </w:rPr>
        <w:t>付款时间应在合同协议书签订并进场施工后，经监理人出具付款证书，报送发包人批准后14天内予以支付。</w:t>
      </w:r>
    </w:p>
    <w:p w14:paraId="7A375A90">
      <w:pPr>
        <w:pStyle w:val="101"/>
        <w:pageBreakBefore w:val="0"/>
        <w:widowControl w:val="0"/>
        <w:tabs>
          <w:tab w:val="left" w:pos="6706"/>
        </w:tabs>
        <w:kinsoku/>
        <w:wordWrap/>
        <w:overflowPunct/>
        <w:topLinePunct w:val="0"/>
        <w:autoSpaceDE/>
        <w:autoSpaceDN/>
        <w:bidi w:val="0"/>
        <w:adjustRightInd/>
        <w:snapToGrid/>
        <w:spacing w:line="440" w:lineRule="exact"/>
        <w:ind w:left="0" w:leftChars="0" w:firstLine="0"/>
        <w:textAlignment w:val="auto"/>
        <w:rPr>
          <w:rStyle w:val="31"/>
          <w:rFonts w:hint="eastAsia" w:ascii="宋体" w:hAnsi="宋体" w:eastAsia="宋体" w:cs="宋体"/>
          <w:color w:val="auto"/>
          <w:highlight w:val="none"/>
        </w:rPr>
      </w:pPr>
      <w:bookmarkStart w:id="1716" w:name="bookmark1788"/>
      <w:bookmarkEnd w:id="1716"/>
      <w:r>
        <w:rPr>
          <w:rStyle w:val="31"/>
          <w:rFonts w:hint="eastAsia" w:ascii="宋体" w:hAnsi="宋体" w:eastAsia="宋体" w:cs="宋体"/>
          <w:color w:val="auto"/>
          <w:highlight w:val="none"/>
        </w:rPr>
        <w:t>（</w:t>
      </w:r>
      <w:r>
        <w:rPr>
          <w:rStyle w:val="31"/>
          <w:rFonts w:hint="eastAsia" w:ascii="宋体" w:hAnsi="宋体" w:eastAsia="宋体" w:cs="宋体"/>
          <w:color w:val="auto"/>
          <w:highlight w:val="none"/>
          <w:lang w:val="en-US" w:eastAsia="zh-CN"/>
        </w:rPr>
        <w:t>2</w:t>
      </w:r>
      <w:r>
        <w:rPr>
          <w:rStyle w:val="31"/>
          <w:rFonts w:hint="eastAsia" w:ascii="宋体" w:hAnsi="宋体" w:eastAsia="宋体" w:cs="宋体"/>
          <w:color w:val="auto"/>
          <w:highlight w:val="none"/>
        </w:rPr>
        <w:t>）工程材料预付款的额度和预付办法约定为：本工程无材料预付款</w:t>
      </w:r>
      <w:r>
        <w:rPr>
          <w:rStyle w:val="31"/>
          <w:rFonts w:hint="eastAsia" w:ascii="宋体" w:hAnsi="宋体" w:eastAsia="宋体" w:cs="宋体"/>
          <w:color w:val="auto"/>
          <w:highlight w:val="none"/>
          <w:lang w:val="en-US" w:bidi="en-US"/>
        </w:rPr>
        <w:t>。</w:t>
      </w:r>
    </w:p>
    <w:p w14:paraId="18EB257D">
      <w:pPr>
        <w:pStyle w:val="101"/>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17.2.2</w:t>
      </w:r>
      <w:r>
        <w:rPr>
          <w:rStyle w:val="31"/>
          <w:rFonts w:hint="eastAsia" w:ascii="宋体" w:hAnsi="宋体" w:eastAsia="宋体" w:cs="宋体"/>
          <w:color w:val="auto"/>
          <w:highlight w:val="none"/>
        </w:rPr>
        <w:t>预付款保函(担保)</w:t>
      </w:r>
    </w:p>
    <w:p w14:paraId="3986AB03">
      <w:pPr>
        <w:pStyle w:val="101"/>
        <w:pageBreakBefore w:val="0"/>
        <w:widowControl w:val="0"/>
        <w:tabs>
          <w:tab w:val="left" w:pos="5657"/>
        </w:tabs>
        <w:kinsoku/>
        <w:wordWrap/>
        <w:overflowPunct/>
        <w:topLinePunct w:val="0"/>
        <w:autoSpaceDE/>
        <w:autoSpaceDN/>
        <w:bidi w:val="0"/>
        <w:adjustRightInd/>
        <w:snapToGrid/>
        <w:spacing w:line="440" w:lineRule="exact"/>
        <w:ind w:left="0" w:leftChars="0" w:firstLine="400" w:firstLineChars="20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eastAsia="zh-CN"/>
        </w:rPr>
        <w:t>（</w:t>
      </w:r>
      <w:r>
        <w:rPr>
          <w:rStyle w:val="31"/>
          <w:rFonts w:hint="eastAsia" w:ascii="宋体" w:hAnsi="宋体" w:eastAsia="宋体" w:cs="宋体"/>
          <w:color w:val="auto"/>
          <w:highlight w:val="none"/>
          <w:lang w:val="en-US" w:eastAsia="zh-CN"/>
        </w:rPr>
        <w:t>1</w:t>
      </w:r>
      <w:r>
        <w:rPr>
          <w:rStyle w:val="31"/>
          <w:rFonts w:hint="eastAsia" w:ascii="宋体" w:hAnsi="宋体" w:eastAsia="宋体" w:cs="宋体"/>
          <w:color w:val="auto"/>
          <w:highlight w:val="none"/>
          <w:lang w:eastAsia="zh-CN"/>
        </w:rPr>
        <w:t>）</w:t>
      </w:r>
      <w:r>
        <w:rPr>
          <w:rStyle w:val="31"/>
          <w:rFonts w:hint="eastAsia" w:ascii="宋体" w:hAnsi="宋体" w:eastAsia="宋体" w:cs="宋体"/>
          <w:color w:val="auto"/>
          <w:highlight w:val="none"/>
        </w:rPr>
        <w:t>工程预付款的担保约定为：</w:t>
      </w:r>
      <w:r>
        <w:rPr>
          <w:rStyle w:val="31"/>
          <w:rFonts w:hint="eastAsia" w:ascii="宋体" w:hAnsi="宋体" w:eastAsia="宋体" w:cs="宋体"/>
          <w:color w:val="auto"/>
          <w:u w:val="single"/>
          <w:lang w:eastAsia="zh-CN"/>
        </w:rPr>
        <w:t>银行保函，</w:t>
      </w:r>
      <w:r>
        <w:rPr>
          <w:rStyle w:val="31"/>
          <w:rFonts w:hint="eastAsia" w:ascii="宋体" w:hAnsi="宋体" w:eastAsia="宋体" w:cs="宋体"/>
          <w:color w:val="auto"/>
          <w:highlight w:val="none"/>
          <w:u w:val="single"/>
        </w:rPr>
        <w:t>承包人应在收到预付款的同时向发包人提交工程预付款担保，担保金额应与工程预付款金额相同</w:t>
      </w:r>
      <w:r>
        <w:rPr>
          <w:rStyle w:val="31"/>
          <w:rFonts w:hint="eastAsia" w:ascii="宋体" w:hAnsi="宋体" w:eastAsia="宋体" w:cs="宋体"/>
          <w:color w:val="auto"/>
          <w:highlight w:val="none"/>
          <w:lang w:eastAsia="zh-CN"/>
        </w:rPr>
        <w:t>。</w:t>
      </w:r>
    </w:p>
    <w:p w14:paraId="7FCFA8F8">
      <w:pPr>
        <w:pStyle w:val="101"/>
        <w:pageBreakBefore w:val="0"/>
        <w:widowControl w:val="0"/>
        <w:tabs>
          <w:tab w:val="left" w:pos="5657"/>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(2)工程材料预付款的担保约定为：</w:t>
      </w:r>
      <w:r>
        <w:rPr>
          <w:rStyle w:val="31"/>
          <w:rFonts w:hint="eastAsia" w:ascii="宋体" w:hAnsi="宋体" w:eastAsia="宋体" w:cs="宋体"/>
          <w:color w:val="auto"/>
          <w:highlight w:val="none"/>
          <w:u w:val="single"/>
          <w:lang w:eastAsia="zh-CN"/>
        </w:rPr>
        <w:t>无</w:t>
      </w:r>
      <w:r>
        <w:rPr>
          <w:rStyle w:val="31"/>
          <w:rFonts w:hint="eastAsia" w:ascii="宋体" w:hAnsi="宋体" w:eastAsia="宋体" w:cs="宋体"/>
          <w:color w:val="auto"/>
          <w:highlight w:val="none"/>
          <w:lang w:val="en-US" w:bidi="en-US"/>
        </w:rPr>
        <w:t>。</w:t>
      </w:r>
    </w:p>
    <w:p w14:paraId="33C7372E">
      <w:pPr>
        <w:pStyle w:val="101"/>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17.2.3</w:t>
      </w:r>
      <w:r>
        <w:rPr>
          <w:rStyle w:val="31"/>
          <w:rFonts w:hint="eastAsia" w:ascii="宋体" w:hAnsi="宋体" w:eastAsia="宋体" w:cs="宋体"/>
          <w:color w:val="auto"/>
          <w:highlight w:val="none"/>
        </w:rPr>
        <w:t>预付款的扣回与还清</w:t>
      </w:r>
    </w:p>
    <w:p w14:paraId="5503B1E1">
      <w:pPr>
        <w:spacing w:line="42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为签约合同价(扣除暂列金额)的30%。预付款分四次扣回，第-次扣回在工程款进度达到合同价30%后扣回已支付预付款的30%，第二次扣回在工程款进度达到合同价50%后扣回己支付预付款的30%，第三次扣回在工程款进度达到合同价70%后扣回已支付预付款的20%,第四次扣回在工程款进度达到合同价80%后扣回已支付预付款的20%。合同累计完成金额均指价格调整前未扣质量保证金的金额。</w:t>
      </w:r>
    </w:p>
    <w:p w14:paraId="14881886">
      <w:pPr>
        <w:pStyle w:val="101"/>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上述合同累计完成金额均指价格调整前未扣质量保证金的金额。</w:t>
      </w:r>
    </w:p>
    <w:p w14:paraId="5A052739">
      <w:pPr>
        <w:pStyle w:val="101"/>
        <w:pageBreakBefore w:val="0"/>
        <w:widowControl w:val="0"/>
        <w:tabs>
          <w:tab w:val="left" w:pos="6286"/>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(2)工程材料预付款的扣回与还清约定为：</w:t>
      </w:r>
      <w:r>
        <w:rPr>
          <w:rStyle w:val="31"/>
          <w:rFonts w:hint="eastAsia" w:ascii="宋体" w:hAnsi="宋体" w:eastAsia="宋体" w:cs="宋体"/>
          <w:color w:val="auto"/>
          <w:highlight w:val="none"/>
          <w:u w:val="single"/>
          <w:lang w:val="en-US" w:eastAsia="zh-CN"/>
        </w:rPr>
        <w:t>/</w:t>
      </w:r>
      <w:r>
        <w:rPr>
          <w:rStyle w:val="31"/>
          <w:rFonts w:hint="eastAsia" w:ascii="宋体" w:hAnsi="宋体" w:eastAsia="宋体" w:cs="宋体"/>
          <w:color w:val="auto"/>
          <w:highlight w:val="none"/>
          <w:lang w:val="en-US" w:bidi="en-US"/>
        </w:rPr>
        <w:t>。</w:t>
      </w:r>
    </w:p>
    <w:p w14:paraId="16BD2222">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717" w:name="_Toc256000304"/>
      <w:r>
        <w:rPr>
          <w:rStyle w:val="31"/>
          <w:rFonts w:hint="eastAsia" w:ascii="宋体" w:hAnsi="宋体" w:eastAsia="宋体" w:cs="宋体"/>
          <w:color w:val="auto"/>
          <w:sz w:val="24"/>
          <w:szCs w:val="24"/>
          <w:highlight w:val="none"/>
          <w:lang w:eastAsia="zh-CN" w:bidi="en-US"/>
        </w:rPr>
        <w:t>17.3工程进度付款</w:t>
      </w:r>
      <w:bookmarkEnd w:id="1712"/>
      <w:bookmarkEnd w:id="1713"/>
      <w:bookmarkEnd w:id="1714"/>
      <w:bookmarkEnd w:id="1715"/>
      <w:bookmarkEnd w:id="1717"/>
    </w:p>
    <w:p w14:paraId="3B8384A1">
      <w:pPr>
        <w:pStyle w:val="101"/>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17.3.2</w:t>
      </w:r>
      <w:r>
        <w:rPr>
          <w:rStyle w:val="31"/>
          <w:rFonts w:hint="eastAsia" w:ascii="宋体" w:hAnsi="宋体" w:eastAsia="宋体" w:cs="宋体"/>
          <w:color w:val="auto"/>
          <w:highlight w:val="none"/>
        </w:rPr>
        <w:t>进度付款申请单</w:t>
      </w:r>
    </w:p>
    <w:p w14:paraId="27EC220E">
      <w:pPr>
        <w:pStyle w:val="101"/>
        <w:pageBreakBefore w:val="0"/>
        <w:widowControl w:val="0"/>
        <w:tabs>
          <w:tab w:val="left" w:pos="4613"/>
          <w:tab w:val="left" w:pos="7978"/>
        </w:tabs>
        <w:kinsoku/>
        <w:wordWrap/>
        <w:overflowPunct/>
        <w:topLinePunct w:val="0"/>
        <w:autoSpaceDE/>
        <w:autoSpaceDN/>
        <w:bidi w:val="0"/>
        <w:adjustRightInd/>
        <w:snapToGrid/>
        <w:spacing w:line="440" w:lineRule="exact"/>
        <w:ind w:left="0" w:leftChars="0" w:firstLine="20"/>
        <w:textAlignment w:val="auto"/>
        <w:rPr>
          <w:rStyle w:val="31"/>
          <w:rFonts w:hint="eastAsia" w:ascii="宋体" w:hAnsi="宋体" w:eastAsia="宋体" w:cs="宋体"/>
          <w:color w:val="auto"/>
          <w:highlight w:val="none"/>
          <w:lang w:val="en-US" w:bidi="en-US"/>
        </w:rPr>
      </w:pPr>
      <w:r>
        <w:rPr>
          <w:rStyle w:val="31"/>
          <w:rFonts w:hint="eastAsia" w:ascii="宋体" w:hAnsi="宋体" w:eastAsia="宋体" w:cs="宋体"/>
          <w:color w:val="auto"/>
          <w:highlight w:val="none"/>
        </w:rPr>
        <w:t>承包人提交进度付款申请单的份数：</w:t>
      </w:r>
      <w:r>
        <w:rPr>
          <w:rStyle w:val="31"/>
          <w:rFonts w:hint="eastAsia" w:ascii="宋体" w:hAnsi="宋体" w:eastAsia="宋体" w:cs="宋体"/>
          <w:color w:val="auto"/>
          <w:highlight w:val="none"/>
          <w:u w:val="single"/>
        </w:rPr>
        <w:t>在签订施工承包合同时约定</w:t>
      </w:r>
      <w:r>
        <w:rPr>
          <w:rStyle w:val="31"/>
          <w:rFonts w:hint="eastAsia" w:ascii="宋体" w:hAnsi="宋体" w:eastAsia="宋体" w:cs="宋体"/>
          <w:color w:val="auto"/>
          <w:highlight w:val="none"/>
          <w:lang w:val="en-US" w:bidi="en-US"/>
        </w:rPr>
        <w:t>。</w:t>
      </w:r>
    </w:p>
    <w:p w14:paraId="1C16A9BA">
      <w:pPr>
        <w:pStyle w:val="101"/>
        <w:pageBreakBefore w:val="0"/>
        <w:widowControl w:val="0"/>
        <w:tabs>
          <w:tab w:val="left" w:pos="4613"/>
          <w:tab w:val="left" w:pos="7978"/>
        </w:tabs>
        <w:kinsoku/>
        <w:wordWrap/>
        <w:overflowPunct/>
        <w:topLinePunct w:val="0"/>
        <w:autoSpaceDE/>
        <w:autoSpaceDN/>
        <w:bidi w:val="0"/>
        <w:adjustRightInd/>
        <w:snapToGrid/>
        <w:spacing w:line="440" w:lineRule="exact"/>
        <w:ind w:left="0" w:leftChars="0" w:firstLine="2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17.3.3</w:t>
      </w:r>
      <w:r>
        <w:rPr>
          <w:rStyle w:val="31"/>
          <w:rFonts w:hint="eastAsia" w:ascii="宋体" w:hAnsi="宋体" w:eastAsia="宋体" w:cs="宋体"/>
          <w:color w:val="auto"/>
          <w:highlight w:val="none"/>
        </w:rPr>
        <w:t>进度付款证书和支付时间</w:t>
      </w:r>
    </w:p>
    <w:p w14:paraId="2A475361">
      <w:pPr>
        <w:pStyle w:val="101"/>
        <w:pageBreakBefore w:val="0"/>
        <w:widowControl w:val="0"/>
        <w:tabs>
          <w:tab w:val="left" w:pos="4428"/>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(2)本款“专用合同条款的约定支付逾期付款违约金”为按中国人民银行规定的同期贷款利率计算的逾期付款金额的利息。</w:t>
      </w:r>
    </w:p>
    <w:p w14:paraId="2788E89F">
      <w:pPr>
        <w:pStyle w:val="101"/>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17.3.5</w:t>
      </w:r>
      <w:r>
        <w:rPr>
          <w:rStyle w:val="31"/>
          <w:rFonts w:hint="eastAsia" w:ascii="宋体" w:hAnsi="宋体" w:eastAsia="宋体" w:cs="宋体"/>
          <w:color w:val="auto"/>
          <w:highlight w:val="none"/>
        </w:rPr>
        <w:t>工程进度付款的支付比例</w:t>
      </w:r>
    </w:p>
    <w:p w14:paraId="412733CF">
      <w:pPr>
        <w:pStyle w:val="101"/>
        <w:pageBreakBefore w:val="0"/>
        <w:widowControl w:val="0"/>
        <w:tabs>
          <w:tab w:val="left" w:pos="4428"/>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工程进度款支付限额为经监理工程师及发包人审定实际已完成工程量清单的90%</w:t>
      </w:r>
      <w:r>
        <w:rPr>
          <w:rStyle w:val="31"/>
          <w:rFonts w:hint="eastAsia" w:ascii="宋体" w:hAnsi="宋体" w:eastAsia="宋体" w:cs="宋体"/>
          <w:color w:val="auto"/>
          <w:highlight w:val="none"/>
          <w:lang w:eastAsia="zh-CN"/>
        </w:rPr>
        <w:t>；</w:t>
      </w:r>
      <w:r>
        <w:rPr>
          <w:rStyle w:val="31"/>
          <w:rFonts w:hint="eastAsia" w:ascii="宋体" w:hAnsi="宋体" w:eastAsia="宋体" w:cs="宋体"/>
          <w:color w:val="auto"/>
          <w:highlight w:val="none"/>
        </w:rPr>
        <w:t>工程完工验收达到质量要求，结算经南宁市武鸣区财政部门审定且通过竣工验收后支付至结算总价的 97 %(含已支付的)；发包人按工程价款结算总额的3%预留工程质量保修金，待工程质量保修期满后返还(无息）。</w:t>
      </w:r>
    </w:p>
    <w:p w14:paraId="41EF15D5">
      <w:pPr>
        <w:pStyle w:val="101"/>
        <w:pageBreakBefore w:val="0"/>
        <w:widowControl w:val="0"/>
        <w:tabs>
          <w:tab w:val="left" w:pos="4428"/>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每次付款前，承包人应按甲方的要求提供符合相关法律法规的增值税发票，如发票不符合要求，甲方有权拒收，乙方应承担因不合格发票产生的所有责任。</w:t>
      </w:r>
    </w:p>
    <w:p w14:paraId="09967AC1">
      <w:pPr>
        <w:pStyle w:val="101"/>
        <w:pageBreakBefore w:val="0"/>
        <w:widowControl w:val="0"/>
        <w:tabs>
          <w:tab w:val="left" w:pos="4428"/>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发包人最终向承包人支付的工程款，以财政部门、审计部门或其委托的审价机构审定的款项为准（如设备款不需财政或审计部门审定，即以发包人与承包人确认的款项为准）。发包人向承包人支付进度款、质保金等所有款项都是通过财政支付程序支付，在上述约定时间内发包人办理了付款给承包人的手续，如果因为财政支付程序造成款项有延迟到达承包人账户的情形，不视为发包人违约，承包人不因此要求发包人承担违约责任。</w:t>
      </w:r>
    </w:p>
    <w:p w14:paraId="30BC6D2C">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718" w:name="bookmark1793"/>
      <w:bookmarkStart w:id="1719" w:name="_Toc256000228"/>
      <w:bookmarkStart w:id="1720" w:name="bookmark1792"/>
      <w:bookmarkStart w:id="1721" w:name="bookmark1794"/>
      <w:bookmarkStart w:id="1722" w:name="_Toc256000305"/>
      <w:r>
        <w:rPr>
          <w:rStyle w:val="31"/>
          <w:rFonts w:hint="eastAsia" w:ascii="宋体" w:hAnsi="宋体" w:eastAsia="宋体" w:cs="宋体"/>
          <w:color w:val="auto"/>
          <w:sz w:val="24"/>
          <w:szCs w:val="24"/>
          <w:highlight w:val="none"/>
          <w:lang w:eastAsia="zh-CN" w:bidi="en-US"/>
        </w:rPr>
        <w:t>17.4质量保证金</w:t>
      </w:r>
      <w:bookmarkEnd w:id="1718"/>
      <w:bookmarkEnd w:id="1719"/>
      <w:bookmarkEnd w:id="1720"/>
      <w:bookmarkEnd w:id="1721"/>
      <w:bookmarkEnd w:id="1722"/>
    </w:p>
    <w:p w14:paraId="503BFE68">
      <w:pPr>
        <w:pStyle w:val="101"/>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w:t>
      </w:r>
      <w:r>
        <w:rPr>
          <w:rStyle w:val="31"/>
          <w:rFonts w:hint="eastAsia" w:ascii="宋体" w:hAnsi="宋体" w:eastAsia="宋体" w:cs="宋体"/>
          <w:color w:val="auto"/>
          <w:highlight w:val="none"/>
          <w:lang w:val="en-US" w:bidi="en-US"/>
        </w:rPr>
        <w:t>17.4.1.1</w:t>
      </w:r>
      <w:r>
        <w:rPr>
          <w:rStyle w:val="31"/>
          <w:rFonts w:hint="eastAsia" w:ascii="宋体" w:hAnsi="宋体" w:eastAsia="宋体" w:cs="宋体"/>
          <w:color w:val="auto"/>
          <w:highlight w:val="none"/>
        </w:rPr>
        <w:t xml:space="preserve">每个付款周期扣留的质量保证金为工程进度付款的3%，扣留的质量保证金总额为工程价款结算总额的3% </w:t>
      </w:r>
      <w:r>
        <w:rPr>
          <w:rStyle w:val="31"/>
          <w:rFonts w:hint="eastAsia" w:ascii="宋体" w:hAnsi="宋体" w:eastAsia="宋体" w:cs="宋体"/>
          <w:color w:val="auto"/>
          <w:highlight w:val="none"/>
          <w:lang w:val="en-US" w:bidi="en-US"/>
        </w:rPr>
        <w:t>。</w:t>
      </w:r>
    </w:p>
    <w:p w14:paraId="6CA4C88E">
      <w:pPr>
        <w:pStyle w:val="101"/>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eastAsia="zh-CN"/>
        </w:rPr>
        <w:t>☑</w:t>
      </w:r>
      <w:r>
        <w:rPr>
          <w:rStyle w:val="31"/>
          <w:rFonts w:hint="eastAsia" w:ascii="宋体" w:hAnsi="宋体" w:eastAsia="宋体" w:cs="宋体"/>
          <w:color w:val="auto"/>
          <w:highlight w:val="none"/>
          <w:lang w:val="en-US" w:bidi="en-US"/>
        </w:rPr>
        <w:t>17.4.1.2</w:t>
      </w:r>
      <w:r>
        <w:rPr>
          <w:rStyle w:val="31"/>
          <w:rFonts w:hint="eastAsia" w:ascii="宋体" w:hAnsi="宋体" w:eastAsia="宋体" w:cs="宋体"/>
          <w:color w:val="auto"/>
          <w:highlight w:val="none"/>
        </w:rPr>
        <w:t>工程完工验收后，一次性扣留的质量保证金总额为工程价款结算总额的3%。</w:t>
      </w:r>
    </w:p>
    <w:p w14:paraId="3A4D8D76">
      <w:pPr>
        <w:pStyle w:val="101"/>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17.4.1.3</w:t>
      </w:r>
      <w:r>
        <w:rPr>
          <w:rStyle w:val="31"/>
          <w:rFonts w:hint="eastAsia" w:ascii="宋体" w:hAnsi="宋体" w:eastAsia="宋体" w:cs="宋体"/>
          <w:color w:val="auto"/>
          <w:highlight w:val="none"/>
        </w:rPr>
        <w:t>在工程项目完工前，已经缴纳履约保证金的，发包人不得同时扣留工程质量保证金。</w:t>
      </w:r>
    </w:p>
    <w:p w14:paraId="711DB5F4">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723" w:name="bookmark1795"/>
      <w:bookmarkStart w:id="1724" w:name="_Toc256000229"/>
      <w:bookmarkStart w:id="1725" w:name="bookmark1797"/>
      <w:bookmarkStart w:id="1726" w:name="_Toc256000306"/>
      <w:bookmarkStart w:id="1727" w:name="bookmark1796"/>
      <w:r>
        <w:rPr>
          <w:rStyle w:val="31"/>
          <w:rFonts w:hint="eastAsia" w:ascii="宋体" w:hAnsi="宋体" w:eastAsia="宋体" w:cs="宋体"/>
          <w:color w:val="auto"/>
          <w:sz w:val="24"/>
          <w:szCs w:val="24"/>
          <w:highlight w:val="none"/>
          <w:lang w:eastAsia="zh-CN" w:bidi="en-US"/>
        </w:rPr>
        <w:t>17.5竣工（完工）结算</w:t>
      </w:r>
      <w:bookmarkEnd w:id="1723"/>
      <w:bookmarkEnd w:id="1724"/>
      <w:bookmarkEnd w:id="1725"/>
      <w:bookmarkEnd w:id="1726"/>
      <w:bookmarkEnd w:id="1727"/>
    </w:p>
    <w:p w14:paraId="7D024818">
      <w:pPr>
        <w:pStyle w:val="101"/>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17.5.1</w:t>
      </w:r>
      <w:r>
        <w:rPr>
          <w:rStyle w:val="31"/>
          <w:rFonts w:hint="eastAsia" w:ascii="宋体" w:hAnsi="宋体" w:eastAsia="宋体" w:cs="宋体"/>
          <w:color w:val="auto"/>
          <w:highlight w:val="none"/>
        </w:rPr>
        <w:t>竣工（完工）付款申请单</w:t>
      </w:r>
    </w:p>
    <w:p w14:paraId="13B8F026">
      <w:pPr>
        <w:pStyle w:val="101"/>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bookmarkStart w:id="1728" w:name="bookmark1798"/>
      <w:r>
        <w:rPr>
          <w:rStyle w:val="31"/>
          <w:rFonts w:hint="eastAsia" w:ascii="宋体" w:hAnsi="宋体" w:eastAsia="宋体" w:cs="宋体"/>
          <w:color w:val="auto"/>
          <w:highlight w:val="none"/>
        </w:rPr>
        <w:t>（</w:t>
      </w:r>
      <w:bookmarkEnd w:id="1728"/>
      <w:r>
        <w:rPr>
          <w:rStyle w:val="31"/>
          <w:rFonts w:hint="eastAsia" w:ascii="宋体" w:hAnsi="宋体" w:eastAsia="宋体" w:cs="宋体"/>
          <w:color w:val="auto"/>
          <w:highlight w:val="none"/>
        </w:rPr>
        <w:t>1）承包人应提交竣工付款申请单份数：在签订施工承包合同时明确。</w:t>
      </w:r>
    </w:p>
    <w:p w14:paraId="1DFACCC7">
      <w:pPr>
        <w:pStyle w:val="101"/>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17.5.3</w:t>
      </w:r>
      <w:r>
        <w:rPr>
          <w:rStyle w:val="31"/>
          <w:rFonts w:hint="eastAsia" w:ascii="宋体" w:hAnsi="宋体" w:eastAsia="宋体" w:cs="宋体"/>
          <w:color w:val="auto"/>
          <w:highlight w:val="none"/>
        </w:rPr>
        <w:t>除按通用合同条款所说的内容外，增加以下内容：最终结算以财政评审结果为准。</w:t>
      </w:r>
    </w:p>
    <w:p w14:paraId="178A1426">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729" w:name="bookmark1801"/>
      <w:bookmarkEnd w:id="1729"/>
      <w:bookmarkStart w:id="1730" w:name="bookmark1802"/>
      <w:bookmarkStart w:id="1731" w:name="_Toc256000230"/>
      <w:bookmarkStart w:id="1732" w:name="_Toc256000307"/>
      <w:bookmarkStart w:id="1733" w:name="bookmark1799"/>
      <w:bookmarkStart w:id="1734" w:name="bookmark1800"/>
      <w:r>
        <w:rPr>
          <w:rStyle w:val="31"/>
          <w:rFonts w:hint="eastAsia" w:ascii="宋体" w:hAnsi="宋体" w:eastAsia="宋体" w:cs="宋体"/>
          <w:color w:val="auto"/>
          <w:sz w:val="24"/>
          <w:szCs w:val="24"/>
          <w:highlight w:val="none"/>
          <w:lang w:eastAsia="zh-CN" w:bidi="en-US"/>
        </w:rPr>
        <w:t>17.6最终结清</w:t>
      </w:r>
      <w:bookmarkEnd w:id="1730"/>
      <w:bookmarkEnd w:id="1731"/>
      <w:bookmarkEnd w:id="1732"/>
      <w:bookmarkEnd w:id="1733"/>
      <w:bookmarkEnd w:id="1734"/>
    </w:p>
    <w:p w14:paraId="0F090F42">
      <w:pPr>
        <w:pStyle w:val="101"/>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17.6.1</w:t>
      </w:r>
      <w:r>
        <w:rPr>
          <w:rStyle w:val="31"/>
          <w:rFonts w:hint="eastAsia" w:ascii="宋体" w:hAnsi="宋体" w:eastAsia="宋体" w:cs="宋体"/>
          <w:color w:val="auto"/>
          <w:highlight w:val="none"/>
        </w:rPr>
        <w:t>最终结清申请单</w:t>
      </w:r>
    </w:p>
    <w:p w14:paraId="1305F415">
      <w:pPr>
        <w:pStyle w:val="101"/>
        <w:pageBreakBefore w:val="0"/>
        <w:widowControl w:val="0"/>
        <w:tabs>
          <w:tab w:val="left" w:pos="6077"/>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（1）承包人应提交最终结清申请单份数：</w:t>
      </w:r>
      <w:r>
        <w:rPr>
          <w:rStyle w:val="103"/>
          <w:rFonts w:hint="eastAsia" w:ascii="宋体" w:hAnsi="宋体" w:eastAsia="宋体" w:cs="宋体"/>
          <w:color w:val="auto"/>
          <w:sz w:val="21"/>
          <w:szCs w:val="21"/>
          <w:highlight w:val="none"/>
          <w:u w:val="single"/>
        </w:rPr>
        <w:t>一式四份</w:t>
      </w:r>
      <w:r>
        <w:rPr>
          <w:rStyle w:val="31"/>
          <w:rFonts w:hint="eastAsia" w:ascii="宋体" w:hAnsi="宋体" w:eastAsia="宋体" w:cs="宋体"/>
          <w:color w:val="auto"/>
          <w:highlight w:val="none"/>
          <w:lang w:val="en-US" w:bidi="en-US"/>
        </w:rPr>
        <w:t>。</w:t>
      </w:r>
    </w:p>
    <w:p w14:paraId="2BFB3A81">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735" w:name="bookmark1803"/>
      <w:bookmarkStart w:id="1736" w:name="bookmark1805"/>
      <w:bookmarkStart w:id="1737" w:name="_Toc256000308"/>
      <w:bookmarkStart w:id="1738" w:name="_Toc256000231"/>
      <w:bookmarkStart w:id="1739" w:name="bookmark1804"/>
      <w:r>
        <w:rPr>
          <w:rStyle w:val="31"/>
          <w:rFonts w:hint="eastAsia" w:ascii="宋体" w:hAnsi="宋体" w:eastAsia="宋体" w:cs="宋体"/>
          <w:color w:val="auto"/>
          <w:sz w:val="24"/>
          <w:szCs w:val="24"/>
          <w:highlight w:val="none"/>
          <w:lang w:eastAsia="zh-CN" w:bidi="en-US"/>
        </w:rPr>
        <w:t>17.7竣工财务决算</w:t>
      </w:r>
      <w:bookmarkEnd w:id="1735"/>
      <w:bookmarkEnd w:id="1736"/>
      <w:bookmarkEnd w:id="1737"/>
      <w:bookmarkEnd w:id="1738"/>
      <w:bookmarkEnd w:id="1739"/>
    </w:p>
    <w:p w14:paraId="5A5809C6">
      <w:pPr>
        <w:pStyle w:val="101"/>
        <w:pageBreakBefore w:val="0"/>
        <w:widowControl w:val="0"/>
        <w:tabs>
          <w:tab w:val="left" w:pos="6264"/>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承包人应为竣工财务决算编制提供的资料：</w:t>
      </w:r>
      <w:r>
        <w:rPr>
          <w:rStyle w:val="103"/>
          <w:rFonts w:hint="eastAsia" w:ascii="宋体" w:hAnsi="宋体" w:eastAsia="宋体" w:cs="宋体"/>
          <w:color w:val="auto"/>
          <w:sz w:val="21"/>
          <w:szCs w:val="21"/>
          <w:highlight w:val="none"/>
          <w:u w:val="single"/>
        </w:rPr>
        <w:t>一式四份</w:t>
      </w:r>
      <w:r>
        <w:rPr>
          <w:rStyle w:val="31"/>
          <w:rFonts w:hint="eastAsia" w:ascii="宋体" w:hAnsi="宋体" w:eastAsia="宋体" w:cs="宋体"/>
          <w:color w:val="auto"/>
          <w:highlight w:val="none"/>
          <w:lang w:val="en-US" w:bidi="en-US"/>
        </w:rPr>
        <w:t>。</w:t>
      </w:r>
    </w:p>
    <w:p w14:paraId="1B9505A8">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highlight w:val="none"/>
          <w:lang w:eastAsia="zh-CN"/>
        </w:rPr>
      </w:pPr>
      <w:bookmarkStart w:id="1740" w:name="bookmark1808"/>
      <w:bookmarkEnd w:id="1740"/>
      <w:bookmarkStart w:id="1741" w:name="_Toc30479"/>
      <w:bookmarkStart w:id="1742" w:name="bookmark1807"/>
      <w:bookmarkStart w:id="1743" w:name="_Toc256000309"/>
      <w:bookmarkStart w:id="1744" w:name="_Toc797"/>
      <w:bookmarkStart w:id="1745" w:name="_Toc256000232"/>
      <w:bookmarkStart w:id="1746" w:name="_Toc20660"/>
      <w:bookmarkStart w:id="1747" w:name="bookmark1806"/>
      <w:bookmarkStart w:id="1748" w:name="bookmark1809"/>
      <w:r>
        <w:rPr>
          <w:rStyle w:val="31"/>
          <w:rFonts w:hint="eastAsia" w:ascii="宋体" w:hAnsi="宋体" w:eastAsia="宋体" w:cs="宋体"/>
          <w:color w:val="auto"/>
          <w:highlight w:val="none"/>
          <w:lang w:eastAsia="zh-CN"/>
        </w:rPr>
        <w:t>18. 竣工验收（验收）</w:t>
      </w:r>
      <w:bookmarkEnd w:id="1741"/>
      <w:bookmarkEnd w:id="1742"/>
      <w:bookmarkEnd w:id="1743"/>
      <w:bookmarkEnd w:id="1744"/>
      <w:bookmarkEnd w:id="1745"/>
      <w:bookmarkEnd w:id="1746"/>
      <w:bookmarkEnd w:id="1747"/>
      <w:bookmarkEnd w:id="1748"/>
    </w:p>
    <w:p w14:paraId="76BFD4D8">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749" w:name="bookmark1812"/>
      <w:bookmarkStart w:id="1750" w:name="bookmark1810"/>
      <w:bookmarkStart w:id="1751" w:name="_Toc256000310"/>
      <w:bookmarkStart w:id="1752" w:name="bookmark1811"/>
      <w:bookmarkStart w:id="1753" w:name="_Toc256000233"/>
      <w:r>
        <w:rPr>
          <w:rStyle w:val="31"/>
          <w:rFonts w:hint="eastAsia" w:ascii="宋体" w:hAnsi="宋体" w:eastAsia="宋体" w:cs="宋体"/>
          <w:color w:val="auto"/>
          <w:sz w:val="24"/>
          <w:szCs w:val="24"/>
          <w:highlight w:val="none"/>
          <w:lang w:eastAsia="zh-CN" w:bidi="en-US"/>
        </w:rPr>
        <w:t>18.1验收工作分类</w:t>
      </w:r>
      <w:bookmarkEnd w:id="1749"/>
      <w:bookmarkEnd w:id="1750"/>
      <w:bookmarkEnd w:id="1751"/>
      <w:bookmarkEnd w:id="1752"/>
      <w:bookmarkEnd w:id="1753"/>
    </w:p>
    <w:p w14:paraId="17B627AA">
      <w:pPr>
        <w:pStyle w:val="101"/>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根据《水利工程建设项目验收管理规定》（水利部令第30号）和《水利水电建设工程验收规程》</w:t>
      </w:r>
      <w:r>
        <w:rPr>
          <w:rStyle w:val="31"/>
          <w:rFonts w:hint="eastAsia" w:ascii="宋体" w:hAnsi="宋体" w:eastAsia="宋体" w:cs="宋体"/>
          <w:color w:val="auto"/>
          <w:highlight w:val="none"/>
          <w:lang w:val="en-US" w:bidi="en-US"/>
        </w:rPr>
        <w:t>（SL223）2008）</w:t>
      </w:r>
      <w:r>
        <w:rPr>
          <w:rStyle w:val="31"/>
          <w:rFonts w:hint="eastAsia" w:ascii="宋体" w:hAnsi="宋体" w:eastAsia="宋体" w:cs="宋体"/>
          <w:color w:val="auto"/>
          <w:highlight w:val="none"/>
        </w:rPr>
        <w:t>的相关规定执行。</w:t>
      </w:r>
    </w:p>
    <w:p w14:paraId="4F235221">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754" w:name="bookmark1815"/>
      <w:bookmarkStart w:id="1755" w:name="bookmark1814"/>
      <w:bookmarkStart w:id="1756" w:name="_Toc256000234"/>
      <w:bookmarkStart w:id="1757" w:name="_Toc256000311"/>
      <w:bookmarkStart w:id="1758" w:name="bookmark1813"/>
      <w:r>
        <w:rPr>
          <w:rStyle w:val="31"/>
          <w:rFonts w:hint="eastAsia" w:ascii="宋体" w:hAnsi="宋体" w:eastAsia="宋体" w:cs="宋体"/>
          <w:color w:val="auto"/>
          <w:sz w:val="24"/>
          <w:szCs w:val="24"/>
          <w:highlight w:val="none"/>
          <w:lang w:eastAsia="zh-CN" w:bidi="en-US"/>
        </w:rPr>
        <w:t>18.2分部工程验收</w:t>
      </w:r>
      <w:bookmarkEnd w:id="1754"/>
      <w:bookmarkEnd w:id="1755"/>
      <w:bookmarkEnd w:id="1756"/>
      <w:bookmarkEnd w:id="1757"/>
      <w:bookmarkEnd w:id="1758"/>
    </w:p>
    <w:p w14:paraId="54C53758">
      <w:pPr>
        <w:pStyle w:val="101"/>
        <w:pageBreakBefore w:val="0"/>
        <w:widowControl w:val="0"/>
        <w:tabs>
          <w:tab w:val="left" w:pos="7018"/>
        </w:tabs>
        <w:kinsoku/>
        <w:wordWrap/>
        <w:overflowPunct/>
        <w:topLinePunct w:val="0"/>
        <w:autoSpaceDE/>
        <w:autoSpaceDN/>
        <w:bidi w:val="0"/>
        <w:adjustRightInd/>
        <w:snapToGrid/>
        <w:spacing w:line="440" w:lineRule="exact"/>
        <w:ind w:left="0" w:leftChars="0" w:firstLine="44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18.2.</w:t>
      </w:r>
      <w:r>
        <w:rPr>
          <w:rStyle w:val="31"/>
          <w:rFonts w:hint="eastAsia" w:ascii="宋体" w:hAnsi="宋体" w:eastAsia="宋体" w:cs="宋体"/>
          <w:color w:val="auto"/>
          <w:highlight w:val="none"/>
        </w:rPr>
        <w:t>2本工程由发包人主持的分部工程验收为：</w:t>
      </w:r>
      <w:r>
        <w:rPr>
          <w:rStyle w:val="31"/>
          <w:rFonts w:hint="eastAsia" w:ascii="宋体" w:hAnsi="宋体" w:eastAsia="宋体" w:cs="宋体"/>
          <w:color w:val="auto"/>
          <w:highlight w:val="none"/>
          <w:u w:val="single"/>
          <w:lang w:val="en-US" w:eastAsia="zh-CN"/>
        </w:rPr>
        <w:t>/</w:t>
      </w:r>
      <w:r>
        <w:rPr>
          <w:rStyle w:val="31"/>
          <w:rFonts w:hint="eastAsia" w:ascii="宋体" w:hAnsi="宋体" w:eastAsia="宋体" w:cs="宋体"/>
          <w:color w:val="auto"/>
          <w:highlight w:val="none"/>
          <w:u w:val="single"/>
          <w:lang w:val="en-US"/>
        </w:rPr>
        <w:t xml:space="preserve">   </w:t>
      </w:r>
      <w:r>
        <w:rPr>
          <w:rStyle w:val="31"/>
          <w:rFonts w:hint="eastAsia" w:ascii="宋体" w:hAnsi="宋体" w:eastAsia="宋体" w:cs="宋体"/>
          <w:color w:val="auto"/>
          <w:highlight w:val="none"/>
        </w:rPr>
        <w:t>,其余由监理主持。</w:t>
      </w:r>
    </w:p>
    <w:p w14:paraId="23088824">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759" w:name="bookmark1817"/>
      <w:bookmarkStart w:id="1760" w:name="bookmark1816"/>
      <w:bookmarkStart w:id="1761" w:name="_Toc256000235"/>
      <w:bookmarkStart w:id="1762" w:name="_Toc256000312"/>
      <w:bookmarkStart w:id="1763" w:name="bookmark1818"/>
      <w:r>
        <w:rPr>
          <w:rStyle w:val="31"/>
          <w:rFonts w:hint="eastAsia" w:ascii="宋体" w:hAnsi="宋体" w:eastAsia="宋体" w:cs="宋体"/>
          <w:color w:val="auto"/>
          <w:sz w:val="24"/>
          <w:szCs w:val="24"/>
          <w:highlight w:val="none"/>
          <w:lang w:eastAsia="zh-CN" w:bidi="en-US"/>
        </w:rPr>
        <w:t>18.3单位工程验收</w:t>
      </w:r>
      <w:bookmarkEnd w:id="1759"/>
      <w:bookmarkEnd w:id="1760"/>
      <w:bookmarkEnd w:id="1761"/>
      <w:bookmarkEnd w:id="1762"/>
      <w:bookmarkEnd w:id="1763"/>
    </w:p>
    <w:p w14:paraId="6A1F3DB0">
      <w:pPr>
        <w:pStyle w:val="101"/>
        <w:pageBreakBefore w:val="0"/>
        <w:widowControl w:val="0"/>
        <w:tabs>
          <w:tab w:val="left" w:pos="6036"/>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18.3.4</w:t>
      </w:r>
      <w:r>
        <w:rPr>
          <w:rStyle w:val="31"/>
          <w:rFonts w:hint="eastAsia" w:ascii="宋体" w:hAnsi="宋体" w:eastAsia="宋体" w:cs="宋体"/>
          <w:color w:val="auto"/>
          <w:highlight w:val="none"/>
        </w:rPr>
        <w:t>提前投入使用的单位工程包括：</w:t>
      </w:r>
      <w:r>
        <w:rPr>
          <w:rStyle w:val="31"/>
          <w:rFonts w:hint="eastAsia" w:ascii="宋体" w:hAnsi="宋体" w:eastAsia="宋体" w:cs="宋体"/>
          <w:color w:val="auto"/>
          <w:highlight w:val="none"/>
          <w:u w:val="single"/>
        </w:rPr>
        <w:t>按相关规范规定</w:t>
      </w:r>
      <w:r>
        <w:rPr>
          <w:rStyle w:val="31"/>
          <w:rFonts w:hint="eastAsia" w:ascii="宋体" w:hAnsi="宋体" w:eastAsia="宋体" w:cs="宋体"/>
          <w:color w:val="auto"/>
          <w:highlight w:val="none"/>
          <w:lang w:val="en-US" w:bidi="en-US"/>
        </w:rPr>
        <w:t>。</w:t>
      </w:r>
    </w:p>
    <w:p w14:paraId="1F42AF69">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764" w:name="_Toc256000313"/>
      <w:bookmarkStart w:id="1765" w:name="_Toc256000236"/>
      <w:bookmarkStart w:id="1766" w:name="bookmark1820"/>
      <w:bookmarkStart w:id="1767" w:name="bookmark1821"/>
      <w:bookmarkStart w:id="1768" w:name="bookmark1819"/>
      <w:r>
        <w:rPr>
          <w:rStyle w:val="31"/>
          <w:rFonts w:hint="eastAsia" w:ascii="宋体" w:hAnsi="宋体" w:eastAsia="宋体" w:cs="宋体"/>
          <w:color w:val="auto"/>
          <w:sz w:val="24"/>
          <w:szCs w:val="24"/>
          <w:highlight w:val="none"/>
          <w:lang w:eastAsia="zh-CN" w:bidi="en-US"/>
        </w:rPr>
        <w:t>18.5阶段验收</w:t>
      </w:r>
      <w:bookmarkEnd w:id="1764"/>
      <w:bookmarkEnd w:id="1765"/>
      <w:bookmarkEnd w:id="1766"/>
      <w:bookmarkEnd w:id="1767"/>
      <w:bookmarkEnd w:id="1768"/>
    </w:p>
    <w:p w14:paraId="50692B67">
      <w:pPr>
        <w:pStyle w:val="101"/>
        <w:pageBreakBefore w:val="0"/>
        <w:widowControl w:val="0"/>
        <w:tabs>
          <w:tab w:val="left" w:pos="6036"/>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18.5.1</w:t>
      </w:r>
      <w:r>
        <w:rPr>
          <w:rStyle w:val="31"/>
          <w:rFonts w:hint="eastAsia" w:ascii="宋体" w:hAnsi="宋体" w:eastAsia="宋体" w:cs="宋体"/>
          <w:color w:val="auto"/>
          <w:highlight w:val="none"/>
        </w:rPr>
        <w:t>本合同工程阶段验收类别包括：</w:t>
      </w:r>
      <w:r>
        <w:rPr>
          <w:rStyle w:val="31"/>
          <w:rFonts w:hint="eastAsia" w:ascii="宋体" w:hAnsi="宋体" w:eastAsia="宋体" w:cs="宋体"/>
          <w:color w:val="auto"/>
          <w:highlight w:val="none"/>
          <w:u w:val="single"/>
        </w:rPr>
        <w:t>按相关规范规定</w:t>
      </w:r>
      <w:r>
        <w:rPr>
          <w:rStyle w:val="31"/>
          <w:rFonts w:hint="eastAsia" w:ascii="宋体" w:hAnsi="宋体" w:eastAsia="宋体" w:cs="宋体"/>
          <w:color w:val="auto"/>
          <w:highlight w:val="none"/>
          <w:lang w:val="en-US" w:bidi="en-US"/>
        </w:rPr>
        <w:t>。</w:t>
      </w:r>
    </w:p>
    <w:p w14:paraId="75132FBF">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769" w:name="_Toc256000237"/>
      <w:bookmarkStart w:id="1770" w:name="_Toc256000314"/>
      <w:bookmarkStart w:id="1771" w:name="bookmark1824"/>
      <w:bookmarkStart w:id="1772" w:name="bookmark1823"/>
      <w:bookmarkStart w:id="1773" w:name="bookmark1822"/>
      <w:r>
        <w:rPr>
          <w:rStyle w:val="31"/>
          <w:rFonts w:hint="eastAsia" w:ascii="宋体" w:hAnsi="宋体" w:eastAsia="宋体" w:cs="宋体"/>
          <w:color w:val="auto"/>
          <w:sz w:val="24"/>
          <w:szCs w:val="24"/>
          <w:highlight w:val="none"/>
          <w:lang w:eastAsia="zh-CN" w:bidi="en-US"/>
        </w:rPr>
        <w:t>18.6专项验收</w:t>
      </w:r>
      <w:bookmarkEnd w:id="1769"/>
      <w:bookmarkEnd w:id="1770"/>
      <w:bookmarkEnd w:id="1771"/>
      <w:bookmarkEnd w:id="1772"/>
      <w:bookmarkEnd w:id="1773"/>
    </w:p>
    <w:p w14:paraId="38C339B2">
      <w:pPr>
        <w:pStyle w:val="101"/>
        <w:pageBreakBefore w:val="0"/>
        <w:widowControl w:val="0"/>
        <w:tabs>
          <w:tab w:val="left" w:pos="6036"/>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18.6.2</w:t>
      </w:r>
      <w:r>
        <w:rPr>
          <w:rStyle w:val="31"/>
          <w:rFonts w:hint="eastAsia" w:ascii="宋体" w:hAnsi="宋体" w:eastAsia="宋体" w:cs="宋体"/>
          <w:color w:val="auto"/>
          <w:highlight w:val="none"/>
        </w:rPr>
        <w:t>本合同工程专项验收类别包括：</w:t>
      </w:r>
      <w:r>
        <w:rPr>
          <w:rStyle w:val="31"/>
          <w:rFonts w:hint="eastAsia" w:ascii="宋体" w:hAnsi="宋体" w:eastAsia="宋体" w:cs="宋体"/>
          <w:color w:val="auto"/>
          <w:highlight w:val="none"/>
          <w:u w:val="single"/>
        </w:rPr>
        <w:t>按相关规范规定</w:t>
      </w:r>
      <w:r>
        <w:rPr>
          <w:rStyle w:val="31"/>
          <w:rFonts w:hint="eastAsia" w:ascii="宋体" w:hAnsi="宋体" w:eastAsia="宋体" w:cs="宋体"/>
          <w:color w:val="auto"/>
          <w:highlight w:val="none"/>
          <w:lang w:val="en-US" w:bidi="en-US"/>
        </w:rPr>
        <w:t>。</w:t>
      </w:r>
    </w:p>
    <w:p w14:paraId="57B515D3">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774" w:name="bookmark1827"/>
      <w:bookmarkStart w:id="1775" w:name="bookmark1826"/>
      <w:bookmarkStart w:id="1776" w:name="_Toc256000238"/>
      <w:bookmarkStart w:id="1777" w:name="_Toc256000315"/>
      <w:bookmarkStart w:id="1778" w:name="bookmark1825"/>
      <w:r>
        <w:rPr>
          <w:rStyle w:val="31"/>
          <w:rFonts w:hint="eastAsia" w:ascii="宋体" w:hAnsi="宋体" w:eastAsia="宋体" w:cs="宋体"/>
          <w:color w:val="auto"/>
          <w:sz w:val="24"/>
          <w:szCs w:val="24"/>
          <w:highlight w:val="none"/>
          <w:lang w:eastAsia="zh-CN" w:bidi="en-US"/>
        </w:rPr>
        <w:t>18.8施工期运行</w:t>
      </w:r>
      <w:bookmarkEnd w:id="1774"/>
      <w:bookmarkEnd w:id="1775"/>
      <w:bookmarkEnd w:id="1776"/>
      <w:bookmarkEnd w:id="1777"/>
      <w:bookmarkEnd w:id="1778"/>
    </w:p>
    <w:p w14:paraId="44F28C05">
      <w:pPr>
        <w:pStyle w:val="101"/>
        <w:pageBreakBefore w:val="0"/>
        <w:widowControl w:val="0"/>
        <w:tabs>
          <w:tab w:val="left" w:pos="7296"/>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lang w:val="en-US" w:bidi="en-US"/>
        </w:rPr>
      </w:pPr>
      <w:r>
        <w:rPr>
          <w:rStyle w:val="31"/>
          <w:rFonts w:hint="eastAsia" w:ascii="宋体" w:hAnsi="宋体" w:eastAsia="宋体" w:cs="宋体"/>
          <w:color w:val="auto"/>
          <w:highlight w:val="none"/>
          <w:lang w:val="en-US" w:bidi="en-US"/>
        </w:rPr>
        <w:t>18.8.1</w:t>
      </w:r>
      <w:r>
        <w:rPr>
          <w:rStyle w:val="31"/>
          <w:rFonts w:hint="eastAsia" w:ascii="宋体" w:hAnsi="宋体" w:eastAsia="宋体" w:cs="宋体"/>
          <w:color w:val="auto"/>
          <w:highlight w:val="none"/>
        </w:rPr>
        <w:t>需要在施工期运行的单位工程或工程设备为：</w:t>
      </w:r>
      <w:r>
        <w:rPr>
          <w:rStyle w:val="31"/>
          <w:rFonts w:hint="eastAsia" w:ascii="宋体" w:hAnsi="宋体" w:eastAsia="宋体" w:cs="宋体"/>
          <w:color w:val="auto"/>
          <w:highlight w:val="none"/>
          <w:u w:val="single"/>
          <w:lang w:eastAsia="zh-CN"/>
        </w:rPr>
        <w:t>无</w:t>
      </w:r>
      <w:r>
        <w:rPr>
          <w:rStyle w:val="31"/>
          <w:rFonts w:hint="eastAsia" w:ascii="宋体" w:hAnsi="宋体" w:eastAsia="宋体" w:cs="宋体"/>
          <w:color w:val="auto"/>
          <w:highlight w:val="none"/>
          <w:lang w:val="en-US" w:bidi="en-US"/>
        </w:rPr>
        <w:t>。</w:t>
      </w:r>
    </w:p>
    <w:p w14:paraId="2820DD2C">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779" w:name="_Toc256000316"/>
      <w:bookmarkStart w:id="1780" w:name="bookmark1829"/>
      <w:bookmarkStart w:id="1781" w:name="bookmark1830"/>
      <w:bookmarkStart w:id="1782" w:name="_Toc256000239"/>
      <w:bookmarkStart w:id="1783" w:name="bookmark1828"/>
      <w:r>
        <w:rPr>
          <w:rStyle w:val="31"/>
          <w:rFonts w:hint="eastAsia" w:ascii="宋体" w:hAnsi="宋体" w:eastAsia="宋体" w:cs="宋体"/>
          <w:color w:val="auto"/>
          <w:sz w:val="24"/>
          <w:szCs w:val="24"/>
          <w:highlight w:val="none"/>
          <w:lang w:eastAsia="zh-CN" w:bidi="en-US"/>
        </w:rPr>
        <w:t>18.9试运行</w:t>
      </w:r>
      <w:bookmarkEnd w:id="1779"/>
      <w:bookmarkEnd w:id="1780"/>
      <w:bookmarkEnd w:id="1781"/>
      <w:bookmarkEnd w:id="1782"/>
      <w:bookmarkEnd w:id="1783"/>
    </w:p>
    <w:p w14:paraId="612AD3EB">
      <w:pPr>
        <w:pStyle w:val="101"/>
        <w:pageBreakBefore w:val="0"/>
        <w:widowControl w:val="0"/>
        <w:tabs>
          <w:tab w:val="left" w:pos="4570"/>
          <w:tab w:val="left" w:pos="7697"/>
        </w:tabs>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18. 9.1</w:t>
      </w:r>
      <w:r>
        <w:rPr>
          <w:rStyle w:val="31"/>
          <w:rFonts w:hint="eastAsia" w:ascii="宋体" w:hAnsi="宋体" w:eastAsia="宋体" w:cs="宋体"/>
          <w:color w:val="auto"/>
          <w:highlight w:val="none"/>
        </w:rPr>
        <w:t>试运行的组织：</w:t>
      </w:r>
      <w:r>
        <w:rPr>
          <w:rStyle w:val="31"/>
          <w:rFonts w:hint="eastAsia" w:ascii="宋体" w:hAnsi="宋体" w:eastAsia="宋体" w:cs="宋体"/>
          <w:color w:val="auto"/>
          <w:highlight w:val="none"/>
          <w:u w:val="single"/>
          <w:lang w:eastAsia="zh-CN"/>
        </w:rPr>
        <w:t>由发包人组织</w:t>
      </w:r>
      <w:r>
        <w:rPr>
          <w:rStyle w:val="31"/>
          <w:rFonts w:hint="eastAsia" w:ascii="宋体" w:hAnsi="宋体" w:eastAsia="宋体" w:cs="宋体"/>
          <w:color w:val="auto"/>
          <w:highlight w:val="none"/>
        </w:rPr>
        <w:t>；费用承担：</w:t>
      </w:r>
      <w:bookmarkStart w:id="1784" w:name="bookmark1833"/>
      <w:bookmarkEnd w:id="1784"/>
      <w:bookmarkStart w:id="1785" w:name="bookmark1832"/>
      <w:bookmarkStart w:id="1786" w:name="_Toc24047"/>
      <w:bookmarkStart w:id="1787" w:name="bookmark1834"/>
      <w:bookmarkStart w:id="1788" w:name="_Toc21054"/>
      <w:bookmarkStart w:id="1789" w:name="bookmark1831"/>
      <w:r>
        <w:rPr>
          <w:rStyle w:val="31"/>
          <w:rFonts w:hint="eastAsia" w:ascii="宋体" w:hAnsi="宋体" w:eastAsia="宋体" w:cs="宋体"/>
          <w:color w:val="auto"/>
          <w:highlight w:val="none"/>
          <w:u w:val="single"/>
          <w:lang w:eastAsia="zh-CN"/>
        </w:rPr>
        <w:t>承包人承担</w:t>
      </w:r>
      <w:r>
        <w:rPr>
          <w:rStyle w:val="31"/>
          <w:rFonts w:hint="eastAsia" w:ascii="宋体" w:hAnsi="宋体" w:eastAsia="宋体" w:cs="宋体"/>
          <w:color w:val="auto"/>
          <w:highlight w:val="none"/>
        </w:rPr>
        <w:t>。</w:t>
      </w:r>
    </w:p>
    <w:p w14:paraId="4D685D8B">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highlight w:val="none"/>
          <w:lang w:eastAsia="zh-CN"/>
        </w:rPr>
      </w:pPr>
      <w:bookmarkStart w:id="1790" w:name="_Toc256000317"/>
      <w:bookmarkStart w:id="1791" w:name="_Toc256000240"/>
      <w:bookmarkStart w:id="1792" w:name="_Toc13258"/>
      <w:r>
        <w:rPr>
          <w:rStyle w:val="31"/>
          <w:rFonts w:hint="eastAsia" w:ascii="宋体" w:hAnsi="宋体" w:eastAsia="宋体" w:cs="宋体"/>
          <w:color w:val="auto"/>
          <w:highlight w:val="none"/>
          <w:lang w:eastAsia="zh-CN"/>
        </w:rPr>
        <w:t>19. 缺陷责任与保修责任</w:t>
      </w:r>
      <w:bookmarkEnd w:id="1785"/>
      <w:bookmarkEnd w:id="1786"/>
      <w:bookmarkEnd w:id="1787"/>
      <w:bookmarkEnd w:id="1788"/>
      <w:bookmarkEnd w:id="1789"/>
      <w:bookmarkEnd w:id="1790"/>
      <w:bookmarkEnd w:id="1791"/>
      <w:bookmarkEnd w:id="1792"/>
    </w:p>
    <w:p w14:paraId="3D30188A">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793" w:name="_Toc256000318"/>
      <w:bookmarkStart w:id="1794" w:name="bookmark1837"/>
      <w:bookmarkStart w:id="1795" w:name="_Toc256000241"/>
      <w:bookmarkStart w:id="1796" w:name="bookmark1835"/>
      <w:bookmarkStart w:id="1797" w:name="bookmark1836"/>
      <w:r>
        <w:rPr>
          <w:rStyle w:val="31"/>
          <w:rFonts w:hint="eastAsia" w:ascii="宋体" w:hAnsi="宋体" w:eastAsia="宋体" w:cs="宋体"/>
          <w:color w:val="auto"/>
          <w:sz w:val="24"/>
          <w:szCs w:val="24"/>
          <w:highlight w:val="none"/>
          <w:lang w:eastAsia="zh-CN" w:bidi="en-US"/>
        </w:rPr>
        <w:t>19.1缺陷责任期（工程质量保修期）的起算时间</w:t>
      </w:r>
      <w:bookmarkEnd w:id="1793"/>
      <w:bookmarkEnd w:id="1794"/>
      <w:bookmarkEnd w:id="1795"/>
      <w:bookmarkEnd w:id="1796"/>
      <w:bookmarkEnd w:id="1797"/>
    </w:p>
    <w:p w14:paraId="4C953F0E">
      <w:pPr>
        <w:pStyle w:val="101"/>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本工程缺陷责任期（工程质量保修）计算如下：起算日按通用条款</w:t>
      </w:r>
      <w:r>
        <w:rPr>
          <w:rStyle w:val="31"/>
          <w:rFonts w:hint="eastAsia" w:ascii="宋体" w:hAnsi="宋体" w:eastAsia="宋体" w:cs="宋体"/>
          <w:color w:val="auto"/>
          <w:highlight w:val="none"/>
          <w:lang w:val="en-US" w:bidi="en-US"/>
        </w:rPr>
        <w:t>19.1</w:t>
      </w:r>
      <w:r>
        <w:rPr>
          <w:rStyle w:val="31"/>
          <w:rFonts w:hint="eastAsia" w:ascii="宋体" w:hAnsi="宋体" w:eastAsia="宋体" w:cs="宋体"/>
          <w:color w:val="auto"/>
          <w:highlight w:val="none"/>
        </w:rPr>
        <w:t>和</w:t>
      </w:r>
      <w:r>
        <w:rPr>
          <w:rStyle w:val="31"/>
          <w:rFonts w:hint="eastAsia" w:ascii="宋体" w:hAnsi="宋体" w:eastAsia="宋体" w:cs="宋体"/>
          <w:color w:val="auto"/>
          <w:highlight w:val="none"/>
          <w:lang w:val="en-US" w:bidi="en-US"/>
        </w:rPr>
        <w:t>19.</w:t>
      </w:r>
      <w:r>
        <w:rPr>
          <w:rStyle w:val="31"/>
          <w:rFonts w:hint="eastAsia" w:ascii="宋体" w:hAnsi="宋体" w:eastAsia="宋体" w:cs="宋体"/>
          <w:color w:val="auto"/>
          <w:highlight w:val="none"/>
        </w:rPr>
        <w:t>7的约定，终止日按专用条款</w:t>
      </w:r>
      <w:r>
        <w:rPr>
          <w:rStyle w:val="31"/>
          <w:rFonts w:hint="eastAsia" w:ascii="宋体" w:hAnsi="宋体" w:eastAsia="宋体" w:cs="宋体"/>
          <w:color w:val="auto"/>
          <w:highlight w:val="none"/>
          <w:lang w:val="en-US" w:bidi="en-US"/>
        </w:rPr>
        <w:t>1.1.4.5</w:t>
      </w:r>
      <w:r>
        <w:rPr>
          <w:rStyle w:val="31"/>
          <w:rFonts w:hint="eastAsia" w:ascii="宋体" w:hAnsi="宋体" w:eastAsia="宋体" w:cs="宋体"/>
          <w:color w:val="auto"/>
          <w:highlight w:val="none"/>
        </w:rPr>
        <w:t>约定。</w:t>
      </w:r>
    </w:p>
    <w:p w14:paraId="14AAFFD3">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798" w:name="_Toc256000319"/>
      <w:bookmarkStart w:id="1799" w:name="_Toc256000242"/>
      <w:r>
        <w:rPr>
          <w:rStyle w:val="31"/>
          <w:rFonts w:hint="eastAsia" w:ascii="宋体" w:hAnsi="宋体" w:eastAsia="宋体" w:cs="宋体"/>
          <w:color w:val="auto"/>
          <w:sz w:val="24"/>
          <w:szCs w:val="24"/>
          <w:highlight w:val="none"/>
          <w:lang w:eastAsia="zh-CN" w:bidi="en-US"/>
        </w:rPr>
        <w:t>19.7保修责任</w:t>
      </w:r>
      <w:bookmarkEnd w:id="1798"/>
      <w:bookmarkEnd w:id="1799"/>
    </w:p>
    <w:p w14:paraId="13259D0E">
      <w:pPr>
        <w:pStyle w:val="101"/>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lang w:val="en-US"/>
        </w:rPr>
      </w:pPr>
      <w:r>
        <w:rPr>
          <w:rStyle w:val="31"/>
          <w:rFonts w:hint="eastAsia" w:ascii="宋体" w:hAnsi="宋体" w:eastAsia="宋体" w:cs="宋体"/>
          <w:color w:val="auto"/>
          <w:highlight w:val="none"/>
        </w:rPr>
        <w:t>本合同工程的保修期为：</w:t>
      </w:r>
      <w:r>
        <w:rPr>
          <w:rStyle w:val="31"/>
          <w:rFonts w:hint="eastAsia" w:ascii="宋体" w:hAnsi="宋体" w:eastAsia="宋体" w:cs="宋体"/>
          <w:color w:val="auto"/>
          <w:highlight w:val="none"/>
          <w:u w:val="single"/>
          <w:lang w:val="en-US"/>
        </w:rPr>
        <w:t xml:space="preserve">            </w:t>
      </w:r>
      <w:r>
        <w:rPr>
          <w:rStyle w:val="31"/>
          <w:rFonts w:hint="eastAsia" w:ascii="宋体" w:hAnsi="宋体" w:eastAsia="宋体" w:cs="宋体"/>
          <w:color w:val="auto"/>
          <w:highlight w:val="none"/>
          <w:lang w:val="en-US"/>
        </w:rPr>
        <w:t>；</w:t>
      </w:r>
    </w:p>
    <w:p w14:paraId="34471F13">
      <w:pPr>
        <w:pStyle w:val="101"/>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lang w:val="en-US"/>
        </w:rPr>
      </w:pPr>
      <w:r>
        <w:rPr>
          <w:rStyle w:val="31"/>
          <w:rFonts w:hint="eastAsia" w:ascii="宋体" w:hAnsi="宋体" w:eastAsia="宋体" w:cs="宋体"/>
          <w:color w:val="auto"/>
          <w:highlight w:val="none"/>
          <w:lang w:val="en-US"/>
        </w:rPr>
        <w:t>保修范围：</w:t>
      </w:r>
      <w:r>
        <w:rPr>
          <w:rStyle w:val="31"/>
          <w:rFonts w:hint="eastAsia" w:ascii="宋体" w:hAnsi="宋体" w:eastAsia="宋体" w:cs="宋体"/>
          <w:color w:val="auto"/>
          <w:highlight w:val="none"/>
          <w:u w:val="single"/>
          <w:lang w:val="en-US"/>
        </w:rPr>
        <w:t xml:space="preserve">                      </w:t>
      </w:r>
      <w:r>
        <w:rPr>
          <w:rStyle w:val="31"/>
          <w:rFonts w:hint="eastAsia" w:ascii="宋体" w:hAnsi="宋体" w:eastAsia="宋体" w:cs="宋体"/>
          <w:color w:val="auto"/>
          <w:highlight w:val="none"/>
          <w:lang w:val="en-US"/>
        </w:rPr>
        <w:t>。</w:t>
      </w:r>
    </w:p>
    <w:p w14:paraId="345636C1">
      <w:pPr>
        <w:pStyle w:val="101"/>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lang w:val="en-US"/>
        </w:rPr>
      </w:pPr>
      <w:r>
        <w:rPr>
          <w:rStyle w:val="31"/>
          <w:rFonts w:hint="eastAsia" w:ascii="宋体" w:hAnsi="宋体" w:eastAsia="宋体" w:cs="宋体"/>
          <w:color w:val="auto"/>
          <w:highlight w:val="none"/>
          <w:lang w:val="en-US"/>
        </w:rPr>
        <w:t>保修责任：由承包人负责并承担相关的一切费用。</w:t>
      </w:r>
    </w:p>
    <w:p w14:paraId="62E7511D">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highlight w:val="none"/>
          <w:lang w:eastAsia="zh-CN"/>
        </w:rPr>
      </w:pPr>
      <w:bookmarkStart w:id="1800" w:name="bookmark1840"/>
      <w:bookmarkEnd w:id="1800"/>
      <w:bookmarkStart w:id="1801" w:name="bookmark1841"/>
      <w:bookmarkStart w:id="1802" w:name="_Toc3197"/>
      <w:bookmarkStart w:id="1803" w:name="_Toc256000243"/>
      <w:bookmarkStart w:id="1804" w:name="_Toc5968"/>
      <w:bookmarkStart w:id="1805" w:name="_Toc615"/>
      <w:bookmarkStart w:id="1806" w:name="_Toc256000320"/>
      <w:bookmarkStart w:id="1807" w:name="bookmark1839"/>
      <w:bookmarkStart w:id="1808" w:name="bookmark1838"/>
      <w:r>
        <w:rPr>
          <w:rStyle w:val="31"/>
          <w:rFonts w:hint="eastAsia" w:ascii="宋体" w:hAnsi="宋体" w:eastAsia="宋体" w:cs="宋体"/>
          <w:color w:val="auto"/>
          <w:highlight w:val="none"/>
          <w:lang w:eastAsia="zh-CN"/>
        </w:rPr>
        <w:t>20. 保险</w:t>
      </w:r>
      <w:bookmarkEnd w:id="1801"/>
      <w:bookmarkEnd w:id="1802"/>
      <w:bookmarkEnd w:id="1803"/>
      <w:bookmarkEnd w:id="1804"/>
      <w:bookmarkEnd w:id="1805"/>
      <w:bookmarkEnd w:id="1806"/>
    </w:p>
    <w:p w14:paraId="5A0B95D7">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809" w:name="_Toc256000321"/>
      <w:bookmarkStart w:id="1810" w:name="_Toc256000244"/>
      <w:bookmarkStart w:id="1811" w:name="bookmark1842"/>
      <w:r>
        <w:rPr>
          <w:rStyle w:val="31"/>
          <w:rFonts w:hint="eastAsia" w:ascii="宋体" w:hAnsi="宋体" w:eastAsia="宋体" w:cs="宋体"/>
          <w:color w:val="auto"/>
          <w:sz w:val="24"/>
          <w:szCs w:val="24"/>
          <w:highlight w:val="none"/>
          <w:lang w:eastAsia="zh-CN" w:bidi="en-US"/>
        </w:rPr>
        <w:t>20.1工程保险</w:t>
      </w:r>
      <w:bookmarkEnd w:id="1807"/>
      <w:bookmarkEnd w:id="1808"/>
      <w:bookmarkEnd w:id="1809"/>
      <w:bookmarkEnd w:id="1810"/>
      <w:bookmarkEnd w:id="1811"/>
    </w:p>
    <w:p w14:paraId="6D9944C6">
      <w:pPr>
        <w:pStyle w:val="101"/>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建筑工程一切险和（或）安装工程一切险投保人：</w:t>
      </w:r>
      <w:r>
        <w:rPr>
          <w:rStyle w:val="31"/>
          <w:rFonts w:hint="eastAsia" w:ascii="宋体" w:hAnsi="宋体" w:eastAsia="宋体" w:cs="宋体"/>
          <w:color w:val="auto"/>
          <w:highlight w:val="none"/>
          <w:u w:val="single"/>
        </w:rPr>
        <w:t>以承包人名义投保</w:t>
      </w:r>
      <w:r>
        <w:rPr>
          <w:rStyle w:val="31"/>
          <w:rFonts w:hint="eastAsia" w:ascii="宋体" w:hAnsi="宋体" w:eastAsia="宋体" w:cs="宋体"/>
          <w:color w:val="auto"/>
          <w:highlight w:val="none"/>
        </w:rPr>
        <w:t>； 投保内容：</w:t>
      </w:r>
      <w:r>
        <w:rPr>
          <w:rStyle w:val="31"/>
          <w:rFonts w:hint="eastAsia" w:ascii="宋体" w:hAnsi="宋体" w:eastAsia="宋体" w:cs="宋体"/>
          <w:color w:val="auto"/>
          <w:highlight w:val="none"/>
          <w:u w:val="single"/>
        </w:rPr>
        <w:t xml:space="preserve">建筑工程人身意外保险 </w:t>
      </w:r>
      <w:r>
        <w:rPr>
          <w:rStyle w:val="31"/>
          <w:rFonts w:hint="eastAsia" w:ascii="宋体" w:hAnsi="宋体" w:eastAsia="宋体" w:cs="宋体"/>
          <w:color w:val="auto"/>
          <w:highlight w:val="none"/>
        </w:rPr>
        <w:t>； 保险金额、保险费率和保险期限:</w:t>
      </w:r>
      <w:r>
        <w:rPr>
          <w:rStyle w:val="31"/>
          <w:rFonts w:hint="eastAsia" w:ascii="宋体" w:hAnsi="宋体" w:eastAsia="宋体" w:cs="宋体"/>
          <w:color w:val="auto"/>
          <w:highlight w:val="none"/>
          <w:u w:val="single"/>
        </w:rPr>
        <w:t xml:space="preserve">建筑工程人身意外伤害保险为中标金额*保险费率3‰，保险期限为自开工之日起至工程完工 </w:t>
      </w:r>
      <w:r>
        <w:rPr>
          <w:rStyle w:val="31"/>
          <w:rFonts w:hint="eastAsia" w:ascii="宋体" w:hAnsi="宋体" w:eastAsia="宋体" w:cs="宋体"/>
          <w:color w:val="auto"/>
          <w:highlight w:val="none"/>
          <w:lang w:val="en-US"/>
        </w:rPr>
        <w:t>。</w:t>
      </w:r>
    </w:p>
    <w:p w14:paraId="3F44CA6E">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812" w:name="bookmark1843"/>
      <w:bookmarkStart w:id="1813" w:name="bookmark1845"/>
      <w:bookmarkStart w:id="1814" w:name="_Toc256000322"/>
      <w:bookmarkStart w:id="1815" w:name="bookmark1844"/>
      <w:bookmarkStart w:id="1816" w:name="_Toc256000245"/>
      <w:r>
        <w:rPr>
          <w:rStyle w:val="31"/>
          <w:rFonts w:hint="eastAsia" w:ascii="宋体" w:hAnsi="宋体" w:eastAsia="宋体" w:cs="宋体"/>
          <w:color w:val="auto"/>
          <w:sz w:val="24"/>
          <w:szCs w:val="24"/>
          <w:highlight w:val="none"/>
          <w:lang w:eastAsia="zh-CN" w:bidi="en-US"/>
        </w:rPr>
        <w:t>20.4第三者责任险</w:t>
      </w:r>
      <w:bookmarkEnd w:id="1812"/>
      <w:bookmarkEnd w:id="1813"/>
      <w:bookmarkEnd w:id="1814"/>
      <w:bookmarkEnd w:id="1815"/>
      <w:bookmarkEnd w:id="1816"/>
    </w:p>
    <w:p w14:paraId="636DF5A4">
      <w:pPr>
        <w:pStyle w:val="101"/>
        <w:pageBreakBefore w:val="0"/>
        <w:widowControl w:val="0"/>
        <w:tabs>
          <w:tab w:val="left" w:pos="8225"/>
        </w:tabs>
        <w:kinsoku/>
        <w:wordWrap/>
        <w:overflowPunct/>
        <w:topLinePunct w:val="0"/>
        <w:autoSpaceDE/>
        <w:autoSpaceDN/>
        <w:bidi w:val="0"/>
        <w:adjustRightInd/>
        <w:snapToGrid/>
        <w:spacing w:line="440" w:lineRule="exact"/>
        <w:ind w:left="0" w:leftChars="0" w:firstLine="2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 xml:space="preserve">20.4.2 </w:t>
      </w:r>
      <w:r>
        <w:rPr>
          <w:rStyle w:val="31"/>
          <w:rFonts w:hint="eastAsia" w:ascii="宋体" w:hAnsi="宋体" w:eastAsia="宋体" w:cs="宋体"/>
          <w:color w:val="auto"/>
          <w:highlight w:val="none"/>
        </w:rPr>
        <w:t>第三者责任险保险费率：</w:t>
      </w:r>
      <w:r>
        <w:rPr>
          <w:rStyle w:val="31"/>
          <w:rFonts w:hint="eastAsia" w:ascii="宋体" w:hAnsi="宋体" w:eastAsia="宋体" w:cs="宋体"/>
          <w:color w:val="auto"/>
          <w:highlight w:val="none"/>
          <w:u w:val="single"/>
        </w:rPr>
        <w:t xml:space="preserve">  </w:t>
      </w:r>
      <w:r>
        <w:rPr>
          <w:rStyle w:val="31"/>
          <w:rFonts w:hint="eastAsia" w:ascii="宋体" w:hAnsi="宋体" w:eastAsia="宋体" w:cs="宋体"/>
          <w:color w:val="auto"/>
          <w:highlight w:val="none"/>
          <w:u w:val="single"/>
          <w:lang w:val="en-US" w:eastAsia="zh-CN"/>
        </w:rPr>
        <w:t>/</w:t>
      </w:r>
      <w:r>
        <w:rPr>
          <w:rStyle w:val="31"/>
          <w:rFonts w:hint="eastAsia" w:ascii="宋体" w:hAnsi="宋体" w:eastAsia="宋体" w:cs="宋体"/>
          <w:color w:val="auto"/>
          <w:highlight w:val="none"/>
          <w:u w:val="single"/>
        </w:rPr>
        <w:t xml:space="preserve"> </w:t>
      </w:r>
      <w:r>
        <w:rPr>
          <w:rStyle w:val="31"/>
          <w:rFonts w:hint="eastAsia" w:ascii="宋体" w:hAnsi="宋体" w:eastAsia="宋体" w:cs="宋体"/>
          <w:color w:val="auto"/>
          <w:highlight w:val="none"/>
        </w:rPr>
        <w:t>； 第三者责任险保险金额：</w:t>
      </w:r>
      <w:r>
        <w:rPr>
          <w:rStyle w:val="31"/>
          <w:rFonts w:hint="eastAsia" w:ascii="宋体" w:hAnsi="宋体" w:eastAsia="宋体" w:cs="宋体"/>
          <w:color w:val="auto"/>
          <w:highlight w:val="none"/>
          <w:u w:val="single"/>
        </w:rPr>
        <w:t xml:space="preserve">  </w:t>
      </w:r>
      <w:r>
        <w:rPr>
          <w:rStyle w:val="31"/>
          <w:rFonts w:hint="eastAsia" w:ascii="宋体" w:hAnsi="宋体" w:eastAsia="宋体" w:cs="宋体"/>
          <w:color w:val="auto"/>
          <w:highlight w:val="none"/>
          <w:u w:val="single"/>
          <w:lang w:val="en-US" w:eastAsia="zh-CN"/>
        </w:rPr>
        <w:t>/</w:t>
      </w:r>
      <w:r>
        <w:rPr>
          <w:rStyle w:val="31"/>
          <w:rFonts w:hint="eastAsia" w:ascii="宋体" w:hAnsi="宋体" w:eastAsia="宋体" w:cs="宋体"/>
          <w:color w:val="auto"/>
          <w:highlight w:val="none"/>
          <w:u w:val="single"/>
        </w:rPr>
        <w:t xml:space="preserve">   </w:t>
      </w:r>
      <w:r>
        <w:rPr>
          <w:rStyle w:val="31"/>
          <w:rFonts w:hint="eastAsia" w:ascii="宋体" w:hAnsi="宋体" w:eastAsia="宋体" w:cs="宋体"/>
          <w:color w:val="auto"/>
          <w:highlight w:val="none"/>
          <w:lang w:val="en-US" w:bidi="en-US"/>
        </w:rPr>
        <w:t>。</w:t>
      </w:r>
    </w:p>
    <w:p w14:paraId="2D25F2CC">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817" w:name="_Toc256000323"/>
      <w:bookmarkStart w:id="1818" w:name="bookmark1847"/>
      <w:bookmarkStart w:id="1819" w:name="bookmark1848"/>
      <w:bookmarkStart w:id="1820" w:name="bookmark1846"/>
      <w:bookmarkStart w:id="1821" w:name="_Toc256000246"/>
      <w:r>
        <w:rPr>
          <w:rStyle w:val="31"/>
          <w:rFonts w:hint="eastAsia" w:ascii="宋体" w:hAnsi="宋体" w:eastAsia="宋体" w:cs="宋体"/>
          <w:color w:val="auto"/>
          <w:sz w:val="24"/>
          <w:szCs w:val="24"/>
          <w:highlight w:val="none"/>
          <w:lang w:eastAsia="zh-CN" w:bidi="en-US"/>
        </w:rPr>
        <w:t>20.5其他保险</w:t>
      </w:r>
      <w:bookmarkEnd w:id="1817"/>
      <w:bookmarkEnd w:id="1818"/>
      <w:bookmarkEnd w:id="1819"/>
      <w:bookmarkEnd w:id="1820"/>
      <w:bookmarkEnd w:id="1821"/>
    </w:p>
    <w:p w14:paraId="2F18A973">
      <w:pPr>
        <w:pStyle w:val="101"/>
        <w:pageBreakBefore w:val="0"/>
        <w:widowControl w:val="0"/>
        <w:tabs>
          <w:tab w:val="left" w:pos="8220"/>
        </w:tabs>
        <w:kinsoku/>
        <w:wordWrap/>
        <w:overflowPunct/>
        <w:topLinePunct w:val="0"/>
        <w:autoSpaceDE/>
        <w:autoSpaceDN/>
        <w:bidi w:val="0"/>
        <w:adjustRightInd/>
        <w:snapToGrid/>
        <w:spacing w:line="440" w:lineRule="exact"/>
        <w:ind w:left="0" w:leftChars="0" w:firstLine="2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需要投保的其他内容：</w:t>
      </w:r>
      <w:r>
        <w:rPr>
          <w:rStyle w:val="31"/>
          <w:rFonts w:hint="eastAsia" w:ascii="宋体" w:hAnsi="宋体" w:eastAsia="宋体" w:cs="宋体"/>
          <w:color w:val="auto"/>
          <w:highlight w:val="none"/>
          <w:u w:val="single"/>
        </w:rPr>
        <w:t xml:space="preserve"> </w:t>
      </w:r>
      <w:r>
        <w:rPr>
          <w:rStyle w:val="31"/>
          <w:rFonts w:hint="eastAsia" w:ascii="宋体" w:hAnsi="宋体" w:eastAsia="宋体" w:cs="宋体"/>
          <w:color w:val="auto"/>
          <w:highlight w:val="none"/>
          <w:u w:val="single"/>
          <w:lang w:val="en-US" w:eastAsia="zh-CN"/>
        </w:rPr>
        <w:t>/</w:t>
      </w:r>
      <w:r>
        <w:rPr>
          <w:rStyle w:val="31"/>
          <w:rFonts w:hint="eastAsia" w:ascii="宋体" w:hAnsi="宋体" w:eastAsia="宋体" w:cs="宋体"/>
          <w:color w:val="auto"/>
          <w:highlight w:val="none"/>
          <w:u w:val="single"/>
        </w:rPr>
        <w:t xml:space="preserve">   </w:t>
      </w:r>
      <w:r>
        <w:rPr>
          <w:rStyle w:val="31"/>
          <w:rFonts w:hint="eastAsia" w:ascii="宋体" w:hAnsi="宋体" w:eastAsia="宋体" w:cs="宋体"/>
          <w:color w:val="auto"/>
          <w:highlight w:val="none"/>
        </w:rPr>
        <w:t>；保险金额、保险费率和保险期限：</w:t>
      </w:r>
      <w:r>
        <w:rPr>
          <w:rStyle w:val="31"/>
          <w:rFonts w:hint="eastAsia" w:ascii="宋体" w:hAnsi="宋体" w:eastAsia="宋体" w:cs="宋体"/>
          <w:color w:val="auto"/>
          <w:highlight w:val="none"/>
          <w:u w:val="single"/>
        </w:rPr>
        <w:t xml:space="preserve"> </w:t>
      </w:r>
      <w:r>
        <w:rPr>
          <w:rStyle w:val="31"/>
          <w:rFonts w:hint="eastAsia" w:ascii="宋体" w:hAnsi="宋体" w:eastAsia="宋体" w:cs="宋体"/>
          <w:color w:val="auto"/>
          <w:highlight w:val="none"/>
          <w:u w:val="single"/>
          <w:lang w:val="en-US" w:eastAsia="zh-CN"/>
        </w:rPr>
        <w:t>/</w:t>
      </w:r>
      <w:r>
        <w:rPr>
          <w:rStyle w:val="31"/>
          <w:rFonts w:hint="eastAsia" w:ascii="宋体" w:hAnsi="宋体" w:eastAsia="宋体" w:cs="宋体"/>
          <w:color w:val="auto"/>
          <w:highlight w:val="none"/>
          <w:u w:val="single"/>
        </w:rPr>
        <w:t xml:space="preserve"> </w:t>
      </w:r>
      <w:r>
        <w:rPr>
          <w:rStyle w:val="31"/>
          <w:rFonts w:hint="eastAsia" w:ascii="宋体" w:hAnsi="宋体" w:eastAsia="宋体" w:cs="宋体"/>
          <w:color w:val="auto"/>
          <w:highlight w:val="none"/>
        </w:rPr>
        <w:t>；</w:t>
      </w:r>
    </w:p>
    <w:p w14:paraId="0C70600B">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822" w:name="_Toc256000247"/>
      <w:bookmarkStart w:id="1823" w:name="bookmark1850"/>
      <w:bookmarkStart w:id="1824" w:name="bookmark1849"/>
      <w:bookmarkStart w:id="1825" w:name="_Toc256000324"/>
      <w:bookmarkStart w:id="1826" w:name="bookmark1851"/>
      <w:r>
        <w:rPr>
          <w:rStyle w:val="31"/>
          <w:rFonts w:hint="eastAsia" w:ascii="宋体" w:hAnsi="宋体" w:eastAsia="宋体" w:cs="宋体"/>
          <w:color w:val="auto"/>
          <w:sz w:val="24"/>
          <w:szCs w:val="24"/>
          <w:highlight w:val="none"/>
          <w:lang w:eastAsia="zh-CN" w:bidi="en-US"/>
        </w:rPr>
        <w:t>20.6对各项保险的一般要求</w:t>
      </w:r>
      <w:bookmarkEnd w:id="1822"/>
      <w:bookmarkEnd w:id="1823"/>
      <w:bookmarkEnd w:id="1824"/>
      <w:bookmarkEnd w:id="1825"/>
      <w:bookmarkEnd w:id="1826"/>
    </w:p>
    <w:p w14:paraId="54716857">
      <w:pPr>
        <w:pStyle w:val="101"/>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20.6.1保险凭证</w:t>
      </w:r>
    </w:p>
    <w:p w14:paraId="387DA3C6">
      <w:pPr>
        <w:pStyle w:val="101"/>
        <w:pageBreakBefore w:val="0"/>
        <w:widowControl w:val="0"/>
        <w:tabs>
          <w:tab w:val="left" w:pos="8220"/>
        </w:tabs>
        <w:kinsoku/>
        <w:wordWrap/>
        <w:overflowPunct/>
        <w:topLinePunct w:val="0"/>
        <w:autoSpaceDE/>
        <w:autoSpaceDN/>
        <w:bidi w:val="0"/>
        <w:adjustRightInd/>
        <w:snapToGrid/>
        <w:spacing w:line="440" w:lineRule="exact"/>
        <w:ind w:left="0" w:leftChars="0" w:firstLine="2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承包人提交保险凭证的期限：</w:t>
      </w:r>
      <w:r>
        <w:rPr>
          <w:rStyle w:val="31"/>
          <w:rFonts w:hint="eastAsia" w:ascii="宋体" w:hAnsi="宋体" w:eastAsia="宋体" w:cs="宋体"/>
          <w:color w:val="auto"/>
          <w:highlight w:val="none"/>
          <w:u w:val="single"/>
        </w:rPr>
        <w:t xml:space="preserve">项目开工前 </w:t>
      </w:r>
      <w:r>
        <w:rPr>
          <w:rStyle w:val="31"/>
          <w:rFonts w:hint="eastAsia" w:ascii="宋体" w:hAnsi="宋体" w:eastAsia="宋体" w:cs="宋体"/>
          <w:color w:val="auto"/>
          <w:highlight w:val="none"/>
        </w:rPr>
        <w:t>； 保险条件：</w:t>
      </w:r>
      <w:r>
        <w:rPr>
          <w:rStyle w:val="31"/>
          <w:rFonts w:hint="eastAsia" w:ascii="宋体" w:hAnsi="宋体" w:eastAsia="宋体" w:cs="宋体"/>
          <w:color w:val="auto"/>
          <w:highlight w:val="none"/>
          <w:u w:val="single"/>
        </w:rPr>
        <w:t xml:space="preserve"> </w:t>
      </w:r>
      <w:r>
        <w:rPr>
          <w:rStyle w:val="31"/>
          <w:rFonts w:hint="eastAsia" w:ascii="宋体" w:hAnsi="宋体" w:eastAsia="宋体" w:cs="宋体"/>
          <w:color w:val="auto"/>
          <w:highlight w:val="none"/>
          <w:u w:val="single"/>
          <w:lang w:val="en-US" w:eastAsia="zh-CN"/>
        </w:rPr>
        <w:t>/</w:t>
      </w:r>
      <w:r>
        <w:rPr>
          <w:rStyle w:val="31"/>
          <w:rFonts w:hint="eastAsia" w:ascii="宋体" w:hAnsi="宋体" w:eastAsia="宋体" w:cs="宋体"/>
          <w:color w:val="auto"/>
          <w:highlight w:val="none"/>
          <w:u w:val="single"/>
        </w:rPr>
        <w:t xml:space="preserve">  </w:t>
      </w:r>
      <w:r>
        <w:rPr>
          <w:rStyle w:val="31"/>
          <w:rFonts w:hint="eastAsia" w:ascii="宋体" w:hAnsi="宋体" w:eastAsia="宋体" w:cs="宋体"/>
          <w:color w:val="auto"/>
          <w:highlight w:val="none"/>
        </w:rPr>
        <w:t>。</w:t>
      </w:r>
    </w:p>
    <w:p w14:paraId="6B5D3DB5">
      <w:pPr>
        <w:pStyle w:val="101"/>
        <w:pageBreakBefore w:val="0"/>
        <w:widowControl w:val="0"/>
        <w:kinsoku/>
        <w:wordWrap/>
        <w:overflowPunct/>
        <w:topLinePunct w:val="0"/>
        <w:autoSpaceDE/>
        <w:autoSpaceDN/>
        <w:bidi w:val="0"/>
        <w:adjustRightInd/>
        <w:snapToGrid/>
        <w:spacing w:line="440" w:lineRule="exact"/>
        <w:ind w:left="0" w:leftChars="0" w:firstLine="420"/>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20. 6.</w:t>
      </w:r>
      <w:r>
        <w:rPr>
          <w:rStyle w:val="31"/>
          <w:rFonts w:hint="eastAsia" w:ascii="宋体" w:hAnsi="宋体" w:eastAsia="宋体" w:cs="宋体"/>
          <w:color w:val="auto"/>
          <w:highlight w:val="none"/>
        </w:rPr>
        <w:t>4保险金不足的补偿</w:t>
      </w:r>
    </w:p>
    <w:p w14:paraId="64576442">
      <w:pPr>
        <w:pStyle w:val="101"/>
        <w:pageBreakBefore w:val="0"/>
        <w:widowControl w:val="0"/>
        <w:tabs>
          <w:tab w:val="left" w:pos="8215"/>
          <w:tab w:val="left" w:pos="8218"/>
        </w:tabs>
        <w:kinsoku/>
        <w:wordWrap/>
        <w:overflowPunct/>
        <w:topLinePunct w:val="0"/>
        <w:autoSpaceDE/>
        <w:autoSpaceDN/>
        <w:bidi w:val="0"/>
        <w:adjustRightInd/>
        <w:snapToGrid/>
        <w:spacing w:line="440" w:lineRule="exact"/>
        <w:ind w:left="0" w:leftChars="0" w:firstLine="2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承包人负责补偿的范围与金额：</w:t>
      </w:r>
      <w:r>
        <w:rPr>
          <w:rStyle w:val="31"/>
          <w:rFonts w:hint="eastAsia" w:ascii="宋体" w:hAnsi="宋体" w:eastAsia="宋体" w:cs="宋体"/>
          <w:color w:val="auto"/>
          <w:highlight w:val="none"/>
          <w:u w:val="single"/>
        </w:rPr>
        <w:t xml:space="preserve"> </w:t>
      </w:r>
      <w:r>
        <w:rPr>
          <w:rStyle w:val="31"/>
          <w:rFonts w:hint="eastAsia" w:ascii="宋体" w:hAnsi="宋体" w:eastAsia="宋体" w:cs="宋体"/>
          <w:color w:val="auto"/>
          <w:highlight w:val="none"/>
          <w:u w:val="single"/>
          <w:lang w:val="en-US" w:eastAsia="zh-CN"/>
        </w:rPr>
        <w:t>/</w:t>
      </w:r>
      <w:r>
        <w:rPr>
          <w:rStyle w:val="31"/>
          <w:rFonts w:hint="eastAsia" w:ascii="宋体" w:hAnsi="宋体" w:eastAsia="宋体" w:cs="宋体"/>
          <w:color w:val="auto"/>
          <w:highlight w:val="none"/>
          <w:u w:val="single"/>
        </w:rPr>
        <w:t xml:space="preserve">  </w:t>
      </w:r>
      <w:r>
        <w:rPr>
          <w:rStyle w:val="31"/>
          <w:rFonts w:hint="eastAsia" w:ascii="宋体" w:hAnsi="宋体" w:eastAsia="宋体" w:cs="宋体"/>
          <w:color w:val="auto"/>
          <w:highlight w:val="none"/>
        </w:rPr>
        <w:t>； 发包人负责补偿的范围与金额：</w:t>
      </w:r>
      <w:r>
        <w:rPr>
          <w:rStyle w:val="31"/>
          <w:rFonts w:hint="eastAsia" w:ascii="宋体" w:hAnsi="宋体" w:eastAsia="宋体" w:cs="宋体"/>
          <w:color w:val="auto"/>
          <w:highlight w:val="none"/>
          <w:u w:val="single"/>
        </w:rPr>
        <w:t xml:space="preserve"> </w:t>
      </w:r>
      <w:r>
        <w:rPr>
          <w:rStyle w:val="31"/>
          <w:rFonts w:hint="eastAsia" w:ascii="宋体" w:hAnsi="宋体" w:eastAsia="宋体" w:cs="宋体"/>
          <w:color w:val="auto"/>
          <w:highlight w:val="none"/>
          <w:u w:val="single"/>
          <w:lang w:val="en-US" w:eastAsia="zh-CN"/>
        </w:rPr>
        <w:t>/</w:t>
      </w:r>
      <w:r>
        <w:rPr>
          <w:rStyle w:val="31"/>
          <w:rFonts w:hint="eastAsia" w:ascii="宋体" w:hAnsi="宋体" w:eastAsia="宋体" w:cs="宋体"/>
          <w:color w:val="auto"/>
          <w:highlight w:val="none"/>
          <w:u w:val="single"/>
        </w:rPr>
        <w:t xml:space="preserve"> </w:t>
      </w:r>
      <w:r>
        <w:rPr>
          <w:rStyle w:val="31"/>
          <w:rFonts w:hint="eastAsia" w:ascii="宋体" w:hAnsi="宋体" w:eastAsia="宋体" w:cs="宋体"/>
          <w:color w:val="auto"/>
          <w:highlight w:val="none"/>
          <w:lang w:val="en-US" w:bidi="en-US"/>
        </w:rPr>
        <w:t>。</w:t>
      </w:r>
    </w:p>
    <w:p w14:paraId="3F5AC38C">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highlight w:val="none"/>
          <w:lang w:eastAsia="zh-CN"/>
        </w:rPr>
      </w:pPr>
      <w:bookmarkStart w:id="1827" w:name="bookmark1854"/>
      <w:bookmarkEnd w:id="1827"/>
      <w:bookmarkStart w:id="1828" w:name="_Toc256000325"/>
      <w:bookmarkStart w:id="1829" w:name="_Toc256000248"/>
      <w:bookmarkStart w:id="1830" w:name="_Toc31045"/>
      <w:bookmarkStart w:id="1831" w:name="_Toc5988"/>
      <w:bookmarkStart w:id="1832" w:name="_Toc13643"/>
      <w:bookmarkStart w:id="1833" w:name="bookmark1855"/>
      <w:bookmarkStart w:id="1834" w:name="bookmark1852"/>
      <w:bookmarkStart w:id="1835" w:name="bookmark1853"/>
      <w:r>
        <w:rPr>
          <w:rStyle w:val="31"/>
          <w:rFonts w:hint="eastAsia" w:ascii="宋体" w:hAnsi="宋体" w:eastAsia="宋体" w:cs="宋体"/>
          <w:color w:val="auto"/>
          <w:highlight w:val="none"/>
          <w:lang w:eastAsia="zh-CN"/>
        </w:rPr>
        <w:t>21. 不可抗力</w:t>
      </w:r>
      <w:bookmarkEnd w:id="1828"/>
      <w:bookmarkEnd w:id="1829"/>
      <w:bookmarkEnd w:id="1830"/>
      <w:bookmarkEnd w:id="1831"/>
      <w:bookmarkEnd w:id="1832"/>
      <w:bookmarkEnd w:id="1833"/>
    </w:p>
    <w:p w14:paraId="6679226E">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836" w:name="bookmark1856"/>
      <w:bookmarkStart w:id="1837" w:name="_Toc256000326"/>
      <w:bookmarkStart w:id="1838" w:name="_Toc256000249"/>
      <w:r>
        <w:rPr>
          <w:rStyle w:val="31"/>
          <w:rFonts w:hint="eastAsia" w:ascii="宋体" w:hAnsi="宋体" w:eastAsia="宋体" w:cs="宋体"/>
          <w:color w:val="auto"/>
          <w:sz w:val="24"/>
          <w:szCs w:val="24"/>
          <w:highlight w:val="none"/>
          <w:lang w:eastAsia="zh-CN" w:bidi="en-US"/>
        </w:rPr>
        <w:t>21.1不可抗力的确认</w:t>
      </w:r>
      <w:bookmarkEnd w:id="1834"/>
      <w:bookmarkEnd w:id="1835"/>
      <w:bookmarkEnd w:id="1836"/>
      <w:bookmarkEnd w:id="1837"/>
      <w:bookmarkEnd w:id="1838"/>
    </w:p>
    <w:p w14:paraId="56432A55">
      <w:pPr>
        <w:pStyle w:val="101"/>
        <w:pageBreakBefore w:val="0"/>
        <w:widowControl w:val="0"/>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lang w:val="en-US" w:bidi="en-US"/>
        </w:rPr>
        <w:t>21.1.1</w:t>
      </w:r>
      <w:r>
        <w:rPr>
          <w:rStyle w:val="31"/>
          <w:rFonts w:hint="eastAsia" w:ascii="宋体" w:hAnsi="宋体" w:eastAsia="宋体" w:cs="宋体"/>
          <w:color w:val="auto"/>
          <w:highlight w:val="none"/>
        </w:rPr>
        <w:t>不可抗力是指承包人和发包人在订立合同时不可预见，在工程施工过程中不可避免发生并不能克服的自然灾害和社会性突发事件，如地震、海啸、瘟疫、水灾、骚乱、 暴动、战争和本合同专用合同条款第</w:t>
      </w:r>
      <w:r>
        <w:rPr>
          <w:rStyle w:val="31"/>
          <w:rFonts w:hint="eastAsia" w:ascii="宋体" w:hAnsi="宋体" w:eastAsia="宋体" w:cs="宋体"/>
          <w:color w:val="auto"/>
          <w:highlight w:val="none"/>
          <w:lang w:val="en-US" w:bidi="en-US"/>
        </w:rPr>
        <w:t xml:space="preserve">11. </w:t>
      </w:r>
      <w:r>
        <w:rPr>
          <w:rStyle w:val="31"/>
          <w:rFonts w:hint="eastAsia" w:ascii="宋体" w:hAnsi="宋体" w:eastAsia="宋体" w:cs="宋体"/>
          <w:color w:val="auto"/>
          <w:highlight w:val="none"/>
        </w:rPr>
        <w:t>4款的约定。</w:t>
      </w:r>
    </w:p>
    <w:p w14:paraId="75D6F7AB">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highlight w:val="none"/>
          <w:lang w:eastAsia="zh-CN"/>
        </w:rPr>
      </w:pPr>
      <w:bookmarkStart w:id="1839" w:name="bookmark1857"/>
      <w:bookmarkStart w:id="1840" w:name="bookmark1858"/>
      <w:bookmarkStart w:id="1841" w:name="_Toc23719"/>
      <w:bookmarkStart w:id="1842" w:name="_Toc2281"/>
      <w:bookmarkStart w:id="1843" w:name="_Toc256000327"/>
      <w:bookmarkStart w:id="1844" w:name="bookmark1859"/>
      <w:bookmarkStart w:id="1845" w:name="_Toc17737"/>
      <w:bookmarkStart w:id="1846" w:name="_Toc256000250"/>
      <w:r>
        <w:rPr>
          <w:rStyle w:val="31"/>
          <w:rFonts w:hint="eastAsia" w:ascii="宋体" w:hAnsi="宋体" w:eastAsia="宋体" w:cs="宋体"/>
          <w:color w:val="auto"/>
          <w:highlight w:val="none"/>
          <w:lang w:eastAsia="zh-CN"/>
        </w:rPr>
        <w:t>24. 争议的解决</w:t>
      </w:r>
      <w:bookmarkEnd w:id="1839"/>
      <w:bookmarkEnd w:id="1840"/>
      <w:bookmarkEnd w:id="1841"/>
      <w:bookmarkEnd w:id="1842"/>
      <w:bookmarkEnd w:id="1843"/>
      <w:bookmarkEnd w:id="1844"/>
      <w:bookmarkEnd w:id="1845"/>
      <w:bookmarkEnd w:id="1846"/>
    </w:p>
    <w:p w14:paraId="706336B0">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847" w:name="_Toc256000251"/>
      <w:bookmarkStart w:id="1848" w:name="bookmark1861"/>
      <w:bookmarkStart w:id="1849" w:name="bookmark1860"/>
      <w:bookmarkStart w:id="1850" w:name="bookmark1862"/>
      <w:bookmarkStart w:id="1851" w:name="_Toc256000328"/>
      <w:r>
        <w:rPr>
          <w:rStyle w:val="31"/>
          <w:rFonts w:hint="eastAsia" w:ascii="宋体" w:hAnsi="宋体" w:eastAsia="宋体" w:cs="宋体"/>
          <w:color w:val="auto"/>
          <w:sz w:val="24"/>
          <w:szCs w:val="24"/>
          <w:highlight w:val="none"/>
          <w:lang w:eastAsia="zh-CN" w:bidi="en-US"/>
        </w:rPr>
        <w:t>24.1争议的解决方式</w:t>
      </w:r>
      <w:bookmarkEnd w:id="1847"/>
      <w:bookmarkEnd w:id="1848"/>
      <w:bookmarkEnd w:id="1849"/>
      <w:bookmarkEnd w:id="1850"/>
      <w:bookmarkEnd w:id="1851"/>
    </w:p>
    <w:p w14:paraId="11C349DC">
      <w:pPr>
        <w:pStyle w:val="101"/>
        <w:pageBreakBefore w:val="0"/>
        <w:widowControl w:val="0"/>
        <w:tabs>
          <w:tab w:val="left" w:pos="8198"/>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合同当事人友好协商解决不成、不愿提请争议评审或不接受争议评审组意见的，约定的合同争议解决方式：</w:t>
      </w:r>
      <w:r>
        <w:rPr>
          <w:rStyle w:val="31"/>
          <w:rFonts w:hint="eastAsia" w:ascii="宋体" w:hAnsi="宋体" w:eastAsia="宋体" w:cs="宋体"/>
          <w:color w:val="auto"/>
          <w:highlight w:val="none"/>
          <w:u w:val="single"/>
        </w:rPr>
        <w:t>向工程所在地人民法院提起诉讼</w:t>
      </w:r>
      <w:r>
        <w:rPr>
          <w:rStyle w:val="31"/>
          <w:rFonts w:hint="eastAsia" w:ascii="宋体" w:hAnsi="宋体" w:eastAsia="宋体" w:cs="宋体"/>
          <w:color w:val="auto"/>
          <w:highlight w:val="none"/>
          <w:lang w:val="en-US" w:bidi="en-US"/>
        </w:rPr>
        <w:t>。</w:t>
      </w:r>
    </w:p>
    <w:p w14:paraId="2BE9782A">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highlight w:val="none"/>
          <w:lang w:eastAsia="zh-CN"/>
        </w:rPr>
      </w:pPr>
      <w:bookmarkStart w:id="1852" w:name="_Toc26089"/>
      <w:bookmarkStart w:id="1853" w:name="_Toc30466"/>
      <w:bookmarkStart w:id="1854" w:name="bookmark1865"/>
      <w:bookmarkStart w:id="1855" w:name="_Toc256000329"/>
      <w:bookmarkStart w:id="1856" w:name="bookmark1863"/>
      <w:bookmarkStart w:id="1857" w:name="_Toc256000252"/>
      <w:bookmarkStart w:id="1858" w:name="_Toc11294"/>
      <w:bookmarkStart w:id="1859" w:name="bookmark1864"/>
      <w:r>
        <w:rPr>
          <w:rStyle w:val="31"/>
          <w:rFonts w:hint="eastAsia" w:ascii="宋体" w:hAnsi="宋体" w:eastAsia="宋体" w:cs="宋体"/>
          <w:color w:val="auto"/>
          <w:highlight w:val="none"/>
          <w:lang w:eastAsia="zh-CN"/>
        </w:rPr>
        <w:t>25. 附加条款</w:t>
      </w:r>
      <w:bookmarkEnd w:id="1852"/>
      <w:bookmarkEnd w:id="1853"/>
      <w:bookmarkEnd w:id="1854"/>
      <w:bookmarkEnd w:id="1855"/>
      <w:bookmarkEnd w:id="1856"/>
      <w:bookmarkEnd w:id="1857"/>
      <w:bookmarkEnd w:id="1858"/>
      <w:bookmarkEnd w:id="1859"/>
    </w:p>
    <w:p w14:paraId="6BD8E555">
      <w:pPr>
        <w:pStyle w:val="99"/>
        <w:pageBreakBefore w:val="0"/>
        <w:widowControl w:val="0"/>
        <w:kinsoku/>
        <w:wordWrap/>
        <w:overflowPunct/>
        <w:topLinePunct w:val="0"/>
        <w:autoSpaceDE/>
        <w:autoSpaceDN/>
        <w:bidi w:val="0"/>
        <w:adjustRightInd/>
        <w:snapToGrid/>
        <w:spacing w:before="0" w:beforeLines="0" w:after="0" w:afterLines="0" w:line="440" w:lineRule="exact"/>
        <w:ind w:left="0" w:leftChars="0"/>
        <w:textAlignment w:val="auto"/>
        <w:rPr>
          <w:rStyle w:val="31"/>
          <w:rFonts w:hint="eastAsia" w:ascii="宋体" w:hAnsi="宋体" w:eastAsia="宋体" w:cs="宋体"/>
          <w:color w:val="auto"/>
          <w:sz w:val="24"/>
          <w:szCs w:val="24"/>
          <w:highlight w:val="none"/>
          <w:lang w:eastAsia="zh-CN" w:bidi="en-US"/>
        </w:rPr>
      </w:pPr>
      <w:bookmarkStart w:id="1860" w:name="bookmark1866"/>
      <w:bookmarkStart w:id="1861" w:name="bookmark1867"/>
      <w:bookmarkStart w:id="1862" w:name="_Toc256000253"/>
      <w:bookmarkStart w:id="1863" w:name="_Toc256000330"/>
      <w:bookmarkStart w:id="1864" w:name="bookmark1868"/>
      <w:r>
        <w:rPr>
          <w:rStyle w:val="31"/>
          <w:rFonts w:hint="eastAsia" w:ascii="宋体" w:hAnsi="宋体" w:eastAsia="宋体" w:cs="宋体"/>
          <w:color w:val="auto"/>
          <w:sz w:val="24"/>
          <w:szCs w:val="24"/>
          <w:highlight w:val="none"/>
          <w:lang w:eastAsia="zh-CN" w:bidi="en-US"/>
        </w:rPr>
        <w:t>25.1对承包人的要求</w:t>
      </w:r>
      <w:bookmarkEnd w:id="1860"/>
      <w:bookmarkEnd w:id="1861"/>
      <w:bookmarkEnd w:id="1862"/>
      <w:bookmarkEnd w:id="1863"/>
      <w:bookmarkEnd w:id="1864"/>
    </w:p>
    <w:p w14:paraId="4A09E722">
      <w:pPr>
        <w:pStyle w:val="101"/>
        <w:pageBreakBefore w:val="0"/>
        <w:widowControl w:val="0"/>
        <w:numPr>
          <w:ilvl w:val="0"/>
          <w:numId w:val="47"/>
        </w:numPr>
        <w:tabs>
          <w:tab w:val="left" w:pos="707"/>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865" w:name="bookmark1869"/>
      <w:bookmarkEnd w:id="1865"/>
      <w:r>
        <w:rPr>
          <w:rStyle w:val="31"/>
          <w:rFonts w:hint="eastAsia" w:ascii="宋体" w:hAnsi="宋体" w:eastAsia="宋体" w:cs="宋体"/>
          <w:color w:val="auto"/>
          <w:highlight w:val="none"/>
        </w:rPr>
        <w:t>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 使用承包人设备、临时工程和材料，另行组织人员或委托其他承包人施工，但发包人的这一行为不免除承包人按合同规定应负的责任。</w:t>
      </w:r>
    </w:p>
    <w:p w14:paraId="70771B69">
      <w:pPr>
        <w:pStyle w:val="101"/>
        <w:pageBreakBefore w:val="0"/>
        <w:widowControl w:val="0"/>
        <w:numPr>
          <w:ilvl w:val="0"/>
          <w:numId w:val="47"/>
        </w:numPr>
        <w:tabs>
          <w:tab w:val="left" w:pos="707"/>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866" w:name="bookmark1870"/>
      <w:bookmarkEnd w:id="1866"/>
      <w:r>
        <w:rPr>
          <w:rStyle w:val="31"/>
          <w:rFonts w:hint="eastAsia" w:ascii="宋体" w:hAnsi="宋体" w:eastAsia="宋体" w:cs="宋体"/>
          <w:color w:val="auto"/>
          <w:highlight w:val="none"/>
        </w:rPr>
        <w:t>遵守国务院《建设工程质量管理条例》，根据水利部、自治区和水利厅的有关质量管理规定，建立健全质量管理机构，结合工程实际制定完善的可操作性强的质量管理制度，施工质量等级达到合同约定等级。</w:t>
      </w:r>
    </w:p>
    <w:p w14:paraId="334C2920">
      <w:pPr>
        <w:pStyle w:val="101"/>
        <w:pageBreakBefore w:val="0"/>
        <w:widowControl w:val="0"/>
        <w:numPr>
          <w:ilvl w:val="0"/>
          <w:numId w:val="47"/>
        </w:numPr>
        <w:tabs>
          <w:tab w:val="left" w:pos="707"/>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867" w:name="bookmark1871"/>
      <w:bookmarkEnd w:id="1867"/>
      <w:r>
        <w:rPr>
          <w:rStyle w:val="31"/>
          <w:rFonts w:hint="eastAsia" w:ascii="宋体" w:hAnsi="宋体" w:eastAsia="宋体" w:cs="宋体"/>
          <w:color w:val="auto"/>
          <w:highlight w:val="none"/>
        </w:rPr>
        <w:t>按国家《中华人民共和国生产安全法》、《建设工程安全生产管理条例》、自治区安全生产法规和水利水电工程施工安全操作规程的规定建立健全安全管理机构和安全管理制度，采取安全施工保障措施保障工程施工安全。</w:t>
      </w:r>
    </w:p>
    <w:p w14:paraId="20BA4797">
      <w:pPr>
        <w:pStyle w:val="101"/>
        <w:pageBreakBefore w:val="0"/>
        <w:widowControl w:val="0"/>
        <w:numPr>
          <w:ilvl w:val="0"/>
          <w:numId w:val="47"/>
        </w:numPr>
        <w:tabs>
          <w:tab w:val="left" w:pos="705"/>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868" w:name="bookmark1872"/>
      <w:bookmarkEnd w:id="1868"/>
      <w:r>
        <w:rPr>
          <w:rStyle w:val="31"/>
          <w:rFonts w:hint="eastAsia" w:ascii="宋体" w:hAnsi="宋体" w:eastAsia="宋体" w:cs="宋体"/>
          <w:color w:val="auto"/>
          <w:highlight w:val="none"/>
        </w:rPr>
        <w:t>按有关施工规程规范及本招标文件技术条款进行组织施工并实施施工过程和移交前工程保护措施。</w:t>
      </w:r>
    </w:p>
    <w:p w14:paraId="0AD4F950">
      <w:pPr>
        <w:pStyle w:val="101"/>
        <w:pageBreakBefore w:val="0"/>
        <w:widowControl w:val="0"/>
        <w:numPr>
          <w:ilvl w:val="0"/>
          <w:numId w:val="47"/>
        </w:numPr>
        <w:tabs>
          <w:tab w:val="left" w:pos="710"/>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869" w:name="bookmark1873"/>
      <w:bookmarkEnd w:id="1869"/>
      <w:r>
        <w:rPr>
          <w:rStyle w:val="31"/>
          <w:rFonts w:hint="eastAsia" w:ascii="宋体" w:hAnsi="宋体" w:eastAsia="宋体" w:cs="宋体"/>
          <w:color w:val="auto"/>
          <w:highlight w:val="none"/>
        </w:rPr>
        <w:t>承包人违约有以下情况之一者，发包人有权采取合同规定的以下措施处理，并视情节轻重处予违约金。</w:t>
      </w:r>
    </w:p>
    <w:p w14:paraId="031051FB">
      <w:pPr>
        <w:pStyle w:val="101"/>
        <w:pageBreakBefore w:val="0"/>
        <w:widowControl w:val="0"/>
        <w:numPr>
          <w:ilvl w:val="0"/>
          <w:numId w:val="48"/>
        </w:numPr>
        <w:tabs>
          <w:tab w:val="left" w:pos="883"/>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870" w:name="bookmark1874"/>
      <w:bookmarkEnd w:id="1870"/>
      <w:r>
        <w:rPr>
          <w:rStyle w:val="31"/>
          <w:rFonts w:hint="eastAsia" w:ascii="宋体" w:hAnsi="宋体" w:eastAsia="宋体" w:cs="宋体"/>
          <w:color w:val="auto"/>
          <w:highlight w:val="none"/>
        </w:rPr>
        <w:t>未经发包人批准，施工期内承包人调走主要施工技术人员(包括建造师、专业工程师)，经发现不及时调回的，违约金额为履约保证金金额的5% ~20% (视情节严重而 定)</w:t>
      </w:r>
      <w:r>
        <w:rPr>
          <w:rStyle w:val="31"/>
          <w:rFonts w:hint="eastAsia" w:ascii="宋体" w:hAnsi="宋体" w:eastAsia="宋体" w:cs="宋体"/>
          <w:color w:val="auto"/>
          <w:highlight w:val="none"/>
          <w:lang w:val="en-US" w:bidi="en-US"/>
        </w:rPr>
        <w:t>。</w:t>
      </w:r>
    </w:p>
    <w:p w14:paraId="7DD17C07">
      <w:pPr>
        <w:pStyle w:val="101"/>
        <w:pageBreakBefore w:val="0"/>
        <w:widowControl w:val="0"/>
        <w:numPr>
          <w:ilvl w:val="0"/>
          <w:numId w:val="48"/>
        </w:numPr>
        <w:tabs>
          <w:tab w:val="left" w:pos="880"/>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871" w:name="bookmark1875"/>
      <w:bookmarkEnd w:id="1871"/>
      <w:r>
        <w:rPr>
          <w:rStyle w:val="31"/>
          <w:rFonts w:hint="eastAsia" w:ascii="宋体" w:hAnsi="宋体" w:eastAsia="宋体" w:cs="宋体"/>
          <w:color w:val="auto"/>
          <w:highlight w:val="none"/>
        </w:rPr>
        <w:t>未经发包人批准，施工期内自行调走主要施工机械，经发现不及时调回的，违约金额为履约保证金金额的5% ~ 20% (视情节严重而定)</w:t>
      </w:r>
      <w:r>
        <w:rPr>
          <w:rStyle w:val="31"/>
          <w:rFonts w:hint="eastAsia" w:ascii="宋体" w:hAnsi="宋体" w:eastAsia="宋体" w:cs="宋体"/>
          <w:color w:val="auto"/>
          <w:highlight w:val="none"/>
          <w:lang w:val="en-US" w:bidi="en-US"/>
        </w:rPr>
        <w:t>。</w:t>
      </w:r>
    </w:p>
    <w:p w14:paraId="653F74D5">
      <w:pPr>
        <w:pStyle w:val="101"/>
        <w:pageBreakBefore w:val="0"/>
        <w:widowControl w:val="0"/>
        <w:numPr>
          <w:ilvl w:val="0"/>
          <w:numId w:val="48"/>
        </w:numPr>
        <w:tabs>
          <w:tab w:val="left" w:pos="883"/>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872" w:name="bookmark1876"/>
      <w:bookmarkEnd w:id="1872"/>
      <w:r>
        <w:rPr>
          <w:rStyle w:val="31"/>
          <w:rFonts w:hint="eastAsia" w:ascii="宋体" w:hAnsi="宋体" w:eastAsia="宋体" w:cs="宋体"/>
          <w:color w:val="auto"/>
          <w:highlight w:val="none"/>
        </w:rPr>
        <w:t>所有以上违约金额均在承包人的履约保证金(包括银行利息)及计量支付款内扣 除，承包人履约保证金被扣除后，由发包人从最后一次计量支付时扣相应金额补足履约保证金。</w:t>
      </w:r>
    </w:p>
    <w:p w14:paraId="0753E2B0">
      <w:pPr>
        <w:pStyle w:val="101"/>
        <w:pageBreakBefore w:val="0"/>
        <w:widowControl w:val="0"/>
        <w:numPr>
          <w:ilvl w:val="0"/>
          <w:numId w:val="48"/>
        </w:numPr>
        <w:tabs>
          <w:tab w:val="left" w:pos="885"/>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873" w:name="bookmark1877"/>
      <w:bookmarkEnd w:id="1873"/>
      <w:r>
        <w:rPr>
          <w:rStyle w:val="31"/>
          <w:rFonts w:hint="eastAsia" w:ascii="宋体" w:hAnsi="宋体" w:eastAsia="宋体" w:cs="宋体"/>
          <w:color w:val="auto"/>
          <w:highlight w:val="none"/>
        </w:rPr>
        <w:t>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 械、材料和劳动力不能满足施工进度要求，有权指令承包人增加机械、材料和劳动力投入, 承包人不得拒绝。</w:t>
      </w:r>
    </w:p>
    <w:p w14:paraId="2CE4A2D3">
      <w:pPr>
        <w:pStyle w:val="101"/>
        <w:pageBreakBefore w:val="0"/>
        <w:widowControl w:val="0"/>
        <w:numPr>
          <w:ilvl w:val="0"/>
          <w:numId w:val="48"/>
        </w:numPr>
        <w:tabs>
          <w:tab w:val="left" w:pos="883"/>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874" w:name="bookmark1878"/>
      <w:bookmarkEnd w:id="1874"/>
      <w:r>
        <w:rPr>
          <w:rStyle w:val="31"/>
          <w:rFonts w:hint="eastAsia" w:ascii="宋体" w:hAnsi="宋体" w:eastAsia="宋体" w:cs="宋体"/>
          <w:color w:val="auto"/>
          <w:highlight w:val="none"/>
        </w:rPr>
        <w:t>合同签订之日起15日内，承包人无法按合同规定进场全部人员和机械时，作为承包人违约，发包人可解除合同，没收其全部履约保证金，另行发包工程。</w:t>
      </w:r>
    </w:p>
    <w:p w14:paraId="36A59936">
      <w:pPr>
        <w:pStyle w:val="101"/>
        <w:pageBreakBefore w:val="0"/>
        <w:widowControl w:val="0"/>
        <w:numPr>
          <w:ilvl w:val="0"/>
          <w:numId w:val="48"/>
        </w:numPr>
        <w:tabs>
          <w:tab w:val="left" w:pos="880"/>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875" w:name="bookmark1879"/>
      <w:bookmarkEnd w:id="1875"/>
      <w:r>
        <w:rPr>
          <w:rStyle w:val="31"/>
          <w:rFonts w:hint="eastAsia" w:ascii="宋体" w:hAnsi="宋体" w:eastAsia="宋体" w:cs="宋体"/>
          <w:color w:val="auto"/>
          <w:highlight w:val="none"/>
        </w:rPr>
        <w:t>合同履行过程中，承包人未按规定要求落实安全生产措施费用专款专用，挪用、 扣减安全生产措施费用，且不服从发包人或监理人的安全生产管理，发包人有权对违反安 全生产相关规定的行为处以罚款直至终止合同。</w:t>
      </w:r>
    </w:p>
    <w:p w14:paraId="5CCADE07">
      <w:pPr>
        <w:pStyle w:val="101"/>
        <w:pageBreakBefore w:val="0"/>
        <w:widowControl w:val="0"/>
        <w:numPr>
          <w:ilvl w:val="0"/>
          <w:numId w:val="47"/>
        </w:numPr>
        <w:tabs>
          <w:tab w:val="left" w:pos="739"/>
        </w:tabs>
        <w:kinsoku/>
        <w:wordWrap/>
        <w:overflowPunct/>
        <w:topLinePunct w:val="0"/>
        <w:autoSpaceDE/>
        <w:autoSpaceDN/>
        <w:bidi w:val="0"/>
        <w:adjustRightInd/>
        <w:snapToGrid/>
        <w:spacing w:line="440" w:lineRule="exact"/>
        <w:ind w:left="0" w:leftChars="0" w:firstLine="440"/>
        <w:jc w:val="both"/>
        <w:textAlignment w:val="auto"/>
        <w:rPr>
          <w:rStyle w:val="31"/>
          <w:rFonts w:hint="eastAsia" w:ascii="宋体" w:hAnsi="宋体" w:eastAsia="宋体" w:cs="宋体"/>
          <w:color w:val="auto"/>
          <w:highlight w:val="none"/>
        </w:rPr>
      </w:pPr>
      <w:bookmarkStart w:id="1876" w:name="bookmark1880"/>
      <w:bookmarkEnd w:id="1876"/>
      <w:r>
        <w:rPr>
          <w:rStyle w:val="31"/>
          <w:rFonts w:hint="eastAsia" w:ascii="宋体" w:hAnsi="宋体" w:eastAsia="宋体" w:cs="宋体"/>
          <w:color w:val="auto"/>
          <w:highlight w:val="none"/>
        </w:rPr>
        <w:t>承包人生活设施及施工场地，应自费配备消防设备，防止火灾发生。</w:t>
      </w:r>
    </w:p>
    <w:p w14:paraId="7B4D7FF1">
      <w:pPr>
        <w:pStyle w:val="101"/>
        <w:pageBreakBefore w:val="0"/>
        <w:widowControl w:val="0"/>
        <w:numPr>
          <w:ilvl w:val="0"/>
          <w:numId w:val="47"/>
        </w:numPr>
        <w:tabs>
          <w:tab w:val="left" w:pos="719"/>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highlight w:val="none"/>
        </w:rPr>
      </w:pPr>
      <w:bookmarkStart w:id="1877" w:name="bookmark1881"/>
      <w:bookmarkEnd w:id="1877"/>
      <w:r>
        <w:rPr>
          <w:rStyle w:val="31"/>
          <w:rFonts w:hint="eastAsia" w:ascii="宋体" w:hAnsi="宋体" w:eastAsia="宋体" w:cs="宋体"/>
          <w:color w:val="auto"/>
          <w:highlight w:val="none"/>
        </w:rPr>
        <w:t>承包人使用的劳动力均应进行保险，否则不准安排工作，禁止使用童工。</w:t>
      </w:r>
    </w:p>
    <w:p w14:paraId="0FDC3446">
      <w:pPr>
        <w:pStyle w:val="101"/>
        <w:pageBreakBefore w:val="0"/>
        <w:widowControl w:val="0"/>
        <w:tabs>
          <w:tab w:val="left" w:pos="880"/>
        </w:tabs>
        <w:kinsoku/>
        <w:wordWrap/>
        <w:overflowPunct/>
        <w:topLinePunct w:val="0"/>
        <w:autoSpaceDE/>
        <w:autoSpaceDN/>
        <w:bidi w:val="0"/>
        <w:adjustRightInd/>
        <w:snapToGrid/>
        <w:spacing w:line="440" w:lineRule="exact"/>
        <w:ind w:left="0" w:leftChars="0" w:firstLine="426" w:firstLineChars="213"/>
        <w:jc w:val="both"/>
        <w:textAlignment w:val="auto"/>
        <w:rPr>
          <w:rStyle w:val="31"/>
          <w:rFonts w:hint="eastAsia" w:ascii="宋体" w:hAnsi="宋体" w:eastAsia="宋体" w:cs="宋体"/>
          <w:color w:val="auto"/>
          <w:highlight w:val="none"/>
        </w:rPr>
      </w:pPr>
      <w:r>
        <w:rPr>
          <w:rStyle w:val="31"/>
          <w:rFonts w:hint="eastAsia" w:ascii="宋体" w:hAnsi="宋体" w:eastAsia="宋体" w:cs="宋体"/>
          <w:color w:val="auto"/>
          <w:highlight w:val="none"/>
        </w:rPr>
        <w:t>8. 凡招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790325FE">
      <w:pPr>
        <w:pStyle w:val="101"/>
        <w:pageBreakBefore w:val="0"/>
        <w:widowControl w:val="0"/>
        <w:tabs>
          <w:tab w:val="left" w:pos="734"/>
        </w:tabs>
        <w:kinsoku/>
        <w:wordWrap/>
        <w:overflowPunct/>
        <w:topLinePunct w:val="0"/>
        <w:autoSpaceDE/>
        <w:autoSpaceDN/>
        <w:bidi w:val="0"/>
        <w:adjustRightInd/>
        <w:snapToGrid/>
        <w:spacing w:line="440" w:lineRule="exact"/>
        <w:ind w:left="0" w:leftChars="0" w:firstLine="400" w:firstLineChars="200"/>
        <w:jc w:val="both"/>
        <w:textAlignment w:val="auto"/>
        <w:rPr>
          <w:rStyle w:val="31"/>
          <w:rFonts w:hint="eastAsia" w:ascii="宋体" w:hAnsi="宋体" w:eastAsia="宋体" w:cs="宋体"/>
          <w:color w:val="auto"/>
          <w:highlight w:val="none"/>
        </w:rPr>
      </w:pPr>
      <w:bookmarkStart w:id="1878" w:name="bookmark1883"/>
      <w:bookmarkEnd w:id="1878"/>
      <w:r>
        <w:rPr>
          <w:rStyle w:val="31"/>
          <w:rFonts w:hint="eastAsia" w:ascii="宋体" w:hAnsi="宋体" w:eastAsia="宋体" w:cs="宋体"/>
          <w:color w:val="auto"/>
          <w:highlight w:val="none"/>
        </w:rPr>
        <w:t>9. 承包人未能按时完成当月合同进度计划70% 工程量的，发包人有权自行组织施工， 以不超过投标报价的2倍单价扣减承包人的进度款，支付自行组织施工完成的工程款。也 有权终止本合同并清退承包人，承包人须在10天内离场，否则发包人将强行撤出所有施工 设备，所造成的全部损失由承包人承担。</w:t>
      </w:r>
    </w:p>
    <w:p w14:paraId="15DE5F45">
      <w:pPr>
        <w:pStyle w:val="101"/>
        <w:pageBreakBefore w:val="0"/>
        <w:widowControl w:val="0"/>
        <w:tabs>
          <w:tab w:val="left" w:pos="801"/>
        </w:tabs>
        <w:kinsoku/>
        <w:wordWrap/>
        <w:overflowPunct/>
        <w:topLinePunct w:val="0"/>
        <w:autoSpaceDE/>
        <w:autoSpaceDN/>
        <w:bidi w:val="0"/>
        <w:adjustRightInd/>
        <w:snapToGrid/>
        <w:spacing w:line="440" w:lineRule="exact"/>
        <w:ind w:left="0" w:leftChars="0"/>
        <w:jc w:val="both"/>
        <w:textAlignment w:val="auto"/>
        <w:rPr>
          <w:rStyle w:val="31"/>
          <w:rFonts w:hint="eastAsia" w:ascii="宋体" w:hAnsi="宋体" w:eastAsia="宋体" w:cs="宋体"/>
          <w:color w:val="auto"/>
        </w:rPr>
      </w:pPr>
      <w:bookmarkStart w:id="1879" w:name="bookmark1884"/>
      <w:bookmarkEnd w:id="1879"/>
      <w:r>
        <w:rPr>
          <w:rStyle w:val="31"/>
          <w:rFonts w:hint="eastAsia" w:ascii="宋体" w:hAnsi="宋体" w:eastAsia="宋体" w:cs="宋体"/>
          <w:color w:val="auto"/>
          <w:highlight w:val="none"/>
        </w:rPr>
        <w:t>10. 有关主管部门及发包人检查发现问题时，承包人应按要求整改。在规定时间内不进 行整改或整改无效的，发包人有权终止本施工合同并清退承包人。承包人须在10天内离 场，否则发包人将强行撤出所有施工设备，所造成的全部损失由承包人承担。</w:t>
      </w:r>
    </w:p>
    <w:p w14:paraId="7E900983">
      <w:pPr>
        <w:pStyle w:val="100"/>
        <w:pageBreakBefore w:val="0"/>
        <w:widowControl w:val="0"/>
        <w:kinsoku/>
        <w:wordWrap/>
        <w:overflowPunct/>
        <w:topLinePunct w:val="0"/>
        <w:autoSpaceDE/>
        <w:autoSpaceDN/>
        <w:bidi w:val="0"/>
        <w:adjustRightInd/>
        <w:snapToGrid/>
        <w:spacing w:line="440" w:lineRule="exact"/>
        <w:ind w:left="0" w:leftChars="0" w:firstLine="400" w:firstLineChars="200"/>
        <w:textAlignment w:val="auto"/>
        <w:rPr>
          <w:rStyle w:val="31"/>
          <w:rFonts w:hint="eastAsia" w:ascii="宋体" w:hAnsi="宋体" w:eastAsia="宋体" w:cs="宋体"/>
          <w:color w:val="auto"/>
          <w:sz w:val="20"/>
          <w:szCs w:val="20"/>
          <w:lang w:val="zh-CN" w:eastAsia="zh-CN" w:bidi="zh-CN"/>
        </w:rPr>
      </w:pPr>
      <w:bookmarkStart w:id="1880" w:name="bookmark1887"/>
      <w:bookmarkStart w:id="1881" w:name="bookmark1886"/>
      <w:bookmarkStart w:id="1882" w:name="bookmark1885"/>
      <w:r>
        <w:rPr>
          <w:rStyle w:val="31"/>
          <w:rFonts w:hint="eastAsia" w:ascii="宋体" w:hAnsi="宋体" w:eastAsia="宋体" w:cs="宋体"/>
          <w:color w:val="auto"/>
          <w:sz w:val="20"/>
          <w:szCs w:val="20"/>
          <w:lang w:val="zh-CN" w:eastAsia="zh-CN" w:bidi="zh-CN"/>
        </w:rPr>
        <w:t>25.2发包人所</w:t>
      </w:r>
      <w:r>
        <w:rPr>
          <w:rStyle w:val="31"/>
          <w:rFonts w:hint="eastAsia" w:ascii="宋体" w:hAnsi="宋体" w:eastAsia="宋体" w:cs="宋体"/>
          <w:color w:val="auto"/>
          <w:sz w:val="20"/>
          <w:szCs w:val="20"/>
          <w:lang w:val="zh-CN" w:eastAsia="zh-CN" w:bidi="zh-CN"/>
        </w:rPr>
        <w:t>有付款（含预付款）均转入如下承包人单位基本账户</w:t>
      </w:r>
      <w:r>
        <w:rPr>
          <w:rStyle w:val="31"/>
          <w:rFonts w:hint="eastAsia" w:ascii="宋体" w:hAnsi="宋体" w:eastAsia="宋体" w:cs="宋体"/>
          <w:color w:val="auto"/>
          <w:sz w:val="20"/>
          <w:szCs w:val="20"/>
          <w:lang w:val="zh-CN" w:eastAsia="zh-CN" w:bidi="zh-CN"/>
        </w:rPr>
        <w:tab/>
      </w:r>
      <w:r>
        <w:rPr>
          <w:rStyle w:val="31"/>
          <w:rFonts w:hint="eastAsia" w:ascii="宋体" w:hAnsi="宋体" w:eastAsia="宋体" w:cs="宋体"/>
          <w:color w:val="auto"/>
          <w:sz w:val="20"/>
          <w:szCs w:val="20"/>
          <w:lang w:val="zh-CN" w:eastAsia="zh-CN" w:bidi="zh-CN"/>
        </w:rPr>
        <w:t>（签订施工合同时标明），承包人单位基本账户发生改变时，承包人应书面通知 （法定代表人签字并加盖单位电子公章）发包人。</w:t>
      </w:r>
      <w:bookmarkEnd w:id="1880"/>
      <w:bookmarkEnd w:id="1881"/>
      <w:bookmarkEnd w:id="1882"/>
    </w:p>
    <w:p w14:paraId="1C1023FD">
      <w:pPr>
        <w:pStyle w:val="100"/>
        <w:pageBreakBefore w:val="0"/>
        <w:widowControl w:val="0"/>
        <w:kinsoku/>
        <w:wordWrap/>
        <w:overflowPunct/>
        <w:topLinePunct w:val="0"/>
        <w:autoSpaceDE/>
        <w:autoSpaceDN/>
        <w:bidi w:val="0"/>
        <w:adjustRightInd/>
        <w:snapToGrid/>
        <w:spacing w:line="440" w:lineRule="exact"/>
        <w:ind w:left="0" w:leftChars="0" w:firstLine="400" w:firstLineChars="200"/>
        <w:textAlignment w:val="auto"/>
        <w:rPr>
          <w:rStyle w:val="31"/>
          <w:rFonts w:hint="eastAsia" w:ascii="宋体" w:hAnsi="宋体" w:eastAsia="宋体" w:cs="宋体"/>
          <w:color w:val="auto"/>
          <w:sz w:val="20"/>
          <w:szCs w:val="20"/>
          <w:lang w:val="en-US" w:eastAsia="zh-CN" w:bidi="zh-CN"/>
        </w:rPr>
      </w:pPr>
      <w:r>
        <w:rPr>
          <w:rStyle w:val="31"/>
          <w:rFonts w:hint="eastAsia" w:ascii="宋体" w:hAnsi="宋体" w:eastAsia="宋体" w:cs="宋体"/>
          <w:color w:val="auto"/>
          <w:sz w:val="20"/>
          <w:szCs w:val="20"/>
          <w:lang w:val="en-US" w:eastAsia="zh-CN" w:bidi="zh-CN"/>
        </w:rPr>
        <w:t>25.3根据《财政部工业和信息化部关于印发〈政府采购促进中小企业发展管理办法〉的通知》（财库〔2020〕46号）、《财政部关于进一步加大政府采购支持中小企业力度的通知》（财库〔2022〕19号）、《广西壮族自治区财政厅关于贯彻落实政府采购支持中小企业发展政策的通知》桂财采〔2022〕31号文件精神以及本工程采购计划书规定。本项目预算总额40%以上专门面向中小企业采购，其中，预留给小微企业的比例不低于专门面向中小企业采购份额的60%。本工程的材料及设备，承包人必须按照桂财采〔2022〕31号规定面向中小微企业采购。</w:t>
      </w:r>
    </w:p>
    <w:p w14:paraId="79B20C19">
      <w:pPr>
        <w:pStyle w:val="101"/>
        <w:pageBreakBefore w:val="0"/>
        <w:widowControl w:val="0"/>
        <w:tabs>
          <w:tab w:val="left" w:pos="299"/>
        </w:tabs>
        <w:kinsoku/>
        <w:wordWrap/>
        <w:overflowPunct/>
        <w:topLinePunct w:val="0"/>
        <w:autoSpaceDE/>
        <w:autoSpaceDN/>
        <w:bidi w:val="0"/>
        <w:adjustRightInd/>
        <w:snapToGrid/>
        <w:spacing w:line="440" w:lineRule="exact"/>
        <w:ind w:left="0" w:leftChars="0" w:firstLine="400" w:firstLineChars="200"/>
        <w:jc w:val="both"/>
        <w:textAlignment w:val="auto"/>
        <w:rPr>
          <w:rStyle w:val="31"/>
          <w:rFonts w:hint="eastAsia" w:ascii="宋体" w:hAnsi="宋体" w:eastAsia="宋体" w:cs="宋体"/>
          <w:color w:val="auto"/>
        </w:rPr>
      </w:pPr>
      <w:bookmarkStart w:id="1883" w:name="bookmark1890"/>
      <w:bookmarkStart w:id="1884" w:name="bookmark1888"/>
      <w:bookmarkStart w:id="1885" w:name="bookmark1889"/>
      <w:r>
        <w:rPr>
          <w:rStyle w:val="31"/>
          <w:rFonts w:hint="eastAsia" w:ascii="宋体" w:hAnsi="宋体" w:eastAsia="宋体" w:cs="宋体"/>
          <w:color w:val="auto"/>
        </w:rPr>
        <w:t>25.</w:t>
      </w:r>
      <w:r>
        <w:rPr>
          <w:rStyle w:val="31"/>
          <w:rFonts w:hint="eastAsia" w:ascii="宋体" w:hAnsi="宋体" w:eastAsia="宋体" w:cs="宋体"/>
          <w:color w:val="auto"/>
          <w:lang w:val="en-US" w:eastAsia="zh-CN"/>
        </w:rPr>
        <w:t>4</w:t>
      </w:r>
      <w:r>
        <w:rPr>
          <w:rStyle w:val="31"/>
          <w:rFonts w:hint="eastAsia" w:ascii="宋体" w:hAnsi="宋体" w:eastAsia="宋体" w:cs="宋体"/>
          <w:color w:val="auto"/>
        </w:rPr>
        <w:t>专用合同条款中未尽事宜，在签订施工合同时双方再商定。</w:t>
      </w:r>
      <w:bookmarkEnd w:id="1883"/>
      <w:bookmarkEnd w:id="1884"/>
      <w:bookmarkEnd w:id="1885"/>
      <w:bookmarkStart w:id="1886" w:name="bookmark1882"/>
      <w:bookmarkEnd w:id="1886"/>
    </w:p>
    <w:p w14:paraId="5003E671">
      <w:pPr>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32"/>
          <w:szCs w:val="32"/>
          <w:lang w:eastAsia="zh-CN"/>
        </w:rPr>
      </w:pPr>
      <w:bookmarkStart w:id="1887" w:name="_Toc256000331"/>
      <w:r>
        <w:rPr>
          <w:rStyle w:val="31"/>
          <w:rFonts w:hint="eastAsia" w:ascii="宋体" w:hAnsi="宋体" w:eastAsia="宋体" w:cs="宋体"/>
          <w:color w:val="auto"/>
          <w:sz w:val="32"/>
          <w:szCs w:val="32"/>
          <w:lang w:eastAsia="zh-CN"/>
        </w:rPr>
        <w:br w:type="page"/>
      </w:r>
    </w:p>
    <w:p w14:paraId="1CABCC5E">
      <w:pPr>
        <w:pStyle w:val="98"/>
        <w:pageBreakBefore w:val="0"/>
        <w:widowControl w:val="0"/>
        <w:kinsoku/>
        <w:wordWrap/>
        <w:overflowPunct/>
        <w:topLinePunct w:val="0"/>
        <w:autoSpaceDE/>
        <w:autoSpaceDN/>
        <w:bidi w:val="0"/>
        <w:adjustRightInd/>
        <w:snapToGrid/>
        <w:spacing w:before="0" w:after="0" w:line="440" w:lineRule="exact"/>
        <w:ind w:left="0" w:leftChars="0"/>
        <w:textAlignment w:val="auto"/>
        <w:rPr>
          <w:rStyle w:val="31"/>
          <w:rFonts w:hint="eastAsia" w:ascii="宋体" w:hAnsi="宋体" w:eastAsia="宋体" w:cs="宋体"/>
          <w:color w:val="auto"/>
          <w:sz w:val="32"/>
          <w:szCs w:val="32"/>
          <w:lang w:eastAsia="zh-CN"/>
        </w:rPr>
      </w:pPr>
      <w:r>
        <w:rPr>
          <w:rStyle w:val="31"/>
          <w:rFonts w:hint="eastAsia" w:ascii="宋体" w:hAnsi="宋体" w:eastAsia="宋体" w:cs="宋体"/>
          <w:color w:val="auto"/>
          <w:sz w:val="32"/>
          <w:szCs w:val="32"/>
          <w:lang w:eastAsia="zh-CN"/>
        </w:rPr>
        <w:t>第三节  合同附件格式</w:t>
      </w:r>
      <w:bookmarkEnd w:id="1887"/>
    </w:p>
    <w:p w14:paraId="20478976">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b/>
          <w:bCs/>
          <w:color w:val="auto"/>
          <w:sz w:val="28"/>
          <w:szCs w:val="28"/>
          <w:lang w:eastAsia="zh-CN"/>
        </w:rPr>
      </w:pPr>
      <w:r>
        <w:rPr>
          <w:rStyle w:val="31"/>
          <w:rFonts w:hint="eastAsia" w:ascii="宋体" w:hAnsi="宋体" w:eastAsia="宋体" w:cs="宋体"/>
          <w:b/>
          <w:bCs/>
          <w:color w:val="auto"/>
          <w:sz w:val="28"/>
          <w:szCs w:val="28"/>
          <w:lang w:eastAsia="zh-CN"/>
        </w:rPr>
        <w:t>附件一：合同协议书</w:t>
      </w:r>
      <w:bookmarkEnd w:id="1373"/>
      <w:bookmarkEnd w:id="1374"/>
      <w:bookmarkEnd w:id="1375"/>
      <w:bookmarkEnd w:id="1376"/>
      <w:bookmarkEnd w:id="1377"/>
      <w:bookmarkEnd w:id="1378"/>
    </w:p>
    <w:p w14:paraId="1B3A1874">
      <w:pPr>
        <w:pStyle w:val="94"/>
        <w:pageBreakBefore w:val="0"/>
        <w:widowControl w:val="0"/>
        <w:kinsoku/>
        <w:wordWrap/>
        <w:overflowPunct/>
        <w:topLinePunct w:val="0"/>
        <w:autoSpaceDE/>
        <w:autoSpaceDN/>
        <w:bidi w:val="0"/>
        <w:adjustRightInd/>
        <w:snapToGrid/>
        <w:spacing w:line="440" w:lineRule="exact"/>
        <w:ind w:left="0" w:leftChars="0"/>
        <w:jc w:val="center"/>
        <w:textAlignment w:val="auto"/>
        <w:rPr>
          <w:rStyle w:val="31"/>
          <w:rFonts w:hint="eastAsia" w:ascii="宋体" w:hAnsi="宋体" w:eastAsia="宋体" w:cs="宋体"/>
          <w:b/>
          <w:color w:val="auto"/>
          <w:lang w:eastAsia="zh-CN"/>
        </w:rPr>
      </w:pPr>
      <w:bookmarkStart w:id="1888" w:name="bookmark1894"/>
      <w:bookmarkStart w:id="1889" w:name="bookmark1895"/>
      <w:bookmarkStart w:id="1890" w:name="bookmark1896"/>
    </w:p>
    <w:p w14:paraId="182352C1">
      <w:pPr>
        <w:pStyle w:val="94"/>
        <w:pageBreakBefore w:val="0"/>
        <w:widowControl w:val="0"/>
        <w:kinsoku/>
        <w:wordWrap/>
        <w:overflowPunct/>
        <w:topLinePunct w:val="0"/>
        <w:autoSpaceDE/>
        <w:autoSpaceDN/>
        <w:bidi w:val="0"/>
        <w:adjustRightInd/>
        <w:snapToGrid/>
        <w:spacing w:line="440" w:lineRule="exact"/>
        <w:ind w:left="0" w:leftChars="0"/>
        <w:jc w:val="center"/>
        <w:textAlignment w:val="auto"/>
        <w:rPr>
          <w:rStyle w:val="31"/>
          <w:rFonts w:hint="eastAsia" w:ascii="宋体" w:hAnsi="宋体" w:eastAsia="宋体" w:cs="宋体"/>
          <w:b/>
          <w:color w:val="auto"/>
          <w:lang w:eastAsia="zh-CN"/>
        </w:rPr>
      </w:pPr>
      <w:r>
        <w:rPr>
          <w:rStyle w:val="31"/>
          <w:rFonts w:hint="eastAsia" w:ascii="宋体" w:hAnsi="宋体" w:eastAsia="宋体" w:cs="宋体"/>
          <w:b/>
          <w:color w:val="auto"/>
          <w:lang w:eastAsia="zh-CN"/>
        </w:rPr>
        <w:t>合同协议书</w:t>
      </w:r>
      <w:bookmarkEnd w:id="1888"/>
      <w:bookmarkEnd w:id="1889"/>
      <w:bookmarkEnd w:id="1890"/>
    </w:p>
    <w:p w14:paraId="1DB9C7BC">
      <w:pPr>
        <w:pStyle w:val="94"/>
        <w:pageBreakBefore w:val="0"/>
        <w:widowControl w:val="0"/>
        <w:kinsoku/>
        <w:wordWrap/>
        <w:overflowPunct/>
        <w:topLinePunct w:val="0"/>
        <w:autoSpaceDE/>
        <w:autoSpaceDN/>
        <w:bidi w:val="0"/>
        <w:adjustRightInd/>
        <w:snapToGrid/>
        <w:spacing w:line="440" w:lineRule="exact"/>
        <w:ind w:left="0" w:leftChars="0"/>
        <w:jc w:val="center"/>
        <w:textAlignment w:val="auto"/>
        <w:rPr>
          <w:rStyle w:val="31"/>
          <w:rFonts w:hint="eastAsia" w:ascii="宋体" w:hAnsi="宋体" w:eastAsia="宋体" w:cs="宋体"/>
          <w:b/>
          <w:color w:val="auto"/>
          <w:lang w:eastAsia="zh-CN"/>
        </w:rPr>
      </w:pPr>
    </w:p>
    <w:p w14:paraId="5155161A">
      <w:pPr>
        <w:pStyle w:val="94"/>
        <w:pageBreakBefore w:val="0"/>
        <w:widowControl w:val="0"/>
        <w:kinsoku/>
        <w:wordWrap/>
        <w:overflowPunct/>
        <w:topLinePunct w:val="0"/>
        <w:autoSpaceDE/>
        <w:autoSpaceDN/>
        <w:bidi w:val="0"/>
        <w:adjustRightInd/>
        <w:snapToGrid/>
        <w:spacing w:line="440" w:lineRule="exact"/>
        <w:ind w:left="0" w:leftChars="0"/>
        <w:jc w:val="center"/>
        <w:textAlignment w:val="auto"/>
        <w:rPr>
          <w:rStyle w:val="31"/>
          <w:rFonts w:hint="eastAsia" w:ascii="宋体" w:hAnsi="宋体" w:eastAsia="宋体" w:cs="宋体"/>
          <w:b/>
          <w:color w:val="auto"/>
          <w:lang w:eastAsia="zh-CN"/>
        </w:rPr>
      </w:pPr>
    </w:p>
    <w:p w14:paraId="64ABE03B">
      <w:pPr>
        <w:pStyle w:val="94"/>
        <w:pageBreakBefore w:val="0"/>
        <w:widowControl w:val="0"/>
        <w:kinsoku/>
        <w:wordWrap/>
        <w:overflowPunct/>
        <w:topLinePunct w:val="0"/>
        <w:autoSpaceDE/>
        <w:autoSpaceDN/>
        <w:bidi w:val="0"/>
        <w:adjustRightInd/>
        <w:snapToGrid/>
        <w:spacing w:line="440" w:lineRule="exact"/>
        <w:ind w:left="0" w:leftChars="0"/>
        <w:textAlignment w:val="auto"/>
        <w:rPr>
          <w:rStyle w:val="31"/>
          <w:rFonts w:hint="eastAsia" w:ascii="宋体" w:hAnsi="宋体" w:eastAsia="宋体" w:cs="宋体"/>
          <w:color w:val="auto"/>
          <w:sz w:val="20"/>
          <w:szCs w:val="20"/>
        </w:rPr>
      </w:pPr>
      <w:r>
        <w:rPr>
          <w:rStyle w:val="31"/>
          <w:rFonts w:hint="eastAsia" w:ascii="宋体" w:hAnsi="宋体" w:eastAsia="宋体" w:cs="宋体"/>
          <w:color w:val="auto"/>
          <w:lang w:eastAsia="zh-CN"/>
        </w:rPr>
        <w:tab/>
      </w:r>
      <w:r>
        <w:rPr>
          <w:rStyle w:val="31"/>
          <w:rFonts w:hint="eastAsia" w:ascii="宋体" w:hAnsi="宋体" w:eastAsia="宋体" w:cs="宋体"/>
          <w:color w:val="auto"/>
          <w:sz w:val="20"/>
          <w:szCs w:val="20"/>
          <w:u w:val="single"/>
          <w:lang w:eastAsia="zh-CN"/>
        </w:rPr>
        <w:t xml:space="preserve">          </w:t>
      </w:r>
      <w:r>
        <w:rPr>
          <w:rStyle w:val="31"/>
          <w:rFonts w:hint="eastAsia" w:ascii="宋体" w:hAnsi="宋体" w:eastAsia="宋体" w:cs="宋体"/>
          <w:color w:val="auto"/>
          <w:sz w:val="20"/>
          <w:szCs w:val="20"/>
          <w:lang w:eastAsia="zh-CN"/>
        </w:rPr>
        <w:t>（发包人名称，以下简称“发包人”）为实施</w:t>
      </w:r>
      <w:r>
        <w:rPr>
          <w:rStyle w:val="31"/>
          <w:rFonts w:hint="eastAsia" w:ascii="宋体" w:hAnsi="宋体" w:eastAsia="宋体" w:cs="宋体"/>
          <w:color w:val="auto"/>
          <w:sz w:val="20"/>
          <w:szCs w:val="20"/>
          <w:lang w:eastAsia="zh-CN"/>
        </w:rPr>
        <w:tab/>
      </w:r>
      <w:r>
        <w:rPr>
          <w:rStyle w:val="31"/>
          <w:rFonts w:hint="eastAsia" w:ascii="宋体" w:hAnsi="宋体" w:eastAsia="宋体" w:cs="宋体"/>
          <w:color w:val="auto"/>
          <w:sz w:val="20"/>
          <w:szCs w:val="20"/>
          <w:u w:val="single"/>
          <w:lang w:eastAsia="zh-CN"/>
        </w:rPr>
        <w:t xml:space="preserve">           </w:t>
      </w:r>
      <w:r>
        <w:rPr>
          <w:rStyle w:val="31"/>
          <w:rFonts w:hint="eastAsia" w:ascii="宋体" w:hAnsi="宋体" w:eastAsia="宋体" w:cs="宋体"/>
          <w:color w:val="auto"/>
          <w:sz w:val="20"/>
          <w:szCs w:val="20"/>
          <w:lang w:eastAsia="zh-CN"/>
        </w:rPr>
        <w:t>（项目名称），已接受</w:t>
      </w:r>
      <w:r>
        <w:rPr>
          <w:rStyle w:val="31"/>
          <w:rFonts w:hint="eastAsia" w:ascii="宋体" w:hAnsi="宋体" w:eastAsia="宋体" w:cs="宋体"/>
          <w:color w:val="auto"/>
          <w:sz w:val="20"/>
          <w:szCs w:val="20"/>
          <w:u w:val="single"/>
          <w:lang w:eastAsia="zh-CN"/>
        </w:rPr>
        <w:t xml:space="preserve">   </w:t>
      </w:r>
      <w:r>
        <w:rPr>
          <w:rStyle w:val="31"/>
          <w:rFonts w:hint="eastAsia" w:ascii="宋体" w:hAnsi="宋体" w:eastAsia="宋体" w:cs="宋体"/>
          <w:color w:val="auto"/>
          <w:sz w:val="20"/>
          <w:szCs w:val="20"/>
          <w:u w:val="single"/>
          <w:lang w:eastAsia="zh-CN"/>
        </w:rPr>
        <w:tab/>
      </w:r>
      <w:r>
        <w:rPr>
          <w:rStyle w:val="31"/>
          <w:rFonts w:hint="eastAsia" w:ascii="宋体" w:hAnsi="宋体" w:eastAsia="宋体" w:cs="宋体"/>
          <w:color w:val="auto"/>
          <w:sz w:val="20"/>
          <w:szCs w:val="20"/>
          <w:u w:val="single"/>
          <w:lang w:eastAsia="zh-CN"/>
        </w:rPr>
        <w:t xml:space="preserve">    </w:t>
      </w:r>
      <w:r>
        <w:rPr>
          <w:rStyle w:val="31"/>
          <w:rFonts w:hint="eastAsia" w:ascii="宋体" w:hAnsi="宋体" w:eastAsia="宋体" w:cs="宋体"/>
          <w:color w:val="auto"/>
          <w:sz w:val="20"/>
          <w:szCs w:val="20"/>
          <w:lang w:eastAsia="zh-CN"/>
        </w:rPr>
        <w:t>（承包人名称，以下简称“承包人”）对该项目</w:t>
      </w:r>
      <w:r>
        <w:rPr>
          <w:rStyle w:val="31"/>
          <w:rFonts w:hint="eastAsia" w:ascii="宋体" w:hAnsi="宋体" w:eastAsia="宋体" w:cs="宋体"/>
          <w:color w:val="auto"/>
          <w:sz w:val="20"/>
          <w:szCs w:val="20"/>
          <w:u w:val="single"/>
          <w:lang w:eastAsia="zh-CN"/>
        </w:rPr>
        <w:t xml:space="preserve">   </w:t>
      </w:r>
      <w:r>
        <w:rPr>
          <w:rStyle w:val="31"/>
          <w:rFonts w:hint="eastAsia" w:ascii="宋体" w:hAnsi="宋体" w:eastAsia="宋体" w:cs="宋体"/>
          <w:color w:val="auto"/>
          <w:sz w:val="20"/>
          <w:szCs w:val="20"/>
          <w:u w:val="single"/>
          <w:lang w:eastAsia="zh-CN"/>
        </w:rPr>
        <w:tab/>
      </w:r>
      <w:r>
        <w:rPr>
          <w:rStyle w:val="31"/>
          <w:rFonts w:hint="eastAsia" w:ascii="宋体" w:hAnsi="宋体" w:eastAsia="宋体" w:cs="宋体"/>
          <w:color w:val="auto"/>
          <w:sz w:val="20"/>
          <w:szCs w:val="20"/>
          <w:u w:val="single"/>
          <w:lang w:eastAsia="zh-CN"/>
        </w:rPr>
        <w:t xml:space="preserve">    </w:t>
      </w:r>
      <w:r>
        <w:rPr>
          <w:rStyle w:val="31"/>
          <w:rFonts w:hint="eastAsia" w:ascii="宋体" w:hAnsi="宋体" w:eastAsia="宋体" w:cs="宋体"/>
          <w:color w:val="auto"/>
          <w:sz w:val="20"/>
          <w:szCs w:val="20"/>
          <w:lang w:eastAsia="zh-CN"/>
        </w:rPr>
        <w:t>（项目名称）</w:t>
      </w:r>
      <w:r>
        <w:rPr>
          <w:rStyle w:val="31"/>
          <w:rFonts w:hint="eastAsia" w:ascii="宋体" w:hAnsi="宋体" w:eastAsia="宋体" w:cs="宋体"/>
          <w:color w:val="auto"/>
          <w:sz w:val="20"/>
          <w:szCs w:val="20"/>
          <w:u w:val="single"/>
          <w:lang w:eastAsia="zh-CN"/>
        </w:rPr>
        <w:t xml:space="preserve">          </w:t>
      </w:r>
      <w:r>
        <w:rPr>
          <w:rStyle w:val="31"/>
          <w:rFonts w:hint="eastAsia" w:ascii="宋体" w:hAnsi="宋体" w:eastAsia="宋体" w:cs="宋体"/>
          <w:color w:val="auto"/>
          <w:sz w:val="20"/>
          <w:szCs w:val="20"/>
          <w:lang w:eastAsia="zh-CN"/>
        </w:rPr>
        <w:t>（标段名称）的投标，并确定其为中标人。</w:t>
      </w:r>
      <w:r>
        <w:rPr>
          <w:rStyle w:val="31"/>
          <w:rFonts w:hint="eastAsia" w:ascii="宋体" w:hAnsi="宋体" w:eastAsia="宋体" w:cs="宋体"/>
          <w:color w:val="auto"/>
          <w:sz w:val="20"/>
          <w:szCs w:val="20"/>
        </w:rPr>
        <w:t>发包人和承包人共同达成如下协议。</w:t>
      </w:r>
    </w:p>
    <w:p w14:paraId="5C6752E3">
      <w:pPr>
        <w:pStyle w:val="95"/>
        <w:pageBreakBefore w:val="0"/>
        <w:widowControl w:val="0"/>
        <w:numPr>
          <w:ilvl w:val="0"/>
          <w:numId w:val="49"/>
        </w:numPr>
        <w:tabs>
          <w:tab w:val="left" w:pos="764"/>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1891" w:name="bookmark1897"/>
      <w:bookmarkEnd w:id="1891"/>
      <w:r>
        <w:rPr>
          <w:rStyle w:val="31"/>
          <w:rFonts w:hint="eastAsia" w:ascii="宋体" w:hAnsi="宋体" w:eastAsia="宋体" w:cs="宋体"/>
          <w:color w:val="auto"/>
        </w:rPr>
        <w:t>本协议书与下列文件一起构成合同文件：</w:t>
      </w:r>
    </w:p>
    <w:p w14:paraId="271E4172">
      <w:pPr>
        <w:pStyle w:val="95"/>
        <w:pageBreakBefore w:val="0"/>
        <w:widowControl w:val="0"/>
        <w:tabs>
          <w:tab w:val="left" w:pos="903"/>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1892" w:name="bookmark1898"/>
      <w:r>
        <w:rPr>
          <w:rStyle w:val="31"/>
          <w:rFonts w:hint="eastAsia" w:ascii="宋体" w:hAnsi="宋体" w:eastAsia="宋体" w:cs="宋体"/>
          <w:color w:val="auto"/>
        </w:rPr>
        <w:t>（</w:t>
      </w:r>
      <w:bookmarkEnd w:id="1892"/>
      <w:r>
        <w:rPr>
          <w:rStyle w:val="31"/>
          <w:rFonts w:hint="eastAsia" w:ascii="宋体" w:hAnsi="宋体" w:eastAsia="宋体" w:cs="宋体"/>
          <w:color w:val="auto"/>
        </w:rPr>
        <w:t>1）</w:t>
      </w:r>
      <w:r>
        <w:rPr>
          <w:rStyle w:val="31"/>
          <w:rFonts w:hint="eastAsia" w:ascii="宋体" w:hAnsi="宋体" w:eastAsia="宋体" w:cs="宋体"/>
          <w:color w:val="auto"/>
        </w:rPr>
        <w:tab/>
      </w:r>
      <w:r>
        <w:rPr>
          <w:rStyle w:val="31"/>
          <w:rFonts w:hint="eastAsia" w:ascii="宋体" w:hAnsi="宋体" w:eastAsia="宋体" w:cs="宋体"/>
          <w:color w:val="auto"/>
        </w:rPr>
        <w:t>中标通知书；</w:t>
      </w:r>
    </w:p>
    <w:p w14:paraId="1DD36E7A">
      <w:pPr>
        <w:pStyle w:val="95"/>
        <w:pageBreakBefore w:val="0"/>
        <w:widowControl w:val="0"/>
        <w:tabs>
          <w:tab w:val="left" w:pos="903"/>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1893" w:name="bookmark1899"/>
      <w:r>
        <w:rPr>
          <w:rStyle w:val="31"/>
          <w:rFonts w:hint="eastAsia" w:ascii="宋体" w:hAnsi="宋体" w:eastAsia="宋体" w:cs="宋体"/>
          <w:color w:val="auto"/>
        </w:rPr>
        <w:t>（</w:t>
      </w:r>
      <w:bookmarkEnd w:id="1893"/>
      <w:r>
        <w:rPr>
          <w:rStyle w:val="31"/>
          <w:rFonts w:hint="eastAsia" w:ascii="宋体" w:hAnsi="宋体" w:eastAsia="宋体" w:cs="宋体"/>
          <w:color w:val="auto"/>
        </w:rPr>
        <w:t>2）</w:t>
      </w:r>
      <w:r>
        <w:rPr>
          <w:rStyle w:val="31"/>
          <w:rFonts w:hint="eastAsia" w:ascii="宋体" w:hAnsi="宋体" w:eastAsia="宋体" w:cs="宋体"/>
          <w:color w:val="auto"/>
        </w:rPr>
        <w:tab/>
      </w:r>
      <w:r>
        <w:rPr>
          <w:rStyle w:val="31"/>
          <w:rFonts w:hint="eastAsia" w:ascii="宋体" w:hAnsi="宋体" w:eastAsia="宋体" w:cs="宋体"/>
          <w:color w:val="auto"/>
        </w:rPr>
        <w:t>投标函及投标函附录；</w:t>
      </w:r>
    </w:p>
    <w:p w14:paraId="422ADE05">
      <w:pPr>
        <w:pStyle w:val="95"/>
        <w:pageBreakBefore w:val="0"/>
        <w:widowControl w:val="0"/>
        <w:tabs>
          <w:tab w:val="left" w:pos="903"/>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1894" w:name="bookmark1900"/>
      <w:r>
        <w:rPr>
          <w:rStyle w:val="31"/>
          <w:rFonts w:hint="eastAsia" w:ascii="宋体" w:hAnsi="宋体" w:eastAsia="宋体" w:cs="宋体"/>
          <w:color w:val="auto"/>
        </w:rPr>
        <w:t>（</w:t>
      </w:r>
      <w:bookmarkEnd w:id="1894"/>
      <w:r>
        <w:rPr>
          <w:rStyle w:val="31"/>
          <w:rFonts w:hint="eastAsia" w:ascii="宋体" w:hAnsi="宋体" w:eastAsia="宋体" w:cs="宋体"/>
          <w:color w:val="auto"/>
        </w:rPr>
        <w:t>3）</w:t>
      </w:r>
      <w:r>
        <w:rPr>
          <w:rStyle w:val="31"/>
          <w:rFonts w:hint="eastAsia" w:ascii="宋体" w:hAnsi="宋体" w:eastAsia="宋体" w:cs="宋体"/>
          <w:color w:val="auto"/>
        </w:rPr>
        <w:tab/>
      </w:r>
      <w:r>
        <w:rPr>
          <w:rStyle w:val="31"/>
          <w:rFonts w:hint="eastAsia" w:ascii="宋体" w:hAnsi="宋体" w:eastAsia="宋体" w:cs="宋体"/>
          <w:color w:val="auto"/>
        </w:rPr>
        <w:t>专用合同条款（含附加条款）；</w:t>
      </w:r>
    </w:p>
    <w:p w14:paraId="591BF805">
      <w:pPr>
        <w:pStyle w:val="95"/>
        <w:pageBreakBefore w:val="0"/>
        <w:widowControl w:val="0"/>
        <w:tabs>
          <w:tab w:val="left" w:pos="903"/>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1895" w:name="bookmark1901"/>
      <w:r>
        <w:rPr>
          <w:rStyle w:val="31"/>
          <w:rFonts w:hint="eastAsia" w:ascii="宋体" w:hAnsi="宋体" w:eastAsia="宋体" w:cs="宋体"/>
          <w:color w:val="auto"/>
        </w:rPr>
        <w:t>（</w:t>
      </w:r>
      <w:bookmarkEnd w:id="1895"/>
      <w:r>
        <w:rPr>
          <w:rStyle w:val="31"/>
          <w:rFonts w:hint="eastAsia" w:ascii="宋体" w:hAnsi="宋体" w:eastAsia="宋体" w:cs="宋体"/>
          <w:color w:val="auto"/>
        </w:rPr>
        <w:t>4）</w:t>
      </w:r>
      <w:r>
        <w:rPr>
          <w:rStyle w:val="31"/>
          <w:rFonts w:hint="eastAsia" w:ascii="宋体" w:hAnsi="宋体" w:eastAsia="宋体" w:cs="宋体"/>
          <w:color w:val="auto"/>
        </w:rPr>
        <w:tab/>
      </w:r>
      <w:r>
        <w:rPr>
          <w:rStyle w:val="31"/>
          <w:rFonts w:hint="eastAsia" w:ascii="宋体" w:hAnsi="宋体" w:eastAsia="宋体" w:cs="宋体"/>
          <w:color w:val="auto"/>
        </w:rPr>
        <w:t>通用合同条款；</w:t>
      </w:r>
    </w:p>
    <w:p w14:paraId="32AD3E74">
      <w:pPr>
        <w:pStyle w:val="95"/>
        <w:pageBreakBefore w:val="0"/>
        <w:widowControl w:val="0"/>
        <w:tabs>
          <w:tab w:val="left" w:pos="903"/>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1896" w:name="bookmark1902"/>
      <w:r>
        <w:rPr>
          <w:rStyle w:val="31"/>
          <w:rFonts w:hint="eastAsia" w:ascii="宋体" w:hAnsi="宋体" w:eastAsia="宋体" w:cs="宋体"/>
          <w:color w:val="auto"/>
        </w:rPr>
        <w:t>（</w:t>
      </w:r>
      <w:bookmarkEnd w:id="1896"/>
      <w:r>
        <w:rPr>
          <w:rStyle w:val="31"/>
          <w:rFonts w:hint="eastAsia" w:ascii="宋体" w:hAnsi="宋体" w:eastAsia="宋体" w:cs="宋体"/>
          <w:color w:val="auto"/>
        </w:rPr>
        <w:t>5）</w:t>
      </w:r>
      <w:r>
        <w:rPr>
          <w:rStyle w:val="31"/>
          <w:rFonts w:hint="eastAsia" w:ascii="宋体" w:hAnsi="宋体" w:eastAsia="宋体" w:cs="宋体"/>
          <w:color w:val="auto"/>
        </w:rPr>
        <w:tab/>
      </w:r>
      <w:r>
        <w:rPr>
          <w:rStyle w:val="31"/>
          <w:rFonts w:hint="eastAsia" w:ascii="宋体" w:hAnsi="宋体" w:eastAsia="宋体" w:cs="宋体"/>
          <w:color w:val="auto"/>
        </w:rPr>
        <w:t>技术标准和要求（合同技术条款）；</w:t>
      </w:r>
    </w:p>
    <w:p w14:paraId="0E7E8821">
      <w:pPr>
        <w:pStyle w:val="95"/>
        <w:pageBreakBefore w:val="0"/>
        <w:widowControl w:val="0"/>
        <w:tabs>
          <w:tab w:val="left" w:pos="903"/>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1897" w:name="bookmark1903"/>
      <w:r>
        <w:rPr>
          <w:rStyle w:val="31"/>
          <w:rFonts w:hint="eastAsia" w:ascii="宋体" w:hAnsi="宋体" w:eastAsia="宋体" w:cs="宋体"/>
          <w:color w:val="auto"/>
        </w:rPr>
        <w:t>（</w:t>
      </w:r>
      <w:bookmarkEnd w:id="1897"/>
      <w:r>
        <w:rPr>
          <w:rStyle w:val="31"/>
          <w:rFonts w:hint="eastAsia" w:ascii="宋体" w:hAnsi="宋体" w:eastAsia="宋体" w:cs="宋体"/>
          <w:color w:val="auto"/>
        </w:rPr>
        <w:t>6）</w:t>
      </w:r>
      <w:r>
        <w:rPr>
          <w:rStyle w:val="31"/>
          <w:rFonts w:hint="eastAsia" w:ascii="宋体" w:hAnsi="宋体" w:eastAsia="宋体" w:cs="宋体"/>
          <w:color w:val="auto"/>
        </w:rPr>
        <w:tab/>
      </w:r>
      <w:r>
        <w:rPr>
          <w:rStyle w:val="31"/>
          <w:rFonts w:hint="eastAsia" w:ascii="宋体" w:hAnsi="宋体" w:eastAsia="宋体" w:cs="宋体"/>
          <w:color w:val="auto"/>
        </w:rPr>
        <w:t>图纸；</w:t>
      </w:r>
    </w:p>
    <w:p w14:paraId="638C95F4">
      <w:pPr>
        <w:pStyle w:val="95"/>
        <w:pageBreakBefore w:val="0"/>
        <w:widowControl w:val="0"/>
        <w:tabs>
          <w:tab w:val="left" w:pos="903"/>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1898" w:name="bookmark1904"/>
      <w:r>
        <w:rPr>
          <w:rStyle w:val="31"/>
          <w:rFonts w:hint="eastAsia" w:ascii="宋体" w:hAnsi="宋体" w:eastAsia="宋体" w:cs="宋体"/>
          <w:color w:val="auto"/>
        </w:rPr>
        <w:t>（</w:t>
      </w:r>
      <w:bookmarkEnd w:id="1898"/>
      <w:r>
        <w:rPr>
          <w:rStyle w:val="31"/>
          <w:rFonts w:hint="eastAsia" w:ascii="宋体" w:hAnsi="宋体" w:eastAsia="宋体" w:cs="宋体"/>
          <w:color w:val="auto"/>
        </w:rPr>
        <w:t>7）</w:t>
      </w:r>
      <w:r>
        <w:rPr>
          <w:rStyle w:val="31"/>
          <w:rFonts w:hint="eastAsia" w:ascii="宋体" w:hAnsi="宋体" w:eastAsia="宋体" w:cs="宋体"/>
          <w:color w:val="auto"/>
        </w:rPr>
        <w:tab/>
      </w:r>
      <w:r>
        <w:rPr>
          <w:rStyle w:val="31"/>
          <w:rFonts w:hint="eastAsia" w:ascii="宋体" w:hAnsi="宋体" w:eastAsia="宋体" w:cs="宋体"/>
          <w:color w:val="auto"/>
        </w:rPr>
        <w:t>已标价工程量清单；</w:t>
      </w:r>
    </w:p>
    <w:p w14:paraId="6A4A8175">
      <w:pPr>
        <w:pStyle w:val="95"/>
        <w:pageBreakBefore w:val="0"/>
        <w:widowControl w:val="0"/>
        <w:tabs>
          <w:tab w:val="left" w:pos="903"/>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1899" w:name="bookmark1905"/>
      <w:r>
        <w:rPr>
          <w:rStyle w:val="31"/>
          <w:rFonts w:hint="eastAsia" w:ascii="宋体" w:hAnsi="宋体" w:eastAsia="宋体" w:cs="宋体"/>
          <w:color w:val="auto"/>
        </w:rPr>
        <w:t>（</w:t>
      </w:r>
      <w:bookmarkEnd w:id="1899"/>
      <w:r>
        <w:rPr>
          <w:rStyle w:val="31"/>
          <w:rFonts w:hint="eastAsia" w:ascii="宋体" w:hAnsi="宋体" w:eastAsia="宋体" w:cs="宋体"/>
          <w:color w:val="auto"/>
        </w:rPr>
        <w:t>8）</w:t>
      </w:r>
      <w:r>
        <w:rPr>
          <w:rStyle w:val="31"/>
          <w:rFonts w:hint="eastAsia" w:ascii="宋体" w:hAnsi="宋体" w:eastAsia="宋体" w:cs="宋体"/>
          <w:color w:val="auto"/>
        </w:rPr>
        <w:tab/>
      </w:r>
      <w:r>
        <w:rPr>
          <w:rStyle w:val="31"/>
          <w:rFonts w:hint="eastAsia" w:ascii="宋体" w:hAnsi="宋体" w:eastAsia="宋体" w:cs="宋体"/>
          <w:color w:val="auto"/>
        </w:rPr>
        <w:t>其他合同文件。</w:t>
      </w:r>
    </w:p>
    <w:p w14:paraId="244CCB96">
      <w:pPr>
        <w:pStyle w:val="95"/>
        <w:pageBreakBefore w:val="0"/>
        <w:widowControl w:val="0"/>
        <w:numPr>
          <w:ilvl w:val="0"/>
          <w:numId w:val="49"/>
        </w:numPr>
        <w:tabs>
          <w:tab w:val="left" w:pos="764"/>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1900" w:name="bookmark1906"/>
      <w:bookmarkEnd w:id="1900"/>
      <w:r>
        <w:rPr>
          <w:rStyle w:val="31"/>
          <w:rFonts w:hint="eastAsia" w:ascii="宋体" w:hAnsi="宋体" w:eastAsia="宋体" w:cs="宋体"/>
          <w:color w:val="auto"/>
        </w:rPr>
        <w:t>上述文件互相补充和解释，如有不明确或不一致之处，以合同约定次序在先者为准。</w:t>
      </w:r>
    </w:p>
    <w:p w14:paraId="2038036E">
      <w:pPr>
        <w:pStyle w:val="95"/>
        <w:pageBreakBefore w:val="0"/>
        <w:widowControl w:val="0"/>
        <w:numPr>
          <w:ilvl w:val="0"/>
          <w:numId w:val="49"/>
        </w:numPr>
        <w:tabs>
          <w:tab w:val="left" w:pos="764"/>
          <w:tab w:val="left" w:pos="4291"/>
          <w:tab w:val="left" w:pos="5794"/>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1901" w:name="bookmark1907"/>
      <w:bookmarkEnd w:id="1901"/>
      <w:r>
        <w:rPr>
          <w:rStyle w:val="31"/>
          <w:rFonts w:hint="eastAsia" w:ascii="宋体" w:hAnsi="宋体" w:eastAsia="宋体" w:cs="宋体"/>
          <w:color w:val="auto"/>
        </w:rPr>
        <w:t>签约合同价：人民币（大写）</w:t>
      </w:r>
      <w:r>
        <w:rPr>
          <w:rStyle w:val="31"/>
          <w:rFonts w:hint="eastAsia" w:ascii="宋体" w:hAnsi="宋体" w:eastAsia="宋体" w:cs="宋体"/>
          <w:color w:val="auto"/>
          <w:u w:val="single"/>
        </w:rPr>
        <w:tab/>
      </w:r>
      <w:r>
        <w:rPr>
          <w:rStyle w:val="31"/>
          <w:rFonts w:hint="eastAsia" w:ascii="宋体" w:hAnsi="宋体" w:eastAsia="宋体" w:cs="宋体"/>
          <w:color w:val="auto"/>
        </w:rPr>
        <w:t>元（¥</w:t>
      </w:r>
      <w:r>
        <w:rPr>
          <w:rStyle w:val="31"/>
          <w:rFonts w:hint="eastAsia" w:ascii="宋体" w:hAnsi="宋体" w:eastAsia="宋体" w:cs="宋体"/>
          <w:color w:val="auto"/>
          <w:u w:val="single"/>
        </w:rPr>
        <w:tab/>
      </w:r>
      <w:r>
        <w:rPr>
          <w:rStyle w:val="31"/>
          <w:rFonts w:hint="eastAsia" w:ascii="宋体" w:hAnsi="宋体" w:eastAsia="宋体" w:cs="宋体"/>
          <w:color w:val="auto"/>
          <w:lang w:val="en-US" w:bidi="en-US"/>
        </w:rPr>
        <w:t>）</w:t>
      </w:r>
      <w:r>
        <w:rPr>
          <w:rStyle w:val="31"/>
          <w:rFonts w:hint="eastAsia" w:ascii="宋体" w:hAnsi="宋体" w:eastAsia="宋体" w:cs="宋体"/>
          <w:color w:val="auto"/>
          <w:vertAlign w:val="subscript"/>
          <w:lang w:val="en-US" w:bidi="en-US"/>
        </w:rPr>
        <w:t>o</w:t>
      </w:r>
    </w:p>
    <w:p w14:paraId="1BEBD825">
      <w:pPr>
        <w:pStyle w:val="95"/>
        <w:pageBreakBefore w:val="0"/>
        <w:widowControl w:val="0"/>
        <w:numPr>
          <w:ilvl w:val="0"/>
          <w:numId w:val="49"/>
        </w:numPr>
        <w:tabs>
          <w:tab w:val="left" w:pos="764"/>
          <w:tab w:val="left" w:pos="4234"/>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1902" w:name="bookmark1908"/>
      <w:bookmarkEnd w:id="1902"/>
      <w:r>
        <w:rPr>
          <w:rStyle w:val="31"/>
          <w:rFonts w:hint="eastAsia" w:ascii="宋体" w:hAnsi="宋体" w:eastAsia="宋体" w:cs="宋体"/>
          <w:color w:val="auto"/>
        </w:rPr>
        <w:t>承包人项目经理：</w:t>
      </w:r>
      <w:r>
        <w:rPr>
          <w:rStyle w:val="31"/>
          <w:rFonts w:hint="eastAsia" w:ascii="宋体" w:hAnsi="宋体" w:eastAsia="宋体" w:cs="宋体"/>
          <w:color w:val="auto"/>
          <w:u w:val="single"/>
        </w:rPr>
        <w:tab/>
      </w:r>
      <w:r>
        <w:rPr>
          <w:rStyle w:val="31"/>
          <w:rFonts w:hint="eastAsia" w:ascii="宋体" w:hAnsi="宋体" w:eastAsia="宋体" w:cs="宋体"/>
          <w:color w:val="auto"/>
          <w:lang w:val="en-US" w:bidi="en-US"/>
        </w:rPr>
        <w:t>。</w:t>
      </w:r>
    </w:p>
    <w:p w14:paraId="2DB50FF8">
      <w:pPr>
        <w:pStyle w:val="95"/>
        <w:pageBreakBefore w:val="0"/>
        <w:widowControl w:val="0"/>
        <w:numPr>
          <w:ilvl w:val="0"/>
          <w:numId w:val="49"/>
        </w:numPr>
        <w:tabs>
          <w:tab w:val="left" w:pos="764"/>
          <w:tab w:val="left" w:pos="3809"/>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1903" w:name="bookmark1909"/>
      <w:bookmarkEnd w:id="1903"/>
      <w:r>
        <w:rPr>
          <w:rStyle w:val="31"/>
          <w:rFonts w:hint="eastAsia" w:ascii="宋体" w:hAnsi="宋体" w:eastAsia="宋体" w:cs="宋体"/>
          <w:color w:val="auto"/>
        </w:rPr>
        <w:t>工程质量符合</w:t>
      </w:r>
      <w:r>
        <w:rPr>
          <w:rStyle w:val="31"/>
          <w:rFonts w:hint="eastAsia" w:ascii="宋体" w:hAnsi="宋体" w:eastAsia="宋体" w:cs="宋体"/>
          <w:color w:val="auto"/>
          <w:u w:val="single"/>
        </w:rPr>
        <w:tab/>
      </w:r>
      <w:r>
        <w:rPr>
          <w:rStyle w:val="31"/>
          <w:rFonts w:hint="eastAsia" w:ascii="宋体" w:hAnsi="宋体" w:eastAsia="宋体" w:cs="宋体"/>
          <w:color w:val="auto"/>
        </w:rPr>
        <w:t>标准。</w:t>
      </w:r>
    </w:p>
    <w:p w14:paraId="4C0264A4">
      <w:pPr>
        <w:pStyle w:val="95"/>
        <w:pageBreakBefore w:val="0"/>
        <w:widowControl w:val="0"/>
        <w:numPr>
          <w:ilvl w:val="0"/>
          <w:numId w:val="49"/>
        </w:numPr>
        <w:tabs>
          <w:tab w:val="left" w:pos="764"/>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1904" w:name="bookmark1910"/>
      <w:bookmarkEnd w:id="1904"/>
      <w:r>
        <w:rPr>
          <w:rStyle w:val="31"/>
          <w:rFonts w:hint="eastAsia" w:ascii="宋体" w:hAnsi="宋体" w:eastAsia="宋体" w:cs="宋体"/>
          <w:color w:val="auto"/>
        </w:rPr>
        <w:t>承包人承诺按合同约定承担工程的实施、完成及缺陷修复。</w:t>
      </w:r>
    </w:p>
    <w:p w14:paraId="31F83CDA">
      <w:pPr>
        <w:pStyle w:val="95"/>
        <w:pageBreakBefore w:val="0"/>
        <w:widowControl w:val="0"/>
        <w:numPr>
          <w:ilvl w:val="0"/>
          <w:numId w:val="49"/>
        </w:numPr>
        <w:tabs>
          <w:tab w:val="left" w:pos="764"/>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1905" w:name="bookmark1911"/>
      <w:bookmarkEnd w:id="1905"/>
      <w:r>
        <w:rPr>
          <w:rStyle w:val="31"/>
          <w:rFonts w:hint="eastAsia" w:ascii="宋体" w:hAnsi="宋体" w:eastAsia="宋体" w:cs="宋体"/>
          <w:color w:val="auto"/>
        </w:rPr>
        <w:t>发包人承诺按合同约定的条件、时间和方式向承包人支付合同价款。</w:t>
      </w:r>
    </w:p>
    <w:p w14:paraId="3EC1566C">
      <w:pPr>
        <w:pStyle w:val="95"/>
        <w:pageBreakBefore w:val="0"/>
        <w:widowControl w:val="0"/>
        <w:numPr>
          <w:ilvl w:val="0"/>
          <w:numId w:val="49"/>
        </w:numPr>
        <w:tabs>
          <w:tab w:val="left" w:pos="764"/>
          <w:tab w:val="left" w:pos="5717"/>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1906" w:name="bookmark1912"/>
      <w:bookmarkEnd w:id="1906"/>
      <w:r>
        <w:rPr>
          <w:rStyle w:val="31"/>
          <w:rFonts w:hint="eastAsia" w:ascii="宋体" w:hAnsi="宋体" w:eastAsia="宋体" w:cs="宋体"/>
          <w:color w:val="auto"/>
        </w:rPr>
        <w:t>承包人承诺执行监理人开工通知，计划工期为</w:t>
      </w:r>
      <w:r>
        <w:rPr>
          <w:rStyle w:val="31"/>
          <w:rFonts w:hint="eastAsia" w:ascii="宋体" w:hAnsi="宋体" w:eastAsia="宋体" w:cs="宋体"/>
          <w:color w:val="auto"/>
          <w:u w:val="single"/>
        </w:rPr>
        <w:tab/>
      </w:r>
      <w:r>
        <w:rPr>
          <w:rStyle w:val="31"/>
          <w:rFonts w:hint="eastAsia" w:ascii="宋体" w:hAnsi="宋体" w:eastAsia="宋体" w:cs="宋体"/>
          <w:color w:val="auto"/>
        </w:rPr>
        <w:t>天。</w:t>
      </w:r>
    </w:p>
    <w:p w14:paraId="0A1E6166">
      <w:pPr>
        <w:pStyle w:val="95"/>
        <w:pageBreakBefore w:val="0"/>
        <w:widowControl w:val="0"/>
        <w:numPr>
          <w:ilvl w:val="0"/>
          <w:numId w:val="49"/>
        </w:numPr>
        <w:tabs>
          <w:tab w:val="left" w:pos="764"/>
          <w:tab w:val="left" w:pos="2789"/>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1907" w:name="bookmark1913"/>
      <w:bookmarkEnd w:id="1907"/>
      <w:r>
        <w:rPr>
          <w:rStyle w:val="31"/>
          <w:rFonts w:hint="eastAsia" w:ascii="宋体" w:hAnsi="宋体" w:eastAsia="宋体" w:cs="宋体"/>
          <w:color w:val="auto"/>
        </w:rPr>
        <w:t>本协议书一式</w:t>
      </w:r>
      <w:r>
        <w:rPr>
          <w:rStyle w:val="31"/>
          <w:rFonts w:hint="eastAsia" w:ascii="宋体" w:hAnsi="宋体" w:eastAsia="宋体" w:cs="宋体"/>
          <w:color w:val="auto"/>
          <w:u w:val="single"/>
        </w:rPr>
        <w:tab/>
      </w:r>
      <w:r>
        <w:rPr>
          <w:rStyle w:val="31"/>
          <w:rFonts w:hint="eastAsia" w:ascii="宋体" w:hAnsi="宋体" w:eastAsia="宋体" w:cs="宋体"/>
          <w:color w:val="auto"/>
        </w:rPr>
        <w:t>份，合同双方各执</w:t>
      </w:r>
      <w:r>
        <w:rPr>
          <w:rStyle w:val="31"/>
          <w:rFonts w:hint="eastAsia" w:ascii="宋体" w:hAnsi="宋体" w:eastAsia="宋体" w:cs="宋体"/>
          <w:color w:val="auto"/>
          <w:lang w:val="en-US"/>
        </w:rPr>
        <w:t xml:space="preserve"> </w:t>
      </w:r>
      <w:r>
        <w:rPr>
          <w:rStyle w:val="31"/>
          <w:rFonts w:hint="eastAsia" w:ascii="宋体" w:hAnsi="宋体" w:eastAsia="宋体" w:cs="宋体"/>
          <w:color w:val="auto"/>
          <w:u w:val="single"/>
          <w:lang w:val="en-US"/>
        </w:rPr>
        <w:t xml:space="preserve">      </w:t>
      </w:r>
      <w:r>
        <w:rPr>
          <w:rStyle w:val="31"/>
          <w:rFonts w:hint="eastAsia" w:ascii="宋体" w:hAnsi="宋体" w:eastAsia="宋体" w:cs="宋体"/>
          <w:color w:val="auto"/>
        </w:rPr>
        <w:t>份。</w:t>
      </w:r>
    </w:p>
    <w:p w14:paraId="78D2E900">
      <w:pPr>
        <w:pStyle w:val="95"/>
        <w:pageBreakBefore w:val="0"/>
        <w:widowControl w:val="0"/>
        <w:numPr>
          <w:ilvl w:val="0"/>
          <w:numId w:val="49"/>
        </w:numPr>
        <w:tabs>
          <w:tab w:val="left" w:pos="841"/>
        </w:tabs>
        <w:kinsoku/>
        <w:wordWrap/>
        <w:overflowPunct/>
        <w:topLinePunct w:val="0"/>
        <w:autoSpaceDE/>
        <w:autoSpaceDN/>
        <w:bidi w:val="0"/>
        <w:adjustRightInd/>
        <w:snapToGrid/>
        <w:spacing w:line="440" w:lineRule="exact"/>
        <w:ind w:left="0" w:leftChars="0" w:firstLine="420"/>
        <w:jc w:val="both"/>
        <w:textAlignment w:val="auto"/>
        <w:rPr>
          <w:rStyle w:val="31"/>
          <w:rFonts w:hint="eastAsia" w:ascii="宋体" w:hAnsi="宋体" w:eastAsia="宋体" w:cs="宋体"/>
          <w:color w:val="auto"/>
        </w:rPr>
      </w:pPr>
      <w:bookmarkStart w:id="1908" w:name="bookmark1914"/>
      <w:bookmarkEnd w:id="1908"/>
      <w:r>
        <w:rPr>
          <w:rStyle w:val="31"/>
          <w:rFonts w:hint="eastAsia" w:ascii="宋体" w:hAnsi="宋体" w:eastAsia="宋体" w:cs="宋体"/>
          <w:color w:val="auto"/>
        </w:rPr>
        <w:t>合同未尽事宜，双方另行签订补充协议。补充协议是合同的组成部分。</w:t>
      </w:r>
    </w:p>
    <w:p w14:paraId="67E20D7E">
      <w:pPr>
        <w:pStyle w:val="95"/>
        <w:pageBreakBefore w:val="0"/>
        <w:widowControl w:val="0"/>
        <w:tabs>
          <w:tab w:val="left" w:pos="2532"/>
          <w:tab w:val="left" w:pos="3132"/>
          <w:tab w:val="left" w:pos="6926"/>
        </w:tabs>
        <w:kinsoku/>
        <w:wordWrap/>
        <w:overflowPunct/>
        <w:topLinePunct w:val="0"/>
        <w:autoSpaceDE/>
        <w:autoSpaceDN/>
        <w:bidi w:val="0"/>
        <w:adjustRightInd/>
        <w:snapToGrid/>
        <w:spacing w:line="440" w:lineRule="exact"/>
        <w:ind w:left="0" w:leftChars="0" w:firstLine="0"/>
        <w:jc w:val="both"/>
        <w:textAlignment w:val="auto"/>
        <w:rPr>
          <w:rStyle w:val="31"/>
          <w:rFonts w:hint="eastAsia" w:ascii="宋体" w:hAnsi="宋体" w:eastAsia="宋体" w:cs="宋体"/>
          <w:color w:val="auto"/>
        </w:rPr>
      </w:pPr>
      <w:r>
        <w:rPr>
          <w:rStyle w:val="31"/>
          <w:rFonts w:hint="eastAsia" w:ascii="宋体" w:hAnsi="宋体" w:eastAsia="宋体" w:cs="宋体"/>
          <w:color w:val="auto"/>
        </w:rPr>
        <w:t>发包人：</w:t>
      </w:r>
      <w:r>
        <w:rPr>
          <w:rStyle w:val="31"/>
          <w:rFonts w:hint="eastAsia" w:ascii="宋体" w:hAnsi="宋体" w:eastAsia="宋体" w:cs="宋体"/>
          <w:color w:val="auto"/>
          <w:u w:val="single"/>
          <w:lang w:val="en-US"/>
        </w:rPr>
        <w:t xml:space="preserve">          </w:t>
      </w:r>
      <w:r>
        <w:rPr>
          <w:rStyle w:val="31"/>
          <w:rFonts w:hint="eastAsia" w:ascii="宋体" w:hAnsi="宋体" w:eastAsia="宋体" w:cs="宋体"/>
          <w:color w:val="auto"/>
          <w:u w:val="single"/>
        </w:rPr>
        <w:t xml:space="preserve"> </w:t>
      </w:r>
      <w:r>
        <w:rPr>
          <w:rStyle w:val="31"/>
          <w:rFonts w:hint="eastAsia" w:ascii="宋体" w:hAnsi="宋体" w:eastAsia="宋体" w:cs="宋体"/>
          <w:color w:val="auto"/>
        </w:rPr>
        <w:t>（盖单位公章）</w:t>
      </w:r>
      <w:r>
        <w:rPr>
          <w:rStyle w:val="31"/>
          <w:rFonts w:hint="eastAsia" w:ascii="宋体" w:hAnsi="宋体" w:eastAsia="宋体" w:cs="宋体"/>
          <w:color w:val="auto"/>
          <w:lang w:val="en-US"/>
        </w:rPr>
        <w:t xml:space="preserve">       </w:t>
      </w:r>
      <w:r>
        <w:rPr>
          <w:rStyle w:val="31"/>
          <w:rFonts w:hint="eastAsia" w:ascii="宋体" w:hAnsi="宋体" w:eastAsia="宋体" w:cs="宋体"/>
          <w:color w:val="auto"/>
        </w:rPr>
        <w:t xml:space="preserve">   承包人：</w:t>
      </w:r>
      <w:r>
        <w:rPr>
          <w:rStyle w:val="31"/>
          <w:rFonts w:hint="eastAsia" w:ascii="宋体" w:hAnsi="宋体" w:eastAsia="宋体" w:cs="宋体"/>
          <w:color w:val="auto"/>
          <w:u w:val="single"/>
        </w:rPr>
        <w:t xml:space="preserve"> </w:t>
      </w:r>
      <w:r>
        <w:rPr>
          <w:rStyle w:val="31"/>
          <w:rFonts w:hint="eastAsia" w:ascii="宋体" w:hAnsi="宋体" w:eastAsia="宋体" w:cs="宋体"/>
          <w:color w:val="auto"/>
          <w:u w:val="single"/>
          <w:lang w:val="en-US"/>
        </w:rPr>
        <w:t xml:space="preserve">        </w:t>
      </w:r>
      <w:r>
        <w:rPr>
          <w:rStyle w:val="31"/>
          <w:rFonts w:hint="eastAsia" w:ascii="宋体" w:hAnsi="宋体" w:eastAsia="宋体" w:cs="宋体"/>
          <w:color w:val="auto"/>
          <w:u w:val="single"/>
        </w:rPr>
        <w:t xml:space="preserve"> </w:t>
      </w:r>
      <w:r>
        <w:rPr>
          <w:rStyle w:val="31"/>
          <w:rFonts w:hint="eastAsia" w:ascii="宋体" w:hAnsi="宋体" w:eastAsia="宋体" w:cs="宋体"/>
          <w:color w:val="auto"/>
        </w:rPr>
        <w:t xml:space="preserve">（盖单位公章） </w:t>
      </w:r>
    </w:p>
    <w:p w14:paraId="42743FFA">
      <w:pPr>
        <w:pStyle w:val="95"/>
        <w:pageBreakBefore w:val="0"/>
        <w:widowControl w:val="0"/>
        <w:tabs>
          <w:tab w:val="left" w:pos="2532"/>
          <w:tab w:val="left" w:pos="3132"/>
          <w:tab w:val="left" w:pos="6926"/>
        </w:tabs>
        <w:kinsoku/>
        <w:wordWrap/>
        <w:overflowPunct/>
        <w:topLinePunct w:val="0"/>
        <w:autoSpaceDE/>
        <w:autoSpaceDN/>
        <w:bidi w:val="0"/>
        <w:adjustRightInd/>
        <w:snapToGrid/>
        <w:spacing w:line="440" w:lineRule="exact"/>
        <w:ind w:left="0" w:leftChars="0" w:firstLine="0"/>
        <w:jc w:val="both"/>
        <w:textAlignment w:val="auto"/>
        <w:rPr>
          <w:rStyle w:val="31"/>
          <w:rFonts w:hint="eastAsia" w:ascii="宋体" w:hAnsi="宋体" w:eastAsia="宋体" w:cs="宋体"/>
          <w:color w:val="auto"/>
        </w:rPr>
      </w:pPr>
      <w:r>
        <w:rPr>
          <w:rStyle w:val="31"/>
          <w:rFonts w:hint="eastAsia" w:ascii="宋体" w:hAnsi="宋体" w:eastAsia="宋体" w:cs="宋体"/>
          <w:color w:val="auto"/>
        </w:rPr>
        <w:t>法定代表人(或项目负责人)：</w:t>
      </w:r>
      <w:r>
        <w:rPr>
          <w:rStyle w:val="31"/>
          <w:rFonts w:hint="eastAsia" w:ascii="宋体" w:hAnsi="宋体" w:eastAsia="宋体" w:cs="宋体"/>
          <w:color w:val="auto"/>
          <w:lang w:val="en-US"/>
        </w:rPr>
        <w:t xml:space="preserve">  </w:t>
      </w:r>
      <w:r>
        <w:rPr>
          <w:rStyle w:val="31"/>
          <w:rFonts w:hint="eastAsia" w:ascii="宋体" w:hAnsi="宋体" w:eastAsia="宋体" w:cs="宋体"/>
          <w:color w:val="auto"/>
          <w:u w:val="single"/>
        </w:rPr>
        <w:t xml:space="preserve">  </w:t>
      </w:r>
      <w:r>
        <w:rPr>
          <w:rStyle w:val="31"/>
          <w:rFonts w:hint="eastAsia" w:ascii="宋体" w:hAnsi="宋体" w:eastAsia="宋体" w:cs="宋体"/>
          <w:color w:val="auto"/>
        </w:rPr>
        <w:t xml:space="preserve"> （签字）</w:t>
      </w:r>
      <w:r>
        <w:rPr>
          <w:rStyle w:val="31"/>
          <w:rFonts w:hint="eastAsia" w:ascii="宋体" w:hAnsi="宋体" w:eastAsia="宋体" w:cs="宋体"/>
          <w:color w:val="auto"/>
          <w:lang w:val="en-US"/>
        </w:rPr>
        <w:t xml:space="preserve">   </w:t>
      </w:r>
      <w:r>
        <w:rPr>
          <w:rStyle w:val="31"/>
          <w:rFonts w:hint="eastAsia" w:ascii="宋体" w:hAnsi="宋体" w:eastAsia="宋体" w:cs="宋体"/>
          <w:color w:val="auto"/>
        </w:rPr>
        <w:t xml:space="preserve"> 法定代表人(或其委托代理人)：</w:t>
      </w:r>
      <w:r>
        <w:rPr>
          <w:rStyle w:val="31"/>
          <w:rFonts w:hint="eastAsia" w:ascii="宋体" w:hAnsi="宋体" w:eastAsia="宋体" w:cs="宋体"/>
          <w:color w:val="auto"/>
          <w:u w:val="single"/>
        </w:rPr>
        <w:tab/>
      </w:r>
      <w:r>
        <w:rPr>
          <w:rStyle w:val="31"/>
          <w:rFonts w:hint="eastAsia" w:ascii="宋体" w:hAnsi="宋体" w:eastAsia="宋体" w:cs="宋体"/>
          <w:color w:val="auto"/>
          <w:u w:val="single"/>
        </w:rPr>
        <w:t xml:space="preserve">  </w:t>
      </w:r>
      <w:r>
        <w:rPr>
          <w:rStyle w:val="31"/>
          <w:rFonts w:hint="eastAsia" w:ascii="宋体" w:hAnsi="宋体" w:eastAsia="宋体" w:cs="宋体"/>
          <w:color w:val="auto"/>
        </w:rPr>
        <w:t>（签字）</w:t>
      </w:r>
    </w:p>
    <w:p w14:paraId="41CEF31A">
      <w:pPr>
        <w:pStyle w:val="95"/>
        <w:pageBreakBefore w:val="0"/>
        <w:widowControl w:val="0"/>
        <w:tabs>
          <w:tab w:val="left" w:pos="1590"/>
          <w:tab w:val="left" w:pos="2648"/>
          <w:tab w:val="left" w:pos="3704"/>
          <w:tab w:val="left" w:pos="5089"/>
          <w:tab w:val="left" w:pos="6018"/>
          <w:tab w:val="left" w:pos="7074"/>
          <w:tab w:val="left" w:pos="8132"/>
        </w:tabs>
        <w:kinsoku/>
        <w:wordWrap/>
        <w:overflowPunct/>
        <w:topLinePunct w:val="0"/>
        <w:autoSpaceDE/>
        <w:autoSpaceDN/>
        <w:bidi w:val="0"/>
        <w:adjustRightInd/>
        <w:snapToGrid/>
        <w:spacing w:line="440" w:lineRule="exact"/>
        <w:ind w:left="0" w:leftChars="0"/>
        <w:jc w:val="both"/>
        <w:textAlignment w:val="auto"/>
        <w:rPr>
          <w:rStyle w:val="31"/>
          <w:rFonts w:hint="eastAsia" w:ascii="宋体" w:hAnsi="宋体" w:eastAsia="宋体" w:cs="宋体"/>
          <w:color w:val="auto"/>
          <w:u w:val="single"/>
        </w:rPr>
      </w:pPr>
      <w:r>
        <w:rPr>
          <w:rStyle w:val="31"/>
          <w:rFonts w:hint="eastAsia" w:ascii="宋体" w:hAnsi="宋体" w:eastAsia="宋体" w:cs="宋体"/>
          <w:color w:val="auto"/>
          <w:u w:val="single"/>
          <w:lang w:val="en-US"/>
        </w:rPr>
        <w:t xml:space="preserve">    </w:t>
      </w:r>
      <w:r>
        <w:rPr>
          <w:rStyle w:val="31"/>
          <w:rFonts w:hint="eastAsia" w:ascii="宋体" w:hAnsi="宋体" w:eastAsia="宋体" w:cs="宋体"/>
          <w:color w:val="auto"/>
        </w:rPr>
        <w:t>年</w:t>
      </w:r>
      <w:r>
        <w:rPr>
          <w:rStyle w:val="31"/>
          <w:rFonts w:hint="eastAsia" w:ascii="宋体" w:hAnsi="宋体" w:eastAsia="宋体" w:cs="宋体"/>
          <w:color w:val="auto"/>
          <w:u w:val="single"/>
        </w:rPr>
        <w:tab/>
      </w:r>
      <w:r>
        <w:rPr>
          <w:rStyle w:val="31"/>
          <w:rFonts w:hint="eastAsia" w:ascii="宋体" w:hAnsi="宋体" w:eastAsia="宋体" w:cs="宋体"/>
          <w:color w:val="auto"/>
        </w:rPr>
        <w:t>月</w:t>
      </w:r>
      <w:r>
        <w:rPr>
          <w:rStyle w:val="31"/>
          <w:rFonts w:hint="eastAsia" w:ascii="宋体" w:hAnsi="宋体" w:eastAsia="宋体" w:cs="宋体"/>
          <w:color w:val="auto"/>
          <w:lang w:val="en-US"/>
        </w:rPr>
        <w:t xml:space="preserve">   </w:t>
      </w:r>
      <w:r>
        <w:rPr>
          <w:rStyle w:val="31"/>
          <w:rFonts w:hint="eastAsia" w:ascii="宋体" w:hAnsi="宋体" w:eastAsia="宋体" w:cs="宋体"/>
          <w:color w:val="auto"/>
          <w:u w:val="single"/>
          <w:lang w:val="en-US"/>
        </w:rPr>
        <w:t xml:space="preserve"> </w:t>
      </w:r>
      <w:r>
        <w:rPr>
          <w:rStyle w:val="31"/>
          <w:rFonts w:hint="eastAsia" w:ascii="宋体" w:hAnsi="宋体" w:eastAsia="宋体" w:cs="宋体"/>
          <w:color w:val="auto"/>
        </w:rPr>
        <w:t>日</w:t>
      </w:r>
      <w:r>
        <w:rPr>
          <w:rStyle w:val="31"/>
          <w:rFonts w:hint="eastAsia" w:ascii="宋体" w:hAnsi="宋体" w:eastAsia="宋体" w:cs="宋体"/>
          <w:color w:val="auto"/>
          <w:lang w:val="en-US"/>
        </w:rPr>
        <w:t xml:space="preserve">      </w:t>
      </w:r>
      <w:r>
        <w:rPr>
          <w:rStyle w:val="31"/>
          <w:rFonts w:hint="eastAsia" w:ascii="宋体" w:hAnsi="宋体" w:eastAsia="宋体" w:cs="宋体"/>
          <w:color w:val="auto"/>
        </w:rPr>
        <w:tab/>
      </w:r>
      <w:r>
        <w:rPr>
          <w:rStyle w:val="31"/>
          <w:rFonts w:hint="eastAsia" w:ascii="宋体" w:hAnsi="宋体" w:eastAsia="宋体" w:cs="宋体"/>
          <w:color w:val="auto"/>
          <w:lang w:val="en-US"/>
        </w:rPr>
        <w:t xml:space="preserve">                </w:t>
      </w:r>
      <w:r>
        <w:rPr>
          <w:rStyle w:val="31"/>
          <w:rFonts w:hint="eastAsia" w:ascii="宋体" w:hAnsi="宋体" w:eastAsia="宋体" w:cs="宋体"/>
          <w:color w:val="auto"/>
          <w:u w:val="single"/>
          <w:lang w:val="en-US"/>
        </w:rPr>
        <w:t xml:space="preserve">       </w:t>
      </w:r>
      <w:r>
        <w:rPr>
          <w:rStyle w:val="31"/>
          <w:rFonts w:hint="eastAsia" w:ascii="宋体" w:hAnsi="宋体" w:eastAsia="宋体" w:cs="宋体"/>
          <w:color w:val="auto"/>
        </w:rPr>
        <w:t>年</w:t>
      </w:r>
      <w:r>
        <w:rPr>
          <w:rStyle w:val="31"/>
          <w:rFonts w:hint="eastAsia" w:ascii="宋体" w:hAnsi="宋体" w:eastAsia="宋体" w:cs="宋体"/>
          <w:color w:val="auto"/>
          <w:u w:val="single"/>
        </w:rPr>
        <w:t xml:space="preserve">    </w:t>
      </w:r>
      <w:r>
        <w:rPr>
          <w:rStyle w:val="31"/>
          <w:rFonts w:hint="eastAsia" w:ascii="宋体" w:hAnsi="宋体" w:eastAsia="宋体" w:cs="宋体"/>
          <w:color w:val="auto"/>
        </w:rPr>
        <w:t>月</w:t>
      </w:r>
      <w:r>
        <w:rPr>
          <w:rStyle w:val="31"/>
          <w:rFonts w:hint="eastAsia" w:ascii="宋体" w:hAnsi="宋体" w:eastAsia="宋体" w:cs="宋体"/>
          <w:color w:val="auto"/>
          <w:u w:val="single"/>
        </w:rPr>
        <w:t xml:space="preserve">    </w:t>
      </w:r>
      <w:r>
        <w:rPr>
          <w:rStyle w:val="31"/>
          <w:rFonts w:hint="eastAsia" w:ascii="宋体" w:hAnsi="宋体" w:eastAsia="宋体" w:cs="宋体"/>
          <w:color w:val="auto"/>
        </w:rPr>
        <w:t>日</w:t>
      </w:r>
      <w:r>
        <w:rPr>
          <w:rStyle w:val="31"/>
          <w:rFonts w:hint="eastAsia" w:ascii="宋体" w:hAnsi="宋体" w:eastAsia="宋体" w:cs="宋体"/>
          <w:color w:val="auto"/>
          <w:u w:val="single"/>
        </w:rPr>
        <w:t xml:space="preserve">       </w:t>
      </w:r>
    </w:p>
    <w:p w14:paraId="1C12F2C7">
      <w:pPr>
        <w:pStyle w:val="95"/>
        <w:pageBreakBefore w:val="0"/>
        <w:widowControl w:val="0"/>
        <w:numPr>
          <w:ilvl w:val="0"/>
          <w:numId w:val="50"/>
        </w:numPr>
        <w:tabs>
          <w:tab w:val="left" w:pos="716"/>
        </w:tabs>
        <w:kinsoku/>
        <w:wordWrap/>
        <w:overflowPunct/>
        <w:topLinePunct w:val="0"/>
        <w:autoSpaceDE/>
        <w:autoSpaceDN/>
        <w:bidi w:val="0"/>
        <w:adjustRightInd/>
        <w:snapToGrid/>
        <w:spacing w:line="440" w:lineRule="exact"/>
        <w:ind w:left="0" w:leftChars="0"/>
        <w:jc w:val="both"/>
        <w:textAlignment w:val="auto"/>
        <w:rPr>
          <w:rFonts w:hint="eastAsia" w:ascii="宋体" w:hAnsi="宋体" w:eastAsia="宋体" w:cs="宋体"/>
          <w:color w:val="auto"/>
          <w:sz w:val="20"/>
          <w:highlight w:val="white"/>
        </w:rPr>
      </w:pPr>
      <w:bookmarkStart w:id="1909" w:name="_Toc7161"/>
      <w:bookmarkStart w:id="1910" w:name="_Toc21416"/>
      <w:bookmarkStart w:id="1911" w:name="bookmark1917"/>
      <w:bookmarkStart w:id="1912" w:name="_Toc10532"/>
      <w:bookmarkStart w:id="1913" w:name="bookmark1916"/>
      <w:bookmarkStart w:id="1914" w:name="bookmark1915"/>
      <w:r>
        <w:rPr>
          <w:rStyle w:val="31"/>
          <w:rFonts w:hint="eastAsia" w:ascii="宋体" w:hAnsi="宋体" w:eastAsia="宋体" w:cs="宋体"/>
          <w:b/>
          <w:bCs/>
          <w:color w:val="auto"/>
          <w:sz w:val="28"/>
          <w:szCs w:val="28"/>
          <w:lang w:eastAsia="zh-CN"/>
        </w:rPr>
        <w:br w:type="page"/>
      </w:r>
      <w:bookmarkEnd w:id="1909"/>
      <w:bookmarkEnd w:id="1910"/>
      <w:bookmarkEnd w:id="1911"/>
      <w:bookmarkEnd w:id="1912"/>
      <w:bookmarkEnd w:id="1913"/>
      <w:bookmarkEnd w:id="1914"/>
    </w:p>
    <w:p w14:paraId="6AC35BB6">
      <w:pPr>
        <w:rPr>
          <w:rFonts w:hint="eastAsia" w:ascii="宋体" w:hAnsi="宋体" w:cs="仿宋_GB2312"/>
          <w:b w:val="0"/>
          <w:color w:val="auto"/>
        </w:rPr>
      </w:pPr>
    </w:p>
    <w:p w14:paraId="6C0E3C32">
      <w:pPr>
        <w:rPr>
          <w:rFonts w:hint="eastAsia"/>
          <w:color w:val="auto"/>
        </w:rPr>
      </w:pPr>
    </w:p>
    <w:p w14:paraId="01DF56DC">
      <w:pPr>
        <w:pStyle w:val="2"/>
        <w:widowControl/>
        <w:jc w:val="center"/>
        <w:rPr>
          <w:rFonts w:hint="eastAsia" w:ascii="宋体" w:hAnsi="宋体" w:cs="仿宋_GB2312"/>
          <w:color w:val="auto"/>
        </w:rPr>
      </w:pPr>
      <w:r>
        <w:rPr>
          <w:rFonts w:hint="eastAsia" w:ascii="宋体" w:hAnsi="宋体" w:cs="仿宋_GB2312"/>
          <w:b w:val="0"/>
          <w:color w:val="auto"/>
        </w:rPr>
        <w:t>第七章 质疑、投诉材料格式</w:t>
      </w:r>
      <w:bookmarkEnd w:id="157"/>
    </w:p>
    <w:p w14:paraId="5F412313">
      <w:pPr>
        <w:spacing w:line="576" w:lineRule="auto"/>
        <w:rPr>
          <w:rFonts w:hint="eastAsia" w:ascii="宋体" w:hAnsi="宋体" w:eastAsia="宋体" w:cs="仿宋_GB2312"/>
          <w:b/>
          <w:bCs/>
          <w:color w:val="auto"/>
          <w:kern w:val="44"/>
          <w:sz w:val="44"/>
          <w:szCs w:val="44"/>
          <w:lang w:bidi="ar"/>
        </w:rPr>
        <w:sectPr>
          <w:footerReference r:id="rId6" w:type="default"/>
          <w:pgSz w:w="11910" w:h="16840"/>
          <w:pgMar w:top="1340" w:right="1417" w:bottom="1134" w:left="1440" w:header="720" w:footer="720" w:gutter="0"/>
          <w:pgNumType w:fmt="decimal"/>
          <w:cols w:space="425" w:num="1"/>
          <w:docGrid w:type="lines" w:linePitch="312" w:charSpace="0"/>
        </w:sectPr>
      </w:pPr>
    </w:p>
    <w:p w14:paraId="316ED141">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质疑函（格式）</w:t>
      </w:r>
    </w:p>
    <w:p w14:paraId="42224ABA">
      <w:pPr>
        <w:pStyle w:val="17"/>
        <w:widowControl/>
        <w:spacing w:line="360" w:lineRule="auto"/>
        <w:ind w:firstLine="482" w:firstLineChars="200"/>
        <w:rPr>
          <w:rFonts w:hAnsi="宋体"/>
          <w:b/>
          <w:bCs/>
          <w:color w:val="auto"/>
          <w:sz w:val="24"/>
          <w:szCs w:val="24"/>
        </w:rPr>
      </w:pPr>
      <w:r>
        <w:rPr>
          <w:rFonts w:hAnsi="宋体"/>
          <w:b/>
          <w:bCs/>
          <w:color w:val="auto"/>
          <w:sz w:val="24"/>
          <w:szCs w:val="24"/>
        </w:rPr>
        <w:t>一、质疑供应商基本信息：</w:t>
      </w:r>
    </w:p>
    <w:p w14:paraId="51EDC86E">
      <w:pPr>
        <w:pStyle w:val="17"/>
        <w:widowControl/>
        <w:spacing w:line="360" w:lineRule="auto"/>
        <w:ind w:firstLine="480" w:firstLineChars="200"/>
        <w:rPr>
          <w:rFonts w:hAnsi="宋体"/>
          <w:bCs/>
          <w:color w:val="auto"/>
          <w:sz w:val="24"/>
          <w:szCs w:val="24"/>
          <w:u w:val="single"/>
        </w:rPr>
      </w:pPr>
      <w:r>
        <w:rPr>
          <w:rFonts w:hAnsi="宋体"/>
          <w:bCs/>
          <w:color w:val="auto"/>
          <w:sz w:val="24"/>
          <w:szCs w:val="24"/>
        </w:rPr>
        <w:t>质疑供应商：</w:t>
      </w:r>
      <w:r>
        <w:rPr>
          <w:rFonts w:hAnsi="宋体"/>
          <w:bCs/>
          <w:color w:val="auto"/>
          <w:sz w:val="24"/>
          <w:szCs w:val="24"/>
          <w:u w:val="single"/>
        </w:rPr>
        <w:t xml:space="preserve">                                       </w:t>
      </w:r>
      <w:r>
        <w:rPr>
          <w:rFonts w:hAnsi="宋体"/>
          <w:bCs/>
          <w:color w:val="auto"/>
          <w:sz w:val="24"/>
          <w:szCs w:val="24"/>
        </w:rPr>
        <w:t xml:space="preserve">                 </w:t>
      </w:r>
    </w:p>
    <w:p w14:paraId="493E366E">
      <w:pPr>
        <w:pStyle w:val="17"/>
        <w:widowControl/>
        <w:spacing w:line="360" w:lineRule="auto"/>
        <w:ind w:firstLine="480" w:firstLineChars="200"/>
        <w:rPr>
          <w:rFonts w:hAnsi="宋体"/>
          <w:bCs/>
          <w:color w:val="auto"/>
          <w:sz w:val="24"/>
          <w:szCs w:val="24"/>
        </w:rPr>
      </w:pPr>
      <w:r>
        <w:rPr>
          <w:rFonts w:hAnsi="宋体"/>
          <w:bCs/>
          <w:color w:val="auto"/>
          <w:sz w:val="24"/>
          <w:szCs w:val="24"/>
        </w:rPr>
        <w:t>地址：</w:t>
      </w:r>
      <w:r>
        <w:rPr>
          <w:rFonts w:hAnsi="宋体"/>
          <w:bCs/>
          <w:color w:val="auto"/>
          <w:sz w:val="24"/>
          <w:szCs w:val="24"/>
          <w:u w:val="single"/>
        </w:rPr>
        <w:t xml:space="preserve">                                          </w:t>
      </w:r>
      <w:r>
        <w:rPr>
          <w:rFonts w:hAnsi="宋体"/>
          <w:bCs/>
          <w:color w:val="auto"/>
          <w:sz w:val="24"/>
          <w:szCs w:val="24"/>
        </w:rPr>
        <w:t>邮编：</w:t>
      </w:r>
      <w:r>
        <w:rPr>
          <w:rFonts w:hAnsi="宋体"/>
          <w:bCs/>
          <w:color w:val="auto"/>
          <w:sz w:val="24"/>
          <w:szCs w:val="24"/>
          <w:u w:val="single"/>
        </w:rPr>
        <w:t xml:space="preserve">                  </w:t>
      </w:r>
      <w:r>
        <w:rPr>
          <w:rFonts w:hAnsi="宋体"/>
          <w:bCs/>
          <w:color w:val="auto"/>
          <w:sz w:val="24"/>
          <w:szCs w:val="24"/>
        </w:rPr>
        <w:t xml:space="preserve">                 </w:t>
      </w:r>
    </w:p>
    <w:p w14:paraId="4BA43124">
      <w:pPr>
        <w:pStyle w:val="17"/>
        <w:widowControl/>
        <w:spacing w:line="360" w:lineRule="auto"/>
        <w:ind w:firstLine="480" w:firstLineChars="200"/>
        <w:rPr>
          <w:rFonts w:hAnsi="宋体"/>
          <w:bCs/>
          <w:color w:val="auto"/>
          <w:sz w:val="24"/>
          <w:szCs w:val="24"/>
        </w:rPr>
      </w:pPr>
      <w:r>
        <w:rPr>
          <w:rFonts w:hAnsi="宋体"/>
          <w:bCs/>
          <w:color w:val="auto"/>
          <w:sz w:val="24"/>
          <w:szCs w:val="24"/>
        </w:rPr>
        <w:t>联系人：</w:t>
      </w:r>
      <w:r>
        <w:rPr>
          <w:rFonts w:hAnsi="宋体"/>
          <w:bCs/>
          <w:color w:val="auto"/>
          <w:sz w:val="24"/>
          <w:szCs w:val="24"/>
          <w:u w:val="single"/>
        </w:rPr>
        <w:t xml:space="preserve">                     </w:t>
      </w:r>
      <w:r>
        <w:rPr>
          <w:rFonts w:hAnsi="宋体"/>
          <w:bCs/>
          <w:color w:val="auto"/>
          <w:sz w:val="24"/>
          <w:szCs w:val="24"/>
        </w:rPr>
        <w:t>联系电话：</w:t>
      </w:r>
      <w:r>
        <w:rPr>
          <w:rFonts w:hAnsi="宋体"/>
          <w:bCs/>
          <w:color w:val="auto"/>
          <w:sz w:val="24"/>
          <w:szCs w:val="24"/>
          <w:u w:val="single"/>
        </w:rPr>
        <w:t xml:space="preserve">                 </w:t>
      </w:r>
    </w:p>
    <w:p w14:paraId="0955ADAE">
      <w:pPr>
        <w:pStyle w:val="17"/>
        <w:widowControl/>
        <w:spacing w:line="360" w:lineRule="auto"/>
        <w:ind w:firstLine="480" w:firstLineChars="200"/>
        <w:rPr>
          <w:rFonts w:hAnsi="宋体"/>
          <w:bCs/>
          <w:color w:val="auto"/>
          <w:sz w:val="24"/>
          <w:szCs w:val="24"/>
        </w:rPr>
      </w:pPr>
      <w:r>
        <w:rPr>
          <w:rFonts w:hAnsi="宋体"/>
          <w:bCs/>
          <w:color w:val="auto"/>
          <w:sz w:val="24"/>
          <w:szCs w:val="24"/>
        </w:rPr>
        <w:t>授权代表：</w:t>
      </w:r>
      <w:r>
        <w:rPr>
          <w:rFonts w:hAnsi="宋体"/>
          <w:bCs/>
          <w:color w:val="auto"/>
          <w:sz w:val="24"/>
          <w:szCs w:val="24"/>
          <w:u w:val="single"/>
        </w:rPr>
        <w:t xml:space="preserve">                      </w:t>
      </w:r>
    </w:p>
    <w:p w14:paraId="416A8C47">
      <w:pPr>
        <w:pStyle w:val="17"/>
        <w:widowControl/>
        <w:spacing w:line="360" w:lineRule="auto"/>
        <w:ind w:firstLine="480" w:firstLineChars="200"/>
        <w:rPr>
          <w:rFonts w:hAnsi="宋体"/>
          <w:bCs/>
          <w:color w:val="auto"/>
          <w:sz w:val="24"/>
          <w:szCs w:val="24"/>
          <w:u w:val="single"/>
        </w:rPr>
      </w:pPr>
      <w:r>
        <w:rPr>
          <w:rFonts w:hAnsi="宋体"/>
          <w:bCs/>
          <w:color w:val="auto"/>
          <w:sz w:val="24"/>
          <w:szCs w:val="24"/>
        </w:rPr>
        <w:t>联系电话：</w:t>
      </w:r>
      <w:r>
        <w:rPr>
          <w:rFonts w:hAnsi="宋体"/>
          <w:bCs/>
          <w:color w:val="auto"/>
          <w:sz w:val="24"/>
          <w:szCs w:val="24"/>
          <w:u w:val="single"/>
        </w:rPr>
        <w:t xml:space="preserve">                      </w:t>
      </w:r>
    </w:p>
    <w:p w14:paraId="1D6BE4A7">
      <w:pPr>
        <w:pStyle w:val="17"/>
        <w:widowControl/>
        <w:spacing w:line="360" w:lineRule="auto"/>
        <w:ind w:firstLine="480" w:firstLineChars="200"/>
        <w:rPr>
          <w:rFonts w:hAnsi="宋体"/>
          <w:bCs/>
          <w:color w:val="auto"/>
          <w:sz w:val="24"/>
          <w:szCs w:val="24"/>
        </w:rPr>
      </w:pPr>
      <w:r>
        <w:rPr>
          <w:rFonts w:hAnsi="宋体"/>
          <w:bCs/>
          <w:color w:val="auto"/>
          <w:sz w:val="24"/>
          <w:szCs w:val="24"/>
        </w:rPr>
        <w:t>地址：</w:t>
      </w:r>
      <w:r>
        <w:rPr>
          <w:rFonts w:hAnsi="宋体"/>
          <w:bCs/>
          <w:color w:val="auto"/>
          <w:sz w:val="24"/>
          <w:szCs w:val="24"/>
          <w:u w:val="single"/>
        </w:rPr>
        <w:t xml:space="preserve">                 </w:t>
      </w:r>
      <w:r>
        <w:rPr>
          <w:rFonts w:hAnsi="宋体"/>
          <w:bCs/>
          <w:color w:val="auto"/>
          <w:sz w:val="24"/>
          <w:szCs w:val="24"/>
        </w:rPr>
        <w:t>邮编：</w:t>
      </w:r>
      <w:r>
        <w:rPr>
          <w:rFonts w:hAnsi="宋体"/>
          <w:bCs/>
          <w:color w:val="auto"/>
          <w:sz w:val="24"/>
          <w:szCs w:val="24"/>
          <w:u w:val="single"/>
        </w:rPr>
        <w:t xml:space="preserve">                  </w:t>
      </w:r>
      <w:r>
        <w:rPr>
          <w:rFonts w:hAnsi="宋体"/>
          <w:bCs/>
          <w:color w:val="auto"/>
          <w:sz w:val="24"/>
          <w:szCs w:val="24"/>
        </w:rPr>
        <w:t xml:space="preserve">     </w:t>
      </w:r>
    </w:p>
    <w:p w14:paraId="18D9DF6A">
      <w:pPr>
        <w:pStyle w:val="17"/>
        <w:widowControl/>
        <w:spacing w:line="360" w:lineRule="auto"/>
        <w:ind w:firstLine="482" w:firstLineChars="200"/>
        <w:rPr>
          <w:rFonts w:hAnsi="宋体"/>
          <w:b/>
          <w:bCs/>
          <w:color w:val="auto"/>
          <w:sz w:val="24"/>
          <w:szCs w:val="24"/>
        </w:rPr>
      </w:pPr>
      <w:r>
        <w:rPr>
          <w:rFonts w:hAnsi="宋体"/>
          <w:b/>
          <w:bCs/>
          <w:color w:val="auto"/>
          <w:sz w:val="24"/>
          <w:szCs w:val="24"/>
        </w:rPr>
        <w:t>二、质疑项目基本情况：</w:t>
      </w:r>
    </w:p>
    <w:p w14:paraId="74E3897A">
      <w:pPr>
        <w:pStyle w:val="27"/>
        <w:spacing w:line="360" w:lineRule="auto"/>
        <w:ind w:left="25" w:leftChars="12" w:firstLine="472" w:firstLineChars="197"/>
        <w:contextualSpacing/>
        <w:rPr>
          <w:rFonts w:hint="eastAsia" w:hAnsi="宋体"/>
          <w:color w:val="auto"/>
        </w:rPr>
      </w:pPr>
      <w:r>
        <w:rPr>
          <w:rFonts w:hAnsi="宋体"/>
          <w:bCs/>
          <w:color w:val="auto"/>
        </w:rPr>
        <w:t>质疑</w:t>
      </w:r>
      <w:r>
        <w:rPr>
          <w:rFonts w:hAnsi="宋体"/>
          <w:color w:val="auto"/>
        </w:rPr>
        <w:t>项目的名称：</w:t>
      </w:r>
      <w:r>
        <w:rPr>
          <w:rFonts w:hAnsi="宋体"/>
          <w:bCs/>
          <w:color w:val="auto"/>
          <w:u w:val="single"/>
        </w:rPr>
        <w:t xml:space="preserve"> </w:t>
      </w:r>
      <w:bookmarkStart w:id="1915" w:name="PO_3000001868_PM002_16"/>
      <w:r>
        <w:rPr>
          <w:rFonts w:hAnsi="宋体"/>
          <w:bCs/>
          <w:color w:val="auto"/>
          <w:u w:val="single"/>
        </w:rPr>
        <w:t>[项目采购-项目名称_16]</w:t>
      </w:r>
      <w:bookmarkEnd w:id="1915"/>
      <w:r>
        <w:rPr>
          <w:rFonts w:hAnsi="宋体"/>
          <w:bCs/>
          <w:color w:val="auto"/>
          <w:u w:val="single"/>
        </w:rPr>
        <w:t xml:space="preserve"> </w:t>
      </w:r>
    </w:p>
    <w:p w14:paraId="06D04EF5">
      <w:pPr>
        <w:pStyle w:val="27"/>
        <w:spacing w:line="360" w:lineRule="auto"/>
        <w:ind w:left="25" w:leftChars="12" w:firstLine="472" w:firstLineChars="197"/>
        <w:contextualSpacing/>
        <w:rPr>
          <w:rFonts w:hint="eastAsia" w:hAnsi="宋体"/>
          <w:color w:val="auto"/>
        </w:rPr>
      </w:pPr>
      <w:r>
        <w:rPr>
          <w:rFonts w:hAnsi="宋体"/>
          <w:bCs/>
          <w:color w:val="auto"/>
        </w:rPr>
        <w:t>质疑</w:t>
      </w:r>
      <w:r>
        <w:rPr>
          <w:rFonts w:hAnsi="宋体"/>
          <w:color w:val="auto"/>
        </w:rPr>
        <w:t>项目的编号：</w:t>
      </w:r>
      <w:bookmarkStart w:id="1916" w:name="PO_3000001868_PM001_13"/>
      <w:r>
        <w:rPr>
          <w:rFonts w:hAnsi="宋体"/>
          <w:bCs/>
          <w:color w:val="auto"/>
          <w:u w:val="single"/>
        </w:rPr>
        <w:t>[项目采购-项目编号_13]</w:t>
      </w:r>
      <w:bookmarkEnd w:id="1916"/>
      <w:r>
        <w:rPr>
          <w:rFonts w:hAnsi="宋体"/>
          <w:bCs/>
          <w:color w:val="auto"/>
          <w:u w:val="single"/>
        </w:rPr>
        <w:t xml:space="preserve"> </w:t>
      </w:r>
    </w:p>
    <w:p w14:paraId="26DA72AC">
      <w:pPr>
        <w:pStyle w:val="27"/>
        <w:spacing w:line="360" w:lineRule="auto"/>
        <w:ind w:left="25" w:leftChars="12" w:firstLine="472" w:firstLineChars="197"/>
        <w:contextualSpacing/>
        <w:rPr>
          <w:rFonts w:hint="eastAsia" w:hAnsi="宋体"/>
          <w:color w:val="auto"/>
        </w:rPr>
      </w:pPr>
      <w:r>
        <w:rPr>
          <w:rFonts w:hAnsi="宋体"/>
          <w:color w:val="auto"/>
        </w:rPr>
        <w:t>采购人名称：</w:t>
      </w:r>
      <w:r>
        <w:rPr>
          <w:rFonts w:hAnsi="宋体"/>
          <w:bCs/>
          <w:color w:val="auto"/>
          <w:u w:val="single"/>
        </w:rPr>
        <w:t xml:space="preserve">   </w:t>
      </w:r>
      <w:bookmarkStart w:id="1917" w:name="PO_3000001868_PM026_7"/>
      <w:r>
        <w:rPr>
          <w:rFonts w:hAnsi="宋体"/>
          <w:bCs/>
          <w:color w:val="auto"/>
          <w:u w:val="single"/>
        </w:rPr>
        <w:t>[项目采购-采购人_7]</w:t>
      </w:r>
      <w:bookmarkEnd w:id="1917"/>
      <w:r>
        <w:rPr>
          <w:rFonts w:hAnsi="宋体"/>
          <w:bCs/>
          <w:color w:val="auto"/>
          <w:u w:val="single"/>
        </w:rPr>
        <w:t xml:space="preserve">  </w:t>
      </w:r>
    </w:p>
    <w:p w14:paraId="35E3F27E">
      <w:pPr>
        <w:pStyle w:val="27"/>
        <w:spacing w:line="360" w:lineRule="auto"/>
        <w:ind w:left="25" w:leftChars="12" w:firstLine="472" w:firstLineChars="197"/>
        <w:contextualSpacing/>
        <w:rPr>
          <w:rFonts w:hint="eastAsia" w:hAnsi="宋体"/>
          <w:color w:val="auto"/>
        </w:rPr>
      </w:pPr>
      <w:r>
        <w:rPr>
          <w:rFonts w:hAnsi="宋体"/>
          <w:color w:val="auto"/>
        </w:rPr>
        <w:t>质疑事项：</w:t>
      </w:r>
    </w:p>
    <w:p w14:paraId="0BD3E4CB">
      <w:pPr>
        <w:pStyle w:val="27"/>
        <w:spacing w:line="360" w:lineRule="auto"/>
        <w:ind w:left="25" w:leftChars="12" w:firstLine="352" w:firstLineChars="147"/>
        <w:contextualSpacing/>
        <w:rPr>
          <w:rFonts w:hint="eastAsia" w:hAnsi="宋体"/>
          <w:color w:val="auto"/>
        </w:rPr>
      </w:pPr>
      <w:r>
        <w:rPr>
          <w:rFonts w:hAnsi="宋体"/>
          <w:color w:val="auto"/>
        </w:rPr>
        <w:t>□采购文件   采购文件获取日期：</w:t>
      </w:r>
      <w:r>
        <w:rPr>
          <w:rFonts w:hAnsi="宋体"/>
          <w:bCs/>
          <w:color w:val="auto"/>
          <w:u w:val="single"/>
        </w:rPr>
        <w:t xml:space="preserve">                                   </w:t>
      </w:r>
    </w:p>
    <w:p w14:paraId="5E070AC3">
      <w:pPr>
        <w:pStyle w:val="27"/>
        <w:spacing w:line="360" w:lineRule="auto"/>
        <w:ind w:left="25" w:leftChars="12" w:firstLine="352" w:firstLineChars="147"/>
        <w:contextualSpacing/>
        <w:rPr>
          <w:rFonts w:hint="eastAsia" w:hAnsi="宋体"/>
          <w:color w:val="auto"/>
        </w:rPr>
      </w:pPr>
      <w:r>
        <w:rPr>
          <w:rFonts w:hAnsi="宋体"/>
          <w:color w:val="auto"/>
        </w:rPr>
        <w:t xml:space="preserve">□采购过程   </w:t>
      </w:r>
    </w:p>
    <w:p w14:paraId="73DAA2E4">
      <w:pPr>
        <w:pStyle w:val="27"/>
        <w:spacing w:line="360" w:lineRule="auto"/>
        <w:ind w:left="25" w:leftChars="12" w:firstLine="352" w:firstLineChars="147"/>
        <w:contextualSpacing/>
        <w:rPr>
          <w:rFonts w:hint="eastAsia" w:hAnsi="宋体"/>
          <w:bCs/>
          <w:color w:val="auto"/>
          <w:u w:val="single"/>
        </w:rPr>
      </w:pPr>
      <w:r>
        <w:rPr>
          <w:rFonts w:hAnsi="宋体"/>
          <w:color w:val="auto"/>
        </w:rPr>
        <w:t xml:space="preserve">□成交结果   </w:t>
      </w:r>
    </w:p>
    <w:p w14:paraId="42C4393C">
      <w:pPr>
        <w:pStyle w:val="27"/>
        <w:spacing w:line="360" w:lineRule="auto"/>
        <w:ind w:left="25" w:leftChars="12" w:firstLine="472" w:firstLineChars="196"/>
        <w:contextualSpacing/>
        <w:rPr>
          <w:rFonts w:hint="eastAsia" w:hAnsi="宋体"/>
          <w:b/>
          <w:color w:val="auto"/>
        </w:rPr>
      </w:pPr>
      <w:r>
        <w:rPr>
          <w:rFonts w:hAnsi="宋体"/>
          <w:b/>
          <w:color w:val="auto"/>
        </w:rPr>
        <w:t>三、质疑事项具体内容</w:t>
      </w:r>
    </w:p>
    <w:p w14:paraId="37DCA5D0">
      <w:pPr>
        <w:pStyle w:val="27"/>
        <w:spacing w:line="360" w:lineRule="auto"/>
        <w:ind w:left="25" w:leftChars="12" w:firstLine="472" w:firstLineChars="197"/>
        <w:contextualSpacing/>
        <w:rPr>
          <w:rFonts w:hint="eastAsia" w:hAnsi="宋体"/>
          <w:color w:val="auto"/>
        </w:rPr>
      </w:pPr>
      <w:r>
        <w:rPr>
          <w:rFonts w:hAnsi="宋体"/>
          <w:color w:val="auto"/>
        </w:rPr>
        <w:t>质疑事项1：</w:t>
      </w:r>
      <w:r>
        <w:rPr>
          <w:rFonts w:hAnsi="宋体"/>
          <w:bCs/>
          <w:color w:val="auto"/>
          <w:u w:val="single"/>
        </w:rPr>
        <w:t xml:space="preserve">                                                                    </w:t>
      </w:r>
    </w:p>
    <w:p w14:paraId="03752B36">
      <w:pPr>
        <w:pStyle w:val="27"/>
        <w:spacing w:line="360" w:lineRule="auto"/>
        <w:ind w:left="25" w:leftChars="12" w:firstLine="472" w:firstLineChars="197"/>
        <w:contextualSpacing/>
        <w:rPr>
          <w:rFonts w:hint="eastAsia" w:hAnsi="宋体"/>
          <w:color w:val="auto"/>
        </w:rPr>
      </w:pPr>
      <w:r>
        <w:rPr>
          <w:rFonts w:hAnsi="宋体"/>
          <w:color w:val="auto"/>
        </w:rPr>
        <w:t>事实依据：</w:t>
      </w:r>
      <w:r>
        <w:rPr>
          <w:rFonts w:hAnsi="宋体"/>
          <w:bCs/>
          <w:color w:val="auto"/>
          <w:u w:val="single"/>
        </w:rPr>
        <w:t xml:space="preserve">                                                                      </w:t>
      </w:r>
    </w:p>
    <w:p w14:paraId="2BAEA8C1">
      <w:pPr>
        <w:pStyle w:val="27"/>
        <w:spacing w:line="360" w:lineRule="auto"/>
        <w:ind w:left="25" w:leftChars="12" w:firstLine="472" w:firstLineChars="197"/>
        <w:contextualSpacing/>
        <w:rPr>
          <w:rFonts w:hint="eastAsia" w:hAnsi="宋体"/>
          <w:color w:val="auto"/>
        </w:rPr>
      </w:pPr>
      <w:r>
        <w:rPr>
          <w:rFonts w:hAnsi="宋体"/>
          <w:color w:val="auto"/>
        </w:rPr>
        <w:t>法律依据：</w:t>
      </w:r>
      <w:r>
        <w:rPr>
          <w:rFonts w:hAnsi="宋体"/>
          <w:color w:val="auto"/>
          <w:u w:val="single"/>
        </w:rPr>
        <w:t xml:space="preserve">                                                        </w:t>
      </w:r>
      <w:r>
        <w:rPr>
          <w:rFonts w:hAnsi="宋体"/>
          <w:bCs/>
          <w:color w:val="auto"/>
          <w:u w:val="single"/>
        </w:rPr>
        <w:t xml:space="preserve">               </w:t>
      </w:r>
    </w:p>
    <w:p w14:paraId="0E0C3418">
      <w:pPr>
        <w:pStyle w:val="27"/>
        <w:spacing w:line="360" w:lineRule="auto"/>
        <w:ind w:left="25" w:leftChars="12" w:firstLine="472" w:firstLineChars="197"/>
        <w:contextualSpacing/>
        <w:rPr>
          <w:rFonts w:hint="eastAsia" w:hAnsi="宋体"/>
          <w:color w:val="auto"/>
        </w:rPr>
      </w:pPr>
      <w:r>
        <w:rPr>
          <w:rFonts w:hAnsi="宋体"/>
          <w:color w:val="auto"/>
        </w:rPr>
        <w:t>质疑事项2</w:t>
      </w:r>
    </w:p>
    <w:p w14:paraId="441BFC53">
      <w:pPr>
        <w:pStyle w:val="27"/>
        <w:spacing w:line="360" w:lineRule="auto"/>
        <w:ind w:left="25" w:leftChars="12" w:firstLine="472" w:firstLineChars="197"/>
        <w:contextualSpacing/>
        <w:rPr>
          <w:rFonts w:hint="eastAsia" w:hAnsi="宋体"/>
          <w:color w:val="auto"/>
        </w:rPr>
      </w:pPr>
      <w:r>
        <w:rPr>
          <w:rFonts w:hAnsi="宋体"/>
          <w:color w:val="auto"/>
        </w:rPr>
        <w:t>……</w:t>
      </w:r>
    </w:p>
    <w:p w14:paraId="791C4B7B">
      <w:pPr>
        <w:pStyle w:val="27"/>
        <w:spacing w:line="360" w:lineRule="auto"/>
        <w:ind w:left="25" w:leftChars="12" w:firstLine="472" w:firstLineChars="197"/>
        <w:contextualSpacing/>
        <w:rPr>
          <w:rFonts w:hint="eastAsia" w:hAnsi="宋体"/>
          <w:color w:val="auto"/>
        </w:rPr>
      </w:pPr>
      <w:r>
        <w:rPr>
          <w:rFonts w:hAnsi="宋体"/>
          <w:color w:val="auto"/>
        </w:rPr>
        <w:t>四、与质疑事项相关的质疑请求：</w:t>
      </w:r>
    </w:p>
    <w:p w14:paraId="35B79ECA">
      <w:pPr>
        <w:pStyle w:val="27"/>
        <w:spacing w:line="360" w:lineRule="auto"/>
        <w:ind w:left="25" w:leftChars="12" w:firstLine="472" w:firstLineChars="197"/>
        <w:contextualSpacing/>
        <w:rPr>
          <w:rFonts w:hint="eastAsia" w:hAnsi="宋体"/>
          <w:color w:val="auto"/>
        </w:rPr>
      </w:pPr>
      <w:r>
        <w:rPr>
          <w:rFonts w:hAnsi="宋体"/>
          <w:color w:val="auto"/>
        </w:rPr>
        <w:t>请求：</w:t>
      </w:r>
      <w:r>
        <w:rPr>
          <w:rFonts w:hAnsi="宋体"/>
          <w:bCs/>
          <w:color w:val="auto"/>
          <w:u w:val="single"/>
        </w:rPr>
        <w:t xml:space="preserve">                                                                </w:t>
      </w:r>
    </w:p>
    <w:p w14:paraId="644CE67E">
      <w:pPr>
        <w:pStyle w:val="27"/>
        <w:spacing w:line="360" w:lineRule="auto"/>
        <w:ind w:left="25" w:leftChars="12" w:firstLine="352" w:firstLineChars="147"/>
        <w:contextualSpacing/>
        <w:rPr>
          <w:rFonts w:hint="eastAsia" w:hAnsi="宋体"/>
          <w:color w:val="auto"/>
        </w:rPr>
      </w:pPr>
    </w:p>
    <w:p w14:paraId="341D45DF">
      <w:pPr>
        <w:pStyle w:val="27"/>
        <w:spacing w:line="360" w:lineRule="auto"/>
        <w:ind w:left="25" w:leftChars="12" w:firstLine="472" w:firstLineChars="197"/>
        <w:contextualSpacing/>
        <w:rPr>
          <w:rFonts w:hint="eastAsia" w:hAnsi="宋体"/>
          <w:color w:val="auto"/>
        </w:rPr>
      </w:pPr>
      <w:r>
        <w:rPr>
          <w:rFonts w:hAnsi="宋体"/>
          <w:color w:val="auto"/>
        </w:rPr>
        <w:t>签字（签章）：                                       公章：</w:t>
      </w:r>
    </w:p>
    <w:p w14:paraId="5DA866AE">
      <w:pPr>
        <w:pStyle w:val="27"/>
        <w:spacing w:line="360" w:lineRule="auto"/>
        <w:ind w:left="25" w:leftChars="12" w:firstLine="352" w:firstLineChars="147"/>
        <w:contextualSpacing/>
        <w:rPr>
          <w:rFonts w:hint="eastAsia" w:hAnsi="宋体"/>
          <w:color w:val="auto"/>
        </w:rPr>
      </w:pPr>
    </w:p>
    <w:p w14:paraId="5F5C5570">
      <w:pPr>
        <w:pStyle w:val="27"/>
        <w:spacing w:line="360" w:lineRule="auto"/>
        <w:ind w:left="25" w:leftChars="12" w:firstLine="472" w:firstLineChars="197"/>
        <w:contextualSpacing/>
        <w:rPr>
          <w:rFonts w:hint="eastAsia" w:hAnsi="宋体"/>
          <w:color w:val="auto"/>
        </w:rPr>
      </w:pPr>
      <w:r>
        <w:rPr>
          <w:rFonts w:hAnsi="宋体"/>
          <w:color w:val="auto"/>
        </w:rPr>
        <w:t>日期：</w:t>
      </w:r>
    </w:p>
    <w:p w14:paraId="784AFC89">
      <w:pPr>
        <w:pStyle w:val="17"/>
        <w:widowControl/>
        <w:spacing w:line="360" w:lineRule="auto"/>
        <w:rPr>
          <w:rFonts w:hAnsi="宋体"/>
          <w:b/>
          <w:color w:val="auto"/>
          <w:sz w:val="24"/>
          <w:szCs w:val="24"/>
        </w:rPr>
      </w:pPr>
    </w:p>
    <w:p w14:paraId="066CC09D">
      <w:pPr>
        <w:pStyle w:val="17"/>
        <w:widowControl/>
        <w:spacing w:line="360" w:lineRule="auto"/>
        <w:rPr>
          <w:rFonts w:hAnsi="宋体"/>
          <w:b/>
          <w:color w:val="auto"/>
          <w:sz w:val="24"/>
          <w:szCs w:val="24"/>
        </w:rPr>
      </w:pPr>
    </w:p>
    <w:p w14:paraId="30BDC6A5">
      <w:pPr>
        <w:pStyle w:val="17"/>
        <w:widowControl/>
        <w:spacing w:line="360" w:lineRule="auto"/>
        <w:rPr>
          <w:rFonts w:hAnsi="宋体"/>
          <w:b/>
          <w:color w:val="auto"/>
          <w:sz w:val="24"/>
          <w:szCs w:val="24"/>
        </w:rPr>
      </w:pPr>
      <w:r>
        <w:rPr>
          <w:rFonts w:hAnsi="宋体"/>
          <w:b/>
          <w:color w:val="auto"/>
          <w:sz w:val="24"/>
          <w:szCs w:val="24"/>
        </w:rPr>
        <w:t>说明：</w:t>
      </w:r>
    </w:p>
    <w:p w14:paraId="3D6253A6">
      <w:pPr>
        <w:pStyle w:val="27"/>
        <w:spacing w:line="360" w:lineRule="auto"/>
        <w:ind w:left="25" w:leftChars="12" w:firstLine="354" w:firstLineChars="147"/>
        <w:contextualSpacing/>
        <w:rPr>
          <w:rFonts w:hint="eastAsia" w:hAnsi="宋体"/>
          <w:b/>
          <w:bCs/>
          <w:color w:val="auto"/>
        </w:rPr>
      </w:pPr>
      <w:r>
        <w:rPr>
          <w:rFonts w:hAnsi="宋体"/>
          <w:b/>
          <w:color w:val="auto"/>
        </w:rPr>
        <w:t>1.供应商提出质疑时，应提交质疑函和必要的证明材料</w:t>
      </w:r>
      <w:r>
        <w:rPr>
          <w:rFonts w:hAnsi="宋体"/>
          <w:b/>
          <w:bCs/>
          <w:color w:val="auto"/>
        </w:rPr>
        <w:t>。</w:t>
      </w:r>
    </w:p>
    <w:p w14:paraId="165D336F">
      <w:pPr>
        <w:pStyle w:val="27"/>
        <w:spacing w:line="360" w:lineRule="auto"/>
        <w:ind w:left="25" w:leftChars="12" w:firstLine="354" w:firstLineChars="147"/>
        <w:contextualSpacing/>
        <w:rPr>
          <w:rFonts w:hint="eastAsia" w:hAnsi="宋体"/>
          <w:b/>
          <w:color w:val="auto"/>
        </w:rPr>
      </w:pPr>
      <w:r>
        <w:rPr>
          <w:rFonts w:hAnsi="宋体"/>
          <w:b/>
          <w:color w:val="auto"/>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CCF0D96">
      <w:pPr>
        <w:pStyle w:val="27"/>
        <w:spacing w:line="360" w:lineRule="auto"/>
        <w:ind w:left="25" w:leftChars="12" w:firstLine="354" w:firstLineChars="147"/>
        <w:contextualSpacing/>
        <w:rPr>
          <w:rFonts w:hint="eastAsia" w:hAnsi="宋体"/>
          <w:b/>
          <w:color w:val="auto"/>
        </w:rPr>
      </w:pPr>
      <w:r>
        <w:rPr>
          <w:rFonts w:hAnsi="宋体"/>
          <w:b/>
          <w:color w:val="auto"/>
        </w:rPr>
        <w:t>3.质疑函的质疑事项应具体、明确，并有必要的事实依据和法律依据。</w:t>
      </w:r>
    </w:p>
    <w:p w14:paraId="0516EA87">
      <w:pPr>
        <w:pStyle w:val="27"/>
        <w:spacing w:line="360" w:lineRule="auto"/>
        <w:ind w:left="25" w:leftChars="12" w:firstLine="354" w:firstLineChars="147"/>
        <w:contextualSpacing/>
        <w:rPr>
          <w:rFonts w:hint="eastAsia" w:hAnsi="宋体"/>
          <w:b/>
          <w:color w:val="auto"/>
        </w:rPr>
      </w:pPr>
      <w:r>
        <w:rPr>
          <w:rFonts w:hAnsi="宋体"/>
          <w:b/>
          <w:color w:val="auto"/>
        </w:rPr>
        <w:t>4.质疑函的质疑请求应与质疑事项相关。</w:t>
      </w:r>
    </w:p>
    <w:p w14:paraId="7DAE9B45">
      <w:pPr>
        <w:pStyle w:val="27"/>
        <w:spacing w:line="360" w:lineRule="auto"/>
        <w:ind w:left="25" w:leftChars="12" w:firstLine="354" w:firstLineChars="147"/>
        <w:contextualSpacing/>
        <w:rPr>
          <w:rFonts w:hint="eastAsia" w:hAnsi="宋体"/>
          <w:b/>
          <w:color w:val="auto"/>
        </w:rPr>
      </w:pPr>
      <w:r>
        <w:rPr>
          <w:rFonts w:hAnsi="宋体"/>
          <w:b/>
          <w:color w:val="auto"/>
        </w:rPr>
        <w:t>5.质疑供应商为法人或者其他组织的，质疑函应由法定代表人、主要负责人，或者其授权代表签字或者盖章，并加盖公章。</w:t>
      </w:r>
    </w:p>
    <w:p w14:paraId="3701BAE7">
      <w:pPr>
        <w:pStyle w:val="17"/>
        <w:widowControl/>
        <w:snapToGrid w:val="0"/>
        <w:rPr>
          <w:rFonts w:hint="default"/>
          <w:b/>
          <w:color w:val="auto"/>
          <w:sz w:val="24"/>
          <w:szCs w:val="24"/>
        </w:rPr>
      </w:pPr>
    </w:p>
    <w:p w14:paraId="1764B841">
      <w:pPr>
        <w:spacing w:line="460" w:lineRule="exact"/>
        <w:jc w:val="center"/>
        <w:rPr>
          <w:rFonts w:eastAsia="隶书"/>
          <w:color w:val="auto"/>
          <w:sz w:val="44"/>
        </w:rPr>
      </w:pPr>
      <w:r>
        <w:rPr>
          <w:rFonts w:ascii="Times New Roman" w:hAnsi="Times New Roman" w:eastAsia="隶书" w:cs="Times New Roman"/>
          <w:color w:val="auto"/>
          <w:sz w:val="44"/>
          <w:lang w:bidi="ar"/>
        </w:rPr>
        <w:br w:type="page"/>
      </w:r>
    </w:p>
    <w:p w14:paraId="4C4F9DC9">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投诉书（格式）</w:t>
      </w:r>
    </w:p>
    <w:p w14:paraId="3CB9A988">
      <w:pPr>
        <w:pStyle w:val="17"/>
        <w:widowControl/>
        <w:snapToGrid w:val="0"/>
        <w:spacing w:line="360" w:lineRule="auto"/>
        <w:ind w:firstLine="482" w:firstLineChars="200"/>
        <w:rPr>
          <w:rFonts w:hAnsi="宋体"/>
          <w:b/>
          <w:bCs/>
          <w:color w:val="auto"/>
          <w:sz w:val="24"/>
          <w:szCs w:val="24"/>
        </w:rPr>
      </w:pPr>
      <w:r>
        <w:rPr>
          <w:rFonts w:hAnsi="宋体"/>
          <w:b/>
          <w:bCs/>
          <w:color w:val="auto"/>
          <w:sz w:val="24"/>
          <w:szCs w:val="24"/>
        </w:rPr>
        <w:t>一、投诉相关主体基本情况：</w:t>
      </w:r>
    </w:p>
    <w:p w14:paraId="798117ED">
      <w:pPr>
        <w:pStyle w:val="17"/>
        <w:widowControl/>
        <w:snapToGrid w:val="0"/>
        <w:spacing w:line="360" w:lineRule="auto"/>
        <w:ind w:firstLine="480" w:firstLineChars="200"/>
        <w:rPr>
          <w:rFonts w:hAnsi="宋体"/>
          <w:bCs/>
          <w:color w:val="auto"/>
          <w:sz w:val="24"/>
          <w:szCs w:val="24"/>
          <w:u w:val="single"/>
        </w:rPr>
      </w:pPr>
      <w:r>
        <w:rPr>
          <w:rFonts w:hAnsi="宋体"/>
          <w:bCs/>
          <w:color w:val="auto"/>
          <w:sz w:val="24"/>
          <w:szCs w:val="24"/>
        </w:rPr>
        <w:t>供应商：</w:t>
      </w:r>
      <w:r>
        <w:rPr>
          <w:rFonts w:hAnsi="宋体"/>
          <w:bCs/>
          <w:color w:val="auto"/>
          <w:sz w:val="24"/>
          <w:szCs w:val="24"/>
          <w:u w:val="single"/>
        </w:rPr>
        <w:t xml:space="preserve">                                                                        </w:t>
      </w:r>
      <w:r>
        <w:rPr>
          <w:rFonts w:hAnsi="宋体"/>
          <w:bCs/>
          <w:color w:val="auto"/>
          <w:sz w:val="24"/>
          <w:szCs w:val="24"/>
        </w:rPr>
        <w:t xml:space="preserve">                 </w:t>
      </w:r>
    </w:p>
    <w:p w14:paraId="6F5F7BE6">
      <w:pPr>
        <w:pStyle w:val="17"/>
        <w:widowControl/>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Ansi="宋体"/>
          <w:bCs/>
          <w:color w:val="auto"/>
          <w:sz w:val="24"/>
          <w:szCs w:val="24"/>
          <w:u w:val="single"/>
        </w:rPr>
        <w:t xml:space="preserve">                                          </w:t>
      </w:r>
      <w:r>
        <w:rPr>
          <w:rFonts w:hAnsi="宋体"/>
          <w:bCs/>
          <w:color w:val="auto"/>
          <w:sz w:val="24"/>
          <w:szCs w:val="24"/>
        </w:rPr>
        <w:t>邮编：</w:t>
      </w:r>
      <w:r>
        <w:rPr>
          <w:rFonts w:hAnsi="宋体"/>
          <w:bCs/>
          <w:color w:val="auto"/>
          <w:sz w:val="24"/>
          <w:szCs w:val="24"/>
          <w:u w:val="single"/>
        </w:rPr>
        <w:t xml:space="preserve">                          </w:t>
      </w:r>
      <w:r>
        <w:rPr>
          <w:rFonts w:hAnsi="宋体"/>
          <w:bCs/>
          <w:color w:val="auto"/>
          <w:sz w:val="24"/>
          <w:szCs w:val="24"/>
        </w:rPr>
        <w:t xml:space="preserve">                 </w:t>
      </w:r>
    </w:p>
    <w:p w14:paraId="1BDCAC35">
      <w:pPr>
        <w:pStyle w:val="17"/>
        <w:widowControl/>
        <w:snapToGrid w:val="0"/>
        <w:spacing w:line="360" w:lineRule="auto"/>
        <w:ind w:firstLine="480" w:firstLineChars="200"/>
        <w:rPr>
          <w:rFonts w:hAnsi="宋体"/>
          <w:bCs/>
          <w:color w:val="auto"/>
          <w:sz w:val="24"/>
          <w:szCs w:val="24"/>
          <w:u w:val="single"/>
        </w:rPr>
      </w:pPr>
      <w:r>
        <w:rPr>
          <w:rFonts w:hAnsi="宋体"/>
          <w:bCs/>
          <w:color w:val="auto"/>
          <w:sz w:val="24"/>
          <w:szCs w:val="24"/>
        </w:rPr>
        <w:t>法定代表人/主要负责人：</w:t>
      </w:r>
      <w:r>
        <w:rPr>
          <w:rFonts w:hAnsi="宋体"/>
          <w:bCs/>
          <w:color w:val="auto"/>
          <w:sz w:val="24"/>
          <w:szCs w:val="24"/>
          <w:u w:val="single"/>
        </w:rPr>
        <w:t xml:space="preserve">                                                         </w:t>
      </w:r>
    </w:p>
    <w:p w14:paraId="630C996A">
      <w:pPr>
        <w:pStyle w:val="17"/>
        <w:widowControl/>
        <w:snapToGrid w:val="0"/>
        <w:spacing w:line="360" w:lineRule="auto"/>
        <w:ind w:firstLine="480" w:firstLineChars="200"/>
        <w:rPr>
          <w:rFonts w:hAnsi="宋体"/>
          <w:bCs/>
          <w:color w:val="auto"/>
          <w:sz w:val="24"/>
          <w:szCs w:val="24"/>
        </w:rPr>
      </w:pPr>
      <w:r>
        <w:rPr>
          <w:rFonts w:hAnsi="宋体"/>
          <w:bCs/>
          <w:color w:val="auto"/>
          <w:sz w:val="24"/>
          <w:szCs w:val="24"/>
        </w:rPr>
        <w:t>联系电话：</w:t>
      </w:r>
      <w:r>
        <w:rPr>
          <w:rFonts w:hAnsi="宋体"/>
          <w:bCs/>
          <w:color w:val="auto"/>
          <w:sz w:val="24"/>
          <w:szCs w:val="24"/>
          <w:u w:val="single"/>
        </w:rPr>
        <w:t xml:space="preserve">                                         </w:t>
      </w:r>
    </w:p>
    <w:p w14:paraId="28D639AE">
      <w:pPr>
        <w:pStyle w:val="17"/>
        <w:widowControl/>
        <w:snapToGrid w:val="0"/>
        <w:spacing w:line="360" w:lineRule="auto"/>
        <w:ind w:firstLine="480" w:firstLineChars="200"/>
        <w:rPr>
          <w:rFonts w:hAnsi="宋体"/>
          <w:bCs/>
          <w:color w:val="auto"/>
          <w:sz w:val="24"/>
          <w:szCs w:val="24"/>
          <w:u w:val="single"/>
        </w:rPr>
      </w:pPr>
      <w:r>
        <w:rPr>
          <w:rFonts w:hAnsi="宋体"/>
          <w:bCs/>
          <w:color w:val="auto"/>
          <w:sz w:val="24"/>
          <w:szCs w:val="24"/>
        </w:rPr>
        <w:t>授权代表：</w:t>
      </w:r>
      <w:r>
        <w:rPr>
          <w:rFonts w:hAnsi="宋体"/>
          <w:bCs/>
          <w:color w:val="auto"/>
          <w:sz w:val="24"/>
          <w:szCs w:val="24"/>
          <w:u w:val="single"/>
        </w:rPr>
        <w:t xml:space="preserve">                                         </w:t>
      </w:r>
      <w:r>
        <w:rPr>
          <w:rFonts w:hAnsi="宋体"/>
          <w:bCs/>
          <w:color w:val="auto"/>
          <w:sz w:val="24"/>
          <w:szCs w:val="24"/>
        </w:rPr>
        <w:t>联系电话：</w:t>
      </w:r>
      <w:r>
        <w:rPr>
          <w:rFonts w:hAnsi="宋体"/>
          <w:bCs/>
          <w:color w:val="auto"/>
          <w:sz w:val="24"/>
          <w:szCs w:val="24"/>
          <w:u w:val="single"/>
        </w:rPr>
        <w:t xml:space="preserve">                   </w:t>
      </w:r>
    </w:p>
    <w:p w14:paraId="1CE30166">
      <w:pPr>
        <w:pStyle w:val="17"/>
        <w:widowControl/>
        <w:snapToGrid w:val="0"/>
        <w:spacing w:line="360" w:lineRule="auto"/>
        <w:ind w:firstLine="480" w:firstLineChars="200"/>
        <w:rPr>
          <w:rFonts w:hAnsi="宋体"/>
          <w:bCs/>
          <w:color w:val="auto"/>
          <w:sz w:val="24"/>
          <w:szCs w:val="24"/>
          <w:u w:val="single"/>
        </w:rPr>
      </w:pPr>
      <w:r>
        <w:rPr>
          <w:rFonts w:hAnsi="宋体"/>
          <w:bCs/>
          <w:color w:val="auto"/>
          <w:sz w:val="24"/>
          <w:szCs w:val="24"/>
        </w:rPr>
        <w:t>地址：</w:t>
      </w:r>
      <w:r>
        <w:rPr>
          <w:rFonts w:hAnsi="宋体"/>
          <w:bCs/>
          <w:color w:val="auto"/>
          <w:sz w:val="24"/>
          <w:szCs w:val="24"/>
          <w:u w:val="single"/>
        </w:rPr>
        <w:t xml:space="preserve">                                                            </w:t>
      </w:r>
    </w:p>
    <w:p w14:paraId="5FA2CA70">
      <w:pPr>
        <w:pStyle w:val="17"/>
        <w:widowControl/>
        <w:snapToGrid w:val="0"/>
        <w:spacing w:line="360" w:lineRule="auto"/>
        <w:ind w:firstLine="480" w:firstLineChars="200"/>
        <w:rPr>
          <w:rFonts w:hAnsi="宋体"/>
          <w:bCs/>
          <w:color w:val="auto"/>
          <w:sz w:val="24"/>
          <w:szCs w:val="24"/>
        </w:rPr>
      </w:pPr>
      <w:r>
        <w:rPr>
          <w:rFonts w:hAnsi="宋体"/>
          <w:bCs/>
          <w:color w:val="auto"/>
          <w:sz w:val="24"/>
          <w:szCs w:val="24"/>
        </w:rPr>
        <w:t>邮编：</w:t>
      </w:r>
      <w:r>
        <w:rPr>
          <w:rFonts w:hAnsi="宋体"/>
          <w:bCs/>
          <w:color w:val="auto"/>
          <w:sz w:val="24"/>
          <w:szCs w:val="24"/>
          <w:u w:val="single"/>
        </w:rPr>
        <w:t xml:space="preserve">         </w:t>
      </w:r>
      <w:r>
        <w:rPr>
          <w:rFonts w:hAnsi="宋体"/>
          <w:bCs/>
          <w:color w:val="auto"/>
          <w:sz w:val="24"/>
          <w:szCs w:val="24"/>
        </w:rPr>
        <w:t xml:space="preserve">   </w:t>
      </w:r>
    </w:p>
    <w:p w14:paraId="52576192">
      <w:pPr>
        <w:pStyle w:val="17"/>
        <w:widowControl/>
        <w:snapToGrid w:val="0"/>
        <w:spacing w:line="360" w:lineRule="auto"/>
        <w:ind w:firstLine="480" w:firstLineChars="200"/>
        <w:rPr>
          <w:rFonts w:hAnsi="宋体"/>
          <w:bCs/>
          <w:color w:val="auto"/>
          <w:sz w:val="24"/>
          <w:szCs w:val="24"/>
        </w:rPr>
      </w:pPr>
      <w:r>
        <w:rPr>
          <w:rFonts w:hAnsi="宋体"/>
          <w:bCs/>
          <w:color w:val="auto"/>
          <w:sz w:val="24"/>
          <w:szCs w:val="24"/>
        </w:rPr>
        <w:t>被投诉人1：</w:t>
      </w:r>
    </w:p>
    <w:p w14:paraId="319898D6">
      <w:pPr>
        <w:pStyle w:val="17"/>
        <w:widowControl/>
        <w:snapToGrid w:val="0"/>
        <w:spacing w:line="360" w:lineRule="auto"/>
        <w:ind w:firstLine="480" w:firstLineChars="200"/>
        <w:rPr>
          <w:rFonts w:hAnsi="宋体"/>
          <w:bCs/>
          <w:color w:val="auto"/>
          <w:sz w:val="24"/>
          <w:szCs w:val="24"/>
          <w:u w:val="single"/>
        </w:rPr>
      </w:pPr>
      <w:r>
        <w:rPr>
          <w:rFonts w:hAnsi="宋体"/>
          <w:bCs/>
          <w:color w:val="auto"/>
          <w:sz w:val="24"/>
          <w:szCs w:val="24"/>
        </w:rPr>
        <w:t>地址：</w:t>
      </w:r>
      <w:r>
        <w:rPr>
          <w:rFonts w:hAnsi="宋体"/>
          <w:bCs/>
          <w:color w:val="auto"/>
          <w:sz w:val="24"/>
          <w:szCs w:val="24"/>
          <w:u w:val="single"/>
        </w:rPr>
        <w:t xml:space="preserve">                                                            </w:t>
      </w:r>
    </w:p>
    <w:p w14:paraId="2DE575BC">
      <w:pPr>
        <w:pStyle w:val="17"/>
        <w:widowControl/>
        <w:snapToGrid w:val="0"/>
        <w:spacing w:line="360" w:lineRule="auto"/>
        <w:ind w:firstLine="480" w:firstLineChars="200"/>
        <w:rPr>
          <w:rFonts w:hAnsi="宋体"/>
          <w:bCs/>
          <w:color w:val="auto"/>
          <w:sz w:val="24"/>
          <w:szCs w:val="24"/>
        </w:rPr>
      </w:pPr>
      <w:r>
        <w:rPr>
          <w:rFonts w:hAnsi="宋体"/>
          <w:bCs/>
          <w:color w:val="auto"/>
          <w:sz w:val="24"/>
          <w:szCs w:val="24"/>
        </w:rPr>
        <w:t>邮编：</w:t>
      </w:r>
      <w:r>
        <w:rPr>
          <w:rFonts w:hAnsi="宋体"/>
          <w:bCs/>
          <w:color w:val="auto"/>
          <w:sz w:val="24"/>
          <w:szCs w:val="24"/>
          <w:u w:val="single"/>
        </w:rPr>
        <w:t xml:space="preserve">         </w:t>
      </w:r>
      <w:r>
        <w:rPr>
          <w:rFonts w:hAnsi="宋体"/>
          <w:bCs/>
          <w:color w:val="auto"/>
          <w:sz w:val="24"/>
          <w:szCs w:val="24"/>
        </w:rPr>
        <w:t xml:space="preserve">  </w:t>
      </w:r>
    </w:p>
    <w:p w14:paraId="2E9F8890">
      <w:pPr>
        <w:pStyle w:val="17"/>
        <w:widowControl/>
        <w:snapToGrid w:val="0"/>
        <w:spacing w:line="360" w:lineRule="auto"/>
        <w:ind w:firstLine="480" w:firstLineChars="200"/>
        <w:rPr>
          <w:rFonts w:hAnsi="宋体"/>
          <w:bCs/>
          <w:color w:val="auto"/>
          <w:sz w:val="24"/>
          <w:szCs w:val="24"/>
          <w:u w:val="single"/>
        </w:rPr>
      </w:pPr>
      <w:r>
        <w:rPr>
          <w:rFonts w:hAnsi="宋体"/>
          <w:bCs/>
          <w:color w:val="auto"/>
          <w:sz w:val="24"/>
          <w:szCs w:val="24"/>
        </w:rPr>
        <w:t>联系人：</w:t>
      </w:r>
      <w:r>
        <w:rPr>
          <w:rFonts w:hAnsi="宋体"/>
          <w:bCs/>
          <w:color w:val="auto"/>
          <w:sz w:val="24"/>
          <w:szCs w:val="24"/>
          <w:u w:val="single"/>
        </w:rPr>
        <w:t xml:space="preserve">                                                </w:t>
      </w:r>
      <w:r>
        <w:rPr>
          <w:rFonts w:hAnsi="宋体"/>
          <w:bCs/>
          <w:color w:val="auto"/>
          <w:sz w:val="24"/>
          <w:szCs w:val="24"/>
        </w:rPr>
        <w:t>联系电话：</w:t>
      </w:r>
      <w:r>
        <w:rPr>
          <w:rFonts w:hAnsi="宋体"/>
          <w:bCs/>
          <w:color w:val="auto"/>
          <w:sz w:val="24"/>
          <w:szCs w:val="24"/>
          <w:u w:val="single"/>
        </w:rPr>
        <w:t xml:space="preserve">                </w:t>
      </w:r>
    </w:p>
    <w:p w14:paraId="1F4289D0">
      <w:pPr>
        <w:pStyle w:val="17"/>
        <w:widowControl/>
        <w:snapToGrid w:val="0"/>
        <w:spacing w:line="360" w:lineRule="auto"/>
        <w:ind w:firstLine="480" w:firstLineChars="200"/>
        <w:rPr>
          <w:rFonts w:hAnsi="宋体"/>
          <w:bCs/>
          <w:color w:val="auto"/>
          <w:sz w:val="24"/>
          <w:szCs w:val="24"/>
        </w:rPr>
      </w:pPr>
      <w:r>
        <w:rPr>
          <w:rFonts w:hAnsi="宋体"/>
          <w:bCs/>
          <w:color w:val="auto"/>
          <w:sz w:val="24"/>
          <w:szCs w:val="24"/>
        </w:rPr>
        <w:t>被投诉人2：</w:t>
      </w:r>
    </w:p>
    <w:p w14:paraId="30047B58">
      <w:pPr>
        <w:pStyle w:val="17"/>
        <w:widowControl/>
        <w:snapToGrid w:val="0"/>
        <w:spacing w:line="360" w:lineRule="auto"/>
        <w:ind w:firstLine="480" w:firstLineChars="200"/>
        <w:rPr>
          <w:rFonts w:hAnsi="宋体"/>
          <w:bCs/>
          <w:color w:val="auto"/>
          <w:sz w:val="24"/>
          <w:szCs w:val="24"/>
        </w:rPr>
      </w:pPr>
      <w:r>
        <w:rPr>
          <w:rFonts w:hAnsi="宋体"/>
          <w:bCs/>
          <w:color w:val="auto"/>
          <w:sz w:val="24"/>
          <w:szCs w:val="24"/>
        </w:rPr>
        <w:t>……</w:t>
      </w:r>
    </w:p>
    <w:p w14:paraId="30E6DE05">
      <w:pPr>
        <w:pStyle w:val="17"/>
        <w:widowControl/>
        <w:snapToGrid w:val="0"/>
        <w:spacing w:line="360" w:lineRule="auto"/>
        <w:ind w:firstLine="480" w:firstLineChars="200"/>
        <w:rPr>
          <w:rFonts w:hAnsi="宋体"/>
          <w:bCs/>
          <w:color w:val="auto"/>
          <w:sz w:val="24"/>
          <w:szCs w:val="24"/>
          <w:u w:val="single"/>
        </w:rPr>
      </w:pPr>
      <w:r>
        <w:rPr>
          <w:rFonts w:hAnsi="宋体"/>
          <w:bCs/>
          <w:color w:val="auto"/>
          <w:sz w:val="24"/>
          <w:szCs w:val="24"/>
        </w:rPr>
        <w:t>相关供应商：</w:t>
      </w:r>
      <w:r>
        <w:rPr>
          <w:rFonts w:hAnsi="宋体"/>
          <w:bCs/>
          <w:color w:val="auto"/>
          <w:sz w:val="24"/>
          <w:szCs w:val="24"/>
          <w:u w:val="single"/>
        </w:rPr>
        <w:t xml:space="preserve">                                                                       </w:t>
      </w:r>
    </w:p>
    <w:p w14:paraId="6228EF62">
      <w:pPr>
        <w:pStyle w:val="17"/>
        <w:widowControl/>
        <w:snapToGrid w:val="0"/>
        <w:spacing w:line="360" w:lineRule="auto"/>
        <w:ind w:firstLine="480" w:firstLineChars="200"/>
        <w:rPr>
          <w:rFonts w:hAnsi="宋体"/>
          <w:bCs/>
          <w:color w:val="auto"/>
          <w:sz w:val="24"/>
          <w:szCs w:val="24"/>
          <w:u w:val="single"/>
        </w:rPr>
      </w:pPr>
      <w:r>
        <w:rPr>
          <w:rFonts w:hAnsi="宋体"/>
          <w:bCs/>
          <w:color w:val="auto"/>
          <w:sz w:val="24"/>
          <w:szCs w:val="24"/>
        </w:rPr>
        <w:t>地址：</w:t>
      </w:r>
      <w:r>
        <w:rPr>
          <w:rFonts w:hAnsi="宋体"/>
          <w:bCs/>
          <w:color w:val="auto"/>
          <w:sz w:val="24"/>
          <w:szCs w:val="24"/>
          <w:u w:val="single"/>
        </w:rPr>
        <w:t xml:space="preserve">                                              </w:t>
      </w:r>
      <w:r>
        <w:rPr>
          <w:rFonts w:hAnsi="宋体"/>
          <w:bCs/>
          <w:color w:val="auto"/>
          <w:sz w:val="24"/>
          <w:szCs w:val="24"/>
        </w:rPr>
        <w:t>邮编：</w:t>
      </w:r>
      <w:r>
        <w:rPr>
          <w:rFonts w:hAnsi="宋体"/>
          <w:bCs/>
          <w:color w:val="auto"/>
          <w:sz w:val="24"/>
          <w:szCs w:val="24"/>
          <w:u w:val="single"/>
        </w:rPr>
        <w:t xml:space="preserve">                         </w:t>
      </w:r>
    </w:p>
    <w:p w14:paraId="6E450804">
      <w:pPr>
        <w:pStyle w:val="17"/>
        <w:widowControl/>
        <w:snapToGrid w:val="0"/>
        <w:spacing w:line="360" w:lineRule="auto"/>
        <w:ind w:firstLine="480" w:firstLineChars="200"/>
        <w:rPr>
          <w:rFonts w:hAnsi="宋体"/>
          <w:bCs/>
          <w:color w:val="auto"/>
          <w:sz w:val="24"/>
          <w:szCs w:val="24"/>
        </w:rPr>
      </w:pPr>
      <w:r>
        <w:rPr>
          <w:rFonts w:hAnsi="宋体"/>
          <w:bCs/>
          <w:color w:val="auto"/>
          <w:sz w:val="24"/>
          <w:szCs w:val="24"/>
        </w:rPr>
        <w:t>联系人：</w:t>
      </w:r>
      <w:r>
        <w:rPr>
          <w:rFonts w:hAnsi="宋体"/>
          <w:bCs/>
          <w:color w:val="auto"/>
          <w:sz w:val="24"/>
          <w:szCs w:val="24"/>
          <w:u w:val="single"/>
        </w:rPr>
        <w:t xml:space="preserve">                                            </w:t>
      </w:r>
      <w:r>
        <w:rPr>
          <w:rFonts w:hAnsi="宋体"/>
          <w:bCs/>
          <w:color w:val="auto"/>
          <w:sz w:val="24"/>
          <w:szCs w:val="24"/>
        </w:rPr>
        <w:t>联系电话：</w:t>
      </w:r>
      <w:r>
        <w:rPr>
          <w:rFonts w:hAnsi="宋体"/>
          <w:bCs/>
          <w:color w:val="auto"/>
          <w:sz w:val="24"/>
          <w:szCs w:val="24"/>
          <w:u w:val="single"/>
        </w:rPr>
        <w:t xml:space="preserve">                     </w:t>
      </w:r>
      <w:r>
        <w:rPr>
          <w:rFonts w:hAnsi="宋体"/>
          <w:bCs/>
          <w:color w:val="auto"/>
          <w:sz w:val="24"/>
          <w:szCs w:val="24"/>
        </w:rPr>
        <w:t xml:space="preserve">                </w:t>
      </w:r>
    </w:p>
    <w:p w14:paraId="731DE2F5">
      <w:pPr>
        <w:pStyle w:val="17"/>
        <w:widowControl/>
        <w:snapToGrid w:val="0"/>
        <w:spacing w:line="360" w:lineRule="auto"/>
        <w:ind w:firstLine="482" w:firstLineChars="200"/>
        <w:rPr>
          <w:rFonts w:hAnsi="宋体"/>
          <w:b/>
          <w:bCs/>
          <w:color w:val="auto"/>
          <w:sz w:val="24"/>
          <w:szCs w:val="24"/>
        </w:rPr>
      </w:pPr>
      <w:r>
        <w:rPr>
          <w:rFonts w:hAnsi="宋体"/>
          <w:b/>
          <w:bCs/>
          <w:color w:val="auto"/>
          <w:sz w:val="24"/>
          <w:szCs w:val="24"/>
        </w:rPr>
        <w:t>二、投诉项目基本情况：</w:t>
      </w:r>
    </w:p>
    <w:p w14:paraId="509ADCC8">
      <w:pPr>
        <w:pStyle w:val="17"/>
        <w:widowControl/>
        <w:spacing w:line="360" w:lineRule="auto"/>
        <w:ind w:left="25" w:leftChars="12" w:firstLine="472" w:firstLineChars="197"/>
        <w:rPr>
          <w:rFonts w:hAnsi="宋体"/>
          <w:color w:val="auto"/>
          <w:sz w:val="24"/>
          <w:szCs w:val="24"/>
        </w:rPr>
      </w:pPr>
      <w:r>
        <w:rPr>
          <w:rFonts w:hAnsi="宋体"/>
          <w:bCs/>
          <w:color w:val="auto"/>
          <w:sz w:val="24"/>
          <w:szCs w:val="24"/>
        </w:rPr>
        <w:t>采购</w:t>
      </w:r>
      <w:r>
        <w:rPr>
          <w:rFonts w:hAnsi="宋体"/>
          <w:color w:val="auto"/>
          <w:sz w:val="24"/>
          <w:szCs w:val="24"/>
        </w:rPr>
        <w:t>项目的名称：</w:t>
      </w:r>
      <w:r>
        <w:rPr>
          <w:rFonts w:hAnsi="宋体"/>
          <w:bCs/>
          <w:color w:val="auto"/>
          <w:sz w:val="24"/>
          <w:szCs w:val="24"/>
          <w:u w:val="single"/>
        </w:rPr>
        <w:t xml:space="preserve">  </w:t>
      </w:r>
      <w:bookmarkStart w:id="1918" w:name="PO_3000001868_PM002_17"/>
      <w:r>
        <w:rPr>
          <w:rFonts w:hAnsi="宋体"/>
          <w:bCs/>
          <w:color w:val="auto"/>
          <w:sz w:val="24"/>
          <w:szCs w:val="24"/>
          <w:u w:val="single"/>
        </w:rPr>
        <w:t>[项目采购-项目名称_17]</w:t>
      </w:r>
      <w:bookmarkEnd w:id="1918"/>
      <w:r>
        <w:rPr>
          <w:rFonts w:hAnsi="宋体"/>
          <w:bCs/>
          <w:color w:val="auto"/>
          <w:sz w:val="24"/>
          <w:szCs w:val="24"/>
          <w:u w:val="single"/>
        </w:rPr>
        <w:t xml:space="preserve">    </w:t>
      </w:r>
    </w:p>
    <w:p w14:paraId="30C4322F">
      <w:pPr>
        <w:pStyle w:val="17"/>
        <w:widowControl/>
        <w:spacing w:line="360" w:lineRule="auto"/>
        <w:ind w:left="25" w:leftChars="12" w:firstLine="472" w:firstLineChars="197"/>
        <w:rPr>
          <w:rFonts w:hAnsi="宋体"/>
          <w:color w:val="auto"/>
          <w:sz w:val="24"/>
          <w:szCs w:val="24"/>
        </w:rPr>
      </w:pPr>
      <w:r>
        <w:rPr>
          <w:rFonts w:hAnsi="宋体"/>
          <w:bCs/>
          <w:color w:val="auto"/>
          <w:sz w:val="24"/>
          <w:szCs w:val="24"/>
        </w:rPr>
        <w:t>采购</w:t>
      </w:r>
      <w:r>
        <w:rPr>
          <w:rFonts w:hAnsi="宋体"/>
          <w:color w:val="auto"/>
          <w:sz w:val="24"/>
          <w:szCs w:val="24"/>
        </w:rPr>
        <w:t>项目的编号：</w:t>
      </w:r>
      <w:r>
        <w:rPr>
          <w:rFonts w:hAnsi="宋体"/>
          <w:bCs/>
          <w:color w:val="auto"/>
          <w:sz w:val="24"/>
          <w:szCs w:val="24"/>
          <w:u w:val="single"/>
        </w:rPr>
        <w:t xml:space="preserve"> </w:t>
      </w:r>
      <w:r>
        <w:rPr>
          <w:rFonts w:hint="eastAsia" w:hAnsi="宋体"/>
          <w:bCs/>
          <w:color w:val="auto"/>
          <w:sz w:val="24"/>
          <w:szCs w:val="24"/>
          <w:u w:val="single"/>
          <w:lang w:eastAsia="zh-CN"/>
        </w:rPr>
        <w:t xml:space="preserve"> NNZC2025-C2-100114-GXXZ</w:t>
      </w:r>
      <w:r>
        <w:rPr>
          <w:rFonts w:hAnsi="宋体"/>
          <w:bCs/>
          <w:color w:val="auto"/>
          <w:sz w:val="24"/>
          <w:szCs w:val="24"/>
          <w:u w:val="single"/>
        </w:rPr>
        <w:t xml:space="preserve">    </w:t>
      </w:r>
    </w:p>
    <w:p w14:paraId="2FF76290">
      <w:pPr>
        <w:pStyle w:val="17"/>
        <w:widowControl/>
        <w:spacing w:line="360" w:lineRule="auto"/>
        <w:ind w:left="25" w:leftChars="12" w:firstLine="472" w:firstLineChars="197"/>
        <w:rPr>
          <w:rFonts w:hAnsi="宋体"/>
          <w:bCs/>
          <w:color w:val="auto"/>
          <w:sz w:val="24"/>
          <w:szCs w:val="24"/>
          <w:u w:val="single"/>
        </w:rPr>
      </w:pPr>
      <w:r>
        <w:rPr>
          <w:rFonts w:hAnsi="宋体"/>
          <w:color w:val="auto"/>
          <w:sz w:val="24"/>
          <w:szCs w:val="24"/>
        </w:rPr>
        <w:t>采购人名称：</w:t>
      </w:r>
      <w:r>
        <w:rPr>
          <w:rFonts w:hAnsi="宋体"/>
          <w:bCs/>
          <w:color w:val="auto"/>
          <w:sz w:val="24"/>
          <w:szCs w:val="24"/>
          <w:u w:val="single"/>
        </w:rPr>
        <w:t xml:space="preserve"> </w:t>
      </w:r>
      <w:bookmarkStart w:id="1919" w:name="PO_3000001868_PM026_8"/>
      <w:r>
        <w:rPr>
          <w:rFonts w:hAnsi="宋体"/>
          <w:bCs/>
          <w:color w:val="auto"/>
          <w:sz w:val="24"/>
          <w:szCs w:val="24"/>
          <w:u w:val="single"/>
        </w:rPr>
        <w:t>[项目采购-采购人_8]</w:t>
      </w:r>
      <w:bookmarkEnd w:id="1919"/>
      <w:r>
        <w:rPr>
          <w:rFonts w:hAnsi="宋体"/>
          <w:bCs/>
          <w:color w:val="auto"/>
          <w:sz w:val="24"/>
          <w:szCs w:val="24"/>
          <w:u w:val="single"/>
        </w:rPr>
        <w:t xml:space="preserve">                </w:t>
      </w:r>
    </w:p>
    <w:p w14:paraId="1A23611F">
      <w:pPr>
        <w:pStyle w:val="17"/>
        <w:widowControl/>
        <w:spacing w:line="360" w:lineRule="auto"/>
        <w:ind w:left="25" w:leftChars="12" w:firstLine="472" w:firstLineChars="197"/>
        <w:rPr>
          <w:rFonts w:hAnsi="宋体"/>
          <w:bCs/>
          <w:color w:val="auto"/>
          <w:sz w:val="24"/>
          <w:szCs w:val="24"/>
          <w:u w:val="single"/>
        </w:rPr>
      </w:pPr>
      <w:r>
        <w:rPr>
          <w:rFonts w:hAnsi="宋体"/>
          <w:color w:val="auto"/>
          <w:sz w:val="24"/>
          <w:szCs w:val="24"/>
        </w:rPr>
        <w:t>代理机构名称：</w:t>
      </w:r>
      <w:r>
        <w:rPr>
          <w:rFonts w:hAnsi="宋体"/>
          <w:bCs/>
          <w:color w:val="auto"/>
          <w:sz w:val="24"/>
          <w:szCs w:val="24"/>
          <w:u w:val="single"/>
        </w:rPr>
        <w:t xml:space="preserve"> </w:t>
      </w:r>
      <w:bookmarkStart w:id="1920" w:name="PO_3000001868_PM031_5"/>
      <w:r>
        <w:rPr>
          <w:rFonts w:hAnsi="宋体"/>
          <w:bCs/>
          <w:color w:val="auto"/>
          <w:sz w:val="24"/>
          <w:szCs w:val="24"/>
          <w:u w:val="single"/>
        </w:rPr>
        <w:t>[项目采购-采购组织机构_5]</w:t>
      </w:r>
      <w:bookmarkEnd w:id="1920"/>
      <w:r>
        <w:rPr>
          <w:rFonts w:hAnsi="宋体"/>
          <w:bCs/>
          <w:color w:val="auto"/>
          <w:sz w:val="24"/>
          <w:szCs w:val="24"/>
          <w:u w:val="single"/>
        </w:rPr>
        <w:t xml:space="preserve">                </w:t>
      </w:r>
    </w:p>
    <w:p w14:paraId="5B9CEF83">
      <w:pPr>
        <w:pStyle w:val="17"/>
        <w:widowControl/>
        <w:spacing w:line="360" w:lineRule="auto"/>
        <w:ind w:left="25" w:leftChars="12" w:firstLine="472" w:firstLineChars="197"/>
        <w:rPr>
          <w:rFonts w:hAnsi="宋体"/>
          <w:bCs/>
          <w:color w:val="auto"/>
          <w:sz w:val="24"/>
          <w:szCs w:val="24"/>
          <w:u w:val="single"/>
        </w:rPr>
      </w:pPr>
      <w:r>
        <w:rPr>
          <w:rFonts w:hAnsi="宋体"/>
          <w:bCs/>
          <w:color w:val="auto"/>
          <w:sz w:val="24"/>
          <w:szCs w:val="24"/>
        </w:rPr>
        <w:t>招标文件公告：</w:t>
      </w:r>
      <w:r>
        <w:rPr>
          <w:rFonts w:hAnsi="宋体"/>
          <w:bCs/>
          <w:color w:val="auto"/>
          <w:sz w:val="24"/>
          <w:szCs w:val="24"/>
          <w:u w:val="single"/>
        </w:rPr>
        <w:t>是/否</w:t>
      </w:r>
      <w:r>
        <w:rPr>
          <w:rFonts w:hAnsi="宋体"/>
          <w:bCs/>
          <w:color w:val="auto"/>
          <w:sz w:val="24"/>
          <w:szCs w:val="24"/>
        </w:rPr>
        <w:t>公告期限：</w:t>
      </w:r>
      <w:r>
        <w:rPr>
          <w:rFonts w:hAnsi="宋体"/>
          <w:bCs/>
          <w:color w:val="auto"/>
          <w:sz w:val="24"/>
          <w:szCs w:val="24"/>
          <w:u w:val="single"/>
        </w:rPr>
        <w:t xml:space="preserve">                                                       </w:t>
      </w:r>
    </w:p>
    <w:p w14:paraId="1A8FE773">
      <w:pPr>
        <w:pStyle w:val="17"/>
        <w:widowControl/>
        <w:spacing w:line="360" w:lineRule="auto"/>
        <w:ind w:left="25" w:leftChars="12" w:firstLine="472" w:firstLineChars="197"/>
        <w:rPr>
          <w:rFonts w:hAnsi="宋体"/>
          <w:b/>
          <w:color w:val="auto"/>
          <w:sz w:val="24"/>
          <w:szCs w:val="24"/>
        </w:rPr>
      </w:pPr>
      <w:r>
        <w:rPr>
          <w:rFonts w:hAnsi="宋体"/>
          <w:bCs/>
          <w:color w:val="auto"/>
          <w:sz w:val="24"/>
          <w:szCs w:val="24"/>
        </w:rPr>
        <w:t>采购结果公告：</w:t>
      </w:r>
      <w:r>
        <w:rPr>
          <w:rFonts w:hAnsi="宋体"/>
          <w:bCs/>
          <w:color w:val="auto"/>
          <w:sz w:val="24"/>
          <w:szCs w:val="24"/>
          <w:u w:val="single"/>
        </w:rPr>
        <w:t>是/否</w:t>
      </w:r>
      <w:r>
        <w:rPr>
          <w:rFonts w:hAnsi="宋体"/>
          <w:bCs/>
          <w:color w:val="auto"/>
          <w:sz w:val="24"/>
          <w:szCs w:val="24"/>
        </w:rPr>
        <w:t>公告期限：</w:t>
      </w:r>
      <w:r>
        <w:rPr>
          <w:rFonts w:hAnsi="宋体"/>
          <w:bCs/>
          <w:color w:val="auto"/>
          <w:sz w:val="24"/>
          <w:szCs w:val="24"/>
          <w:u w:val="single"/>
        </w:rPr>
        <w:t xml:space="preserve">                                                       </w:t>
      </w:r>
    </w:p>
    <w:p w14:paraId="04D175E2">
      <w:pPr>
        <w:pStyle w:val="17"/>
        <w:widowControl/>
        <w:spacing w:line="360" w:lineRule="auto"/>
        <w:ind w:left="25" w:leftChars="12" w:firstLine="472" w:firstLineChars="196"/>
        <w:rPr>
          <w:rFonts w:hAnsi="宋体"/>
          <w:b/>
          <w:color w:val="auto"/>
          <w:sz w:val="24"/>
          <w:szCs w:val="24"/>
        </w:rPr>
      </w:pPr>
      <w:r>
        <w:rPr>
          <w:rFonts w:hAnsi="宋体"/>
          <w:b/>
          <w:color w:val="auto"/>
          <w:sz w:val="24"/>
          <w:szCs w:val="24"/>
        </w:rPr>
        <w:t>三、质疑基本情况</w:t>
      </w:r>
    </w:p>
    <w:p w14:paraId="2B02C90A">
      <w:pPr>
        <w:pStyle w:val="17"/>
        <w:widowControl/>
        <w:spacing w:line="360" w:lineRule="auto"/>
        <w:ind w:firstLine="480" w:firstLineChars="200"/>
        <w:rPr>
          <w:rFonts w:hAnsi="宋体"/>
          <w:color w:val="auto"/>
          <w:sz w:val="24"/>
          <w:szCs w:val="24"/>
        </w:rPr>
      </w:pPr>
      <w:r>
        <w:rPr>
          <w:rFonts w:hAnsi="宋体"/>
          <w:color w:val="auto"/>
          <w:sz w:val="24"/>
          <w:szCs w:val="24"/>
        </w:rPr>
        <w:t>投诉人于</w:t>
      </w:r>
      <w:r>
        <w:rPr>
          <w:rFonts w:hAnsi="宋体"/>
          <w:color w:val="auto"/>
          <w:sz w:val="24"/>
          <w:szCs w:val="24"/>
          <w:u w:val="single"/>
        </w:rPr>
        <w:t xml:space="preserve">      </w:t>
      </w:r>
      <w:r>
        <w:rPr>
          <w:rFonts w:hAnsi="宋体"/>
          <w:color w:val="auto"/>
          <w:sz w:val="24"/>
          <w:szCs w:val="24"/>
        </w:rPr>
        <w:t>年</w:t>
      </w:r>
      <w:r>
        <w:rPr>
          <w:rFonts w:hAnsi="宋体"/>
          <w:color w:val="auto"/>
          <w:sz w:val="24"/>
          <w:szCs w:val="24"/>
          <w:u w:val="single"/>
        </w:rPr>
        <w:t xml:space="preserve">   </w:t>
      </w:r>
      <w:r>
        <w:rPr>
          <w:rFonts w:hAnsi="宋体"/>
          <w:color w:val="auto"/>
          <w:sz w:val="24"/>
          <w:szCs w:val="24"/>
        </w:rPr>
        <w:t>月</w:t>
      </w:r>
      <w:r>
        <w:rPr>
          <w:rFonts w:hAnsi="宋体"/>
          <w:color w:val="auto"/>
          <w:sz w:val="24"/>
          <w:szCs w:val="24"/>
          <w:u w:val="single"/>
        </w:rPr>
        <w:t xml:space="preserve">   </w:t>
      </w:r>
      <w:r>
        <w:rPr>
          <w:rFonts w:hAnsi="宋体"/>
          <w:color w:val="auto"/>
          <w:sz w:val="24"/>
          <w:szCs w:val="24"/>
        </w:rPr>
        <w:t>日，向</w:t>
      </w:r>
      <w:r>
        <w:rPr>
          <w:rFonts w:hAnsi="宋体"/>
          <w:color w:val="auto"/>
          <w:sz w:val="24"/>
          <w:szCs w:val="24"/>
          <w:u w:val="single"/>
        </w:rPr>
        <w:t xml:space="preserve">                                </w:t>
      </w:r>
      <w:r>
        <w:rPr>
          <w:rFonts w:hAnsi="宋体"/>
          <w:color w:val="auto"/>
          <w:sz w:val="24"/>
          <w:szCs w:val="24"/>
        </w:rPr>
        <w:t>提出质疑，质疑事项为：</w:t>
      </w:r>
    </w:p>
    <w:p w14:paraId="34E0A882">
      <w:pPr>
        <w:pStyle w:val="17"/>
        <w:widowControl/>
        <w:spacing w:line="360" w:lineRule="auto"/>
        <w:ind w:firstLine="241"/>
        <w:rPr>
          <w:rFonts w:hAnsi="宋体"/>
          <w:bCs/>
          <w:color w:val="auto"/>
          <w:sz w:val="24"/>
          <w:szCs w:val="24"/>
          <w:u w:val="single"/>
        </w:rPr>
      </w:pPr>
      <w:r>
        <w:rPr>
          <w:rFonts w:hAnsi="宋体"/>
          <w:color w:val="auto"/>
          <w:sz w:val="24"/>
          <w:szCs w:val="24"/>
        </w:rPr>
        <w:t xml:space="preserve">    </w:t>
      </w:r>
      <w:r>
        <w:rPr>
          <w:rFonts w:hAnsi="宋体"/>
          <w:bCs/>
          <w:color w:val="auto"/>
          <w:sz w:val="24"/>
          <w:szCs w:val="24"/>
          <w:u w:val="single"/>
        </w:rPr>
        <w:t xml:space="preserve">                                                                                      </w:t>
      </w:r>
    </w:p>
    <w:p w14:paraId="48980417">
      <w:pPr>
        <w:pStyle w:val="17"/>
        <w:widowControl/>
        <w:spacing w:line="360" w:lineRule="auto"/>
        <w:ind w:firstLine="241"/>
        <w:rPr>
          <w:rFonts w:hAnsi="宋体"/>
          <w:bCs/>
          <w:color w:val="auto"/>
          <w:sz w:val="24"/>
          <w:szCs w:val="24"/>
          <w:u w:val="single"/>
        </w:rPr>
      </w:pPr>
      <w:r>
        <w:rPr>
          <w:rFonts w:hAnsi="宋体"/>
          <w:bCs/>
          <w:color w:val="auto"/>
          <w:sz w:val="24"/>
          <w:szCs w:val="24"/>
        </w:rPr>
        <w:t xml:space="preserve">    </w:t>
      </w:r>
      <w:r>
        <w:rPr>
          <w:rFonts w:hAnsi="宋体"/>
          <w:bCs/>
          <w:color w:val="auto"/>
          <w:sz w:val="24"/>
          <w:szCs w:val="24"/>
          <w:u w:val="single"/>
        </w:rPr>
        <w:t xml:space="preserve">                                                                                      </w:t>
      </w:r>
    </w:p>
    <w:p w14:paraId="13E03834">
      <w:pPr>
        <w:pStyle w:val="17"/>
        <w:widowControl/>
        <w:spacing w:line="360" w:lineRule="auto"/>
        <w:ind w:firstLine="480" w:firstLineChars="200"/>
        <w:rPr>
          <w:rFonts w:hAnsi="宋体"/>
          <w:color w:val="auto"/>
          <w:sz w:val="24"/>
          <w:szCs w:val="24"/>
        </w:rPr>
      </w:pPr>
      <w:r>
        <w:rPr>
          <w:rFonts w:hAnsi="宋体"/>
          <w:bCs/>
          <w:color w:val="auto"/>
          <w:sz w:val="24"/>
          <w:szCs w:val="24"/>
          <w:u w:val="single"/>
        </w:rPr>
        <w:t>采购人/代理机构</w:t>
      </w:r>
      <w:r>
        <w:rPr>
          <w:rFonts w:hAnsi="宋体"/>
          <w:bCs/>
          <w:color w:val="auto"/>
          <w:sz w:val="24"/>
          <w:szCs w:val="24"/>
        </w:rPr>
        <w:t>于</w:t>
      </w:r>
      <w:r>
        <w:rPr>
          <w:rFonts w:hAnsi="宋体"/>
          <w:color w:val="auto"/>
          <w:sz w:val="24"/>
          <w:szCs w:val="24"/>
          <w:u w:val="single"/>
        </w:rPr>
        <w:t xml:space="preserve">      </w:t>
      </w:r>
      <w:r>
        <w:rPr>
          <w:rFonts w:hAnsi="宋体"/>
          <w:color w:val="auto"/>
          <w:sz w:val="24"/>
          <w:szCs w:val="24"/>
        </w:rPr>
        <w:t>年</w:t>
      </w:r>
      <w:r>
        <w:rPr>
          <w:rFonts w:hAnsi="宋体"/>
          <w:color w:val="auto"/>
          <w:sz w:val="24"/>
          <w:szCs w:val="24"/>
          <w:u w:val="single"/>
        </w:rPr>
        <w:t xml:space="preserve">   </w:t>
      </w:r>
      <w:r>
        <w:rPr>
          <w:rFonts w:hAnsi="宋体"/>
          <w:color w:val="auto"/>
          <w:sz w:val="24"/>
          <w:szCs w:val="24"/>
        </w:rPr>
        <w:t>月</w:t>
      </w:r>
      <w:r>
        <w:rPr>
          <w:rFonts w:hAnsi="宋体"/>
          <w:color w:val="auto"/>
          <w:sz w:val="24"/>
          <w:szCs w:val="24"/>
          <w:u w:val="single"/>
        </w:rPr>
        <w:t xml:space="preserve">   </w:t>
      </w:r>
      <w:r>
        <w:rPr>
          <w:rFonts w:hAnsi="宋体"/>
          <w:color w:val="auto"/>
          <w:sz w:val="24"/>
          <w:szCs w:val="24"/>
        </w:rPr>
        <w:t>日，</w:t>
      </w:r>
      <w:r>
        <w:rPr>
          <w:rFonts w:hAnsi="宋体"/>
          <w:bCs/>
          <w:color w:val="auto"/>
          <w:sz w:val="24"/>
          <w:szCs w:val="24"/>
        </w:rPr>
        <w:t xml:space="preserve">就质疑事项作出了答复/没有在法定期限内作出答复。                                                                                             </w:t>
      </w:r>
    </w:p>
    <w:p w14:paraId="1FD926E0">
      <w:pPr>
        <w:pStyle w:val="17"/>
        <w:widowControl/>
        <w:spacing w:line="360" w:lineRule="auto"/>
        <w:ind w:left="25" w:leftChars="12" w:firstLine="472" w:firstLineChars="196"/>
        <w:rPr>
          <w:rFonts w:hAnsi="宋体"/>
          <w:b/>
          <w:color w:val="auto"/>
          <w:sz w:val="24"/>
          <w:szCs w:val="24"/>
        </w:rPr>
      </w:pPr>
      <w:r>
        <w:rPr>
          <w:rFonts w:hAnsi="宋体"/>
          <w:b/>
          <w:color w:val="auto"/>
          <w:sz w:val="24"/>
          <w:szCs w:val="24"/>
        </w:rPr>
        <w:t>四、投诉事项具体内容</w:t>
      </w:r>
    </w:p>
    <w:p w14:paraId="099C376C">
      <w:pPr>
        <w:pStyle w:val="17"/>
        <w:widowControl/>
        <w:spacing w:line="360" w:lineRule="auto"/>
        <w:ind w:left="25" w:leftChars="12" w:firstLine="472" w:firstLineChars="197"/>
        <w:rPr>
          <w:rFonts w:hAnsi="宋体"/>
          <w:bCs/>
          <w:color w:val="auto"/>
          <w:sz w:val="24"/>
          <w:szCs w:val="24"/>
          <w:u w:val="single"/>
        </w:rPr>
      </w:pPr>
      <w:r>
        <w:rPr>
          <w:rFonts w:hAnsi="宋体"/>
          <w:color w:val="auto"/>
          <w:sz w:val="24"/>
          <w:szCs w:val="24"/>
        </w:rPr>
        <w:t>投诉事项1：</w:t>
      </w:r>
      <w:r>
        <w:rPr>
          <w:rFonts w:hAnsi="宋体"/>
          <w:bCs/>
          <w:color w:val="auto"/>
          <w:sz w:val="24"/>
          <w:szCs w:val="24"/>
          <w:u w:val="single"/>
        </w:rPr>
        <w:t xml:space="preserve">                                                                           </w:t>
      </w:r>
    </w:p>
    <w:p w14:paraId="7AC178C6">
      <w:pPr>
        <w:pStyle w:val="17"/>
        <w:widowControl/>
        <w:spacing w:line="360" w:lineRule="auto"/>
        <w:ind w:firstLine="480" w:firstLineChars="200"/>
        <w:rPr>
          <w:rFonts w:hAnsi="宋体"/>
          <w:bCs/>
          <w:color w:val="auto"/>
          <w:sz w:val="24"/>
          <w:szCs w:val="24"/>
          <w:u w:val="single"/>
        </w:rPr>
      </w:pPr>
      <w:r>
        <w:rPr>
          <w:rFonts w:hAnsi="宋体"/>
          <w:bCs/>
          <w:color w:val="auto"/>
          <w:sz w:val="24"/>
          <w:szCs w:val="24"/>
        </w:rPr>
        <w:t>事实依据：</w:t>
      </w:r>
      <w:r>
        <w:rPr>
          <w:rFonts w:hAnsi="宋体"/>
          <w:color w:val="auto"/>
          <w:sz w:val="24"/>
          <w:szCs w:val="24"/>
        </w:rPr>
        <w:t xml:space="preserve"> </w:t>
      </w:r>
      <w:r>
        <w:rPr>
          <w:rFonts w:hAnsi="宋体"/>
          <w:bCs/>
          <w:color w:val="auto"/>
          <w:sz w:val="24"/>
          <w:szCs w:val="24"/>
          <w:u w:val="single"/>
        </w:rPr>
        <w:t xml:space="preserve">                                                                                      </w:t>
      </w:r>
    </w:p>
    <w:p w14:paraId="13E26C7E">
      <w:pPr>
        <w:pStyle w:val="17"/>
        <w:widowControl/>
        <w:spacing w:line="360" w:lineRule="auto"/>
        <w:ind w:left="25" w:leftChars="12" w:firstLine="472" w:firstLineChars="197"/>
        <w:rPr>
          <w:rFonts w:hAnsi="宋体"/>
          <w:color w:val="auto"/>
          <w:sz w:val="24"/>
          <w:szCs w:val="24"/>
        </w:rPr>
      </w:pPr>
      <w:r>
        <w:rPr>
          <w:rFonts w:hAnsi="宋体"/>
          <w:bCs/>
          <w:color w:val="auto"/>
          <w:sz w:val="24"/>
          <w:szCs w:val="24"/>
          <w:u w:val="single"/>
        </w:rPr>
        <w:t xml:space="preserve">                                                                                        </w:t>
      </w:r>
    </w:p>
    <w:p w14:paraId="7F5187B0">
      <w:pPr>
        <w:pStyle w:val="17"/>
        <w:widowControl/>
        <w:spacing w:line="360" w:lineRule="auto"/>
        <w:ind w:firstLine="480" w:firstLineChars="200"/>
        <w:rPr>
          <w:rFonts w:hAnsi="宋体"/>
          <w:bCs/>
          <w:color w:val="auto"/>
          <w:sz w:val="24"/>
          <w:szCs w:val="24"/>
          <w:u w:val="single"/>
        </w:rPr>
      </w:pPr>
      <w:r>
        <w:rPr>
          <w:rFonts w:hAnsi="宋体"/>
          <w:bCs/>
          <w:color w:val="auto"/>
          <w:sz w:val="24"/>
          <w:szCs w:val="24"/>
        </w:rPr>
        <w:t>法律依据：</w:t>
      </w:r>
      <w:r>
        <w:rPr>
          <w:rFonts w:hAnsi="宋体"/>
          <w:color w:val="auto"/>
          <w:sz w:val="24"/>
          <w:szCs w:val="24"/>
        </w:rPr>
        <w:t xml:space="preserve"> </w:t>
      </w:r>
      <w:r>
        <w:rPr>
          <w:rFonts w:hAnsi="宋体"/>
          <w:bCs/>
          <w:color w:val="auto"/>
          <w:sz w:val="24"/>
          <w:szCs w:val="24"/>
          <w:u w:val="single"/>
        </w:rPr>
        <w:t xml:space="preserve">                                                                                      </w:t>
      </w:r>
    </w:p>
    <w:p w14:paraId="39308828">
      <w:pPr>
        <w:pStyle w:val="17"/>
        <w:widowControl/>
        <w:spacing w:line="360" w:lineRule="auto"/>
        <w:ind w:left="25" w:leftChars="12" w:firstLine="352" w:firstLineChars="147"/>
        <w:rPr>
          <w:rFonts w:hAnsi="宋体"/>
          <w:bCs/>
          <w:color w:val="auto"/>
          <w:sz w:val="24"/>
          <w:szCs w:val="24"/>
          <w:u w:val="single"/>
        </w:rPr>
      </w:pPr>
      <w:r>
        <w:rPr>
          <w:rFonts w:hAnsi="宋体"/>
          <w:bCs/>
          <w:color w:val="auto"/>
          <w:sz w:val="24"/>
          <w:szCs w:val="24"/>
        </w:rPr>
        <w:t xml:space="preserve"> </w:t>
      </w:r>
      <w:r>
        <w:rPr>
          <w:rFonts w:hAnsi="宋体"/>
          <w:bCs/>
          <w:color w:val="auto"/>
          <w:sz w:val="24"/>
          <w:szCs w:val="24"/>
          <w:u w:val="single"/>
        </w:rPr>
        <w:t xml:space="preserve">                                                                                        </w:t>
      </w:r>
    </w:p>
    <w:p w14:paraId="4C550C83">
      <w:pPr>
        <w:pStyle w:val="17"/>
        <w:widowControl/>
        <w:spacing w:line="360" w:lineRule="auto"/>
        <w:ind w:left="25" w:leftChars="12" w:firstLine="472" w:firstLineChars="197"/>
        <w:rPr>
          <w:rFonts w:hAnsi="宋体"/>
          <w:bCs/>
          <w:color w:val="auto"/>
          <w:sz w:val="24"/>
          <w:szCs w:val="24"/>
        </w:rPr>
      </w:pPr>
      <w:r>
        <w:rPr>
          <w:rFonts w:hAnsi="宋体"/>
          <w:color w:val="auto"/>
          <w:sz w:val="24"/>
          <w:szCs w:val="24"/>
        </w:rPr>
        <w:t xml:space="preserve">投诉事项2  </w:t>
      </w:r>
      <w:r>
        <w:rPr>
          <w:rFonts w:hAnsi="宋体"/>
          <w:bCs/>
          <w:color w:val="auto"/>
          <w:sz w:val="24"/>
          <w:szCs w:val="24"/>
        </w:rPr>
        <w:t xml:space="preserve">   </w:t>
      </w:r>
    </w:p>
    <w:p w14:paraId="7660569B">
      <w:pPr>
        <w:pStyle w:val="17"/>
        <w:widowControl/>
        <w:spacing w:line="360" w:lineRule="auto"/>
        <w:ind w:left="25" w:leftChars="12" w:firstLine="472" w:firstLineChars="197"/>
        <w:rPr>
          <w:rFonts w:hAnsi="宋体"/>
          <w:bCs/>
          <w:color w:val="auto"/>
          <w:sz w:val="24"/>
          <w:szCs w:val="24"/>
        </w:rPr>
      </w:pPr>
      <w:r>
        <w:rPr>
          <w:rFonts w:hAnsi="宋体"/>
          <w:bCs/>
          <w:color w:val="auto"/>
          <w:sz w:val="24"/>
          <w:szCs w:val="24"/>
        </w:rPr>
        <w:t>……</w:t>
      </w:r>
    </w:p>
    <w:p w14:paraId="67C43DEB">
      <w:pPr>
        <w:pStyle w:val="17"/>
        <w:widowControl/>
        <w:spacing w:line="360" w:lineRule="auto"/>
        <w:ind w:left="25" w:leftChars="12" w:firstLine="472" w:firstLineChars="196"/>
        <w:rPr>
          <w:rFonts w:hAnsi="宋体"/>
          <w:b/>
          <w:color w:val="auto"/>
          <w:sz w:val="24"/>
          <w:szCs w:val="24"/>
        </w:rPr>
      </w:pPr>
      <w:r>
        <w:rPr>
          <w:rFonts w:hAnsi="宋体"/>
          <w:b/>
          <w:color w:val="auto"/>
          <w:sz w:val="24"/>
          <w:szCs w:val="24"/>
        </w:rPr>
        <w:t>五、与投诉事项相关的投诉请求：</w:t>
      </w:r>
    </w:p>
    <w:p w14:paraId="05F2F776">
      <w:pPr>
        <w:pStyle w:val="17"/>
        <w:widowControl/>
        <w:spacing w:line="360" w:lineRule="auto"/>
        <w:ind w:left="25" w:leftChars="12" w:firstLine="472" w:firstLineChars="197"/>
        <w:rPr>
          <w:rFonts w:hAnsi="宋体"/>
          <w:color w:val="auto"/>
          <w:sz w:val="24"/>
          <w:szCs w:val="24"/>
        </w:rPr>
      </w:pPr>
      <w:r>
        <w:rPr>
          <w:rFonts w:hAnsi="宋体"/>
          <w:color w:val="auto"/>
          <w:sz w:val="24"/>
          <w:szCs w:val="24"/>
        </w:rPr>
        <w:t>请求：</w:t>
      </w:r>
      <w:r>
        <w:rPr>
          <w:rFonts w:hAnsi="宋体"/>
          <w:bCs/>
          <w:color w:val="auto"/>
          <w:sz w:val="24"/>
          <w:szCs w:val="24"/>
          <w:u w:val="single"/>
        </w:rPr>
        <w:t xml:space="preserve">                                                                                 </w:t>
      </w:r>
    </w:p>
    <w:p w14:paraId="4E128D47">
      <w:pPr>
        <w:pStyle w:val="17"/>
        <w:widowControl/>
        <w:spacing w:line="360" w:lineRule="auto"/>
        <w:ind w:left="25" w:leftChars="12" w:firstLine="352" w:firstLineChars="147"/>
        <w:rPr>
          <w:rFonts w:hAnsi="宋体"/>
          <w:color w:val="auto"/>
          <w:sz w:val="24"/>
          <w:szCs w:val="24"/>
        </w:rPr>
      </w:pPr>
    </w:p>
    <w:p w14:paraId="2D402E64">
      <w:pPr>
        <w:pStyle w:val="17"/>
        <w:widowControl/>
        <w:spacing w:line="360" w:lineRule="auto"/>
        <w:ind w:left="25" w:leftChars="12" w:firstLine="472" w:firstLineChars="197"/>
        <w:rPr>
          <w:rFonts w:hAnsi="宋体"/>
          <w:color w:val="auto"/>
          <w:sz w:val="24"/>
          <w:szCs w:val="24"/>
        </w:rPr>
      </w:pPr>
      <w:r>
        <w:rPr>
          <w:rFonts w:hAnsi="宋体"/>
          <w:color w:val="auto"/>
          <w:sz w:val="24"/>
          <w:szCs w:val="24"/>
        </w:rPr>
        <w:t>签字（签章）：                                       公章：</w:t>
      </w:r>
    </w:p>
    <w:p w14:paraId="66AB83A7">
      <w:pPr>
        <w:pStyle w:val="17"/>
        <w:widowControl/>
        <w:spacing w:line="360" w:lineRule="auto"/>
        <w:ind w:left="25" w:leftChars="12" w:firstLine="352" w:firstLineChars="147"/>
        <w:rPr>
          <w:rFonts w:hAnsi="宋体"/>
          <w:color w:val="auto"/>
          <w:sz w:val="24"/>
          <w:szCs w:val="24"/>
        </w:rPr>
      </w:pPr>
    </w:p>
    <w:p w14:paraId="5BC1A44B">
      <w:pPr>
        <w:pStyle w:val="17"/>
        <w:widowControl/>
        <w:spacing w:line="360" w:lineRule="auto"/>
        <w:ind w:left="25" w:leftChars="12" w:firstLine="472" w:firstLineChars="197"/>
        <w:rPr>
          <w:rFonts w:hAnsi="宋体"/>
          <w:color w:val="auto"/>
          <w:sz w:val="24"/>
          <w:szCs w:val="24"/>
        </w:rPr>
      </w:pPr>
      <w:r>
        <w:rPr>
          <w:rFonts w:hAnsi="宋体"/>
          <w:color w:val="auto"/>
          <w:sz w:val="24"/>
          <w:szCs w:val="24"/>
        </w:rPr>
        <w:t>日期：</w:t>
      </w:r>
    </w:p>
    <w:p w14:paraId="4BFF88F7">
      <w:pPr>
        <w:pStyle w:val="17"/>
        <w:widowControl/>
        <w:spacing w:line="360" w:lineRule="auto"/>
        <w:ind w:left="25" w:leftChars="12" w:firstLine="472" w:firstLineChars="197"/>
        <w:rPr>
          <w:rFonts w:hAnsi="宋体"/>
          <w:color w:val="auto"/>
          <w:sz w:val="24"/>
          <w:szCs w:val="24"/>
        </w:rPr>
      </w:pPr>
      <w:r>
        <w:rPr>
          <w:rFonts w:hAnsi="宋体"/>
          <w:bCs/>
          <w:color w:val="auto"/>
          <w:sz w:val="24"/>
          <w:szCs w:val="24"/>
        </w:rPr>
        <w:t xml:space="preserve">                                                                                 </w:t>
      </w:r>
    </w:p>
    <w:p w14:paraId="16B88784">
      <w:pPr>
        <w:pStyle w:val="17"/>
        <w:widowControl/>
        <w:snapToGrid w:val="0"/>
        <w:spacing w:line="360" w:lineRule="auto"/>
        <w:rPr>
          <w:rFonts w:hAnsi="宋体"/>
          <w:b/>
          <w:color w:val="auto"/>
          <w:sz w:val="24"/>
          <w:szCs w:val="24"/>
        </w:rPr>
      </w:pPr>
    </w:p>
    <w:p w14:paraId="33506119">
      <w:pPr>
        <w:pStyle w:val="17"/>
        <w:widowControl/>
        <w:snapToGrid w:val="0"/>
        <w:spacing w:line="360" w:lineRule="auto"/>
        <w:rPr>
          <w:rFonts w:hAnsi="宋体"/>
          <w:b/>
          <w:color w:val="auto"/>
          <w:sz w:val="24"/>
          <w:szCs w:val="24"/>
        </w:rPr>
      </w:pPr>
      <w:r>
        <w:rPr>
          <w:rFonts w:hAnsi="宋体"/>
          <w:b/>
          <w:color w:val="auto"/>
          <w:sz w:val="24"/>
          <w:szCs w:val="24"/>
        </w:rPr>
        <w:t>说明：</w:t>
      </w:r>
    </w:p>
    <w:p w14:paraId="5A432AAA">
      <w:pPr>
        <w:pStyle w:val="17"/>
        <w:widowControl/>
        <w:spacing w:line="360" w:lineRule="auto"/>
        <w:ind w:left="25" w:leftChars="12" w:firstLine="354" w:firstLineChars="147"/>
        <w:rPr>
          <w:rFonts w:hAnsi="宋体"/>
          <w:b/>
          <w:bCs/>
          <w:color w:val="auto"/>
          <w:sz w:val="24"/>
          <w:szCs w:val="24"/>
        </w:rPr>
      </w:pPr>
      <w:r>
        <w:rPr>
          <w:rFonts w:hAnsi="宋体"/>
          <w:b/>
          <w:color w:val="auto"/>
          <w:sz w:val="24"/>
          <w:szCs w:val="24"/>
        </w:rPr>
        <w:t>1.投诉人提起投诉时，应当提交投诉书和必要的证明材料，并按照被投诉人和与投诉事项有关的供应商数量提供投诉书副本</w:t>
      </w:r>
      <w:r>
        <w:rPr>
          <w:rFonts w:hAnsi="宋体"/>
          <w:b/>
          <w:bCs/>
          <w:color w:val="auto"/>
          <w:sz w:val="24"/>
          <w:szCs w:val="24"/>
        </w:rPr>
        <w:t>。</w:t>
      </w:r>
    </w:p>
    <w:p w14:paraId="41D7158C">
      <w:pPr>
        <w:pStyle w:val="17"/>
        <w:widowControl/>
        <w:spacing w:line="360" w:lineRule="auto"/>
        <w:ind w:left="25" w:leftChars="12" w:firstLine="354" w:firstLineChars="147"/>
        <w:rPr>
          <w:rFonts w:hAnsi="宋体"/>
          <w:b/>
          <w:color w:val="auto"/>
          <w:sz w:val="24"/>
          <w:szCs w:val="24"/>
        </w:rPr>
      </w:pPr>
      <w:r>
        <w:rPr>
          <w:rFonts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68F4C29">
      <w:pPr>
        <w:pStyle w:val="17"/>
        <w:widowControl/>
        <w:spacing w:line="360" w:lineRule="auto"/>
        <w:ind w:left="25" w:leftChars="12" w:firstLine="354" w:firstLineChars="147"/>
        <w:rPr>
          <w:rFonts w:hAnsi="宋体"/>
          <w:b/>
          <w:color w:val="auto"/>
          <w:sz w:val="24"/>
          <w:szCs w:val="24"/>
        </w:rPr>
      </w:pPr>
      <w:r>
        <w:rPr>
          <w:rFonts w:hAnsi="宋体"/>
          <w:b/>
          <w:color w:val="auto"/>
          <w:sz w:val="24"/>
          <w:szCs w:val="24"/>
        </w:rPr>
        <w:t>3.投诉书应简要列明质疑事项，质疑函、质疑答复等作为附件材料提供。</w:t>
      </w:r>
    </w:p>
    <w:p w14:paraId="3B452B52">
      <w:pPr>
        <w:pStyle w:val="17"/>
        <w:widowControl/>
        <w:spacing w:line="360" w:lineRule="auto"/>
        <w:ind w:left="25" w:leftChars="12" w:firstLine="354" w:firstLineChars="147"/>
        <w:rPr>
          <w:rFonts w:hAnsi="宋体"/>
          <w:b/>
          <w:color w:val="auto"/>
          <w:sz w:val="24"/>
          <w:szCs w:val="24"/>
        </w:rPr>
      </w:pPr>
      <w:r>
        <w:rPr>
          <w:rFonts w:hAnsi="宋体"/>
          <w:b/>
          <w:color w:val="auto"/>
          <w:sz w:val="24"/>
          <w:szCs w:val="24"/>
        </w:rPr>
        <w:t>4.投诉书的投诉事项应具体、明确，并有必要的事实依据和法律依据。</w:t>
      </w:r>
    </w:p>
    <w:p w14:paraId="0CEC77E3">
      <w:pPr>
        <w:pStyle w:val="17"/>
        <w:widowControl/>
        <w:spacing w:line="360" w:lineRule="auto"/>
        <w:ind w:left="25" w:leftChars="12" w:firstLine="354" w:firstLineChars="147"/>
        <w:rPr>
          <w:rFonts w:hAnsi="宋体"/>
          <w:b/>
          <w:color w:val="auto"/>
          <w:sz w:val="24"/>
          <w:szCs w:val="24"/>
        </w:rPr>
      </w:pPr>
      <w:r>
        <w:rPr>
          <w:rFonts w:hAnsi="宋体"/>
          <w:b/>
          <w:color w:val="auto"/>
          <w:sz w:val="24"/>
          <w:szCs w:val="24"/>
        </w:rPr>
        <w:t>5.投诉书的投诉请求应与投诉事项相关。</w:t>
      </w:r>
    </w:p>
    <w:p w14:paraId="74885943">
      <w:pPr>
        <w:pStyle w:val="17"/>
        <w:widowControl/>
        <w:spacing w:line="360" w:lineRule="auto"/>
        <w:ind w:left="25" w:leftChars="12" w:firstLine="354" w:firstLineChars="147"/>
        <w:rPr>
          <w:rFonts w:hAnsi="宋体"/>
          <w:b/>
          <w:color w:val="auto"/>
        </w:rPr>
      </w:pPr>
      <w:r>
        <w:rPr>
          <w:rFonts w:hAnsi="宋体"/>
          <w:b/>
          <w:color w:val="auto"/>
          <w:sz w:val="24"/>
          <w:szCs w:val="24"/>
        </w:rPr>
        <w:t>6.投诉人为法人或者其他组织的，投诉书应由法定代表人、主要负责人，或者其授权代表签字或者盖章，并加盖公章。</w:t>
      </w:r>
    </w:p>
    <w:p w14:paraId="27025D68">
      <w:pPr>
        <w:rPr>
          <w:color w:val="auto"/>
        </w:rPr>
      </w:pPr>
    </w:p>
    <w:p w14:paraId="34B4BBC4">
      <w:pPr>
        <w:rPr>
          <w:color w:val="auto"/>
        </w:rPr>
      </w:pPr>
    </w:p>
    <w:sectPr>
      <w:pgSz w:w="11910" w:h="16840"/>
      <w:pgMar w:top="1340" w:right="1500" w:bottom="280" w:left="1680" w:header="720"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TimesNewRomanPSMT">
    <w:altName w:val="Times New Roman"/>
    <w:panose1 w:val="00000000000000000000"/>
    <w:charset w:val="00"/>
    <w:family w:val="auto"/>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9AD2D">
    <w:pPr>
      <w:spacing w:line="226" w:lineRule="exact"/>
      <w:ind w:left="46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A5043">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1A5043">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ACDAD">
    <w:pPr>
      <w:spacing w:line="192" w:lineRule="auto"/>
      <w:ind w:left="4246"/>
      <w:rPr>
        <w:rFonts w:hint="default" w:ascii="宋体" w:hAnsi="宋体" w:eastAsia="宋体" w:cs="宋体"/>
        <w:sz w:val="17"/>
        <w:szCs w:val="17"/>
      </w:rPr>
    </w:pPr>
    <w:r>
      <w:rPr>
        <w:rFonts w:hint="default" w:eastAsia="宋体"/>
        <w:sz w:val="17"/>
        <w:szCs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F7CCBCA">
                          <w:pPr>
                            <w:pStyle w:val="20"/>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62</w:t>
                          </w:r>
                          <w:r>
                            <w:rPr>
                              <w:rFonts w:hint="eastAsia"/>
                              <w:sz w:val="18"/>
                              <w:szCs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A7I80BAACp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4TVnTlh68cv3b5cfvy4/vzKK&#10;kUB9wIrqHgJVxuHOD1Q8x5GCiffQgk1fYsQoT/Ker/KqITKZLq1X63VJKUm52SH84vF6AIxvlbcs&#10;GTUHer8sqzi9xziWziWpm/P32pj8hsb9FSDMMaLyEky3E5Nx4mTFYT9M9Pa+ORO7nhah5o72njPz&#10;zpHOaWdmA2ZjPxvHAPrQ0aDLPCWG22OkkfKkqcMISwyTQy+YuU7bllbkTz9XPf5h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vkA7I80BAACpAwAADgAAAAAAAAABACAAAAAeAQAAZHJzL2Uy&#10;b0RvYy54bWxQSwUGAAAAAAYABgBZAQAAXQUAAAAA&#10;">
              <v:fill on="f" focussize="0,0"/>
              <v:stroke on="f"/>
              <v:imagedata o:title=""/>
              <o:lock v:ext="edit" aspectratio="f"/>
              <v:textbox inset="0mm,0mm,0mm,0mm" style="mso-fit-shape-to-text:t;">
                <w:txbxContent>
                  <w:p w14:paraId="6F7CCBCA">
                    <w:pPr>
                      <w:pStyle w:val="20"/>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62</w:t>
                    </w:r>
                    <w:r>
                      <w:rPr>
                        <w:rFonts w:hint="eastAsia"/>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ADFEA">
    <w:pPr>
      <w:spacing w:line="238" w:lineRule="auto"/>
      <w:ind w:left="4554"/>
      <w:rPr>
        <w:rFonts w:ascii="宋体" w:hAnsi="宋体" w:eastAsia="宋体" w:cs="宋体"/>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88FFE">
                          <w:pPr>
                            <w:pStyle w:val="20"/>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488FFE">
                    <w:pPr>
                      <w:pStyle w:val="2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E283C">
    <w:pPr>
      <w:pStyle w:val="21"/>
      <w:pBdr>
        <w:bottom w:val="none" w:color="auto" w:sz="0" w:space="0"/>
      </w:pBdr>
      <w:rPr>
        <w:rFonts w:hint="eastAsi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58AC8"/>
    <w:multiLevelType w:val="multilevel"/>
    <w:tmpl w:val="91658AC8"/>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EBB90694"/>
    <w:multiLevelType w:val="multilevel"/>
    <w:tmpl w:val="EBB90694"/>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2849CA97"/>
    <w:multiLevelType w:val="singleLevel"/>
    <w:tmpl w:val="2849CA97"/>
    <w:lvl w:ilvl="0" w:tentative="0">
      <w:start w:val="1"/>
      <w:numFmt w:val="chineseCounting"/>
      <w:suff w:val="nothing"/>
      <w:lvlText w:val="%1、"/>
      <w:lvlJc w:val="left"/>
      <w:rPr>
        <w:rFonts w:hint="eastAsia"/>
      </w:rPr>
    </w:lvl>
  </w:abstractNum>
  <w:abstractNum w:abstractNumId="3">
    <w:nsid w:val="2AA7A32A"/>
    <w:multiLevelType w:val="singleLevel"/>
    <w:tmpl w:val="2AA7A32A"/>
    <w:lvl w:ilvl="0" w:tentative="0">
      <w:start w:val="2"/>
      <w:numFmt w:val="chineseCounting"/>
      <w:suff w:val="nothing"/>
      <w:lvlText w:val="%1、"/>
      <w:lvlJc w:val="left"/>
      <w:rPr>
        <w:rFonts w:hint="eastAsia"/>
      </w:rPr>
    </w:lvl>
  </w:abstractNum>
  <w:abstractNum w:abstractNumId="4">
    <w:nsid w:val="77633218"/>
    <w:multiLevelType w:val="singleLevel"/>
    <w:tmpl w:val="7763321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5">
    <w:nsid w:val="77633219"/>
    <w:multiLevelType w:val="singleLevel"/>
    <w:tmpl w:val="7763321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6">
    <w:nsid w:val="7763321A"/>
    <w:multiLevelType w:val="singleLevel"/>
    <w:tmpl w:val="7763321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7">
    <w:nsid w:val="7763321B"/>
    <w:multiLevelType w:val="singleLevel"/>
    <w:tmpl w:val="7763321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8">
    <w:nsid w:val="7763321C"/>
    <w:multiLevelType w:val="singleLevel"/>
    <w:tmpl w:val="7763321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9">
    <w:nsid w:val="7763321D"/>
    <w:multiLevelType w:val="singleLevel"/>
    <w:tmpl w:val="7763321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0">
    <w:nsid w:val="7763321E"/>
    <w:multiLevelType w:val="singleLevel"/>
    <w:tmpl w:val="7763321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1">
    <w:nsid w:val="7763321F"/>
    <w:multiLevelType w:val="singleLevel"/>
    <w:tmpl w:val="7763321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2">
    <w:nsid w:val="77633220"/>
    <w:multiLevelType w:val="singleLevel"/>
    <w:tmpl w:val="7763322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3">
    <w:nsid w:val="77633221"/>
    <w:multiLevelType w:val="singleLevel"/>
    <w:tmpl w:val="7763322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4">
    <w:nsid w:val="77633222"/>
    <w:multiLevelType w:val="singleLevel"/>
    <w:tmpl w:val="7763322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5">
    <w:nsid w:val="77633223"/>
    <w:multiLevelType w:val="singleLevel"/>
    <w:tmpl w:val="7763322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6">
    <w:nsid w:val="77633224"/>
    <w:multiLevelType w:val="singleLevel"/>
    <w:tmpl w:val="7763322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7">
    <w:nsid w:val="77633225"/>
    <w:multiLevelType w:val="singleLevel"/>
    <w:tmpl w:val="7763322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8">
    <w:nsid w:val="77633226"/>
    <w:multiLevelType w:val="singleLevel"/>
    <w:tmpl w:val="7763322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9">
    <w:nsid w:val="77633227"/>
    <w:multiLevelType w:val="singleLevel"/>
    <w:tmpl w:val="7763322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0">
    <w:nsid w:val="77633228"/>
    <w:multiLevelType w:val="singleLevel"/>
    <w:tmpl w:val="7763322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1">
    <w:nsid w:val="77633229"/>
    <w:multiLevelType w:val="singleLevel"/>
    <w:tmpl w:val="7763322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2">
    <w:nsid w:val="7763322A"/>
    <w:multiLevelType w:val="singleLevel"/>
    <w:tmpl w:val="7763322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3">
    <w:nsid w:val="7763322B"/>
    <w:multiLevelType w:val="singleLevel"/>
    <w:tmpl w:val="7763322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4">
    <w:nsid w:val="7763322C"/>
    <w:multiLevelType w:val="singleLevel"/>
    <w:tmpl w:val="7763322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5">
    <w:nsid w:val="7763322D"/>
    <w:multiLevelType w:val="singleLevel"/>
    <w:tmpl w:val="7763322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6">
    <w:nsid w:val="7763322E"/>
    <w:multiLevelType w:val="singleLevel"/>
    <w:tmpl w:val="7763322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7">
    <w:nsid w:val="7763322F"/>
    <w:multiLevelType w:val="singleLevel"/>
    <w:tmpl w:val="7763322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8">
    <w:nsid w:val="77633230"/>
    <w:multiLevelType w:val="singleLevel"/>
    <w:tmpl w:val="7763323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9">
    <w:nsid w:val="77633231"/>
    <w:multiLevelType w:val="singleLevel"/>
    <w:tmpl w:val="7763323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0">
    <w:nsid w:val="77633232"/>
    <w:multiLevelType w:val="singleLevel"/>
    <w:tmpl w:val="7763323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1">
    <w:nsid w:val="77633233"/>
    <w:multiLevelType w:val="singleLevel"/>
    <w:tmpl w:val="7763323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2">
    <w:nsid w:val="77633234"/>
    <w:multiLevelType w:val="singleLevel"/>
    <w:tmpl w:val="7763323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3">
    <w:nsid w:val="77633235"/>
    <w:multiLevelType w:val="singleLevel"/>
    <w:tmpl w:val="7763323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4">
    <w:nsid w:val="77633236"/>
    <w:multiLevelType w:val="singleLevel"/>
    <w:tmpl w:val="7763323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5">
    <w:nsid w:val="77633237"/>
    <w:multiLevelType w:val="singleLevel"/>
    <w:tmpl w:val="77633237"/>
    <w:lvl w:ilvl="0" w:tentative="0">
      <w:start w:val="2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36">
    <w:nsid w:val="77633238"/>
    <w:multiLevelType w:val="singleLevel"/>
    <w:tmpl w:val="7763323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7">
    <w:nsid w:val="77633239"/>
    <w:multiLevelType w:val="singleLevel"/>
    <w:tmpl w:val="7763323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8">
    <w:nsid w:val="7763323A"/>
    <w:multiLevelType w:val="singleLevel"/>
    <w:tmpl w:val="7763323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9">
    <w:nsid w:val="7763323B"/>
    <w:multiLevelType w:val="singleLevel"/>
    <w:tmpl w:val="7763323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0">
    <w:nsid w:val="7763323C"/>
    <w:multiLevelType w:val="singleLevel"/>
    <w:tmpl w:val="7763323C"/>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1">
    <w:nsid w:val="7763323D"/>
    <w:multiLevelType w:val="singleLevel"/>
    <w:tmpl w:val="7763323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2">
    <w:nsid w:val="7763323E"/>
    <w:multiLevelType w:val="singleLevel"/>
    <w:tmpl w:val="7763323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3">
    <w:nsid w:val="7763323F"/>
    <w:multiLevelType w:val="singleLevel"/>
    <w:tmpl w:val="7763323F"/>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4">
    <w:nsid w:val="77633240"/>
    <w:multiLevelType w:val="singleLevel"/>
    <w:tmpl w:val="7763324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5">
    <w:nsid w:val="77633241"/>
    <w:multiLevelType w:val="singleLevel"/>
    <w:tmpl w:val="7763324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6">
    <w:nsid w:val="77633242"/>
    <w:multiLevelType w:val="singleLevel"/>
    <w:tmpl w:val="7763324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7">
    <w:nsid w:val="77633243"/>
    <w:multiLevelType w:val="multilevel"/>
    <w:tmpl w:val="7763324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48">
    <w:nsid w:val="77633246"/>
    <w:multiLevelType w:val="singleLevel"/>
    <w:tmpl w:val="7763324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9">
    <w:nsid w:val="7FF00301"/>
    <w:multiLevelType w:val="singleLevel"/>
    <w:tmpl w:val="7FF00301"/>
    <w:lvl w:ilvl="0" w:tentative="0">
      <w:start w:val="8"/>
      <w:numFmt w:val="chineseCounting"/>
      <w:lvlText w:val="%1."/>
      <w:lvlJc w:val="left"/>
      <w:pPr>
        <w:tabs>
          <w:tab w:val="left" w:pos="312"/>
        </w:tabs>
      </w:pPr>
      <w:rPr>
        <w:rFonts w:hint="eastAsia"/>
      </w:rPr>
    </w:lvl>
  </w:abstractNum>
  <w:num w:numId="1">
    <w:abstractNumId w:val="3"/>
  </w:num>
  <w:num w:numId="2">
    <w:abstractNumId w:val="0"/>
  </w:num>
  <w:num w:numId="3">
    <w:abstractNumId w:val="49"/>
  </w:num>
  <w:num w:numId="4">
    <w:abstractNumId w:val="47"/>
  </w:num>
  <w:num w:numId="5">
    <w:abstractNumId w:val="2"/>
  </w:num>
  <w:num w:numId="6">
    <w:abstractNumId w:val="1"/>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2"/>
  </w:num>
  <w:num w:numId="46">
    <w:abstractNumId w:val="43"/>
  </w:num>
  <w:num w:numId="47">
    <w:abstractNumId w:val="44"/>
  </w:num>
  <w:num w:numId="48">
    <w:abstractNumId w:val="45"/>
  </w:num>
  <w:num w:numId="49">
    <w:abstractNumId w:val="46"/>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yYzQ5YjI5Y2Y2NWQzMTgwOGQ3OTEwYjg2NjlhYzEifQ=="/>
  </w:docVars>
  <w:rsids>
    <w:rsidRoot w:val="35C1240C"/>
    <w:rsid w:val="000B35D2"/>
    <w:rsid w:val="001868A1"/>
    <w:rsid w:val="00297E90"/>
    <w:rsid w:val="00353F3F"/>
    <w:rsid w:val="00602CFC"/>
    <w:rsid w:val="00666C42"/>
    <w:rsid w:val="008220AF"/>
    <w:rsid w:val="00930609"/>
    <w:rsid w:val="00937DDE"/>
    <w:rsid w:val="009A1672"/>
    <w:rsid w:val="00AD5775"/>
    <w:rsid w:val="00B57C60"/>
    <w:rsid w:val="00DE06B4"/>
    <w:rsid w:val="00F81B4D"/>
    <w:rsid w:val="00FA063D"/>
    <w:rsid w:val="00FC2783"/>
    <w:rsid w:val="030B2530"/>
    <w:rsid w:val="03922E36"/>
    <w:rsid w:val="06C45AB1"/>
    <w:rsid w:val="073462F1"/>
    <w:rsid w:val="07731B1E"/>
    <w:rsid w:val="0B01129D"/>
    <w:rsid w:val="0E7C0115"/>
    <w:rsid w:val="0F3E1F3B"/>
    <w:rsid w:val="0FD009C8"/>
    <w:rsid w:val="10023568"/>
    <w:rsid w:val="10223F0D"/>
    <w:rsid w:val="11382CD8"/>
    <w:rsid w:val="11A71DB3"/>
    <w:rsid w:val="11B07AE6"/>
    <w:rsid w:val="16041BBA"/>
    <w:rsid w:val="16B34D3B"/>
    <w:rsid w:val="16F5513D"/>
    <w:rsid w:val="18F93524"/>
    <w:rsid w:val="1B802D01"/>
    <w:rsid w:val="1BF646F9"/>
    <w:rsid w:val="1C6D251D"/>
    <w:rsid w:val="1EBD3A5C"/>
    <w:rsid w:val="21DA62E3"/>
    <w:rsid w:val="2710243F"/>
    <w:rsid w:val="271F0C12"/>
    <w:rsid w:val="28154001"/>
    <w:rsid w:val="2865372F"/>
    <w:rsid w:val="2AA84549"/>
    <w:rsid w:val="2BE32CC6"/>
    <w:rsid w:val="2F12052F"/>
    <w:rsid w:val="31FB3392"/>
    <w:rsid w:val="349C3B23"/>
    <w:rsid w:val="35C1240C"/>
    <w:rsid w:val="361C278B"/>
    <w:rsid w:val="37BF154D"/>
    <w:rsid w:val="39762FF9"/>
    <w:rsid w:val="39BE29D9"/>
    <w:rsid w:val="3BBA1D76"/>
    <w:rsid w:val="3E2207F1"/>
    <w:rsid w:val="3E506B1E"/>
    <w:rsid w:val="3F433FA7"/>
    <w:rsid w:val="3FA36144"/>
    <w:rsid w:val="413E0B79"/>
    <w:rsid w:val="41A71B36"/>
    <w:rsid w:val="44A375E7"/>
    <w:rsid w:val="46EC6F0C"/>
    <w:rsid w:val="477A5294"/>
    <w:rsid w:val="48E75396"/>
    <w:rsid w:val="4C8E4B43"/>
    <w:rsid w:val="55022228"/>
    <w:rsid w:val="55B972AE"/>
    <w:rsid w:val="570045AB"/>
    <w:rsid w:val="581012AF"/>
    <w:rsid w:val="5A3410A5"/>
    <w:rsid w:val="5C857037"/>
    <w:rsid w:val="5DEA4C70"/>
    <w:rsid w:val="5F7B609C"/>
    <w:rsid w:val="60AA74D6"/>
    <w:rsid w:val="61474869"/>
    <w:rsid w:val="614D13CA"/>
    <w:rsid w:val="625453D0"/>
    <w:rsid w:val="627545BE"/>
    <w:rsid w:val="62991149"/>
    <w:rsid w:val="64122DF1"/>
    <w:rsid w:val="681C1AF7"/>
    <w:rsid w:val="68B0651A"/>
    <w:rsid w:val="68BD4776"/>
    <w:rsid w:val="6C0F4C0A"/>
    <w:rsid w:val="6CF42CC2"/>
    <w:rsid w:val="6F0A4804"/>
    <w:rsid w:val="713734FD"/>
    <w:rsid w:val="7160077C"/>
    <w:rsid w:val="71B92164"/>
    <w:rsid w:val="722E46F5"/>
    <w:rsid w:val="725A0912"/>
    <w:rsid w:val="74D50872"/>
    <w:rsid w:val="7614205F"/>
    <w:rsid w:val="79210E38"/>
    <w:rsid w:val="79FD3F85"/>
    <w:rsid w:val="7A4E1378"/>
    <w:rsid w:val="7DBD40EE"/>
    <w:rsid w:val="7EE73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5"/>
    <w:autoRedefine/>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62"/>
    <w:autoRedefine/>
    <w:semiHidden/>
    <w:unhideWhenUsed/>
    <w:qFormat/>
    <w:uiPriority w:val="0"/>
    <w:pPr>
      <w:keepNext/>
      <w:keepLines/>
      <w:spacing w:before="260" w:after="260" w:line="415" w:lineRule="auto"/>
      <w:outlineLvl w:val="1"/>
    </w:pPr>
    <w:rPr>
      <w:rFonts w:ascii="Cambria" w:hAnsi="Cambria" w:eastAsia="Cambria" w:cs="Times New Roman"/>
      <w:b/>
      <w:bCs/>
      <w:sz w:val="32"/>
      <w:szCs w:val="32"/>
    </w:rPr>
  </w:style>
  <w:style w:type="paragraph" w:styleId="4">
    <w:name w:val="heading 3"/>
    <w:basedOn w:val="1"/>
    <w:next w:val="1"/>
    <w:link w:val="58"/>
    <w:autoRedefine/>
    <w:semiHidden/>
    <w:unhideWhenUsed/>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5">
    <w:name w:val="heading 4"/>
    <w:basedOn w:val="1"/>
    <w:next w:val="1"/>
    <w:autoRedefine/>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link w:val="59"/>
    <w:autoRedefine/>
    <w:semiHidden/>
    <w:unhideWhenUsed/>
    <w:qFormat/>
    <w:uiPriority w:val="0"/>
    <w:pPr>
      <w:keepNext/>
      <w:keepLines/>
      <w:spacing w:before="280" w:after="290" w:line="372" w:lineRule="auto"/>
      <w:outlineLvl w:val="4"/>
    </w:pPr>
    <w:rPr>
      <w:b/>
      <w:sz w:val="28"/>
    </w:rPr>
  </w:style>
  <w:style w:type="paragraph" w:styleId="7">
    <w:name w:val="heading 8"/>
    <w:basedOn w:val="1"/>
    <w:next w:val="1"/>
    <w:link w:val="63"/>
    <w:autoRedefine/>
    <w:semiHidden/>
    <w:unhideWhenUsed/>
    <w:qFormat/>
    <w:uiPriority w:val="0"/>
    <w:pPr>
      <w:keepNext/>
      <w:keepLines/>
      <w:spacing w:before="240" w:after="64" w:line="317" w:lineRule="auto"/>
      <w:outlineLvl w:val="7"/>
    </w:pPr>
    <w:rPr>
      <w:rFonts w:ascii="Arial" w:hAnsi="Arial" w:eastAsia="黑体"/>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8">
    <w:name w:val="List Number"/>
    <w:basedOn w:val="1"/>
    <w:autoRedefine/>
    <w:qFormat/>
    <w:uiPriority w:val="0"/>
    <w:pPr>
      <w:widowControl/>
      <w:tabs>
        <w:tab w:val="left" w:pos="454"/>
        <w:tab w:val="left" w:pos="720"/>
        <w:tab w:val="left" w:pos="840"/>
      </w:tabs>
      <w:spacing w:after="50" w:afterLines="50"/>
      <w:ind w:left="454" w:hanging="284"/>
      <w:jc w:val="left"/>
    </w:pPr>
    <w:rPr>
      <w:rFonts w:ascii="Times New Roman" w:hAnsi="Times New Roman" w:eastAsia="宋体" w:cs="Times New Roman"/>
      <w:kern w:val="0"/>
      <w:sz w:val="24"/>
      <w:szCs w:val="20"/>
    </w:rPr>
  </w:style>
  <w:style w:type="paragraph" w:styleId="9">
    <w:name w:val="Normal Indent"/>
    <w:basedOn w:val="1"/>
    <w:autoRedefine/>
    <w:qFormat/>
    <w:uiPriority w:val="0"/>
    <w:pPr>
      <w:ind w:firstLine="420"/>
    </w:pPr>
    <w:rPr>
      <w:rFonts w:ascii="Times New Roman" w:hAnsi="Times New Roman" w:eastAsia="宋体" w:cs="Times New Roman"/>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annotation text"/>
    <w:basedOn w:val="1"/>
    <w:link w:val="64"/>
    <w:autoRedefine/>
    <w:qFormat/>
    <w:uiPriority w:val="0"/>
    <w:pPr>
      <w:jc w:val="left"/>
    </w:pPr>
    <w:rPr>
      <w:rFonts w:ascii="Times New Roman" w:hAnsi="Times New Roman" w:eastAsia="宋体" w:cs="Times New Roman"/>
    </w:rPr>
  </w:style>
  <w:style w:type="paragraph" w:styleId="12">
    <w:name w:val="Body Text 3"/>
    <w:basedOn w:val="1"/>
    <w:link w:val="40"/>
    <w:autoRedefine/>
    <w:qFormat/>
    <w:uiPriority w:val="0"/>
    <w:pPr>
      <w:spacing w:after="120"/>
    </w:pPr>
    <w:rPr>
      <w:sz w:val="16"/>
    </w:rPr>
  </w:style>
  <w:style w:type="paragraph" w:styleId="13">
    <w:name w:val="Body Text"/>
    <w:basedOn w:val="1"/>
    <w:next w:val="1"/>
    <w:link w:val="56"/>
    <w:autoRedefine/>
    <w:qFormat/>
    <w:uiPriority w:val="0"/>
    <w:pPr>
      <w:spacing w:after="120"/>
    </w:pPr>
    <w:rPr>
      <w:rFonts w:ascii="Times New Roman" w:hAnsi="Times New Roman" w:eastAsia="宋体" w:cs="Times New Roman"/>
    </w:rPr>
  </w:style>
  <w:style w:type="paragraph" w:styleId="14">
    <w:name w:val="Body Text Indent"/>
    <w:basedOn w:val="1"/>
    <w:link w:val="42"/>
    <w:autoRedefine/>
    <w:qFormat/>
    <w:uiPriority w:val="0"/>
    <w:pPr>
      <w:ind w:firstLine="830" w:firstLineChars="352"/>
    </w:pPr>
    <w:rPr>
      <w:rFonts w:hint="eastAsia" w:ascii="仿宋_GB2312" w:hAnsi="Times New Roman" w:eastAsia="仿宋_GB2312" w:cs="Times New Roman"/>
      <w:kern w:val="0"/>
      <w:sz w:val="32"/>
      <w:szCs w:val="20"/>
    </w:rPr>
  </w:style>
  <w:style w:type="paragraph" w:styleId="15">
    <w:name w:val="List 2"/>
    <w:basedOn w:val="1"/>
    <w:autoRedefine/>
    <w:qFormat/>
    <w:uiPriority w:val="0"/>
    <w:pPr>
      <w:ind w:left="100" w:leftChars="200" w:hanging="200" w:hangingChars="200"/>
      <w:contextualSpacing/>
    </w:pPr>
    <w:rPr>
      <w:rFonts w:ascii="Times New Roman" w:hAnsi="Times New Roman" w:eastAsia="宋体" w:cs="Times New Roman"/>
    </w:rPr>
  </w:style>
  <w:style w:type="paragraph" w:styleId="16">
    <w:name w:val="toc 3"/>
    <w:basedOn w:val="1"/>
    <w:next w:val="1"/>
    <w:autoRedefine/>
    <w:qFormat/>
    <w:uiPriority w:val="0"/>
    <w:pPr>
      <w:ind w:left="840" w:leftChars="400"/>
    </w:pPr>
    <w:rPr>
      <w:rFonts w:ascii="Times New Roman" w:hAnsi="Times New Roman" w:eastAsia="宋体" w:cs="Times New Roman"/>
    </w:rPr>
  </w:style>
  <w:style w:type="paragraph" w:styleId="17">
    <w:name w:val="Plain Text"/>
    <w:basedOn w:val="1"/>
    <w:next w:val="1"/>
    <w:link w:val="65"/>
    <w:autoRedefine/>
    <w:qFormat/>
    <w:uiPriority w:val="0"/>
    <w:rPr>
      <w:rFonts w:hint="eastAsia" w:ascii="宋体" w:hAnsi="Courier New" w:eastAsia="宋体" w:cs="Times New Roman"/>
      <w:kern w:val="0"/>
      <w:sz w:val="20"/>
      <w:szCs w:val="21"/>
    </w:rPr>
  </w:style>
  <w:style w:type="paragraph" w:styleId="18">
    <w:name w:val="Date"/>
    <w:basedOn w:val="1"/>
    <w:next w:val="1"/>
    <w:link w:val="39"/>
    <w:autoRedefine/>
    <w:qFormat/>
    <w:uiPriority w:val="0"/>
    <w:pPr>
      <w:ind w:left="100" w:leftChars="2500"/>
    </w:pPr>
  </w:style>
  <w:style w:type="paragraph" w:styleId="19">
    <w:name w:val="Balloon Text"/>
    <w:basedOn w:val="1"/>
    <w:link w:val="66"/>
    <w:autoRedefine/>
    <w:qFormat/>
    <w:uiPriority w:val="0"/>
    <w:rPr>
      <w:sz w:val="18"/>
    </w:rPr>
  </w:style>
  <w:style w:type="paragraph" w:styleId="20">
    <w:name w:val="footer"/>
    <w:basedOn w:val="1"/>
    <w:link w:val="67"/>
    <w:autoRedefine/>
    <w:qFormat/>
    <w:uiPriority w:val="0"/>
    <w:pPr>
      <w:tabs>
        <w:tab w:val="center" w:pos="4153"/>
        <w:tab w:val="right" w:pos="8306"/>
      </w:tabs>
      <w:snapToGrid w:val="0"/>
      <w:jc w:val="left"/>
    </w:pPr>
    <w:rPr>
      <w:sz w:val="18"/>
    </w:rPr>
  </w:style>
  <w:style w:type="paragraph" w:styleId="21">
    <w:name w:val="header"/>
    <w:basedOn w:val="1"/>
    <w:link w:val="68"/>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autoRedefine/>
    <w:qFormat/>
    <w:uiPriority w:val="0"/>
    <w:rPr>
      <w:rFonts w:ascii="Times New Roman" w:hAnsi="Times New Roman" w:eastAsia="宋体" w:cs="Times New Roman"/>
    </w:rPr>
  </w:style>
  <w:style w:type="paragraph" w:styleId="23">
    <w:name w:val="List"/>
    <w:basedOn w:val="1"/>
    <w:autoRedefine/>
    <w:qFormat/>
    <w:uiPriority w:val="99"/>
    <w:pPr>
      <w:ind w:left="200" w:hanging="200" w:hangingChars="200"/>
      <w:contextualSpacing/>
    </w:pPr>
    <w:rPr>
      <w:rFonts w:ascii="Times New Roman" w:hAnsi="Times New Roman" w:eastAsia="宋体" w:cs="Times New Roman"/>
    </w:rPr>
  </w:style>
  <w:style w:type="paragraph" w:styleId="24">
    <w:name w:val="footnote text"/>
    <w:basedOn w:val="1"/>
    <w:autoRedefine/>
    <w:semiHidden/>
    <w:unhideWhenUsed/>
    <w:qFormat/>
    <w:uiPriority w:val="99"/>
    <w:pPr>
      <w:snapToGrid w:val="0"/>
      <w:jc w:val="left"/>
    </w:pPr>
    <w:rPr>
      <w:sz w:val="18"/>
    </w:rPr>
  </w:style>
  <w:style w:type="paragraph" w:styleId="25">
    <w:name w:val="table of figures"/>
    <w:basedOn w:val="1"/>
    <w:next w:val="1"/>
    <w:autoRedefine/>
    <w:qFormat/>
    <w:uiPriority w:val="0"/>
    <w:pPr>
      <w:ind w:left="200" w:leftChars="200" w:hanging="200" w:hangingChars="200"/>
    </w:pPr>
  </w:style>
  <w:style w:type="paragraph" w:styleId="26">
    <w:name w:val="toc 2"/>
    <w:basedOn w:val="1"/>
    <w:next w:val="1"/>
    <w:autoRedefine/>
    <w:qFormat/>
    <w:uiPriority w:val="0"/>
    <w:pPr>
      <w:tabs>
        <w:tab w:val="right" w:leader="dot" w:pos="8296"/>
      </w:tabs>
      <w:ind w:left="420" w:leftChars="200"/>
    </w:pPr>
    <w:rPr>
      <w:rFonts w:ascii="Times New Roman" w:hAnsi="Times New Roman" w:eastAsia="宋体" w:cs="Times New Roman"/>
    </w:rPr>
  </w:style>
  <w:style w:type="paragraph" w:styleId="27">
    <w:name w:val="Normal (Web)"/>
    <w:basedOn w:val="1"/>
    <w:autoRedefine/>
    <w:qFormat/>
    <w:uiPriority w:val="0"/>
    <w:rPr>
      <w:rFonts w:ascii="Calibri" w:hAnsi="Calibri" w:eastAsia="宋体" w:cs="Times New Roman"/>
      <w:kern w:val="0"/>
      <w:sz w:val="24"/>
    </w:rPr>
  </w:style>
  <w:style w:type="paragraph" w:styleId="28">
    <w:name w:val="annotation subject"/>
    <w:basedOn w:val="11"/>
    <w:next w:val="11"/>
    <w:link w:val="49"/>
    <w:autoRedefine/>
    <w:qFormat/>
    <w:uiPriority w:val="0"/>
    <w:rPr>
      <w:b/>
    </w:rPr>
  </w:style>
  <w:style w:type="table" w:styleId="30">
    <w:name w:val="Table Grid"/>
    <w:basedOn w:val="29"/>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op w:val="single" w:color="000000" w:sz="4" w:space="0"/>
        <w:left w:val="single" w:color="000000" w:sz="4" w:space="0"/>
        <w:bottom w:val="single" w:color="000000" w:sz="4" w:space="0"/>
        <w:right w:val="single" w:color="000000" w:sz="4" w:space="0"/>
      </w:tcBorders>
    </w:tcPr>
  </w:style>
  <w:style w:type="character" w:styleId="32">
    <w:name w:val="endnote reference"/>
    <w:basedOn w:val="31"/>
    <w:autoRedefine/>
    <w:qFormat/>
    <w:uiPriority w:val="0"/>
    <w:rPr>
      <w:vertAlign w:val="superscript"/>
    </w:rPr>
  </w:style>
  <w:style w:type="character" w:styleId="33">
    <w:name w:val="FollowedHyperlink"/>
    <w:basedOn w:val="31"/>
    <w:autoRedefine/>
    <w:qFormat/>
    <w:uiPriority w:val="0"/>
    <w:rPr>
      <w:color w:val="800080"/>
      <w:u w:val="single"/>
    </w:rPr>
  </w:style>
  <w:style w:type="character" w:styleId="34">
    <w:name w:val="Hyperlink"/>
    <w:basedOn w:val="31"/>
    <w:autoRedefine/>
    <w:qFormat/>
    <w:uiPriority w:val="0"/>
    <w:rPr>
      <w:color w:val="0000FF"/>
      <w:u w:val="single"/>
    </w:rPr>
  </w:style>
  <w:style w:type="character" w:styleId="35">
    <w:name w:val="annotation reference"/>
    <w:basedOn w:val="31"/>
    <w:autoRedefine/>
    <w:qFormat/>
    <w:uiPriority w:val="0"/>
    <w:rPr>
      <w:sz w:val="21"/>
      <w:szCs w:val="21"/>
    </w:rPr>
  </w:style>
  <w:style w:type="paragraph" w:customStyle="1" w:styleId="36">
    <w:name w:val="BodyText"/>
    <w:basedOn w:val="1"/>
    <w:next w:val="37"/>
    <w:autoRedefine/>
    <w:qFormat/>
    <w:uiPriority w:val="0"/>
    <w:pPr>
      <w:ind w:left="102"/>
      <w:textAlignment w:val="baseline"/>
    </w:pPr>
    <w:rPr>
      <w:rFonts w:ascii="宋体" w:hAnsi="宋体"/>
      <w:sz w:val="29"/>
    </w:rPr>
  </w:style>
  <w:style w:type="paragraph" w:customStyle="1" w:styleId="37">
    <w:name w:val="181"/>
    <w:basedOn w:val="1"/>
    <w:next w:val="1"/>
    <w:autoRedefine/>
    <w:qFormat/>
    <w:uiPriority w:val="0"/>
    <w:pPr>
      <w:spacing w:before="360" w:after="360"/>
      <w:ind w:left="950" w:right="950"/>
      <w:jc w:val="center"/>
      <w:textAlignment w:val="baseline"/>
    </w:pPr>
    <w:rPr>
      <w:i/>
    </w:rPr>
  </w:style>
  <w:style w:type="character" w:customStyle="1" w:styleId="38">
    <w:name w:val="正文文本 (26) + 间距 0 pt"/>
    <w:basedOn w:val="31"/>
    <w:autoRedefine/>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39">
    <w:name w:val="日期 字符1"/>
    <w:basedOn w:val="31"/>
    <w:link w:val="18"/>
    <w:autoRedefine/>
    <w:qFormat/>
    <w:uiPriority w:val="0"/>
    <w:rPr>
      <w:kern w:val="2"/>
      <w:sz w:val="21"/>
      <w:szCs w:val="24"/>
    </w:rPr>
  </w:style>
  <w:style w:type="character" w:customStyle="1" w:styleId="40">
    <w:name w:val="正文文本 3 字符1"/>
    <w:basedOn w:val="31"/>
    <w:link w:val="12"/>
    <w:autoRedefine/>
    <w:qFormat/>
    <w:uiPriority w:val="0"/>
    <w:rPr>
      <w:kern w:val="2"/>
      <w:sz w:val="16"/>
      <w:szCs w:val="16"/>
    </w:rPr>
  </w:style>
  <w:style w:type="character" w:customStyle="1" w:styleId="41">
    <w:name w:val="纯文本 Char"/>
    <w:basedOn w:val="31"/>
    <w:autoRedefine/>
    <w:qFormat/>
    <w:uiPriority w:val="0"/>
    <w:rPr>
      <w:rFonts w:hint="eastAsia" w:ascii="宋体" w:hAnsi="Courier New" w:eastAsia="宋体" w:cs="Courier New"/>
      <w:kern w:val="2"/>
      <w:sz w:val="21"/>
      <w:szCs w:val="21"/>
    </w:rPr>
  </w:style>
  <w:style w:type="character" w:customStyle="1" w:styleId="42">
    <w:name w:val="正文文本缩进 字符1"/>
    <w:basedOn w:val="31"/>
    <w:link w:val="14"/>
    <w:autoRedefine/>
    <w:qFormat/>
    <w:uiPriority w:val="0"/>
    <w:rPr>
      <w:rFonts w:hint="eastAsia" w:ascii="仿宋_GB2312" w:eastAsia="仿宋_GB2312" w:cs="仿宋_GB2312"/>
      <w:sz w:val="32"/>
    </w:rPr>
  </w:style>
  <w:style w:type="character" w:customStyle="1" w:styleId="43">
    <w:name w:val="标题 2 字符"/>
    <w:basedOn w:val="31"/>
    <w:autoRedefine/>
    <w:qFormat/>
    <w:uiPriority w:val="0"/>
    <w:rPr>
      <w:rFonts w:hint="default" w:ascii="Cambria" w:hAnsi="Cambria" w:eastAsia="Cambria" w:cs="Cambria"/>
      <w:b/>
      <w:bCs/>
      <w:kern w:val="2"/>
      <w:sz w:val="32"/>
      <w:szCs w:val="32"/>
    </w:rPr>
  </w:style>
  <w:style w:type="character" w:customStyle="1" w:styleId="44">
    <w:name w:val="批注文字 字符2"/>
    <w:basedOn w:val="31"/>
    <w:autoRedefine/>
    <w:qFormat/>
    <w:uiPriority w:val="0"/>
    <w:rPr>
      <w:kern w:val="2"/>
      <w:sz w:val="21"/>
      <w:szCs w:val="24"/>
    </w:rPr>
  </w:style>
  <w:style w:type="character" w:customStyle="1" w:styleId="45">
    <w:name w:val="标题 8 字符"/>
    <w:basedOn w:val="31"/>
    <w:autoRedefine/>
    <w:qFormat/>
    <w:uiPriority w:val="0"/>
    <w:rPr>
      <w:rFonts w:hint="eastAsia" w:ascii="等线 Light" w:hAnsi="等线 Light" w:eastAsia="等线 Light" w:cs="等线 Light"/>
      <w:kern w:val="2"/>
      <w:sz w:val="24"/>
      <w:szCs w:val="24"/>
    </w:rPr>
  </w:style>
  <w:style w:type="character" w:customStyle="1" w:styleId="46">
    <w:name w:val="未处理的提及1"/>
    <w:basedOn w:val="31"/>
    <w:autoRedefine/>
    <w:qFormat/>
    <w:uiPriority w:val="0"/>
    <w:rPr>
      <w:color w:val="605E5C"/>
      <w:shd w:val="clear" w:color="auto" w:fill="E1DFDD"/>
    </w:rPr>
  </w:style>
  <w:style w:type="character" w:customStyle="1" w:styleId="47">
    <w:name w:val="日期 字符"/>
    <w:basedOn w:val="31"/>
    <w:autoRedefine/>
    <w:qFormat/>
    <w:uiPriority w:val="0"/>
    <w:rPr>
      <w:kern w:val="2"/>
      <w:sz w:val="21"/>
      <w:szCs w:val="24"/>
    </w:rPr>
  </w:style>
  <w:style w:type="character" w:customStyle="1" w:styleId="48">
    <w:name w:val="页脚 字符"/>
    <w:basedOn w:val="31"/>
    <w:autoRedefine/>
    <w:qFormat/>
    <w:uiPriority w:val="0"/>
    <w:rPr>
      <w:sz w:val="18"/>
      <w:szCs w:val="18"/>
    </w:rPr>
  </w:style>
  <w:style w:type="character" w:customStyle="1" w:styleId="49">
    <w:name w:val="批注主题 字符1"/>
    <w:basedOn w:val="50"/>
    <w:link w:val="28"/>
    <w:autoRedefine/>
    <w:qFormat/>
    <w:uiPriority w:val="0"/>
    <w:rPr>
      <w:b/>
      <w:bCs/>
      <w:kern w:val="2"/>
      <w:sz w:val="21"/>
      <w:szCs w:val="24"/>
    </w:rPr>
  </w:style>
  <w:style w:type="character" w:customStyle="1" w:styleId="50">
    <w:name w:val="批注文字 Char"/>
    <w:basedOn w:val="31"/>
    <w:autoRedefine/>
    <w:qFormat/>
    <w:uiPriority w:val="0"/>
    <w:rPr>
      <w:kern w:val="2"/>
      <w:sz w:val="21"/>
      <w:szCs w:val="24"/>
    </w:rPr>
  </w:style>
  <w:style w:type="character" w:customStyle="1" w:styleId="51">
    <w:name w:val="正文文本 Char"/>
    <w:basedOn w:val="31"/>
    <w:autoRedefine/>
    <w:qFormat/>
    <w:uiPriority w:val="0"/>
    <w:rPr>
      <w:kern w:val="2"/>
      <w:sz w:val="21"/>
      <w:szCs w:val="24"/>
    </w:rPr>
  </w:style>
  <w:style w:type="character" w:customStyle="1" w:styleId="52">
    <w:name w:val="标题 1 字符"/>
    <w:basedOn w:val="31"/>
    <w:autoRedefine/>
    <w:qFormat/>
    <w:uiPriority w:val="0"/>
    <w:rPr>
      <w:b/>
      <w:bCs/>
      <w:kern w:val="44"/>
      <w:sz w:val="44"/>
      <w:szCs w:val="44"/>
    </w:rPr>
  </w:style>
  <w:style w:type="paragraph" w:customStyle="1" w:styleId="53">
    <w:name w:val="正文缩进1"/>
    <w:basedOn w:val="1"/>
    <w:next w:val="14"/>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character" w:customStyle="1" w:styleId="54">
    <w:name w:val="标题 5 字符"/>
    <w:basedOn w:val="31"/>
    <w:autoRedefine/>
    <w:qFormat/>
    <w:uiPriority w:val="0"/>
    <w:rPr>
      <w:b/>
      <w:bCs/>
      <w:kern w:val="2"/>
      <w:sz w:val="28"/>
      <w:szCs w:val="28"/>
    </w:rPr>
  </w:style>
  <w:style w:type="character" w:customStyle="1" w:styleId="55">
    <w:name w:val="标题 1 字符2"/>
    <w:basedOn w:val="31"/>
    <w:link w:val="2"/>
    <w:autoRedefine/>
    <w:qFormat/>
    <w:uiPriority w:val="0"/>
    <w:rPr>
      <w:b/>
      <w:bCs/>
      <w:kern w:val="44"/>
      <w:sz w:val="44"/>
      <w:szCs w:val="44"/>
    </w:rPr>
  </w:style>
  <w:style w:type="character" w:customStyle="1" w:styleId="56">
    <w:name w:val="正文文本 字符2"/>
    <w:basedOn w:val="31"/>
    <w:link w:val="13"/>
    <w:autoRedefine/>
    <w:qFormat/>
    <w:uiPriority w:val="0"/>
    <w:rPr>
      <w:kern w:val="2"/>
      <w:sz w:val="21"/>
      <w:szCs w:val="24"/>
    </w:rPr>
  </w:style>
  <w:style w:type="character" w:customStyle="1" w:styleId="57">
    <w:name w:val="标题 2 Char"/>
    <w:basedOn w:val="31"/>
    <w:autoRedefine/>
    <w:qFormat/>
    <w:uiPriority w:val="0"/>
    <w:rPr>
      <w:rFonts w:hint="default" w:ascii="Cambria" w:hAnsi="Cambria" w:eastAsia="宋体" w:cs="Times New Roman"/>
      <w:b/>
      <w:bCs/>
      <w:kern w:val="2"/>
      <w:sz w:val="32"/>
      <w:szCs w:val="32"/>
    </w:rPr>
  </w:style>
  <w:style w:type="character" w:customStyle="1" w:styleId="58">
    <w:name w:val="标题 3 字符1"/>
    <w:basedOn w:val="31"/>
    <w:link w:val="4"/>
    <w:autoRedefine/>
    <w:qFormat/>
    <w:uiPriority w:val="0"/>
    <w:rPr>
      <w:b/>
      <w:bCs/>
      <w:kern w:val="2"/>
      <w:sz w:val="32"/>
      <w:szCs w:val="32"/>
    </w:rPr>
  </w:style>
  <w:style w:type="character" w:customStyle="1" w:styleId="59">
    <w:name w:val="标题 5 字符1"/>
    <w:basedOn w:val="31"/>
    <w:link w:val="6"/>
    <w:autoRedefine/>
    <w:qFormat/>
    <w:uiPriority w:val="0"/>
    <w:rPr>
      <w:b/>
      <w:bCs/>
      <w:kern w:val="2"/>
      <w:sz w:val="28"/>
      <w:szCs w:val="28"/>
    </w:rPr>
  </w:style>
  <w:style w:type="character" w:customStyle="1" w:styleId="60">
    <w:name w:val="标题 8 Char"/>
    <w:basedOn w:val="31"/>
    <w:autoRedefine/>
    <w:qFormat/>
    <w:uiPriority w:val="0"/>
    <w:rPr>
      <w:rFonts w:hint="default" w:ascii="Cambria" w:hAnsi="Cambria" w:eastAsia="宋体" w:cs="Times New Roman"/>
      <w:kern w:val="2"/>
      <w:sz w:val="24"/>
      <w:szCs w:val="24"/>
    </w:rPr>
  </w:style>
  <w:style w:type="character" w:customStyle="1" w:styleId="61">
    <w:name w:val="纯文本 字符1"/>
    <w:basedOn w:val="31"/>
    <w:autoRedefine/>
    <w:qFormat/>
    <w:uiPriority w:val="0"/>
    <w:rPr>
      <w:rFonts w:hint="eastAsia" w:ascii="宋体" w:hAnsi="Courier New" w:eastAsia="宋体" w:cs="宋体"/>
    </w:rPr>
  </w:style>
  <w:style w:type="character" w:customStyle="1" w:styleId="62">
    <w:name w:val="标题 2 字符1"/>
    <w:basedOn w:val="31"/>
    <w:link w:val="3"/>
    <w:autoRedefine/>
    <w:qFormat/>
    <w:uiPriority w:val="0"/>
    <w:rPr>
      <w:rFonts w:hint="default" w:ascii="Cambria" w:hAnsi="Cambria" w:eastAsia="Cambria" w:cs="Cambria"/>
      <w:b/>
      <w:bCs/>
      <w:kern w:val="2"/>
      <w:sz w:val="32"/>
      <w:szCs w:val="32"/>
    </w:rPr>
  </w:style>
  <w:style w:type="character" w:customStyle="1" w:styleId="63">
    <w:name w:val="标题 8 字符1"/>
    <w:basedOn w:val="31"/>
    <w:link w:val="7"/>
    <w:autoRedefine/>
    <w:qFormat/>
    <w:uiPriority w:val="0"/>
    <w:rPr>
      <w:rFonts w:hint="eastAsia" w:ascii="等线 Light" w:hAnsi="等线 Light" w:eastAsia="等线 Light" w:cs="等线 Light"/>
      <w:kern w:val="2"/>
      <w:sz w:val="24"/>
      <w:szCs w:val="24"/>
    </w:rPr>
  </w:style>
  <w:style w:type="character" w:customStyle="1" w:styleId="64">
    <w:name w:val="批注文字 字符3"/>
    <w:basedOn w:val="31"/>
    <w:link w:val="11"/>
    <w:autoRedefine/>
    <w:qFormat/>
    <w:uiPriority w:val="0"/>
    <w:rPr>
      <w:kern w:val="2"/>
      <w:sz w:val="21"/>
      <w:szCs w:val="24"/>
    </w:rPr>
  </w:style>
  <w:style w:type="character" w:customStyle="1" w:styleId="65">
    <w:name w:val="纯文本 字符4"/>
    <w:basedOn w:val="31"/>
    <w:link w:val="17"/>
    <w:autoRedefine/>
    <w:qFormat/>
    <w:uiPriority w:val="0"/>
    <w:rPr>
      <w:rFonts w:hint="eastAsia" w:ascii="宋体" w:hAnsi="Courier New" w:eastAsia="宋体" w:cs="宋体"/>
      <w:szCs w:val="21"/>
    </w:rPr>
  </w:style>
  <w:style w:type="character" w:customStyle="1" w:styleId="66">
    <w:name w:val="批注框文本 字符"/>
    <w:basedOn w:val="31"/>
    <w:link w:val="19"/>
    <w:autoRedefine/>
    <w:qFormat/>
    <w:uiPriority w:val="0"/>
    <w:rPr>
      <w:kern w:val="2"/>
      <w:sz w:val="18"/>
      <w:szCs w:val="18"/>
    </w:rPr>
  </w:style>
  <w:style w:type="character" w:customStyle="1" w:styleId="67">
    <w:name w:val="页脚 字符1"/>
    <w:basedOn w:val="31"/>
    <w:link w:val="20"/>
    <w:autoRedefine/>
    <w:qFormat/>
    <w:uiPriority w:val="0"/>
    <w:rPr>
      <w:sz w:val="18"/>
      <w:szCs w:val="18"/>
    </w:rPr>
  </w:style>
  <w:style w:type="character" w:customStyle="1" w:styleId="68">
    <w:name w:val="页眉 字符1"/>
    <w:basedOn w:val="31"/>
    <w:link w:val="21"/>
    <w:autoRedefine/>
    <w:qFormat/>
    <w:uiPriority w:val="0"/>
    <w:rPr>
      <w:sz w:val="18"/>
      <w:szCs w:val="18"/>
    </w:rPr>
  </w:style>
  <w:style w:type="character" w:customStyle="1" w:styleId="69">
    <w:name w:val="纯文本 字符"/>
    <w:basedOn w:val="31"/>
    <w:autoRedefine/>
    <w:qFormat/>
    <w:uiPriority w:val="0"/>
    <w:rPr>
      <w:rFonts w:hint="eastAsia" w:ascii="宋体" w:hAnsi="Courier New" w:eastAsia="宋体" w:cs="Courier New"/>
      <w:szCs w:val="21"/>
    </w:rPr>
  </w:style>
  <w:style w:type="character" w:customStyle="1" w:styleId="70">
    <w:name w:val="纯文本 字符2"/>
    <w:basedOn w:val="31"/>
    <w:autoRedefine/>
    <w:qFormat/>
    <w:uiPriority w:val="0"/>
    <w:rPr>
      <w:rFonts w:hint="eastAsia" w:ascii="宋体" w:hAnsi="Courier New" w:eastAsia="宋体" w:cs="Courier New"/>
      <w:szCs w:val="21"/>
    </w:rPr>
  </w:style>
  <w:style w:type="character" w:customStyle="1" w:styleId="71">
    <w:name w:val="apple-style-span"/>
    <w:basedOn w:val="31"/>
    <w:autoRedefine/>
    <w:qFormat/>
    <w:uiPriority w:val="0"/>
  </w:style>
  <w:style w:type="character" w:customStyle="1" w:styleId="72">
    <w:name w:val="批注文字 字符1"/>
    <w:basedOn w:val="31"/>
    <w:autoRedefine/>
    <w:qFormat/>
    <w:uiPriority w:val="0"/>
    <w:rPr>
      <w:rFonts w:hint="default" w:ascii="Times New Roman" w:hAnsi="Times New Roman" w:cs="Times New Roman"/>
      <w:kern w:val="2"/>
      <w:sz w:val="21"/>
      <w:szCs w:val="24"/>
    </w:rPr>
  </w:style>
  <w:style w:type="character" w:customStyle="1" w:styleId="73">
    <w:name w:val="标题 1 字符1"/>
    <w:basedOn w:val="31"/>
    <w:autoRedefine/>
    <w:qFormat/>
    <w:uiPriority w:val="0"/>
    <w:rPr>
      <w:b/>
      <w:bCs/>
      <w:kern w:val="44"/>
      <w:sz w:val="44"/>
      <w:szCs w:val="44"/>
    </w:rPr>
  </w:style>
  <w:style w:type="character" w:customStyle="1" w:styleId="74">
    <w:name w:val="批注主题 字符"/>
    <w:basedOn w:val="31"/>
    <w:autoRedefine/>
    <w:qFormat/>
    <w:uiPriority w:val="0"/>
    <w:rPr>
      <w:rFonts w:hint="default" w:ascii="Times New Roman" w:hAnsi="Times New Roman" w:cs="Times New Roman"/>
      <w:b/>
      <w:bCs/>
      <w:kern w:val="2"/>
      <w:sz w:val="21"/>
      <w:szCs w:val="24"/>
    </w:rPr>
  </w:style>
  <w:style w:type="character" w:customStyle="1" w:styleId="75">
    <w:name w:val="正文文本 字符"/>
    <w:basedOn w:val="31"/>
    <w:autoRedefine/>
    <w:qFormat/>
    <w:uiPriority w:val="0"/>
    <w:rPr>
      <w:rFonts w:hint="default" w:ascii="Times New Roman" w:hAnsi="Times New Roman" w:cs="Times New Roman"/>
      <w:kern w:val="2"/>
      <w:sz w:val="21"/>
      <w:szCs w:val="24"/>
    </w:rPr>
  </w:style>
  <w:style w:type="character" w:customStyle="1" w:styleId="76">
    <w:name w:val="批注文字 字符"/>
    <w:basedOn w:val="31"/>
    <w:autoRedefine/>
    <w:qFormat/>
    <w:uiPriority w:val="0"/>
    <w:rPr>
      <w:rFonts w:hint="default" w:ascii="Times New Roman" w:hAnsi="Times New Roman" w:cs="Times New Roman"/>
      <w:kern w:val="2"/>
      <w:sz w:val="21"/>
      <w:szCs w:val="24"/>
    </w:rPr>
  </w:style>
  <w:style w:type="character" w:customStyle="1" w:styleId="77">
    <w:name w:val="textcontents"/>
    <w:basedOn w:val="31"/>
    <w:autoRedefine/>
    <w:qFormat/>
    <w:uiPriority w:val="0"/>
  </w:style>
  <w:style w:type="character" w:customStyle="1" w:styleId="78">
    <w:name w:val="正文2 Char Char"/>
    <w:basedOn w:val="31"/>
    <w:link w:val="79"/>
    <w:autoRedefine/>
    <w:qFormat/>
    <w:uiPriority w:val="0"/>
    <w:rPr>
      <w:sz w:val="24"/>
    </w:rPr>
  </w:style>
  <w:style w:type="paragraph" w:customStyle="1" w:styleId="79">
    <w:name w:val="正文2"/>
    <w:basedOn w:val="1"/>
    <w:link w:val="78"/>
    <w:autoRedefine/>
    <w:qFormat/>
    <w:uiPriority w:val="0"/>
    <w:pPr>
      <w:adjustRightInd w:val="0"/>
      <w:spacing w:before="156" w:line="360" w:lineRule="auto"/>
      <w:ind w:firstLine="510" w:firstLineChars="200"/>
    </w:pPr>
    <w:rPr>
      <w:rFonts w:ascii="Times New Roman" w:hAnsi="Times New Roman" w:eastAsia="宋体" w:cs="Times New Roman"/>
      <w:kern w:val="0"/>
      <w:sz w:val="24"/>
      <w:szCs w:val="20"/>
    </w:rPr>
  </w:style>
  <w:style w:type="character" w:customStyle="1" w:styleId="80">
    <w:name w:val="正文文本 字符1"/>
    <w:basedOn w:val="31"/>
    <w:autoRedefine/>
    <w:qFormat/>
    <w:uiPriority w:val="0"/>
    <w:rPr>
      <w:kern w:val="2"/>
      <w:sz w:val="21"/>
      <w:szCs w:val="24"/>
    </w:rPr>
  </w:style>
  <w:style w:type="paragraph" w:customStyle="1" w:styleId="81">
    <w:name w:val="样式5"/>
    <w:basedOn w:val="1"/>
    <w:autoRedefine/>
    <w:qFormat/>
    <w:uiPriority w:val="0"/>
    <w:pPr>
      <w:adjustRightInd w:val="0"/>
      <w:spacing w:line="440" w:lineRule="exact"/>
      <w:ind w:left="2" w:firstLine="480" w:firstLineChars="200"/>
    </w:pPr>
    <w:rPr>
      <w:rFonts w:hint="eastAsia" w:ascii="仿宋_GB2312" w:hAnsi="仿宋" w:eastAsia="仿宋_GB2312" w:cs="Times New Roman"/>
      <w:sz w:val="24"/>
    </w:rPr>
  </w:style>
  <w:style w:type="character" w:customStyle="1" w:styleId="82">
    <w:name w:val="标题 3 字符"/>
    <w:basedOn w:val="31"/>
    <w:autoRedefine/>
    <w:qFormat/>
    <w:uiPriority w:val="0"/>
    <w:rPr>
      <w:b/>
      <w:bCs/>
      <w:kern w:val="2"/>
      <w:sz w:val="32"/>
      <w:szCs w:val="32"/>
    </w:rPr>
  </w:style>
  <w:style w:type="character" w:customStyle="1" w:styleId="83">
    <w:name w:val="正文文本 3 字符"/>
    <w:basedOn w:val="31"/>
    <w:autoRedefine/>
    <w:qFormat/>
    <w:uiPriority w:val="0"/>
    <w:rPr>
      <w:kern w:val="2"/>
      <w:sz w:val="16"/>
      <w:szCs w:val="16"/>
    </w:rPr>
  </w:style>
  <w:style w:type="character" w:customStyle="1" w:styleId="84">
    <w:name w:val="纯文本 字符3"/>
    <w:basedOn w:val="31"/>
    <w:autoRedefine/>
    <w:qFormat/>
    <w:uiPriority w:val="0"/>
    <w:rPr>
      <w:rFonts w:hint="eastAsia" w:ascii="宋体" w:hAnsi="Courier New" w:eastAsia="宋体" w:cs="宋体"/>
      <w:szCs w:val="21"/>
    </w:rPr>
  </w:style>
  <w:style w:type="character" w:customStyle="1" w:styleId="85">
    <w:name w:val="正文文本缩进 字符"/>
    <w:basedOn w:val="31"/>
    <w:autoRedefine/>
    <w:qFormat/>
    <w:uiPriority w:val="0"/>
    <w:rPr>
      <w:rFonts w:hint="eastAsia" w:ascii="仿宋_GB2312" w:eastAsia="仿宋_GB2312" w:cs="仿宋_GB2312"/>
      <w:sz w:val="32"/>
    </w:rPr>
  </w:style>
  <w:style w:type="character" w:customStyle="1" w:styleId="86">
    <w:name w:val="页眉 字符"/>
    <w:basedOn w:val="31"/>
    <w:autoRedefine/>
    <w:qFormat/>
    <w:uiPriority w:val="0"/>
    <w:rPr>
      <w:sz w:val="18"/>
      <w:szCs w:val="18"/>
    </w:rPr>
  </w:style>
  <w:style w:type="paragraph" w:customStyle="1" w:styleId="87">
    <w:name w:val="Table Text"/>
    <w:basedOn w:val="1"/>
    <w:autoRedefine/>
    <w:semiHidden/>
    <w:qFormat/>
    <w:uiPriority w:val="0"/>
    <w:rPr>
      <w:rFonts w:ascii="宋体" w:hAnsi="宋体" w:eastAsia="宋体" w:cs="宋体"/>
      <w:szCs w:val="21"/>
      <w:lang w:eastAsia="en-US"/>
    </w:rPr>
  </w:style>
  <w:style w:type="table" w:customStyle="1" w:styleId="88">
    <w:name w:val="Table Normal"/>
    <w:autoRedefine/>
    <w:semiHidden/>
    <w:unhideWhenUsed/>
    <w:qFormat/>
    <w:uiPriority w:val="0"/>
    <w:tblPr>
      <w:tblCellMar>
        <w:top w:w="0" w:type="dxa"/>
        <w:left w:w="0" w:type="dxa"/>
        <w:bottom w:w="0" w:type="dxa"/>
        <w:right w:w="0" w:type="dxa"/>
      </w:tblCellMar>
    </w:tblPr>
  </w:style>
  <w:style w:type="character" w:customStyle="1" w:styleId="89">
    <w:name w:val="fontstyle01"/>
    <w:basedOn w:val="31"/>
    <w:autoRedefine/>
    <w:qFormat/>
    <w:uiPriority w:val="0"/>
    <w:rPr>
      <w:rFonts w:hint="eastAsia" w:ascii="仿宋_GB2312" w:eastAsia="仿宋_GB2312"/>
      <w:color w:val="000000"/>
      <w:sz w:val="32"/>
      <w:szCs w:val="32"/>
    </w:rPr>
  </w:style>
  <w:style w:type="paragraph" w:customStyle="1" w:styleId="90">
    <w:name w:val="正文_5"/>
    <w:qFormat/>
    <w:uiPriority w:val="99"/>
    <w:pPr>
      <w:widowControl w:val="0"/>
      <w:jc w:val="both"/>
    </w:pPr>
    <w:rPr>
      <w:rFonts w:ascii="Calibri" w:hAnsi="Calibri" w:eastAsia="宋体" w:cs="Times New Roman"/>
      <w:kern w:val="2"/>
      <w:sz w:val="21"/>
      <w:szCs w:val="24"/>
      <w:lang w:val="en-US" w:eastAsia="zh-CN" w:bidi="ar-SA"/>
    </w:rPr>
  </w:style>
  <w:style w:type="paragraph" w:customStyle="1" w:styleId="91">
    <w:name w:val="正文文本缩进 2_1"/>
    <w:basedOn w:val="90"/>
    <w:unhideWhenUsed/>
    <w:qFormat/>
    <w:uiPriority w:val="99"/>
    <w:pPr>
      <w:spacing w:after="120" w:line="480" w:lineRule="auto"/>
      <w:ind w:left="420" w:leftChars="200"/>
    </w:pPr>
  </w:style>
  <w:style w:type="paragraph" w:customStyle="1" w:styleId="92">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93">
    <w:name w:val="标题 3_1"/>
    <w:basedOn w:val="94"/>
    <w:next w:val="94"/>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94">
    <w:name w:val="正文_2"/>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95">
    <w:name w:val="Body text|1_1"/>
    <w:basedOn w:val="94"/>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96">
    <w:name w:val="Body text|2_0"/>
    <w:basedOn w:val="94"/>
    <w:qFormat/>
    <w:uiPriority w:val="0"/>
    <w:pPr>
      <w:spacing w:after="30"/>
      <w:ind w:firstLine="420"/>
    </w:pPr>
    <w:rPr>
      <w:rFonts w:eastAsia="宋体"/>
      <w:color w:val="auto"/>
      <w:sz w:val="20"/>
      <w:szCs w:val="20"/>
      <w:lang w:bidi="ar-SA"/>
    </w:rPr>
  </w:style>
  <w:style w:type="paragraph" w:customStyle="1" w:styleId="97">
    <w:name w:val="Other|1_1"/>
    <w:basedOn w:val="94"/>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98">
    <w:name w:val="标题 2_0"/>
    <w:basedOn w:val="94"/>
    <w:next w:val="94"/>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99">
    <w:name w:val="标题 3_1_0"/>
    <w:basedOn w:val="100"/>
    <w:next w:val="100"/>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100">
    <w:name w:val="正文_2_0"/>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101">
    <w:name w:val="Body text|1_1_0"/>
    <w:basedOn w:val="100"/>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02">
    <w:name w:val="Body text|2_0_0"/>
    <w:basedOn w:val="100"/>
    <w:qFormat/>
    <w:uiPriority w:val="0"/>
    <w:pPr>
      <w:spacing w:after="30"/>
      <w:ind w:firstLine="420"/>
    </w:pPr>
    <w:rPr>
      <w:rFonts w:eastAsia="宋体"/>
      <w:color w:val="auto"/>
      <w:sz w:val="20"/>
      <w:szCs w:val="20"/>
      <w:lang w:bidi="ar-SA"/>
    </w:rPr>
  </w:style>
  <w:style w:type="character" w:customStyle="1" w:styleId="103">
    <w:name w:val="10"/>
    <w:qFormat/>
    <w:uiPriority w:val="0"/>
    <w:rPr>
      <w:rFonts w:hint="default" w:ascii="Times New Roman" w:hAnsi="Times New Roman" w:eastAsia="Times New Roman" w:cs="Times New Roman"/>
      <w:lang w:eastAsia="en-US" w:bidi="en-US"/>
    </w:rPr>
  </w:style>
  <w:style w:type="paragraph" w:customStyle="1" w:styleId="104">
    <w:name w:val="正文_2_0_0"/>
    <w:basedOn w:val="105"/>
    <w:qFormat/>
    <w:uiPriority w:val="0"/>
    <w:rPr>
      <w:rFonts w:eastAsia="宋体"/>
      <w:lang w:eastAsia="zh-CN" w:bidi="ar-SA"/>
    </w:rPr>
  </w:style>
  <w:style w:type="paragraph" w:customStyle="1" w:styleId="105">
    <w:name w:val="正文_2_1"/>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106">
    <w:name w:val="Body text|1_2"/>
    <w:basedOn w:val="107"/>
    <w:unhideWhenUsed/>
    <w:qFormat/>
    <w:uiPriority w:val="0"/>
    <w:pPr>
      <w:spacing w:beforeLines="0" w:afterLines="0" w:line="360" w:lineRule="auto"/>
      <w:ind w:firstLine="400"/>
    </w:pPr>
    <w:rPr>
      <w:rFonts w:hint="default" w:ascii="宋体" w:hAnsi="宋体" w:eastAsia="宋体" w:cs="宋体"/>
      <w:color w:val="auto"/>
      <w:sz w:val="20"/>
      <w:szCs w:val="20"/>
      <w:lang w:val="zh-CN" w:eastAsia="zh-CN" w:bidi="zh-CN"/>
    </w:rPr>
  </w:style>
  <w:style w:type="paragraph" w:customStyle="1" w:styleId="107">
    <w:name w:val="正文_3"/>
    <w:unhideWhenUsed/>
    <w:qFormat/>
    <w:uiPriority w:val="0"/>
    <w:pPr>
      <w:widowControl w:val="0"/>
      <w:spacing w:beforeLines="0" w:afterLines="0"/>
    </w:pPr>
    <w:rPr>
      <w:rFonts w:hint="eastAsia" w:ascii="Times New Roman" w:hAnsi="Times New Roman" w:eastAsia="Times New Roman" w:cs="Times New Roman"/>
      <w:color w:val="000000"/>
      <w:sz w:val="24"/>
      <w:szCs w:val="24"/>
      <w:lang w:val="en-US" w:eastAsia="en-US" w:bidi="en-US"/>
    </w:rPr>
  </w:style>
  <w:style w:type="paragraph" w:customStyle="1" w:styleId="108">
    <w:name w:val="Other|1_2"/>
    <w:basedOn w:val="107"/>
    <w:unhideWhenUsed/>
    <w:qFormat/>
    <w:uiPriority w:val="0"/>
    <w:pPr>
      <w:spacing w:beforeLines="0" w:afterLines="0" w:line="360" w:lineRule="auto"/>
      <w:ind w:firstLine="400"/>
    </w:pPr>
    <w:rPr>
      <w:rFonts w:hint="default" w:ascii="宋体" w:hAnsi="宋体" w:eastAsia="宋体" w:cs="宋体"/>
      <w:color w:val="auto"/>
      <w:sz w:val="20"/>
      <w:szCs w:val="2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144</Pages>
  <Words>6048</Words>
  <Characters>7119</Characters>
  <Lines>450</Lines>
  <Paragraphs>126</Paragraphs>
  <TotalTime>15</TotalTime>
  <ScaleCrop>false</ScaleCrop>
  <LinksUpToDate>false</LinksUpToDate>
  <CharactersWithSpaces>7252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2023-06-09T03:51:00Z</dcterms:created>
  <dc:creator>炎炎</dc:creator>
  <cp:lastModifiedBy>炎炎</cp:lastModifiedBy>
  <dcterms:modified xsi:type="dcterms:W3CDTF">2025-10-20T07:18:44Z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EB5760F63D4240F68AB0B5172F6C1AB8_13</vt:lpwstr>
  </property>
  <property fmtid="{D5CDD505-2E9C-101B-9397-08002B2CF9AE}" pid="4" name="KSOTemplateDocerSaveRecord">
    <vt:lpwstr>eyJoZGlkIjoiM2FmMDFiNTZiNDhiM2M4MGU5YWM4MDE2NjhjZTEyZTAiLCJ1c2VySWQiOiIxMTY2MzcwOTA2In0=</vt:lpwstr>
  </property>
</Properties>
</file>