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ascii="宋体" w:hAnsi="宋体" w:cs="宋体"/>
          <w:b/>
          <w:bCs/>
          <w:color w:val="000000"/>
          <w:sz w:val="48"/>
          <w:szCs w:val="48"/>
        </w:rPr>
      </w:pPr>
    </w:p>
    <w:p w14:paraId="6CFA5930">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lang w:val="en-US" w:eastAsia="zh-CN"/>
        </w:rPr>
        <w:t>广西国立工程咨询</w:t>
      </w:r>
      <w:r>
        <w:rPr>
          <w:rFonts w:hint="eastAsia"/>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b/>
          <w:i w:val="0"/>
          <w:caps w:val="0"/>
          <w:spacing w:val="0"/>
          <w:w w:val="100"/>
          <w:sz w:val="72"/>
          <w:szCs w:val="72"/>
        </w:rPr>
      </w:pPr>
    </w:p>
    <w:p w14:paraId="7FB31E34">
      <w:pPr>
        <w:snapToGrid w:val="0"/>
        <w:spacing w:before="286" w:beforeAutospacing="0" w:after="143" w:afterAutospacing="0" w:line="240" w:lineRule="auto"/>
        <w:jc w:val="both"/>
        <w:textAlignment w:val="baseline"/>
        <w:rPr>
          <w:b/>
          <w:i w:val="0"/>
          <w:caps w:val="0"/>
          <w:spacing w:val="0"/>
          <w:w w:val="100"/>
          <w:sz w:val="72"/>
          <w:szCs w:val="72"/>
        </w:rPr>
      </w:pPr>
    </w:p>
    <w:p w14:paraId="3478A105">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rPr>
        <w:t>竞争性磋商文件</w:t>
      </w:r>
    </w:p>
    <w:p w14:paraId="33D609F8">
      <w:pPr>
        <w:pStyle w:val="26"/>
      </w:pPr>
    </w:p>
    <w:p w14:paraId="11A068C8">
      <w:pPr>
        <w:snapToGrid w:val="0"/>
        <w:spacing w:before="120" w:beforeLines="50" w:line="360" w:lineRule="auto"/>
        <w:ind w:firstLine="602"/>
        <w:jc w:val="center"/>
        <w:rPr>
          <w:rFonts w:ascii="宋体" w:hAnsi="宋体" w:cs="宋体"/>
          <w:b/>
          <w:color w:val="000000"/>
          <w:sz w:val="30"/>
          <w:szCs w:val="72"/>
        </w:rPr>
      </w:pPr>
    </w:p>
    <w:p w14:paraId="016485B7">
      <w:pPr>
        <w:rPr>
          <w:rFonts w:hint="eastAsia" w:ascii="宋体" w:hAnsi="宋体" w:cs="宋体"/>
          <w:b w:val="0"/>
          <w:color w:val="000000"/>
          <w:sz w:val="32"/>
          <w:szCs w:val="72"/>
        </w:rPr>
      </w:pPr>
    </w:p>
    <w:p w14:paraId="73465F86">
      <w:pPr>
        <w:rPr>
          <w:rFonts w:hint="eastAsia" w:ascii="宋体" w:hAnsi="宋体" w:cs="宋体"/>
          <w:b w:val="0"/>
          <w:color w:val="000000"/>
          <w:sz w:val="32"/>
          <w:szCs w:val="72"/>
        </w:rPr>
      </w:pPr>
    </w:p>
    <w:p w14:paraId="688705A2">
      <w:pPr>
        <w:rPr>
          <w:rFonts w:hint="eastAsia" w:ascii="宋体" w:hAnsi="宋体" w:cs="宋体"/>
          <w:b w:val="0"/>
          <w:color w:val="000000"/>
          <w:sz w:val="32"/>
          <w:szCs w:val="72"/>
        </w:rPr>
      </w:pPr>
    </w:p>
    <w:p w14:paraId="2AF2DE9A">
      <w:pPr>
        <w:snapToGrid w:val="0"/>
        <w:spacing w:before="120" w:beforeLines="50" w:line="480" w:lineRule="auto"/>
        <w:ind w:firstLine="0" w:firstLineChars="0"/>
        <w:jc w:val="both"/>
        <w:rPr>
          <w:rFonts w:hint="eastAsia" w:ascii="宋体" w:hAnsi="宋体" w:cs="宋体"/>
          <w:b/>
          <w:color w:val="000000"/>
          <w:sz w:val="30"/>
          <w:szCs w:val="30"/>
        </w:rPr>
      </w:pPr>
    </w:p>
    <w:p w14:paraId="7FAB884E">
      <w:pPr>
        <w:snapToGrid w:val="0"/>
        <w:spacing w:before="0" w:beforeAutospacing="0" w:after="0" w:afterAutospacing="0" w:line="240" w:lineRule="auto"/>
        <w:ind w:firstLine="1506" w:firstLineChars="500"/>
        <w:jc w:val="both"/>
        <w:textAlignment w:val="baseline"/>
        <w:rPr>
          <w:rFonts w:hint="eastAsia" w:ascii="宋体" w:hAnsi="宋体" w:eastAsia="宋体" w:cs="宋体"/>
          <w:b/>
          <w:i w:val="0"/>
          <w:caps w:val="0"/>
          <w:spacing w:val="0"/>
          <w:w w:val="100"/>
          <w:sz w:val="30"/>
          <w:szCs w:val="30"/>
          <w:lang w:eastAsia="zh-CN"/>
        </w:rPr>
      </w:pPr>
      <w:r>
        <w:rPr>
          <w:rFonts w:hint="eastAsia" w:ascii="宋体" w:hAnsi="宋体" w:eastAsia="宋体" w:cs="宋体"/>
          <w:b/>
          <w:color w:val="000000"/>
          <w:sz w:val="30"/>
          <w:szCs w:val="30"/>
        </w:rPr>
        <w:t>项目名称：</w:t>
      </w:r>
      <w:r>
        <w:rPr>
          <w:rFonts w:hint="eastAsia" w:ascii="宋体" w:hAnsi="宋体" w:cs="宋体"/>
          <w:b/>
          <w:i w:val="0"/>
          <w:caps w:val="0"/>
          <w:spacing w:val="0"/>
          <w:w w:val="100"/>
          <w:sz w:val="30"/>
          <w:szCs w:val="30"/>
          <w:lang w:eastAsia="zh-CN"/>
        </w:rPr>
        <w:t>2025年平福乡平福村汪柳屯产业道路项目</w:t>
      </w:r>
    </w:p>
    <w:p w14:paraId="3C4D0922">
      <w:pPr>
        <w:snapToGrid w:val="0"/>
        <w:spacing w:before="120" w:beforeLines="50" w:line="480" w:lineRule="auto"/>
        <w:ind w:firstLine="1506" w:firstLineChars="500"/>
        <w:jc w:val="both"/>
        <w:rPr>
          <w:rFonts w:hint="eastAsia" w:ascii="宋体" w:hAnsi="宋体" w:eastAsia="宋体" w:cs="宋体"/>
          <w:b/>
          <w:sz w:val="30"/>
          <w:szCs w:val="30"/>
        </w:rPr>
      </w:pPr>
    </w:p>
    <w:p w14:paraId="0679C348">
      <w:pPr>
        <w:snapToGrid w:val="0"/>
        <w:spacing w:before="120" w:beforeLines="50" w:line="480" w:lineRule="auto"/>
        <w:ind w:firstLine="1506" w:firstLineChars="500"/>
        <w:jc w:val="both"/>
        <w:rPr>
          <w:rFonts w:hint="eastAsia" w:ascii="宋体" w:hAnsi="宋体" w:eastAsia="宋体" w:cs="宋体"/>
          <w:b/>
          <w:bCs w:val="0"/>
          <w:sz w:val="30"/>
          <w:szCs w:val="30"/>
        </w:rPr>
      </w:pPr>
      <w:r>
        <w:rPr>
          <w:rFonts w:hint="eastAsia" w:ascii="宋体" w:hAnsi="宋体" w:eastAsia="宋体" w:cs="宋体"/>
          <w:b/>
          <w:bCs w:val="0"/>
          <w:sz w:val="30"/>
          <w:szCs w:val="30"/>
        </w:rPr>
        <w:t>项目编号：</w:t>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HYPERLINK "https://www.gcy.zfcg.gxzf.gov.cn/gaea/api/project/flow/redirect?projectId=7219986792880275516&amp;newUrl=https://www.gcy.zfcg.gxzf.gov.cn/micro-app-back-index/blank?_flow_type_=agency&amp;_flow_projectId_=7219986792880275516&amp;_jump_page_type_=project_procurement_management_flow&amp;_app_=zcy.procurement&amp;oldUrl=https://www.gcy.zfcg.gxzf.gov.cn/project-center/_procurement_/project-result-detail/7219986792880275516" \t "https://www.gcy.zfcg.gxzf.gov.cn/project-center/_procurement_/self-project/_blank"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FCZC2025-C2-210073-GXGL</w:t>
      </w:r>
      <w:r>
        <w:rPr>
          <w:rFonts w:hint="eastAsia" w:ascii="宋体" w:hAnsi="宋体" w:eastAsia="宋体" w:cs="宋体"/>
          <w:b/>
          <w:bCs w:val="0"/>
          <w:sz w:val="30"/>
          <w:szCs w:val="30"/>
        </w:rPr>
        <w:fldChar w:fldCharType="end"/>
      </w:r>
    </w:p>
    <w:p w14:paraId="321CD5E0">
      <w:pPr>
        <w:pBdr>
          <w:bottom w:val="single" w:color="000000" w:sz="6" w:space="1"/>
        </w:pBdr>
        <w:spacing w:line="560" w:lineRule="exact"/>
        <w:rPr>
          <w:rFonts w:hint="eastAsia" w:hAnsi="Courier New"/>
          <w:color w:val="000000"/>
          <w:sz w:val="32"/>
          <w:szCs w:val="22"/>
        </w:rPr>
      </w:pPr>
    </w:p>
    <w:p w14:paraId="605A56CF">
      <w:pPr>
        <w:rPr>
          <w:rFonts w:hint="eastAsia"/>
        </w:rPr>
      </w:pPr>
    </w:p>
    <w:p w14:paraId="0BC3A03E">
      <w:pPr>
        <w:snapToGrid w:val="0"/>
        <w:spacing w:before="120" w:beforeLines="50" w:line="480" w:lineRule="auto"/>
        <w:ind w:firstLine="1424" w:firstLineChars="283"/>
        <w:jc w:val="left"/>
        <w:rPr>
          <w:rFonts w:hint="eastAsia" w:ascii="宋体" w:hAnsi="宋体" w:cs="宋体"/>
          <w:b/>
          <w:color w:val="000000"/>
          <w:sz w:val="30"/>
          <w:szCs w:val="30"/>
          <w:lang w:eastAsia="zh-CN"/>
        </w:rPr>
      </w:pPr>
      <w:r>
        <w:rPr>
          <w:rFonts w:hint="eastAsia" w:ascii="宋体" w:hAnsi="宋体" w:cs="宋体"/>
          <w:b/>
          <w:color w:val="000000"/>
          <w:spacing w:val="101"/>
          <w:kern w:val="0"/>
          <w:sz w:val="30"/>
          <w:szCs w:val="30"/>
          <w:fitText w:val="1806" w:id="1164258868"/>
        </w:rPr>
        <w:t>采购单</w:t>
      </w:r>
      <w:r>
        <w:rPr>
          <w:rFonts w:hint="eastAsia" w:ascii="宋体" w:hAnsi="宋体" w:cs="宋体"/>
          <w:b/>
          <w:color w:val="000000"/>
          <w:spacing w:val="0"/>
          <w:kern w:val="0"/>
          <w:sz w:val="30"/>
          <w:szCs w:val="30"/>
          <w:fitText w:val="1806" w:id="1164258868"/>
        </w:rPr>
        <w:t>位</w:t>
      </w:r>
      <w:r>
        <w:rPr>
          <w:rFonts w:hint="eastAsia" w:ascii="宋体" w:hAnsi="宋体" w:cs="宋体"/>
          <w:b/>
          <w:color w:val="000000"/>
          <w:sz w:val="30"/>
          <w:szCs w:val="30"/>
        </w:rPr>
        <w:t>：</w:t>
      </w:r>
      <w:r>
        <w:rPr>
          <w:rFonts w:hint="eastAsia" w:ascii="宋体" w:hAnsi="宋体" w:cs="宋体"/>
          <w:b/>
          <w:color w:val="000000"/>
          <w:sz w:val="30"/>
          <w:szCs w:val="30"/>
          <w:lang w:eastAsia="zh-CN"/>
        </w:rPr>
        <w:t>上思县农业农村局</w:t>
      </w:r>
    </w:p>
    <w:p w14:paraId="5284E228">
      <w:pPr>
        <w:snapToGrid w:val="0"/>
        <w:spacing w:before="120" w:beforeLines="50" w:line="480" w:lineRule="auto"/>
        <w:ind w:firstLine="1449" w:firstLineChars="481"/>
        <w:jc w:val="left"/>
        <w:rPr>
          <w:rFonts w:hint="eastAsia" w:ascii="宋体" w:hAnsi="宋体" w:cs="宋体"/>
          <w:b/>
          <w:color w:val="000000"/>
          <w:sz w:val="30"/>
          <w:szCs w:val="30"/>
          <w:lang w:eastAsia="zh-CN"/>
        </w:rPr>
      </w:pPr>
      <w:r>
        <w:rPr>
          <w:rFonts w:hint="eastAsia" w:ascii="宋体" w:hAnsi="宋体" w:cs="宋体"/>
          <w:b/>
          <w:color w:val="000000"/>
          <w:sz w:val="30"/>
          <w:szCs w:val="30"/>
        </w:rPr>
        <w:t>采购代理单位：</w:t>
      </w:r>
      <w:r>
        <w:rPr>
          <w:rFonts w:hint="eastAsia" w:ascii="宋体" w:hAnsi="宋体" w:cs="宋体"/>
          <w:b/>
          <w:color w:val="000000"/>
          <w:sz w:val="30"/>
          <w:szCs w:val="30"/>
          <w:lang w:val="en-US" w:eastAsia="zh-CN"/>
        </w:rPr>
        <w:t>广西国立工程咨询</w:t>
      </w:r>
      <w:r>
        <w:rPr>
          <w:rFonts w:hint="eastAsia" w:ascii="宋体" w:hAnsi="宋体" w:cs="宋体"/>
          <w:b/>
          <w:color w:val="000000"/>
          <w:sz w:val="30"/>
          <w:szCs w:val="30"/>
          <w:lang w:eastAsia="zh-CN"/>
        </w:rPr>
        <w:t>有限公司</w:t>
      </w:r>
    </w:p>
    <w:p w14:paraId="77DFF633">
      <w:pPr>
        <w:jc w:val="center"/>
        <w:rPr>
          <w:rFonts w:hint="eastAsia"/>
        </w:rPr>
      </w:pPr>
      <w:r>
        <w:rPr>
          <w:rFonts w:hint="eastAsia" w:cs="宋体"/>
          <w:b/>
          <w:bCs/>
          <w:color w:val="000000"/>
          <w:w w:val="95"/>
          <w:sz w:val="30"/>
          <w:szCs w:val="30"/>
          <w:lang w:val="en-US" w:eastAsia="zh-CN"/>
        </w:rPr>
        <w:t>2025</w:t>
      </w:r>
      <w:r>
        <w:rPr>
          <w:rFonts w:hint="eastAsia" w:cs="宋体"/>
          <w:b/>
          <w:bCs/>
          <w:color w:val="000000"/>
          <w:w w:val="95"/>
          <w:sz w:val="30"/>
          <w:szCs w:val="30"/>
        </w:rPr>
        <w:t>年</w:t>
      </w:r>
      <w:r>
        <w:rPr>
          <w:rFonts w:hint="eastAsia" w:cs="宋体"/>
          <w:b/>
          <w:bCs/>
          <w:color w:val="000000"/>
          <w:w w:val="95"/>
          <w:sz w:val="30"/>
          <w:szCs w:val="30"/>
          <w:lang w:val="en-US" w:eastAsia="zh-CN"/>
        </w:rPr>
        <w:t>8</w:t>
      </w:r>
      <w:r>
        <w:rPr>
          <w:rFonts w:hint="eastAsia" w:cs="宋体"/>
          <w:b/>
          <w:bCs/>
          <w:color w:val="000000"/>
          <w:w w:val="95"/>
          <w:sz w:val="30"/>
          <w:szCs w:val="30"/>
        </w:rPr>
        <w:t>月</w:t>
      </w:r>
    </w:p>
    <w:p w14:paraId="42FA9026">
      <w:pPr>
        <w:spacing w:line="360" w:lineRule="auto"/>
        <w:jc w:val="center"/>
        <w:rPr>
          <w:rFonts w:hint="eastAsia" w:ascii="宋体" w:hAnsi="宋体"/>
          <w:b/>
          <w:color w:val="000000"/>
          <w:sz w:val="36"/>
          <w:szCs w:val="36"/>
        </w:rPr>
      </w:pPr>
    </w:p>
    <w:p w14:paraId="2F5C5179">
      <w:pPr>
        <w:pStyle w:val="41"/>
      </w:pPr>
      <w:r>
        <w:t>目   录</w:t>
      </w:r>
    </w:p>
    <w:p w14:paraId="37114605">
      <w:pPr>
        <w:pStyle w:val="19"/>
        <w:tabs>
          <w:tab w:val="right" w:leader="dot" w:pos="9639"/>
          <w:tab w:val="clear" w:pos="8450"/>
        </w:tabs>
        <w:spacing w:line="360" w:lineRule="auto"/>
        <w:outlineLvl w:val="0"/>
        <w:rPr>
          <w:color w:val="000000"/>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hint="eastAsia" w:ascii="宋体" w:hAnsi="宋体"/>
          <w:b/>
          <w:color w:val="000000"/>
          <w:sz w:val="28"/>
          <w:szCs w:val="28"/>
        </w:rPr>
        <w:instrText xml:space="preserve">TOC \o "1-3"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r>
        <w:rPr>
          <w:rFonts w:ascii="宋体" w:hAnsi="宋体"/>
          <w:color w:val="000000"/>
          <w:sz w:val="28"/>
          <w:szCs w:val="28"/>
        </w:rPr>
        <w:fldChar w:fldCharType="begin"/>
      </w:r>
      <w:r>
        <w:rPr>
          <w:rFonts w:ascii="宋体" w:hAnsi="宋体"/>
          <w:color w:val="000000"/>
          <w:sz w:val="28"/>
          <w:szCs w:val="28"/>
        </w:rPr>
        <w:instrText xml:space="preserve"> HYPERLINK \l _Toc19824 </w:instrText>
      </w:r>
      <w:r>
        <w:rPr>
          <w:rFonts w:ascii="宋体" w:hAnsi="宋体"/>
          <w:color w:val="000000"/>
          <w:sz w:val="28"/>
          <w:szCs w:val="28"/>
        </w:rPr>
        <w:fldChar w:fldCharType="separate"/>
      </w:r>
      <w:r>
        <w:rPr>
          <w:rFonts w:hint="eastAsia" w:ascii="宋体" w:hAnsi="宋体"/>
          <w:color w:val="000000"/>
          <w:sz w:val="28"/>
          <w:szCs w:val="28"/>
        </w:rPr>
        <w:t xml:space="preserve">第一章 </w:t>
      </w:r>
      <w:r>
        <w:rPr>
          <w:rFonts w:hint="eastAsia" w:ascii="宋体" w:hAnsi="宋体"/>
          <w:color w:val="000000"/>
          <w:sz w:val="28"/>
          <w:szCs w:val="28"/>
          <w:lang w:val="en-US" w:eastAsia="zh-CN"/>
        </w:rPr>
        <w:t xml:space="preserve"> </w:t>
      </w:r>
      <w:r>
        <w:rPr>
          <w:rFonts w:hint="eastAsia" w:ascii="宋体" w:hAnsi="宋体"/>
          <w:color w:val="000000"/>
          <w:sz w:val="28"/>
          <w:szCs w:val="28"/>
        </w:rPr>
        <w:t>竞争性磋商公告</w:t>
      </w:r>
      <w:r>
        <w:rPr>
          <w:color w:val="000000"/>
          <w:sz w:val="28"/>
          <w:szCs w:val="28"/>
        </w:rPr>
        <w:tab/>
      </w:r>
      <w:r>
        <w:rPr>
          <w:color w:val="000000"/>
          <w:sz w:val="28"/>
          <w:szCs w:val="28"/>
        </w:rPr>
        <w:fldChar w:fldCharType="begin"/>
      </w:r>
      <w:r>
        <w:rPr>
          <w:color w:val="000000"/>
          <w:sz w:val="28"/>
          <w:szCs w:val="28"/>
        </w:rPr>
        <w:instrText xml:space="preserve"> PAGEREF _Toc19824 </w:instrText>
      </w:r>
      <w:r>
        <w:rPr>
          <w:color w:val="000000"/>
          <w:sz w:val="28"/>
          <w:szCs w:val="28"/>
        </w:rPr>
        <w:fldChar w:fldCharType="separate"/>
      </w:r>
      <w:r>
        <w:rPr>
          <w:color w:val="000000"/>
          <w:sz w:val="28"/>
          <w:szCs w:val="28"/>
        </w:rPr>
        <w:t>2</w:t>
      </w:r>
      <w:r>
        <w:rPr>
          <w:color w:val="000000"/>
          <w:sz w:val="28"/>
          <w:szCs w:val="28"/>
        </w:rPr>
        <w:fldChar w:fldCharType="end"/>
      </w:r>
      <w:r>
        <w:rPr>
          <w:rFonts w:ascii="宋体" w:hAnsi="宋体"/>
          <w:color w:val="000000"/>
          <w:sz w:val="28"/>
          <w:szCs w:val="28"/>
        </w:rPr>
        <w:fldChar w:fldCharType="end"/>
      </w:r>
    </w:p>
    <w:p w14:paraId="7F584E11">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_Toc1467 </w:instrText>
      </w:r>
      <w:r>
        <w:rPr>
          <w:rFonts w:ascii="宋体" w:hAnsi="宋体"/>
          <w:color w:val="000000"/>
          <w:sz w:val="28"/>
          <w:szCs w:val="28"/>
        </w:rPr>
        <w:fldChar w:fldCharType="separate"/>
      </w:r>
      <w:r>
        <w:rPr>
          <w:rFonts w:hint="eastAsia"/>
          <w:color w:val="000000"/>
          <w:sz w:val="28"/>
          <w:szCs w:val="28"/>
        </w:rPr>
        <w:t xml:space="preserve">第二章 </w:t>
      </w:r>
      <w:r>
        <w:rPr>
          <w:rFonts w:hint="eastAsia"/>
          <w:color w:val="000000"/>
          <w:sz w:val="28"/>
          <w:szCs w:val="28"/>
          <w:lang w:val="en-US" w:eastAsia="zh-CN"/>
        </w:rPr>
        <w:t xml:space="preserve"> </w:t>
      </w:r>
      <w:r>
        <w:rPr>
          <w:rFonts w:hint="eastAsia"/>
          <w:color w:val="000000"/>
          <w:sz w:val="28"/>
          <w:szCs w:val="28"/>
        </w:rPr>
        <w:t>磋商须知</w:t>
      </w:r>
      <w:r>
        <w:rPr>
          <w:color w:val="000000"/>
          <w:sz w:val="28"/>
          <w:szCs w:val="28"/>
        </w:rPr>
        <w:tab/>
      </w:r>
      <w:r>
        <w:rPr>
          <w:color w:val="000000"/>
          <w:sz w:val="28"/>
          <w:szCs w:val="28"/>
        </w:rPr>
        <w:fldChar w:fldCharType="begin"/>
      </w:r>
      <w:r>
        <w:rPr>
          <w:color w:val="000000"/>
          <w:sz w:val="28"/>
          <w:szCs w:val="28"/>
        </w:rPr>
        <w:instrText xml:space="preserve"> PAGEREF _Toc1467 </w:instrText>
      </w:r>
      <w:r>
        <w:rPr>
          <w:color w:val="000000"/>
          <w:sz w:val="28"/>
          <w:szCs w:val="28"/>
        </w:rPr>
        <w:fldChar w:fldCharType="separate"/>
      </w:r>
      <w:r>
        <w:rPr>
          <w:color w:val="000000"/>
          <w:sz w:val="28"/>
          <w:szCs w:val="28"/>
        </w:rPr>
        <w:t>6</w:t>
      </w:r>
      <w:r>
        <w:rPr>
          <w:color w:val="000000"/>
          <w:sz w:val="28"/>
          <w:szCs w:val="28"/>
        </w:rPr>
        <w:fldChar w:fldCharType="end"/>
      </w:r>
      <w:r>
        <w:rPr>
          <w:rFonts w:ascii="宋体" w:hAnsi="宋体"/>
          <w:color w:val="000000"/>
          <w:sz w:val="28"/>
          <w:szCs w:val="28"/>
        </w:rPr>
        <w:fldChar w:fldCharType="end"/>
      </w:r>
    </w:p>
    <w:p w14:paraId="46A88E86">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_Toc12144 </w:instrText>
      </w:r>
      <w:r>
        <w:rPr>
          <w:rFonts w:ascii="宋体" w:hAnsi="宋体"/>
          <w:color w:val="000000"/>
          <w:sz w:val="28"/>
          <w:szCs w:val="28"/>
        </w:rPr>
        <w:fldChar w:fldCharType="separate"/>
      </w:r>
      <w:r>
        <w:rPr>
          <w:rFonts w:hint="eastAsia" w:ascii="宋体" w:hAnsi="宋体"/>
          <w:color w:val="000000"/>
          <w:sz w:val="28"/>
          <w:szCs w:val="28"/>
        </w:rPr>
        <w:t xml:space="preserve">第三章 </w:t>
      </w:r>
      <w:r>
        <w:rPr>
          <w:rFonts w:hint="eastAsia" w:ascii="宋体" w:hAnsi="宋体"/>
          <w:color w:val="000000"/>
          <w:sz w:val="28"/>
          <w:szCs w:val="28"/>
          <w:lang w:val="en-US" w:eastAsia="zh-CN"/>
        </w:rPr>
        <w:t xml:space="preserve"> </w:t>
      </w:r>
      <w:r>
        <w:rPr>
          <w:rFonts w:hint="eastAsia" w:ascii="宋体" w:hAnsi="宋体"/>
          <w:color w:val="000000"/>
          <w:sz w:val="28"/>
          <w:szCs w:val="28"/>
        </w:rPr>
        <w:t>评审方法及定标标准</w:t>
      </w:r>
      <w:r>
        <w:rPr>
          <w:color w:val="000000"/>
          <w:sz w:val="28"/>
          <w:szCs w:val="28"/>
        </w:rPr>
        <w:tab/>
      </w:r>
      <w:r>
        <w:rPr>
          <w:color w:val="000000"/>
          <w:sz w:val="28"/>
          <w:szCs w:val="28"/>
        </w:rPr>
        <w:fldChar w:fldCharType="begin"/>
      </w:r>
      <w:r>
        <w:rPr>
          <w:color w:val="000000"/>
          <w:sz w:val="28"/>
          <w:szCs w:val="28"/>
        </w:rPr>
        <w:instrText xml:space="preserve"> PAGEREF _Toc12144 </w:instrText>
      </w:r>
      <w:r>
        <w:rPr>
          <w:color w:val="000000"/>
          <w:sz w:val="28"/>
          <w:szCs w:val="28"/>
        </w:rPr>
        <w:fldChar w:fldCharType="separate"/>
      </w:r>
      <w:r>
        <w:rPr>
          <w:color w:val="000000"/>
          <w:sz w:val="28"/>
          <w:szCs w:val="28"/>
        </w:rPr>
        <w:t>2</w:t>
      </w:r>
      <w:r>
        <w:rPr>
          <w:rFonts w:hint="eastAsia"/>
          <w:color w:val="000000"/>
          <w:sz w:val="28"/>
          <w:szCs w:val="28"/>
          <w:lang w:val="en-US" w:eastAsia="zh-CN"/>
        </w:rPr>
        <w:t>4</w:t>
      </w:r>
      <w:r>
        <w:rPr>
          <w:color w:val="000000"/>
          <w:sz w:val="28"/>
          <w:szCs w:val="28"/>
        </w:rPr>
        <w:fldChar w:fldCharType="end"/>
      </w:r>
      <w:r>
        <w:rPr>
          <w:rFonts w:ascii="宋体" w:hAnsi="宋体"/>
          <w:color w:val="000000"/>
          <w:sz w:val="28"/>
          <w:szCs w:val="28"/>
        </w:rPr>
        <w:fldChar w:fldCharType="end"/>
      </w:r>
    </w:p>
    <w:p w14:paraId="1815CABE">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_Toc30146 </w:instrText>
      </w:r>
      <w:r>
        <w:rPr>
          <w:rFonts w:ascii="宋体" w:hAnsi="宋体"/>
          <w:color w:val="000000"/>
          <w:sz w:val="28"/>
          <w:szCs w:val="28"/>
        </w:rPr>
        <w:fldChar w:fldCharType="separate"/>
      </w:r>
      <w:r>
        <w:rPr>
          <w:rFonts w:hint="eastAsia" w:ascii="宋体" w:hAnsi="宋体"/>
          <w:color w:val="000000"/>
          <w:sz w:val="28"/>
          <w:szCs w:val="28"/>
        </w:rPr>
        <w:t>第四章</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工程量清单</w:t>
      </w:r>
      <w:r>
        <w:rPr>
          <w:color w:val="000000"/>
          <w:sz w:val="28"/>
          <w:szCs w:val="28"/>
        </w:rPr>
        <w:tab/>
      </w:r>
      <w:r>
        <w:rPr>
          <w:rFonts w:hint="eastAsia"/>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9</w:t>
      </w:r>
    </w:p>
    <w:p w14:paraId="10466DF8">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_Toc23497 </w:instrText>
      </w:r>
      <w:r>
        <w:rPr>
          <w:rFonts w:ascii="宋体" w:hAnsi="宋体"/>
          <w:color w:val="000000"/>
          <w:sz w:val="28"/>
          <w:szCs w:val="28"/>
        </w:rPr>
        <w:fldChar w:fldCharType="separate"/>
      </w:r>
      <w:r>
        <w:rPr>
          <w:rFonts w:hint="eastAsia" w:ascii="宋体" w:hAnsi="宋体"/>
          <w:color w:val="000000"/>
          <w:sz w:val="28"/>
          <w:szCs w:val="28"/>
        </w:rPr>
        <w:t>第五章  图纸</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0</w:t>
      </w:r>
    </w:p>
    <w:p w14:paraId="55675527">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_Toc9750 </w:instrText>
      </w:r>
      <w:r>
        <w:rPr>
          <w:rFonts w:ascii="宋体" w:hAnsi="宋体"/>
          <w:color w:val="000000"/>
          <w:sz w:val="28"/>
          <w:szCs w:val="28"/>
        </w:rPr>
        <w:fldChar w:fldCharType="separate"/>
      </w:r>
      <w:r>
        <w:rPr>
          <w:rFonts w:hint="eastAsia" w:ascii="宋体" w:hAnsi="宋体"/>
          <w:color w:val="000000"/>
          <w:sz w:val="28"/>
          <w:szCs w:val="28"/>
        </w:rPr>
        <w:t>第六章  技术标准和要求</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1</w:t>
      </w:r>
    </w:p>
    <w:p w14:paraId="5524D8D4">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_Toc1701 </w:instrText>
      </w:r>
      <w:r>
        <w:rPr>
          <w:rFonts w:ascii="宋体" w:hAnsi="宋体"/>
          <w:color w:val="000000"/>
          <w:sz w:val="28"/>
          <w:szCs w:val="28"/>
        </w:rPr>
        <w:fldChar w:fldCharType="separate"/>
      </w:r>
      <w:r>
        <w:rPr>
          <w:rFonts w:hint="eastAsia" w:ascii="宋体" w:hAnsi="宋体"/>
          <w:color w:val="000000"/>
          <w:sz w:val="28"/>
          <w:szCs w:val="28"/>
        </w:rPr>
        <w:t xml:space="preserve">第七章 </w:t>
      </w:r>
      <w:r>
        <w:rPr>
          <w:rFonts w:hint="eastAsia" w:ascii="宋体" w:hAnsi="宋体"/>
          <w:color w:val="000000"/>
          <w:sz w:val="28"/>
          <w:szCs w:val="28"/>
          <w:lang w:val="en-US" w:eastAsia="zh-CN"/>
        </w:rPr>
        <w:t xml:space="preserve"> </w:t>
      </w:r>
      <w:r>
        <w:rPr>
          <w:rFonts w:hint="eastAsia" w:ascii="宋体" w:hAnsi="宋体"/>
          <w:color w:val="000000"/>
          <w:sz w:val="28"/>
          <w:szCs w:val="28"/>
        </w:rPr>
        <w:t>响应文件格式</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2</w:t>
      </w:r>
    </w:p>
    <w:p w14:paraId="06DE1F54">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_Toc29765 </w:instrText>
      </w:r>
      <w:r>
        <w:rPr>
          <w:rFonts w:ascii="宋体" w:hAnsi="宋体"/>
          <w:color w:val="000000"/>
          <w:sz w:val="28"/>
          <w:szCs w:val="28"/>
        </w:rPr>
        <w:fldChar w:fldCharType="separate"/>
      </w:r>
      <w:r>
        <w:rPr>
          <w:rFonts w:hint="eastAsia" w:ascii="宋体" w:hAnsi="宋体"/>
          <w:color w:val="000000"/>
          <w:sz w:val="28"/>
          <w:szCs w:val="28"/>
        </w:rPr>
        <w:t>第八章  合同条款及格式</w:t>
      </w:r>
      <w:bookmarkStart w:id="0" w:name="_Hlt58481484"/>
      <w:bookmarkStart w:id="1" w:name="_Hlt58481485"/>
      <w:r>
        <w:rPr>
          <w:color w:val="000000"/>
          <w:sz w:val="28"/>
          <w:szCs w:val="28"/>
        </w:rPr>
        <w:tab/>
      </w:r>
      <w:bookmarkEnd w:id="0"/>
      <w:bookmarkEnd w:id="1"/>
      <w:r>
        <w:rPr>
          <w:color w:val="000000"/>
          <w:sz w:val="28"/>
          <w:szCs w:val="28"/>
        </w:rPr>
        <w:fldChar w:fldCharType="begin"/>
      </w:r>
      <w:r>
        <w:rPr>
          <w:color w:val="000000"/>
          <w:sz w:val="28"/>
          <w:szCs w:val="28"/>
        </w:rPr>
        <w:instrText xml:space="preserve"> PAGEREF _Toc29765 </w:instrText>
      </w:r>
      <w:r>
        <w:rPr>
          <w:color w:val="000000"/>
          <w:sz w:val="28"/>
          <w:szCs w:val="28"/>
        </w:rPr>
        <w:fldChar w:fldCharType="separate"/>
      </w:r>
      <w:r>
        <w:rPr>
          <w:color w:val="000000"/>
          <w:sz w:val="28"/>
          <w:szCs w:val="28"/>
        </w:rPr>
        <w:t>6</w:t>
      </w:r>
      <w:r>
        <w:rPr>
          <w:rFonts w:hint="eastAsia"/>
          <w:color w:val="000000"/>
          <w:sz w:val="28"/>
          <w:szCs w:val="28"/>
          <w:lang w:val="en-US" w:eastAsia="zh-CN"/>
        </w:rPr>
        <w:t>7</w:t>
      </w:r>
      <w:r>
        <w:rPr>
          <w:color w:val="000000"/>
          <w:sz w:val="28"/>
          <w:szCs w:val="28"/>
        </w:rPr>
        <w:fldChar w:fldCharType="end"/>
      </w:r>
      <w:r>
        <w:rPr>
          <w:rFonts w:ascii="宋体" w:hAnsi="宋体"/>
          <w:color w:val="000000"/>
          <w:sz w:val="28"/>
          <w:szCs w:val="28"/>
        </w:rPr>
        <w:fldChar w:fldCharType="end"/>
      </w:r>
    </w:p>
    <w:p w14:paraId="4D7A0DFD">
      <w:pPr>
        <w:spacing w:line="360" w:lineRule="auto"/>
        <w:jc w:val="left"/>
        <w:rPr>
          <w:rFonts w:hint="eastAsia" w:ascii="宋体" w:hAnsi="宋体"/>
          <w:b/>
          <w:color w:val="000000"/>
          <w:sz w:val="28"/>
          <w:szCs w:val="28"/>
        </w:rPr>
      </w:pPr>
      <w:r>
        <w:rPr>
          <w:rFonts w:ascii="宋体" w:hAnsi="宋体"/>
          <w:color w:val="000000"/>
          <w:sz w:val="28"/>
          <w:szCs w:val="28"/>
        </w:rPr>
        <w:fldChar w:fldCharType="end"/>
      </w:r>
    </w:p>
    <w:p w14:paraId="68A9FD16">
      <w:pPr>
        <w:spacing w:line="360" w:lineRule="auto"/>
        <w:jc w:val="left"/>
        <w:rPr>
          <w:rFonts w:hint="eastAsia" w:ascii="宋体" w:hAnsi="宋体"/>
          <w:b/>
          <w:color w:val="000000"/>
          <w:sz w:val="32"/>
          <w:szCs w:val="32"/>
        </w:rPr>
      </w:pPr>
    </w:p>
    <w:p w14:paraId="5E42DFEC">
      <w:pPr>
        <w:spacing w:line="360" w:lineRule="auto"/>
        <w:jc w:val="center"/>
        <w:rPr>
          <w:rFonts w:hint="eastAsia" w:ascii="宋体" w:hAnsi="宋体"/>
          <w:b/>
          <w:color w:val="000000"/>
          <w:sz w:val="32"/>
          <w:szCs w:val="32"/>
        </w:rPr>
      </w:pPr>
    </w:p>
    <w:p w14:paraId="68646B41">
      <w:pPr>
        <w:spacing w:line="360" w:lineRule="auto"/>
        <w:jc w:val="center"/>
        <w:rPr>
          <w:rFonts w:hint="eastAsia" w:ascii="宋体" w:hAnsi="宋体"/>
          <w:b/>
          <w:color w:val="000000"/>
          <w:sz w:val="32"/>
          <w:szCs w:val="32"/>
        </w:rPr>
      </w:pPr>
    </w:p>
    <w:p w14:paraId="40FF6282">
      <w:pPr>
        <w:spacing w:line="360" w:lineRule="auto"/>
        <w:jc w:val="center"/>
        <w:rPr>
          <w:rFonts w:hint="eastAsia" w:ascii="宋体" w:hAnsi="宋体"/>
          <w:b/>
          <w:color w:val="000000"/>
          <w:sz w:val="32"/>
          <w:szCs w:val="32"/>
        </w:rPr>
      </w:pPr>
    </w:p>
    <w:p w14:paraId="0001EFB1">
      <w:pPr>
        <w:spacing w:line="360" w:lineRule="auto"/>
        <w:jc w:val="center"/>
        <w:rPr>
          <w:rFonts w:hint="eastAsia" w:ascii="宋体" w:hAnsi="宋体"/>
          <w:b/>
          <w:color w:val="000000"/>
          <w:sz w:val="32"/>
          <w:szCs w:val="32"/>
        </w:rPr>
      </w:pPr>
    </w:p>
    <w:p w14:paraId="00787E26">
      <w:pPr>
        <w:spacing w:line="360" w:lineRule="auto"/>
        <w:jc w:val="center"/>
        <w:rPr>
          <w:rFonts w:hint="eastAsia" w:ascii="宋体" w:hAnsi="宋体"/>
          <w:b/>
          <w:color w:val="000000"/>
          <w:sz w:val="32"/>
          <w:szCs w:val="32"/>
        </w:rPr>
      </w:pPr>
    </w:p>
    <w:p w14:paraId="08920E30">
      <w:pPr>
        <w:spacing w:line="240" w:lineRule="atLeast"/>
        <w:jc w:val="center"/>
        <w:rPr>
          <w:rFonts w:hint="eastAsia" w:ascii="宋体" w:hAnsi="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1D22A44B">
      <w:pPr>
        <w:pStyle w:val="42"/>
        <w:numPr>
          <w:ilvl w:val="0"/>
          <w:numId w:val="2"/>
        </w:numPr>
        <w:ind w:left="0" w:leftChars="0" w:firstLine="0" w:firstLineChars="0"/>
        <w:outlineLvl w:val="0"/>
      </w:pPr>
      <w:bookmarkStart w:id="2" w:name="_Toc19824"/>
      <w:r>
        <w:t>竞争性磋商公告</w:t>
      </w:r>
      <w:bookmarkEnd w:id="2"/>
    </w:p>
    <w:p w14:paraId="4830F972">
      <w:pPr>
        <w:pStyle w:val="44"/>
        <w:outlineLvl w:val="0"/>
        <w:rPr>
          <w:rFonts w:hint="eastAsia" w:eastAsia="宋体"/>
          <w:lang w:eastAsia="zh-CN"/>
        </w:rPr>
      </w:pPr>
      <w:r>
        <w:rPr>
          <w:rFonts w:hint="eastAsia"/>
          <w:lang w:eastAsia="zh-CN"/>
        </w:rPr>
        <w:t>广西国立工程咨询有限公司</w:t>
      </w:r>
      <w:r>
        <w:t>关于</w:t>
      </w:r>
      <w:r>
        <w:rPr>
          <w:rFonts w:hint="eastAsia"/>
          <w:lang w:eastAsia="zh-CN"/>
        </w:rPr>
        <w:t>2025年平福乡平福村汪柳屯产业道路项目</w:t>
      </w:r>
    </w:p>
    <w:p w14:paraId="2FEB20A1">
      <w:pPr>
        <w:pStyle w:val="43"/>
        <w:outlineLvl w:val="9"/>
      </w:pPr>
      <w:r>
        <w:t>（项目</w:t>
      </w:r>
      <w:r>
        <w:rPr>
          <w:rFonts w:hint="eastAsia" w:ascii="宋体" w:hAnsi="宋体" w:eastAsia="宋体" w:cs="宋体"/>
        </w:rPr>
        <w:t>编号：FCZC2025-C2-</w:t>
      </w:r>
      <w:r>
        <w:rPr>
          <w:rFonts w:hint="eastAsia" w:ascii="宋体" w:hAnsi="宋体" w:cs="宋体"/>
          <w:lang w:val="en-US" w:eastAsia="zh-CN"/>
        </w:rPr>
        <w:t>210073</w:t>
      </w:r>
      <w:r>
        <w:rPr>
          <w:rFonts w:hint="eastAsia" w:ascii="宋体" w:hAnsi="宋体" w:eastAsia="宋体" w:cs="宋体"/>
        </w:rPr>
        <w:t>-GXGL）竞</w:t>
      </w:r>
      <w:r>
        <w:t>争性磋商公告</w:t>
      </w:r>
    </w:p>
    <w:p w14:paraId="4BAADD1E">
      <w:pPr>
        <w:rPr>
          <w:rFonts w:hint="eastAsia"/>
          <w:color w:val="000000"/>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noWrap w:val="0"/>
            <w:vAlign w:val="top"/>
          </w:tcPr>
          <w:p w14:paraId="33BDB8A7">
            <w:pPr>
              <w:spacing w:line="360" w:lineRule="auto"/>
              <w:rPr>
                <w:rFonts w:ascii="宋体" w:hAnsi="宋体" w:cs="Microsoft JhengHei Light"/>
                <w:b/>
                <w:color w:val="000000"/>
                <w:spacing w:val="-2"/>
                <w:sz w:val="24"/>
                <w:szCs w:val="24"/>
              </w:rPr>
            </w:pPr>
            <w:r>
              <w:rPr>
                <w:rFonts w:hint="eastAsia" w:ascii="宋体" w:hAnsi="宋体" w:cs="Microsoft JhengHei Light"/>
                <w:b/>
                <w:color w:val="000000"/>
                <w:spacing w:val="-2"/>
                <w:sz w:val="24"/>
                <w:szCs w:val="24"/>
              </w:rPr>
              <w:t>项目概况</w:t>
            </w:r>
          </w:p>
          <w:p w14:paraId="610EE9C4">
            <w:pPr>
              <w:widowControl/>
              <w:spacing w:line="450" w:lineRule="atLeast"/>
              <w:ind w:firstLine="480" w:firstLineChars="200"/>
              <w:rPr>
                <w:rFonts w:hint="eastAsia"/>
                <w:color w:val="000000"/>
                <w:sz w:val="24"/>
                <w:szCs w:val="24"/>
              </w:rPr>
            </w:pPr>
            <w:r>
              <w:rPr>
                <w:rFonts w:hint="eastAsia" w:ascii="宋体" w:hAnsi="宋体" w:cs="宋体"/>
                <w:sz w:val="24"/>
                <w:szCs w:val="24"/>
                <w:u w:val="none"/>
                <w:lang w:val="en-US" w:eastAsia="zh-CN"/>
              </w:rPr>
              <w:t>2025年平福乡平福村汪柳屯产业道路项目</w:t>
            </w:r>
            <w:r>
              <w:rPr>
                <w:rFonts w:hint="eastAsia" w:ascii="宋体" w:hAnsi="宋体" w:cs="宋体"/>
                <w:spacing w:val="0"/>
                <w:sz w:val="24"/>
                <w:szCs w:val="24"/>
                <w:u w:val="none"/>
              </w:rPr>
              <w:t>采购的</w:t>
            </w:r>
            <w:r>
              <w:rPr>
                <w:rFonts w:hint="eastAsia" w:ascii="宋体" w:hAnsi="宋体" w:cs="Microsoft JhengHei Light"/>
                <w:bCs/>
                <w:spacing w:val="0"/>
                <w:sz w:val="24"/>
                <w:szCs w:val="24"/>
                <w:u w:val="none"/>
              </w:rPr>
              <w:t>潜在供应商在政采云平台</w:t>
            </w:r>
            <w:r>
              <w:rPr>
                <w:rFonts w:hint="eastAsia" w:ascii="宋体" w:hAnsi="宋体" w:cs="宋体"/>
                <w:bCs/>
                <w:kern w:val="0"/>
                <w:sz w:val="24"/>
                <w:szCs w:val="24"/>
                <w:u w:val="none"/>
              </w:rPr>
              <w:t>（</w:t>
            </w:r>
            <w:r>
              <w:rPr>
                <w:rStyle w:val="25"/>
                <w:rFonts w:hint="eastAsia" w:ascii="宋体" w:hAnsi="宋体" w:cs="宋体"/>
                <w:bCs/>
                <w:color w:val="auto"/>
                <w:kern w:val="0"/>
                <w:sz w:val="24"/>
                <w:szCs w:val="24"/>
                <w:u w:val="none"/>
              </w:rPr>
              <w:t>www.zcygov.cn）</w:t>
            </w:r>
            <w:r>
              <w:rPr>
                <w:rStyle w:val="25"/>
                <w:rFonts w:hint="eastAsia" w:ascii="宋体" w:hAnsi="宋体" w:cs="宋体"/>
                <w:color w:val="auto"/>
                <w:sz w:val="24"/>
                <w:szCs w:val="24"/>
                <w:u w:val="none"/>
              </w:rPr>
              <w:t>获取采购文件，并于</w:t>
            </w:r>
            <w:r>
              <w:rPr>
                <w:rStyle w:val="25"/>
                <w:rFonts w:hint="eastAsia" w:ascii="宋体" w:hAnsi="宋体" w:cs="宋体"/>
                <w:color w:val="auto"/>
                <w:sz w:val="24"/>
                <w:szCs w:val="24"/>
                <w:u w:val="none"/>
                <w:lang w:val="en-US" w:eastAsia="zh-CN"/>
              </w:rPr>
              <w:t>2025</w:t>
            </w:r>
            <w:r>
              <w:rPr>
                <w:rStyle w:val="25"/>
                <w:rFonts w:hint="eastAsia" w:ascii="宋体" w:hAnsi="宋体" w:cs="宋体"/>
                <w:color w:val="auto"/>
                <w:sz w:val="24"/>
                <w:szCs w:val="24"/>
                <w:u w:val="none"/>
              </w:rPr>
              <w:t>年</w:t>
            </w:r>
            <w:r>
              <w:rPr>
                <w:rStyle w:val="25"/>
                <w:rFonts w:hint="eastAsia" w:ascii="宋体" w:hAnsi="宋体" w:cs="宋体"/>
                <w:color w:val="auto"/>
                <w:sz w:val="24"/>
                <w:szCs w:val="24"/>
                <w:u w:val="none"/>
                <w:lang w:val="en-US" w:eastAsia="zh-CN"/>
              </w:rPr>
              <w:t>8</w:t>
            </w:r>
            <w:r>
              <w:rPr>
                <w:rStyle w:val="25"/>
                <w:rFonts w:hint="eastAsia" w:ascii="宋体" w:hAnsi="宋体" w:cs="宋体"/>
                <w:color w:val="auto"/>
                <w:sz w:val="24"/>
                <w:szCs w:val="24"/>
                <w:u w:val="none"/>
              </w:rPr>
              <w:t>月</w:t>
            </w:r>
            <w:r>
              <w:rPr>
                <w:rStyle w:val="25"/>
                <w:rFonts w:hint="eastAsia" w:ascii="宋体" w:hAnsi="宋体" w:cs="宋体"/>
                <w:color w:val="auto"/>
                <w:sz w:val="24"/>
                <w:szCs w:val="24"/>
                <w:u w:val="none"/>
                <w:lang w:val="en-US" w:eastAsia="zh-CN"/>
              </w:rPr>
              <w:t>20</w:t>
            </w:r>
            <w:r>
              <w:rPr>
                <w:rFonts w:hint="eastAsia" w:ascii="宋体" w:hAnsi="宋体" w:cs="宋体"/>
                <w:sz w:val="24"/>
                <w:szCs w:val="24"/>
                <w:u w:val="none"/>
              </w:rPr>
              <w:t>日</w:t>
            </w:r>
            <w:r>
              <w:rPr>
                <w:rFonts w:hint="eastAsia" w:ascii="宋体" w:hAnsi="宋体" w:cs="宋体"/>
                <w:sz w:val="24"/>
                <w:szCs w:val="24"/>
                <w:u w:val="none"/>
                <w:lang w:val="en-US" w:eastAsia="zh-CN"/>
              </w:rPr>
              <w:t>13</w:t>
            </w:r>
            <w:r>
              <w:rPr>
                <w:rFonts w:hint="eastAsia" w:ascii="宋体" w:hAnsi="宋体" w:cs="宋体"/>
                <w:bCs/>
                <w:color w:val="000000"/>
                <w:kern w:val="0"/>
                <w:sz w:val="24"/>
                <w:szCs w:val="24"/>
                <w:u w:val="none"/>
              </w:rPr>
              <w:t>点</w:t>
            </w:r>
            <w:r>
              <w:rPr>
                <w:rFonts w:hint="eastAsia" w:ascii="宋体" w:hAnsi="宋体" w:cs="宋体"/>
                <w:bCs/>
                <w:color w:val="000000"/>
                <w:kern w:val="0"/>
                <w:sz w:val="24"/>
                <w:szCs w:val="24"/>
                <w:u w:val="none"/>
                <w:lang w:val="en-US" w:eastAsia="zh-CN"/>
              </w:rPr>
              <w:t>30</w:t>
            </w:r>
            <w:r>
              <w:rPr>
                <w:rFonts w:hint="eastAsia" w:ascii="宋体" w:hAnsi="宋体" w:cs="宋体"/>
                <w:bCs/>
                <w:color w:val="000000"/>
                <w:kern w:val="0"/>
                <w:sz w:val="24"/>
                <w:szCs w:val="24"/>
                <w:u w:val="none"/>
              </w:rPr>
              <w:t>分</w:t>
            </w:r>
            <w:r>
              <w:rPr>
                <w:rFonts w:hint="eastAsia" w:ascii="宋体" w:hAnsi="宋体" w:cs="宋体"/>
                <w:sz w:val="24"/>
                <w:szCs w:val="24"/>
                <w:u w:val="none"/>
              </w:rPr>
              <w:t>（北京时间）前提交响应文件</w:t>
            </w:r>
            <w:r>
              <w:rPr>
                <w:rFonts w:hint="eastAsia" w:ascii="宋体" w:hAnsi="宋体" w:cs="Microsoft JhengHei Light"/>
                <w:color w:val="000000"/>
                <w:spacing w:val="-2"/>
                <w:sz w:val="24"/>
                <w:szCs w:val="24"/>
                <w:u w:val="none"/>
              </w:rPr>
              <w:t>。</w:t>
            </w:r>
          </w:p>
        </w:tc>
      </w:tr>
    </w:tbl>
    <w:p w14:paraId="27C06EA2">
      <w:pPr>
        <w:rPr>
          <w:rFonts w:hint="eastAsia"/>
          <w:color w:val="000000"/>
        </w:rPr>
      </w:pPr>
    </w:p>
    <w:p w14:paraId="3D5AD3DF">
      <w:pPr>
        <w:pStyle w:val="2"/>
        <w:widowControl/>
        <w:numPr>
          <w:ilvl w:val="0"/>
          <w:numId w:val="3"/>
        </w:numPr>
        <w:topLinePunct w:val="0"/>
        <w:ind w:left="420" w:leftChars="0" w:firstLine="0" w:firstLineChars="0"/>
        <w:rPr>
          <w:b/>
        </w:rPr>
      </w:pPr>
      <w:bookmarkStart w:id="3" w:name="_Toc35393790"/>
      <w:bookmarkStart w:id="4" w:name="_Toc35393621"/>
      <w:bookmarkStart w:id="5" w:name="_Toc28359079"/>
      <w:bookmarkStart w:id="6" w:name="_Toc28359002"/>
      <w:bookmarkStart w:id="7" w:name="_Hlk24379207"/>
      <w:r>
        <w:t>项目基本情况</w:t>
      </w:r>
      <w:bookmarkEnd w:id="3"/>
      <w:bookmarkEnd w:id="4"/>
      <w:bookmarkEnd w:id="5"/>
      <w:bookmarkEnd w:id="6"/>
    </w:p>
    <w:p w14:paraId="53A2832C">
      <w:pPr>
        <w:pStyle w:val="11"/>
        <w:widowControl/>
        <w:rPr>
          <w:rFonts w:hint="eastAsia" w:ascii="宋体" w:hAnsi="宋体" w:eastAsia="宋体" w:cs="宋体"/>
          <w:color w:val="000000"/>
        </w:rPr>
      </w:pPr>
      <w:r>
        <w:rPr>
          <w:color w:val="000000"/>
        </w:rPr>
        <w:t>项目编号：</w:t>
      </w:r>
      <w:r>
        <w:rPr>
          <w:rFonts w:hint="eastAsia" w:ascii="宋体" w:hAnsi="宋体" w:eastAsia="宋体" w:cs="宋体"/>
          <w:color w:val="000000"/>
          <w:u w:val="none"/>
        </w:rPr>
        <w:fldChar w:fldCharType="begin"/>
      </w:r>
      <w:r>
        <w:rPr>
          <w:rFonts w:hint="eastAsia" w:ascii="宋体" w:hAnsi="宋体" w:eastAsia="宋体" w:cs="宋体"/>
          <w:color w:val="000000"/>
          <w:u w:val="none"/>
        </w:rPr>
        <w:instrText xml:space="preserve"> HYPERLINK "https://www.gcy.zfcg.gxzf.gov.cn/gaea/api/project/flow/redirect?projectId=7219986792880275516&amp;newUrl=https://www.gcy.zfcg.gxzf.gov.cn/micro-app-back-index/blank?_flow_type_=agency&amp;_flow_projectId_=7219986792880275516&amp;_jump_page_type_=project_procurement_management_flow&amp;_app_=zcy.procurement&amp;oldUrl=https://www.gcy.zfcg.gxzf.gov.cn/project-center/_procurement_/project-result-detail/7219986792880275516" \t "https://www.gcy.zfcg.gxzf.gov.cn/project-center/_procurement_/self-project/_blank" </w:instrText>
      </w:r>
      <w:r>
        <w:rPr>
          <w:rFonts w:hint="eastAsia" w:ascii="宋体" w:hAnsi="宋体" w:eastAsia="宋体" w:cs="宋体"/>
          <w:color w:val="000000"/>
          <w:u w:val="none"/>
        </w:rPr>
        <w:fldChar w:fldCharType="separate"/>
      </w:r>
      <w:r>
        <w:rPr>
          <w:rFonts w:hint="eastAsia" w:ascii="宋体" w:hAnsi="宋体" w:eastAsia="宋体" w:cs="宋体"/>
          <w:color w:val="000000"/>
          <w:u w:val="none"/>
        </w:rPr>
        <w:t>FCZC2025-C2-210073-GXGL</w:t>
      </w:r>
      <w:r>
        <w:rPr>
          <w:rFonts w:hint="eastAsia" w:ascii="宋体" w:hAnsi="宋体" w:eastAsia="宋体" w:cs="宋体"/>
          <w:color w:val="000000"/>
          <w:u w:val="none"/>
        </w:rPr>
        <w:fldChar w:fldCharType="end"/>
      </w:r>
    </w:p>
    <w:p w14:paraId="79099562">
      <w:pPr>
        <w:pStyle w:val="11"/>
        <w:widowControl/>
        <w:rPr>
          <w:rFonts w:hint="eastAsia" w:eastAsia="宋体"/>
          <w:color w:val="000000"/>
          <w:lang w:eastAsia="zh-CN"/>
        </w:rPr>
      </w:pPr>
      <w:r>
        <w:rPr>
          <w:color w:val="000000"/>
        </w:rPr>
        <w:t>项目名称：</w:t>
      </w:r>
      <w:r>
        <w:rPr>
          <w:rFonts w:hint="eastAsia"/>
          <w:color w:val="000000"/>
          <w:lang w:eastAsia="zh-CN"/>
        </w:rPr>
        <w:t>2025年平福乡平福村汪柳屯产业道路项目</w:t>
      </w:r>
    </w:p>
    <w:p w14:paraId="790F234E">
      <w:pPr>
        <w:pStyle w:val="11"/>
        <w:widowControl/>
        <w:rPr>
          <w:color w:val="000000"/>
        </w:rPr>
      </w:pPr>
      <w:r>
        <w:rPr>
          <w:color w:val="000000"/>
        </w:rPr>
        <w:t>采购方式：</w:t>
      </w:r>
      <w:bookmarkEnd w:id="7"/>
      <w:r>
        <w:rPr>
          <w:color w:val="000000"/>
        </w:rPr>
        <w:t>☑竞争性磋商</w:t>
      </w:r>
    </w:p>
    <w:p w14:paraId="41B751FB">
      <w:pPr>
        <w:pStyle w:val="11"/>
        <w:widowControl/>
        <w:rPr>
          <w:color w:val="000000"/>
        </w:rPr>
      </w:pPr>
      <w:r>
        <w:rPr>
          <w:color w:val="000000"/>
        </w:rPr>
        <w:t>预算总金额（元）：</w:t>
      </w:r>
      <w:r>
        <w:rPr>
          <w:rStyle w:val="28"/>
          <w:rFonts w:hint="eastAsia" w:ascii="宋体" w:hAnsi="宋体" w:eastAsia="宋体" w:cs="宋体"/>
          <w:b w:val="0"/>
          <w:i w:val="0"/>
          <w:sz w:val="24"/>
          <w:szCs w:val="24"/>
          <w:u w:val="single"/>
        </w:rPr>
        <w:t>人民币</w:t>
      </w:r>
      <w:r>
        <w:rPr>
          <w:rStyle w:val="28"/>
          <w:rFonts w:hint="eastAsia" w:hAnsi="宋体" w:eastAsia="宋体" w:cs="宋体"/>
          <w:b w:val="0"/>
          <w:i w:val="0"/>
          <w:sz w:val="24"/>
          <w:szCs w:val="24"/>
          <w:u w:val="single"/>
          <w:lang w:val="en-US" w:eastAsia="zh-CN"/>
        </w:rPr>
        <w:t>壹佰</w:t>
      </w:r>
      <w:r>
        <w:rPr>
          <w:rStyle w:val="28"/>
          <w:rFonts w:hint="eastAsia" w:hAnsi="宋体" w:cs="宋体"/>
          <w:b w:val="0"/>
          <w:i w:val="0"/>
          <w:sz w:val="24"/>
          <w:szCs w:val="24"/>
          <w:u w:val="single"/>
          <w:lang w:val="en-US" w:eastAsia="zh-CN"/>
        </w:rPr>
        <w:t>零柒万肆仟叁佰贰拾叁整</w:t>
      </w:r>
      <w:r>
        <w:rPr>
          <w:rStyle w:val="28"/>
          <w:rFonts w:hint="eastAsia" w:ascii="宋体" w:hAnsi="宋体" w:eastAsia="宋体" w:cs="宋体"/>
          <w:b w:val="0"/>
          <w:i w:val="0"/>
          <w:sz w:val="24"/>
          <w:szCs w:val="24"/>
          <w:u w:val="single"/>
        </w:rPr>
        <w:t>（¥</w:t>
      </w:r>
      <w:r>
        <w:rPr>
          <w:rStyle w:val="28"/>
          <w:rFonts w:hint="eastAsia" w:hAnsi="宋体" w:cs="宋体"/>
          <w:b w:val="0"/>
          <w:i w:val="0"/>
          <w:sz w:val="24"/>
          <w:szCs w:val="24"/>
          <w:u w:val="single"/>
          <w:lang w:val="en-US" w:eastAsia="zh-CN"/>
        </w:rPr>
        <w:t>1074323</w:t>
      </w:r>
      <w:r>
        <w:rPr>
          <w:rStyle w:val="28"/>
          <w:rFonts w:hint="eastAsia" w:ascii="宋体" w:hAnsi="宋体" w:eastAsia="宋体" w:cs="宋体"/>
          <w:b w:val="0"/>
          <w:i w:val="0"/>
          <w:sz w:val="24"/>
          <w:szCs w:val="24"/>
          <w:u w:val="single"/>
        </w:rPr>
        <w:t>.</w:t>
      </w:r>
      <w:r>
        <w:rPr>
          <w:rStyle w:val="28"/>
          <w:rFonts w:hint="eastAsia" w:hAnsi="宋体" w:cs="宋体"/>
          <w:b w:val="0"/>
          <w:i w:val="0"/>
          <w:sz w:val="24"/>
          <w:szCs w:val="24"/>
          <w:u w:val="single"/>
          <w:lang w:val="en-US" w:eastAsia="zh-CN"/>
        </w:rPr>
        <w:t>00</w:t>
      </w:r>
      <w:r>
        <w:rPr>
          <w:rStyle w:val="28"/>
          <w:rFonts w:hint="eastAsia" w:ascii="宋体" w:hAnsi="宋体" w:eastAsia="宋体" w:cs="宋体"/>
          <w:b w:val="0"/>
          <w:i w:val="0"/>
          <w:sz w:val="24"/>
          <w:szCs w:val="24"/>
          <w:u w:val="single"/>
        </w:rPr>
        <w:t>）</w:t>
      </w:r>
    </w:p>
    <w:p w14:paraId="5035EFC4">
      <w:pPr>
        <w:pStyle w:val="11"/>
      </w:pPr>
      <w:bookmarkStart w:id="8" w:name="_Toc20981"/>
      <w:bookmarkStart w:id="9" w:name="_Toc11056"/>
      <w:bookmarkStart w:id="10" w:name="_Toc6591"/>
      <w:bookmarkStart w:id="11" w:name="_Toc27882"/>
      <w:r>
        <w:t>最高限价：同采购预算</w:t>
      </w:r>
    </w:p>
    <w:bookmarkEnd w:id="8"/>
    <w:bookmarkEnd w:id="9"/>
    <w:bookmarkEnd w:id="10"/>
    <w:bookmarkEnd w:id="11"/>
    <w:p w14:paraId="6B49FDFE">
      <w:pPr>
        <w:pStyle w:val="11"/>
        <w:rPr>
          <w:color w:val="000000"/>
        </w:rPr>
      </w:pPr>
      <w:r>
        <w:rPr>
          <w:color w:val="000000"/>
        </w:rPr>
        <w:t>采购需求：</w:t>
      </w:r>
      <w:r>
        <w:rPr>
          <w:rFonts w:hint="eastAsia"/>
          <w:color w:val="auto"/>
          <w:u w:val="none"/>
          <w:lang w:val="en-US" w:eastAsia="zh-CN"/>
        </w:rPr>
        <w:t>新建产业道路约</w:t>
      </w:r>
      <w:r>
        <w:rPr>
          <w:i w:val="0"/>
          <w:color w:val="000000"/>
          <w:u w:val="none"/>
        </w:rPr>
        <w:t>3公里，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336ADEA1">
      <w:pPr>
        <w:pStyle w:val="11"/>
        <w:widowControl/>
        <w:rPr>
          <w:color w:val="000000"/>
        </w:rPr>
      </w:pPr>
      <w:r>
        <w:rPr>
          <w:color w:val="000000"/>
        </w:rPr>
        <w:t>合同履行期限：</w:t>
      </w:r>
      <w:r>
        <w:t>工期为</w:t>
      </w:r>
      <w:r>
        <w:rPr>
          <w:rFonts w:hint="eastAsia"/>
          <w:u w:val="single"/>
          <w:lang w:val="en-US" w:eastAsia="zh-CN"/>
        </w:rPr>
        <w:t>120</w:t>
      </w:r>
      <w:r>
        <w:t>日历天</w:t>
      </w:r>
      <w:r>
        <w:rPr>
          <w:color w:val="000000"/>
        </w:rPr>
        <w:t>。</w:t>
      </w:r>
    </w:p>
    <w:p w14:paraId="6D777DDB">
      <w:pPr>
        <w:pStyle w:val="11"/>
        <w:widowControl/>
      </w:pPr>
      <w:r>
        <w:rPr>
          <w:color w:val="000000"/>
        </w:rPr>
        <w:t>本项目不接受联合体</w:t>
      </w:r>
      <w:r>
        <w:t>。</w:t>
      </w:r>
      <w:bookmarkStart w:id="12" w:name="_Toc35393791"/>
      <w:bookmarkStart w:id="13" w:name="_Toc28359080"/>
      <w:bookmarkStart w:id="14" w:name="_Toc28359003"/>
      <w:bookmarkStart w:id="15" w:name="_Toc35393622"/>
    </w:p>
    <w:p w14:paraId="6D4D7349">
      <w:pPr>
        <w:pStyle w:val="2"/>
        <w:widowControl/>
        <w:numPr>
          <w:ilvl w:val="0"/>
          <w:numId w:val="3"/>
        </w:numPr>
        <w:topLinePunct w:val="0"/>
        <w:ind w:left="420" w:leftChars="0" w:firstLine="0" w:firstLineChars="0"/>
        <w:rPr>
          <w:b/>
        </w:rPr>
      </w:pPr>
      <w:r>
        <w:t>申请人的资格要求</w:t>
      </w:r>
      <w:bookmarkEnd w:id="12"/>
      <w:bookmarkEnd w:id="13"/>
      <w:bookmarkEnd w:id="14"/>
      <w:bookmarkEnd w:id="15"/>
    </w:p>
    <w:p w14:paraId="4CBF112D">
      <w:pPr>
        <w:pStyle w:val="11"/>
        <w:widowControl/>
        <w:numPr>
          <w:ilvl w:val="0"/>
          <w:numId w:val="4"/>
        </w:numPr>
        <w:ind w:left="0" w:leftChars="0" w:firstLine="480" w:firstLineChars="0"/>
        <w:rPr>
          <w:b w:val="0"/>
          <w:color w:val="000000"/>
        </w:rPr>
      </w:pPr>
      <w:r>
        <w:rPr>
          <w:color w:val="000000"/>
        </w:rPr>
        <w:t>满足《中华人民共和国政府采购法》第二十二条规定；</w:t>
      </w:r>
    </w:p>
    <w:p w14:paraId="01A187CF">
      <w:pPr>
        <w:pStyle w:val="11"/>
        <w:widowControl/>
        <w:numPr>
          <w:ilvl w:val="0"/>
          <w:numId w:val="4"/>
        </w:numPr>
        <w:ind w:left="0" w:leftChars="0" w:firstLine="480" w:firstLineChars="0"/>
        <w:rPr>
          <w:b w:val="0"/>
          <w:color w:val="000000"/>
        </w:rPr>
      </w:pPr>
      <w:bookmarkStart w:id="16" w:name="_Toc28359081"/>
      <w:bookmarkStart w:id="17" w:name="_Toc28359004"/>
      <w:r>
        <w:rPr>
          <w:color w:val="000000"/>
        </w:rPr>
        <w:t>落实政府采购政策需满足的资格要求：供应商为中小企业。</w:t>
      </w:r>
    </w:p>
    <w:p w14:paraId="1330D3D4">
      <w:pPr>
        <w:pStyle w:val="11"/>
        <w:widowControl/>
        <w:numPr>
          <w:ilvl w:val="0"/>
          <w:numId w:val="4"/>
        </w:numPr>
        <w:ind w:left="0" w:leftChars="0" w:firstLine="480" w:firstLineChars="0"/>
        <w:rPr>
          <w:b w:val="0"/>
          <w:color w:val="000000"/>
        </w:rPr>
      </w:pPr>
      <w:r>
        <w:rPr>
          <w:color w:val="000000"/>
        </w:rPr>
        <w:t>本项目的特定资格要求：</w:t>
      </w:r>
      <w:bookmarkStart w:id="18" w:name="_Toc35393623"/>
      <w:bookmarkStart w:id="19" w:name="_Toc35393792"/>
    </w:p>
    <w:p w14:paraId="455D5BA1">
      <w:pPr>
        <w:pStyle w:val="11"/>
        <w:widowControl/>
        <w:numPr>
          <w:ilvl w:val="0"/>
          <w:numId w:val="5"/>
        </w:numPr>
        <w:ind w:left="0" w:leftChars="0" w:firstLine="480" w:firstLineChars="0"/>
        <w:rPr>
          <w:b w:val="0"/>
        </w:rPr>
      </w:pPr>
      <w:r>
        <w:t>国内注册（指按国家有关规定要求注册的）具备法人资格，具有公路工程施工总承包三级以上(含三级)资质或市政公用工程施工总承包三级以上(含三级)资质，并在人员、设备、资金等方面具有相应能力的施工企业。</w:t>
      </w:r>
    </w:p>
    <w:p w14:paraId="20836B12">
      <w:pPr>
        <w:pStyle w:val="11"/>
        <w:widowControl/>
        <w:numPr>
          <w:ilvl w:val="0"/>
          <w:numId w:val="5"/>
        </w:numPr>
        <w:ind w:left="0" w:leftChars="0" w:firstLine="480" w:firstLineChars="0"/>
        <w:rPr>
          <w:b w:val="0"/>
          <w:color w:val="000000"/>
        </w:rPr>
      </w:pPr>
      <w:r>
        <w:rPr>
          <w:color w:val="000000"/>
        </w:rPr>
        <w:t>投标人拟派项目经理须</w:t>
      </w:r>
      <w:r>
        <w:t>公路工程或</w:t>
      </w:r>
      <w:r>
        <w:rPr>
          <w:color w:val="000000"/>
        </w:rPr>
        <w:t>市政公用工程</w:t>
      </w:r>
      <w:r>
        <w:t>专业二级及以上（含二级）注册建造师执业资格，具备有效的安全生产考核合格证书（B类）</w:t>
      </w:r>
      <w:r>
        <w:rPr>
          <w:color w:val="000000"/>
        </w:rPr>
        <w:t>。</w:t>
      </w:r>
    </w:p>
    <w:p w14:paraId="1C616569">
      <w:pPr>
        <w:pStyle w:val="11"/>
        <w:widowControl/>
        <w:numPr>
          <w:ilvl w:val="0"/>
          <w:numId w:val="5"/>
        </w:numPr>
        <w:ind w:left="0" w:leftChars="0" w:firstLine="480" w:firstLineChars="0"/>
        <w:rPr>
          <w:b w:val="0"/>
          <w:color w:val="000000"/>
        </w:rPr>
      </w:pPr>
      <w:r>
        <w:rPr>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FC9C49">
      <w:pPr>
        <w:pStyle w:val="11"/>
        <w:widowControl/>
        <w:numPr>
          <w:ilvl w:val="0"/>
          <w:numId w:val="5"/>
        </w:numPr>
        <w:ind w:left="0" w:leftChars="0" w:firstLine="480" w:firstLineChars="0"/>
        <w:rPr>
          <w:b w:val="0"/>
          <w:color w:val="000000"/>
        </w:rPr>
      </w:pPr>
      <w:r>
        <w:rPr>
          <w:color w:val="000000"/>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2"/>
        <w:widowControl/>
        <w:numPr>
          <w:ilvl w:val="0"/>
          <w:numId w:val="3"/>
        </w:numPr>
        <w:topLinePunct w:val="0"/>
        <w:ind w:left="420" w:leftChars="0" w:firstLine="0" w:firstLineChars="0"/>
        <w:rPr>
          <w:b/>
        </w:rPr>
      </w:pPr>
      <w:r>
        <w:t>获取采购文件</w:t>
      </w:r>
      <w:bookmarkEnd w:id="16"/>
      <w:bookmarkEnd w:id="17"/>
      <w:bookmarkEnd w:id="18"/>
      <w:bookmarkEnd w:id="19"/>
    </w:p>
    <w:p w14:paraId="4A3D445F">
      <w:pPr>
        <w:pStyle w:val="11"/>
        <w:widowControl/>
        <w:rPr>
          <w:color w:val="000000"/>
        </w:rPr>
      </w:pPr>
      <w:r>
        <w:rPr>
          <w:color w:val="000000"/>
        </w:rPr>
        <w:t>时间：2025年</w:t>
      </w:r>
      <w:r>
        <w:rPr>
          <w:rFonts w:hint="eastAsia"/>
          <w:color w:val="000000"/>
          <w:lang w:val="en-US" w:eastAsia="zh-CN"/>
        </w:rPr>
        <w:t>8</w:t>
      </w:r>
      <w:r>
        <w:rPr>
          <w:color w:val="000000"/>
        </w:rPr>
        <w:t>月</w:t>
      </w:r>
      <w:r>
        <w:rPr>
          <w:rFonts w:hint="eastAsia"/>
          <w:color w:val="000000"/>
          <w:lang w:val="en-US" w:eastAsia="zh-CN"/>
        </w:rPr>
        <w:t>5</w:t>
      </w:r>
      <w:r>
        <w:rPr>
          <w:color w:val="000000"/>
        </w:rPr>
        <w:t>日至2025年</w:t>
      </w:r>
      <w:r>
        <w:rPr>
          <w:rFonts w:hint="eastAsia"/>
          <w:color w:val="000000"/>
          <w:lang w:val="en-US" w:eastAsia="zh-CN"/>
        </w:rPr>
        <w:t xml:space="preserve">8 </w:t>
      </w:r>
      <w:r>
        <w:rPr>
          <w:color w:val="000000"/>
        </w:rPr>
        <w:t>月</w:t>
      </w:r>
      <w:r>
        <w:rPr>
          <w:rFonts w:hint="eastAsia"/>
          <w:color w:val="000000"/>
          <w:lang w:val="en-US" w:eastAsia="zh-CN"/>
        </w:rPr>
        <w:t>12</w:t>
      </w:r>
      <w:r>
        <w:rPr>
          <w:color w:val="000000"/>
        </w:rPr>
        <w:t>日，每天上午00:00至12:00，下午12:00至23：59（北京时间，法定节假日除外）</w:t>
      </w:r>
    </w:p>
    <w:p w14:paraId="7BF62DF7">
      <w:pPr>
        <w:pStyle w:val="11"/>
        <w:widowControl/>
        <w:rPr>
          <w:color w:val="000000"/>
        </w:rPr>
      </w:pPr>
      <w:r>
        <w:rPr>
          <w:color w:val="000000"/>
        </w:rPr>
        <w:t>地点：政采云平台（www.zcygov.cn）；</w:t>
      </w:r>
    </w:p>
    <w:p w14:paraId="7F120AED">
      <w:pPr>
        <w:pStyle w:val="11"/>
        <w:widowControl/>
        <w:rPr>
          <w:color w:val="000000"/>
        </w:rPr>
      </w:pPr>
      <w:r>
        <w:rPr>
          <w:color w:val="000000"/>
        </w:rPr>
        <w:t>方式：供应商登录政采云平台https://www.zcygov.cn/在线申请获取采购文件（进入“项目采购”应用，在获取采购文件菜单中选择项目，申请获取采购文件）。</w:t>
      </w:r>
    </w:p>
    <w:p w14:paraId="7C9F888E">
      <w:pPr>
        <w:pStyle w:val="11"/>
        <w:widowControl/>
        <w:rPr>
          <w:color w:val="000000"/>
        </w:rPr>
      </w:pPr>
      <w:r>
        <w:rPr>
          <w:color w:val="000000"/>
        </w:rPr>
        <w:t>售价：0元</w:t>
      </w:r>
    </w:p>
    <w:p w14:paraId="3A2D5639">
      <w:pPr>
        <w:pStyle w:val="2"/>
        <w:widowControl/>
        <w:numPr>
          <w:ilvl w:val="0"/>
          <w:numId w:val="3"/>
        </w:numPr>
        <w:topLinePunct w:val="0"/>
        <w:ind w:left="420" w:leftChars="0" w:firstLine="0" w:firstLineChars="0"/>
        <w:rPr>
          <w:b/>
        </w:rPr>
      </w:pPr>
      <w:r>
        <w:t>响应文件提交</w:t>
      </w:r>
    </w:p>
    <w:p w14:paraId="1646F979">
      <w:pPr>
        <w:pStyle w:val="11"/>
        <w:widowControl/>
        <w:rPr>
          <w:rFonts w:hint="eastAsia" w:ascii="宋体" w:hAnsi="宋体" w:eastAsia="宋体" w:cs="宋体"/>
          <w:color w:val="000000"/>
        </w:rPr>
      </w:pPr>
      <w:r>
        <w:rPr>
          <w:rFonts w:hint="eastAsia" w:ascii="宋体" w:hAnsi="宋体" w:eastAsia="宋体" w:cs="宋体"/>
          <w:color w:val="000000"/>
        </w:rPr>
        <w:t>截止时间：</w:t>
      </w:r>
      <w:r>
        <w:rPr>
          <w:rStyle w:val="25"/>
          <w:rFonts w:hint="eastAsia" w:ascii="宋体" w:hAnsi="宋体" w:cs="宋体"/>
          <w:color w:val="auto"/>
          <w:sz w:val="24"/>
          <w:szCs w:val="24"/>
          <w:u w:val="none"/>
          <w:lang w:val="en-US" w:eastAsia="zh-CN"/>
        </w:rPr>
        <w:t>2025</w:t>
      </w:r>
      <w:r>
        <w:rPr>
          <w:rStyle w:val="25"/>
          <w:rFonts w:hint="eastAsia" w:ascii="宋体" w:hAnsi="宋体" w:cs="宋体"/>
          <w:color w:val="auto"/>
          <w:sz w:val="24"/>
          <w:szCs w:val="24"/>
          <w:u w:val="none"/>
        </w:rPr>
        <w:t>年</w:t>
      </w:r>
      <w:r>
        <w:rPr>
          <w:rStyle w:val="25"/>
          <w:rFonts w:hint="eastAsia" w:ascii="宋体" w:hAnsi="宋体" w:cs="宋体"/>
          <w:color w:val="auto"/>
          <w:sz w:val="24"/>
          <w:szCs w:val="24"/>
          <w:u w:val="none"/>
          <w:lang w:val="en-US" w:eastAsia="zh-CN"/>
        </w:rPr>
        <w:t>8</w:t>
      </w:r>
      <w:r>
        <w:rPr>
          <w:rStyle w:val="25"/>
          <w:rFonts w:hint="eastAsia" w:ascii="宋体" w:hAnsi="宋体" w:cs="宋体"/>
          <w:color w:val="auto"/>
          <w:sz w:val="24"/>
          <w:szCs w:val="24"/>
          <w:u w:val="none"/>
        </w:rPr>
        <w:t>月</w:t>
      </w:r>
      <w:r>
        <w:rPr>
          <w:rStyle w:val="25"/>
          <w:rFonts w:hint="eastAsia" w:ascii="宋体" w:hAnsi="宋体" w:cs="宋体"/>
          <w:color w:val="auto"/>
          <w:sz w:val="24"/>
          <w:szCs w:val="24"/>
          <w:u w:val="none"/>
          <w:lang w:val="en-US" w:eastAsia="zh-CN"/>
        </w:rPr>
        <w:t>20</w:t>
      </w:r>
      <w:r>
        <w:rPr>
          <w:rFonts w:hint="eastAsia" w:ascii="宋体" w:hAnsi="宋体" w:cs="宋体"/>
          <w:sz w:val="24"/>
          <w:szCs w:val="24"/>
          <w:u w:val="none"/>
        </w:rPr>
        <w:t>日</w:t>
      </w:r>
      <w:r>
        <w:rPr>
          <w:rFonts w:hint="eastAsia" w:ascii="宋体" w:hAnsi="宋体" w:cs="宋体"/>
          <w:sz w:val="24"/>
          <w:szCs w:val="24"/>
          <w:u w:val="none"/>
          <w:lang w:val="en-US" w:eastAsia="zh-CN"/>
        </w:rPr>
        <w:t>13</w:t>
      </w:r>
      <w:r>
        <w:rPr>
          <w:rFonts w:hint="eastAsia" w:ascii="宋体" w:hAnsi="宋体" w:cs="宋体"/>
          <w:bCs/>
          <w:color w:val="000000"/>
          <w:kern w:val="0"/>
          <w:sz w:val="24"/>
          <w:szCs w:val="24"/>
          <w:u w:val="none"/>
        </w:rPr>
        <w:t>点</w:t>
      </w:r>
      <w:r>
        <w:rPr>
          <w:rFonts w:hint="eastAsia" w:ascii="宋体" w:hAnsi="宋体" w:cs="宋体"/>
          <w:bCs/>
          <w:color w:val="000000"/>
          <w:kern w:val="0"/>
          <w:sz w:val="24"/>
          <w:szCs w:val="24"/>
          <w:u w:val="none"/>
          <w:lang w:val="en-US" w:eastAsia="zh-CN"/>
        </w:rPr>
        <w:t>30</w:t>
      </w:r>
      <w:r>
        <w:rPr>
          <w:rFonts w:hint="eastAsia" w:ascii="宋体" w:hAnsi="宋体" w:cs="宋体"/>
          <w:bCs/>
          <w:color w:val="000000"/>
          <w:kern w:val="0"/>
          <w:sz w:val="24"/>
          <w:szCs w:val="24"/>
          <w:u w:val="none"/>
        </w:rPr>
        <w:t>分</w:t>
      </w:r>
      <w:r>
        <w:rPr>
          <w:rFonts w:hint="eastAsia" w:ascii="宋体" w:hAnsi="宋体" w:eastAsia="宋体" w:cs="宋体"/>
          <w:color w:val="000000"/>
        </w:rPr>
        <w:t>（北京时间）</w:t>
      </w:r>
    </w:p>
    <w:p w14:paraId="2D77080A">
      <w:pPr>
        <w:pStyle w:val="11"/>
        <w:widowControl/>
        <w:rPr>
          <w:rFonts w:hint="eastAsia" w:ascii="宋体" w:hAnsi="宋体" w:eastAsia="宋体" w:cs="宋体"/>
          <w:color w:val="000000"/>
        </w:rPr>
      </w:pPr>
      <w:r>
        <w:rPr>
          <w:rFonts w:hint="eastAsia" w:ascii="宋体" w:hAnsi="宋体" w:eastAsia="宋体" w:cs="宋体"/>
          <w:color w:val="000000"/>
        </w:rPr>
        <w:t>地点：通过政采云平台实行在线投标响应。</w:t>
      </w:r>
    </w:p>
    <w:p w14:paraId="4D6428BD">
      <w:pPr>
        <w:pStyle w:val="2"/>
        <w:widowControl/>
        <w:numPr>
          <w:ilvl w:val="0"/>
          <w:numId w:val="3"/>
        </w:numPr>
        <w:topLinePunct w:val="0"/>
        <w:ind w:left="420" w:leftChars="0" w:firstLine="0" w:firstLineChars="0"/>
        <w:rPr>
          <w:rFonts w:hint="eastAsia" w:ascii="宋体" w:hAnsi="宋体" w:eastAsia="宋体" w:cs="宋体"/>
          <w:b/>
        </w:rPr>
      </w:pPr>
      <w:bookmarkStart w:id="20" w:name="_Toc28359093"/>
      <w:bookmarkStart w:id="21" w:name="_Toc35393802"/>
      <w:bookmarkStart w:id="22" w:name="_Toc35393633"/>
      <w:bookmarkStart w:id="23" w:name="_Toc28359016"/>
      <w:r>
        <w:rPr>
          <w:rFonts w:hint="eastAsia" w:ascii="宋体" w:hAnsi="宋体" w:eastAsia="宋体" w:cs="宋体"/>
        </w:rPr>
        <w:t>开启</w:t>
      </w:r>
      <w:bookmarkEnd w:id="20"/>
      <w:bookmarkEnd w:id="21"/>
      <w:bookmarkEnd w:id="22"/>
      <w:bookmarkEnd w:id="23"/>
      <w:r>
        <w:rPr>
          <w:rFonts w:hint="eastAsia" w:ascii="宋体" w:hAnsi="宋体" w:eastAsia="宋体" w:cs="宋体"/>
        </w:rPr>
        <w:t>（竞争性磋商方式必须填写）</w:t>
      </w:r>
    </w:p>
    <w:p w14:paraId="4106E6C5">
      <w:pPr>
        <w:pStyle w:val="11"/>
        <w:widowControl/>
        <w:rPr>
          <w:rFonts w:hint="eastAsia" w:ascii="宋体" w:hAnsi="宋体" w:eastAsia="宋体" w:cs="宋体"/>
          <w:color w:val="000000"/>
        </w:rPr>
      </w:pPr>
      <w:r>
        <w:rPr>
          <w:rFonts w:hint="eastAsia" w:ascii="宋体" w:hAnsi="宋体" w:eastAsia="宋体" w:cs="宋体"/>
          <w:color w:val="000000"/>
        </w:rPr>
        <w:t>时间：</w:t>
      </w:r>
      <w:r>
        <w:rPr>
          <w:rStyle w:val="25"/>
          <w:rFonts w:hint="eastAsia" w:ascii="宋体" w:hAnsi="宋体" w:cs="宋体"/>
          <w:color w:val="auto"/>
          <w:sz w:val="24"/>
          <w:szCs w:val="24"/>
          <w:u w:val="none"/>
          <w:lang w:val="en-US" w:eastAsia="zh-CN"/>
        </w:rPr>
        <w:t>2025</w:t>
      </w:r>
      <w:r>
        <w:rPr>
          <w:rStyle w:val="25"/>
          <w:rFonts w:hint="eastAsia" w:ascii="宋体" w:hAnsi="宋体" w:cs="宋体"/>
          <w:color w:val="auto"/>
          <w:sz w:val="24"/>
          <w:szCs w:val="24"/>
          <w:u w:val="none"/>
        </w:rPr>
        <w:t>年</w:t>
      </w:r>
      <w:r>
        <w:rPr>
          <w:rStyle w:val="25"/>
          <w:rFonts w:hint="eastAsia" w:ascii="宋体" w:hAnsi="宋体" w:cs="宋体"/>
          <w:color w:val="auto"/>
          <w:sz w:val="24"/>
          <w:szCs w:val="24"/>
          <w:u w:val="none"/>
          <w:lang w:val="en-US" w:eastAsia="zh-CN"/>
        </w:rPr>
        <w:t>8</w:t>
      </w:r>
      <w:r>
        <w:rPr>
          <w:rStyle w:val="25"/>
          <w:rFonts w:hint="eastAsia" w:ascii="宋体" w:hAnsi="宋体" w:cs="宋体"/>
          <w:color w:val="auto"/>
          <w:sz w:val="24"/>
          <w:szCs w:val="24"/>
          <w:u w:val="none"/>
        </w:rPr>
        <w:t>月</w:t>
      </w:r>
      <w:r>
        <w:rPr>
          <w:rStyle w:val="25"/>
          <w:rFonts w:hint="eastAsia" w:ascii="宋体" w:hAnsi="宋体" w:cs="宋体"/>
          <w:color w:val="auto"/>
          <w:sz w:val="24"/>
          <w:szCs w:val="24"/>
          <w:u w:val="none"/>
          <w:lang w:val="en-US" w:eastAsia="zh-CN"/>
        </w:rPr>
        <w:t>20</w:t>
      </w:r>
      <w:r>
        <w:rPr>
          <w:rFonts w:hint="eastAsia" w:ascii="宋体" w:hAnsi="宋体" w:cs="宋体"/>
          <w:sz w:val="24"/>
          <w:szCs w:val="24"/>
          <w:u w:val="none"/>
        </w:rPr>
        <w:t>日</w:t>
      </w:r>
      <w:r>
        <w:rPr>
          <w:rFonts w:hint="eastAsia" w:ascii="宋体" w:hAnsi="宋体" w:cs="宋体"/>
          <w:sz w:val="24"/>
          <w:szCs w:val="24"/>
          <w:u w:val="none"/>
          <w:lang w:val="en-US" w:eastAsia="zh-CN"/>
        </w:rPr>
        <w:t>13</w:t>
      </w:r>
      <w:r>
        <w:rPr>
          <w:rFonts w:hint="eastAsia" w:ascii="宋体" w:hAnsi="宋体" w:cs="宋体"/>
          <w:bCs/>
          <w:color w:val="000000"/>
          <w:kern w:val="0"/>
          <w:sz w:val="24"/>
          <w:szCs w:val="24"/>
          <w:u w:val="none"/>
        </w:rPr>
        <w:t>点</w:t>
      </w:r>
      <w:r>
        <w:rPr>
          <w:rFonts w:hint="eastAsia" w:ascii="宋体" w:hAnsi="宋体" w:cs="宋体"/>
          <w:bCs/>
          <w:color w:val="000000"/>
          <w:kern w:val="0"/>
          <w:sz w:val="24"/>
          <w:szCs w:val="24"/>
          <w:u w:val="none"/>
          <w:lang w:val="en-US" w:eastAsia="zh-CN"/>
        </w:rPr>
        <w:t>30</w:t>
      </w:r>
      <w:r>
        <w:rPr>
          <w:rFonts w:hint="eastAsia" w:ascii="宋体" w:hAnsi="宋体" w:cs="宋体"/>
          <w:bCs/>
          <w:color w:val="000000"/>
          <w:kern w:val="0"/>
          <w:sz w:val="24"/>
          <w:szCs w:val="24"/>
          <w:u w:val="none"/>
        </w:rPr>
        <w:t>分</w:t>
      </w:r>
      <w:r>
        <w:rPr>
          <w:rFonts w:hint="eastAsia" w:ascii="宋体" w:hAnsi="宋体" w:eastAsia="宋体" w:cs="宋体"/>
          <w:color w:val="000000"/>
        </w:rPr>
        <w:t>（北京时间）</w:t>
      </w:r>
    </w:p>
    <w:p w14:paraId="0A88CF50">
      <w:pPr>
        <w:pStyle w:val="11"/>
        <w:widowControl/>
        <w:rPr>
          <w:color w:val="000000"/>
        </w:rPr>
      </w:pPr>
      <w:r>
        <w:rPr>
          <w:color w:val="000000"/>
        </w:rPr>
        <w:t>地点：</w:t>
      </w:r>
      <w:bookmarkStart w:id="24" w:name="_Toc35393794"/>
      <w:bookmarkStart w:id="25" w:name="_Toc28359084"/>
      <w:bookmarkStart w:id="26" w:name="_Toc35393625"/>
      <w:bookmarkStart w:id="27" w:name="_Toc28359007"/>
      <w:r>
        <w:t>通过政采云平台电子开标大厅【</w:t>
      </w:r>
      <w:r>
        <w:rPr>
          <w:highlight w:val="none"/>
        </w:rPr>
        <w:t>政府采购开评标室</w:t>
      </w:r>
      <w:r>
        <w:rPr>
          <w:rFonts w:hint="eastAsia"/>
          <w:highlight w:val="none"/>
          <w:lang w:eastAsia="zh-CN"/>
        </w:rPr>
        <w:t>二</w:t>
      </w:r>
      <w:bookmarkStart w:id="1233" w:name="_GoBack"/>
      <w:bookmarkEnd w:id="1233"/>
      <w:r>
        <w:rPr>
          <w:highlight w:val="none"/>
        </w:rPr>
        <w:t>】在</w:t>
      </w:r>
      <w:r>
        <w:t>线解密开启</w:t>
      </w:r>
      <w:r>
        <w:rPr>
          <w:color w:val="000000"/>
        </w:rPr>
        <w:t>。</w:t>
      </w:r>
    </w:p>
    <w:p w14:paraId="3A6C6D2A">
      <w:pPr>
        <w:pStyle w:val="2"/>
        <w:widowControl/>
        <w:numPr>
          <w:ilvl w:val="0"/>
          <w:numId w:val="3"/>
        </w:numPr>
        <w:topLinePunct w:val="0"/>
        <w:ind w:left="420" w:leftChars="0" w:firstLine="0" w:firstLineChars="0"/>
        <w:rPr>
          <w:b/>
        </w:rPr>
      </w:pPr>
      <w:r>
        <w:t>公告期限</w:t>
      </w:r>
      <w:bookmarkEnd w:id="24"/>
      <w:bookmarkEnd w:id="25"/>
      <w:bookmarkEnd w:id="26"/>
      <w:bookmarkEnd w:id="27"/>
    </w:p>
    <w:p w14:paraId="59506B64">
      <w:pPr>
        <w:pStyle w:val="11"/>
        <w:widowControl/>
        <w:rPr>
          <w:color w:val="000000"/>
        </w:rPr>
      </w:pPr>
      <w:r>
        <w:rPr>
          <w:color w:val="000000"/>
        </w:rPr>
        <w:t>自本公告发布之日起5个工作日。</w:t>
      </w:r>
    </w:p>
    <w:p w14:paraId="13FAF465">
      <w:pPr>
        <w:pStyle w:val="2"/>
        <w:widowControl/>
        <w:numPr>
          <w:ilvl w:val="0"/>
          <w:numId w:val="3"/>
        </w:numPr>
        <w:topLinePunct w:val="0"/>
        <w:ind w:left="420" w:leftChars="0" w:firstLine="0" w:firstLineChars="0"/>
        <w:rPr>
          <w:b/>
        </w:rPr>
      </w:pPr>
      <w:bookmarkStart w:id="28" w:name="_Toc35393795"/>
      <w:bookmarkStart w:id="29" w:name="_Toc35393626"/>
      <w:r>
        <w:t>其他补充事宜</w:t>
      </w:r>
      <w:bookmarkEnd w:id="28"/>
      <w:bookmarkEnd w:id="29"/>
      <w:r>
        <w:t>：</w:t>
      </w:r>
    </w:p>
    <w:p w14:paraId="47BB88F9">
      <w:pPr>
        <w:pStyle w:val="11"/>
        <w:widowControl/>
        <w:numPr>
          <w:ilvl w:val="0"/>
          <w:numId w:val="6"/>
        </w:numPr>
        <w:ind w:left="0" w:leftChars="0" w:firstLine="480" w:firstLineChars="0"/>
        <w:rPr>
          <w:b w:val="0"/>
          <w:color w:val="000000"/>
        </w:rPr>
      </w:pPr>
      <w:bookmarkStart w:id="30" w:name="_Toc28359008"/>
      <w:bookmarkStart w:id="31" w:name="_Toc28359085"/>
      <w:bookmarkStart w:id="32" w:name="_Toc35393796"/>
      <w:bookmarkStart w:id="33" w:name="_Toc35393627"/>
      <w:r>
        <w:rPr>
          <w:color w:val="000000"/>
        </w:rPr>
        <w:t>在网上公告媒体：中国政府采购网、广西壮族自治区政府采购网、全国公共资源交易平台（广西·防城港）上发布。</w:t>
      </w:r>
    </w:p>
    <w:p w14:paraId="2EA56B54">
      <w:pPr>
        <w:pStyle w:val="11"/>
        <w:widowControl/>
        <w:numPr>
          <w:ilvl w:val="0"/>
          <w:numId w:val="6"/>
        </w:numPr>
        <w:ind w:left="0" w:leftChars="0" w:firstLine="480" w:firstLineChars="0"/>
        <w:rPr>
          <w:b w:val="0"/>
          <w:color w:val="000000"/>
        </w:rPr>
      </w:pPr>
      <w:r>
        <w:rPr>
          <w:color w:val="000000"/>
        </w:rPr>
        <w:t>本项目需要落实的政府采购政策：</w:t>
      </w:r>
    </w:p>
    <w:p w14:paraId="32CD52E4">
      <w:pPr>
        <w:pStyle w:val="11"/>
        <w:widowControl/>
        <w:numPr>
          <w:ilvl w:val="0"/>
          <w:numId w:val="0"/>
        </w:numPr>
        <w:ind w:left="480" w:leftChars="0"/>
        <w:rPr>
          <w:b w:val="0"/>
          <w:color w:val="000000"/>
        </w:rPr>
      </w:pPr>
      <w:r>
        <w:rPr>
          <w:color w:val="000000"/>
        </w:rPr>
        <w:t>（1）《政府采购促进中小企业发展管理办法》（财库[2020]46号）；中小企业划分标准属于行业为：“土木工程建筑行业”；</w:t>
      </w:r>
    </w:p>
    <w:p w14:paraId="0C27721F">
      <w:pPr>
        <w:pStyle w:val="11"/>
        <w:widowControl/>
        <w:numPr>
          <w:ilvl w:val="0"/>
          <w:numId w:val="7"/>
        </w:numPr>
        <w:topLinePunct w:val="0"/>
        <w:ind w:left="0" w:leftChars="0" w:firstLine="480" w:firstLineChars="0"/>
        <w:rPr>
          <w:b w:val="0"/>
          <w:color w:val="000000"/>
        </w:rPr>
      </w:pPr>
      <w:r>
        <w:rPr>
          <w:color w:val="000000"/>
        </w:rPr>
        <w:t>《财政部、司法部关于政府采购支持监狱企业发展有关问题的通知》（财库〔2014〕68号）；</w:t>
      </w:r>
    </w:p>
    <w:p w14:paraId="76FDF390">
      <w:pPr>
        <w:pStyle w:val="11"/>
        <w:widowControl/>
        <w:numPr>
          <w:ilvl w:val="0"/>
          <w:numId w:val="7"/>
        </w:numPr>
        <w:topLinePunct w:val="0"/>
        <w:ind w:left="0" w:leftChars="0" w:firstLine="480" w:firstLineChars="0"/>
        <w:rPr>
          <w:b w:val="0"/>
          <w:color w:val="000000"/>
        </w:rPr>
      </w:pPr>
      <w:r>
        <w:rPr>
          <w:color w:val="000000"/>
        </w:rPr>
        <w:t>《财政部民政部中国残疾人联合会关于促进残疾人就业政府采购政策的通知》（财库〔2017〕141号）；</w:t>
      </w:r>
    </w:p>
    <w:p w14:paraId="0E109FE6">
      <w:pPr>
        <w:pStyle w:val="11"/>
        <w:widowControl/>
        <w:numPr>
          <w:ilvl w:val="0"/>
          <w:numId w:val="7"/>
        </w:numPr>
        <w:topLinePunct w:val="0"/>
        <w:ind w:left="0" w:leftChars="0" w:firstLine="480" w:firstLineChars="0"/>
        <w:rPr>
          <w:b w:val="0"/>
          <w:color w:val="000000"/>
        </w:rPr>
      </w:pPr>
      <w:r>
        <w:rPr>
          <w:color w:val="000000"/>
        </w:rPr>
        <w:t>财政部发展改革委生态环境部市场监管总局关于调整优化节能产品、环境标志产品政府采购执行机制的通知（财库〔2019〕9号）；</w:t>
      </w:r>
    </w:p>
    <w:p w14:paraId="160034D4">
      <w:pPr>
        <w:pStyle w:val="11"/>
        <w:widowControl/>
        <w:numPr>
          <w:ilvl w:val="0"/>
          <w:numId w:val="7"/>
        </w:numPr>
        <w:topLinePunct w:val="0"/>
        <w:ind w:left="0" w:leftChars="0" w:firstLine="480" w:firstLineChars="0"/>
        <w:rPr>
          <w:b w:val="0"/>
          <w:color w:val="000000"/>
        </w:rPr>
      </w:pPr>
      <w:r>
        <w:rPr>
          <w:color w:val="000000"/>
        </w:rPr>
        <w:t xml:space="preserve">财政部发展改革委关于印发节能产品政府采购品目清单的通知（财库〔2019〕19号）等政府采购相关政策。 </w:t>
      </w:r>
    </w:p>
    <w:p w14:paraId="43A477FE">
      <w:pPr>
        <w:pStyle w:val="11"/>
        <w:widowControl/>
        <w:numPr>
          <w:ilvl w:val="0"/>
          <w:numId w:val="6"/>
        </w:numPr>
        <w:ind w:left="0" w:leftChars="0" w:firstLine="480" w:firstLineChars="0"/>
        <w:rPr>
          <w:b w:val="0"/>
          <w:color w:val="000000"/>
        </w:rPr>
      </w:pPr>
      <w:r>
        <w:rPr>
          <w:color w:val="000000"/>
        </w:rPr>
        <w:t>磋商保证金：本项目不需提交磋商保证金。</w:t>
      </w:r>
    </w:p>
    <w:p w14:paraId="7F07D492">
      <w:pPr>
        <w:pStyle w:val="11"/>
        <w:widowControl/>
        <w:numPr>
          <w:ilvl w:val="0"/>
          <w:numId w:val="6"/>
        </w:numPr>
        <w:ind w:left="0" w:leftChars="0" w:firstLine="480" w:firstLineChars="0"/>
        <w:rPr>
          <w:b w:val="0"/>
          <w:color w:val="000000"/>
        </w:rPr>
      </w:pPr>
      <w:r>
        <w:rPr>
          <w:color w:val="000000"/>
        </w:rPr>
        <w:t>在线竞标响应（电子竞标）说明及注意事项：</w:t>
      </w:r>
    </w:p>
    <w:p w14:paraId="5D7F2E22">
      <w:pPr>
        <w:pStyle w:val="11"/>
        <w:widowControl/>
        <w:numPr>
          <w:ilvl w:val="0"/>
          <w:numId w:val="8"/>
        </w:numPr>
        <w:topLinePunct w:val="0"/>
        <w:ind w:left="0" w:leftChars="0" w:firstLine="480" w:firstLineChars="0"/>
        <w:rPr>
          <w:b w:val="0"/>
          <w:color w:val="000000"/>
        </w:rPr>
      </w:pPr>
      <w:r>
        <w:rPr>
          <w:color w:val="000000"/>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11"/>
        <w:widowControl/>
        <w:numPr>
          <w:ilvl w:val="0"/>
          <w:numId w:val="8"/>
        </w:numPr>
        <w:topLinePunct w:val="0"/>
        <w:ind w:left="0" w:leftChars="0" w:firstLine="480" w:firstLineChars="0"/>
        <w:rPr>
          <w:b w:val="0"/>
          <w:color w:val="000000"/>
        </w:rPr>
      </w:pPr>
      <w:r>
        <w:rPr>
          <w:color w:val="000000"/>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11"/>
        <w:widowControl/>
        <w:numPr>
          <w:ilvl w:val="0"/>
          <w:numId w:val="8"/>
        </w:numPr>
        <w:topLinePunct w:val="0"/>
        <w:ind w:left="0" w:leftChars="0" w:firstLine="480" w:firstLineChars="0"/>
        <w:rPr>
          <w:b w:val="0"/>
          <w:color w:val="000000"/>
        </w:rPr>
      </w:pPr>
      <w:r>
        <w:rPr>
          <w:color w:val="000000"/>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11"/>
        <w:widowControl/>
        <w:numPr>
          <w:ilvl w:val="0"/>
          <w:numId w:val="8"/>
        </w:numPr>
        <w:topLinePunct w:val="0"/>
        <w:ind w:left="0" w:leftChars="0" w:firstLine="480" w:firstLineChars="0"/>
        <w:rPr>
          <w:b w:val="0"/>
          <w:color w:val="000000"/>
        </w:rPr>
      </w:pPr>
      <w:r>
        <w:rPr>
          <w:color w:val="000000"/>
        </w:rPr>
        <w:t>CA证书在线解密：供应商竞标响应时，需用有效数字证书（CA认证）登录“政采云”平台电子开标大厅现场，在截标时间后30分钟内对加密的响应文件进行解密，否则后果自负。</w:t>
      </w:r>
    </w:p>
    <w:p w14:paraId="6C3E93A5">
      <w:pPr>
        <w:pStyle w:val="11"/>
        <w:widowControl/>
        <w:numPr>
          <w:ilvl w:val="0"/>
          <w:numId w:val="8"/>
        </w:numPr>
        <w:topLinePunct w:val="0"/>
        <w:ind w:left="0" w:leftChars="0" w:firstLine="480" w:firstLineChars="0"/>
        <w:rPr>
          <w:b w:val="0"/>
          <w:color w:val="000000"/>
        </w:rPr>
      </w:pPr>
      <w:r>
        <w:rPr>
          <w:color w:val="000000"/>
        </w:rPr>
        <w:t>供应商可以提供以介质（U盘或光盘等）存储的数据电文形成的电子备份响应文件。电子备份响应文件应当在响应文</w:t>
      </w:r>
      <w:r>
        <w:t>件</w:t>
      </w:r>
      <w:r>
        <w:rPr>
          <w:color w:val="000000"/>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11"/>
        <w:widowControl/>
        <w:numPr>
          <w:ilvl w:val="0"/>
          <w:numId w:val="8"/>
        </w:numPr>
        <w:topLinePunct w:val="0"/>
        <w:ind w:left="0" w:leftChars="0" w:firstLine="480" w:firstLineChars="0"/>
        <w:rPr>
          <w:b w:val="0"/>
          <w:color w:val="000000"/>
        </w:rPr>
      </w:pPr>
      <w:r>
        <w:rPr>
          <w:color w:val="000000"/>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11"/>
        <w:widowControl/>
        <w:numPr>
          <w:ilvl w:val="0"/>
          <w:numId w:val="8"/>
        </w:numPr>
        <w:topLinePunct w:val="0"/>
        <w:ind w:left="0" w:leftChars="0" w:firstLine="480" w:firstLineChars="0"/>
        <w:rPr>
          <w:b w:val="0"/>
          <w:color w:val="000000"/>
        </w:rPr>
      </w:pPr>
      <w:r>
        <w:rPr>
          <w:color w:val="000000"/>
        </w:rPr>
        <w:t>本项目需要供应商代表在截标后，按磋商小组要求及时登陆政采云平台等候在线磋商及提交最后报价。</w:t>
      </w:r>
    </w:p>
    <w:p w14:paraId="13FDFB57">
      <w:pPr>
        <w:pStyle w:val="11"/>
        <w:widowControl/>
        <w:numPr>
          <w:ilvl w:val="0"/>
          <w:numId w:val="8"/>
        </w:numPr>
        <w:topLinePunct w:val="0"/>
        <w:ind w:left="0" w:leftChars="0" w:firstLine="480" w:firstLineChars="0"/>
        <w:rPr>
          <w:b w:val="0"/>
          <w:color w:val="000000"/>
        </w:rPr>
      </w:pPr>
      <w:r>
        <w:rPr>
          <w:color w:val="000000"/>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11"/>
        <w:widowControl/>
        <w:numPr>
          <w:ilvl w:val="0"/>
          <w:numId w:val="8"/>
        </w:numPr>
        <w:topLinePunct w:val="0"/>
        <w:ind w:left="0" w:leftChars="0" w:firstLine="480" w:firstLineChars="0"/>
        <w:rPr>
          <w:b w:val="0"/>
          <w:color w:val="000000"/>
        </w:rPr>
      </w:pPr>
      <w:r>
        <w:rPr>
          <w:color w:val="000000"/>
        </w:rPr>
        <w:t>本项目不接受未登陆“政采云”平台获取本项目采购文件的供应商竞标响应。</w:t>
      </w:r>
    </w:p>
    <w:p w14:paraId="648BFEA8">
      <w:pPr>
        <w:pStyle w:val="11"/>
        <w:widowControl/>
        <w:numPr>
          <w:ilvl w:val="0"/>
          <w:numId w:val="8"/>
        </w:numPr>
        <w:topLinePunct w:val="0"/>
        <w:ind w:left="0" w:leftChars="0" w:firstLine="480" w:firstLineChars="0"/>
        <w:rPr>
          <w:b w:val="0"/>
          <w:color w:val="000000"/>
        </w:rPr>
      </w:pPr>
      <w:r>
        <w:rPr>
          <w:color w:val="000000"/>
        </w:rPr>
        <w:t>监督部门：上思县政府采购中心，电话：0770-8521708。</w:t>
      </w:r>
    </w:p>
    <w:p w14:paraId="3415E7AD">
      <w:pPr>
        <w:widowControl/>
        <w:spacing w:line="450" w:lineRule="atLeast"/>
        <w:ind w:left="219" w:hanging="219" w:hangingChars="104"/>
        <w:rPr>
          <w:rFonts w:hint="eastAsia" w:ascii="宋体" w:hAnsi="宋体" w:cs="宋体"/>
          <w:b/>
          <w:color w:val="000000"/>
          <w:kern w:val="0"/>
          <w:szCs w:val="21"/>
        </w:rPr>
      </w:pPr>
    </w:p>
    <w:bookmarkEnd w:id="30"/>
    <w:bookmarkEnd w:id="31"/>
    <w:bookmarkEnd w:id="32"/>
    <w:bookmarkEnd w:id="33"/>
    <w:p w14:paraId="2E25AC68">
      <w:pPr>
        <w:pStyle w:val="2"/>
        <w:widowControl/>
        <w:numPr>
          <w:ilvl w:val="0"/>
          <w:numId w:val="3"/>
        </w:numPr>
        <w:topLinePunct w:val="0"/>
        <w:ind w:left="420" w:leftChars="0" w:firstLine="0" w:firstLineChars="0"/>
        <w:rPr>
          <w:b/>
        </w:rPr>
      </w:pPr>
      <w:r>
        <w:t>凡对本次采购提出询问，请按以下方式联系</w:t>
      </w:r>
    </w:p>
    <w:p w14:paraId="0C9D7071">
      <w:pPr>
        <w:pStyle w:val="43"/>
        <w:widowControl/>
        <w:numPr>
          <w:ilvl w:val="0"/>
          <w:numId w:val="9"/>
        </w:numPr>
        <w:ind w:left="0" w:leftChars="0" w:firstLine="422" w:firstLineChars="175"/>
        <w:jc w:val="left"/>
        <w:outlineLvl w:val="1"/>
        <w:rPr>
          <w:b/>
        </w:rPr>
      </w:pPr>
      <w:bookmarkStart w:id="34" w:name="_Toc28359096"/>
      <w:bookmarkStart w:id="35" w:name="_Toc35393637"/>
      <w:bookmarkStart w:id="36" w:name="_Toc28359019"/>
      <w:bookmarkStart w:id="37" w:name="_Toc35393806"/>
      <w:r>
        <w:t>采购人信息</w:t>
      </w:r>
      <w:bookmarkEnd w:id="34"/>
      <w:bookmarkEnd w:id="35"/>
      <w:bookmarkEnd w:id="36"/>
      <w:bookmarkEnd w:id="37"/>
    </w:p>
    <w:p w14:paraId="5E6108B7">
      <w:pPr>
        <w:pStyle w:val="11"/>
        <w:widowControl/>
        <w:rPr>
          <w:color w:val="000000"/>
        </w:rPr>
      </w:pPr>
      <w:r>
        <w:rPr>
          <w:color w:val="000000"/>
        </w:rPr>
        <w:t>名称：上思县农业农村局</w:t>
      </w:r>
    </w:p>
    <w:p w14:paraId="1AF3B3F1">
      <w:pPr>
        <w:pStyle w:val="11"/>
        <w:widowControl/>
        <w:rPr>
          <w:color w:val="000000"/>
        </w:rPr>
      </w:pPr>
      <w:r>
        <w:rPr>
          <w:color w:val="000000"/>
        </w:rPr>
        <w:t>地址：</w:t>
      </w:r>
      <w:r>
        <w:rPr>
          <w:i w:val="0"/>
          <w:color w:val="000000"/>
        </w:rPr>
        <w:t>上思县</w:t>
      </w:r>
      <w:r>
        <w:rPr>
          <w:i w:val="0"/>
          <w:color w:val="525353"/>
        </w:rPr>
        <w:t>仁甫西路</w:t>
      </w:r>
      <w:r>
        <w:rPr>
          <w:i w:val="0"/>
          <w:color w:val="000000"/>
        </w:rPr>
        <w:t> </w:t>
      </w:r>
    </w:p>
    <w:p w14:paraId="0F197D11">
      <w:pPr>
        <w:pStyle w:val="11"/>
        <w:widowControl/>
        <w:rPr>
          <w:rFonts w:hint="default" w:eastAsia="宋体"/>
          <w:color w:val="000000"/>
          <w:lang w:val="en-US" w:eastAsia="zh-CN"/>
        </w:rPr>
      </w:pPr>
      <w:r>
        <w:rPr>
          <w:color w:val="000000"/>
        </w:rPr>
        <w:t>项目联系人：</w:t>
      </w:r>
      <w:r>
        <w:rPr>
          <w:rFonts w:hint="eastAsia"/>
          <w:color w:val="000000"/>
          <w:lang w:val="en-US" w:eastAsia="zh-CN"/>
        </w:rPr>
        <w:t>陆俊吉</w:t>
      </w:r>
    </w:p>
    <w:p w14:paraId="3F7AA42F">
      <w:pPr>
        <w:pStyle w:val="11"/>
        <w:widowControl/>
        <w:rPr>
          <w:color w:val="000000"/>
        </w:rPr>
      </w:pPr>
      <w:r>
        <w:rPr>
          <w:color w:val="000000"/>
        </w:rPr>
        <w:t>联系方式：</w:t>
      </w:r>
      <w:r>
        <w:rPr>
          <w:i w:val="0"/>
          <w:color w:val="000000"/>
        </w:rPr>
        <w:t>0770-8509177</w:t>
      </w:r>
    </w:p>
    <w:p w14:paraId="4857B4E2">
      <w:pPr>
        <w:pStyle w:val="43"/>
        <w:widowControl/>
        <w:numPr>
          <w:ilvl w:val="0"/>
          <w:numId w:val="9"/>
        </w:numPr>
        <w:ind w:left="0" w:leftChars="0" w:firstLine="422" w:firstLineChars="175"/>
        <w:jc w:val="left"/>
        <w:outlineLvl w:val="1"/>
        <w:rPr>
          <w:b/>
        </w:rPr>
      </w:pPr>
      <w:bookmarkStart w:id="38" w:name="_Toc35393807"/>
      <w:bookmarkStart w:id="39" w:name="_Toc35393638"/>
      <w:bookmarkStart w:id="40" w:name="_Toc28359020"/>
      <w:bookmarkStart w:id="41" w:name="_Toc28359097"/>
      <w:r>
        <w:t>采购代理机构信息</w:t>
      </w:r>
      <w:bookmarkEnd w:id="38"/>
      <w:bookmarkEnd w:id="39"/>
      <w:bookmarkEnd w:id="40"/>
      <w:bookmarkEnd w:id="41"/>
    </w:p>
    <w:p w14:paraId="336B8787">
      <w:pPr>
        <w:pStyle w:val="11"/>
        <w:widowControl/>
        <w:rPr>
          <w:rFonts w:hint="eastAsia"/>
          <w:color w:val="000000"/>
          <w:lang w:eastAsia="zh-CN"/>
        </w:rPr>
      </w:pPr>
      <w:bookmarkStart w:id="42" w:name="_Toc28359098"/>
      <w:bookmarkStart w:id="43" w:name="_Toc35393808"/>
      <w:bookmarkStart w:id="44" w:name="_Toc28359021"/>
      <w:bookmarkStart w:id="45" w:name="_Toc35393639"/>
      <w:r>
        <w:rPr>
          <w:color w:val="000000"/>
        </w:rPr>
        <w:t>名称：</w:t>
      </w:r>
      <w:r>
        <w:rPr>
          <w:rFonts w:hint="eastAsia"/>
          <w:color w:val="000000"/>
          <w:lang w:eastAsia="zh-CN"/>
        </w:rPr>
        <w:t>广西国立工程咨询有限公司</w:t>
      </w:r>
    </w:p>
    <w:p w14:paraId="3A923CC6">
      <w:pPr>
        <w:pStyle w:val="11"/>
        <w:widowControl/>
        <w:rPr>
          <w:color w:val="000000"/>
        </w:rPr>
      </w:pPr>
      <w:r>
        <w:rPr>
          <w:color w:val="000000"/>
        </w:rPr>
        <w:t>地址：</w:t>
      </w:r>
      <w:r>
        <w:rPr>
          <w:i w:val="0"/>
          <w:color w:val="383838"/>
        </w:rPr>
        <w:t>防城港市防城区市场监督管理局大门直入50米</w:t>
      </w:r>
    </w:p>
    <w:p w14:paraId="7C94A58B">
      <w:pPr>
        <w:pStyle w:val="11"/>
        <w:widowControl/>
        <w:rPr>
          <w:rFonts w:hint="default" w:eastAsia="宋体"/>
          <w:color w:val="000000"/>
          <w:lang w:val="en-US" w:eastAsia="zh-CN"/>
        </w:rPr>
      </w:pPr>
      <w:r>
        <w:rPr>
          <w:color w:val="000000"/>
        </w:rPr>
        <w:t>项目联系人：</w:t>
      </w:r>
      <w:bookmarkEnd w:id="42"/>
      <w:bookmarkEnd w:id="43"/>
      <w:bookmarkEnd w:id="44"/>
      <w:bookmarkEnd w:id="45"/>
      <w:r>
        <w:rPr>
          <w:color w:val="000000"/>
        </w:rPr>
        <w:t>严</w:t>
      </w:r>
      <w:r>
        <w:rPr>
          <w:rFonts w:hint="eastAsia"/>
          <w:color w:val="000000"/>
          <w:lang w:val="en-US" w:eastAsia="zh-CN"/>
        </w:rPr>
        <w:t>叶存</w:t>
      </w:r>
    </w:p>
    <w:p w14:paraId="00D76F9E">
      <w:pPr>
        <w:pStyle w:val="11"/>
        <w:widowControl/>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45A788F0">
      <w:pPr>
        <w:keepNext w:val="0"/>
        <w:keepLines w:val="0"/>
        <w:widowControl w:val="0"/>
        <w:spacing w:before="120" w:beforeAutospacing="0" w:after="120" w:afterAutospacing="0" w:line="360" w:lineRule="auto"/>
        <w:ind w:left="7590" w:hanging="6505" w:hangingChars="27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1CA25FC">
      <w:pPr>
        <w:rPr>
          <w:rFonts w:hint="eastAsia"/>
        </w:rPr>
      </w:pPr>
    </w:p>
    <w:p w14:paraId="17A05927">
      <w:pPr>
        <w:pStyle w:val="26"/>
        <w:rPr>
          <w:rFonts w:hint="eastAsia"/>
        </w:rPr>
      </w:pPr>
    </w:p>
    <w:p w14:paraId="046EE6A4">
      <w:pPr>
        <w:pStyle w:val="26"/>
        <w:rPr>
          <w:rFonts w:hint="eastAsia"/>
        </w:rPr>
      </w:pPr>
    </w:p>
    <w:p w14:paraId="7CD4890D">
      <w:pPr>
        <w:pStyle w:val="26"/>
        <w:rPr>
          <w:rFonts w:hint="eastAsia"/>
        </w:rPr>
      </w:pPr>
    </w:p>
    <w:p w14:paraId="3B5C237B">
      <w:pPr>
        <w:pStyle w:val="26"/>
        <w:rPr>
          <w:rFonts w:hint="eastAsia"/>
        </w:rPr>
      </w:pPr>
    </w:p>
    <w:p w14:paraId="01EE3CC8">
      <w:pPr>
        <w:pStyle w:val="26"/>
        <w:rPr>
          <w:rFonts w:hint="eastAsia"/>
        </w:rPr>
      </w:pPr>
    </w:p>
    <w:p w14:paraId="4C59107C">
      <w:pPr>
        <w:pStyle w:val="26"/>
        <w:rPr>
          <w:rFonts w:hint="eastAsia"/>
        </w:rPr>
      </w:pPr>
    </w:p>
    <w:p w14:paraId="0A565C15">
      <w:pPr>
        <w:pStyle w:val="26"/>
        <w:rPr>
          <w:rFonts w:hint="eastAsia"/>
        </w:rPr>
      </w:pPr>
    </w:p>
    <w:p w14:paraId="20C7E7FC">
      <w:pPr>
        <w:pStyle w:val="42"/>
        <w:numPr>
          <w:ilvl w:val="0"/>
          <w:numId w:val="2"/>
        </w:numPr>
        <w:ind w:left="0" w:leftChars="0" w:firstLine="0" w:firstLineChars="0"/>
        <w:outlineLvl w:val="0"/>
      </w:pPr>
      <w:bookmarkStart w:id="46" w:name="_Toc1467"/>
      <w:r>
        <w:t>磋商须知</w:t>
      </w:r>
      <w:bookmarkEnd w:id="46"/>
    </w:p>
    <w:p w14:paraId="16BD5381">
      <w:pPr>
        <w:pStyle w:val="44"/>
        <w:outlineLvl w:val="0"/>
      </w:pPr>
      <w:r>
        <w:t>磋商须知前附表</w:t>
      </w:r>
    </w:p>
    <w:tbl>
      <w:tblPr>
        <w:tblStyle w:val="22"/>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top"/>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序号</w:t>
            </w:r>
          </w:p>
        </w:tc>
        <w:tc>
          <w:tcPr>
            <w:tcW w:w="1126" w:type="dxa"/>
            <w:noWrap w:val="0"/>
            <w:vAlign w:val="top"/>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条款号</w:t>
            </w:r>
          </w:p>
        </w:tc>
        <w:tc>
          <w:tcPr>
            <w:tcW w:w="8010" w:type="dxa"/>
            <w:noWrap w:val="0"/>
            <w:vAlign w:val="top"/>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p>
        </w:tc>
        <w:tc>
          <w:tcPr>
            <w:tcW w:w="1126" w:type="dxa"/>
            <w:noWrap w:val="0"/>
            <w:vAlign w:val="center"/>
          </w:tcPr>
          <w:p w14:paraId="188939B7">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57E9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Cs/>
                <w:szCs w:val="21"/>
                <w:highlight w:val="yellow"/>
                <w:lang w:eastAsia="zh-CN"/>
              </w:rPr>
            </w:pPr>
            <w:r>
              <w:rPr>
                <w:rFonts w:hint="eastAsia" w:ascii="宋体" w:hAnsi="宋体" w:cs="Arial"/>
                <w:bCs/>
                <w:szCs w:val="21"/>
              </w:rPr>
              <w:t>项目名称：</w:t>
            </w:r>
            <w:r>
              <w:rPr>
                <w:rFonts w:hint="eastAsia" w:ascii="宋体" w:hAnsi="宋体" w:cs="Arial"/>
                <w:bCs/>
                <w:szCs w:val="21"/>
                <w:lang w:val="en-US" w:eastAsia="zh-CN"/>
              </w:rPr>
              <w:t>2025年平福乡平福村汪柳屯产业道路项目</w:t>
            </w:r>
          </w:p>
          <w:p w14:paraId="0770E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项目编号：</w:t>
            </w:r>
            <w:r>
              <w:rPr>
                <w:rFonts w:hint="eastAsia" w:ascii="宋体" w:hAnsi="宋体" w:eastAsia="宋体" w:cs="宋体"/>
                <w:color w:val="000000"/>
                <w:u w:val="none"/>
              </w:rPr>
              <w:fldChar w:fldCharType="begin"/>
            </w:r>
            <w:r>
              <w:rPr>
                <w:rFonts w:hint="eastAsia" w:ascii="宋体" w:hAnsi="宋体" w:eastAsia="宋体" w:cs="宋体"/>
                <w:color w:val="000000"/>
                <w:u w:val="none"/>
              </w:rPr>
              <w:instrText xml:space="preserve"> HYPERLINK "https://www.gcy.zfcg.gxzf.gov.cn/gaea/api/project/flow/redirect?projectId=7219986792880275516&amp;newUrl=https://www.gcy.zfcg.gxzf.gov.cn/micro-app-back-index/blank?_flow_type_=agency&amp;_flow_projectId_=7219986792880275516&amp;_jump_page_type_=project_procurement_management_flow&amp;_app_=zcy.procurement&amp;oldUrl=https://www.gcy.zfcg.gxzf.gov.cn/project-center/_procurement_/project-result-detail/7219986792880275516" \t "https://www.gcy.zfcg.gxzf.gov.cn/project-center/_procurement_/self-project/_blank" </w:instrText>
            </w:r>
            <w:r>
              <w:rPr>
                <w:rFonts w:hint="eastAsia" w:ascii="宋体" w:hAnsi="宋体" w:eastAsia="宋体" w:cs="宋体"/>
                <w:color w:val="000000"/>
                <w:u w:val="none"/>
              </w:rPr>
              <w:fldChar w:fldCharType="separate"/>
            </w:r>
            <w:r>
              <w:rPr>
                <w:rFonts w:hint="eastAsia" w:ascii="宋体" w:hAnsi="宋体" w:eastAsia="宋体" w:cs="宋体"/>
                <w:color w:val="000000"/>
                <w:u w:val="none"/>
              </w:rPr>
              <w:t>FCZC2025-C2-210073-GXGL</w:t>
            </w:r>
            <w:r>
              <w:rPr>
                <w:rFonts w:hint="eastAsia" w:ascii="宋体" w:hAnsi="宋体" w:eastAsia="宋体" w:cs="宋体"/>
                <w:color w:val="000000"/>
                <w:u w:val="none"/>
              </w:rPr>
              <w:fldChar w:fldCharType="end"/>
            </w:r>
            <w:r>
              <w:rPr>
                <w:rFonts w:hint="eastAsia" w:ascii="宋体" w:hAnsi="宋体" w:cs="Arial"/>
                <w:b/>
                <w:bCs w:val="0"/>
                <w:color w:val="FF0000"/>
                <w:szCs w:val="21"/>
              </w:rPr>
              <w:t xml:space="preserve"> </w:t>
            </w:r>
          </w:p>
          <w:p w14:paraId="18A90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kern w:val="0"/>
                <w:szCs w:val="21"/>
              </w:rPr>
            </w:pPr>
            <w:r>
              <w:rPr>
                <w:rFonts w:hint="eastAsia" w:ascii="宋体" w:hAnsi="宋体" w:cs="Arial"/>
                <w:bCs/>
                <w:szCs w:val="21"/>
              </w:rPr>
              <w:t>工程范围：</w:t>
            </w:r>
            <w:r>
              <w:rPr>
                <w:rFonts w:hint="eastAsia"/>
                <w:color w:val="auto"/>
                <w:u w:val="none"/>
                <w:lang w:val="en-US" w:eastAsia="zh-CN"/>
              </w:rPr>
              <w:t>新建产业道路约</w:t>
            </w:r>
            <w:r>
              <w:rPr>
                <w:i w:val="0"/>
                <w:color w:val="000000"/>
                <w:u w:val="none"/>
              </w:rPr>
              <w:t>3公里，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资金来源及出资比例：</w:t>
            </w:r>
            <w:r>
              <w:rPr>
                <w:rFonts w:hint="eastAsia" w:ascii="宋体" w:hAnsi="宋体" w:cs="Arial"/>
                <w:bCs/>
                <w:szCs w:val="21"/>
                <w:lang w:eastAsia="zh-CN"/>
              </w:rPr>
              <w:t>财政</w:t>
            </w:r>
            <w:r>
              <w:rPr>
                <w:rFonts w:hint="eastAsia" w:ascii="宋体" w:hAnsi="宋体" w:cs="Arial"/>
                <w:bCs/>
                <w:szCs w:val="21"/>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要求工期：工期为</w:t>
            </w:r>
            <w:r>
              <w:rPr>
                <w:rFonts w:hint="eastAsia" w:ascii="宋体" w:hAnsi="宋体" w:cs="Arial"/>
                <w:b/>
                <w:bCs w:val="0"/>
                <w:color w:val="FF0000"/>
                <w:szCs w:val="21"/>
                <w:lang w:val="en-US" w:eastAsia="zh-CN"/>
              </w:rPr>
              <w:t>120</w:t>
            </w:r>
            <w:r>
              <w:rPr>
                <w:rFonts w:hint="eastAsia" w:ascii="宋体" w:hAnsi="宋体" w:cs="Arial"/>
                <w:bCs/>
                <w:szCs w:val="21"/>
              </w:rPr>
              <w:t>日历天；</w:t>
            </w:r>
          </w:p>
          <w:p w14:paraId="30A1E9C8">
            <w:pPr>
              <w:keepNext w:val="0"/>
              <w:keepLines w:val="0"/>
              <w:pageBreakBefore w:val="0"/>
              <w:widowControl w:val="0"/>
              <w:kinsoku/>
              <w:wordWrap/>
              <w:overflowPunct/>
              <w:topLinePunct w:val="0"/>
              <w:autoSpaceDE/>
              <w:autoSpaceDN/>
              <w:bidi w:val="0"/>
              <w:adjustRightInd/>
              <w:snapToGrid/>
              <w:spacing w:line="360" w:lineRule="auto"/>
              <w:textAlignment w:val="auto"/>
              <w:rPr>
                <w:highlight w:val="yellow"/>
              </w:rPr>
            </w:pPr>
            <w:r>
              <w:rPr>
                <w:rFonts w:hint="eastAsia" w:ascii="宋体" w:hAnsi="宋体" w:cs="Arial"/>
                <w:bCs/>
                <w:szCs w:val="21"/>
              </w:rPr>
              <w:t>质量要求：达到国家施工验收规范合格标准；</w:t>
            </w:r>
          </w:p>
          <w:p w14:paraId="58F1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1.1、工程量清单计价依据：</w:t>
            </w:r>
          </w:p>
          <w:p w14:paraId="7C0BD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本工程施工图设计预算编制依据：</w:t>
            </w:r>
          </w:p>
          <w:p w14:paraId="2D10DA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《公路工程建设项目概算预算编制办法》(JTG 3830-2018)（简称编制办法）；《公路工程预算定额》(JTG/T 3832-2018)；《公路工程机械台班费用定额》(JTG/T 3833-2018)；</w:t>
            </w:r>
          </w:p>
          <w:p w14:paraId="31F26A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《关于印发公路工程建设项目估算概算预算编制办法广西补充规定的通知》（桂交建管发[2019]39 号）（简称广西补充规定）。施工图设计计算的工程数量及确定的施工方案。《防城港市建设工程造价信息》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5</w:t>
            </w:r>
            <w:r>
              <w:rPr>
                <w:rFonts w:hint="eastAsia"/>
                <w:b/>
                <w:bCs/>
                <w:color w:val="FF0000"/>
                <w:highlight w:val="none"/>
              </w:rPr>
              <w:t>期</w:t>
            </w:r>
            <w:r>
              <w:rPr>
                <w:rFonts w:hint="eastAsia"/>
                <w:highlight w:val="none"/>
                <w:lang w:val="en-US" w:eastAsia="zh-CN"/>
              </w:rPr>
              <w:t>.</w:t>
            </w:r>
          </w:p>
          <w:p w14:paraId="0587F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主要材料按到工地价计算，材料价格按《防城港市建设工程造价信息》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5</w:t>
            </w:r>
            <w:r>
              <w:rPr>
                <w:rFonts w:hint="eastAsia"/>
                <w:b/>
                <w:bCs/>
                <w:color w:val="FF0000"/>
                <w:highlight w:val="none"/>
              </w:rPr>
              <w:t>期</w:t>
            </w:r>
            <w:r>
              <w:rPr>
                <w:rFonts w:hint="eastAsia"/>
                <w:highlight w:val="none"/>
              </w:rPr>
              <w:t>调整，对于《防城港市建设工程造价信息》没有的材料价格参考市场价</w:t>
            </w:r>
            <w:r>
              <w:rPr>
                <w:rFonts w:hint="eastAsia" w:ascii="宋体" w:hAnsi="宋体"/>
                <w:color w:val="000000"/>
                <w:szCs w:val="21"/>
                <w:highlight w:val="none"/>
                <w:lang w:val="en-US" w:eastAsia="zh-CN"/>
              </w:rPr>
              <w:t>确定</w:t>
            </w:r>
            <w:r>
              <w:rPr>
                <w:rFonts w:hint="eastAsia" w:ascii="宋体" w:hAnsi="宋体"/>
                <w:color w:val="000000"/>
                <w:szCs w:val="21"/>
                <w:highlight w:val="none"/>
              </w:rPr>
              <w:t>。</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w:t>
            </w:r>
          </w:p>
        </w:tc>
        <w:tc>
          <w:tcPr>
            <w:tcW w:w="1126" w:type="dxa"/>
            <w:noWrap w:val="0"/>
            <w:vAlign w:val="center"/>
          </w:tcPr>
          <w:p w14:paraId="2B4FFE03">
            <w:pPr>
              <w:spacing w:line="360" w:lineRule="auto"/>
              <w:jc w:val="center"/>
              <w:rPr>
                <w:rFonts w:hint="eastAsia" w:ascii="宋体" w:hAnsi="宋体"/>
                <w:color w:val="000000"/>
                <w:szCs w:val="21"/>
              </w:rPr>
            </w:pPr>
            <w:r>
              <w:rPr>
                <w:rFonts w:hint="eastAsia" w:ascii="宋体" w:hAnsi="宋体"/>
                <w:color w:val="000000"/>
                <w:szCs w:val="21"/>
              </w:rPr>
              <w:t>3.1</w:t>
            </w:r>
          </w:p>
        </w:tc>
        <w:tc>
          <w:tcPr>
            <w:tcW w:w="8010" w:type="dxa"/>
            <w:noWrap w:val="0"/>
            <w:vAlign w:val="center"/>
          </w:tcPr>
          <w:p w14:paraId="20764E47">
            <w:pPr>
              <w:snapToGrid w:val="0"/>
              <w:spacing w:line="360" w:lineRule="auto"/>
              <w:rPr>
                <w:rFonts w:hint="eastAsia" w:ascii="宋体" w:hAnsi="宋体"/>
                <w:color w:val="000000"/>
                <w:szCs w:val="21"/>
              </w:rPr>
            </w:pPr>
            <w:r>
              <w:rPr>
                <w:rFonts w:hint="eastAsia" w:ascii="宋体" w:hAnsi="宋体" w:cs="宋体"/>
                <w:bCs/>
                <w:szCs w:val="21"/>
              </w:rPr>
              <w:t>供应商的资格条件</w:t>
            </w:r>
            <w:r>
              <w:rPr>
                <w:rFonts w:hint="eastAsia" w:ascii="宋体" w:hAnsi="宋体" w:cs="Arial"/>
                <w:b/>
                <w:bCs/>
                <w:color w:val="000000"/>
                <w:szCs w:val="21"/>
              </w:rPr>
              <w:t>：</w:t>
            </w:r>
            <w:r>
              <w:rPr>
                <w:rFonts w:hint="eastAsia" w:ascii="宋体" w:hAnsi="宋体" w:cs="宋体"/>
                <w:szCs w:val="21"/>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3</w:t>
            </w:r>
          </w:p>
        </w:tc>
        <w:tc>
          <w:tcPr>
            <w:tcW w:w="1126" w:type="dxa"/>
            <w:noWrap w:val="0"/>
            <w:vAlign w:val="center"/>
          </w:tcPr>
          <w:p w14:paraId="2B7A629C">
            <w:pPr>
              <w:spacing w:line="360" w:lineRule="auto"/>
              <w:jc w:val="center"/>
              <w:rPr>
                <w:rFonts w:hint="eastAsia" w:ascii="宋体" w:hAnsi="宋体"/>
                <w:color w:val="000000"/>
                <w:szCs w:val="21"/>
              </w:rPr>
            </w:pPr>
            <w:r>
              <w:rPr>
                <w:rFonts w:hint="eastAsia" w:ascii="宋体" w:hAnsi="宋体"/>
                <w:color w:val="000000"/>
                <w:szCs w:val="21"/>
              </w:rPr>
              <w:t>4.2</w:t>
            </w:r>
          </w:p>
        </w:tc>
        <w:tc>
          <w:tcPr>
            <w:tcW w:w="8010" w:type="dxa"/>
            <w:noWrap w:val="0"/>
            <w:vAlign w:val="center"/>
          </w:tcPr>
          <w:p w14:paraId="7796694F">
            <w:pPr>
              <w:pStyle w:val="15"/>
              <w:snapToGrid w:val="0"/>
              <w:spacing w:line="320" w:lineRule="exact"/>
              <w:rPr>
                <w:rFonts w:hint="eastAsia" w:hAnsi="宋体" w:cs="宋体"/>
                <w:sz w:val="21"/>
              </w:rPr>
            </w:pPr>
            <w:r>
              <w:rPr>
                <w:rFonts w:hint="eastAsia" w:hAnsi="宋体" w:cs="宋体"/>
                <w:sz w:val="21"/>
              </w:rPr>
              <w:t>1.采购代理费收取方式：</w:t>
            </w:r>
          </w:p>
          <w:p w14:paraId="4E2190B8">
            <w:pPr>
              <w:pStyle w:val="15"/>
              <w:snapToGrid w:val="0"/>
              <w:spacing w:line="320" w:lineRule="exact"/>
              <w:ind w:firstLine="300" w:firstLineChars="150"/>
              <w:rPr>
                <w:rFonts w:hint="eastAsia" w:hAnsi="宋体" w:cs="宋体"/>
                <w:sz w:val="21"/>
              </w:rPr>
            </w:pPr>
            <w:r>
              <w:rPr>
                <w:rFonts w:hint="eastAsia" w:hAnsi="宋体" w:cs="宋体"/>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向采购代理机构支付。</w:t>
            </w:r>
          </w:p>
          <w:p w14:paraId="0A1FF718">
            <w:pPr>
              <w:pStyle w:val="15"/>
              <w:snapToGrid w:val="0"/>
              <w:spacing w:line="320" w:lineRule="exact"/>
              <w:ind w:firstLine="210" w:firstLineChars="100"/>
              <w:rPr>
                <w:rFonts w:hint="eastAsia" w:hAnsi="宋体" w:cs="宋体"/>
                <w:sz w:val="21"/>
              </w:rPr>
            </w:pPr>
            <w:r>
              <w:rPr>
                <w:rFonts w:hint="eastAsia" w:hAnsi="宋体" w:cs="宋体"/>
                <w:sz w:val="21"/>
              </w:rPr>
              <w:t>□采购人支付。</w:t>
            </w:r>
          </w:p>
          <w:p w14:paraId="19BBC5EA">
            <w:pPr>
              <w:pStyle w:val="15"/>
              <w:snapToGrid w:val="0"/>
              <w:spacing w:line="320" w:lineRule="exact"/>
              <w:rPr>
                <w:rFonts w:hint="eastAsia" w:hAnsi="宋体" w:cs="宋体"/>
                <w:sz w:val="21"/>
              </w:rPr>
            </w:pPr>
            <w:r>
              <w:rPr>
                <w:rFonts w:hint="eastAsia" w:hAnsi="宋体" w:cs="宋体"/>
                <w:sz w:val="21"/>
              </w:rPr>
              <w:t>2.采购代理费收取标准：</w:t>
            </w:r>
          </w:p>
          <w:p w14:paraId="43302298">
            <w:pPr>
              <w:pStyle w:val="27"/>
              <w:spacing w:line="420" w:lineRule="exact"/>
              <w:ind w:firstLine="210" w:firstLineChars="100"/>
              <w:jc w:val="both"/>
              <w:rPr>
                <w:rFonts w:hint="eastAsia" w:ascii="宋体" w:hAnsi="宋体"/>
                <w:color w:val="000000"/>
                <w:szCs w:val="21"/>
              </w:rPr>
            </w:pPr>
            <w:r>
              <w:rPr>
                <w:rFonts w:hint="eastAsia" w:hAnsi="宋体" w:cs="宋体"/>
              </w:rPr>
              <w:t>☑</w:t>
            </w:r>
            <w:r>
              <w:rPr>
                <w:rFonts w:hint="eastAsia"/>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4</w:t>
            </w:r>
          </w:p>
        </w:tc>
        <w:tc>
          <w:tcPr>
            <w:tcW w:w="1126" w:type="dxa"/>
            <w:noWrap w:val="0"/>
            <w:vAlign w:val="center"/>
          </w:tcPr>
          <w:p w14:paraId="22DD1E60">
            <w:pPr>
              <w:spacing w:line="360" w:lineRule="auto"/>
              <w:jc w:val="center"/>
              <w:rPr>
                <w:rFonts w:hint="eastAsia" w:ascii="宋体" w:hAnsi="宋体"/>
                <w:color w:val="000000"/>
                <w:szCs w:val="21"/>
              </w:rPr>
            </w:pPr>
            <w:r>
              <w:rPr>
                <w:rFonts w:hint="eastAsia" w:ascii="宋体" w:hAnsi="宋体"/>
                <w:color w:val="000000"/>
                <w:szCs w:val="21"/>
              </w:rPr>
              <w:t>7.1</w:t>
            </w:r>
          </w:p>
        </w:tc>
        <w:tc>
          <w:tcPr>
            <w:tcW w:w="8010" w:type="dxa"/>
            <w:noWrap w:val="0"/>
            <w:vAlign w:val="center"/>
          </w:tcPr>
          <w:p w14:paraId="6E51C175">
            <w:pPr>
              <w:spacing w:line="360" w:lineRule="auto"/>
              <w:rPr>
                <w:rFonts w:hint="eastAsia" w:ascii="宋体" w:hAnsi="宋体"/>
                <w:color w:val="000000"/>
                <w:szCs w:val="21"/>
              </w:rPr>
            </w:pPr>
            <w:r>
              <w:rPr>
                <w:rFonts w:hint="eastAsia" w:ascii="宋体" w:hAnsi="宋体"/>
                <w:color w:val="000000"/>
                <w:spacing w:val="4"/>
              </w:rPr>
              <w:t>现场踏勘：</w:t>
            </w:r>
            <w:r>
              <w:rPr>
                <w:rFonts w:hint="eastAsia" w:ascii="宋体" w:hAnsi="宋体"/>
                <w:color w:val="000000"/>
                <w:szCs w:val="21"/>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1"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5</w:t>
            </w:r>
          </w:p>
        </w:tc>
        <w:tc>
          <w:tcPr>
            <w:tcW w:w="1126" w:type="dxa"/>
            <w:noWrap w:val="0"/>
            <w:vAlign w:val="center"/>
          </w:tcPr>
          <w:p w14:paraId="5AD4A808">
            <w:pPr>
              <w:jc w:val="center"/>
              <w:rPr>
                <w:rFonts w:hint="eastAsia" w:ascii="宋体" w:hAnsi="宋体"/>
                <w:color w:val="000000"/>
                <w:spacing w:val="2"/>
                <w:szCs w:val="22"/>
              </w:rPr>
            </w:pPr>
            <w:r>
              <w:rPr>
                <w:rFonts w:hint="eastAsia" w:ascii="宋体" w:hAnsi="宋体"/>
                <w:color w:val="000000"/>
                <w:spacing w:val="2"/>
                <w:szCs w:val="22"/>
              </w:rPr>
              <w:t>付款方式</w:t>
            </w:r>
          </w:p>
        </w:tc>
        <w:tc>
          <w:tcPr>
            <w:tcW w:w="8010" w:type="dxa"/>
            <w:noWrap w:val="0"/>
            <w:vAlign w:val="center"/>
          </w:tcPr>
          <w:p w14:paraId="19CC6E51">
            <w:pPr>
              <w:pStyle w:val="5"/>
              <w:numPr>
                <w:ilvl w:val="3"/>
                <w:numId w:val="0"/>
              </w:numPr>
              <w:tabs>
                <w:tab w:val="left" w:pos="0"/>
              </w:tabs>
              <w:bidi w:val="0"/>
              <w:ind w:firstLine="482" w:firstLineChars="200"/>
              <w:rPr>
                <w:rFonts w:hint="eastAsia"/>
              </w:rPr>
            </w:pPr>
            <w:r>
              <w:rPr>
                <w:rFonts w:hint="eastAsia" w:ascii="宋体" w:hAnsi="宋体" w:eastAsia="宋体" w:cs="宋体"/>
                <w:b/>
                <w:bCs w:val="0"/>
              </w:rPr>
              <w:t>①签订合同后，材料进场且开始施工后支付合同总价款的30%为工程预付款；②甲方根据工程需要和工程进度情况，可支付至合同总价款的</w:t>
            </w:r>
            <w:r>
              <w:rPr>
                <w:rFonts w:hint="eastAsia" w:ascii="宋体" w:hAnsi="宋体" w:eastAsia="宋体" w:cs="宋体"/>
                <w:b/>
                <w:bCs w:val="0"/>
                <w:color w:val="FF0000"/>
                <w:lang w:val="en-US" w:eastAsia="zh-CN"/>
              </w:rPr>
              <w:t>80%</w:t>
            </w:r>
            <w:r>
              <w:rPr>
                <w:rFonts w:hint="eastAsia" w:ascii="宋体" w:hAnsi="宋体" w:eastAsia="宋体" w:cs="宋体"/>
                <w:b/>
                <w:bCs w:val="0"/>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ins w:id="0" w:author="让一切随风" w:date="2025-07-30T10:07:47Z">
              <w:r>
                <w:rPr>
                  <w:rFonts w:hint="eastAsia" w:ascii="宋体" w:hAnsi="宋体" w:eastAsia="宋体" w:cs="宋体"/>
                  <w:b/>
                  <w:bCs w:val="0"/>
                  <w:color w:val="FF0000"/>
                  <w:lang w:eastAsia="zh-CN"/>
                </w:rPr>
                <w:t>若</w:t>
              </w:r>
            </w:ins>
            <w:ins w:id="1" w:author="让一切随风" w:date="2025-07-30T10:08:56Z">
              <w:r>
                <w:rPr>
                  <w:rFonts w:hint="eastAsia" w:ascii="宋体" w:hAnsi="宋体" w:eastAsia="宋体" w:cs="宋体"/>
                  <w:b/>
                  <w:bCs w:val="0"/>
                  <w:color w:val="FF0000"/>
                  <w:lang w:eastAsia="zh-CN"/>
                </w:rPr>
                <w:t>乙方</w:t>
              </w:r>
            </w:ins>
            <w:ins w:id="2" w:author="让一切随风" w:date="2025-07-30T10:08:57Z">
              <w:r>
                <w:rPr>
                  <w:rFonts w:hint="eastAsia" w:ascii="宋体" w:hAnsi="宋体" w:eastAsia="宋体" w:cs="宋体"/>
                  <w:b/>
                  <w:bCs w:val="0"/>
                  <w:color w:val="FF0000"/>
                  <w:lang w:eastAsia="zh-CN"/>
                </w:rPr>
                <w:t>未</w:t>
              </w:r>
            </w:ins>
            <w:ins w:id="3" w:author="让一切随风" w:date="2025-07-30T10:08:58Z">
              <w:r>
                <w:rPr>
                  <w:rFonts w:hint="eastAsia" w:ascii="宋体" w:hAnsi="宋体" w:eastAsia="宋体" w:cs="宋体"/>
                  <w:b/>
                  <w:bCs w:val="0"/>
                  <w:color w:val="FF0000"/>
                  <w:lang w:eastAsia="zh-CN"/>
                </w:rPr>
                <w:t>向</w:t>
              </w:r>
            </w:ins>
            <w:ins w:id="4" w:author="让一切随风" w:date="2025-07-30T10:09:13Z">
              <w:r>
                <w:rPr>
                  <w:rFonts w:hint="eastAsia" w:ascii="宋体" w:hAnsi="宋体" w:eastAsia="宋体" w:cs="宋体"/>
                  <w:b/>
                  <w:bCs w:val="0"/>
                  <w:color w:val="FF0000"/>
                  <w:lang w:eastAsia="zh-CN"/>
                </w:rPr>
                <w:t>甲方</w:t>
              </w:r>
            </w:ins>
            <w:ins w:id="5" w:author="让一切随风" w:date="2025-07-30T10:09:26Z">
              <w:r>
                <w:rPr>
                  <w:rFonts w:hint="eastAsia" w:ascii="宋体" w:hAnsi="宋体" w:eastAsia="宋体" w:cs="宋体"/>
                  <w:b/>
                  <w:bCs w:val="0"/>
                  <w:color w:val="FF0000"/>
                  <w:lang w:eastAsia="zh-CN"/>
                </w:rPr>
                <w:t>缴纳</w:t>
              </w:r>
            </w:ins>
            <w:ins w:id="6" w:author="让一切随风" w:date="2025-07-30T10:09:33Z">
              <w:r>
                <w:rPr>
                  <w:rFonts w:hint="eastAsia" w:ascii="宋体" w:hAnsi="宋体" w:eastAsia="宋体" w:cs="宋体"/>
                  <w:b/>
                  <w:bCs w:val="0"/>
                  <w:color w:val="FF0000"/>
                  <w:lang w:eastAsia="zh-CN"/>
                </w:rPr>
                <w:t>结算</w:t>
              </w:r>
            </w:ins>
            <w:ins w:id="7" w:author="让一切随风" w:date="2025-07-30T10:09:35Z">
              <w:r>
                <w:rPr>
                  <w:rFonts w:hint="eastAsia" w:ascii="宋体" w:hAnsi="宋体" w:eastAsia="宋体" w:cs="宋体"/>
                  <w:b/>
                  <w:bCs w:val="0"/>
                  <w:color w:val="FF0000"/>
                  <w:lang w:eastAsia="zh-CN"/>
                </w:rPr>
                <w:t>审计（</w:t>
              </w:r>
            </w:ins>
            <w:ins w:id="8" w:author="让一切随风" w:date="2025-07-30T10:09:38Z">
              <w:r>
                <w:rPr>
                  <w:rFonts w:hint="eastAsia" w:ascii="宋体" w:hAnsi="宋体" w:eastAsia="宋体" w:cs="宋体"/>
                  <w:b/>
                  <w:bCs w:val="0"/>
                  <w:color w:val="FF0000"/>
                  <w:lang w:eastAsia="zh-CN"/>
                </w:rPr>
                <w:t>审核、</w:t>
              </w:r>
            </w:ins>
            <w:ins w:id="9" w:author="让一切随风" w:date="2025-07-30T10:09:40Z">
              <w:r>
                <w:rPr>
                  <w:rFonts w:hint="eastAsia" w:ascii="宋体" w:hAnsi="宋体" w:eastAsia="宋体" w:cs="宋体"/>
                  <w:b/>
                  <w:bCs w:val="0"/>
                  <w:color w:val="FF0000"/>
                  <w:lang w:eastAsia="zh-CN"/>
                </w:rPr>
                <w:t>评审</w:t>
              </w:r>
            </w:ins>
            <w:ins w:id="10" w:author="让一切随风" w:date="2025-07-30T10:09:35Z">
              <w:r>
                <w:rPr>
                  <w:rFonts w:hint="eastAsia" w:ascii="宋体" w:hAnsi="宋体" w:eastAsia="宋体" w:cs="宋体"/>
                  <w:b/>
                  <w:bCs w:val="0"/>
                  <w:color w:val="FF0000"/>
                  <w:lang w:eastAsia="zh-CN"/>
                </w:rPr>
                <w:t>）</w:t>
              </w:r>
            </w:ins>
            <w:ins w:id="11" w:author="让一切随风" w:date="2025-07-30T10:09:46Z">
              <w:r>
                <w:rPr>
                  <w:rFonts w:hint="eastAsia" w:ascii="宋体" w:hAnsi="宋体" w:eastAsia="宋体" w:cs="宋体"/>
                  <w:b/>
                  <w:bCs w:val="0"/>
                  <w:color w:val="FF0000"/>
                  <w:lang w:eastAsia="zh-CN"/>
                </w:rPr>
                <w:t>价款</w:t>
              </w:r>
            </w:ins>
            <w:ins w:id="12" w:author="让一切随风" w:date="2025-07-30T10:09:46Z">
              <w:r>
                <w:rPr>
                  <w:rFonts w:hint="eastAsia" w:ascii="宋体" w:hAnsi="宋体" w:eastAsia="宋体" w:cs="宋体"/>
                  <w:b/>
                  <w:bCs w:val="0"/>
                  <w:color w:val="FF0000"/>
                  <w:lang w:val="en-US" w:eastAsia="zh-CN"/>
                </w:rPr>
                <w:t>3</w:t>
              </w:r>
            </w:ins>
            <w:ins w:id="13" w:author="让一切随风" w:date="2025-07-30T10:09:47Z">
              <w:r>
                <w:rPr>
                  <w:rFonts w:hint="eastAsia" w:ascii="宋体" w:hAnsi="宋体" w:eastAsia="宋体" w:cs="宋体"/>
                  <w:b/>
                  <w:bCs w:val="0"/>
                  <w:color w:val="FF0000"/>
                  <w:lang w:val="en-US" w:eastAsia="zh-CN"/>
                </w:rPr>
                <w:t>%</w:t>
              </w:r>
            </w:ins>
            <w:ins w:id="14" w:author="让一切随风" w:date="2025-07-30T10:09:55Z">
              <w:r>
                <w:rPr>
                  <w:rFonts w:hint="eastAsia" w:ascii="宋体" w:hAnsi="宋体" w:eastAsia="宋体" w:cs="宋体"/>
                  <w:b/>
                  <w:bCs w:val="0"/>
                  <w:color w:val="FF0000"/>
                  <w:lang w:val="en-US" w:eastAsia="zh-CN"/>
                </w:rPr>
                <w:t>的</w:t>
              </w:r>
            </w:ins>
            <w:ins w:id="15" w:author="让一切随风" w:date="2025-07-30T10:09:58Z">
              <w:r>
                <w:rPr>
                  <w:rFonts w:hint="eastAsia" w:ascii="宋体" w:hAnsi="宋体" w:eastAsia="宋体" w:cs="宋体"/>
                  <w:b/>
                  <w:bCs w:val="0"/>
                  <w:color w:val="FF0000"/>
                  <w:lang w:val="en-US" w:eastAsia="zh-CN"/>
                </w:rPr>
                <w:t>工</w:t>
              </w:r>
            </w:ins>
            <w:ins w:id="16" w:author="让一切随风" w:date="2025-07-30T10:09:59Z">
              <w:r>
                <w:rPr>
                  <w:rFonts w:hint="eastAsia" w:ascii="宋体" w:hAnsi="宋体" w:eastAsia="宋体" w:cs="宋体"/>
                  <w:b/>
                  <w:bCs w:val="0"/>
                  <w:color w:val="FF0000"/>
                  <w:lang w:val="en-US" w:eastAsia="zh-CN"/>
                </w:rPr>
                <w:t>程款</w:t>
              </w:r>
            </w:ins>
            <w:ins w:id="17" w:author="让一切随风" w:date="2025-07-30T10:10:00Z">
              <w:r>
                <w:rPr>
                  <w:rFonts w:hint="eastAsia" w:ascii="宋体" w:hAnsi="宋体" w:eastAsia="宋体" w:cs="宋体"/>
                  <w:b/>
                  <w:bCs w:val="0"/>
                  <w:color w:val="FF0000"/>
                  <w:lang w:val="en-US" w:eastAsia="zh-CN"/>
                </w:rPr>
                <w:t>作为</w:t>
              </w:r>
            </w:ins>
            <w:ins w:id="18" w:author="让一切随风" w:date="2025-07-30T10:10:13Z">
              <w:r>
                <w:rPr>
                  <w:rFonts w:hint="eastAsia" w:ascii="宋体" w:hAnsi="宋体" w:eastAsia="宋体" w:cs="宋体"/>
                  <w:b/>
                  <w:bCs w:val="0"/>
                  <w:color w:val="FF0000"/>
                  <w:lang w:val="en-US" w:eastAsia="zh-CN"/>
                </w:rPr>
                <w:t>工程</w:t>
              </w:r>
            </w:ins>
            <w:ins w:id="19" w:author="让一切随风" w:date="2025-07-30T10:10:21Z">
              <w:r>
                <w:rPr>
                  <w:rFonts w:hint="eastAsia" w:ascii="宋体" w:hAnsi="宋体" w:eastAsia="宋体" w:cs="宋体"/>
                  <w:b/>
                  <w:bCs w:val="0"/>
                  <w:color w:val="FF0000"/>
                  <w:lang w:val="en-US" w:eastAsia="zh-CN"/>
                </w:rPr>
                <w:t>质量</w:t>
              </w:r>
            </w:ins>
            <w:ins w:id="20" w:author="让一切随风" w:date="2025-07-30T10:10:22Z">
              <w:r>
                <w:rPr>
                  <w:rFonts w:hint="eastAsia" w:ascii="宋体" w:hAnsi="宋体" w:eastAsia="宋体" w:cs="宋体"/>
                  <w:b/>
                  <w:bCs w:val="0"/>
                  <w:color w:val="FF0000"/>
                  <w:lang w:val="en-US" w:eastAsia="zh-CN"/>
                </w:rPr>
                <w:t>保证金</w:t>
              </w:r>
            </w:ins>
            <w:ins w:id="21" w:author="让一切随风" w:date="2025-07-30T10:10:23Z">
              <w:r>
                <w:rPr>
                  <w:rFonts w:hint="eastAsia" w:ascii="宋体" w:hAnsi="宋体" w:eastAsia="宋体" w:cs="宋体"/>
                  <w:b/>
                  <w:bCs w:val="0"/>
                  <w:color w:val="FF0000"/>
                  <w:lang w:val="en-US" w:eastAsia="zh-CN"/>
                </w:rPr>
                <w:t>，</w:t>
              </w:r>
            </w:ins>
            <w:ins w:id="22" w:author="让一切随风" w:date="2025-07-30T10:10:25Z">
              <w:r>
                <w:rPr>
                  <w:rFonts w:hint="eastAsia" w:ascii="宋体" w:hAnsi="宋体" w:eastAsia="宋体" w:cs="宋体"/>
                  <w:b/>
                  <w:bCs w:val="0"/>
                  <w:color w:val="FF0000"/>
                  <w:lang w:val="en-US" w:eastAsia="zh-CN"/>
                </w:rPr>
                <w:t>则</w:t>
              </w:r>
            </w:ins>
            <w:ins w:id="23" w:author="让一切随风" w:date="2025-07-30T10:10:27Z">
              <w:r>
                <w:rPr>
                  <w:rFonts w:hint="eastAsia" w:ascii="宋体" w:hAnsi="宋体" w:eastAsia="宋体" w:cs="宋体"/>
                  <w:b/>
                  <w:bCs w:val="0"/>
                  <w:color w:val="FF0000"/>
                  <w:lang w:val="en-US" w:eastAsia="zh-CN"/>
                </w:rPr>
                <w:t>甲方</w:t>
              </w:r>
            </w:ins>
            <w:ins w:id="24" w:author="让一切随风" w:date="2025-07-30T10:10:30Z">
              <w:r>
                <w:rPr>
                  <w:rFonts w:hint="eastAsia" w:ascii="宋体" w:hAnsi="宋体" w:eastAsia="宋体" w:cs="宋体"/>
                  <w:b/>
                  <w:bCs w:val="0"/>
                  <w:color w:val="FF0000"/>
                  <w:lang w:val="en-US" w:eastAsia="zh-CN"/>
                </w:rPr>
                <w:t>向</w:t>
              </w:r>
            </w:ins>
            <w:ins w:id="25" w:author="让一切随风" w:date="2025-07-30T10:10:31Z">
              <w:r>
                <w:rPr>
                  <w:rFonts w:hint="eastAsia" w:ascii="宋体" w:hAnsi="宋体" w:eastAsia="宋体" w:cs="宋体"/>
                  <w:b/>
                  <w:bCs w:val="0"/>
                  <w:color w:val="FF0000"/>
                  <w:lang w:val="en-US" w:eastAsia="zh-CN"/>
                </w:rPr>
                <w:t>乙方</w:t>
              </w:r>
            </w:ins>
            <w:ins w:id="26" w:author="让一切随风" w:date="2025-07-30T10:10:32Z">
              <w:r>
                <w:rPr>
                  <w:rFonts w:hint="eastAsia" w:ascii="宋体" w:hAnsi="宋体" w:eastAsia="宋体" w:cs="宋体"/>
                  <w:b/>
                  <w:bCs w:val="0"/>
                  <w:color w:val="FF0000"/>
                  <w:lang w:val="en-US" w:eastAsia="zh-CN"/>
                </w:rPr>
                <w:t>支付</w:t>
              </w:r>
            </w:ins>
            <w:ins w:id="27" w:author="让一切随风" w:date="2025-07-30T10:10:34Z">
              <w:r>
                <w:rPr>
                  <w:rFonts w:hint="eastAsia" w:ascii="宋体" w:hAnsi="宋体" w:eastAsia="宋体" w:cs="宋体"/>
                  <w:b/>
                  <w:bCs w:val="0"/>
                  <w:color w:val="FF0000"/>
                  <w:lang w:val="en-US" w:eastAsia="zh-CN"/>
                </w:rPr>
                <w:t>至</w:t>
              </w:r>
            </w:ins>
            <w:ins w:id="28" w:author="让一切随风" w:date="2025-07-30T10:10:35Z">
              <w:r>
                <w:rPr>
                  <w:rFonts w:hint="eastAsia" w:ascii="宋体" w:hAnsi="宋体" w:eastAsia="宋体" w:cs="宋体"/>
                  <w:b/>
                  <w:bCs w:val="0"/>
                  <w:color w:val="FF0000"/>
                  <w:lang w:val="en-US" w:eastAsia="zh-CN"/>
                </w:rPr>
                <w:t>结算</w:t>
              </w:r>
            </w:ins>
            <w:ins w:id="29" w:author="让一切随风" w:date="2025-07-30T10:10:39Z">
              <w:r>
                <w:rPr>
                  <w:rFonts w:hint="eastAsia" w:ascii="宋体" w:hAnsi="宋体" w:eastAsia="宋体" w:cs="宋体"/>
                  <w:b/>
                  <w:bCs w:val="0"/>
                  <w:color w:val="FF0000"/>
                  <w:lang w:val="en-US" w:eastAsia="zh-CN"/>
                </w:rPr>
                <w:t>审计</w:t>
              </w:r>
            </w:ins>
            <w:ins w:id="30" w:author="让一切随风" w:date="2025-07-30T10:10:40Z">
              <w:r>
                <w:rPr>
                  <w:rFonts w:hint="eastAsia" w:ascii="宋体" w:hAnsi="宋体" w:eastAsia="宋体" w:cs="宋体"/>
                  <w:b/>
                  <w:bCs w:val="0"/>
                  <w:color w:val="FF0000"/>
                  <w:lang w:val="en-US" w:eastAsia="zh-CN"/>
                </w:rPr>
                <w:t>（</w:t>
              </w:r>
            </w:ins>
            <w:ins w:id="31" w:author="让一切随风" w:date="2025-07-30T10:10:42Z">
              <w:r>
                <w:rPr>
                  <w:rFonts w:hint="eastAsia" w:ascii="宋体" w:hAnsi="宋体" w:eastAsia="宋体" w:cs="宋体"/>
                  <w:b/>
                  <w:bCs w:val="0"/>
                  <w:color w:val="FF0000"/>
                  <w:lang w:val="en-US" w:eastAsia="zh-CN"/>
                </w:rPr>
                <w:t>审核、</w:t>
              </w:r>
            </w:ins>
            <w:ins w:id="32" w:author="让一切随风" w:date="2025-07-30T10:10:45Z">
              <w:r>
                <w:rPr>
                  <w:rFonts w:hint="eastAsia" w:ascii="宋体" w:hAnsi="宋体" w:eastAsia="宋体" w:cs="宋体"/>
                  <w:b/>
                  <w:bCs w:val="0"/>
                  <w:color w:val="FF0000"/>
                  <w:lang w:val="en-US" w:eastAsia="zh-CN"/>
                </w:rPr>
                <w:t>评审</w:t>
              </w:r>
            </w:ins>
            <w:ins w:id="33" w:author="让一切随风" w:date="2025-07-30T10:10:40Z">
              <w:r>
                <w:rPr>
                  <w:rFonts w:hint="eastAsia" w:ascii="宋体" w:hAnsi="宋体" w:eastAsia="宋体" w:cs="宋体"/>
                  <w:b/>
                  <w:bCs w:val="0"/>
                  <w:color w:val="FF0000"/>
                  <w:lang w:val="en-US" w:eastAsia="zh-CN"/>
                </w:rPr>
                <w:t>）</w:t>
              </w:r>
            </w:ins>
            <w:ins w:id="34" w:author="让一切随风" w:date="2025-07-30T10:11:06Z">
              <w:r>
                <w:rPr>
                  <w:rFonts w:hint="eastAsia" w:ascii="宋体" w:hAnsi="宋体" w:eastAsia="宋体" w:cs="宋体"/>
                  <w:b/>
                  <w:bCs w:val="0"/>
                  <w:color w:val="FF0000"/>
                  <w:lang w:val="en-US" w:eastAsia="zh-CN"/>
                </w:rPr>
                <w:t>价款</w:t>
              </w:r>
            </w:ins>
            <w:ins w:id="35" w:author="让一切随风" w:date="2025-07-30T10:11:07Z">
              <w:r>
                <w:rPr>
                  <w:rFonts w:hint="eastAsia" w:ascii="宋体" w:hAnsi="宋体" w:eastAsia="宋体" w:cs="宋体"/>
                  <w:b/>
                  <w:bCs w:val="0"/>
                  <w:color w:val="FF0000"/>
                  <w:lang w:val="en-US" w:eastAsia="zh-CN"/>
                </w:rPr>
                <w:t>的</w:t>
              </w:r>
            </w:ins>
            <w:ins w:id="36" w:author="让一切随风" w:date="2025-07-30T10:11:08Z">
              <w:r>
                <w:rPr>
                  <w:rFonts w:hint="eastAsia" w:ascii="宋体" w:hAnsi="宋体" w:eastAsia="宋体" w:cs="宋体"/>
                  <w:b/>
                  <w:bCs w:val="0"/>
                  <w:color w:val="FF0000"/>
                  <w:lang w:val="en-US" w:eastAsia="zh-CN"/>
                </w:rPr>
                <w:t>9</w:t>
              </w:r>
            </w:ins>
            <w:ins w:id="37" w:author="让一切随风" w:date="2025-07-30T10:11:09Z">
              <w:r>
                <w:rPr>
                  <w:rFonts w:hint="eastAsia" w:ascii="宋体" w:hAnsi="宋体" w:eastAsia="宋体" w:cs="宋体"/>
                  <w:b/>
                  <w:bCs w:val="0"/>
                  <w:color w:val="FF0000"/>
                  <w:lang w:val="en-US" w:eastAsia="zh-CN"/>
                </w:rPr>
                <w:t>7</w:t>
              </w:r>
            </w:ins>
            <w:ins w:id="38" w:author="让一切随风" w:date="2025-07-30T10:11:13Z">
              <w:r>
                <w:rPr>
                  <w:rFonts w:hint="eastAsia" w:ascii="宋体" w:hAnsi="宋体" w:eastAsia="宋体" w:cs="宋体"/>
                  <w:b/>
                  <w:bCs w:val="0"/>
                  <w:color w:val="FF0000"/>
                  <w:lang w:val="en-US" w:eastAsia="zh-CN"/>
                </w:rPr>
                <w:t>%</w:t>
              </w:r>
            </w:ins>
            <w:ins w:id="39" w:author="让一切随风" w:date="2025-07-30T10:15:48Z">
              <w:r>
                <w:rPr>
                  <w:rFonts w:hint="eastAsia" w:ascii="宋体" w:hAnsi="宋体" w:eastAsia="宋体" w:cs="宋体"/>
                  <w:b/>
                  <w:bCs w:val="0"/>
                  <w:color w:val="FF0000"/>
                  <w:lang w:val="en-US" w:eastAsia="zh-CN"/>
                </w:rPr>
                <w:t>作为</w:t>
              </w:r>
            </w:ins>
            <w:ins w:id="40" w:author="让一切随风" w:date="2025-07-30T10:11:16Z">
              <w:r>
                <w:rPr>
                  <w:rFonts w:hint="eastAsia" w:ascii="宋体" w:hAnsi="宋体" w:eastAsia="宋体" w:cs="宋体"/>
                  <w:b/>
                  <w:bCs w:val="0"/>
                  <w:color w:val="FF0000"/>
                  <w:lang w:val="en-US" w:eastAsia="zh-CN"/>
                </w:rPr>
                <w:t>工程款</w:t>
              </w:r>
            </w:ins>
            <w:ins w:id="41" w:author="让一切随风" w:date="2025-07-30T10:15:52Z">
              <w:r>
                <w:rPr>
                  <w:rFonts w:hint="eastAsia" w:ascii="宋体" w:hAnsi="宋体" w:eastAsia="宋体" w:cs="宋体"/>
                  <w:b/>
                  <w:bCs w:val="0"/>
                  <w:color w:val="FF0000"/>
                  <w:lang w:val="en-US" w:eastAsia="zh-CN"/>
                </w:rPr>
                <w:t>，</w:t>
              </w:r>
            </w:ins>
            <w:ins w:id="42" w:author="让一切随风" w:date="2025-07-30T10:15:53Z">
              <w:r>
                <w:rPr>
                  <w:rFonts w:hint="eastAsia" w:ascii="宋体" w:hAnsi="宋体" w:eastAsia="宋体" w:cs="宋体"/>
                  <w:b/>
                  <w:bCs w:val="0"/>
                  <w:color w:val="FF0000"/>
                  <w:lang w:val="en-US" w:eastAsia="zh-CN"/>
                </w:rPr>
                <w:t>余下</w:t>
              </w:r>
            </w:ins>
            <w:ins w:id="43" w:author="让一切随风" w:date="2025-07-30T10:15:54Z">
              <w:r>
                <w:rPr>
                  <w:rFonts w:hint="eastAsia" w:ascii="宋体" w:hAnsi="宋体" w:eastAsia="宋体" w:cs="宋体"/>
                  <w:b/>
                  <w:bCs w:val="0"/>
                  <w:color w:val="FF0000"/>
                  <w:lang w:val="en-US" w:eastAsia="zh-CN"/>
                </w:rPr>
                <w:t>3</w:t>
              </w:r>
            </w:ins>
            <w:ins w:id="44" w:author="让一切随风" w:date="2025-07-30T10:15:55Z">
              <w:r>
                <w:rPr>
                  <w:rFonts w:hint="eastAsia" w:ascii="宋体" w:hAnsi="宋体" w:eastAsia="宋体" w:cs="宋体"/>
                  <w:b/>
                  <w:bCs w:val="0"/>
                  <w:color w:val="FF0000"/>
                  <w:lang w:val="en-US" w:eastAsia="zh-CN"/>
                </w:rPr>
                <w:t>%</w:t>
              </w:r>
            </w:ins>
            <w:ins w:id="45" w:author="让一切随风" w:date="2025-07-30T10:16:04Z">
              <w:r>
                <w:rPr>
                  <w:rFonts w:hint="eastAsia" w:ascii="宋体" w:hAnsi="宋体" w:eastAsia="宋体" w:cs="宋体"/>
                  <w:b/>
                  <w:bCs w:val="0"/>
                  <w:color w:val="FF0000"/>
                  <w:lang w:val="en-US" w:eastAsia="zh-CN"/>
                </w:rPr>
                <w:t>作为</w:t>
              </w:r>
            </w:ins>
            <w:ins w:id="46" w:author="让一切随风" w:date="2025-07-30T10:16:05Z">
              <w:r>
                <w:rPr>
                  <w:rFonts w:hint="eastAsia" w:ascii="宋体" w:hAnsi="宋体" w:eastAsia="宋体" w:cs="宋体"/>
                  <w:b/>
                  <w:bCs w:val="0"/>
                  <w:color w:val="FF0000"/>
                  <w:lang w:val="en-US" w:eastAsia="zh-CN"/>
                </w:rPr>
                <w:t>工程</w:t>
              </w:r>
            </w:ins>
            <w:ins w:id="47" w:author="让一切随风" w:date="2025-07-30T10:16:07Z">
              <w:r>
                <w:rPr>
                  <w:rFonts w:hint="eastAsia" w:ascii="宋体" w:hAnsi="宋体" w:eastAsia="宋体" w:cs="宋体"/>
                  <w:b/>
                  <w:bCs w:val="0"/>
                  <w:color w:val="FF0000"/>
                  <w:lang w:val="en-US" w:eastAsia="zh-CN"/>
                </w:rPr>
                <w:t>质量</w:t>
              </w:r>
            </w:ins>
            <w:ins w:id="48" w:author="让一切随风" w:date="2025-07-30T10:16:08Z">
              <w:r>
                <w:rPr>
                  <w:rFonts w:hint="eastAsia" w:ascii="宋体" w:hAnsi="宋体" w:eastAsia="宋体" w:cs="宋体"/>
                  <w:b/>
                  <w:bCs w:val="0"/>
                  <w:color w:val="FF0000"/>
                  <w:lang w:val="en-US" w:eastAsia="zh-CN"/>
                </w:rPr>
                <w:t>保证金</w:t>
              </w:r>
            </w:ins>
            <w:r>
              <w:rPr>
                <w:rFonts w:hint="eastAsia" w:ascii="宋体" w:hAnsi="宋体" w:eastAsia="宋体" w:cs="宋体"/>
                <w:b/>
                <w:bCs w:val="0"/>
              </w:rPr>
              <w:t>⑤3%工程质量保证金，待工程质量保修期满后返还。本工程质量保质期为1年。在工程质量保质期内，若存在质量缺陷的，由乙方负责保修，费用由乙方负责，工程质量保质期从甲方验收合格后开始计算。</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6</w:t>
            </w:r>
          </w:p>
        </w:tc>
        <w:tc>
          <w:tcPr>
            <w:tcW w:w="1126" w:type="dxa"/>
            <w:noWrap w:val="0"/>
            <w:vAlign w:val="center"/>
          </w:tcPr>
          <w:p w14:paraId="47AF7812">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7CAE70C4">
            <w:pPr>
              <w:spacing w:line="360" w:lineRule="auto"/>
              <w:rPr>
                <w:rFonts w:hint="eastAsia" w:ascii="宋体" w:hAnsi="宋体"/>
                <w:color w:val="000000"/>
                <w:szCs w:val="21"/>
              </w:rPr>
            </w:pPr>
            <w:r>
              <w:rPr>
                <w:rFonts w:hint="eastAsia" w:ascii="宋体" w:hAnsi="宋体"/>
                <w:color w:val="000000"/>
                <w:szCs w:val="21"/>
              </w:rPr>
              <w:t>响应文件有效期：</w:t>
            </w:r>
            <w:r>
              <w:rPr>
                <w:rFonts w:hint="eastAsia" w:ascii="宋体" w:hAnsi="宋体"/>
                <w:color w:val="000000"/>
                <w:spacing w:val="1"/>
                <w:szCs w:val="22"/>
              </w:rPr>
              <w:t>响应文件递交截止日期后</w:t>
            </w:r>
            <w:r>
              <w:rPr>
                <w:rFonts w:hint="eastAsia"/>
                <w:color w:val="000000"/>
                <w:szCs w:val="21"/>
                <w:u w:val="single"/>
              </w:rPr>
              <w:t xml:space="preserve"> </w:t>
            </w:r>
            <w:r>
              <w:rPr>
                <w:rFonts w:hint="eastAsia" w:ascii="宋体" w:hAnsi="宋体"/>
                <w:color w:val="000000"/>
                <w:spacing w:val="1"/>
                <w:u w:val="single"/>
              </w:rPr>
              <w:t>6</w:t>
            </w:r>
            <w:r>
              <w:rPr>
                <w:rFonts w:hint="eastAsia" w:ascii="宋体" w:hAnsi="宋体"/>
                <w:color w:val="000000"/>
                <w:u w:val="single"/>
              </w:rPr>
              <w:t>0</w:t>
            </w:r>
            <w:r>
              <w:rPr>
                <w:rFonts w:hint="eastAsia" w:ascii="宋体" w:hAnsi="宋体"/>
                <w:color w:val="000000"/>
                <w:spacing w:val="-71"/>
                <w:u w:val="single"/>
              </w:rPr>
              <w:t xml:space="preserve"> </w:t>
            </w:r>
            <w:r>
              <w:rPr>
                <w:rFonts w:hint="eastAsia" w:ascii="宋体" w:hAnsi="宋体"/>
                <w:color w:val="000000"/>
                <w:spacing w:val="4"/>
              </w:rPr>
              <w:t>天（日</w:t>
            </w:r>
            <w:r>
              <w:rPr>
                <w:rFonts w:hint="eastAsia" w:ascii="宋体" w:hAnsi="宋体"/>
                <w:color w:val="000000"/>
                <w:spacing w:val="7"/>
              </w:rPr>
              <w:t>历</w:t>
            </w:r>
            <w:r>
              <w:rPr>
                <w:rFonts w:hint="eastAsia" w:ascii="宋体" w:hAnsi="宋体"/>
                <w:color w:val="000000"/>
                <w:spacing w:val="4"/>
              </w:rPr>
              <w:t>天</w:t>
            </w:r>
            <w:r>
              <w:rPr>
                <w:rFonts w:hint="eastAsia" w:ascii="宋体" w:hAnsi="宋体"/>
                <w:color w:val="000000"/>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7</w:t>
            </w:r>
          </w:p>
        </w:tc>
        <w:tc>
          <w:tcPr>
            <w:tcW w:w="1126" w:type="dxa"/>
            <w:noWrap w:val="0"/>
            <w:vAlign w:val="center"/>
          </w:tcPr>
          <w:p w14:paraId="65336CF9">
            <w:pPr>
              <w:spacing w:line="360" w:lineRule="auto"/>
              <w:jc w:val="center"/>
              <w:rPr>
                <w:rFonts w:hint="eastAsia" w:ascii="宋体" w:hAnsi="宋体"/>
                <w:color w:val="000000"/>
                <w:szCs w:val="21"/>
              </w:rPr>
            </w:pPr>
            <w:r>
              <w:rPr>
                <w:rFonts w:hint="eastAsia" w:ascii="宋体" w:hAnsi="宋体"/>
                <w:color w:val="000000"/>
                <w:szCs w:val="21"/>
              </w:rPr>
              <w:t>12</w:t>
            </w:r>
          </w:p>
        </w:tc>
        <w:tc>
          <w:tcPr>
            <w:tcW w:w="8010" w:type="dxa"/>
            <w:noWrap w:val="0"/>
            <w:vAlign w:val="center"/>
          </w:tcPr>
          <w:p w14:paraId="5FC1DEB0">
            <w:pPr>
              <w:snapToGrid w:val="0"/>
              <w:spacing w:line="360" w:lineRule="auto"/>
              <w:rPr>
                <w:rFonts w:hint="eastAsia" w:ascii="宋体" w:hAnsi="宋体"/>
                <w:color w:val="000000"/>
                <w:szCs w:val="21"/>
              </w:rPr>
            </w:pPr>
            <w:r>
              <w:rPr>
                <w:rFonts w:hint="eastAsia" w:ascii="宋体" w:hAnsi="宋体"/>
                <w:color w:val="000000"/>
                <w:szCs w:val="21"/>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8</w:t>
            </w:r>
          </w:p>
        </w:tc>
        <w:tc>
          <w:tcPr>
            <w:tcW w:w="1126" w:type="dxa"/>
            <w:noWrap w:val="0"/>
            <w:vAlign w:val="center"/>
          </w:tcPr>
          <w:p w14:paraId="6A06FEB6">
            <w:pPr>
              <w:spacing w:line="360" w:lineRule="auto"/>
              <w:jc w:val="center"/>
              <w:rPr>
                <w:rFonts w:hint="eastAsia" w:ascii="宋体" w:hAnsi="宋体"/>
                <w:color w:val="000000"/>
                <w:szCs w:val="21"/>
              </w:rPr>
            </w:pPr>
            <w:r>
              <w:rPr>
                <w:rFonts w:hint="eastAsia" w:ascii="宋体" w:hAnsi="宋体"/>
                <w:color w:val="000000"/>
                <w:szCs w:val="21"/>
              </w:rPr>
              <w:t>13.1</w:t>
            </w:r>
          </w:p>
        </w:tc>
        <w:tc>
          <w:tcPr>
            <w:tcW w:w="8010" w:type="dxa"/>
            <w:noWrap w:val="0"/>
            <w:vAlign w:val="center"/>
          </w:tcPr>
          <w:p w14:paraId="0BC2B56A">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磋商报价：</w:t>
            </w:r>
          </w:p>
          <w:p w14:paraId="57E4DFA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（2）本项目采用工程量清单报价方式,</w:t>
            </w:r>
            <w:r>
              <w:rPr>
                <w:rFonts w:hint="eastAsia"/>
                <w:color w:val="000000"/>
                <w:szCs w:val="21"/>
              </w:rPr>
              <w:t xml:space="preserve"> </w:t>
            </w:r>
            <w:r>
              <w:rPr>
                <w:rFonts w:hint="eastAsia" w:ascii="宋体" w:hAnsi="宋体"/>
                <w:color w:val="000000"/>
                <w:szCs w:val="21"/>
              </w:rPr>
              <w:t>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9</w:t>
            </w:r>
          </w:p>
        </w:tc>
        <w:tc>
          <w:tcPr>
            <w:tcW w:w="1126" w:type="dxa"/>
            <w:noWrap w:val="0"/>
            <w:vAlign w:val="center"/>
          </w:tcPr>
          <w:p w14:paraId="0D8A1DB3">
            <w:pPr>
              <w:spacing w:line="360" w:lineRule="auto"/>
              <w:jc w:val="center"/>
              <w:rPr>
                <w:rFonts w:hint="eastAsia" w:ascii="宋体" w:hAnsi="宋体"/>
                <w:color w:val="000000"/>
                <w:szCs w:val="21"/>
              </w:rPr>
            </w:pPr>
            <w:r>
              <w:rPr>
                <w:rFonts w:hint="eastAsia" w:ascii="宋体" w:hAnsi="宋体"/>
                <w:color w:val="000000"/>
                <w:szCs w:val="21"/>
              </w:rPr>
              <w:t>14.1</w:t>
            </w:r>
          </w:p>
        </w:tc>
        <w:tc>
          <w:tcPr>
            <w:tcW w:w="8010" w:type="dxa"/>
            <w:noWrap w:val="0"/>
            <w:vAlign w:val="center"/>
          </w:tcPr>
          <w:p w14:paraId="21C2AE4D">
            <w:pPr>
              <w:spacing w:line="360" w:lineRule="auto"/>
              <w:rPr>
                <w:rFonts w:hint="eastAsia" w:ascii="宋体" w:hAnsi="宋体"/>
                <w:color w:val="000000"/>
                <w:szCs w:val="21"/>
              </w:rPr>
            </w:pPr>
            <w:r>
              <w:rPr>
                <w:rFonts w:hint="eastAsia" w:ascii="宋体" w:hAnsi="宋体"/>
                <w:color w:val="000000"/>
                <w:szCs w:val="21"/>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10</w:t>
            </w:r>
          </w:p>
        </w:tc>
        <w:tc>
          <w:tcPr>
            <w:tcW w:w="1126" w:type="dxa"/>
            <w:noWrap w:val="0"/>
            <w:vAlign w:val="center"/>
          </w:tcPr>
          <w:p w14:paraId="2804053E">
            <w:pPr>
              <w:spacing w:line="360" w:lineRule="auto"/>
              <w:jc w:val="center"/>
              <w:rPr>
                <w:rFonts w:hint="eastAsia" w:ascii="宋体" w:hAnsi="宋体"/>
                <w:color w:val="000000"/>
                <w:szCs w:val="21"/>
              </w:rPr>
            </w:pPr>
            <w:r>
              <w:rPr>
                <w:rFonts w:hint="eastAsia" w:ascii="宋体" w:hAnsi="宋体"/>
                <w:color w:val="000000"/>
                <w:szCs w:val="21"/>
              </w:rPr>
              <w:t>15</w:t>
            </w:r>
          </w:p>
        </w:tc>
        <w:tc>
          <w:tcPr>
            <w:tcW w:w="8010" w:type="dxa"/>
            <w:noWrap w:val="0"/>
            <w:vAlign w:val="center"/>
          </w:tcPr>
          <w:p w14:paraId="725C20E1">
            <w:pPr>
              <w:spacing w:line="360" w:lineRule="auto"/>
              <w:rPr>
                <w:rFonts w:hint="eastAsia" w:ascii="宋体" w:hAnsi="宋体"/>
                <w:color w:val="000000"/>
                <w:szCs w:val="21"/>
              </w:rPr>
            </w:pPr>
            <w:r>
              <w:rPr>
                <w:rFonts w:hint="eastAsia" w:ascii="宋体" w:hAnsi="宋体" w:cs="宋体"/>
                <w:color w:val="000000"/>
                <w:szCs w:val="21"/>
              </w:rPr>
              <w:t>响应文件递交截止时间</w:t>
            </w:r>
            <w:r>
              <w:rPr>
                <w:rFonts w:hint="eastAsia" w:ascii="宋体" w:hAnsi="宋体" w:cs="宋体"/>
                <w:szCs w:val="21"/>
              </w:rPr>
              <w:t>：</w:t>
            </w: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点</w:t>
            </w:r>
            <w:r>
              <w:rPr>
                <w:rFonts w:hint="eastAsia" w:ascii="宋体" w:hAnsi="宋体"/>
                <w:color w:val="000000"/>
                <w:szCs w:val="21"/>
                <w:lang w:val="en-US" w:eastAsia="zh-CN"/>
              </w:rPr>
              <w:t xml:space="preserve">  </w:t>
            </w:r>
            <w:r>
              <w:rPr>
                <w:rFonts w:hint="eastAsia" w:ascii="宋体" w:hAnsi="宋体"/>
                <w:color w:val="000000"/>
                <w:szCs w:val="21"/>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11</w:t>
            </w:r>
          </w:p>
        </w:tc>
        <w:tc>
          <w:tcPr>
            <w:tcW w:w="1126" w:type="dxa"/>
            <w:noWrap w:val="0"/>
            <w:vAlign w:val="center"/>
          </w:tcPr>
          <w:p w14:paraId="541CA033">
            <w:pPr>
              <w:spacing w:line="360" w:lineRule="auto"/>
              <w:jc w:val="center"/>
              <w:rPr>
                <w:rFonts w:hint="eastAsia" w:ascii="宋体" w:hAnsi="宋体"/>
                <w:color w:val="000000"/>
                <w:szCs w:val="21"/>
              </w:rPr>
            </w:pPr>
            <w:r>
              <w:rPr>
                <w:rFonts w:hint="eastAsia" w:ascii="宋体" w:hAnsi="宋体"/>
                <w:color w:val="000000"/>
                <w:szCs w:val="21"/>
              </w:rPr>
              <w:t>18.1</w:t>
            </w:r>
          </w:p>
        </w:tc>
        <w:tc>
          <w:tcPr>
            <w:tcW w:w="8010" w:type="dxa"/>
            <w:noWrap w:val="0"/>
            <w:vAlign w:val="center"/>
          </w:tcPr>
          <w:p w14:paraId="5AB0F115">
            <w:pPr>
              <w:spacing w:line="360" w:lineRule="auto"/>
              <w:rPr>
                <w:rFonts w:hint="eastAsia" w:ascii="宋体" w:hAnsi="宋体" w:cs="宋体"/>
                <w:color w:val="000000"/>
                <w:szCs w:val="21"/>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4"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12</w:t>
            </w:r>
          </w:p>
        </w:tc>
        <w:tc>
          <w:tcPr>
            <w:tcW w:w="1126" w:type="dxa"/>
            <w:noWrap w:val="0"/>
            <w:vAlign w:val="center"/>
          </w:tcPr>
          <w:p w14:paraId="4FC7CDDE">
            <w:pPr>
              <w:spacing w:line="360" w:lineRule="auto"/>
              <w:jc w:val="center"/>
              <w:rPr>
                <w:rFonts w:hint="eastAsia" w:ascii="宋体" w:hAnsi="宋体"/>
                <w:color w:val="000000"/>
                <w:szCs w:val="21"/>
              </w:rPr>
            </w:pPr>
            <w:r>
              <w:rPr>
                <w:rFonts w:hint="eastAsia" w:ascii="宋体" w:hAnsi="宋体"/>
                <w:color w:val="000000"/>
                <w:szCs w:val="21"/>
              </w:rPr>
              <w:t>19.2</w:t>
            </w:r>
          </w:p>
        </w:tc>
        <w:tc>
          <w:tcPr>
            <w:tcW w:w="8010" w:type="dxa"/>
            <w:noWrap w:val="0"/>
            <w:vAlign w:val="center"/>
          </w:tcPr>
          <w:p w14:paraId="3615D298">
            <w:pPr>
              <w:snapToGrid w:val="0"/>
              <w:spacing w:line="360" w:lineRule="auto"/>
              <w:rPr>
                <w:rFonts w:hint="eastAsia" w:ascii="宋体" w:hAnsi="宋体"/>
                <w:color w:val="000000"/>
                <w:szCs w:val="21"/>
              </w:rPr>
            </w:pPr>
            <w:r>
              <w:rPr>
                <w:rFonts w:hint="eastAsia" w:ascii="宋体" w:hAnsi="宋体"/>
                <w:color w:val="000000"/>
                <w:szCs w:val="21"/>
              </w:rPr>
              <w:t>在对供应商资格审查时进行信用查询，查询结果与响应文件不一致时，以资格审查时查询结果为准。</w:t>
            </w:r>
          </w:p>
          <w:p w14:paraId="30FAACBF">
            <w:pPr>
              <w:snapToGrid w:val="0"/>
              <w:spacing w:line="360" w:lineRule="auto"/>
              <w:rPr>
                <w:rFonts w:hint="eastAsia" w:ascii="宋体" w:hAnsi="宋体"/>
                <w:color w:val="000000"/>
                <w:szCs w:val="21"/>
              </w:rPr>
            </w:pPr>
            <w:r>
              <w:rPr>
                <w:rFonts w:hint="eastAsia" w:ascii="宋体" w:hAnsi="宋体"/>
                <w:color w:val="000000"/>
                <w:szCs w:val="21"/>
              </w:rPr>
              <w:t>查询渠道：“</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ascii="宋体" w:hAnsi="宋体"/>
                <w:color w:val="000000"/>
                <w:szCs w:val="21"/>
              </w:rPr>
              <w:t>、</w:t>
            </w:r>
            <w:r>
              <w:rPr>
                <w:rFonts w:hint="eastAsia"/>
                <w:color w:val="000000"/>
                <w:szCs w:val="21"/>
              </w:rPr>
              <w:t>中国政府采购网(www.ccgp.gov.cn)</w:t>
            </w:r>
            <w:r>
              <w:rPr>
                <w:rFonts w:hint="eastAsia" w:ascii="宋体" w:hAnsi="宋体"/>
                <w:color w:val="000000"/>
                <w:szCs w:val="21"/>
              </w:rPr>
              <w:t>等。</w:t>
            </w:r>
          </w:p>
          <w:p w14:paraId="5FA28BB8">
            <w:pPr>
              <w:snapToGrid w:val="0"/>
              <w:spacing w:line="360" w:lineRule="auto"/>
              <w:rPr>
                <w:rFonts w:hint="eastAsia" w:ascii="宋体" w:hAnsi="宋体"/>
                <w:color w:val="000000"/>
                <w:szCs w:val="21"/>
              </w:rPr>
            </w:pPr>
            <w:r>
              <w:rPr>
                <w:rFonts w:hint="eastAsia" w:ascii="宋体" w:hAnsi="宋体"/>
                <w:color w:val="000000"/>
                <w:szCs w:val="21"/>
              </w:rPr>
              <w:t>查询起止时间：首次提交响应文件截止时间前</w:t>
            </w:r>
          </w:p>
          <w:p w14:paraId="345C6CA4">
            <w:pPr>
              <w:snapToGrid w:val="0"/>
              <w:spacing w:line="360" w:lineRule="auto"/>
              <w:rPr>
                <w:rFonts w:hint="eastAsia"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14:paraId="7D3697CA">
            <w:pPr>
              <w:spacing w:line="360" w:lineRule="auto"/>
              <w:rPr>
                <w:rFonts w:hint="eastAsia" w:ascii="宋体" w:hAnsi="宋体"/>
                <w:color w:val="000000"/>
                <w:szCs w:val="21"/>
              </w:rPr>
            </w:pPr>
            <w:r>
              <w:rPr>
                <w:rFonts w:hint="eastAsia" w:ascii="宋体" w:hAnsi="宋体"/>
                <w:color w:val="000000"/>
                <w:szCs w:val="21"/>
              </w:rPr>
              <w:t>信用信息使用规则：对在“</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color w:val="000000"/>
                <w:szCs w:val="21"/>
              </w:rPr>
              <w:t>中国政府采购网(www.ccgp.gov.cn)等</w:t>
            </w:r>
            <w:r>
              <w:rPr>
                <w:rFonts w:ascii="宋体" w:hAnsi="宋体"/>
                <w:color w:val="000000"/>
                <w:szCs w:val="21"/>
              </w:rPr>
              <w:t>渠道</w:t>
            </w:r>
            <w:r>
              <w:rPr>
                <w:rFonts w:hint="eastAsia" w:ascii="宋体" w:hAnsi="宋体"/>
                <w:color w:val="00000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s="Helvetic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13</w:t>
            </w:r>
          </w:p>
        </w:tc>
        <w:tc>
          <w:tcPr>
            <w:tcW w:w="1126" w:type="dxa"/>
            <w:noWrap w:val="0"/>
            <w:vAlign w:val="center"/>
          </w:tcPr>
          <w:p w14:paraId="3E0C92D9">
            <w:pPr>
              <w:spacing w:line="360" w:lineRule="auto"/>
              <w:jc w:val="center"/>
              <w:rPr>
                <w:rFonts w:hint="eastAsia" w:ascii="宋体" w:hAnsi="宋体"/>
                <w:color w:val="000000"/>
                <w:szCs w:val="21"/>
              </w:rPr>
            </w:pPr>
            <w:r>
              <w:rPr>
                <w:rFonts w:hint="eastAsia" w:ascii="宋体" w:hAnsi="宋体"/>
                <w:color w:val="000000"/>
                <w:szCs w:val="21"/>
              </w:rPr>
              <w:t>19.4.1</w:t>
            </w:r>
          </w:p>
        </w:tc>
        <w:tc>
          <w:tcPr>
            <w:tcW w:w="8010" w:type="dxa"/>
            <w:noWrap w:val="0"/>
            <w:vAlign w:val="center"/>
          </w:tcPr>
          <w:p w14:paraId="6D028EB6">
            <w:pPr>
              <w:spacing w:line="360" w:lineRule="auto"/>
              <w:rPr>
                <w:rFonts w:hint="eastAsia" w:ascii="宋体" w:hAnsi="宋体"/>
                <w:color w:val="000000"/>
                <w:szCs w:val="21"/>
              </w:rPr>
            </w:pPr>
            <w:r>
              <w:rPr>
                <w:rFonts w:hint="eastAsia" w:ascii="宋体" w:hAnsi="宋体"/>
                <w:color w:val="000000"/>
                <w:szCs w:val="21"/>
              </w:rPr>
              <w:t>磋商开始时间：响应文件递交截止时间后。</w:t>
            </w:r>
          </w:p>
          <w:p w14:paraId="2007FC96">
            <w:pPr>
              <w:spacing w:line="360" w:lineRule="auto"/>
              <w:rPr>
                <w:rFonts w:hint="eastAsia" w:ascii="宋体" w:hAnsi="宋体"/>
                <w:color w:val="000000"/>
                <w:szCs w:val="21"/>
              </w:rPr>
            </w:pPr>
            <w:r>
              <w:rPr>
                <w:rFonts w:hint="eastAsia" w:ascii="宋体" w:hAnsi="宋体"/>
                <w:color w:val="000000"/>
                <w:szCs w:val="21"/>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14</w:t>
            </w:r>
          </w:p>
        </w:tc>
        <w:tc>
          <w:tcPr>
            <w:tcW w:w="1126" w:type="dxa"/>
            <w:noWrap w:val="0"/>
            <w:vAlign w:val="center"/>
          </w:tcPr>
          <w:p w14:paraId="0F203926">
            <w:pPr>
              <w:spacing w:line="360" w:lineRule="auto"/>
              <w:jc w:val="center"/>
              <w:rPr>
                <w:rFonts w:hint="eastAsia" w:ascii="宋体" w:hAnsi="宋体"/>
                <w:color w:val="000000"/>
                <w:szCs w:val="21"/>
              </w:rPr>
            </w:pPr>
            <w:r>
              <w:rPr>
                <w:rFonts w:hint="eastAsia" w:ascii="宋体" w:hAnsi="宋体"/>
                <w:color w:val="000000"/>
                <w:szCs w:val="21"/>
              </w:rPr>
              <w:t>19.4.2</w:t>
            </w:r>
          </w:p>
        </w:tc>
        <w:tc>
          <w:tcPr>
            <w:tcW w:w="8010" w:type="dxa"/>
            <w:noWrap w:val="0"/>
            <w:vAlign w:val="center"/>
          </w:tcPr>
          <w:p w14:paraId="1D3DCAF9">
            <w:pPr>
              <w:spacing w:line="380" w:lineRule="exact"/>
              <w:rPr>
                <w:rFonts w:ascii="宋体" w:hAnsi="宋体"/>
                <w:b/>
                <w:bCs/>
                <w:color w:val="000000"/>
                <w:szCs w:val="21"/>
              </w:rPr>
            </w:pPr>
            <w:r>
              <w:rPr>
                <w:rFonts w:hint="eastAsia" w:ascii="宋体" w:hAnsi="宋体"/>
                <w:b/>
                <w:bCs/>
                <w:color w:val="000000"/>
                <w:szCs w:val="21"/>
              </w:rPr>
              <w:t>磋商前准备：</w:t>
            </w:r>
          </w:p>
          <w:p w14:paraId="3D76FDED">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本项目实行网上</w:t>
            </w:r>
            <w:r>
              <w:rPr>
                <w:rFonts w:hint="eastAsia" w:ascii="宋体" w:hAnsi="宋体"/>
                <w:color w:val="000000"/>
                <w:szCs w:val="21"/>
              </w:rPr>
              <w:t>磋商</w:t>
            </w:r>
            <w:r>
              <w:rPr>
                <w:rFonts w:ascii="宋体" w:hAnsi="宋体"/>
                <w:color w:val="000000"/>
                <w:szCs w:val="21"/>
              </w:rPr>
              <w:t>，采用电子</w:t>
            </w:r>
            <w:r>
              <w:rPr>
                <w:rFonts w:hint="eastAsia" w:ascii="宋体" w:hAnsi="宋体"/>
                <w:color w:val="000000"/>
                <w:szCs w:val="21"/>
              </w:rPr>
              <w:t>磋商响应</w:t>
            </w:r>
            <w:r>
              <w:rPr>
                <w:rFonts w:ascii="宋体" w:hAnsi="宋体"/>
                <w:color w:val="000000"/>
                <w:szCs w:val="21"/>
              </w:rPr>
              <w:t>文件。若供应商参与</w:t>
            </w:r>
            <w:r>
              <w:rPr>
                <w:rFonts w:hint="eastAsia" w:ascii="宋体" w:hAnsi="宋体"/>
                <w:color w:val="000000"/>
                <w:szCs w:val="21"/>
              </w:rPr>
              <w:t>磋商</w:t>
            </w:r>
            <w:r>
              <w:rPr>
                <w:rFonts w:ascii="宋体" w:hAnsi="宋体"/>
                <w:color w:val="000000"/>
                <w:szCs w:val="21"/>
              </w:rPr>
              <w:t>，自行承担</w:t>
            </w:r>
            <w:r>
              <w:rPr>
                <w:rFonts w:hint="eastAsia" w:ascii="宋体" w:hAnsi="宋体"/>
                <w:color w:val="000000"/>
                <w:szCs w:val="21"/>
              </w:rPr>
              <w:t>磋商</w:t>
            </w:r>
            <w:r>
              <w:rPr>
                <w:rFonts w:ascii="宋体" w:hAnsi="宋体"/>
                <w:color w:val="000000"/>
                <w:szCs w:val="21"/>
              </w:rPr>
              <w:t>一切费用</w:t>
            </w:r>
            <w:r>
              <w:rPr>
                <w:rFonts w:hint="eastAsia" w:ascii="宋体" w:hAnsi="宋体"/>
                <w:color w:val="000000"/>
                <w:szCs w:val="21"/>
              </w:rPr>
              <w:t>。</w:t>
            </w:r>
          </w:p>
          <w:p w14:paraId="27DF78C1">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各供应商应在</w:t>
            </w:r>
            <w:r>
              <w:rPr>
                <w:rFonts w:hint="eastAsia" w:ascii="宋体" w:hAnsi="宋体"/>
                <w:color w:val="000000"/>
                <w:szCs w:val="21"/>
              </w:rPr>
              <w:t>截</w:t>
            </w:r>
            <w:r>
              <w:rPr>
                <w:rFonts w:ascii="宋体" w:hAnsi="宋体"/>
                <w:color w:val="000000"/>
                <w:szCs w:val="21"/>
              </w:rPr>
              <w:t>标前应确保成为</w:t>
            </w:r>
            <w:r>
              <w:rPr>
                <w:rFonts w:hint="eastAsia" w:ascii="宋体" w:hAnsi="宋体"/>
                <w:color w:val="000000"/>
                <w:szCs w:val="21"/>
              </w:rPr>
              <w:t>政采云平台</w:t>
            </w:r>
            <w:r>
              <w:rPr>
                <w:rFonts w:ascii="宋体" w:hAnsi="宋体"/>
                <w:color w:val="000000"/>
                <w:szCs w:val="21"/>
              </w:rPr>
              <w:t>正式注册入库供应商，并完成CA数字证书</w:t>
            </w:r>
            <w:r>
              <w:rPr>
                <w:rFonts w:hint="eastAsia" w:ascii="宋体" w:hAnsi="宋体"/>
                <w:color w:val="000000"/>
                <w:szCs w:val="21"/>
              </w:rPr>
              <w:t>申领</w:t>
            </w:r>
            <w:r>
              <w:rPr>
                <w:rFonts w:ascii="宋体" w:hAnsi="宋体"/>
                <w:color w:val="000000"/>
                <w:szCs w:val="21"/>
              </w:rPr>
              <w:t>。因未注册入库、未办理CA数字证书等原因造成无法</w:t>
            </w:r>
            <w:r>
              <w:rPr>
                <w:rFonts w:hint="eastAsia" w:ascii="宋体" w:hAnsi="宋体"/>
                <w:color w:val="000000"/>
                <w:szCs w:val="21"/>
              </w:rPr>
              <w:t>磋商</w:t>
            </w:r>
            <w:r>
              <w:rPr>
                <w:rFonts w:ascii="宋体" w:hAnsi="宋体"/>
                <w:color w:val="000000"/>
                <w:szCs w:val="21"/>
              </w:rPr>
              <w:t>或</w:t>
            </w:r>
            <w:r>
              <w:rPr>
                <w:rFonts w:hint="eastAsia" w:ascii="宋体" w:hAnsi="宋体"/>
                <w:color w:val="000000"/>
                <w:szCs w:val="21"/>
              </w:rPr>
              <w:t>磋商</w:t>
            </w:r>
            <w:r>
              <w:rPr>
                <w:rFonts w:ascii="宋体" w:hAnsi="宋体"/>
                <w:color w:val="000000"/>
                <w:szCs w:val="21"/>
              </w:rPr>
              <w:t>失败等后果由供应商自行承担。</w:t>
            </w:r>
          </w:p>
          <w:p w14:paraId="6E7F93FF">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供应商将政采云电子交易客户端下载、安装完成后，可通过账号密码或CA登录客户端进行</w:t>
            </w:r>
            <w:r>
              <w:rPr>
                <w:rFonts w:hint="eastAsia" w:ascii="宋体" w:hAnsi="宋体"/>
                <w:color w:val="000000"/>
                <w:szCs w:val="21"/>
              </w:rPr>
              <w:t>响应文件</w:t>
            </w:r>
            <w:r>
              <w:rPr>
                <w:rFonts w:ascii="宋体" w:hAnsi="宋体"/>
                <w:color w:val="000000"/>
                <w:szCs w:val="21"/>
              </w:rPr>
              <w:t>制作。</w:t>
            </w:r>
            <w:r>
              <w:rPr>
                <w:rFonts w:hint="eastAsia" w:ascii="宋体" w:hAnsi="宋体"/>
                <w:color w:val="000000"/>
                <w:szCs w:val="21"/>
              </w:rPr>
              <w:t>客户端请至网站下载专区查看，如有问题可拨打政采云客户服务热线4</w:t>
            </w:r>
            <w:r>
              <w:rPr>
                <w:rFonts w:ascii="宋体" w:hAnsi="宋体"/>
                <w:color w:val="000000"/>
                <w:szCs w:val="21"/>
              </w:rPr>
              <w:t>00-881-7190</w:t>
            </w:r>
            <w:r>
              <w:rPr>
                <w:rFonts w:hint="eastAsia" w:ascii="宋体" w:hAnsi="宋体"/>
                <w:color w:val="000000"/>
                <w:szCs w:val="21"/>
              </w:rPr>
              <w:t>进行咨询。</w:t>
            </w:r>
          </w:p>
          <w:p w14:paraId="45ED27C0">
            <w:pPr>
              <w:spacing w:line="380" w:lineRule="exact"/>
              <w:rPr>
                <w:rFonts w:ascii="宋体" w:hAnsi="宋体"/>
                <w:b/>
                <w:bCs/>
                <w:color w:val="000000"/>
                <w:szCs w:val="21"/>
              </w:rPr>
            </w:pPr>
            <w:r>
              <w:rPr>
                <w:rFonts w:hint="eastAsia" w:ascii="宋体" w:hAnsi="宋体"/>
                <w:b/>
                <w:bCs/>
                <w:color w:val="000000"/>
                <w:szCs w:val="21"/>
              </w:rPr>
              <w:t>磋商响应文件解密时间：</w:t>
            </w:r>
          </w:p>
          <w:p w14:paraId="14C43E5A">
            <w:pPr>
              <w:spacing w:line="360" w:lineRule="auto"/>
              <w:rPr>
                <w:rFonts w:hint="eastAsia" w:ascii="宋体" w:hAnsi="宋体"/>
                <w:color w:val="000000"/>
                <w:szCs w:val="21"/>
              </w:rPr>
            </w:pPr>
            <w:r>
              <w:rPr>
                <w:rFonts w:hint="eastAsia" w:ascii="宋体" w:hAnsi="宋体"/>
                <w:color w:val="000000"/>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15</w:t>
            </w:r>
          </w:p>
        </w:tc>
        <w:tc>
          <w:tcPr>
            <w:tcW w:w="1126" w:type="dxa"/>
            <w:noWrap w:val="0"/>
            <w:vAlign w:val="center"/>
          </w:tcPr>
          <w:p w14:paraId="49602CA9">
            <w:pPr>
              <w:spacing w:line="360" w:lineRule="auto"/>
              <w:jc w:val="center"/>
              <w:rPr>
                <w:rFonts w:hint="eastAsia" w:ascii="宋体" w:hAnsi="宋体"/>
                <w:color w:val="000000"/>
                <w:szCs w:val="21"/>
              </w:rPr>
            </w:pPr>
            <w:r>
              <w:rPr>
                <w:rFonts w:hint="eastAsia" w:ascii="宋体" w:hAnsi="宋体"/>
                <w:color w:val="000000"/>
                <w:szCs w:val="21"/>
              </w:rPr>
              <w:t>28</w:t>
            </w:r>
          </w:p>
        </w:tc>
        <w:tc>
          <w:tcPr>
            <w:tcW w:w="8010" w:type="dxa"/>
            <w:noWrap w:val="0"/>
            <w:vAlign w:val="center"/>
          </w:tcPr>
          <w:p w14:paraId="751C306F">
            <w:pPr>
              <w:spacing w:line="360" w:lineRule="auto"/>
              <w:rPr>
                <w:rFonts w:hint="eastAsia" w:ascii="宋体" w:hAnsi="宋体"/>
                <w:color w:val="000000"/>
                <w:szCs w:val="21"/>
              </w:rPr>
            </w:pPr>
            <w:r>
              <w:rPr>
                <w:rFonts w:hint="eastAsia" w:ascii="宋体" w:hAnsi="宋体"/>
                <w:color w:val="000000"/>
                <w:szCs w:val="21"/>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16</w:t>
            </w:r>
          </w:p>
        </w:tc>
        <w:tc>
          <w:tcPr>
            <w:tcW w:w="1126" w:type="dxa"/>
            <w:noWrap w:val="0"/>
            <w:vAlign w:val="center"/>
          </w:tcPr>
          <w:p w14:paraId="1384B34F">
            <w:pPr>
              <w:spacing w:line="360" w:lineRule="auto"/>
              <w:jc w:val="center"/>
              <w:rPr>
                <w:rFonts w:hint="eastAsia" w:ascii="宋体" w:hAnsi="宋体"/>
                <w:color w:val="000000"/>
                <w:szCs w:val="21"/>
              </w:rPr>
            </w:pPr>
          </w:p>
        </w:tc>
        <w:tc>
          <w:tcPr>
            <w:tcW w:w="8010" w:type="dxa"/>
            <w:noWrap w:val="0"/>
            <w:vAlign w:val="center"/>
          </w:tcPr>
          <w:p w14:paraId="59EFD6FE">
            <w:pPr>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17</w:t>
            </w:r>
          </w:p>
        </w:tc>
        <w:tc>
          <w:tcPr>
            <w:tcW w:w="1126" w:type="dxa"/>
            <w:noWrap w:val="0"/>
            <w:vAlign w:val="center"/>
          </w:tcPr>
          <w:p w14:paraId="37BEB502">
            <w:pPr>
              <w:spacing w:line="360" w:lineRule="auto"/>
              <w:jc w:val="center"/>
              <w:rPr>
                <w:rFonts w:hint="eastAsia" w:ascii="宋体" w:hAnsi="宋体"/>
                <w:color w:val="000000"/>
                <w:szCs w:val="21"/>
              </w:rPr>
            </w:pPr>
            <w:r>
              <w:rPr>
                <w:rFonts w:hint="eastAsia" w:ascii="宋体" w:hAnsi="宋体"/>
                <w:color w:val="000000"/>
                <w:szCs w:val="21"/>
              </w:rPr>
              <w:t>其他内容</w:t>
            </w:r>
          </w:p>
        </w:tc>
        <w:tc>
          <w:tcPr>
            <w:tcW w:w="8010" w:type="dxa"/>
            <w:noWrap w:val="0"/>
            <w:vAlign w:val="center"/>
          </w:tcPr>
          <w:p w14:paraId="456E42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的“公章”是指根据我国对公章的管理规定，用</w:t>
            </w:r>
            <w:r>
              <w:rPr>
                <w:rFonts w:hint="eastAsia" w:ascii="宋体" w:hAnsi="宋体" w:cs="宋体"/>
                <w:color w:val="000000"/>
                <w:szCs w:val="21"/>
              </w:rPr>
              <w:t>供应商</w:t>
            </w:r>
            <w:r>
              <w:rPr>
                <w:rFonts w:ascii="宋体" w:hAnsi="宋体" w:cs="宋体"/>
                <w:color w:val="000000"/>
                <w:szCs w:val="21"/>
              </w:rPr>
              <w:t>法定主体行为名称制作的印章，除本文件有特殊规定外，</w:t>
            </w:r>
            <w:r>
              <w:rPr>
                <w:rFonts w:hint="eastAsia" w:ascii="宋体" w:hAnsi="宋体" w:cs="宋体"/>
                <w:color w:val="000000"/>
                <w:szCs w:val="21"/>
              </w:rPr>
              <w:t>供应商</w:t>
            </w:r>
            <w:r>
              <w:rPr>
                <w:rFonts w:ascii="宋体" w:hAnsi="宋体" w:cs="宋体"/>
                <w:color w:val="000000"/>
                <w:szCs w:val="21"/>
              </w:rPr>
              <w:t>的财务章、部门章、分公司章、工会章、合同章、投标专用章、业务专用章及银行的转账章、现金收讫章、现金付讫章等其它形式印章均不能代替公章。</w:t>
            </w:r>
          </w:p>
          <w:p w14:paraId="09FE3702">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w:t>
            </w:r>
            <w:r>
              <w:rPr>
                <w:rFonts w:hint="eastAsia" w:ascii="宋体" w:hAnsi="宋体" w:cs="宋体"/>
                <w:color w:val="000000"/>
                <w:szCs w:val="21"/>
              </w:rPr>
              <w:t>签字</w:t>
            </w:r>
            <w:r>
              <w:rPr>
                <w:rFonts w:ascii="宋体" w:hAnsi="宋体" w:cs="宋体"/>
                <w:color w:val="000000"/>
                <w:szCs w:val="21"/>
              </w:rPr>
              <w:t>”是指</w:t>
            </w:r>
            <w:r>
              <w:rPr>
                <w:rFonts w:hint="eastAsia" w:ascii="宋体" w:hAnsi="宋体" w:cs="宋体"/>
                <w:color w:val="000000"/>
                <w:szCs w:val="21"/>
              </w:rPr>
              <w:t>供应商的法定代表人或被授权人亲自在磋商文件规定签署处亲笔写上个人的名字的行为，私章、签字章、印鉴、影印等其它形式</w:t>
            </w:r>
            <w:r>
              <w:rPr>
                <w:rFonts w:ascii="宋体" w:hAnsi="宋体" w:cs="宋体"/>
                <w:color w:val="000000"/>
                <w:szCs w:val="21"/>
              </w:rPr>
              <w:t>均不能代替</w:t>
            </w:r>
            <w:r>
              <w:rPr>
                <w:rFonts w:hint="eastAsia" w:ascii="宋体" w:hAnsi="宋体" w:cs="宋体"/>
                <w:color w:val="000000"/>
                <w:szCs w:val="21"/>
              </w:rPr>
              <w:t>亲笔签字</w:t>
            </w:r>
            <w:r>
              <w:rPr>
                <w:rFonts w:ascii="宋体" w:hAnsi="宋体" w:cs="宋体"/>
                <w:color w:val="000000"/>
                <w:szCs w:val="21"/>
              </w:rPr>
              <w:t>。</w:t>
            </w:r>
          </w:p>
        </w:tc>
      </w:tr>
    </w:tbl>
    <w:p w14:paraId="31281D4E">
      <w:pPr>
        <w:pStyle w:val="44"/>
        <w:outlineLvl w:val="0"/>
      </w:pPr>
      <w:r>
        <w:br w:type="page"/>
      </w:r>
      <w:r>
        <w:t>供应商须知</w:t>
      </w:r>
    </w:p>
    <w:p w14:paraId="01AF47D2">
      <w:pPr>
        <w:pStyle w:val="2"/>
        <w:numPr>
          <w:ilvl w:val="0"/>
          <w:numId w:val="10"/>
        </w:numPr>
        <w:topLinePunct w:val="0"/>
        <w:ind w:left="0" w:leftChars="0" w:firstLine="0" w:firstLineChars="0"/>
        <w:rPr>
          <w:b/>
        </w:rPr>
      </w:pPr>
      <w:r>
        <w:t>总　则</w:t>
      </w:r>
    </w:p>
    <w:p w14:paraId="0AA27F40">
      <w:pPr>
        <w:pStyle w:val="3"/>
        <w:numPr>
          <w:ilvl w:val="0"/>
          <w:numId w:val="11"/>
        </w:numPr>
        <w:tabs>
          <w:tab w:val="left" w:pos="420"/>
          <w:tab w:val="clear" w:pos="482"/>
        </w:tabs>
        <w:ind w:left="0" w:leftChars="0" w:firstLine="482" w:firstLineChars="0"/>
        <w:rPr>
          <w:b/>
        </w:rPr>
      </w:pPr>
      <w:r>
        <w:t>适用范围</w:t>
      </w:r>
    </w:p>
    <w:p w14:paraId="6AA352A8">
      <w:pPr>
        <w:pStyle w:val="11"/>
        <w:numPr>
          <w:ilvl w:val="0"/>
          <w:numId w:val="12"/>
        </w:numPr>
        <w:tabs>
          <w:tab w:val="left" w:pos="0"/>
        </w:tabs>
        <w:ind w:left="0" w:leftChars="0" w:firstLine="482" w:firstLineChars="0"/>
        <w:rPr>
          <w:color w:val="000000"/>
        </w:rPr>
      </w:pPr>
      <w:r>
        <w:rPr>
          <w:color w:val="000000"/>
        </w:rPr>
        <w:t>本竞争性磋商采购文件根据《中华人民共和国政府采购法》及相关法律法规编制，仅适用于本文件中所叙述的工程、货物或服务类采购项目。</w:t>
      </w:r>
    </w:p>
    <w:p w14:paraId="520BBA42">
      <w:pPr>
        <w:pStyle w:val="3"/>
        <w:numPr>
          <w:ilvl w:val="0"/>
          <w:numId w:val="11"/>
        </w:numPr>
        <w:tabs>
          <w:tab w:val="clear" w:pos="482"/>
        </w:tabs>
        <w:ind w:left="0" w:leftChars="0" w:firstLine="482" w:firstLineChars="0"/>
        <w:rPr>
          <w:b/>
        </w:rPr>
      </w:pPr>
      <w:r>
        <w:t>定义</w:t>
      </w:r>
    </w:p>
    <w:p w14:paraId="2AC089AE">
      <w:pPr>
        <w:pStyle w:val="11"/>
        <w:numPr>
          <w:ilvl w:val="0"/>
          <w:numId w:val="13"/>
        </w:numPr>
        <w:tabs>
          <w:tab w:val="left" w:pos="0"/>
        </w:tabs>
        <w:ind w:left="0" w:leftChars="0" w:firstLine="482" w:firstLineChars="0"/>
        <w:rPr>
          <w:b w:val="0"/>
          <w:color w:val="000000"/>
        </w:rPr>
      </w:pPr>
      <w:r>
        <w:rPr>
          <w:color w:val="000000"/>
        </w:rPr>
        <w:t>竞争性磋商采购人：是指获得资金、贷款的国家机关、企事业单位或者其他社会组织。本项目竞争性磋商采购人特指：</w:t>
      </w:r>
      <w:r>
        <w:t>上思县农业农村局</w:t>
      </w:r>
      <w:r>
        <w:rPr>
          <w:color w:val="000000"/>
        </w:rPr>
        <w:t>。</w:t>
      </w:r>
    </w:p>
    <w:p w14:paraId="30AA00B8">
      <w:pPr>
        <w:pStyle w:val="11"/>
        <w:numPr>
          <w:ilvl w:val="0"/>
          <w:numId w:val="13"/>
        </w:numPr>
        <w:tabs>
          <w:tab w:val="left" w:pos="0"/>
        </w:tabs>
        <w:ind w:left="0" w:leftChars="0" w:firstLine="482" w:firstLineChars="0"/>
        <w:rPr>
          <w:b w:val="0"/>
          <w:color w:val="000000"/>
        </w:rPr>
      </w:pPr>
      <w:r>
        <w:rPr>
          <w:color w:val="000000"/>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color w:val="000000"/>
          <w:lang w:eastAsia="zh-CN"/>
        </w:rPr>
        <w:t>广西国立工程咨询有限公司</w:t>
      </w:r>
      <w:r>
        <w:rPr>
          <w:color w:val="000000"/>
        </w:rPr>
        <w:t>　。</w:t>
      </w:r>
    </w:p>
    <w:p w14:paraId="75C437E2">
      <w:pPr>
        <w:pStyle w:val="11"/>
        <w:numPr>
          <w:ilvl w:val="0"/>
          <w:numId w:val="13"/>
        </w:numPr>
        <w:tabs>
          <w:tab w:val="left" w:pos="0"/>
        </w:tabs>
        <w:ind w:left="0" w:leftChars="0" w:firstLine="482" w:firstLineChars="0"/>
        <w:rPr>
          <w:b w:val="0"/>
          <w:color w:val="000000"/>
        </w:rPr>
      </w:pPr>
      <w:r>
        <w:rPr>
          <w:color w:val="000000"/>
        </w:rPr>
        <w:t>供应商：指已经报名，且响应本竞争性磋商文件要求、能提供本工程所必需的设施、人员和专业技术能力且具有独立法人资格的法人单位或其他组织。</w:t>
      </w:r>
    </w:p>
    <w:p w14:paraId="52232B09">
      <w:pPr>
        <w:pStyle w:val="11"/>
        <w:numPr>
          <w:ilvl w:val="0"/>
          <w:numId w:val="13"/>
        </w:numPr>
        <w:tabs>
          <w:tab w:val="left" w:pos="0"/>
        </w:tabs>
        <w:ind w:left="0" w:leftChars="0" w:firstLine="482" w:firstLineChars="0"/>
        <w:rPr>
          <w:b w:val="0"/>
          <w:color w:val="000000"/>
        </w:rPr>
      </w:pPr>
      <w:r>
        <w:rPr>
          <w:color w:val="000000"/>
        </w:rPr>
        <w:t>日期：如无特别说明，均指公历日。</w:t>
      </w:r>
    </w:p>
    <w:p w14:paraId="133B1E0A">
      <w:pPr>
        <w:pStyle w:val="11"/>
        <w:numPr>
          <w:ilvl w:val="0"/>
          <w:numId w:val="13"/>
        </w:numPr>
        <w:tabs>
          <w:tab w:val="left" w:pos="0"/>
        </w:tabs>
        <w:ind w:left="0" w:leftChars="0" w:firstLine="482" w:firstLineChars="0"/>
        <w:rPr>
          <w:b w:val="0"/>
          <w:color w:val="000000"/>
        </w:rPr>
      </w:pPr>
      <w:r>
        <w:rPr>
          <w:color w:val="000000"/>
        </w:rPr>
        <w:t>合同：指采购人与成交供应商双方按合同格式签署的书面协议，包括所有的附件、附录及双方认可的其它相关书面文件。</w:t>
      </w:r>
    </w:p>
    <w:p w14:paraId="25FCAAE7">
      <w:pPr>
        <w:pStyle w:val="11"/>
        <w:numPr>
          <w:ilvl w:val="0"/>
          <w:numId w:val="13"/>
        </w:numPr>
        <w:tabs>
          <w:tab w:val="left" w:pos="0"/>
        </w:tabs>
        <w:ind w:left="0" w:leftChars="0" w:firstLine="482" w:firstLineChars="0"/>
        <w:rPr>
          <w:b w:val="0"/>
          <w:color w:val="000000"/>
        </w:rPr>
      </w:pPr>
      <w:r>
        <w:rPr>
          <w:color w:val="000000"/>
        </w:rPr>
        <w:t>政府采购信息发布媒体：与本项目相关的政府采购业务信息（包括竞争性磋商采购公告、成交公告及其更正事项等）将在以下媒体上发布：中国政府采购网、广西壮族自治区政府采购网、全国公共资源交易平台（广西·防城港）上发布。</w:t>
      </w:r>
    </w:p>
    <w:p w14:paraId="21FC6D6D">
      <w:pPr>
        <w:pStyle w:val="3"/>
        <w:numPr>
          <w:ilvl w:val="0"/>
          <w:numId w:val="11"/>
        </w:numPr>
        <w:tabs>
          <w:tab w:val="clear" w:pos="482"/>
        </w:tabs>
        <w:ind w:left="0" w:leftChars="0" w:firstLine="482" w:firstLineChars="0"/>
        <w:rPr>
          <w:b/>
        </w:rPr>
      </w:pPr>
      <w:r>
        <w:t>供应商资格要求</w:t>
      </w:r>
    </w:p>
    <w:p w14:paraId="710F8769">
      <w:pPr>
        <w:pStyle w:val="11"/>
        <w:numPr>
          <w:ilvl w:val="0"/>
          <w:numId w:val="14"/>
        </w:numPr>
        <w:ind w:left="0" w:leftChars="0" w:firstLine="480" w:firstLineChars="0"/>
        <w:rPr>
          <w:b w:val="0"/>
          <w:color w:val="000000"/>
        </w:rPr>
      </w:pPr>
      <w:r>
        <w:rPr>
          <w:color w:val="000000"/>
        </w:rPr>
        <w:t>供应商的基本条件：见本须知前附表。</w:t>
      </w:r>
    </w:p>
    <w:p w14:paraId="73E05E7C">
      <w:pPr>
        <w:pStyle w:val="11"/>
        <w:numPr>
          <w:ilvl w:val="0"/>
          <w:numId w:val="14"/>
        </w:numPr>
        <w:ind w:left="0" w:leftChars="0" w:firstLine="480" w:firstLineChars="0"/>
        <w:rPr>
          <w:b w:val="0"/>
          <w:color w:val="000000"/>
        </w:rPr>
      </w:pPr>
      <w:r>
        <w:rPr>
          <w:color w:val="000000"/>
        </w:rPr>
        <w:t>供应商不得存在下列情形之一：</w:t>
      </w:r>
    </w:p>
    <w:p w14:paraId="04DBCC44">
      <w:pPr>
        <w:pStyle w:val="11"/>
        <w:numPr>
          <w:ilvl w:val="0"/>
          <w:numId w:val="15"/>
        </w:numPr>
        <w:topLinePunct w:val="0"/>
        <w:ind w:left="0" w:leftChars="0" w:firstLine="480" w:firstLineChars="0"/>
        <w:rPr>
          <w:b w:val="0"/>
          <w:color w:val="000000"/>
        </w:rPr>
      </w:pPr>
      <w:r>
        <w:rPr>
          <w:color w:val="000000"/>
        </w:rPr>
        <w:t>不具有独立法人资格的附属机构（单位）；</w:t>
      </w:r>
    </w:p>
    <w:p w14:paraId="1B7BDAB9">
      <w:pPr>
        <w:pStyle w:val="11"/>
        <w:numPr>
          <w:ilvl w:val="0"/>
          <w:numId w:val="15"/>
        </w:numPr>
        <w:topLinePunct w:val="0"/>
        <w:ind w:left="0" w:leftChars="0" w:firstLine="480" w:firstLineChars="0"/>
        <w:rPr>
          <w:b w:val="0"/>
          <w:color w:val="000000"/>
        </w:rPr>
      </w:pPr>
      <w:r>
        <w:rPr>
          <w:color w:val="000000"/>
        </w:rPr>
        <w:t>为本项目前期准备提供设计或咨询服务的，但设计施工总承包的除外；</w:t>
      </w:r>
    </w:p>
    <w:p w14:paraId="4D43DE35">
      <w:pPr>
        <w:pStyle w:val="11"/>
        <w:numPr>
          <w:ilvl w:val="0"/>
          <w:numId w:val="15"/>
        </w:numPr>
        <w:topLinePunct w:val="0"/>
        <w:ind w:left="0" w:leftChars="0" w:firstLine="480" w:firstLineChars="0"/>
        <w:rPr>
          <w:b w:val="0"/>
          <w:color w:val="000000"/>
        </w:rPr>
      </w:pPr>
      <w:r>
        <w:rPr>
          <w:color w:val="000000"/>
        </w:rPr>
        <w:t>为本项目的监理人；</w:t>
      </w:r>
    </w:p>
    <w:p w14:paraId="56047F93">
      <w:pPr>
        <w:pStyle w:val="11"/>
        <w:numPr>
          <w:ilvl w:val="0"/>
          <w:numId w:val="15"/>
        </w:numPr>
        <w:topLinePunct w:val="0"/>
        <w:ind w:left="0" w:leftChars="0" w:firstLine="480" w:firstLineChars="0"/>
        <w:rPr>
          <w:b w:val="0"/>
          <w:color w:val="000000"/>
        </w:rPr>
      </w:pPr>
      <w:r>
        <w:rPr>
          <w:color w:val="000000"/>
        </w:rPr>
        <w:t>为本项目的代建人；</w:t>
      </w:r>
    </w:p>
    <w:p w14:paraId="445E9968">
      <w:pPr>
        <w:pStyle w:val="11"/>
        <w:numPr>
          <w:ilvl w:val="0"/>
          <w:numId w:val="15"/>
        </w:numPr>
        <w:topLinePunct w:val="0"/>
        <w:ind w:left="0" w:leftChars="0" w:firstLine="480" w:firstLineChars="0"/>
        <w:rPr>
          <w:b w:val="0"/>
          <w:color w:val="000000"/>
        </w:rPr>
      </w:pPr>
      <w:r>
        <w:rPr>
          <w:color w:val="000000"/>
        </w:rPr>
        <w:t>为本项目提供采购代理服务的；</w:t>
      </w:r>
    </w:p>
    <w:p w14:paraId="6FF11F1C">
      <w:pPr>
        <w:pStyle w:val="11"/>
        <w:numPr>
          <w:ilvl w:val="0"/>
          <w:numId w:val="15"/>
        </w:numPr>
        <w:topLinePunct w:val="0"/>
        <w:ind w:left="0" w:leftChars="0" w:firstLine="480" w:firstLineChars="0"/>
        <w:rPr>
          <w:b w:val="0"/>
          <w:color w:val="000000"/>
        </w:rPr>
      </w:pPr>
      <w:r>
        <w:rPr>
          <w:color w:val="000000"/>
        </w:rPr>
        <w:t>与本项目的监理人或代建人或采购代理机构同为一个法定代表人的；</w:t>
      </w:r>
    </w:p>
    <w:p w14:paraId="7E42D1ED">
      <w:pPr>
        <w:pStyle w:val="11"/>
        <w:numPr>
          <w:ilvl w:val="0"/>
          <w:numId w:val="15"/>
        </w:numPr>
        <w:topLinePunct w:val="0"/>
        <w:ind w:left="0" w:leftChars="0" w:firstLine="480" w:firstLineChars="0"/>
        <w:rPr>
          <w:b w:val="0"/>
          <w:color w:val="000000"/>
        </w:rPr>
      </w:pPr>
      <w:r>
        <w:rPr>
          <w:color w:val="000000"/>
        </w:rPr>
        <w:t>与本项目的监理人或代建人或采购代理机构相互控股或参股的；</w:t>
      </w:r>
    </w:p>
    <w:p w14:paraId="6D71FF0E">
      <w:pPr>
        <w:pStyle w:val="11"/>
        <w:numPr>
          <w:ilvl w:val="0"/>
          <w:numId w:val="15"/>
        </w:numPr>
        <w:topLinePunct w:val="0"/>
        <w:ind w:left="0" w:leftChars="0" w:firstLine="480" w:firstLineChars="0"/>
        <w:rPr>
          <w:b w:val="0"/>
          <w:color w:val="000000"/>
        </w:rPr>
      </w:pPr>
      <w:r>
        <w:rPr>
          <w:color w:val="000000"/>
        </w:rPr>
        <w:t>与本项目的监理人或代建人或采购代理机构相互任职或工作的；</w:t>
      </w:r>
    </w:p>
    <w:p w14:paraId="08A1F86D">
      <w:pPr>
        <w:pStyle w:val="11"/>
        <w:numPr>
          <w:ilvl w:val="0"/>
          <w:numId w:val="15"/>
        </w:numPr>
        <w:topLinePunct w:val="0"/>
        <w:ind w:left="0" w:leftChars="0" w:firstLine="480" w:firstLineChars="0"/>
        <w:rPr>
          <w:b w:val="0"/>
          <w:color w:val="000000"/>
        </w:rPr>
      </w:pPr>
      <w:r>
        <w:rPr>
          <w:color w:val="000000"/>
        </w:rPr>
        <w:t>被责令停业整顿的；</w:t>
      </w:r>
    </w:p>
    <w:p w14:paraId="6ED2E14F">
      <w:pPr>
        <w:pStyle w:val="11"/>
        <w:numPr>
          <w:ilvl w:val="0"/>
          <w:numId w:val="15"/>
        </w:numPr>
        <w:topLinePunct w:val="0"/>
        <w:ind w:left="0" w:leftChars="0" w:firstLine="480" w:firstLineChars="0"/>
        <w:rPr>
          <w:b w:val="0"/>
          <w:color w:val="000000"/>
        </w:rPr>
      </w:pPr>
      <w:r>
        <w:rPr>
          <w:color w:val="000000"/>
        </w:rPr>
        <w:t>被暂停或取消磋商资格的；</w:t>
      </w:r>
    </w:p>
    <w:p w14:paraId="57E1A5C6">
      <w:pPr>
        <w:pStyle w:val="11"/>
        <w:numPr>
          <w:ilvl w:val="0"/>
          <w:numId w:val="15"/>
        </w:numPr>
        <w:topLinePunct w:val="0"/>
        <w:ind w:left="0" w:leftChars="0" w:firstLine="480" w:firstLineChars="0"/>
        <w:rPr>
          <w:b w:val="0"/>
          <w:color w:val="000000"/>
        </w:rPr>
      </w:pPr>
      <w:r>
        <w:rPr>
          <w:color w:val="000000"/>
        </w:rPr>
        <w:t>财产被接管或冻结的；</w:t>
      </w:r>
    </w:p>
    <w:p w14:paraId="5B5AA3E5">
      <w:pPr>
        <w:pStyle w:val="11"/>
        <w:numPr>
          <w:ilvl w:val="0"/>
          <w:numId w:val="15"/>
        </w:numPr>
        <w:topLinePunct w:val="0"/>
        <w:ind w:left="0" w:leftChars="0" w:firstLine="480" w:firstLineChars="0"/>
        <w:rPr>
          <w:b w:val="0"/>
          <w:color w:val="000000"/>
        </w:rPr>
      </w:pPr>
      <w:r>
        <w:rPr>
          <w:color w:val="000000"/>
        </w:rPr>
        <w:t>有骗取中标或严重违约或工程质量安全问题，正处在停业整顿或暂停磋商期间的。</w:t>
      </w:r>
    </w:p>
    <w:p w14:paraId="052A6E35">
      <w:pPr>
        <w:pStyle w:val="3"/>
        <w:numPr>
          <w:ilvl w:val="0"/>
          <w:numId w:val="11"/>
        </w:numPr>
        <w:tabs>
          <w:tab w:val="clear" w:pos="482"/>
        </w:tabs>
        <w:ind w:left="0" w:leftChars="0" w:firstLine="482" w:firstLineChars="0"/>
        <w:rPr>
          <w:b/>
        </w:rPr>
      </w:pPr>
      <w:r>
        <w:t>磋商费用</w:t>
      </w:r>
    </w:p>
    <w:p w14:paraId="23491F1B">
      <w:pPr>
        <w:pStyle w:val="11"/>
        <w:numPr>
          <w:ilvl w:val="0"/>
          <w:numId w:val="16"/>
        </w:numPr>
        <w:ind w:left="0" w:leftChars="0" w:firstLine="480" w:firstLineChars="0"/>
        <w:rPr>
          <w:b w:val="0"/>
          <w:color w:val="000000"/>
        </w:rPr>
      </w:pPr>
      <w:r>
        <w:rPr>
          <w:color w:val="000000"/>
        </w:rPr>
        <w:t>不论磋商结果如何，供应商应自行承担所有与编写和提交响应文件有关的费用，采购人和采购代理机构在任何情况下无义务和责任承担此类费用。</w:t>
      </w:r>
    </w:p>
    <w:p w14:paraId="7B19721F">
      <w:pPr>
        <w:pStyle w:val="11"/>
        <w:numPr>
          <w:ilvl w:val="0"/>
          <w:numId w:val="16"/>
        </w:numPr>
        <w:ind w:left="0" w:leftChars="0" w:firstLine="480" w:firstLineChars="0"/>
        <w:rPr>
          <w:b w:val="0"/>
          <w:color w:val="000000"/>
        </w:rPr>
      </w:pPr>
      <w:r>
        <w:rPr>
          <w:color w:val="000000"/>
        </w:rPr>
        <w:t>本项目代理服务费：见本须知前附表。</w:t>
      </w:r>
    </w:p>
    <w:p w14:paraId="7BD233FC">
      <w:pPr>
        <w:pStyle w:val="2"/>
        <w:numPr>
          <w:ilvl w:val="0"/>
          <w:numId w:val="10"/>
        </w:numPr>
        <w:topLinePunct w:val="0"/>
        <w:ind w:left="0" w:leftChars="0" w:firstLine="0" w:firstLineChars="0"/>
        <w:rPr>
          <w:b/>
        </w:rPr>
      </w:pPr>
      <w:r>
        <w:t>磋商文件</w:t>
      </w:r>
    </w:p>
    <w:p w14:paraId="1CDB8105">
      <w:pPr>
        <w:pStyle w:val="3"/>
        <w:numPr>
          <w:ilvl w:val="0"/>
          <w:numId w:val="11"/>
        </w:numPr>
        <w:tabs>
          <w:tab w:val="clear" w:pos="482"/>
        </w:tabs>
        <w:ind w:left="0" w:leftChars="0" w:firstLine="482" w:firstLineChars="0"/>
        <w:rPr>
          <w:b/>
        </w:rPr>
      </w:pPr>
      <w:r>
        <w:t>磋商文件的组成</w:t>
      </w:r>
    </w:p>
    <w:p w14:paraId="1BDBFD0A">
      <w:pPr>
        <w:pStyle w:val="11"/>
        <w:numPr>
          <w:ilvl w:val="0"/>
          <w:numId w:val="17"/>
        </w:numPr>
        <w:topLinePunct w:val="0"/>
        <w:ind w:left="0" w:leftChars="0" w:firstLine="480" w:firstLineChars="0"/>
        <w:rPr>
          <w:b w:val="0"/>
          <w:color w:val="000000"/>
        </w:rPr>
      </w:pPr>
      <w:r>
        <w:rPr>
          <w:color w:val="000000"/>
        </w:rPr>
        <w:t>磋商公告；</w:t>
      </w:r>
    </w:p>
    <w:p w14:paraId="5E3E6062">
      <w:pPr>
        <w:pStyle w:val="11"/>
        <w:numPr>
          <w:ilvl w:val="0"/>
          <w:numId w:val="17"/>
        </w:numPr>
        <w:topLinePunct w:val="0"/>
        <w:ind w:left="0" w:leftChars="0" w:firstLine="480" w:firstLineChars="0"/>
        <w:rPr>
          <w:b w:val="0"/>
          <w:color w:val="000000"/>
        </w:rPr>
      </w:pPr>
      <w:r>
        <w:rPr>
          <w:color w:val="000000"/>
        </w:rPr>
        <w:t>磋商须知；</w:t>
      </w:r>
    </w:p>
    <w:p w14:paraId="7764F99B">
      <w:pPr>
        <w:pStyle w:val="11"/>
        <w:numPr>
          <w:ilvl w:val="0"/>
          <w:numId w:val="17"/>
        </w:numPr>
        <w:topLinePunct w:val="0"/>
        <w:ind w:left="0" w:leftChars="0" w:firstLine="480" w:firstLineChars="0"/>
        <w:rPr>
          <w:b w:val="0"/>
          <w:color w:val="000000"/>
        </w:rPr>
      </w:pPr>
      <w:r>
        <w:rPr>
          <w:color w:val="000000"/>
        </w:rPr>
        <w:t>评审办法和定标标准；</w:t>
      </w:r>
    </w:p>
    <w:p w14:paraId="467F52AA">
      <w:pPr>
        <w:pStyle w:val="11"/>
        <w:numPr>
          <w:ilvl w:val="0"/>
          <w:numId w:val="17"/>
        </w:numPr>
        <w:topLinePunct w:val="0"/>
        <w:ind w:left="0" w:leftChars="0" w:firstLine="480" w:firstLineChars="0"/>
        <w:rPr>
          <w:b w:val="0"/>
          <w:color w:val="000000"/>
        </w:rPr>
      </w:pPr>
      <w:r>
        <w:rPr>
          <w:color w:val="000000"/>
        </w:rPr>
        <w:t>响应文件格式；</w:t>
      </w:r>
    </w:p>
    <w:p w14:paraId="20678EF5">
      <w:pPr>
        <w:pStyle w:val="11"/>
        <w:numPr>
          <w:ilvl w:val="0"/>
          <w:numId w:val="17"/>
        </w:numPr>
        <w:topLinePunct w:val="0"/>
        <w:ind w:left="0" w:leftChars="0" w:firstLine="480" w:firstLineChars="0"/>
        <w:rPr>
          <w:b w:val="0"/>
          <w:color w:val="000000"/>
        </w:rPr>
      </w:pPr>
      <w:r>
        <w:rPr>
          <w:color w:val="000000"/>
        </w:rPr>
        <w:t>合同主要条款；</w:t>
      </w:r>
    </w:p>
    <w:p w14:paraId="4F9BAF5E">
      <w:pPr>
        <w:pStyle w:val="11"/>
        <w:numPr>
          <w:ilvl w:val="0"/>
          <w:numId w:val="17"/>
        </w:numPr>
        <w:topLinePunct w:val="0"/>
        <w:ind w:left="0" w:leftChars="0" w:firstLine="480" w:firstLineChars="0"/>
        <w:rPr>
          <w:b w:val="0"/>
          <w:color w:val="000000"/>
        </w:rPr>
      </w:pPr>
      <w:r>
        <w:rPr>
          <w:color w:val="000000"/>
        </w:rPr>
        <w:t>其他资料。</w:t>
      </w:r>
    </w:p>
    <w:p w14:paraId="372BF7F2">
      <w:pPr>
        <w:pStyle w:val="3"/>
        <w:numPr>
          <w:ilvl w:val="0"/>
          <w:numId w:val="11"/>
        </w:numPr>
        <w:tabs>
          <w:tab w:val="clear" w:pos="482"/>
        </w:tabs>
        <w:ind w:left="0" w:leftChars="0" w:firstLine="482" w:firstLineChars="0"/>
        <w:rPr>
          <w:b/>
        </w:rPr>
      </w:pPr>
      <w:r>
        <w:t>磋商文件的澄清或修改</w:t>
      </w:r>
    </w:p>
    <w:p w14:paraId="24309A81">
      <w:pPr>
        <w:pStyle w:val="11"/>
        <w:rPr>
          <w:color w:val="000000"/>
        </w:rPr>
      </w:pPr>
      <w:r>
        <w:rPr>
          <w:color w:val="000000"/>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3"/>
        <w:numPr>
          <w:ilvl w:val="0"/>
          <w:numId w:val="11"/>
        </w:numPr>
        <w:tabs>
          <w:tab w:val="clear" w:pos="482"/>
        </w:tabs>
        <w:ind w:left="0" w:leftChars="0" w:firstLine="482" w:firstLineChars="0"/>
        <w:rPr>
          <w:b/>
        </w:rPr>
      </w:pPr>
      <w:r>
        <w:t>现场考察或答疑会</w:t>
      </w:r>
    </w:p>
    <w:p w14:paraId="60243D56">
      <w:pPr>
        <w:pStyle w:val="11"/>
        <w:numPr>
          <w:ilvl w:val="0"/>
          <w:numId w:val="18"/>
        </w:numPr>
        <w:tabs>
          <w:tab w:val="left" w:pos="0"/>
        </w:tabs>
        <w:ind w:left="0" w:leftChars="0" w:firstLine="482" w:firstLineChars="0"/>
        <w:rPr>
          <w:b w:val="0"/>
          <w:color w:val="000000"/>
        </w:rPr>
      </w:pPr>
      <w:r>
        <w:rPr>
          <w:color w:val="000000"/>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11"/>
        <w:numPr>
          <w:ilvl w:val="0"/>
          <w:numId w:val="18"/>
        </w:numPr>
        <w:tabs>
          <w:tab w:val="left" w:pos="0"/>
        </w:tabs>
        <w:ind w:left="0" w:leftChars="0" w:firstLine="482" w:firstLineChars="0"/>
        <w:rPr>
          <w:b w:val="0"/>
          <w:color w:val="000000"/>
        </w:rPr>
      </w:pPr>
      <w:r>
        <w:rPr>
          <w:color w:val="000000"/>
        </w:rPr>
        <w:t>供应商考察现场或参加答疑会发生的费用自理。</w:t>
      </w:r>
    </w:p>
    <w:p w14:paraId="55C10102">
      <w:pPr>
        <w:pStyle w:val="11"/>
        <w:numPr>
          <w:ilvl w:val="0"/>
          <w:numId w:val="18"/>
        </w:numPr>
        <w:tabs>
          <w:tab w:val="left" w:pos="0"/>
        </w:tabs>
        <w:ind w:left="0" w:leftChars="0" w:firstLine="482" w:firstLineChars="0"/>
        <w:rPr>
          <w:b w:val="0"/>
          <w:color w:val="000000"/>
        </w:rPr>
      </w:pPr>
      <w:r>
        <w:rPr>
          <w:color w:val="000000"/>
        </w:rPr>
        <w:t>供应商自行负责在考察现场或参加答疑会中所发生的人员伤亡和财产损失。</w:t>
      </w:r>
    </w:p>
    <w:p w14:paraId="4A192142">
      <w:pPr>
        <w:pStyle w:val="2"/>
        <w:numPr>
          <w:ilvl w:val="0"/>
          <w:numId w:val="10"/>
        </w:numPr>
        <w:tabs>
          <w:tab w:val="clear" w:pos="482"/>
        </w:tabs>
        <w:topLinePunct w:val="0"/>
        <w:ind w:left="0" w:leftChars="0" w:firstLine="0" w:firstLineChars="0"/>
      </w:pPr>
      <w:r>
        <w:t>响应文件</w:t>
      </w:r>
    </w:p>
    <w:p w14:paraId="0CBBCACD">
      <w:pPr>
        <w:pStyle w:val="3"/>
        <w:numPr>
          <w:ilvl w:val="0"/>
          <w:numId w:val="11"/>
        </w:numPr>
        <w:tabs>
          <w:tab w:val="clear" w:pos="482"/>
        </w:tabs>
        <w:ind w:left="0" w:leftChars="0" w:firstLine="482" w:firstLineChars="0"/>
        <w:rPr>
          <w:b/>
          <w:color w:val="000000"/>
        </w:rPr>
      </w:pPr>
      <w:r>
        <w:rPr>
          <w:b/>
          <w:color w:val="000000"/>
        </w:rPr>
        <w:t>响应文件组成</w:t>
      </w:r>
    </w:p>
    <w:p w14:paraId="7EBAE225">
      <w:pPr>
        <w:pStyle w:val="11"/>
        <w:numPr>
          <w:ilvl w:val="0"/>
          <w:numId w:val="0"/>
        </w:numPr>
        <w:tabs>
          <w:tab w:val="left" w:pos="0"/>
        </w:tabs>
        <w:ind w:left="480" w:leftChars="0"/>
        <w:rPr>
          <w:color w:val="000000"/>
        </w:rPr>
      </w:pPr>
      <w:r>
        <w:rPr>
          <w:color w:val="000000"/>
        </w:rPr>
        <w:t>响应文件应分为资格审查文件、商务文件、技术文件组成。</w:t>
      </w:r>
      <w:r>
        <w:rPr>
          <w:b/>
          <w:color w:val="000000"/>
        </w:rPr>
        <w:t>（上述文件均须加盖供应商单位公章；标注有“必须提供”的必须提供，如未提供，磋商小组有权拒绝其响应文件。）</w:t>
      </w:r>
    </w:p>
    <w:p w14:paraId="07D5F083">
      <w:pPr>
        <w:pStyle w:val="11"/>
        <w:numPr>
          <w:ilvl w:val="0"/>
          <w:numId w:val="19"/>
        </w:numPr>
        <w:tabs>
          <w:tab w:val="left" w:pos="0"/>
        </w:tabs>
        <w:ind w:left="0" w:leftChars="0" w:firstLine="480" w:firstLineChars="0"/>
        <w:rPr>
          <w:rFonts w:ascii="Times New Roman" w:hAnsi="Times New Roman" w:eastAsia="宋体" w:cs="Times New Roman"/>
          <w:b/>
          <w:bCs/>
          <w:sz w:val="24"/>
        </w:rPr>
      </w:pPr>
      <w:r>
        <w:rPr>
          <w:rFonts w:ascii="Times New Roman" w:hAnsi="Times New Roman" w:eastAsia="宋体" w:cs="Times New Roman"/>
          <w:b/>
          <w:bCs/>
          <w:sz w:val="24"/>
        </w:rPr>
        <w:t>资格审查文件</w:t>
      </w:r>
    </w:p>
    <w:p w14:paraId="524762BB">
      <w:pPr>
        <w:pStyle w:val="11"/>
        <w:numPr>
          <w:ilvl w:val="0"/>
          <w:numId w:val="20"/>
        </w:numPr>
        <w:topLinePunct w:val="0"/>
        <w:ind w:left="0" w:leftChars="0" w:firstLine="480" w:firstLineChars="0"/>
        <w:rPr>
          <w:b w:val="0"/>
        </w:rPr>
      </w:pPr>
      <w:r>
        <w:t>法定代表人身份证明书及法定代表人有效身份证正反面复印件；</w:t>
      </w:r>
      <w:r>
        <w:rPr>
          <w:b/>
        </w:rPr>
        <w:t>（必须提供，加盖单位公章）</w:t>
      </w:r>
    </w:p>
    <w:p w14:paraId="18D18A2E">
      <w:pPr>
        <w:pStyle w:val="11"/>
        <w:numPr>
          <w:ilvl w:val="0"/>
          <w:numId w:val="20"/>
        </w:numPr>
        <w:topLinePunct w:val="0"/>
        <w:ind w:left="0" w:leftChars="0" w:firstLine="480" w:firstLineChars="0"/>
        <w:rPr>
          <w:b w:val="0"/>
        </w:rPr>
      </w:pPr>
      <w:r>
        <w:t>法定代表人授权委托书及被授权人有效身份证正反面复印件；</w:t>
      </w:r>
      <w:r>
        <w:rPr>
          <w:b/>
        </w:rPr>
        <w:t>（委托代理时必须提供，加盖单位公章）</w:t>
      </w:r>
    </w:p>
    <w:p w14:paraId="61860FEB">
      <w:pPr>
        <w:pStyle w:val="11"/>
        <w:numPr>
          <w:ilvl w:val="0"/>
          <w:numId w:val="20"/>
        </w:numPr>
        <w:topLinePunct w:val="0"/>
        <w:ind w:left="0" w:leftChars="0" w:firstLine="480" w:firstLineChars="0"/>
        <w:rPr>
          <w:b w:val="0"/>
        </w:rPr>
      </w:pPr>
      <w:r>
        <w:t>供应商基本情况表（附有效的营业执照副本、企业资质证书副本、安全生产许可证副本复印件）；</w:t>
      </w:r>
      <w:r>
        <w:rPr>
          <w:b/>
        </w:rPr>
        <w:t>（必须提供，加盖单位公章）</w:t>
      </w:r>
    </w:p>
    <w:p w14:paraId="479584ED">
      <w:pPr>
        <w:pStyle w:val="11"/>
        <w:numPr>
          <w:ilvl w:val="0"/>
          <w:numId w:val="20"/>
        </w:numPr>
        <w:topLinePunct w:val="0"/>
        <w:ind w:left="0" w:leftChars="0" w:firstLine="480" w:firstLineChars="0"/>
        <w:rPr>
          <w:b w:val="0"/>
        </w:rPr>
      </w:pPr>
      <w:r>
        <w:t>建设工程项目管理承诺书；</w:t>
      </w:r>
      <w:r>
        <w:rPr>
          <w:b/>
        </w:rPr>
        <w:t>（必须提供，加盖单位公章）</w:t>
      </w:r>
    </w:p>
    <w:p w14:paraId="3F53A7D4">
      <w:pPr>
        <w:pStyle w:val="11"/>
        <w:numPr>
          <w:ilvl w:val="0"/>
          <w:numId w:val="20"/>
        </w:numPr>
        <w:topLinePunct w:val="0"/>
        <w:ind w:left="0" w:leftChars="0" w:firstLine="480" w:firstLineChars="0"/>
        <w:rPr>
          <w:b w:val="0"/>
        </w:rPr>
      </w:pPr>
      <w:r>
        <w:t>项目经理须具备公路工程或市政公用工程专业二级（含二级）以上注册建造师执业资格，具备有效的安全生产考核合格证书（B类）的证明材料复印件；（必须提供，加盖单位公章）</w:t>
      </w:r>
    </w:p>
    <w:p w14:paraId="634832A4">
      <w:pPr>
        <w:pStyle w:val="11"/>
        <w:numPr>
          <w:ilvl w:val="0"/>
          <w:numId w:val="20"/>
        </w:numPr>
        <w:topLinePunct w:val="0"/>
        <w:ind w:left="0" w:leftChars="0" w:firstLine="480" w:firstLineChars="0"/>
        <w:rPr>
          <w:b w:val="0"/>
        </w:rPr>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1AF22011">
      <w:pPr>
        <w:pStyle w:val="11"/>
        <w:numPr>
          <w:ilvl w:val="0"/>
          <w:numId w:val="20"/>
        </w:numPr>
        <w:topLinePunct w:val="0"/>
        <w:ind w:left="0" w:leftChars="0" w:firstLine="480" w:firstLineChars="0"/>
        <w:rPr>
          <w:b w:val="0"/>
        </w:rPr>
      </w:pPr>
      <w:r>
        <w:t>磋商供应商提供近半年内连续三个月依法纳税的完税凭证复印件或者《依法纳税或依法免税证明》复印件，如为新成立的磋商单位请按实际依法缴纳月份提供（必须提供，并加盖公章）；</w:t>
      </w:r>
    </w:p>
    <w:p w14:paraId="3605A88F">
      <w:pPr>
        <w:pStyle w:val="11"/>
        <w:numPr>
          <w:ilvl w:val="0"/>
          <w:numId w:val="20"/>
        </w:numPr>
        <w:topLinePunct w:val="0"/>
        <w:ind w:left="0" w:leftChars="0" w:firstLine="480" w:firstLineChars="0"/>
        <w:rPr>
          <w:b w:val="0"/>
        </w:rPr>
      </w:pPr>
      <w:r>
        <w:t>磋商供应商2022或2023年度经审计财务报告复印件（若为新成立的企业，可根据实际情况提供月度财务报表，格式自拟）；</w:t>
      </w:r>
    </w:p>
    <w:p w14:paraId="31CA2BD2">
      <w:pPr>
        <w:pStyle w:val="11"/>
        <w:numPr>
          <w:ilvl w:val="0"/>
          <w:numId w:val="20"/>
        </w:numPr>
        <w:topLinePunct w:val="0"/>
        <w:ind w:left="0" w:leftChars="0" w:firstLine="480" w:firstLineChars="0"/>
        <w:rPr>
          <w:b w:val="0"/>
        </w:rPr>
      </w:pPr>
      <w:r>
        <w:t>参加政府采购活动前3年内在经营活动中没有重大违法记录的书面声明；（</w:t>
      </w:r>
      <w:r>
        <w:rPr>
          <w:b/>
        </w:rPr>
        <w:t>必须提供，加盖单位公章</w:t>
      </w:r>
      <w:r>
        <w:t>）</w:t>
      </w:r>
    </w:p>
    <w:p w14:paraId="5A5D2132">
      <w:pPr>
        <w:pStyle w:val="11"/>
        <w:numPr>
          <w:ilvl w:val="0"/>
          <w:numId w:val="20"/>
        </w:numPr>
        <w:topLinePunct w:val="0"/>
        <w:ind w:left="0" w:leftChars="0" w:firstLine="480" w:firstLineChars="0"/>
        <w:rPr>
          <w:b w:val="0"/>
        </w:rPr>
      </w:pPr>
      <w:r>
        <w:t>供应商参加本项目无围标串标行为的承诺函（格式后附）（</w:t>
      </w:r>
      <w:r>
        <w:rPr>
          <w:b/>
        </w:rPr>
        <w:t>必须提供，加盖单位公章</w:t>
      </w:r>
      <w:r>
        <w:t>）</w:t>
      </w:r>
    </w:p>
    <w:p w14:paraId="3AA0797F">
      <w:pPr>
        <w:pStyle w:val="11"/>
        <w:numPr>
          <w:ilvl w:val="0"/>
          <w:numId w:val="20"/>
        </w:numPr>
        <w:topLinePunct w:val="0"/>
        <w:ind w:left="0" w:leftChars="0" w:firstLine="480" w:firstLineChars="0"/>
        <w:rPr>
          <w:b w:val="0"/>
        </w:rPr>
      </w:pPr>
      <w:r>
        <w:t>供应商认为资格审查需要的其他材料</w:t>
      </w:r>
    </w:p>
    <w:p w14:paraId="64E14F9E">
      <w:pPr>
        <w:pStyle w:val="11"/>
        <w:numPr>
          <w:ilvl w:val="0"/>
          <w:numId w:val="19"/>
        </w:numPr>
        <w:tabs>
          <w:tab w:val="left" w:pos="0"/>
        </w:tabs>
        <w:ind w:left="0" w:leftChars="0" w:firstLine="480" w:firstLineChars="0"/>
        <w:rPr>
          <w:b/>
          <w:color w:val="000000"/>
        </w:rPr>
      </w:pPr>
      <w:r>
        <w:rPr>
          <w:rFonts w:ascii="Times New Roman" w:hAnsi="Times New Roman" w:eastAsia="宋体" w:cs="Times New Roman"/>
          <w:b/>
          <w:bCs/>
          <w:sz w:val="24"/>
        </w:rPr>
        <w:t>商务</w:t>
      </w:r>
      <w:r>
        <w:rPr>
          <w:b/>
          <w:color w:val="000000"/>
        </w:rPr>
        <w:t>文件</w:t>
      </w:r>
    </w:p>
    <w:p w14:paraId="33B3A6D9">
      <w:pPr>
        <w:pStyle w:val="11"/>
        <w:numPr>
          <w:ilvl w:val="0"/>
          <w:numId w:val="21"/>
        </w:numPr>
        <w:topLinePunct w:val="0"/>
        <w:ind w:left="0" w:leftChars="0" w:firstLine="480" w:firstLineChars="0"/>
        <w:rPr>
          <w:b w:val="0"/>
          <w:color w:val="000000"/>
        </w:rPr>
      </w:pPr>
      <w:r>
        <w:rPr>
          <w:color w:val="000000"/>
        </w:rPr>
        <w:t>磋商函；</w:t>
      </w:r>
      <w:r>
        <w:rPr>
          <w:b/>
          <w:color w:val="000000"/>
        </w:rPr>
        <w:t>（必须提供，加盖单位公章）</w:t>
      </w:r>
    </w:p>
    <w:p w14:paraId="7D197EDA">
      <w:pPr>
        <w:pStyle w:val="11"/>
        <w:numPr>
          <w:ilvl w:val="0"/>
          <w:numId w:val="21"/>
        </w:numPr>
        <w:topLinePunct w:val="0"/>
        <w:ind w:left="0" w:leftChars="0" w:firstLine="480" w:firstLineChars="0"/>
        <w:rPr>
          <w:b w:val="0"/>
          <w:color w:val="000000"/>
        </w:rPr>
      </w:pPr>
      <w:r>
        <w:rPr>
          <w:color w:val="000000"/>
        </w:rPr>
        <w:t>磋商函附录；</w:t>
      </w:r>
      <w:r>
        <w:rPr>
          <w:b/>
          <w:color w:val="000000"/>
        </w:rPr>
        <w:t>（必须提供，加盖单位公章）</w:t>
      </w:r>
    </w:p>
    <w:p w14:paraId="6A09E191">
      <w:pPr>
        <w:pStyle w:val="11"/>
        <w:numPr>
          <w:ilvl w:val="0"/>
          <w:numId w:val="21"/>
        </w:numPr>
        <w:topLinePunct w:val="0"/>
        <w:ind w:left="0" w:leftChars="0" w:firstLine="480" w:firstLineChars="0"/>
        <w:rPr>
          <w:b w:val="0"/>
          <w:color w:val="000000"/>
        </w:rPr>
      </w:pPr>
      <w:r>
        <w:rPr>
          <w:color w:val="000000"/>
        </w:rPr>
        <w:t>磋商报价表；</w:t>
      </w:r>
      <w:r>
        <w:rPr>
          <w:b/>
          <w:color w:val="000000"/>
        </w:rPr>
        <w:t>（必须提供，加盖单位公章）</w:t>
      </w:r>
    </w:p>
    <w:p w14:paraId="5033D4AE">
      <w:pPr>
        <w:pStyle w:val="11"/>
        <w:numPr>
          <w:ilvl w:val="0"/>
          <w:numId w:val="21"/>
        </w:numPr>
        <w:topLinePunct w:val="0"/>
        <w:ind w:left="0" w:leftChars="0" w:firstLine="480" w:firstLineChars="0"/>
        <w:rPr>
          <w:b w:val="0"/>
          <w:color w:val="000000"/>
        </w:rPr>
      </w:pPr>
      <w:r>
        <w:rPr>
          <w:color w:val="000000"/>
        </w:rPr>
        <w:t>已标价工程量清单；</w:t>
      </w:r>
      <w:r>
        <w:rPr>
          <w:b/>
          <w:color w:val="000000"/>
        </w:rPr>
        <w:t>（必须提供，加盖单位公章）</w:t>
      </w:r>
    </w:p>
    <w:p w14:paraId="2EEA7882">
      <w:pPr>
        <w:pStyle w:val="11"/>
        <w:numPr>
          <w:ilvl w:val="0"/>
          <w:numId w:val="21"/>
        </w:numPr>
        <w:topLinePunct w:val="0"/>
        <w:ind w:left="0" w:leftChars="0" w:firstLine="480" w:firstLineChars="0"/>
        <w:rPr>
          <w:b w:val="0"/>
          <w:color w:val="000000"/>
        </w:rPr>
      </w:pPr>
      <w:r>
        <w:rPr>
          <w:color w:val="000000"/>
        </w:rPr>
        <w:t>供应商认为必要提供的其它资料</w:t>
      </w:r>
    </w:p>
    <w:p w14:paraId="7F2CFCE9">
      <w:pPr>
        <w:pStyle w:val="11"/>
        <w:numPr>
          <w:ilvl w:val="0"/>
          <w:numId w:val="19"/>
        </w:numPr>
        <w:tabs>
          <w:tab w:val="left" w:pos="0"/>
        </w:tabs>
        <w:ind w:left="0" w:leftChars="0" w:firstLine="480" w:firstLineChars="0"/>
        <w:rPr>
          <w:b/>
          <w:color w:val="000000"/>
        </w:rPr>
      </w:pPr>
      <w:r>
        <w:rPr>
          <w:b/>
          <w:color w:val="000000"/>
        </w:rPr>
        <w:t>技术文件</w:t>
      </w:r>
    </w:p>
    <w:p w14:paraId="6380025B">
      <w:pPr>
        <w:pStyle w:val="11"/>
        <w:numPr>
          <w:ilvl w:val="0"/>
          <w:numId w:val="22"/>
        </w:numPr>
        <w:topLinePunct w:val="0"/>
        <w:ind w:left="0" w:leftChars="0" w:firstLine="480" w:firstLineChars="0"/>
        <w:rPr>
          <w:b w:val="0"/>
          <w:color w:val="000000"/>
        </w:rPr>
      </w:pPr>
      <w:r>
        <w:rPr>
          <w:color w:val="000000"/>
        </w:rPr>
        <w:t>施工组织设计；（必须提供，加盖单位公章）</w:t>
      </w:r>
    </w:p>
    <w:p w14:paraId="5CBB49F5">
      <w:pPr>
        <w:pStyle w:val="11"/>
        <w:numPr>
          <w:ilvl w:val="0"/>
          <w:numId w:val="22"/>
        </w:numPr>
        <w:topLinePunct w:val="0"/>
        <w:ind w:left="0" w:leftChars="0" w:firstLine="480" w:firstLineChars="0"/>
        <w:rPr>
          <w:b w:val="0"/>
          <w:color w:val="000000"/>
        </w:rPr>
      </w:pPr>
      <w:r>
        <w:rPr>
          <w:color w:val="000000"/>
        </w:rPr>
        <w:t>项目管理机构配备情况表；（必须提供，加盖单位公章）</w:t>
      </w:r>
    </w:p>
    <w:p w14:paraId="48BC3449">
      <w:pPr>
        <w:pStyle w:val="11"/>
        <w:numPr>
          <w:ilvl w:val="0"/>
          <w:numId w:val="22"/>
        </w:numPr>
        <w:topLinePunct w:val="0"/>
        <w:ind w:left="0" w:leftChars="0" w:firstLine="480" w:firstLineChars="0"/>
        <w:rPr>
          <w:b w:val="0"/>
          <w:color w:val="000000"/>
        </w:rPr>
      </w:pPr>
      <w:r>
        <w:rPr>
          <w:color w:val="000000"/>
        </w:rPr>
        <w:t>按本竞争性磋商文件规定提交的其它资料。</w:t>
      </w:r>
    </w:p>
    <w:p w14:paraId="39FB85E3">
      <w:pPr>
        <w:pStyle w:val="43"/>
        <w:numPr>
          <w:ilvl w:val="0"/>
          <w:numId w:val="0"/>
        </w:numPr>
        <w:ind w:leftChars="-1662"/>
        <w:jc w:val="left"/>
        <w:outlineLvl w:val="1"/>
        <w:rPr>
          <w:b/>
          <w:color w:val="000000"/>
        </w:rPr>
      </w:pPr>
      <w:r>
        <w:rPr>
          <w:b/>
          <w:color w:val="000000"/>
        </w:rPr>
        <w:t>▲特别说明：</w:t>
      </w:r>
    </w:p>
    <w:p w14:paraId="095FE50C">
      <w:pPr>
        <w:pStyle w:val="11"/>
        <w:rPr>
          <w:b/>
          <w:color w:val="000000"/>
        </w:rPr>
      </w:pPr>
      <w:r>
        <w:rPr>
          <w:rFonts w:hint="eastAsia" w:ascii="宋体" w:hAnsi="宋体"/>
          <w:b/>
          <w:color w:val="000000"/>
          <w:szCs w:val="21"/>
        </w:rPr>
        <w:t>▲特别说明：</w:t>
      </w:r>
      <w:r>
        <w:rPr>
          <w:b/>
          <w:color w:val="000000"/>
        </w:rPr>
        <w:t>（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2</w:t>
      </w:r>
      <w:r>
        <w:rPr>
          <w:rFonts w:hint="eastAsia"/>
          <w:b/>
          <w:color w:val="000000"/>
          <w:lang w:eastAsia="zh-CN"/>
        </w:rPr>
        <w:t>）</w:t>
      </w:r>
      <w:r>
        <w:rPr>
          <w:b/>
          <w:color w:val="000000"/>
        </w:rPr>
        <w:t>竞争性磋商文件要求提供的的各种复印件，须加盖磋商供应商CA签章，否则其磋商无效。</w:t>
      </w:r>
    </w:p>
    <w:p w14:paraId="785FD460">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3</w:t>
      </w:r>
      <w:r>
        <w:rPr>
          <w:rFonts w:hint="eastAsia"/>
          <w:b/>
          <w:color w:val="000000"/>
          <w:lang w:eastAsia="zh-CN"/>
        </w:rPr>
        <w:t>）</w:t>
      </w:r>
      <w:r>
        <w:rPr>
          <w:b/>
          <w:color w:val="000000"/>
        </w:rPr>
        <w:t>竞争性磋商文件要求“必须提供”的证明等材料，磋商供应商必须全部提供，缺一不可，否则磋商无效。</w:t>
      </w:r>
    </w:p>
    <w:p w14:paraId="74FE2DE2">
      <w:pPr>
        <w:pStyle w:val="11"/>
        <w:numPr>
          <w:ilvl w:val="0"/>
          <w:numId w:val="22"/>
        </w:numPr>
        <w:topLinePunct w:val="0"/>
        <w:ind w:left="0" w:leftChars="0" w:firstLine="480" w:firstLineChars="0"/>
        <w:rPr>
          <w:b/>
          <w:color w:val="000000"/>
        </w:rPr>
      </w:pPr>
      <w:r>
        <w:rPr>
          <w:b/>
          <w:color w:val="000000"/>
        </w:rPr>
        <w:t>竞争性磋商文件要求法定代表人（负责人）或委托代理人签字的部分必须签字然后扫描或者拍照做成pdf格式上传，无签字的视为磋商无效。</w:t>
      </w:r>
    </w:p>
    <w:p w14:paraId="1D457FE5">
      <w:pPr>
        <w:pStyle w:val="3"/>
        <w:numPr>
          <w:ilvl w:val="0"/>
          <w:numId w:val="11"/>
        </w:numPr>
        <w:tabs>
          <w:tab w:val="clear" w:pos="482"/>
        </w:tabs>
        <w:ind w:left="0" w:leftChars="0" w:firstLine="482" w:firstLineChars="0"/>
        <w:rPr>
          <w:b/>
          <w:color w:val="000000"/>
        </w:rPr>
      </w:pPr>
      <w:r>
        <w:t>响应文件</w:t>
      </w:r>
      <w:r>
        <w:rPr>
          <w:b/>
          <w:color w:val="000000"/>
        </w:rPr>
        <w:t>编制要求</w:t>
      </w:r>
    </w:p>
    <w:p w14:paraId="4247DE17">
      <w:pPr>
        <w:pStyle w:val="11"/>
        <w:numPr>
          <w:ilvl w:val="0"/>
          <w:numId w:val="23"/>
        </w:numPr>
        <w:ind w:left="0" w:leftChars="0" w:firstLine="480" w:firstLineChars="0"/>
        <w:rPr>
          <w:b w:val="0"/>
          <w:color w:val="000000"/>
        </w:rPr>
      </w:pPr>
      <w:r>
        <w:rPr>
          <w:rFonts w:hint="default" w:ascii="Times New Roman" w:hAnsi="Times New Roman" w:eastAsia="宋体" w:cs="Times New Roman"/>
          <w:b w:val="0"/>
          <w:color w:val="000000"/>
          <w:sz w:val="24"/>
        </w:rPr>
        <w:t>.</w:t>
      </w:r>
      <w:r>
        <w:rPr>
          <w:color w:val="000000"/>
        </w:rPr>
        <w:t>本项目实行电子投标，供应商应准备电子磋商响应文件：</w:t>
      </w:r>
    </w:p>
    <w:p w14:paraId="4761EE72">
      <w:pPr>
        <w:pStyle w:val="11"/>
        <w:rPr>
          <w:color w:val="000000"/>
        </w:rPr>
      </w:pPr>
      <w:r>
        <w:rPr>
          <w:color w:val="000000"/>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11"/>
        <w:rPr>
          <w:color w:val="000000"/>
        </w:rPr>
      </w:pPr>
      <w:r>
        <w:rPr>
          <w:color w:val="000000"/>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11"/>
        <w:numPr>
          <w:ilvl w:val="0"/>
          <w:numId w:val="23"/>
        </w:numPr>
        <w:ind w:left="0" w:leftChars="0" w:firstLine="480" w:firstLineChars="0"/>
        <w:rPr>
          <w:b w:val="0"/>
          <w:color w:val="000000"/>
        </w:rPr>
      </w:pPr>
      <w:r>
        <w:rPr>
          <w:color w:val="000000"/>
        </w:rPr>
        <w:t xml:space="preserve">磋商供应商应按采购文件的要求对竞争性磋商电子响应文件进行编制。  </w:t>
      </w:r>
    </w:p>
    <w:p w14:paraId="502E5C6F">
      <w:pPr>
        <w:pStyle w:val="11"/>
        <w:numPr>
          <w:ilvl w:val="0"/>
          <w:numId w:val="23"/>
        </w:numPr>
        <w:ind w:left="0" w:leftChars="0" w:firstLine="480" w:firstLineChars="0"/>
        <w:rPr>
          <w:b w:val="0"/>
          <w:color w:val="000000"/>
        </w:rPr>
      </w:pPr>
      <w:r>
        <w:rPr>
          <w:color w:val="000000"/>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11"/>
        <w:numPr>
          <w:ilvl w:val="0"/>
          <w:numId w:val="23"/>
        </w:numPr>
        <w:ind w:left="0" w:leftChars="0" w:firstLine="480" w:firstLineChars="0"/>
        <w:rPr>
          <w:b w:val="0"/>
          <w:color w:val="000000"/>
        </w:rPr>
      </w:pPr>
      <w:r>
        <w:rPr>
          <w:color w:val="000000"/>
        </w:rPr>
        <w:t xml:space="preserve">磋商供应商应认真阅读、并充分理解本文件的全部内容（包括所有的澄清、更改、补充、答疑等内容），承诺并履行本文件中各项条款规定及要求 。  </w:t>
      </w:r>
    </w:p>
    <w:p w14:paraId="67E45F83">
      <w:pPr>
        <w:pStyle w:val="11"/>
        <w:numPr>
          <w:ilvl w:val="0"/>
          <w:numId w:val="23"/>
        </w:numPr>
        <w:ind w:left="0" w:leftChars="0" w:firstLine="480" w:firstLineChars="0"/>
        <w:rPr>
          <w:b w:val="0"/>
          <w:color w:val="000000"/>
        </w:rPr>
      </w:pPr>
      <w:r>
        <w:rPr>
          <w:color w:val="000000"/>
        </w:rPr>
        <w:t>竞争性磋商响应文件必须按本文件的全部内容，包括所有的澄清、更改、补充、答疑等内容及附件进行编制。</w:t>
      </w:r>
    </w:p>
    <w:p w14:paraId="144B755D">
      <w:pPr>
        <w:pStyle w:val="11"/>
        <w:numPr>
          <w:ilvl w:val="0"/>
          <w:numId w:val="23"/>
        </w:numPr>
        <w:ind w:left="0" w:leftChars="0" w:firstLine="480" w:firstLineChars="0"/>
        <w:rPr>
          <w:b w:val="0"/>
          <w:color w:val="000000"/>
        </w:rPr>
      </w:pPr>
      <w:r>
        <w:rPr>
          <w:color w:val="000000"/>
        </w:rPr>
        <w:t xml:space="preserve">如因磋商供应商只填写和提供了本文件要求的部分内容和附件，而给磋商小组评审造成困难，其可能导致的结果和责任由磋商供应商自行承担。 </w:t>
      </w:r>
    </w:p>
    <w:p w14:paraId="2E55126E">
      <w:pPr>
        <w:pStyle w:val="11"/>
        <w:numPr>
          <w:ilvl w:val="0"/>
          <w:numId w:val="23"/>
        </w:numPr>
        <w:ind w:left="0" w:leftChars="0" w:firstLine="480" w:firstLineChars="0"/>
        <w:rPr>
          <w:b w:val="0"/>
          <w:color w:val="000000"/>
        </w:rPr>
      </w:pPr>
      <w:r>
        <w:rPr>
          <w:color w:val="000000"/>
        </w:rPr>
        <w:t xml:space="preserve">竞争性磋商响应文件的组成：竞争性磋商响应文件应分为资格审查文件、商务文件和技术文件三个部分组成。 </w:t>
      </w:r>
    </w:p>
    <w:p w14:paraId="2906BCF9">
      <w:pPr>
        <w:pStyle w:val="3"/>
        <w:numPr>
          <w:ilvl w:val="0"/>
          <w:numId w:val="11"/>
        </w:numPr>
        <w:tabs>
          <w:tab w:val="clear" w:pos="482"/>
        </w:tabs>
        <w:ind w:left="0" w:leftChars="0" w:firstLine="482" w:firstLineChars="0"/>
      </w:pPr>
      <w:r>
        <w:t>计量单位</w:t>
      </w:r>
    </w:p>
    <w:p w14:paraId="08BF59AF">
      <w:pPr>
        <w:pStyle w:val="11"/>
        <w:rPr>
          <w:color w:val="000000"/>
        </w:rPr>
      </w:pPr>
      <w:r>
        <w:rPr>
          <w:color w:val="000000"/>
        </w:rPr>
        <w:t>10.1除技术要求中另有规定外，本文件所要求使用的计量单位均应采用国家法定计量单位。</w:t>
      </w:r>
    </w:p>
    <w:p w14:paraId="2A27BCB9">
      <w:pPr>
        <w:pStyle w:val="3"/>
        <w:numPr>
          <w:ilvl w:val="0"/>
          <w:numId w:val="11"/>
        </w:numPr>
        <w:tabs>
          <w:tab w:val="clear" w:pos="482"/>
        </w:tabs>
        <w:ind w:left="0" w:leftChars="0" w:firstLine="482" w:firstLineChars="0"/>
        <w:rPr>
          <w:b/>
          <w:color w:val="000000"/>
        </w:rPr>
      </w:pPr>
      <w:r>
        <w:t>响应</w:t>
      </w:r>
      <w:r>
        <w:rPr>
          <w:b/>
          <w:color w:val="000000"/>
        </w:rPr>
        <w:t>文件有效期</w:t>
      </w:r>
    </w:p>
    <w:p w14:paraId="2B3ED28D">
      <w:pPr>
        <w:pStyle w:val="11"/>
        <w:numPr>
          <w:ilvl w:val="0"/>
          <w:numId w:val="24"/>
        </w:numPr>
        <w:ind w:left="0" w:leftChars="0" w:firstLine="480" w:firstLineChars="0"/>
        <w:rPr>
          <w:b w:val="0"/>
          <w:color w:val="000000"/>
        </w:rPr>
      </w:pPr>
      <w:r>
        <w:rPr>
          <w:color w:val="000000"/>
        </w:rPr>
        <w:t>响应文件有效期按须知前附表规定的期限，有效期不足的响应文件按无效处理。</w:t>
      </w:r>
    </w:p>
    <w:p w14:paraId="380BF1FE">
      <w:pPr>
        <w:pStyle w:val="11"/>
        <w:numPr>
          <w:ilvl w:val="0"/>
          <w:numId w:val="24"/>
        </w:numPr>
        <w:ind w:left="0" w:leftChars="0" w:firstLine="480" w:firstLineChars="0"/>
        <w:rPr>
          <w:b w:val="0"/>
          <w:color w:val="000000"/>
        </w:rPr>
      </w:pPr>
      <w:bookmarkStart w:id="47" w:name="_Toc254970540"/>
      <w:bookmarkStart w:id="48" w:name="_Toc254970681"/>
      <w:r>
        <w:rPr>
          <w:color w:val="000000"/>
        </w:rPr>
        <w:t>未成交的响应文件有效期内均应保持有效。</w:t>
      </w:r>
      <w:bookmarkEnd w:id="47"/>
      <w:bookmarkEnd w:id="48"/>
    </w:p>
    <w:p w14:paraId="331F5137">
      <w:pPr>
        <w:pStyle w:val="11"/>
        <w:numPr>
          <w:ilvl w:val="0"/>
          <w:numId w:val="24"/>
        </w:numPr>
        <w:ind w:left="0" w:leftChars="0" w:firstLine="480" w:firstLineChars="0"/>
        <w:rPr>
          <w:b w:val="0"/>
          <w:color w:val="000000"/>
        </w:rPr>
      </w:pPr>
      <w:r>
        <w:rPr>
          <w:color w:val="000000"/>
        </w:rPr>
        <w:t>成交供应商的响应文件自响应文件递交截止之日起至合同履行完毕止均应保持有效。</w:t>
      </w:r>
    </w:p>
    <w:p w14:paraId="7171DB91">
      <w:pPr>
        <w:pStyle w:val="3"/>
        <w:numPr>
          <w:ilvl w:val="0"/>
          <w:numId w:val="11"/>
        </w:numPr>
        <w:tabs>
          <w:tab w:val="clear" w:pos="482"/>
        </w:tabs>
        <w:ind w:left="0" w:leftChars="0" w:firstLine="482" w:firstLineChars="0"/>
        <w:rPr>
          <w:b/>
          <w:color w:val="000000"/>
        </w:rPr>
      </w:pPr>
      <w:r>
        <w:t>磋商</w:t>
      </w:r>
      <w:r>
        <w:rPr>
          <w:b/>
          <w:color w:val="000000"/>
        </w:rPr>
        <w:t>保证金</w:t>
      </w:r>
    </w:p>
    <w:p w14:paraId="0769A59E">
      <w:pPr>
        <w:pStyle w:val="11"/>
        <w:numPr>
          <w:ilvl w:val="0"/>
          <w:numId w:val="25"/>
        </w:numPr>
        <w:ind w:left="0" w:leftChars="0" w:firstLine="480" w:firstLineChars="0"/>
        <w:rPr>
          <w:b w:val="0"/>
          <w:color w:val="000000"/>
        </w:rPr>
      </w:pPr>
      <w:r>
        <w:rPr>
          <w:color w:val="000000"/>
        </w:rPr>
        <w:t>供应商必须按须知前附表的规定交纳磋商保证金，否则，其响应文件按无效响应处理。</w:t>
      </w:r>
    </w:p>
    <w:p w14:paraId="27F73E8A">
      <w:pPr>
        <w:pStyle w:val="11"/>
        <w:numPr>
          <w:ilvl w:val="0"/>
          <w:numId w:val="25"/>
        </w:numPr>
        <w:ind w:left="0" w:leftChars="0" w:firstLine="480" w:firstLineChars="0"/>
        <w:rPr>
          <w:b w:val="0"/>
          <w:color w:val="000000"/>
        </w:rPr>
      </w:pPr>
      <w:r>
        <w:rPr>
          <w:color w:val="000000"/>
        </w:rPr>
        <w:t>磋商保证金交纳方式：按须知前附表的规定。</w:t>
      </w:r>
    </w:p>
    <w:p w14:paraId="5163E597">
      <w:pPr>
        <w:pStyle w:val="11"/>
        <w:numPr>
          <w:ilvl w:val="0"/>
          <w:numId w:val="25"/>
        </w:numPr>
        <w:ind w:left="0" w:leftChars="0" w:firstLine="480" w:firstLineChars="0"/>
        <w:rPr>
          <w:b w:val="0"/>
          <w:color w:val="000000"/>
        </w:rPr>
      </w:pPr>
      <w:r>
        <w:rPr>
          <w:color w:val="000000"/>
        </w:rPr>
        <w:t>磋商保证金交纳截止时间：按须知前附表的规定。</w:t>
      </w:r>
    </w:p>
    <w:p w14:paraId="235DA851">
      <w:pPr>
        <w:pStyle w:val="11"/>
        <w:numPr>
          <w:ilvl w:val="0"/>
          <w:numId w:val="25"/>
        </w:numPr>
        <w:ind w:left="0" w:leftChars="0" w:firstLine="480" w:firstLineChars="0"/>
        <w:rPr>
          <w:b w:val="0"/>
          <w:color w:val="000000"/>
        </w:rPr>
      </w:pPr>
      <w:r>
        <w:rPr>
          <w:color w:val="000000"/>
        </w:rPr>
        <w:t>磋商保证金：详见须知前附表。</w:t>
      </w:r>
    </w:p>
    <w:p w14:paraId="7EDF76F2">
      <w:pPr>
        <w:pStyle w:val="11"/>
        <w:numPr>
          <w:ilvl w:val="0"/>
          <w:numId w:val="25"/>
        </w:numPr>
        <w:ind w:left="0" w:leftChars="0" w:firstLine="480" w:firstLineChars="0"/>
        <w:rPr>
          <w:b w:val="0"/>
          <w:color w:val="000000"/>
        </w:rPr>
      </w:pPr>
      <w:r>
        <w:rPr>
          <w:color w:val="000000"/>
        </w:rPr>
        <w:t>磋商保证金的退还均以转账形式退回到供应商银行账户。</w:t>
      </w:r>
    </w:p>
    <w:p w14:paraId="320B5B66">
      <w:pPr>
        <w:pStyle w:val="11"/>
        <w:numPr>
          <w:ilvl w:val="0"/>
          <w:numId w:val="25"/>
        </w:numPr>
        <w:ind w:left="0" w:leftChars="0" w:firstLine="480" w:firstLineChars="0"/>
        <w:rPr>
          <w:b w:val="0"/>
          <w:color w:val="000000"/>
        </w:rPr>
      </w:pPr>
      <w:r>
        <w:rPr>
          <w:color w:val="000000"/>
        </w:rPr>
        <w:t>有下列情形之一的，磋商保证金不予退还：</w:t>
      </w:r>
    </w:p>
    <w:p w14:paraId="5604B58E">
      <w:pPr>
        <w:pStyle w:val="11"/>
        <w:numPr>
          <w:ilvl w:val="0"/>
          <w:numId w:val="26"/>
        </w:numPr>
        <w:ind w:left="0" w:leftChars="0" w:firstLine="480" w:firstLineChars="0"/>
        <w:rPr>
          <w:b w:val="0"/>
          <w:color w:val="000000"/>
        </w:rPr>
      </w:pPr>
      <w:r>
        <w:rPr>
          <w:color w:val="000000"/>
        </w:rPr>
        <w:t xml:space="preserve">供应商在提交响应文件截止时间后撤回响应文件的； </w:t>
      </w:r>
    </w:p>
    <w:p w14:paraId="57FCE81E">
      <w:pPr>
        <w:pStyle w:val="11"/>
        <w:numPr>
          <w:ilvl w:val="0"/>
          <w:numId w:val="26"/>
        </w:numPr>
        <w:ind w:left="0" w:leftChars="0" w:firstLine="480" w:firstLineChars="0"/>
        <w:rPr>
          <w:b w:val="0"/>
          <w:color w:val="000000"/>
        </w:rPr>
      </w:pPr>
      <w:r>
        <w:rPr>
          <w:color w:val="000000"/>
        </w:rPr>
        <w:t>供应商在响应文件中提供虚假材料的；</w:t>
      </w:r>
    </w:p>
    <w:p w14:paraId="7A01B46A">
      <w:pPr>
        <w:pStyle w:val="11"/>
        <w:numPr>
          <w:ilvl w:val="0"/>
          <w:numId w:val="26"/>
        </w:numPr>
        <w:ind w:left="0" w:leftChars="0" w:firstLine="480" w:firstLineChars="0"/>
        <w:rPr>
          <w:b w:val="0"/>
          <w:color w:val="000000"/>
        </w:rPr>
      </w:pPr>
      <w:r>
        <w:rPr>
          <w:color w:val="000000"/>
        </w:rPr>
        <w:t>除因不可抗力或磋商文件认可的情形以外，成交供应商不与采购人签订合同的；</w:t>
      </w:r>
    </w:p>
    <w:p w14:paraId="33A9771C">
      <w:pPr>
        <w:pStyle w:val="11"/>
        <w:numPr>
          <w:ilvl w:val="0"/>
          <w:numId w:val="26"/>
        </w:numPr>
        <w:ind w:left="0" w:leftChars="0" w:firstLine="480" w:firstLineChars="0"/>
        <w:rPr>
          <w:b w:val="0"/>
          <w:color w:val="000000"/>
        </w:rPr>
      </w:pPr>
      <w:r>
        <w:rPr>
          <w:color w:val="000000"/>
        </w:rPr>
        <w:t>供应商与采购人、其他供应商或者采购代理机构恶意串通的；</w:t>
      </w:r>
    </w:p>
    <w:p w14:paraId="5D10B749">
      <w:pPr>
        <w:pStyle w:val="11"/>
        <w:numPr>
          <w:ilvl w:val="0"/>
          <w:numId w:val="26"/>
        </w:numPr>
        <w:ind w:left="0" w:leftChars="0" w:firstLine="480" w:firstLineChars="0"/>
        <w:rPr>
          <w:b w:val="0"/>
          <w:color w:val="000000"/>
        </w:rPr>
      </w:pPr>
      <w:r>
        <w:rPr>
          <w:color w:val="000000"/>
        </w:rPr>
        <w:t>法律法规规定的其他情形。</w:t>
      </w:r>
    </w:p>
    <w:p w14:paraId="31BA8C48">
      <w:pPr>
        <w:pStyle w:val="3"/>
        <w:numPr>
          <w:ilvl w:val="0"/>
          <w:numId w:val="11"/>
        </w:numPr>
        <w:tabs>
          <w:tab w:val="clear" w:pos="482"/>
        </w:tabs>
        <w:ind w:left="0" w:leftChars="0" w:firstLine="482" w:firstLineChars="0"/>
        <w:rPr>
          <w:b/>
          <w:color w:val="000000"/>
        </w:rPr>
      </w:pPr>
      <w:r>
        <w:rPr>
          <w:b/>
          <w:color w:val="000000"/>
        </w:rPr>
        <w:t>磋</w:t>
      </w:r>
      <w:r>
        <w:rPr>
          <w:rFonts w:ascii="Times New Roman" w:hAnsi="Times New Roman" w:eastAsia="宋体" w:cs="Times New Roman"/>
          <w:b/>
          <w:kern w:val="2"/>
          <w:sz w:val="24"/>
        </w:rPr>
        <w:t>商</w:t>
      </w:r>
      <w:r>
        <w:rPr>
          <w:b/>
          <w:color w:val="000000"/>
        </w:rPr>
        <w:t>报价要求</w:t>
      </w:r>
      <w:r>
        <w:rPr>
          <w:color w:val="000000"/>
        </w:rPr>
        <w:t>：见本须知前附表。</w:t>
      </w:r>
    </w:p>
    <w:p w14:paraId="7BFD0B5F">
      <w:pPr>
        <w:pStyle w:val="3"/>
        <w:numPr>
          <w:ilvl w:val="0"/>
          <w:numId w:val="11"/>
        </w:numPr>
        <w:tabs>
          <w:tab w:val="clear" w:pos="482"/>
        </w:tabs>
        <w:ind w:left="0" w:leftChars="0" w:firstLine="482" w:firstLineChars="0"/>
        <w:rPr>
          <w:b/>
          <w:color w:val="000000"/>
        </w:rPr>
      </w:pPr>
      <w:r>
        <w:rPr>
          <w:b/>
          <w:color w:val="000000"/>
        </w:rPr>
        <w:t>响应文件的份数、封装</w:t>
      </w:r>
    </w:p>
    <w:p w14:paraId="7623666F">
      <w:pPr>
        <w:pStyle w:val="11"/>
        <w:numPr>
          <w:ilvl w:val="0"/>
          <w:numId w:val="27"/>
        </w:numPr>
        <w:ind w:left="0" w:leftChars="0" w:firstLine="480" w:firstLineChars="0"/>
        <w:rPr>
          <w:b w:val="0"/>
          <w:color w:val="000000"/>
        </w:rPr>
      </w:pPr>
      <w:r>
        <w:rPr>
          <w:color w:val="000000"/>
        </w:rPr>
        <w:t>磋商响应文件的封装</w:t>
      </w:r>
    </w:p>
    <w:p w14:paraId="1CB70441">
      <w:pPr>
        <w:pStyle w:val="11"/>
        <w:numPr>
          <w:ilvl w:val="0"/>
          <w:numId w:val="28"/>
        </w:numPr>
        <w:ind w:left="0" w:leftChars="0" w:firstLine="480" w:firstLineChars="0"/>
        <w:rPr>
          <w:b w:val="0"/>
          <w:color w:val="000000"/>
        </w:rPr>
      </w:pPr>
      <w:r>
        <w:rPr>
          <w:color w:val="000000"/>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11"/>
        <w:numPr>
          <w:ilvl w:val="0"/>
          <w:numId w:val="28"/>
        </w:numPr>
        <w:ind w:left="0" w:leftChars="0" w:firstLine="480" w:firstLineChars="0"/>
        <w:rPr>
          <w:b w:val="0"/>
          <w:color w:val="000000"/>
        </w:rPr>
      </w:pPr>
      <w:r>
        <w:rPr>
          <w:color w:val="000000"/>
        </w:rPr>
        <w:t>CA 签章上目前没有法人（负责人）或授权代表签字信息，供应商在磋商响应文件中涉及到签字的位置线下签好字然后扫描或者拍照做成PDF的格式即可。</w:t>
      </w:r>
    </w:p>
    <w:p w14:paraId="6D2424C2">
      <w:pPr>
        <w:pStyle w:val="11"/>
        <w:numPr>
          <w:ilvl w:val="0"/>
          <w:numId w:val="27"/>
        </w:numPr>
        <w:ind w:left="0" w:leftChars="0" w:firstLine="480" w:firstLineChars="0"/>
        <w:rPr>
          <w:b w:val="0"/>
          <w:color w:val="000000"/>
        </w:rPr>
      </w:pPr>
      <w:r>
        <w:rPr>
          <w:color w:val="000000"/>
        </w:rPr>
        <w:t>磋商响应文件不得涂改，若有修改错漏处，须法定代表人（负责人）或授权委托人签字。磋商响应文件因字迹潦草或表达不清所引起的后果由供应商负责。</w:t>
      </w:r>
    </w:p>
    <w:p w14:paraId="7BCCFD84">
      <w:pPr>
        <w:pStyle w:val="3"/>
        <w:numPr>
          <w:ilvl w:val="0"/>
          <w:numId w:val="11"/>
        </w:numPr>
        <w:tabs>
          <w:tab w:val="clear" w:pos="482"/>
        </w:tabs>
        <w:ind w:left="0" w:leftChars="0" w:firstLine="482" w:firstLineChars="0"/>
        <w:rPr>
          <w:b/>
          <w:color w:val="000000"/>
        </w:rPr>
      </w:pPr>
      <w:r>
        <w:rPr>
          <w:b/>
          <w:color w:val="000000"/>
        </w:rPr>
        <w:t>响应文件的递交</w:t>
      </w:r>
    </w:p>
    <w:p w14:paraId="730229FA">
      <w:pPr>
        <w:pStyle w:val="11"/>
        <w:numPr>
          <w:ilvl w:val="0"/>
          <w:numId w:val="29"/>
        </w:numPr>
        <w:ind w:left="0" w:leftChars="0" w:firstLine="480" w:firstLineChars="0"/>
        <w:rPr>
          <w:b w:val="0"/>
          <w:color w:val="000000"/>
        </w:rPr>
      </w:pPr>
      <w:r>
        <w:rPr>
          <w:color w:val="000000"/>
        </w:rPr>
        <w:t>所有竞争性磋商响应文件应于竞争性磋商文件中规定的时间前上传递交至政采云平台。</w:t>
      </w:r>
    </w:p>
    <w:p w14:paraId="60AC7614">
      <w:pPr>
        <w:pStyle w:val="11"/>
        <w:numPr>
          <w:ilvl w:val="0"/>
          <w:numId w:val="29"/>
        </w:numPr>
        <w:ind w:left="0" w:leftChars="0" w:firstLine="480" w:firstLineChars="0"/>
        <w:rPr>
          <w:b w:val="0"/>
          <w:color w:val="000000"/>
        </w:rPr>
      </w:pPr>
      <w:r>
        <w:rPr>
          <w:color w:val="000000"/>
        </w:rPr>
        <w:t xml:space="preserve">竞争性磋商响应文件从响应文件递交截止日期后60天内有效。  </w:t>
      </w:r>
    </w:p>
    <w:p w14:paraId="77776321">
      <w:pPr>
        <w:pStyle w:val="11"/>
        <w:numPr>
          <w:ilvl w:val="0"/>
          <w:numId w:val="0"/>
        </w:numPr>
        <w:ind w:left="480" w:leftChars="0"/>
        <w:rPr>
          <w:b/>
          <w:color w:val="000000"/>
        </w:rPr>
      </w:pPr>
      <w:r>
        <w:rPr>
          <w:b/>
          <w:color w:val="000000"/>
        </w:rPr>
        <w:t>电子响应文件的相关说明</w:t>
      </w:r>
    </w:p>
    <w:p w14:paraId="77BAE903">
      <w:pPr>
        <w:pStyle w:val="11"/>
        <w:numPr>
          <w:ilvl w:val="0"/>
          <w:numId w:val="30"/>
        </w:numPr>
        <w:topLinePunct w:val="0"/>
        <w:ind w:left="0" w:leftChars="0" w:firstLine="482" w:firstLineChars="0"/>
        <w:rPr>
          <w:b/>
          <w:color w:val="000000"/>
        </w:rPr>
      </w:pPr>
      <w:r>
        <w:rPr>
          <w:b/>
          <w:color w:val="000000"/>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F510085">
      <w:pPr>
        <w:pStyle w:val="11"/>
        <w:numPr>
          <w:ilvl w:val="0"/>
          <w:numId w:val="30"/>
        </w:numPr>
        <w:topLinePunct w:val="0"/>
        <w:ind w:left="0" w:leftChars="0" w:firstLine="482" w:firstLineChars="0"/>
        <w:rPr>
          <w:b/>
          <w:color w:val="000000"/>
        </w:rPr>
      </w:pPr>
      <w:r>
        <w:rPr>
          <w:b/>
          <w:color w:val="000000"/>
        </w:rPr>
        <w:t>如有特殊情况，采购代理机构延长截止时间和开标时间，采购代理机构和供应商的权利和义务将受到新的截止时间和开标时间的约束。</w:t>
      </w:r>
    </w:p>
    <w:p w14:paraId="3CDAA722">
      <w:pPr>
        <w:pStyle w:val="3"/>
        <w:numPr>
          <w:ilvl w:val="0"/>
          <w:numId w:val="11"/>
        </w:numPr>
        <w:tabs>
          <w:tab w:val="clear" w:pos="482"/>
        </w:tabs>
        <w:ind w:left="0" w:leftChars="0" w:firstLine="482" w:firstLineChars="0"/>
        <w:rPr>
          <w:b/>
          <w:color w:val="000000"/>
        </w:rPr>
      </w:pPr>
      <w:r>
        <w:rPr>
          <w:b/>
          <w:color w:val="000000"/>
        </w:rPr>
        <w:t>响应文件的补充、修改</w:t>
      </w:r>
    </w:p>
    <w:p w14:paraId="7FDE9817">
      <w:pPr>
        <w:pStyle w:val="11"/>
        <w:rPr>
          <w:color w:val="000000"/>
        </w:rPr>
      </w:pPr>
      <w:r>
        <w:rPr>
          <w:color w:val="000000"/>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3"/>
        <w:numPr>
          <w:ilvl w:val="0"/>
          <w:numId w:val="11"/>
        </w:numPr>
        <w:tabs>
          <w:tab w:val="clear" w:pos="482"/>
        </w:tabs>
        <w:ind w:left="0" w:leftChars="0" w:firstLine="482" w:firstLineChars="0"/>
        <w:rPr>
          <w:b/>
          <w:color w:val="000000"/>
        </w:rPr>
      </w:pPr>
      <w:r>
        <w:rPr>
          <w:b/>
          <w:color w:val="000000"/>
        </w:rPr>
        <w:t>迟交的响应文件</w:t>
      </w:r>
    </w:p>
    <w:p w14:paraId="23205449">
      <w:pPr>
        <w:pStyle w:val="11"/>
        <w:rPr>
          <w:color w:val="000000"/>
        </w:rPr>
      </w:pPr>
      <w:r>
        <w:rPr>
          <w:color w:val="000000"/>
        </w:rPr>
        <w:t>采购代理机构拒绝在其规定的递交响应文件截止时间之后收到的任何响应文件。</w:t>
      </w:r>
    </w:p>
    <w:p w14:paraId="2950F2DC">
      <w:pPr>
        <w:pStyle w:val="11"/>
        <w:rPr>
          <w:color w:val="000000"/>
        </w:rPr>
      </w:pPr>
      <w:r>
        <w:rPr>
          <w:color w:val="000000"/>
        </w:rPr>
        <w:t>供应商应认真阅读、并充分理解本文件的全部内容（包括所有的补充、修改内容），承诺并履行本文件中各项条款规定及要求。</w:t>
      </w:r>
    </w:p>
    <w:p w14:paraId="776E74FE">
      <w:pPr>
        <w:pStyle w:val="11"/>
        <w:rPr>
          <w:color w:val="000000"/>
        </w:rPr>
      </w:pPr>
      <w:r>
        <w:rPr>
          <w:color w:val="000000"/>
        </w:rPr>
        <w:t>响应文件必须按本文件的全部内容，包括所有的补充通知及附件进行编制。</w:t>
      </w:r>
    </w:p>
    <w:p w14:paraId="67434592">
      <w:pPr>
        <w:pStyle w:val="11"/>
        <w:rPr>
          <w:color w:val="000000"/>
        </w:rPr>
      </w:pPr>
      <w:r>
        <w:rPr>
          <w:color w:val="000000"/>
        </w:rPr>
        <w:t>如因供应商只填写和提供了本文件要求的部分内容和附件，而给评审造成困难，其可能导致的结果和责任由供应商自行承担。</w:t>
      </w:r>
    </w:p>
    <w:p w14:paraId="4A8140A9">
      <w:pPr>
        <w:pStyle w:val="2"/>
        <w:numPr>
          <w:ilvl w:val="0"/>
          <w:numId w:val="10"/>
        </w:numPr>
        <w:tabs>
          <w:tab w:val="clear" w:pos="482"/>
        </w:tabs>
        <w:topLinePunct w:val="0"/>
        <w:ind w:left="0" w:leftChars="0" w:firstLine="0" w:firstLineChars="0"/>
        <w:rPr>
          <w:b/>
        </w:rPr>
      </w:pPr>
      <w:r>
        <w:t>响应文件评审程序</w:t>
      </w:r>
    </w:p>
    <w:p w14:paraId="45E352BF">
      <w:pPr>
        <w:pStyle w:val="3"/>
        <w:numPr>
          <w:ilvl w:val="0"/>
          <w:numId w:val="11"/>
        </w:numPr>
        <w:tabs>
          <w:tab w:val="clear" w:pos="482"/>
        </w:tabs>
        <w:ind w:left="0" w:leftChars="0" w:firstLine="482" w:firstLineChars="0"/>
        <w:rPr>
          <w:b/>
          <w:color w:val="000000"/>
        </w:rPr>
      </w:pPr>
      <w:r>
        <w:rPr>
          <w:b/>
          <w:color w:val="000000"/>
        </w:rPr>
        <w:t>磋商小组组建</w:t>
      </w:r>
    </w:p>
    <w:p w14:paraId="4B8D3B9C">
      <w:pPr>
        <w:pStyle w:val="11"/>
        <w:numPr>
          <w:ilvl w:val="0"/>
          <w:numId w:val="31"/>
        </w:numPr>
        <w:ind w:left="0" w:leftChars="0" w:firstLine="480" w:firstLineChars="0"/>
        <w:rPr>
          <w:b w:val="0"/>
          <w:color w:val="000000"/>
        </w:rPr>
      </w:pPr>
      <w: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11"/>
        <w:numPr>
          <w:ilvl w:val="0"/>
          <w:numId w:val="31"/>
        </w:numPr>
        <w:ind w:left="0" w:leftChars="0" w:firstLine="480" w:firstLineChars="0"/>
        <w:rPr>
          <w:b w:val="0"/>
          <w:color w:val="000000"/>
        </w:rPr>
      </w:pPr>
      <w:r>
        <w:rPr>
          <w:color w:val="000000"/>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3"/>
        <w:numPr>
          <w:ilvl w:val="0"/>
          <w:numId w:val="11"/>
        </w:numPr>
        <w:tabs>
          <w:tab w:val="clear" w:pos="482"/>
        </w:tabs>
        <w:ind w:left="0" w:leftChars="0" w:firstLine="482" w:firstLineChars="0"/>
        <w:rPr>
          <w:b/>
          <w:color w:val="000000"/>
        </w:rPr>
      </w:pPr>
      <w:r>
        <w:t>评审</w:t>
      </w:r>
      <w:r>
        <w:rPr>
          <w:b/>
          <w:color w:val="000000"/>
        </w:rPr>
        <w:t>程序</w:t>
      </w:r>
    </w:p>
    <w:p w14:paraId="1417FA05">
      <w:pPr>
        <w:pStyle w:val="11"/>
        <w:numPr>
          <w:ilvl w:val="0"/>
          <w:numId w:val="32"/>
        </w:numPr>
        <w:ind w:left="0" w:leftChars="0" w:firstLine="482" w:firstLineChars="0"/>
        <w:rPr>
          <w:b/>
          <w:color w:val="000000"/>
        </w:rPr>
      </w:pPr>
      <w:r>
        <w:rPr>
          <w:b/>
          <w:color w:val="000000"/>
        </w:rPr>
        <w:t>采购代理机构向磋商小组移交接收所有的响应文件。</w:t>
      </w:r>
    </w:p>
    <w:p w14:paraId="30B77323">
      <w:pPr>
        <w:pStyle w:val="11"/>
        <w:numPr>
          <w:ilvl w:val="0"/>
          <w:numId w:val="32"/>
        </w:numPr>
        <w:ind w:left="0" w:leftChars="0" w:firstLine="482" w:firstLineChars="0"/>
        <w:rPr>
          <w:b/>
          <w:color w:val="000000"/>
        </w:rPr>
      </w:pPr>
      <w:r>
        <w:rPr>
          <w:b/>
          <w:color w:val="000000"/>
        </w:rPr>
        <w:t>磋商小组评审响应文件</w:t>
      </w:r>
    </w:p>
    <w:p w14:paraId="390E9506">
      <w:pPr>
        <w:pStyle w:val="11"/>
        <w:rPr>
          <w:color w:val="000000"/>
        </w:rPr>
      </w:pPr>
      <w:r>
        <w:rPr>
          <w:color w:val="000000"/>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11"/>
        <w:numPr>
          <w:ilvl w:val="0"/>
          <w:numId w:val="32"/>
        </w:numPr>
        <w:ind w:left="0" w:leftChars="0" w:firstLine="482" w:firstLineChars="0"/>
        <w:rPr>
          <w:b/>
          <w:color w:val="000000"/>
        </w:rPr>
      </w:pPr>
      <w:r>
        <w:rPr>
          <w:b/>
          <w:color w:val="000000"/>
        </w:rPr>
        <w:t>澄清</w:t>
      </w:r>
    </w:p>
    <w:p w14:paraId="39A837F6">
      <w:pPr>
        <w:pStyle w:val="11"/>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11"/>
        <w:rPr>
          <w:color w:val="000000"/>
        </w:rPr>
      </w:pPr>
      <w:r>
        <w:rPr>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11"/>
        <w:widowControl/>
        <w:numPr>
          <w:ilvl w:val="0"/>
          <w:numId w:val="32"/>
        </w:numPr>
        <w:ind w:left="0" w:leftChars="0" w:firstLine="482" w:firstLineChars="0"/>
        <w:rPr>
          <w:b/>
          <w:color w:val="000000"/>
        </w:rPr>
      </w:pPr>
      <w:r>
        <w:rPr>
          <w:b/>
          <w:color w:val="000000"/>
        </w:rPr>
        <w:t>磋商</w:t>
      </w:r>
    </w:p>
    <w:p w14:paraId="468D7CAB">
      <w:pPr>
        <w:pStyle w:val="11"/>
        <w:widowControl/>
        <w:numPr>
          <w:ilvl w:val="0"/>
          <w:numId w:val="33"/>
        </w:numPr>
        <w:tabs>
          <w:tab w:val="left" w:pos="0"/>
        </w:tabs>
        <w:ind w:left="0" w:leftChars="0" w:firstLine="480" w:firstLineChars="0"/>
        <w:rPr>
          <w:b w:val="0"/>
          <w:color w:val="000000"/>
        </w:rPr>
      </w:pPr>
      <w:r>
        <w:rPr>
          <w:color w:val="000000"/>
        </w:rPr>
        <w:t>磋商时间及地点：按须知前附表规定。</w:t>
      </w:r>
    </w:p>
    <w:p w14:paraId="6D002A1F">
      <w:pPr>
        <w:pStyle w:val="11"/>
        <w:widowControl/>
        <w:numPr>
          <w:ilvl w:val="0"/>
          <w:numId w:val="33"/>
        </w:numPr>
        <w:tabs>
          <w:tab w:val="left" w:pos="0"/>
        </w:tabs>
        <w:ind w:left="0" w:leftChars="0" w:firstLine="480" w:firstLineChars="0"/>
        <w:rPr>
          <w:b w:val="0"/>
          <w:color w:val="000000"/>
        </w:rPr>
      </w:pPr>
      <w:r>
        <w:rPr>
          <w:color w:val="000000"/>
        </w:rPr>
        <w:t>供应商参加需要携带的材料：按须知前附表规定。</w:t>
      </w:r>
    </w:p>
    <w:p w14:paraId="5A301E23">
      <w:pPr>
        <w:pStyle w:val="11"/>
        <w:widowControl/>
        <w:numPr>
          <w:ilvl w:val="0"/>
          <w:numId w:val="33"/>
        </w:numPr>
        <w:tabs>
          <w:tab w:val="left" w:pos="0"/>
        </w:tabs>
        <w:ind w:left="0" w:leftChars="0" w:firstLine="480" w:firstLineChars="0"/>
        <w:rPr>
          <w:b w:val="0"/>
          <w:color w:val="000000"/>
        </w:rPr>
      </w:pPr>
      <w:r>
        <w:rPr>
          <w:color w:val="000000"/>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对磋商文件作出的实质性变动是磋商文件的有效组成部分，磋商小组应当及时以书面形式同时通知所有参加磋商的供应商。</w:t>
      </w:r>
    </w:p>
    <w:p w14:paraId="0E1B2AA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磋商中，磋商的任何一方不得透露与磋商有关的其他供应商的技术资料、价格和其他信息。</w:t>
      </w:r>
    </w:p>
    <w:p w14:paraId="3826862B">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采购代理机构对磋商过程和重要磋商内容进行记录，磋商双方在记录上签字确认。</w:t>
      </w:r>
    </w:p>
    <w:p w14:paraId="00FE7621">
      <w:pPr>
        <w:pStyle w:val="11"/>
        <w:widowControl/>
        <w:numPr>
          <w:ilvl w:val="0"/>
          <w:numId w:val="0"/>
        </w:numPr>
        <w:tabs>
          <w:tab w:val="left" w:pos="0"/>
        </w:tabs>
        <w:ind w:left="480" w:leftChars="0"/>
        <w:rPr>
          <w:b/>
          <w:bCs w:val="0"/>
          <w:color w:val="000000"/>
        </w:rPr>
      </w:pPr>
      <w:r>
        <w:rPr>
          <w:b/>
          <w:bCs w:val="0"/>
          <w:color w:val="000000"/>
        </w:rPr>
        <w:t>特别说明：政采云公司如对电子化磋商及评审程序有调整的，按调整后的程序操作。</w:t>
      </w:r>
    </w:p>
    <w:p w14:paraId="0A9EDCD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11"/>
        <w:numPr>
          <w:ilvl w:val="0"/>
          <w:numId w:val="33"/>
        </w:numPr>
        <w:tabs>
          <w:tab w:val="left" w:pos="0"/>
        </w:tabs>
        <w:ind w:left="0" w:leftChars="0" w:firstLine="480" w:firstLineChars="0"/>
        <w:rPr>
          <w:b w:val="0"/>
          <w:color w:val="000000"/>
        </w:rPr>
      </w:pPr>
      <w:r>
        <w:rPr>
          <w:color w:val="000000"/>
        </w:rPr>
        <w:t xml:space="preserve">确定参加磋商的供应商名单。磋商小组将所有通过资格性审查及符合性审查的供应商确定为参加磋商的供应商。 </w:t>
      </w:r>
    </w:p>
    <w:p w14:paraId="28CF7324">
      <w:pPr>
        <w:pStyle w:val="11"/>
        <w:numPr>
          <w:ilvl w:val="0"/>
          <w:numId w:val="33"/>
        </w:numPr>
        <w:tabs>
          <w:tab w:val="left" w:pos="0"/>
        </w:tabs>
        <w:ind w:left="0" w:leftChars="0" w:firstLine="480" w:firstLineChars="0"/>
        <w:rPr>
          <w:b w:val="0"/>
          <w:color w:val="000000"/>
        </w:rPr>
      </w:pPr>
      <w:r>
        <w:rPr>
          <w:color w:val="000000"/>
        </w:rPr>
        <w:t>采购过程中出现以下情形，导致电子交易平台无法正常运行，或者无法保证电子交易的公平、公正和安全时，采购组织机构可中止电子交易活动：</w:t>
      </w:r>
    </w:p>
    <w:p w14:paraId="619CACF9">
      <w:pPr>
        <w:pStyle w:val="11"/>
        <w:numPr>
          <w:ilvl w:val="0"/>
          <w:numId w:val="33"/>
        </w:numPr>
        <w:tabs>
          <w:tab w:val="left" w:pos="0"/>
        </w:tabs>
        <w:ind w:left="0" w:leftChars="0" w:firstLine="480" w:firstLineChars="0"/>
        <w:rPr>
          <w:b w:val="0"/>
          <w:color w:val="000000"/>
        </w:rPr>
      </w:pPr>
      <w:r>
        <w:rPr>
          <w:color w:val="000000"/>
        </w:rPr>
        <w:t xml:space="preserve">电子交易平台发生故障而无法登录访问的； </w:t>
      </w:r>
    </w:p>
    <w:p w14:paraId="3AFE2E02">
      <w:pPr>
        <w:pStyle w:val="11"/>
        <w:numPr>
          <w:ilvl w:val="0"/>
          <w:numId w:val="33"/>
        </w:numPr>
        <w:tabs>
          <w:tab w:val="left" w:pos="0"/>
        </w:tabs>
        <w:ind w:left="0" w:leftChars="0" w:firstLine="480" w:firstLineChars="0"/>
        <w:rPr>
          <w:b w:val="0"/>
          <w:color w:val="000000"/>
        </w:rPr>
      </w:pPr>
      <w:r>
        <w:rPr>
          <w:color w:val="000000"/>
        </w:rPr>
        <w:t>电子交易平台应用或数据库出现错误，不能进行正常操作的；</w:t>
      </w:r>
    </w:p>
    <w:p w14:paraId="61640D90">
      <w:pPr>
        <w:pStyle w:val="11"/>
        <w:numPr>
          <w:ilvl w:val="0"/>
          <w:numId w:val="33"/>
        </w:numPr>
        <w:tabs>
          <w:tab w:val="left" w:pos="0"/>
        </w:tabs>
        <w:ind w:left="0" w:leftChars="0" w:firstLine="480" w:firstLineChars="0"/>
        <w:rPr>
          <w:b w:val="0"/>
          <w:color w:val="000000"/>
        </w:rPr>
      </w:pPr>
      <w:r>
        <w:rPr>
          <w:color w:val="000000"/>
        </w:rPr>
        <w:t>电子交易平台发现严重安全漏洞，有潜在泄密危险的；</w:t>
      </w:r>
    </w:p>
    <w:p w14:paraId="616DFD56">
      <w:pPr>
        <w:pStyle w:val="11"/>
        <w:numPr>
          <w:ilvl w:val="0"/>
          <w:numId w:val="33"/>
        </w:numPr>
        <w:tabs>
          <w:tab w:val="left" w:pos="0"/>
        </w:tabs>
        <w:ind w:left="0" w:leftChars="0" w:firstLine="480" w:firstLineChars="0"/>
        <w:rPr>
          <w:b w:val="0"/>
          <w:color w:val="000000"/>
        </w:rPr>
      </w:pPr>
      <w:r>
        <w:rPr>
          <w:color w:val="000000"/>
        </w:rPr>
        <w:t xml:space="preserve">病毒发作导致不能进行正常操作的； </w:t>
      </w:r>
    </w:p>
    <w:p w14:paraId="48EBDB42">
      <w:pPr>
        <w:pStyle w:val="11"/>
        <w:numPr>
          <w:ilvl w:val="0"/>
          <w:numId w:val="33"/>
        </w:numPr>
        <w:tabs>
          <w:tab w:val="left" w:pos="0"/>
        </w:tabs>
        <w:ind w:left="0" w:leftChars="0" w:firstLine="480" w:firstLineChars="0"/>
        <w:rPr>
          <w:b w:val="0"/>
          <w:color w:val="000000"/>
        </w:rPr>
      </w:pPr>
      <w:r>
        <w:rPr>
          <w:color w:val="000000"/>
        </w:rPr>
        <w:t>其他无法保证电子交易的公平、公正和安全的情况。</w:t>
      </w:r>
    </w:p>
    <w:p w14:paraId="1EEFBB12">
      <w:pPr>
        <w:pStyle w:val="11"/>
        <w:numPr>
          <w:ilvl w:val="0"/>
          <w:numId w:val="33"/>
        </w:numPr>
        <w:tabs>
          <w:tab w:val="left" w:pos="0"/>
        </w:tabs>
        <w:ind w:left="0" w:leftChars="0" w:firstLine="480" w:firstLineChars="0"/>
        <w:rPr>
          <w:b w:val="0"/>
          <w:color w:val="000000"/>
        </w:rPr>
      </w:pPr>
      <w:r>
        <w:rPr>
          <w:color w:val="000000"/>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11"/>
        <w:numPr>
          <w:ilvl w:val="0"/>
          <w:numId w:val="33"/>
        </w:numPr>
        <w:tabs>
          <w:tab w:val="left" w:pos="0"/>
        </w:tabs>
        <w:ind w:left="0" w:leftChars="0" w:firstLine="480" w:firstLineChars="0"/>
        <w:rPr>
          <w:b w:val="0"/>
          <w:color w:val="000000"/>
        </w:rPr>
      </w:pPr>
      <w:r>
        <w:rPr>
          <w:color w:val="000000"/>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11"/>
        <w:widowControl/>
        <w:numPr>
          <w:ilvl w:val="0"/>
          <w:numId w:val="33"/>
        </w:numPr>
        <w:tabs>
          <w:tab w:val="left" w:pos="0"/>
        </w:tabs>
        <w:ind w:left="0" w:leftChars="0" w:firstLine="480" w:firstLineChars="0"/>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11"/>
        <w:widowControl/>
        <w:numPr>
          <w:ilvl w:val="0"/>
          <w:numId w:val="33"/>
        </w:numPr>
        <w:tabs>
          <w:tab w:val="left" w:pos="0"/>
        </w:tabs>
        <w:ind w:left="0" w:leftChars="0" w:firstLine="480" w:firstLineChars="0"/>
        <w:rPr>
          <w:rStyle w:val="28"/>
          <w:color w:val="000000"/>
        </w:rPr>
      </w:pPr>
      <w:r>
        <w:rPr>
          <w:color w:val="000000"/>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11"/>
        <w:widowControl/>
        <w:numPr>
          <w:ilvl w:val="0"/>
          <w:numId w:val="0"/>
        </w:numPr>
        <w:tabs>
          <w:tab w:val="left" w:pos="0"/>
        </w:tabs>
        <w:ind w:left="480" w:leftChars="0"/>
        <w:rPr>
          <w:rStyle w:val="28"/>
          <w:color w:val="000000"/>
        </w:rPr>
      </w:pPr>
      <w:r>
        <w:rPr>
          <w:rStyle w:val="28"/>
          <w:color w:val="000000"/>
        </w:rPr>
        <w:t>磋商主要内容及程序：</w:t>
      </w:r>
    </w:p>
    <w:p w14:paraId="51441620">
      <w:pPr>
        <w:pStyle w:val="11"/>
        <w:numPr>
          <w:ilvl w:val="0"/>
          <w:numId w:val="34"/>
        </w:numPr>
        <w:ind w:left="0" w:leftChars="0" w:firstLine="480" w:firstLineChars="0"/>
        <w:rPr>
          <w:rStyle w:val="28"/>
          <w:b w:val="0"/>
          <w:color w:val="000000"/>
        </w:rPr>
      </w:pPr>
      <w:r>
        <w:rPr>
          <w:rStyle w:val="28"/>
          <w:color w:val="000000"/>
        </w:rPr>
        <w:t xml:space="preserve">就本项目各类报价进行磋商； </w:t>
      </w:r>
    </w:p>
    <w:p w14:paraId="1A839BDB">
      <w:pPr>
        <w:pStyle w:val="11"/>
        <w:numPr>
          <w:ilvl w:val="0"/>
          <w:numId w:val="34"/>
        </w:numPr>
        <w:ind w:left="0" w:leftChars="0" w:firstLine="480" w:firstLineChars="0"/>
        <w:rPr>
          <w:rStyle w:val="28"/>
          <w:b w:val="0"/>
          <w:color w:val="000000"/>
        </w:rPr>
      </w:pPr>
      <w:r>
        <w:rPr>
          <w:rStyle w:val="28"/>
          <w:color w:val="000000"/>
        </w:rPr>
        <w:t>就本项目的服务承诺进行磋商；</w:t>
      </w:r>
    </w:p>
    <w:p w14:paraId="768D0304">
      <w:pPr>
        <w:pStyle w:val="11"/>
        <w:numPr>
          <w:ilvl w:val="0"/>
          <w:numId w:val="34"/>
        </w:numPr>
        <w:ind w:left="0" w:leftChars="0" w:firstLine="480" w:firstLineChars="0"/>
        <w:rPr>
          <w:rStyle w:val="28"/>
          <w:b w:val="0"/>
          <w:color w:val="000000"/>
        </w:rPr>
      </w:pPr>
      <w:r>
        <w:rPr>
          <w:rStyle w:val="28"/>
          <w:color w:val="000000"/>
        </w:rPr>
        <w:t>就本项目的质量要求进行磋商并对其作出相关承诺。</w:t>
      </w:r>
    </w:p>
    <w:p w14:paraId="7D6D8022">
      <w:pPr>
        <w:pStyle w:val="11"/>
        <w:widowControl/>
        <w:numPr>
          <w:ilvl w:val="0"/>
          <w:numId w:val="33"/>
        </w:numPr>
        <w:tabs>
          <w:tab w:val="left" w:pos="0"/>
        </w:tabs>
        <w:ind w:left="0" w:leftChars="0" w:firstLine="480" w:firstLineChars="0"/>
        <w:rPr>
          <w:color w:val="000000"/>
        </w:rPr>
      </w:pPr>
      <w:r>
        <w:rPr>
          <w:rStyle w:val="28"/>
          <w:color w:val="000000"/>
        </w:rPr>
        <w:t>磋商评审在严格保密的情况下进行，磋商的任何一方不得透露与磋商有关的其他供应商的技术服务资料、价格和其他信息。</w:t>
      </w:r>
    </w:p>
    <w:p w14:paraId="78A71E19">
      <w:pPr>
        <w:pStyle w:val="11"/>
        <w:widowControl/>
        <w:numPr>
          <w:ilvl w:val="0"/>
          <w:numId w:val="32"/>
        </w:numPr>
        <w:ind w:left="0" w:leftChars="0" w:firstLine="482" w:firstLineChars="0"/>
        <w:rPr>
          <w:b/>
          <w:color w:val="000000"/>
        </w:rPr>
      </w:pPr>
      <w:r>
        <w:rPr>
          <w:b/>
          <w:color w:val="000000"/>
        </w:rPr>
        <w:t>最后报价</w:t>
      </w:r>
    </w:p>
    <w:p w14:paraId="42BFC00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color w:val="000000"/>
        </w:rPr>
        <w:t>采购组织机构在平台开启新一轮报价，供应商点击【报价】，参与报价。在报价页面填写最终报价、项目负责人等信息，生成报价文件。生成报价文件后，供应商需报价文件进行CA签章。</w:t>
      </w:r>
    </w:p>
    <w:p w14:paraId="5B2CF2E7">
      <w:pPr>
        <w:pStyle w:val="11"/>
        <w:numPr>
          <w:ilvl w:val="0"/>
          <w:numId w:val="36"/>
        </w:numPr>
        <w:topLinePunct w:val="0"/>
        <w:ind w:left="0" w:leftChars="0" w:firstLine="480" w:firstLineChars="0"/>
        <w:rPr>
          <w:b w:val="0"/>
        </w:rPr>
      </w:pPr>
      <w:r>
        <w:t>修改报价文件：生成报价文件后，报价栏内容都置灰，无法编辑，如供应商需要修改，可点击【重新编辑】，进行修改。</w:t>
      </w:r>
    </w:p>
    <w:p w14:paraId="4D3644EE">
      <w:pPr>
        <w:pStyle w:val="11"/>
        <w:numPr>
          <w:ilvl w:val="0"/>
          <w:numId w:val="36"/>
        </w:numPr>
        <w:topLinePunct w:val="0"/>
        <w:ind w:left="0" w:leftChars="0" w:firstLine="480" w:firstLineChars="0"/>
        <w:rPr>
          <w:b w:val="0"/>
        </w:rPr>
      </w:pPr>
      <w:r>
        <w:t>提交报价文件：确认报价文件后，点击右上角【提交】，提交报价文件。</w:t>
      </w:r>
    </w:p>
    <w:p w14:paraId="16A75E23">
      <w:pPr>
        <w:pStyle w:val="11"/>
        <w:widowControl/>
        <w:rPr>
          <w:b/>
          <w:color w:val="000000"/>
        </w:rPr>
      </w:pPr>
      <w:r>
        <w:rPr>
          <w:b/>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磋商文件能够详细列明采购标的的技术、服务要求的，磋商结束后，磋商小组应当要求所有继续参加磋商的供应商在规定时间内提交最终报价，提交最终报价的供应商不得少于3家。</w:t>
      </w:r>
    </w:p>
    <w:p w14:paraId="61882BC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属于市场竞争不充分的科研项目，以及需要扶持的科技成果转化项目，提交最后报价的供应商可以为2家。</w:t>
      </w:r>
    </w:p>
    <w:p w14:paraId="5723055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最后报价是供应商响应文件的有效组成部分。</w:t>
      </w:r>
    </w:p>
    <w:p w14:paraId="61DE9AC3">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已经提交响应文件的供应商，在提交最后报价之前，可以根据磋商情况退出磋商。采购人、采购代理机构将退还退出磋商的供应商的保证金。</w:t>
      </w:r>
    </w:p>
    <w:p w14:paraId="4F47CE1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响应供应商的报价均超过了采购预算，采购人不能支付的，磋商活动终止。</w:t>
      </w:r>
    </w:p>
    <w:p w14:paraId="7D9A2BC6">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低于成本报价</w:t>
      </w:r>
    </w:p>
    <w:p w14:paraId="77CDE26E">
      <w:pPr>
        <w:pStyle w:val="11"/>
        <w:widowControl/>
        <w:rPr>
          <w:color w:val="000000"/>
        </w:rPr>
      </w:pPr>
      <w:r>
        <w:rPr>
          <w:color w:val="000000"/>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3"/>
        <w:numPr>
          <w:ilvl w:val="0"/>
          <w:numId w:val="11"/>
        </w:numPr>
        <w:tabs>
          <w:tab w:val="clear" w:pos="482"/>
        </w:tabs>
        <w:ind w:left="0" w:leftChars="0" w:firstLine="482" w:firstLineChars="0"/>
        <w:rPr>
          <w:b/>
          <w:color w:val="000000"/>
        </w:rPr>
      </w:pPr>
      <w:r>
        <w:rPr>
          <w:b/>
          <w:color w:val="000000"/>
        </w:rPr>
        <w:t>最终磋</w:t>
      </w:r>
      <w:r>
        <w:t>商</w:t>
      </w:r>
      <w:r>
        <w:rPr>
          <w:b/>
          <w:color w:val="000000"/>
        </w:rPr>
        <w:t>结束后，磋商小组不得再与供应商进行任何形式的商谈</w:t>
      </w:r>
    </w:p>
    <w:p w14:paraId="6D848310">
      <w:pPr>
        <w:pStyle w:val="3"/>
        <w:numPr>
          <w:ilvl w:val="0"/>
          <w:numId w:val="11"/>
        </w:numPr>
        <w:tabs>
          <w:tab w:val="clear" w:pos="482"/>
        </w:tabs>
        <w:ind w:left="0" w:leftChars="0" w:firstLine="482" w:firstLineChars="0"/>
        <w:rPr>
          <w:b/>
          <w:color w:val="000000"/>
        </w:rPr>
      </w:pPr>
      <w:r>
        <w:rPr>
          <w:b/>
          <w:color w:val="000000"/>
        </w:rPr>
        <w:t>评审与比较</w:t>
      </w:r>
    </w:p>
    <w:p w14:paraId="6237DB1F">
      <w:pPr>
        <w:pStyle w:val="11"/>
        <w:widowControl/>
        <w:numPr>
          <w:ilvl w:val="0"/>
          <w:numId w:val="37"/>
        </w:numPr>
        <w:ind w:left="0" w:leftChars="0" w:firstLine="480" w:firstLineChars="0"/>
        <w:rPr>
          <w:b w:val="0"/>
          <w:color w:val="000000"/>
        </w:rPr>
      </w:pPr>
      <w:r>
        <w:rPr>
          <w:color w:val="000000"/>
        </w:rPr>
        <w:t>经磋商确定最终采购需求和提交最后报价的供应商后，由磋商小组采用综合评分法对提交最后报价的供应商的响应文件和最后报价进行综合评分。</w:t>
      </w:r>
    </w:p>
    <w:p w14:paraId="63D5F800">
      <w:pPr>
        <w:pStyle w:val="11"/>
        <w:widowControl/>
        <w:numPr>
          <w:ilvl w:val="0"/>
          <w:numId w:val="37"/>
        </w:numPr>
        <w:ind w:left="0" w:leftChars="0" w:firstLine="480" w:firstLineChars="0"/>
        <w:rPr>
          <w:b w:val="0"/>
          <w:color w:val="000000"/>
        </w:rPr>
      </w:pPr>
      <w:r>
        <w:rPr>
          <w:color w:val="000000"/>
        </w:rPr>
        <w:t>评审原则。磋商小组必须公平、公正、客观，不带任何倾向性和启发性；不得向外界透露任何与评审有关的内容；任何单位和个人不得干扰、影响评审的正常进行。</w:t>
      </w:r>
    </w:p>
    <w:p w14:paraId="4F57D743">
      <w:pPr>
        <w:pStyle w:val="11"/>
        <w:widowControl/>
        <w:numPr>
          <w:ilvl w:val="0"/>
          <w:numId w:val="37"/>
        </w:numPr>
        <w:ind w:left="0" w:leftChars="0" w:firstLine="480" w:firstLineChars="0"/>
        <w:rPr>
          <w:b w:val="0"/>
          <w:color w:val="000000"/>
        </w:rPr>
      </w:pPr>
      <w:r>
        <w:rPr>
          <w:color w:val="000000"/>
        </w:rPr>
        <w:t>评标办法及标准详见第四章。</w:t>
      </w:r>
    </w:p>
    <w:p w14:paraId="550E6A29">
      <w:pPr>
        <w:pStyle w:val="3"/>
        <w:numPr>
          <w:ilvl w:val="0"/>
          <w:numId w:val="11"/>
        </w:numPr>
        <w:tabs>
          <w:tab w:val="clear" w:pos="482"/>
        </w:tabs>
        <w:ind w:left="0" w:leftChars="0" w:firstLine="482" w:firstLineChars="0"/>
        <w:rPr>
          <w:b w:val="0"/>
          <w:bCs/>
          <w:color w:val="000000"/>
        </w:rPr>
      </w:pPr>
      <w:r>
        <w:rPr>
          <w:b w:val="0"/>
          <w:bCs/>
          <w:color w:val="000000"/>
        </w:rPr>
        <w:t>在评审过程中出现法律法规和磋商文件均没有明确规定的情形时，由磋商小组现场协商解决，协商不一致的，由全体磋商小组投票表决，以得票率二分之一以上专家的意见为准。</w:t>
      </w:r>
    </w:p>
    <w:p w14:paraId="7F4F3195">
      <w:pPr>
        <w:pStyle w:val="3"/>
        <w:numPr>
          <w:ilvl w:val="0"/>
          <w:numId w:val="11"/>
        </w:numPr>
        <w:tabs>
          <w:tab w:val="clear" w:pos="482"/>
        </w:tabs>
        <w:ind w:left="0" w:leftChars="0" w:firstLine="482" w:firstLineChars="0"/>
        <w:rPr>
          <w:b/>
          <w:color w:val="000000"/>
        </w:rPr>
      </w:pPr>
      <w:r>
        <w:rPr>
          <w:b/>
          <w:color w:val="000000"/>
        </w:rPr>
        <w:t>特别说明：</w:t>
      </w:r>
    </w:p>
    <w:p w14:paraId="4026DDBB">
      <w:pPr>
        <w:pStyle w:val="11"/>
        <w:widowControl/>
        <w:numPr>
          <w:ilvl w:val="0"/>
          <w:numId w:val="38"/>
        </w:numPr>
        <w:ind w:left="0" w:leftChars="0" w:firstLine="480" w:firstLineChars="0"/>
        <w:rPr>
          <w:b w:val="0"/>
          <w:color w:val="000000"/>
        </w:rPr>
      </w:pPr>
      <w:r>
        <w:rPr>
          <w:color w:val="000000"/>
        </w:rPr>
        <w:t>供应商磋商所使用的资格、信誉、荣誉、业绩与企业认证必须为本法人所拥有。供应商磋商所使用的采购项目实施人员必须为本法人员工（或必须为本法人或控股公司正式员工）。</w:t>
      </w:r>
    </w:p>
    <w:p w14:paraId="2F7D4FB9">
      <w:pPr>
        <w:pStyle w:val="11"/>
        <w:widowControl/>
        <w:numPr>
          <w:ilvl w:val="0"/>
          <w:numId w:val="38"/>
        </w:numPr>
        <w:ind w:left="0" w:leftChars="0" w:firstLine="480" w:firstLineChars="0"/>
        <w:rPr>
          <w:b w:val="0"/>
          <w:color w:val="000000"/>
        </w:rPr>
      </w:pPr>
      <w:r>
        <w:rPr>
          <w:color w:val="000000"/>
        </w:rPr>
        <w:t>供应商应仔细阅读竞争性磋商文件的所有内容，按照竞争性磋商文件的要求提交响应文件，并对所提供的全部资料的真实性承担法律责任。</w:t>
      </w:r>
    </w:p>
    <w:p w14:paraId="727EB495">
      <w:pPr>
        <w:pStyle w:val="11"/>
        <w:widowControl/>
        <w:numPr>
          <w:ilvl w:val="0"/>
          <w:numId w:val="38"/>
        </w:numPr>
        <w:ind w:left="0" w:leftChars="0" w:firstLine="480" w:firstLineChars="0"/>
        <w:rPr>
          <w:b w:val="0"/>
          <w:color w:val="000000"/>
        </w:rPr>
      </w:pPr>
      <w:r>
        <w:rPr>
          <w:color w:val="000000"/>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11"/>
        <w:numPr>
          <w:ilvl w:val="0"/>
          <w:numId w:val="38"/>
        </w:numPr>
        <w:ind w:left="0" w:leftChars="0" w:firstLine="480" w:firstLineChars="0"/>
        <w:rPr>
          <w:b w:val="0"/>
          <w:color w:val="000000"/>
        </w:rPr>
      </w:pPr>
      <w:r>
        <w:rPr>
          <w:color w:val="000000"/>
        </w:rPr>
        <w:t>有下列情形之一的视为供应商相互串通投标，响应文件将被视为无效：</w:t>
      </w:r>
    </w:p>
    <w:p w14:paraId="39B9EAF9">
      <w:pPr>
        <w:pStyle w:val="11"/>
        <w:numPr>
          <w:ilvl w:val="0"/>
          <w:numId w:val="39"/>
        </w:numPr>
        <w:topLinePunct w:val="0"/>
        <w:ind w:left="0" w:leftChars="0" w:firstLine="480" w:firstLineChars="0"/>
        <w:rPr>
          <w:b w:val="0"/>
          <w:color w:val="000000"/>
        </w:rPr>
      </w:pPr>
      <w:r>
        <w:rPr>
          <w:color w:val="000000"/>
        </w:rPr>
        <w:t>不同供应商的响应文件由同一单位或者个人编制；或不同供应商报名的IP地址一致的；</w:t>
      </w:r>
    </w:p>
    <w:p w14:paraId="444B5031">
      <w:pPr>
        <w:pStyle w:val="11"/>
        <w:numPr>
          <w:ilvl w:val="0"/>
          <w:numId w:val="39"/>
        </w:numPr>
        <w:topLinePunct w:val="0"/>
        <w:ind w:left="0" w:leftChars="0" w:firstLine="480" w:firstLineChars="0"/>
        <w:rPr>
          <w:b w:val="0"/>
          <w:color w:val="000000"/>
        </w:rPr>
      </w:pPr>
      <w:r>
        <w:rPr>
          <w:color w:val="000000"/>
        </w:rPr>
        <w:t>不同供应商委托同一单位或者个人办理磋商事宜；</w:t>
      </w:r>
    </w:p>
    <w:p w14:paraId="2B335A39">
      <w:pPr>
        <w:pStyle w:val="11"/>
        <w:numPr>
          <w:ilvl w:val="0"/>
          <w:numId w:val="39"/>
        </w:numPr>
        <w:topLinePunct w:val="0"/>
        <w:ind w:left="0" w:leftChars="0" w:firstLine="480" w:firstLineChars="0"/>
        <w:rPr>
          <w:b w:val="0"/>
          <w:color w:val="000000"/>
        </w:rPr>
      </w:pPr>
      <w:r>
        <w:rPr>
          <w:color w:val="000000"/>
        </w:rPr>
        <w:t>不同的供应商的响应文件载明的项目管理员为同一个人；</w:t>
      </w:r>
    </w:p>
    <w:p w14:paraId="0226429D">
      <w:pPr>
        <w:pStyle w:val="11"/>
        <w:numPr>
          <w:ilvl w:val="0"/>
          <w:numId w:val="39"/>
        </w:numPr>
        <w:topLinePunct w:val="0"/>
        <w:ind w:left="0" w:leftChars="0" w:firstLine="480" w:firstLineChars="0"/>
        <w:rPr>
          <w:b w:val="0"/>
          <w:color w:val="000000"/>
        </w:rPr>
      </w:pPr>
      <w:r>
        <w:rPr>
          <w:color w:val="000000"/>
        </w:rPr>
        <w:t>不同供应商的响应文件异常一致或报价呈规律性差异；</w:t>
      </w:r>
    </w:p>
    <w:p w14:paraId="3EE1B04B">
      <w:pPr>
        <w:pStyle w:val="11"/>
        <w:numPr>
          <w:ilvl w:val="0"/>
          <w:numId w:val="39"/>
        </w:numPr>
        <w:topLinePunct w:val="0"/>
        <w:ind w:left="0" w:leftChars="0" w:firstLine="480" w:firstLineChars="0"/>
        <w:rPr>
          <w:b w:val="0"/>
          <w:color w:val="000000"/>
        </w:rPr>
      </w:pPr>
      <w:r>
        <w:rPr>
          <w:color w:val="000000"/>
        </w:rPr>
        <w:t>不同供应商的响应文件相互混装；</w:t>
      </w:r>
    </w:p>
    <w:p w14:paraId="683E4ED4">
      <w:pPr>
        <w:pStyle w:val="11"/>
        <w:numPr>
          <w:ilvl w:val="0"/>
          <w:numId w:val="39"/>
        </w:numPr>
        <w:topLinePunct w:val="0"/>
        <w:ind w:left="0" w:leftChars="0" w:firstLine="480" w:firstLineChars="0"/>
        <w:rPr>
          <w:b w:val="0"/>
          <w:color w:val="000000"/>
        </w:rPr>
      </w:pPr>
      <w:r>
        <w:rPr>
          <w:color w:val="000000"/>
        </w:rPr>
        <w:t>不同供应商的保证金从同一单位或者个人账户转出。</w:t>
      </w:r>
    </w:p>
    <w:p w14:paraId="3593AF46">
      <w:pPr>
        <w:pStyle w:val="11"/>
        <w:numPr>
          <w:ilvl w:val="0"/>
          <w:numId w:val="38"/>
        </w:numPr>
        <w:ind w:left="0" w:leftChars="0" w:firstLine="480" w:firstLineChars="0"/>
        <w:rPr>
          <w:b w:val="0"/>
          <w:color w:val="000000"/>
        </w:rPr>
      </w:pPr>
      <w:r>
        <w:rPr>
          <w:color w:val="000000"/>
        </w:rPr>
        <w:t>供应商有下列情形之一的，属于恶意串通行为：</w:t>
      </w:r>
    </w:p>
    <w:p w14:paraId="3B1EC18D">
      <w:pPr>
        <w:pStyle w:val="11"/>
        <w:numPr>
          <w:ilvl w:val="0"/>
          <w:numId w:val="40"/>
        </w:numPr>
        <w:topLinePunct w:val="0"/>
        <w:ind w:left="0" w:leftChars="0" w:firstLine="480" w:firstLineChars="0"/>
        <w:rPr>
          <w:b w:val="0"/>
          <w:color w:val="000000"/>
        </w:rPr>
      </w:pPr>
      <w:r>
        <w:rPr>
          <w:color w:val="000000"/>
        </w:rPr>
        <w:t>供应商直接或者间接从采购人或者采购代理机构处获得其他供应商的相关信息并修改其响应文件：</w:t>
      </w:r>
    </w:p>
    <w:p w14:paraId="4ECF93BD">
      <w:pPr>
        <w:pStyle w:val="11"/>
        <w:numPr>
          <w:ilvl w:val="0"/>
          <w:numId w:val="40"/>
        </w:numPr>
        <w:topLinePunct w:val="0"/>
        <w:ind w:left="0" w:leftChars="0" w:firstLine="480" w:firstLineChars="0"/>
        <w:rPr>
          <w:b w:val="0"/>
          <w:color w:val="000000"/>
        </w:rPr>
      </w:pPr>
      <w:r>
        <w:rPr>
          <w:color w:val="000000"/>
        </w:rPr>
        <w:t>供应商按照采购人或者采购代理机构的授意撤换、修改响应文件；</w:t>
      </w:r>
    </w:p>
    <w:p w14:paraId="520A481F">
      <w:pPr>
        <w:pStyle w:val="11"/>
        <w:numPr>
          <w:ilvl w:val="0"/>
          <w:numId w:val="40"/>
        </w:numPr>
        <w:topLinePunct w:val="0"/>
        <w:ind w:left="0" w:leftChars="0" w:firstLine="480" w:firstLineChars="0"/>
        <w:rPr>
          <w:b w:val="0"/>
          <w:color w:val="000000"/>
        </w:rPr>
      </w:pPr>
      <w:r>
        <w:rPr>
          <w:color w:val="000000"/>
        </w:rPr>
        <w:t>供应商之间协商报价、技术方案等响应文件的实质性内容；</w:t>
      </w:r>
    </w:p>
    <w:p w14:paraId="0247A57E">
      <w:pPr>
        <w:pStyle w:val="11"/>
        <w:numPr>
          <w:ilvl w:val="0"/>
          <w:numId w:val="40"/>
        </w:numPr>
        <w:topLinePunct w:val="0"/>
        <w:ind w:left="0" w:leftChars="0" w:firstLine="480" w:firstLineChars="0"/>
        <w:rPr>
          <w:b w:val="0"/>
          <w:color w:val="000000"/>
        </w:rPr>
      </w:pPr>
      <w:r>
        <w:rPr>
          <w:color w:val="000000"/>
        </w:rPr>
        <w:t>属于同一集团、协会、商会等组织成员的供应商按照该组织要求协同参加政府采购活动；</w:t>
      </w:r>
    </w:p>
    <w:p w14:paraId="1733C7F2">
      <w:pPr>
        <w:pStyle w:val="11"/>
        <w:numPr>
          <w:ilvl w:val="0"/>
          <w:numId w:val="40"/>
        </w:numPr>
        <w:topLinePunct w:val="0"/>
        <w:ind w:left="0" w:leftChars="0" w:firstLine="480" w:firstLineChars="0"/>
        <w:rPr>
          <w:b w:val="0"/>
          <w:color w:val="000000"/>
        </w:rPr>
      </w:pPr>
      <w:r>
        <w:rPr>
          <w:color w:val="000000"/>
        </w:rPr>
        <w:t>供应商之间事先约定一致抬高或者压低报价,或者在采购项目中事先约定轮流以高价位或者低价位成交,或者事先约定由某一特定供应商成交,然后再参加磋商；</w:t>
      </w:r>
    </w:p>
    <w:p w14:paraId="3D7B23C7">
      <w:pPr>
        <w:pStyle w:val="11"/>
        <w:numPr>
          <w:ilvl w:val="0"/>
          <w:numId w:val="40"/>
        </w:numPr>
        <w:topLinePunct w:val="0"/>
        <w:ind w:left="0" w:leftChars="0" w:firstLine="480" w:firstLineChars="0"/>
        <w:rPr>
          <w:b w:val="0"/>
          <w:color w:val="000000"/>
        </w:rPr>
      </w:pPr>
      <w:r>
        <w:rPr>
          <w:color w:val="000000"/>
        </w:rPr>
        <w:t>供应商之间商定部分供应商放弃参加政府采购活动或者放弃成交；</w:t>
      </w:r>
    </w:p>
    <w:p w14:paraId="66DEFA4C">
      <w:pPr>
        <w:pStyle w:val="11"/>
        <w:numPr>
          <w:ilvl w:val="0"/>
          <w:numId w:val="40"/>
        </w:numPr>
        <w:topLinePunct w:val="0"/>
        <w:ind w:left="0" w:leftChars="0" w:firstLine="480" w:firstLineChars="0"/>
        <w:rPr>
          <w:b w:val="0"/>
          <w:color w:val="000000"/>
        </w:rPr>
      </w:pPr>
      <w:r>
        <w:rPr>
          <w:color w:val="000000"/>
        </w:rPr>
        <w:t>供应商与采购人或者采购代理机构之间、供应商相互之间，为谋求特定供应商成交或者排斥其他供应商的其他串通行为。</w:t>
      </w:r>
    </w:p>
    <w:p w14:paraId="5730D702">
      <w:pPr>
        <w:pStyle w:val="11"/>
        <w:numPr>
          <w:ilvl w:val="0"/>
          <w:numId w:val="38"/>
        </w:numPr>
        <w:ind w:left="0" w:leftChars="0" w:firstLine="480" w:firstLineChars="0"/>
        <w:rPr>
          <w:b w:val="0"/>
          <w:color w:val="000000"/>
        </w:rPr>
      </w:pPr>
      <w:r>
        <w:rPr>
          <w:color w:val="000000"/>
        </w:rPr>
        <w:t>单位负责人为同一人或者存在直接控股、管理关系的不同的供应商，不得参加同一合同项下的政府采购活动，否则响应文件将被视为无效。</w:t>
      </w:r>
    </w:p>
    <w:p w14:paraId="2FA9892F">
      <w:pPr>
        <w:pStyle w:val="3"/>
        <w:numPr>
          <w:ilvl w:val="0"/>
          <w:numId w:val="11"/>
        </w:numPr>
        <w:tabs>
          <w:tab w:val="clear" w:pos="482"/>
        </w:tabs>
        <w:ind w:left="0" w:leftChars="0" w:firstLine="482" w:firstLineChars="0"/>
        <w:rPr>
          <w:b w:val="0"/>
          <w:bCs/>
          <w:color w:val="000000"/>
        </w:rPr>
      </w:pPr>
      <w:r>
        <w:rPr>
          <w:b w:val="0"/>
          <w:bCs/>
          <w:color w:val="000000"/>
        </w:rPr>
        <w:t>出现下列情形之一的，采购人或者采购代理机构应当终止竞争性磋商采购活动，发布项目终止公告并说明原因，重新开展采购活动：</w:t>
      </w:r>
    </w:p>
    <w:p w14:paraId="688EE1DC">
      <w:pPr>
        <w:pStyle w:val="11"/>
        <w:widowControl/>
        <w:numPr>
          <w:ilvl w:val="0"/>
          <w:numId w:val="41"/>
        </w:numPr>
        <w:ind w:left="0" w:leftChars="0" w:firstLine="480" w:firstLineChars="0"/>
        <w:rPr>
          <w:b w:val="0"/>
          <w:color w:val="000000"/>
        </w:rPr>
      </w:pPr>
      <w:r>
        <w:rPr>
          <w:color w:val="000000"/>
        </w:rPr>
        <w:t>因情况变化，不再符合规定的竞争性磋商采购方式适用情形的；</w:t>
      </w:r>
    </w:p>
    <w:p w14:paraId="02B94E8A">
      <w:pPr>
        <w:pStyle w:val="11"/>
        <w:widowControl/>
        <w:numPr>
          <w:ilvl w:val="0"/>
          <w:numId w:val="41"/>
        </w:numPr>
        <w:ind w:left="0" w:leftChars="0" w:firstLine="480" w:firstLineChars="0"/>
        <w:rPr>
          <w:b w:val="0"/>
          <w:color w:val="000000"/>
        </w:rPr>
      </w:pPr>
      <w:r>
        <w:rPr>
          <w:color w:val="000000"/>
        </w:rPr>
        <w:t>出现影响采购公正的违法、违规行为的；</w:t>
      </w:r>
    </w:p>
    <w:p w14:paraId="3E02BD65">
      <w:pPr>
        <w:pStyle w:val="11"/>
        <w:widowControl/>
        <w:numPr>
          <w:ilvl w:val="0"/>
          <w:numId w:val="41"/>
        </w:numPr>
        <w:ind w:left="0" w:leftChars="0" w:firstLine="480" w:firstLineChars="0"/>
        <w:rPr>
          <w:b w:val="0"/>
          <w:color w:val="000000"/>
        </w:rPr>
      </w:pPr>
      <w:r>
        <w:rPr>
          <w:color w:val="000000"/>
        </w:rPr>
        <w:t>除本须知19.5.4、19.5.5及法律法规规定的情形外，在采购过程中符合要求的供应商或者报价未超过采购预算的供应商不足3家的。</w:t>
      </w:r>
    </w:p>
    <w:p w14:paraId="3DCFB017">
      <w:pPr>
        <w:pStyle w:val="3"/>
        <w:numPr>
          <w:ilvl w:val="0"/>
          <w:numId w:val="11"/>
        </w:numPr>
        <w:tabs>
          <w:tab w:val="clear" w:pos="482"/>
        </w:tabs>
        <w:ind w:left="0" w:leftChars="0" w:firstLine="482" w:firstLineChars="0"/>
        <w:rPr>
          <w:b w:val="0"/>
          <w:bCs/>
          <w:color w:val="000000"/>
        </w:rPr>
      </w:pPr>
      <w:r>
        <w:rPr>
          <w:b w:val="0"/>
          <w:bCs/>
          <w:color w:val="000000"/>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2"/>
        <w:numPr>
          <w:ilvl w:val="0"/>
          <w:numId w:val="10"/>
        </w:numPr>
        <w:tabs>
          <w:tab w:val="clear" w:pos="482"/>
        </w:tabs>
        <w:topLinePunct w:val="0"/>
        <w:ind w:left="0" w:leftChars="0" w:firstLine="0" w:firstLineChars="0"/>
        <w:rPr>
          <w:b/>
        </w:rPr>
      </w:pPr>
      <w:r>
        <w:t>确定成交供应商办法及结果公告</w:t>
      </w:r>
    </w:p>
    <w:p w14:paraId="16296913">
      <w:pPr>
        <w:pStyle w:val="3"/>
        <w:numPr>
          <w:ilvl w:val="0"/>
          <w:numId w:val="11"/>
        </w:numPr>
        <w:tabs>
          <w:tab w:val="clear" w:pos="482"/>
        </w:tabs>
        <w:ind w:left="0" w:leftChars="0" w:firstLine="482" w:firstLineChars="0"/>
        <w:rPr>
          <w:b w:val="0"/>
          <w:bCs/>
          <w:color w:val="000000"/>
        </w:rPr>
      </w:pPr>
      <w:r>
        <w:rPr>
          <w:b w:val="0"/>
          <w:bCs/>
          <w:color w:val="000000"/>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3"/>
        <w:numPr>
          <w:ilvl w:val="0"/>
          <w:numId w:val="11"/>
        </w:numPr>
        <w:tabs>
          <w:tab w:val="clear" w:pos="482"/>
        </w:tabs>
        <w:ind w:left="0" w:leftChars="0" w:firstLine="482" w:firstLineChars="0"/>
        <w:rPr>
          <w:b w:val="0"/>
          <w:color w:val="000000"/>
        </w:rPr>
      </w:pPr>
      <w:r>
        <w:rPr>
          <w:b w:val="0"/>
          <w:bCs/>
          <w:color w:val="000000"/>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color w:val="000000"/>
        </w:rPr>
        <w:t>为成交人。</w:t>
      </w:r>
    </w:p>
    <w:p w14:paraId="3E021F28">
      <w:pPr>
        <w:pStyle w:val="11"/>
        <w:rPr>
          <w:color w:val="000000"/>
        </w:rPr>
      </w:pPr>
      <w:r>
        <w:rPr>
          <w:color w:val="000000"/>
        </w:rPr>
        <w:t>以上信息查询记录及相关证据与采购文件一并保存。</w:t>
      </w:r>
    </w:p>
    <w:p w14:paraId="03A2930E">
      <w:pPr>
        <w:pStyle w:val="2"/>
        <w:numPr>
          <w:ilvl w:val="0"/>
          <w:numId w:val="10"/>
        </w:numPr>
        <w:tabs>
          <w:tab w:val="clear" w:pos="482"/>
        </w:tabs>
        <w:topLinePunct w:val="0"/>
        <w:ind w:left="0" w:leftChars="0" w:firstLine="0" w:firstLineChars="0"/>
        <w:rPr>
          <w:b/>
        </w:rPr>
      </w:pPr>
      <w:r>
        <w:t>履约保证金</w:t>
      </w:r>
    </w:p>
    <w:p w14:paraId="2810AFE3">
      <w:pPr>
        <w:pStyle w:val="3"/>
        <w:numPr>
          <w:ilvl w:val="0"/>
          <w:numId w:val="11"/>
        </w:numPr>
        <w:tabs>
          <w:tab w:val="clear" w:pos="482"/>
        </w:tabs>
        <w:ind w:left="0" w:leftChars="0" w:firstLine="482" w:firstLineChars="0"/>
        <w:rPr>
          <w:b w:val="0"/>
          <w:bCs/>
          <w:color w:val="000000"/>
        </w:rPr>
      </w:pPr>
      <w:r>
        <w:rPr>
          <w:b w:val="0"/>
          <w:bCs/>
          <w:color w:val="000000"/>
        </w:rPr>
        <w:t>本项目无履约保证金</w:t>
      </w:r>
    </w:p>
    <w:p w14:paraId="5BC55DAD">
      <w:pPr>
        <w:pStyle w:val="2"/>
        <w:numPr>
          <w:ilvl w:val="0"/>
          <w:numId w:val="10"/>
        </w:numPr>
        <w:tabs>
          <w:tab w:val="clear" w:pos="482"/>
        </w:tabs>
        <w:topLinePunct w:val="0"/>
        <w:ind w:left="0" w:leftChars="0" w:firstLine="0" w:firstLineChars="0"/>
        <w:rPr>
          <w:b/>
        </w:rPr>
      </w:pPr>
      <w:r>
        <w:t>签订合同</w:t>
      </w:r>
    </w:p>
    <w:p w14:paraId="56B63B64">
      <w:pPr>
        <w:pStyle w:val="3"/>
        <w:numPr>
          <w:ilvl w:val="0"/>
          <w:numId w:val="11"/>
        </w:numPr>
        <w:tabs>
          <w:tab w:val="clear" w:pos="482"/>
        </w:tabs>
        <w:ind w:left="0" w:leftChars="0" w:firstLine="482" w:firstLineChars="0"/>
        <w:rPr>
          <w:b w:val="0"/>
          <w:bCs/>
          <w:color w:val="000000"/>
        </w:rPr>
      </w:pPr>
      <w:r>
        <w:rPr>
          <w:b w:val="0"/>
          <w:bCs/>
          <w:color w:val="000000"/>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3"/>
        <w:numPr>
          <w:ilvl w:val="0"/>
          <w:numId w:val="11"/>
        </w:numPr>
        <w:tabs>
          <w:tab w:val="clear" w:pos="482"/>
        </w:tabs>
        <w:ind w:left="0" w:leftChars="0" w:firstLine="482" w:firstLineChars="0"/>
        <w:rPr>
          <w:b w:val="0"/>
          <w:bCs/>
          <w:color w:val="000000"/>
        </w:rPr>
      </w:pPr>
      <w:r>
        <w:rPr>
          <w:b w:val="0"/>
          <w:bCs/>
          <w:color w:val="000000"/>
        </w:rPr>
        <w:t>如成交供应商不按成交通知书的规定签订合同，则按成交供应商违约处理。</w:t>
      </w:r>
    </w:p>
    <w:p w14:paraId="4A766311">
      <w:pPr>
        <w:pStyle w:val="3"/>
        <w:numPr>
          <w:ilvl w:val="0"/>
          <w:numId w:val="11"/>
        </w:numPr>
        <w:tabs>
          <w:tab w:val="clear" w:pos="482"/>
        </w:tabs>
        <w:ind w:left="0" w:leftChars="0" w:firstLine="482" w:firstLineChars="0"/>
        <w:rPr>
          <w:b w:val="0"/>
          <w:bCs/>
          <w:color w:val="000000"/>
        </w:rPr>
      </w:pPr>
      <w:r>
        <w:rPr>
          <w:b w:val="0"/>
          <w:bCs/>
          <w:color w:val="000000"/>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3"/>
        <w:numPr>
          <w:ilvl w:val="0"/>
          <w:numId w:val="11"/>
        </w:numPr>
        <w:tabs>
          <w:tab w:val="clear" w:pos="482"/>
        </w:tabs>
        <w:ind w:left="0" w:leftChars="0" w:firstLine="482" w:firstLineChars="0"/>
        <w:rPr>
          <w:b w:val="0"/>
          <w:bCs/>
          <w:color w:val="000000"/>
        </w:rPr>
      </w:pPr>
      <w:r>
        <w:rPr>
          <w:b w:val="0"/>
          <w:bCs/>
          <w:color w:val="000000"/>
        </w:rPr>
        <w:t>政府采购合同公告</w:t>
      </w:r>
    </w:p>
    <w:p w14:paraId="074B704B">
      <w:pPr>
        <w:pStyle w:val="11"/>
        <w:rPr>
          <w:color w:val="000000"/>
        </w:rPr>
      </w:pPr>
      <w:r>
        <w:rPr>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2"/>
        <w:numPr>
          <w:ilvl w:val="0"/>
          <w:numId w:val="10"/>
        </w:numPr>
        <w:tabs>
          <w:tab w:val="clear" w:pos="482"/>
        </w:tabs>
        <w:topLinePunct w:val="0"/>
        <w:ind w:left="0" w:leftChars="0" w:firstLine="0" w:firstLineChars="0"/>
        <w:rPr>
          <w:b/>
        </w:rPr>
      </w:pPr>
      <w:r>
        <w:t>适用法律</w:t>
      </w:r>
    </w:p>
    <w:p w14:paraId="3A8D2B3C">
      <w:pPr>
        <w:pStyle w:val="3"/>
        <w:numPr>
          <w:ilvl w:val="0"/>
          <w:numId w:val="11"/>
        </w:numPr>
        <w:tabs>
          <w:tab w:val="clear" w:pos="482"/>
        </w:tabs>
        <w:ind w:left="0" w:leftChars="0" w:firstLine="482" w:firstLineChars="0"/>
        <w:rPr>
          <w:b w:val="0"/>
          <w:bCs/>
          <w:color w:val="000000"/>
        </w:rPr>
      </w:pPr>
      <w:r>
        <w:rPr>
          <w:b w:val="0"/>
          <w:bCs/>
          <w:color w:val="000000"/>
        </w:rPr>
        <w:t>采购当事人的一切活动均适用于《中华人民共和国政府采购法》、《政府采购竞争性磋商采购方式管理暂行办法》及相关规定。</w:t>
      </w:r>
    </w:p>
    <w:p w14:paraId="35289AEC">
      <w:pPr>
        <w:pStyle w:val="2"/>
        <w:numPr>
          <w:ilvl w:val="0"/>
          <w:numId w:val="10"/>
        </w:numPr>
        <w:tabs>
          <w:tab w:val="clear" w:pos="482"/>
        </w:tabs>
        <w:topLinePunct w:val="0"/>
        <w:ind w:left="0" w:leftChars="0" w:firstLine="0" w:firstLineChars="0"/>
        <w:rPr>
          <w:b/>
        </w:rPr>
      </w:pPr>
      <w:r>
        <w:t>其它内容</w:t>
      </w:r>
    </w:p>
    <w:p w14:paraId="02E2840D">
      <w:pPr>
        <w:pStyle w:val="3"/>
        <w:numPr>
          <w:ilvl w:val="0"/>
          <w:numId w:val="11"/>
        </w:numPr>
        <w:tabs>
          <w:tab w:val="clear" w:pos="482"/>
        </w:tabs>
        <w:ind w:left="0" w:leftChars="0" w:firstLine="482" w:firstLineChars="0"/>
        <w:rPr>
          <w:b w:val="0"/>
          <w:bCs/>
        </w:rPr>
      </w:pPr>
      <w:r>
        <w:rPr>
          <w:b w:val="0"/>
          <w:bCs/>
        </w:rPr>
        <w:t>代理服务费</w:t>
      </w:r>
    </w:p>
    <w:p w14:paraId="7E10D127">
      <w:pPr>
        <w:pStyle w:val="11"/>
        <w:rPr>
          <w:color w:val="000000"/>
        </w:rPr>
      </w:pPr>
      <w:r>
        <w:rPr>
          <w:color w:val="000000"/>
        </w:rPr>
        <w:t>见本须知前附表</w:t>
      </w:r>
    </w:p>
    <w:p w14:paraId="6A79065E">
      <w:pPr>
        <w:pStyle w:val="3"/>
        <w:numPr>
          <w:ilvl w:val="0"/>
          <w:numId w:val="11"/>
        </w:numPr>
        <w:tabs>
          <w:tab w:val="clear" w:pos="482"/>
        </w:tabs>
        <w:ind w:left="0" w:leftChars="0" w:firstLine="482" w:firstLineChars="0"/>
        <w:rPr>
          <w:b w:val="0"/>
          <w:bCs/>
        </w:rPr>
      </w:pPr>
      <w:r>
        <w:rPr>
          <w:b w:val="0"/>
          <w:bCs/>
        </w:rPr>
        <w:t>询问、质疑和投诉</w:t>
      </w:r>
    </w:p>
    <w:p w14:paraId="24B6A80D">
      <w:pPr>
        <w:pStyle w:val="3"/>
        <w:numPr>
          <w:ilvl w:val="0"/>
          <w:numId w:val="11"/>
        </w:numPr>
        <w:ind w:left="0" w:leftChars="0" w:firstLine="482" w:firstLineChars="0"/>
        <w:rPr>
          <w:b w:val="0"/>
          <w:bCs/>
          <w:color w:val="000000"/>
        </w:rPr>
      </w:pPr>
      <w:r>
        <w:rPr>
          <w:b w:val="0"/>
          <w:bCs/>
          <w:color w:val="000000"/>
        </w:rPr>
        <w:t>供应商对政府采购活动事项有疑问的，可以向采购人、采购代理机构提出询问。</w:t>
      </w:r>
    </w:p>
    <w:p w14:paraId="0DC3F87F">
      <w:pPr>
        <w:pStyle w:val="11"/>
        <w:numPr>
          <w:ilvl w:val="0"/>
          <w:numId w:val="42"/>
        </w:numPr>
        <w:ind w:left="0" w:leftChars="0" w:firstLine="480" w:firstLineChars="0"/>
        <w:rPr>
          <w:b w:val="0"/>
          <w:color w:val="000000"/>
        </w:rPr>
      </w:pPr>
      <w:r>
        <w:rPr>
          <w:color w:val="000000"/>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11"/>
        <w:numPr>
          <w:ilvl w:val="0"/>
          <w:numId w:val="43"/>
        </w:numPr>
        <w:topLinePunct w:val="0"/>
        <w:ind w:left="0" w:leftChars="0" w:firstLine="480" w:firstLineChars="0"/>
        <w:rPr>
          <w:b w:val="0"/>
          <w:color w:val="000000"/>
        </w:rPr>
      </w:pPr>
      <w:r>
        <w:rPr>
          <w:color w:val="000000"/>
        </w:rPr>
        <w:t>对可以质疑的采购文件提出质疑的，为收到采购文件之日；</w:t>
      </w:r>
    </w:p>
    <w:p w14:paraId="741DBED1">
      <w:pPr>
        <w:pStyle w:val="11"/>
        <w:numPr>
          <w:ilvl w:val="0"/>
          <w:numId w:val="43"/>
        </w:numPr>
        <w:topLinePunct w:val="0"/>
        <w:ind w:left="0" w:leftChars="0" w:firstLine="480" w:firstLineChars="0"/>
        <w:rPr>
          <w:b w:val="0"/>
          <w:color w:val="000000"/>
        </w:rPr>
      </w:pPr>
      <w:r>
        <w:rPr>
          <w:color w:val="000000"/>
        </w:rPr>
        <w:t>对采购过程提出质疑的，为各采购程序环节结束之日；</w:t>
      </w:r>
    </w:p>
    <w:p w14:paraId="30EDE744">
      <w:pPr>
        <w:pStyle w:val="11"/>
        <w:numPr>
          <w:ilvl w:val="0"/>
          <w:numId w:val="43"/>
        </w:numPr>
        <w:topLinePunct w:val="0"/>
        <w:ind w:left="0" w:leftChars="0" w:firstLine="480" w:firstLineChars="0"/>
        <w:rPr>
          <w:b w:val="0"/>
          <w:color w:val="000000"/>
        </w:rPr>
      </w:pPr>
      <w:r>
        <w:rPr>
          <w:color w:val="000000"/>
        </w:rPr>
        <w:t>对成交结果提出质疑的，为成交结果公告期限届满之日。</w:t>
      </w:r>
    </w:p>
    <w:p w14:paraId="16A81E19">
      <w:pPr>
        <w:pStyle w:val="11"/>
        <w:rPr>
          <w:color w:val="000000"/>
        </w:rPr>
      </w:pPr>
      <w:r>
        <w:rPr>
          <w:color w:val="000000"/>
        </w:rPr>
        <w:t>供应商对采购人或采购代理机构的质疑答复不满意或者采购人或采购代理机构未在规定时间内作出答复的，可以在答复期满后十五个工作日内向同级采购监管部门投诉。</w:t>
      </w:r>
    </w:p>
    <w:p w14:paraId="7AD1D659">
      <w:pPr>
        <w:pStyle w:val="11"/>
        <w:numPr>
          <w:ilvl w:val="0"/>
          <w:numId w:val="42"/>
        </w:numPr>
        <w:ind w:left="0" w:leftChars="0" w:firstLine="480" w:firstLineChars="0"/>
        <w:rPr>
          <w:b w:val="0"/>
          <w:color w:val="000000"/>
        </w:rPr>
      </w:pPr>
      <w:r>
        <w:rPr>
          <w:color w:val="000000"/>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11"/>
        <w:rPr>
          <w:color w:val="000000"/>
        </w:rPr>
      </w:pPr>
      <w:r>
        <w:rPr>
          <w:color w:val="000000"/>
        </w:rPr>
        <w:t>供应商提出质疑应当提交质疑函和必要的证明材料，针对同一采购程序环节的质疑必须在法定质疑期内一次性提出。质疑函应当包括下列内容：</w:t>
      </w:r>
    </w:p>
    <w:p w14:paraId="4D248430">
      <w:pPr>
        <w:pStyle w:val="11"/>
        <w:numPr>
          <w:ilvl w:val="0"/>
          <w:numId w:val="44"/>
        </w:numPr>
        <w:topLinePunct w:val="0"/>
        <w:ind w:left="0" w:leftChars="0" w:firstLine="480" w:firstLineChars="0"/>
        <w:rPr>
          <w:b w:val="0"/>
          <w:color w:val="000000"/>
        </w:rPr>
      </w:pPr>
      <w:r>
        <w:rPr>
          <w:color w:val="000000"/>
        </w:rPr>
        <w:t>供应商的姓名或者名称、地址、邮编、联系人及联系电话；</w:t>
      </w:r>
    </w:p>
    <w:p w14:paraId="1F31AC28">
      <w:pPr>
        <w:pStyle w:val="11"/>
        <w:numPr>
          <w:ilvl w:val="0"/>
          <w:numId w:val="44"/>
        </w:numPr>
        <w:topLinePunct w:val="0"/>
        <w:ind w:left="0" w:leftChars="0" w:firstLine="480" w:firstLineChars="0"/>
        <w:rPr>
          <w:b w:val="0"/>
          <w:color w:val="000000"/>
        </w:rPr>
      </w:pPr>
      <w:r>
        <w:rPr>
          <w:color w:val="000000"/>
        </w:rPr>
        <w:t>质疑项目的名称、编号；</w:t>
      </w:r>
    </w:p>
    <w:p w14:paraId="2858DF2D">
      <w:pPr>
        <w:pStyle w:val="11"/>
        <w:numPr>
          <w:ilvl w:val="0"/>
          <w:numId w:val="44"/>
        </w:numPr>
        <w:topLinePunct w:val="0"/>
        <w:ind w:left="0" w:leftChars="0" w:firstLine="480" w:firstLineChars="0"/>
        <w:rPr>
          <w:b w:val="0"/>
          <w:color w:val="000000"/>
        </w:rPr>
      </w:pPr>
      <w:r>
        <w:rPr>
          <w:color w:val="000000"/>
        </w:rPr>
        <w:t>具体、明确的质疑事项和与质疑事项相关的请求；</w:t>
      </w:r>
    </w:p>
    <w:p w14:paraId="5141F70A">
      <w:pPr>
        <w:pStyle w:val="11"/>
        <w:numPr>
          <w:ilvl w:val="0"/>
          <w:numId w:val="44"/>
        </w:numPr>
        <w:topLinePunct w:val="0"/>
        <w:ind w:left="0" w:leftChars="0" w:firstLine="480" w:firstLineChars="0"/>
        <w:rPr>
          <w:b w:val="0"/>
          <w:color w:val="000000"/>
        </w:rPr>
      </w:pPr>
      <w:r>
        <w:rPr>
          <w:color w:val="000000"/>
        </w:rPr>
        <w:t>事实依据；</w:t>
      </w:r>
    </w:p>
    <w:p w14:paraId="3EE293E3">
      <w:pPr>
        <w:pStyle w:val="11"/>
        <w:numPr>
          <w:ilvl w:val="0"/>
          <w:numId w:val="44"/>
        </w:numPr>
        <w:topLinePunct w:val="0"/>
        <w:ind w:left="0" w:leftChars="0" w:firstLine="480" w:firstLineChars="0"/>
        <w:rPr>
          <w:b w:val="0"/>
          <w:color w:val="000000"/>
        </w:rPr>
      </w:pPr>
      <w:r>
        <w:rPr>
          <w:color w:val="000000"/>
        </w:rPr>
        <w:t>必要的法律依据；</w:t>
      </w:r>
    </w:p>
    <w:p w14:paraId="30B91685">
      <w:pPr>
        <w:pStyle w:val="11"/>
        <w:numPr>
          <w:ilvl w:val="0"/>
          <w:numId w:val="44"/>
        </w:numPr>
        <w:topLinePunct w:val="0"/>
        <w:ind w:left="0" w:leftChars="0" w:firstLine="480" w:firstLineChars="0"/>
        <w:rPr>
          <w:b w:val="0"/>
          <w:color w:val="000000"/>
        </w:rPr>
      </w:pPr>
      <w:r>
        <w:rPr>
          <w:color w:val="000000"/>
        </w:rPr>
        <w:t>提出质疑的日期。</w:t>
      </w:r>
    </w:p>
    <w:p w14:paraId="431CF8AA">
      <w:pPr>
        <w:pStyle w:val="11"/>
        <w:rPr>
          <w:color w:val="000000"/>
        </w:rPr>
      </w:pPr>
      <w:r>
        <w:rPr>
          <w:color w:val="000000"/>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808E4B7">
      <w:pPr>
        <w:rPr>
          <w:rFonts w:hint="eastAsia"/>
          <w:color w:val="000000"/>
        </w:rPr>
      </w:pPr>
    </w:p>
    <w:p w14:paraId="7A6A9398">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4D39035">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5A56BCB">
      <w:pPr>
        <w:rPr>
          <w:rFonts w:hint="eastAsia"/>
          <w:color w:val="000000"/>
        </w:rPr>
      </w:pPr>
    </w:p>
    <w:p w14:paraId="67282D75">
      <w:pPr>
        <w:pStyle w:val="11"/>
        <w:rPr>
          <w:rFonts w:hint="eastAsia"/>
          <w:color w:val="000000"/>
        </w:rPr>
      </w:pPr>
    </w:p>
    <w:p w14:paraId="21876406">
      <w:pPr>
        <w:rPr>
          <w:rFonts w:hint="eastAsia"/>
          <w:color w:val="000000"/>
        </w:rPr>
      </w:pPr>
    </w:p>
    <w:p w14:paraId="39475841">
      <w:pPr>
        <w:pStyle w:val="11"/>
        <w:rPr>
          <w:rFonts w:hint="eastAsia"/>
          <w:color w:val="000000"/>
        </w:rPr>
      </w:pPr>
    </w:p>
    <w:p w14:paraId="3CED62A0">
      <w:pPr>
        <w:rPr>
          <w:rFonts w:hint="eastAsia"/>
          <w:color w:val="000000"/>
        </w:rPr>
      </w:pPr>
    </w:p>
    <w:p w14:paraId="197604D6">
      <w:pPr>
        <w:pStyle w:val="11"/>
        <w:rPr>
          <w:rFonts w:hint="eastAsia"/>
          <w:color w:val="000000"/>
        </w:rPr>
      </w:pPr>
    </w:p>
    <w:p w14:paraId="1C93A2FB">
      <w:pPr>
        <w:rPr>
          <w:rFonts w:hint="eastAsia"/>
          <w:color w:val="000000"/>
        </w:rPr>
      </w:pPr>
    </w:p>
    <w:p w14:paraId="7B75E0A6">
      <w:pPr>
        <w:pStyle w:val="11"/>
        <w:rPr>
          <w:rFonts w:hint="eastAsia"/>
          <w:color w:val="000000"/>
        </w:rPr>
      </w:pPr>
    </w:p>
    <w:p w14:paraId="5DFF929A">
      <w:pPr>
        <w:rPr>
          <w:rFonts w:hint="eastAsia"/>
          <w:color w:val="000000"/>
        </w:rPr>
      </w:pPr>
    </w:p>
    <w:p w14:paraId="1AB3151C">
      <w:bookmarkStart w:id="49" w:name="_Toc12144"/>
      <w:r>
        <w:br w:type="page"/>
      </w:r>
    </w:p>
    <w:p w14:paraId="1683B67D">
      <w:pPr>
        <w:pStyle w:val="42"/>
        <w:numPr>
          <w:ilvl w:val="0"/>
          <w:numId w:val="2"/>
        </w:numPr>
        <w:ind w:left="0" w:leftChars="0" w:firstLine="0" w:firstLineChars="0"/>
        <w:outlineLvl w:val="0"/>
        <w:rPr>
          <w:b w:val="0"/>
        </w:rPr>
      </w:pPr>
      <w:r>
        <w:t>评审方法及定标标准</w:t>
      </w:r>
      <w:bookmarkEnd w:id="49"/>
    </w:p>
    <w:p w14:paraId="27330177">
      <w:pPr>
        <w:pStyle w:val="2"/>
        <w:numPr>
          <w:ilvl w:val="0"/>
          <w:numId w:val="45"/>
        </w:numPr>
        <w:tabs>
          <w:tab w:val="clear" w:pos="482"/>
        </w:tabs>
        <w:topLinePunct w:val="0"/>
        <w:ind w:left="0" w:leftChars="0" w:firstLine="0" w:firstLineChars="0"/>
        <w:rPr>
          <w:b/>
        </w:rPr>
      </w:pPr>
      <w:r>
        <w:t>评标原则</w:t>
      </w:r>
    </w:p>
    <w:p w14:paraId="3F449896">
      <w:pPr>
        <w:pStyle w:val="11"/>
        <w:numPr>
          <w:ilvl w:val="0"/>
          <w:numId w:val="46"/>
        </w:numPr>
        <w:ind w:left="0" w:leftChars="0" w:firstLine="480" w:firstLineChars="0"/>
        <w:rPr>
          <w:b w:val="0"/>
          <w:color w:val="000000"/>
        </w:rPr>
      </w:pPr>
      <w:r>
        <w:rPr>
          <w:color w:val="000000"/>
        </w:rPr>
        <w:t>磋商小组的构成：</w:t>
      </w:r>
    </w:p>
    <w:p w14:paraId="2663A778">
      <w:pPr>
        <w:pStyle w:val="11"/>
        <w:numPr>
          <w:ilvl w:val="0"/>
          <w:numId w:val="47"/>
        </w:numPr>
        <w:ind w:left="0" w:leftChars="0" w:firstLine="482" w:firstLineChars="0"/>
        <w:rPr>
          <w:b w:val="0"/>
          <w:color w:val="000000"/>
        </w:rPr>
      </w:pPr>
      <w:r>
        <w:rPr>
          <w:color w:val="000000"/>
        </w:rPr>
        <w:t>本采购项目的磋商小组分别由依法组成的评审专家、采购人代表等三人组成，其中专家人数不少于成员总数的三分之二。</w:t>
      </w:r>
    </w:p>
    <w:p w14:paraId="45EE27DF">
      <w:pPr>
        <w:pStyle w:val="11"/>
        <w:numPr>
          <w:ilvl w:val="0"/>
          <w:numId w:val="47"/>
        </w:numPr>
        <w:ind w:left="0" w:leftChars="0" w:firstLine="482" w:firstLineChars="0"/>
      </w:pPr>
      <w:r>
        <w:rPr>
          <w:color w:val="000000"/>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t>。</w:t>
      </w:r>
    </w:p>
    <w:p w14:paraId="5CF05039">
      <w:pPr>
        <w:pStyle w:val="11"/>
        <w:numPr>
          <w:ilvl w:val="0"/>
          <w:numId w:val="46"/>
        </w:numPr>
        <w:ind w:left="0" w:leftChars="0" w:firstLine="480" w:firstLineChars="0"/>
        <w:rPr>
          <w:b w:val="0"/>
          <w:color w:val="000000"/>
        </w:rPr>
      </w:pPr>
      <w:r>
        <w:rPr>
          <w:color w:val="000000"/>
        </w:rPr>
        <w:t>评标依据：磋商小组将以磋商响应文件为评标依据，对供应商的价格、技术方案分等方面内容按百分制打分。</w:t>
      </w:r>
    </w:p>
    <w:p w14:paraId="3B86394B">
      <w:pPr>
        <w:pStyle w:val="11"/>
        <w:numPr>
          <w:ilvl w:val="0"/>
          <w:numId w:val="46"/>
        </w:numPr>
        <w:ind w:left="0" w:leftChars="0" w:firstLine="480" w:firstLineChars="0"/>
        <w:rPr>
          <w:b w:val="0"/>
          <w:color w:val="000000"/>
        </w:rPr>
      </w:pPr>
      <w:r>
        <w:rPr>
          <w:color w:val="000000"/>
        </w:rPr>
        <w:t>评标方法：综合评分法。</w:t>
      </w:r>
    </w:p>
    <w:p w14:paraId="61633588">
      <w:pPr>
        <w:pStyle w:val="2"/>
        <w:numPr>
          <w:ilvl w:val="0"/>
          <w:numId w:val="45"/>
        </w:numPr>
        <w:tabs>
          <w:tab w:val="clear" w:pos="482"/>
        </w:tabs>
        <w:topLinePunct w:val="0"/>
        <w:ind w:left="0" w:leftChars="0" w:firstLine="0" w:firstLineChars="0"/>
        <w:rPr>
          <w:b/>
        </w:rPr>
      </w:pPr>
      <w:r>
        <w:t>评标方法（计分办法按四舍五入取至百分位）：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1"/>
        <w:gridCol w:w="6784"/>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691" w:type="dxa"/>
            <w:noWrap w:val="0"/>
            <w:vAlign w:val="center"/>
          </w:tcPr>
          <w:p w14:paraId="6A1226C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评分因素</w:t>
            </w:r>
          </w:p>
        </w:tc>
        <w:tc>
          <w:tcPr>
            <w:tcW w:w="6784" w:type="dxa"/>
            <w:noWrap w:val="0"/>
            <w:vAlign w:val="center"/>
          </w:tcPr>
          <w:p w14:paraId="59FB96F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cs="Tahoma"/>
                <w:b/>
                <w:bCs/>
                <w:color w:val="000000"/>
                <w:kern w:val="0"/>
                <w:szCs w:val="21"/>
              </w:rPr>
            </w:pPr>
            <w:r>
              <w:rPr>
                <w:rFonts w:hint="eastAsia" w:ascii="宋体" w:hAnsi="宋体" w:cs="Tahoma"/>
                <w:b/>
                <w:bCs/>
                <w:color w:val="000000"/>
                <w:kern w:val="0"/>
                <w:szCs w:val="21"/>
              </w:rPr>
              <w:t>1、价格分（满分30分）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1.1</w:t>
            </w:r>
          </w:p>
        </w:tc>
        <w:tc>
          <w:tcPr>
            <w:tcW w:w="1691" w:type="dxa"/>
            <w:noWrap w:val="0"/>
            <w:vAlign w:val="center"/>
          </w:tcPr>
          <w:p w14:paraId="4ABDE348">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价格分</w:t>
            </w:r>
          </w:p>
          <w:p w14:paraId="19340E29">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（满分30分）</w:t>
            </w:r>
          </w:p>
        </w:tc>
        <w:tc>
          <w:tcPr>
            <w:tcW w:w="6784" w:type="dxa"/>
            <w:noWrap w:val="0"/>
            <w:vAlign w:val="top"/>
          </w:tcPr>
          <w:p w14:paraId="3C0B5175">
            <w:pPr>
              <w:pStyle w:val="15"/>
              <w:numPr>
                <w:ilvl w:val="0"/>
                <w:numId w:val="0"/>
              </w:numPr>
              <w:spacing w:line="400" w:lineRule="exact"/>
              <w:ind w:firstLine="420" w:firstLineChars="200"/>
              <w:rPr>
                <w:rFonts w:hint="eastAsia" w:hAnsi="宋体"/>
                <w:bCs/>
                <w:color w:val="000000"/>
                <w:sz w:val="21"/>
              </w:rPr>
            </w:pPr>
            <w:r>
              <w:rPr>
                <w:rFonts w:hint="eastAsia" w:ascii="宋体" w:hAnsi="宋体" w:eastAsia="宋体" w:cs="Times New Roman"/>
                <w:bCs/>
                <w:color w:val="000000"/>
                <w:kern w:val="0"/>
                <w:sz w:val="21"/>
                <w:szCs w:val="21"/>
                <w:lang w:val="en-US" w:eastAsia="zh-CN" w:bidi="ar-SA"/>
              </w:rPr>
              <w:t>（1）</w:t>
            </w:r>
            <w:r>
              <w:rPr>
                <w:rFonts w:hint="eastAsia" w:hAnsi="宋体"/>
                <w:bCs/>
                <w:color w:val="000000"/>
                <w:sz w:val="21"/>
              </w:rPr>
              <w:t>评标价为供应商的磋商报价进行政策性扣除后的价格，评标价只是作为评标时使用。最终成交供应商的成交金额＝磋商报价。</w:t>
            </w:r>
          </w:p>
          <w:p w14:paraId="755ACB9D">
            <w:pPr>
              <w:pStyle w:val="15"/>
              <w:spacing w:line="400" w:lineRule="exact"/>
              <w:ind w:firstLine="420" w:firstLineChars="200"/>
              <w:rPr>
                <w:rFonts w:hint="eastAsia" w:ascii="宋体" w:hAnsi="宋体" w:eastAsia="宋体" w:cs="宋体"/>
                <w:bCs/>
                <w:color w:val="000000"/>
                <w:sz w:val="21"/>
                <w:szCs w:val="21"/>
                <w:highlight w:val="none"/>
                <w:lang w:val="en-US"/>
              </w:rPr>
            </w:pP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000000"/>
                <w:sz w:val="21"/>
                <w:szCs w:val="21"/>
                <w:highlight w:val="none"/>
                <w:lang w:val="en-US"/>
              </w:rPr>
              <w:t>本项目为专门面对中小企业项目，</w:t>
            </w:r>
            <w:r>
              <w:rPr>
                <w:rFonts w:hint="eastAsia" w:ascii="宋体" w:hAnsi="宋体" w:eastAsia="宋体" w:cs="宋体"/>
                <w:bCs/>
                <w:color w:val="000000"/>
                <w:sz w:val="21"/>
                <w:szCs w:val="21"/>
                <w:highlight w:val="none"/>
                <w:lang w:val="en-US" w:eastAsia="zh-CN"/>
              </w:rPr>
              <w:t>按照《政府采购促进中小企业发展管理办法》（财库）</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2020</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46</w:t>
            </w:r>
            <w:r>
              <w:rPr>
                <w:rFonts w:hint="eastAsia" w:ascii="宋体" w:hAnsi="宋体" w:eastAsia="宋体" w:cs="宋体"/>
                <w:bCs/>
                <w:color w:val="000000"/>
                <w:sz w:val="21"/>
                <w:szCs w:val="21"/>
                <w:highlight w:val="none"/>
                <w:lang w:val="en-US"/>
              </w:rPr>
              <w:t>号</w:t>
            </w:r>
            <w:r>
              <w:rPr>
                <w:rFonts w:hint="eastAsia" w:ascii="宋体" w:hAnsi="宋体" w:eastAsia="宋体" w:cs="宋体"/>
                <w:bCs/>
                <w:color w:val="000000"/>
                <w:sz w:val="21"/>
                <w:szCs w:val="21"/>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1"/>
                <w:szCs w:val="21"/>
                <w:highlight w:val="none"/>
                <w:lang w:val="en-US"/>
              </w:rPr>
              <w:t>。</w:t>
            </w:r>
          </w:p>
          <w:p w14:paraId="78CD2CD1">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3</w:t>
            </w:r>
            <w:r>
              <w:rPr>
                <w:rFonts w:hint="eastAsia" w:hAnsi="宋体"/>
                <w:bCs/>
                <w:color w:val="000000"/>
                <w:sz w:val="21"/>
                <w:highlight w:val="none"/>
              </w:rPr>
              <w:t>）以进入综合评分环节的最低的评标报价为基准价，基准价报价得分为30分。</w:t>
            </w:r>
          </w:p>
          <w:p w14:paraId="4394017F">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4</w:t>
            </w:r>
            <w:r>
              <w:rPr>
                <w:rFonts w:hint="eastAsia" w:hAnsi="宋体"/>
                <w:bCs/>
                <w:color w:val="000000"/>
                <w:sz w:val="21"/>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5</w:t>
            </w:r>
            <w:r>
              <w:rPr>
                <w:rFonts w:hint="eastAsia" w:hAnsi="宋体"/>
                <w:bCs/>
                <w:color w:val="000000"/>
                <w:sz w:val="21"/>
                <w:highlight w:val="none"/>
              </w:rPr>
              <w:t>）价格分计算公式：</w:t>
            </w:r>
          </w:p>
          <w:p w14:paraId="5C1520F5">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某供应商价格分=基准价/某供应商磋商报价金额×30分</w:t>
            </w:r>
          </w:p>
          <w:p w14:paraId="2AA8BC62">
            <w:pPr>
              <w:pStyle w:val="15"/>
              <w:spacing w:line="400" w:lineRule="exact"/>
              <w:ind w:firstLine="422" w:firstLineChars="200"/>
              <w:rPr>
                <w:rFonts w:hAnsi="宋体"/>
                <w:bCs/>
                <w:color w:val="000000"/>
                <w:sz w:val="21"/>
              </w:rPr>
            </w:pPr>
            <w:r>
              <w:rPr>
                <w:rFonts w:hint="eastAsia" w:hAnsi="宋体"/>
                <w:b/>
                <w:bCs/>
                <w:color w:val="000000"/>
                <w:sz w:val="21"/>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hAnsi="宋体"/>
                <w:b/>
                <w:bCs/>
                <w:color w:val="000000"/>
              </w:rPr>
            </w:pPr>
            <w:r>
              <w:rPr>
                <w:rFonts w:hint="eastAsia" w:hAnsi="宋体"/>
                <w:b/>
                <w:bCs/>
                <w:color w:val="000000"/>
              </w:rPr>
              <w:t>2、技术方案分（满分</w:t>
            </w:r>
            <w:r>
              <w:rPr>
                <w:rFonts w:hint="eastAsia" w:hAnsi="宋体"/>
                <w:b/>
                <w:bCs/>
                <w:color w:val="000000"/>
                <w:lang w:val="en-US" w:eastAsia="zh-CN"/>
              </w:rPr>
              <w:t>66</w:t>
            </w:r>
            <w:r>
              <w:rPr>
                <w:rFonts w:hint="eastAsia" w:hAnsi="宋体"/>
                <w:b/>
                <w:bCs/>
                <w:color w:val="000000"/>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1</w:t>
            </w:r>
          </w:p>
        </w:tc>
        <w:tc>
          <w:tcPr>
            <w:tcW w:w="1691" w:type="dxa"/>
            <w:noWrap w:val="0"/>
            <w:vAlign w:val="center"/>
          </w:tcPr>
          <w:p w14:paraId="6B7B9726">
            <w:pPr>
              <w:spacing w:line="400" w:lineRule="exact"/>
              <w:jc w:val="center"/>
              <w:rPr>
                <w:rFonts w:hint="eastAsia" w:ascii="宋体" w:hAnsi="宋体" w:cs="宋体"/>
                <w:bCs/>
                <w:color w:val="000000"/>
                <w:szCs w:val="21"/>
              </w:rPr>
            </w:pPr>
            <w:r>
              <w:rPr>
                <w:rFonts w:hint="eastAsia" w:ascii="宋体" w:hAnsi="宋体" w:cs="宋体"/>
                <w:bCs/>
                <w:color w:val="000000"/>
                <w:szCs w:val="21"/>
              </w:rPr>
              <w:t>主要施工</w:t>
            </w:r>
            <w:r>
              <w:rPr>
                <w:rFonts w:hint="eastAsia" w:ascii="宋体" w:hAnsi="宋体" w:cs="宋体"/>
                <w:bCs/>
                <w:color w:val="000000"/>
                <w:szCs w:val="21"/>
                <w:lang w:val="en-US" w:eastAsia="zh-CN"/>
              </w:rPr>
              <w:t>方法、方案与技术措施</w:t>
            </w:r>
            <w:r>
              <w:rPr>
                <w:rFonts w:hint="eastAsia" w:ascii="宋体" w:hAnsi="宋体" w:cs="宋体"/>
                <w:bCs/>
                <w:color w:val="000000"/>
                <w:szCs w:val="21"/>
              </w:rPr>
              <w:t>（满分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10CDB34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分）：各主要分部施工方法基本符合项目实际，施工技术方案基本齐全，方法基本合理、基本可行，基本能指导具体施工并确保安全。</w:t>
            </w:r>
          </w:p>
          <w:p w14:paraId="7A8A90B4">
            <w:pPr>
              <w:widowControl/>
              <w:spacing w:line="360" w:lineRule="auto"/>
              <w:rPr>
                <w:rFonts w:hint="eastAsia" w:hAnsi="宋体"/>
                <w:bCs/>
                <w:color w:val="000000"/>
              </w:rPr>
            </w:pPr>
            <w:r>
              <w:rPr>
                <w:rFonts w:hint="eastAsia" w:ascii="宋体" w:hAnsi="宋体"/>
                <w:bCs/>
                <w:color w:val="000000"/>
                <w:kern w:val="0"/>
                <w:szCs w:val="21"/>
              </w:rPr>
              <w:t xml:space="preserve"> 差（</w:t>
            </w:r>
            <w:r>
              <w:rPr>
                <w:rFonts w:hint="eastAsia" w:ascii="宋体" w:hAnsi="宋体"/>
                <w:bCs/>
                <w:color w:val="000000"/>
                <w:kern w:val="0"/>
                <w:szCs w:val="21"/>
                <w:lang w:val="en-US" w:eastAsia="zh-CN"/>
              </w:rPr>
              <w:t>2</w:t>
            </w:r>
            <w:r>
              <w:rPr>
                <w:rFonts w:hint="eastAsia" w:ascii="宋体" w:hAnsi="宋体"/>
                <w:bCs/>
                <w:color w:val="000000"/>
                <w:kern w:val="0"/>
                <w:szCs w:val="21"/>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2</w:t>
            </w:r>
          </w:p>
        </w:tc>
        <w:tc>
          <w:tcPr>
            <w:tcW w:w="1691" w:type="dxa"/>
            <w:noWrap w:val="0"/>
            <w:vAlign w:val="center"/>
          </w:tcPr>
          <w:p w14:paraId="5EA6DADF">
            <w:pPr>
              <w:widowControl/>
              <w:spacing w:line="400" w:lineRule="exact"/>
              <w:jc w:val="center"/>
              <w:rPr>
                <w:rFonts w:ascii="宋体" w:hAnsi="宋体" w:cs="Tahoma"/>
                <w:color w:val="000000"/>
                <w:kern w:val="0"/>
                <w:szCs w:val="21"/>
              </w:rPr>
            </w:pPr>
            <w:r>
              <w:rPr>
                <w:rFonts w:hint="eastAsia" w:ascii="宋体" w:hAnsi="宋体" w:cs="宋体"/>
                <w:color w:val="000000"/>
                <w:kern w:val="0"/>
                <w:szCs w:val="21"/>
              </w:rPr>
              <w:t>拟投入的主要物资计划（满分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07EDC60C">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中（2分）：投入的施工材料有详细的组织计划，投入计划与进度计划呼应，基本满足施工需要，调配投入计划基本合理。 </w:t>
            </w:r>
          </w:p>
          <w:p w14:paraId="58A0CFF3">
            <w:pPr>
              <w:widowControl/>
              <w:spacing w:line="360" w:lineRule="auto"/>
              <w:rPr>
                <w:rFonts w:hAnsi="宋体"/>
                <w:bCs/>
                <w:color w:val="000000"/>
              </w:rPr>
            </w:pPr>
            <w:r>
              <w:rPr>
                <w:rFonts w:hint="eastAsia" w:ascii="宋体" w:hAnsi="宋体"/>
                <w:bCs/>
                <w:color w:val="000000"/>
                <w:kern w:val="0"/>
                <w:szCs w:val="21"/>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3</w:t>
            </w:r>
          </w:p>
        </w:tc>
        <w:tc>
          <w:tcPr>
            <w:tcW w:w="1691" w:type="dxa"/>
            <w:noWrap w:val="0"/>
            <w:vAlign w:val="center"/>
          </w:tcPr>
          <w:p w14:paraId="499FA5A3">
            <w:pPr>
              <w:widowControl/>
              <w:spacing w:line="400" w:lineRule="exact"/>
              <w:jc w:val="center"/>
              <w:rPr>
                <w:rFonts w:hint="eastAsia" w:ascii="宋体" w:hAnsi="宋体" w:cs="宋体"/>
                <w:color w:val="000000"/>
                <w:kern w:val="0"/>
                <w:szCs w:val="21"/>
              </w:rPr>
            </w:pPr>
            <w:r>
              <w:rPr>
                <w:rFonts w:hint="eastAsia" w:ascii="宋体" w:hAnsi="宋体" w:cs="宋体"/>
                <w:bCs/>
                <w:szCs w:val="21"/>
              </w:rPr>
              <w:t>拟投入的主要施工机械、设备计划（满分</w:t>
            </w:r>
            <w:r>
              <w:rPr>
                <w:rFonts w:hint="eastAsia" w:ascii="宋体" w:hAnsi="宋体" w:cs="宋体"/>
                <w:bCs/>
                <w:szCs w:val="21"/>
                <w:lang w:val="en-US" w:eastAsia="zh-CN"/>
              </w:rPr>
              <w:t>8</w:t>
            </w:r>
            <w:r>
              <w:rPr>
                <w:rFonts w:hint="eastAsia" w:ascii="宋体" w:hAnsi="宋体" w:cs="宋体"/>
                <w:bCs/>
                <w:szCs w:val="21"/>
              </w:rPr>
              <w:t>分）</w:t>
            </w:r>
          </w:p>
        </w:tc>
        <w:tc>
          <w:tcPr>
            <w:tcW w:w="6784" w:type="dxa"/>
            <w:noWrap w:val="0"/>
            <w:vAlign w:val="center"/>
          </w:tcPr>
          <w:p w14:paraId="37516A7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cs="宋体"/>
                <w:bCs/>
                <w:color w:val="00000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4</w:t>
            </w:r>
          </w:p>
        </w:tc>
        <w:tc>
          <w:tcPr>
            <w:tcW w:w="1691" w:type="dxa"/>
            <w:noWrap w:val="0"/>
            <w:vAlign w:val="center"/>
          </w:tcPr>
          <w:p w14:paraId="7296FF1A">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lang w:val="en-US" w:eastAsia="zh-CN"/>
              </w:rPr>
              <w:t>拟投入项目班子人员、</w:t>
            </w:r>
            <w:r>
              <w:rPr>
                <w:rFonts w:hint="eastAsia" w:ascii="宋体" w:hAnsi="宋体" w:cs="宋体"/>
                <w:bCs/>
                <w:color w:val="000000"/>
                <w:szCs w:val="21"/>
              </w:rPr>
              <w:t>劳动力安排计划（满分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50B5DDA2">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w:t>
            </w:r>
            <w:r>
              <w:rPr>
                <w:rFonts w:hint="eastAsia" w:ascii="宋体" w:hAnsi="宋体"/>
                <w:bCs/>
                <w:color w:val="000000"/>
                <w:kern w:val="0"/>
                <w:szCs w:val="21"/>
                <w:lang w:val="en-US" w:eastAsia="zh-CN"/>
              </w:rPr>
              <w:t>拟投入项目管理</w:t>
            </w:r>
            <w:r>
              <w:rPr>
                <w:rFonts w:hint="eastAsia" w:ascii="宋体" w:hAnsi="宋体"/>
                <w:bCs/>
                <w:color w:val="000000"/>
                <w:kern w:val="0"/>
                <w:szCs w:val="21"/>
              </w:rPr>
              <w:t>班子人员齐备、搭配合理，都有岗位证书</w:t>
            </w:r>
            <w:r>
              <w:rPr>
                <w:rFonts w:hint="eastAsia" w:ascii="宋体" w:hAnsi="宋体"/>
                <w:bCs/>
                <w:color w:val="000000"/>
                <w:kern w:val="0"/>
                <w:szCs w:val="21"/>
                <w:lang w:eastAsia="zh-CN"/>
              </w:rPr>
              <w:t>，</w:t>
            </w:r>
            <w:r>
              <w:rPr>
                <w:rFonts w:hint="eastAsia" w:ascii="宋体" w:hAnsi="宋体"/>
                <w:bCs/>
                <w:color w:val="000000"/>
                <w:kern w:val="0"/>
                <w:szCs w:val="21"/>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bCs/>
                <w:color w:val="000000"/>
                <w:kern w:val="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分）：拟投入项目管理班子人员不齐备或搭配不合理</w:t>
            </w:r>
            <w:r>
              <w:rPr>
                <w:rFonts w:hint="eastAsia" w:ascii="宋体" w:hAnsi="宋体"/>
                <w:bCs/>
                <w:color w:val="000000"/>
                <w:kern w:val="0"/>
                <w:szCs w:val="21"/>
                <w:lang w:eastAsia="zh-CN"/>
              </w:rPr>
              <w:t>，</w:t>
            </w:r>
            <w:r>
              <w:rPr>
                <w:rFonts w:hint="eastAsia" w:ascii="宋体" w:hAnsi="宋体"/>
                <w:bCs/>
                <w:color w:val="000000"/>
                <w:kern w:val="0"/>
                <w:szCs w:val="21"/>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5</w:t>
            </w:r>
          </w:p>
        </w:tc>
        <w:tc>
          <w:tcPr>
            <w:tcW w:w="1691" w:type="dxa"/>
            <w:noWrap w:val="0"/>
            <w:vAlign w:val="center"/>
          </w:tcPr>
          <w:p w14:paraId="4DB07960">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确保工程质量的技术组织措施（满分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16DABB6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bCs/>
                <w:color w:val="000000"/>
                <w:kern w:val="0"/>
                <w:szCs w:val="21"/>
              </w:rPr>
            </w:pPr>
            <w:r>
              <w:rPr>
                <w:rFonts w:hint="eastAsia" w:ascii="宋体" w:hAnsi="宋体"/>
                <w:bCs/>
                <w:color w:val="000000"/>
                <w:kern w:val="0"/>
                <w:szCs w:val="21"/>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6</w:t>
            </w:r>
          </w:p>
        </w:tc>
        <w:tc>
          <w:tcPr>
            <w:tcW w:w="1691" w:type="dxa"/>
            <w:noWrap w:val="0"/>
            <w:vAlign w:val="center"/>
          </w:tcPr>
          <w:p w14:paraId="58E907B4">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确保安全生产的技术组织措施（满分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59EE8BD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7</w:t>
            </w:r>
          </w:p>
        </w:tc>
        <w:tc>
          <w:tcPr>
            <w:tcW w:w="1691" w:type="dxa"/>
            <w:noWrap w:val="0"/>
            <w:vAlign w:val="center"/>
          </w:tcPr>
          <w:p w14:paraId="3DADFD9C">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确保工期的技术组织措施（满分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4DB1B9CF">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良（4分）：有保证工期的具体措施且措施得当。各项计划图表编制完善，安排较合理，符合本项目施工实际要求。 </w:t>
            </w:r>
          </w:p>
          <w:p w14:paraId="537C951B">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中（2分）：有保证工期的具体措施且措施基本得当。各项计划图表编制基本完善，安排较合理，符合本项目施工实际要求。</w:t>
            </w:r>
          </w:p>
          <w:p w14:paraId="7E45A5CA">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8</w:t>
            </w:r>
          </w:p>
        </w:tc>
        <w:tc>
          <w:tcPr>
            <w:tcW w:w="1691" w:type="dxa"/>
            <w:noWrap w:val="0"/>
            <w:vAlign w:val="center"/>
          </w:tcPr>
          <w:p w14:paraId="00552B32">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确保文明施工的技术组织措施（满分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78B69244">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9</w:t>
            </w:r>
          </w:p>
        </w:tc>
        <w:tc>
          <w:tcPr>
            <w:tcW w:w="1691" w:type="dxa"/>
            <w:noWrap w:val="0"/>
            <w:vAlign w:val="center"/>
          </w:tcPr>
          <w:p w14:paraId="25758C02">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工程施工的重点和难点及保证措施（满分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4F37D36B">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中（2分）：对项目关键技术有一定了解，对重点、难点有建议，解决方案基本可行。</w:t>
            </w:r>
          </w:p>
          <w:p w14:paraId="7B1759B8">
            <w:pPr>
              <w:widowControl/>
              <w:spacing w:line="360" w:lineRule="auto"/>
              <w:rPr>
                <w:rFonts w:hint="eastAsia" w:ascii="宋体" w:hAnsi="宋体" w:cs="宋体"/>
                <w:bCs/>
                <w:color w:val="000000"/>
                <w:szCs w:val="21"/>
              </w:rPr>
            </w:pPr>
            <w:r>
              <w:rPr>
                <w:rFonts w:hint="eastAsia" w:ascii="宋体" w:hAnsi="宋体"/>
                <w:bCs/>
                <w:color w:val="000000"/>
                <w:kern w:val="0"/>
                <w:szCs w:val="21"/>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default" w:ascii="宋体" w:hAnsi="宋体" w:eastAsia="宋体"/>
                <w:bCs/>
                <w:color w:val="000000"/>
                <w:kern w:val="0"/>
                <w:szCs w:val="21"/>
                <w:lang w:val="en-US" w:eastAsia="zh-CN"/>
              </w:rPr>
            </w:pPr>
            <w:r>
              <w:rPr>
                <w:rFonts w:hint="eastAsia" w:ascii="宋体" w:hAnsi="宋体" w:cs="宋体"/>
                <w:bCs/>
              </w:rPr>
              <w:t>2.</w:t>
            </w:r>
            <w:r>
              <w:rPr>
                <w:rFonts w:hint="eastAsia" w:ascii="宋体" w:hAnsi="宋体" w:cs="宋体"/>
                <w:bCs/>
                <w:lang w:val="en-US" w:eastAsia="zh-CN"/>
              </w:rPr>
              <w:t>10</w:t>
            </w:r>
          </w:p>
        </w:tc>
        <w:tc>
          <w:tcPr>
            <w:tcW w:w="1691" w:type="dxa"/>
            <w:noWrap w:val="0"/>
            <w:vAlign w:val="center"/>
          </w:tcPr>
          <w:p w14:paraId="364EC3F0">
            <w:pPr>
              <w:spacing w:line="400" w:lineRule="exact"/>
              <w:jc w:val="center"/>
              <w:rPr>
                <w:rFonts w:hint="eastAsia" w:ascii="宋体" w:hAnsi="宋体" w:cs="宋体"/>
                <w:bCs/>
                <w:color w:val="000000"/>
                <w:szCs w:val="21"/>
              </w:rPr>
            </w:pPr>
            <w:r>
              <w:rPr>
                <w:rFonts w:hint="eastAsia" w:ascii="宋体" w:hAnsi="宋体" w:cs="宋体"/>
                <w:bCs/>
              </w:rPr>
              <w:t>施工总平面布置图（满分</w:t>
            </w:r>
            <w:r>
              <w:rPr>
                <w:rFonts w:hint="eastAsia" w:ascii="宋体" w:hAnsi="宋体" w:cs="宋体"/>
                <w:bCs/>
                <w:lang w:val="en-US" w:eastAsia="zh-CN"/>
              </w:rPr>
              <w:t>6</w:t>
            </w:r>
            <w:r>
              <w:rPr>
                <w:rFonts w:hint="eastAsia" w:ascii="宋体" w:hAnsi="宋体" w:cs="宋体"/>
                <w:bCs/>
              </w:rPr>
              <w:t>分）</w:t>
            </w:r>
          </w:p>
        </w:tc>
        <w:tc>
          <w:tcPr>
            <w:tcW w:w="6784" w:type="dxa"/>
            <w:noWrap w:val="0"/>
            <w:vAlign w:val="center"/>
          </w:tcPr>
          <w:p w14:paraId="4CC02778">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分）：总体布置有针对性、合理，较好满足施工需要，符合安全、文明生产要求。</w:t>
            </w:r>
          </w:p>
          <w:p w14:paraId="77BAA2DB">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良（4分）：总体布置合理，能满足施工需要，基本符合安全、文明生产要求。 </w:t>
            </w:r>
          </w:p>
          <w:p w14:paraId="34F9617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中（2分）：总体布置基本合理，基本满足施工需要。</w:t>
            </w:r>
          </w:p>
          <w:p w14:paraId="0F5AFCE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9"/>
              <w:ind w:firstLine="0" w:firstLineChars="0"/>
              <w:jc w:val="both"/>
              <w:rPr>
                <w:rFonts w:hint="eastAsia"/>
                <w:color w:val="auto"/>
                <w:highlight w:val="none"/>
              </w:rPr>
            </w:pPr>
            <w:r>
              <w:rPr>
                <w:rFonts w:hint="eastAsia" w:ascii="Times New Roman" w:hAnsi="宋体" w:eastAsia="宋体" w:cs="Times New Roman"/>
                <w:b/>
                <w:color w:val="000000"/>
                <w:spacing w:val="0"/>
                <w:kern w:val="2"/>
                <w:sz w:val="21"/>
                <w:szCs w:val="24"/>
                <w:highlight w:val="none"/>
                <w:lang w:eastAsia="zh-CN"/>
              </w:rPr>
              <w:t>3</w:t>
            </w:r>
            <w:r>
              <w:rPr>
                <w:rFonts w:hint="eastAsia" w:ascii="Times New Roman" w:hAnsi="宋体" w:eastAsia="宋体" w:cs="Times New Roman"/>
                <w:b/>
                <w:color w:val="000000"/>
                <w:spacing w:val="0"/>
                <w:kern w:val="2"/>
                <w:sz w:val="21"/>
                <w:szCs w:val="24"/>
                <w:highlight w:val="none"/>
              </w:rPr>
              <w:t>、</w:t>
            </w:r>
            <w:r>
              <w:rPr>
                <w:rFonts w:hint="eastAsia" w:ascii="Times New Roman" w:hAnsi="宋体" w:eastAsia="宋体" w:cs="Times New Roman"/>
                <w:b/>
                <w:color w:val="000000"/>
                <w:spacing w:val="0"/>
                <w:kern w:val="2"/>
                <w:sz w:val="21"/>
                <w:szCs w:val="24"/>
                <w:highlight w:val="none"/>
                <w:lang w:val="en-US" w:eastAsia="zh-CN"/>
              </w:rPr>
              <w:t>商务</w:t>
            </w:r>
            <w:r>
              <w:rPr>
                <w:rFonts w:hint="eastAsia" w:ascii="Times New Roman" w:hAnsi="宋体" w:eastAsia="宋体" w:cs="Times New Roman"/>
                <w:b/>
                <w:color w:val="000000"/>
                <w:spacing w:val="0"/>
                <w:kern w:val="2"/>
                <w:sz w:val="21"/>
                <w:szCs w:val="24"/>
                <w:highlight w:val="none"/>
              </w:rPr>
              <w:t>分（满分</w:t>
            </w:r>
            <w:r>
              <w:rPr>
                <w:rFonts w:hint="eastAsia" w:ascii="Times New Roman" w:hAnsi="宋体" w:eastAsia="宋体" w:cs="Times New Roman"/>
                <w:b/>
                <w:color w:val="000000"/>
                <w:spacing w:val="0"/>
                <w:kern w:val="2"/>
                <w:sz w:val="21"/>
                <w:szCs w:val="24"/>
                <w:highlight w:val="none"/>
                <w:lang w:eastAsia="zh-CN"/>
              </w:rPr>
              <w:t>4</w:t>
            </w:r>
            <w:r>
              <w:rPr>
                <w:rFonts w:hint="eastAsia" w:ascii="Times New Roman" w:hAnsi="宋体" w:eastAsia="宋体" w:cs="Times New Roman"/>
                <w:b/>
                <w:color w:val="000000"/>
                <w:spacing w:val="0"/>
                <w:kern w:val="2"/>
                <w:sz w:val="21"/>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restart"/>
            <w:noWrap w:val="0"/>
            <w:vAlign w:val="center"/>
          </w:tcPr>
          <w:p w14:paraId="7F7920AA">
            <w:pPr>
              <w:spacing w:line="40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3.1</w:t>
            </w:r>
          </w:p>
        </w:tc>
        <w:tc>
          <w:tcPr>
            <w:tcW w:w="1691" w:type="dxa"/>
            <w:vMerge w:val="restart"/>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val="0"/>
                <w:i w:val="0"/>
                <w:caps w:val="0"/>
                <w:color w:val="auto"/>
                <w:spacing w:val="0"/>
                <w:w w:val="100"/>
                <w:sz w:val="21"/>
                <w:szCs w:val="21"/>
              </w:rPr>
              <w:t>资信业绩评分</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rPr>
              <w:t>）</w:t>
            </w:r>
          </w:p>
        </w:tc>
        <w:tc>
          <w:tcPr>
            <w:tcW w:w="6784" w:type="dxa"/>
            <w:noWrap w:val="0"/>
            <w:vAlign w:val="center"/>
          </w:tcPr>
          <w:p w14:paraId="2546CD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项目经理具有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工程专业中级及以上（含中级）职称，得</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工程专业初级职称，得</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rPr>
              <w:t>分；（满分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7FC66603">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i w:val="0"/>
                <w:caps w:val="0"/>
                <w:color w:val="auto"/>
                <w:spacing w:val="0"/>
                <w:w w:val="100"/>
                <w:sz w:val="21"/>
                <w:szCs w:val="21"/>
                <w:highlight w:val="none"/>
              </w:rPr>
              <w:t>注：未提供上述人员</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color w:val="auto"/>
                <w:spacing w:val="0"/>
                <w:w w:val="100"/>
                <w:sz w:val="21"/>
                <w:szCs w:val="21"/>
                <w:highlight w:val="none"/>
              </w:rPr>
              <w:t>社保缴纳证明的不予计分。</w:t>
            </w:r>
          </w:p>
        </w:tc>
      </w:tr>
      <w:tr w14:paraId="144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continue"/>
            <w:noWrap w:val="0"/>
            <w:vAlign w:val="center"/>
          </w:tcPr>
          <w:p w14:paraId="70E8BFF6">
            <w:pPr>
              <w:spacing w:line="400" w:lineRule="exact"/>
              <w:jc w:val="center"/>
              <w:rPr>
                <w:rFonts w:hint="eastAsia" w:ascii="宋体" w:hAnsi="宋体" w:cs="宋体"/>
                <w:bCs/>
                <w:color w:val="auto"/>
                <w:highlight w:val="none"/>
                <w:lang w:val="en-US" w:eastAsia="zh-CN"/>
              </w:rPr>
            </w:pPr>
          </w:p>
        </w:tc>
        <w:tc>
          <w:tcPr>
            <w:tcW w:w="1691" w:type="dxa"/>
            <w:vMerge w:val="continue"/>
            <w:noWrap w:val="0"/>
            <w:vAlign w:val="center"/>
          </w:tcPr>
          <w:p w14:paraId="1D998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rPr>
            </w:pPr>
          </w:p>
        </w:tc>
        <w:tc>
          <w:tcPr>
            <w:tcW w:w="6784" w:type="dxa"/>
            <w:noWrap w:val="0"/>
            <w:vAlign w:val="center"/>
          </w:tcPr>
          <w:p w14:paraId="3EC38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rPr>
              <w:t>投入本工程的技术负责人具有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w:t>
            </w:r>
            <w:r>
              <w:rPr>
                <w:rFonts w:hint="eastAsia" w:ascii="宋体" w:hAnsi="宋体" w:cs="宋体"/>
                <w:b w:val="0"/>
                <w:i w:val="0"/>
                <w:caps w:val="0"/>
                <w:color w:val="auto"/>
                <w:spacing w:val="0"/>
                <w:w w:val="100"/>
                <w:sz w:val="21"/>
                <w:szCs w:val="21"/>
                <w:highlight w:val="none"/>
                <w:lang w:val="en-US" w:eastAsia="zh-CN"/>
              </w:rPr>
              <w:t>专业</w:t>
            </w:r>
            <w:r>
              <w:rPr>
                <w:rFonts w:hint="eastAsia" w:ascii="宋体" w:hAnsi="宋体" w:eastAsia="宋体" w:cs="宋体"/>
                <w:b w:val="0"/>
                <w:bCs/>
                <w:i w:val="0"/>
                <w:caps w:val="0"/>
                <w:color w:val="auto"/>
                <w:spacing w:val="0"/>
                <w:w w:val="100"/>
                <w:sz w:val="21"/>
                <w:szCs w:val="21"/>
                <w:highlight w:val="none"/>
                <w:lang w:eastAsia="zh-CN"/>
              </w:rPr>
              <w:t>中</w:t>
            </w:r>
            <w:r>
              <w:rPr>
                <w:rFonts w:hint="eastAsia" w:ascii="宋体" w:hAnsi="宋体" w:eastAsia="宋体" w:cs="宋体"/>
                <w:b w:val="0"/>
                <w:bCs/>
                <w:i w:val="0"/>
                <w:caps w:val="0"/>
                <w:color w:val="auto"/>
                <w:spacing w:val="0"/>
                <w:w w:val="100"/>
                <w:sz w:val="21"/>
                <w:szCs w:val="21"/>
                <w:highlight w:val="none"/>
              </w:rPr>
              <w:t>级工程师及以上职称的得</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w:t>
            </w:r>
            <w:r>
              <w:rPr>
                <w:rFonts w:hint="eastAsia" w:ascii="宋体" w:hAnsi="宋体" w:cs="宋体"/>
                <w:b w:val="0"/>
                <w:i w:val="0"/>
                <w:caps w:val="0"/>
                <w:color w:val="auto"/>
                <w:spacing w:val="0"/>
                <w:w w:val="100"/>
                <w:sz w:val="21"/>
                <w:szCs w:val="21"/>
                <w:highlight w:val="none"/>
                <w:lang w:val="en-US" w:eastAsia="zh-CN"/>
              </w:rPr>
              <w:t>专业</w:t>
            </w:r>
            <w:r>
              <w:rPr>
                <w:rFonts w:hint="eastAsia" w:ascii="宋体" w:hAnsi="宋体" w:eastAsia="宋体" w:cs="宋体"/>
                <w:b w:val="0"/>
                <w:bCs/>
                <w:i w:val="0"/>
                <w:caps w:val="0"/>
                <w:color w:val="auto"/>
                <w:spacing w:val="0"/>
                <w:w w:val="100"/>
                <w:sz w:val="21"/>
                <w:szCs w:val="21"/>
                <w:highlight w:val="none"/>
                <w:lang w:eastAsia="zh-CN"/>
              </w:rPr>
              <w:t>初级</w:t>
            </w:r>
            <w:r>
              <w:rPr>
                <w:rFonts w:hint="eastAsia" w:ascii="宋体" w:hAnsi="宋体" w:eastAsia="宋体" w:cs="宋体"/>
                <w:b w:val="0"/>
                <w:bCs/>
                <w:i w:val="0"/>
                <w:caps w:val="0"/>
                <w:color w:val="auto"/>
                <w:spacing w:val="0"/>
                <w:w w:val="100"/>
                <w:sz w:val="21"/>
                <w:szCs w:val="21"/>
                <w:highlight w:val="none"/>
              </w:rPr>
              <w:t>工程师职称的得1分；</w:t>
            </w:r>
            <w:r>
              <w:rPr>
                <w:rFonts w:hint="eastAsia" w:ascii="宋体" w:hAnsi="宋体" w:eastAsia="宋体" w:cs="宋体"/>
                <w:b w:val="0"/>
                <w:i w:val="0"/>
                <w:caps w:val="0"/>
                <w:color w:val="auto"/>
                <w:spacing w:val="0"/>
                <w:w w:val="100"/>
                <w:sz w:val="21"/>
                <w:szCs w:val="21"/>
                <w:highlight w:val="none"/>
              </w:rPr>
              <w:t>（满分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348F6DF7">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注：未提供技术负责人</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i w:val="0"/>
                <w:caps w:val="0"/>
                <w:color w:val="auto"/>
                <w:spacing w:val="0"/>
                <w:w w:val="100"/>
                <w:sz w:val="21"/>
                <w:szCs w:val="21"/>
                <w:highlight w:val="none"/>
              </w:rPr>
              <w:t>社保缴纳证明的，不予计分。</w:t>
            </w:r>
          </w:p>
        </w:tc>
      </w:tr>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5"/>
              <w:spacing w:line="400" w:lineRule="exact"/>
              <w:ind w:firstLine="420" w:firstLineChars="200"/>
              <w:rPr>
                <w:rFonts w:hint="default" w:hAnsi="宋体" w:eastAsia="宋体"/>
                <w:bCs/>
                <w:color w:val="000000"/>
                <w:sz w:val="21"/>
                <w:lang w:val="en-US" w:eastAsia="zh-CN"/>
              </w:rPr>
            </w:pPr>
            <w:r>
              <w:rPr>
                <w:rFonts w:hint="eastAsia" w:hAnsi="宋体"/>
                <w:bCs/>
                <w:color w:val="000000"/>
                <w:sz w:val="21"/>
              </w:rPr>
              <w:t>总得分＝1</w:t>
            </w:r>
            <w:r>
              <w:rPr>
                <w:rFonts w:hAnsi="宋体"/>
                <w:bCs/>
                <w:color w:val="000000"/>
                <w:sz w:val="21"/>
              </w:rPr>
              <w:t>+</w:t>
            </w:r>
            <w:r>
              <w:rPr>
                <w:rFonts w:hint="eastAsia" w:hAnsi="宋体"/>
                <w:bCs/>
                <w:color w:val="000000"/>
                <w:sz w:val="21"/>
              </w:rPr>
              <w:t>2</w:t>
            </w:r>
            <w:r>
              <w:rPr>
                <w:rFonts w:hint="eastAsia" w:hAnsi="宋体"/>
                <w:bCs/>
                <w:color w:val="000000"/>
                <w:sz w:val="21"/>
                <w:lang w:val="en-US" w:eastAsia="zh-CN"/>
              </w:rPr>
              <w:t>+3</w:t>
            </w:r>
          </w:p>
        </w:tc>
      </w:tr>
    </w:tbl>
    <w:p w14:paraId="36F77ACB">
      <w:pPr>
        <w:pStyle w:val="15"/>
        <w:spacing w:line="320" w:lineRule="exact"/>
        <w:rPr>
          <w:rFonts w:hint="eastAsia" w:hAnsi="宋体"/>
          <w:b/>
          <w:bCs/>
          <w:color w:val="000000"/>
          <w:sz w:val="21"/>
        </w:rPr>
      </w:pPr>
    </w:p>
    <w:p w14:paraId="1861D105">
      <w:pPr>
        <w:pStyle w:val="2"/>
        <w:numPr>
          <w:ilvl w:val="0"/>
          <w:numId w:val="45"/>
        </w:numPr>
        <w:tabs>
          <w:tab w:val="clear" w:pos="482"/>
        </w:tabs>
        <w:topLinePunct w:val="0"/>
        <w:ind w:left="0" w:leftChars="0" w:firstLine="0" w:firstLineChars="0"/>
        <w:rPr>
          <w:b/>
        </w:rPr>
      </w:pPr>
      <w:r>
        <w:t>成交候选人推荐原则</w:t>
      </w:r>
    </w:p>
    <w:p w14:paraId="220AA1C2">
      <w:pPr>
        <w:pStyle w:val="11"/>
        <w:rPr>
          <w:color w:val="000000"/>
        </w:rPr>
      </w:pPr>
      <w:r>
        <w:rPr>
          <w:color w:val="000000"/>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11"/>
        <w:rPr>
          <w:color w:val="000000"/>
        </w:rPr>
      </w:pPr>
      <w:r>
        <w:rPr>
          <w:color w:val="000000"/>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color w:val="000000"/>
        </w:rPr>
        <w:br w:type="page"/>
      </w:r>
    </w:p>
    <w:p w14:paraId="67304562">
      <w:pPr>
        <w:pStyle w:val="42"/>
        <w:numPr>
          <w:ilvl w:val="0"/>
          <w:numId w:val="2"/>
        </w:numPr>
        <w:ind w:left="0" w:leftChars="0" w:firstLine="0" w:firstLineChars="0"/>
        <w:outlineLvl w:val="0"/>
        <w:rPr>
          <w:b w:val="0"/>
        </w:rPr>
      </w:pPr>
      <w:bookmarkStart w:id="50" w:name="_Toc30146"/>
      <w:r>
        <w:t>工程量清单</w:t>
      </w:r>
      <w:bookmarkEnd w:id="50"/>
    </w:p>
    <w:p w14:paraId="72BCFC4B">
      <w:pPr>
        <w:pStyle w:val="18"/>
      </w:pPr>
      <w:bookmarkStart w:id="51" w:name="_Toc26346"/>
      <w:r>
        <w:t>(由潜在供应商登陆政采云平台自行下载)</w:t>
      </w:r>
      <w:bookmarkEnd w:id="51"/>
    </w:p>
    <w:p w14:paraId="2EB80BDF">
      <w:pPr>
        <w:spacing w:line="360" w:lineRule="auto"/>
        <w:rPr>
          <w:rFonts w:hint="eastAsia" w:ascii="宋体" w:hAnsi="宋体"/>
          <w:color w:val="000000"/>
          <w:szCs w:val="21"/>
        </w:rPr>
      </w:pPr>
      <w:bookmarkStart w:id="52" w:name="_Toc530263370"/>
    </w:p>
    <w:bookmarkEnd w:id="52"/>
    <w:p w14:paraId="3D2E98CE">
      <w:pPr>
        <w:spacing w:line="360" w:lineRule="auto"/>
        <w:jc w:val="center"/>
        <w:rPr>
          <w:rFonts w:hint="eastAsia" w:ascii="宋体" w:hAnsi="宋体"/>
          <w:color w:val="000000"/>
          <w:szCs w:val="21"/>
        </w:rPr>
      </w:pPr>
    </w:p>
    <w:p w14:paraId="0EA726B4">
      <w:pPr>
        <w:spacing w:line="360" w:lineRule="auto"/>
        <w:jc w:val="center"/>
        <w:rPr>
          <w:rFonts w:hint="eastAsia" w:ascii="宋体" w:hAnsi="宋体"/>
          <w:color w:val="000000"/>
          <w:szCs w:val="21"/>
        </w:rPr>
      </w:pPr>
    </w:p>
    <w:p w14:paraId="76BC4193">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159A735">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26165BE">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0D2738A1">
      <w:pPr>
        <w:rPr>
          <w:rFonts w:hint="eastAsia"/>
          <w:color w:val="000000"/>
        </w:rPr>
      </w:pPr>
    </w:p>
    <w:p w14:paraId="54EC1819">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396A591">
      <w:pPr>
        <w:rPr>
          <w:rFonts w:hint="eastAsia"/>
          <w:color w:val="000000"/>
        </w:rPr>
      </w:pPr>
    </w:p>
    <w:p w14:paraId="5E7E9228">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587EFB7">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49DCEF75">
      <w:pPr>
        <w:rPr>
          <w:rFonts w:hint="eastAsia"/>
          <w:color w:val="000000"/>
        </w:rPr>
      </w:pPr>
    </w:p>
    <w:p w14:paraId="2B9224B1">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920533A">
      <w:pPr>
        <w:rPr>
          <w:rFonts w:hint="eastAsia"/>
          <w:color w:val="000000"/>
        </w:rPr>
      </w:pPr>
    </w:p>
    <w:p w14:paraId="6B7F2FAC">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36486BA3">
      <w:pPr>
        <w:rPr>
          <w:rFonts w:hint="eastAsia"/>
          <w:color w:val="000000"/>
        </w:rPr>
      </w:pPr>
    </w:p>
    <w:p w14:paraId="54E76214">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bookmarkStart w:id="53" w:name="_Toc23497"/>
    </w:p>
    <w:p w14:paraId="37F3E142">
      <w:r>
        <w:br w:type="page"/>
      </w:r>
    </w:p>
    <w:p w14:paraId="2DF1D5D8">
      <w:pPr>
        <w:pStyle w:val="42"/>
        <w:numPr>
          <w:ilvl w:val="0"/>
          <w:numId w:val="2"/>
        </w:numPr>
        <w:ind w:left="0" w:leftChars="0" w:firstLine="0" w:firstLineChars="0"/>
        <w:outlineLvl w:val="0"/>
        <w:rPr>
          <w:b w:val="0"/>
        </w:rPr>
      </w:pPr>
      <w:r>
        <w:t>图纸</w:t>
      </w:r>
      <w:bookmarkEnd w:id="53"/>
    </w:p>
    <w:p w14:paraId="65FCA8EC">
      <w:pPr>
        <w:pStyle w:val="18"/>
      </w:pPr>
      <w:r>
        <w:t>(由潜在供应商登陆政采云平台自行下载)</w:t>
      </w:r>
    </w:p>
    <w:p w14:paraId="5545EE45">
      <w:pPr>
        <w:spacing w:line="360" w:lineRule="auto"/>
        <w:jc w:val="center"/>
        <w:rPr>
          <w:rFonts w:hint="eastAsia" w:ascii="宋体" w:hAnsi="宋体"/>
          <w:b/>
          <w:color w:val="000000"/>
          <w:sz w:val="32"/>
          <w:szCs w:val="32"/>
        </w:rPr>
      </w:pPr>
    </w:p>
    <w:p w14:paraId="29129976">
      <w:pPr>
        <w:spacing w:line="360" w:lineRule="auto"/>
        <w:jc w:val="center"/>
        <w:rPr>
          <w:rFonts w:hint="eastAsia" w:ascii="宋体" w:hAnsi="宋体"/>
          <w:b/>
          <w:color w:val="000000"/>
          <w:sz w:val="32"/>
          <w:szCs w:val="32"/>
        </w:rPr>
      </w:pPr>
    </w:p>
    <w:p w14:paraId="3279B310">
      <w:pPr>
        <w:spacing w:line="360" w:lineRule="auto"/>
        <w:jc w:val="center"/>
        <w:rPr>
          <w:rFonts w:hint="eastAsia" w:ascii="宋体" w:hAnsi="宋体"/>
          <w:b/>
          <w:color w:val="000000"/>
          <w:sz w:val="32"/>
          <w:szCs w:val="32"/>
        </w:rPr>
      </w:pPr>
    </w:p>
    <w:p w14:paraId="38907C38">
      <w:pPr>
        <w:spacing w:line="360" w:lineRule="auto"/>
        <w:jc w:val="center"/>
        <w:rPr>
          <w:rFonts w:hint="eastAsia" w:ascii="宋体" w:hAnsi="宋体"/>
          <w:b/>
          <w:color w:val="000000"/>
          <w:sz w:val="32"/>
          <w:szCs w:val="32"/>
        </w:rPr>
      </w:pPr>
    </w:p>
    <w:p w14:paraId="78297828">
      <w:pPr>
        <w:spacing w:line="360" w:lineRule="auto"/>
        <w:jc w:val="center"/>
        <w:rPr>
          <w:rFonts w:hint="eastAsia" w:ascii="宋体" w:hAnsi="宋体"/>
          <w:b/>
          <w:color w:val="000000"/>
          <w:sz w:val="32"/>
          <w:szCs w:val="32"/>
        </w:rPr>
      </w:pPr>
    </w:p>
    <w:p w14:paraId="7D63D116">
      <w:pPr>
        <w:spacing w:line="360" w:lineRule="auto"/>
        <w:jc w:val="center"/>
        <w:rPr>
          <w:rFonts w:hint="eastAsia" w:ascii="宋体" w:hAnsi="宋体"/>
          <w:b/>
          <w:color w:val="000000"/>
          <w:sz w:val="32"/>
          <w:szCs w:val="32"/>
        </w:rPr>
      </w:pPr>
    </w:p>
    <w:p w14:paraId="3E064D36">
      <w:pPr>
        <w:spacing w:line="360" w:lineRule="auto"/>
        <w:jc w:val="center"/>
        <w:rPr>
          <w:rFonts w:hint="eastAsia" w:ascii="宋体" w:hAnsi="宋体"/>
          <w:b/>
          <w:color w:val="000000"/>
          <w:sz w:val="32"/>
          <w:szCs w:val="32"/>
        </w:rPr>
      </w:pPr>
    </w:p>
    <w:p w14:paraId="688876CF">
      <w:pPr>
        <w:spacing w:line="360" w:lineRule="auto"/>
        <w:jc w:val="center"/>
        <w:rPr>
          <w:rFonts w:hint="eastAsia" w:ascii="宋体" w:hAnsi="宋体"/>
          <w:b/>
          <w:color w:val="000000"/>
          <w:sz w:val="32"/>
          <w:szCs w:val="32"/>
        </w:rPr>
      </w:pPr>
    </w:p>
    <w:p w14:paraId="2AE25913">
      <w:pPr>
        <w:spacing w:line="360" w:lineRule="auto"/>
        <w:jc w:val="center"/>
        <w:rPr>
          <w:rFonts w:hint="eastAsia" w:ascii="宋体" w:hAnsi="宋体"/>
          <w:b/>
          <w:color w:val="000000"/>
          <w:sz w:val="32"/>
          <w:szCs w:val="32"/>
        </w:rPr>
      </w:pPr>
    </w:p>
    <w:p w14:paraId="61FBD7E4">
      <w:pPr>
        <w:spacing w:line="360" w:lineRule="auto"/>
        <w:rPr>
          <w:rFonts w:hint="eastAsia" w:ascii="宋体" w:hAnsi="宋体"/>
          <w:color w:val="000000"/>
          <w:szCs w:val="21"/>
        </w:rPr>
      </w:pPr>
    </w:p>
    <w:p w14:paraId="2133740C">
      <w:bookmarkStart w:id="54" w:name="_Toc9750"/>
      <w:r>
        <w:br w:type="page"/>
      </w:r>
    </w:p>
    <w:p w14:paraId="7E1E6A96">
      <w:pPr>
        <w:pStyle w:val="42"/>
        <w:numPr>
          <w:ilvl w:val="0"/>
          <w:numId w:val="2"/>
        </w:numPr>
        <w:ind w:left="0" w:leftChars="0" w:firstLine="0" w:firstLineChars="0"/>
        <w:outlineLvl w:val="0"/>
        <w:rPr>
          <w:b w:val="0"/>
        </w:rPr>
      </w:pPr>
      <w:r>
        <w:t>技术标准和要求</w:t>
      </w:r>
      <w:bookmarkEnd w:id="54"/>
    </w:p>
    <w:p w14:paraId="1C4C83EC">
      <w:pPr>
        <w:pStyle w:val="11"/>
        <w:rPr>
          <w:color w:val="000000"/>
        </w:rPr>
      </w:pPr>
      <w:r>
        <w:rPr>
          <w:b/>
          <w:color w:val="000000"/>
        </w:rPr>
        <w:t>本章由采购人根据国家行业及地方现行标准、规范和规程等，以及项目具体情况摘录。</w:t>
      </w:r>
    </w:p>
    <w:p w14:paraId="33C48D6E">
      <w:pPr>
        <w:spacing w:line="360" w:lineRule="auto"/>
        <w:jc w:val="center"/>
        <w:rPr>
          <w:rFonts w:hint="eastAsia" w:ascii="宋体" w:hAnsi="宋体"/>
          <w:b/>
          <w:color w:val="000000"/>
          <w:sz w:val="32"/>
          <w:szCs w:val="32"/>
        </w:rPr>
      </w:pPr>
    </w:p>
    <w:p w14:paraId="55A70B2B">
      <w:pPr>
        <w:spacing w:line="360" w:lineRule="auto"/>
        <w:jc w:val="center"/>
        <w:rPr>
          <w:rFonts w:hint="eastAsia" w:ascii="宋体" w:hAnsi="宋体"/>
          <w:b/>
          <w:color w:val="000000"/>
          <w:sz w:val="32"/>
          <w:szCs w:val="32"/>
        </w:rPr>
      </w:pPr>
      <w:r>
        <w:rPr>
          <w:rFonts w:hint="eastAsia" w:ascii="宋体" w:hAnsi="宋体"/>
          <w:b/>
          <w:color w:val="000000"/>
          <w:sz w:val="32"/>
          <w:szCs w:val="32"/>
        </w:rPr>
        <w:t>现行国家有关工程施工验收规范和标准要求</w:t>
      </w:r>
    </w:p>
    <w:p w14:paraId="2EEFC6A5">
      <w:pPr>
        <w:spacing w:line="360" w:lineRule="auto"/>
        <w:jc w:val="center"/>
        <w:rPr>
          <w:rFonts w:hint="eastAsia" w:ascii="宋体" w:hAnsi="宋体"/>
          <w:b/>
          <w:color w:val="000000"/>
          <w:sz w:val="32"/>
          <w:szCs w:val="32"/>
        </w:rPr>
      </w:pPr>
    </w:p>
    <w:p w14:paraId="36A83032">
      <w:pPr>
        <w:spacing w:line="360" w:lineRule="auto"/>
        <w:jc w:val="center"/>
        <w:rPr>
          <w:rFonts w:hint="eastAsia" w:ascii="宋体" w:hAnsi="宋体"/>
          <w:b/>
          <w:color w:val="000000"/>
          <w:sz w:val="32"/>
          <w:szCs w:val="32"/>
        </w:rPr>
      </w:pPr>
    </w:p>
    <w:p w14:paraId="106DFA8D">
      <w:pPr>
        <w:spacing w:line="360" w:lineRule="auto"/>
        <w:jc w:val="center"/>
        <w:rPr>
          <w:rFonts w:hint="eastAsia" w:ascii="宋体" w:hAnsi="宋体"/>
          <w:b/>
          <w:color w:val="000000"/>
          <w:sz w:val="32"/>
          <w:szCs w:val="32"/>
        </w:rPr>
      </w:pPr>
    </w:p>
    <w:p w14:paraId="2952E620">
      <w:pPr>
        <w:spacing w:line="360" w:lineRule="auto"/>
        <w:jc w:val="center"/>
        <w:rPr>
          <w:rFonts w:hint="eastAsia" w:ascii="宋体" w:hAnsi="宋体"/>
          <w:b/>
          <w:color w:val="000000"/>
          <w:sz w:val="32"/>
          <w:szCs w:val="32"/>
        </w:rPr>
      </w:pPr>
    </w:p>
    <w:p w14:paraId="1B0B365F">
      <w:pPr>
        <w:spacing w:line="360" w:lineRule="auto"/>
        <w:jc w:val="center"/>
        <w:rPr>
          <w:rFonts w:hint="eastAsia" w:ascii="宋体" w:hAnsi="宋体"/>
          <w:b/>
          <w:color w:val="000000"/>
          <w:sz w:val="32"/>
          <w:szCs w:val="32"/>
        </w:rPr>
      </w:pPr>
    </w:p>
    <w:p w14:paraId="4FB89013">
      <w:pPr>
        <w:spacing w:line="360" w:lineRule="auto"/>
        <w:jc w:val="center"/>
        <w:rPr>
          <w:rFonts w:hint="eastAsia" w:ascii="宋体" w:hAnsi="宋体"/>
          <w:b/>
          <w:color w:val="000000"/>
          <w:sz w:val="32"/>
          <w:szCs w:val="32"/>
        </w:rPr>
      </w:pPr>
    </w:p>
    <w:p w14:paraId="696EC58E">
      <w:pPr>
        <w:spacing w:line="360" w:lineRule="auto"/>
        <w:jc w:val="center"/>
        <w:rPr>
          <w:rFonts w:hint="eastAsia" w:ascii="宋体" w:hAnsi="宋体"/>
          <w:b/>
          <w:color w:val="000000"/>
          <w:sz w:val="32"/>
          <w:szCs w:val="32"/>
        </w:rPr>
      </w:pPr>
    </w:p>
    <w:p w14:paraId="0C3DA742">
      <w:pPr>
        <w:spacing w:line="360" w:lineRule="auto"/>
        <w:jc w:val="center"/>
        <w:rPr>
          <w:rFonts w:hint="eastAsia" w:ascii="宋体" w:hAnsi="宋体"/>
          <w:b/>
          <w:color w:val="000000"/>
          <w:sz w:val="32"/>
          <w:szCs w:val="32"/>
        </w:rPr>
      </w:pPr>
    </w:p>
    <w:p w14:paraId="53BEE707">
      <w:pPr>
        <w:spacing w:line="360" w:lineRule="auto"/>
        <w:jc w:val="center"/>
        <w:rPr>
          <w:rFonts w:hint="eastAsia" w:ascii="宋体" w:hAnsi="宋体"/>
          <w:b/>
          <w:color w:val="000000"/>
          <w:sz w:val="32"/>
          <w:szCs w:val="32"/>
        </w:rPr>
      </w:pPr>
    </w:p>
    <w:p w14:paraId="1FE63188">
      <w:pPr>
        <w:spacing w:before="120" w:beforeLines="50" w:after="120" w:afterLines="50" w:line="360" w:lineRule="auto"/>
        <w:ind w:firstLine="422" w:firstLineChars="200"/>
        <w:rPr>
          <w:rFonts w:hint="eastAsia" w:ascii="宋体" w:hAnsi="宋体"/>
          <w:b/>
          <w:color w:val="000000"/>
          <w:szCs w:val="21"/>
        </w:rPr>
      </w:pPr>
    </w:p>
    <w:p w14:paraId="57CDEBE8">
      <w:pPr>
        <w:spacing w:before="120" w:beforeLines="50" w:after="120" w:afterLines="50" w:line="360" w:lineRule="auto"/>
        <w:ind w:firstLine="422" w:firstLineChars="200"/>
        <w:rPr>
          <w:rFonts w:hint="eastAsia" w:ascii="宋体" w:hAnsi="宋体"/>
          <w:b/>
          <w:color w:val="000000"/>
          <w:szCs w:val="21"/>
        </w:rPr>
      </w:pPr>
      <w:r>
        <w:rPr>
          <w:rFonts w:ascii="宋体" w:hAnsi="宋体"/>
          <w:b/>
          <w:color w:val="000000"/>
          <w:szCs w:val="21"/>
        </w:rPr>
        <w:br w:type="page"/>
      </w:r>
    </w:p>
    <w:p w14:paraId="7FDED429">
      <w:pPr>
        <w:spacing w:line="360" w:lineRule="auto"/>
        <w:jc w:val="center"/>
        <w:rPr>
          <w:rFonts w:hint="eastAsia" w:ascii="宋体" w:hAnsi="宋体"/>
          <w:color w:val="000000"/>
          <w:szCs w:val="21"/>
        </w:rPr>
      </w:pPr>
    </w:p>
    <w:p w14:paraId="2E046B01">
      <w:pPr>
        <w:spacing w:line="360" w:lineRule="auto"/>
        <w:jc w:val="center"/>
        <w:rPr>
          <w:rFonts w:hint="eastAsia" w:ascii="宋体" w:hAnsi="宋体"/>
          <w:color w:val="000000"/>
          <w:szCs w:val="21"/>
        </w:rPr>
      </w:pPr>
    </w:p>
    <w:p w14:paraId="0F3E61BE">
      <w:pPr>
        <w:spacing w:line="360" w:lineRule="auto"/>
        <w:jc w:val="center"/>
        <w:rPr>
          <w:rFonts w:hint="eastAsia" w:ascii="宋体" w:hAnsi="宋体"/>
          <w:color w:val="000000"/>
          <w:szCs w:val="21"/>
        </w:rPr>
      </w:pPr>
    </w:p>
    <w:p w14:paraId="0BCDD8E9">
      <w:pPr>
        <w:spacing w:line="360" w:lineRule="auto"/>
        <w:jc w:val="center"/>
        <w:rPr>
          <w:rFonts w:hint="eastAsia" w:ascii="宋体" w:hAnsi="宋体"/>
          <w:color w:val="000000"/>
          <w:szCs w:val="21"/>
        </w:rPr>
      </w:pPr>
    </w:p>
    <w:p w14:paraId="1D04A11F">
      <w:pPr>
        <w:spacing w:line="360" w:lineRule="auto"/>
        <w:jc w:val="center"/>
        <w:rPr>
          <w:rFonts w:hint="eastAsia" w:ascii="宋体" w:hAnsi="宋体"/>
          <w:color w:val="000000"/>
          <w:szCs w:val="21"/>
        </w:rPr>
      </w:pPr>
    </w:p>
    <w:p w14:paraId="523488CE">
      <w:pPr>
        <w:spacing w:line="360" w:lineRule="auto"/>
        <w:jc w:val="center"/>
        <w:rPr>
          <w:rFonts w:hint="eastAsia" w:ascii="宋体" w:hAnsi="宋体"/>
          <w:color w:val="000000"/>
          <w:szCs w:val="21"/>
        </w:rPr>
      </w:pPr>
    </w:p>
    <w:p w14:paraId="20B544A9">
      <w:pPr>
        <w:spacing w:line="360" w:lineRule="auto"/>
        <w:jc w:val="center"/>
        <w:rPr>
          <w:rFonts w:hint="eastAsia" w:ascii="宋体" w:hAnsi="宋体"/>
          <w:color w:val="000000"/>
          <w:szCs w:val="21"/>
        </w:rPr>
      </w:pPr>
    </w:p>
    <w:p w14:paraId="07A4D104">
      <w:pPr>
        <w:spacing w:line="360" w:lineRule="auto"/>
        <w:jc w:val="center"/>
        <w:rPr>
          <w:rFonts w:hint="eastAsia" w:ascii="宋体" w:hAnsi="宋体"/>
          <w:color w:val="000000"/>
          <w:szCs w:val="21"/>
        </w:rPr>
      </w:pPr>
    </w:p>
    <w:p w14:paraId="1777B4EB">
      <w:pPr>
        <w:spacing w:line="360" w:lineRule="auto"/>
        <w:jc w:val="center"/>
        <w:rPr>
          <w:rFonts w:hint="eastAsia" w:ascii="宋体" w:hAnsi="宋体"/>
          <w:color w:val="000000"/>
          <w:szCs w:val="21"/>
        </w:rPr>
      </w:pPr>
    </w:p>
    <w:p w14:paraId="6E6380DC">
      <w:pPr>
        <w:spacing w:line="360" w:lineRule="auto"/>
        <w:jc w:val="center"/>
        <w:rPr>
          <w:rFonts w:hint="eastAsia" w:ascii="宋体" w:hAnsi="宋体"/>
          <w:color w:val="000000"/>
          <w:szCs w:val="21"/>
        </w:rPr>
      </w:pPr>
    </w:p>
    <w:p w14:paraId="22299ACD">
      <w:pPr>
        <w:spacing w:line="360" w:lineRule="auto"/>
        <w:jc w:val="center"/>
        <w:rPr>
          <w:rFonts w:hint="eastAsia" w:ascii="宋体" w:hAnsi="宋体"/>
          <w:color w:val="000000"/>
          <w:szCs w:val="21"/>
        </w:rPr>
      </w:pPr>
    </w:p>
    <w:p w14:paraId="76BAAAAD">
      <w:pPr>
        <w:spacing w:line="360" w:lineRule="auto"/>
        <w:jc w:val="center"/>
        <w:rPr>
          <w:rFonts w:hint="eastAsia" w:ascii="宋体" w:hAnsi="宋体"/>
          <w:color w:val="000000"/>
          <w:szCs w:val="21"/>
        </w:rPr>
      </w:pPr>
    </w:p>
    <w:p w14:paraId="538CE30B">
      <w:pPr>
        <w:pStyle w:val="42"/>
        <w:numPr>
          <w:ilvl w:val="0"/>
          <w:numId w:val="2"/>
        </w:numPr>
        <w:ind w:left="0" w:leftChars="0" w:firstLine="0" w:firstLineChars="0"/>
        <w:outlineLvl w:val="0"/>
        <w:rPr>
          <w:b w:val="0"/>
        </w:rPr>
      </w:pPr>
      <w:bookmarkStart w:id="55" w:name="_Toc1701"/>
      <w:r>
        <w:t>响应文件格式</w:t>
      </w:r>
      <w:bookmarkEnd w:id="55"/>
    </w:p>
    <w:p w14:paraId="19B1D16B">
      <w:pPr>
        <w:spacing w:line="360" w:lineRule="auto"/>
        <w:jc w:val="center"/>
        <w:rPr>
          <w:rFonts w:hint="eastAsia" w:ascii="宋体" w:hAnsi="宋体"/>
          <w:b/>
          <w:color w:val="000000"/>
          <w:sz w:val="32"/>
          <w:szCs w:val="32"/>
        </w:rPr>
      </w:pPr>
    </w:p>
    <w:p w14:paraId="062934B4">
      <w:pPr>
        <w:spacing w:line="360" w:lineRule="auto"/>
        <w:jc w:val="center"/>
        <w:rPr>
          <w:rFonts w:hint="eastAsia" w:ascii="宋体" w:hAnsi="宋体"/>
          <w:b/>
          <w:color w:val="000000"/>
          <w:sz w:val="32"/>
          <w:szCs w:val="32"/>
        </w:rPr>
      </w:pPr>
    </w:p>
    <w:p w14:paraId="788B47B3">
      <w:pPr>
        <w:spacing w:line="360" w:lineRule="auto"/>
        <w:jc w:val="center"/>
        <w:rPr>
          <w:rFonts w:hint="eastAsia" w:ascii="宋体" w:hAnsi="宋体"/>
          <w:b/>
          <w:color w:val="000000"/>
          <w:sz w:val="32"/>
          <w:szCs w:val="32"/>
        </w:rPr>
      </w:pPr>
    </w:p>
    <w:p w14:paraId="6FE628FA">
      <w:pPr>
        <w:spacing w:line="360" w:lineRule="auto"/>
        <w:jc w:val="center"/>
        <w:rPr>
          <w:rFonts w:hint="eastAsia" w:ascii="宋体" w:hAnsi="宋体"/>
          <w:b/>
          <w:color w:val="000000"/>
          <w:sz w:val="32"/>
          <w:szCs w:val="32"/>
        </w:rPr>
      </w:pPr>
    </w:p>
    <w:p w14:paraId="589A5E43">
      <w:pPr>
        <w:spacing w:line="360" w:lineRule="auto"/>
        <w:jc w:val="center"/>
        <w:rPr>
          <w:rFonts w:hint="eastAsia" w:ascii="宋体" w:hAnsi="宋体"/>
          <w:b/>
          <w:color w:val="000000"/>
          <w:sz w:val="32"/>
          <w:szCs w:val="32"/>
        </w:rPr>
      </w:pPr>
    </w:p>
    <w:p w14:paraId="44FD0107">
      <w:pPr>
        <w:spacing w:line="360" w:lineRule="auto"/>
        <w:jc w:val="center"/>
        <w:rPr>
          <w:rFonts w:hint="eastAsia" w:ascii="宋体" w:hAnsi="宋体"/>
          <w:b/>
          <w:color w:val="000000"/>
          <w:sz w:val="32"/>
          <w:szCs w:val="32"/>
        </w:rPr>
      </w:pPr>
    </w:p>
    <w:p w14:paraId="5843D4EB">
      <w:pPr>
        <w:spacing w:line="360" w:lineRule="auto"/>
        <w:jc w:val="center"/>
        <w:rPr>
          <w:rFonts w:hint="eastAsia" w:ascii="宋体" w:hAnsi="宋体"/>
          <w:b/>
          <w:color w:val="000000"/>
          <w:sz w:val="32"/>
          <w:szCs w:val="32"/>
        </w:rPr>
      </w:pPr>
    </w:p>
    <w:p w14:paraId="0E92994A">
      <w:pPr>
        <w:spacing w:line="360" w:lineRule="auto"/>
        <w:jc w:val="center"/>
        <w:rPr>
          <w:rFonts w:hint="eastAsia" w:ascii="宋体" w:hAnsi="宋体"/>
          <w:b/>
          <w:color w:val="000000"/>
          <w:sz w:val="32"/>
          <w:szCs w:val="32"/>
        </w:rPr>
      </w:pPr>
    </w:p>
    <w:p w14:paraId="68A15C1F">
      <w:pPr>
        <w:spacing w:line="360" w:lineRule="auto"/>
        <w:jc w:val="center"/>
        <w:rPr>
          <w:rFonts w:hint="eastAsia" w:ascii="宋体" w:hAnsi="宋体"/>
          <w:b/>
          <w:color w:val="000000"/>
          <w:sz w:val="32"/>
          <w:szCs w:val="32"/>
        </w:rPr>
      </w:pPr>
    </w:p>
    <w:p w14:paraId="30D0FF52">
      <w:pPr>
        <w:spacing w:line="360" w:lineRule="auto"/>
        <w:jc w:val="center"/>
        <w:rPr>
          <w:rFonts w:hint="eastAsia" w:ascii="宋体" w:hAnsi="宋体"/>
          <w:b/>
          <w:color w:val="000000"/>
          <w:sz w:val="32"/>
          <w:szCs w:val="32"/>
        </w:rPr>
      </w:pPr>
    </w:p>
    <w:p w14:paraId="36784A01">
      <w:pPr>
        <w:spacing w:line="360" w:lineRule="auto"/>
        <w:jc w:val="center"/>
        <w:rPr>
          <w:rFonts w:hint="eastAsia" w:ascii="宋体" w:hAnsi="宋体"/>
          <w:b/>
          <w:color w:val="000000"/>
          <w:sz w:val="32"/>
          <w:szCs w:val="32"/>
        </w:rPr>
      </w:pPr>
    </w:p>
    <w:p w14:paraId="729134CA">
      <w:pPr>
        <w:spacing w:line="360" w:lineRule="auto"/>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24"/>
        </w:rPr>
        <w:t>所有响应文件封面格式</w:t>
      </w:r>
    </w:p>
    <w:p w14:paraId="7A09D79F">
      <w:pPr>
        <w:spacing w:line="360" w:lineRule="auto"/>
        <w:jc w:val="center"/>
        <w:rPr>
          <w:rFonts w:hint="eastAsia" w:ascii="宋体" w:hAnsi="宋体"/>
          <w:b/>
          <w:color w:val="000000"/>
          <w:sz w:val="32"/>
          <w:szCs w:val="32"/>
        </w:rPr>
      </w:pPr>
    </w:p>
    <w:p w14:paraId="6A8EC05F">
      <w:pPr>
        <w:spacing w:line="360" w:lineRule="auto"/>
        <w:jc w:val="center"/>
        <w:rPr>
          <w:rFonts w:hint="eastAsia" w:ascii="宋体" w:hAnsi="宋体"/>
          <w:b/>
          <w:color w:val="000000"/>
          <w:sz w:val="32"/>
          <w:szCs w:val="32"/>
        </w:rPr>
      </w:pPr>
    </w:p>
    <w:p w14:paraId="40438E03">
      <w:pPr>
        <w:spacing w:line="360" w:lineRule="auto"/>
        <w:jc w:val="center"/>
        <w:rPr>
          <w:rFonts w:hint="eastAsia" w:ascii="宋体" w:hAnsi="宋体"/>
          <w:b/>
          <w:color w:val="000000"/>
          <w:sz w:val="32"/>
          <w:szCs w:val="32"/>
        </w:rPr>
      </w:pPr>
      <w:r>
        <w:rPr>
          <w:rFonts w:hint="eastAsia" w:ascii="宋体" w:hAnsi="宋体"/>
          <w:b/>
          <w:color w:val="000000"/>
          <w:sz w:val="44"/>
          <w:szCs w:val="44"/>
        </w:rPr>
        <w:t>响 应 文 件</w:t>
      </w:r>
    </w:p>
    <w:p w14:paraId="09E6BCC6">
      <w:pPr>
        <w:spacing w:line="360" w:lineRule="auto"/>
        <w:jc w:val="center"/>
        <w:rPr>
          <w:rFonts w:hint="eastAsia" w:ascii="宋体" w:hAnsi="宋体"/>
          <w:color w:val="000000"/>
          <w:szCs w:val="21"/>
        </w:rPr>
      </w:pPr>
    </w:p>
    <w:p w14:paraId="3C040AD5">
      <w:pPr>
        <w:spacing w:line="360" w:lineRule="auto"/>
        <w:jc w:val="center"/>
        <w:rPr>
          <w:rFonts w:hint="eastAsia" w:ascii="宋体" w:hAnsi="宋体"/>
          <w:color w:val="000000"/>
          <w:szCs w:val="21"/>
        </w:rPr>
      </w:pPr>
    </w:p>
    <w:p w14:paraId="565D5CF2">
      <w:pPr>
        <w:spacing w:line="360" w:lineRule="auto"/>
        <w:jc w:val="center"/>
        <w:rPr>
          <w:rFonts w:hint="eastAsia" w:ascii="宋体" w:hAnsi="宋体"/>
          <w:color w:val="000000"/>
          <w:szCs w:val="21"/>
        </w:rPr>
      </w:pPr>
    </w:p>
    <w:p w14:paraId="5A50EE38">
      <w:pPr>
        <w:spacing w:line="360" w:lineRule="auto"/>
        <w:jc w:val="center"/>
        <w:rPr>
          <w:rFonts w:hint="eastAsia" w:ascii="宋体" w:hAnsi="宋体"/>
          <w:color w:val="000000"/>
          <w:szCs w:val="21"/>
        </w:rPr>
      </w:pPr>
    </w:p>
    <w:p w14:paraId="5AC362E2">
      <w:pPr>
        <w:spacing w:line="360" w:lineRule="auto"/>
        <w:jc w:val="center"/>
        <w:rPr>
          <w:rFonts w:hint="eastAsia" w:ascii="宋体" w:hAnsi="宋体"/>
          <w:color w:val="000000"/>
          <w:szCs w:val="21"/>
        </w:rPr>
      </w:pPr>
    </w:p>
    <w:p w14:paraId="3C0667B4">
      <w:pPr>
        <w:spacing w:line="360" w:lineRule="auto"/>
        <w:jc w:val="center"/>
        <w:rPr>
          <w:rFonts w:hint="eastAsia" w:ascii="宋体" w:hAnsi="宋体"/>
          <w:color w:val="000000"/>
          <w:szCs w:val="21"/>
        </w:rPr>
      </w:pPr>
    </w:p>
    <w:p w14:paraId="34B6075D">
      <w:pPr>
        <w:spacing w:line="360" w:lineRule="auto"/>
        <w:jc w:val="left"/>
        <w:rPr>
          <w:rFonts w:hint="eastAsia" w:ascii="宋体" w:hAnsi="宋体"/>
          <w:color w:val="000000"/>
          <w:szCs w:val="21"/>
          <w:u w:val="single"/>
        </w:rPr>
      </w:pPr>
      <w:r>
        <w:rPr>
          <w:rFonts w:hint="eastAsia" w:ascii="宋体" w:hAnsi="宋体"/>
          <w:color w:val="000000"/>
          <w:szCs w:val="21"/>
        </w:rPr>
        <w:t>竞争性磋商项目编号：</w:t>
      </w:r>
      <w:r>
        <w:rPr>
          <w:rFonts w:hint="eastAsia" w:ascii="宋体" w:hAnsi="宋体"/>
          <w:color w:val="000000"/>
          <w:szCs w:val="21"/>
          <w:u w:val="single"/>
        </w:rPr>
        <w:t xml:space="preserve">                       </w:t>
      </w:r>
    </w:p>
    <w:p w14:paraId="64F30B7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竞争性磋商项目名称：</w:t>
      </w:r>
      <w:r>
        <w:rPr>
          <w:rFonts w:hint="eastAsia" w:ascii="宋体" w:hAnsi="宋体"/>
          <w:color w:val="000000"/>
          <w:szCs w:val="21"/>
          <w:u w:val="single"/>
        </w:rPr>
        <w:t xml:space="preserve">                       </w:t>
      </w:r>
    </w:p>
    <w:p w14:paraId="1808637D">
      <w:pPr>
        <w:tabs>
          <w:tab w:val="left" w:pos="3240"/>
        </w:tabs>
        <w:spacing w:line="360" w:lineRule="auto"/>
        <w:jc w:val="left"/>
        <w:rPr>
          <w:rFonts w:hint="eastAsia"/>
          <w:color w:val="000000"/>
        </w:rPr>
      </w:pPr>
      <w:r>
        <w:rPr>
          <w:rFonts w:hint="eastAsia"/>
          <w:color w:val="000000"/>
        </w:rPr>
        <w:t>响应文件名称：资格审查文件、商务文件、技术文件</w:t>
      </w:r>
    </w:p>
    <w:p w14:paraId="4EEC9072">
      <w:pPr>
        <w:tabs>
          <w:tab w:val="left" w:pos="3240"/>
        </w:tabs>
        <w:spacing w:line="360" w:lineRule="auto"/>
        <w:jc w:val="left"/>
        <w:rPr>
          <w:rFonts w:hint="eastAsia" w:ascii="宋体" w:hAnsi="宋体"/>
          <w:color w:val="000000"/>
          <w:szCs w:val="21"/>
          <w:u w:val="single"/>
        </w:rPr>
      </w:pPr>
      <w:r>
        <w:rPr>
          <w:rFonts w:hint="eastAsia"/>
          <w:color w:val="000000"/>
          <w:lang w:eastAsia="zh-CN"/>
        </w:rPr>
        <w:t>分</w:t>
      </w:r>
      <w:r>
        <w:rPr>
          <w:rFonts w:hint="eastAsia"/>
          <w:color w:val="000000"/>
          <w:lang w:val="en-US" w:eastAsia="zh-CN"/>
        </w:rPr>
        <w:t xml:space="preserve">    </w:t>
      </w:r>
      <w:r>
        <w:rPr>
          <w:rFonts w:hint="eastAsia"/>
          <w:color w:val="000000"/>
          <w:lang w:eastAsia="zh-CN"/>
        </w:rPr>
        <w:t>标</w:t>
      </w:r>
      <w:r>
        <w:rPr>
          <w:rFonts w:hint="eastAsia"/>
          <w:color w:val="000000"/>
          <w:lang w:val="en-US" w:eastAsia="zh-CN"/>
        </w:rPr>
        <w:t>:</w:t>
      </w:r>
      <w:r>
        <w:rPr>
          <w:rFonts w:hint="eastAsia" w:ascii="宋体" w:hAnsi="宋体"/>
          <w:color w:val="000000"/>
          <w:szCs w:val="21"/>
          <w:u w:val="single"/>
        </w:rPr>
        <w:t xml:space="preserve">                    </w:t>
      </w:r>
    </w:p>
    <w:p w14:paraId="42C50EF4">
      <w:pPr>
        <w:tabs>
          <w:tab w:val="left" w:pos="3240"/>
        </w:tabs>
        <w:spacing w:line="360" w:lineRule="auto"/>
        <w:jc w:val="left"/>
        <w:rPr>
          <w:rFonts w:hint="eastAsia" w:ascii="宋体" w:hAnsi="宋体"/>
          <w:color w:val="000000"/>
          <w:szCs w:val="21"/>
          <w:u w:val="single"/>
        </w:rPr>
      </w:pPr>
      <w:r>
        <w:rPr>
          <w:rFonts w:hint="eastAsia"/>
          <w:color w:val="000000"/>
        </w:rPr>
        <w:t>供应商名称：</w:t>
      </w:r>
      <w:r>
        <w:rPr>
          <w:rFonts w:hint="eastAsia" w:ascii="宋体" w:hAnsi="宋体"/>
          <w:color w:val="000000"/>
          <w:szCs w:val="21"/>
          <w:u w:val="single"/>
        </w:rPr>
        <w:t xml:space="preserve">                       </w:t>
      </w:r>
    </w:p>
    <w:p w14:paraId="60F1CA03">
      <w:pPr>
        <w:tabs>
          <w:tab w:val="left" w:pos="3240"/>
        </w:tabs>
        <w:spacing w:line="360" w:lineRule="auto"/>
        <w:jc w:val="left"/>
        <w:rPr>
          <w:rFonts w:hint="eastAsia" w:ascii="宋体" w:hAnsi="宋体"/>
          <w:color w:val="000000"/>
          <w:szCs w:val="21"/>
          <w:u w:val="single"/>
        </w:rPr>
      </w:pPr>
      <w:r>
        <w:rPr>
          <w:rFonts w:hint="eastAsia"/>
          <w:color w:val="000000"/>
        </w:rPr>
        <w:t>供应商地址：</w:t>
      </w:r>
      <w:r>
        <w:rPr>
          <w:rFonts w:hint="eastAsia" w:ascii="宋体" w:hAnsi="宋体"/>
          <w:color w:val="000000"/>
          <w:szCs w:val="21"/>
          <w:u w:val="single"/>
        </w:rPr>
        <w:t xml:space="preserve">                       </w:t>
      </w:r>
    </w:p>
    <w:p w14:paraId="7E6FD2B5">
      <w:pPr>
        <w:tabs>
          <w:tab w:val="left" w:pos="3240"/>
        </w:tabs>
        <w:spacing w:line="360" w:lineRule="auto"/>
        <w:jc w:val="left"/>
        <w:rPr>
          <w:rFonts w:hint="eastAsia" w:ascii="宋体" w:hAnsi="宋体"/>
          <w:color w:val="000000"/>
          <w:szCs w:val="21"/>
          <w:u w:val="single"/>
        </w:rPr>
      </w:pPr>
      <w:r>
        <w:rPr>
          <w:rFonts w:hint="eastAsia"/>
          <w:color w:val="000000"/>
        </w:rPr>
        <w:t>供应商邮编：</w:t>
      </w:r>
      <w:r>
        <w:rPr>
          <w:rFonts w:hint="eastAsia" w:ascii="宋体" w:hAnsi="宋体"/>
          <w:color w:val="000000"/>
          <w:szCs w:val="21"/>
          <w:u w:val="single"/>
        </w:rPr>
        <w:t xml:space="preserve">                       </w:t>
      </w:r>
    </w:p>
    <w:p w14:paraId="448BA5B2">
      <w:pPr>
        <w:tabs>
          <w:tab w:val="left" w:pos="2625"/>
        </w:tabs>
        <w:spacing w:line="360" w:lineRule="auto"/>
        <w:jc w:val="center"/>
        <w:rPr>
          <w:rFonts w:hint="eastAsia" w:ascii="宋体" w:hAnsi="宋体"/>
          <w:color w:val="000000"/>
          <w:szCs w:val="21"/>
        </w:rPr>
      </w:pPr>
    </w:p>
    <w:p w14:paraId="1AFEAC7A">
      <w:pPr>
        <w:tabs>
          <w:tab w:val="left" w:pos="2625"/>
        </w:tabs>
        <w:spacing w:line="360" w:lineRule="auto"/>
        <w:jc w:val="center"/>
        <w:rPr>
          <w:rFonts w:hint="eastAsia" w:ascii="宋体" w:hAnsi="宋体"/>
          <w:color w:val="000000"/>
          <w:szCs w:val="21"/>
        </w:rPr>
      </w:pPr>
    </w:p>
    <w:p w14:paraId="6A52408D">
      <w:pPr>
        <w:spacing w:line="360" w:lineRule="auto"/>
        <w:rPr>
          <w:rFonts w:hint="eastAsia" w:ascii="宋体" w:hAnsi="宋体"/>
          <w:color w:val="000000"/>
          <w:szCs w:val="21"/>
        </w:rPr>
      </w:pPr>
      <w:r>
        <w:rPr>
          <w:rFonts w:hint="eastAsia" w:ascii="宋体" w:hAnsi="宋体"/>
          <w:color w:val="000000"/>
          <w:szCs w:val="21"/>
        </w:rPr>
        <w:t xml:space="preserve">                                        （供应商公章）</w:t>
      </w:r>
    </w:p>
    <w:p w14:paraId="390E6EE9">
      <w:pPr>
        <w:spacing w:line="360" w:lineRule="auto"/>
        <w:rPr>
          <w:rFonts w:hint="eastAsia" w:ascii="宋体" w:hAnsi="宋体"/>
          <w:color w:val="000000"/>
          <w:szCs w:val="21"/>
        </w:rPr>
      </w:pPr>
    </w:p>
    <w:p w14:paraId="3182577C">
      <w:pPr>
        <w:spacing w:line="360" w:lineRule="auto"/>
        <w:rPr>
          <w:rFonts w:hint="eastAsia" w:ascii="宋体" w:hAnsi="宋体"/>
          <w:color w:val="000000"/>
          <w:szCs w:val="21"/>
        </w:rPr>
      </w:pPr>
    </w:p>
    <w:p w14:paraId="435ADBEE">
      <w:pPr>
        <w:spacing w:line="360" w:lineRule="auto"/>
        <w:rPr>
          <w:rFonts w:hint="eastAsia" w:ascii="宋体" w:hAnsi="宋体"/>
          <w:color w:val="000000"/>
          <w:szCs w:val="21"/>
        </w:rPr>
      </w:pPr>
    </w:p>
    <w:p w14:paraId="2E377AAC">
      <w:pPr>
        <w:spacing w:line="360" w:lineRule="auto"/>
        <w:rPr>
          <w:rFonts w:hint="eastAsia" w:ascii="宋体" w:hAnsi="宋体"/>
          <w:color w:val="000000"/>
          <w:szCs w:val="21"/>
        </w:rPr>
      </w:pPr>
    </w:p>
    <w:p w14:paraId="7A9BECF5">
      <w:pPr>
        <w:spacing w:line="360" w:lineRule="auto"/>
        <w:rPr>
          <w:rFonts w:hint="eastAsia" w:ascii="宋体" w:hAnsi="宋体"/>
          <w:color w:val="000000"/>
          <w:szCs w:val="21"/>
        </w:rPr>
      </w:pPr>
    </w:p>
    <w:p w14:paraId="5D233DBE">
      <w:pPr>
        <w:spacing w:line="360" w:lineRule="auto"/>
        <w:rPr>
          <w:rFonts w:hint="eastAsia" w:ascii="宋体" w:hAnsi="宋体"/>
          <w:color w:val="000000"/>
          <w:szCs w:val="21"/>
        </w:rPr>
      </w:pPr>
    </w:p>
    <w:p w14:paraId="4296A011">
      <w:pPr>
        <w:spacing w:line="360" w:lineRule="auto"/>
        <w:rPr>
          <w:rFonts w:hint="eastAsia" w:ascii="宋体" w:hAnsi="宋体"/>
          <w:color w:val="000000"/>
          <w:szCs w:val="21"/>
        </w:rPr>
      </w:pPr>
    </w:p>
    <w:p w14:paraId="77938C54">
      <w:pPr>
        <w:spacing w:line="360" w:lineRule="auto"/>
        <w:rPr>
          <w:rFonts w:hint="eastAsia" w:ascii="宋体" w:hAnsi="宋体"/>
          <w:color w:val="000000"/>
          <w:szCs w:val="21"/>
        </w:rPr>
      </w:pPr>
    </w:p>
    <w:p w14:paraId="51BBC1A1">
      <w:pPr>
        <w:spacing w:line="360" w:lineRule="auto"/>
        <w:rPr>
          <w:rFonts w:hint="eastAsia" w:ascii="宋体" w:hAnsi="宋体"/>
          <w:color w:val="000000"/>
          <w:szCs w:val="21"/>
        </w:rPr>
      </w:pPr>
    </w:p>
    <w:p w14:paraId="12B56C6E">
      <w:pPr>
        <w:spacing w:line="360" w:lineRule="auto"/>
        <w:jc w:val="center"/>
        <w:rPr>
          <w:rFonts w:hint="eastAsia" w:ascii="宋体" w:hAnsi="宋体"/>
          <w:b/>
          <w:bCs/>
          <w:color w:val="000000"/>
          <w:sz w:val="28"/>
          <w:szCs w:val="28"/>
        </w:rPr>
      </w:pPr>
      <w:r>
        <w:rPr>
          <w:rFonts w:ascii="宋体" w:hAnsi="宋体"/>
          <w:color w:val="000000"/>
          <w:szCs w:val="21"/>
        </w:rPr>
        <w:br w:type="page"/>
      </w:r>
      <w:r>
        <w:rPr>
          <w:rFonts w:hint="eastAsia" w:ascii="宋体" w:hAnsi="宋体"/>
          <w:b/>
          <w:bCs/>
          <w:color w:val="000000"/>
          <w:sz w:val="28"/>
          <w:szCs w:val="28"/>
        </w:rPr>
        <w:t>目录</w:t>
      </w:r>
    </w:p>
    <w:p w14:paraId="63538118">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资格审查文件</w:t>
      </w:r>
    </w:p>
    <w:p w14:paraId="0358783B">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法定代表人身份证明书及法定代表人有效身份证正反面复印件；</w:t>
      </w:r>
      <w:r>
        <w:rPr>
          <w:b/>
          <w:color w:val="000000"/>
        </w:rPr>
        <w:t xml:space="preserve"> </w:t>
      </w:r>
    </w:p>
    <w:p w14:paraId="5439B42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法定代表人授权委托书及被授权人有效身份证正反面复印件；</w:t>
      </w:r>
      <w:r>
        <w:rPr>
          <w:b/>
          <w:color w:val="000000"/>
        </w:rPr>
        <w:t xml:space="preserve"> </w:t>
      </w:r>
    </w:p>
    <w:p w14:paraId="2E0C547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供应商基本情况表（附有效的营业执照副本、企业资质证书副本、安全生产许可证副本复印件）；</w:t>
      </w:r>
      <w:r>
        <w:rPr>
          <w:b/>
          <w:color w:val="000000"/>
        </w:rPr>
        <w:t xml:space="preserve"> </w:t>
      </w:r>
    </w:p>
    <w:p w14:paraId="048AE128">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建设工程项目管理承诺书； </w:t>
      </w:r>
    </w:p>
    <w:p w14:paraId="4E846E2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p>
    <w:p w14:paraId="7B78A949">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5E9C34E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3BF0937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t>磋商供应商2022或2023度经审计财务报告复印件（若为新成立的企业，可根据实际情况提供月度财务报表，格式自拟）；</w:t>
      </w:r>
    </w:p>
    <w:p w14:paraId="557C1C5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参加政府采购活动前3年内在经营活动中没有重大违法记录的书面声明； </w:t>
      </w:r>
    </w:p>
    <w:p w14:paraId="45E5331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供应商参加本项目无围标串标行为的承诺函（格式后附）</w:t>
      </w:r>
    </w:p>
    <w:p w14:paraId="3DCA187A">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供应商认为资格审查需要的其他材料</w:t>
      </w:r>
    </w:p>
    <w:p w14:paraId="31E8721C">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商务文件</w:t>
      </w:r>
    </w:p>
    <w:p w14:paraId="0303D2DC">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w:t>
      </w:r>
      <w:r>
        <w:rPr>
          <w:b/>
          <w:color w:val="000000"/>
        </w:rPr>
        <w:t xml:space="preserve"> </w:t>
      </w:r>
    </w:p>
    <w:p w14:paraId="5C51BFB7">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磋商函附录</w:t>
      </w:r>
    </w:p>
    <w:p w14:paraId="388FBE99">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磋商报价表</w:t>
      </w:r>
    </w:p>
    <w:p w14:paraId="43F13051">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已标价工程量清单</w:t>
      </w:r>
    </w:p>
    <w:p w14:paraId="59067634">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rPr>
      </w:pPr>
      <w:r>
        <w:t>供应商认为必要提供的其它资料</w:t>
      </w:r>
    </w:p>
    <w:p w14:paraId="276DA067">
      <w:pPr>
        <w:pStyle w:val="11"/>
        <w:keepNext w:val="0"/>
        <w:keepLines w:val="0"/>
        <w:pageBreakBefore w:val="0"/>
        <w:widowControl w:val="0"/>
        <w:kinsoku/>
        <w:wordWrap/>
        <w:overflowPunct/>
        <w:topLinePunct w:val="0"/>
        <w:autoSpaceDE/>
        <w:autoSpaceDN/>
        <w:bidi w:val="0"/>
        <w:adjustRightInd/>
        <w:snapToGrid/>
        <w:spacing w:line="264" w:lineRule="auto"/>
        <w:textAlignment w:val="auto"/>
        <w:rPr>
          <w:b/>
          <w:color w:val="000000"/>
        </w:rPr>
      </w:pPr>
      <w:r>
        <w:rPr>
          <w:b/>
          <w:color w:val="000000"/>
        </w:rPr>
        <w:t>技术文件</w:t>
      </w:r>
    </w:p>
    <w:p w14:paraId="1DAE7C5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施工组织设计</w:t>
      </w:r>
    </w:p>
    <w:p w14:paraId="2EC5F34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项目管理机构配备情况表</w:t>
      </w:r>
    </w:p>
    <w:p w14:paraId="0CD2DFD2">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按本竞争性磋商文件规定提交的其它资料。</w:t>
      </w:r>
    </w:p>
    <w:p w14:paraId="3EA7CC8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color w:val="000000"/>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b/>
          <w:color w:val="000000"/>
          <w:sz w:val="32"/>
          <w:szCs w:val="32"/>
        </w:rPr>
      </w:pPr>
      <w:r>
        <w:rPr>
          <w:rFonts w:hint="eastAsia" w:ascii="宋体" w:hAnsi="宋体"/>
          <w:b/>
          <w:color w:val="000000"/>
          <w:sz w:val="44"/>
          <w:szCs w:val="44"/>
        </w:rPr>
        <w:t>资格审查文件</w:t>
      </w:r>
    </w:p>
    <w:p w14:paraId="0E03AAC6">
      <w:pPr>
        <w:spacing w:line="360" w:lineRule="auto"/>
        <w:jc w:val="center"/>
        <w:rPr>
          <w:rFonts w:hint="eastAsia" w:ascii="宋体" w:hAnsi="宋体"/>
          <w:color w:val="000000"/>
          <w:szCs w:val="21"/>
        </w:rPr>
      </w:pPr>
    </w:p>
    <w:p w14:paraId="35AC4F60">
      <w:pPr>
        <w:spacing w:line="360" w:lineRule="auto"/>
        <w:ind w:firstLine="5880" w:firstLineChars="2800"/>
        <w:rPr>
          <w:rFonts w:hint="eastAsia" w:ascii="宋体" w:hAnsi="宋体"/>
          <w:color w:val="000000"/>
          <w:szCs w:val="21"/>
        </w:rPr>
      </w:pPr>
    </w:p>
    <w:p w14:paraId="63FAD453">
      <w:pPr>
        <w:spacing w:line="360" w:lineRule="auto"/>
        <w:rPr>
          <w:rFonts w:hint="eastAsia" w:ascii="宋体" w:hAnsi="宋体"/>
          <w:color w:val="000000"/>
          <w:szCs w:val="21"/>
        </w:rPr>
      </w:pPr>
      <w:r>
        <w:rPr>
          <w:rFonts w:ascii="宋体" w:hAnsi="宋体"/>
          <w:color w:val="000000"/>
          <w:szCs w:val="21"/>
        </w:rPr>
        <w:br w:type="page"/>
      </w:r>
    </w:p>
    <w:p w14:paraId="62C288B0">
      <w:pPr>
        <w:pStyle w:val="41"/>
      </w:pPr>
      <w:r>
        <w:t>资格审查文件目录</w:t>
      </w:r>
    </w:p>
    <w:p w14:paraId="721FCA82">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D369F9D">
      <w:pPr>
        <w:spacing w:line="360" w:lineRule="auto"/>
        <w:jc w:val="center"/>
        <w:rPr>
          <w:rFonts w:hint="eastAsia" w:ascii="宋体" w:hAnsi="宋体"/>
          <w:b/>
          <w:color w:val="000000"/>
          <w:sz w:val="24"/>
        </w:rPr>
      </w:pPr>
    </w:p>
    <w:p w14:paraId="631C4B48">
      <w:pPr>
        <w:spacing w:line="360" w:lineRule="auto"/>
        <w:rPr>
          <w:rFonts w:hint="eastAsia" w:ascii="宋体" w:hAnsi="宋体"/>
          <w:color w:val="000000"/>
          <w:szCs w:val="21"/>
        </w:rPr>
      </w:pPr>
    </w:p>
    <w:p w14:paraId="382B16A4">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法定代表人身份证明书及法定代表人有效身份证正反面复印件； </w:t>
      </w:r>
    </w:p>
    <w:p w14:paraId="6BA82F4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法定代表人授权委托书及被授权人有效身份证正反面复印件； </w:t>
      </w:r>
    </w:p>
    <w:p w14:paraId="18DCBCCE">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color w:val="000000"/>
          <w:szCs w:val="21"/>
        </w:rPr>
      </w:pPr>
      <w:r>
        <w:rPr>
          <w:rFonts w:hint="eastAsia" w:ascii="宋体" w:hAnsi="宋体"/>
          <w:b w:val="0"/>
          <w:bCs w:val="0"/>
          <w:color w:val="000000"/>
        </w:rPr>
        <w:t>供应商基本情况表（附有效的营业执照副本、企业资质证书副本、安全生产许可证副本复印件</w:t>
      </w:r>
      <w:r>
        <w:rPr>
          <w:rFonts w:hint="eastAsia" w:ascii="宋体" w:hAnsi="宋体"/>
          <w:color w:val="000000"/>
        </w:rPr>
        <w:t>）</w:t>
      </w:r>
      <w:r>
        <w:rPr>
          <w:rFonts w:hint="eastAsia" w:ascii="宋体" w:hAnsi="宋体"/>
          <w:bCs/>
          <w:color w:val="000000"/>
          <w:szCs w:val="21"/>
        </w:rPr>
        <w:t>；</w:t>
      </w:r>
      <w:r>
        <w:rPr>
          <w:rFonts w:hint="eastAsia" w:ascii="宋体" w:hAnsi="宋体"/>
          <w:b/>
          <w:color w:val="000000"/>
          <w:szCs w:val="21"/>
        </w:rPr>
        <w:t xml:space="preserve"> </w:t>
      </w:r>
    </w:p>
    <w:p w14:paraId="5799CEAA">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color w:val="000000"/>
        </w:rPr>
      </w:pPr>
      <w:r>
        <w:rPr>
          <w:rFonts w:hint="eastAsia" w:ascii="宋体" w:hAnsi="宋体"/>
          <w:color w:val="000000"/>
        </w:rPr>
        <w:t>建设工程项目管理承诺书</w:t>
      </w:r>
      <w:r>
        <w:rPr>
          <w:rFonts w:hint="eastAsia" w:ascii="宋体" w:hAnsi="宋体"/>
          <w:bCs/>
          <w:color w:val="000000"/>
          <w:szCs w:val="21"/>
        </w:rPr>
        <w:t>；</w:t>
      </w:r>
      <w:r>
        <w:rPr>
          <w:rFonts w:hint="eastAsia" w:ascii="宋体" w:hAnsi="宋体"/>
          <w:color w:val="000000"/>
        </w:rPr>
        <w:t xml:space="preserve"> </w:t>
      </w:r>
    </w:p>
    <w:p w14:paraId="31A6E9BC">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b/>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r>
        <w:rPr>
          <w:b/>
          <w:color w:val="000000"/>
        </w:rPr>
        <w:t xml:space="preserve"> </w:t>
      </w:r>
    </w:p>
    <w:p w14:paraId="5C97D20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3D2D9855">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1E0817C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pPr>
      <w:r>
        <w:t>磋商供应商2022或2023年度经审计财务报告复印件（若为新成立的企业，可根据实际情况提供月度财务报表，格式自拟）；</w:t>
      </w:r>
    </w:p>
    <w:p w14:paraId="34334A8D">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 xml:space="preserve">参加政府采购活动前3年内在经营活动中没有重大违法记录的书面声明； </w:t>
      </w:r>
    </w:p>
    <w:p w14:paraId="133E13E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供应商参加本项目无围标串标行为的承诺函（格式后附）</w:t>
      </w:r>
    </w:p>
    <w:p w14:paraId="5328F1B2">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供应商认为资格审查需要的其他材料</w:t>
      </w:r>
    </w:p>
    <w:p w14:paraId="21F33BEE">
      <w:pPr>
        <w:pStyle w:val="12"/>
        <w:rPr>
          <w:color w:val="000000"/>
        </w:rPr>
      </w:pPr>
    </w:p>
    <w:p w14:paraId="6F9F7384">
      <w:pPr>
        <w:pStyle w:val="13"/>
        <w:rPr>
          <w:color w:val="000000"/>
        </w:rPr>
      </w:pPr>
    </w:p>
    <w:p w14:paraId="175E3485">
      <w:pPr>
        <w:rPr>
          <w:color w:val="000000"/>
        </w:rPr>
      </w:pPr>
    </w:p>
    <w:p w14:paraId="6B87E703">
      <w:pPr>
        <w:rPr>
          <w:color w:val="000000"/>
        </w:rPr>
      </w:pPr>
    </w:p>
    <w:p w14:paraId="64F335A7">
      <w:pPr>
        <w:rPr>
          <w:color w:val="000000"/>
        </w:rPr>
      </w:pPr>
    </w:p>
    <w:p w14:paraId="2C837569">
      <w:pPr>
        <w:rPr>
          <w:color w:val="000000"/>
        </w:rPr>
      </w:pPr>
    </w:p>
    <w:p w14:paraId="09C60F52">
      <w:pPr>
        <w:rPr>
          <w:color w:val="000000"/>
        </w:rPr>
      </w:pPr>
    </w:p>
    <w:p w14:paraId="1FAC9DEB">
      <w:pPr>
        <w:rPr>
          <w:color w:val="000000"/>
        </w:rPr>
      </w:pPr>
    </w:p>
    <w:p w14:paraId="40F1C68E">
      <w:pPr>
        <w:rPr>
          <w:color w:val="000000"/>
        </w:rPr>
      </w:pPr>
    </w:p>
    <w:p w14:paraId="44787338">
      <w:pPr>
        <w:rPr>
          <w:color w:val="000000"/>
        </w:rPr>
      </w:pPr>
    </w:p>
    <w:p w14:paraId="264161EB">
      <w:pPr>
        <w:rPr>
          <w:color w:val="000000"/>
        </w:rPr>
      </w:pPr>
    </w:p>
    <w:p w14:paraId="3D31427A">
      <w:pPr>
        <w:rPr>
          <w:color w:val="000000"/>
        </w:rPr>
      </w:pPr>
    </w:p>
    <w:p w14:paraId="77FB4B9B">
      <w:pPr>
        <w:rPr>
          <w:color w:val="000000"/>
        </w:rPr>
      </w:pPr>
    </w:p>
    <w:p w14:paraId="03E9E77D">
      <w:pPr>
        <w:rPr>
          <w:color w:val="000000"/>
        </w:rPr>
      </w:pPr>
    </w:p>
    <w:p w14:paraId="567192AE">
      <w:pPr>
        <w:rPr>
          <w:color w:val="000000"/>
        </w:rPr>
      </w:pPr>
    </w:p>
    <w:p w14:paraId="0C631B98">
      <w:pPr>
        <w:rPr>
          <w:color w:val="000000"/>
        </w:rPr>
      </w:pPr>
    </w:p>
    <w:p w14:paraId="3637007B">
      <w:pPr>
        <w:pStyle w:val="2"/>
        <w:numPr>
          <w:ilvl w:val="0"/>
          <w:numId w:val="52"/>
        </w:numPr>
        <w:tabs>
          <w:tab w:val="clear" w:pos="482"/>
        </w:tabs>
        <w:bidi w:val="0"/>
        <w:ind w:left="0" w:leftChars="0" w:firstLine="480" w:firstLineChars="0"/>
      </w:pPr>
      <w:r>
        <w:t>法定代表人身份证明书及法定代表人有效身份证正反面复印件；（格式）</w:t>
      </w:r>
    </w:p>
    <w:p w14:paraId="3BB0CCF9">
      <w:pPr>
        <w:spacing w:line="360" w:lineRule="auto"/>
        <w:ind w:firstLine="703" w:firstLineChars="250"/>
        <w:jc w:val="center"/>
        <w:rPr>
          <w:rFonts w:hint="eastAsia" w:ascii="宋体" w:hAnsi="宋体"/>
          <w:b/>
          <w:color w:val="000000"/>
          <w:sz w:val="28"/>
          <w:szCs w:val="28"/>
        </w:rPr>
      </w:pPr>
    </w:p>
    <w:p w14:paraId="21EE4B95">
      <w:pPr>
        <w:pStyle w:val="43"/>
        <w:outlineLvl w:val="9"/>
      </w:pPr>
      <w:r>
        <w:t>法定代表人身份证明</w:t>
      </w:r>
    </w:p>
    <w:p w14:paraId="4D8C48BA">
      <w:pPr>
        <w:pStyle w:val="11"/>
        <w:rPr>
          <w:color w:val="000000"/>
        </w:rPr>
      </w:pPr>
      <w:r>
        <w:rPr>
          <w:color w:val="000000"/>
        </w:rPr>
        <w:t>供 应 商：</w:t>
      </w:r>
      <w:r>
        <w:rPr>
          <w:color w:val="000000"/>
          <w:u w:val="single"/>
        </w:rPr>
        <w:t xml:space="preserve">                                                        </w:t>
      </w:r>
    </w:p>
    <w:p w14:paraId="651DD35F">
      <w:pPr>
        <w:pStyle w:val="11"/>
        <w:rPr>
          <w:color w:val="000000"/>
        </w:rPr>
      </w:pPr>
      <w:r>
        <w:rPr>
          <w:color w:val="000000"/>
        </w:rPr>
        <w:t>单位性质：</w:t>
      </w:r>
      <w:r>
        <w:rPr>
          <w:color w:val="000000"/>
          <w:u w:val="single"/>
        </w:rPr>
        <w:t xml:space="preserve">                                                        </w:t>
      </w:r>
    </w:p>
    <w:p w14:paraId="458A2A08">
      <w:pPr>
        <w:pStyle w:val="11"/>
        <w:rPr>
          <w:color w:val="000000"/>
        </w:rPr>
      </w:pPr>
      <w:r>
        <w:rPr>
          <w:color w:val="000000"/>
        </w:rPr>
        <w:t>地    址：</w:t>
      </w:r>
      <w:r>
        <w:rPr>
          <w:color w:val="000000"/>
          <w:u w:val="single"/>
        </w:rPr>
        <w:t xml:space="preserve">                                                        </w:t>
      </w:r>
    </w:p>
    <w:p w14:paraId="196B6E85">
      <w:pPr>
        <w:pStyle w:val="11"/>
        <w:rPr>
          <w:color w:val="000000"/>
        </w:rPr>
      </w:pPr>
      <w:r>
        <w:rPr>
          <w:color w:val="000000"/>
        </w:rPr>
        <w:t>成立时间：</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48B7256B">
      <w:pPr>
        <w:pStyle w:val="11"/>
        <w:rPr>
          <w:color w:val="000000"/>
        </w:rPr>
      </w:pPr>
      <w:r>
        <w:rPr>
          <w:color w:val="000000"/>
        </w:rPr>
        <w:t>经营期限：</w:t>
      </w:r>
      <w:r>
        <w:rPr>
          <w:color w:val="000000"/>
          <w:u w:val="single"/>
        </w:rPr>
        <w:t xml:space="preserve">                                                        </w:t>
      </w:r>
    </w:p>
    <w:p w14:paraId="564C413F">
      <w:pPr>
        <w:pStyle w:val="11"/>
        <w:rPr>
          <w:color w:val="000000"/>
        </w:rPr>
      </w:pPr>
      <w:r>
        <w:rPr>
          <w:color w:val="000000"/>
        </w:rPr>
        <w:t>姓    名：</w:t>
      </w:r>
      <w:r>
        <w:rPr>
          <w:color w:val="000000"/>
          <w:u w:val="single"/>
        </w:rPr>
        <w:t xml:space="preserve">                          </w:t>
      </w:r>
      <w:r>
        <w:rPr>
          <w:color w:val="000000"/>
        </w:rPr>
        <w:t>性     别：</w:t>
      </w:r>
      <w:r>
        <w:rPr>
          <w:color w:val="000000"/>
          <w:u w:val="single"/>
        </w:rPr>
        <w:t xml:space="preserve">                   </w:t>
      </w:r>
    </w:p>
    <w:p w14:paraId="4E5136CB">
      <w:pPr>
        <w:pStyle w:val="11"/>
        <w:rPr>
          <w:color w:val="000000"/>
        </w:rPr>
      </w:pPr>
      <w:r>
        <w:rPr>
          <w:color w:val="000000"/>
        </w:rPr>
        <w:t>年    龄：</w:t>
      </w:r>
      <w:r>
        <w:rPr>
          <w:color w:val="000000"/>
          <w:u w:val="single"/>
        </w:rPr>
        <w:t xml:space="preserve">                          </w:t>
      </w:r>
      <w:r>
        <w:rPr>
          <w:color w:val="000000"/>
        </w:rPr>
        <w:t>职     务：</w:t>
      </w:r>
      <w:r>
        <w:rPr>
          <w:color w:val="000000"/>
          <w:u w:val="single"/>
        </w:rPr>
        <w:t xml:space="preserve">                   </w:t>
      </w:r>
    </w:p>
    <w:p w14:paraId="4A019CDA">
      <w:pPr>
        <w:pStyle w:val="11"/>
        <w:rPr>
          <w:color w:val="000000"/>
        </w:rPr>
      </w:pPr>
      <w:r>
        <w:rPr>
          <w:color w:val="000000"/>
        </w:rPr>
        <w:t>系</w:t>
      </w:r>
      <w:r>
        <w:rPr>
          <w:color w:val="000000"/>
          <w:u w:val="single"/>
        </w:rPr>
        <w:t xml:space="preserve">                                                 </w:t>
      </w:r>
      <w:r>
        <w:rPr>
          <w:color w:val="000000"/>
        </w:rPr>
        <w:t>（供应商名称）的法定代表人。</w:t>
      </w:r>
    </w:p>
    <w:p w14:paraId="08A240EE">
      <w:pPr>
        <w:pStyle w:val="11"/>
        <w:rPr>
          <w:color w:val="000000"/>
        </w:rPr>
      </w:pPr>
      <w:r>
        <w:rPr>
          <w:color w:val="000000"/>
        </w:rPr>
        <w:t>特此证明。</w:t>
      </w:r>
    </w:p>
    <w:p w14:paraId="243062E7">
      <w:pPr>
        <w:spacing w:line="360" w:lineRule="auto"/>
        <w:rPr>
          <w:rFonts w:hint="eastAsia" w:ascii="宋体" w:hAnsi="宋体"/>
          <w:color w:val="000000"/>
          <w:szCs w:val="21"/>
        </w:rPr>
      </w:pPr>
    </w:p>
    <w:p w14:paraId="46774FA6">
      <w:pPr>
        <w:pStyle w:val="11"/>
        <w:rPr>
          <w:color w:val="000000"/>
        </w:rPr>
      </w:pPr>
      <w:r>
        <w:rPr>
          <w:color w:val="000000"/>
        </w:rPr>
        <w:t>附件：法定代表人有效身份证正反面复印件</w:t>
      </w:r>
    </w:p>
    <w:p w14:paraId="32AF4180">
      <w:pPr>
        <w:spacing w:line="360" w:lineRule="auto"/>
        <w:rPr>
          <w:rFonts w:ascii="宋体" w:hAnsi="宋体"/>
          <w:color w:val="000000"/>
          <w:szCs w:val="21"/>
        </w:rPr>
      </w:pPr>
    </w:p>
    <w:p w14:paraId="1E5D0C6D">
      <w:pPr>
        <w:spacing w:line="360" w:lineRule="auto"/>
        <w:jc w:val="right"/>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供应商</w:t>
      </w:r>
      <w:r>
        <w:rPr>
          <w:rFonts w:ascii="Times New Roman" w:hAnsi="Times New Roman" w:eastAsia="宋体" w:cs="Times New Roman"/>
          <w:color w:val="000000"/>
          <w:sz w:val="24"/>
          <w:szCs w:val="21"/>
        </w:rPr>
        <w:t>：</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（盖单位章）</w:t>
      </w:r>
    </w:p>
    <w:p w14:paraId="7730A7D1">
      <w:pPr>
        <w:spacing w:line="360" w:lineRule="auto"/>
        <w:ind w:left="420" w:leftChars="200" w:firstLine="4200" w:firstLineChars="1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0F69A75">
      <w:pPr>
        <w:spacing w:line="360" w:lineRule="auto"/>
        <w:ind w:left="420" w:leftChars="200" w:firstLine="3675" w:firstLineChars="1750"/>
        <w:rPr>
          <w:rFonts w:hint="eastAsia" w:ascii="宋体" w:hAnsi="宋体"/>
          <w:color w:val="000000"/>
          <w:szCs w:val="21"/>
        </w:rPr>
      </w:pPr>
    </w:p>
    <w:p w14:paraId="482E49C3">
      <w:pPr>
        <w:spacing w:line="360" w:lineRule="auto"/>
        <w:ind w:left="420" w:leftChars="200" w:firstLine="3675" w:firstLineChars="1750"/>
        <w:rPr>
          <w:rFonts w:hint="eastAsia" w:ascii="宋体" w:hAnsi="宋体"/>
          <w:color w:val="000000"/>
          <w:szCs w:val="21"/>
        </w:rPr>
      </w:pPr>
    </w:p>
    <w:p w14:paraId="7F62862E">
      <w:pPr>
        <w:spacing w:line="360" w:lineRule="auto"/>
        <w:ind w:left="420" w:leftChars="200" w:firstLine="3675" w:firstLineChars="1750"/>
        <w:rPr>
          <w:rFonts w:hint="eastAsia" w:ascii="宋体" w:hAnsi="宋体"/>
          <w:b/>
          <w:color w:val="000000"/>
          <w:szCs w:val="21"/>
        </w:rPr>
      </w:pPr>
      <w:r>
        <w:rPr>
          <w:rFonts w:ascii="宋体" w:hAnsi="宋体"/>
          <w:color w:val="000000"/>
          <w:szCs w:val="21"/>
        </w:rPr>
        <w:br w:type="page"/>
      </w:r>
    </w:p>
    <w:p w14:paraId="1AA22095">
      <w:pPr>
        <w:pStyle w:val="2"/>
        <w:numPr>
          <w:ilvl w:val="0"/>
          <w:numId w:val="52"/>
        </w:numPr>
        <w:tabs>
          <w:tab w:val="clear" w:pos="482"/>
        </w:tabs>
        <w:bidi w:val="0"/>
        <w:ind w:left="0" w:leftChars="0" w:firstLine="480" w:firstLineChars="0"/>
      </w:pPr>
      <w:r>
        <w:t>法定代表人授权委托书及被授权人有效身份证正反面复印件（格式）</w:t>
      </w:r>
    </w:p>
    <w:p w14:paraId="049F8B7F">
      <w:pPr>
        <w:adjustRightInd w:val="0"/>
        <w:snapToGrid w:val="0"/>
        <w:spacing w:line="360" w:lineRule="auto"/>
        <w:jc w:val="center"/>
        <w:rPr>
          <w:rFonts w:hint="eastAsia" w:ascii="宋体" w:hAnsi="宋体"/>
          <w:b/>
          <w:color w:val="000000"/>
          <w:sz w:val="32"/>
          <w:szCs w:val="32"/>
        </w:rPr>
      </w:pPr>
    </w:p>
    <w:p w14:paraId="5DB2AE5E">
      <w:pPr>
        <w:pStyle w:val="43"/>
        <w:outlineLvl w:val="9"/>
      </w:pPr>
      <w:r>
        <w:t>法 定 代 表 人 授 权 书</w:t>
      </w:r>
    </w:p>
    <w:p w14:paraId="4E947C0A">
      <w:pPr>
        <w:adjustRightInd w:val="0"/>
        <w:snapToGrid w:val="0"/>
        <w:spacing w:line="360" w:lineRule="auto"/>
        <w:rPr>
          <w:rFonts w:hint="eastAsia" w:ascii="宋体" w:hAnsi="宋体"/>
          <w:color w:val="000000"/>
          <w:szCs w:val="21"/>
        </w:rPr>
      </w:pPr>
    </w:p>
    <w:p w14:paraId="7112C1DA">
      <w:pPr>
        <w:pStyle w:val="11"/>
        <w:ind w:firstLine="0" w:firstLineChars="0"/>
        <w:rPr>
          <w:b/>
          <w:color w:val="000000"/>
        </w:rPr>
      </w:pPr>
      <w:r>
        <w:rPr>
          <w:color w:val="000000"/>
        </w:rPr>
        <w:t>致：</w:t>
      </w:r>
      <w:r>
        <w:rPr>
          <w:rFonts w:hint="eastAsia"/>
          <w:color w:val="000000"/>
          <w:u w:val="single"/>
          <w:lang w:eastAsia="zh-CN"/>
        </w:rPr>
        <w:t>广西国立工程咨询有限公司</w:t>
      </w:r>
      <w:r>
        <w:rPr>
          <w:color w:val="000000"/>
          <w:u w:val="single"/>
        </w:rPr>
        <w:t>　</w:t>
      </w:r>
      <w:r>
        <w:rPr>
          <w:b/>
          <w:color w:val="000000"/>
        </w:rPr>
        <w:t xml:space="preserve"> </w:t>
      </w:r>
      <w:r>
        <w:rPr>
          <w:color w:val="000000"/>
        </w:rPr>
        <w:t>：</w:t>
      </w:r>
    </w:p>
    <w:p w14:paraId="5811E9A0">
      <w:pPr>
        <w:pStyle w:val="11"/>
        <w:rPr>
          <w:color w:val="000000"/>
        </w:rPr>
      </w:pPr>
      <w:r>
        <w:rPr>
          <w:color w:val="000000"/>
        </w:rPr>
        <w:t xml:space="preserve">我______（姓名）系______（供应商名称）的法定代表人，现授权委托本单位在职职工 </w:t>
      </w:r>
      <w:r>
        <w:rPr>
          <w:color w:val="000000"/>
          <w:u w:val="single"/>
        </w:rPr>
        <w:t xml:space="preserve">            </w:t>
      </w:r>
      <w:r>
        <w:rPr>
          <w:color w:val="000000"/>
        </w:rPr>
        <w:t>（姓名）以我方的名义参加</w:t>
      </w:r>
      <w:r>
        <w:rPr>
          <w:color w:val="000000"/>
          <w:u w:val="single"/>
        </w:rPr>
        <w:t xml:space="preserve">         </w:t>
      </w:r>
      <w:r>
        <w:rPr>
          <w:color w:val="000000"/>
        </w:rPr>
        <w:t>项目的磋商活动，并代表我方全权办理针对上述项目的递交文件、磋商、澄清、签约等具体事务和签署相关文件。</w:t>
      </w:r>
    </w:p>
    <w:p w14:paraId="3571F61C">
      <w:pPr>
        <w:pStyle w:val="11"/>
        <w:rPr>
          <w:color w:val="000000"/>
        </w:rPr>
      </w:pPr>
      <w:r>
        <w:rPr>
          <w:color w:val="000000"/>
        </w:rPr>
        <w:t>我方对被授权人的签名事项负全部责任。</w:t>
      </w:r>
    </w:p>
    <w:p w14:paraId="09955FBE">
      <w:pPr>
        <w:pStyle w:val="11"/>
        <w:rPr>
          <w:color w:val="000000"/>
        </w:rPr>
      </w:pPr>
      <w:r>
        <w:rPr>
          <w:color w:val="000000"/>
          <w:u w:val="single"/>
        </w:rPr>
        <w:t>在撤销授权的书面通知以前，本授权书一直有效。</w:t>
      </w:r>
      <w:r>
        <w:rPr>
          <w:color w:val="000000"/>
        </w:rPr>
        <w:t>被授权人在授权书有效期内签署的所有文件不因授权的撤销而失效。</w:t>
      </w:r>
    </w:p>
    <w:p w14:paraId="36B5FACE">
      <w:pPr>
        <w:pStyle w:val="11"/>
        <w:rPr>
          <w:color w:val="000000"/>
        </w:rPr>
      </w:pPr>
      <w:r>
        <w:rPr>
          <w:color w:val="000000"/>
        </w:rPr>
        <w:t>被授权人无转委托权，特此委托。</w:t>
      </w:r>
    </w:p>
    <w:p w14:paraId="3438144F">
      <w:pPr>
        <w:pStyle w:val="11"/>
        <w:rPr>
          <w:color w:val="000000"/>
        </w:rPr>
      </w:pPr>
      <w:r>
        <w:rPr>
          <w:color w:val="000000"/>
        </w:rPr>
        <w:t>附：法定代表人身份证明及被授权人有效身份证正反面复印件</w:t>
      </w:r>
    </w:p>
    <w:p w14:paraId="3CAF5586">
      <w:pPr>
        <w:snapToGrid w:val="0"/>
        <w:spacing w:before="120" w:beforeLines="50" w:after="50" w:line="360" w:lineRule="auto"/>
        <w:rPr>
          <w:rFonts w:hint="eastAsia" w:ascii="宋体" w:hAnsi="宋体"/>
          <w:color w:val="000000"/>
          <w:sz w:val="24"/>
          <w:szCs w:val="20"/>
        </w:rPr>
      </w:pPr>
    </w:p>
    <w:p w14:paraId="1D9EDE19">
      <w:pPr>
        <w:snapToGrid w:val="0"/>
        <w:spacing w:before="120" w:beforeLines="50" w:after="50" w:line="360" w:lineRule="auto"/>
        <w:rPr>
          <w:rFonts w:hint="eastAsia" w:ascii="Times New Roman" w:hAnsi="Times New Roman" w:eastAsia="宋体" w:cs="Times New Roman"/>
          <w:color w:val="000000"/>
          <w:sz w:val="24"/>
          <w:u w:val="single"/>
        </w:rPr>
      </w:pPr>
      <w:r>
        <w:rPr>
          <w:rFonts w:hint="eastAsia" w:ascii="Times New Roman" w:hAnsi="Times New Roman" w:eastAsia="宋体" w:cs="Times New Roman"/>
          <w:color w:val="000000"/>
          <w:sz w:val="24"/>
        </w:rPr>
        <w:t>被授权人签名：</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法定代表人签名：</w:t>
      </w:r>
      <w:r>
        <w:rPr>
          <w:rFonts w:hint="eastAsia" w:ascii="Times New Roman" w:hAnsi="Times New Roman" w:eastAsia="宋体" w:cs="Times New Roman"/>
          <w:color w:val="000000"/>
          <w:sz w:val="24"/>
          <w:u w:val="single"/>
        </w:rPr>
        <w:t xml:space="preserve">              </w:t>
      </w:r>
    </w:p>
    <w:p w14:paraId="19DA35D9">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所在部门职务：</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职务：</w:t>
      </w:r>
      <w:r>
        <w:rPr>
          <w:rFonts w:hint="eastAsia" w:ascii="Times New Roman" w:hAnsi="Times New Roman" w:eastAsia="宋体" w:cs="Times New Roman"/>
          <w:color w:val="000000"/>
          <w:sz w:val="24"/>
          <w:u w:val="single"/>
        </w:rPr>
        <w:t xml:space="preserve">                  </w:t>
      </w:r>
    </w:p>
    <w:p w14:paraId="3F3C9CAD">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被授权人身份证号码：</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w:t>
      </w:r>
    </w:p>
    <w:p w14:paraId="00F40E69">
      <w:pPr>
        <w:snapToGrid w:val="0"/>
        <w:spacing w:before="120" w:beforeLines="50" w:after="50" w:line="360" w:lineRule="auto"/>
        <w:jc w:val="center"/>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 xml:space="preserve">                                                供应商公章：</w:t>
      </w:r>
    </w:p>
    <w:p w14:paraId="733DCDC7">
      <w:pPr>
        <w:spacing w:line="360" w:lineRule="auto"/>
        <w:ind w:left="420"/>
        <w:rPr>
          <w:rFonts w:hint="eastAsia" w:ascii="Times New Roman" w:hAnsi="Times New Roman" w:eastAsia="宋体" w:cs="Times New Roman"/>
          <w:b/>
          <w:color w:val="000000"/>
          <w:sz w:val="24"/>
          <w:szCs w:val="21"/>
        </w:rPr>
      </w:pPr>
      <w:r>
        <w:rPr>
          <w:rFonts w:hint="eastAsia" w:ascii="Times New Roman" w:hAnsi="Times New Roman" w:eastAsia="宋体" w:cs="Times New Roman"/>
          <w:color w:val="000000"/>
          <w:sz w:val="24"/>
        </w:rPr>
        <w:t xml:space="preserve">                                              年    月    日</w:t>
      </w:r>
    </w:p>
    <w:p w14:paraId="25B91B05">
      <w:pPr>
        <w:spacing w:line="360" w:lineRule="auto"/>
        <w:rPr>
          <w:rFonts w:hint="eastAsia" w:ascii="宋体" w:hAnsi="宋体"/>
          <w:b/>
          <w:color w:val="000000"/>
          <w:szCs w:val="21"/>
        </w:rPr>
      </w:pPr>
      <w:r>
        <w:rPr>
          <w:rFonts w:ascii="宋体" w:hAnsi="宋体"/>
          <w:b/>
          <w:color w:val="000000"/>
          <w:szCs w:val="21"/>
        </w:rPr>
        <w:br w:type="page"/>
      </w:r>
    </w:p>
    <w:p w14:paraId="4C6BEE35">
      <w:pPr>
        <w:pStyle w:val="2"/>
        <w:numPr>
          <w:ilvl w:val="0"/>
          <w:numId w:val="52"/>
        </w:numPr>
        <w:tabs>
          <w:tab w:val="clear" w:pos="482"/>
        </w:tabs>
        <w:bidi w:val="0"/>
        <w:ind w:left="0" w:leftChars="0" w:firstLine="480" w:firstLineChars="0"/>
      </w:pPr>
      <w:r>
        <w:t>供应商基本情况表</w:t>
      </w:r>
    </w:p>
    <w:p w14:paraId="441DF862">
      <w:pPr>
        <w:pStyle w:val="43"/>
        <w:outlineLvl w:val="9"/>
      </w:pPr>
      <w: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341" w:type="dxa"/>
            <w:gridSpan w:val="8"/>
            <w:noWrap w:val="0"/>
            <w:vAlign w:val="center"/>
          </w:tcPr>
          <w:p w14:paraId="55E79093">
            <w:pPr>
              <w:spacing w:line="360" w:lineRule="auto"/>
              <w:jc w:val="center"/>
              <w:rPr>
                <w:rFonts w:ascii="宋体" w:hAnsi="宋体"/>
                <w:color w:val="000000"/>
                <w:szCs w:val="21"/>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ascii="宋体" w:hAnsi="宋体"/>
                <w:color w:val="000000"/>
                <w:szCs w:val="21"/>
              </w:rPr>
            </w:pPr>
            <w:r>
              <w:rPr>
                <w:rFonts w:ascii="宋体" w:hAnsi="宋体"/>
                <w:color w:val="000000"/>
                <w:szCs w:val="21"/>
              </w:rPr>
              <w:t>注册地址</w:t>
            </w:r>
          </w:p>
        </w:tc>
        <w:tc>
          <w:tcPr>
            <w:tcW w:w="3389" w:type="dxa"/>
            <w:gridSpan w:val="4"/>
            <w:noWrap w:val="0"/>
            <w:vAlign w:val="center"/>
          </w:tcPr>
          <w:p w14:paraId="7F439B0E">
            <w:pPr>
              <w:spacing w:line="360" w:lineRule="auto"/>
              <w:jc w:val="center"/>
              <w:rPr>
                <w:rFonts w:ascii="宋体" w:hAnsi="宋体"/>
                <w:color w:val="000000"/>
                <w:szCs w:val="21"/>
              </w:rPr>
            </w:pPr>
          </w:p>
        </w:tc>
        <w:tc>
          <w:tcPr>
            <w:tcW w:w="1246" w:type="dxa"/>
            <w:noWrap w:val="0"/>
            <w:vAlign w:val="center"/>
          </w:tcPr>
          <w:p w14:paraId="0C6C93DA">
            <w:pPr>
              <w:spacing w:line="360" w:lineRule="auto"/>
              <w:jc w:val="center"/>
              <w:rPr>
                <w:rFonts w:ascii="宋体" w:hAnsi="宋体"/>
                <w:color w:val="000000"/>
                <w:szCs w:val="21"/>
              </w:rPr>
            </w:pPr>
            <w:r>
              <w:rPr>
                <w:rFonts w:ascii="宋体" w:hAnsi="宋体"/>
                <w:color w:val="000000"/>
                <w:szCs w:val="21"/>
              </w:rPr>
              <w:t>邮政编码</w:t>
            </w:r>
          </w:p>
        </w:tc>
        <w:tc>
          <w:tcPr>
            <w:tcW w:w="2706" w:type="dxa"/>
            <w:gridSpan w:val="3"/>
            <w:noWrap w:val="0"/>
            <w:vAlign w:val="center"/>
          </w:tcPr>
          <w:p w14:paraId="3295BBF4">
            <w:pPr>
              <w:spacing w:line="360" w:lineRule="auto"/>
              <w:jc w:val="center"/>
              <w:rPr>
                <w:rFonts w:ascii="宋体" w:hAnsi="宋体"/>
                <w:color w:val="000000"/>
                <w:szCs w:val="21"/>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ascii="宋体" w:hAnsi="宋体"/>
                <w:color w:val="000000"/>
                <w:szCs w:val="21"/>
              </w:rPr>
            </w:pPr>
            <w:r>
              <w:rPr>
                <w:rFonts w:ascii="宋体" w:hAnsi="宋体"/>
                <w:color w:val="000000"/>
                <w:szCs w:val="21"/>
              </w:rPr>
              <w:t>联系方式</w:t>
            </w:r>
          </w:p>
        </w:tc>
        <w:tc>
          <w:tcPr>
            <w:tcW w:w="897" w:type="dxa"/>
            <w:noWrap w:val="0"/>
            <w:vAlign w:val="center"/>
          </w:tcPr>
          <w:p w14:paraId="2EA63106">
            <w:pPr>
              <w:spacing w:line="360" w:lineRule="auto"/>
              <w:jc w:val="center"/>
              <w:rPr>
                <w:rFonts w:ascii="宋体" w:hAnsi="宋体"/>
                <w:color w:val="000000"/>
                <w:szCs w:val="21"/>
              </w:rPr>
            </w:pPr>
            <w:r>
              <w:rPr>
                <w:rFonts w:ascii="宋体" w:hAnsi="宋体"/>
                <w:color w:val="000000"/>
                <w:szCs w:val="21"/>
              </w:rPr>
              <w:t>联系人</w:t>
            </w:r>
          </w:p>
        </w:tc>
        <w:tc>
          <w:tcPr>
            <w:tcW w:w="2492" w:type="dxa"/>
            <w:gridSpan w:val="3"/>
            <w:noWrap w:val="0"/>
            <w:vAlign w:val="center"/>
          </w:tcPr>
          <w:p w14:paraId="6DCB1532">
            <w:pPr>
              <w:spacing w:line="360" w:lineRule="auto"/>
              <w:jc w:val="center"/>
              <w:rPr>
                <w:rFonts w:ascii="宋体" w:hAnsi="宋体"/>
                <w:color w:val="000000"/>
                <w:szCs w:val="21"/>
              </w:rPr>
            </w:pPr>
          </w:p>
        </w:tc>
        <w:tc>
          <w:tcPr>
            <w:tcW w:w="1246" w:type="dxa"/>
            <w:noWrap w:val="0"/>
            <w:vAlign w:val="center"/>
          </w:tcPr>
          <w:p w14:paraId="30F29A37">
            <w:pPr>
              <w:spacing w:line="360" w:lineRule="auto"/>
              <w:jc w:val="center"/>
              <w:rPr>
                <w:rFonts w:ascii="宋体" w:hAnsi="宋体"/>
                <w:color w:val="000000"/>
                <w:szCs w:val="21"/>
              </w:rPr>
            </w:pPr>
            <w:r>
              <w:rPr>
                <w:rFonts w:ascii="宋体" w:hAnsi="宋体"/>
                <w:color w:val="000000"/>
                <w:szCs w:val="21"/>
              </w:rPr>
              <w:t>电  话</w:t>
            </w:r>
          </w:p>
        </w:tc>
        <w:tc>
          <w:tcPr>
            <w:tcW w:w="2706" w:type="dxa"/>
            <w:gridSpan w:val="3"/>
            <w:noWrap w:val="0"/>
            <w:vAlign w:val="center"/>
          </w:tcPr>
          <w:p w14:paraId="695C8733">
            <w:pPr>
              <w:spacing w:line="360" w:lineRule="auto"/>
              <w:jc w:val="center"/>
              <w:rPr>
                <w:rFonts w:ascii="宋体" w:hAnsi="宋体"/>
                <w:color w:val="000000"/>
                <w:szCs w:val="21"/>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ascii="宋体" w:hAnsi="宋体"/>
                <w:color w:val="000000"/>
                <w:szCs w:val="21"/>
              </w:rPr>
            </w:pPr>
          </w:p>
        </w:tc>
        <w:tc>
          <w:tcPr>
            <w:tcW w:w="897" w:type="dxa"/>
            <w:noWrap w:val="0"/>
            <w:vAlign w:val="center"/>
          </w:tcPr>
          <w:p w14:paraId="2C813A5A">
            <w:pPr>
              <w:spacing w:line="360" w:lineRule="auto"/>
              <w:jc w:val="center"/>
              <w:rPr>
                <w:rFonts w:ascii="宋体" w:hAnsi="宋体"/>
                <w:color w:val="000000"/>
                <w:szCs w:val="21"/>
              </w:rPr>
            </w:pPr>
            <w:r>
              <w:rPr>
                <w:rFonts w:ascii="宋体" w:hAnsi="宋体"/>
                <w:color w:val="000000"/>
                <w:szCs w:val="21"/>
              </w:rPr>
              <w:t>传  真</w:t>
            </w:r>
          </w:p>
        </w:tc>
        <w:tc>
          <w:tcPr>
            <w:tcW w:w="2492" w:type="dxa"/>
            <w:gridSpan w:val="3"/>
            <w:noWrap w:val="0"/>
            <w:vAlign w:val="center"/>
          </w:tcPr>
          <w:p w14:paraId="75DF499C">
            <w:pPr>
              <w:spacing w:line="360" w:lineRule="auto"/>
              <w:jc w:val="center"/>
              <w:rPr>
                <w:rFonts w:ascii="宋体" w:hAnsi="宋体"/>
                <w:color w:val="000000"/>
                <w:szCs w:val="21"/>
              </w:rPr>
            </w:pPr>
          </w:p>
        </w:tc>
        <w:tc>
          <w:tcPr>
            <w:tcW w:w="1246" w:type="dxa"/>
            <w:noWrap w:val="0"/>
            <w:vAlign w:val="center"/>
          </w:tcPr>
          <w:p w14:paraId="7039FC22">
            <w:pPr>
              <w:spacing w:line="360" w:lineRule="auto"/>
              <w:jc w:val="center"/>
              <w:rPr>
                <w:rFonts w:ascii="宋体" w:hAnsi="宋体"/>
                <w:color w:val="000000"/>
                <w:szCs w:val="21"/>
              </w:rPr>
            </w:pPr>
            <w:r>
              <w:rPr>
                <w:rFonts w:ascii="宋体" w:hAnsi="宋体"/>
                <w:color w:val="000000"/>
                <w:szCs w:val="21"/>
              </w:rPr>
              <w:t>网  址</w:t>
            </w:r>
          </w:p>
        </w:tc>
        <w:tc>
          <w:tcPr>
            <w:tcW w:w="2706" w:type="dxa"/>
            <w:gridSpan w:val="3"/>
            <w:noWrap w:val="0"/>
            <w:vAlign w:val="center"/>
          </w:tcPr>
          <w:p w14:paraId="3856B05B">
            <w:pPr>
              <w:spacing w:line="360" w:lineRule="auto"/>
              <w:jc w:val="center"/>
              <w:rPr>
                <w:rFonts w:ascii="宋体" w:hAnsi="宋体"/>
                <w:color w:val="000000"/>
                <w:szCs w:val="21"/>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ascii="宋体" w:hAnsi="宋体"/>
                <w:color w:val="000000"/>
                <w:szCs w:val="21"/>
              </w:rPr>
            </w:pPr>
            <w:r>
              <w:rPr>
                <w:rFonts w:hint="eastAsia" w:ascii="宋体" w:hAnsi="宋体"/>
                <w:color w:val="000000"/>
              </w:rPr>
              <w:t>统一社会信用代码</w:t>
            </w:r>
          </w:p>
        </w:tc>
        <w:tc>
          <w:tcPr>
            <w:tcW w:w="7341" w:type="dxa"/>
            <w:gridSpan w:val="8"/>
            <w:noWrap w:val="0"/>
            <w:vAlign w:val="center"/>
          </w:tcPr>
          <w:p w14:paraId="1AF04ADD">
            <w:pPr>
              <w:spacing w:line="360" w:lineRule="auto"/>
              <w:jc w:val="center"/>
              <w:rPr>
                <w:rFonts w:ascii="宋体" w:hAnsi="宋体"/>
                <w:color w:val="000000"/>
                <w:szCs w:val="21"/>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color w:val="000000"/>
                <w:szCs w:val="21"/>
              </w:rPr>
            </w:pPr>
            <w:r>
              <w:rPr>
                <w:rFonts w:hint="eastAsia" w:ascii="宋体" w:hAnsi="宋体"/>
                <w:color w:val="000000"/>
                <w:szCs w:val="21"/>
              </w:rPr>
              <w:t>法定代表人</w:t>
            </w:r>
          </w:p>
        </w:tc>
        <w:tc>
          <w:tcPr>
            <w:tcW w:w="897" w:type="dxa"/>
            <w:noWrap w:val="0"/>
            <w:vAlign w:val="center"/>
          </w:tcPr>
          <w:p w14:paraId="35639445">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40A8E408">
            <w:pPr>
              <w:spacing w:line="360" w:lineRule="auto"/>
              <w:jc w:val="center"/>
              <w:rPr>
                <w:rFonts w:ascii="宋体" w:hAnsi="宋体"/>
                <w:color w:val="000000"/>
                <w:szCs w:val="21"/>
              </w:rPr>
            </w:pPr>
          </w:p>
        </w:tc>
        <w:tc>
          <w:tcPr>
            <w:tcW w:w="1160" w:type="dxa"/>
            <w:noWrap w:val="0"/>
            <w:vAlign w:val="center"/>
          </w:tcPr>
          <w:p w14:paraId="60DA35B9">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38950F18">
            <w:pPr>
              <w:spacing w:line="360" w:lineRule="auto"/>
              <w:jc w:val="center"/>
              <w:rPr>
                <w:rFonts w:ascii="宋体" w:hAnsi="宋体"/>
                <w:color w:val="000000"/>
                <w:szCs w:val="21"/>
              </w:rPr>
            </w:pPr>
          </w:p>
        </w:tc>
        <w:tc>
          <w:tcPr>
            <w:tcW w:w="720" w:type="dxa"/>
            <w:noWrap w:val="0"/>
            <w:vAlign w:val="center"/>
          </w:tcPr>
          <w:p w14:paraId="3534AB1F">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3A27D06">
            <w:pPr>
              <w:spacing w:line="360" w:lineRule="auto"/>
              <w:jc w:val="center"/>
              <w:rPr>
                <w:rFonts w:ascii="宋体" w:hAnsi="宋体"/>
                <w:color w:val="000000"/>
                <w:szCs w:val="21"/>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ascii="宋体" w:hAnsi="宋体"/>
                <w:color w:val="000000"/>
                <w:szCs w:val="21"/>
              </w:rPr>
            </w:pPr>
            <w:r>
              <w:rPr>
                <w:rFonts w:ascii="宋体" w:hAnsi="宋体"/>
                <w:color w:val="000000"/>
                <w:szCs w:val="21"/>
              </w:rPr>
              <w:t>技术负责人</w:t>
            </w:r>
          </w:p>
        </w:tc>
        <w:tc>
          <w:tcPr>
            <w:tcW w:w="897" w:type="dxa"/>
            <w:noWrap w:val="0"/>
            <w:vAlign w:val="center"/>
          </w:tcPr>
          <w:p w14:paraId="73026BC3">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257B53AA">
            <w:pPr>
              <w:spacing w:line="360" w:lineRule="auto"/>
              <w:jc w:val="center"/>
              <w:rPr>
                <w:rFonts w:ascii="宋体" w:hAnsi="宋体"/>
                <w:color w:val="000000"/>
                <w:szCs w:val="21"/>
              </w:rPr>
            </w:pPr>
          </w:p>
        </w:tc>
        <w:tc>
          <w:tcPr>
            <w:tcW w:w="1160" w:type="dxa"/>
            <w:noWrap w:val="0"/>
            <w:vAlign w:val="center"/>
          </w:tcPr>
          <w:p w14:paraId="5D5BF137">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19BDCFB6">
            <w:pPr>
              <w:spacing w:line="360" w:lineRule="auto"/>
              <w:jc w:val="center"/>
              <w:rPr>
                <w:rFonts w:ascii="宋体" w:hAnsi="宋体"/>
                <w:color w:val="000000"/>
                <w:szCs w:val="21"/>
              </w:rPr>
            </w:pPr>
          </w:p>
        </w:tc>
        <w:tc>
          <w:tcPr>
            <w:tcW w:w="720" w:type="dxa"/>
            <w:noWrap w:val="0"/>
            <w:vAlign w:val="center"/>
          </w:tcPr>
          <w:p w14:paraId="2D968C89">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69F30EE">
            <w:pPr>
              <w:spacing w:line="360" w:lineRule="auto"/>
              <w:jc w:val="center"/>
              <w:rPr>
                <w:rFonts w:ascii="宋体" w:hAnsi="宋体"/>
                <w:color w:val="000000"/>
                <w:szCs w:val="21"/>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ascii="宋体" w:hAnsi="宋体"/>
                <w:color w:val="000000"/>
                <w:szCs w:val="21"/>
              </w:rPr>
            </w:pPr>
            <w:r>
              <w:rPr>
                <w:rFonts w:ascii="宋体" w:hAnsi="宋体"/>
                <w:color w:val="000000"/>
                <w:szCs w:val="21"/>
              </w:rPr>
              <w:t>成立时间</w:t>
            </w:r>
          </w:p>
        </w:tc>
        <w:tc>
          <w:tcPr>
            <w:tcW w:w="1918" w:type="dxa"/>
            <w:gridSpan w:val="2"/>
            <w:noWrap w:val="0"/>
            <w:vAlign w:val="center"/>
          </w:tcPr>
          <w:p w14:paraId="77F61CB2">
            <w:pPr>
              <w:spacing w:line="360" w:lineRule="auto"/>
              <w:jc w:val="center"/>
              <w:rPr>
                <w:rFonts w:ascii="宋体" w:hAnsi="宋体"/>
                <w:color w:val="000000"/>
                <w:szCs w:val="21"/>
              </w:rPr>
            </w:pPr>
          </w:p>
        </w:tc>
        <w:tc>
          <w:tcPr>
            <w:tcW w:w="5423" w:type="dxa"/>
            <w:gridSpan w:val="6"/>
            <w:noWrap w:val="0"/>
            <w:vAlign w:val="center"/>
          </w:tcPr>
          <w:p w14:paraId="4D4EC38E">
            <w:pPr>
              <w:spacing w:line="360" w:lineRule="auto"/>
              <w:jc w:val="center"/>
              <w:rPr>
                <w:rFonts w:ascii="宋体" w:hAnsi="宋体"/>
                <w:color w:val="000000"/>
                <w:szCs w:val="21"/>
              </w:rPr>
            </w:pPr>
            <w:r>
              <w:rPr>
                <w:rFonts w:ascii="宋体" w:hAnsi="宋体"/>
                <w:color w:val="000000"/>
                <w:szCs w:val="21"/>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ascii="宋体" w:hAnsi="宋体"/>
                <w:color w:val="000000"/>
                <w:szCs w:val="21"/>
              </w:rPr>
            </w:pPr>
            <w:r>
              <w:rPr>
                <w:rFonts w:ascii="宋体" w:hAnsi="宋体"/>
                <w:color w:val="000000"/>
                <w:szCs w:val="21"/>
              </w:rPr>
              <w:t>资质等级</w:t>
            </w:r>
          </w:p>
        </w:tc>
        <w:tc>
          <w:tcPr>
            <w:tcW w:w="1918" w:type="dxa"/>
            <w:gridSpan w:val="2"/>
            <w:noWrap w:val="0"/>
            <w:vAlign w:val="center"/>
          </w:tcPr>
          <w:p w14:paraId="548BD27D">
            <w:pPr>
              <w:spacing w:line="360" w:lineRule="auto"/>
              <w:jc w:val="center"/>
              <w:rPr>
                <w:rFonts w:ascii="宋体" w:hAnsi="宋体"/>
                <w:color w:val="000000"/>
                <w:szCs w:val="21"/>
              </w:rPr>
            </w:pPr>
          </w:p>
        </w:tc>
        <w:tc>
          <w:tcPr>
            <w:tcW w:w="1160" w:type="dxa"/>
            <w:vMerge w:val="restart"/>
            <w:noWrap w:val="0"/>
            <w:vAlign w:val="center"/>
          </w:tcPr>
          <w:p w14:paraId="295359D4">
            <w:pPr>
              <w:spacing w:line="360" w:lineRule="auto"/>
              <w:jc w:val="center"/>
              <w:rPr>
                <w:rFonts w:ascii="宋体" w:hAnsi="宋体"/>
                <w:color w:val="000000"/>
                <w:szCs w:val="21"/>
              </w:rPr>
            </w:pPr>
            <w:r>
              <w:rPr>
                <w:rFonts w:ascii="宋体" w:hAnsi="宋体"/>
                <w:color w:val="000000"/>
                <w:szCs w:val="21"/>
              </w:rPr>
              <w:t>其中</w:t>
            </w:r>
          </w:p>
        </w:tc>
        <w:tc>
          <w:tcPr>
            <w:tcW w:w="1620" w:type="dxa"/>
            <w:gridSpan w:val="3"/>
            <w:noWrap w:val="0"/>
            <w:vAlign w:val="center"/>
          </w:tcPr>
          <w:p w14:paraId="45B5CEBB">
            <w:pPr>
              <w:spacing w:line="360" w:lineRule="auto"/>
              <w:jc w:val="center"/>
              <w:rPr>
                <w:rFonts w:ascii="宋体" w:hAnsi="宋体"/>
                <w:color w:val="000000"/>
                <w:szCs w:val="21"/>
              </w:rPr>
            </w:pPr>
            <w:r>
              <w:rPr>
                <w:rFonts w:ascii="宋体" w:hAnsi="宋体"/>
                <w:color w:val="000000"/>
                <w:szCs w:val="21"/>
              </w:rPr>
              <w:t>项目经理</w:t>
            </w:r>
          </w:p>
        </w:tc>
        <w:tc>
          <w:tcPr>
            <w:tcW w:w="2643" w:type="dxa"/>
            <w:gridSpan w:val="2"/>
            <w:noWrap w:val="0"/>
            <w:vAlign w:val="center"/>
          </w:tcPr>
          <w:p w14:paraId="5F60C7A7">
            <w:pPr>
              <w:spacing w:line="360" w:lineRule="auto"/>
              <w:jc w:val="center"/>
              <w:rPr>
                <w:rFonts w:ascii="宋体" w:hAnsi="宋体"/>
                <w:color w:val="000000"/>
                <w:szCs w:val="21"/>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ascii="宋体" w:hAnsi="宋体"/>
                <w:color w:val="000000"/>
                <w:szCs w:val="21"/>
              </w:rPr>
            </w:pPr>
            <w:r>
              <w:rPr>
                <w:rFonts w:hint="eastAsia" w:ascii="宋体" w:hAnsi="宋体"/>
                <w:color w:val="000000"/>
                <w:szCs w:val="21"/>
              </w:rPr>
              <w:t>安全生产许可证</w:t>
            </w:r>
            <w:r>
              <w:rPr>
                <w:rFonts w:ascii="宋体" w:hAnsi="宋体"/>
                <w:color w:val="000000"/>
                <w:szCs w:val="21"/>
              </w:rPr>
              <w:t>号</w:t>
            </w:r>
          </w:p>
        </w:tc>
        <w:tc>
          <w:tcPr>
            <w:tcW w:w="1918" w:type="dxa"/>
            <w:gridSpan w:val="2"/>
            <w:noWrap w:val="0"/>
            <w:vAlign w:val="center"/>
          </w:tcPr>
          <w:p w14:paraId="739B38E3">
            <w:pPr>
              <w:spacing w:line="360" w:lineRule="auto"/>
              <w:jc w:val="center"/>
              <w:rPr>
                <w:rFonts w:ascii="宋体" w:hAnsi="宋体"/>
                <w:color w:val="000000"/>
                <w:szCs w:val="21"/>
              </w:rPr>
            </w:pPr>
          </w:p>
        </w:tc>
        <w:tc>
          <w:tcPr>
            <w:tcW w:w="1160" w:type="dxa"/>
            <w:vMerge w:val="continue"/>
            <w:noWrap w:val="0"/>
            <w:vAlign w:val="center"/>
          </w:tcPr>
          <w:p w14:paraId="5698A948">
            <w:pPr>
              <w:spacing w:line="360" w:lineRule="auto"/>
              <w:jc w:val="center"/>
              <w:rPr>
                <w:rFonts w:ascii="宋体" w:hAnsi="宋体"/>
                <w:color w:val="000000"/>
                <w:szCs w:val="21"/>
              </w:rPr>
            </w:pPr>
          </w:p>
        </w:tc>
        <w:tc>
          <w:tcPr>
            <w:tcW w:w="1620" w:type="dxa"/>
            <w:gridSpan w:val="3"/>
            <w:noWrap w:val="0"/>
            <w:vAlign w:val="center"/>
          </w:tcPr>
          <w:p w14:paraId="3C9AC1AC">
            <w:pPr>
              <w:spacing w:line="360" w:lineRule="auto"/>
              <w:jc w:val="center"/>
              <w:rPr>
                <w:rFonts w:ascii="宋体" w:hAnsi="宋体"/>
                <w:color w:val="000000"/>
                <w:szCs w:val="21"/>
              </w:rPr>
            </w:pPr>
            <w:r>
              <w:rPr>
                <w:rFonts w:ascii="宋体" w:hAnsi="宋体"/>
                <w:color w:val="000000"/>
                <w:szCs w:val="21"/>
              </w:rPr>
              <w:t>高级职称人员</w:t>
            </w:r>
          </w:p>
        </w:tc>
        <w:tc>
          <w:tcPr>
            <w:tcW w:w="2643" w:type="dxa"/>
            <w:gridSpan w:val="2"/>
            <w:noWrap w:val="0"/>
            <w:vAlign w:val="center"/>
          </w:tcPr>
          <w:p w14:paraId="1AEE92D2">
            <w:pPr>
              <w:spacing w:line="360" w:lineRule="auto"/>
              <w:jc w:val="center"/>
              <w:rPr>
                <w:rFonts w:ascii="宋体" w:hAnsi="宋体"/>
                <w:color w:val="000000"/>
                <w:szCs w:val="21"/>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ascii="宋体" w:hAnsi="宋体"/>
                <w:color w:val="000000"/>
                <w:szCs w:val="21"/>
              </w:rPr>
            </w:pPr>
            <w:r>
              <w:rPr>
                <w:rFonts w:ascii="宋体" w:hAnsi="宋体"/>
                <w:color w:val="000000"/>
                <w:szCs w:val="21"/>
              </w:rPr>
              <w:t>注册资金</w:t>
            </w:r>
          </w:p>
        </w:tc>
        <w:tc>
          <w:tcPr>
            <w:tcW w:w="1918" w:type="dxa"/>
            <w:gridSpan w:val="2"/>
            <w:noWrap w:val="0"/>
            <w:vAlign w:val="center"/>
          </w:tcPr>
          <w:p w14:paraId="14EF0D88">
            <w:pPr>
              <w:spacing w:line="360" w:lineRule="auto"/>
              <w:jc w:val="center"/>
              <w:rPr>
                <w:rFonts w:ascii="宋体" w:hAnsi="宋体"/>
                <w:color w:val="000000"/>
                <w:szCs w:val="21"/>
              </w:rPr>
            </w:pPr>
          </w:p>
        </w:tc>
        <w:tc>
          <w:tcPr>
            <w:tcW w:w="1160" w:type="dxa"/>
            <w:vMerge w:val="continue"/>
            <w:noWrap w:val="0"/>
            <w:vAlign w:val="center"/>
          </w:tcPr>
          <w:p w14:paraId="4636369E">
            <w:pPr>
              <w:spacing w:line="360" w:lineRule="auto"/>
              <w:jc w:val="center"/>
              <w:rPr>
                <w:rFonts w:ascii="宋体" w:hAnsi="宋体"/>
                <w:color w:val="000000"/>
                <w:szCs w:val="21"/>
              </w:rPr>
            </w:pPr>
          </w:p>
        </w:tc>
        <w:tc>
          <w:tcPr>
            <w:tcW w:w="1620" w:type="dxa"/>
            <w:gridSpan w:val="3"/>
            <w:noWrap w:val="0"/>
            <w:vAlign w:val="center"/>
          </w:tcPr>
          <w:p w14:paraId="1F396404">
            <w:pPr>
              <w:spacing w:line="360" w:lineRule="auto"/>
              <w:jc w:val="center"/>
              <w:rPr>
                <w:rFonts w:ascii="宋体" w:hAnsi="宋体"/>
                <w:color w:val="000000"/>
                <w:szCs w:val="21"/>
              </w:rPr>
            </w:pPr>
            <w:r>
              <w:rPr>
                <w:rFonts w:ascii="宋体" w:hAnsi="宋体"/>
                <w:color w:val="000000"/>
                <w:szCs w:val="21"/>
              </w:rPr>
              <w:t>中级职称人员</w:t>
            </w:r>
          </w:p>
        </w:tc>
        <w:tc>
          <w:tcPr>
            <w:tcW w:w="2643" w:type="dxa"/>
            <w:gridSpan w:val="2"/>
            <w:noWrap w:val="0"/>
            <w:vAlign w:val="center"/>
          </w:tcPr>
          <w:p w14:paraId="6C47F440">
            <w:pPr>
              <w:spacing w:line="360" w:lineRule="auto"/>
              <w:jc w:val="center"/>
              <w:rPr>
                <w:rFonts w:ascii="宋体" w:hAnsi="宋体"/>
                <w:color w:val="000000"/>
                <w:szCs w:val="21"/>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ascii="宋体" w:hAnsi="宋体"/>
                <w:color w:val="000000"/>
                <w:szCs w:val="21"/>
              </w:rPr>
            </w:pPr>
            <w:r>
              <w:rPr>
                <w:rFonts w:ascii="宋体" w:hAnsi="宋体"/>
                <w:color w:val="000000"/>
                <w:szCs w:val="21"/>
              </w:rPr>
              <w:t>开户银行</w:t>
            </w:r>
          </w:p>
        </w:tc>
        <w:tc>
          <w:tcPr>
            <w:tcW w:w="1918" w:type="dxa"/>
            <w:gridSpan w:val="2"/>
            <w:noWrap w:val="0"/>
            <w:vAlign w:val="center"/>
          </w:tcPr>
          <w:p w14:paraId="290C8F65">
            <w:pPr>
              <w:spacing w:line="360" w:lineRule="auto"/>
              <w:jc w:val="center"/>
              <w:rPr>
                <w:rFonts w:ascii="宋体" w:hAnsi="宋体"/>
                <w:color w:val="000000"/>
                <w:szCs w:val="21"/>
              </w:rPr>
            </w:pPr>
          </w:p>
        </w:tc>
        <w:tc>
          <w:tcPr>
            <w:tcW w:w="1160" w:type="dxa"/>
            <w:vMerge w:val="continue"/>
            <w:noWrap w:val="0"/>
            <w:vAlign w:val="center"/>
          </w:tcPr>
          <w:p w14:paraId="31CD85D6">
            <w:pPr>
              <w:spacing w:line="360" w:lineRule="auto"/>
              <w:jc w:val="center"/>
              <w:rPr>
                <w:rFonts w:ascii="宋体" w:hAnsi="宋体"/>
                <w:color w:val="000000"/>
                <w:szCs w:val="21"/>
              </w:rPr>
            </w:pPr>
          </w:p>
        </w:tc>
        <w:tc>
          <w:tcPr>
            <w:tcW w:w="1620" w:type="dxa"/>
            <w:gridSpan w:val="3"/>
            <w:noWrap w:val="0"/>
            <w:vAlign w:val="center"/>
          </w:tcPr>
          <w:p w14:paraId="07745B3D">
            <w:pPr>
              <w:spacing w:line="360" w:lineRule="auto"/>
              <w:jc w:val="center"/>
              <w:rPr>
                <w:rFonts w:ascii="宋体" w:hAnsi="宋体"/>
                <w:color w:val="000000"/>
                <w:szCs w:val="21"/>
              </w:rPr>
            </w:pPr>
            <w:r>
              <w:rPr>
                <w:rFonts w:ascii="宋体" w:hAnsi="宋体"/>
                <w:color w:val="000000"/>
                <w:szCs w:val="21"/>
              </w:rPr>
              <w:t>初级职称人员</w:t>
            </w:r>
          </w:p>
        </w:tc>
        <w:tc>
          <w:tcPr>
            <w:tcW w:w="2643" w:type="dxa"/>
            <w:gridSpan w:val="2"/>
            <w:noWrap w:val="0"/>
            <w:vAlign w:val="center"/>
          </w:tcPr>
          <w:p w14:paraId="30B530C4">
            <w:pPr>
              <w:spacing w:line="360" w:lineRule="auto"/>
              <w:jc w:val="center"/>
              <w:rPr>
                <w:rFonts w:ascii="宋体" w:hAnsi="宋体"/>
                <w:color w:val="000000"/>
                <w:szCs w:val="21"/>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ascii="宋体" w:hAnsi="宋体"/>
                <w:color w:val="000000"/>
                <w:szCs w:val="21"/>
              </w:rPr>
            </w:pPr>
            <w:r>
              <w:rPr>
                <w:rFonts w:ascii="宋体" w:hAnsi="宋体"/>
                <w:color w:val="000000"/>
                <w:szCs w:val="21"/>
              </w:rPr>
              <w:t>账号</w:t>
            </w:r>
          </w:p>
        </w:tc>
        <w:tc>
          <w:tcPr>
            <w:tcW w:w="1918" w:type="dxa"/>
            <w:gridSpan w:val="2"/>
            <w:noWrap w:val="0"/>
            <w:vAlign w:val="center"/>
          </w:tcPr>
          <w:p w14:paraId="0B1B108E">
            <w:pPr>
              <w:spacing w:line="360" w:lineRule="auto"/>
              <w:jc w:val="center"/>
              <w:rPr>
                <w:rFonts w:ascii="宋体" w:hAnsi="宋体"/>
                <w:color w:val="000000"/>
                <w:szCs w:val="21"/>
              </w:rPr>
            </w:pPr>
          </w:p>
        </w:tc>
        <w:tc>
          <w:tcPr>
            <w:tcW w:w="1160" w:type="dxa"/>
            <w:vMerge w:val="continue"/>
            <w:noWrap w:val="0"/>
            <w:vAlign w:val="center"/>
          </w:tcPr>
          <w:p w14:paraId="6130CAA9">
            <w:pPr>
              <w:spacing w:line="360" w:lineRule="auto"/>
              <w:jc w:val="center"/>
              <w:rPr>
                <w:rFonts w:ascii="宋体" w:hAnsi="宋体"/>
                <w:color w:val="000000"/>
                <w:szCs w:val="21"/>
              </w:rPr>
            </w:pPr>
          </w:p>
        </w:tc>
        <w:tc>
          <w:tcPr>
            <w:tcW w:w="1620" w:type="dxa"/>
            <w:gridSpan w:val="3"/>
            <w:noWrap w:val="0"/>
            <w:vAlign w:val="center"/>
          </w:tcPr>
          <w:p w14:paraId="3B23629D">
            <w:pPr>
              <w:spacing w:line="360" w:lineRule="auto"/>
              <w:jc w:val="center"/>
              <w:rPr>
                <w:rFonts w:ascii="宋体" w:hAnsi="宋体"/>
                <w:color w:val="000000"/>
                <w:szCs w:val="21"/>
              </w:rPr>
            </w:pPr>
            <w:r>
              <w:rPr>
                <w:rFonts w:ascii="宋体" w:hAnsi="宋体"/>
                <w:color w:val="000000"/>
                <w:szCs w:val="21"/>
              </w:rPr>
              <w:t>技  工</w:t>
            </w:r>
          </w:p>
        </w:tc>
        <w:tc>
          <w:tcPr>
            <w:tcW w:w="2643" w:type="dxa"/>
            <w:gridSpan w:val="2"/>
            <w:noWrap w:val="0"/>
            <w:vAlign w:val="center"/>
          </w:tcPr>
          <w:p w14:paraId="7A05B9AF">
            <w:pPr>
              <w:spacing w:line="360" w:lineRule="auto"/>
              <w:jc w:val="center"/>
              <w:rPr>
                <w:rFonts w:ascii="宋体" w:hAnsi="宋体"/>
                <w:color w:val="000000"/>
                <w:szCs w:val="21"/>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ascii="宋体" w:hAnsi="宋体"/>
                <w:color w:val="000000"/>
                <w:szCs w:val="21"/>
              </w:rPr>
            </w:pPr>
            <w:r>
              <w:rPr>
                <w:rFonts w:ascii="宋体" w:hAnsi="宋体"/>
                <w:color w:val="000000"/>
                <w:szCs w:val="21"/>
              </w:rPr>
              <w:t>经营范围</w:t>
            </w:r>
          </w:p>
        </w:tc>
        <w:tc>
          <w:tcPr>
            <w:tcW w:w="7341" w:type="dxa"/>
            <w:gridSpan w:val="8"/>
            <w:noWrap w:val="0"/>
            <w:vAlign w:val="center"/>
          </w:tcPr>
          <w:p w14:paraId="6CE7A54A">
            <w:pPr>
              <w:spacing w:line="360" w:lineRule="auto"/>
              <w:jc w:val="center"/>
              <w:rPr>
                <w:rFonts w:ascii="宋体" w:hAnsi="宋体"/>
                <w:color w:val="000000"/>
                <w:szCs w:val="21"/>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ascii="宋体" w:hAnsi="宋体"/>
                <w:color w:val="000000"/>
                <w:szCs w:val="21"/>
              </w:rPr>
            </w:pPr>
            <w:r>
              <w:rPr>
                <w:rFonts w:ascii="宋体" w:hAnsi="宋体"/>
                <w:color w:val="000000"/>
                <w:szCs w:val="21"/>
              </w:rPr>
              <w:t>备注</w:t>
            </w:r>
          </w:p>
        </w:tc>
        <w:tc>
          <w:tcPr>
            <w:tcW w:w="7341" w:type="dxa"/>
            <w:gridSpan w:val="8"/>
            <w:noWrap w:val="0"/>
            <w:vAlign w:val="center"/>
          </w:tcPr>
          <w:p w14:paraId="74478BF3">
            <w:pPr>
              <w:spacing w:line="360" w:lineRule="auto"/>
              <w:jc w:val="center"/>
              <w:rPr>
                <w:rFonts w:ascii="宋体" w:hAnsi="宋体"/>
                <w:color w:val="000000"/>
                <w:szCs w:val="21"/>
              </w:rPr>
            </w:pPr>
          </w:p>
        </w:tc>
      </w:tr>
    </w:tbl>
    <w:p w14:paraId="50989095">
      <w:pPr>
        <w:pStyle w:val="11"/>
        <w:rPr>
          <w:color w:val="000000"/>
        </w:rPr>
      </w:pPr>
      <w:r>
        <w:rPr>
          <w:color w:val="000000"/>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楷体_GB2312"/>
          <w:color w:val="000000"/>
        </w:rPr>
      </w:pPr>
    </w:p>
    <w:p w14:paraId="13C4E975">
      <w:pPr>
        <w:keepNext/>
        <w:keepLines/>
        <w:widowControl w:val="0"/>
        <w:spacing w:before="280" w:after="290" w:line="376" w:lineRule="auto"/>
        <w:jc w:val="both"/>
        <w:outlineLvl w:val="9"/>
        <w:rPr>
          <w:rFonts w:hint="eastAsia" w:ascii="宋体" w:hAnsi="宋体" w:eastAsia="楷体_GB2312" w:cs="Times New Roman"/>
          <w:b w:val="0"/>
          <w:bCs w:val="0"/>
          <w:color w:val="000000"/>
          <w:kern w:val="2"/>
          <w:sz w:val="21"/>
          <w:szCs w:val="24"/>
          <w:lang w:val="en-US" w:eastAsia="zh-CN" w:bidi="ar-SA"/>
        </w:rPr>
      </w:pPr>
    </w:p>
    <w:p w14:paraId="635622BD">
      <w:pPr>
        <w:rPr>
          <w:rFonts w:hint="eastAsia" w:ascii="宋体" w:hAnsi="宋体" w:eastAsia="楷体_GB2312"/>
          <w:b/>
          <w:bCs/>
          <w:color w:val="000000"/>
        </w:rPr>
      </w:pPr>
    </w:p>
    <w:p w14:paraId="05708A60">
      <w:pPr>
        <w:rPr>
          <w:rFonts w:hint="eastAsia" w:ascii="宋体" w:hAnsi="宋体" w:eastAsia="楷体_GB2312"/>
          <w:b/>
          <w:bCs/>
          <w:color w:val="000000"/>
        </w:rPr>
      </w:pPr>
    </w:p>
    <w:p w14:paraId="563D3653">
      <w:pPr>
        <w:rPr>
          <w:rFonts w:hint="eastAsia" w:ascii="宋体" w:hAnsi="宋体" w:eastAsia="楷体_GB2312"/>
          <w:b/>
          <w:bCs/>
          <w:color w:val="000000"/>
        </w:rPr>
      </w:pPr>
    </w:p>
    <w:p w14:paraId="57A09879">
      <w:pPr>
        <w:pStyle w:val="2"/>
        <w:numPr>
          <w:ilvl w:val="0"/>
          <w:numId w:val="52"/>
        </w:numPr>
        <w:tabs>
          <w:tab w:val="clear" w:pos="482"/>
        </w:tabs>
        <w:bidi w:val="0"/>
        <w:ind w:left="0" w:leftChars="0" w:firstLine="480" w:firstLineChars="0"/>
      </w:pPr>
      <w:r>
        <w:t>建设工程项目管理承诺书</w:t>
      </w:r>
    </w:p>
    <w:p w14:paraId="05B4E0F0">
      <w:pPr>
        <w:pStyle w:val="43"/>
        <w:outlineLvl w:val="1"/>
      </w:pPr>
      <w:r>
        <w:t>建设工程项目管理承诺书</w:t>
      </w:r>
    </w:p>
    <w:p w14:paraId="698059D8">
      <w:pPr>
        <w:pStyle w:val="11"/>
        <w:ind w:firstLine="0" w:firstLineChars="0"/>
        <w:rPr>
          <w:color w:val="000000"/>
        </w:rPr>
      </w:pPr>
      <w:r>
        <w:rPr>
          <w:color w:val="000000"/>
        </w:rPr>
        <w:t>致</w:t>
      </w:r>
      <w:r>
        <w:rPr>
          <w:color w:val="000000"/>
          <w:u w:val="single"/>
        </w:rPr>
        <w:t xml:space="preserve">                        </w:t>
      </w:r>
      <w:r>
        <w:rPr>
          <w:color w:val="000000"/>
        </w:rPr>
        <w:t>（采购单位名称）：</w:t>
      </w:r>
    </w:p>
    <w:p w14:paraId="230F7531">
      <w:pPr>
        <w:pStyle w:val="11"/>
        <w:rPr>
          <w:color w:val="000000"/>
        </w:rPr>
      </w:pPr>
      <w:r>
        <w:rPr>
          <w:color w:val="000000"/>
        </w:rPr>
        <w:t>作为参与</w:t>
      </w:r>
      <w:r>
        <w:rPr>
          <w:color w:val="000000"/>
          <w:u w:val="single"/>
        </w:rPr>
        <w:t>                  </w:t>
      </w:r>
      <w:r>
        <w:rPr>
          <w:color w:val="000000"/>
        </w:rPr>
        <w:t>（工程名称）项目的磋商单位，根据国家、自治区相关文件规定，我方在此向采购单位承诺：</w:t>
      </w:r>
    </w:p>
    <w:p w14:paraId="51B48427">
      <w:pPr>
        <w:pStyle w:val="11"/>
        <w:numPr>
          <w:ilvl w:val="0"/>
          <w:numId w:val="53"/>
        </w:numPr>
        <w:topLinePunct w:val="0"/>
        <w:ind w:left="0" w:leftChars="0" w:firstLine="480" w:firstLineChars="0"/>
        <w:rPr>
          <w:b w:val="0"/>
          <w:color w:val="000000"/>
        </w:rPr>
      </w:pPr>
      <w:r>
        <w:rPr>
          <w:color w:val="000000"/>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11"/>
        <w:numPr>
          <w:ilvl w:val="0"/>
          <w:numId w:val="53"/>
        </w:numPr>
        <w:topLinePunct w:val="0"/>
        <w:ind w:left="0" w:leftChars="0" w:firstLine="480" w:firstLineChars="0"/>
        <w:rPr>
          <w:b w:val="0"/>
          <w:color w:val="000000"/>
        </w:rPr>
      </w:pPr>
      <w:r>
        <w:rPr>
          <w:color w:val="000000"/>
        </w:rPr>
        <w:t>一旦成交，我方保证在施工过程中，严格执行《广西壮族自治区建设工程安全文明施工费使用管理细则》（</w:t>
      </w:r>
      <w:bookmarkStart w:id="56" w:name="OLE_LINK19"/>
      <w:r>
        <w:rPr>
          <w:color w:val="000000"/>
        </w:rPr>
        <w:t>桂建质【2015】16号</w:t>
      </w:r>
      <w:bookmarkEnd w:id="56"/>
      <w:r>
        <w:rPr>
          <w:color w:val="000000"/>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449" w:firstLineChars="214"/>
        <w:jc w:val="left"/>
        <w:rPr>
          <w:rFonts w:ascii="宋体" w:hAnsi="宋体"/>
          <w:color w:val="000000"/>
        </w:rPr>
      </w:pPr>
    </w:p>
    <w:p w14:paraId="0380883D">
      <w:pPr>
        <w:spacing w:line="360" w:lineRule="auto"/>
        <w:jc w:val="left"/>
        <w:rPr>
          <w:rFonts w:ascii="宋体" w:hAnsi="宋体"/>
          <w:color w:val="000000"/>
        </w:rPr>
      </w:pPr>
    </w:p>
    <w:p w14:paraId="05371E8F">
      <w:pPr>
        <w:spacing w:line="360" w:lineRule="auto"/>
        <w:jc w:val="left"/>
        <w:rPr>
          <w:rFonts w:ascii="宋体" w:hAnsi="宋体"/>
          <w:color w:val="000000"/>
        </w:rPr>
      </w:pPr>
    </w:p>
    <w:p w14:paraId="0C1FF902">
      <w:pPr>
        <w:spacing w:line="360" w:lineRule="auto"/>
        <w:ind w:firstLine="3564" w:firstLineChars="1485"/>
        <w:jc w:val="left"/>
        <w:rPr>
          <w:rFonts w:ascii="Times New Roman" w:hAnsi="Times New Roman" w:eastAsia="宋体" w:cs="Times New Roman"/>
          <w:color w:val="000000"/>
          <w:sz w:val="24"/>
          <w:u w:val="single"/>
        </w:rPr>
      </w:pPr>
      <w:r>
        <w:rPr>
          <w:rFonts w:ascii="Times New Roman" w:hAnsi="Times New Roman" w:eastAsia="宋体" w:cs="Times New Roman"/>
          <w:color w:val="000000"/>
          <w:sz w:val="24"/>
        </w:rPr>
        <w:t>供应商：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44F457FE">
      <w:pPr>
        <w:spacing w:line="360" w:lineRule="auto"/>
        <w:ind w:firstLine="1260" w:firstLineChars="600"/>
        <w:jc w:val="left"/>
        <w:rPr>
          <w:rFonts w:ascii="宋体" w:hAnsi="宋体"/>
          <w:color w:val="000000"/>
        </w:rPr>
      </w:pPr>
    </w:p>
    <w:p w14:paraId="5C211D3D">
      <w:pPr>
        <w:spacing w:line="360" w:lineRule="auto"/>
        <w:ind w:firstLine="2280" w:firstLineChars="95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或授权代理人：</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（签字或盖章）</w:t>
      </w:r>
    </w:p>
    <w:p w14:paraId="6EFFDA85">
      <w:pPr>
        <w:spacing w:line="360" w:lineRule="auto"/>
        <w:ind w:firstLine="1260" w:firstLineChars="600"/>
        <w:jc w:val="left"/>
        <w:rPr>
          <w:rFonts w:ascii="宋体" w:hAnsi="宋体"/>
          <w:color w:val="000000"/>
        </w:rPr>
      </w:pPr>
    </w:p>
    <w:p w14:paraId="6804DC56">
      <w:pPr>
        <w:spacing w:line="360" w:lineRule="auto"/>
        <w:ind w:left="420" w:firstLine="3084" w:firstLineChars="1285"/>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4982392D">
      <w:pPr>
        <w:spacing w:line="360" w:lineRule="auto"/>
        <w:ind w:left="420"/>
        <w:rPr>
          <w:rFonts w:hint="eastAsia" w:ascii="宋体" w:hAnsi="宋体"/>
          <w:color w:val="000000"/>
          <w:szCs w:val="21"/>
        </w:rPr>
      </w:pPr>
    </w:p>
    <w:p w14:paraId="24B04E31">
      <w:pPr>
        <w:spacing w:line="360" w:lineRule="auto"/>
        <w:ind w:left="420"/>
        <w:rPr>
          <w:rFonts w:hint="eastAsia" w:ascii="宋体" w:hAnsi="宋体"/>
          <w:color w:val="000000"/>
          <w:szCs w:val="21"/>
        </w:rPr>
      </w:pPr>
    </w:p>
    <w:p w14:paraId="60596019">
      <w:pPr>
        <w:spacing w:line="360" w:lineRule="auto"/>
        <w:ind w:left="420"/>
        <w:rPr>
          <w:rFonts w:hint="eastAsia" w:ascii="宋体" w:hAnsi="宋体"/>
          <w:b/>
          <w:color w:val="000000"/>
          <w:sz w:val="24"/>
        </w:rPr>
      </w:pPr>
    </w:p>
    <w:p w14:paraId="3A751FB0">
      <w:pPr>
        <w:spacing w:line="360" w:lineRule="auto"/>
        <w:ind w:left="420"/>
        <w:rPr>
          <w:rFonts w:hint="eastAsia" w:ascii="宋体" w:hAnsi="宋体"/>
          <w:b/>
          <w:color w:val="000000"/>
          <w:sz w:val="24"/>
        </w:rPr>
      </w:pPr>
    </w:p>
    <w:p w14:paraId="7235EA2A">
      <w:pPr>
        <w:spacing w:line="360" w:lineRule="auto"/>
        <w:ind w:left="420"/>
        <w:rPr>
          <w:rFonts w:hint="eastAsia" w:ascii="宋体" w:hAnsi="宋体"/>
          <w:b/>
          <w:color w:val="000000"/>
          <w:sz w:val="24"/>
        </w:rPr>
      </w:pPr>
    </w:p>
    <w:p w14:paraId="396F5282">
      <w:pPr>
        <w:spacing w:line="360" w:lineRule="auto"/>
        <w:ind w:left="420"/>
        <w:rPr>
          <w:rFonts w:hint="eastAsia" w:ascii="宋体" w:hAnsi="宋体"/>
          <w:b/>
          <w:color w:val="000000"/>
          <w:sz w:val="24"/>
        </w:rPr>
      </w:pPr>
    </w:p>
    <w:p w14:paraId="2E6FA367">
      <w:pPr>
        <w:spacing w:line="360" w:lineRule="auto"/>
        <w:ind w:left="420"/>
        <w:rPr>
          <w:rFonts w:hint="eastAsia" w:ascii="宋体" w:hAnsi="宋体"/>
          <w:b/>
          <w:color w:val="000000"/>
          <w:sz w:val="24"/>
        </w:rPr>
      </w:pPr>
    </w:p>
    <w:p w14:paraId="50DE5183">
      <w:pPr>
        <w:spacing w:line="360" w:lineRule="auto"/>
        <w:ind w:left="420"/>
        <w:rPr>
          <w:rFonts w:hint="eastAsia" w:ascii="宋体" w:hAnsi="宋体"/>
          <w:b/>
          <w:color w:val="000000"/>
          <w:sz w:val="24"/>
        </w:rPr>
      </w:pPr>
    </w:p>
    <w:p w14:paraId="29C282E1">
      <w:pPr>
        <w:spacing w:line="360" w:lineRule="auto"/>
        <w:ind w:left="420"/>
        <w:rPr>
          <w:rFonts w:hint="eastAsia" w:ascii="宋体" w:hAnsi="宋体"/>
          <w:b/>
          <w:color w:val="000000"/>
          <w:sz w:val="24"/>
        </w:rPr>
      </w:pPr>
    </w:p>
    <w:p w14:paraId="55981ECC">
      <w:pPr>
        <w:spacing w:line="360" w:lineRule="auto"/>
        <w:ind w:firstLine="602" w:firstLineChars="250"/>
        <w:jc w:val="center"/>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广西壮族自治区建筑工程安全文明施工措施项目清单内容</w:t>
      </w:r>
    </w:p>
    <w:p w14:paraId="21904CA6">
      <w:pPr>
        <w:pStyle w:val="30"/>
        <w:spacing w:line="360" w:lineRule="auto"/>
        <w:jc w:val="center"/>
        <w:rPr>
          <w:rFonts w:ascii="宋体" w:hAnsi="宋体"/>
          <w:color w:val="000000"/>
        </w:rPr>
      </w:pPr>
      <w:r>
        <w:rPr>
          <w:rFonts w:ascii="宋体" w:hAnsi="宋体"/>
          <w:color w:val="000000"/>
          <w:sz w:val="24"/>
        </w:rPr>
        <w:t>（</w:t>
      </w:r>
      <w:r>
        <w:rPr>
          <w:rFonts w:hint="eastAsia" w:ascii="宋体" w:hAnsi="宋体"/>
          <w:color w:val="000000"/>
          <w:sz w:val="24"/>
        </w:rPr>
        <w:t>桂建质【</w:t>
      </w:r>
      <w:r>
        <w:rPr>
          <w:rFonts w:ascii="宋体" w:hAnsi="宋体"/>
          <w:color w:val="000000"/>
          <w:sz w:val="24"/>
        </w:rPr>
        <w:t>2015</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号</w:t>
      </w:r>
      <w:r>
        <w:rPr>
          <w:rFonts w:ascii="宋体" w:hAnsi="宋体"/>
          <w:color w:val="000000"/>
          <w:sz w:val="24"/>
        </w:rPr>
        <w:t>文附件一）</w:t>
      </w:r>
    </w:p>
    <w:p w14:paraId="38EB7FC1">
      <w:pPr>
        <w:pStyle w:val="43"/>
        <w:outlineLvl w:val="9"/>
      </w:pPr>
      <w:r>
        <w:t>广西壮族自治区</w:t>
      </w:r>
    </w:p>
    <w:p w14:paraId="11EFEA81">
      <w:pPr>
        <w:pStyle w:val="43"/>
        <w:outlineLvl w:val="9"/>
      </w:pPr>
      <w:r>
        <w:t>建设工程安全文明施工措施项目清单内容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DB493B">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0A6BABC3">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1"/>
              <w:spacing w:line="360" w:lineRule="auto"/>
              <w:jc w:val="center"/>
              <w:rPr>
                <w:rFonts w:ascii="宋体" w:hAnsi="宋体"/>
                <w:color w:val="000000"/>
                <w:szCs w:val="21"/>
              </w:rPr>
            </w:pPr>
            <w:r>
              <w:rPr>
                <w:rFonts w:hint="eastAsia" w:ascii="宋体" w:hAnsi="宋体"/>
                <w:color w:val="000000"/>
                <w:szCs w:val="21"/>
              </w:rPr>
              <w:t>文明</w:t>
            </w:r>
          </w:p>
          <w:p w14:paraId="7B51E17F">
            <w:pPr>
              <w:pStyle w:val="31"/>
              <w:spacing w:line="360" w:lineRule="auto"/>
              <w:jc w:val="center"/>
              <w:rPr>
                <w:rFonts w:ascii="宋体" w:hAnsi="宋体"/>
                <w:color w:val="000000"/>
                <w:szCs w:val="21"/>
              </w:rPr>
            </w:pPr>
            <w:r>
              <w:rPr>
                <w:rFonts w:hint="eastAsia" w:ascii="宋体" w:hAnsi="宋体"/>
                <w:color w:val="000000"/>
                <w:szCs w:val="21"/>
              </w:rPr>
              <w:t>施工</w:t>
            </w:r>
          </w:p>
          <w:p w14:paraId="510990CA">
            <w:pPr>
              <w:pStyle w:val="31"/>
              <w:spacing w:line="360" w:lineRule="auto"/>
              <w:jc w:val="center"/>
              <w:rPr>
                <w:rFonts w:ascii="宋体" w:hAnsi="宋体"/>
                <w:color w:val="000000"/>
                <w:szCs w:val="21"/>
              </w:rPr>
            </w:pPr>
            <w:r>
              <w:rPr>
                <w:rFonts w:hint="eastAsia" w:ascii="宋体" w:hAnsi="宋体"/>
                <w:color w:val="000000"/>
                <w:szCs w:val="21"/>
              </w:rPr>
              <w:t>与</w:t>
            </w:r>
          </w:p>
          <w:p w14:paraId="25B86DC7">
            <w:pPr>
              <w:pStyle w:val="31"/>
              <w:spacing w:line="360" w:lineRule="auto"/>
              <w:jc w:val="center"/>
              <w:rPr>
                <w:rFonts w:ascii="宋体" w:hAnsi="宋体"/>
                <w:color w:val="000000"/>
                <w:szCs w:val="21"/>
              </w:rPr>
            </w:pPr>
            <w:r>
              <w:rPr>
                <w:rFonts w:hint="eastAsia" w:ascii="宋体" w:hAnsi="宋体"/>
                <w:color w:val="000000"/>
                <w:szCs w:val="21"/>
              </w:rPr>
              <w:t>环境</w:t>
            </w:r>
          </w:p>
          <w:p w14:paraId="3E4B590F">
            <w:pPr>
              <w:pStyle w:val="31"/>
              <w:spacing w:line="360" w:lineRule="auto"/>
              <w:jc w:val="center"/>
              <w:rPr>
                <w:rFonts w:ascii="宋体" w:hAnsi="宋体"/>
                <w:color w:val="000000"/>
                <w:szCs w:val="21"/>
              </w:rPr>
            </w:pPr>
            <w:r>
              <w:rPr>
                <w:rFonts w:hint="eastAsia" w:ascii="宋体" w:hAnsi="宋体"/>
                <w:color w:val="000000"/>
                <w:szCs w:val="21"/>
              </w:rPr>
              <w:t>保护</w:t>
            </w:r>
          </w:p>
        </w:tc>
        <w:tc>
          <w:tcPr>
            <w:tcW w:w="2070" w:type="dxa"/>
            <w:gridSpan w:val="2"/>
            <w:noWrap w:val="0"/>
            <w:vAlign w:val="center"/>
          </w:tcPr>
          <w:p w14:paraId="01AF696D">
            <w:pPr>
              <w:pStyle w:val="31"/>
              <w:spacing w:line="360" w:lineRule="auto"/>
              <w:jc w:val="center"/>
              <w:rPr>
                <w:rFonts w:ascii="宋体" w:hAnsi="宋体"/>
                <w:color w:val="000000"/>
                <w:szCs w:val="21"/>
              </w:rPr>
            </w:pPr>
            <w:r>
              <w:rPr>
                <w:rFonts w:hint="eastAsia" w:ascii="宋体" w:hAnsi="宋体"/>
                <w:color w:val="000000"/>
                <w:szCs w:val="21"/>
              </w:rPr>
              <w:t>安全警示</w:t>
            </w:r>
          </w:p>
          <w:p w14:paraId="399F878D">
            <w:pPr>
              <w:pStyle w:val="31"/>
              <w:spacing w:line="360" w:lineRule="auto"/>
              <w:jc w:val="center"/>
              <w:rPr>
                <w:rFonts w:ascii="宋体" w:hAnsi="宋体"/>
                <w:color w:val="000000"/>
                <w:szCs w:val="21"/>
              </w:rPr>
            </w:pPr>
            <w:r>
              <w:rPr>
                <w:rFonts w:hint="eastAsia" w:ascii="宋体" w:hAnsi="宋体"/>
                <w:color w:val="000000"/>
                <w:szCs w:val="21"/>
              </w:rPr>
              <w:t>标志牌</w:t>
            </w:r>
          </w:p>
        </w:tc>
        <w:tc>
          <w:tcPr>
            <w:tcW w:w="6645" w:type="dxa"/>
            <w:noWrap w:val="0"/>
            <w:vAlign w:val="center"/>
          </w:tcPr>
          <w:p w14:paraId="46810E87">
            <w:pPr>
              <w:pStyle w:val="31"/>
              <w:spacing w:line="360" w:lineRule="auto"/>
              <w:rPr>
                <w:rFonts w:ascii="宋体" w:hAnsi="宋体"/>
                <w:color w:val="000000"/>
                <w:szCs w:val="21"/>
              </w:rPr>
            </w:pPr>
            <w:r>
              <w:rPr>
                <w:rFonts w:hint="eastAsia" w:ascii="宋体" w:hAnsi="宋体"/>
                <w:color w:val="000000"/>
                <w:szCs w:val="21"/>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1"/>
              <w:spacing w:line="360" w:lineRule="auto"/>
              <w:jc w:val="center"/>
              <w:rPr>
                <w:rFonts w:ascii="宋体" w:hAnsi="宋体"/>
                <w:color w:val="000000"/>
                <w:szCs w:val="21"/>
              </w:rPr>
            </w:pPr>
          </w:p>
        </w:tc>
        <w:tc>
          <w:tcPr>
            <w:tcW w:w="2070" w:type="dxa"/>
            <w:gridSpan w:val="2"/>
            <w:noWrap w:val="0"/>
            <w:vAlign w:val="center"/>
          </w:tcPr>
          <w:p w14:paraId="0BCE5373">
            <w:pPr>
              <w:pStyle w:val="31"/>
              <w:spacing w:line="360" w:lineRule="auto"/>
              <w:jc w:val="center"/>
              <w:rPr>
                <w:rFonts w:ascii="宋体" w:hAnsi="宋体"/>
                <w:color w:val="000000"/>
                <w:szCs w:val="21"/>
              </w:rPr>
            </w:pPr>
            <w:r>
              <w:rPr>
                <w:rFonts w:hint="eastAsia" w:ascii="宋体" w:hAnsi="宋体"/>
                <w:color w:val="000000"/>
                <w:szCs w:val="21"/>
              </w:rPr>
              <w:t>现场围挡</w:t>
            </w:r>
          </w:p>
        </w:tc>
        <w:tc>
          <w:tcPr>
            <w:tcW w:w="6645" w:type="dxa"/>
            <w:noWrap w:val="0"/>
            <w:vAlign w:val="center"/>
          </w:tcPr>
          <w:p w14:paraId="3B0CDF93">
            <w:pPr>
              <w:pStyle w:val="31"/>
              <w:spacing w:line="360" w:lineRule="auto"/>
              <w:rPr>
                <w:rFonts w:ascii="宋体" w:hAnsi="宋体"/>
                <w:color w:val="000000"/>
                <w:szCs w:val="21"/>
              </w:rPr>
            </w:pPr>
            <w:r>
              <w:rPr>
                <w:rFonts w:hint="eastAsia" w:ascii="宋体" w:hAnsi="宋体"/>
                <w:color w:val="000000"/>
                <w:szCs w:val="21"/>
              </w:rPr>
              <w:t>1. 现场采用封闭围挡，高度不小于1.8m。</w:t>
            </w:r>
          </w:p>
          <w:p w14:paraId="44012720">
            <w:pPr>
              <w:pStyle w:val="31"/>
              <w:spacing w:line="360" w:lineRule="auto"/>
              <w:rPr>
                <w:rFonts w:ascii="宋体" w:hAnsi="宋体"/>
                <w:color w:val="000000"/>
                <w:szCs w:val="21"/>
              </w:rPr>
            </w:pPr>
            <w:r>
              <w:rPr>
                <w:rFonts w:hint="eastAsia" w:ascii="宋体" w:hAnsi="宋体"/>
                <w:color w:val="000000"/>
                <w:szCs w:val="21"/>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1"/>
              <w:spacing w:line="360" w:lineRule="auto"/>
              <w:jc w:val="center"/>
              <w:rPr>
                <w:rFonts w:ascii="宋体" w:hAnsi="宋体"/>
                <w:color w:val="000000"/>
                <w:szCs w:val="21"/>
              </w:rPr>
            </w:pPr>
          </w:p>
        </w:tc>
        <w:tc>
          <w:tcPr>
            <w:tcW w:w="2070" w:type="dxa"/>
            <w:gridSpan w:val="2"/>
            <w:noWrap w:val="0"/>
            <w:vAlign w:val="center"/>
          </w:tcPr>
          <w:p w14:paraId="791501F2">
            <w:pPr>
              <w:pStyle w:val="31"/>
              <w:spacing w:line="360" w:lineRule="auto"/>
              <w:jc w:val="center"/>
              <w:rPr>
                <w:rFonts w:ascii="宋体" w:hAnsi="宋体"/>
                <w:color w:val="000000"/>
                <w:szCs w:val="21"/>
              </w:rPr>
            </w:pPr>
            <w:r>
              <w:rPr>
                <w:rFonts w:hint="eastAsia" w:ascii="宋体" w:hAnsi="宋体"/>
                <w:color w:val="000000"/>
                <w:szCs w:val="21"/>
              </w:rPr>
              <w:t>七牌二图</w:t>
            </w:r>
          </w:p>
        </w:tc>
        <w:tc>
          <w:tcPr>
            <w:tcW w:w="6645" w:type="dxa"/>
            <w:noWrap w:val="0"/>
            <w:vAlign w:val="center"/>
          </w:tcPr>
          <w:p w14:paraId="29A8CA0D">
            <w:pPr>
              <w:pStyle w:val="31"/>
              <w:spacing w:line="360" w:lineRule="auto"/>
              <w:rPr>
                <w:rFonts w:ascii="宋体" w:hAnsi="宋体"/>
                <w:color w:val="000000"/>
                <w:szCs w:val="21"/>
              </w:rPr>
            </w:pPr>
            <w:r>
              <w:rPr>
                <w:rFonts w:hint="eastAsia" w:ascii="宋体" w:hAnsi="宋体"/>
                <w:color w:val="000000"/>
                <w:szCs w:val="21"/>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1"/>
              <w:spacing w:line="360" w:lineRule="auto"/>
              <w:jc w:val="center"/>
              <w:rPr>
                <w:rFonts w:ascii="宋体" w:hAnsi="宋体"/>
                <w:color w:val="000000"/>
                <w:szCs w:val="21"/>
              </w:rPr>
            </w:pPr>
          </w:p>
        </w:tc>
        <w:tc>
          <w:tcPr>
            <w:tcW w:w="2070" w:type="dxa"/>
            <w:gridSpan w:val="2"/>
            <w:noWrap w:val="0"/>
            <w:vAlign w:val="center"/>
          </w:tcPr>
          <w:p w14:paraId="4DBE92DA">
            <w:pPr>
              <w:pStyle w:val="31"/>
              <w:spacing w:line="360" w:lineRule="auto"/>
              <w:jc w:val="center"/>
              <w:rPr>
                <w:rFonts w:ascii="宋体" w:hAnsi="宋体"/>
                <w:color w:val="000000"/>
                <w:szCs w:val="21"/>
              </w:rPr>
            </w:pPr>
            <w:r>
              <w:rPr>
                <w:rFonts w:hint="eastAsia" w:ascii="宋体" w:hAnsi="宋体"/>
                <w:color w:val="000000"/>
                <w:szCs w:val="21"/>
              </w:rPr>
              <w:t>企业标志</w:t>
            </w:r>
          </w:p>
        </w:tc>
        <w:tc>
          <w:tcPr>
            <w:tcW w:w="6645" w:type="dxa"/>
            <w:noWrap w:val="0"/>
            <w:vAlign w:val="center"/>
          </w:tcPr>
          <w:p w14:paraId="4BE59024">
            <w:pPr>
              <w:pStyle w:val="31"/>
              <w:spacing w:line="360" w:lineRule="auto"/>
              <w:rPr>
                <w:rFonts w:ascii="宋体" w:hAnsi="宋体"/>
                <w:color w:val="000000"/>
                <w:szCs w:val="21"/>
              </w:rPr>
            </w:pPr>
            <w:r>
              <w:rPr>
                <w:rFonts w:hint="eastAsia" w:ascii="宋体" w:hAnsi="宋体"/>
                <w:color w:val="000000"/>
                <w:szCs w:val="21"/>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1"/>
              <w:spacing w:line="360" w:lineRule="auto"/>
              <w:jc w:val="center"/>
              <w:rPr>
                <w:rFonts w:ascii="宋体" w:hAnsi="宋体"/>
                <w:color w:val="000000"/>
                <w:szCs w:val="21"/>
              </w:rPr>
            </w:pPr>
          </w:p>
        </w:tc>
        <w:tc>
          <w:tcPr>
            <w:tcW w:w="2070" w:type="dxa"/>
            <w:gridSpan w:val="2"/>
            <w:noWrap w:val="0"/>
            <w:vAlign w:val="center"/>
          </w:tcPr>
          <w:p w14:paraId="2097DD96">
            <w:pPr>
              <w:pStyle w:val="31"/>
              <w:spacing w:line="360" w:lineRule="auto"/>
              <w:jc w:val="center"/>
              <w:rPr>
                <w:rFonts w:ascii="宋体" w:hAnsi="宋体"/>
                <w:color w:val="000000"/>
                <w:szCs w:val="21"/>
              </w:rPr>
            </w:pPr>
            <w:r>
              <w:rPr>
                <w:rFonts w:hint="eastAsia" w:ascii="宋体" w:hAnsi="宋体"/>
                <w:color w:val="000000"/>
                <w:szCs w:val="21"/>
              </w:rPr>
              <w:t>场容场貌</w:t>
            </w:r>
          </w:p>
        </w:tc>
        <w:tc>
          <w:tcPr>
            <w:tcW w:w="6645" w:type="dxa"/>
            <w:noWrap w:val="0"/>
            <w:vAlign w:val="center"/>
          </w:tcPr>
          <w:p w14:paraId="3A756F48">
            <w:pPr>
              <w:pStyle w:val="31"/>
              <w:spacing w:line="360" w:lineRule="auto"/>
              <w:rPr>
                <w:rFonts w:ascii="宋体" w:hAnsi="宋体"/>
                <w:color w:val="000000"/>
                <w:szCs w:val="21"/>
              </w:rPr>
            </w:pPr>
            <w:r>
              <w:rPr>
                <w:rFonts w:hint="eastAsia" w:ascii="宋体" w:hAnsi="宋体"/>
                <w:color w:val="000000"/>
                <w:szCs w:val="21"/>
              </w:rPr>
              <w:t>1. 道路畅通。</w:t>
            </w:r>
          </w:p>
          <w:p w14:paraId="74E50166">
            <w:pPr>
              <w:pStyle w:val="31"/>
              <w:spacing w:line="360" w:lineRule="auto"/>
              <w:rPr>
                <w:rFonts w:ascii="宋体" w:hAnsi="宋体"/>
                <w:color w:val="000000"/>
                <w:szCs w:val="21"/>
              </w:rPr>
            </w:pPr>
            <w:r>
              <w:rPr>
                <w:rFonts w:hint="eastAsia" w:ascii="宋体" w:hAnsi="宋体"/>
                <w:color w:val="000000"/>
                <w:szCs w:val="21"/>
              </w:rPr>
              <w:t>2. 排水设施齐全畅通。</w:t>
            </w:r>
          </w:p>
          <w:p w14:paraId="687B700E">
            <w:pPr>
              <w:pStyle w:val="31"/>
              <w:spacing w:line="360" w:lineRule="auto"/>
              <w:rPr>
                <w:rFonts w:ascii="宋体" w:hAnsi="宋体"/>
                <w:color w:val="000000"/>
                <w:szCs w:val="21"/>
              </w:rPr>
            </w:pPr>
            <w:r>
              <w:rPr>
                <w:rFonts w:hint="eastAsia" w:ascii="宋体" w:hAnsi="宋体"/>
                <w:color w:val="000000"/>
                <w:szCs w:val="21"/>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1"/>
              <w:spacing w:line="360" w:lineRule="auto"/>
              <w:jc w:val="center"/>
              <w:rPr>
                <w:rFonts w:ascii="宋体" w:hAnsi="宋体"/>
                <w:color w:val="000000"/>
                <w:szCs w:val="21"/>
              </w:rPr>
            </w:pPr>
          </w:p>
        </w:tc>
        <w:tc>
          <w:tcPr>
            <w:tcW w:w="2070" w:type="dxa"/>
            <w:gridSpan w:val="2"/>
            <w:noWrap w:val="0"/>
            <w:vAlign w:val="center"/>
          </w:tcPr>
          <w:p w14:paraId="763F08D3">
            <w:pPr>
              <w:pStyle w:val="31"/>
              <w:spacing w:line="360" w:lineRule="auto"/>
              <w:jc w:val="center"/>
              <w:rPr>
                <w:rFonts w:ascii="宋体" w:hAnsi="宋体"/>
                <w:color w:val="000000"/>
                <w:szCs w:val="21"/>
              </w:rPr>
            </w:pPr>
            <w:r>
              <w:rPr>
                <w:rFonts w:hint="eastAsia" w:ascii="宋体" w:hAnsi="宋体"/>
                <w:color w:val="000000"/>
                <w:szCs w:val="21"/>
              </w:rPr>
              <w:t>材料堆放</w:t>
            </w:r>
          </w:p>
        </w:tc>
        <w:tc>
          <w:tcPr>
            <w:tcW w:w="6645" w:type="dxa"/>
            <w:noWrap w:val="0"/>
            <w:vAlign w:val="center"/>
          </w:tcPr>
          <w:p w14:paraId="603EC673">
            <w:pPr>
              <w:pStyle w:val="31"/>
              <w:numPr>
                <w:ilvl w:val="0"/>
                <w:numId w:val="0"/>
              </w:numPr>
              <w:spacing w:line="360" w:lineRule="auto"/>
              <w:ind w:left="1200" w:leftChars="0" w:hanging="360" w:firstLineChars="0"/>
              <w:rPr>
                <w:rFonts w:ascii="宋体" w:hAnsi="宋体"/>
                <w:color w:val="000000"/>
                <w:szCs w:val="21"/>
              </w:rPr>
            </w:pPr>
            <w:r>
              <w:rPr>
                <w:rFonts w:ascii="宋体" w:hAnsi="宋体" w:eastAsia="宋体" w:cs="Times New Roman"/>
                <w:color w:val="000000"/>
                <w:kern w:val="2"/>
                <w:sz w:val="21"/>
                <w:szCs w:val="21"/>
                <w:lang w:val="en-US" w:eastAsia="zh-CN" w:bidi="ar-SA"/>
              </w:rPr>
              <w:t>1.</w:t>
            </w:r>
            <w:r>
              <w:rPr>
                <w:rFonts w:hint="eastAsia" w:ascii="宋体" w:hAnsi="宋体"/>
                <w:color w:val="000000"/>
                <w:szCs w:val="21"/>
              </w:rPr>
              <w:t>材料、构件、料具等堆放时，应有名称、品种、规格等标牌。</w:t>
            </w:r>
          </w:p>
          <w:p w14:paraId="720555E4">
            <w:pPr>
              <w:pStyle w:val="31"/>
              <w:spacing w:line="360" w:lineRule="auto"/>
              <w:rPr>
                <w:rFonts w:ascii="宋体" w:hAnsi="宋体"/>
                <w:color w:val="000000"/>
                <w:szCs w:val="21"/>
              </w:rPr>
            </w:pPr>
            <w:r>
              <w:rPr>
                <w:rFonts w:hint="eastAsia" w:ascii="宋体" w:hAnsi="宋体"/>
                <w:color w:val="000000"/>
                <w:szCs w:val="21"/>
              </w:rPr>
              <w:t>2. 水泥和其它易飞扬细颗粒建筑材料应封闭存放或采取覆盖等措施。</w:t>
            </w:r>
          </w:p>
          <w:p w14:paraId="1834ACB6">
            <w:pPr>
              <w:pStyle w:val="31"/>
              <w:spacing w:line="360" w:lineRule="auto"/>
              <w:rPr>
                <w:rFonts w:ascii="宋体" w:hAnsi="宋体"/>
                <w:color w:val="000000"/>
                <w:szCs w:val="21"/>
              </w:rPr>
            </w:pPr>
            <w:r>
              <w:rPr>
                <w:rFonts w:hint="eastAsia" w:ascii="宋体" w:hAnsi="宋体"/>
                <w:color w:val="000000"/>
                <w:szCs w:val="21"/>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1"/>
              <w:spacing w:line="360" w:lineRule="auto"/>
              <w:jc w:val="center"/>
              <w:rPr>
                <w:rFonts w:ascii="宋体" w:hAnsi="宋体"/>
                <w:color w:val="000000"/>
                <w:szCs w:val="21"/>
              </w:rPr>
            </w:pPr>
          </w:p>
        </w:tc>
        <w:tc>
          <w:tcPr>
            <w:tcW w:w="2070" w:type="dxa"/>
            <w:gridSpan w:val="2"/>
            <w:noWrap w:val="0"/>
            <w:vAlign w:val="center"/>
          </w:tcPr>
          <w:p w14:paraId="72EBF8AF">
            <w:pPr>
              <w:pStyle w:val="31"/>
              <w:spacing w:line="360" w:lineRule="auto"/>
              <w:jc w:val="center"/>
              <w:rPr>
                <w:rFonts w:ascii="宋体" w:hAnsi="宋体"/>
                <w:color w:val="000000"/>
                <w:szCs w:val="21"/>
              </w:rPr>
            </w:pPr>
            <w:r>
              <w:rPr>
                <w:rFonts w:hint="eastAsia" w:ascii="宋体" w:hAnsi="宋体"/>
                <w:color w:val="000000"/>
                <w:szCs w:val="21"/>
              </w:rPr>
              <w:t>现场防火</w:t>
            </w:r>
          </w:p>
        </w:tc>
        <w:tc>
          <w:tcPr>
            <w:tcW w:w="6645" w:type="dxa"/>
            <w:noWrap w:val="0"/>
            <w:vAlign w:val="center"/>
          </w:tcPr>
          <w:p w14:paraId="669D50D9">
            <w:pPr>
              <w:pStyle w:val="31"/>
              <w:spacing w:line="360" w:lineRule="auto"/>
              <w:rPr>
                <w:rFonts w:ascii="宋体" w:hAnsi="宋体"/>
                <w:color w:val="000000"/>
                <w:szCs w:val="21"/>
              </w:rPr>
            </w:pPr>
            <w:r>
              <w:rPr>
                <w:rFonts w:hint="eastAsia" w:ascii="宋体" w:hAnsi="宋体"/>
                <w:color w:val="000000"/>
                <w:szCs w:val="21"/>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1"/>
              <w:spacing w:line="360" w:lineRule="auto"/>
              <w:jc w:val="center"/>
              <w:rPr>
                <w:rFonts w:ascii="宋体" w:hAnsi="宋体"/>
                <w:color w:val="000000"/>
                <w:szCs w:val="21"/>
              </w:rPr>
            </w:pPr>
          </w:p>
        </w:tc>
        <w:tc>
          <w:tcPr>
            <w:tcW w:w="2070" w:type="dxa"/>
            <w:gridSpan w:val="2"/>
            <w:noWrap w:val="0"/>
            <w:vAlign w:val="center"/>
          </w:tcPr>
          <w:p w14:paraId="010E215D">
            <w:pPr>
              <w:pStyle w:val="31"/>
              <w:spacing w:line="360" w:lineRule="auto"/>
              <w:jc w:val="center"/>
              <w:rPr>
                <w:rFonts w:ascii="宋体" w:hAnsi="宋体"/>
                <w:color w:val="000000"/>
                <w:szCs w:val="21"/>
              </w:rPr>
            </w:pPr>
            <w:r>
              <w:rPr>
                <w:rFonts w:hint="eastAsia" w:ascii="宋体" w:hAnsi="宋体"/>
                <w:color w:val="000000"/>
                <w:szCs w:val="21"/>
              </w:rPr>
              <w:t>垃圾清运</w:t>
            </w:r>
          </w:p>
        </w:tc>
        <w:tc>
          <w:tcPr>
            <w:tcW w:w="6645" w:type="dxa"/>
            <w:noWrap w:val="0"/>
            <w:vAlign w:val="center"/>
          </w:tcPr>
          <w:p w14:paraId="36433CBC">
            <w:pPr>
              <w:pStyle w:val="31"/>
              <w:spacing w:line="360" w:lineRule="auto"/>
              <w:rPr>
                <w:rFonts w:ascii="宋体" w:hAnsi="宋体"/>
                <w:color w:val="000000"/>
                <w:szCs w:val="21"/>
              </w:rPr>
            </w:pPr>
            <w:r>
              <w:rPr>
                <w:rFonts w:hint="eastAsia" w:ascii="宋体" w:hAnsi="宋体"/>
                <w:color w:val="000000"/>
                <w:szCs w:val="21"/>
              </w:rPr>
              <w:t>1. 施工现场应设置密闭式垃圾站，施工垃圾、生活垃圾应分类存放。</w:t>
            </w:r>
          </w:p>
          <w:p w14:paraId="5E6A1044">
            <w:pPr>
              <w:pStyle w:val="31"/>
              <w:spacing w:line="360" w:lineRule="auto"/>
              <w:rPr>
                <w:rFonts w:ascii="宋体" w:hAnsi="宋体"/>
                <w:color w:val="000000"/>
                <w:szCs w:val="21"/>
              </w:rPr>
            </w:pPr>
            <w:r>
              <w:rPr>
                <w:rFonts w:hint="eastAsia" w:ascii="宋体" w:hAnsi="宋体"/>
                <w:color w:val="000000"/>
                <w:szCs w:val="21"/>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1"/>
              <w:spacing w:line="360" w:lineRule="auto"/>
              <w:jc w:val="center"/>
              <w:rPr>
                <w:rFonts w:ascii="宋体" w:hAnsi="宋体"/>
                <w:color w:val="000000"/>
                <w:szCs w:val="21"/>
              </w:rPr>
            </w:pPr>
          </w:p>
        </w:tc>
        <w:tc>
          <w:tcPr>
            <w:tcW w:w="2070" w:type="dxa"/>
            <w:gridSpan w:val="2"/>
            <w:noWrap w:val="0"/>
            <w:vAlign w:val="center"/>
          </w:tcPr>
          <w:p w14:paraId="6EB10B68">
            <w:pPr>
              <w:pStyle w:val="31"/>
              <w:spacing w:line="360" w:lineRule="auto"/>
              <w:rPr>
                <w:rFonts w:ascii="宋体" w:hAnsi="宋体"/>
                <w:color w:val="000000"/>
                <w:szCs w:val="21"/>
              </w:rPr>
            </w:pPr>
            <w:r>
              <w:rPr>
                <w:rFonts w:hint="eastAsia" w:ascii="宋体" w:hAnsi="宋体"/>
                <w:color w:val="000000"/>
                <w:szCs w:val="21"/>
              </w:rPr>
              <w:t>宣传栏、环保及不扰民措施</w:t>
            </w:r>
          </w:p>
        </w:tc>
        <w:tc>
          <w:tcPr>
            <w:tcW w:w="6645" w:type="dxa"/>
            <w:noWrap w:val="0"/>
            <w:vAlign w:val="center"/>
          </w:tcPr>
          <w:p w14:paraId="22C9F047">
            <w:pPr>
              <w:pStyle w:val="31"/>
              <w:spacing w:line="360" w:lineRule="auto"/>
              <w:rPr>
                <w:rFonts w:ascii="宋体" w:hAnsi="宋体"/>
                <w:color w:val="000000"/>
                <w:szCs w:val="21"/>
              </w:rPr>
            </w:pPr>
            <w:r>
              <w:rPr>
                <w:rFonts w:hint="eastAsia" w:ascii="宋体" w:hAnsi="宋体"/>
                <w:color w:val="000000"/>
                <w:szCs w:val="21"/>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1"/>
              <w:spacing w:line="360" w:lineRule="auto"/>
              <w:jc w:val="center"/>
              <w:rPr>
                <w:rFonts w:ascii="宋体" w:hAnsi="宋体"/>
                <w:color w:val="000000"/>
                <w:szCs w:val="21"/>
              </w:rPr>
            </w:pPr>
            <w:r>
              <w:rPr>
                <w:rFonts w:hint="eastAsia" w:ascii="宋体" w:hAnsi="宋体"/>
                <w:color w:val="000000"/>
                <w:szCs w:val="21"/>
              </w:rPr>
              <w:t>临时设施</w:t>
            </w:r>
          </w:p>
        </w:tc>
        <w:tc>
          <w:tcPr>
            <w:tcW w:w="2070" w:type="dxa"/>
            <w:gridSpan w:val="2"/>
            <w:noWrap w:val="0"/>
            <w:vAlign w:val="center"/>
          </w:tcPr>
          <w:p w14:paraId="4F2096D6">
            <w:pPr>
              <w:pStyle w:val="31"/>
              <w:spacing w:line="360" w:lineRule="auto"/>
              <w:jc w:val="center"/>
              <w:rPr>
                <w:rFonts w:ascii="宋体" w:hAnsi="宋体"/>
                <w:color w:val="000000"/>
                <w:szCs w:val="21"/>
              </w:rPr>
            </w:pPr>
            <w:r>
              <w:rPr>
                <w:rFonts w:hint="eastAsia" w:ascii="宋体" w:hAnsi="宋体"/>
                <w:color w:val="000000"/>
                <w:szCs w:val="21"/>
              </w:rPr>
              <w:t>现场办公</w:t>
            </w:r>
          </w:p>
          <w:p w14:paraId="21386316">
            <w:pPr>
              <w:pStyle w:val="31"/>
              <w:spacing w:line="360" w:lineRule="auto"/>
              <w:jc w:val="center"/>
              <w:rPr>
                <w:rFonts w:ascii="宋体" w:hAnsi="宋体"/>
                <w:color w:val="000000"/>
                <w:szCs w:val="21"/>
              </w:rPr>
            </w:pPr>
            <w:r>
              <w:rPr>
                <w:rFonts w:hint="eastAsia" w:ascii="宋体" w:hAnsi="宋体"/>
                <w:color w:val="000000"/>
                <w:szCs w:val="21"/>
              </w:rPr>
              <w:t>生活设施</w:t>
            </w:r>
          </w:p>
        </w:tc>
        <w:tc>
          <w:tcPr>
            <w:tcW w:w="6645" w:type="dxa"/>
            <w:noWrap w:val="0"/>
            <w:vAlign w:val="center"/>
          </w:tcPr>
          <w:p w14:paraId="562A6963">
            <w:pPr>
              <w:pStyle w:val="31"/>
              <w:spacing w:line="360" w:lineRule="auto"/>
              <w:rPr>
                <w:rFonts w:ascii="宋体" w:hAnsi="宋体"/>
                <w:color w:val="000000"/>
                <w:szCs w:val="21"/>
              </w:rPr>
            </w:pPr>
            <w:r>
              <w:rPr>
                <w:rFonts w:hint="eastAsia" w:ascii="宋体" w:hAnsi="宋体"/>
                <w:color w:val="000000"/>
                <w:szCs w:val="21"/>
              </w:rPr>
              <w:t>1. 施工现场办公、生活区与作业区分开设置，保持安全距离。</w:t>
            </w:r>
          </w:p>
          <w:p w14:paraId="47E96C44">
            <w:pPr>
              <w:pStyle w:val="31"/>
              <w:spacing w:line="360" w:lineRule="auto"/>
              <w:rPr>
                <w:rFonts w:ascii="宋体" w:hAnsi="宋体"/>
                <w:color w:val="000000"/>
                <w:szCs w:val="21"/>
              </w:rPr>
            </w:pPr>
            <w:r>
              <w:rPr>
                <w:rFonts w:hint="eastAsia" w:ascii="宋体" w:hAnsi="宋体"/>
                <w:color w:val="000000"/>
                <w:szCs w:val="21"/>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1"/>
              <w:spacing w:line="360" w:lineRule="auto"/>
              <w:jc w:val="center"/>
              <w:rPr>
                <w:rFonts w:ascii="宋体" w:hAnsi="宋体"/>
                <w:color w:val="000000"/>
                <w:szCs w:val="21"/>
              </w:rPr>
            </w:pPr>
          </w:p>
        </w:tc>
        <w:tc>
          <w:tcPr>
            <w:tcW w:w="525" w:type="dxa"/>
            <w:vMerge w:val="restart"/>
            <w:noWrap w:val="0"/>
            <w:vAlign w:val="center"/>
          </w:tcPr>
          <w:p w14:paraId="7180A0C6">
            <w:pPr>
              <w:pStyle w:val="31"/>
              <w:spacing w:line="360" w:lineRule="auto"/>
              <w:jc w:val="center"/>
              <w:rPr>
                <w:rFonts w:ascii="宋体" w:hAnsi="宋体"/>
                <w:color w:val="000000"/>
                <w:szCs w:val="21"/>
              </w:rPr>
            </w:pPr>
            <w:r>
              <w:rPr>
                <w:rFonts w:hint="eastAsia" w:ascii="宋体" w:hAnsi="宋体"/>
                <w:color w:val="000000"/>
                <w:szCs w:val="21"/>
              </w:rPr>
              <w:t>施工现场</w:t>
            </w:r>
          </w:p>
          <w:p w14:paraId="7112192E">
            <w:pPr>
              <w:pStyle w:val="31"/>
              <w:spacing w:line="360" w:lineRule="auto"/>
              <w:jc w:val="center"/>
              <w:rPr>
                <w:rFonts w:ascii="宋体" w:hAnsi="宋体"/>
                <w:color w:val="000000"/>
                <w:szCs w:val="21"/>
              </w:rPr>
            </w:pPr>
            <w:r>
              <w:rPr>
                <w:rFonts w:hint="eastAsia" w:ascii="宋体" w:hAnsi="宋体"/>
                <w:color w:val="000000"/>
                <w:szCs w:val="21"/>
              </w:rPr>
              <w:t>临时用电</w:t>
            </w:r>
          </w:p>
        </w:tc>
        <w:tc>
          <w:tcPr>
            <w:tcW w:w="1545" w:type="dxa"/>
            <w:noWrap w:val="0"/>
            <w:vAlign w:val="center"/>
          </w:tcPr>
          <w:p w14:paraId="0E2DD95F">
            <w:pPr>
              <w:pStyle w:val="31"/>
              <w:spacing w:line="360" w:lineRule="auto"/>
              <w:jc w:val="center"/>
              <w:rPr>
                <w:rFonts w:ascii="宋体" w:hAnsi="宋体"/>
                <w:color w:val="000000"/>
                <w:szCs w:val="21"/>
              </w:rPr>
            </w:pPr>
            <w:r>
              <w:rPr>
                <w:rFonts w:hint="eastAsia" w:ascii="宋体" w:hAnsi="宋体"/>
                <w:color w:val="000000"/>
                <w:szCs w:val="21"/>
              </w:rPr>
              <w:t>配电线路</w:t>
            </w:r>
          </w:p>
        </w:tc>
        <w:tc>
          <w:tcPr>
            <w:tcW w:w="6645" w:type="dxa"/>
            <w:noWrap w:val="0"/>
            <w:vAlign w:val="center"/>
          </w:tcPr>
          <w:p w14:paraId="752EE292">
            <w:pPr>
              <w:pStyle w:val="31"/>
              <w:spacing w:line="360" w:lineRule="auto"/>
              <w:rPr>
                <w:rFonts w:ascii="宋体" w:hAnsi="宋体"/>
                <w:color w:val="000000"/>
                <w:szCs w:val="21"/>
              </w:rPr>
            </w:pPr>
            <w:r>
              <w:rPr>
                <w:rFonts w:hint="eastAsia" w:ascii="宋体" w:hAnsi="宋体"/>
                <w:color w:val="000000"/>
                <w:szCs w:val="21"/>
              </w:rPr>
              <w:t>1. 按照TN-S系统要求配备五芯电缆、四芯电缆和三芯电缆。</w:t>
            </w:r>
          </w:p>
          <w:p w14:paraId="42B5567B">
            <w:pPr>
              <w:pStyle w:val="31"/>
              <w:spacing w:line="360" w:lineRule="auto"/>
              <w:rPr>
                <w:rFonts w:ascii="宋体" w:hAnsi="宋体"/>
                <w:color w:val="000000"/>
                <w:szCs w:val="21"/>
              </w:rPr>
            </w:pPr>
            <w:r>
              <w:rPr>
                <w:rFonts w:hint="eastAsia" w:ascii="宋体" w:hAnsi="宋体"/>
                <w:color w:val="000000"/>
                <w:szCs w:val="21"/>
              </w:rPr>
              <w:t>2. 按要求架设临时用电线路的电杆、横担、瓷夹、瓷瓶等，或电缆埋地的地沟。</w:t>
            </w:r>
          </w:p>
          <w:p w14:paraId="599E12B4">
            <w:pPr>
              <w:pStyle w:val="31"/>
              <w:spacing w:line="360" w:lineRule="auto"/>
              <w:rPr>
                <w:rFonts w:ascii="宋体" w:hAnsi="宋体"/>
                <w:color w:val="000000"/>
                <w:szCs w:val="21"/>
              </w:rPr>
            </w:pPr>
            <w:r>
              <w:rPr>
                <w:rFonts w:hint="eastAsia" w:ascii="宋体" w:hAnsi="宋体"/>
                <w:color w:val="000000"/>
                <w:szCs w:val="21"/>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1"/>
              <w:spacing w:line="360" w:lineRule="auto"/>
              <w:jc w:val="center"/>
              <w:rPr>
                <w:rFonts w:ascii="宋体" w:hAnsi="宋体"/>
                <w:color w:val="000000"/>
                <w:szCs w:val="21"/>
              </w:rPr>
            </w:pPr>
          </w:p>
        </w:tc>
        <w:tc>
          <w:tcPr>
            <w:tcW w:w="525" w:type="dxa"/>
            <w:vMerge w:val="continue"/>
            <w:noWrap w:val="0"/>
            <w:vAlign w:val="center"/>
          </w:tcPr>
          <w:p w14:paraId="092023F1">
            <w:pPr>
              <w:pStyle w:val="31"/>
              <w:spacing w:line="360" w:lineRule="auto"/>
              <w:jc w:val="center"/>
              <w:rPr>
                <w:rFonts w:ascii="宋体" w:hAnsi="宋体"/>
                <w:color w:val="000000"/>
                <w:szCs w:val="21"/>
              </w:rPr>
            </w:pPr>
          </w:p>
        </w:tc>
        <w:tc>
          <w:tcPr>
            <w:tcW w:w="1545" w:type="dxa"/>
            <w:noWrap w:val="0"/>
            <w:vAlign w:val="center"/>
          </w:tcPr>
          <w:p w14:paraId="06336A0B">
            <w:pPr>
              <w:pStyle w:val="31"/>
              <w:spacing w:line="360" w:lineRule="auto"/>
              <w:jc w:val="center"/>
              <w:rPr>
                <w:rFonts w:ascii="宋体" w:hAnsi="宋体"/>
                <w:color w:val="000000"/>
                <w:szCs w:val="21"/>
              </w:rPr>
            </w:pPr>
            <w:r>
              <w:rPr>
                <w:rFonts w:hint="eastAsia" w:ascii="宋体" w:hAnsi="宋体"/>
                <w:color w:val="000000"/>
                <w:szCs w:val="21"/>
              </w:rPr>
              <w:t>配电箱</w:t>
            </w:r>
          </w:p>
          <w:p w14:paraId="652B0B59">
            <w:pPr>
              <w:pStyle w:val="31"/>
              <w:spacing w:line="360" w:lineRule="auto"/>
              <w:jc w:val="center"/>
              <w:rPr>
                <w:rFonts w:ascii="宋体" w:hAnsi="宋体"/>
                <w:color w:val="000000"/>
                <w:szCs w:val="21"/>
              </w:rPr>
            </w:pPr>
            <w:r>
              <w:rPr>
                <w:rFonts w:hint="eastAsia" w:ascii="宋体" w:hAnsi="宋体"/>
                <w:color w:val="000000"/>
                <w:szCs w:val="21"/>
              </w:rPr>
              <w:t>开关箱</w:t>
            </w:r>
          </w:p>
        </w:tc>
        <w:tc>
          <w:tcPr>
            <w:tcW w:w="6645" w:type="dxa"/>
            <w:noWrap w:val="0"/>
            <w:vAlign w:val="center"/>
          </w:tcPr>
          <w:p w14:paraId="4EE6F45F">
            <w:pPr>
              <w:pStyle w:val="31"/>
              <w:spacing w:line="360" w:lineRule="auto"/>
              <w:rPr>
                <w:rFonts w:ascii="宋体" w:hAnsi="宋体"/>
                <w:color w:val="000000"/>
                <w:szCs w:val="21"/>
              </w:rPr>
            </w:pPr>
            <w:r>
              <w:rPr>
                <w:rFonts w:hint="eastAsia" w:ascii="宋体" w:hAnsi="宋体"/>
                <w:color w:val="000000"/>
                <w:szCs w:val="21"/>
              </w:rPr>
              <w:t>1. 按三级配电要求，配备总配电箱、分配电箱、开关箱三类（铁质）标准电箱，开关箱应符合“一机、一箱、一闸、一漏”，三类电箱中的各类电器应是合格品。</w:t>
            </w:r>
          </w:p>
          <w:p w14:paraId="21CF76F6">
            <w:pPr>
              <w:pStyle w:val="31"/>
              <w:spacing w:line="360" w:lineRule="auto"/>
              <w:rPr>
                <w:rFonts w:ascii="宋体" w:hAnsi="宋体"/>
                <w:color w:val="000000"/>
                <w:szCs w:val="21"/>
              </w:rPr>
            </w:pPr>
            <w:r>
              <w:rPr>
                <w:rFonts w:hint="eastAsia" w:ascii="宋体" w:hAnsi="宋体"/>
                <w:color w:val="000000"/>
                <w:szCs w:val="21"/>
              </w:rPr>
              <w:t>2. 按两级保护的要求，选取符合容量要求和质量合格的总配电箱和开关箱中的漏电保护器。</w:t>
            </w:r>
          </w:p>
          <w:p w14:paraId="0C5568D3">
            <w:pPr>
              <w:pStyle w:val="31"/>
              <w:spacing w:line="360" w:lineRule="auto"/>
              <w:rPr>
                <w:rFonts w:ascii="宋体" w:hAnsi="宋体"/>
                <w:color w:val="000000"/>
                <w:szCs w:val="21"/>
              </w:rPr>
            </w:pPr>
            <w:r>
              <w:rPr>
                <w:rFonts w:hint="eastAsia" w:ascii="宋体" w:hAnsi="宋体"/>
                <w:color w:val="000000"/>
                <w:szCs w:val="21"/>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1"/>
              <w:spacing w:line="360" w:lineRule="auto"/>
              <w:jc w:val="center"/>
              <w:rPr>
                <w:rFonts w:ascii="宋体" w:hAnsi="宋体"/>
                <w:color w:val="000000"/>
                <w:szCs w:val="21"/>
              </w:rPr>
            </w:pPr>
          </w:p>
        </w:tc>
        <w:tc>
          <w:tcPr>
            <w:tcW w:w="525" w:type="dxa"/>
            <w:vMerge w:val="continue"/>
            <w:noWrap w:val="0"/>
            <w:vAlign w:val="center"/>
          </w:tcPr>
          <w:p w14:paraId="6A8BE8ED">
            <w:pPr>
              <w:pStyle w:val="31"/>
              <w:spacing w:line="360" w:lineRule="auto"/>
              <w:jc w:val="center"/>
              <w:rPr>
                <w:rFonts w:ascii="宋体" w:hAnsi="宋体"/>
                <w:color w:val="000000"/>
                <w:szCs w:val="21"/>
              </w:rPr>
            </w:pPr>
          </w:p>
        </w:tc>
        <w:tc>
          <w:tcPr>
            <w:tcW w:w="1545" w:type="dxa"/>
            <w:noWrap w:val="0"/>
            <w:vAlign w:val="center"/>
          </w:tcPr>
          <w:p w14:paraId="73DFD8A2">
            <w:pPr>
              <w:pStyle w:val="31"/>
              <w:spacing w:line="360" w:lineRule="auto"/>
              <w:jc w:val="center"/>
              <w:rPr>
                <w:rFonts w:ascii="宋体" w:hAnsi="宋体"/>
                <w:color w:val="000000"/>
                <w:szCs w:val="21"/>
              </w:rPr>
            </w:pPr>
            <w:r>
              <w:rPr>
                <w:rFonts w:hint="eastAsia" w:ascii="宋体" w:hAnsi="宋体"/>
                <w:color w:val="000000"/>
                <w:szCs w:val="21"/>
              </w:rPr>
              <w:t>接地装置</w:t>
            </w:r>
          </w:p>
        </w:tc>
        <w:tc>
          <w:tcPr>
            <w:tcW w:w="6645" w:type="dxa"/>
            <w:noWrap w:val="0"/>
            <w:vAlign w:val="center"/>
          </w:tcPr>
          <w:p w14:paraId="0C1951AD">
            <w:pPr>
              <w:pStyle w:val="31"/>
              <w:spacing w:line="360" w:lineRule="auto"/>
              <w:rPr>
                <w:rFonts w:ascii="宋体" w:hAnsi="宋体"/>
                <w:color w:val="000000"/>
                <w:szCs w:val="21"/>
              </w:rPr>
            </w:pPr>
            <w:r>
              <w:rPr>
                <w:rFonts w:hint="eastAsia" w:ascii="宋体" w:hAnsi="宋体"/>
                <w:color w:val="000000"/>
                <w:szCs w:val="21"/>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1"/>
              <w:spacing w:line="360" w:lineRule="auto"/>
              <w:jc w:val="center"/>
              <w:rPr>
                <w:rFonts w:ascii="宋体" w:hAnsi="宋体"/>
                <w:color w:val="000000"/>
                <w:szCs w:val="21"/>
              </w:rPr>
            </w:pPr>
          </w:p>
        </w:tc>
        <w:tc>
          <w:tcPr>
            <w:tcW w:w="525" w:type="dxa"/>
            <w:vMerge w:val="continue"/>
            <w:noWrap w:val="0"/>
            <w:vAlign w:val="center"/>
          </w:tcPr>
          <w:p w14:paraId="0D9C8114">
            <w:pPr>
              <w:pStyle w:val="31"/>
              <w:spacing w:line="360" w:lineRule="auto"/>
              <w:jc w:val="center"/>
              <w:rPr>
                <w:rFonts w:ascii="宋体" w:hAnsi="宋体"/>
                <w:color w:val="000000"/>
                <w:szCs w:val="21"/>
              </w:rPr>
            </w:pPr>
          </w:p>
        </w:tc>
        <w:tc>
          <w:tcPr>
            <w:tcW w:w="1545" w:type="dxa"/>
            <w:noWrap w:val="0"/>
            <w:vAlign w:val="center"/>
          </w:tcPr>
          <w:p w14:paraId="08D6B349">
            <w:pPr>
              <w:pStyle w:val="31"/>
              <w:spacing w:line="360" w:lineRule="auto"/>
              <w:jc w:val="center"/>
              <w:rPr>
                <w:rFonts w:ascii="宋体" w:hAnsi="宋体"/>
                <w:color w:val="000000"/>
                <w:szCs w:val="21"/>
              </w:rPr>
            </w:pPr>
            <w:r>
              <w:rPr>
                <w:rFonts w:hint="eastAsia" w:ascii="宋体" w:hAnsi="宋体"/>
                <w:color w:val="000000"/>
                <w:szCs w:val="21"/>
              </w:rPr>
              <w:t>现场变配电装置</w:t>
            </w:r>
          </w:p>
        </w:tc>
        <w:tc>
          <w:tcPr>
            <w:tcW w:w="6645" w:type="dxa"/>
            <w:noWrap w:val="0"/>
            <w:vAlign w:val="center"/>
          </w:tcPr>
          <w:p w14:paraId="78790081">
            <w:pPr>
              <w:pStyle w:val="31"/>
              <w:spacing w:line="360" w:lineRule="auto"/>
              <w:rPr>
                <w:rFonts w:ascii="宋体" w:hAnsi="宋体"/>
                <w:color w:val="000000"/>
                <w:szCs w:val="21"/>
              </w:rPr>
            </w:pPr>
            <w:r>
              <w:rPr>
                <w:rFonts w:hint="eastAsia" w:ascii="宋体" w:hAnsi="宋体"/>
                <w:color w:val="000000"/>
                <w:szCs w:val="21"/>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CF213E">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26D69129">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1"/>
              <w:spacing w:line="360" w:lineRule="auto"/>
              <w:jc w:val="center"/>
              <w:rPr>
                <w:rFonts w:ascii="宋体" w:hAnsi="宋体"/>
                <w:color w:val="000000"/>
                <w:szCs w:val="21"/>
              </w:rPr>
            </w:pPr>
            <w:r>
              <w:rPr>
                <w:rFonts w:hint="eastAsia" w:ascii="宋体" w:hAnsi="宋体"/>
                <w:color w:val="000000"/>
                <w:szCs w:val="21"/>
              </w:rPr>
              <w:t>安全施工</w:t>
            </w:r>
          </w:p>
        </w:tc>
        <w:tc>
          <w:tcPr>
            <w:tcW w:w="525" w:type="dxa"/>
            <w:vMerge w:val="restart"/>
            <w:noWrap w:val="0"/>
            <w:vAlign w:val="center"/>
          </w:tcPr>
          <w:p w14:paraId="67784066">
            <w:pPr>
              <w:pStyle w:val="31"/>
              <w:spacing w:line="360" w:lineRule="auto"/>
              <w:jc w:val="center"/>
              <w:rPr>
                <w:rFonts w:ascii="宋体" w:hAnsi="宋体"/>
                <w:color w:val="000000"/>
                <w:szCs w:val="21"/>
              </w:rPr>
            </w:pPr>
            <w:r>
              <w:rPr>
                <w:rFonts w:hint="eastAsia" w:ascii="宋体" w:hAnsi="宋体"/>
                <w:color w:val="000000"/>
                <w:szCs w:val="21"/>
              </w:rPr>
              <w:t>高处作业防护</w:t>
            </w:r>
          </w:p>
        </w:tc>
        <w:tc>
          <w:tcPr>
            <w:tcW w:w="1545" w:type="dxa"/>
            <w:noWrap w:val="0"/>
            <w:vAlign w:val="center"/>
          </w:tcPr>
          <w:p w14:paraId="59929E22">
            <w:pPr>
              <w:pStyle w:val="31"/>
              <w:spacing w:line="360" w:lineRule="auto"/>
              <w:rPr>
                <w:rFonts w:ascii="宋体" w:hAnsi="宋体"/>
                <w:color w:val="000000"/>
                <w:szCs w:val="21"/>
              </w:rPr>
            </w:pPr>
            <w:r>
              <w:rPr>
                <w:rFonts w:hint="eastAsia" w:ascii="宋体" w:hAnsi="宋体"/>
                <w:color w:val="000000"/>
                <w:szCs w:val="21"/>
              </w:rPr>
              <w:t>楼层、屋面、阳台等临边</w:t>
            </w:r>
          </w:p>
        </w:tc>
        <w:tc>
          <w:tcPr>
            <w:tcW w:w="6645" w:type="dxa"/>
            <w:noWrap w:val="0"/>
            <w:vAlign w:val="center"/>
          </w:tcPr>
          <w:p w14:paraId="71768551">
            <w:pPr>
              <w:pStyle w:val="31"/>
              <w:spacing w:line="360" w:lineRule="auto"/>
              <w:rPr>
                <w:rFonts w:ascii="宋体" w:hAnsi="宋体"/>
                <w:color w:val="000000"/>
                <w:szCs w:val="21"/>
              </w:rPr>
            </w:pPr>
            <w:r>
              <w:rPr>
                <w:rFonts w:hint="eastAsia" w:ascii="宋体" w:hAnsi="宋体"/>
                <w:color w:val="000000"/>
                <w:szCs w:val="21"/>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1"/>
              <w:spacing w:line="360" w:lineRule="auto"/>
              <w:jc w:val="center"/>
              <w:rPr>
                <w:rFonts w:ascii="宋体" w:hAnsi="宋体"/>
                <w:color w:val="000000"/>
                <w:szCs w:val="21"/>
              </w:rPr>
            </w:pPr>
          </w:p>
        </w:tc>
        <w:tc>
          <w:tcPr>
            <w:tcW w:w="525" w:type="dxa"/>
            <w:vMerge w:val="continue"/>
            <w:noWrap w:val="0"/>
            <w:vAlign w:val="center"/>
          </w:tcPr>
          <w:p w14:paraId="4011E092">
            <w:pPr>
              <w:pStyle w:val="31"/>
              <w:spacing w:line="360" w:lineRule="auto"/>
              <w:jc w:val="center"/>
              <w:rPr>
                <w:rFonts w:ascii="宋体" w:hAnsi="宋体"/>
                <w:color w:val="000000"/>
                <w:szCs w:val="21"/>
              </w:rPr>
            </w:pPr>
          </w:p>
        </w:tc>
        <w:tc>
          <w:tcPr>
            <w:tcW w:w="1545" w:type="dxa"/>
            <w:noWrap w:val="0"/>
            <w:vAlign w:val="center"/>
          </w:tcPr>
          <w:p w14:paraId="18649CB4">
            <w:pPr>
              <w:pStyle w:val="31"/>
              <w:spacing w:line="360" w:lineRule="auto"/>
              <w:rPr>
                <w:rFonts w:ascii="宋体" w:hAnsi="宋体"/>
                <w:color w:val="000000"/>
                <w:szCs w:val="21"/>
              </w:rPr>
            </w:pPr>
            <w:r>
              <w:rPr>
                <w:rFonts w:hint="eastAsia" w:ascii="宋体" w:hAnsi="宋体"/>
                <w:color w:val="000000"/>
                <w:szCs w:val="21"/>
              </w:rPr>
              <w:t>通道口</w:t>
            </w:r>
          </w:p>
        </w:tc>
        <w:tc>
          <w:tcPr>
            <w:tcW w:w="6645" w:type="dxa"/>
            <w:noWrap w:val="0"/>
            <w:vAlign w:val="center"/>
          </w:tcPr>
          <w:p w14:paraId="33406E88">
            <w:pPr>
              <w:pStyle w:val="31"/>
              <w:spacing w:line="360" w:lineRule="auto"/>
              <w:rPr>
                <w:rFonts w:ascii="宋体" w:hAnsi="宋体"/>
                <w:color w:val="000000"/>
                <w:szCs w:val="21"/>
              </w:rPr>
            </w:pPr>
            <w:r>
              <w:rPr>
                <w:rFonts w:hint="eastAsia" w:ascii="宋体" w:hAnsi="宋体"/>
                <w:color w:val="000000"/>
                <w:szCs w:val="21"/>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1"/>
              <w:spacing w:line="360" w:lineRule="auto"/>
              <w:jc w:val="center"/>
              <w:rPr>
                <w:rFonts w:ascii="宋体" w:hAnsi="宋体"/>
                <w:color w:val="000000"/>
                <w:szCs w:val="21"/>
              </w:rPr>
            </w:pPr>
          </w:p>
        </w:tc>
        <w:tc>
          <w:tcPr>
            <w:tcW w:w="525" w:type="dxa"/>
            <w:vMerge w:val="continue"/>
            <w:noWrap w:val="0"/>
            <w:vAlign w:val="center"/>
          </w:tcPr>
          <w:p w14:paraId="05770210">
            <w:pPr>
              <w:pStyle w:val="31"/>
              <w:spacing w:line="360" w:lineRule="auto"/>
              <w:jc w:val="center"/>
              <w:rPr>
                <w:rFonts w:ascii="宋体" w:hAnsi="宋体"/>
                <w:color w:val="000000"/>
                <w:szCs w:val="21"/>
              </w:rPr>
            </w:pPr>
          </w:p>
        </w:tc>
        <w:tc>
          <w:tcPr>
            <w:tcW w:w="1545" w:type="dxa"/>
            <w:noWrap w:val="0"/>
            <w:vAlign w:val="center"/>
          </w:tcPr>
          <w:p w14:paraId="148E6B4B">
            <w:pPr>
              <w:pStyle w:val="31"/>
              <w:spacing w:line="360" w:lineRule="auto"/>
              <w:rPr>
                <w:rFonts w:ascii="宋体" w:hAnsi="宋体"/>
                <w:color w:val="000000"/>
                <w:szCs w:val="21"/>
              </w:rPr>
            </w:pPr>
            <w:r>
              <w:rPr>
                <w:rFonts w:hint="eastAsia" w:ascii="宋体" w:hAnsi="宋体"/>
                <w:color w:val="000000"/>
                <w:szCs w:val="21"/>
              </w:rPr>
              <w:t>预留洞口</w:t>
            </w:r>
          </w:p>
        </w:tc>
        <w:tc>
          <w:tcPr>
            <w:tcW w:w="6645" w:type="dxa"/>
            <w:noWrap w:val="0"/>
            <w:vAlign w:val="center"/>
          </w:tcPr>
          <w:p w14:paraId="4910D561">
            <w:pPr>
              <w:pStyle w:val="31"/>
              <w:spacing w:line="360" w:lineRule="auto"/>
              <w:rPr>
                <w:rFonts w:ascii="宋体" w:hAnsi="宋体"/>
                <w:color w:val="000000"/>
                <w:szCs w:val="21"/>
              </w:rPr>
            </w:pPr>
            <w:r>
              <w:rPr>
                <w:rFonts w:hint="eastAsia" w:ascii="宋体" w:hAnsi="宋体"/>
                <w:color w:val="000000"/>
                <w:szCs w:val="21"/>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1"/>
              <w:spacing w:line="360" w:lineRule="auto"/>
              <w:jc w:val="center"/>
              <w:rPr>
                <w:rFonts w:ascii="宋体" w:hAnsi="宋体"/>
                <w:color w:val="000000"/>
                <w:szCs w:val="21"/>
              </w:rPr>
            </w:pPr>
          </w:p>
        </w:tc>
        <w:tc>
          <w:tcPr>
            <w:tcW w:w="525" w:type="dxa"/>
            <w:vMerge w:val="continue"/>
            <w:noWrap w:val="0"/>
            <w:vAlign w:val="center"/>
          </w:tcPr>
          <w:p w14:paraId="617696BE">
            <w:pPr>
              <w:pStyle w:val="31"/>
              <w:spacing w:line="360" w:lineRule="auto"/>
              <w:jc w:val="center"/>
              <w:rPr>
                <w:rFonts w:ascii="宋体" w:hAnsi="宋体"/>
                <w:color w:val="000000"/>
                <w:szCs w:val="21"/>
              </w:rPr>
            </w:pPr>
          </w:p>
        </w:tc>
        <w:tc>
          <w:tcPr>
            <w:tcW w:w="1545" w:type="dxa"/>
            <w:noWrap w:val="0"/>
            <w:vAlign w:val="center"/>
          </w:tcPr>
          <w:p w14:paraId="3BF1383D">
            <w:pPr>
              <w:pStyle w:val="31"/>
              <w:spacing w:line="360" w:lineRule="auto"/>
              <w:rPr>
                <w:rFonts w:ascii="宋体" w:hAnsi="宋体"/>
                <w:color w:val="000000"/>
                <w:szCs w:val="21"/>
              </w:rPr>
            </w:pPr>
            <w:r>
              <w:rPr>
                <w:rFonts w:hint="eastAsia" w:ascii="宋体" w:hAnsi="宋体"/>
                <w:color w:val="000000"/>
                <w:szCs w:val="21"/>
              </w:rPr>
              <w:t>电梯井口</w:t>
            </w:r>
          </w:p>
        </w:tc>
        <w:tc>
          <w:tcPr>
            <w:tcW w:w="6645" w:type="dxa"/>
            <w:noWrap w:val="0"/>
            <w:vAlign w:val="center"/>
          </w:tcPr>
          <w:p w14:paraId="065E9009">
            <w:pPr>
              <w:pStyle w:val="31"/>
              <w:spacing w:line="360" w:lineRule="auto"/>
              <w:rPr>
                <w:rFonts w:ascii="宋体" w:hAnsi="宋体"/>
                <w:color w:val="000000"/>
                <w:szCs w:val="21"/>
              </w:rPr>
            </w:pPr>
            <w:r>
              <w:rPr>
                <w:rFonts w:hint="eastAsia" w:ascii="宋体" w:hAnsi="宋体"/>
                <w:color w:val="000000"/>
                <w:szCs w:val="21"/>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1"/>
              <w:spacing w:line="360" w:lineRule="auto"/>
              <w:jc w:val="center"/>
              <w:rPr>
                <w:rFonts w:ascii="宋体" w:hAnsi="宋体"/>
                <w:color w:val="000000"/>
                <w:szCs w:val="21"/>
              </w:rPr>
            </w:pPr>
          </w:p>
        </w:tc>
        <w:tc>
          <w:tcPr>
            <w:tcW w:w="525" w:type="dxa"/>
            <w:vMerge w:val="continue"/>
            <w:noWrap w:val="0"/>
            <w:vAlign w:val="center"/>
          </w:tcPr>
          <w:p w14:paraId="507FBBAA">
            <w:pPr>
              <w:pStyle w:val="31"/>
              <w:spacing w:line="360" w:lineRule="auto"/>
              <w:jc w:val="center"/>
              <w:rPr>
                <w:rFonts w:ascii="宋体" w:hAnsi="宋体"/>
                <w:color w:val="000000"/>
                <w:szCs w:val="21"/>
              </w:rPr>
            </w:pPr>
          </w:p>
        </w:tc>
        <w:tc>
          <w:tcPr>
            <w:tcW w:w="1545" w:type="dxa"/>
            <w:noWrap w:val="0"/>
            <w:vAlign w:val="center"/>
          </w:tcPr>
          <w:p w14:paraId="0D39052D">
            <w:pPr>
              <w:pStyle w:val="31"/>
              <w:spacing w:line="360" w:lineRule="auto"/>
              <w:rPr>
                <w:rFonts w:ascii="宋体" w:hAnsi="宋体"/>
                <w:color w:val="000000"/>
                <w:szCs w:val="21"/>
              </w:rPr>
            </w:pPr>
            <w:r>
              <w:rPr>
                <w:rFonts w:hint="eastAsia" w:ascii="宋体" w:hAnsi="宋体"/>
                <w:color w:val="000000"/>
                <w:szCs w:val="21"/>
              </w:rPr>
              <w:t>楼梯边</w:t>
            </w:r>
          </w:p>
        </w:tc>
        <w:tc>
          <w:tcPr>
            <w:tcW w:w="6645" w:type="dxa"/>
            <w:noWrap w:val="0"/>
            <w:vAlign w:val="center"/>
          </w:tcPr>
          <w:p w14:paraId="1CE213CE">
            <w:pPr>
              <w:pStyle w:val="31"/>
              <w:spacing w:line="360" w:lineRule="auto"/>
              <w:rPr>
                <w:rFonts w:ascii="宋体" w:hAnsi="宋体"/>
                <w:color w:val="000000"/>
                <w:szCs w:val="21"/>
              </w:rPr>
            </w:pPr>
            <w:r>
              <w:rPr>
                <w:rFonts w:hint="eastAsia" w:ascii="宋体" w:hAnsi="宋体"/>
                <w:color w:val="000000"/>
                <w:szCs w:val="21"/>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1"/>
              <w:spacing w:line="360" w:lineRule="auto"/>
              <w:jc w:val="center"/>
              <w:rPr>
                <w:rFonts w:ascii="宋体" w:hAnsi="宋体"/>
                <w:color w:val="000000"/>
                <w:szCs w:val="21"/>
              </w:rPr>
            </w:pPr>
          </w:p>
        </w:tc>
        <w:tc>
          <w:tcPr>
            <w:tcW w:w="525" w:type="dxa"/>
            <w:vMerge w:val="continue"/>
            <w:noWrap w:val="0"/>
            <w:vAlign w:val="center"/>
          </w:tcPr>
          <w:p w14:paraId="5A745E0C">
            <w:pPr>
              <w:pStyle w:val="31"/>
              <w:spacing w:line="360" w:lineRule="auto"/>
              <w:jc w:val="center"/>
              <w:rPr>
                <w:rFonts w:ascii="宋体" w:hAnsi="宋体"/>
                <w:color w:val="000000"/>
                <w:szCs w:val="21"/>
              </w:rPr>
            </w:pPr>
          </w:p>
        </w:tc>
        <w:tc>
          <w:tcPr>
            <w:tcW w:w="1545" w:type="dxa"/>
            <w:noWrap w:val="0"/>
            <w:vAlign w:val="center"/>
          </w:tcPr>
          <w:p w14:paraId="39D35A7A">
            <w:pPr>
              <w:pStyle w:val="31"/>
              <w:spacing w:line="360" w:lineRule="auto"/>
              <w:rPr>
                <w:rFonts w:ascii="宋体" w:hAnsi="宋体"/>
                <w:color w:val="000000"/>
                <w:szCs w:val="21"/>
              </w:rPr>
            </w:pPr>
            <w:r>
              <w:rPr>
                <w:rFonts w:hint="eastAsia" w:ascii="宋体" w:hAnsi="宋体"/>
                <w:color w:val="000000"/>
                <w:szCs w:val="21"/>
              </w:rPr>
              <w:t>垂直方向交叉作业</w:t>
            </w:r>
          </w:p>
        </w:tc>
        <w:tc>
          <w:tcPr>
            <w:tcW w:w="6645" w:type="dxa"/>
            <w:noWrap w:val="0"/>
            <w:vAlign w:val="center"/>
          </w:tcPr>
          <w:p w14:paraId="0A4C5F82">
            <w:pPr>
              <w:pStyle w:val="31"/>
              <w:spacing w:line="360" w:lineRule="auto"/>
              <w:rPr>
                <w:rFonts w:ascii="宋体" w:hAnsi="宋体"/>
                <w:color w:val="000000"/>
                <w:szCs w:val="21"/>
              </w:rPr>
            </w:pPr>
            <w:r>
              <w:rPr>
                <w:rFonts w:hint="eastAsia" w:ascii="宋体" w:hAnsi="宋体"/>
                <w:color w:val="000000"/>
                <w:szCs w:val="21"/>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1"/>
              <w:spacing w:line="360" w:lineRule="auto"/>
              <w:jc w:val="center"/>
              <w:rPr>
                <w:rFonts w:ascii="宋体" w:hAnsi="宋体"/>
                <w:color w:val="000000"/>
                <w:szCs w:val="21"/>
              </w:rPr>
            </w:pPr>
          </w:p>
        </w:tc>
        <w:tc>
          <w:tcPr>
            <w:tcW w:w="525" w:type="dxa"/>
            <w:vMerge w:val="continue"/>
            <w:noWrap w:val="0"/>
            <w:vAlign w:val="center"/>
          </w:tcPr>
          <w:p w14:paraId="5FDA94DD">
            <w:pPr>
              <w:pStyle w:val="31"/>
              <w:spacing w:line="360" w:lineRule="auto"/>
              <w:jc w:val="center"/>
              <w:rPr>
                <w:rFonts w:ascii="宋体" w:hAnsi="宋体"/>
                <w:color w:val="000000"/>
                <w:szCs w:val="21"/>
              </w:rPr>
            </w:pPr>
          </w:p>
        </w:tc>
        <w:tc>
          <w:tcPr>
            <w:tcW w:w="1545" w:type="dxa"/>
            <w:noWrap w:val="0"/>
            <w:vAlign w:val="center"/>
          </w:tcPr>
          <w:p w14:paraId="23BB157C">
            <w:pPr>
              <w:pStyle w:val="31"/>
              <w:spacing w:line="360" w:lineRule="auto"/>
              <w:rPr>
                <w:rFonts w:ascii="宋体" w:hAnsi="宋体"/>
                <w:color w:val="000000"/>
                <w:szCs w:val="21"/>
              </w:rPr>
            </w:pPr>
            <w:r>
              <w:rPr>
                <w:rFonts w:hint="eastAsia" w:ascii="宋体" w:hAnsi="宋体"/>
                <w:color w:val="000000"/>
                <w:szCs w:val="21"/>
              </w:rPr>
              <w:t>高处作业</w:t>
            </w:r>
          </w:p>
        </w:tc>
        <w:tc>
          <w:tcPr>
            <w:tcW w:w="6645" w:type="dxa"/>
            <w:noWrap w:val="0"/>
            <w:vAlign w:val="center"/>
          </w:tcPr>
          <w:p w14:paraId="151FA7D4">
            <w:pPr>
              <w:pStyle w:val="31"/>
              <w:spacing w:line="360" w:lineRule="auto"/>
              <w:rPr>
                <w:rFonts w:ascii="宋体" w:hAnsi="宋体"/>
                <w:color w:val="000000"/>
                <w:szCs w:val="21"/>
              </w:rPr>
            </w:pPr>
            <w:r>
              <w:rPr>
                <w:rFonts w:hint="eastAsia" w:ascii="宋体" w:hAnsi="宋体"/>
                <w:color w:val="000000"/>
                <w:szCs w:val="21"/>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1"/>
              <w:spacing w:line="360" w:lineRule="auto"/>
              <w:jc w:val="center"/>
              <w:rPr>
                <w:rFonts w:ascii="宋体" w:hAnsi="宋体"/>
                <w:color w:val="000000"/>
                <w:szCs w:val="21"/>
              </w:rPr>
            </w:pPr>
          </w:p>
        </w:tc>
        <w:tc>
          <w:tcPr>
            <w:tcW w:w="525" w:type="dxa"/>
            <w:vMerge w:val="continue"/>
            <w:noWrap w:val="0"/>
            <w:vAlign w:val="center"/>
          </w:tcPr>
          <w:p w14:paraId="1F88295A">
            <w:pPr>
              <w:pStyle w:val="31"/>
              <w:spacing w:line="360" w:lineRule="auto"/>
              <w:jc w:val="center"/>
              <w:rPr>
                <w:rFonts w:ascii="宋体" w:hAnsi="宋体"/>
                <w:color w:val="000000"/>
                <w:szCs w:val="21"/>
              </w:rPr>
            </w:pPr>
          </w:p>
        </w:tc>
        <w:tc>
          <w:tcPr>
            <w:tcW w:w="1545" w:type="dxa"/>
            <w:noWrap w:val="0"/>
            <w:vAlign w:val="center"/>
          </w:tcPr>
          <w:p w14:paraId="56101DD2">
            <w:pPr>
              <w:pStyle w:val="31"/>
              <w:spacing w:line="360" w:lineRule="auto"/>
              <w:rPr>
                <w:rFonts w:ascii="宋体" w:hAnsi="宋体"/>
                <w:color w:val="000000"/>
                <w:szCs w:val="21"/>
              </w:rPr>
            </w:pPr>
            <w:r>
              <w:rPr>
                <w:rFonts w:hint="eastAsia" w:ascii="宋体" w:hAnsi="宋体"/>
                <w:color w:val="000000"/>
                <w:szCs w:val="21"/>
              </w:rPr>
              <w:t>基坑、物料平台</w:t>
            </w:r>
          </w:p>
        </w:tc>
        <w:tc>
          <w:tcPr>
            <w:tcW w:w="6645" w:type="dxa"/>
            <w:noWrap w:val="0"/>
            <w:vAlign w:val="center"/>
          </w:tcPr>
          <w:p w14:paraId="4E5EAA26">
            <w:pPr>
              <w:pStyle w:val="31"/>
              <w:spacing w:line="360" w:lineRule="auto"/>
              <w:rPr>
                <w:rFonts w:ascii="宋体" w:hAnsi="宋体"/>
                <w:color w:val="000000"/>
                <w:szCs w:val="21"/>
              </w:rPr>
            </w:pPr>
            <w:r>
              <w:rPr>
                <w:rFonts w:hint="eastAsia" w:ascii="宋体" w:hAnsi="宋体"/>
                <w:color w:val="000000"/>
                <w:szCs w:val="21"/>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1"/>
              <w:spacing w:line="360" w:lineRule="auto"/>
              <w:jc w:val="center"/>
              <w:rPr>
                <w:rFonts w:ascii="宋体" w:hAnsi="宋体"/>
                <w:color w:val="000000"/>
                <w:szCs w:val="21"/>
              </w:rPr>
            </w:pPr>
          </w:p>
        </w:tc>
        <w:tc>
          <w:tcPr>
            <w:tcW w:w="2070" w:type="dxa"/>
            <w:gridSpan w:val="2"/>
            <w:noWrap w:val="0"/>
            <w:vAlign w:val="center"/>
          </w:tcPr>
          <w:p w14:paraId="2EC37F97">
            <w:pPr>
              <w:pStyle w:val="31"/>
              <w:spacing w:line="360" w:lineRule="auto"/>
              <w:jc w:val="center"/>
              <w:rPr>
                <w:rFonts w:ascii="宋体" w:hAnsi="宋体"/>
                <w:color w:val="000000"/>
                <w:szCs w:val="21"/>
              </w:rPr>
            </w:pPr>
            <w:r>
              <w:rPr>
                <w:rFonts w:hint="eastAsia" w:ascii="宋体" w:hAnsi="宋体"/>
                <w:color w:val="000000"/>
                <w:szCs w:val="21"/>
              </w:rPr>
              <w:t>安全防护用品</w:t>
            </w:r>
          </w:p>
        </w:tc>
        <w:tc>
          <w:tcPr>
            <w:tcW w:w="6645" w:type="dxa"/>
            <w:noWrap w:val="0"/>
            <w:vAlign w:val="center"/>
          </w:tcPr>
          <w:p w14:paraId="5945AE86">
            <w:pPr>
              <w:pStyle w:val="31"/>
              <w:spacing w:line="360" w:lineRule="auto"/>
              <w:rPr>
                <w:rFonts w:ascii="宋体" w:hAnsi="宋体"/>
                <w:color w:val="000000"/>
                <w:szCs w:val="21"/>
              </w:rPr>
            </w:pPr>
            <w:r>
              <w:rPr>
                <w:rFonts w:hint="eastAsia" w:ascii="宋体" w:hAnsi="宋体"/>
                <w:color w:val="000000"/>
                <w:szCs w:val="21"/>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1"/>
              <w:spacing w:line="360" w:lineRule="auto"/>
              <w:jc w:val="center"/>
              <w:rPr>
                <w:rFonts w:ascii="宋体" w:hAnsi="宋体"/>
                <w:color w:val="000000"/>
                <w:szCs w:val="21"/>
              </w:rPr>
            </w:pPr>
            <w:r>
              <w:rPr>
                <w:rFonts w:hint="eastAsia" w:ascii="宋体" w:hAnsi="宋体"/>
                <w:color w:val="000000"/>
                <w:szCs w:val="21"/>
              </w:rPr>
              <w:t>其它</w:t>
            </w:r>
          </w:p>
        </w:tc>
        <w:tc>
          <w:tcPr>
            <w:tcW w:w="525" w:type="dxa"/>
            <w:vMerge w:val="restart"/>
            <w:noWrap w:val="0"/>
            <w:vAlign w:val="center"/>
          </w:tcPr>
          <w:p w14:paraId="7E65BE0A">
            <w:pPr>
              <w:pStyle w:val="31"/>
              <w:spacing w:line="360" w:lineRule="auto"/>
              <w:jc w:val="center"/>
              <w:rPr>
                <w:rFonts w:ascii="宋体" w:hAnsi="宋体"/>
                <w:color w:val="000000"/>
                <w:szCs w:val="21"/>
              </w:rPr>
            </w:pPr>
            <w:r>
              <w:rPr>
                <w:rFonts w:hint="eastAsia" w:ascii="宋体" w:hAnsi="宋体"/>
                <w:color w:val="000000"/>
                <w:szCs w:val="21"/>
              </w:rPr>
              <w:t>机械设备防护</w:t>
            </w:r>
          </w:p>
        </w:tc>
        <w:tc>
          <w:tcPr>
            <w:tcW w:w="1545" w:type="dxa"/>
            <w:noWrap w:val="0"/>
            <w:vAlign w:val="center"/>
          </w:tcPr>
          <w:p w14:paraId="6EF58143">
            <w:pPr>
              <w:pStyle w:val="31"/>
              <w:spacing w:line="360" w:lineRule="auto"/>
              <w:jc w:val="center"/>
              <w:rPr>
                <w:rFonts w:ascii="宋体" w:hAnsi="宋体"/>
                <w:color w:val="000000"/>
                <w:szCs w:val="21"/>
              </w:rPr>
            </w:pPr>
            <w:r>
              <w:rPr>
                <w:rFonts w:hint="eastAsia" w:ascii="宋体" w:hAnsi="宋体"/>
                <w:color w:val="000000"/>
                <w:szCs w:val="21"/>
              </w:rPr>
              <w:t>中小型机械</w:t>
            </w:r>
          </w:p>
        </w:tc>
        <w:tc>
          <w:tcPr>
            <w:tcW w:w="6645" w:type="dxa"/>
            <w:noWrap w:val="0"/>
            <w:vAlign w:val="center"/>
          </w:tcPr>
          <w:p w14:paraId="2C818A6F">
            <w:pPr>
              <w:pStyle w:val="31"/>
              <w:spacing w:line="360" w:lineRule="auto"/>
              <w:rPr>
                <w:rFonts w:ascii="宋体" w:hAnsi="宋体"/>
                <w:color w:val="000000"/>
                <w:szCs w:val="21"/>
              </w:rPr>
            </w:pPr>
            <w:r>
              <w:rPr>
                <w:rFonts w:hint="eastAsia" w:ascii="宋体" w:hAnsi="宋体"/>
                <w:color w:val="000000"/>
                <w:szCs w:val="21"/>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1"/>
              <w:spacing w:line="360" w:lineRule="auto"/>
              <w:jc w:val="center"/>
              <w:rPr>
                <w:rFonts w:ascii="宋体" w:hAnsi="宋体"/>
                <w:color w:val="000000"/>
                <w:szCs w:val="21"/>
              </w:rPr>
            </w:pPr>
          </w:p>
        </w:tc>
        <w:tc>
          <w:tcPr>
            <w:tcW w:w="525" w:type="dxa"/>
            <w:vMerge w:val="continue"/>
            <w:noWrap w:val="0"/>
            <w:vAlign w:val="center"/>
          </w:tcPr>
          <w:p w14:paraId="051E3F5B">
            <w:pPr>
              <w:pStyle w:val="31"/>
              <w:spacing w:line="360" w:lineRule="auto"/>
              <w:jc w:val="center"/>
              <w:rPr>
                <w:rFonts w:ascii="宋体" w:hAnsi="宋体"/>
                <w:color w:val="000000"/>
                <w:szCs w:val="21"/>
              </w:rPr>
            </w:pPr>
          </w:p>
        </w:tc>
        <w:tc>
          <w:tcPr>
            <w:tcW w:w="1545" w:type="dxa"/>
            <w:noWrap w:val="0"/>
            <w:vAlign w:val="center"/>
          </w:tcPr>
          <w:p w14:paraId="4D4F16AD">
            <w:pPr>
              <w:pStyle w:val="31"/>
              <w:spacing w:line="360" w:lineRule="auto"/>
              <w:jc w:val="center"/>
              <w:rPr>
                <w:rFonts w:ascii="宋体" w:hAnsi="宋体"/>
                <w:color w:val="000000"/>
                <w:szCs w:val="21"/>
              </w:rPr>
            </w:pPr>
            <w:r>
              <w:rPr>
                <w:rFonts w:hint="eastAsia" w:ascii="宋体" w:hAnsi="宋体"/>
                <w:color w:val="000000"/>
                <w:szCs w:val="21"/>
              </w:rPr>
              <w:t>垂直运输设备</w:t>
            </w:r>
          </w:p>
        </w:tc>
        <w:tc>
          <w:tcPr>
            <w:tcW w:w="6645" w:type="dxa"/>
            <w:noWrap w:val="0"/>
            <w:vAlign w:val="center"/>
          </w:tcPr>
          <w:p w14:paraId="7AF82E8E">
            <w:pPr>
              <w:pStyle w:val="31"/>
              <w:spacing w:line="360" w:lineRule="auto"/>
              <w:rPr>
                <w:rFonts w:ascii="宋体" w:hAnsi="宋体"/>
                <w:color w:val="000000"/>
                <w:szCs w:val="21"/>
              </w:rPr>
            </w:pPr>
            <w:r>
              <w:rPr>
                <w:rFonts w:hint="eastAsia" w:ascii="宋体" w:hAnsi="宋体"/>
                <w:color w:val="000000"/>
                <w:szCs w:val="21"/>
              </w:rPr>
              <w:t>1. 垂直运输设备检测、检验、日常维护、保养等。</w:t>
            </w:r>
          </w:p>
          <w:p w14:paraId="0CF1DA2C">
            <w:pPr>
              <w:pStyle w:val="31"/>
              <w:spacing w:line="360" w:lineRule="auto"/>
              <w:rPr>
                <w:rFonts w:ascii="宋体" w:hAnsi="宋体"/>
                <w:color w:val="000000"/>
                <w:szCs w:val="21"/>
              </w:rPr>
            </w:pPr>
            <w:r>
              <w:rPr>
                <w:rFonts w:hint="eastAsia" w:ascii="宋体" w:hAnsi="宋体"/>
                <w:color w:val="000000"/>
                <w:szCs w:val="21"/>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1"/>
              <w:spacing w:line="360" w:lineRule="auto"/>
              <w:jc w:val="center"/>
              <w:rPr>
                <w:rFonts w:ascii="宋体" w:hAnsi="宋体"/>
                <w:color w:val="000000"/>
                <w:szCs w:val="21"/>
              </w:rPr>
            </w:pPr>
          </w:p>
        </w:tc>
        <w:tc>
          <w:tcPr>
            <w:tcW w:w="2070" w:type="dxa"/>
            <w:gridSpan w:val="2"/>
            <w:noWrap w:val="0"/>
            <w:vAlign w:val="center"/>
          </w:tcPr>
          <w:p w14:paraId="4DED02F6">
            <w:pPr>
              <w:pStyle w:val="31"/>
              <w:spacing w:line="360" w:lineRule="auto"/>
              <w:jc w:val="center"/>
              <w:rPr>
                <w:rFonts w:ascii="宋体" w:hAnsi="宋体"/>
                <w:color w:val="000000"/>
                <w:szCs w:val="21"/>
              </w:rPr>
            </w:pPr>
            <w:r>
              <w:rPr>
                <w:rFonts w:hint="eastAsia" w:ascii="宋体" w:hAnsi="宋体"/>
                <w:color w:val="000000"/>
                <w:szCs w:val="21"/>
              </w:rPr>
              <w:t>专家论证审查</w:t>
            </w:r>
          </w:p>
        </w:tc>
        <w:tc>
          <w:tcPr>
            <w:tcW w:w="6645" w:type="dxa"/>
            <w:noWrap w:val="0"/>
            <w:vAlign w:val="center"/>
          </w:tcPr>
          <w:p w14:paraId="0C41D694">
            <w:pPr>
              <w:pStyle w:val="31"/>
              <w:spacing w:line="360" w:lineRule="auto"/>
              <w:rPr>
                <w:rFonts w:ascii="宋体" w:hAnsi="宋体"/>
                <w:color w:val="000000"/>
                <w:szCs w:val="21"/>
              </w:rPr>
            </w:pPr>
            <w:r>
              <w:rPr>
                <w:rFonts w:hint="eastAsia" w:ascii="宋体" w:hAnsi="宋体"/>
                <w:color w:val="000000"/>
                <w:szCs w:val="21"/>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1"/>
              <w:spacing w:line="360" w:lineRule="auto"/>
              <w:jc w:val="center"/>
              <w:rPr>
                <w:rFonts w:ascii="宋体" w:hAnsi="宋体"/>
                <w:color w:val="000000"/>
                <w:szCs w:val="21"/>
              </w:rPr>
            </w:pPr>
          </w:p>
        </w:tc>
        <w:tc>
          <w:tcPr>
            <w:tcW w:w="2070" w:type="dxa"/>
            <w:gridSpan w:val="2"/>
            <w:noWrap w:val="0"/>
            <w:vAlign w:val="center"/>
          </w:tcPr>
          <w:p w14:paraId="15E1461F">
            <w:pPr>
              <w:pStyle w:val="31"/>
              <w:spacing w:line="360" w:lineRule="auto"/>
              <w:jc w:val="center"/>
              <w:rPr>
                <w:rFonts w:ascii="宋体" w:hAnsi="宋体"/>
                <w:color w:val="000000"/>
                <w:szCs w:val="21"/>
              </w:rPr>
            </w:pPr>
            <w:r>
              <w:rPr>
                <w:rFonts w:hint="eastAsia" w:ascii="宋体" w:hAnsi="宋体"/>
                <w:color w:val="000000"/>
                <w:szCs w:val="21"/>
              </w:rPr>
              <w:t>应急救援预案</w:t>
            </w:r>
          </w:p>
        </w:tc>
        <w:tc>
          <w:tcPr>
            <w:tcW w:w="6645" w:type="dxa"/>
            <w:noWrap w:val="0"/>
            <w:vAlign w:val="center"/>
          </w:tcPr>
          <w:p w14:paraId="5A21B539">
            <w:pPr>
              <w:pStyle w:val="31"/>
              <w:spacing w:line="360" w:lineRule="auto"/>
              <w:rPr>
                <w:rFonts w:ascii="宋体" w:hAnsi="宋体"/>
                <w:color w:val="000000"/>
                <w:szCs w:val="21"/>
              </w:rPr>
            </w:pPr>
            <w:r>
              <w:rPr>
                <w:rFonts w:hint="eastAsia" w:ascii="宋体" w:hAnsi="宋体"/>
                <w:color w:val="000000"/>
                <w:szCs w:val="21"/>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1"/>
              <w:spacing w:line="360" w:lineRule="auto"/>
              <w:jc w:val="center"/>
              <w:rPr>
                <w:rFonts w:ascii="宋体" w:hAnsi="宋体"/>
                <w:color w:val="000000"/>
                <w:szCs w:val="21"/>
              </w:rPr>
            </w:pPr>
          </w:p>
        </w:tc>
        <w:tc>
          <w:tcPr>
            <w:tcW w:w="2070" w:type="dxa"/>
            <w:gridSpan w:val="2"/>
            <w:noWrap w:val="0"/>
            <w:vAlign w:val="center"/>
          </w:tcPr>
          <w:p w14:paraId="09564948">
            <w:pPr>
              <w:pStyle w:val="31"/>
              <w:spacing w:line="360" w:lineRule="auto"/>
              <w:jc w:val="center"/>
              <w:rPr>
                <w:rFonts w:ascii="宋体" w:hAnsi="宋体"/>
                <w:color w:val="000000"/>
                <w:szCs w:val="21"/>
              </w:rPr>
            </w:pPr>
            <w:r>
              <w:rPr>
                <w:rFonts w:hint="eastAsia" w:ascii="宋体" w:hAnsi="宋体"/>
                <w:color w:val="000000"/>
                <w:szCs w:val="21"/>
              </w:rPr>
              <w:t>非正常情况施工</w:t>
            </w:r>
          </w:p>
        </w:tc>
        <w:tc>
          <w:tcPr>
            <w:tcW w:w="6645" w:type="dxa"/>
            <w:noWrap w:val="0"/>
            <w:vAlign w:val="center"/>
          </w:tcPr>
          <w:p w14:paraId="1DA4C4F0">
            <w:pPr>
              <w:pStyle w:val="31"/>
              <w:spacing w:line="360" w:lineRule="auto"/>
              <w:rPr>
                <w:rFonts w:ascii="宋体" w:hAnsi="宋体"/>
                <w:color w:val="000000"/>
                <w:szCs w:val="21"/>
              </w:rPr>
            </w:pPr>
            <w:r>
              <w:rPr>
                <w:rFonts w:hint="eastAsia" w:ascii="宋体" w:hAnsi="宋体"/>
                <w:color w:val="000000"/>
                <w:szCs w:val="21"/>
              </w:rPr>
              <w:t>其它特殊情况下的防护费用，如：城市主干道、人流密集、河边等处施工及文物、古建筑、古树保护等。</w:t>
            </w:r>
          </w:p>
        </w:tc>
      </w:tr>
    </w:tbl>
    <w:p w14:paraId="760AAB7F">
      <w:pPr>
        <w:pStyle w:val="11"/>
        <w:rPr>
          <w:color w:val="000000"/>
        </w:rPr>
      </w:pPr>
      <w:r>
        <w:rPr>
          <w:color w:val="000000"/>
        </w:rPr>
        <w:t>注：本表所列建设工程安全文明施工费，是依据现行法律法规及标准、规范确定的。如法律法规和标准、规范修订，本表所列项目应按照修订后的法律法规和标准规范进行调整。</w:t>
      </w:r>
    </w:p>
    <w:p w14:paraId="208DFFB6">
      <w:pPr>
        <w:pStyle w:val="2"/>
        <w:numPr>
          <w:ilvl w:val="0"/>
          <w:numId w:val="52"/>
        </w:numPr>
        <w:tabs>
          <w:tab w:val="clear" w:pos="482"/>
        </w:tabs>
        <w:bidi w:val="0"/>
        <w:ind w:left="0" w:leftChars="0" w:firstLine="480" w:firstLineChars="0"/>
      </w:pPr>
      <w:r>
        <w:br w:type="page"/>
      </w:r>
      <w:r>
        <w:t>项目经理须具备公路工程或市政公用工程专业二级（含二级）以上注册建造师执业资格，具备有效的安全生产考核合格证书（B类）的证明材料复印件</w:t>
      </w:r>
    </w:p>
    <w:p w14:paraId="39ED3919">
      <w:pPr>
        <w:pStyle w:val="26"/>
        <w:spacing w:line="360" w:lineRule="auto"/>
        <w:rPr>
          <w:rFonts w:hint="eastAsia"/>
        </w:rPr>
      </w:pPr>
    </w:p>
    <w:p w14:paraId="26120078">
      <w:pPr>
        <w:pStyle w:val="26"/>
        <w:spacing w:line="360" w:lineRule="auto"/>
        <w:rPr>
          <w:rFonts w:hint="eastAsia"/>
        </w:rPr>
      </w:pPr>
    </w:p>
    <w:p w14:paraId="5FF5641B">
      <w:pPr>
        <w:pStyle w:val="26"/>
        <w:spacing w:line="360" w:lineRule="auto"/>
        <w:rPr>
          <w:rFonts w:hint="eastAsia"/>
        </w:rPr>
      </w:pPr>
    </w:p>
    <w:p w14:paraId="184A36AA">
      <w:pPr>
        <w:pStyle w:val="2"/>
        <w:numPr>
          <w:ilvl w:val="0"/>
          <w:numId w:val="52"/>
        </w:numPr>
        <w:tabs>
          <w:tab w:val="clear" w:pos="482"/>
        </w:tabs>
        <w:bidi w:val="0"/>
        <w:ind w:left="0" w:leftChars="0" w:firstLine="480" w:firstLineChars="0"/>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b/>
          <w:color w:val="000000"/>
          <w:sz w:val="24"/>
        </w:rPr>
      </w:pPr>
    </w:p>
    <w:p w14:paraId="3EE5698C">
      <w:pPr>
        <w:pStyle w:val="26"/>
        <w:rPr>
          <w:rFonts w:hint="eastAsia"/>
        </w:rPr>
      </w:pPr>
    </w:p>
    <w:p w14:paraId="7BA1F3D7">
      <w:pPr>
        <w:pStyle w:val="2"/>
        <w:numPr>
          <w:ilvl w:val="0"/>
          <w:numId w:val="52"/>
        </w:numPr>
        <w:tabs>
          <w:tab w:val="clear" w:pos="482"/>
        </w:tabs>
        <w:bidi w:val="0"/>
        <w:ind w:left="0" w:leftChars="0" w:firstLine="480" w:firstLineChars="0"/>
      </w:pPr>
      <w: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b/>
          <w:color w:val="000000"/>
          <w:sz w:val="24"/>
        </w:rPr>
      </w:pPr>
    </w:p>
    <w:p w14:paraId="0EC26AA9">
      <w:pPr>
        <w:spacing w:line="360" w:lineRule="auto"/>
        <w:ind w:left="420"/>
        <w:rPr>
          <w:rFonts w:hint="eastAsia" w:ascii="宋体" w:hAnsi="宋体"/>
          <w:b/>
          <w:color w:val="000000"/>
          <w:sz w:val="24"/>
        </w:rPr>
      </w:pPr>
    </w:p>
    <w:p w14:paraId="639C6BD6">
      <w:pPr>
        <w:spacing w:line="360" w:lineRule="auto"/>
        <w:ind w:left="420"/>
        <w:rPr>
          <w:rFonts w:hint="eastAsia" w:ascii="宋体" w:hAnsi="宋体"/>
          <w:b/>
          <w:color w:val="000000"/>
          <w:sz w:val="24"/>
        </w:rPr>
      </w:pPr>
    </w:p>
    <w:p w14:paraId="722A968D">
      <w:pPr>
        <w:pStyle w:val="2"/>
        <w:numPr>
          <w:ilvl w:val="0"/>
          <w:numId w:val="52"/>
        </w:numPr>
        <w:tabs>
          <w:tab w:val="clear" w:pos="482"/>
        </w:tabs>
        <w:bidi w:val="0"/>
        <w:ind w:left="0" w:leftChars="0" w:firstLine="480" w:firstLineChars="0"/>
      </w:pPr>
      <w:r>
        <w:t>磋商供应商2022或2023年度经审计财务报告复印件（若为新成立的企业，可根据实际情况提供月度财务报表，格式自拟）；</w:t>
      </w:r>
    </w:p>
    <w:p w14:paraId="29494A33">
      <w:pPr>
        <w:spacing w:line="360" w:lineRule="auto"/>
        <w:rPr>
          <w:rFonts w:hint="eastAsia" w:ascii="宋体" w:hAnsi="宋体"/>
          <w:b/>
          <w:color w:val="000000"/>
          <w:sz w:val="24"/>
        </w:rPr>
      </w:pPr>
    </w:p>
    <w:p w14:paraId="050CEF89">
      <w:pPr>
        <w:spacing w:line="360" w:lineRule="auto"/>
        <w:rPr>
          <w:rFonts w:hint="eastAsia" w:ascii="宋体" w:hAnsi="宋体"/>
          <w:b/>
          <w:color w:val="000000"/>
          <w:sz w:val="24"/>
        </w:rPr>
      </w:pPr>
    </w:p>
    <w:p w14:paraId="61692095">
      <w:pPr>
        <w:spacing w:line="360" w:lineRule="auto"/>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036554DE">
      <w:pPr>
        <w:pStyle w:val="2"/>
        <w:numPr>
          <w:ilvl w:val="0"/>
          <w:numId w:val="52"/>
        </w:numPr>
        <w:tabs>
          <w:tab w:val="clear" w:pos="482"/>
        </w:tabs>
        <w:bidi w:val="0"/>
        <w:ind w:left="0" w:leftChars="0" w:firstLine="480" w:firstLineChars="0"/>
      </w:pPr>
      <w:r>
        <w:t>参加政府采购活动前3年内在经营活动中没有重大违法记录的书面声明</w:t>
      </w:r>
    </w:p>
    <w:p w14:paraId="072A7AC0">
      <w:pPr>
        <w:spacing w:line="360" w:lineRule="auto"/>
        <w:ind w:firstLine="240" w:firstLineChars="100"/>
        <w:rPr>
          <w:rStyle w:val="32"/>
          <w:rFonts w:hint="eastAsia" w:ascii="宋体" w:hAnsi="宋体" w:cs="宋体"/>
          <w:color w:val="000000"/>
          <w:sz w:val="24"/>
          <w:u w:val="single"/>
        </w:rPr>
      </w:pPr>
    </w:p>
    <w:p w14:paraId="666F7A5E">
      <w:pPr>
        <w:spacing w:line="360" w:lineRule="auto"/>
        <w:ind w:firstLine="240" w:firstLineChars="100"/>
        <w:rPr>
          <w:rStyle w:val="32"/>
          <w:rFonts w:hint="eastAsia" w:ascii="宋体" w:hAnsi="宋体" w:cs="宋体"/>
          <w:color w:val="000000"/>
          <w:sz w:val="24"/>
          <w:u w:val="single"/>
        </w:rPr>
      </w:pPr>
    </w:p>
    <w:p w14:paraId="6F80DFC9">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0000"/>
          <w:u w:val="single"/>
        </w:rPr>
      </w:pPr>
      <w:r>
        <w:rPr>
          <w:rStyle w:val="32"/>
          <w:rFonts w:hint="eastAsia"/>
          <w:color w:val="000000"/>
          <w:u w:val="single"/>
          <w:lang w:eastAsia="zh-CN"/>
        </w:rPr>
        <w:t>广西国立工程咨询有限公司</w:t>
      </w:r>
      <w:r>
        <w:rPr>
          <w:rStyle w:val="32"/>
          <w:color w:val="000000"/>
          <w:u w:val="single"/>
        </w:rPr>
        <w:t>：</w:t>
      </w:r>
    </w:p>
    <w:p w14:paraId="5E36A3E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r>
        <w:rPr>
          <w:rStyle w:val="32"/>
          <w:color w:val="000000"/>
        </w:rPr>
        <w:t>我公司参加贵公司组织</w:t>
      </w:r>
      <w:r>
        <w:rPr>
          <w:rStyle w:val="32"/>
          <w:color w:val="000000"/>
          <w:u w:val="single"/>
        </w:rPr>
        <w:t xml:space="preserve">         </w:t>
      </w:r>
      <w:r>
        <w:rPr>
          <w:rStyle w:val="32"/>
          <w:color w:val="00000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11"/>
        <w:rPr>
          <w:color w:val="000000"/>
        </w:rPr>
      </w:pPr>
      <w:r>
        <w:rPr>
          <w:rStyle w:val="32"/>
          <w:color w:val="000000"/>
        </w:rPr>
        <w:t>特此承诺。</w:t>
      </w:r>
    </w:p>
    <w:p w14:paraId="6F5669A9">
      <w:pPr>
        <w:spacing w:line="360" w:lineRule="auto"/>
        <w:ind w:firstLine="480" w:firstLineChars="200"/>
        <w:rPr>
          <w:rFonts w:hint="eastAsia" w:ascii="宋体" w:hAnsi="宋体" w:cs="宋体"/>
          <w:color w:val="000000"/>
          <w:sz w:val="24"/>
        </w:rPr>
      </w:pPr>
    </w:p>
    <w:p w14:paraId="2FCE4D5A">
      <w:pPr>
        <w:spacing w:line="360" w:lineRule="auto"/>
        <w:ind w:firstLine="480" w:firstLineChars="200"/>
        <w:rPr>
          <w:rFonts w:hint="eastAsia" w:ascii="宋体" w:hAnsi="宋体" w:cs="宋体"/>
          <w:color w:val="000000"/>
          <w:sz w:val="24"/>
        </w:rPr>
      </w:pPr>
    </w:p>
    <w:p w14:paraId="0D851938">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 xml:space="preserve">供应商公章：  </w:t>
      </w:r>
    </w:p>
    <w:p w14:paraId="45AB5236">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法定代表人或委托代理人签字：   </w:t>
      </w:r>
    </w:p>
    <w:p w14:paraId="7E25CD93">
      <w:pPr>
        <w:spacing w:line="360" w:lineRule="auto"/>
        <w:ind w:left="42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日期：     年     月     日</w:t>
      </w:r>
    </w:p>
    <w:p w14:paraId="672AFA16">
      <w:pPr>
        <w:spacing w:line="360" w:lineRule="auto"/>
        <w:ind w:left="420"/>
        <w:rPr>
          <w:rFonts w:hint="eastAsia" w:ascii="宋体" w:hAnsi="宋体"/>
          <w:b/>
          <w:color w:val="000000"/>
          <w:sz w:val="24"/>
        </w:rPr>
      </w:pPr>
    </w:p>
    <w:p w14:paraId="03BEB3B9">
      <w:pPr>
        <w:pStyle w:val="26"/>
        <w:spacing w:line="360" w:lineRule="auto"/>
        <w:rPr>
          <w:rFonts w:hint="eastAsia" w:ascii="宋体" w:hAnsi="宋体"/>
          <w:b/>
        </w:rPr>
      </w:pPr>
    </w:p>
    <w:p w14:paraId="11149A61">
      <w:pPr>
        <w:pStyle w:val="26"/>
        <w:spacing w:line="360" w:lineRule="auto"/>
        <w:rPr>
          <w:rFonts w:hint="eastAsia" w:ascii="宋体" w:hAnsi="宋体"/>
          <w:b/>
        </w:rPr>
      </w:pPr>
    </w:p>
    <w:p w14:paraId="66251B9E">
      <w:pPr>
        <w:pStyle w:val="26"/>
        <w:spacing w:line="360" w:lineRule="auto"/>
        <w:rPr>
          <w:rFonts w:hint="eastAsia" w:ascii="宋体" w:hAnsi="宋体"/>
          <w:b/>
        </w:rPr>
      </w:pPr>
    </w:p>
    <w:p w14:paraId="75F49A10">
      <w:pPr>
        <w:pStyle w:val="26"/>
        <w:spacing w:line="360" w:lineRule="auto"/>
        <w:rPr>
          <w:rFonts w:hint="eastAsia" w:ascii="宋体" w:hAnsi="宋体"/>
          <w:b/>
        </w:rPr>
      </w:pPr>
    </w:p>
    <w:p w14:paraId="65C57AD8">
      <w:pPr>
        <w:pStyle w:val="26"/>
        <w:spacing w:line="360" w:lineRule="auto"/>
        <w:rPr>
          <w:rFonts w:hint="eastAsia" w:ascii="宋体" w:hAnsi="宋体"/>
          <w:b/>
        </w:rPr>
      </w:pPr>
    </w:p>
    <w:p w14:paraId="23A05ABA">
      <w:pPr>
        <w:pStyle w:val="26"/>
        <w:spacing w:line="360" w:lineRule="auto"/>
        <w:rPr>
          <w:rFonts w:hint="eastAsia" w:ascii="宋体" w:hAnsi="宋体"/>
          <w:b/>
        </w:rPr>
      </w:pPr>
    </w:p>
    <w:p w14:paraId="10ADB49F">
      <w:pPr>
        <w:pStyle w:val="26"/>
        <w:spacing w:line="360" w:lineRule="auto"/>
        <w:rPr>
          <w:rFonts w:hint="eastAsia" w:ascii="宋体" w:hAnsi="宋体"/>
          <w:b/>
        </w:rPr>
      </w:pPr>
    </w:p>
    <w:p w14:paraId="1712052A">
      <w:pPr>
        <w:pStyle w:val="26"/>
        <w:spacing w:line="360" w:lineRule="auto"/>
        <w:rPr>
          <w:rFonts w:hint="eastAsia" w:ascii="宋体" w:hAnsi="宋体"/>
          <w:b/>
        </w:rPr>
      </w:pPr>
    </w:p>
    <w:p w14:paraId="4FDE509C">
      <w:pPr>
        <w:pStyle w:val="26"/>
        <w:spacing w:line="360" w:lineRule="auto"/>
        <w:rPr>
          <w:rFonts w:hint="eastAsia" w:ascii="宋体" w:hAnsi="宋体"/>
          <w:b/>
        </w:rPr>
      </w:pPr>
    </w:p>
    <w:p w14:paraId="14B30B7E">
      <w:pPr>
        <w:pStyle w:val="26"/>
        <w:spacing w:line="360" w:lineRule="auto"/>
        <w:rPr>
          <w:rFonts w:hint="eastAsia" w:ascii="宋体" w:hAnsi="宋体"/>
          <w:b/>
        </w:rPr>
      </w:pPr>
    </w:p>
    <w:p w14:paraId="42E02F45">
      <w:pPr>
        <w:pStyle w:val="26"/>
        <w:spacing w:line="360" w:lineRule="auto"/>
        <w:rPr>
          <w:rFonts w:hint="eastAsia" w:ascii="宋体" w:hAnsi="宋体"/>
          <w:b/>
        </w:rPr>
      </w:pPr>
    </w:p>
    <w:p w14:paraId="675B20F4">
      <w:pPr>
        <w:pStyle w:val="26"/>
        <w:spacing w:line="360" w:lineRule="auto"/>
        <w:rPr>
          <w:rFonts w:hint="eastAsia" w:ascii="宋体" w:hAnsi="宋体"/>
          <w:b/>
        </w:rPr>
      </w:pPr>
    </w:p>
    <w:p w14:paraId="340398B9">
      <w:pPr>
        <w:pStyle w:val="2"/>
        <w:numPr>
          <w:ilvl w:val="0"/>
          <w:numId w:val="52"/>
        </w:numPr>
        <w:tabs>
          <w:tab w:val="clear" w:pos="482"/>
        </w:tabs>
        <w:bidi w:val="0"/>
        <w:ind w:left="0" w:leftChars="0" w:firstLine="480" w:firstLineChars="0"/>
      </w:pPr>
      <w:r>
        <w:t>供应商参加本项目无围标串标行为的承诺函（格式）；</w:t>
      </w:r>
    </w:p>
    <w:p w14:paraId="7094715E">
      <w:pPr>
        <w:pStyle w:val="3"/>
        <w:numPr>
          <w:ilvl w:val="0"/>
          <w:numId w:val="54"/>
        </w:numPr>
        <w:tabs>
          <w:tab w:val="clear" w:pos="482"/>
        </w:tabs>
        <w:topLinePunct w:val="0"/>
        <w:ind w:left="0" w:leftChars="0" w:firstLine="482" w:firstLineChars="0"/>
        <w:rPr>
          <w:b/>
        </w:rPr>
      </w:pPr>
      <w:r>
        <w:t>我公司承诺无下列相互串通投标的情形：</w:t>
      </w:r>
    </w:p>
    <w:p w14:paraId="7FC4AD9D">
      <w:pPr>
        <w:pStyle w:val="11"/>
        <w:numPr>
          <w:ilvl w:val="0"/>
          <w:numId w:val="55"/>
        </w:numPr>
        <w:ind w:left="0" w:leftChars="0" w:firstLine="480" w:firstLineChars="0"/>
        <w:rPr>
          <w:b w:val="0"/>
          <w:color w:val="000000"/>
        </w:rPr>
      </w:pPr>
      <w:r>
        <w:rPr>
          <w:color w:val="000000"/>
        </w:rPr>
        <w:t>不同投标人的投标文件由同一单位或者个人编制；或不同投标人报名的IP地址一致的；</w:t>
      </w:r>
    </w:p>
    <w:p w14:paraId="0E9C2095">
      <w:pPr>
        <w:pStyle w:val="11"/>
        <w:numPr>
          <w:ilvl w:val="0"/>
          <w:numId w:val="55"/>
        </w:numPr>
        <w:ind w:left="0" w:leftChars="0" w:firstLine="480" w:firstLineChars="0"/>
        <w:rPr>
          <w:b w:val="0"/>
          <w:color w:val="000000"/>
        </w:rPr>
      </w:pPr>
      <w:r>
        <w:rPr>
          <w:color w:val="000000"/>
        </w:rPr>
        <w:t>不同投标人委托同一单位或者个人办理投标事宜；</w:t>
      </w:r>
    </w:p>
    <w:p w14:paraId="1FB97EFD">
      <w:pPr>
        <w:pStyle w:val="11"/>
        <w:numPr>
          <w:ilvl w:val="0"/>
          <w:numId w:val="55"/>
        </w:numPr>
        <w:ind w:left="0" w:leftChars="0" w:firstLine="480" w:firstLineChars="0"/>
        <w:rPr>
          <w:b w:val="0"/>
          <w:color w:val="000000"/>
        </w:rPr>
      </w:pPr>
      <w:r>
        <w:rPr>
          <w:color w:val="000000"/>
        </w:rPr>
        <w:t>不同的投标人的投标文件载明的项目管理员为同一个人；</w:t>
      </w:r>
    </w:p>
    <w:p w14:paraId="0C03B8A1">
      <w:pPr>
        <w:pStyle w:val="11"/>
        <w:numPr>
          <w:ilvl w:val="0"/>
          <w:numId w:val="55"/>
        </w:numPr>
        <w:ind w:left="0" w:leftChars="0" w:firstLine="480" w:firstLineChars="0"/>
        <w:rPr>
          <w:b w:val="0"/>
          <w:color w:val="000000"/>
        </w:rPr>
      </w:pPr>
      <w:r>
        <w:rPr>
          <w:color w:val="000000"/>
        </w:rPr>
        <w:t>不同投标人的投标文件异常一致或投标报价呈规律性差异；</w:t>
      </w:r>
    </w:p>
    <w:p w14:paraId="3DDDCA6A">
      <w:pPr>
        <w:pStyle w:val="11"/>
        <w:numPr>
          <w:ilvl w:val="0"/>
          <w:numId w:val="55"/>
        </w:numPr>
        <w:ind w:left="0" w:leftChars="0" w:firstLine="480" w:firstLineChars="0"/>
        <w:rPr>
          <w:b w:val="0"/>
          <w:color w:val="000000"/>
        </w:rPr>
      </w:pPr>
      <w:r>
        <w:rPr>
          <w:color w:val="000000"/>
        </w:rPr>
        <w:t>不同投标人的投标文件相互混装；</w:t>
      </w:r>
    </w:p>
    <w:p w14:paraId="57566154">
      <w:pPr>
        <w:pStyle w:val="11"/>
        <w:numPr>
          <w:ilvl w:val="0"/>
          <w:numId w:val="55"/>
        </w:numPr>
        <w:ind w:left="0" w:leftChars="0" w:firstLine="480" w:firstLineChars="0"/>
        <w:rPr>
          <w:b w:val="0"/>
          <w:color w:val="000000"/>
        </w:rPr>
      </w:pPr>
      <w:r>
        <w:rPr>
          <w:color w:val="000000"/>
        </w:rPr>
        <w:t>不同投标人的投标保证金从同一单位或者个人账户转出。</w:t>
      </w:r>
    </w:p>
    <w:p w14:paraId="72E8E9DD">
      <w:pPr>
        <w:pStyle w:val="3"/>
        <w:numPr>
          <w:ilvl w:val="0"/>
          <w:numId w:val="54"/>
        </w:numPr>
        <w:tabs>
          <w:tab w:val="clear" w:pos="482"/>
        </w:tabs>
        <w:topLinePunct w:val="0"/>
        <w:ind w:left="0" w:leftChars="0" w:firstLine="482" w:firstLineChars="0"/>
        <w:rPr>
          <w:b/>
        </w:rPr>
      </w:pPr>
      <w:r>
        <w:t>我公司承诺无下列恶意串通的情形：</w:t>
      </w:r>
    </w:p>
    <w:p w14:paraId="13D30AF1">
      <w:pPr>
        <w:pStyle w:val="11"/>
        <w:numPr>
          <w:ilvl w:val="0"/>
          <w:numId w:val="56"/>
        </w:numPr>
        <w:ind w:left="0" w:leftChars="0" w:firstLine="480" w:firstLineChars="0"/>
        <w:rPr>
          <w:b w:val="0"/>
          <w:color w:val="000000"/>
        </w:rPr>
      </w:pPr>
      <w:r>
        <w:rPr>
          <w:color w:val="000000"/>
        </w:rPr>
        <w:t>供应商直接或者间接从采购人或者采购代理机构处获得其他供应商的相关信息并修改其投标文件或者响应文件；</w:t>
      </w:r>
    </w:p>
    <w:p w14:paraId="4C8B2441">
      <w:pPr>
        <w:pStyle w:val="11"/>
        <w:numPr>
          <w:ilvl w:val="0"/>
          <w:numId w:val="56"/>
        </w:numPr>
        <w:ind w:left="0" w:leftChars="0" w:firstLine="480" w:firstLineChars="0"/>
        <w:rPr>
          <w:b w:val="0"/>
          <w:color w:val="000000"/>
        </w:rPr>
      </w:pPr>
      <w:r>
        <w:rPr>
          <w:color w:val="000000"/>
        </w:rPr>
        <w:t>供应商按照采购人或者采购代理机构的授意撤换、修改投标文件或者响应文件；</w:t>
      </w:r>
    </w:p>
    <w:p w14:paraId="668B9A4A">
      <w:pPr>
        <w:pStyle w:val="11"/>
        <w:numPr>
          <w:ilvl w:val="0"/>
          <w:numId w:val="56"/>
        </w:numPr>
        <w:ind w:left="0" w:leftChars="0" w:firstLine="480" w:firstLineChars="0"/>
        <w:rPr>
          <w:b w:val="0"/>
          <w:color w:val="000000"/>
        </w:rPr>
      </w:pPr>
      <w:r>
        <w:rPr>
          <w:color w:val="000000"/>
        </w:rPr>
        <w:t>供应商之间协商报价、技术方案等投标文件或者响应文件的实质性内容；</w:t>
      </w:r>
    </w:p>
    <w:p w14:paraId="3E6556A6">
      <w:pPr>
        <w:pStyle w:val="11"/>
        <w:numPr>
          <w:ilvl w:val="0"/>
          <w:numId w:val="56"/>
        </w:numPr>
        <w:ind w:left="0" w:leftChars="0" w:firstLine="480" w:firstLineChars="0"/>
        <w:rPr>
          <w:b w:val="0"/>
          <w:color w:val="000000"/>
        </w:rPr>
      </w:pPr>
      <w:r>
        <w:rPr>
          <w:color w:val="000000"/>
        </w:rPr>
        <w:t>属于同一集团、协会、商会等组织成员的供应商按照该组织要求协同参加政府采购活动；</w:t>
      </w:r>
    </w:p>
    <w:p w14:paraId="120DF94D">
      <w:pPr>
        <w:pStyle w:val="11"/>
        <w:numPr>
          <w:ilvl w:val="0"/>
          <w:numId w:val="56"/>
        </w:numPr>
        <w:ind w:left="0" w:leftChars="0" w:firstLine="480" w:firstLineChars="0"/>
        <w:rPr>
          <w:b w:val="0"/>
          <w:color w:val="000000"/>
        </w:rPr>
      </w:pPr>
      <w:r>
        <w:rPr>
          <w:color w:val="000000"/>
        </w:rPr>
        <w:t>供应商之间事先约定一致抬高或者压低投标报价,或者在招标项目中事先约定轮流以高价位或者低价位中标,或者事先约定由某一特定供应商中标,然后再参加投标；</w:t>
      </w:r>
    </w:p>
    <w:p w14:paraId="043FD2E1">
      <w:pPr>
        <w:pStyle w:val="11"/>
        <w:numPr>
          <w:ilvl w:val="0"/>
          <w:numId w:val="56"/>
        </w:numPr>
        <w:ind w:left="0" w:leftChars="0" w:firstLine="480" w:firstLineChars="0"/>
        <w:rPr>
          <w:b w:val="0"/>
          <w:color w:val="000000"/>
        </w:rPr>
      </w:pPr>
      <w:r>
        <w:rPr>
          <w:color w:val="000000"/>
        </w:rPr>
        <w:t>供应商之间商定部分供应商放弃参加政府采购活动或者放弃中标；</w:t>
      </w:r>
    </w:p>
    <w:p w14:paraId="663EEB49">
      <w:pPr>
        <w:pStyle w:val="11"/>
        <w:numPr>
          <w:ilvl w:val="0"/>
          <w:numId w:val="56"/>
        </w:numPr>
        <w:ind w:left="0" w:leftChars="0" w:firstLine="480" w:firstLineChars="0"/>
        <w:rPr>
          <w:b w:val="0"/>
          <w:color w:val="000000"/>
        </w:rPr>
      </w:pPr>
      <w:r>
        <w:rPr>
          <w:color w:val="000000"/>
        </w:rPr>
        <w:t>供应商与采购人或者采购代理机构之间、供应商相互之间，为谋求特定供应商中标或者排斥其他供应商的其他串通行为。</w:t>
      </w:r>
    </w:p>
    <w:p w14:paraId="69966BD3">
      <w:pPr>
        <w:pStyle w:val="11"/>
        <w:rPr>
          <w:b/>
          <w:color w:val="000000"/>
        </w:rPr>
      </w:pPr>
      <w:r>
        <w:rPr>
          <w:b/>
          <w:color w:val="000000"/>
        </w:rPr>
        <w:t>以上情形一经核查属实，我方愿意承担一切后果，并不再寻求任何旨在减轻或免除法律责任的辩解。</w:t>
      </w:r>
    </w:p>
    <w:p w14:paraId="75FB941D">
      <w:pPr>
        <w:pStyle w:val="15"/>
        <w:snapToGrid w:val="0"/>
        <w:spacing w:before="295" w:after="295" w:line="360" w:lineRule="auto"/>
        <w:ind w:firstLine="6840" w:firstLineChars="2850"/>
        <w:rPr>
          <w:rFonts w:hint="eastAsia" w:hAnsi="宋体"/>
          <w:color w:val="000000"/>
          <w:sz w:val="24"/>
          <w:szCs w:val="24"/>
        </w:rPr>
      </w:pPr>
    </w:p>
    <w:p w14:paraId="6A8444B5">
      <w:pPr>
        <w:pStyle w:val="15"/>
        <w:snapToGrid w:val="0"/>
        <w:spacing w:before="295" w:after="295" w:line="360" w:lineRule="auto"/>
        <w:ind w:firstLine="6840" w:firstLineChars="285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（公章）</w:t>
      </w:r>
    </w:p>
    <w:p w14:paraId="6E8FE86F">
      <w:pPr>
        <w:pStyle w:val="15"/>
        <w:snapToGrid w:val="0"/>
        <w:spacing w:before="295" w:after="295" w:line="360" w:lineRule="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日</w:t>
      </w:r>
    </w:p>
    <w:p w14:paraId="7903B613">
      <w:pPr>
        <w:rPr>
          <w:rFonts w:hint="eastAsia" w:ascii="宋体" w:hAnsi="宋体"/>
          <w:b/>
          <w:color w:val="000000"/>
          <w:sz w:val="24"/>
        </w:rPr>
      </w:pPr>
      <w:r>
        <w:rPr>
          <w:rFonts w:hint="eastAsia" w:ascii="宋体" w:hAnsi="宋体"/>
          <w:b/>
        </w:rPr>
        <w:br w:type="page"/>
      </w:r>
    </w:p>
    <w:p w14:paraId="019053C7">
      <w:pPr>
        <w:pStyle w:val="2"/>
        <w:numPr>
          <w:ilvl w:val="0"/>
          <w:numId w:val="52"/>
        </w:numPr>
        <w:tabs>
          <w:tab w:val="clear" w:pos="482"/>
        </w:tabs>
        <w:bidi w:val="0"/>
        <w:ind w:left="0" w:leftChars="0" w:firstLine="480" w:firstLineChars="0"/>
      </w:pPr>
      <w:r>
        <w:t>供应商认为资格审查需要的其他材料</w:t>
      </w:r>
    </w:p>
    <w:p w14:paraId="75528650">
      <w:pPr>
        <w:spacing w:line="360" w:lineRule="auto"/>
        <w:rPr>
          <w:rFonts w:hint="eastAsia" w:ascii="宋体" w:hAnsi="宋体"/>
          <w:b/>
          <w:color w:val="000000"/>
          <w:sz w:val="32"/>
          <w:szCs w:val="32"/>
        </w:rPr>
      </w:pPr>
      <w:r>
        <w:rPr>
          <w:rFonts w:ascii="宋体" w:hAnsi="宋体"/>
          <w:color w:val="000000"/>
          <w:szCs w:val="21"/>
        </w:rPr>
        <w:br w:type="page"/>
      </w:r>
    </w:p>
    <w:p w14:paraId="10F79356">
      <w:pPr>
        <w:spacing w:line="360" w:lineRule="auto"/>
        <w:jc w:val="center"/>
        <w:rPr>
          <w:rFonts w:hint="eastAsia" w:ascii="宋体" w:hAnsi="宋体"/>
          <w:b/>
          <w:color w:val="000000"/>
          <w:sz w:val="44"/>
          <w:szCs w:val="44"/>
        </w:rPr>
      </w:pPr>
    </w:p>
    <w:p w14:paraId="326A997B">
      <w:pPr>
        <w:spacing w:line="360" w:lineRule="auto"/>
        <w:jc w:val="center"/>
        <w:rPr>
          <w:rFonts w:hint="eastAsia" w:ascii="宋体" w:hAnsi="宋体"/>
          <w:b/>
          <w:color w:val="000000"/>
          <w:sz w:val="44"/>
          <w:szCs w:val="44"/>
        </w:rPr>
      </w:pPr>
    </w:p>
    <w:p w14:paraId="48D03602">
      <w:pPr>
        <w:spacing w:line="360" w:lineRule="auto"/>
        <w:jc w:val="center"/>
        <w:rPr>
          <w:rFonts w:hint="eastAsia" w:ascii="宋体" w:hAnsi="宋体"/>
          <w:b/>
          <w:color w:val="000000"/>
          <w:sz w:val="44"/>
          <w:szCs w:val="44"/>
        </w:rPr>
      </w:pPr>
    </w:p>
    <w:p w14:paraId="31281F7F">
      <w:pPr>
        <w:spacing w:line="360" w:lineRule="auto"/>
        <w:jc w:val="center"/>
        <w:rPr>
          <w:rFonts w:hint="eastAsia" w:ascii="宋体" w:hAnsi="宋体"/>
          <w:b/>
          <w:color w:val="000000"/>
          <w:sz w:val="44"/>
          <w:szCs w:val="44"/>
        </w:rPr>
      </w:pPr>
    </w:p>
    <w:p w14:paraId="65C721B2">
      <w:pPr>
        <w:spacing w:line="360" w:lineRule="auto"/>
        <w:jc w:val="center"/>
        <w:rPr>
          <w:rFonts w:hint="eastAsia" w:ascii="宋体" w:hAnsi="宋体"/>
          <w:b/>
          <w:color w:val="000000"/>
          <w:sz w:val="44"/>
          <w:szCs w:val="44"/>
        </w:rPr>
      </w:pPr>
    </w:p>
    <w:p w14:paraId="1440878F">
      <w:pPr>
        <w:spacing w:line="360" w:lineRule="auto"/>
        <w:jc w:val="center"/>
      </w:pPr>
      <w:r>
        <w:rPr>
          <w:rFonts w:hint="eastAsia" w:ascii="宋体" w:hAnsi="宋体"/>
          <w:b/>
          <w:color w:val="000000"/>
          <w:sz w:val="44"/>
          <w:szCs w:val="44"/>
        </w:rPr>
        <w:t>商务文件</w:t>
      </w:r>
    </w:p>
    <w:p w14:paraId="23B191C7">
      <w:pPr>
        <w:spacing w:line="360" w:lineRule="auto"/>
        <w:jc w:val="center"/>
        <w:rPr>
          <w:rFonts w:hint="eastAsia" w:ascii="宋体" w:hAnsi="宋体"/>
          <w:color w:val="000000"/>
          <w:szCs w:val="21"/>
        </w:rPr>
      </w:pPr>
    </w:p>
    <w:p w14:paraId="7EEB894E">
      <w:pPr>
        <w:spacing w:line="360" w:lineRule="auto"/>
        <w:jc w:val="center"/>
        <w:rPr>
          <w:rFonts w:hint="eastAsia" w:ascii="宋体" w:hAnsi="宋体"/>
          <w:color w:val="000000"/>
          <w:szCs w:val="21"/>
        </w:rPr>
      </w:pPr>
    </w:p>
    <w:p w14:paraId="08F70BB2">
      <w:pPr>
        <w:spacing w:line="360" w:lineRule="auto"/>
        <w:jc w:val="center"/>
        <w:rPr>
          <w:rFonts w:hint="eastAsia" w:ascii="宋体" w:hAnsi="宋体"/>
          <w:color w:val="000000"/>
          <w:szCs w:val="21"/>
        </w:rPr>
      </w:pPr>
    </w:p>
    <w:p w14:paraId="7A9B966A">
      <w:pPr>
        <w:spacing w:line="360" w:lineRule="auto"/>
        <w:jc w:val="center"/>
        <w:rPr>
          <w:rFonts w:hint="eastAsia" w:ascii="宋体" w:hAnsi="宋体"/>
          <w:color w:val="000000"/>
          <w:szCs w:val="21"/>
        </w:rPr>
      </w:pPr>
    </w:p>
    <w:p w14:paraId="022F816F">
      <w:pPr>
        <w:spacing w:line="360" w:lineRule="auto"/>
        <w:jc w:val="center"/>
        <w:rPr>
          <w:rFonts w:hint="eastAsia" w:ascii="宋体" w:hAnsi="宋体"/>
          <w:color w:val="000000"/>
          <w:szCs w:val="21"/>
        </w:rPr>
      </w:pPr>
    </w:p>
    <w:p w14:paraId="2147CF5A">
      <w:pPr>
        <w:spacing w:line="360" w:lineRule="auto"/>
        <w:jc w:val="center"/>
        <w:rPr>
          <w:rFonts w:hint="eastAsia" w:ascii="宋体" w:hAnsi="宋体"/>
          <w:color w:val="000000"/>
          <w:szCs w:val="21"/>
        </w:rPr>
      </w:pPr>
    </w:p>
    <w:p w14:paraId="722C4CDB">
      <w:pPr>
        <w:spacing w:line="360" w:lineRule="auto"/>
        <w:rPr>
          <w:rFonts w:hint="eastAsia" w:ascii="宋体" w:hAnsi="宋体"/>
          <w:color w:val="000000"/>
          <w:szCs w:val="21"/>
        </w:rPr>
      </w:pPr>
      <w:r>
        <w:rPr>
          <w:rFonts w:ascii="宋体" w:hAnsi="宋体"/>
          <w:color w:val="000000"/>
          <w:szCs w:val="21"/>
        </w:rPr>
        <w:br w:type="page"/>
      </w:r>
    </w:p>
    <w:p w14:paraId="2D972BC8">
      <w:pPr>
        <w:pStyle w:val="41"/>
      </w:pPr>
      <w:r>
        <w:t>商务文件目录</w:t>
      </w:r>
    </w:p>
    <w:p w14:paraId="39150185">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2F9A0FB">
      <w:pPr>
        <w:spacing w:line="360" w:lineRule="auto"/>
        <w:jc w:val="center"/>
        <w:rPr>
          <w:rFonts w:hint="eastAsia" w:ascii="宋体" w:hAnsi="宋体"/>
          <w:b/>
          <w:color w:val="000000"/>
          <w:sz w:val="24"/>
        </w:rPr>
      </w:pPr>
    </w:p>
    <w:p w14:paraId="398CA7C8">
      <w:pPr>
        <w:numPr>
          <w:ilvl w:val="0"/>
          <w:numId w:val="57"/>
        </w:numPr>
        <w:tabs>
          <w:tab w:val="left" w:pos="0"/>
        </w:tabs>
        <w:spacing w:line="360" w:lineRule="auto"/>
        <w:ind w:left="0" w:leftChars="0" w:firstLine="482" w:firstLineChars="0"/>
        <w:rPr>
          <w:rFonts w:hint="eastAsia" w:ascii="宋体" w:hAnsi="宋体"/>
          <w:b/>
          <w:color w:val="000000"/>
          <w:szCs w:val="21"/>
        </w:rPr>
      </w:pPr>
      <w:r>
        <w:rPr>
          <w:rFonts w:hint="eastAsia" w:ascii="宋体" w:hAnsi="宋体"/>
          <w:color w:val="000000"/>
          <w:szCs w:val="21"/>
        </w:rPr>
        <w:t>磋商函</w:t>
      </w:r>
      <w:r>
        <w:rPr>
          <w:rFonts w:hint="eastAsia" w:ascii="宋体" w:hAnsi="宋体"/>
          <w:b/>
          <w:color w:val="000000"/>
          <w:szCs w:val="21"/>
        </w:rPr>
        <w:t xml:space="preserve"> </w:t>
      </w:r>
    </w:p>
    <w:p w14:paraId="149311F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磋商函附录</w:t>
      </w:r>
    </w:p>
    <w:p w14:paraId="0ECA03B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磋商报价表</w:t>
      </w:r>
    </w:p>
    <w:p w14:paraId="4A210192">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供应商认为必要提供的其它资料</w:t>
      </w:r>
    </w:p>
    <w:p w14:paraId="36078832">
      <w:pPr>
        <w:spacing w:line="360" w:lineRule="auto"/>
        <w:rPr>
          <w:rFonts w:hint="eastAsia" w:ascii="宋体" w:hAnsi="宋体"/>
          <w:color w:val="000000"/>
          <w:szCs w:val="21"/>
        </w:rPr>
      </w:pPr>
    </w:p>
    <w:p w14:paraId="75EE59DF">
      <w:pPr>
        <w:spacing w:line="360" w:lineRule="auto"/>
        <w:ind w:firstLine="5880" w:firstLineChars="2800"/>
        <w:rPr>
          <w:rFonts w:hint="eastAsia" w:ascii="宋体" w:hAnsi="宋体"/>
          <w:color w:val="000000"/>
          <w:szCs w:val="21"/>
        </w:rPr>
      </w:pPr>
    </w:p>
    <w:p w14:paraId="47A7055D">
      <w:pPr>
        <w:pStyle w:val="2"/>
        <w:numPr>
          <w:ilvl w:val="0"/>
          <w:numId w:val="58"/>
        </w:numPr>
        <w:tabs>
          <w:tab w:val="clear" w:pos="482"/>
        </w:tabs>
        <w:ind w:left="0" w:leftChars="0" w:firstLine="482" w:firstLineChars="0"/>
        <w:rPr>
          <w:b/>
        </w:rPr>
      </w:pPr>
      <w:r>
        <w:br w:type="page"/>
      </w:r>
      <w:r>
        <w:t>磋商函（格式）</w:t>
      </w:r>
    </w:p>
    <w:p w14:paraId="4BC6634E">
      <w:pPr>
        <w:pStyle w:val="43"/>
        <w:outlineLvl w:val="9"/>
      </w:pPr>
      <w:bookmarkStart w:id="57" w:name="_Toc14342"/>
      <w:bookmarkStart w:id="58" w:name="_Toc6413134"/>
      <w:r>
        <w:t>磋商函</w:t>
      </w:r>
      <w:bookmarkEnd w:id="57"/>
      <w:bookmarkEnd w:id="58"/>
    </w:p>
    <w:p w14:paraId="2022D7B0">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213E0460">
      <w:pPr>
        <w:tabs>
          <w:tab w:val="left" w:pos="7560"/>
        </w:tabs>
        <w:spacing w:line="360" w:lineRule="auto"/>
        <w:ind w:firstLine="420" w:firstLineChars="200"/>
        <w:rPr>
          <w:rFonts w:ascii="宋体" w:hAnsi="宋体"/>
          <w:color w:val="000000"/>
        </w:rPr>
      </w:pPr>
    </w:p>
    <w:p w14:paraId="4DC6773D">
      <w:pPr>
        <w:pStyle w:val="11"/>
        <w:numPr>
          <w:ilvl w:val="0"/>
          <w:numId w:val="59"/>
        </w:numPr>
        <w:topLinePunct w:val="0"/>
        <w:ind w:left="0" w:leftChars="0" w:firstLine="480" w:firstLineChars="0"/>
        <w:rPr>
          <w:b w:val="0"/>
          <w:color w:val="000000"/>
        </w:rPr>
      </w:pPr>
      <w:r>
        <w:rPr>
          <w:color w:val="000000"/>
        </w:rPr>
        <w:t>根据你方项目编号为</w:t>
      </w:r>
      <w:r>
        <w:rPr>
          <w:color w:val="000000"/>
          <w:u w:val="single"/>
        </w:rPr>
        <w:t xml:space="preserve">  （项目编号）  </w:t>
      </w:r>
      <w:r>
        <w:rPr>
          <w:color w:val="000000"/>
        </w:rPr>
        <w:t>的</w:t>
      </w:r>
      <w:r>
        <w:rPr>
          <w:color w:val="000000"/>
          <w:u w:val="single"/>
        </w:rPr>
        <w:t xml:space="preserve">  （项目名称）  </w:t>
      </w:r>
      <w:r>
        <w:rPr>
          <w:color w:val="000000"/>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color w:val="000000"/>
          <w:u w:val="single"/>
        </w:rPr>
        <w:t xml:space="preserve">      </w:t>
      </w:r>
      <w:r>
        <w:rPr>
          <w:color w:val="000000"/>
        </w:rPr>
        <w:t>元（小写）</w:t>
      </w:r>
      <w:r>
        <w:rPr>
          <w:color w:val="000000"/>
          <w:u w:val="single"/>
        </w:rPr>
        <w:t xml:space="preserve">￥      </w:t>
      </w:r>
      <w:r>
        <w:rPr>
          <w:color w:val="000000"/>
        </w:rPr>
        <w:t>元，的磋商报价并按上述图纸、合同条款、工程建设标准和工程量清单（如有时）的条件要求承包上述工程的施工、竣工，并承担任何质量缺陷保修责任。我方保证工程质量达到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color w:val="000000"/>
        </w:rPr>
        <w:t>等级。</w:t>
      </w:r>
    </w:p>
    <w:p w14:paraId="0C693CA5">
      <w:pPr>
        <w:pStyle w:val="11"/>
        <w:numPr>
          <w:ilvl w:val="0"/>
          <w:numId w:val="59"/>
        </w:numPr>
        <w:topLinePunct w:val="0"/>
        <w:ind w:left="0" w:leftChars="0" w:firstLine="480" w:firstLineChars="0"/>
        <w:rPr>
          <w:b w:val="0"/>
          <w:color w:val="000000"/>
        </w:rPr>
      </w:pPr>
      <w:r>
        <w:rPr>
          <w:color w:val="000000"/>
        </w:rPr>
        <w:t>我方已详细审核全部竞争性磋商文件，包括修改文件（如有时）及有关附件。</w:t>
      </w:r>
    </w:p>
    <w:p w14:paraId="78886314">
      <w:pPr>
        <w:pStyle w:val="11"/>
        <w:numPr>
          <w:ilvl w:val="0"/>
          <w:numId w:val="59"/>
        </w:numPr>
        <w:topLinePunct w:val="0"/>
        <w:ind w:left="0" w:leftChars="0" w:firstLine="480" w:firstLineChars="0"/>
        <w:rPr>
          <w:b w:val="0"/>
          <w:color w:val="000000"/>
        </w:rPr>
      </w:pPr>
      <w:r>
        <w:rPr>
          <w:color w:val="000000"/>
        </w:rPr>
        <w:t>我方承认磋商函附录是我方磋商函的组成部分。</w:t>
      </w:r>
    </w:p>
    <w:p w14:paraId="5060644D">
      <w:pPr>
        <w:pStyle w:val="11"/>
        <w:numPr>
          <w:ilvl w:val="0"/>
          <w:numId w:val="59"/>
        </w:numPr>
        <w:topLinePunct w:val="0"/>
        <w:ind w:left="0" w:leftChars="0" w:firstLine="480" w:firstLineChars="0"/>
        <w:rPr>
          <w:b w:val="0"/>
          <w:color w:val="000000"/>
        </w:rPr>
      </w:pPr>
      <w:r>
        <w:rPr>
          <w:color w:val="000000"/>
        </w:rPr>
        <w:t>一旦我方成交，我方保证按合同书中规定的工期</w:t>
      </w:r>
      <w:r>
        <w:rPr>
          <w:color w:val="000000"/>
          <w:u w:val="single"/>
        </w:rPr>
        <w:t xml:space="preserve">        </w:t>
      </w:r>
      <w:r>
        <w:rPr>
          <w:color w:val="000000"/>
        </w:rPr>
        <w:t>日历天内完成并移交全部工程。</w:t>
      </w:r>
    </w:p>
    <w:p w14:paraId="6DE77A8A">
      <w:pPr>
        <w:pStyle w:val="11"/>
        <w:numPr>
          <w:ilvl w:val="0"/>
          <w:numId w:val="59"/>
        </w:numPr>
        <w:topLinePunct w:val="0"/>
        <w:ind w:left="0" w:leftChars="0" w:firstLine="480" w:firstLineChars="0"/>
        <w:rPr>
          <w:b w:val="0"/>
          <w:color w:val="000000"/>
        </w:rPr>
      </w:pPr>
      <w:r>
        <w:rPr>
          <w:color w:val="000000"/>
        </w:rPr>
        <w:t>如果我方成交，我方将按照文件规定提交履约保证金作为履约担保。</w:t>
      </w:r>
    </w:p>
    <w:p w14:paraId="23D9EE20">
      <w:pPr>
        <w:pStyle w:val="11"/>
        <w:numPr>
          <w:ilvl w:val="0"/>
          <w:numId w:val="59"/>
        </w:numPr>
        <w:topLinePunct w:val="0"/>
        <w:ind w:left="0" w:leftChars="0" w:firstLine="480" w:firstLineChars="0"/>
        <w:rPr>
          <w:b w:val="0"/>
          <w:color w:val="000000"/>
        </w:rPr>
      </w:pPr>
      <w:r>
        <w:rPr>
          <w:color w:val="000000"/>
        </w:rPr>
        <w:t>我方同意所提交的响应文件在竞争性磋商文件的“磋商须知”中第11条规定的响应文件有效期内有效，在此期间内如果成交，我方将受此约束。</w:t>
      </w:r>
    </w:p>
    <w:p w14:paraId="67983986">
      <w:pPr>
        <w:pStyle w:val="11"/>
        <w:numPr>
          <w:ilvl w:val="0"/>
          <w:numId w:val="59"/>
        </w:numPr>
        <w:topLinePunct w:val="0"/>
        <w:ind w:left="0" w:leftChars="0" w:firstLine="480" w:firstLineChars="0"/>
        <w:rPr>
          <w:b w:val="0"/>
          <w:color w:val="000000"/>
        </w:rPr>
      </w:pPr>
      <w:r>
        <w:rPr>
          <w:color w:val="000000"/>
        </w:rPr>
        <w:t>除非另外达成协议并生效，你方的成交通知书和本响应文件将成为约束双方的合同文件的组成部分。</w:t>
      </w:r>
    </w:p>
    <w:p w14:paraId="2092DF27">
      <w:pPr>
        <w:spacing w:line="360" w:lineRule="auto"/>
        <w:rPr>
          <w:rFonts w:ascii="宋体" w:hAnsi="宋体"/>
          <w:color w:val="000000"/>
        </w:rPr>
      </w:pPr>
    </w:p>
    <w:p w14:paraId="6807F4A7">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供</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应</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26DC7DEA">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单位地址：</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p>
    <w:p w14:paraId="645C9590">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w:t>
      </w:r>
      <w:r>
        <w:rPr>
          <w:rFonts w:ascii="Times New Roman" w:hAnsi="Times New Roman" w:eastAsia="宋体" w:cs="Times New Roman"/>
          <w:color w:val="000000"/>
          <w:sz w:val="24"/>
          <w:u w:val="single"/>
        </w:rPr>
        <w:t xml:space="preserve">      （签字或盖章）</w:t>
      </w:r>
    </w:p>
    <w:p w14:paraId="4D289FB2">
      <w:pPr>
        <w:spacing w:line="360" w:lineRule="auto"/>
        <w:ind w:left="1000" w:leftChars="476" w:firstLine="1080" w:firstLineChars="450"/>
        <w:rPr>
          <w:rFonts w:ascii="Times New Roman" w:hAnsi="Times New Roman" w:eastAsia="宋体" w:cs="Times New Roman"/>
          <w:color w:val="000000"/>
          <w:sz w:val="24"/>
        </w:rPr>
      </w:pPr>
      <w:r>
        <w:rPr>
          <w:rFonts w:ascii="Times New Roman" w:hAnsi="Times New Roman" w:eastAsia="宋体" w:cs="Times New Roman"/>
          <w:color w:val="000000"/>
          <w:sz w:val="24"/>
        </w:rPr>
        <w:t>邮政编码：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电话：</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传真：</w:t>
      </w:r>
      <w:r>
        <w:rPr>
          <w:rFonts w:hint="eastAsia" w:ascii="Times New Roman" w:hAnsi="Times New Roman" w:eastAsia="宋体" w:cs="Times New Roman"/>
          <w:color w:val="000000"/>
          <w:sz w:val="24"/>
          <w:u w:val="single"/>
        </w:rPr>
        <w:t xml:space="preserve">          </w:t>
      </w:r>
    </w:p>
    <w:p w14:paraId="2AE9744C">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开户银行名称：</w:t>
      </w:r>
      <w:r>
        <w:rPr>
          <w:rFonts w:hint="eastAsia" w:ascii="Times New Roman" w:hAnsi="Times New Roman" w:eastAsia="宋体" w:cs="Times New Roman"/>
          <w:color w:val="000000"/>
          <w:sz w:val="24"/>
          <w:u w:val="single"/>
        </w:rPr>
        <w:t xml:space="preserve">                                    </w:t>
      </w:r>
    </w:p>
    <w:p w14:paraId="5D1251FA">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开户银行账号：</w:t>
      </w:r>
      <w:r>
        <w:rPr>
          <w:rFonts w:hint="eastAsia" w:ascii="Times New Roman" w:hAnsi="Times New Roman" w:eastAsia="宋体" w:cs="Times New Roman"/>
          <w:color w:val="000000"/>
          <w:sz w:val="24"/>
          <w:u w:val="single"/>
        </w:rPr>
        <w:t xml:space="preserve">                                    </w:t>
      </w:r>
    </w:p>
    <w:p w14:paraId="37ED773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开户银行地址：</w:t>
      </w:r>
      <w:r>
        <w:rPr>
          <w:rFonts w:hint="eastAsia" w:ascii="Times New Roman" w:hAnsi="Times New Roman" w:eastAsia="宋体" w:cs="Times New Roman"/>
          <w:color w:val="000000"/>
          <w:sz w:val="24"/>
          <w:u w:val="single"/>
        </w:rPr>
        <w:t xml:space="preserve">                                    </w:t>
      </w:r>
    </w:p>
    <w:p w14:paraId="48BE8EC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开户银行电话：</w:t>
      </w:r>
      <w:r>
        <w:rPr>
          <w:rFonts w:hint="eastAsia" w:ascii="Times New Roman" w:hAnsi="Times New Roman" w:eastAsia="宋体" w:cs="Times New Roman"/>
          <w:color w:val="000000"/>
          <w:sz w:val="24"/>
          <w:u w:val="single"/>
        </w:rPr>
        <w:t xml:space="preserve">                                    </w:t>
      </w:r>
    </w:p>
    <w:p w14:paraId="42BFBC0F">
      <w:pPr>
        <w:spacing w:line="360" w:lineRule="auto"/>
        <w:ind w:left="420" w:leftChars="200" w:firstLine="1800" w:firstLineChars="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A45F2CD">
      <w:pPr>
        <w:spacing w:line="360" w:lineRule="auto"/>
        <w:ind w:left="420" w:leftChars="200" w:firstLine="1575" w:firstLineChars="750"/>
        <w:rPr>
          <w:rFonts w:hint="eastAsia" w:ascii="宋体" w:hAnsi="宋体"/>
          <w:color w:val="000000"/>
          <w:szCs w:val="21"/>
        </w:rPr>
      </w:pPr>
    </w:p>
    <w:p w14:paraId="721B61D9">
      <w:pPr>
        <w:spacing w:line="360" w:lineRule="auto"/>
        <w:ind w:left="420" w:leftChars="200" w:firstLine="1807" w:firstLineChars="750"/>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5DCEE534">
      <w:pPr>
        <w:pStyle w:val="2"/>
        <w:numPr>
          <w:ilvl w:val="0"/>
          <w:numId w:val="58"/>
        </w:numPr>
        <w:tabs>
          <w:tab w:val="clear" w:pos="482"/>
        </w:tabs>
        <w:ind w:left="0" w:leftChars="0" w:firstLine="482" w:firstLineChars="0"/>
      </w:pPr>
      <w:r>
        <w:t>磋商函附录（格式）</w:t>
      </w:r>
    </w:p>
    <w:p w14:paraId="1E2E8453">
      <w:pPr>
        <w:pStyle w:val="40"/>
        <w:outlineLvl w:val="1"/>
      </w:pPr>
      <w:bookmarkStart w:id="59" w:name="_Toc6413135"/>
      <w:bookmarkStart w:id="60" w:name="_Toc13925"/>
      <w:r>
        <w:t>磋商函附录</w:t>
      </w:r>
      <w:bookmarkEnd w:id="59"/>
      <w:bookmarkEnd w:id="60"/>
    </w:p>
    <w:p w14:paraId="32DD4E80">
      <w:pPr>
        <w:pStyle w:val="33"/>
        <w:spacing w:line="360" w:lineRule="auto"/>
        <w:jc w:val="center"/>
        <w:rPr>
          <w:rFonts w:ascii="宋体" w:hAnsi="宋体"/>
          <w:color w:val="000000"/>
          <w:sz w:val="28"/>
          <w:szCs w:val="28"/>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ascii="宋体" w:hAnsi="宋体"/>
                <w:color w:val="000000"/>
                <w:szCs w:val="21"/>
              </w:rPr>
            </w:pPr>
            <w:r>
              <w:rPr>
                <w:rFonts w:ascii="宋体" w:hAnsi="宋体"/>
                <w:color w:val="000000"/>
                <w:szCs w:val="21"/>
              </w:rPr>
              <w:t>序 号</w:t>
            </w:r>
          </w:p>
        </w:tc>
        <w:tc>
          <w:tcPr>
            <w:tcW w:w="1985" w:type="dxa"/>
            <w:noWrap w:val="0"/>
            <w:vAlign w:val="center"/>
          </w:tcPr>
          <w:p w14:paraId="459D8BD4">
            <w:pPr>
              <w:spacing w:line="360" w:lineRule="auto"/>
              <w:jc w:val="center"/>
              <w:rPr>
                <w:rFonts w:ascii="宋体" w:hAnsi="宋体"/>
                <w:color w:val="000000"/>
                <w:szCs w:val="21"/>
              </w:rPr>
            </w:pPr>
            <w:r>
              <w:rPr>
                <w:rFonts w:ascii="宋体" w:hAnsi="宋体"/>
                <w:color w:val="000000"/>
                <w:szCs w:val="21"/>
              </w:rPr>
              <w:t>条款内容</w:t>
            </w:r>
          </w:p>
        </w:tc>
        <w:tc>
          <w:tcPr>
            <w:tcW w:w="2126" w:type="dxa"/>
            <w:noWrap w:val="0"/>
            <w:vAlign w:val="center"/>
          </w:tcPr>
          <w:p w14:paraId="73AC8480">
            <w:pPr>
              <w:spacing w:line="360" w:lineRule="auto"/>
              <w:jc w:val="center"/>
              <w:rPr>
                <w:rFonts w:ascii="宋体" w:hAnsi="宋体"/>
                <w:color w:val="000000"/>
                <w:szCs w:val="21"/>
              </w:rPr>
            </w:pPr>
            <w:r>
              <w:rPr>
                <w:rFonts w:ascii="宋体" w:hAnsi="宋体"/>
                <w:color w:val="000000"/>
                <w:szCs w:val="21"/>
              </w:rPr>
              <w:t>合同条款号</w:t>
            </w:r>
          </w:p>
        </w:tc>
        <w:tc>
          <w:tcPr>
            <w:tcW w:w="1984" w:type="dxa"/>
            <w:noWrap w:val="0"/>
            <w:vAlign w:val="center"/>
          </w:tcPr>
          <w:p w14:paraId="1D1B930C">
            <w:pPr>
              <w:spacing w:line="360" w:lineRule="auto"/>
              <w:jc w:val="center"/>
              <w:rPr>
                <w:rFonts w:ascii="宋体" w:hAnsi="宋体"/>
                <w:color w:val="000000"/>
                <w:szCs w:val="21"/>
              </w:rPr>
            </w:pPr>
            <w:r>
              <w:rPr>
                <w:rFonts w:ascii="宋体" w:hAnsi="宋体"/>
                <w:color w:val="000000"/>
                <w:szCs w:val="21"/>
              </w:rPr>
              <w:t>约定内容</w:t>
            </w:r>
          </w:p>
        </w:tc>
        <w:tc>
          <w:tcPr>
            <w:tcW w:w="1843" w:type="dxa"/>
            <w:noWrap w:val="0"/>
            <w:vAlign w:val="center"/>
          </w:tcPr>
          <w:p w14:paraId="1A32E24A">
            <w:pPr>
              <w:spacing w:line="360" w:lineRule="auto"/>
              <w:jc w:val="center"/>
              <w:rPr>
                <w:rFonts w:ascii="宋体" w:hAnsi="宋体"/>
                <w:color w:val="000000"/>
                <w:szCs w:val="21"/>
              </w:rPr>
            </w:pPr>
            <w:r>
              <w:rPr>
                <w:rFonts w:ascii="宋体" w:hAnsi="宋体"/>
                <w:color w:val="000000"/>
                <w:szCs w:val="21"/>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ascii="宋体" w:hAnsi="宋体"/>
                <w:color w:val="000000"/>
                <w:szCs w:val="21"/>
              </w:rPr>
            </w:pPr>
            <w:r>
              <w:rPr>
                <w:rFonts w:ascii="宋体" w:hAnsi="宋体"/>
                <w:color w:val="000000"/>
                <w:szCs w:val="21"/>
              </w:rPr>
              <w:t>1</w:t>
            </w:r>
          </w:p>
        </w:tc>
        <w:tc>
          <w:tcPr>
            <w:tcW w:w="1985" w:type="dxa"/>
            <w:noWrap w:val="0"/>
            <w:vAlign w:val="center"/>
          </w:tcPr>
          <w:p w14:paraId="5FC69956">
            <w:pPr>
              <w:spacing w:line="360" w:lineRule="auto"/>
              <w:rPr>
                <w:rFonts w:ascii="宋体" w:hAnsi="宋体"/>
                <w:color w:val="000000"/>
                <w:szCs w:val="21"/>
              </w:rPr>
            </w:pPr>
            <w:r>
              <w:rPr>
                <w:rFonts w:ascii="宋体" w:hAnsi="宋体"/>
                <w:color w:val="000000"/>
                <w:szCs w:val="21"/>
              </w:rPr>
              <w:t>项目经理</w:t>
            </w:r>
          </w:p>
        </w:tc>
        <w:tc>
          <w:tcPr>
            <w:tcW w:w="2126" w:type="dxa"/>
            <w:noWrap w:val="0"/>
            <w:tcMar>
              <w:left w:w="170" w:type="dxa"/>
            </w:tcMar>
            <w:vAlign w:val="center"/>
          </w:tcPr>
          <w:p w14:paraId="00939A68">
            <w:pPr>
              <w:spacing w:line="360" w:lineRule="auto"/>
              <w:jc w:val="center"/>
              <w:rPr>
                <w:rFonts w:ascii="宋体" w:hAnsi="宋体"/>
                <w:color w:val="000000"/>
                <w:szCs w:val="21"/>
              </w:rPr>
            </w:pPr>
          </w:p>
        </w:tc>
        <w:tc>
          <w:tcPr>
            <w:tcW w:w="1984" w:type="dxa"/>
            <w:noWrap w:val="0"/>
            <w:vAlign w:val="center"/>
          </w:tcPr>
          <w:p w14:paraId="5970E792">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p>
        </w:tc>
        <w:tc>
          <w:tcPr>
            <w:tcW w:w="1843" w:type="dxa"/>
            <w:noWrap w:val="0"/>
            <w:vAlign w:val="center"/>
          </w:tcPr>
          <w:p w14:paraId="4CF9A238">
            <w:pPr>
              <w:spacing w:line="360" w:lineRule="auto"/>
              <w:jc w:val="center"/>
              <w:rPr>
                <w:rFonts w:ascii="宋体" w:hAnsi="宋体"/>
                <w:color w:val="000000"/>
                <w:szCs w:val="21"/>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ascii="宋体" w:hAnsi="宋体"/>
                <w:color w:val="000000"/>
                <w:szCs w:val="21"/>
              </w:rPr>
            </w:pPr>
            <w:r>
              <w:rPr>
                <w:rFonts w:hint="eastAsia" w:ascii="宋体" w:hAnsi="宋体"/>
                <w:color w:val="000000"/>
                <w:szCs w:val="21"/>
              </w:rPr>
              <w:t>2</w:t>
            </w:r>
          </w:p>
        </w:tc>
        <w:tc>
          <w:tcPr>
            <w:tcW w:w="1985" w:type="dxa"/>
            <w:noWrap w:val="0"/>
            <w:vAlign w:val="center"/>
          </w:tcPr>
          <w:p w14:paraId="0CE86D58">
            <w:pPr>
              <w:spacing w:line="360" w:lineRule="auto"/>
              <w:rPr>
                <w:rFonts w:ascii="宋体" w:hAnsi="宋体"/>
                <w:color w:val="000000"/>
                <w:szCs w:val="21"/>
              </w:rPr>
            </w:pPr>
            <w:r>
              <w:rPr>
                <w:rFonts w:hint="eastAsia" w:ascii="宋体" w:hAnsi="宋体"/>
                <w:color w:val="000000"/>
                <w:szCs w:val="21"/>
              </w:rPr>
              <w:t>响应文件有效期</w:t>
            </w:r>
          </w:p>
        </w:tc>
        <w:tc>
          <w:tcPr>
            <w:tcW w:w="2126" w:type="dxa"/>
            <w:noWrap w:val="0"/>
            <w:tcMar>
              <w:left w:w="170" w:type="dxa"/>
            </w:tcMar>
            <w:vAlign w:val="center"/>
          </w:tcPr>
          <w:p w14:paraId="084BB42A">
            <w:pPr>
              <w:spacing w:line="360" w:lineRule="auto"/>
              <w:rPr>
                <w:rFonts w:ascii="宋体" w:hAnsi="宋体"/>
                <w:color w:val="000000"/>
                <w:szCs w:val="21"/>
              </w:rPr>
            </w:pPr>
          </w:p>
        </w:tc>
        <w:tc>
          <w:tcPr>
            <w:tcW w:w="1984" w:type="dxa"/>
            <w:noWrap w:val="0"/>
            <w:vAlign w:val="center"/>
          </w:tcPr>
          <w:p w14:paraId="061E62E6">
            <w:pPr>
              <w:spacing w:line="360" w:lineRule="auto"/>
              <w:jc w:val="center"/>
              <w:rPr>
                <w:rFonts w:ascii="宋体" w:hAnsi="宋体"/>
                <w:color w:val="000000"/>
                <w:szCs w:val="21"/>
                <w:u w:val="single"/>
              </w:rPr>
            </w:pPr>
          </w:p>
        </w:tc>
        <w:tc>
          <w:tcPr>
            <w:tcW w:w="1843" w:type="dxa"/>
            <w:noWrap w:val="0"/>
            <w:vAlign w:val="center"/>
          </w:tcPr>
          <w:p w14:paraId="65624AF1">
            <w:pPr>
              <w:spacing w:line="360" w:lineRule="auto"/>
              <w:jc w:val="center"/>
              <w:rPr>
                <w:rFonts w:ascii="宋体" w:hAnsi="宋体"/>
                <w:color w:val="000000"/>
                <w:szCs w:val="21"/>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ascii="宋体" w:hAnsi="宋体"/>
                <w:color w:val="000000"/>
                <w:szCs w:val="21"/>
              </w:rPr>
            </w:pPr>
            <w:r>
              <w:rPr>
                <w:rFonts w:ascii="宋体" w:hAnsi="宋体"/>
                <w:color w:val="000000"/>
                <w:szCs w:val="21"/>
              </w:rPr>
              <w:t>3</w:t>
            </w:r>
          </w:p>
        </w:tc>
        <w:tc>
          <w:tcPr>
            <w:tcW w:w="1985" w:type="dxa"/>
            <w:noWrap w:val="0"/>
            <w:vAlign w:val="center"/>
          </w:tcPr>
          <w:p w14:paraId="7D824889">
            <w:pPr>
              <w:spacing w:line="360" w:lineRule="auto"/>
              <w:rPr>
                <w:rFonts w:ascii="宋体" w:hAnsi="宋体"/>
                <w:color w:val="000000"/>
                <w:szCs w:val="21"/>
              </w:rPr>
            </w:pPr>
            <w:r>
              <w:rPr>
                <w:rFonts w:ascii="宋体" w:hAnsi="宋体"/>
                <w:color w:val="000000"/>
                <w:szCs w:val="21"/>
              </w:rPr>
              <w:t>工期</w:t>
            </w:r>
          </w:p>
        </w:tc>
        <w:tc>
          <w:tcPr>
            <w:tcW w:w="2126" w:type="dxa"/>
            <w:noWrap w:val="0"/>
            <w:tcMar>
              <w:left w:w="170" w:type="dxa"/>
            </w:tcMar>
            <w:vAlign w:val="center"/>
          </w:tcPr>
          <w:p w14:paraId="23291C69">
            <w:pPr>
              <w:spacing w:line="360" w:lineRule="auto"/>
              <w:jc w:val="center"/>
              <w:rPr>
                <w:rFonts w:ascii="宋体" w:hAnsi="宋体"/>
                <w:color w:val="000000"/>
              </w:rPr>
            </w:pPr>
          </w:p>
        </w:tc>
        <w:tc>
          <w:tcPr>
            <w:tcW w:w="1984" w:type="dxa"/>
            <w:noWrap w:val="0"/>
            <w:vAlign w:val="center"/>
          </w:tcPr>
          <w:p w14:paraId="7F4031BF">
            <w:pPr>
              <w:spacing w:line="360" w:lineRule="auto"/>
              <w:jc w:val="center"/>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日历天</w:t>
            </w:r>
          </w:p>
        </w:tc>
        <w:tc>
          <w:tcPr>
            <w:tcW w:w="1843" w:type="dxa"/>
            <w:noWrap w:val="0"/>
            <w:vAlign w:val="center"/>
          </w:tcPr>
          <w:p w14:paraId="3F9D1A1E">
            <w:pPr>
              <w:spacing w:line="360" w:lineRule="auto"/>
              <w:jc w:val="center"/>
              <w:rPr>
                <w:rFonts w:ascii="宋体" w:hAnsi="宋体"/>
                <w:color w:val="000000"/>
                <w:szCs w:val="21"/>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ascii="宋体" w:hAnsi="宋体"/>
                <w:color w:val="000000"/>
                <w:szCs w:val="21"/>
              </w:rPr>
            </w:pPr>
            <w:r>
              <w:rPr>
                <w:rFonts w:hint="eastAsia" w:ascii="宋体" w:hAnsi="宋体"/>
                <w:color w:val="000000"/>
                <w:szCs w:val="21"/>
              </w:rPr>
              <w:t>4</w:t>
            </w:r>
          </w:p>
        </w:tc>
        <w:tc>
          <w:tcPr>
            <w:tcW w:w="1985" w:type="dxa"/>
            <w:noWrap w:val="0"/>
            <w:vAlign w:val="center"/>
          </w:tcPr>
          <w:p w14:paraId="2E2D059C">
            <w:pPr>
              <w:spacing w:line="360" w:lineRule="auto"/>
              <w:rPr>
                <w:rFonts w:ascii="宋体" w:hAnsi="宋体"/>
                <w:color w:val="000000"/>
                <w:szCs w:val="21"/>
              </w:rPr>
            </w:pPr>
            <w:r>
              <w:rPr>
                <w:rFonts w:ascii="宋体" w:hAnsi="宋体"/>
                <w:color w:val="000000"/>
                <w:szCs w:val="21"/>
              </w:rPr>
              <w:t>履约保证金</w:t>
            </w:r>
          </w:p>
        </w:tc>
        <w:tc>
          <w:tcPr>
            <w:tcW w:w="2126" w:type="dxa"/>
            <w:noWrap w:val="0"/>
            <w:tcMar>
              <w:left w:w="170" w:type="dxa"/>
            </w:tcMar>
            <w:vAlign w:val="center"/>
          </w:tcPr>
          <w:p w14:paraId="66B1A8BA">
            <w:pPr>
              <w:spacing w:line="360" w:lineRule="auto"/>
              <w:jc w:val="center"/>
              <w:rPr>
                <w:rFonts w:ascii="宋体" w:hAnsi="宋体"/>
                <w:color w:val="000000"/>
              </w:rPr>
            </w:pPr>
          </w:p>
        </w:tc>
        <w:tc>
          <w:tcPr>
            <w:tcW w:w="1984" w:type="dxa"/>
            <w:noWrap w:val="0"/>
            <w:vAlign w:val="center"/>
          </w:tcPr>
          <w:p w14:paraId="7C7291BB">
            <w:pPr>
              <w:spacing w:line="360" w:lineRule="auto"/>
              <w:jc w:val="center"/>
              <w:rPr>
                <w:rFonts w:ascii="宋体" w:hAnsi="宋体"/>
                <w:color w:val="000000"/>
                <w:szCs w:val="21"/>
              </w:rPr>
            </w:pPr>
          </w:p>
        </w:tc>
        <w:tc>
          <w:tcPr>
            <w:tcW w:w="1843" w:type="dxa"/>
            <w:noWrap w:val="0"/>
            <w:vAlign w:val="center"/>
          </w:tcPr>
          <w:p w14:paraId="49948484">
            <w:pPr>
              <w:spacing w:line="360" w:lineRule="auto"/>
              <w:jc w:val="center"/>
              <w:rPr>
                <w:rFonts w:ascii="宋体" w:hAnsi="宋体"/>
                <w:color w:val="000000"/>
                <w:szCs w:val="21"/>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ascii="宋体" w:hAnsi="宋体"/>
                <w:color w:val="000000"/>
                <w:szCs w:val="21"/>
              </w:rPr>
            </w:pPr>
            <w:r>
              <w:rPr>
                <w:rFonts w:hint="eastAsia" w:ascii="宋体" w:hAnsi="宋体"/>
                <w:color w:val="000000"/>
                <w:szCs w:val="21"/>
              </w:rPr>
              <w:t>5</w:t>
            </w:r>
          </w:p>
        </w:tc>
        <w:tc>
          <w:tcPr>
            <w:tcW w:w="1985" w:type="dxa"/>
            <w:noWrap w:val="0"/>
            <w:vAlign w:val="center"/>
          </w:tcPr>
          <w:p w14:paraId="48FE3446">
            <w:pPr>
              <w:spacing w:line="360" w:lineRule="auto"/>
              <w:rPr>
                <w:rFonts w:ascii="宋体" w:hAnsi="宋体"/>
                <w:color w:val="000000"/>
                <w:szCs w:val="21"/>
              </w:rPr>
            </w:pPr>
            <w:r>
              <w:rPr>
                <w:rFonts w:ascii="宋体" w:hAnsi="宋体"/>
                <w:color w:val="000000"/>
                <w:szCs w:val="21"/>
              </w:rPr>
              <w:t>质量标准</w:t>
            </w:r>
          </w:p>
        </w:tc>
        <w:tc>
          <w:tcPr>
            <w:tcW w:w="2126" w:type="dxa"/>
            <w:noWrap w:val="0"/>
            <w:tcMar>
              <w:left w:w="170" w:type="dxa"/>
            </w:tcMar>
            <w:vAlign w:val="center"/>
          </w:tcPr>
          <w:p w14:paraId="1D4E0686">
            <w:pPr>
              <w:spacing w:line="360" w:lineRule="auto"/>
              <w:jc w:val="center"/>
              <w:rPr>
                <w:rFonts w:ascii="宋体" w:hAnsi="宋体"/>
                <w:color w:val="000000"/>
              </w:rPr>
            </w:pPr>
          </w:p>
        </w:tc>
        <w:tc>
          <w:tcPr>
            <w:tcW w:w="1984" w:type="dxa"/>
            <w:noWrap w:val="0"/>
            <w:vAlign w:val="center"/>
          </w:tcPr>
          <w:p w14:paraId="210737E8">
            <w:pPr>
              <w:spacing w:line="360" w:lineRule="auto"/>
              <w:jc w:val="center"/>
              <w:rPr>
                <w:rFonts w:ascii="宋体" w:hAnsi="宋体"/>
                <w:color w:val="000000"/>
                <w:szCs w:val="21"/>
              </w:rPr>
            </w:pPr>
            <w:r>
              <w:rPr>
                <w:rFonts w:hint="eastAsia" w:ascii="宋体" w:hAnsi="宋体"/>
                <w:color w:val="000000"/>
                <w:szCs w:val="21"/>
                <w:u w:val="single"/>
              </w:rPr>
              <w:t xml:space="preserve">       </w:t>
            </w:r>
          </w:p>
        </w:tc>
        <w:tc>
          <w:tcPr>
            <w:tcW w:w="1843" w:type="dxa"/>
            <w:noWrap w:val="0"/>
            <w:vAlign w:val="center"/>
          </w:tcPr>
          <w:p w14:paraId="4B873EC2">
            <w:pPr>
              <w:spacing w:line="360" w:lineRule="auto"/>
              <w:jc w:val="center"/>
              <w:rPr>
                <w:rFonts w:ascii="宋体" w:hAnsi="宋体"/>
                <w:color w:val="000000"/>
                <w:szCs w:val="21"/>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ascii="宋体" w:hAnsi="宋体"/>
                <w:color w:val="000000"/>
                <w:szCs w:val="21"/>
              </w:rPr>
            </w:pPr>
            <w:r>
              <w:rPr>
                <w:rFonts w:ascii="宋体" w:hAnsi="宋体"/>
                <w:color w:val="000000"/>
                <w:szCs w:val="21"/>
              </w:rPr>
              <w:t>……</w:t>
            </w:r>
          </w:p>
        </w:tc>
        <w:tc>
          <w:tcPr>
            <w:tcW w:w="1985" w:type="dxa"/>
            <w:noWrap w:val="0"/>
            <w:vAlign w:val="center"/>
          </w:tcPr>
          <w:p w14:paraId="30844195">
            <w:pPr>
              <w:spacing w:line="360" w:lineRule="auto"/>
              <w:jc w:val="center"/>
              <w:rPr>
                <w:rFonts w:ascii="宋体" w:hAnsi="宋体"/>
                <w:color w:val="000000"/>
                <w:szCs w:val="21"/>
              </w:rPr>
            </w:pPr>
            <w:r>
              <w:rPr>
                <w:rFonts w:ascii="宋体" w:hAnsi="宋体"/>
                <w:color w:val="000000"/>
                <w:szCs w:val="21"/>
              </w:rPr>
              <w:t>……</w:t>
            </w:r>
          </w:p>
        </w:tc>
        <w:tc>
          <w:tcPr>
            <w:tcW w:w="2126" w:type="dxa"/>
            <w:noWrap w:val="0"/>
            <w:tcMar>
              <w:left w:w="170" w:type="dxa"/>
            </w:tcMar>
            <w:vAlign w:val="center"/>
          </w:tcPr>
          <w:p w14:paraId="090D4B3D">
            <w:pPr>
              <w:spacing w:line="360" w:lineRule="auto"/>
              <w:rPr>
                <w:rFonts w:ascii="宋体" w:hAnsi="宋体"/>
                <w:color w:val="000000"/>
                <w:szCs w:val="21"/>
              </w:rPr>
            </w:pPr>
          </w:p>
        </w:tc>
        <w:tc>
          <w:tcPr>
            <w:tcW w:w="1984" w:type="dxa"/>
            <w:noWrap w:val="0"/>
            <w:vAlign w:val="center"/>
          </w:tcPr>
          <w:p w14:paraId="2B3DB547">
            <w:pPr>
              <w:spacing w:line="360" w:lineRule="auto"/>
              <w:jc w:val="center"/>
              <w:rPr>
                <w:rFonts w:ascii="宋体" w:hAnsi="宋体"/>
                <w:color w:val="000000"/>
                <w:szCs w:val="21"/>
              </w:rPr>
            </w:pPr>
          </w:p>
        </w:tc>
        <w:tc>
          <w:tcPr>
            <w:tcW w:w="1843" w:type="dxa"/>
            <w:noWrap w:val="0"/>
            <w:vAlign w:val="center"/>
          </w:tcPr>
          <w:p w14:paraId="0D191B18">
            <w:pPr>
              <w:spacing w:line="360" w:lineRule="auto"/>
              <w:jc w:val="center"/>
              <w:rPr>
                <w:rFonts w:ascii="宋体" w:hAnsi="宋体"/>
                <w:color w:val="000000"/>
                <w:szCs w:val="21"/>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ascii="宋体" w:hAnsi="宋体"/>
                <w:color w:val="000000"/>
                <w:szCs w:val="21"/>
              </w:rPr>
            </w:pPr>
            <w:r>
              <w:rPr>
                <w:rFonts w:ascii="宋体" w:hAnsi="宋体"/>
                <w:color w:val="000000"/>
                <w:szCs w:val="21"/>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供应商（盖</w:t>
      </w:r>
      <w:r>
        <w:rPr>
          <w:rFonts w:hint="eastAsia" w:ascii="Times New Roman" w:hAnsi="Times New Roman" w:eastAsia="宋体" w:cs="Times New Roman"/>
          <w:color w:val="000000"/>
          <w:sz w:val="24"/>
          <w:szCs w:val="21"/>
        </w:rPr>
        <w:t>单位</w:t>
      </w:r>
      <w:r>
        <w:rPr>
          <w:rFonts w:ascii="Times New Roman" w:hAnsi="Times New Roman" w:eastAsia="宋体" w:cs="Times New Roman"/>
          <w:color w:val="000000"/>
          <w:sz w:val="24"/>
          <w:szCs w:val="21"/>
        </w:rPr>
        <w:t>章）：</w:t>
      </w:r>
    </w:p>
    <w:p w14:paraId="4B7D884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法人代表或委托代理人（签字或盖章）：</w:t>
      </w:r>
    </w:p>
    <w:p w14:paraId="697EF25D">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EA29EB1">
      <w:pPr>
        <w:spacing w:line="360" w:lineRule="auto"/>
        <w:ind w:firstLine="525" w:firstLineChars="250"/>
        <w:rPr>
          <w:rFonts w:ascii="宋体" w:hAnsi="宋体"/>
          <w:color w:val="000000"/>
          <w:szCs w:val="21"/>
        </w:rPr>
      </w:pPr>
    </w:p>
    <w:p w14:paraId="47FA2420">
      <w:pPr>
        <w:spacing w:line="360" w:lineRule="auto"/>
        <w:rPr>
          <w:rFonts w:ascii="宋体" w:hAnsi="宋体"/>
          <w:color w:val="000000"/>
          <w:sz w:val="24"/>
        </w:rPr>
        <w:sectPr>
          <w:pgSz w:w="11907" w:h="16840"/>
          <w:pgMar w:top="1134" w:right="1134" w:bottom="1134" w:left="1134" w:header="1139" w:footer="851" w:gutter="0"/>
          <w:cols w:space="720" w:num="1"/>
          <w:titlePg/>
          <w:docGrid w:linePitch="312" w:charSpace="0"/>
        </w:sectPr>
      </w:pPr>
    </w:p>
    <w:p w14:paraId="3369C441">
      <w:pPr>
        <w:pStyle w:val="2"/>
        <w:numPr>
          <w:ilvl w:val="0"/>
          <w:numId w:val="58"/>
        </w:numPr>
        <w:tabs>
          <w:tab w:val="clear" w:pos="482"/>
        </w:tabs>
        <w:ind w:left="0" w:leftChars="0" w:firstLine="482" w:firstLineChars="0"/>
      </w:pPr>
      <w:r>
        <w:t>磋商报价表（格式）</w:t>
      </w:r>
    </w:p>
    <w:p w14:paraId="29B4CBB6">
      <w:pPr>
        <w:pStyle w:val="43"/>
        <w:outlineLvl w:val="9"/>
      </w:pPr>
      <w:bookmarkStart w:id="61" w:name="_Toc6413136"/>
      <w:bookmarkStart w:id="62" w:name="_Toc8370"/>
      <w:r>
        <w:t>磋商报价表</w:t>
      </w:r>
      <w:bookmarkEnd w:id="61"/>
      <w:bookmarkEnd w:id="62"/>
    </w:p>
    <w:p w14:paraId="39AB9B0C">
      <w:pPr>
        <w:pStyle w:val="33"/>
        <w:spacing w:line="360" w:lineRule="auto"/>
        <w:jc w:val="center"/>
        <w:outlineLvl w:val="9"/>
        <w:rPr>
          <w:rFonts w:ascii="宋体" w:hAnsi="宋体"/>
          <w:b/>
          <w:color w:val="000000"/>
          <w:sz w:val="24"/>
        </w:rPr>
      </w:pPr>
    </w:p>
    <w:p w14:paraId="764F1A76">
      <w:pPr>
        <w:spacing w:line="360" w:lineRule="auto"/>
        <w:ind w:left="-178" w:leftChars="-85" w:right="-512" w:rightChars="-244" w:firstLine="840" w:firstLineChars="400"/>
        <w:jc w:val="left"/>
        <w:rPr>
          <w:rFonts w:ascii="宋体" w:hAnsi="宋体"/>
          <w:color w:val="000000"/>
        </w:rPr>
      </w:pPr>
      <w:r>
        <w:rPr>
          <w:rFonts w:ascii="宋体" w:hAnsi="宋体"/>
          <w:color w:val="000000"/>
        </w:rPr>
        <w:t xml:space="preserve">                                               币种：人民币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ascii="宋体" w:hAnsi="宋体"/>
                <w:color w:val="000000"/>
              </w:rPr>
            </w:pPr>
            <w:r>
              <w:rPr>
                <w:rFonts w:hint="eastAsia" w:ascii="宋体" w:hAnsi="宋体"/>
                <w:color w:val="000000"/>
              </w:rPr>
              <w:t>磋商</w:t>
            </w:r>
            <w:r>
              <w:rPr>
                <w:rFonts w:ascii="宋体" w:hAnsi="宋体"/>
                <w:color w:val="000000"/>
              </w:rPr>
              <w:t>报价</w:t>
            </w:r>
          </w:p>
        </w:tc>
        <w:tc>
          <w:tcPr>
            <w:tcW w:w="1128" w:type="pct"/>
            <w:noWrap w:val="0"/>
            <w:vAlign w:val="center"/>
          </w:tcPr>
          <w:p w14:paraId="1D6BA275">
            <w:pPr>
              <w:widowControl/>
              <w:spacing w:line="360" w:lineRule="auto"/>
              <w:jc w:val="right"/>
              <w:rPr>
                <w:rFonts w:ascii="宋体" w:hAnsi="宋体"/>
                <w:color w:val="000000"/>
              </w:rPr>
            </w:pPr>
            <w:r>
              <w:rPr>
                <w:rFonts w:ascii="宋体" w:hAnsi="宋体"/>
                <w:color w:val="000000"/>
              </w:rPr>
              <w:t>元</w:t>
            </w:r>
          </w:p>
        </w:tc>
        <w:tc>
          <w:tcPr>
            <w:tcW w:w="969" w:type="pct"/>
            <w:noWrap w:val="0"/>
            <w:vAlign w:val="center"/>
          </w:tcPr>
          <w:p w14:paraId="04A50E68">
            <w:pPr>
              <w:widowControl/>
              <w:spacing w:line="360" w:lineRule="auto"/>
              <w:jc w:val="center"/>
              <w:rPr>
                <w:rFonts w:ascii="宋体" w:hAnsi="宋体"/>
                <w:color w:val="000000"/>
              </w:rPr>
            </w:pPr>
            <w:r>
              <w:rPr>
                <w:rFonts w:ascii="宋体" w:hAnsi="宋体"/>
                <w:color w:val="000000"/>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ascii="宋体" w:hAnsi="宋体"/>
                <w:color w:val="000000"/>
              </w:rPr>
            </w:pPr>
            <w:r>
              <w:rPr>
                <w:rFonts w:ascii="宋体" w:hAnsi="宋体"/>
                <w:color w:val="000000"/>
              </w:rPr>
              <w:t>其中</w:t>
            </w:r>
          </w:p>
        </w:tc>
        <w:tc>
          <w:tcPr>
            <w:tcW w:w="1773" w:type="pct"/>
            <w:noWrap w:val="0"/>
            <w:vAlign w:val="center"/>
          </w:tcPr>
          <w:p w14:paraId="2FC5AB45">
            <w:pPr>
              <w:widowControl/>
              <w:spacing w:line="360" w:lineRule="auto"/>
              <w:jc w:val="center"/>
              <w:rPr>
                <w:rFonts w:ascii="宋体" w:hAnsi="宋体"/>
                <w:color w:val="000000"/>
              </w:rPr>
            </w:pPr>
            <w:r>
              <w:rPr>
                <w:rFonts w:ascii="宋体" w:hAnsi="宋体"/>
                <w:color w:val="000000"/>
              </w:rPr>
              <w:t>安全文明施工费</w:t>
            </w:r>
          </w:p>
        </w:tc>
        <w:tc>
          <w:tcPr>
            <w:tcW w:w="1128" w:type="pct"/>
            <w:noWrap w:val="0"/>
            <w:vAlign w:val="center"/>
          </w:tcPr>
          <w:p w14:paraId="0F584747">
            <w:pPr>
              <w:spacing w:line="360" w:lineRule="auto"/>
              <w:jc w:val="right"/>
              <w:rPr>
                <w:rFonts w:ascii="宋体" w:hAnsi="宋体"/>
                <w:color w:val="000000"/>
              </w:rPr>
            </w:pPr>
            <w:r>
              <w:rPr>
                <w:rFonts w:ascii="宋体" w:hAnsi="宋体"/>
                <w:color w:val="000000"/>
              </w:rPr>
              <w:t>元</w:t>
            </w:r>
          </w:p>
        </w:tc>
        <w:tc>
          <w:tcPr>
            <w:tcW w:w="969" w:type="pct"/>
            <w:noWrap w:val="0"/>
            <w:vAlign w:val="center"/>
          </w:tcPr>
          <w:p w14:paraId="2879110D">
            <w:pPr>
              <w:spacing w:line="360" w:lineRule="auto"/>
              <w:jc w:val="center"/>
              <w:rPr>
                <w:rFonts w:ascii="宋体" w:hAnsi="宋体"/>
                <w:color w:val="000000"/>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ascii="宋体" w:hAnsi="宋体"/>
                <w:color w:val="000000"/>
              </w:rPr>
            </w:pPr>
          </w:p>
        </w:tc>
        <w:tc>
          <w:tcPr>
            <w:tcW w:w="1773" w:type="pct"/>
            <w:noWrap w:val="0"/>
            <w:vAlign w:val="center"/>
          </w:tcPr>
          <w:p w14:paraId="1955ECA1">
            <w:pPr>
              <w:spacing w:line="360" w:lineRule="auto"/>
              <w:jc w:val="center"/>
              <w:rPr>
                <w:rFonts w:ascii="宋体" w:hAnsi="宋体"/>
                <w:color w:val="000000"/>
              </w:rPr>
            </w:pPr>
            <w:r>
              <w:rPr>
                <w:rFonts w:hint="eastAsia" w:ascii="宋体" w:hAnsi="宋体"/>
                <w:color w:val="000000"/>
              </w:rPr>
              <w:t>发包人提供材料（如有）</w:t>
            </w:r>
          </w:p>
        </w:tc>
        <w:tc>
          <w:tcPr>
            <w:tcW w:w="1128" w:type="pct"/>
            <w:noWrap w:val="0"/>
            <w:vAlign w:val="center"/>
          </w:tcPr>
          <w:p w14:paraId="0D355B18">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4E21F4E3">
            <w:pPr>
              <w:widowControl/>
              <w:spacing w:line="360" w:lineRule="auto"/>
              <w:ind w:right="480"/>
              <w:rPr>
                <w:rFonts w:ascii="宋体" w:hAnsi="宋体"/>
                <w:color w:val="000000"/>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ascii="宋体" w:hAnsi="宋体"/>
                <w:color w:val="000000"/>
              </w:rPr>
            </w:pPr>
          </w:p>
        </w:tc>
        <w:tc>
          <w:tcPr>
            <w:tcW w:w="1773" w:type="pct"/>
            <w:noWrap w:val="0"/>
            <w:vAlign w:val="center"/>
          </w:tcPr>
          <w:p w14:paraId="2FF58CFC">
            <w:pPr>
              <w:spacing w:line="360" w:lineRule="auto"/>
              <w:jc w:val="center"/>
              <w:rPr>
                <w:rFonts w:ascii="宋体" w:hAnsi="宋体"/>
                <w:color w:val="000000"/>
              </w:rPr>
            </w:pPr>
            <w:r>
              <w:rPr>
                <w:rFonts w:hint="eastAsia" w:ascii="宋体" w:hAnsi="宋体"/>
                <w:color w:val="000000"/>
              </w:rPr>
              <w:t>承包人提供材料（设备）暂估价（如有）</w:t>
            </w:r>
          </w:p>
        </w:tc>
        <w:tc>
          <w:tcPr>
            <w:tcW w:w="1128" w:type="pct"/>
            <w:noWrap w:val="0"/>
            <w:vAlign w:val="center"/>
          </w:tcPr>
          <w:p w14:paraId="482B580A">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1F536A78">
            <w:pPr>
              <w:widowControl/>
              <w:spacing w:line="360" w:lineRule="auto"/>
              <w:ind w:right="480"/>
              <w:rPr>
                <w:rFonts w:ascii="宋体" w:hAnsi="宋体"/>
                <w:color w:val="000000"/>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ascii="宋体" w:hAnsi="宋体"/>
                <w:color w:val="000000"/>
              </w:rPr>
            </w:pPr>
          </w:p>
        </w:tc>
        <w:tc>
          <w:tcPr>
            <w:tcW w:w="1773" w:type="pct"/>
            <w:noWrap w:val="0"/>
            <w:vAlign w:val="center"/>
          </w:tcPr>
          <w:p w14:paraId="62CAF642">
            <w:pPr>
              <w:widowControl/>
              <w:spacing w:line="360" w:lineRule="auto"/>
              <w:jc w:val="center"/>
              <w:rPr>
                <w:rFonts w:ascii="宋体" w:hAnsi="宋体"/>
                <w:color w:val="000000"/>
              </w:rPr>
            </w:pPr>
            <w:r>
              <w:rPr>
                <w:rFonts w:hint="eastAsia" w:ascii="宋体" w:hAnsi="宋体"/>
                <w:color w:val="000000"/>
              </w:rPr>
              <w:t>暂估专业工程（如有）</w:t>
            </w:r>
          </w:p>
        </w:tc>
        <w:tc>
          <w:tcPr>
            <w:tcW w:w="1128" w:type="pct"/>
            <w:noWrap w:val="0"/>
            <w:vAlign w:val="center"/>
          </w:tcPr>
          <w:p w14:paraId="2568889C">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2948A8">
            <w:pPr>
              <w:widowControl/>
              <w:spacing w:line="360" w:lineRule="auto"/>
              <w:ind w:right="480"/>
              <w:rPr>
                <w:rFonts w:ascii="宋体" w:hAnsi="宋体"/>
                <w:color w:val="000000"/>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ascii="宋体" w:hAnsi="宋体"/>
                <w:color w:val="000000"/>
              </w:rPr>
            </w:pPr>
          </w:p>
        </w:tc>
        <w:tc>
          <w:tcPr>
            <w:tcW w:w="1773" w:type="pct"/>
            <w:noWrap w:val="0"/>
            <w:vAlign w:val="center"/>
          </w:tcPr>
          <w:p w14:paraId="2A29D304">
            <w:pPr>
              <w:widowControl/>
              <w:spacing w:line="360" w:lineRule="auto"/>
              <w:jc w:val="center"/>
              <w:rPr>
                <w:rFonts w:ascii="宋体" w:hAnsi="宋体"/>
                <w:color w:val="000000"/>
              </w:rPr>
            </w:pPr>
            <w:r>
              <w:rPr>
                <w:rFonts w:hint="eastAsia" w:ascii="宋体" w:hAnsi="宋体"/>
                <w:color w:val="000000"/>
              </w:rPr>
              <w:t>暂列金额（如有）</w:t>
            </w:r>
          </w:p>
        </w:tc>
        <w:tc>
          <w:tcPr>
            <w:tcW w:w="1128" w:type="pct"/>
            <w:noWrap w:val="0"/>
            <w:vAlign w:val="center"/>
          </w:tcPr>
          <w:p w14:paraId="2AF83464">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AD09AA">
            <w:pPr>
              <w:widowControl/>
              <w:spacing w:line="360" w:lineRule="auto"/>
              <w:ind w:right="480"/>
              <w:rPr>
                <w:rFonts w:ascii="宋体" w:hAnsi="宋体"/>
                <w:color w:val="000000"/>
              </w:rPr>
            </w:pPr>
          </w:p>
        </w:tc>
      </w:tr>
    </w:tbl>
    <w:p w14:paraId="721E4C17">
      <w:pPr>
        <w:spacing w:line="360" w:lineRule="auto"/>
        <w:ind w:left="-178" w:leftChars="-85" w:firstLine="177" w:firstLineChars="74"/>
        <w:rPr>
          <w:rFonts w:ascii="宋体" w:hAnsi="宋体"/>
          <w:color w:val="000000"/>
          <w:sz w:val="24"/>
        </w:rPr>
      </w:pPr>
    </w:p>
    <w:p w14:paraId="0B1E3ED2">
      <w:pPr>
        <w:spacing w:line="360" w:lineRule="auto"/>
        <w:rPr>
          <w:rFonts w:ascii="宋体" w:hAnsi="宋体"/>
          <w:color w:val="000000"/>
        </w:rPr>
      </w:pPr>
    </w:p>
    <w:p w14:paraId="6E62EBB7">
      <w:pPr>
        <w:spacing w:line="360" w:lineRule="auto"/>
        <w:rPr>
          <w:rFonts w:ascii="宋体" w:hAnsi="宋体"/>
          <w:color w:val="000000"/>
        </w:rPr>
      </w:pPr>
    </w:p>
    <w:p w14:paraId="551CD40C">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（盖</w:t>
      </w:r>
      <w:r>
        <w:rPr>
          <w:rFonts w:hint="eastAsia" w:ascii="Times New Roman" w:hAnsi="Times New Roman" w:eastAsia="宋体" w:cs="Times New Roman"/>
          <w:color w:val="000000"/>
          <w:sz w:val="24"/>
        </w:rPr>
        <w:t>单位</w:t>
      </w:r>
      <w:r>
        <w:rPr>
          <w:rFonts w:ascii="Times New Roman" w:hAnsi="Times New Roman" w:eastAsia="宋体" w:cs="Times New Roman"/>
          <w:color w:val="000000"/>
          <w:sz w:val="24"/>
        </w:rPr>
        <w:t>章）：</w:t>
      </w:r>
    </w:p>
    <w:p w14:paraId="0A072AEA">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或其委托代理人（签字或盖章）：</w:t>
      </w:r>
    </w:p>
    <w:p w14:paraId="0111C414">
      <w:pPr>
        <w:spacing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3B90FD4">
      <w:pPr>
        <w:spacing w:line="360" w:lineRule="auto"/>
        <w:ind w:firstLine="210" w:firstLineChars="100"/>
        <w:rPr>
          <w:rFonts w:ascii="宋体" w:hAnsi="宋体"/>
          <w:color w:val="000000"/>
        </w:rPr>
      </w:pPr>
    </w:p>
    <w:p w14:paraId="6869A31F">
      <w:pPr>
        <w:spacing w:line="360" w:lineRule="auto"/>
        <w:ind w:left="420"/>
        <w:rPr>
          <w:rFonts w:hint="eastAsia" w:ascii="宋体" w:hAnsi="宋体"/>
          <w:b/>
          <w:color w:val="000000"/>
          <w:sz w:val="24"/>
        </w:rPr>
      </w:pPr>
    </w:p>
    <w:p w14:paraId="7F676143">
      <w:pPr>
        <w:spacing w:line="360" w:lineRule="auto"/>
        <w:ind w:left="420"/>
        <w:rPr>
          <w:rFonts w:hint="eastAsia" w:ascii="宋体" w:hAnsi="宋体"/>
          <w:b/>
          <w:color w:val="000000"/>
          <w:sz w:val="24"/>
        </w:rPr>
      </w:pPr>
    </w:p>
    <w:p w14:paraId="1F5A39B8">
      <w:pPr>
        <w:spacing w:line="360" w:lineRule="auto"/>
        <w:ind w:left="420"/>
        <w:rPr>
          <w:rFonts w:hint="eastAsia" w:ascii="宋体" w:hAnsi="宋体"/>
          <w:b/>
          <w:color w:val="000000"/>
          <w:sz w:val="24"/>
        </w:rPr>
      </w:pPr>
    </w:p>
    <w:p w14:paraId="5C3B21EA">
      <w:pPr>
        <w:spacing w:line="360" w:lineRule="auto"/>
        <w:ind w:left="420"/>
        <w:rPr>
          <w:rFonts w:hint="eastAsia" w:ascii="宋体" w:hAnsi="宋体"/>
          <w:b/>
          <w:color w:val="000000"/>
          <w:sz w:val="24"/>
        </w:rPr>
      </w:pPr>
    </w:p>
    <w:p w14:paraId="7C2B2894">
      <w:pPr>
        <w:spacing w:line="360" w:lineRule="auto"/>
        <w:ind w:left="420"/>
        <w:rPr>
          <w:rFonts w:hint="eastAsia" w:ascii="宋体" w:hAnsi="宋体"/>
          <w:b/>
          <w:color w:val="000000"/>
          <w:sz w:val="24"/>
        </w:rPr>
      </w:pPr>
    </w:p>
    <w:p w14:paraId="50A74963">
      <w:pPr>
        <w:spacing w:line="360" w:lineRule="auto"/>
        <w:ind w:left="420"/>
        <w:rPr>
          <w:rFonts w:hint="eastAsia" w:ascii="宋体" w:hAnsi="宋体"/>
          <w:b/>
          <w:color w:val="000000"/>
          <w:sz w:val="24"/>
        </w:rPr>
      </w:pPr>
    </w:p>
    <w:p w14:paraId="228F8967">
      <w:pPr>
        <w:spacing w:line="360" w:lineRule="auto"/>
        <w:ind w:left="420"/>
        <w:rPr>
          <w:rFonts w:hint="eastAsia" w:ascii="宋体" w:hAnsi="宋体"/>
          <w:b/>
          <w:color w:val="000000"/>
          <w:sz w:val="24"/>
        </w:rPr>
        <w:sectPr>
          <w:pgSz w:w="11907" w:h="16840"/>
          <w:pgMar w:top="1440" w:right="1440" w:bottom="1440" w:left="1797" w:header="851" w:footer="851" w:gutter="0"/>
          <w:cols w:space="720" w:num="1"/>
          <w:docGrid w:linePitch="312" w:charSpace="0"/>
        </w:sectPr>
      </w:pPr>
    </w:p>
    <w:p w14:paraId="5E9D7820">
      <w:pPr>
        <w:pStyle w:val="2"/>
        <w:numPr>
          <w:ilvl w:val="0"/>
          <w:numId w:val="58"/>
        </w:numPr>
        <w:tabs>
          <w:tab w:val="clear" w:pos="482"/>
        </w:tabs>
        <w:ind w:left="0" w:leftChars="0" w:firstLine="482" w:firstLineChars="0"/>
      </w:pPr>
      <w:r>
        <w:t>已标价工程量清单</w:t>
      </w:r>
    </w:p>
    <w:p w14:paraId="561E5D91">
      <w:pPr>
        <w:pStyle w:val="11"/>
        <w:numPr>
          <w:ilvl w:val="0"/>
          <w:numId w:val="60"/>
        </w:numPr>
        <w:topLinePunct w:val="0"/>
        <w:ind w:left="0" w:leftChars="0" w:firstLine="480" w:firstLineChars="0"/>
        <w:rPr>
          <w:b w:val="0"/>
          <w:color w:val="000000"/>
        </w:rPr>
      </w:pPr>
      <w:r>
        <w:rPr>
          <w:color w:val="000000"/>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11"/>
        <w:numPr>
          <w:ilvl w:val="0"/>
          <w:numId w:val="60"/>
        </w:numPr>
        <w:topLinePunct w:val="0"/>
        <w:ind w:left="0" w:leftChars="0" w:firstLine="480" w:firstLineChars="0"/>
        <w:rPr>
          <w:b w:val="0"/>
          <w:color w:val="000000"/>
        </w:rPr>
      </w:pPr>
      <w:r>
        <w:rPr>
          <w:color w:val="000000"/>
        </w:rPr>
        <w:t>表格：可按《建设工程工程量计算规范（GB50854～50862—2013）广西壮族自治区实施细则》工程量清单计价表格提供。</w:t>
      </w:r>
    </w:p>
    <w:p w14:paraId="1B514B4D">
      <w:pPr>
        <w:spacing w:line="360" w:lineRule="auto"/>
        <w:rPr>
          <w:rFonts w:hint="eastAsia" w:ascii="宋体" w:hAnsi="宋体"/>
          <w:b/>
          <w:color w:val="000000"/>
          <w:sz w:val="32"/>
          <w:szCs w:val="32"/>
        </w:rPr>
      </w:pPr>
      <w:r>
        <w:rPr>
          <w:rFonts w:ascii="宋体" w:hAnsi="宋体"/>
          <w:color w:val="000000"/>
          <w:szCs w:val="21"/>
        </w:rPr>
        <w:br w:type="page"/>
      </w:r>
    </w:p>
    <w:p w14:paraId="26618748">
      <w:pPr>
        <w:spacing w:line="360" w:lineRule="auto"/>
        <w:jc w:val="center"/>
        <w:rPr>
          <w:rFonts w:hint="eastAsia" w:ascii="宋体" w:hAnsi="宋体"/>
          <w:b/>
          <w:color w:val="000000"/>
          <w:sz w:val="44"/>
          <w:szCs w:val="44"/>
        </w:rPr>
      </w:pPr>
    </w:p>
    <w:p w14:paraId="74A56375">
      <w:pPr>
        <w:spacing w:line="360" w:lineRule="auto"/>
        <w:jc w:val="center"/>
        <w:rPr>
          <w:rFonts w:hint="eastAsia" w:ascii="宋体" w:hAnsi="宋体"/>
          <w:b/>
          <w:color w:val="000000"/>
          <w:sz w:val="44"/>
          <w:szCs w:val="44"/>
        </w:rPr>
      </w:pPr>
    </w:p>
    <w:p w14:paraId="44BA06A5">
      <w:pPr>
        <w:spacing w:line="360" w:lineRule="auto"/>
        <w:jc w:val="center"/>
        <w:rPr>
          <w:rFonts w:hint="eastAsia" w:ascii="宋体" w:hAnsi="宋体"/>
          <w:b/>
          <w:color w:val="000000"/>
          <w:sz w:val="44"/>
          <w:szCs w:val="44"/>
        </w:rPr>
      </w:pPr>
    </w:p>
    <w:p w14:paraId="0BA60183">
      <w:pPr>
        <w:spacing w:line="360" w:lineRule="auto"/>
        <w:jc w:val="center"/>
        <w:rPr>
          <w:rFonts w:hint="eastAsia" w:ascii="宋体" w:hAnsi="宋体"/>
          <w:b/>
          <w:color w:val="000000"/>
          <w:sz w:val="44"/>
          <w:szCs w:val="44"/>
        </w:rPr>
      </w:pPr>
    </w:p>
    <w:p w14:paraId="634DCE7C">
      <w:pPr>
        <w:spacing w:line="360" w:lineRule="auto"/>
        <w:jc w:val="center"/>
        <w:rPr>
          <w:rFonts w:hint="eastAsia" w:ascii="宋体" w:hAnsi="宋体"/>
          <w:b/>
          <w:color w:val="000000"/>
          <w:sz w:val="44"/>
          <w:szCs w:val="44"/>
        </w:rPr>
      </w:pPr>
    </w:p>
    <w:p w14:paraId="02254337">
      <w:pPr>
        <w:spacing w:line="360" w:lineRule="auto"/>
        <w:jc w:val="center"/>
        <w:rPr>
          <w:rFonts w:hint="eastAsia" w:ascii="宋体" w:hAnsi="宋体"/>
          <w:b/>
          <w:color w:val="000000"/>
          <w:sz w:val="44"/>
          <w:szCs w:val="44"/>
        </w:rPr>
      </w:pPr>
    </w:p>
    <w:p w14:paraId="67D0E666">
      <w:pPr>
        <w:spacing w:line="360" w:lineRule="auto"/>
        <w:jc w:val="center"/>
        <w:rPr>
          <w:rFonts w:hint="eastAsia" w:ascii="宋体" w:hAnsi="宋体"/>
          <w:b/>
          <w:color w:val="000000"/>
          <w:sz w:val="32"/>
          <w:szCs w:val="32"/>
        </w:rPr>
      </w:pPr>
      <w:r>
        <w:rPr>
          <w:rFonts w:hint="eastAsia" w:ascii="宋体" w:hAnsi="宋体"/>
          <w:b/>
          <w:color w:val="000000"/>
          <w:sz w:val="44"/>
          <w:szCs w:val="44"/>
        </w:rPr>
        <w:t>技术文件</w:t>
      </w:r>
    </w:p>
    <w:p w14:paraId="59E0CDA7">
      <w:pPr>
        <w:spacing w:line="360" w:lineRule="auto"/>
        <w:jc w:val="center"/>
        <w:rPr>
          <w:rFonts w:hint="eastAsia" w:ascii="宋体" w:hAnsi="宋体"/>
          <w:color w:val="000000"/>
          <w:szCs w:val="21"/>
        </w:rPr>
      </w:pPr>
    </w:p>
    <w:p w14:paraId="02F7CB89">
      <w:pPr>
        <w:spacing w:line="360" w:lineRule="auto"/>
        <w:jc w:val="center"/>
        <w:rPr>
          <w:rFonts w:hint="eastAsia" w:ascii="宋体" w:hAnsi="宋体"/>
          <w:color w:val="000000"/>
          <w:szCs w:val="21"/>
        </w:rPr>
      </w:pPr>
    </w:p>
    <w:p w14:paraId="032BA9E9">
      <w:pPr>
        <w:spacing w:line="360" w:lineRule="auto"/>
        <w:jc w:val="center"/>
        <w:rPr>
          <w:rFonts w:hint="eastAsia" w:ascii="宋体" w:hAnsi="宋体"/>
          <w:color w:val="000000"/>
          <w:szCs w:val="21"/>
        </w:rPr>
      </w:pPr>
    </w:p>
    <w:p w14:paraId="33E00972">
      <w:pPr>
        <w:spacing w:line="360" w:lineRule="auto"/>
        <w:jc w:val="center"/>
        <w:rPr>
          <w:rFonts w:hint="eastAsia" w:ascii="宋体" w:hAnsi="宋体"/>
          <w:color w:val="000000"/>
          <w:szCs w:val="21"/>
        </w:rPr>
      </w:pPr>
    </w:p>
    <w:p w14:paraId="7EED91C4">
      <w:pPr>
        <w:spacing w:line="360" w:lineRule="auto"/>
        <w:jc w:val="center"/>
        <w:rPr>
          <w:rFonts w:hint="eastAsia" w:ascii="宋体" w:hAnsi="宋体"/>
          <w:color w:val="000000"/>
          <w:szCs w:val="21"/>
        </w:rPr>
      </w:pPr>
    </w:p>
    <w:p w14:paraId="34337A0E">
      <w:pPr>
        <w:spacing w:line="360" w:lineRule="auto"/>
        <w:rPr>
          <w:rFonts w:hint="eastAsia" w:ascii="宋体" w:hAnsi="宋体"/>
          <w:color w:val="000000"/>
          <w:szCs w:val="21"/>
        </w:rPr>
      </w:pPr>
      <w:r>
        <w:rPr>
          <w:rFonts w:ascii="宋体" w:hAnsi="宋体"/>
          <w:color w:val="000000"/>
          <w:szCs w:val="21"/>
        </w:rPr>
        <w:br w:type="page"/>
      </w:r>
    </w:p>
    <w:p w14:paraId="64A5A880">
      <w:pPr>
        <w:pStyle w:val="41"/>
      </w:pPr>
      <w:r>
        <w:t>技术文件目录</w:t>
      </w:r>
    </w:p>
    <w:p w14:paraId="0CB6A442">
      <w:pPr>
        <w:pStyle w:val="41"/>
      </w:pPr>
      <w:r>
        <w:t>（应附有页码）</w:t>
      </w:r>
    </w:p>
    <w:p w14:paraId="5C82F284">
      <w:pPr>
        <w:spacing w:line="360" w:lineRule="auto"/>
        <w:jc w:val="center"/>
        <w:rPr>
          <w:rFonts w:hint="eastAsia" w:ascii="宋体" w:hAnsi="宋体"/>
          <w:b/>
          <w:color w:val="000000"/>
          <w:sz w:val="24"/>
        </w:rPr>
      </w:pPr>
    </w:p>
    <w:p w14:paraId="6E797409">
      <w:pPr>
        <w:pStyle w:val="11"/>
        <w:numPr>
          <w:ilvl w:val="0"/>
          <w:numId w:val="61"/>
        </w:numPr>
        <w:topLinePunct w:val="0"/>
        <w:ind w:left="0" w:leftChars="0" w:firstLine="480" w:firstLineChars="0"/>
        <w:rPr>
          <w:b w:val="0"/>
          <w:color w:val="000000"/>
        </w:rPr>
      </w:pPr>
      <w:r>
        <w:rPr>
          <w:color w:val="000000"/>
        </w:rPr>
        <w:t>施工组织设计</w:t>
      </w:r>
    </w:p>
    <w:p w14:paraId="74C829A6">
      <w:pPr>
        <w:pStyle w:val="11"/>
        <w:numPr>
          <w:ilvl w:val="0"/>
          <w:numId w:val="61"/>
        </w:numPr>
        <w:topLinePunct w:val="0"/>
        <w:ind w:left="0" w:leftChars="0" w:firstLine="480" w:firstLineChars="0"/>
        <w:rPr>
          <w:b w:val="0"/>
          <w:color w:val="000000"/>
        </w:rPr>
      </w:pPr>
      <w:r>
        <w:rPr>
          <w:color w:val="000000"/>
        </w:rPr>
        <w:t>项目管理机构配备情况表</w:t>
      </w:r>
    </w:p>
    <w:p w14:paraId="489B256E">
      <w:pPr>
        <w:pStyle w:val="11"/>
        <w:numPr>
          <w:ilvl w:val="0"/>
          <w:numId w:val="61"/>
        </w:numPr>
        <w:topLinePunct w:val="0"/>
        <w:ind w:left="0" w:leftChars="0" w:firstLine="480" w:firstLineChars="0"/>
        <w:rPr>
          <w:b w:val="0"/>
          <w:color w:val="000000"/>
        </w:rPr>
      </w:pPr>
      <w:r>
        <w:rPr>
          <w:color w:val="000000"/>
        </w:rPr>
        <w:t>按本竞争性磋商文件规定提交的其它资料</w:t>
      </w:r>
    </w:p>
    <w:p w14:paraId="7F4A34F6">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15099CDF">
      <w:pPr>
        <w:spacing w:line="360" w:lineRule="auto"/>
        <w:rPr>
          <w:rFonts w:ascii="宋体" w:hAnsi="宋体"/>
          <w:color w:val="000000"/>
          <w:szCs w:val="21"/>
        </w:rPr>
      </w:pPr>
    </w:p>
    <w:p w14:paraId="75A7034B">
      <w:pPr>
        <w:pStyle w:val="2"/>
        <w:numPr>
          <w:ilvl w:val="0"/>
          <w:numId w:val="62"/>
        </w:numPr>
        <w:ind w:left="0" w:leftChars="0" w:firstLine="480" w:firstLineChars="0"/>
        <w:rPr>
          <w:b/>
        </w:rPr>
      </w:pPr>
      <w:r>
        <w:br w:type="page"/>
      </w:r>
      <w:r>
        <w:t>施工组织设计</w:t>
      </w:r>
    </w:p>
    <w:p w14:paraId="008AAAF8">
      <w:pPr>
        <w:pStyle w:val="11"/>
        <w:numPr>
          <w:ilvl w:val="0"/>
          <w:numId w:val="63"/>
        </w:numPr>
        <w:topLinePunct w:val="0"/>
        <w:ind w:left="0" w:leftChars="0" w:firstLine="480" w:firstLineChars="0"/>
        <w:rPr>
          <w:b w:val="0"/>
          <w:color w:val="000000"/>
        </w:rPr>
      </w:pPr>
      <w:r>
        <w:rPr>
          <w:color w:val="000000"/>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11"/>
        <w:numPr>
          <w:ilvl w:val="0"/>
          <w:numId w:val="63"/>
        </w:numPr>
        <w:topLinePunct w:val="0"/>
        <w:ind w:left="0" w:leftChars="0" w:firstLine="480" w:firstLineChars="0"/>
        <w:rPr>
          <w:b w:val="0"/>
          <w:color w:val="000000"/>
        </w:rPr>
      </w:pPr>
      <w:r>
        <w:rPr>
          <w:color w:val="000000"/>
        </w:rPr>
        <w:t>施工组织设计除采用文字表述外可附下列图表，图表及格式要求附后。</w:t>
      </w:r>
    </w:p>
    <w:p w14:paraId="3893E7B3">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附表一  拟投入本工程的主要施工设备表</w:t>
      </w:r>
    </w:p>
    <w:p w14:paraId="36E53A0B">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附表二  拟配备本工程的试验和检测仪器设备表</w:t>
      </w:r>
    </w:p>
    <w:p w14:paraId="6C1A3A0E">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附表三  劳动力计划表</w:t>
      </w:r>
    </w:p>
    <w:p w14:paraId="275260C2">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附表四  计划开、竣工日期和施工进度网络图</w:t>
      </w:r>
    </w:p>
    <w:p w14:paraId="06AAD7D6">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Cs w:val="21"/>
        </w:rPr>
      </w:pPr>
      <w:r>
        <w:rPr>
          <w:color w:val="000000"/>
        </w:rPr>
        <w:t>附表五  临时用地表</w:t>
      </w:r>
    </w:p>
    <w:p w14:paraId="36E8AD8A">
      <w:pPr>
        <w:pStyle w:val="40"/>
        <w:outlineLvl w:val="0"/>
      </w:pPr>
      <w:r>
        <w:t>附表一：拟投入本工程的主要施工设备表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4B132F1B">
            <w:pPr>
              <w:spacing w:line="360" w:lineRule="auto"/>
              <w:jc w:val="center"/>
              <w:rPr>
                <w:rFonts w:ascii="宋体" w:hAnsi="宋体"/>
                <w:color w:val="000000"/>
                <w:szCs w:val="21"/>
              </w:rPr>
            </w:pPr>
            <w:r>
              <w:rPr>
                <w:rFonts w:ascii="宋体" w:hAnsi="宋体"/>
                <w:color w:val="000000"/>
                <w:szCs w:val="21"/>
              </w:rPr>
              <w:t>设备名称</w:t>
            </w:r>
          </w:p>
        </w:tc>
        <w:tc>
          <w:tcPr>
            <w:tcW w:w="454" w:type="pct"/>
            <w:noWrap w:val="0"/>
            <w:vAlign w:val="center"/>
          </w:tcPr>
          <w:p w14:paraId="693A721A">
            <w:pPr>
              <w:spacing w:line="360" w:lineRule="auto"/>
              <w:jc w:val="center"/>
              <w:rPr>
                <w:rFonts w:ascii="宋体" w:hAnsi="宋体"/>
                <w:color w:val="000000"/>
                <w:szCs w:val="21"/>
              </w:rPr>
            </w:pPr>
            <w:r>
              <w:rPr>
                <w:rFonts w:ascii="宋体" w:hAnsi="宋体"/>
                <w:color w:val="000000"/>
                <w:szCs w:val="21"/>
              </w:rPr>
              <w:t>型号</w:t>
            </w:r>
          </w:p>
          <w:p w14:paraId="7B798CB6">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571B19F0">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1ED56A3">
            <w:pPr>
              <w:spacing w:line="360" w:lineRule="auto"/>
              <w:jc w:val="center"/>
              <w:rPr>
                <w:rFonts w:ascii="宋体" w:hAnsi="宋体"/>
                <w:color w:val="000000"/>
                <w:szCs w:val="21"/>
              </w:rPr>
            </w:pPr>
            <w:r>
              <w:rPr>
                <w:rFonts w:ascii="宋体" w:hAnsi="宋体"/>
                <w:color w:val="000000"/>
                <w:szCs w:val="21"/>
              </w:rPr>
              <w:t>国别</w:t>
            </w:r>
          </w:p>
          <w:p w14:paraId="3CC88932">
            <w:pPr>
              <w:spacing w:line="360" w:lineRule="auto"/>
              <w:jc w:val="center"/>
              <w:rPr>
                <w:rFonts w:ascii="宋体" w:hAnsi="宋体"/>
                <w:color w:val="000000"/>
                <w:szCs w:val="21"/>
              </w:rPr>
            </w:pPr>
            <w:r>
              <w:rPr>
                <w:rFonts w:ascii="宋体" w:hAnsi="宋体"/>
                <w:color w:val="000000"/>
                <w:szCs w:val="21"/>
              </w:rPr>
              <w:t>产地</w:t>
            </w:r>
          </w:p>
        </w:tc>
        <w:tc>
          <w:tcPr>
            <w:tcW w:w="454" w:type="pct"/>
            <w:noWrap w:val="0"/>
            <w:vAlign w:val="center"/>
          </w:tcPr>
          <w:p w14:paraId="17B6CD13">
            <w:pPr>
              <w:spacing w:line="360" w:lineRule="auto"/>
              <w:jc w:val="center"/>
              <w:rPr>
                <w:rFonts w:ascii="宋体" w:hAnsi="宋体"/>
                <w:color w:val="000000"/>
                <w:szCs w:val="21"/>
              </w:rPr>
            </w:pPr>
            <w:r>
              <w:rPr>
                <w:rFonts w:ascii="宋体" w:hAnsi="宋体"/>
                <w:color w:val="000000"/>
                <w:szCs w:val="21"/>
              </w:rPr>
              <w:t>制造</w:t>
            </w:r>
          </w:p>
          <w:p w14:paraId="3A306613">
            <w:pPr>
              <w:spacing w:line="360" w:lineRule="auto"/>
              <w:jc w:val="center"/>
              <w:rPr>
                <w:rFonts w:ascii="宋体" w:hAnsi="宋体"/>
                <w:color w:val="000000"/>
                <w:szCs w:val="21"/>
              </w:rPr>
            </w:pPr>
            <w:r>
              <w:rPr>
                <w:rFonts w:ascii="宋体" w:hAnsi="宋体"/>
                <w:color w:val="000000"/>
                <w:szCs w:val="21"/>
              </w:rPr>
              <w:t>年份</w:t>
            </w:r>
          </w:p>
        </w:tc>
        <w:tc>
          <w:tcPr>
            <w:tcW w:w="606" w:type="pct"/>
            <w:noWrap w:val="0"/>
            <w:vAlign w:val="center"/>
          </w:tcPr>
          <w:p w14:paraId="340F54D7">
            <w:pPr>
              <w:spacing w:line="360" w:lineRule="auto"/>
              <w:jc w:val="center"/>
              <w:rPr>
                <w:rFonts w:ascii="宋体" w:hAnsi="宋体"/>
                <w:color w:val="000000"/>
                <w:szCs w:val="21"/>
              </w:rPr>
            </w:pPr>
            <w:r>
              <w:rPr>
                <w:rFonts w:ascii="宋体" w:hAnsi="宋体"/>
                <w:color w:val="000000"/>
                <w:szCs w:val="21"/>
              </w:rPr>
              <w:t>额定功率</w:t>
            </w:r>
          </w:p>
          <w:p w14:paraId="1D82BD0C">
            <w:pPr>
              <w:spacing w:line="360" w:lineRule="auto"/>
              <w:jc w:val="center"/>
              <w:rPr>
                <w:rFonts w:ascii="宋体" w:hAnsi="宋体"/>
                <w:color w:val="000000"/>
                <w:szCs w:val="21"/>
              </w:rPr>
            </w:pPr>
            <w:r>
              <w:rPr>
                <w:rFonts w:ascii="宋体" w:hAnsi="宋体"/>
                <w:color w:val="000000"/>
                <w:szCs w:val="21"/>
              </w:rPr>
              <w:t>（KW）</w:t>
            </w:r>
          </w:p>
        </w:tc>
        <w:tc>
          <w:tcPr>
            <w:tcW w:w="530" w:type="pct"/>
            <w:noWrap w:val="0"/>
            <w:vAlign w:val="center"/>
          </w:tcPr>
          <w:p w14:paraId="5AEFFA34">
            <w:pPr>
              <w:spacing w:line="360" w:lineRule="auto"/>
              <w:jc w:val="center"/>
              <w:rPr>
                <w:rFonts w:ascii="宋体" w:hAnsi="宋体"/>
                <w:color w:val="000000"/>
                <w:szCs w:val="21"/>
              </w:rPr>
            </w:pPr>
            <w:r>
              <w:rPr>
                <w:rFonts w:ascii="宋体" w:hAnsi="宋体"/>
                <w:color w:val="000000"/>
                <w:szCs w:val="21"/>
              </w:rPr>
              <w:t>生产</w:t>
            </w:r>
          </w:p>
          <w:p w14:paraId="7FC6AB05">
            <w:pPr>
              <w:spacing w:line="360" w:lineRule="auto"/>
              <w:jc w:val="center"/>
              <w:rPr>
                <w:rFonts w:ascii="宋体" w:hAnsi="宋体"/>
                <w:color w:val="000000"/>
                <w:szCs w:val="21"/>
              </w:rPr>
            </w:pPr>
            <w:r>
              <w:rPr>
                <w:rFonts w:ascii="宋体" w:hAnsi="宋体"/>
                <w:color w:val="000000"/>
                <w:szCs w:val="21"/>
              </w:rPr>
              <w:t>能力</w:t>
            </w:r>
          </w:p>
        </w:tc>
        <w:tc>
          <w:tcPr>
            <w:tcW w:w="606" w:type="pct"/>
            <w:noWrap w:val="0"/>
            <w:vAlign w:val="center"/>
          </w:tcPr>
          <w:p w14:paraId="18AC45C2">
            <w:pPr>
              <w:spacing w:line="360" w:lineRule="auto"/>
              <w:jc w:val="center"/>
              <w:rPr>
                <w:rFonts w:ascii="宋体" w:hAnsi="宋体"/>
                <w:color w:val="000000"/>
                <w:szCs w:val="21"/>
              </w:rPr>
            </w:pPr>
            <w:r>
              <w:rPr>
                <w:rFonts w:ascii="宋体" w:hAnsi="宋体"/>
                <w:color w:val="000000"/>
                <w:szCs w:val="21"/>
              </w:rPr>
              <w:t>用于施</w:t>
            </w:r>
          </w:p>
          <w:p w14:paraId="2EB9890A">
            <w:pPr>
              <w:spacing w:line="360" w:lineRule="auto"/>
              <w:jc w:val="center"/>
              <w:rPr>
                <w:rFonts w:ascii="宋体" w:hAnsi="宋体"/>
                <w:color w:val="000000"/>
                <w:szCs w:val="21"/>
              </w:rPr>
            </w:pPr>
            <w:r>
              <w:rPr>
                <w:rFonts w:ascii="宋体" w:hAnsi="宋体"/>
                <w:color w:val="000000"/>
                <w:szCs w:val="21"/>
              </w:rPr>
              <w:t>工部位</w:t>
            </w:r>
          </w:p>
        </w:tc>
        <w:tc>
          <w:tcPr>
            <w:tcW w:w="530" w:type="pct"/>
            <w:noWrap w:val="0"/>
            <w:vAlign w:val="center"/>
          </w:tcPr>
          <w:p w14:paraId="77FCCF12">
            <w:pPr>
              <w:spacing w:line="360" w:lineRule="auto"/>
              <w:jc w:val="center"/>
              <w:rPr>
                <w:rFonts w:ascii="宋体" w:hAnsi="宋体"/>
                <w:color w:val="000000"/>
                <w:szCs w:val="21"/>
              </w:rPr>
            </w:pPr>
            <w:r>
              <w:rPr>
                <w:rFonts w:ascii="宋体" w:hAnsi="宋体"/>
                <w:color w:val="000000"/>
                <w:szCs w:val="21"/>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ascii="宋体" w:hAnsi="宋体"/>
                <w:color w:val="000000"/>
                <w:szCs w:val="21"/>
              </w:rPr>
            </w:pPr>
          </w:p>
        </w:tc>
        <w:tc>
          <w:tcPr>
            <w:tcW w:w="655" w:type="pct"/>
            <w:noWrap w:val="0"/>
            <w:vAlign w:val="top"/>
          </w:tcPr>
          <w:p w14:paraId="6FAF569F">
            <w:pPr>
              <w:spacing w:line="360" w:lineRule="auto"/>
              <w:ind w:firstLine="420" w:firstLineChars="200"/>
              <w:rPr>
                <w:rFonts w:ascii="宋体" w:hAnsi="宋体"/>
                <w:color w:val="000000"/>
                <w:szCs w:val="21"/>
              </w:rPr>
            </w:pPr>
          </w:p>
        </w:tc>
        <w:tc>
          <w:tcPr>
            <w:tcW w:w="454" w:type="pct"/>
            <w:noWrap w:val="0"/>
            <w:vAlign w:val="top"/>
          </w:tcPr>
          <w:p w14:paraId="13D7B33F">
            <w:pPr>
              <w:spacing w:line="360" w:lineRule="auto"/>
              <w:rPr>
                <w:rFonts w:ascii="宋体" w:hAnsi="宋体"/>
                <w:color w:val="000000"/>
                <w:szCs w:val="21"/>
              </w:rPr>
            </w:pPr>
          </w:p>
        </w:tc>
        <w:tc>
          <w:tcPr>
            <w:tcW w:w="378" w:type="pct"/>
            <w:noWrap w:val="0"/>
            <w:vAlign w:val="top"/>
          </w:tcPr>
          <w:p w14:paraId="338FD442">
            <w:pPr>
              <w:spacing w:line="360" w:lineRule="auto"/>
              <w:rPr>
                <w:rFonts w:ascii="宋体" w:hAnsi="宋体"/>
                <w:color w:val="000000"/>
                <w:szCs w:val="21"/>
              </w:rPr>
            </w:pPr>
          </w:p>
        </w:tc>
        <w:tc>
          <w:tcPr>
            <w:tcW w:w="378" w:type="pct"/>
            <w:noWrap w:val="0"/>
            <w:vAlign w:val="top"/>
          </w:tcPr>
          <w:p w14:paraId="319BB4AA">
            <w:pPr>
              <w:spacing w:line="360" w:lineRule="auto"/>
              <w:rPr>
                <w:rFonts w:ascii="宋体" w:hAnsi="宋体"/>
                <w:color w:val="000000"/>
                <w:szCs w:val="21"/>
              </w:rPr>
            </w:pPr>
          </w:p>
        </w:tc>
        <w:tc>
          <w:tcPr>
            <w:tcW w:w="454" w:type="pct"/>
            <w:noWrap w:val="0"/>
            <w:vAlign w:val="top"/>
          </w:tcPr>
          <w:p w14:paraId="67C51D34">
            <w:pPr>
              <w:spacing w:line="360" w:lineRule="auto"/>
              <w:rPr>
                <w:rFonts w:ascii="宋体" w:hAnsi="宋体"/>
                <w:color w:val="000000"/>
                <w:szCs w:val="21"/>
              </w:rPr>
            </w:pPr>
          </w:p>
        </w:tc>
        <w:tc>
          <w:tcPr>
            <w:tcW w:w="606" w:type="pct"/>
            <w:noWrap w:val="0"/>
            <w:vAlign w:val="top"/>
          </w:tcPr>
          <w:p w14:paraId="3D1DC047">
            <w:pPr>
              <w:spacing w:line="360" w:lineRule="auto"/>
              <w:rPr>
                <w:rFonts w:ascii="宋体" w:hAnsi="宋体"/>
                <w:color w:val="000000"/>
                <w:szCs w:val="21"/>
              </w:rPr>
            </w:pPr>
          </w:p>
        </w:tc>
        <w:tc>
          <w:tcPr>
            <w:tcW w:w="530" w:type="pct"/>
            <w:noWrap w:val="0"/>
            <w:vAlign w:val="top"/>
          </w:tcPr>
          <w:p w14:paraId="32F22FB3">
            <w:pPr>
              <w:spacing w:line="360" w:lineRule="auto"/>
              <w:rPr>
                <w:rFonts w:ascii="宋体" w:hAnsi="宋体"/>
                <w:color w:val="000000"/>
                <w:szCs w:val="21"/>
              </w:rPr>
            </w:pPr>
          </w:p>
        </w:tc>
        <w:tc>
          <w:tcPr>
            <w:tcW w:w="606" w:type="pct"/>
            <w:noWrap w:val="0"/>
            <w:vAlign w:val="top"/>
          </w:tcPr>
          <w:p w14:paraId="3684839D">
            <w:pPr>
              <w:spacing w:line="360" w:lineRule="auto"/>
              <w:rPr>
                <w:rFonts w:ascii="宋体" w:hAnsi="宋体"/>
                <w:color w:val="000000"/>
                <w:szCs w:val="21"/>
              </w:rPr>
            </w:pPr>
          </w:p>
        </w:tc>
        <w:tc>
          <w:tcPr>
            <w:tcW w:w="530" w:type="pct"/>
            <w:noWrap w:val="0"/>
            <w:vAlign w:val="top"/>
          </w:tcPr>
          <w:p w14:paraId="0C3840CD">
            <w:pPr>
              <w:spacing w:line="360" w:lineRule="auto"/>
              <w:rPr>
                <w:rFonts w:ascii="宋体" w:hAnsi="宋体"/>
                <w:color w:val="000000"/>
                <w:szCs w:val="21"/>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ascii="宋体" w:hAnsi="宋体"/>
                <w:color w:val="000000"/>
                <w:szCs w:val="21"/>
              </w:rPr>
            </w:pPr>
          </w:p>
        </w:tc>
        <w:tc>
          <w:tcPr>
            <w:tcW w:w="655" w:type="pct"/>
            <w:noWrap w:val="0"/>
            <w:vAlign w:val="top"/>
          </w:tcPr>
          <w:p w14:paraId="663169DD">
            <w:pPr>
              <w:spacing w:line="360" w:lineRule="auto"/>
              <w:rPr>
                <w:rFonts w:ascii="宋体" w:hAnsi="宋体"/>
                <w:color w:val="000000"/>
                <w:szCs w:val="21"/>
              </w:rPr>
            </w:pPr>
          </w:p>
        </w:tc>
        <w:tc>
          <w:tcPr>
            <w:tcW w:w="454" w:type="pct"/>
            <w:noWrap w:val="0"/>
            <w:vAlign w:val="top"/>
          </w:tcPr>
          <w:p w14:paraId="2F4F784C">
            <w:pPr>
              <w:spacing w:line="360" w:lineRule="auto"/>
              <w:rPr>
                <w:rFonts w:ascii="宋体" w:hAnsi="宋体"/>
                <w:color w:val="000000"/>
                <w:szCs w:val="21"/>
              </w:rPr>
            </w:pPr>
          </w:p>
        </w:tc>
        <w:tc>
          <w:tcPr>
            <w:tcW w:w="378" w:type="pct"/>
            <w:noWrap w:val="0"/>
            <w:vAlign w:val="top"/>
          </w:tcPr>
          <w:p w14:paraId="1D832459">
            <w:pPr>
              <w:spacing w:line="360" w:lineRule="auto"/>
              <w:rPr>
                <w:rFonts w:ascii="宋体" w:hAnsi="宋体"/>
                <w:color w:val="000000"/>
                <w:szCs w:val="21"/>
              </w:rPr>
            </w:pPr>
          </w:p>
        </w:tc>
        <w:tc>
          <w:tcPr>
            <w:tcW w:w="378" w:type="pct"/>
            <w:noWrap w:val="0"/>
            <w:vAlign w:val="top"/>
          </w:tcPr>
          <w:p w14:paraId="0073E153">
            <w:pPr>
              <w:spacing w:line="360" w:lineRule="auto"/>
              <w:rPr>
                <w:rFonts w:ascii="宋体" w:hAnsi="宋体"/>
                <w:color w:val="000000"/>
                <w:szCs w:val="21"/>
              </w:rPr>
            </w:pPr>
          </w:p>
        </w:tc>
        <w:tc>
          <w:tcPr>
            <w:tcW w:w="454" w:type="pct"/>
            <w:noWrap w:val="0"/>
            <w:vAlign w:val="top"/>
          </w:tcPr>
          <w:p w14:paraId="1A8A9B6B">
            <w:pPr>
              <w:spacing w:line="360" w:lineRule="auto"/>
              <w:rPr>
                <w:rFonts w:ascii="宋体" w:hAnsi="宋体"/>
                <w:color w:val="000000"/>
                <w:szCs w:val="21"/>
              </w:rPr>
            </w:pPr>
          </w:p>
        </w:tc>
        <w:tc>
          <w:tcPr>
            <w:tcW w:w="606" w:type="pct"/>
            <w:noWrap w:val="0"/>
            <w:vAlign w:val="top"/>
          </w:tcPr>
          <w:p w14:paraId="7CAB8D84">
            <w:pPr>
              <w:spacing w:line="360" w:lineRule="auto"/>
              <w:rPr>
                <w:rFonts w:ascii="宋体" w:hAnsi="宋体"/>
                <w:color w:val="000000"/>
                <w:szCs w:val="21"/>
              </w:rPr>
            </w:pPr>
          </w:p>
        </w:tc>
        <w:tc>
          <w:tcPr>
            <w:tcW w:w="530" w:type="pct"/>
            <w:noWrap w:val="0"/>
            <w:vAlign w:val="top"/>
          </w:tcPr>
          <w:p w14:paraId="4677C2D8">
            <w:pPr>
              <w:spacing w:line="360" w:lineRule="auto"/>
              <w:rPr>
                <w:rFonts w:ascii="宋体" w:hAnsi="宋体"/>
                <w:color w:val="000000"/>
                <w:szCs w:val="21"/>
              </w:rPr>
            </w:pPr>
          </w:p>
        </w:tc>
        <w:tc>
          <w:tcPr>
            <w:tcW w:w="606" w:type="pct"/>
            <w:noWrap w:val="0"/>
            <w:vAlign w:val="top"/>
          </w:tcPr>
          <w:p w14:paraId="39146878">
            <w:pPr>
              <w:spacing w:line="360" w:lineRule="auto"/>
              <w:rPr>
                <w:rFonts w:ascii="宋体" w:hAnsi="宋体"/>
                <w:color w:val="000000"/>
                <w:szCs w:val="21"/>
              </w:rPr>
            </w:pPr>
          </w:p>
        </w:tc>
        <w:tc>
          <w:tcPr>
            <w:tcW w:w="530" w:type="pct"/>
            <w:noWrap w:val="0"/>
            <w:vAlign w:val="top"/>
          </w:tcPr>
          <w:p w14:paraId="4464997D">
            <w:pPr>
              <w:spacing w:line="360" w:lineRule="auto"/>
              <w:rPr>
                <w:rFonts w:ascii="宋体" w:hAnsi="宋体"/>
                <w:color w:val="000000"/>
                <w:szCs w:val="21"/>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ascii="宋体" w:hAnsi="宋体"/>
                <w:color w:val="000000"/>
                <w:szCs w:val="21"/>
              </w:rPr>
            </w:pPr>
          </w:p>
        </w:tc>
        <w:tc>
          <w:tcPr>
            <w:tcW w:w="655" w:type="pct"/>
            <w:noWrap w:val="0"/>
            <w:vAlign w:val="top"/>
          </w:tcPr>
          <w:p w14:paraId="0A444C9B">
            <w:pPr>
              <w:spacing w:line="360" w:lineRule="auto"/>
              <w:rPr>
                <w:rFonts w:ascii="宋体" w:hAnsi="宋体"/>
                <w:color w:val="000000"/>
                <w:szCs w:val="21"/>
              </w:rPr>
            </w:pPr>
          </w:p>
        </w:tc>
        <w:tc>
          <w:tcPr>
            <w:tcW w:w="454" w:type="pct"/>
            <w:noWrap w:val="0"/>
            <w:vAlign w:val="top"/>
          </w:tcPr>
          <w:p w14:paraId="2FD42CDF">
            <w:pPr>
              <w:spacing w:line="360" w:lineRule="auto"/>
              <w:rPr>
                <w:rFonts w:ascii="宋体" w:hAnsi="宋体"/>
                <w:color w:val="000000"/>
                <w:szCs w:val="21"/>
              </w:rPr>
            </w:pPr>
          </w:p>
        </w:tc>
        <w:tc>
          <w:tcPr>
            <w:tcW w:w="378" w:type="pct"/>
            <w:noWrap w:val="0"/>
            <w:vAlign w:val="top"/>
          </w:tcPr>
          <w:p w14:paraId="11518358">
            <w:pPr>
              <w:spacing w:line="360" w:lineRule="auto"/>
              <w:rPr>
                <w:rFonts w:ascii="宋体" w:hAnsi="宋体"/>
                <w:color w:val="000000"/>
                <w:szCs w:val="21"/>
              </w:rPr>
            </w:pPr>
          </w:p>
        </w:tc>
        <w:tc>
          <w:tcPr>
            <w:tcW w:w="378" w:type="pct"/>
            <w:noWrap w:val="0"/>
            <w:vAlign w:val="top"/>
          </w:tcPr>
          <w:p w14:paraId="42DB4B01">
            <w:pPr>
              <w:spacing w:line="360" w:lineRule="auto"/>
              <w:rPr>
                <w:rFonts w:ascii="宋体" w:hAnsi="宋体"/>
                <w:color w:val="000000"/>
                <w:szCs w:val="21"/>
              </w:rPr>
            </w:pPr>
          </w:p>
        </w:tc>
        <w:tc>
          <w:tcPr>
            <w:tcW w:w="454" w:type="pct"/>
            <w:noWrap w:val="0"/>
            <w:vAlign w:val="top"/>
          </w:tcPr>
          <w:p w14:paraId="76C36FE6">
            <w:pPr>
              <w:spacing w:line="360" w:lineRule="auto"/>
              <w:rPr>
                <w:rFonts w:ascii="宋体" w:hAnsi="宋体"/>
                <w:color w:val="000000"/>
                <w:szCs w:val="21"/>
              </w:rPr>
            </w:pPr>
          </w:p>
        </w:tc>
        <w:tc>
          <w:tcPr>
            <w:tcW w:w="606" w:type="pct"/>
            <w:noWrap w:val="0"/>
            <w:vAlign w:val="top"/>
          </w:tcPr>
          <w:p w14:paraId="72235936">
            <w:pPr>
              <w:spacing w:line="360" w:lineRule="auto"/>
              <w:rPr>
                <w:rFonts w:ascii="宋体" w:hAnsi="宋体"/>
                <w:color w:val="000000"/>
                <w:szCs w:val="21"/>
              </w:rPr>
            </w:pPr>
          </w:p>
        </w:tc>
        <w:tc>
          <w:tcPr>
            <w:tcW w:w="530" w:type="pct"/>
            <w:noWrap w:val="0"/>
            <w:vAlign w:val="top"/>
          </w:tcPr>
          <w:p w14:paraId="6543A0AC">
            <w:pPr>
              <w:spacing w:line="360" w:lineRule="auto"/>
              <w:rPr>
                <w:rFonts w:ascii="宋体" w:hAnsi="宋体"/>
                <w:color w:val="000000"/>
                <w:szCs w:val="21"/>
              </w:rPr>
            </w:pPr>
          </w:p>
        </w:tc>
        <w:tc>
          <w:tcPr>
            <w:tcW w:w="606" w:type="pct"/>
            <w:noWrap w:val="0"/>
            <w:vAlign w:val="top"/>
          </w:tcPr>
          <w:p w14:paraId="489FB7DC">
            <w:pPr>
              <w:spacing w:line="360" w:lineRule="auto"/>
              <w:rPr>
                <w:rFonts w:ascii="宋体" w:hAnsi="宋体"/>
                <w:color w:val="000000"/>
                <w:szCs w:val="21"/>
              </w:rPr>
            </w:pPr>
          </w:p>
        </w:tc>
        <w:tc>
          <w:tcPr>
            <w:tcW w:w="530" w:type="pct"/>
            <w:noWrap w:val="0"/>
            <w:vAlign w:val="top"/>
          </w:tcPr>
          <w:p w14:paraId="5ED20606">
            <w:pPr>
              <w:spacing w:line="360" w:lineRule="auto"/>
              <w:rPr>
                <w:rFonts w:ascii="宋体" w:hAnsi="宋体"/>
                <w:color w:val="000000"/>
                <w:szCs w:val="21"/>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ascii="宋体" w:hAnsi="宋体"/>
                <w:color w:val="000000"/>
                <w:szCs w:val="21"/>
              </w:rPr>
            </w:pPr>
          </w:p>
        </w:tc>
        <w:tc>
          <w:tcPr>
            <w:tcW w:w="655" w:type="pct"/>
            <w:noWrap w:val="0"/>
            <w:vAlign w:val="top"/>
          </w:tcPr>
          <w:p w14:paraId="7A5FFDF7">
            <w:pPr>
              <w:spacing w:line="360" w:lineRule="auto"/>
              <w:rPr>
                <w:rFonts w:ascii="宋体" w:hAnsi="宋体"/>
                <w:color w:val="000000"/>
                <w:szCs w:val="21"/>
              </w:rPr>
            </w:pPr>
          </w:p>
        </w:tc>
        <w:tc>
          <w:tcPr>
            <w:tcW w:w="454" w:type="pct"/>
            <w:noWrap w:val="0"/>
            <w:vAlign w:val="top"/>
          </w:tcPr>
          <w:p w14:paraId="0120EA22">
            <w:pPr>
              <w:spacing w:line="360" w:lineRule="auto"/>
              <w:rPr>
                <w:rFonts w:ascii="宋体" w:hAnsi="宋体"/>
                <w:color w:val="000000"/>
                <w:szCs w:val="21"/>
              </w:rPr>
            </w:pPr>
          </w:p>
        </w:tc>
        <w:tc>
          <w:tcPr>
            <w:tcW w:w="378" w:type="pct"/>
            <w:noWrap w:val="0"/>
            <w:vAlign w:val="top"/>
          </w:tcPr>
          <w:p w14:paraId="5B745305">
            <w:pPr>
              <w:spacing w:line="360" w:lineRule="auto"/>
              <w:rPr>
                <w:rFonts w:ascii="宋体" w:hAnsi="宋体"/>
                <w:color w:val="000000"/>
                <w:szCs w:val="21"/>
              </w:rPr>
            </w:pPr>
          </w:p>
        </w:tc>
        <w:tc>
          <w:tcPr>
            <w:tcW w:w="378" w:type="pct"/>
            <w:noWrap w:val="0"/>
            <w:vAlign w:val="top"/>
          </w:tcPr>
          <w:p w14:paraId="28494321">
            <w:pPr>
              <w:spacing w:line="360" w:lineRule="auto"/>
              <w:rPr>
                <w:rFonts w:ascii="宋体" w:hAnsi="宋体"/>
                <w:color w:val="000000"/>
                <w:szCs w:val="21"/>
              </w:rPr>
            </w:pPr>
          </w:p>
        </w:tc>
        <w:tc>
          <w:tcPr>
            <w:tcW w:w="454" w:type="pct"/>
            <w:noWrap w:val="0"/>
            <w:vAlign w:val="top"/>
          </w:tcPr>
          <w:p w14:paraId="27BEC911">
            <w:pPr>
              <w:spacing w:line="360" w:lineRule="auto"/>
              <w:rPr>
                <w:rFonts w:ascii="宋体" w:hAnsi="宋体"/>
                <w:color w:val="000000"/>
                <w:szCs w:val="21"/>
              </w:rPr>
            </w:pPr>
          </w:p>
        </w:tc>
        <w:tc>
          <w:tcPr>
            <w:tcW w:w="606" w:type="pct"/>
            <w:noWrap w:val="0"/>
            <w:vAlign w:val="top"/>
          </w:tcPr>
          <w:p w14:paraId="67EC5BD3">
            <w:pPr>
              <w:spacing w:line="360" w:lineRule="auto"/>
              <w:rPr>
                <w:rFonts w:ascii="宋体" w:hAnsi="宋体"/>
                <w:color w:val="000000"/>
                <w:szCs w:val="21"/>
              </w:rPr>
            </w:pPr>
          </w:p>
        </w:tc>
        <w:tc>
          <w:tcPr>
            <w:tcW w:w="530" w:type="pct"/>
            <w:noWrap w:val="0"/>
            <w:vAlign w:val="top"/>
          </w:tcPr>
          <w:p w14:paraId="4CFBD8E3">
            <w:pPr>
              <w:spacing w:line="360" w:lineRule="auto"/>
              <w:rPr>
                <w:rFonts w:ascii="宋体" w:hAnsi="宋体"/>
                <w:color w:val="000000"/>
                <w:szCs w:val="21"/>
              </w:rPr>
            </w:pPr>
          </w:p>
        </w:tc>
        <w:tc>
          <w:tcPr>
            <w:tcW w:w="606" w:type="pct"/>
            <w:noWrap w:val="0"/>
            <w:vAlign w:val="top"/>
          </w:tcPr>
          <w:p w14:paraId="27C12233">
            <w:pPr>
              <w:spacing w:line="360" w:lineRule="auto"/>
              <w:rPr>
                <w:rFonts w:ascii="宋体" w:hAnsi="宋体"/>
                <w:color w:val="000000"/>
                <w:szCs w:val="21"/>
              </w:rPr>
            </w:pPr>
          </w:p>
        </w:tc>
        <w:tc>
          <w:tcPr>
            <w:tcW w:w="530" w:type="pct"/>
            <w:noWrap w:val="0"/>
            <w:vAlign w:val="top"/>
          </w:tcPr>
          <w:p w14:paraId="1A0A495F">
            <w:pPr>
              <w:spacing w:line="360" w:lineRule="auto"/>
              <w:rPr>
                <w:rFonts w:ascii="宋体" w:hAnsi="宋体"/>
                <w:color w:val="000000"/>
                <w:szCs w:val="21"/>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ascii="宋体" w:hAnsi="宋体"/>
                <w:color w:val="000000"/>
                <w:szCs w:val="21"/>
              </w:rPr>
            </w:pPr>
          </w:p>
        </w:tc>
        <w:tc>
          <w:tcPr>
            <w:tcW w:w="655" w:type="pct"/>
            <w:noWrap w:val="0"/>
            <w:vAlign w:val="top"/>
          </w:tcPr>
          <w:p w14:paraId="094BEA20">
            <w:pPr>
              <w:spacing w:line="360" w:lineRule="auto"/>
              <w:rPr>
                <w:rFonts w:ascii="宋体" w:hAnsi="宋体"/>
                <w:color w:val="000000"/>
                <w:szCs w:val="21"/>
              </w:rPr>
            </w:pPr>
          </w:p>
        </w:tc>
        <w:tc>
          <w:tcPr>
            <w:tcW w:w="454" w:type="pct"/>
            <w:noWrap w:val="0"/>
            <w:vAlign w:val="top"/>
          </w:tcPr>
          <w:p w14:paraId="52B59EF9">
            <w:pPr>
              <w:spacing w:line="360" w:lineRule="auto"/>
              <w:rPr>
                <w:rFonts w:ascii="宋体" w:hAnsi="宋体"/>
                <w:color w:val="000000"/>
                <w:szCs w:val="21"/>
              </w:rPr>
            </w:pPr>
          </w:p>
        </w:tc>
        <w:tc>
          <w:tcPr>
            <w:tcW w:w="378" w:type="pct"/>
            <w:noWrap w:val="0"/>
            <w:vAlign w:val="top"/>
          </w:tcPr>
          <w:p w14:paraId="6A850BF2">
            <w:pPr>
              <w:spacing w:line="360" w:lineRule="auto"/>
              <w:rPr>
                <w:rFonts w:ascii="宋体" w:hAnsi="宋体"/>
                <w:color w:val="000000"/>
                <w:szCs w:val="21"/>
              </w:rPr>
            </w:pPr>
          </w:p>
        </w:tc>
        <w:tc>
          <w:tcPr>
            <w:tcW w:w="378" w:type="pct"/>
            <w:noWrap w:val="0"/>
            <w:vAlign w:val="top"/>
          </w:tcPr>
          <w:p w14:paraId="3F0AE17E">
            <w:pPr>
              <w:spacing w:line="360" w:lineRule="auto"/>
              <w:rPr>
                <w:rFonts w:ascii="宋体" w:hAnsi="宋体"/>
                <w:color w:val="000000"/>
                <w:szCs w:val="21"/>
              </w:rPr>
            </w:pPr>
          </w:p>
        </w:tc>
        <w:tc>
          <w:tcPr>
            <w:tcW w:w="454" w:type="pct"/>
            <w:noWrap w:val="0"/>
            <w:vAlign w:val="top"/>
          </w:tcPr>
          <w:p w14:paraId="55EA0708">
            <w:pPr>
              <w:spacing w:line="360" w:lineRule="auto"/>
              <w:rPr>
                <w:rFonts w:ascii="宋体" w:hAnsi="宋体"/>
                <w:color w:val="000000"/>
                <w:szCs w:val="21"/>
              </w:rPr>
            </w:pPr>
          </w:p>
        </w:tc>
        <w:tc>
          <w:tcPr>
            <w:tcW w:w="606" w:type="pct"/>
            <w:noWrap w:val="0"/>
            <w:vAlign w:val="top"/>
          </w:tcPr>
          <w:p w14:paraId="25AC284A">
            <w:pPr>
              <w:spacing w:line="360" w:lineRule="auto"/>
              <w:rPr>
                <w:rFonts w:ascii="宋体" w:hAnsi="宋体"/>
                <w:color w:val="000000"/>
                <w:szCs w:val="21"/>
              </w:rPr>
            </w:pPr>
          </w:p>
        </w:tc>
        <w:tc>
          <w:tcPr>
            <w:tcW w:w="530" w:type="pct"/>
            <w:noWrap w:val="0"/>
            <w:vAlign w:val="top"/>
          </w:tcPr>
          <w:p w14:paraId="322360FE">
            <w:pPr>
              <w:spacing w:line="360" w:lineRule="auto"/>
              <w:rPr>
                <w:rFonts w:ascii="宋体" w:hAnsi="宋体"/>
                <w:color w:val="000000"/>
                <w:szCs w:val="21"/>
              </w:rPr>
            </w:pPr>
          </w:p>
        </w:tc>
        <w:tc>
          <w:tcPr>
            <w:tcW w:w="606" w:type="pct"/>
            <w:noWrap w:val="0"/>
            <w:vAlign w:val="top"/>
          </w:tcPr>
          <w:p w14:paraId="0FBD6AF6">
            <w:pPr>
              <w:spacing w:line="360" w:lineRule="auto"/>
              <w:rPr>
                <w:rFonts w:ascii="宋体" w:hAnsi="宋体"/>
                <w:color w:val="000000"/>
                <w:szCs w:val="21"/>
              </w:rPr>
            </w:pPr>
          </w:p>
        </w:tc>
        <w:tc>
          <w:tcPr>
            <w:tcW w:w="530" w:type="pct"/>
            <w:noWrap w:val="0"/>
            <w:vAlign w:val="top"/>
          </w:tcPr>
          <w:p w14:paraId="0A47D828">
            <w:pPr>
              <w:spacing w:line="360" w:lineRule="auto"/>
              <w:rPr>
                <w:rFonts w:ascii="宋体" w:hAnsi="宋体"/>
                <w:color w:val="000000"/>
                <w:szCs w:val="21"/>
              </w:rPr>
            </w:pPr>
          </w:p>
        </w:tc>
      </w:tr>
    </w:tbl>
    <w:p w14:paraId="0E8961F9">
      <w:pPr>
        <w:pStyle w:val="40"/>
        <w:outlineLvl w:val="0"/>
      </w:pPr>
      <w:r>
        <w:t>附表二：拟配备本工程的试验和检测仪器设备表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77B7A888">
            <w:pPr>
              <w:spacing w:line="360" w:lineRule="auto"/>
              <w:jc w:val="center"/>
              <w:rPr>
                <w:rFonts w:ascii="宋体" w:hAnsi="宋体"/>
                <w:color w:val="000000"/>
                <w:szCs w:val="21"/>
              </w:rPr>
            </w:pPr>
            <w:r>
              <w:rPr>
                <w:rFonts w:ascii="宋体" w:hAnsi="宋体"/>
                <w:color w:val="000000"/>
                <w:szCs w:val="21"/>
              </w:rPr>
              <w:t>仪器设备名称</w:t>
            </w:r>
          </w:p>
        </w:tc>
        <w:tc>
          <w:tcPr>
            <w:tcW w:w="454" w:type="pct"/>
            <w:noWrap w:val="0"/>
            <w:vAlign w:val="center"/>
          </w:tcPr>
          <w:p w14:paraId="72DA05F9">
            <w:pPr>
              <w:spacing w:line="360" w:lineRule="auto"/>
              <w:jc w:val="center"/>
              <w:rPr>
                <w:rFonts w:ascii="宋体" w:hAnsi="宋体"/>
                <w:color w:val="000000"/>
                <w:szCs w:val="21"/>
              </w:rPr>
            </w:pPr>
            <w:r>
              <w:rPr>
                <w:rFonts w:ascii="宋体" w:hAnsi="宋体"/>
                <w:color w:val="000000"/>
                <w:szCs w:val="21"/>
              </w:rPr>
              <w:t>型号</w:t>
            </w:r>
          </w:p>
          <w:p w14:paraId="5ECFB7C8">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019F9C33">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70DA676">
            <w:pPr>
              <w:spacing w:line="360" w:lineRule="auto"/>
              <w:jc w:val="center"/>
              <w:rPr>
                <w:rFonts w:ascii="宋体" w:hAnsi="宋体"/>
                <w:color w:val="000000"/>
                <w:szCs w:val="21"/>
              </w:rPr>
            </w:pPr>
            <w:r>
              <w:rPr>
                <w:rFonts w:ascii="宋体" w:hAnsi="宋体"/>
                <w:color w:val="000000"/>
                <w:szCs w:val="21"/>
              </w:rPr>
              <w:t>国别</w:t>
            </w:r>
          </w:p>
          <w:p w14:paraId="307633B3">
            <w:pPr>
              <w:spacing w:line="360" w:lineRule="auto"/>
              <w:jc w:val="center"/>
              <w:rPr>
                <w:rFonts w:ascii="宋体" w:hAnsi="宋体"/>
                <w:color w:val="000000"/>
                <w:szCs w:val="21"/>
              </w:rPr>
            </w:pPr>
            <w:r>
              <w:rPr>
                <w:rFonts w:ascii="宋体" w:hAnsi="宋体"/>
                <w:color w:val="000000"/>
                <w:szCs w:val="21"/>
              </w:rPr>
              <w:t>产地</w:t>
            </w:r>
          </w:p>
        </w:tc>
        <w:tc>
          <w:tcPr>
            <w:tcW w:w="606" w:type="pct"/>
            <w:noWrap w:val="0"/>
            <w:vAlign w:val="center"/>
          </w:tcPr>
          <w:p w14:paraId="44894E85">
            <w:pPr>
              <w:spacing w:line="360" w:lineRule="auto"/>
              <w:jc w:val="center"/>
              <w:rPr>
                <w:rFonts w:ascii="宋体" w:hAnsi="宋体"/>
                <w:color w:val="000000"/>
                <w:szCs w:val="21"/>
              </w:rPr>
            </w:pPr>
            <w:r>
              <w:rPr>
                <w:rFonts w:ascii="宋体" w:hAnsi="宋体"/>
                <w:color w:val="000000"/>
                <w:szCs w:val="21"/>
              </w:rPr>
              <w:t>制造年份</w:t>
            </w:r>
          </w:p>
        </w:tc>
        <w:tc>
          <w:tcPr>
            <w:tcW w:w="682" w:type="pct"/>
            <w:noWrap w:val="0"/>
            <w:vAlign w:val="center"/>
          </w:tcPr>
          <w:p w14:paraId="7F668592">
            <w:pPr>
              <w:spacing w:line="360" w:lineRule="auto"/>
              <w:jc w:val="center"/>
              <w:rPr>
                <w:rFonts w:ascii="宋体" w:hAnsi="宋体"/>
                <w:color w:val="000000"/>
                <w:szCs w:val="21"/>
              </w:rPr>
            </w:pPr>
            <w:r>
              <w:rPr>
                <w:rFonts w:ascii="宋体" w:hAnsi="宋体"/>
                <w:color w:val="000000"/>
                <w:szCs w:val="21"/>
              </w:rPr>
              <w:t>已使用</w:t>
            </w:r>
          </w:p>
          <w:p w14:paraId="038B3203">
            <w:pPr>
              <w:spacing w:line="360" w:lineRule="auto"/>
              <w:jc w:val="center"/>
              <w:rPr>
                <w:rFonts w:ascii="宋体" w:hAnsi="宋体"/>
                <w:color w:val="000000"/>
                <w:szCs w:val="21"/>
              </w:rPr>
            </w:pPr>
            <w:r>
              <w:rPr>
                <w:rFonts w:ascii="宋体" w:hAnsi="宋体"/>
                <w:color w:val="000000"/>
                <w:szCs w:val="21"/>
              </w:rPr>
              <w:t>台时数</w:t>
            </w:r>
          </w:p>
        </w:tc>
        <w:tc>
          <w:tcPr>
            <w:tcW w:w="606" w:type="pct"/>
            <w:noWrap w:val="0"/>
            <w:vAlign w:val="center"/>
          </w:tcPr>
          <w:p w14:paraId="7CF22FF9">
            <w:pPr>
              <w:spacing w:line="360" w:lineRule="auto"/>
              <w:jc w:val="center"/>
              <w:rPr>
                <w:rFonts w:ascii="宋体" w:hAnsi="宋体"/>
                <w:color w:val="000000"/>
                <w:szCs w:val="21"/>
              </w:rPr>
            </w:pPr>
            <w:r>
              <w:rPr>
                <w:rFonts w:ascii="宋体" w:hAnsi="宋体"/>
                <w:color w:val="000000"/>
                <w:szCs w:val="21"/>
              </w:rPr>
              <w:t>用途</w:t>
            </w:r>
          </w:p>
        </w:tc>
        <w:tc>
          <w:tcPr>
            <w:tcW w:w="833" w:type="pct"/>
            <w:noWrap w:val="0"/>
            <w:vAlign w:val="center"/>
          </w:tcPr>
          <w:p w14:paraId="2F8E1D4B">
            <w:pPr>
              <w:spacing w:line="360" w:lineRule="auto"/>
              <w:jc w:val="center"/>
              <w:rPr>
                <w:rFonts w:ascii="宋体" w:hAnsi="宋体"/>
                <w:color w:val="000000"/>
                <w:szCs w:val="21"/>
              </w:rPr>
            </w:pPr>
            <w:r>
              <w:rPr>
                <w:rFonts w:ascii="宋体" w:hAnsi="宋体"/>
                <w:color w:val="000000"/>
                <w:szCs w:val="21"/>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20" w:firstLineChars="200"/>
              <w:rPr>
                <w:rFonts w:ascii="宋体" w:hAnsi="宋体"/>
                <w:color w:val="000000"/>
                <w:szCs w:val="21"/>
              </w:rPr>
            </w:pPr>
          </w:p>
        </w:tc>
        <w:tc>
          <w:tcPr>
            <w:tcW w:w="655" w:type="pct"/>
            <w:noWrap w:val="0"/>
            <w:vAlign w:val="center"/>
          </w:tcPr>
          <w:p w14:paraId="2F5887F4">
            <w:pPr>
              <w:spacing w:line="360" w:lineRule="auto"/>
              <w:ind w:firstLine="420" w:firstLineChars="200"/>
              <w:rPr>
                <w:rFonts w:ascii="宋体" w:hAnsi="宋体"/>
                <w:color w:val="000000"/>
                <w:szCs w:val="21"/>
              </w:rPr>
            </w:pPr>
          </w:p>
        </w:tc>
        <w:tc>
          <w:tcPr>
            <w:tcW w:w="454" w:type="pct"/>
            <w:noWrap w:val="0"/>
            <w:vAlign w:val="center"/>
          </w:tcPr>
          <w:p w14:paraId="3165BEDB">
            <w:pPr>
              <w:spacing w:line="360" w:lineRule="auto"/>
              <w:ind w:firstLine="420" w:firstLineChars="200"/>
              <w:rPr>
                <w:rFonts w:ascii="宋体" w:hAnsi="宋体"/>
                <w:color w:val="000000"/>
                <w:szCs w:val="21"/>
              </w:rPr>
            </w:pPr>
          </w:p>
        </w:tc>
        <w:tc>
          <w:tcPr>
            <w:tcW w:w="378" w:type="pct"/>
            <w:noWrap w:val="0"/>
            <w:vAlign w:val="center"/>
          </w:tcPr>
          <w:p w14:paraId="367AC21F">
            <w:pPr>
              <w:spacing w:line="360" w:lineRule="auto"/>
              <w:ind w:firstLine="420" w:firstLineChars="200"/>
              <w:rPr>
                <w:rFonts w:ascii="宋体" w:hAnsi="宋体"/>
                <w:color w:val="000000"/>
                <w:szCs w:val="21"/>
              </w:rPr>
            </w:pPr>
          </w:p>
        </w:tc>
        <w:tc>
          <w:tcPr>
            <w:tcW w:w="378" w:type="pct"/>
            <w:noWrap w:val="0"/>
            <w:vAlign w:val="center"/>
          </w:tcPr>
          <w:p w14:paraId="175B75CA">
            <w:pPr>
              <w:spacing w:line="360" w:lineRule="auto"/>
              <w:ind w:firstLine="420" w:firstLineChars="200"/>
              <w:rPr>
                <w:rFonts w:ascii="宋体" w:hAnsi="宋体"/>
                <w:color w:val="000000"/>
                <w:szCs w:val="21"/>
              </w:rPr>
            </w:pPr>
          </w:p>
        </w:tc>
        <w:tc>
          <w:tcPr>
            <w:tcW w:w="606" w:type="pct"/>
            <w:noWrap w:val="0"/>
            <w:vAlign w:val="center"/>
          </w:tcPr>
          <w:p w14:paraId="5D9D7477">
            <w:pPr>
              <w:spacing w:line="360" w:lineRule="auto"/>
              <w:ind w:firstLine="420" w:firstLineChars="200"/>
              <w:rPr>
                <w:rFonts w:ascii="宋体" w:hAnsi="宋体"/>
                <w:color w:val="000000"/>
                <w:szCs w:val="21"/>
              </w:rPr>
            </w:pPr>
          </w:p>
        </w:tc>
        <w:tc>
          <w:tcPr>
            <w:tcW w:w="682" w:type="pct"/>
            <w:noWrap w:val="0"/>
            <w:vAlign w:val="center"/>
          </w:tcPr>
          <w:p w14:paraId="23AC01FF">
            <w:pPr>
              <w:spacing w:line="360" w:lineRule="auto"/>
              <w:ind w:firstLine="420" w:firstLineChars="200"/>
              <w:rPr>
                <w:rFonts w:ascii="宋体" w:hAnsi="宋体"/>
                <w:color w:val="000000"/>
                <w:szCs w:val="21"/>
              </w:rPr>
            </w:pPr>
          </w:p>
        </w:tc>
        <w:tc>
          <w:tcPr>
            <w:tcW w:w="606" w:type="pct"/>
            <w:noWrap w:val="0"/>
            <w:vAlign w:val="center"/>
          </w:tcPr>
          <w:p w14:paraId="6B995124">
            <w:pPr>
              <w:spacing w:line="360" w:lineRule="auto"/>
              <w:ind w:firstLine="420" w:firstLineChars="200"/>
              <w:rPr>
                <w:rFonts w:ascii="宋体" w:hAnsi="宋体"/>
                <w:color w:val="000000"/>
                <w:szCs w:val="21"/>
              </w:rPr>
            </w:pPr>
          </w:p>
        </w:tc>
        <w:tc>
          <w:tcPr>
            <w:tcW w:w="833" w:type="pct"/>
            <w:noWrap w:val="0"/>
            <w:vAlign w:val="center"/>
          </w:tcPr>
          <w:p w14:paraId="5D57EBF3">
            <w:pPr>
              <w:spacing w:line="360" w:lineRule="auto"/>
              <w:ind w:firstLine="420" w:firstLineChars="200"/>
              <w:rPr>
                <w:rFonts w:ascii="宋体" w:hAnsi="宋体"/>
                <w:color w:val="000000"/>
                <w:szCs w:val="21"/>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20" w:firstLineChars="200"/>
              <w:rPr>
                <w:rFonts w:ascii="宋体" w:hAnsi="宋体"/>
                <w:color w:val="000000"/>
                <w:szCs w:val="21"/>
              </w:rPr>
            </w:pPr>
          </w:p>
        </w:tc>
        <w:tc>
          <w:tcPr>
            <w:tcW w:w="655" w:type="pct"/>
            <w:noWrap w:val="0"/>
            <w:vAlign w:val="center"/>
          </w:tcPr>
          <w:p w14:paraId="12AC2831">
            <w:pPr>
              <w:spacing w:line="360" w:lineRule="auto"/>
              <w:ind w:firstLine="420" w:firstLineChars="200"/>
              <w:rPr>
                <w:rFonts w:ascii="宋体" w:hAnsi="宋体"/>
                <w:color w:val="000000"/>
                <w:szCs w:val="21"/>
              </w:rPr>
            </w:pPr>
          </w:p>
        </w:tc>
        <w:tc>
          <w:tcPr>
            <w:tcW w:w="454" w:type="pct"/>
            <w:noWrap w:val="0"/>
            <w:vAlign w:val="center"/>
          </w:tcPr>
          <w:p w14:paraId="4196D825">
            <w:pPr>
              <w:spacing w:line="360" w:lineRule="auto"/>
              <w:ind w:firstLine="420" w:firstLineChars="200"/>
              <w:rPr>
                <w:rFonts w:ascii="宋体" w:hAnsi="宋体"/>
                <w:color w:val="000000"/>
                <w:szCs w:val="21"/>
              </w:rPr>
            </w:pPr>
          </w:p>
        </w:tc>
        <w:tc>
          <w:tcPr>
            <w:tcW w:w="378" w:type="pct"/>
            <w:noWrap w:val="0"/>
            <w:vAlign w:val="center"/>
          </w:tcPr>
          <w:p w14:paraId="2D8AC24B">
            <w:pPr>
              <w:spacing w:line="360" w:lineRule="auto"/>
              <w:ind w:firstLine="420" w:firstLineChars="200"/>
              <w:rPr>
                <w:rFonts w:ascii="宋体" w:hAnsi="宋体"/>
                <w:color w:val="000000"/>
                <w:szCs w:val="21"/>
              </w:rPr>
            </w:pPr>
          </w:p>
        </w:tc>
        <w:tc>
          <w:tcPr>
            <w:tcW w:w="378" w:type="pct"/>
            <w:noWrap w:val="0"/>
            <w:vAlign w:val="center"/>
          </w:tcPr>
          <w:p w14:paraId="02BA373A">
            <w:pPr>
              <w:spacing w:line="360" w:lineRule="auto"/>
              <w:ind w:firstLine="420" w:firstLineChars="200"/>
              <w:rPr>
                <w:rFonts w:ascii="宋体" w:hAnsi="宋体"/>
                <w:color w:val="000000"/>
                <w:szCs w:val="21"/>
              </w:rPr>
            </w:pPr>
          </w:p>
        </w:tc>
        <w:tc>
          <w:tcPr>
            <w:tcW w:w="606" w:type="pct"/>
            <w:noWrap w:val="0"/>
            <w:vAlign w:val="center"/>
          </w:tcPr>
          <w:p w14:paraId="44B2B8B2">
            <w:pPr>
              <w:spacing w:line="360" w:lineRule="auto"/>
              <w:ind w:firstLine="420" w:firstLineChars="200"/>
              <w:rPr>
                <w:rFonts w:ascii="宋体" w:hAnsi="宋体"/>
                <w:color w:val="000000"/>
                <w:szCs w:val="21"/>
              </w:rPr>
            </w:pPr>
          </w:p>
        </w:tc>
        <w:tc>
          <w:tcPr>
            <w:tcW w:w="682" w:type="pct"/>
            <w:noWrap w:val="0"/>
            <w:vAlign w:val="center"/>
          </w:tcPr>
          <w:p w14:paraId="21C7D701">
            <w:pPr>
              <w:spacing w:line="360" w:lineRule="auto"/>
              <w:ind w:firstLine="420" w:firstLineChars="200"/>
              <w:rPr>
                <w:rFonts w:ascii="宋体" w:hAnsi="宋体"/>
                <w:color w:val="000000"/>
                <w:szCs w:val="21"/>
              </w:rPr>
            </w:pPr>
          </w:p>
        </w:tc>
        <w:tc>
          <w:tcPr>
            <w:tcW w:w="606" w:type="pct"/>
            <w:noWrap w:val="0"/>
            <w:vAlign w:val="center"/>
          </w:tcPr>
          <w:p w14:paraId="37B97DF3">
            <w:pPr>
              <w:spacing w:line="360" w:lineRule="auto"/>
              <w:ind w:firstLine="420" w:firstLineChars="200"/>
              <w:rPr>
                <w:rFonts w:ascii="宋体" w:hAnsi="宋体"/>
                <w:color w:val="000000"/>
                <w:szCs w:val="21"/>
              </w:rPr>
            </w:pPr>
          </w:p>
        </w:tc>
        <w:tc>
          <w:tcPr>
            <w:tcW w:w="833" w:type="pct"/>
            <w:noWrap w:val="0"/>
            <w:vAlign w:val="center"/>
          </w:tcPr>
          <w:p w14:paraId="568042AB">
            <w:pPr>
              <w:spacing w:line="360" w:lineRule="auto"/>
              <w:ind w:firstLine="420" w:firstLineChars="200"/>
              <w:rPr>
                <w:rFonts w:ascii="宋体" w:hAnsi="宋体"/>
                <w:color w:val="000000"/>
                <w:szCs w:val="21"/>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20" w:firstLineChars="200"/>
              <w:rPr>
                <w:rFonts w:ascii="宋体" w:hAnsi="宋体"/>
                <w:color w:val="000000"/>
                <w:szCs w:val="21"/>
              </w:rPr>
            </w:pPr>
          </w:p>
        </w:tc>
        <w:tc>
          <w:tcPr>
            <w:tcW w:w="655" w:type="pct"/>
            <w:noWrap w:val="0"/>
            <w:vAlign w:val="center"/>
          </w:tcPr>
          <w:p w14:paraId="35C9BA7A">
            <w:pPr>
              <w:spacing w:line="360" w:lineRule="auto"/>
              <w:ind w:firstLine="420" w:firstLineChars="200"/>
              <w:rPr>
                <w:rFonts w:ascii="宋体" w:hAnsi="宋体"/>
                <w:color w:val="000000"/>
                <w:szCs w:val="21"/>
              </w:rPr>
            </w:pPr>
          </w:p>
        </w:tc>
        <w:tc>
          <w:tcPr>
            <w:tcW w:w="454" w:type="pct"/>
            <w:noWrap w:val="0"/>
            <w:vAlign w:val="center"/>
          </w:tcPr>
          <w:p w14:paraId="09ECB190">
            <w:pPr>
              <w:spacing w:line="360" w:lineRule="auto"/>
              <w:ind w:firstLine="420" w:firstLineChars="200"/>
              <w:rPr>
                <w:rFonts w:ascii="宋体" w:hAnsi="宋体"/>
                <w:color w:val="000000"/>
                <w:szCs w:val="21"/>
              </w:rPr>
            </w:pPr>
          </w:p>
        </w:tc>
        <w:tc>
          <w:tcPr>
            <w:tcW w:w="378" w:type="pct"/>
            <w:noWrap w:val="0"/>
            <w:vAlign w:val="center"/>
          </w:tcPr>
          <w:p w14:paraId="0E0BC840">
            <w:pPr>
              <w:spacing w:line="360" w:lineRule="auto"/>
              <w:ind w:firstLine="420" w:firstLineChars="200"/>
              <w:rPr>
                <w:rFonts w:ascii="宋体" w:hAnsi="宋体"/>
                <w:color w:val="000000"/>
                <w:szCs w:val="21"/>
              </w:rPr>
            </w:pPr>
          </w:p>
        </w:tc>
        <w:tc>
          <w:tcPr>
            <w:tcW w:w="378" w:type="pct"/>
            <w:noWrap w:val="0"/>
            <w:vAlign w:val="center"/>
          </w:tcPr>
          <w:p w14:paraId="1109DF9B">
            <w:pPr>
              <w:spacing w:line="360" w:lineRule="auto"/>
              <w:ind w:firstLine="420" w:firstLineChars="200"/>
              <w:rPr>
                <w:rFonts w:ascii="宋体" w:hAnsi="宋体"/>
                <w:color w:val="000000"/>
                <w:szCs w:val="21"/>
              </w:rPr>
            </w:pPr>
          </w:p>
        </w:tc>
        <w:tc>
          <w:tcPr>
            <w:tcW w:w="606" w:type="pct"/>
            <w:noWrap w:val="0"/>
            <w:vAlign w:val="center"/>
          </w:tcPr>
          <w:p w14:paraId="34737946">
            <w:pPr>
              <w:spacing w:line="360" w:lineRule="auto"/>
              <w:ind w:firstLine="420" w:firstLineChars="200"/>
              <w:rPr>
                <w:rFonts w:ascii="宋体" w:hAnsi="宋体"/>
                <w:color w:val="000000"/>
                <w:szCs w:val="21"/>
              </w:rPr>
            </w:pPr>
          </w:p>
        </w:tc>
        <w:tc>
          <w:tcPr>
            <w:tcW w:w="682" w:type="pct"/>
            <w:noWrap w:val="0"/>
            <w:vAlign w:val="center"/>
          </w:tcPr>
          <w:p w14:paraId="36AB1844">
            <w:pPr>
              <w:spacing w:line="360" w:lineRule="auto"/>
              <w:ind w:firstLine="420" w:firstLineChars="200"/>
              <w:rPr>
                <w:rFonts w:ascii="宋体" w:hAnsi="宋体"/>
                <w:color w:val="000000"/>
                <w:szCs w:val="21"/>
              </w:rPr>
            </w:pPr>
          </w:p>
        </w:tc>
        <w:tc>
          <w:tcPr>
            <w:tcW w:w="606" w:type="pct"/>
            <w:noWrap w:val="0"/>
            <w:vAlign w:val="center"/>
          </w:tcPr>
          <w:p w14:paraId="0FD34E36">
            <w:pPr>
              <w:spacing w:line="360" w:lineRule="auto"/>
              <w:ind w:firstLine="420" w:firstLineChars="200"/>
              <w:rPr>
                <w:rFonts w:ascii="宋体" w:hAnsi="宋体"/>
                <w:color w:val="000000"/>
                <w:szCs w:val="21"/>
              </w:rPr>
            </w:pPr>
          </w:p>
        </w:tc>
        <w:tc>
          <w:tcPr>
            <w:tcW w:w="833" w:type="pct"/>
            <w:noWrap w:val="0"/>
            <w:vAlign w:val="center"/>
          </w:tcPr>
          <w:p w14:paraId="238D23FF">
            <w:pPr>
              <w:spacing w:line="360" w:lineRule="auto"/>
              <w:ind w:firstLine="420" w:firstLineChars="200"/>
              <w:rPr>
                <w:rFonts w:ascii="宋体" w:hAnsi="宋体"/>
                <w:color w:val="000000"/>
                <w:szCs w:val="21"/>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20" w:firstLineChars="200"/>
              <w:rPr>
                <w:rFonts w:ascii="宋体" w:hAnsi="宋体"/>
                <w:color w:val="000000"/>
                <w:szCs w:val="21"/>
              </w:rPr>
            </w:pPr>
          </w:p>
        </w:tc>
        <w:tc>
          <w:tcPr>
            <w:tcW w:w="655" w:type="pct"/>
            <w:noWrap w:val="0"/>
            <w:vAlign w:val="center"/>
          </w:tcPr>
          <w:p w14:paraId="450A8155">
            <w:pPr>
              <w:spacing w:line="360" w:lineRule="auto"/>
              <w:ind w:firstLine="420" w:firstLineChars="200"/>
              <w:rPr>
                <w:rFonts w:ascii="宋体" w:hAnsi="宋体"/>
                <w:color w:val="000000"/>
                <w:szCs w:val="21"/>
              </w:rPr>
            </w:pPr>
          </w:p>
        </w:tc>
        <w:tc>
          <w:tcPr>
            <w:tcW w:w="454" w:type="pct"/>
            <w:noWrap w:val="0"/>
            <w:vAlign w:val="center"/>
          </w:tcPr>
          <w:p w14:paraId="5B95C1F1">
            <w:pPr>
              <w:spacing w:line="360" w:lineRule="auto"/>
              <w:ind w:firstLine="420" w:firstLineChars="200"/>
              <w:rPr>
                <w:rFonts w:ascii="宋体" w:hAnsi="宋体"/>
                <w:color w:val="000000"/>
                <w:szCs w:val="21"/>
              </w:rPr>
            </w:pPr>
          </w:p>
        </w:tc>
        <w:tc>
          <w:tcPr>
            <w:tcW w:w="378" w:type="pct"/>
            <w:noWrap w:val="0"/>
            <w:vAlign w:val="center"/>
          </w:tcPr>
          <w:p w14:paraId="2DBE004F">
            <w:pPr>
              <w:spacing w:line="360" w:lineRule="auto"/>
              <w:ind w:firstLine="420" w:firstLineChars="200"/>
              <w:rPr>
                <w:rFonts w:ascii="宋体" w:hAnsi="宋体"/>
                <w:color w:val="000000"/>
                <w:szCs w:val="21"/>
              </w:rPr>
            </w:pPr>
          </w:p>
        </w:tc>
        <w:tc>
          <w:tcPr>
            <w:tcW w:w="378" w:type="pct"/>
            <w:noWrap w:val="0"/>
            <w:vAlign w:val="center"/>
          </w:tcPr>
          <w:p w14:paraId="723122C4">
            <w:pPr>
              <w:spacing w:line="360" w:lineRule="auto"/>
              <w:ind w:firstLine="420" w:firstLineChars="200"/>
              <w:rPr>
                <w:rFonts w:ascii="宋体" w:hAnsi="宋体"/>
                <w:color w:val="000000"/>
                <w:szCs w:val="21"/>
              </w:rPr>
            </w:pPr>
          </w:p>
        </w:tc>
        <w:tc>
          <w:tcPr>
            <w:tcW w:w="606" w:type="pct"/>
            <w:noWrap w:val="0"/>
            <w:vAlign w:val="center"/>
          </w:tcPr>
          <w:p w14:paraId="3ED96A47">
            <w:pPr>
              <w:spacing w:line="360" w:lineRule="auto"/>
              <w:ind w:firstLine="420" w:firstLineChars="200"/>
              <w:rPr>
                <w:rFonts w:ascii="宋体" w:hAnsi="宋体"/>
                <w:color w:val="000000"/>
                <w:szCs w:val="21"/>
              </w:rPr>
            </w:pPr>
          </w:p>
        </w:tc>
        <w:tc>
          <w:tcPr>
            <w:tcW w:w="682" w:type="pct"/>
            <w:noWrap w:val="0"/>
            <w:vAlign w:val="center"/>
          </w:tcPr>
          <w:p w14:paraId="2E760E11">
            <w:pPr>
              <w:spacing w:line="360" w:lineRule="auto"/>
              <w:ind w:firstLine="420" w:firstLineChars="200"/>
              <w:rPr>
                <w:rFonts w:ascii="宋体" w:hAnsi="宋体"/>
                <w:color w:val="000000"/>
                <w:szCs w:val="21"/>
              </w:rPr>
            </w:pPr>
          </w:p>
        </w:tc>
        <w:tc>
          <w:tcPr>
            <w:tcW w:w="606" w:type="pct"/>
            <w:noWrap w:val="0"/>
            <w:vAlign w:val="center"/>
          </w:tcPr>
          <w:p w14:paraId="1584CD6F">
            <w:pPr>
              <w:spacing w:line="360" w:lineRule="auto"/>
              <w:ind w:firstLine="420" w:firstLineChars="200"/>
              <w:rPr>
                <w:rFonts w:ascii="宋体" w:hAnsi="宋体"/>
                <w:color w:val="000000"/>
                <w:szCs w:val="21"/>
              </w:rPr>
            </w:pPr>
          </w:p>
        </w:tc>
        <w:tc>
          <w:tcPr>
            <w:tcW w:w="833" w:type="pct"/>
            <w:noWrap w:val="0"/>
            <w:vAlign w:val="center"/>
          </w:tcPr>
          <w:p w14:paraId="6750771C">
            <w:pPr>
              <w:spacing w:line="360" w:lineRule="auto"/>
              <w:ind w:firstLine="420" w:firstLineChars="200"/>
              <w:rPr>
                <w:rFonts w:ascii="宋体" w:hAnsi="宋体"/>
                <w:color w:val="000000"/>
                <w:szCs w:val="21"/>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20" w:firstLineChars="200"/>
              <w:rPr>
                <w:rFonts w:ascii="宋体" w:hAnsi="宋体"/>
                <w:color w:val="000000"/>
                <w:szCs w:val="21"/>
              </w:rPr>
            </w:pPr>
          </w:p>
        </w:tc>
        <w:tc>
          <w:tcPr>
            <w:tcW w:w="655" w:type="pct"/>
            <w:noWrap w:val="0"/>
            <w:vAlign w:val="center"/>
          </w:tcPr>
          <w:p w14:paraId="65397BBB">
            <w:pPr>
              <w:spacing w:line="360" w:lineRule="auto"/>
              <w:ind w:firstLine="420" w:firstLineChars="200"/>
              <w:rPr>
                <w:rFonts w:ascii="宋体" w:hAnsi="宋体"/>
                <w:color w:val="000000"/>
                <w:szCs w:val="21"/>
              </w:rPr>
            </w:pPr>
          </w:p>
        </w:tc>
        <w:tc>
          <w:tcPr>
            <w:tcW w:w="454" w:type="pct"/>
            <w:noWrap w:val="0"/>
            <w:vAlign w:val="center"/>
          </w:tcPr>
          <w:p w14:paraId="314F2AD2">
            <w:pPr>
              <w:spacing w:line="360" w:lineRule="auto"/>
              <w:ind w:firstLine="420" w:firstLineChars="200"/>
              <w:rPr>
                <w:rFonts w:ascii="宋体" w:hAnsi="宋体"/>
                <w:color w:val="000000"/>
                <w:szCs w:val="21"/>
              </w:rPr>
            </w:pPr>
          </w:p>
        </w:tc>
        <w:tc>
          <w:tcPr>
            <w:tcW w:w="378" w:type="pct"/>
            <w:noWrap w:val="0"/>
            <w:vAlign w:val="center"/>
          </w:tcPr>
          <w:p w14:paraId="110AF309">
            <w:pPr>
              <w:spacing w:line="360" w:lineRule="auto"/>
              <w:ind w:firstLine="420" w:firstLineChars="200"/>
              <w:rPr>
                <w:rFonts w:ascii="宋体" w:hAnsi="宋体"/>
                <w:color w:val="000000"/>
                <w:szCs w:val="21"/>
              </w:rPr>
            </w:pPr>
          </w:p>
        </w:tc>
        <w:tc>
          <w:tcPr>
            <w:tcW w:w="378" w:type="pct"/>
            <w:noWrap w:val="0"/>
            <w:vAlign w:val="center"/>
          </w:tcPr>
          <w:p w14:paraId="11F67B55">
            <w:pPr>
              <w:spacing w:line="360" w:lineRule="auto"/>
              <w:ind w:firstLine="420" w:firstLineChars="200"/>
              <w:rPr>
                <w:rFonts w:ascii="宋体" w:hAnsi="宋体"/>
                <w:color w:val="000000"/>
                <w:szCs w:val="21"/>
              </w:rPr>
            </w:pPr>
          </w:p>
        </w:tc>
        <w:tc>
          <w:tcPr>
            <w:tcW w:w="606" w:type="pct"/>
            <w:noWrap w:val="0"/>
            <w:vAlign w:val="center"/>
          </w:tcPr>
          <w:p w14:paraId="0E7BCC89">
            <w:pPr>
              <w:spacing w:line="360" w:lineRule="auto"/>
              <w:ind w:firstLine="420" w:firstLineChars="200"/>
              <w:rPr>
                <w:rFonts w:ascii="宋体" w:hAnsi="宋体"/>
                <w:color w:val="000000"/>
                <w:szCs w:val="21"/>
              </w:rPr>
            </w:pPr>
          </w:p>
        </w:tc>
        <w:tc>
          <w:tcPr>
            <w:tcW w:w="682" w:type="pct"/>
            <w:noWrap w:val="0"/>
            <w:vAlign w:val="center"/>
          </w:tcPr>
          <w:p w14:paraId="6EE2FD68">
            <w:pPr>
              <w:spacing w:line="360" w:lineRule="auto"/>
              <w:ind w:firstLine="420" w:firstLineChars="200"/>
              <w:rPr>
                <w:rFonts w:ascii="宋体" w:hAnsi="宋体"/>
                <w:color w:val="000000"/>
                <w:szCs w:val="21"/>
              </w:rPr>
            </w:pPr>
          </w:p>
        </w:tc>
        <w:tc>
          <w:tcPr>
            <w:tcW w:w="606" w:type="pct"/>
            <w:noWrap w:val="0"/>
            <w:vAlign w:val="center"/>
          </w:tcPr>
          <w:p w14:paraId="4ADD25F0">
            <w:pPr>
              <w:spacing w:line="360" w:lineRule="auto"/>
              <w:ind w:firstLine="420" w:firstLineChars="200"/>
              <w:rPr>
                <w:rFonts w:ascii="宋体" w:hAnsi="宋体"/>
                <w:color w:val="000000"/>
                <w:szCs w:val="21"/>
              </w:rPr>
            </w:pPr>
          </w:p>
        </w:tc>
        <w:tc>
          <w:tcPr>
            <w:tcW w:w="833" w:type="pct"/>
            <w:noWrap w:val="0"/>
            <w:vAlign w:val="center"/>
          </w:tcPr>
          <w:p w14:paraId="02C42BB0">
            <w:pPr>
              <w:spacing w:line="360" w:lineRule="auto"/>
              <w:ind w:firstLine="420" w:firstLineChars="200"/>
              <w:rPr>
                <w:rFonts w:ascii="宋体" w:hAnsi="宋体"/>
                <w:color w:val="000000"/>
                <w:szCs w:val="21"/>
              </w:rPr>
            </w:pPr>
          </w:p>
        </w:tc>
      </w:tr>
    </w:tbl>
    <w:p w14:paraId="50F2C946">
      <w:r>
        <w:br w:type="page"/>
      </w:r>
    </w:p>
    <w:p w14:paraId="0686FC30">
      <w:pPr>
        <w:pStyle w:val="40"/>
        <w:outlineLvl w:val="0"/>
      </w:pPr>
      <w:r>
        <w:t>附表三：劳动力计划表</w:t>
      </w:r>
    </w:p>
    <w:p w14:paraId="19427535">
      <w:pPr>
        <w:spacing w:line="360" w:lineRule="auto"/>
        <w:ind w:firstLine="7245" w:firstLineChars="3450"/>
        <w:rPr>
          <w:rFonts w:ascii="宋体" w:hAnsi="宋体"/>
          <w:color w:val="000000"/>
          <w:szCs w:val="21"/>
        </w:rPr>
      </w:pPr>
      <w:r>
        <w:rPr>
          <w:rFonts w:ascii="宋体" w:hAnsi="宋体"/>
          <w:color w:val="000000"/>
          <w:szCs w:val="21"/>
        </w:rPr>
        <w:t xml:space="preserve">    单位：人</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ascii="宋体" w:hAnsi="宋体"/>
                <w:color w:val="000000"/>
                <w:szCs w:val="21"/>
              </w:rPr>
            </w:pPr>
            <w:r>
              <w:rPr>
                <w:rFonts w:ascii="宋体" w:hAnsi="宋体"/>
                <w:color w:val="000000"/>
                <w:szCs w:val="21"/>
              </w:rPr>
              <w:t>工种</w:t>
            </w:r>
          </w:p>
        </w:tc>
        <w:tc>
          <w:tcPr>
            <w:tcW w:w="4544" w:type="pct"/>
            <w:gridSpan w:val="7"/>
            <w:noWrap w:val="0"/>
            <w:vAlign w:val="center"/>
          </w:tcPr>
          <w:p w14:paraId="2EB89580">
            <w:pPr>
              <w:spacing w:line="360" w:lineRule="auto"/>
              <w:jc w:val="center"/>
              <w:rPr>
                <w:rFonts w:ascii="宋体" w:hAnsi="宋体"/>
                <w:color w:val="000000"/>
                <w:szCs w:val="21"/>
              </w:rPr>
            </w:pPr>
            <w:r>
              <w:rPr>
                <w:rFonts w:ascii="宋体" w:hAnsi="宋体"/>
                <w:color w:val="000000"/>
                <w:szCs w:val="21"/>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ascii="宋体" w:hAnsi="宋体"/>
                <w:color w:val="000000"/>
                <w:szCs w:val="21"/>
              </w:rPr>
            </w:pPr>
          </w:p>
        </w:tc>
        <w:tc>
          <w:tcPr>
            <w:tcW w:w="513" w:type="pct"/>
            <w:noWrap w:val="0"/>
            <w:vAlign w:val="center"/>
          </w:tcPr>
          <w:p w14:paraId="0FBBEF18">
            <w:pPr>
              <w:spacing w:line="360" w:lineRule="auto"/>
              <w:jc w:val="center"/>
              <w:rPr>
                <w:rFonts w:ascii="宋体" w:hAnsi="宋体"/>
                <w:color w:val="000000"/>
                <w:szCs w:val="21"/>
              </w:rPr>
            </w:pPr>
          </w:p>
        </w:tc>
        <w:tc>
          <w:tcPr>
            <w:tcW w:w="671" w:type="pct"/>
            <w:noWrap w:val="0"/>
            <w:vAlign w:val="center"/>
          </w:tcPr>
          <w:p w14:paraId="59CDE3D2">
            <w:pPr>
              <w:spacing w:line="360" w:lineRule="auto"/>
              <w:jc w:val="center"/>
              <w:rPr>
                <w:rFonts w:ascii="宋体" w:hAnsi="宋体"/>
                <w:color w:val="000000"/>
                <w:szCs w:val="21"/>
              </w:rPr>
            </w:pPr>
          </w:p>
        </w:tc>
        <w:tc>
          <w:tcPr>
            <w:tcW w:w="671" w:type="pct"/>
            <w:noWrap w:val="0"/>
            <w:vAlign w:val="center"/>
          </w:tcPr>
          <w:p w14:paraId="0D752535">
            <w:pPr>
              <w:spacing w:line="360" w:lineRule="auto"/>
              <w:jc w:val="center"/>
              <w:rPr>
                <w:rFonts w:ascii="宋体" w:hAnsi="宋体"/>
                <w:color w:val="000000"/>
                <w:szCs w:val="21"/>
              </w:rPr>
            </w:pPr>
          </w:p>
        </w:tc>
        <w:tc>
          <w:tcPr>
            <w:tcW w:w="671" w:type="pct"/>
            <w:noWrap w:val="0"/>
            <w:vAlign w:val="center"/>
          </w:tcPr>
          <w:p w14:paraId="01D7888C">
            <w:pPr>
              <w:spacing w:line="360" w:lineRule="auto"/>
              <w:jc w:val="center"/>
              <w:rPr>
                <w:rFonts w:ascii="宋体" w:hAnsi="宋体"/>
                <w:color w:val="000000"/>
                <w:szCs w:val="21"/>
              </w:rPr>
            </w:pPr>
          </w:p>
        </w:tc>
        <w:tc>
          <w:tcPr>
            <w:tcW w:w="671" w:type="pct"/>
            <w:noWrap w:val="0"/>
            <w:vAlign w:val="center"/>
          </w:tcPr>
          <w:p w14:paraId="18796548">
            <w:pPr>
              <w:spacing w:line="360" w:lineRule="auto"/>
              <w:jc w:val="center"/>
              <w:rPr>
                <w:rFonts w:ascii="宋体" w:hAnsi="宋体"/>
                <w:color w:val="000000"/>
                <w:szCs w:val="21"/>
              </w:rPr>
            </w:pPr>
          </w:p>
        </w:tc>
        <w:tc>
          <w:tcPr>
            <w:tcW w:w="671" w:type="pct"/>
            <w:noWrap w:val="0"/>
            <w:vAlign w:val="center"/>
          </w:tcPr>
          <w:p w14:paraId="6148DAF7">
            <w:pPr>
              <w:spacing w:line="360" w:lineRule="auto"/>
              <w:jc w:val="center"/>
              <w:rPr>
                <w:rFonts w:ascii="宋体" w:hAnsi="宋体"/>
                <w:color w:val="000000"/>
                <w:szCs w:val="21"/>
              </w:rPr>
            </w:pPr>
          </w:p>
        </w:tc>
        <w:tc>
          <w:tcPr>
            <w:tcW w:w="673" w:type="pct"/>
            <w:noWrap w:val="0"/>
            <w:vAlign w:val="center"/>
          </w:tcPr>
          <w:p w14:paraId="59FA4112">
            <w:pPr>
              <w:spacing w:line="360" w:lineRule="auto"/>
              <w:jc w:val="center"/>
              <w:rPr>
                <w:rFonts w:ascii="宋体" w:hAnsi="宋体"/>
                <w:color w:val="000000"/>
                <w:szCs w:val="21"/>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ascii="宋体" w:hAnsi="宋体"/>
                <w:color w:val="000000"/>
                <w:szCs w:val="21"/>
              </w:rPr>
            </w:pPr>
          </w:p>
        </w:tc>
        <w:tc>
          <w:tcPr>
            <w:tcW w:w="513" w:type="pct"/>
            <w:noWrap w:val="0"/>
            <w:vAlign w:val="center"/>
          </w:tcPr>
          <w:p w14:paraId="2D99E92B">
            <w:pPr>
              <w:spacing w:line="360" w:lineRule="auto"/>
              <w:jc w:val="center"/>
              <w:rPr>
                <w:rFonts w:ascii="宋体" w:hAnsi="宋体"/>
                <w:color w:val="000000"/>
                <w:szCs w:val="21"/>
              </w:rPr>
            </w:pPr>
          </w:p>
        </w:tc>
        <w:tc>
          <w:tcPr>
            <w:tcW w:w="671" w:type="pct"/>
            <w:noWrap w:val="0"/>
            <w:vAlign w:val="center"/>
          </w:tcPr>
          <w:p w14:paraId="7BDBC289">
            <w:pPr>
              <w:spacing w:line="360" w:lineRule="auto"/>
              <w:jc w:val="center"/>
              <w:rPr>
                <w:rFonts w:ascii="宋体" w:hAnsi="宋体"/>
                <w:color w:val="000000"/>
                <w:szCs w:val="21"/>
              </w:rPr>
            </w:pPr>
          </w:p>
        </w:tc>
        <w:tc>
          <w:tcPr>
            <w:tcW w:w="671" w:type="pct"/>
            <w:noWrap w:val="0"/>
            <w:vAlign w:val="center"/>
          </w:tcPr>
          <w:p w14:paraId="1302BAB2">
            <w:pPr>
              <w:spacing w:line="360" w:lineRule="auto"/>
              <w:jc w:val="center"/>
              <w:rPr>
                <w:rFonts w:ascii="宋体" w:hAnsi="宋体"/>
                <w:color w:val="000000"/>
                <w:szCs w:val="21"/>
              </w:rPr>
            </w:pPr>
          </w:p>
        </w:tc>
        <w:tc>
          <w:tcPr>
            <w:tcW w:w="671" w:type="pct"/>
            <w:noWrap w:val="0"/>
            <w:vAlign w:val="center"/>
          </w:tcPr>
          <w:p w14:paraId="6318E38B">
            <w:pPr>
              <w:spacing w:line="360" w:lineRule="auto"/>
              <w:jc w:val="center"/>
              <w:rPr>
                <w:rFonts w:ascii="宋体" w:hAnsi="宋体"/>
                <w:color w:val="000000"/>
                <w:szCs w:val="21"/>
              </w:rPr>
            </w:pPr>
          </w:p>
        </w:tc>
        <w:tc>
          <w:tcPr>
            <w:tcW w:w="671" w:type="pct"/>
            <w:noWrap w:val="0"/>
            <w:vAlign w:val="center"/>
          </w:tcPr>
          <w:p w14:paraId="61E07D4B">
            <w:pPr>
              <w:spacing w:line="360" w:lineRule="auto"/>
              <w:jc w:val="center"/>
              <w:rPr>
                <w:rFonts w:ascii="宋体" w:hAnsi="宋体"/>
                <w:color w:val="000000"/>
                <w:szCs w:val="21"/>
              </w:rPr>
            </w:pPr>
          </w:p>
        </w:tc>
        <w:tc>
          <w:tcPr>
            <w:tcW w:w="671" w:type="pct"/>
            <w:noWrap w:val="0"/>
            <w:vAlign w:val="center"/>
          </w:tcPr>
          <w:p w14:paraId="5B983184">
            <w:pPr>
              <w:spacing w:line="360" w:lineRule="auto"/>
              <w:jc w:val="center"/>
              <w:rPr>
                <w:rFonts w:ascii="宋体" w:hAnsi="宋体"/>
                <w:color w:val="000000"/>
                <w:szCs w:val="21"/>
              </w:rPr>
            </w:pPr>
          </w:p>
        </w:tc>
        <w:tc>
          <w:tcPr>
            <w:tcW w:w="673" w:type="pct"/>
            <w:noWrap w:val="0"/>
            <w:vAlign w:val="center"/>
          </w:tcPr>
          <w:p w14:paraId="63FB4A64">
            <w:pPr>
              <w:spacing w:line="360" w:lineRule="auto"/>
              <w:jc w:val="center"/>
              <w:rPr>
                <w:rFonts w:ascii="宋体" w:hAnsi="宋体"/>
                <w:color w:val="000000"/>
                <w:szCs w:val="21"/>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ascii="宋体" w:hAnsi="宋体"/>
                <w:color w:val="000000"/>
                <w:szCs w:val="21"/>
              </w:rPr>
            </w:pPr>
          </w:p>
        </w:tc>
        <w:tc>
          <w:tcPr>
            <w:tcW w:w="513" w:type="pct"/>
            <w:noWrap w:val="0"/>
            <w:vAlign w:val="center"/>
          </w:tcPr>
          <w:p w14:paraId="0F6235D6">
            <w:pPr>
              <w:spacing w:line="360" w:lineRule="auto"/>
              <w:jc w:val="center"/>
              <w:rPr>
                <w:rFonts w:ascii="宋体" w:hAnsi="宋体"/>
                <w:color w:val="000000"/>
                <w:szCs w:val="21"/>
              </w:rPr>
            </w:pPr>
          </w:p>
        </w:tc>
        <w:tc>
          <w:tcPr>
            <w:tcW w:w="671" w:type="pct"/>
            <w:noWrap w:val="0"/>
            <w:vAlign w:val="center"/>
          </w:tcPr>
          <w:p w14:paraId="2D0808E0">
            <w:pPr>
              <w:spacing w:line="360" w:lineRule="auto"/>
              <w:jc w:val="center"/>
              <w:rPr>
                <w:rFonts w:ascii="宋体" w:hAnsi="宋体"/>
                <w:color w:val="000000"/>
                <w:szCs w:val="21"/>
              </w:rPr>
            </w:pPr>
          </w:p>
        </w:tc>
        <w:tc>
          <w:tcPr>
            <w:tcW w:w="671" w:type="pct"/>
            <w:noWrap w:val="0"/>
            <w:vAlign w:val="center"/>
          </w:tcPr>
          <w:p w14:paraId="59C16A78">
            <w:pPr>
              <w:spacing w:line="360" w:lineRule="auto"/>
              <w:jc w:val="center"/>
              <w:rPr>
                <w:rFonts w:ascii="宋体" w:hAnsi="宋体"/>
                <w:color w:val="000000"/>
                <w:szCs w:val="21"/>
              </w:rPr>
            </w:pPr>
          </w:p>
        </w:tc>
        <w:tc>
          <w:tcPr>
            <w:tcW w:w="671" w:type="pct"/>
            <w:noWrap w:val="0"/>
            <w:vAlign w:val="center"/>
          </w:tcPr>
          <w:p w14:paraId="0A98F961">
            <w:pPr>
              <w:spacing w:line="360" w:lineRule="auto"/>
              <w:jc w:val="center"/>
              <w:rPr>
                <w:rFonts w:ascii="宋体" w:hAnsi="宋体"/>
                <w:color w:val="000000"/>
                <w:szCs w:val="21"/>
              </w:rPr>
            </w:pPr>
          </w:p>
        </w:tc>
        <w:tc>
          <w:tcPr>
            <w:tcW w:w="671" w:type="pct"/>
            <w:noWrap w:val="0"/>
            <w:vAlign w:val="center"/>
          </w:tcPr>
          <w:p w14:paraId="5495361A">
            <w:pPr>
              <w:spacing w:line="360" w:lineRule="auto"/>
              <w:jc w:val="center"/>
              <w:rPr>
                <w:rFonts w:ascii="宋体" w:hAnsi="宋体"/>
                <w:color w:val="000000"/>
                <w:szCs w:val="21"/>
              </w:rPr>
            </w:pPr>
          </w:p>
        </w:tc>
        <w:tc>
          <w:tcPr>
            <w:tcW w:w="671" w:type="pct"/>
            <w:noWrap w:val="0"/>
            <w:vAlign w:val="center"/>
          </w:tcPr>
          <w:p w14:paraId="6C93BB49">
            <w:pPr>
              <w:spacing w:line="360" w:lineRule="auto"/>
              <w:jc w:val="center"/>
              <w:rPr>
                <w:rFonts w:ascii="宋体" w:hAnsi="宋体"/>
                <w:color w:val="000000"/>
                <w:szCs w:val="21"/>
              </w:rPr>
            </w:pPr>
          </w:p>
        </w:tc>
        <w:tc>
          <w:tcPr>
            <w:tcW w:w="673" w:type="pct"/>
            <w:noWrap w:val="0"/>
            <w:vAlign w:val="center"/>
          </w:tcPr>
          <w:p w14:paraId="7C50078B">
            <w:pPr>
              <w:spacing w:line="360" w:lineRule="auto"/>
              <w:jc w:val="center"/>
              <w:rPr>
                <w:rFonts w:ascii="宋体" w:hAnsi="宋体"/>
                <w:color w:val="000000"/>
                <w:szCs w:val="21"/>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ascii="宋体" w:hAnsi="宋体"/>
                <w:color w:val="000000"/>
                <w:szCs w:val="21"/>
              </w:rPr>
            </w:pPr>
          </w:p>
        </w:tc>
        <w:tc>
          <w:tcPr>
            <w:tcW w:w="513" w:type="pct"/>
            <w:noWrap w:val="0"/>
            <w:vAlign w:val="center"/>
          </w:tcPr>
          <w:p w14:paraId="5D536FA9">
            <w:pPr>
              <w:spacing w:line="360" w:lineRule="auto"/>
              <w:jc w:val="center"/>
              <w:rPr>
                <w:rFonts w:ascii="宋体" w:hAnsi="宋体"/>
                <w:color w:val="000000"/>
                <w:szCs w:val="21"/>
              </w:rPr>
            </w:pPr>
          </w:p>
        </w:tc>
        <w:tc>
          <w:tcPr>
            <w:tcW w:w="671" w:type="pct"/>
            <w:noWrap w:val="0"/>
            <w:vAlign w:val="center"/>
          </w:tcPr>
          <w:p w14:paraId="2561BAC2">
            <w:pPr>
              <w:spacing w:line="360" w:lineRule="auto"/>
              <w:jc w:val="center"/>
              <w:rPr>
                <w:rFonts w:ascii="宋体" w:hAnsi="宋体"/>
                <w:color w:val="000000"/>
                <w:szCs w:val="21"/>
              </w:rPr>
            </w:pPr>
          </w:p>
        </w:tc>
        <w:tc>
          <w:tcPr>
            <w:tcW w:w="671" w:type="pct"/>
            <w:noWrap w:val="0"/>
            <w:vAlign w:val="center"/>
          </w:tcPr>
          <w:p w14:paraId="705102A4">
            <w:pPr>
              <w:spacing w:line="360" w:lineRule="auto"/>
              <w:jc w:val="center"/>
              <w:rPr>
                <w:rFonts w:ascii="宋体" w:hAnsi="宋体"/>
                <w:color w:val="000000"/>
                <w:szCs w:val="21"/>
              </w:rPr>
            </w:pPr>
          </w:p>
        </w:tc>
        <w:tc>
          <w:tcPr>
            <w:tcW w:w="671" w:type="pct"/>
            <w:noWrap w:val="0"/>
            <w:vAlign w:val="center"/>
          </w:tcPr>
          <w:p w14:paraId="2B2318A6">
            <w:pPr>
              <w:spacing w:line="360" w:lineRule="auto"/>
              <w:jc w:val="center"/>
              <w:rPr>
                <w:rFonts w:ascii="宋体" w:hAnsi="宋体"/>
                <w:color w:val="000000"/>
                <w:szCs w:val="21"/>
              </w:rPr>
            </w:pPr>
          </w:p>
        </w:tc>
        <w:tc>
          <w:tcPr>
            <w:tcW w:w="671" w:type="pct"/>
            <w:noWrap w:val="0"/>
            <w:vAlign w:val="center"/>
          </w:tcPr>
          <w:p w14:paraId="4E3E6F4A">
            <w:pPr>
              <w:spacing w:line="360" w:lineRule="auto"/>
              <w:jc w:val="center"/>
              <w:rPr>
                <w:rFonts w:ascii="宋体" w:hAnsi="宋体"/>
                <w:color w:val="000000"/>
                <w:szCs w:val="21"/>
              </w:rPr>
            </w:pPr>
          </w:p>
        </w:tc>
        <w:tc>
          <w:tcPr>
            <w:tcW w:w="671" w:type="pct"/>
            <w:noWrap w:val="0"/>
            <w:vAlign w:val="center"/>
          </w:tcPr>
          <w:p w14:paraId="7A5F607F">
            <w:pPr>
              <w:spacing w:line="360" w:lineRule="auto"/>
              <w:jc w:val="center"/>
              <w:rPr>
                <w:rFonts w:ascii="宋体" w:hAnsi="宋体"/>
                <w:color w:val="000000"/>
                <w:szCs w:val="21"/>
              </w:rPr>
            </w:pPr>
          </w:p>
        </w:tc>
        <w:tc>
          <w:tcPr>
            <w:tcW w:w="673" w:type="pct"/>
            <w:noWrap w:val="0"/>
            <w:vAlign w:val="center"/>
          </w:tcPr>
          <w:p w14:paraId="4005FBF6">
            <w:pPr>
              <w:spacing w:line="360" w:lineRule="auto"/>
              <w:jc w:val="center"/>
              <w:rPr>
                <w:rFonts w:ascii="宋体" w:hAnsi="宋体"/>
                <w:color w:val="000000"/>
                <w:szCs w:val="21"/>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ascii="宋体" w:hAnsi="宋体"/>
                <w:color w:val="000000"/>
                <w:szCs w:val="21"/>
              </w:rPr>
            </w:pPr>
          </w:p>
        </w:tc>
        <w:tc>
          <w:tcPr>
            <w:tcW w:w="513" w:type="pct"/>
            <w:noWrap w:val="0"/>
            <w:vAlign w:val="center"/>
          </w:tcPr>
          <w:p w14:paraId="1743BA3E">
            <w:pPr>
              <w:spacing w:line="360" w:lineRule="auto"/>
              <w:jc w:val="center"/>
              <w:rPr>
                <w:rFonts w:ascii="宋体" w:hAnsi="宋体"/>
                <w:color w:val="000000"/>
                <w:szCs w:val="21"/>
              </w:rPr>
            </w:pPr>
          </w:p>
        </w:tc>
        <w:tc>
          <w:tcPr>
            <w:tcW w:w="671" w:type="pct"/>
            <w:noWrap w:val="0"/>
            <w:vAlign w:val="center"/>
          </w:tcPr>
          <w:p w14:paraId="186607DF">
            <w:pPr>
              <w:spacing w:line="360" w:lineRule="auto"/>
              <w:jc w:val="center"/>
              <w:rPr>
                <w:rFonts w:ascii="宋体" w:hAnsi="宋体"/>
                <w:color w:val="000000"/>
                <w:szCs w:val="21"/>
              </w:rPr>
            </w:pPr>
          </w:p>
        </w:tc>
        <w:tc>
          <w:tcPr>
            <w:tcW w:w="671" w:type="pct"/>
            <w:noWrap w:val="0"/>
            <w:vAlign w:val="center"/>
          </w:tcPr>
          <w:p w14:paraId="37671198">
            <w:pPr>
              <w:spacing w:line="360" w:lineRule="auto"/>
              <w:jc w:val="center"/>
              <w:rPr>
                <w:rFonts w:ascii="宋体" w:hAnsi="宋体"/>
                <w:color w:val="000000"/>
                <w:szCs w:val="21"/>
              </w:rPr>
            </w:pPr>
          </w:p>
        </w:tc>
        <w:tc>
          <w:tcPr>
            <w:tcW w:w="671" w:type="pct"/>
            <w:noWrap w:val="0"/>
            <w:vAlign w:val="center"/>
          </w:tcPr>
          <w:p w14:paraId="797898CF">
            <w:pPr>
              <w:spacing w:line="360" w:lineRule="auto"/>
              <w:jc w:val="center"/>
              <w:rPr>
                <w:rFonts w:ascii="宋体" w:hAnsi="宋体"/>
                <w:color w:val="000000"/>
                <w:szCs w:val="21"/>
              </w:rPr>
            </w:pPr>
          </w:p>
        </w:tc>
        <w:tc>
          <w:tcPr>
            <w:tcW w:w="671" w:type="pct"/>
            <w:noWrap w:val="0"/>
            <w:vAlign w:val="center"/>
          </w:tcPr>
          <w:p w14:paraId="42B9066D">
            <w:pPr>
              <w:spacing w:line="360" w:lineRule="auto"/>
              <w:jc w:val="center"/>
              <w:rPr>
                <w:rFonts w:ascii="宋体" w:hAnsi="宋体"/>
                <w:color w:val="000000"/>
                <w:szCs w:val="21"/>
              </w:rPr>
            </w:pPr>
          </w:p>
        </w:tc>
        <w:tc>
          <w:tcPr>
            <w:tcW w:w="671" w:type="pct"/>
            <w:noWrap w:val="0"/>
            <w:vAlign w:val="center"/>
          </w:tcPr>
          <w:p w14:paraId="75719EF5">
            <w:pPr>
              <w:spacing w:line="360" w:lineRule="auto"/>
              <w:jc w:val="center"/>
              <w:rPr>
                <w:rFonts w:ascii="宋体" w:hAnsi="宋体"/>
                <w:color w:val="000000"/>
                <w:szCs w:val="21"/>
              </w:rPr>
            </w:pPr>
          </w:p>
        </w:tc>
        <w:tc>
          <w:tcPr>
            <w:tcW w:w="673" w:type="pct"/>
            <w:noWrap w:val="0"/>
            <w:vAlign w:val="center"/>
          </w:tcPr>
          <w:p w14:paraId="12E901C0">
            <w:pPr>
              <w:spacing w:line="360" w:lineRule="auto"/>
              <w:jc w:val="center"/>
              <w:rPr>
                <w:rFonts w:ascii="宋体" w:hAnsi="宋体"/>
                <w:color w:val="000000"/>
                <w:szCs w:val="21"/>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ascii="宋体" w:hAnsi="宋体"/>
                <w:color w:val="000000"/>
                <w:szCs w:val="21"/>
              </w:rPr>
            </w:pPr>
          </w:p>
        </w:tc>
        <w:tc>
          <w:tcPr>
            <w:tcW w:w="513" w:type="pct"/>
            <w:noWrap w:val="0"/>
            <w:vAlign w:val="center"/>
          </w:tcPr>
          <w:p w14:paraId="755CA7A2">
            <w:pPr>
              <w:spacing w:line="360" w:lineRule="auto"/>
              <w:jc w:val="center"/>
              <w:rPr>
                <w:rFonts w:ascii="宋体" w:hAnsi="宋体"/>
                <w:color w:val="000000"/>
                <w:szCs w:val="21"/>
              </w:rPr>
            </w:pPr>
          </w:p>
        </w:tc>
        <w:tc>
          <w:tcPr>
            <w:tcW w:w="671" w:type="pct"/>
            <w:noWrap w:val="0"/>
            <w:vAlign w:val="center"/>
          </w:tcPr>
          <w:p w14:paraId="0B652256">
            <w:pPr>
              <w:spacing w:line="360" w:lineRule="auto"/>
              <w:jc w:val="center"/>
              <w:rPr>
                <w:rFonts w:ascii="宋体" w:hAnsi="宋体"/>
                <w:color w:val="000000"/>
                <w:szCs w:val="21"/>
              </w:rPr>
            </w:pPr>
          </w:p>
        </w:tc>
        <w:tc>
          <w:tcPr>
            <w:tcW w:w="671" w:type="pct"/>
            <w:noWrap w:val="0"/>
            <w:vAlign w:val="center"/>
          </w:tcPr>
          <w:p w14:paraId="71EA063E">
            <w:pPr>
              <w:spacing w:line="360" w:lineRule="auto"/>
              <w:jc w:val="center"/>
              <w:rPr>
                <w:rFonts w:ascii="宋体" w:hAnsi="宋体"/>
                <w:color w:val="000000"/>
                <w:szCs w:val="21"/>
              </w:rPr>
            </w:pPr>
          </w:p>
        </w:tc>
        <w:tc>
          <w:tcPr>
            <w:tcW w:w="671" w:type="pct"/>
            <w:noWrap w:val="0"/>
            <w:vAlign w:val="center"/>
          </w:tcPr>
          <w:p w14:paraId="7E15B3A3">
            <w:pPr>
              <w:spacing w:line="360" w:lineRule="auto"/>
              <w:jc w:val="center"/>
              <w:rPr>
                <w:rFonts w:ascii="宋体" w:hAnsi="宋体"/>
                <w:color w:val="000000"/>
                <w:szCs w:val="21"/>
              </w:rPr>
            </w:pPr>
          </w:p>
        </w:tc>
        <w:tc>
          <w:tcPr>
            <w:tcW w:w="671" w:type="pct"/>
            <w:noWrap w:val="0"/>
            <w:vAlign w:val="center"/>
          </w:tcPr>
          <w:p w14:paraId="3A7571B3">
            <w:pPr>
              <w:spacing w:line="360" w:lineRule="auto"/>
              <w:jc w:val="center"/>
              <w:rPr>
                <w:rFonts w:ascii="宋体" w:hAnsi="宋体"/>
                <w:color w:val="000000"/>
                <w:szCs w:val="21"/>
              </w:rPr>
            </w:pPr>
          </w:p>
        </w:tc>
        <w:tc>
          <w:tcPr>
            <w:tcW w:w="671" w:type="pct"/>
            <w:noWrap w:val="0"/>
            <w:vAlign w:val="center"/>
          </w:tcPr>
          <w:p w14:paraId="4186FE5B">
            <w:pPr>
              <w:spacing w:line="360" w:lineRule="auto"/>
              <w:jc w:val="center"/>
              <w:rPr>
                <w:rFonts w:ascii="宋体" w:hAnsi="宋体"/>
                <w:color w:val="000000"/>
                <w:szCs w:val="21"/>
              </w:rPr>
            </w:pPr>
          </w:p>
        </w:tc>
        <w:tc>
          <w:tcPr>
            <w:tcW w:w="673" w:type="pct"/>
            <w:noWrap w:val="0"/>
            <w:vAlign w:val="center"/>
          </w:tcPr>
          <w:p w14:paraId="0FF0A524">
            <w:pPr>
              <w:spacing w:line="360" w:lineRule="auto"/>
              <w:jc w:val="center"/>
              <w:rPr>
                <w:rFonts w:ascii="宋体" w:hAnsi="宋体"/>
                <w:color w:val="000000"/>
                <w:szCs w:val="21"/>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ascii="宋体" w:hAnsi="宋体"/>
                <w:color w:val="000000"/>
                <w:szCs w:val="21"/>
              </w:rPr>
            </w:pPr>
          </w:p>
        </w:tc>
        <w:tc>
          <w:tcPr>
            <w:tcW w:w="513" w:type="pct"/>
            <w:noWrap w:val="0"/>
            <w:vAlign w:val="center"/>
          </w:tcPr>
          <w:p w14:paraId="3C957A8F">
            <w:pPr>
              <w:spacing w:line="360" w:lineRule="auto"/>
              <w:jc w:val="center"/>
              <w:rPr>
                <w:rFonts w:ascii="宋体" w:hAnsi="宋体"/>
                <w:color w:val="000000"/>
                <w:szCs w:val="21"/>
              </w:rPr>
            </w:pPr>
          </w:p>
        </w:tc>
        <w:tc>
          <w:tcPr>
            <w:tcW w:w="671" w:type="pct"/>
            <w:noWrap w:val="0"/>
            <w:vAlign w:val="center"/>
          </w:tcPr>
          <w:p w14:paraId="6488326D">
            <w:pPr>
              <w:spacing w:line="360" w:lineRule="auto"/>
              <w:jc w:val="center"/>
              <w:rPr>
                <w:rFonts w:ascii="宋体" w:hAnsi="宋体"/>
                <w:color w:val="000000"/>
                <w:szCs w:val="21"/>
              </w:rPr>
            </w:pPr>
          </w:p>
        </w:tc>
        <w:tc>
          <w:tcPr>
            <w:tcW w:w="671" w:type="pct"/>
            <w:noWrap w:val="0"/>
            <w:vAlign w:val="center"/>
          </w:tcPr>
          <w:p w14:paraId="6D982DAC">
            <w:pPr>
              <w:spacing w:line="360" w:lineRule="auto"/>
              <w:jc w:val="center"/>
              <w:rPr>
                <w:rFonts w:ascii="宋体" w:hAnsi="宋体"/>
                <w:color w:val="000000"/>
                <w:szCs w:val="21"/>
              </w:rPr>
            </w:pPr>
          </w:p>
        </w:tc>
        <w:tc>
          <w:tcPr>
            <w:tcW w:w="671" w:type="pct"/>
            <w:noWrap w:val="0"/>
            <w:vAlign w:val="center"/>
          </w:tcPr>
          <w:p w14:paraId="41084F2F">
            <w:pPr>
              <w:spacing w:line="360" w:lineRule="auto"/>
              <w:jc w:val="center"/>
              <w:rPr>
                <w:rFonts w:ascii="宋体" w:hAnsi="宋体"/>
                <w:color w:val="000000"/>
                <w:szCs w:val="21"/>
              </w:rPr>
            </w:pPr>
          </w:p>
        </w:tc>
        <w:tc>
          <w:tcPr>
            <w:tcW w:w="671" w:type="pct"/>
            <w:noWrap w:val="0"/>
            <w:vAlign w:val="center"/>
          </w:tcPr>
          <w:p w14:paraId="729242BC">
            <w:pPr>
              <w:spacing w:line="360" w:lineRule="auto"/>
              <w:jc w:val="center"/>
              <w:rPr>
                <w:rFonts w:ascii="宋体" w:hAnsi="宋体"/>
                <w:color w:val="000000"/>
                <w:szCs w:val="21"/>
              </w:rPr>
            </w:pPr>
          </w:p>
        </w:tc>
        <w:tc>
          <w:tcPr>
            <w:tcW w:w="671" w:type="pct"/>
            <w:noWrap w:val="0"/>
            <w:vAlign w:val="center"/>
          </w:tcPr>
          <w:p w14:paraId="43765B23">
            <w:pPr>
              <w:spacing w:line="360" w:lineRule="auto"/>
              <w:jc w:val="center"/>
              <w:rPr>
                <w:rFonts w:ascii="宋体" w:hAnsi="宋体"/>
                <w:color w:val="000000"/>
                <w:szCs w:val="21"/>
              </w:rPr>
            </w:pPr>
          </w:p>
        </w:tc>
        <w:tc>
          <w:tcPr>
            <w:tcW w:w="673" w:type="pct"/>
            <w:noWrap w:val="0"/>
            <w:vAlign w:val="center"/>
          </w:tcPr>
          <w:p w14:paraId="47E7B8A5">
            <w:pPr>
              <w:spacing w:line="360" w:lineRule="auto"/>
              <w:jc w:val="center"/>
              <w:rPr>
                <w:rFonts w:ascii="宋体" w:hAnsi="宋体"/>
                <w:color w:val="000000"/>
                <w:szCs w:val="21"/>
              </w:rPr>
            </w:pPr>
          </w:p>
        </w:tc>
      </w:tr>
    </w:tbl>
    <w:p w14:paraId="41131B7F">
      <w:pPr>
        <w:spacing w:line="360" w:lineRule="auto"/>
        <w:rPr>
          <w:rFonts w:ascii="宋体" w:hAnsi="宋体"/>
          <w:color w:val="000000"/>
        </w:rPr>
      </w:pPr>
    </w:p>
    <w:p w14:paraId="685F3C50">
      <w:pPr>
        <w:spacing w:line="360" w:lineRule="auto"/>
        <w:rPr>
          <w:rFonts w:ascii="宋体" w:hAnsi="宋体"/>
          <w:b/>
          <w:color w:val="000000"/>
        </w:rPr>
      </w:pPr>
    </w:p>
    <w:p w14:paraId="4681018A">
      <w:pPr>
        <w:pStyle w:val="40"/>
        <w:outlineLvl w:val="0"/>
      </w:pPr>
      <w:r>
        <w:t>附表四：计划开、竣工日期和施工进度计划（网络图或横道图）</w:t>
      </w:r>
    </w:p>
    <w:p w14:paraId="5CE47DD0">
      <w:pPr>
        <w:pStyle w:val="11"/>
        <w:rPr>
          <w:color w:val="000000"/>
        </w:rPr>
      </w:pPr>
      <w:r>
        <w:rPr>
          <w:color w:val="000000"/>
        </w:rPr>
        <w:t>1. 供应商应提交施工进度计划，说明按竞争性磋商文件要求的工期进行施工的各个关键日期。中标的供应商还应按合同条件有关条款的要求提交详细的施工进度计划。</w:t>
      </w:r>
    </w:p>
    <w:p w14:paraId="4088EABE">
      <w:pPr>
        <w:pStyle w:val="11"/>
        <w:rPr>
          <w:color w:val="000000"/>
        </w:rPr>
      </w:pPr>
      <w:r>
        <w:rPr>
          <w:color w:val="000000"/>
        </w:rPr>
        <w:t>2. 施工进度计划可采用网络图（或横道图）表示，说明计划开工日期和各分项工程各阶段的完工日期和分包合同签订的日期。</w:t>
      </w:r>
    </w:p>
    <w:p w14:paraId="1E358D9C">
      <w:pPr>
        <w:pStyle w:val="11"/>
        <w:rPr>
          <w:color w:val="000000"/>
        </w:rPr>
      </w:pPr>
      <w:r>
        <w:rPr>
          <w:color w:val="000000"/>
        </w:rPr>
        <w:t>3. 施工进度计划应与施工组织设计相适应。</w:t>
      </w:r>
    </w:p>
    <w:p w14:paraId="537D338F">
      <w:pPr>
        <w:spacing w:line="360" w:lineRule="auto"/>
        <w:rPr>
          <w:rFonts w:ascii="宋体" w:hAnsi="宋体"/>
          <w:color w:val="000000"/>
        </w:rPr>
      </w:pPr>
    </w:p>
    <w:p w14:paraId="71D28803">
      <w:pPr>
        <w:pStyle w:val="40"/>
        <w:outlineLvl w:val="1"/>
      </w:pPr>
      <w:r>
        <w:t>附表五：临时用地表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ascii="宋体" w:hAnsi="宋体"/>
                <w:color w:val="000000"/>
              </w:rPr>
            </w:pPr>
            <w:r>
              <w:rPr>
                <w:rFonts w:ascii="宋体" w:hAnsi="宋体"/>
                <w:color w:val="000000"/>
                <w:szCs w:val="21"/>
              </w:rPr>
              <w:t>用途</w:t>
            </w:r>
          </w:p>
        </w:tc>
        <w:tc>
          <w:tcPr>
            <w:tcW w:w="1250" w:type="pct"/>
            <w:noWrap w:val="0"/>
            <w:vAlign w:val="center"/>
          </w:tcPr>
          <w:p w14:paraId="5F23741E">
            <w:pPr>
              <w:spacing w:line="360" w:lineRule="auto"/>
              <w:jc w:val="center"/>
              <w:rPr>
                <w:rFonts w:ascii="宋体" w:hAnsi="宋体"/>
                <w:color w:val="000000"/>
              </w:rPr>
            </w:pPr>
            <w:r>
              <w:rPr>
                <w:rFonts w:ascii="宋体" w:hAnsi="宋体"/>
                <w:color w:val="000000"/>
                <w:szCs w:val="21"/>
              </w:rPr>
              <w:t>面积（平方米）</w:t>
            </w:r>
          </w:p>
        </w:tc>
        <w:tc>
          <w:tcPr>
            <w:tcW w:w="1250" w:type="pct"/>
            <w:noWrap w:val="0"/>
            <w:vAlign w:val="center"/>
          </w:tcPr>
          <w:p w14:paraId="15E042AA">
            <w:pPr>
              <w:spacing w:line="360" w:lineRule="auto"/>
              <w:jc w:val="center"/>
              <w:rPr>
                <w:rFonts w:ascii="宋体" w:hAnsi="宋体"/>
                <w:color w:val="000000"/>
              </w:rPr>
            </w:pPr>
            <w:r>
              <w:rPr>
                <w:rFonts w:ascii="宋体" w:hAnsi="宋体"/>
                <w:color w:val="000000"/>
                <w:szCs w:val="21"/>
              </w:rPr>
              <w:t>位置</w:t>
            </w:r>
          </w:p>
        </w:tc>
        <w:tc>
          <w:tcPr>
            <w:tcW w:w="1250" w:type="pct"/>
            <w:noWrap w:val="0"/>
            <w:vAlign w:val="center"/>
          </w:tcPr>
          <w:p w14:paraId="6F81E8DB">
            <w:pPr>
              <w:spacing w:line="360" w:lineRule="auto"/>
              <w:jc w:val="center"/>
              <w:rPr>
                <w:rFonts w:ascii="宋体" w:hAnsi="宋体"/>
                <w:color w:val="000000"/>
              </w:rPr>
            </w:pPr>
            <w:r>
              <w:rPr>
                <w:rFonts w:ascii="宋体" w:hAnsi="宋体"/>
                <w:color w:val="000000"/>
                <w:szCs w:val="21"/>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ascii="宋体" w:hAnsi="宋体"/>
                <w:color w:val="000000"/>
              </w:rPr>
            </w:pPr>
          </w:p>
        </w:tc>
        <w:tc>
          <w:tcPr>
            <w:tcW w:w="1250" w:type="pct"/>
            <w:noWrap w:val="0"/>
            <w:vAlign w:val="top"/>
          </w:tcPr>
          <w:p w14:paraId="063F3C7A">
            <w:pPr>
              <w:spacing w:line="360" w:lineRule="auto"/>
              <w:rPr>
                <w:rFonts w:ascii="宋体" w:hAnsi="宋体"/>
                <w:color w:val="000000"/>
              </w:rPr>
            </w:pPr>
          </w:p>
        </w:tc>
        <w:tc>
          <w:tcPr>
            <w:tcW w:w="1250" w:type="pct"/>
            <w:noWrap w:val="0"/>
            <w:vAlign w:val="top"/>
          </w:tcPr>
          <w:p w14:paraId="7A04E8D4">
            <w:pPr>
              <w:spacing w:line="360" w:lineRule="auto"/>
              <w:rPr>
                <w:rFonts w:ascii="宋体" w:hAnsi="宋体"/>
                <w:color w:val="000000"/>
              </w:rPr>
            </w:pPr>
          </w:p>
        </w:tc>
        <w:tc>
          <w:tcPr>
            <w:tcW w:w="1250" w:type="pct"/>
            <w:noWrap w:val="0"/>
            <w:vAlign w:val="top"/>
          </w:tcPr>
          <w:p w14:paraId="39F984F0">
            <w:pPr>
              <w:spacing w:line="360" w:lineRule="auto"/>
              <w:rPr>
                <w:rFonts w:ascii="宋体" w:hAnsi="宋体"/>
                <w:color w:val="000000"/>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ascii="宋体" w:hAnsi="宋体"/>
                <w:color w:val="000000"/>
              </w:rPr>
            </w:pPr>
          </w:p>
        </w:tc>
        <w:tc>
          <w:tcPr>
            <w:tcW w:w="1250" w:type="pct"/>
            <w:noWrap w:val="0"/>
            <w:vAlign w:val="top"/>
          </w:tcPr>
          <w:p w14:paraId="283A653C">
            <w:pPr>
              <w:spacing w:line="360" w:lineRule="auto"/>
              <w:rPr>
                <w:rFonts w:ascii="宋体" w:hAnsi="宋体"/>
                <w:color w:val="000000"/>
              </w:rPr>
            </w:pPr>
          </w:p>
        </w:tc>
        <w:tc>
          <w:tcPr>
            <w:tcW w:w="1250" w:type="pct"/>
            <w:noWrap w:val="0"/>
            <w:vAlign w:val="top"/>
          </w:tcPr>
          <w:p w14:paraId="294BD223">
            <w:pPr>
              <w:spacing w:line="360" w:lineRule="auto"/>
              <w:rPr>
                <w:rFonts w:ascii="宋体" w:hAnsi="宋体"/>
                <w:color w:val="000000"/>
              </w:rPr>
            </w:pPr>
          </w:p>
        </w:tc>
        <w:tc>
          <w:tcPr>
            <w:tcW w:w="1250" w:type="pct"/>
            <w:noWrap w:val="0"/>
            <w:vAlign w:val="top"/>
          </w:tcPr>
          <w:p w14:paraId="33ED2681">
            <w:pPr>
              <w:spacing w:line="360" w:lineRule="auto"/>
              <w:rPr>
                <w:rFonts w:ascii="宋体" w:hAnsi="宋体"/>
                <w:color w:val="000000"/>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ascii="宋体" w:hAnsi="宋体"/>
                <w:color w:val="000000"/>
              </w:rPr>
            </w:pPr>
          </w:p>
        </w:tc>
        <w:tc>
          <w:tcPr>
            <w:tcW w:w="1250" w:type="pct"/>
            <w:noWrap w:val="0"/>
            <w:vAlign w:val="top"/>
          </w:tcPr>
          <w:p w14:paraId="7E8C7AA8">
            <w:pPr>
              <w:spacing w:line="360" w:lineRule="auto"/>
              <w:rPr>
                <w:rFonts w:ascii="宋体" w:hAnsi="宋体"/>
                <w:color w:val="000000"/>
              </w:rPr>
            </w:pPr>
          </w:p>
        </w:tc>
        <w:tc>
          <w:tcPr>
            <w:tcW w:w="1250" w:type="pct"/>
            <w:noWrap w:val="0"/>
            <w:vAlign w:val="top"/>
          </w:tcPr>
          <w:p w14:paraId="55232EB6">
            <w:pPr>
              <w:spacing w:line="360" w:lineRule="auto"/>
              <w:rPr>
                <w:rFonts w:ascii="宋体" w:hAnsi="宋体"/>
                <w:color w:val="000000"/>
              </w:rPr>
            </w:pPr>
          </w:p>
        </w:tc>
        <w:tc>
          <w:tcPr>
            <w:tcW w:w="1250" w:type="pct"/>
            <w:noWrap w:val="0"/>
            <w:vAlign w:val="top"/>
          </w:tcPr>
          <w:p w14:paraId="60E965DD">
            <w:pPr>
              <w:spacing w:line="360" w:lineRule="auto"/>
              <w:rPr>
                <w:rFonts w:ascii="宋体" w:hAnsi="宋体"/>
                <w:color w:val="000000"/>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ascii="宋体" w:hAnsi="宋体"/>
                <w:color w:val="000000"/>
              </w:rPr>
            </w:pPr>
          </w:p>
        </w:tc>
        <w:tc>
          <w:tcPr>
            <w:tcW w:w="1250" w:type="pct"/>
            <w:noWrap w:val="0"/>
            <w:vAlign w:val="top"/>
          </w:tcPr>
          <w:p w14:paraId="6EACDAB0">
            <w:pPr>
              <w:spacing w:line="360" w:lineRule="auto"/>
              <w:rPr>
                <w:rFonts w:ascii="宋体" w:hAnsi="宋体"/>
                <w:color w:val="000000"/>
              </w:rPr>
            </w:pPr>
          </w:p>
        </w:tc>
        <w:tc>
          <w:tcPr>
            <w:tcW w:w="1250" w:type="pct"/>
            <w:noWrap w:val="0"/>
            <w:vAlign w:val="top"/>
          </w:tcPr>
          <w:p w14:paraId="3E3F817D">
            <w:pPr>
              <w:spacing w:line="360" w:lineRule="auto"/>
              <w:rPr>
                <w:rFonts w:ascii="宋体" w:hAnsi="宋体"/>
                <w:color w:val="000000"/>
              </w:rPr>
            </w:pPr>
          </w:p>
        </w:tc>
        <w:tc>
          <w:tcPr>
            <w:tcW w:w="1250" w:type="pct"/>
            <w:noWrap w:val="0"/>
            <w:vAlign w:val="top"/>
          </w:tcPr>
          <w:p w14:paraId="0F7D3103">
            <w:pPr>
              <w:spacing w:line="360" w:lineRule="auto"/>
              <w:rPr>
                <w:rFonts w:ascii="宋体" w:hAnsi="宋体"/>
                <w:color w:val="000000"/>
              </w:rPr>
            </w:pPr>
          </w:p>
        </w:tc>
      </w:tr>
    </w:tbl>
    <w:p w14:paraId="12BC753B">
      <w:pPr>
        <w:spacing w:line="360" w:lineRule="auto"/>
        <w:rPr>
          <w:rFonts w:ascii="宋体" w:hAnsi="宋体"/>
          <w:color w:val="000000"/>
        </w:rPr>
      </w:pPr>
    </w:p>
    <w:p w14:paraId="1252DFE2">
      <w:pPr>
        <w:spacing w:line="360" w:lineRule="auto"/>
        <w:rPr>
          <w:rFonts w:hint="eastAsia" w:ascii="宋体" w:hAnsi="宋体"/>
          <w:b/>
          <w:color w:val="000000"/>
          <w:sz w:val="24"/>
        </w:rPr>
      </w:pPr>
      <w:r>
        <w:rPr>
          <w:rFonts w:ascii="宋体" w:hAnsi="宋体"/>
          <w:b/>
          <w:color w:val="000000"/>
          <w:sz w:val="24"/>
        </w:rPr>
        <w:br w:type="page"/>
      </w:r>
    </w:p>
    <w:p w14:paraId="0F3AF3DF">
      <w:pPr>
        <w:pStyle w:val="2"/>
        <w:numPr>
          <w:ilvl w:val="0"/>
          <w:numId w:val="62"/>
        </w:numPr>
        <w:tabs>
          <w:tab w:val="clear" w:pos="482"/>
        </w:tabs>
        <w:ind w:left="0" w:leftChars="0" w:firstLine="480" w:firstLineChars="0"/>
      </w:pPr>
      <w:r>
        <w:t>项目管理机构配备情况表</w:t>
      </w:r>
    </w:p>
    <w:p w14:paraId="48F2E836">
      <w:pPr>
        <w:pStyle w:val="3"/>
        <w:numPr>
          <w:ilvl w:val="0"/>
          <w:numId w:val="64"/>
        </w:numPr>
        <w:topLinePunct w:val="0"/>
        <w:ind w:left="0" w:leftChars="0" w:firstLine="482" w:firstLineChars="0"/>
        <w:rPr>
          <w:b/>
        </w:rPr>
      </w:pPr>
      <w:r>
        <w:t>项目管理机构配备情况表</w:t>
      </w:r>
    </w:p>
    <w:p w14:paraId="373575AF">
      <w:pPr>
        <w:pStyle w:val="33"/>
        <w:spacing w:line="360" w:lineRule="auto"/>
        <w:rPr>
          <w:rFonts w:ascii="宋体" w:hAnsi="宋体"/>
          <w:color w:val="000000"/>
          <w:u w:val="singl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22" w:hangingChars="106"/>
              <w:jc w:val="center"/>
              <w:rPr>
                <w:rFonts w:ascii="宋体" w:hAnsi="宋体"/>
                <w:color w:val="000000"/>
              </w:rPr>
            </w:pPr>
            <w:r>
              <w:rPr>
                <w:rFonts w:ascii="宋体" w:hAnsi="宋体"/>
                <w:color w:val="000000"/>
              </w:rPr>
              <w:t>岗位</w:t>
            </w:r>
          </w:p>
        </w:tc>
        <w:tc>
          <w:tcPr>
            <w:tcW w:w="442" w:type="pct"/>
            <w:vMerge w:val="restart"/>
            <w:noWrap w:val="0"/>
            <w:vAlign w:val="center"/>
          </w:tcPr>
          <w:p w14:paraId="3B45301A">
            <w:pPr>
              <w:spacing w:line="360" w:lineRule="auto"/>
              <w:ind w:left="223" w:hanging="222" w:hangingChars="106"/>
              <w:jc w:val="center"/>
              <w:rPr>
                <w:rFonts w:ascii="宋体" w:hAnsi="宋体"/>
                <w:color w:val="000000"/>
              </w:rPr>
            </w:pPr>
            <w:bookmarkStart w:id="63" w:name="_Toc251052187"/>
            <w:r>
              <w:rPr>
                <w:rFonts w:ascii="宋体" w:hAnsi="宋体"/>
                <w:color w:val="000000"/>
              </w:rPr>
              <w:t>姓名</w:t>
            </w:r>
            <w:bookmarkEnd w:id="63"/>
          </w:p>
        </w:tc>
        <w:tc>
          <w:tcPr>
            <w:tcW w:w="436" w:type="pct"/>
            <w:vMerge w:val="restart"/>
            <w:noWrap w:val="0"/>
            <w:vAlign w:val="center"/>
          </w:tcPr>
          <w:p w14:paraId="162D6062">
            <w:pPr>
              <w:spacing w:line="360" w:lineRule="auto"/>
              <w:ind w:left="223" w:hanging="222" w:hangingChars="106"/>
              <w:jc w:val="center"/>
              <w:rPr>
                <w:rFonts w:ascii="宋体" w:hAnsi="宋体"/>
                <w:color w:val="000000"/>
              </w:rPr>
            </w:pPr>
            <w:bookmarkStart w:id="64" w:name="_Toc251052188"/>
            <w:r>
              <w:rPr>
                <w:rFonts w:ascii="宋体" w:hAnsi="宋体"/>
                <w:color w:val="000000"/>
              </w:rPr>
              <w:t>职称</w:t>
            </w:r>
            <w:bookmarkEnd w:id="64"/>
          </w:p>
        </w:tc>
        <w:tc>
          <w:tcPr>
            <w:tcW w:w="2454" w:type="pct"/>
            <w:gridSpan w:val="4"/>
            <w:noWrap w:val="0"/>
            <w:vAlign w:val="center"/>
          </w:tcPr>
          <w:p w14:paraId="43626930">
            <w:pPr>
              <w:spacing w:line="360" w:lineRule="auto"/>
              <w:ind w:left="223" w:hanging="222" w:hangingChars="106"/>
              <w:jc w:val="center"/>
              <w:rPr>
                <w:rFonts w:ascii="宋体" w:hAnsi="宋体"/>
                <w:color w:val="000000"/>
              </w:rPr>
            </w:pPr>
            <w:bookmarkStart w:id="65" w:name="_Toc251052189"/>
            <w:r>
              <w:rPr>
                <w:rFonts w:ascii="宋体" w:hAnsi="宋体"/>
                <w:color w:val="000000"/>
              </w:rPr>
              <w:t>执业或职业资格证明</w:t>
            </w:r>
            <w:bookmarkEnd w:id="65"/>
          </w:p>
        </w:tc>
        <w:tc>
          <w:tcPr>
            <w:tcW w:w="1136" w:type="pct"/>
            <w:gridSpan w:val="2"/>
            <w:noWrap w:val="0"/>
            <w:vAlign w:val="center"/>
          </w:tcPr>
          <w:p w14:paraId="294D6876">
            <w:pPr>
              <w:spacing w:line="360" w:lineRule="auto"/>
              <w:ind w:left="223" w:hanging="222" w:hangingChars="106"/>
              <w:jc w:val="center"/>
              <w:rPr>
                <w:rFonts w:ascii="宋体" w:hAnsi="宋体"/>
                <w:color w:val="000000"/>
              </w:rPr>
            </w:pPr>
            <w:bookmarkStart w:id="66" w:name="_Toc251052190"/>
            <w:r>
              <w:rPr>
                <w:rFonts w:ascii="宋体" w:hAnsi="宋体"/>
                <w:color w:val="000000"/>
              </w:rPr>
              <w:t>承担完工</w:t>
            </w:r>
            <w:bookmarkEnd w:id="66"/>
            <w:bookmarkStart w:id="67" w:name="_Toc251052191"/>
            <w:r>
              <w:rPr>
                <w:rFonts w:ascii="宋体" w:hAnsi="宋体"/>
                <w:color w:val="000000"/>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22" w:hangingChars="106"/>
              <w:jc w:val="center"/>
              <w:rPr>
                <w:rFonts w:ascii="宋体" w:hAnsi="宋体"/>
                <w:color w:val="000000"/>
              </w:rPr>
            </w:pPr>
          </w:p>
        </w:tc>
        <w:tc>
          <w:tcPr>
            <w:tcW w:w="442" w:type="pct"/>
            <w:vMerge w:val="continue"/>
            <w:noWrap w:val="0"/>
            <w:vAlign w:val="center"/>
          </w:tcPr>
          <w:p w14:paraId="028791E1">
            <w:pPr>
              <w:spacing w:line="360" w:lineRule="auto"/>
              <w:ind w:left="223" w:hanging="222" w:hangingChars="106"/>
              <w:jc w:val="center"/>
              <w:rPr>
                <w:rFonts w:ascii="宋体" w:hAnsi="宋体"/>
                <w:color w:val="000000"/>
              </w:rPr>
            </w:pPr>
          </w:p>
        </w:tc>
        <w:tc>
          <w:tcPr>
            <w:tcW w:w="436" w:type="pct"/>
            <w:vMerge w:val="continue"/>
            <w:noWrap w:val="0"/>
            <w:vAlign w:val="center"/>
          </w:tcPr>
          <w:p w14:paraId="0DC8E1EB">
            <w:pPr>
              <w:spacing w:line="360" w:lineRule="auto"/>
              <w:ind w:left="223" w:hanging="222" w:hangingChars="106"/>
              <w:jc w:val="center"/>
              <w:rPr>
                <w:rFonts w:ascii="宋体" w:hAnsi="宋体"/>
                <w:color w:val="000000"/>
              </w:rPr>
            </w:pPr>
          </w:p>
        </w:tc>
        <w:tc>
          <w:tcPr>
            <w:tcW w:w="613" w:type="pct"/>
            <w:noWrap w:val="0"/>
            <w:vAlign w:val="center"/>
          </w:tcPr>
          <w:p w14:paraId="3A3C0EF4">
            <w:pPr>
              <w:spacing w:line="360" w:lineRule="auto"/>
              <w:ind w:left="223" w:hanging="222" w:hangingChars="106"/>
              <w:jc w:val="center"/>
              <w:rPr>
                <w:rFonts w:ascii="宋体" w:hAnsi="宋体"/>
                <w:color w:val="000000"/>
              </w:rPr>
            </w:pPr>
            <w:bookmarkStart w:id="68" w:name="_Toc251052192"/>
            <w:r>
              <w:rPr>
                <w:rFonts w:ascii="宋体" w:hAnsi="宋体"/>
                <w:color w:val="000000"/>
              </w:rPr>
              <w:t>证书名称</w:t>
            </w:r>
            <w:bookmarkEnd w:id="68"/>
          </w:p>
        </w:tc>
        <w:tc>
          <w:tcPr>
            <w:tcW w:w="613" w:type="pct"/>
            <w:noWrap w:val="0"/>
            <w:vAlign w:val="center"/>
          </w:tcPr>
          <w:p w14:paraId="785A610E">
            <w:pPr>
              <w:spacing w:line="360" w:lineRule="auto"/>
              <w:ind w:left="223" w:hanging="222" w:hangingChars="106"/>
              <w:jc w:val="center"/>
              <w:rPr>
                <w:rFonts w:ascii="宋体" w:hAnsi="宋体"/>
                <w:color w:val="000000"/>
              </w:rPr>
            </w:pPr>
            <w:bookmarkStart w:id="69" w:name="_Toc251052193"/>
            <w:r>
              <w:rPr>
                <w:rFonts w:ascii="宋体" w:hAnsi="宋体"/>
                <w:color w:val="000000"/>
              </w:rPr>
              <w:t>级别</w:t>
            </w:r>
            <w:bookmarkEnd w:id="69"/>
          </w:p>
        </w:tc>
        <w:tc>
          <w:tcPr>
            <w:tcW w:w="613" w:type="pct"/>
            <w:noWrap w:val="0"/>
            <w:vAlign w:val="center"/>
          </w:tcPr>
          <w:p w14:paraId="1D195C47">
            <w:pPr>
              <w:spacing w:line="360" w:lineRule="auto"/>
              <w:ind w:left="223" w:hanging="222" w:hangingChars="106"/>
              <w:jc w:val="center"/>
              <w:rPr>
                <w:rFonts w:ascii="宋体" w:hAnsi="宋体"/>
                <w:color w:val="000000"/>
              </w:rPr>
            </w:pPr>
            <w:bookmarkStart w:id="70" w:name="_Toc251052194"/>
            <w:r>
              <w:rPr>
                <w:rFonts w:ascii="宋体" w:hAnsi="宋体"/>
                <w:color w:val="000000"/>
              </w:rPr>
              <w:t>证号</w:t>
            </w:r>
            <w:bookmarkEnd w:id="70"/>
          </w:p>
        </w:tc>
        <w:tc>
          <w:tcPr>
            <w:tcW w:w="613" w:type="pct"/>
            <w:noWrap w:val="0"/>
            <w:vAlign w:val="center"/>
          </w:tcPr>
          <w:p w14:paraId="7F0C5488">
            <w:pPr>
              <w:spacing w:line="360" w:lineRule="auto"/>
              <w:ind w:left="223" w:hanging="222" w:hangingChars="106"/>
              <w:jc w:val="center"/>
              <w:rPr>
                <w:rFonts w:ascii="宋体" w:hAnsi="宋体"/>
                <w:color w:val="000000"/>
              </w:rPr>
            </w:pPr>
            <w:bookmarkStart w:id="71" w:name="_Toc251052195"/>
            <w:r>
              <w:rPr>
                <w:rFonts w:ascii="宋体" w:hAnsi="宋体"/>
                <w:color w:val="000000"/>
              </w:rPr>
              <w:t>专业</w:t>
            </w:r>
            <w:bookmarkEnd w:id="71"/>
          </w:p>
        </w:tc>
        <w:tc>
          <w:tcPr>
            <w:tcW w:w="454" w:type="pct"/>
            <w:noWrap w:val="0"/>
            <w:vAlign w:val="center"/>
          </w:tcPr>
          <w:p w14:paraId="1BC30808">
            <w:pPr>
              <w:spacing w:line="360" w:lineRule="auto"/>
              <w:ind w:left="223" w:hanging="222" w:hangingChars="106"/>
              <w:jc w:val="center"/>
              <w:rPr>
                <w:rFonts w:ascii="宋体" w:hAnsi="宋体"/>
                <w:color w:val="000000"/>
              </w:rPr>
            </w:pPr>
            <w:bookmarkStart w:id="72" w:name="_Toc251052197"/>
            <w:r>
              <w:rPr>
                <w:rFonts w:ascii="宋体" w:hAnsi="宋体"/>
                <w:color w:val="000000"/>
              </w:rPr>
              <w:t>项目数</w:t>
            </w:r>
            <w:bookmarkEnd w:id="72"/>
          </w:p>
        </w:tc>
        <w:tc>
          <w:tcPr>
            <w:tcW w:w="682" w:type="pct"/>
            <w:noWrap w:val="0"/>
            <w:vAlign w:val="center"/>
          </w:tcPr>
          <w:p w14:paraId="7883A139">
            <w:pPr>
              <w:spacing w:line="360" w:lineRule="auto"/>
              <w:ind w:left="223" w:hanging="222" w:hangingChars="106"/>
              <w:jc w:val="center"/>
              <w:rPr>
                <w:rFonts w:ascii="宋体" w:hAnsi="宋体"/>
                <w:color w:val="000000"/>
              </w:rPr>
            </w:pPr>
            <w:bookmarkStart w:id="73" w:name="_Toc251052198"/>
            <w:r>
              <w:rPr>
                <w:rFonts w:ascii="宋体" w:hAnsi="宋体"/>
                <w:color w:val="000000"/>
              </w:rPr>
              <w:t>主要项目</w:t>
            </w:r>
          </w:p>
          <w:p w14:paraId="0DE50C0C">
            <w:pPr>
              <w:spacing w:line="360" w:lineRule="auto"/>
              <w:ind w:left="223" w:hanging="222" w:hangingChars="106"/>
              <w:jc w:val="center"/>
              <w:rPr>
                <w:rFonts w:ascii="宋体" w:hAnsi="宋体"/>
                <w:color w:val="000000"/>
              </w:rPr>
            </w:pPr>
            <w:r>
              <w:rPr>
                <w:rFonts w:ascii="宋体" w:hAnsi="宋体"/>
                <w:color w:val="000000"/>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22" w:hangingChars="106"/>
              <w:jc w:val="center"/>
              <w:rPr>
                <w:rFonts w:ascii="宋体" w:hAnsi="宋体"/>
                <w:color w:val="000000"/>
                <w:szCs w:val="21"/>
              </w:rPr>
            </w:pPr>
            <w:r>
              <w:rPr>
                <w:rFonts w:ascii="宋体" w:hAnsi="宋体"/>
                <w:color w:val="000000"/>
                <w:szCs w:val="21"/>
              </w:rPr>
              <w:t>施工员</w:t>
            </w:r>
          </w:p>
        </w:tc>
        <w:tc>
          <w:tcPr>
            <w:tcW w:w="442" w:type="pct"/>
            <w:noWrap w:val="0"/>
            <w:vAlign w:val="center"/>
          </w:tcPr>
          <w:p w14:paraId="438AF20D">
            <w:pPr>
              <w:spacing w:line="360" w:lineRule="auto"/>
              <w:ind w:left="223" w:hanging="222" w:hangingChars="106"/>
              <w:jc w:val="center"/>
              <w:rPr>
                <w:rFonts w:ascii="宋体" w:hAnsi="宋体"/>
                <w:color w:val="000000"/>
              </w:rPr>
            </w:pPr>
          </w:p>
        </w:tc>
        <w:tc>
          <w:tcPr>
            <w:tcW w:w="436" w:type="pct"/>
            <w:noWrap w:val="0"/>
            <w:vAlign w:val="center"/>
          </w:tcPr>
          <w:p w14:paraId="1EE7B02F">
            <w:pPr>
              <w:spacing w:line="360" w:lineRule="auto"/>
              <w:ind w:left="223" w:hanging="222" w:hangingChars="106"/>
              <w:jc w:val="center"/>
              <w:rPr>
                <w:rFonts w:ascii="宋体" w:hAnsi="宋体"/>
                <w:color w:val="000000"/>
              </w:rPr>
            </w:pPr>
          </w:p>
        </w:tc>
        <w:tc>
          <w:tcPr>
            <w:tcW w:w="613" w:type="pct"/>
            <w:noWrap w:val="0"/>
            <w:vAlign w:val="center"/>
          </w:tcPr>
          <w:p w14:paraId="7618EB22">
            <w:pPr>
              <w:spacing w:line="360" w:lineRule="auto"/>
              <w:ind w:left="223" w:hanging="222" w:hangingChars="106"/>
              <w:jc w:val="center"/>
              <w:rPr>
                <w:rFonts w:ascii="宋体" w:hAnsi="宋体"/>
                <w:color w:val="000000"/>
              </w:rPr>
            </w:pPr>
          </w:p>
        </w:tc>
        <w:tc>
          <w:tcPr>
            <w:tcW w:w="613" w:type="pct"/>
            <w:noWrap w:val="0"/>
            <w:vAlign w:val="center"/>
          </w:tcPr>
          <w:p w14:paraId="4716060C">
            <w:pPr>
              <w:spacing w:line="360" w:lineRule="auto"/>
              <w:ind w:left="223" w:hanging="222" w:hangingChars="106"/>
              <w:jc w:val="center"/>
              <w:rPr>
                <w:rFonts w:ascii="宋体" w:hAnsi="宋体"/>
                <w:color w:val="000000"/>
              </w:rPr>
            </w:pPr>
          </w:p>
        </w:tc>
        <w:tc>
          <w:tcPr>
            <w:tcW w:w="613" w:type="pct"/>
            <w:noWrap w:val="0"/>
            <w:vAlign w:val="center"/>
          </w:tcPr>
          <w:p w14:paraId="4D7C2743">
            <w:pPr>
              <w:spacing w:line="360" w:lineRule="auto"/>
              <w:ind w:left="223" w:hanging="222" w:hangingChars="106"/>
              <w:jc w:val="center"/>
              <w:rPr>
                <w:rFonts w:ascii="宋体" w:hAnsi="宋体"/>
                <w:color w:val="000000"/>
              </w:rPr>
            </w:pPr>
          </w:p>
        </w:tc>
        <w:tc>
          <w:tcPr>
            <w:tcW w:w="613" w:type="pct"/>
            <w:noWrap w:val="0"/>
            <w:vAlign w:val="center"/>
          </w:tcPr>
          <w:p w14:paraId="666972B6">
            <w:pPr>
              <w:spacing w:line="360" w:lineRule="auto"/>
              <w:ind w:left="223" w:hanging="222" w:hangingChars="106"/>
              <w:jc w:val="center"/>
              <w:rPr>
                <w:rFonts w:ascii="宋体" w:hAnsi="宋体"/>
                <w:color w:val="000000"/>
              </w:rPr>
            </w:pPr>
          </w:p>
        </w:tc>
        <w:tc>
          <w:tcPr>
            <w:tcW w:w="454" w:type="pct"/>
            <w:noWrap w:val="0"/>
            <w:vAlign w:val="center"/>
          </w:tcPr>
          <w:p w14:paraId="087BABFC">
            <w:pPr>
              <w:spacing w:line="360" w:lineRule="auto"/>
              <w:ind w:left="223" w:hanging="222" w:hangingChars="106"/>
              <w:jc w:val="center"/>
              <w:rPr>
                <w:rFonts w:ascii="宋体" w:hAnsi="宋体"/>
                <w:color w:val="000000"/>
              </w:rPr>
            </w:pPr>
          </w:p>
        </w:tc>
        <w:tc>
          <w:tcPr>
            <w:tcW w:w="682" w:type="pct"/>
            <w:noWrap w:val="0"/>
            <w:vAlign w:val="center"/>
          </w:tcPr>
          <w:p w14:paraId="52BDAE0C">
            <w:pPr>
              <w:spacing w:line="360" w:lineRule="auto"/>
              <w:ind w:left="223" w:hanging="222" w:hangingChars="106"/>
              <w:jc w:val="center"/>
              <w:rPr>
                <w:rFonts w:ascii="宋体" w:hAnsi="宋体"/>
                <w:color w:val="000000"/>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22" w:hangingChars="106"/>
              <w:jc w:val="center"/>
              <w:rPr>
                <w:rFonts w:ascii="宋体" w:hAnsi="宋体"/>
                <w:color w:val="000000"/>
                <w:szCs w:val="21"/>
              </w:rPr>
            </w:pPr>
            <w:r>
              <w:rPr>
                <w:rFonts w:ascii="宋体" w:hAnsi="宋体"/>
                <w:color w:val="000000"/>
                <w:szCs w:val="21"/>
              </w:rPr>
              <w:t>质量员</w:t>
            </w:r>
          </w:p>
        </w:tc>
        <w:tc>
          <w:tcPr>
            <w:tcW w:w="442" w:type="pct"/>
            <w:noWrap w:val="0"/>
            <w:vAlign w:val="center"/>
          </w:tcPr>
          <w:p w14:paraId="74A98F7D">
            <w:pPr>
              <w:spacing w:line="360" w:lineRule="auto"/>
              <w:ind w:left="223" w:hanging="222" w:hangingChars="106"/>
              <w:jc w:val="center"/>
              <w:rPr>
                <w:rFonts w:ascii="宋体" w:hAnsi="宋体"/>
                <w:color w:val="000000"/>
              </w:rPr>
            </w:pPr>
          </w:p>
        </w:tc>
        <w:tc>
          <w:tcPr>
            <w:tcW w:w="436" w:type="pct"/>
            <w:noWrap w:val="0"/>
            <w:vAlign w:val="center"/>
          </w:tcPr>
          <w:p w14:paraId="2628E84C">
            <w:pPr>
              <w:spacing w:line="360" w:lineRule="auto"/>
              <w:ind w:left="223" w:hanging="222" w:hangingChars="106"/>
              <w:jc w:val="center"/>
              <w:rPr>
                <w:rFonts w:ascii="宋体" w:hAnsi="宋体"/>
                <w:color w:val="000000"/>
              </w:rPr>
            </w:pPr>
          </w:p>
        </w:tc>
        <w:tc>
          <w:tcPr>
            <w:tcW w:w="613" w:type="pct"/>
            <w:noWrap w:val="0"/>
            <w:vAlign w:val="center"/>
          </w:tcPr>
          <w:p w14:paraId="0692353B">
            <w:pPr>
              <w:spacing w:line="360" w:lineRule="auto"/>
              <w:ind w:left="223" w:hanging="222" w:hangingChars="106"/>
              <w:jc w:val="center"/>
              <w:rPr>
                <w:rFonts w:ascii="宋体" w:hAnsi="宋体"/>
                <w:color w:val="000000"/>
              </w:rPr>
            </w:pPr>
          </w:p>
        </w:tc>
        <w:tc>
          <w:tcPr>
            <w:tcW w:w="613" w:type="pct"/>
            <w:noWrap w:val="0"/>
            <w:vAlign w:val="center"/>
          </w:tcPr>
          <w:p w14:paraId="3355473B">
            <w:pPr>
              <w:spacing w:line="360" w:lineRule="auto"/>
              <w:ind w:left="223" w:hanging="222" w:hangingChars="106"/>
              <w:jc w:val="center"/>
              <w:rPr>
                <w:rFonts w:ascii="宋体" w:hAnsi="宋体"/>
                <w:color w:val="000000"/>
              </w:rPr>
            </w:pPr>
          </w:p>
        </w:tc>
        <w:tc>
          <w:tcPr>
            <w:tcW w:w="613" w:type="pct"/>
            <w:noWrap w:val="0"/>
            <w:vAlign w:val="center"/>
          </w:tcPr>
          <w:p w14:paraId="7B43A63F">
            <w:pPr>
              <w:spacing w:line="360" w:lineRule="auto"/>
              <w:ind w:left="223" w:hanging="222" w:hangingChars="106"/>
              <w:jc w:val="center"/>
              <w:rPr>
                <w:rFonts w:ascii="宋体" w:hAnsi="宋体"/>
                <w:color w:val="000000"/>
              </w:rPr>
            </w:pPr>
          </w:p>
        </w:tc>
        <w:tc>
          <w:tcPr>
            <w:tcW w:w="613" w:type="pct"/>
            <w:noWrap w:val="0"/>
            <w:vAlign w:val="center"/>
          </w:tcPr>
          <w:p w14:paraId="1291D614">
            <w:pPr>
              <w:spacing w:line="360" w:lineRule="auto"/>
              <w:ind w:left="223" w:hanging="222" w:hangingChars="106"/>
              <w:jc w:val="center"/>
              <w:rPr>
                <w:rFonts w:ascii="宋体" w:hAnsi="宋体"/>
                <w:color w:val="000000"/>
              </w:rPr>
            </w:pPr>
          </w:p>
        </w:tc>
        <w:tc>
          <w:tcPr>
            <w:tcW w:w="454" w:type="pct"/>
            <w:noWrap w:val="0"/>
            <w:vAlign w:val="center"/>
          </w:tcPr>
          <w:p w14:paraId="574B1890">
            <w:pPr>
              <w:spacing w:line="360" w:lineRule="auto"/>
              <w:ind w:left="223" w:hanging="222" w:hangingChars="106"/>
              <w:jc w:val="center"/>
              <w:rPr>
                <w:rFonts w:ascii="宋体" w:hAnsi="宋体"/>
                <w:color w:val="000000"/>
              </w:rPr>
            </w:pPr>
          </w:p>
        </w:tc>
        <w:tc>
          <w:tcPr>
            <w:tcW w:w="682" w:type="pct"/>
            <w:noWrap w:val="0"/>
            <w:vAlign w:val="center"/>
          </w:tcPr>
          <w:p w14:paraId="6D407F1F">
            <w:pPr>
              <w:spacing w:line="360" w:lineRule="auto"/>
              <w:ind w:left="223" w:hanging="222" w:hangingChars="106"/>
              <w:jc w:val="center"/>
              <w:rPr>
                <w:rFonts w:ascii="宋体" w:hAnsi="宋体"/>
                <w:color w:val="000000"/>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22" w:hangingChars="106"/>
              <w:jc w:val="center"/>
              <w:rPr>
                <w:rFonts w:ascii="宋体" w:hAnsi="宋体"/>
                <w:color w:val="000000"/>
                <w:szCs w:val="21"/>
              </w:rPr>
            </w:pPr>
            <w:r>
              <w:rPr>
                <w:rFonts w:ascii="宋体" w:hAnsi="宋体"/>
                <w:color w:val="000000"/>
                <w:szCs w:val="21"/>
              </w:rPr>
              <w:t>安全员</w:t>
            </w:r>
          </w:p>
        </w:tc>
        <w:tc>
          <w:tcPr>
            <w:tcW w:w="442" w:type="pct"/>
            <w:noWrap w:val="0"/>
            <w:vAlign w:val="center"/>
          </w:tcPr>
          <w:p w14:paraId="77B1C58B">
            <w:pPr>
              <w:spacing w:line="360" w:lineRule="auto"/>
              <w:ind w:left="223" w:hanging="222" w:hangingChars="106"/>
              <w:jc w:val="center"/>
              <w:rPr>
                <w:rFonts w:ascii="宋体" w:hAnsi="宋体"/>
                <w:color w:val="000000"/>
              </w:rPr>
            </w:pPr>
          </w:p>
        </w:tc>
        <w:tc>
          <w:tcPr>
            <w:tcW w:w="436" w:type="pct"/>
            <w:noWrap w:val="0"/>
            <w:vAlign w:val="center"/>
          </w:tcPr>
          <w:p w14:paraId="1935E5A3">
            <w:pPr>
              <w:spacing w:line="360" w:lineRule="auto"/>
              <w:ind w:left="223" w:hanging="222" w:hangingChars="106"/>
              <w:jc w:val="center"/>
              <w:rPr>
                <w:rFonts w:ascii="宋体" w:hAnsi="宋体"/>
                <w:color w:val="000000"/>
              </w:rPr>
            </w:pPr>
          </w:p>
        </w:tc>
        <w:tc>
          <w:tcPr>
            <w:tcW w:w="613" w:type="pct"/>
            <w:noWrap w:val="0"/>
            <w:vAlign w:val="center"/>
          </w:tcPr>
          <w:p w14:paraId="668F69D7">
            <w:pPr>
              <w:spacing w:line="360" w:lineRule="auto"/>
              <w:ind w:left="223" w:hanging="222" w:hangingChars="106"/>
              <w:jc w:val="center"/>
              <w:rPr>
                <w:rFonts w:ascii="宋体" w:hAnsi="宋体"/>
                <w:color w:val="000000"/>
              </w:rPr>
            </w:pPr>
          </w:p>
        </w:tc>
        <w:tc>
          <w:tcPr>
            <w:tcW w:w="613" w:type="pct"/>
            <w:noWrap w:val="0"/>
            <w:vAlign w:val="center"/>
          </w:tcPr>
          <w:p w14:paraId="3CD0CD00">
            <w:pPr>
              <w:spacing w:line="360" w:lineRule="auto"/>
              <w:ind w:left="223" w:hanging="222" w:hangingChars="106"/>
              <w:jc w:val="center"/>
              <w:rPr>
                <w:rFonts w:ascii="宋体" w:hAnsi="宋体"/>
                <w:color w:val="000000"/>
              </w:rPr>
            </w:pPr>
          </w:p>
        </w:tc>
        <w:tc>
          <w:tcPr>
            <w:tcW w:w="613" w:type="pct"/>
            <w:noWrap w:val="0"/>
            <w:vAlign w:val="center"/>
          </w:tcPr>
          <w:p w14:paraId="2720ECE2">
            <w:pPr>
              <w:spacing w:line="360" w:lineRule="auto"/>
              <w:ind w:left="223" w:hanging="222" w:hangingChars="106"/>
              <w:jc w:val="center"/>
              <w:rPr>
                <w:rFonts w:ascii="宋体" w:hAnsi="宋体"/>
                <w:color w:val="000000"/>
              </w:rPr>
            </w:pPr>
          </w:p>
        </w:tc>
        <w:tc>
          <w:tcPr>
            <w:tcW w:w="613" w:type="pct"/>
            <w:noWrap w:val="0"/>
            <w:vAlign w:val="center"/>
          </w:tcPr>
          <w:p w14:paraId="6CDB0C91">
            <w:pPr>
              <w:spacing w:line="360" w:lineRule="auto"/>
              <w:ind w:left="223" w:hanging="222" w:hangingChars="106"/>
              <w:jc w:val="center"/>
              <w:rPr>
                <w:rFonts w:ascii="宋体" w:hAnsi="宋体"/>
                <w:color w:val="000000"/>
              </w:rPr>
            </w:pPr>
          </w:p>
        </w:tc>
        <w:tc>
          <w:tcPr>
            <w:tcW w:w="454" w:type="pct"/>
            <w:noWrap w:val="0"/>
            <w:vAlign w:val="center"/>
          </w:tcPr>
          <w:p w14:paraId="7D13D200">
            <w:pPr>
              <w:spacing w:line="360" w:lineRule="auto"/>
              <w:ind w:left="223" w:hanging="222" w:hangingChars="106"/>
              <w:jc w:val="center"/>
              <w:rPr>
                <w:rFonts w:ascii="宋体" w:hAnsi="宋体"/>
                <w:color w:val="000000"/>
              </w:rPr>
            </w:pPr>
          </w:p>
        </w:tc>
        <w:tc>
          <w:tcPr>
            <w:tcW w:w="682" w:type="pct"/>
            <w:noWrap w:val="0"/>
            <w:vAlign w:val="center"/>
          </w:tcPr>
          <w:p w14:paraId="0E949CE0">
            <w:pPr>
              <w:spacing w:line="360" w:lineRule="auto"/>
              <w:ind w:left="223" w:hanging="222" w:hangingChars="106"/>
              <w:jc w:val="center"/>
              <w:rPr>
                <w:rFonts w:ascii="宋体" w:hAnsi="宋体"/>
                <w:color w:val="000000"/>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22" w:hangingChars="106"/>
              <w:jc w:val="center"/>
              <w:rPr>
                <w:rFonts w:ascii="宋体" w:hAnsi="宋体"/>
                <w:color w:val="000000"/>
                <w:szCs w:val="21"/>
              </w:rPr>
            </w:pPr>
          </w:p>
        </w:tc>
        <w:tc>
          <w:tcPr>
            <w:tcW w:w="442" w:type="pct"/>
            <w:noWrap w:val="0"/>
            <w:vAlign w:val="center"/>
          </w:tcPr>
          <w:p w14:paraId="52A4FC65">
            <w:pPr>
              <w:spacing w:line="360" w:lineRule="auto"/>
              <w:ind w:left="223" w:hanging="222" w:hangingChars="106"/>
              <w:jc w:val="center"/>
              <w:rPr>
                <w:rFonts w:ascii="宋体" w:hAnsi="宋体"/>
                <w:color w:val="000000"/>
              </w:rPr>
            </w:pPr>
          </w:p>
        </w:tc>
        <w:tc>
          <w:tcPr>
            <w:tcW w:w="436" w:type="pct"/>
            <w:noWrap w:val="0"/>
            <w:vAlign w:val="center"/>
          </w:tcPr>
          <w:p w14:paraId="047B1F5A">
            <w:pPr>
              <w:spacing w:line="360" w:lineRule="auto"/>
              <w:ind w:left="223" w:hanging="222" w:hangingChars="106"/>
              <w:jc w:val="center"/>
              <w:rPr>
                <w:rFonts w:ascii="宋体" w:hAnsi="宋体"/>
                <w:color w:val="000000"/>
              </w:rPr>
            </w:pPr>
          </w:p>
        </w:tc>
        <w:tc>
          <w:tcPr>
            <w:tcW w:w="613" w:type="pct"/>
            <w:noWrap w:val="0"/>
            <w:vAlign w:val="center"/>
          </w:tcPr>
          <w:p w14:paraId="451B6C03">
            <w:pPr>
              <w:spacing w:line="360" w:lineRule="auto"/>
              <w:ind w:left="223" w:hanging="222" w:hangingChars="106"/>
              <w:jc w:val="center"/>
              <w:rPr>
                <w:rFonts w:ascii="宋体" w:hAnsi="宋体"/>
                <w:color w:val="000000"/>
              </w:rPr>
            </w:pPr>
          </w:p>
        </w:tc>
        <w:tc>
          <w:tcPr>
            <w:tcW w:w="613" w:type="pct"/>
            <w:noWrap w:val="0"/>
            <w:vAlign w:val="center"/>
          </w:tcPr>
          <w:p w14:paraId="0A68D039">
            <w:pPr>
              <w:spacing w:line="360" w:lineRule="auto"/>
              <w:ind w:left="223" w:hanging="222" w:hangingChars="106"/>
              <w:jc w:val="center"/>
              <w:rPr>
                <w:rFonts w:ascii="宋体" w:hAnsi="宋体"/>
                <w:color w:val="000000"/>
              </w:rPr>
            </w:pPr>
          </w:p>
        </w:tc>
        <w:tc>
          <w:tcPr>
            <w:tcW w:w="613" w:type="pct"/>
            <w:noWrap w:val="0"/>
            <w:vAlign w:val="center"/>
          </w:tcPr>
          <w:p w14:paraId="02FEE238">
            <w:pPr>
              <w:spacing w:line="360" w:lineRule="auto"/>
              <w:ind w:left="223" w:hanging="222" w:hangingChars="106"/>
              <w:jc w:val="center"/>
              <w:rPr>
                <w:rFonts w:ascii="宋体" w:hAnsi="宋体"/>
                <w:color w:val="000000"/>
              </w:rPr>
            </w:pPr>
          </w:p>
        </w:tc>
        <w:tc>
          <w:tcPr>
            <w:tcW w:w="613" w:type="pct"/>
            <w:noWrap w:val="0"/>
            <w:vAlign w:val="center"/>
          </w:tcPr>
          <w:p w14:paraId="23BD30EA">
            <w:pPr>
              <w:spacing w:line="360" w:lineRule="auto"/>
              <w:ind w:left="223" w:hanging="222" w:hangingChars="106"/>
              <w:jc w:val="center"/>
              <w:rPr>
                <w:rFonts w:ascii="宋体" w:hAnsi="宋体"/>
                <w:color w:val="000000"/>
              </w:rPr>
            </w:pPr>
          </w:p>
        </w:tc>
        <w:tc>
          <w:tcPr>
            <w:tcW w:w="454" w:type="pct"/>
            <w:noWrap w:val="0"/>
            <w:vAlign w:val="center"/>
          </w:tcPr>
          <w:p w14:paraId="5924D5C8">
            <w:pPr>
              <w:spacing w:line="360" w:lineRule="auto"/>
              <w:ind w:left="223" w:hanging="222" w:hangingChars="106"/>
              <w:jc w:val="center"/>
              <w:rPr>
                <w:rFonts w:ascii="宋体" w:hAnsi="宋体"/>
                <w:color w:val="000000"/>
              </w:rPr>
            </w:pPr>
          </w:p>
        </w:tc>
        <w:tc>
          <w:tcPr>
            <w:tcW w:w="682" w:type="pct"/>
            <w:noWrap w:val="0"/>
            <w:vAlign w:val="center"/>
          </w:tcPr>
          <w:p w14:paraId="33D30A76">
            <w:pPr>
              <w:spacing w:line="360" w:lineRule="auto"/>
              <w:ind w:left="223" w:hanging="222" w:hangingChars="106"/>
              <w:jc w:val="center"/>
              <w:rPr>
                <w:rFonts w:ascii="宋体" w:hAnsi="宋体"/>
                <w:color w:val="000000"/>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22" w:hangingChars="106"/>
              <w:jc w:val="center"/>
              <w:rPr>
                <w:rFonts w:ascii="宋体" w:hAnsi="宋体"/>
                <w:color w:val="000000"/>
                <w:szCs w:val="21"/>
              </w:rPr>
            </w:pPr>
          </w:p>
        </w:tc>
        <w:tc>
          <w:tcPr>
            <w:tcW w:w="442" w:type="pct"/>
            <w:noWrap w:val="0"/>
            <w:vAlign w:val="center"/>
          </w:tcPr>
          <w:p w14:paraId="4BC01100">
            <w:pPr>
              <w:spacing w:line="360" w:lineRule="auto"/>
              <w:ind w:left="223" w:hanging="222" w:hangingChars="106"/>
              <w:jc w:val="center"/>
              <w:rPr>
                <w:rFonts w:ascii="宋体" w:hAnsi="宋体"/>
                <w:color w:val="000000"/>
              </w:rPr>
            </w:pPr>
          </w:p>
        </w:tc>
        <w:tc>
          <w:tcPr>
            <w:tcW w:w="436" w:type="pct"/>
            <w:noWrap w:val="0"/>
            <w:vAlign w:val="center"/>
          </w:tcPr>
          <w:p w14:paraId="6CA353A4">
            <w:pPr>
              <w:spacing w:line="360" w:lineRule="auto"/>
              <w:ind w:left="223" w:hanging="222" w:hangingChars="106"/>
              <w:jc w:val="center"/>
              <w:rPr>
                <w:rFonts w:ascii="宋体" w:hAnsi="宋体"/>
                <w:color w:val="000000"/>
              </w:rPr>
            </w:pPr>
          </w:p>
        </w:tc>
        <w:tc>
          <w:tcPr>
            <w:tcW w:w="613" w:type="pct"/>
            <w:noWrap w:val="0"/>
            <w:vAlign w:val="center"/>
          </w:tcPr>
          <w:p w14:paraId="7F0EF7EA">
            <w:pPr>
              <w:spacing w:line="360" w:lineRule="auto"/>
              <w:ind w:left="223" w:hanging="222" w:hangingChars="106"/>
              <w:jc w:val="center"/>
              <w:rPr>
                <w:rFonts w:ascii="宋体" w:hAnsi="宋体"/>
                <w:color w:val="000000"/>
              </w:rPr>
            </w:pPr>
          </w:p>
        </w:tc>
        <w:tc>
          <w:tcPr>
            <w:tcW w:w="613" w:type="pct"/>
            <w:noWrap w:val="0"/>
            <w:vAlign w:val="center"/>
          </w:tcPr>
          <w:p w14:paraId="5562FD3E">
            <w:pPr>
              <w:spacing w:line="360" w:lineRule="auto"/>
              <w:ind w:left="223" w:hanging="222" w:hangingChars="106"/>
              <w:jc w:val="center"/>
              <w:rPr>
                <w:rFonts w:ascii="宋体" w:hAnsi="宋体"/>
                <w:color w:val="000000"/>
              </w:rPr>
            </w:pPr>
          </w:p>
        </w:tc>
        <w:tc>
          <w:tcPr>
            <w:tcW w:w="613" w:type="pct"/>
            <w:noWrap w:val="0"/>
            <w:vAlign w:val="center"/>
          </w:tcPr>
          <w:p w14:paraId="7215EEFF">
            <w:pPr>
              <w:spacing w:line="360" w:lineRule="auto"/>
              <w:ind w:left="223" w:hanging="222" w:hangingChars="106"/>
              <w:jc w:val="center"/>
              <w:rPr>
                <w:rFonts w:ascii="宋体" w:hAnsi="宋体"/>
                <w:color w:val="000000"/>
              </w:rPr>
            </w:pPr>
          </w:p>
        </w:tc>
        <w:tc>
          <w:tcPr>
            <w:tcW w:w="613" w:type="pct"/>
            <w:noWrap w:val="0"/>
            <w:vAlign w:val="center"/>
          </w:tcPr>
          <w:p w14:paraId="041F5B48">
            <w:pPr>
              <w:spacing w:line="360" w:lineRule="auto"/>
              <w:ind w:left="223" w:hanging="222" w:hangingChars="106"/>
              <w:jc w:val="center"/>
              <w:rPr>
                <w:rFonts w:ascii="宋体" w:hAnsi="宋体"/>
                <w:color w:val="000000"/>
              </w:rPr>
            </w:pPr>
          </w:p>
        </w:tc>
        <w:tc>
          <w:tcPr>
            <w:tcW w:w="454" w:type="pct"/>
            <w:noWrap w:val="0"/>
            <w:vAlign w:val="center"/>
          </w:tcPr>
          <w:p w14:paraId="0E42F325">
            <w:pPr>
              <w:spacing w:line="360" w:lineRule="auto"/>
              <w:ind w:left="223" w:hanging="222" w:hangingChars="106"/>
              <w:jc w:val="center"/>
              <w:rPr>
                <w:rFonts w:ascii="宋体" w:hAnsi="宋体"/>
                <w:color w:val="000000"/>
              </w:rPr>
            </w:pPr>
          </w:p>
        </w:tc>
        <w:tc>
          <w:tcPr>
            <w:tcW w:w="682" w:type="pct"/>
            <w:noWrap w:val="0"/>
            <w:vAlign w:val="center"/>
          </w:tcPr>
          <w:p w14:paraId="2193BA0C">
            <w:pPr>
              <w:spacing w:line="360" w:lineRule="auto"/>
              <w:ind w:left="223" w:hanging="222" w:hangingChars="106"/>
              <w:jc w:val="center"/>
              <w:rPr>
                <w:rFonts w:ascii="宋体" w:hAnsi="宋体"/>
                <w:color w:val="000000"/>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22" w:hangingChars="106"/>
              <w:jc w:val="center"/>
              <w:rPr>
                <w:rFonts w:ascii="宋体" w:hAnsi="宋体"/>
                <w:color w:val="000000"/>
                <w:szCs w:val="21"/>
              </w:rPr>
            </w:pPr>
            <w:r>
              <w:rPr>
                <w:rFonts w:ascii="宋体" w:hAnsi="宋体"/>
                <w:color w:val="000000"/>
                <w:szCs w:val="21"/>
              </w:rPr>
              <w:t>材料员</w:t>
            </w:r>
          </w:p>
        </w:tc>
        <w:tc>
          <w:tcPr>
            <w:tcW w:w="442" w:type="pct"/>
            <w:noWrap w:val="0"/>
            <w:vAlign w:val="center"/>
          </w:tcPr>
          <w:p w14:paraId="4C21B2CA">
            <w:pPr>
              <w:spacing w:line="360" w:lineRule="auto"/>
              <w:ind w:left="223" w:hanging="222" w:hangingChars="106"/>
              <w:jc w:val="center"/>
              <w:rPr>
                <w:rFonts w:ascii="宋体" w:hAnsi="宋体"/>
                <w:color w:val="000000"/>
              </w:rPr>
            </w:pPr>
          </w:p>
        </w:tc>
        <w:tc>
          <w:tcPr>
            <w:tcW w:w="436" w:type="pct"/>
            <w:noWrap w:val="0"/>
            <w:vAlign w:val="center"/>
          </w:tcPr>
          <w:p w14:paraId="0F73B1F9">
            <w:pPr>
              <w:spacing w:line="360" w:lineRule="auto"/>
              <w:ind w:left="223" w:hanging="222" w:hangingChars="106"/>
              <w:jc w:val="center"/>
              <w:rPr>
                <w:rFonts w:ascii="宋体" w:hAnsi="宋体"/>
                <w:color w:val="000000"/>
              </w:rPr>
            </w:pPr>
          </w:p>
        </w:tc>
        <w:tc>
          <w:tcPr>
            <w:tcW w:w="613" w:type="pct"/>
            <w:noWrap w:val="0"/>
            <w:vAlign w:val="center"/>
          </w:tcPr>
          <w:p w14:paraId="014949EF">
            <w:pPr>
              <w:spacing w:line="360" w:lineRule="auto"/>
              <w:ind w:left="223" w:hanging="222" w:hangingChars="106"/>
              <w:jc w:val="center"/>
              <w:rPr>
                <w:rFonts w:ascii="宋体" w:hAnsi="宋体"/>
                <w:color w:val="000000"/>
              </w:rPr>
            </w:pPr>
          </w:p>
        </w:tc>
        <w:tc>
          <w:tcPr>
            <w:tcW w:w="613" w:type="pct"/>
            <w:noWrap w:val="0"/>
            <w:vAlign w:val="center"/>
          </w:tcPr>
          <w:p w14:paraId="72C1E5B7">
            <w:pPr>
              <w:spacing w:line="360" w:lineRule="auto"/>
              <w:ind w:left="223" w:hanging="222" w:hangingChars="106"/>
              <w:jc w:val="center"/>
              <w:rPr>
                <w:rFonts w:ascii="宋体" w:hAnsi="宋体"/>
                <w:color w:val="000000"/>
              </w:rPr>
            </w:pPr>
          </w:p>
        </w:tc>
        <w:tc>
          <w:tcPr>
            <w:tcW w:w="613" w:type="pct"/>
            <w:noWrap w:val="0"/>
            <w:vAlign w:val="center"/>
          </w:tcPr>
          <w:p w14:paraId="447D92BC">
            <w:pPr>
              <w:spacing w:line="360" w:lineRule="auto"/>
              <w:ind w:left="223" w:hanging="222" w:hangingChars="106"/>
              <w:jc w:val="center"/>
              <w:rPr>
                <w:rFonts w:ascii="宋体" w:hAnsi="宋体"/>
                <w:color w:val="000000"/>
              </w:rPr>
            </w:pPr>
          </w:p>
        </w:tc>
        <w:tc>
          <w:tcPr>
            <w:tcW w:w="613" w:type="pct"/>
            <w:noWrap w:val="0"/>
            <w:vAlign w:val="center"/>
          </w:tcPr>
          <w:p w14:paraId="5BC8DBA6">
            <w:pPr>
              <w:spacing w:line="360" w:lineRule="auto"/>
              <w:ind w:left="223" w:hanging="222" w:hangingChars="106"/>
              <w:jc w:val="center"/>
              <w:rPr>
                <w:rFonts w:ascii="宋体" w:hAnsi="宋体"/>
                <w:color w:val="000000"/>
              </w:rPr>
            </w:pPr>
          </w:p>
        </w:tc>
        <w:tc>
          <w:tcPr>
            <w:tcW w:w="454" w:type="pct"/>
            <w:noWrap w:val="0"/>
            <w:vAlign w:val="center"/>
          </w:tcPr>
          <w:p w14:paraId="25F85C17">
            <w:pPr>
              <w:spacing w:line="360" w:lineRule="auto"/>
              <w:ind w:left="223" w:hanging="222" w:hangingChars="106"/>
              <w:jc w:val="center"/>
              <w:rPr>
                <w:rFonts w:ascii="宋体" w:hAnsi="宋体"/>
                <w:color w:val="000000"/>
              </w:rPr>
            </w:pPr>
          </w:p>
        </w:tc>
        <w:tc>
          <w:tcPr>
            <w:tcW w:w="682" w:type="pct"/>
            <w:noWrap w:val="0"/>
            <w:vAlign w:val="center"/>
          </w:tcPr>
          <w:p w14:paraId="27F6C878">
            <w:pPr>
              <w:spacing w:line="360" w:lineRule="auto"/>
              <w:ind w:left="223" w:hanging="222" w:hangingChars="106"/>
              <w:jc w:val="center"/>
              <w:rPr>
                <w:rFonts w:ascii="宋体" w:hAnsi="宋体"/>
                <w:color w:val="000000"/>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22" w:hangingChars="106"/>
              <w:jc w:val="center"/>
              <w:rPr>
                <w:rFonts w:hint="default" w:ascii="宋体" w:hAnsi="宋体" w:eastAsia="宋体"/>
                <w:color w:val="000000"/>
                <w:szCs w:val="21"/>
                <w:lang w:val="en-US" w:eastAsia="zh-CN"/>
              </w:rPr>
            </w:pPr>
            <w:r>
              <w:rPr>
                <w:rFonts w:hint="eastAsia" w:ascii="宋体" w:hAnsi="宋体"/>
                <w:color w:val="000000"/>
                <w:szCs w:val="21"/>
                <w:lang w:val="en-US" w:eastAsia="zh-CN"/>
              </w:rPr>
              <w:t>造价员</w:t>
            </w:r>
          </w:p>
        </w:tc>
        <w:tc>
          <w:tcPr>
            <w:tcW w:w="442" w:type="pct"/>
            <w:noWrap w:val="0"/>
            <w:vAlign w:val="center"/>
          </w:tcPr>
          <w:p w14:paraId="05FFC930">
            <w:pPr>
              <w:spacing w:line="360" w:lineRule="auto"/>
              <w:ind w:left="223" w:hanging="222" w:hangingChars="106"/>
              <w:jc w:val="center"/>
              <w:rPr>
                <w:rFonts w:ascii="宋体" w:hAnsi="宋体"/>
                <w:color w:val="000000"/>
              </w:rPr>
            </w:pPr>
          </w:p>
        </w:tc>
        <w:tc>
          <w:tcPr>
            <w:tcW w:w="436" w:type="pct"/>
            <w:noWrap w:val="0"/>
            <w:vAlign w:val="center"/>
          </w:tcPr>
          <w:p w14:paraId="2B1D3323">
            <w:pPr>
              <w:spacing w:line="360" w:lineRule="auto"/>
              <w:ind w:left="223" w:hanging="222" w:hangingChars="106"/>
              <w:jc w:val="center"/>
              <w:rPr>
                <w:rFonts w:ascii="宋体" w:hAnsi="宋体"/>
                <w:color w:val="000000"/>
              </w:rPr>
            </w:pPr>
          </w:p>
        </w:tc>
        <w:tc>
          <w:tcPr>
            <w:tcW w:w="613" w:type="pct"/>
            <w:noWrap w:val="0"/>
            <w:vAlign w:val="center"/>
          </w:tcPr>
          <w:p w14:paraId="1911912E">
            <w:pPr>
              <w:spacing w:line="360" w:lineRule="auto"/>
              <w:ind w:left="223" w:hanging="222" w:hangingChars="106"/>
              <w:jc w:val="center"/>
              <w:rPr>
                <w:rFonts w:ascii="宋体" w:hAnsi="宋体"/>
                <w:color w:val="000000"/>
              </w:rPr>
            </w:pPr>
          </w:p>
        </w:tc>
        <w:tc>
          <w:tcPr>
            <w:tcW w:w="613" w:type="pct"/>
            <w:noWrap w:val="0"/>
            <w:vAlign w:val="center"/>
          </w:tcPr>
          <w:p w14:paraId="20FF3FE3">
            <w:pPr>
              <w:spacing w:line="360" w:lineRule="auto"/>
              <w:ind w:left="223" w:hanging="222" w:hangingChars="106"/>
              <w:jc w:val="center"/>
              <w:rPr>
                <w:rFonts w:ascii="宋体" w:hAnsi="宋体"/>
                <w:color w:val="000000"/>
              </w:rPr>
            </w:pPr>
          </w:p>
        </w:tc>
        <w:tc>
          <w:tcPr>
            <w:tcW w:w="613" w:type="pct"/>
            <w:noWrap w:val="0"/>
            <w:vAlign w:val="center"/>
          </w:tcPr>
          <w:p w14:paraId="3148A3FA">
            <w:pPr>
              <w:spacing w:line="360" w:lineRule="auto"/>
              <w:ind w:left="223" w:hanging="222" w:hangingChars="106"/>
              <w:jc w:val="center"/>
              <w:rPr>
                <w:rFonts w:ascii="宋体" w:hAnsi="宋体"/>
                <w:color w:val="000000"/>
              </w:rPr>
            </w:pPr>
          </w:p>
        </w:tc>
        <w:tc>
          <w:tcPr>
            <w:tcW w:w="613" w:type="pct"/>
            <w:noWrap w:val="0"/>
            <w:vAlign w:val="center"/>
          </w:tcPr>
          <w:p w14:paraId="41F2E947">
            <w:pPr>
              <w:spacing w:line="360" w:lineRule="auto"/>
              <w:ind w:left="223" w:hanging="222" w:hangingChars="106"/>
              <w:jc w:val="center"/>
              <w:rPr>
                <w:rFonts w:ascii="宋体" w:hAnsi="宋体"/>
                <w:color w:val="000000"/>
              </w:rPr>
            </w:pPr>
          </w:p>
        </w:tc>
        <w:tc>
          <w:tcPr>
            <w:tcW w:w="454" w:type="pct"/>
            <w:noWrap w:val="0"/>
            <w:vAlign w:val="center"/>
          </w:tcPr>
          <w:p w14:paraId="0AC4783E">
            <w:pPr>
              <w:spacing w:line="360" w:lineRule="auto"/>
              <w:ind w:left="223" w:hanging="222" w:hangingChars="106"/>
              <w:jc w:val="center"/>
              <w:rPr>
                <w:rFonts w:ascii="宋体" w:hAnsi="宋体"/>
                <w:color w:val="000000"/>
              </w:rPr>
            </w:pPr>
          </w:p>
        </w:tc>
        <w:tc>
          <w:tcPr>
            <w:tcW w:w="682" w:type="pct"/>
            <w:noWrap w:val="0"/>
            <w:vAlign w:val="center"/>
          </w:tcPr>
          <w:p w14:paraId="6891EC6B">
            <w:pPr>
              <w:spacing w:line="360" w:lineRule="auto"/>
              <w:ind w:left="223" w:hanging="222" w:hangingChars="106"/>
              <w:jc w:val="center"/>
              <w:rPr>
                <w:rFonts w:ascii="宋体" w:hAnsi="宋体"/>
                <w:color w:val="000000"/>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22" w:hangingChars="106"/>
              <w:jc w:val="center"/>
              <w:rPr>
                <w:rFonts w:ascii="宋体" w:hAnsi="宋体"/>
                <w:color w:val="000000"/>
              </w:rPr>
            </w:pPr>
            <w:r>
              <w:rPr>
                <w:rFonts w:ascii="宋体" w:hAnsi="宋体"/>
                <w:color w:val="000000"/>
              </w:rPr>
              <w:t>……</w:t>
            </w:r>
          </w:p>
        </w:tc>
        <w:tc>
          <w:tcPr>
            <w:tcW w:w="442" w:type="pct"/>
            <w:noWrap w:val="0"/>
            <w:vAlign w:val="center"/>
          </w:tcPr>
          <w:p w14:paraId="0238E3E1">
            <w:pPr>
              <w:spacing w:line="360" w:lineRule="auto"/>
              <w:ind w:left="223" w:hanging="222" w:hangingChars="106"/>
              <w:jc w:val="center"/>
              <w:rPr>
                <w:rFonts w:ascii="宋体" w:hAnsi="宋体"/>
                <w:color w:val="000000"/>
              </w:rPr>
            </w:pPr>
          </w:p>
        </w:tc>
        <w:tc>
          <w:tcPr>
            <w:tcW w:w="436" w:type="pct"/>
            <w:noWrap w:val="0"/>
            <w:vAlign w:val="center"/>
          </w:tcPr>
          <w:p w14:paraId="45550CF5">
            <w:pPr>
              <w:spacing w:line="360" w:lineRule="auto"/>
              <w:ind w:left="223" w:hanging="222" w:hangingChars="106"/>
              <w:jc w:val="center"/>
              <w:rPr>
                <w:rFonts w:ascii="宋体" w:hAnsi="宋体"/>
                <w:color w:val="000000"/>
              </w:rPr>
            </w:pPr>
          </w:p>
        </w:tc>
        <w:tc>
          <w:tcPr>
            <w:tcW w:w="613" w:type="pct"/>
            <w:noWrap w:val="0"/>
            <w:vAlign w:val="center"/>
          </w:tcPr>
          <w:p w14:paraId="4B041359">
            <w:pPr>
              <w:spacing w:line="360" w:lineRule="auto"/>
              <w:ind w:left="223" w:hanging="222" w:hangingChars="106"/>
              <w:jc w:val="center"/>
              <w:rPr>
                <w:rFonts w:ascii="宋体" w:hAnsi="宋体"/>
                <w:color w:val="000000"/>
              </w:rPr>
            </w:pPr>
          </w:p>
        </w:tc>
        <w:tc>
          <w:tcPr>
            <w:tcW w:w="613" w:type="pct"/>
            <w:noWrap w:val="0"/>
            <w:vAlign w:val="center"/>
          </w:tcPr>
          <w:p w14:paraId="50C7A382">
            <w:pPr>
              <w:spacing w:line="360" w:lineRule="auto"/>
              <w:ind w:left="223" w:hanging="222" w:hangingChars="106"/>
              <w:jc w:val="center"/>
              <w:rPr>
                <w:rFonts w:ascii="宋体" w:hAnsi="宋体"/>
                <w:color w:val="000000"/>
              </w:rPr>
            </w:pPr>
          </w:p>
        </w:tc>
        <w:tc>
          <w:tcPr>
            <w:tcW w:w="613" w:type="pct"/>
            <w:noWrap w:val="0"/>
            <w:vAlign w:val="center"/>
          </w:tcPr>
          <w:p w14:paraId="3E0DCDDF">
            <w:pPr>
              <w:spacing w:line="360" w:lineRule="auto"/>
              <w:ind w:left="223" w:hanging="222" w:hangingChars="106"/>
              <w:jc w:val="center"/>
              <w:rPr>
                <w:rFonts w:ascii="宋体" w:hAnsi="宋体"/>
                <w:color w:val="000000"/>
              </w:rPr>
            </w:pPr>
          </w:p>
        </w:tc>
        <w:tc>
          <w:tcPr>
            <w:tcW w:w="613" w:type="pct"/>
            <w:noWrap w:val="0"/>
            <w:vAlign w:val="center"/>
          </w:tcPr>
          <w:p w14:paraId="03AFC2B2">
            <w:pPr>
              <w:spacing w:line="360" w:lineRule="auto"/>
              <w:ind w:left="223" w:hanging="222" w:hangingChars="106"/>
              <w:jc w:val="center"/>
              <w:rPr>
                <w:rFonts w:ascii="宋体" w:hAnsi="宋体"/>
                <w:color w:val="000000"/>
              </w:rPr>
            </w:pPr>
          </w:p>
        </w:tc>
        <w:tc>
          <w:tcPr>
            <w:tcW w:w="454" w:type="pct"/>
            <w:noWrap w:val="0"/>
            <w:vAlign w:val="center"/>
          </w:tcPr>
          <w:p w14:paraId="5A9914C3">
            <w:pPr>
              <w:spacing w:line="360" w:lineRule="auto"/>
              <w:ind w:left="223" w:hanging="222" w:hangingChars="106"/>
              <w:jc w:val="center"/>
              <w:rPr>
                <w:rFonts w:ascii="宋体" w:hAnsi="宋体"/>
                <w:color w:val="000000"/>
              </w:rPr>
            </w:pPr>
          </w:p>
        </w:tc>
        <w:tc>
          <w:tcPr>
            <w:tcW w:w="682" w:type="pct"/>
            <w:noWrap w:val="0"/>
            <w:vAlign w:val="center"/>
          </w:tcPr>
          <w:p w14:paraId="426DB576">
            <w:pPr>
              <w:spacing w:line="360" w:lineRule="auto"/>
              <w:ind w:left="223" w:hanging="222" w:hangingChars="106"/>
              <w:jc w:val="center"/>
              <w:rPr>
                <w:rFonts w:ascii="宋体" w:hAnsi="宋体"/>
                <w:color w:val="000000"/>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ascii="宋体" w:hAnsi="宋体"/>
                <w:color w:val="000000"/>
                <w:szCs w:val="21"/>
              </w:rPr>
            </w:pPr>
            <w:bookmarkStart w:id="74" w:name="_Toc251052199"/>
            <w:r>
              <w:rPr>
                <w:rFonts w:ascii="宋体" w:hAnsi="宋体"/>
                <w:color w:val="000000"/>
                <w:szCs w:val="21"/>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ascii="宋体" w:hAnsi="宋体"/>
          <w:color w:val="000000"/>
        </w:rPr>
      </w:pPr>
    </w:p>
    <w:p w14:paraId="14B8B51C">
      <w:pPr>
        <w:pStyle w:val="11"/>
        <w:rPr>
          <w:color w:val="000000"/>
        </w:rPr>
      </w:pPr>
      <w:r>
        <w:rPr>
          <w:color w:val="000000"/>
        </w:rPr>
        <w:t>【备注：附以上各岗位人员资格证件等相关证明材料复印件，以及供应商认为需要增加的其他证明材料复印件，以上复印件均须加盖供应商单位公章。】</w:t>
      </w:r>
    </w:p>
    <w:p w14:paraId="3D780757">
      <w:pPr>
        <w:spacing w:line="360" w:lineRule="auto"/>
        <w:rPr>
          <w:rFonts w:ascii="宋体" w:hAnsi="宋体" w:eastAsia="楷体_GB2312"/>
          <w:color w:val="000000"/>
        </w:rPr>
      </w:pPr>
    </w:p>
    <w:p w14:paraId="62A7889B">
      <w:pPr>
        <w:tabs>
          <w:tab w:val="left" w:pos="0"/>
        </w:tabs>
        <w:spacing w:line="360" w:lineRule="auto"/>
        <w:ind w:right="-210"/>
        <w:rPr>
          <w:rFonts w:ascii="宋体" w:hAnsi="宋体"/>
          <w:color w:val="000000"/>
        </w:rPr>
      </w:pPr>
    </w:p>
    <w:p w14:paraId="78DEBCCF">
      <w:pPr>
        <w:tabs>
          <w:tab w:val="left" w:pos="0"/>
        </w:tabs>
        <w:spacing w:line="360" w:lineRule="auto"/>
        <w:ind w:right="-210"/>
        <w:rPr>
          <w:rFonts w:ascii="宋体" w:hAnsi="宋体"/>
          <w:color w:val="000000"/>
        </w:rPr>
      </w:pPr>
    </w:p>
    <w:p w14:paraId="6699FA4B">
      <w:pPr>
        <w:tabs>
          <w:tab w:val="left" w:pos="0"/>
        </w:tabs>
        <w:spacing w:line="360" w:lineRule="auto"/>
        <w:ind w:right="-210"/>
        <w:rPr>
          <w:rFonts w:ascii="宋体" w:hAnsi="宋体"/>
          <w:color w:val="000000"/>
        </w:rPr>
        <w:sectPr>
          <w:pgSz w:w="11907" w:h="16840"/>
          <w:pgMar w:top="1440" w:right="1440" w:bottom="1440" w:left="1797" w:header="851" w:footer="851" w:gutter="0"/>
          <w:cols w:space="720" w:num="1"/>
          <w:docGrid w:linePitch="312" w:charSpace="0"/>
        </w:sectPr>
      </w:pPr>
    </w:p>
    <w:p w14:paraId="7A38CB53">
      <w:pPr>
        <w:pStyle w:val="3"/>
        <w:numPr>
          <w:ilvl w:val="0"/>
          <w:numId w:val="64"/>
        </w:numPr>
        <w:topLinePunct w:val="0"/>
        <w:ind w:left="0" w:leftChars="0" w:firstLine="482" w:firstLineChars="0"/>
        <w:rPr>
          <w:b/>
          <w:u w:val="single"/>
        </w:rPr>
      </w:pPr>
      <w:bookmarkStart w:id="75" w:name="_Toc251052200"/>
      <w:bookmarkStart w:id="76" w:name="_Toc172364026"/>
      <w:bookmarkStart w:id="77" w:name="_Toc153274948"/>
      <w:bookmarkStart w:id="78" w:name="_Toc173579006"/>
      <w:bookmarkStart w:id="79" w:name="_Toc6413137"/>
      <w:bookmarkStart w:id="80" w:name="_Toc6848"/>
      <w:bookmarkStart w:id="81" w:name="_Toc389065364"/>
      <w:r>
        <w:t>项目经理（注册建造师）简历表</w:t>
      </w:r>
      <w:bookmarkEnd w:id="75"/>
      <w:bookmarkEnd w:id="76"/>
      <w:bookmarkEnd w:id="77"/>
      <w:bookmarkEnd w:id="78"/>
      <w:bookmarkEnd w:id="79"/>
      <w:bookmarkEnd w:id="80"/>
      <w:bookmarkEnd w:id="81"/>
    </w:p>
    <w:p w14:paraId="0598229A">
      <w:pPr>
        <w:pStyle w:val="33"/>
        <w:spacing w:line="360" w:lineRule="auto"/>
        <w:rPr>
          <w:rFonts w:ascii="宋体" w:hAnsi="宋体"/>
          <w:color w:val="000000"/>
          <w:u w:val="single"/>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ascii="宋体" w:hAnsi="宋体"/>
                <w:color w:val="000000"/>
              </w:rPr>
            </w:pPr>
            <w:r>
              <w:rPr>
                <w:rFonts w:ascii="宋体" w:hAnsi="宋体"/>
                <w:color w:val="000000"/>
              </w:rPr>
              <w:t>姓名</w:t>
            </w:r>
          </w:p>
        </w:tc>
        <w:tc>
          <w:tcPr>
            <w:tcW w:w="1260" w:type="pct"/>
            <w:gridSpan w:val="3"/>
            <w:noWrap w:val="0"/>
            <w:vAlign w:val="center"/>
          </w:tcPr>
          <w:p w14:paraId="539DF73D">
            <w:pPr>
              <w:spacing w:line="360" w:lineRule="auto"/>
              <w:jc w:val="center"/>
              <w:rPr>
                <w:rFonts w:ascii="宋体" w:hAnsi="宋体"/>
                <w:color w:val="000000"/>
              </w:rPr>
            </w:pPr>
          </w:p>
        </w:tc>
        <w:tc>
          <w:tcPr>
            <w:tcW w:w="1019" w:type="pct"/>
            <w:gridSpan w:val="2"/>
            <w:noWrap w:val="0"/>
            <w:vAlign w:val="center"/>
          </w:tcPr>
          <w:p w14:paraId="4AC6E2C5">
            <w:pPr>
              <w:spacing w:line="360" w:lineRule="auto"/>
              <w:jc w:val="center"/>
              <w:rPr>
                <w:rFonts w:ascii="宋体" w:hAnsi="宋体"/>
                <w:color w:val="000000"/>
              </w:rPr>
            </w:pPr>
            <w:r>
              <w:rPr>
                <w:rFonts w:ascii="宋体" w:hAnsi="宋体"/>
                <w:color w:val="000000"/>
              </w:rPr>
              <w:t>性别</w:t>
            </w:r>
          </w:p>
        </w:tc>
        <w:tc>
          <w:tcPr>
            <w:tcW w:w="853" w:type="pct"/>
            <w:gridSpan w:val="2"/>
            <w:noWrap w:val="0"/>
            <w:vAlign w:val="center"/>
          </w:tcPr>
          <w:p w14:paraId="2D7C95C6">
            <w:pPr>
              <w:spacing w:line="360" w:lineRule="auto"/>
              <w:jc w:val="center"/>
              <w:rPr>
                <w:rFonts w:ascii="宋体" w:hAnsi="宋体"/>
                <w:color w:val="000000"/>
              </w:rPr>
            </w:pPr>
          </w:p>
        </w:tc>
        <w:tc>
          <w:tcPr>
            <w:tcW w:w="596" w:type="pct"/>
            <w:gridSpan w:val="2"/>
            <w:noWrap w:val="0"/>
            <w:vAlign w:val="center"/>
          </w:tcPr>
          <w:p w14:paraId="1C540BF5">
            <w:pPr>
              <w:spacing w:line="360" w:lineRule="auto"/>
              <w:jc w:val="center"/>
              <w:rPr>
                <w:rFonts w:ascii="宋体" w:hAnsi="宋体"/>
                <w:color w:val="000000"/>
              </w:rPr>
            </w:pPr>
            <w:r>
              <w:rPr>
                <w:rFonts w:ascii="宋体" w:hAnsi="宋体"/>
                <w:color w:val="000000"/>
              </w:rPr>
              <w:t>年龄</w:t>
            </w:r>
          </w:p>
        </w:tc>
        <w:tc>
          <w:tcPr>
            <w:tcW w:w="687" w:type="pct"/>
            <w:noWrap w:val="0"/>
            <w:vAlign w:val="center"/>
          </w:tcPr>
          <w:p w14:paraId="1B494299">
            <w:pPr>
              <w:spacing w:line="360" w:lineRule="auto"/>
              <w:jc w:val="center"/>
              <w:rPr>
                <w:rFonts w:ascii="宋体" w:hAnsi="宋体"/>
                <w:color w:val="000000"/>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ascii="宋体" w:hAnsi="宋体"/>
                <w:color w:val="000000"/>
              </w:rPr>
            </w:pPr>
            <w:r>
              <w:rPr>
                <w:rFonts w:ascii="宋体" w:hAnsi="宋体"/>
                <w:color w:val="000000"/>
              </w:rPr>
              <w:t>职务</w:t>
            </w:r>
          </w:p>
        </w:tc>
        <w:tc>
          <w:tcPr>
            <w:tcW w:w="1260" w:type="pct"/>
            <w:gridSpan w:val="3"/>
            <w:noWrap w:val="0"/>
            <w:vAlign w:val="center"/>
          </w:tcPr>
          <w:p w14:paraId="7E051E66">
            <w:pPr>
              <w:spacing w:line="360" w:lineRule="auto"/>
              <w:jc w:val="center"/>
              <w:rPr>
                <w:rFonts w:ascii="宋体" w:hAnsi="宋体"/>
                <w:color w:val="000000"/>
              </w:rPr>
            </w:pPr>
          </w:p>
        </w:tc>
        <w:tc>
          <w:tcPr>
            <w:tcW w:w="1019" w:type="pct"/>
            <w:gridSpan w:val="2"/>
            <w:noWrap w:val="0"/>
            <w:vAlign w:val="center"/>
          </w:tcPr>
          <w:p w14:paraId="461E6F6A">
            <w:pPr>
              <w:spacing w:line="360" w:lineRule="auto"/>
              <w:jc w:val="center"/>
              <w:rPr>
                <w:rFonts w:ascii="宋体" w:hAnsi="宋体"/>
                <w:color w:val="000000"/>
              </w:rPr>
            </w:pPr>
            <w:r>
              <w:rPr>
                <w:rFonts w:ascii="宋体" w:hAnsi="宋体"/>
                <w:color w:val="000000"/>
              </w:rPr>
              <w:t>职称</w:t>
            </w:r>
          </w:p>
        </w:tc>
        <w:tc>
          <w:tcPr>
            <w:tcW w:w="853" w:type="pct"/>
            <w:gridSpan w:val="2"/>
            <w:noWrap w:val="0"/>
            <w:vAlign w:val="center"/>
          </w:tcPr>
          <w:p w14:paraId="4F4F9FD2">
            <w:pPr>
              <w:spacing w:line="360" w:lineRule="auto"/>
              <w:jc w:val="center"/>
              <w:rPr>
                <w:rFonts w:ascii="宋体" w:hAnsi="宋体"/>
                <w:color w:val="000000"/>
              </w:rPr>
            </w:pPr>
          </w:p>
        </w:tc>
        <w:tc>
          <w:tcPr>
            <w:tcW w:w="596" w:type="pct"/>
            <w:gridSpan w:val="2"/>
            <w:noWrap w:val="0"/>
            <w:vAlign w:val="center"/>
          </w:tcPr>
          <w:p w14:paraId="31A9B4F0">
            <w:pPr>
              <w:spacing w:line="360" w:lineRule="auto"/>
              <w:jc w:val="center"/>
              <w:rPr>
                <w:rFonts w:ascii="宋体" w:hAnsi="宋体"/>
                <w:color w:val="000000"/>
              </w:rPr>
            </w:pPr>
            <w:r>
              <w:rPr>
                <w:rFonts w:ascii="宋体" w:hAnsi="宋体"/>
                <w:color w:val="000000"/>
              </w:rPr>
              <w:t>学历</w:t>
            </w:r>
          </w:p>
        </w:tc>
        <w:tc>
          <w:tcPr>
            <w:tcW w:w="687" w:type="pct"/>
            <w:noWrap w:val="0"/>
            <w:vAlign w:val="center"/>
          </w:tcPr>
          <w:p w14:paraId="275510E6">
            <w:pPr>
              <w:spacing w:line="360" w:lineRule="auto"/>
              <w:jc w:val="center"/>
              <w:rPr>
                <w:rFonts w:ascii="宋体" w:hAnsi="宋体"/>
                <w:color w:val="000000"/>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ascii="宋体" w:hAnsi="宋体"/>
                <w:color w:val="000000"/>
              </w:rPr>
            </w:pPr>
            <w:r>
              <w:rPr>
                <w:rFonts w:ascii="宋体" w:hAnsi="宋体"/>
                <w:color w:val="000000"/>
              </w:rPr>
              <w:t>参加工作时间</w:t>
            </w:r>
          </w:p>
        </w:tc>
        <w:tc>
          <w:tcPr>
            <w:tcW w:w="1019" w:type="pct"/>
            <w:gridSpan w:val="2"/>
            <w:noWrap w:val="0"/>
            <w:vAlign w:val="center"/>
          </w:tcPr>
          <w:p w14:paraId="32705CAA">
            <w:pPr>
              <w:spacing w:line="360" w:lineRule="auto"/>
              <w:jc w:val="center"/>
              <w:rPr>
                <w:rFonts w:ascii="宋体" w:hAnsi="宋体"/>
                <w:color w:val="000000"/>
              </w:rPr>
            </w:pPr>
          </w:p>
        </w:tc>
        <w:tc>
          <w:tcPr>
            <w:tcW w:w="1449" w:type="pct"/>
            <w:gridSpan w:val="4"/>
            <w:noWrap w:val="0"/>
            <w:vAlign w:val="center"/>
          </w:tcPr>
          <w:p w14:paraId="6467D7BE">
            <w:pPr>
              <w:spacing w:line="360" w:lineRule="auto"/>
              <w:jc w:val="center"/>
              <w:rPr>
                <w:rFonts w:ascii="宋体" w:hAnsi="宋体"/>
                <w:color w:val="000000"/>
              </w:rPr>
            </w:pPr>
            <w:r>
              <w:rPr>
                <w:rFonts w:ascii="宋体" w:hAnsi="宋体"/>
                <w:color w:val="000000"/>
              </w:rPr>
              <w:t>担任项目经理年限</w:t>
            </w:r>
          </w:p>
        </w:tc>
        <w:tc>
          <w:tcPr>
            <w:tcW w:w="687" w:type="pct"/>
            <w:noWrap w:val="0"/>
            <w:vAlign w:val="center"/>
          </w:tcPr>
          <w:p w14:paraId="13C590DC">
            <w:pPr>
              <w:spacing w:line="360" w:lineRule="auto"/>
              <w:jc w:val="center"/>
              <w:rPr>
                <w:rFonts w:ascii="宋体" w:hAnsi="宋体"/>
                <w:color w:val="000000"/>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ascii="宋体" w:hAnsi="宋体"/>
                <w:color w:val="000000"/>
              </w:rPr>
            </w:pPr>
            <w:r>
              <w:rPr>
                <w:rFonts w:hint="eastAsia" w:ascii="宋体" w:hAnsi="宋体"/>
                <w:color w:val="000000"/>
              </w:rPr>
              <w:t>建造师注册</w:t>
            </w:r>
            <w:r>
              <w:rPr>
                <w:rFonts w:ascii="宋体" w:hAnsi="宋体"/>
                <w:color w:val="000000"/>
              </w:rPr>
              <w:t>编号</w:t>
            </w:r>
          </w:p>
        </w:tc>
        <w:tc>
          <w:tcPr>
            <w:tcW w:w="3156" w:type="pct"/>
            <w:gridSpan w:val="7"/>
            <w:noWrap w:val="0"/>
            <w:vAlign w:val="center"/>
          </w:tcPr>
          <w:p w14:paraId="26495E9D">
            <w:pPr>
              <w:spacing w:line="360" w:lineRule="auto"/>
              <w:jc w:val="center"/>
              <w:rPr>
                <w:rFonts w:ascii="宋体" w:hAnsi="宋体"/>
                <w:color w:val="000000"/>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ascii="宋体" w:hAnsi="宋体"/>
                <w:color w:val="000000"/>
              </w:rPr>
            </w:pPr>
            <w:r>
              <w:rPr>
                <w:rFonts w:ascii="宋体" w:hAnsi="宋体"/>
                <w:color w:val="000000"/>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ascii="宋体" w:hAnsi="宋体"/>
                <w:color w:val="000000"/>
              </w:rPr>
            </w:pPr>
            <w:r>
              <w:rPr>
                <w:rFonts w:ascii="宋体" w:hAnsi="宋体"/>
                <w:color w:val="000000"/>
              </w:rPr>
              <w:t>建设单位</w:t>
            </w:r>
          </w:p>
        </w:tc>
        <w:tc>
          <w:tcPr>
            <w:tcW w:w="833" w:type="pct"/>
            <w:noWrap w:val="0"/>
            <w:vAlign w:val="center"/>
          </w:tcPr>
          <w:p w14:paraId="7EF8D3B5">
            <w:pPr>
              <w:spacing w:line="360" w:lineRule="auto"/>
              <w:jc w:val="center"/>
              <w:rPr>
                <w:rFonts w:ascii="宋体" w:hAnsi="宋体"/>
                <w:color w:val="000000"/>
              </w:rPr>
            </w:pPr>
            <w:r>
              <w:rPr>
                <w:rFonts w:ascii="宋体" w:hAnsi="宋体"/>
                <w:color w:val="000000"/>
              </w:rPr>
              <w:t>项目名称</w:t>
            </w:r>
          </w:p>
        </w:tc>
        <w:tc>
          <w:tcPr>
            <w:tcW w:w="833" w:type="pct"/>
            <w:gridSpan w:val="2"/>
            <w:noWrap w:val="0"/>
            <w:vAlign w:val="center"/>
          </w:tcPr>
          <w:p w14:paraId="2E5301E7">
            <w:pPr>
              <w:spacing w:line="360" w:lineRule="auto"/>
              <w:jc w:val="center"/>
              <w:rPr>
                <w:rFonts w:ascii="宋体" w:hAnsi="宋体"/>
                <w:color w:val="000000"/>
              </w:rPr>
            </w:pPr>
            <w:r>
              <w:rPr>
                <w:rFonts w:ascii="宋体" w:hAnsi="宋体"/>
                <w:color w:val="000000"/>
              </w:rPr>
              <w:t>建设规模</w:t>
            </w:r>
          </w:p>
        </w:tc>
        <w:tc>
          <w:tcPr>
            <w:tcW w:w="833" w:type="pct"/>
            <w:gridSpan w:val="2"/>
            <w:noWrap w:val="0"/>
            <w:vAlign w:val="center"/>
          </w:tcPr>
          <w:p w14:paraId="4735E970">
            <w:pPr>
              <w:spacing w:line="360" w:lineRule="auto"/>
              <w:jc w:val="center"/>
              <w:rPr>
                <w:rFonts w:ascii="宋体" w:hAnsi="宋体"/>
                <w:color w:val="000000"/>
              </w:rPr>
            </w:pPr>
            <w:r>
              <w:rPr>
                <w:rFonts w:ascii="宋体" w:hAnsi="宋体"/>
                <w:color w:val="000000"/>
              </w:rPr>
              <w:t>开、竣工日期</w:t>
            </w:r>
          </w:p>
        </w:tc>
        <w:tc>
          <w:tcPr>
            <w:tcW w:w="833" w:type="pct"/>
            <w:gridSpan w:val="2"/>
            <w:noWrap w:val="0"/>
            <w:vAlign w:val="center"/>
          </w:tcPr>
          <w:p w14:paraId="2C10053B">
            <w:pPr>
              <w:spacing w:line="360" w:lineRule="auto"/>
              <w:jc w:val="center"/>
              <w:rPr>
                <w:rFonts w:ascii="宋体" w:hAnsi="宋体"/>
                <w:color w:val="000000"/>
              </w:rPr>
            </w:pPr>
            <w:r>
              <w:rPr>
                <w:rFonts w:ascii="宋体" w:hAnsi="宋体"/>
                <w:color w:val="000000"/>
              </w:rPr>
              <w:t>在建或已完</w:t>
            </w:r>
          </w:p>
        </w:tc>
        <w:tc>
          <w:tcPr>
            <w:tcW w:w="833" w:type="pct"/>
            <w:gridSpan w:val="2"/>
            <w:noWrap w:val="0"/>
            <w:vAlign w:val="center"/>
          </w:tcPr>
          <w:p w14:paraId="1DDAE66B">
            <w:pPr>
              <w:spacing w:line="360" w:lineRule="auto"/>
              <w:jc w:val="center"/>
              <w:rPr>
                <w:rFonts w:ascii="宋体" w:hAnsi="宋体"/>
                <w:color w:val="000000"/>
              </w:rPr>
            </w:pPr>
            <w:r>
              <w:rPr>
                <w:rFonts w:ascii="宋体" w:hAnsi="宋体"/>
                <w:color w:val="000000"/>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ascii="宋体" w:hAnsi="宋体"/>
                <w:color w:val="000000"/>
              </w:rPr>
            </w:pPr>
          </w:p>
        </w:tc>
        <w:tc>
          <w:tcPr>
            <w:tcW w:w="833" w:type="pct"/>
            <w:noWrap w:val="0"/>
            <w:vAlign w:val="center"/>
          </w:tcPr>
          <w:p w14:paraId="3C3EFA64">
            <w:pPr>
              <w:spacing w:line="360" w:lineRule="auto"/>
              <w:jc w:val="center"/>
              <w:rPr>
                <w:rFonts w:ascii="宋体" w:hAnsi="宋体"/>
                <w:color w:val="000000"/>
              </w:rPr>
            </w:pPr>
          </w:p>
        </w:tc>
        <w:tc>
          <w:tcPr>
            <w:tcW w:w="833" w:type="pct"/>
            <w:gridSpan w:val="2"/>
            <w:noWrap w:val="0"/>
            <w:vAlign w:val="center"/>
          </w:tcPr>
          <w:p w14:paraId="5EB4C0D5">
            <w:pPr>
              <w:spacing w:line="360" w:lineRule="auto"/>
              <w:jc w:val="center"/>
              <w:rPr>
                <w:rFonts w:ascii="宋体" w:hAnsi="宋体"/>
                <w:color w:val="000000"/>
              </w:rPr>
            </w:pPr>
          </w:p>
        </w:tc>
        <w:tc>
          <w:tcPr>
            <w:tcW w:w="833" w:type="pct"/>
            <w:gridSpan w:val="2"/>
            <w:noWrap w:val="0"/>
            <w:vAlign w:val="center"/>
          </w:tcPr>
          <w:p w14:paraId="39A08E37">
            <w:pPr>
              <w:spacing w:line="360" w:lineRule="auto"/>
              <w:jc w:val="center"/>
              <w:rPr>
                <w:rFonts w:ascii="宋体" w:hAnsi="宋体"/>
                <w:color w:val="000000"/>
              </w:rPr>
            </w:pPr>
          </w:p>
        </w:tc>
        <w:tc>
          <w:tcPr>
            <w:tcW w:w="833" w:type="pct"/>
            <w:gridSpan w:val="2"/>
            <w:noWrap w:val="0"/>
            <w:vAlign w:val="center"/>
          </w:tcPr>
          <w:p w14:paraId="2A0002D0">
            <w:pPr>
              <w:spacing w:line="360" w:lineRule="auto"/>
              <w:jc w:val="center"/>
              <w:rPr>
                <w:rFonts w:ascii="宋体" w:hAnsi="宋体"/>
                <w:color w:val="000000"/>
              </w:rPr>
            </w:pPr>
          </w:p>
        </w:tc>
        <w:tc>
          <w:tcPr>
            <w:tcW w:w="833" w:type="pct"/>
            <w:gridSpan w:val="2"/>
            <w:noWrap w:val="0"/>
            <w:vAlign w:val="center"/>
          </w:tcPr>
          <w:p w14:paraId="29739E39">
            <w:pPr>
              <w:spacing w:line="360" w:lineRule="auto"/>
              <w:jc w:val="center"/>
              <w:rPr>
                <w:rFonts w:ascii="宋体" w:hAnsi="宋体"/>
                <w:color w:val="000000"/>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ascii="宋体" w:hAnsi="宋体"/>
                <w:color w:val="000000"/>
              </w:rPr>
            </w:pPr>
          </w:p>
        </w:tc>
        <w:tc>
          <w:tcPr>
            <w:tcW w:w="833" w:type="pct"/>
            <w:noWrap w:val="0"/>
            <w:vAlign w:val="center"/>
          </w:tcPr>
          <w:p w14:paraId="4C260D1D">
            <w:pPr>
              <w:spacing w:line="360" w:lineRule="auto"/>
              <w:jc w:val="center"/>
              <w:rPr>
                <w:rFonts w:ascii="宋体" w:hAnsi="宋体"/>
                <w:color w:val="000000"/>
              </w:rPr>
            </w:pPr>
          </w:p>
        </w:tc>
        <w:tc>
          <w:tcPr>
            <w:tcW w:w="833" w:type="pct"/>
            <w:gridSpan w:val="2"/>
            <w:noWrap w:val="0"/>
            <w:vAlign w:val="center"/>
          </w:tcPr>
          <w:p w14:paraId="4653DBAA">
            <w:pPr>
              <w:spacing w:line="360" w:lineRule="auto"/>
              <w:jc w:val="center"/>
              <w:rPr>
                <w:rFonts w:ascii="宋体" w:hAnsi="宋体"/>
                <w:color w:val="000000"/>
              </w:rPr>
            </w:pPr>
          </w:p>
        </w:tc>
        <w:tc>
          <w:tcPr>
            <w:tcW w:w="833" w:type="pct"/>
            <w:gridSpan w:val="2"/>
            <w:noWrap w:val="0"/>
            <w:vAlign w:val="center"/>
          </w:tcPr>
          <w:p w14:paraId="22DD7A89">
            <w:pPr>
              <w:spacing w:line="360" w:lineRule="auto"/>
              <w:jc w:val="center"/>
              <w:rPr>
                <w:rFonts w:ascii="宋体" w:hAnsi="宋体"/>
                <w:color w:val="000000"/>
              </w:rPr>
            </w:pPr>
          </w:p>
        </w:tc>
        <w:tc>
          <w:tcPr>
            <w:tcW w:w="833" w:type="pct"/>
            <w:gridSpan w:val="2"/>
            <w:noWrap w:val="0"/>
            <w:vAlign w:val="center"/>
          </w:tcPr>
          <w:p w14:paraId="4D5EFCE5">
            <w:pPr>
              <w:spacing w:line="360" w:lineRule="auto"/>
              <w:jc w:val="center"/>
              <w:rPr>
                <w:rFonts w:ascii="宋体" w:hAnsi="宋体"/>
                <w:color w:val="000000"/>
              </w:rPr>
            </w:pPr>
          </w:p>
        </w:tc>
        <w:tc>
          <w:tcPr>
            <w:tcW w:w="833" w:type="pct"/>
            <w:gridSpan w:val="2"/>
            <w:noWrap w:val="0"/>
            <w:vAlign w:val="center"/>
          </w:tcPr>
          <w:p w14:paraId="0EB18698">
            <w:pPr>
              <w:spacing w:line="360" w:lineRule="auto"/>
              <w:jc w:val="center"/>
              <w:rPr>
                <w:rFonts w:ascii="宋体" w:hAnsi="宋体"/>
                <w:color w:val="000000"/>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ascii="宋体" w:hAnsi="宋体"/>
                <w:color w:val="000000"/>
              </w:rPr>
            </w:pPr>
          </w:p>
        </w:tc>
        <w:tc>
          <w:tcPr>
            <w:tcW w:w="833" w:type="pct"/>
            <w:noWrap w:val="0"/>
            <w:vAlign w:val="center"/>
          </w:tcPr>
          <w:p w14:paraId="45E3F4D7">
            <w:pPr>
              <w:spacing w:line="360" w:lineRule="auto"/>
              <w:jc w:val="center"/>
              <w:rPr>
                <w:rFonts w:ascii="宋体" w:hAnsi="宋体"/>
                <w:color w:val="000000"/>
              </w:rPr>
            </w:pPr>
          </w:p>
        </w:tc>
        <w:tc>
          <w:tcPr>
            <w:tcW w:w="833" w:type="pct"/>
            <w:gridSpan w:val="2"/>
            <w:noWrap w:val="0"/>
            <w:vAlign w:val="center"/>
          </w:tcPr>
          <w:p w14:paraId="6237DA80">
            <w:pPr>
              <w:spacing w:line="360" w:lineRule="auto"/>
              <w:jc w:val="center"/>
              <w:rPr>
                <w:rFonts w:ascii="宋体" w:hAnsi="宋体"/>
                <w:color w:val="000000"/>
              </w:rPr>
            </w:pPr>
          </w:p>
        </w:tc>
        <w:tc>
          <w:tcPr>
            <w:tcW w:w="833" w:type="pct"/>
            <w:gridSpan w:val="2"/>
            <w:noWrap w:val="0"/>
            <w:vAlign w:val="center"/>
          </w:tcPr>
          <w:p w14:paraId="28F57F41">
            <w:pPr>
              <w:spacing w:line="360" w:lineRule="auto"/>
              <w:jc w:val="center"/>
              <w:rPr>
                <w:rFonts w:ascii="宋体" w:hAnsi="宋体"/>
                <w:color w:val="000000"/>
              </w:rPr>
            </w:pPr>
          </w:p>
        </w:tc>
        <w:tc>
          <w:tcPr>
            <w:tcW w:w="833" w:type="pct"/>
            <w:gridSpan w:val="2"/>
            <w:noWrap w:val="0"/>
            <w:vAlign w:val="center"/>
          </w:tcPr>
          <w:p w14:paraId="4104A396">
            <w:pPr>
              <w:spacing w:line="360" w:lineRule="auto"/>
              <w:jc w:val="center"/>
              <w:rPr>
                <w:rFonts w:ascii="宋体" w:hAnsi="宋体"/>
                <w:color w:val="000000"/>
              </w:rPr>
            </w:pPr>
          </w:p>
        </w:tc>
        <w:tc>
          <w:tcPr>
            <w:tcW w:w="833" w:type="pct"/>
            <w:gridSpan w:val="2"/>
            <w:noWrap w:val="0"/>
            <w:vAlign w:val="center"/>
          </w:tcPr>
          <w:p w14:paraId="51FD0D3B">
            <w:pPr>
              <w:spacing w:line="360" w:lineRule="auto"/>
              <w:jc w:val="center"/>
              <w:rPr>
                <w:rFonts w:ascii="宋体" w:hAnsi="宋体"/>
                <w:color w:val="000000"/>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ascii="宋体" w:hAnsi="宋体"/>
                <w:color w:val="000000"/>
              </w:rPr>
            </w:pPr>
          </w:p>
        </w:tc>
        <w:tc>
          <w:tcPr>
            <w:tcW w:w="833" w:type="pct"/>
            <w:noWrap w:val="0"/>
            <w:vAlign w:val="center"/>
          </w:tcPr>
          <w:p w14:paraId="71BC2DC7">
            <w:pPr>
              <w:spacing w:line="360" w:lineRule="auto"/>
              <w:jc w:val="center"/>
              <w:rPr>
                <w:rFonts w:ascii="宋体" w:hAnsi="宋体"/>
                <w:color w:val="000000"/>
              </w:rPr>
            </w:pPr>
          </w:p>
        </w:tc>
        <w:tc>
          <w:tcPr>
            <w:tcW w:w="833" w:type="pct"/>
            <w:gridSpan w:val="2"/>
            <w:noWrap w:val="0"/>
            <w:vAlign w:val="center"/>
          </w:tcPr>
          <w:p w14:paraId="2D49AC1B">
            <w:pPr>
              <w:spacing w:line="360" w:lineRule="auto"/>
              <w:jc w:val="center"/>
              <w:rPr>
                <w:rFonts w:ascii="宋体" w:hAnsi="宋体"/>
                <w:color w:val="000000"/>
              </w:rPr>
            </w:pPr>
          </w:p>
        </w:tc>
        <w:tc>
          <w:tcPr>
            <w:tcW w:w="833" w:type="pct"/>
            <w:gridSpan w:val="2"/>
            <w:noWrap w:val="0"/>
            <w:vAlign w:val="center"/>
          </w:tcPr>
          <w:p w14:paraId="07E7162A">
            <w:pPr>
              <w:spacing w:line="360" w:lineRule="auto"/>
              <w:jc w:val="center"/>
              <w:rPr>
                <w:rFonts w:ascii="宋体" w:hAnsi="宋体"/>
                <w:color w:val="000000"/>
              </w:rPr>
            </w:pPr>
          </w:p>
        </w:tc>
        <w:tc>
          <w:tcPr>
            <w:tcW w:w="833" w:type="pct"/>
            <w:gridSpan w:val="2"/>
            <w:noWrap w:val="0"/>
            <w:vAlign w:val="center"/>
          </w:tcPr>
          <w:p w14:paraId="14C3A430">
            <w:pPr>
              <w:spacing w:line="360" w:lineRule="auto"/>
              <w:jc w:val="center"/>
              <w:rPr>
                <w:rFonts w:ascii="宋体" w:hAnsi="宋体"/>
                <w:color w:val="000000"/>
              </w:rPr>
            </w:pPr>
          </w:p>
        </w:tc>
        <w:tc>
          <w:tcPr>
            <w:tcW w:w="833" w:type="pct"/>
            <w:gridSpan w:val="2"/>
            <w:noWrap w:val="0"/>
            <w:vAlign w:val="center"/>
          </w:tcPr>
          <w:p w14:paraId="5A5F666A">
            <w:pPr>
              <w:spacing w:line="360" w:lineRule="auto"/>
              <w:jc w:val="center"/>
              <w:rPr>
                <w:rFonts w:ascii="宋体" w:hAnsi="宋体"/>
                <w:color w:val="000000"/>
              </w:rPr>
            </w:pPr>
          </w:p>
        </w:tc>
      </w:tr>
    </w:tbl>
    <w:p w14:paraId="70F20FCB">
      <w:pPr>
        <w:spacing w:line="360" w:lineRule="auto"/>
        <w:rPr>
          <w:rFonts w:ascii="宋体" w:hAnsi="宋体"/>
          <w:color w:val="000000"/>
          <w:szCs w:val="21"/>
        </w:rPr>
      </w:pPr>
    </w:p>
    <w:p w14:paraId="094E45B4">
      <w:pPr>
        <w:pStyle w:val="11"/>
        <w:rPr>
          <w:color w:val="auto"/>
          <w:highlight w:val="none"/>
        </w:rPr>
      </w:pPr>
      <w:r>
        <w:rPr>
          <w:color w:val="auto"/>
          <w:highlight w:val="none"/>
        </w:rPr>
        <w:t>备注：附项目经理注册建造师注册证书、职称证书、安全生产考核合格证书（B证）、中华人民共和国注册安全工程师执业证书（如有）和已完工程中标通知书（如有）、工程合同协议书（如有）、工程竣工验收（如有）证明材料复印件，以及供应商认为需要增加的其他证明材料复印件，以上复印件均须加盖供应商单位公章。</w:t>
      </w:r>
    </w:p>
    <w:p w14:paraId="2B02DD95">
      <w:pPr>
        <w:spacing w:line="360" w:lineRule="auto"/>
        <w:rPr>
          <w:rFonts w:hint="eastAsia" w:ascii="宋体" w:hAnsi="宋体"/>
          <w:b/>
          <w:color w:val="auto"/>
          <w:sz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11"/>
        <w:kinsoku w:val="0"/>
        <w:overflowPunct w:val="0"/>
        <w:spacing w:line="360" w:lineRule="auto"/>
        <w:ind w:right="102"/>
        <w:rPr>
          <w:rFonts w:hint="eastAsia" w:ascii="宋体" w:hAnsi="宋体"/>
          <w:b/>
          <w:color w:val="000000"/>
          <w:sz w:val="24"/>
        </w:rPr>
      </w:pPr>
    </w:p>
    <w:p w14:paraId="68BAD51B">
      <w:pPr>
        <w:pStyle w:val="2"/>
        <w:numPr>
          <w:ilvl w:val="0"/>
          <w:numId w:val="62"/>
        </w:numPr>
        <w:ind w:left="0" w:leftChars="0" w:firstLine="480" w:firstLineChars="0"/>
      </w:pPr>
      <w:r>
        <w:t>按本竞争性磋商文件规定提交的其它资料</w:t>
      </w:r>
    </w:p>
    <w:p w14:paraId="166B5ABE">
      <w:pPr>
        <w:pStyle w:val="11"/>
        <w:numPr>
          <w:ilvl w:val="4"/>
          <w:numId w:val="65"/>
        </w:numPr>
        <w:ind w:left="110"/>
        <w:rPr>
          <w:color w:val="000000"/>
        </w:rPr>
      </w:pPr>
      <w:r>
        <w:rPr>
          <w:color w:val="000000"/>
        </w:rPr>
        <w:br w:type="page"/>
      </w:r>
      <w:bookmarkStart w:id="82" w:name="_Toc19527_WPSOffice_Level1"/>
      <w:r>
        <w:rPr>
          <w:b/>
          <w:bCs/>
          <w:color w:val="000000"/>
        </w:rPr>
        <w:t>（封面）</w:t>
      </w:r>
      <w:bookmarkEnd w:id="82"/>
    </w:p>
    <w:p w14:paraId="17744F5A">
      <w:pPr>
        <w:kinsoku w:val="0"/>
        <w:overflowPunct w:val="0"/>
        <w:spacing w:line="200" w:lineRule="exact"/>
        <w:rPr>
          <w:color w:val="000000"/>
          <w:sz w:val="20"/>
        </w:rPr>
      </w:pPr>
    </w:p>
    <w:p w14:paraId="171CE921">
      <w:pPr>
        <w:kinsoku w:val="0"/>
        <w:overflowPunct w:val="0"/>
        <w:spacing w:line="200" w:lineRule="exact"/>
        <w:rPr>
          <w:color w:val="000000"/>
          <w:sz w:val="20"/>
        </w:rPr>
      </w:pPr>
    </w:p>
    <w:p w14:paraId="56DFF75F">
      <w:pPr>
        <w:kinsoku w:val="0"/>
        <w:overflowPunct w:val="0"/>
        <w:spacing w:line="200" w:lineRule="exact"/>
        <w:rPr>
          <w:color w:val="000000"/>
          <w:sz w:val="20"/>
        </w:rPr>
      </w:pPr>
    </w:p>
    <w:p w14:paraId="7E35F969">
      <w:pPr>
        <w:kinsoku w:val="0"/>
        <w:overflowPunct w:val="0"/>
        <w:spacing w:line="200" w:lineRule="exact"/>
        <w:rPr>
          <w:color w:val="000000"/>
          <w:sz w:val="20"/>
        </w:rPr>
      </w:pPr>
    </w:p>
    <w:p w14:paraId="694DB21A">
      <w:pPr>
        <w:kinsoku w:val="0"/>
        <w:overflowPunct w:val="0"/>
        <w:spacing w:line="200" w:lineRule="exact"/>
        <w:rPr>
          <w:color w:val="000000"/>
          <w:sz w:val="20"/>
        </w:rPr>
      </w:pPr>
    </w:p>
    <w:p w14:paraId="3C5DD10A">
      <w:pPr>
        <w:kinsoku w:val="0"/>
        <w:overflowPunct w:val="0"/>
        <w:spacing w:line="200" w:lineRule="exact"/>
        <w:rPr>
          <w:color w:val="000000"/>
          <w:sz w:val="20"/>
        </w:rPr>
      </w:pPr>
    </w:p>
    <w:p w14:paraId="41E5B675">
      <w:pPr>
        <w:kinsoku w:val="0"/>
        <w:overflowPunct w:val="0"/>
        <w:spacing w:line="200" w:lineRule="exact"/>
        <w:rPr>
          <w:color w:val="000000"/>
          <w:sz w:val="20"/>
        </w:rPr>
      </w:pPr>
    </w:p>
    <w:p w14:paraId="1307888F">
      <w:pPr>
        <w:kinsoku w:val="0"/>
        <w:overflowPunct w:val="0"/>
        <w:spacing w:line="200" w:lineRule="exact"/>
        <w:rPr>
          <w:color w:val="000000"/>
          <w:sz w:val="20"/>
        </w:rPr>
      </w:pPr>
    </w:p>
    <w:p w14:paraId="69D28B64">
      <w:pPr>
        <w:kinsoku w:val="0"/>
        <w:overflowPunct w:val="0"/>
        <w:spacing w:before="10" w:line="280" w:lineRule="exact"/>
        <w:rPr>
          <w:color w:val="000000"/>
          <w:sz w:val="28"/>
        </w:rPr>
      </w:pPr>
    </w:p>
    <w:p w14:paraId="72E39718">
      <w:pPr>
        <w:kinsoku w:val="0"/>
        <w:overflowPunct w:val="0"/>
        <w:spacing w:line="820" w:lineRule="exact"/>
        <w:ind w:left="188"/>
        <w:jc w:val="center"/>
        <w:rPr>
          <w:rFonts w:hint="eastAsia" w:ascii="宋体" w:hAnsi="宋体"/>
          <w:color w:val="000000"/>
          <w:sz w:val="50"/>
          <w:szCs w:val="50"/>
        </w:rPr>
      </w:pPr>
      <w:bookmarkStart w:id="83" w:name="_Toc27563_WPSOffice_Level1"/>
      <w:r>
        <w:rPr>
          <w:rFonts w:hint="eastAsia" w:ascii="宋体" w:hAnsi="宋体"/>
          <w:color w:val="000000"/>
          <w:sz w:val="50"/>
          <w:szCs w:val="50"/>
        </w:rPr>
        <w:t>二</w:t>
      </w:r>
      <w:r>
        <w:rPr>
          <w:rFonts w:hint="eastAsia" w:ascii="宋体" w:hAnsi="宋体"/>
          <w:color w:val="000000"/>
          <w:spacing w:val="4"/>
          <w:sz w:val="50"/>
          <w:szCs w:val="50"/>
        </w:rPr>
        <w:t xml:space="preserve"> </w:t>
      </w:r>
      <w:r>
        <w:rPr>
          <w:rFonts w:hint="eastAsia" w:ascii="宋体" w:hAnsi="宋体"/>
          <w:color w:val="000000"/>
          <w:sz w:val="50"/>
          <w:szCs w:val="50"/>
        </w:rPr>
        <w:t>次</w:t>
      </w:r>
      <w:r>
        <w:rPr>
          <w:rFonts w:hint="eastAsia" w:ascii="宋体" w:hAnsi="宋体"/>
          <w:color w:val="000000"/>
          <w:spacing w:val="2"/>
          <w:sz w:val="50"/>
          <w:szCs w:val="50"/>
        </w:rPr>
        <w:t xml:space="preserve"> </w:t>
      </w:r>
      <w:r>
        <w:rPr>
          <w:rFonts w:hint="eastAsia" w:ascii="宋体" w:hAnsi="宋体"/>
          <w:color w:val="000000"/>
          <w:sz w:val="50"/>
          <w:szCs w:val="50"/>
        </w:rPr>
        <w:t>报</w:t>
      </w:r>
      <w:r>
        <w:rPr>
          <w:rFonts w:hint="eastAsia" w:ascii="宋体" w:hAnsi="宋体"/>
          <w:color w:val="000000"/>
          <w:spacing w:val="4"/>
          <w:sz w:val="50"/>
          <w:szCs w:val="50"/>
        </w:rPr>
        <w:t xml:space="preserve"> </w:t>
      </w:r>
      <w:r>
        <w:rPr>
          <w:rFonts w:hint="eastAsia" w:ascii="宋体" w:hAnsi="宋体"/>
          <w:color w:val="000000"/>
          <w:sz w:val="50"/>
          <w:szCs w:val="50"/>
        </w:rPr>
        <w:t>价</w:t>
      </w:r>
      <w:r>
        <w:rPr>
          <w:rFonts w:hint="eastAsia" w:ascii="宋体" w:hAnsi="宋体"/>
          <w:color w:val="000000"/>
          <w:spacing w:val="4"/>
          <w:sz w:val="50"/>
          <w:szCs w:val="50"/>
        </w:rPr>
        <w:t xml:space="preserve"> </w:t>
      </w:r>
      <w:r>
        <w:rPr>
          <w:rFonts w:hint="eastAsia" w:ascii="宋体" w:hAnsi="宋体"/>
          <w:color w:val="000000"/>
          <w:sz w:val="50"/>
          <w:szCs w:val="50"/>
        </w:rPr>
        <w:t>文</w:t>
      </w:r>
      <w:r>
        <w:rPr>
          <w:rFonts w:hint="eastAsia" w:ascii="宋体" w:hAnsi="宋体"/>
          <w:color w:val="000000"/>
          <w:spacing w:val="4"/>
          <w:sz w:val="50"/>
          <w:szCs w:val="50"/>
        </w:rPr>
        <w:t xml:space="preserve"> </w:t>
      </w:r>
      <w:r>
        <w:rPr>
          <w:rFonts w:hint="eastAsia" w:ascii="宋体" w:hAnsi="宋体"/>
          <w:color w:val="000000"/>
          <w:sz w:val="50"/>
          <w:szCs w:val="50"/>
        </w:rPr>
        <w:t>件</w:t>
      </w:r>
      <w:bookmarkEnd w:id="83"/>
    </w:p>
    <w:p w14:paraId="230E3281">
      <w:pPr>
        <w:kinsoku w:val="0"/>
        <w:overflowPunct w:val="0"/>
        <w:spacing w:before="7" w:line="140" w:lineRule="exact"/>
        <w:rPr>
          <w:color w:val="000000"/>
          <w:sz w:val="14"/>
        </w:rPr>
      </w:pPr>
    </w:p>
    <w:p w14:paraId="4FB82A9C">
      <w:pPr>
        <w:kinsoku w:val="0"/>
        <w:overflowPunct w:val="0"/>
        <w:spacing w:line="200" w:lineRule="exact"/>
        <w:rPr>
          <w:color w:val="000000"/>
          <w:sz w:val="20"/>
        </w:rPr>
      </w:pPr>
    </w:p>
    <w:p w14:paraId="5D00723E">
      <w:pPr>
        <w:kinsoku w:val="0"/>
        <w:overflowPunct w:val="0"/>
        <w:spacing w:line="200" w:lineRule="exact"/>
        <w:rPr>
          <w:color w:val="000000"/>
          <w:sz w:val="20"/>
        </w:rPr>
      </w:pPr>
    </w:p>
    <w:p w14:paraId="173B8A69">
      <w:pPr>
        <w:kinsoku w:val="0"/>
        <w:overflowPunct w:val="0"/>
        <w:spacing w:line="200" w:lineRule="exact"/>
        <w:rPr>
          <w:color w:val="000000"/>
          <w:sz w:val="20"/>
        </w:rPr>
      </w:pPr>
    </w:p>
    <w:p w14:paraId="7E87C7A7">
      <w:pPr>
        <w:kinsoku w:val="0"/>
        <w:overflowPunct w:val="0"/>
        <w:spacing w:line="200" w:lineRule="exact"/>
        <w:rPr>
          <w:color w:val="000000"/>
          <w:sz w:val="20"/>
        </w:rPr>
      </w:pPr>
    </w:p>
    <w:p w14:paraId="56F8B9A0">
      <w:pPr>
        <w:kinsoku w:val="0"/>
        <w:overflowPunct w:val="0"/>
        <w:spacing w:line="200" w:lineRule="exact"/>
        <w:rPr>
          <w:color w:val="000000"/>
          <w:sz w:val="20"/>
        </w:rPr>
      </w:pPr>
    </w:p>
    <w:p w14:paraId="0F66C32C">
      <w:pPr>
        <w:kinsoku w:val="0"/>
        <w:overflowPunct w:val="0"/>
        <w:spacing w:line="200" w:lineRule="exact"/>
        <w:rPr>
          <w:color w:val="000000"/>
          <w:sz w:val="20"/>
        </w:rPr>
      </w:pPr>
    </w:p>
    <w:p w14:paraId="449E6CBF">
      <w:pPr>
        <w:kinsoku w:val="0"/>
        <w:overflowPunct w:val="0"/>
        <w:spacing w:line="200" w:lineRule="exact"/>
        <w:rPr>
          <w:color w:val="000000"/>
          <w:sz w:val="20"/>
        </w:rPr>
      </w:pPr>
    </w:p>
    <w:p w14:paraId="772F5FAE">
      <w:pPr>
        <w:kinsoku w:val="0"/>
        <w:overflowPunct w:val="0"/>
        <w:spacing w:line="200" w:lineRule="exact"/>
        <w:rPr>
          <w:color w:val="000000"/>
          <w:sz w:val="20"/>
        </w:rPr>
      </w:pPr>
    </w:p>
    <w:p w14:paraId="125BE628">
      <w:pPr>
        <w:kinsoku w:val="0"/>
        <w:overflowPunct w:val="0"/>
        <w:spacing w:line="200" w:lineRule="exact"/>
        <w:rPr>
          <w:color w:val="000000"/>
          <w:sz w:val="20"/>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bookmarkStart w:id="84" w:name="_Toc9810_WPSOffice_Level1"/>
      <w:r>
        <w:rPr>
          <w:rFonts w:hint="eastAsia" w:ascii="Times New Roman" w:hAnsi="Times New Roman" w:eastAsia="宋体" w:cs="Times New Roman"/>
          <w:color w:val="000000"/>
          <w:sz w:val="24"/>
        </w:rPr>
        <w:t xml:space="preserve">        </w:t>
      </w:r>
      <w:r>
        <w:rPr>
          <w:rFonts w:hint="eastAsia" w:cs="Times New Roman"/>
          <w:color w:val="000000"/>
          <w:sz w:val="24"/>
          <w:lang w:val="en-US" w:eastAsia="zh-CN"/>
        </w:rPr>
        <w:t xml:space="preserve">  </w:t>
      </w: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b/>
          <w:bCs/>
          <w:color w:val="000000"/>
          <w:sz w:val="24"/>
        </w:rPr>
        <w:t>工</w:t>
      </w:r>
      <w:r>
        <w:rPr>
          <w:rFonts w:hint="eastAsia" w:ascii="Times New Roman" w:hAnsi="Times New Roman" w:eastAsia="宋体" w:cs="Times New Roman"/>
          <w:b/>
          <w:bCs/>
          <w:color w:val="000000"/>
          <w:spacing w:val="2"/>
          <w:sz w:val="24"/>
        </w:rPr>
        <w:t>程</w:t>
      </w:r>
      <w:r>
        <w:rPr>
          <w:rFonts w:hint="eastAsia" w:ascii="Times New Roman" w:hAnsi="Times New Roman" w:eastAsia="宋体" w:cs="Times New Roman"/>
          <w:b/>
          <w:bCs/>
          <w:color w:val="000000"/>
          <w:sz w:val="24"/>
        </w:rPr>
        <w:t>名</w:t>
      </w:r>
      <w:r>
        <w:rPr>
          <w:rFonts w:hint="eastAsia" w:ascii="Times New Roman" w:hAnsi="Times New Roman" w:eastAsia="宋体" w:cs="Times New Roman"/>
          <w:b/>
          <w:bCs/>
          <w:color w:val="000000"/>
          <w:spacing w:val="2"/>
          <w:sz w:val="24"/>
        </w:rPr>
        <w:t>称</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项</w:t>
      </w:r>
      <w:r>
        <w:rPr>
          <w:rFonts w:hint="eastAsia" w:ascii="Times New Roman" w:hAnsi="Times New Roman" w:eastAsia="宋体" w:cs="Times New Roman"/>
          <w:b/>
          <w:bCs/>
          <w:color w:val="000000"/>
          <w:spacing w:val="2"/>
          <w:sz w:val="24"/>
        </w:rPr>
        <w:t>目</w:t>
      </w:r>
      <w:r>
        <w:rPr>
          <w:rFonts w:hint="eastAsia" w:ascii="Times New Roman" w:hAnsi="Times New Roman" w:eastAsia="宋体" w:cs="Times New Roman"/>
          <w:b/>
          <w:bCs/>
          <w:color w:val="000000"/>
          <w:sz w:val="24"/>
        </w:rPr>
        <w:t>编</w:t>
      </w:r>
      <w:r>
        <w:rPr>
          <w:rFonts w:hint="eastAsia" w:ascii="Times New Roman" w:hAnsi="Times New Roman" w:eastAsia="宋体" w:cs="Times New Roman"/>
          <w:b/>
          <w:bCs/>
          <w:color w:val="000000"/>
          <w:spacing w:val="2"/>
          <w:sz w:val="24"/>
        </w:rPr>
        <w:t>号</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供应商</w:t>
      </w:r>
      <w:r>
        <w:rPr>
          <w:rFonts w:hint="eastAsia" w:ascii="Times New Roman" w:hAnsi="Times New Roman" w:eastAsia="宋体" w:cs="Times New Roman"/>
          <w:b/>
          <w:bCs/>
          <w:color w:val="000000"/>
          <w:spacing w:val="2"/>
          <w:sz w:val="24"/>
        </w:rPr>
        <w:t>名</w:t>
      </w:r>
      <w:r>
        <w:rPr>
          <w:rFonts w:hint="eastAsia" w:ascii="Times New Roman" w:hAnsi="Times New Roman" w:eastAsia="宋体" w:cs="Times New Roman"/>
          <w:b/>
          <w:bCs/>
          <w:color w:val="000000"/>
          <w:sz w:val="24"/>
        </w:rPr>
        <w:t>称：</w:t>
      </w:r>
      <w:bookmarkEnd w:id="84"/>
      <w:r>
        <w:rPr>
          <w:rFonts w:hint="eastAsia"/>
          <w:b/>
          <w:bCs/>
          <w:color w:val="000000"/>
          <w:sz w:val="28"/>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lang w:val="en-US" w:eastAsia="zh-CN"/>
        </w:rPr>
      </w:pPr>
      <w:r>
        <w:rPr>
          <w:rFonts w:hint="eastAsia" w:ascii="Times New Roman" w:hAnsi="Times New Roman" w:eastAsia="宋体" w:cs="Times New Roman"/>
          <w:b/>
          <w:bCs/>
          <w:color w:val="000000"/>
          <w:sz w:val="24"/>
          <w:u w:val="none"/>
          <w:lang w:val="en-US" w:eastAsia="zh-CN"/>
        </w:rPr>
        <w:t xml:space="preserve">           分    标：</w:t>
      </w:r>
      <w:r>
        <w:rPr>
          <w:rFonts w:hint="eastAsia"/>
          <w:b/>
          <w:bCs/>
          <w:color w:val="000000"/>
          <w:sz w:val="28"/>
          <w:u w:val="single"/>
          <w:lang w:val="en-US" w:eastAsia="zh-CN"/>
        </w:rPr>
        <w:t xml:space="preserve">              </w:t>
      </w:r>
    </w:p>
    <w:p w14:paraId="5F57A0AD">
      <w:pPr>
        <w:kinsoku w:val="0"/>
        <w:overflowPunct w:val="0"/>
        <w:spacing w:before="3" w:line="150" w:lineRule="exact"/>
        <w:rPr>
          <w:b/>
          <w:bCs/>
          <w:color w:val="000000"/>
          <w:sz w:val="15"/>
        </w:rPr>
      </w:pPr>
    </w:p>
    <w:p w14:paraId="6ED2C7D4">
      <w:pPr>
        <w:kinsoku w:val="0"/>
        <w:overflowPunct w:val="0"/>
        <w:spacing w:line="499" w:lineRule="auto"/>
        <w:ind w:left="1276" w:right="3325"/>
        <w:rPr>
          <w:rFonts w:hint="eastAsia" w:ascii="宋体" w:hAnsi="宋体"/>
          <w:b/>
          <w:bCs/>
          <w:color w:val="000000"/>
          <w:sz w:val="30"/>
          <w:u w:val="single"/>
        </w:rPr>
      </w:pPr>
      <w:bookmarkStart w:id="85" w:name="_Toc26327_WPSOffice_Level1"/>
      <w:r>
        <w:rPr>
          <w:rFonts w:hint="eastAsia" w:ascii="宋体" w:hAnsi="宋体"/>
          <w:b/>
          <w:bCs/>
          <w:color w:val="000000"/>
          <w:sz w:val="30"/>
        </w:rPr>
        <w:t>法</w:t>
      </w:r>
      <w:r>
        <w:rPr>
          <w:rFonts w:hint="eastAsia" w:ascii="宋体" w:hAnsi="宋体"/>
          <w:b/>
          <w:bCs/>
          <w:color w:val="000000"/>
          <w:spacing w:val="2"/>
          <w:sz w:val="30"/>
        </w:rPr>
        <w:t>定</w:t>
      </w:r>
      <w:r>
        <w:rPr>
          <w:rFonts w:hint="eastAsia" w:ascii="宋体" w:hAnsi="宋体"/>
          <w:b/>
          <w:bCs/>
          <w:color w:val="000000"/>
          <w:sz w:val="30"/>
        </w:rPr>
        <w:t>代</w:t>
      </w:r>
      <w:r>
        <w:rPr>
          <w:rFonts w:hint="eastAsia" w:ascii="宋体" w:hAnsi="宋体"/>
          <w:b/>
          <w:bCs/>
          <w:color w:val="000000"/>
          <w:spacing w:val="2"/>
          <w:sz w:val="30"/>
        </w:rPr>
        <w:t>表</w:t>
      </w:r>
      <w:r>
        <w:rPr>
          <w:rFonts w:hint="eastAsia" w:ascii="宋体" w:hAnsi="宋体"/>
          <w:b/>
          <w:bCs/>
          <w:color w:val="000000"/>
          <w:sz w:val="30"/>
        </w:rPr>
        <w:t>人</w:t>
      </w:r>
      <w:r>
        <w:rPr>
          <w:rFonts w:hint="eastAsia" w:ascii="宋体" w:hAnsi="宋体"/>
          <w:b/>
          <w:bCs/>
          <w:color w:val="000000"/>
          <w:spacing w:val="2"/>
          <w:sz w:val="30"/>
        </w:rPr>
        <w:t>或</w:t>
      </w:r>
      <w:r>
        <w:rPr>
          <w:rFonts w:hint="eastAsia" w:ascii="宋体" w:hAnsi="宋体"/>
          <w:b/>
          <w:bCs/>
          <w:color w:val="000000"/>
          <w:sz w:val="30"/>
        </w:rPr>
        <w:t>授</w:t>
      </w:r>
      <w:r>
        <w:rPr>
          <w:rFonts w:hint="eastAsia" w:ascii="宋体" w:hAnsi="宋体"/>
          <w:b/>
          <w:bCs/>
          <w:color w:val="000000"/>
          <w:spacing w:val="2"/>
          <w:sz w:val="30"/>
        </w:rPr>
        <w:t>权</w:t>
      </w:r>
      <w:r>
        <w:rPr>
          <w:rFonts w:hint="eastAsia" w:ascii="宋体" w:hAnsi="宋体"/>
          <w:b/>
          <w:bCs/>
          <w:color w:val="000000"/>
          <w:sz w:val="30"/>
        </w:rPr>
        <w:t>委</w:t>
      </w:r>
      <w:r>
        <w:rPr>
          <w:rFonts w:hint="eastAsia" w:ascii="宋体" w:hAnsi="宋体"/>
          <w:b/>
          <w:bCs/>
          <w:color w:val="000000"/>
          <w:spacing w:val="2"/>
          <w:sz w:val="30"/>
        </w:rPr>
        <w:t>托</w:t>
      </w:r>
      <w:r>
        <w:rPr>
          <w:rFonts w:hint="eastAsia" w:ascii="宋体" w:hAnsi="宋体"/>
          <w:b/>
          <w:bCs/>
          <w:color w:val="000000"/>
          <w:sz w:val="30"/>
        </w:rPr>
        <w:t>代</w:t>
      </w:r>
      <w:r>
        <w:rPr>
          <w:rFonts w:hint="eastAsia" w:ascii="宋体" w:hAnsi="宋体"/>
          <w:b/>
          <w:bCs/>
          <w:color w:val="000000"/>
          <w:spacing w:val="2"/>
          <w:sz w:val="30"/>
        </w:rPr>
        <w:t>理</w:t>
      </w:r>
      <w:r>
        <w:rPr>
          <w:rFonts w:hint="eastAsia" w:ascii="宋体" w:hAnsi="宋体"/>
          <w:b/>
          <w:bCs/>
          <w:color w:val="000000"/>
          <w:sz w:val="30"/>
        </w:rPr>
        <w:t xml:space="preserve">人： </w:t>
      </w:r>
      <w:r>
        <w:rPr>
          <w:rFonts w:hint="eastAsia"/>
          <w:b/>
          <w:bCs/>
          <w:color w:val="000000"/>
          <w:sz w:val="28"/>
          <w:u w:val="single"/>
        </w:rPr>
        <w:t xml:space="preserve">             </w:t>
      </w:r>
    </w:p>
    <w:p w14:paraId="4FFA2AC4">
      <w:pPr>
        <w:kinsoku w:val="0"/>
        <w:overflowPunct w:val="0"/>
        <w:spacing w:line="499" w:lineRule="auto"/>
        <w:ind w:left="1276" w:right="3325"/>
        <w:rPr>
          <w:rFonts w:hint="eastAsia"/>
          <w:b/>
          <w:bCs/>
          <w:color w:val="000000"/>
          <w:sz w:val="28"/>
          <w:u w:val="single"/>
        </w:rPr>
      </w:pPr>
      <w:r>
        <w:rPr>
          <w:rFonts w:hint="eastAsia"/>
          <w:b/>
          <w:bCs/>
          <w:color w:val="000000"/>
          <w:sz w:val="30"/>
        </w:rPr>
        <w:t>供应商</w:t>
      </w:r>
      <w:r>
        <w:rPr>
          <w:rFonts w:hint="eastAsia" w:ascii="宋体" w:hAnsi="宋体"/>
          <w:b/>
          <w:bCs/>
          <w:color w:val="000000"/>
          <w:spacing w:val="2"/>
          <w:sz w:val="30"/>
        </w:rPr>
        <w:t>地</w:t>
      </w:r>
      <w:r>
        <w:rPr>
          <w:rFonts w:hint="eastAsia" w:ascii="宋体" w:hAnsi="宋体"/>
          <w:b/>
          <w:bCs/>
          <w:color w:val="000000"/>
          <w:sz w:val="30"/>
        </w:rPr>
        <w:t>址：</w:t>
      </w:r>
      <w:bookmarkEnd w:id="85"/>
      <w:r>
        <w:rPr>
          <w:rFonts w:hint="eastAsia"/>
          <w:b/>
          <w:bCs/>
          <w:color w:val="000000"/>
          <w:sz w:val="28"/>
          <w:u w:val="single"/>
        </w:rPr>
        <w:t xml:space="preserve">                            </w:t>
      </w:r>
    </w:p>
    <w:p w14:paraId="08D579B0">
      <w:pPr>
        <w:kinsoku w:val="0"/>
        <w:overflowPunct w:val="0"/>
        <w:spacing w:before="16" w:line="280" w:lineRule="exact"/>
        <w:rPr>
          <w:color w:val="000000"/>
          <w:sz w:val="28"/>
        </w:rPr>
      </w:pPr>
    </w:p>
    <w:p w14:paraId="2680643E">
      <w:pPr>
        <w:tabs>
          <w:tab w:val="left" w:pos="1234"/>
          <w:tab w:val="left" w:pos="2737"/>
          <w:tab w:val="left" w:pos="3488"/>
          <w:tab w:val="left" w:pos="4239"/>
        </w:tabs>
        <w:kinsoku w:val="0"/>
        <w:overflowPunct w:val="0"/>
        <w:ind w:left="183"/>
        <w:jc w:val="center"/>
        <w:rPr>
          <w:rFonts w:hint="eastAsia" w:ascii="宋体" w:hAnsi="宋体"/>
          <w:color w:val="000000"/>
          <w:sz w:val="30"/>
        </w:rPr>
      </w:pPr>
      <w:r>
        <w:rPr>
          <w:rFonts w:hint="eastAsia" w:ascii="宋体" w:hAnsi="宋体"/>
          <w:color w:val="000000"/>
          <w:sz w:val="30"/>
        </w:rPr>
        <w:t>日</w:t>
      </w:r>
      <w:r>
        <w:rPr>
          <w:rFonts w:hint="eastAsia" w:ascii="宋体" w:hAnsi="宋体"/>
          <w:color w:val="000000"/>
          <w:sz w:val="30"/>
        </w:rPr>
        <w:tab/>
      </w:r>
      <w:r>
        <w:rPr>
          <w:rFonts w:hint="eastAsia" w:ascii="宋体" w:hAnsi="宋体"/>
          <w:color w:val="000000"/>
          <w:sz w:val="30"/>
        </w:rPr>
        <w:t>期：</w:t>
      </w:r>
      <w:r>
        <w:rPr>
          <w:rFonts w:hint="eastAsia" w:ascii="宋体" w:hAnsi="宋体"/>
          <w:color w:val="000000"/>
          <w:sz w:val="30"/>
        </w:rPr>
        <w:tab/>
      </w:r>
      <w:r>
        <w:rPr>
          <w:rFonts w:hint="eastAsia" w:ascii="宋体" w:hAnsi="宋体"/>
          <w:color w:val="000000"/>
          <w:sz w:val="30"/>
        </w:rPr>
        <w:t>年</w:t>
      </w:r>
      <w:r>
        <w:rPr>
          <w:rFonts w:hint="eastAsia" w:ascii="宋体" w:hAnsi="宋体"/>
          <w:color w:val="000000"/>
          <w:sz w:val="30"/>
        </w:rPr>
        <w:tab/>
      </w:r>
      <w:r>
        <w:rPr>
          <w:rFonts w:hint="eastAsia" w:ascii="宋体" w:hAnsi="宋体"/>
          <w:color w:val="000000"/>
          <w:sz w:val="30"/>
        </w:rPr>
        <w:t>月</w:t>
      </w:r>
      <w:r>
        <w:rPr>
          <w:rFonts w:hint="eastAsia" w:ascii="宋体" w:hAnsi="宋体"/>
          <w:color w:val="000000"/>
          <w:sz w:val="30"/>
        </w:rPr>
        <w:tab/>
      </w:r>
      <w:r>
        <w:rPr>
          <w:rFonts w:hint="eastAsia" w:ascii="宋体" w:hAnsi="宋体"/>
          <w:color w:val="000000"/>
          <w:sz w:val="30"/>
        </w:rPr>
        <w:t>日</w:t>
      </w:r>
    </w:p>
    <w:p w14:paraId="0214FB17">
      <w:pPr>
        <w:tabs>
          <w:tab w:val="left" w:pos="1234"/>
          <w:tab w:val="left" w:pos="2737"/>
          <w:tab w:val="left" w:pos="3488"/>
          <w:tab w:val="left" w:pos="4239"/>
        </w:tabs>
        <w:kinsoku w:val="0"/>
        <w:overflowPunct w:val="0"/>
        <w:ind w:left="183"/>
        <w:jc w:val="center"/>
        <w:rPr>
          <w:rFonts w:hint="eastAsia" w:ascii="宋体" w:hAnsi="宋体"/>
          <w:color w:val="000000"/>
          <w:sz w:val="30"/>
        </w:rPr>
        <w:sectPr>
          <w:pgSz w:w="11906" w:h="16840"/>
          <w:pgMar w:top="1040" w:right="980" w:bottom="980" w:left="1080" w:header="858" w:footer="791" w:gutter="0"/>
          <w:lnNumType w:countBy="0" w:distance="360"/>
          <w:cols w:space="720" w:num="1"/>
        </w:sectPr>
      </w:pPr>
    </w:p>
    <w:p w14:paraId="5414B183">
      <w:pPr>
        <w:pStyle w:val="41"/>
      </w:pPr>
      <w:r>
        <w:t>目</w:t>
      </w:r>
      <w:r>
        <w:tab/>
      </w:r>
      <w:r>
        <w:t>录</w:t>
      </w:r>
    </w:p>
    <w:p w14:paraId="0FDB73E7">
      <w:pPr>
        <w:kinsoku w:val="0"/>
        <w:overflowPunct w:val="0"/>
        <w:spacing w:before="4" w:line="130" w:lineRule="exact"/>
        <w:rPr>
          <w:color w:val="000000"/>
          <w:sz w:val="13"/>
        </w:rPr>
      </w:pPr>
    </w:p>
    <w:p w14:paraId="16F60738">
      <w:pPr>
        <w:kinsoku w:val="0"/>
        <w:overflowPunct w:val="0"/>
        <w:spacing w:line="200" w:lineRule="exact"/>
        <w:rPr>
          <w:color w:val="000000"/>
          <w:sz w:val="20"/>
        </w:rPr>
      </w:pPr>
    </w:p>
    <w:p w14:paraId="74369347">
      <w:pPr>
        <w:kinsoku w:val="0"/>
        <w:overflowPunct w:val="0"/>
        <w:spacing w:line="200" w:lineRule="exact"/>
        <w:rPr>
          <w:color w:val="000000"/>
          <w:sz w:val="20"/>
        </w:rPr>
      </w:pPr>
    </w:p>
    <w:p w14:paraId="42297024">
      <w:pPr>
        <w:kinsoku w:val="0"/>
        <w:overflowPunct w:val="0"/>
        <w:spacing w:line="200" w:lineRule="exact"/>
        <w:rPr>
          <w:color w:val="000000"/>
          <w:sz w:val="20"/>
        </w:rPr>
      </w:pPr>
    </w:p>
    <w:p w14:paraId="744A0266">
      <w:pPr>
        <w:pStyle w:val="11"/>
        <w:rPr>
          <w:color w:val="000000"/>
        </w:rPr>
      </w:pPr>
      <w:r>
        <w:rPr>
          <w:color w:val="000000"/>
        </w:rPr>
        <w:t>二次性报价期间递交：（以下材料，必须提供，复印件加盖公章，否则磋商无效）（如投标人在二次报价时，总报价不做改变，则无需再次提供二次报价已标价工程量清单）</w:t>
      </w:r>
    </w:p>
    <w:p w14:paraId="286F8762">
      <w:pPr>
        <w:pStyle w:val="11"/>
        <w:numPr>
          <w:ilvl w:val="0"/>
          <w:numId w:val="66"/>
        </w:numPr>
        <w:ind w:left="0" w:leftChars="0" w:firstLine="480" w:firstLineChars="0"/>
        <w:rPr>
          <w:b w:val="0"/>
          <w:color w:val="000000"/>
        </w:rPr>
      </w:pPr>
      <w:bookmarkStart w:id="86" w:name="_Toc25353_WPSOffice_Level1"/>
      <w:r>
        <w:rPr>
          <w:color w:val="000000"/>
        </w:rPr>
        <w:t>二次报价磋商报价函；</w:t>
      </w:r>
      <w:bookmarkEnd w:id="86"/>
    </w:p>
    <w:p w14:paraId="17BDD0B5">
      <w:pPr>
        <w:pStyle w:val="11"/>
        <w:numPr>
          <w:ilvl w:val="0"/>
          <w:numId w:val="66"/>
        </w:numPr>
        <w:ind w:left="0" w:leftChars="0" w:firstLine="480" w:firstLineChars="0"/>
        <w:rPr>
          <w:b w:val="0"/>
          <w:color w:val="000000"/>
        </w:rPr>
      </w:pPr>
      <w:bookmarkStart w:id="87" w:name="_Toc18335_WPSOffice_Level1"/>
      <w:r>
        <w:rPr>
          <w:color w:val="000000"/>
        </w:rPr>
        <w:t>二次报价已标价的工程量清单。</w:t>
      </w:r>
      <w:bookmarkEnd w:id="87"/>
    </w:p>
    <w:p w14:paraId="2200462D">
      <w:pPr>
        <w:pStyle w:val="11"/>
        <w:kinsoku w:val="0"/>
        <w:overflowPunct w:val="0"/>
        <w:spacing w:line="310" w:lineRule="auto"/>
        <w:ind w:firstLine="420"/>
        <w:rPr>
          <w:color w:val="000000"/>
          <w:spacing w:val="-1"/>
          <w:szCs w:val="22"/>
        </w:rPr>
        <w:sectPr>
          <w:pgSz w:w="11906" w:h="16840"/>
          <w:pgMar w:top="1040" w:right="780" w:bottom="980" w:left="1080" w:header="858" w:footer="791" w:gutter="0"/>
          <w:lnNumType w:countBy="0" w:distance="360"/>
          <w:cols w:space="720" w:num="1"/>
        </w:sectPr>
      </w:pPr>
    </w:p>
    <w:p w14:paraId="1BA1BBAB">
      <w:pPr>
        <w:pStyle w:val="42"/>
        <w:numPr>
          <w:ilvl w:val="0"/>
          <w:numId w:val="67"/>
        </w:numPr>
        <w:topLinePunct w:val="0"/>
        <w:ind w:left="0" w:leftChars="0" w:firstLine="0" w:firstLineChars="0"/>
        <w:outlineLvl w:val="0"/>
        <w:rPr>
          <w:b w:val="0"/>
        </w:rPr>
      </w:pPr>
      <w:bookmarkStart w:id="88" w:name="_Toc1573"/>
      <w:bookmarkStart w:id="89" w:name="_Toc3397"/>
      <w:r>
        <w:t>二次报价竞争性磋商报价函</w:t>
      </w:r>
      <w:bookmarkEnd w:id="88"/>
      <w:bookmarkEnd w:id="89"/>
    </w:p>
    <w:p w14:paraId="76FBA2D6">
      <w:pPr>
        <w:kinsoku w:val="0"/>
        <w:overflowPunct w:val="0"/>
        <w:spacing w:before="8" w:line="170" w:lineRule="exact"/>
        <w:rPr>
          <w:color w:val="000000"/>
          <w:sz w:val="17"/>
        </w:rPr>
      </w:pPr>
    </w:p>
    <w:p w14:paraId="7D643A1E">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1BF9A998">
      <w:pPr>
        <w:kinsoku w:val="0"/>
        <w:overflowPunct w:val="0"/>
        <w:spacing w:before="9" w:line="120" w:lineRule="exact"/>
        <w:rPr>
          <w:color w:val="000000"/>
          <w:sz w:val="12"/>
        </w:rPr>
      </w:pPr>
    </w:p>
    <w:p w14:paraId="0A601422">
      <w:pPr>
        <w:pStyle w:val="11"/>
        <w:numPr>
          <w:ilvl w:val="0"/>
          <w:numId w:val="68"/>
        </w:numPr>
        <w:ind w:left="0" w:leftChars="0" w:firstLine="480" w:firstLineChars="0"/>
        <w:rPr>
          <w:b w:val="0"/>
          <w:color w:val="000000"/>
        </w:rPr>
      </w:pPr>
      <w:r>
        <w:rPr>
          <w:color w:val="000000"/>
        </w:rPr>
        <w:t>我公司根据收到并研究了</w:t>
      </w:r>
      <w:r>
        <w:rPr>
          <w:color w:val="000000"/>
          <w:u w:val="single"/>
        </w:rPr>
        <w:tab/>
      </w:r>
      <w:r>
        <w:rPr>
          <w:color w:val="000000"/>
        </w:rPr>
        <w:t>工程（项目编号：</w:t>
      </w:r>
      <w:r>
        <w:rPr>
          <w:color w:val="000000"/>
          <w:u w:val="single"/>
        </w:rPr>
        <w:tab/>
      </w:r>
      <w:r>
        <w:rPr>
          <w:color w:val="000000"/>
        </w:rPr>
        <w:t>）的竞争性磋商文件，愿意按竞争性磋商文件规定的内容承担该工程的施工任务，严格执行供应商所承诺的责任和义务。</w:t>
      </w:r>
    </w:p>
    <w:p w14:paraId="61B63760">
      <w:pPr>
        <w:pStyle w:val="11"/>
        <w:numPr>
          <w:ilvl w:val="0"/>
          <w:numId w:val="68"/>
        </w:numPr>
        <w:ind w:left="0" w:leftChars="0" w:firstLine="480" w:firstLineChars="0"/>
        <w:rPr>
          <w:b w:val="0"/>
          <w:color w:val="000000"/>
        </w:rPr>
      </w:pPr>
      <w:r>
        <w:rPr>
          <w:color w:val="000000"/>
        </w:rPr>
        <w:t>我单位经考察现场和研究上述工程竞争性磋商文件的供应商须知、合同条件、工程建设标准、图纸及其他有关文件后，我方愿以人民币</w:t>
      </w:r>
      <w:r>
        <w:rPr>
          <w:color w:val="000000"/>
          <w:u w:val="single"/>
        </w:rPr>
        <w:t>（大写）</w:t>
      </w:r>
      <w:r>
        <w:rPr>
          <w:color w:val="000000"/>
          <w:u w:val="single"/>
        </w:rPr>
        <w:tab/>
      </w:r>
      <w:r>
        <w:rPr>
          <w:color w:val="000000"/>
        </w:rPr>
        <w:t>（小写）</w:t>
      </w:r>
      <w:r>
        <w:rPr>
          <w:color w:val="000000"/>
          <w:u w:val="single"/>
        </w:rPr>
        <w:t>￥</w:t>
      </w:r>
      <w:r>
        <w:rPr>
          <w:color w:val="000000"/>
          <w:u w:val="single"/>
        </w:rPr>
        <w:tab/>
      </w:r>
      <w:r>
        <w:rPr>
          <w:color w:val="000000"/>
        </w:rPr>
        <w:t>的总价作为最终报价，按施工图的设 计要求承包本招标范围内全部工程的施工、竣工和保修。</w:t>
      </w:r>
    </w:p>
    <w:p w14:paraId="264A907C">
      <w:pPr>
        <w:pStyle w:val="11"/>
        <w:numPr>
          <w:ilvl w:val="0"/>
          <w:numId w:val="68"/>
        </w:numPr>
        <w:ind w:left="0" w:leftChars="0" w:firstLine="480" w:firstLineChars="0"/>
        <w:rPr>
          <w:b w:val="0"/>
          <w:color w:val="000000"/>
        </w:rPr>
      </w:pPr>
      <w:r>
        <w:rPr>
          <w:color w:val="000000"/>
        </w:rPr>
        <w:t xml:space="preserve">一旦我方成交，我方保证按合同书中规定的工期 </w:t>
      </w:r>
      <w:r>
        <w:rPr>
          <w:color w:val="000000"/>
          <w:u w:val="single"/>
        </w:rPr>
        <w:t xml:space="preserve">    </w:t>
      </w:r>
      <w:r>
        <w:rPr>
          <w:color w:val="000000"/>
        </w:rPr>
        <w:t>日历天内完成并移交全部工程，并保证工程质量</w:t>
      </w:r>
      <w:r>
        <w:rPr>
          <w:color w:val="000000"/>
          <w:u w:val="single"/>
        </w:rPr>
        <w:tab/>
      </w:r>
      <w:r>
        <w:rPr>
          <w:color w:val="000000"/>
          <w:u w:val="single"/>
        </w:rPr>
        <w:t xml:space="preserve">       </w:t>
      </w:r>
      <w:r>
        <w:rPr>
          <w:color w:val="000000"/>
        </w:rPr>
        <w:t>。</w:t>
      </w:r>
    </w:p>
    <w:p w14:paraId="147EEE0C">
      <w:pPr>
        <w:pStyle w:val="11"/>
        <w:numPr>
          <w:ilvl w:val="0"/>
          <w:numId w:val="68"/>
        </w:numPr>
        <w:ind w:left="0" w:leftChars="0" w:firstLine="480" w:firstLineChars="0"/>
        <w:rPr>
          <w:b w:val="0"/>
          <w:color w:val="000000"/>
        </w:rPr>
      </w:pPr>
      <w:r>
        <w:rPr>
          <w:color w:val="000000"/>
        </w:rPr>
        <w:t>我方同意所递交的响应文件在“磋商供应商须知”第 13 条规定的响应有效期内有效，在此期间内我方的磋商有可能成交，我方将受此约束。</w:t>
      </w:r>
    </w:p>
    <w:p w14:paraId="60B95A3E">
      <w:pPr>
        <w:pStyle w:val="11"/>
        <w:numPr>
          <w:ilvl w:val="0"/>
          <w:numId w:val="68"/>
        </w:numPr>
        <w:ind w:left="0" w:leftChars="0" w:firstLine="480" w:firstLineChars="0"/>
        <w:rPr>
          <w:b w:val="0"/>
          <w:color w:val="000000"/>
        </w:rPr>
      </w:pPr>
      <w:r>
        <w:rPr>
          <w:color w:val="000000"/>
        </w:rPr>
        <w:t>一旦成交，我公司保证按照竞争性磋商文件的要求和与采购人签订的工程施工合同，成立本工程的 项目部，按响应文件拟订的建造师和专业技术人员进驻施工现场实施施工合同。</w:t>
      </w:r>
    </w:p>
    <w:p w14:paraId="0F7CD0E4">
      <w:pPr>
        <w:pStyle w:val="11"/>
        <w:numPr>
          <w:ilvl w:val="0"/>
          <w:numId w:val="68"/>
        </w:numPr>
        <w:ind w:left="0" w:leftChars="0" w:firstLine="480" w:firstLineChars="0"/>
        <w:rPr>
          <w:b w:val="0"/>
          <w:color w:val="000000"/>
        </w:rPr>
      </w:pPr>
      <w:r>
        <w:rPr>
          <w:color w:val="000000"/>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color w:val="000000"/>
          <w:sz w:val="12"/>
        </w:rPr>
      </w:pPr>
    </w:p>
    <w:p w14:paraId="19493B92">
      <w:pPr>
        <w:kinsoku w:val="0"/>
        <w:overflowPunct w:val="0"/>
        <w:spacing w:line="200" w:lineRule="exact"/>
        <w:rPr>
          <w:color w:val="000000"/>
          <w:sz w:val="20"/>
        </w:rPr>
      </w:pPr>
    </w:p>
    <w:p w14:paraId="54D0FC65">
      <w:pPr>
        <w:kinsoku w:val="0"/>
        <w:overflowPunct w:val="0"/>
        <w:spacing w:line="200" w:lineRule="exact"/>
        <w:rPr>
          <w:color w:val="000000"/>
          <w:sz w:val="20"/>
        </w:rPr>
      </w:pPr>
    </w:p>
    <w:p w14:paraId="4FA0D02A">
      <w:pPr>
        <w:kinsoku w:val="0"/>
        <w:overflowPunct w:val="0"/>
        <w:spacing w:line="360" w:lineRule="auto"/>
        <w:rPr>
          <w:color w:val="000000"/>
          <w:sz w:val="20"/>
        </w:rPr>
      </w:pPr>
    </w:p>
    <w:p w14:paraId="310EEFCA">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供应商</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587AE24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法</w:t>
      </w:r>
      <w:r>
        <w:rPr>
          <w:rFonts w:ascii="Times New Roman" w:hAnsi="Times New Roman" w:eastAsia="宋体" w:cs="Times New Roman"/>
          <w:color w:val="000000"/>
          <w:spacing w:val="2"/>
          <w:sz w:val="24"/>
        </w:rPr>
        <w:t>定</w:t>
      </w:r>
      <w:r>
        <w:rPr>
          <w:rFonts w:ascii="Times New Roman" w:hAnsi="Times New Roman" w:eastAsia="宋体" w:cs="Times New Roman"/>
          <w:color w:val="000000"/>
          <w:spacing w:val="-1"/>
          <w:sz w:val="24"/>
        </w:rPr>
        <w:t>代</w:t>
      </w:r>
      <w:r>
        <w:rPr>
          <w:rFonts w:ascii="Times New Roman" w:hAnsi="Times New Roman" w:eastAsia="宋体" w:cs="Times New Roman"/>
          <w:color w:val="000000"/>
          <w:spacing w:val="2"/>
          <w:sz w:val="24"/>
        </w:rPr>
        <w:t>表</w:t>
      </w:r>
      <w:r>
        <w:rPr>
          <w:rFonts w:ascii="Times New Roman" w:hAnsi="Times New Roman" w:eastAsia="宋体" w:cs="Times New Roman"/>
          <w:color w:val="000000"/>
          <w:spacing w:val="-1"/>
          <w:sz w:val="24"/>
        </w:rPr>
        <w:t>人</w:t>
      </w:r>
      <w:r>
        <w:rPr>
          <w:rFonts w:ascii="Times New Roman" w:hAnsi="Times New Roman" w:eastAsia="宋体" w:cs="Times New Roman"/>
          <w:color w:val="000000"/>
          <w:spacing w:val="2"/>
          <w:sz w:val="24"/>
        </w:rPr>
        <w:t>或</w:t>
      </w:r>
      <w:r>
        <w:rPr>
          <w:rFonts w:ascii="Times New Roman" w:hAnsi="Times New Roman" w:eastAsia="宋体" w:cs="Times New Roman"/>
          <w:color w:val="000000"/>
          <w:spacing w:val="-1"/>
          <w:sz w:val="24"/>
        </w:rPr>
        <w:t>其</w:t>
      </w:r>
      <w:r>
        <w:rPr>
          <w:rFonts w:ascii="Times New Roman" w:hAnsi="Times New Roman" w:eastAsia="宋体" w:cs="Times New Roman"/>
          <w:color w:val="000000"/>
          <w:spacing w:val="2"/>
          <w:sz w:val="24"/>
        </w:rPr>
        <w:t>委</w:t>
      </w:r>
      <w:r>
        <w:rPr>
          <w:rFonts w:ascii="Times New Roman" w:hAnsi="Times New Roman" w:eastAsia="宋体" w:cs="Times New Roman"/>
          <w:color w:val="000000"/>
          <w:spacing w:val="-1"/>
          <w:sz w:val="24"/>
        </w:rPr>
        <w:t>托</w:t>
      </w:r>
      <w:r>
        <w:rPr>
          <w:rFonts w:ascii="Times New Roman" w:hAnsi="Times New Roman" w:eastAsia="宋体" w:cs="Times New Roman"/>
          <w:color w:val="000000"/>
          <w:spacing w:val="2"/>
          <w:sz w:val="24"/>
        </w:rPr>
        <w:t>代</w:t>
      </w:r>
      <w:r>
        <w:rPr>
          <w:rFonts w:ascii="Times New Roman" w:hAnsi="Times New Roman" w:eastAsia="宋体" w:cs="Times New Roman"/>
          <w:color w:val="000000"/>
          <w:spacing w:val="-1"/>
          <w:sz w:val="24"/>
        </w:rPr>
        <w:t>理</w:t>
      </w:r>
      <w:r>
        <w:rPr>
          <w:rFonts w:ascii="Times New Roman" w:hAnsi="Times New Roman" w:eastAsia="宋体" w:cs="Times New Roman"/>
          <w:color w:val="000000"/>
          <w:spacing w:val="2"/>
          <w:sz w:val="24"/>
        </w:rPr>
        <w:t>人</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签</w:t>
      </w:r>
      <w:r>
        <w:rPr>
          <w:rFonts w:ascii="Times New Roman" w:hAnsi="Times New Roman" w:eastAsia="宋体" w:cs="Times New Roman"/>
          <w:color w:val="000000"/>
          <w:spacing w:val="2"/>
          <w:sz w:val="24"/>
        </w:rPr>
        <w:t>字</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p>
    <w:p w14:paraId="7D3591E1">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地</w:t>
      </w:r>
      <w:r>
        <w:rPr>
          <w:rFonts w:ascii="Times New Roman" w:hAnsi="Times New Roman" w:eastAsia="宋体" w:cs="Times New Roman"/>
          <w:color w:val="000000"/>
          <w:spacing w:val="2"/>
          <w:sz w:val="24"/>
        </w:rPr>
        <w:t>址</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5223B3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邮</w:t>
      </w:r>
      <w:r>
        <w:rPr>
          <w:rFonts w:ascii="Times New Roman" w:hAnsi="Times New Roman" w:eastAsia="宋体" w:cs="Times New Roman"/>
          <w:color w:val="000000"/>
          <w:spacing w:val="2"/>
          <w:sz w:val="24"/>
        </w:rPr>
        <w:t>政</w:t>
      </w:r>
      <w:r>
        <w:rPr>
          <w:rFonts w:ascii="Times New Roman" w:hAnsi="Times New Roman" w:eastAsia="宋体" w:cs="Times New Roman"/>
          <w:color w:val="000000"/>
          <w:spacing w:val="-1"/>
          <w:sz w:val="24"/>
        </w:rPr>
        <w:t>编</w:t>
      </w:r>
      <w:r>
        <w:rPr>
          <w:rFonts w:ascii="Times New Roman" w:hAnsi="Times New Roman" w:eastAsia="宋体" w:cs="Times New Roman"/>
          <w:color w:val="000000"/>
          <w:spacing w:val="2"/>
          <w:sz w:val="24"/>
        </w:rPr>
        <w:t>码</w:t>
      </w:r>
      <w:r>
        <w:rPr>
          <w:rFonts w:ascii="Times New Roman" w:hAnsi="Times New Roman" w:eastAsia="宋体" w:cs="Times New Roman"/>
          <w:color w:val="000000"/>
          <w:sz w:val="24"/>
        </w:rPr>
        <w:t>：</w:t>
      </w:r>
    </w:p>
    <w:p w14:paraId="6E9C37EE">
      <w:pPr>
        <w:pStyle w:val="11"/>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电</w:t>
      </w:r>
      <w:r>
        <w:rPr>
          <w:rFonts w:ascii="Times New Roman" w:hAnsi="Times New Roman" w:eastAsia="宋体" w:cs="Times New Roman"/>
          <w:color w:val="000000"/>
          <w:spacing w:val="2"/>
          <w:sz w:val="24"/>
        </w:rPr>
        <w:t>话</w:t>
      </w:r>
      <w:r>
        <w:rPr>
          <w:rFonts w:ascii="Times New Roman" w:hAnsi="Times New Roman" w:eastAsia="宋体" w:cs="Times New Roman"/>
          <w:color w:val="000000"/>
          <w:sz w:val="24"/>
        </w:rPr>
        <w:t>：</w:t>
      </w:r>
    </w:p>
    <w:p w14:paraId="189F8C22">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银</w:t>
      </w:r>
      <w:r>
        <w:rPr>
          <w:rFonts w:ascii="Times New Roman" w:hAnsi="Times New Roman" w:eastAsia="宋体" w:cs="Times New Roman"/>
          <w:color w:val="000000"/>
          <w:spacing w:val="2"/>
          <w:sz w:val="24"/>
        </w:rPr>
        <w:t>行</w:t>
      </w:r>
      <w:r>
        <w:rPr>
          <w:rFonts w:ascii="Times New Roman" w:hAnsi="Times New Roman" w:eastAsia="宋体" w:cs="Times New Roman"/>
          <w:color w:val="000000"/>
          <w:spacing w:val="-1"/>
          <w:sz w:val="24"/>
        </w:rPr>
        <w:t>名</w:t>
      </w:r>
      <w:r>
        <w:rPr>
          <w:rFonts w:ascii="Times New Roman" w:hAnsi="Times New Roman" w:eastAsia="宋体" w:cs="Times New Roman"/>
          <w:color w:val="000000"/>
          <w:spacing w:val="2"/>
          <w:sz w:val="24"/>
        </w:rPr>
        <w:t>称</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A237D1E">
      <w:pPr>
        <w:pStyle w:val="11"/>
        <w:tabs>
          <w:tab w:val="left" w:pos="3470"/>
        </w:tabs>
        <w:kinsoku w:val="0"/>
        <w:overflowPunct w:val="0"/>
        <w:spacing w:line="360" w:lineRule="auto"/>
        <w:ind w:right="5506"/>
        <w:rPr>
          <w:rFonts w:ascii="Times New Roman" w:hAnsi="Times New Roman" w:eastAsia="宋体" w:cs="Times New Roman"/>
          <w:color w:val="000000"/>
          <w:spacing w:val="-1"/>
          <w:sz w:val="24"/>
          <w:szCs w:val="22"/>
        </w:rPr>
      </w:pPr>
      <w:r>
        <w:rPr>
          <w:rFonts w:ascii="Times New Roman" w:hAnsi="Times New Roman" w:eastAsia="宋体" w:cs="Times New Roman"/>
          <w:color w:val="000000"/>
          <w:spacing w:val="-1"/>
          <w:sz w:val="24"/>
          <w:szCs w:val="22"/>
        </w:rPr>
        <w:t>银行帐号：</w:t>
      </w:r>
    </w:p>
    <w:p w14:paraId="2A3F36D6">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行</w:t>
      </w:r>
      <w:r>
        <w:rPr>
          <w:rFonts w:ascii="Times New Roman" w:hAnsi="Times New Roman" w:eastAsia="宋体" w:cs="Times New Roman"/>
          <w:color w:val="000000"/>
          <w:spacing w:val="2"/>
          <w:sz w:val="24"/>
        </w:rPr>
        <w:t>地</w:t>
      </w:r>
      <w:r>
        <w:rPr>
          <w:rFonts w:ascii="Times New Roman" w:hAnsi="Times New Roman" w:eastAsia="宋体" w:cs="Times New Roman"/>
          <w:color w:val="000000"/>
          <w:spacing w:val="-1"/>
          <w:sz w:val="24"/>
        </w:rPr>
        <w:t>址</w:t>
      </w:r>
      <w:r>
        <w:rPr>
          <w:rFonts w:ascii="Times New Roman" w:hAnsi="Times New Roman" w:eastAsia="宋体" w:cs="Times New Roman"/>
          <w:color w:val="000000"/>
          <w:sz w:val="24"/>
        </w:rPr>
        <w:t>：</w:t>
      </w:r>
    </w:p>
    <w:p w14:paraId="64119D37">
      <w:pPr>
        <w:kinsoku w:val="0"/>
        <w:overflowPunct w:val="0"/>
        <w:spacing w:before="3" w:line="120" w:lineRule="exact"/>
        <w:rPr>
          <w:color w:val="000000"/>
          <w:sz w:val="12"/>
        </w:rPr>
      </w:pPr>
    </w:p>
    <w:p w14:paraId="4240A4C1">
      <w:pPr>
        <w:kinsoku w:val="0"/>
        <w:overflowPunct w:val="0"/>
        <w:spacing w:line="200" w:lineRule="exact"/>
        <w:rPr>
          <w:color w:val="000000"/>
          <w:sz w:val="20"/>
        </w:rPr>
      </w:pPr>
    </w:p>
    <w:p w14:paraId="3CB8A866">
      <w:pPr>
        <w:pStyle w:val="11"/>
        <w:tabs>
          <w:tab w:val="left" w:pos="1370"/>
          <w:tab w:val="left" w:pos="2001"/>
          <w:tab w:val="left" w:pos="2630"/>
        </w:tabs>
        <w:kinsoku w:val="0"/>
        <w:overflowPunct w:val="0"/>
        <w:rPr>
          <w:rFonts w:ascii="Times New Roman" w:hAnsi="Times New Roman" w:eastAsia="宋体" w:cs="Times New Roman"/>
          <w:color w:val="000000"/>
          <w:sz w:val="24"/>
        </w:rPr>
      </w:pPr>
      <w:r>
        <w:rPr>
          <w:rFonts w:ascii="Times New Roman" w:hAnsi="Times New Roman" w:eastAsia="宋体" w:cs="Times New Roman"/>
          <w:color w:val="000000"/>
          <w:spacing w:val="-1"/>
          <w:sz w:val="24"/>
        </w:rPr>
        <w:t>日</w:t>
      </w:r>
      <w:r>
        <w:rPr>
          <w:rFonts w:ascii="Times New Roman" w:hAnsi="Times New Roman" w:eastAsia="宋体" w:cs="Times New Roman"/>
          <w:color w:val="000000"/>
          <w:spacing w:val="2"/>
          <w:sz w:val="24"/>
        </w:rPr>
        <w:t>期</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r>
        <w:rPr>
          <w:rFonts w:ascii="Times New Roman" w:hAnsi="Times New Roman" w:eastAsia="宋体" w:cs="Times New Roman"/>
          <w:color w:val="000000"/>
          <w:sz w:val="24"/>
        </w:rPr>
        <w:t>年</w:t>
      </w:r>
      <w:r>
        <w:rPr>
          <w:rFonts w:ascii="Times New Roman" w:hAnsi="Times New Roman" w:eastAsia="宋体" w:cs="Times New Roman"/>
          <w:color w:val="000000"/>
          <w:sz w:val="24"/>
        </w:rPr>
        <w:tab/>
      </w:r>
      <w:r>
        <w:rPr>
          <w:rFonts w:ascii="Times New Roman" w:hAnsi="Times New Roman" w:eastAsia="宋体" w:cs="Times New Roman"/>
          <w:color w:val="000000"/>
          <w:sz w:val="24"/>
        </w:rPr>
        <w:t>月</w:t>
      </w:r>
      <w:r>
        <w:rPr>
          <w:rFonts w:ascii="Times New Roman" w:hAnsi="Times New Roman" w:eastAsia="宋体" w:cs="Times New Roman"/>
          <w:color w:val="000000"/>
          <w:sz w:val="24"/>
        </w:rPr>
        <w:tab/>
      </w:r>
      <w:r>
        <w:rPr>
          <w:rFonts w:ascii="Times New Roman" w:hAnsi="Times New Roman" w:eastAsia="宋体" w:cs="Times New Roman"/>
          <w:color w:val="000000"/>
          <w:sz w:val="24"/>
        </w:rPr>
        <w:t>日</w:t>
      </w:r>
    </w:p>
    <w:p w14:paraId="360C1459">
      <w:pPr>
        <w:pStyle w:val="11"/>
        <w:tabs>
          <w:tab w:val="left" w:pos="1370"/>
          <w:tab w:val="left" w:pos="2001"/>
          <w:tab w:val="left" w:pos="2630"/>
        </w:tabs>
        <w:kinsoku w:val="0"/>
        <w:overflowPunct w:val="0"/>
        <w:rPr>
          <w:color w:val="000000"/>
        </w:rPr>
        <w:sectPr>
          <w:pgSz w:w="11906" w:h="16840"/>
          <w:pgMar w:top="1040" w:right="800" w:bottom="980" w:left="1080" w:header="858" w:footer="791" w:gutter="0"/>
          <w:lnNumType w:countBy="0" w:distance="360"/>
          <w:cols w:space="720" w:num="1"/>
        </w:sectPr>
      </w:pPr>
    </w:p>
    <w:p w14:paraId="3C50B2A0">
      <w:pPr>
        <w:pStyle w:val="42"/>
        <w:numPr>
          <w:ilvl w:val="0"/>
          <w:numId w:val="67"/>
        </w:numPr>
        <w:topLinePunct w:val="0"/>
        <w:ind w:left="0" w:leftChars="0" w:firstLine="0" w:firstLineChars="0"/>
        <w:outlineLvl w:val="0"/>
        <w:rPr>
          <w:b w:val="0"/>
        </w:rPr>
      </w:pPr>
      <w:bookmarkStart w:id="90" w:name="_Toc27135"/>
      <w:bookmarkStart w:id="91" w:name="_Toc19875"/>
      <w:r>
        <w:t>已标价工程量清单</w:t>
      </w:r>
      <w:bookmarkEnd w:id="90"/>
      <w:bookmarkEnd w:id="91"/>
    </w:p>
    <w:p w14:paraId="3CA05AA8">
      <w:pPr>
        <w:kinsoku w:val="0"/>
        <w:overflowPunct w:val="0"/>
        <w:spacing w:before="5" w:line="180" w:lineRule="exact"/>
        <w:rPr>
          <w:color w:val="000000"/>
          <w:sz w:val="18"/>
        </w:rPr>
      </w:pPr>
    </w:p>
    <w:p w14:paraId="06155942">
      <w:pPr>
        <w:kinsoku w:val="0"/>
        <w:overflowPunct w:val="0"/>
        <w:spacing w:line="200" w:lineRule="exact"/>
        <w:rPr>
          <w:color w:val="000000"/>
          <w:sz w:val="20"/>
        </w:rPr>
      </w:pPr>
    </w:p>
    <w:p w14:paraId="7DE55445">
      <w:pPr>
        <w:kinsoku w:val="0"/>
        <w:overflowPunct w:val="0"/>
        <w:spacing w:line="200" w:lineRule="exact"/>
        <w:rPr>
          <w:color w:val="000000"/>
          <w:sz w:val="20"/>
        </w:rPr>
      </w:pPr>
    </w:p>
    <w:p w14:paraId="14118E40">
      <w:pPr>
        <w:pStyle w:val="11"/>
        <w:rPr>
          <w:color w:val="000000"/>
        </w:rPr>
      </w:pPr>
      <w:r>
        <w:rPr>
          <w:color w:val="000000"/>
          <w:u w:val="single"/>
        </w:rPr>
        <w:t>（如投标人在二次报价时，总报价不做改变，则无需再次提供二次报价已标价工程量清单）</w:t>
      </w:r>
    </w:p>
    <w:p w14:paraId="1993EF0B">
      <w:pPr>
        <w:pStyle w:val="11"/>
        <w:kinsoku w:val="0"/>
        <w:overflowPunct w:val="0"/>
        <w:ind w:left="217"/>
        <w:jc w:val="center"/>
        <w:rPr>
          <w:color w:val="000000"/>
        </w:rPr>
        <w:sectPr>
          <w:footerReference r:id="rId9" w:type="default"/>
          <w:pgSz w:w="11906" w:h="16840"/>
          <w:pgMar w:top="1040" w:right="980" w:bottom="980" w:left="1080" w:header="858" w:footer="791" w:gutter="0"/>
          <w:lnNumType w:countBy="0" w:distance="360"/>
          <w:cols w:space="720" w:num="1"/>
        </w:sectPr>
      </w:pPr>
    </w:p>
    <w:p w14:paraId="3335E82B">
      <w:pPr>
        <w:pStyle w:val="40"/>
        <w:outlineLvl w:val="0"/>
      </w:pPr>
      <w:r>
        <w:t>附件：中小企业声明函</w:t>
      </w:r>
    </w:p>
    <w:p w14:paraId="5A0AF996">
      <w:pPr>
        <w:spacing w:line="360" w:lineRule="auto"/>
        <w:rPr>
          <w:rFonts w:hint="eastAsia" w:ascii="宋体" w:hAnsi="宋体"/>
          <w:color w:val="000000"/>
        </w:rPr>
      </w:pPr>
    </w:p>
    <w:p w14:paraId="0AED1C8E">
      <w:pPr>
        <w:pStyle w:val="42"/>
        <w:widowControl/>
        <w:numPr>
          <w:ilvl w:val="0"/>
          <w:numId w:val="69"/>
        </w:numPr>
        <w:ind w:left="0" w:leftChars="0" w:firstLine="480" w:firstLineChars="0"/>
        <w:outlineLvl w:val="0"/>
      </w:pPr>
      <w:r>
        <w:t>中小企业声明函（工程格式）</w:t>
      </w:r>
    </w:p>
    <w:p w14:paraId="48F9C9E8">
      <w:pPr>
        <w:widowControl/>
        <w:spacing w:line="360" w:lineRule="auto"/>
        <w:ind w:firstLine="480" w:firstLineChars="200"/>
        <w:jc w:val="left"/>
        <w:rPr>
          <w:rFonts w:hint="eastAsia" w:ascii="宋体" w:hAnsi="宋体" w:cs="宋体"/>
          <w:color w:val="000000"/>
          <w:kern w:val="0"/>
          <w:sz w:val="24"/>
          <w:lang w:bidi="ar"/>
        </w:rPr>
      </w:pPr>
    </w:p>
    <w:p w14:paraId="501202D3">
      <w:pPr>
        <w:pStyle w:val="11"/>
        <w:widowControl/>
        <w:rPr>
          <w:color w:val="000000"/>
        </w:rPr>
      </w:pPr>
      <w:r>
        <w:rPr>
          <w:color w:val="000000"/>
        </w:rPr>
        <w:t>本公司（联合体）郑重声明，根据《政府采购促进中小企业发展管理办法》（财库﹝2020﹞46 号）的规定，本公司参加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11"/>
        <w:widowControl/>
        <w:rPr>
          <w:color w:val="000000"/>
        </w:rPr>
      </w:pPr>
      <w:r>
        <w:rPr>
          <w:color w:val="000000"/>
        </w:rPr>
        <w:t xml:space="preserve">1. </w:t>
      </w:r>
      <w:r>
        <w:rPr>
          <w:color w:val="000000"/>
          <w:u w:val="single"/>
        </w:rPr>
        <w:t>（标的名称）</w:t>
      </w:r>
      <w:r>
        <w:rPr>
          <w:i/>
          <w:color w:val="000000"/>
        </w:rPr>
        <w:t xml:space="preserve"> </w:t>
      </w:r>
      <w:r>
        <w:rPr>
          <w:color w:val="000000"/>
        </w:rPr>
        <w:t>，属于（</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7C2DAD12">
      <w:pPr>
        <w:pStyle w:val="11"/>
        <w:widowControl/>
        <w:rPr>
          <w:color w:val="000000"/>
        </w:rPr>
      </w:pPr>
      <w:r>
        <w:rPr>
          <w:color w:val="000000"/>
        </w:rPr>
        <w:t xml:space="preserve">2. </w:t>
      </w:r>
      <w:r>
        <w:rPr>
          <w:color w:val="000000"/>
          <w:u w:val="single"/>
        </w:rPr>
        <w:t xml:space="preserve">（标的名称） </w:t>
      </w:r>
      <w:r>
        <w:rPr>
          <w:color w:val="000000"/>
        </w:rPr>
        <w:t>，属于</w:t>
      </w:r>
      <w:r>
        <w:rPr>
          <w:u w:val="single"/>
        </w:rPr>
        <w:t>（</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3FD7C22C">
      <w:pPr>
        <w:pStyle w:val="11"/>
        <w:widowControl/>
        <w:rPr>
          <w:color w:val="000000"/>
        </w:rPr>
      </w:pPr>
      <w:r>
        <w:rPr>
          <w:color w:val="000000"/>
        </w:rPr>
        <w:t>……</w:t>
      </w:r>
    </w:p>
    <w:p w14:paraId="6CFABEB9">
      <w:pPr>
        <w:pStyle w:val="11"/>
        <w:widowControl/>
        <w:rPr>
          <w:color w:val="000000"/>
        </w:rPr>
      </w:pPr>
      <w:r>
        <w:rPr>
          <w:color w:val="000000"/>
        </w:rPr>
        <w:t>以上企业，不属于大企业的分支机构，不存在控股股东为大企业的情形，也不存在与大企业的负责人为同一人的情 形。</w:t>
      </w:r>
    </w:p>
    <w:p w14:paraId="34C4D90B">
      <w:pPr>
        <w:pStyle w:val="11"/>
        <w:widowControl/>
        <w:rPr>
          <w:color w:val="000000"/>
        </w:rPr>
      </w:pPr>
      <w:r>
        <w:rPr>
          <w:color w:val="000000"/>
        </w:rPr>
        <w:t xml:space="preserve">本企业对上述声明内容的真实性负责。如有虚假，将依 法承担相应责任。 </w:t>
      </w:r>
    </w:p>
    <w:p w14:paraId="0235655F">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14:paraId="2BC71042">
      <w:pPr>
        <w:widowControl/>
        <w:jc w:val="center"/>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 xml:space="preserve">           企业名称（盖章）：</w:t>
      </w:r>
      <w:r>
        <w:rPr>
          <w:rFonts w:hint="eastAsia" w:ascii="Times New Roman" w:hAnsi="Times New Roman" w:eastAsia="宋体" w:cs="Times New Roman"/>
          <w:color w:val="000000"/>
          <w:kern w:val="0"/>
          <w:sz w:val="24"/>
          <w:u w:val="single"/>
          <w:lang w:bidi="ar"/>
        </w:rPr>
        <w:t xml:space="preserve">                  </w:t>
      </w:r>
    </w:p>
    <w:p w14:paraId="7604B179">
      <w:pPr>
        <w:widowControl/>
        <w:ind w:firstLine="5520" w:firstLineChars="230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日 期：</w:t>
      </w:r>
      <w:r>
        <w:rPr>
          <w:rFonts w:hint="eastAsia" w:ascii="Times New Roman" w:hAnsi="Times New Roman" w:eastAsia="宋体" w:cs="Times New Roman"/>
          <w:color w:val="000000"/>
          <w:kern w:val="0"/>
          <w:sz w:val="24"/>
          <w:u w:val="single"/>
          <w:lang w:bidi="ar"/>
        </w:rPr>
        <w:t xml:space="preserve">                  </w:t>
      </w:r>
    </w:p>
    <w:p w14:paraId="2B9B7138">
      <w:pPr>
        <w:pStyle w:val="34"/>
        <w:rPr>
          <w:rFonts w:hint="eastAsia"/>
          <w:color w:val="000000"/>
        </w:rPr>
      </w:pPr>
    </w:p>
    <w:p w14:paraId="622204F9">
      <w:pPr>
        <w:pStyle w:val="11"/>
        <w:rPr>
          <w:color w:val="000000"/>
        </w:rPr>
      </w:pPr>
      <w:r>
        <w:rPr>
          <w:color w:val="000000"/>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b/>
          <w:color w:val="000000"/>
          <w:sz w:val="24"/>
        </w:rPr>
      </w:pPr>
    </w:p>
    <w:p w14:paraId="6AAB6580">
      <w:pPr>
        <w:spacing w:line="360" w:lineRule="auto"/>
        <w:rPr>
          <w:rFonts w:hint="eastAsia" w:ascii="宋体" w:hAnsi="宋体"/>
          <w:b/>
          <w:color w:val="000000"/>
          <w:sz w:val="24"/>
        </w:rPr>
      </w:pPr>
    </w:p>
    <w:p w14:paraId="6A7BEAAA">
      <w:pPr>
        <w:spacing w:line="360" w:lineRule="auto"/>
        <w:rPr>
          <w:rFonts w:hint="eastAsia" w:ascii="宋体" w:hAnsi="宋体"/>
          <w:b/>
          <w:color w:val="000000"/>
          <w:sz w:val="24"/>
        </w:rPr>
      </w:pPr>
    </w:p>
    <w:p w14:paraId="6FC88AF1">
      <w:pPr>
        <w:spacing w:line="360" w:lineRule="auto"/>
        <w:rPr>
          <w:rFonts w:hint="eastAsia" w:ascii="宋体" w:hAnsi="宋体"/>
          <w:b/>
          <w:color w:val="000000"/>
          <w:sz w:val="24"/>
        </w:rPr>
      </w:pPr>
    </w:p>
    <w:p w14:paraId="5D4C86FC">
      <w:pPr>
        <w:spacing w:line="360" w:lineRule="auto"/>
        <w:rPr>
          <w:rFonts w:hint="eastAsia" w:ascii="宋体" w:hAnsi="宋体"/>
          <w:b/>
          <w:color w:val="000000"/>
          <w:sz w:val="24"/>
        </w:rPr>
      </w:pPr>
    </w:p>
    <w:p w14:paraId="30657548">
      <w:pPr>
        <w:spacing w:line="360" w:lineRule="auto"/>
        <w:rPr>
          <w:rFonts w:hint="eastAsia" w:ascii="宋体" w:hAnsi="宋体"/>
          <w:b/>
          <w:color w:val="000000"/>
          <w:sz w:val="24"/>
        </w:rPr>
      </w:pPr>
    </w:p>
    <w:p w14:paraId="53F8B61D">
      <w:pPr>
        <w:pStyle w:val="40"/>
        <w:outlineLvl w:val="0"/>
      </w:pPr>
      <w:r>
        <w:t>附件：残疾人福利性单位声明函</w:t>
      </w:r>
    </w:p>
    <w:p w14:paraId="7F7266FF">
      <w:pPr>
        <w:spacing w:line="360" w:lineRule="auto"/>
        <w:jc w:val="center"/>
        <w:rPr>
          <w:rFonts w:hint="eastAsia" w:ascii="宋体" w:hAnsi="宋体" w:eastAsia="仿宋_GB2312"/>
          <w:b/>
          <w:color w:val="000000"/>
          <w:spacing w:val="6"/>
          <w:sz w:val="24"/>
        </w:rPr>
      </w:pPr>
    </w:p>
    <w:p w14:paraId="3A83C689">
      <w:pPr>
        <w:spacing w:line="360" w:lineRule="auto"/>
        <w:rPr>
          <w:rFonts w:hint="eastAsia" w:ascii="宋体" w:hAnsi="宋体" w:eastAsia="仿宋_GB2312"/>
          <w:b/>
          <w:color w:val="000000"/>
          <w:spacing w:val="6"/>
          <w:sz w:val="24"/>
        </w:rPr>
      </w:pPr>
    </w:p>
    <w:p w14:paraId="53ED73C6">
      <w:pPr>
        <w:spacing w:line="360" w:lineRule="auto"/>
        <w:jc w:val="center"/>
        <w:rPr>
          <w:rFonts w:hint="eastAsia" w:ascii="宋体" w:hAnsi="宋体" w:eastAsia="仿宋_GB2312"/>
          <w:b/>
          <w:color w:val="000000"/>
          <w:spacing w:val="6"/>
          <w:sz w:val="24"/>
        </w:rPr>
      </w:pPr>
    </w:p>
    <w:p w14:paraId="1433CF47">
      <w:pPr>
        <w:spacing w:line="360" w:lineRule="auto"/>
        <w:jc w:val="center"/>
        <w:rPr>
          <w:rFonts w:hint="eastAsia" w:ascii="宋体" w:hAnsi="宋体" w:eastAsia="仿宋_GB2312"/>
          <w:b/>
          <w:color w:val="000000"/>
          <w:spacing w:val="6"/>
          <w:sz w:val="24"/>
        </w:rPr>
      </w:pPr>
    </w:p>
    <w:p w14:paraId="60370C23">
      <w:pPr>
        <w:pStyle w:val="44"/>
      </w:pPr>
      <w:r>
        <w:t>残疾人福利性单位声明函</w:t>
      </w:r>
    </w:p>
    <w:p w14:paraId="06BB63DB">
      <w:pPr>
        <w:spacing w:line="360" w:lineRule="auto"/>
        <w:rPr>
          <w:rFonts w:hint="eastAsia" w:ascii="宋体" w:hAnsi="宋体" w:cs="宋体"/>
          <w:b/>
          <w:color w:val="000000"/>
          <w:spacing w:val="6"/>
          <w:sz w:val="24"/>
        </w:rPr>
      </w:pPr>
    </w:p>
    <w:p w14:paraId="2DBD8C32">
      <w:pPr>
        <w:pStyle w:val="11"/>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11"/>
        <w:rPr>
          <w:color w:val="000000"/>
        </w:rPr>
      </w:pPr>
      <w:r>
        <w:rPr>
          <w:color w:val="000000"/>
        </w:rPr>
        <w:t>本单位对上述声明的真实性负责。如有虚假，将依法承担相应责任。</w:t>
      </w:r>
    </w:p>
    <w:p w14:paraId="69A69CBC">
      <w:pPr>
        <w:spacing w:line="360" w:lineRule="auto"/>
        <w:ind w:firstLine="504" w:firstLineChars="200"/>
        <w:rPr>
          <w:rFonts w:hint="eastAsia" w:ascii="宋体" w:hAnsi="宋体" w:cs="宋体"/>
          <w:color w:val="000000"/>
          <w:spacing w:val="6"/>
          <w:sz w:val="24"/>
        </w:rPr>
      </w:pPr>
    </w:p>
    <w:p w14:paraId="036C8C7F">
      <w:pPr>
        <w:spacing w:line="360" w:lineRule="auto"/>
        <w:ind w:firstLine="504" w:firstLineChars="200"/>
        <w:rPr>
          <w:rFonts w:hint="eastAsia" w:ascii="宋体" w:hAnsi="宋体" w:cs="宋体"/>
          <w:color w:val="000000"/>
          <w:spacing w:val="6"/>
          <w:sz w:val="24"/>
        </w:rPr>
      </w:pPr>
    </w:p>
    <w:p w14:paraId="1B50C87C">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单位名称（盖章）：</w:t>
      </w:r>
    </w:p>
    <w:p w14:paraId="3C7C97FB">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日  期：</w:t>
      </w:r>
    </w:p>
    <w:p w14:paraId="4F65958E">
      <w:pPr>
        <w:spacing w:line="360" w:lineRule="auto"/>
        <w:rPr>
          <w:rFonts w:ascii="宋体" w:hAnsi="宋体"/>
          <w:color w:val="000000"/>
          <w:sz w:val="28"/>
          <w:szCs w:val="28"/>
        </w:rPr>
      </w:pPr>
    </w:p>
    <w:p w14:paraId="359C95AD">
      <w:pPr>
        <w:spacing w:line="360" w:lineRule="auto"/>
        <w:rPr>
          <w:rFonts w:hint="eastAsia" w:ascii="宋体" w:hAnsi="宋体"/>
          <w:b/>
          <w:color w:val="000000"/>
          <w:szCs w:val="21"/>
        </w:rPr>
      </w:pPr>
    </w:p>
    <w:p w14:paraId="1408E20B">
      <w:pPr>
        <w:autoSpaceDE w:val="0"/>
        <w:autoSpaceDN w:val="0"/>
        <w:spacing w:line="360" w:lineRule="auto"/>
        <w:ind w:left="480" w:hanging="480"/>
        <w:rPr>
          <w:rFonts w:hint="eastAsia" w:ascii="宋体" w:hAnsi="宋体"/>
          <w:color w:val="000000"/>
          <w:szCs w:val="21"/>
        </w:rPr>
      </w:pPr>
    </w:p>
    <w:p w14:paraId="143356E9">
      <w:pPr>
        <w:pStyle w:val="11"/>
        <w:rPr>
          <w:color w:val="000000"/>
        </w:rPr>
      </w:pPr>
      <w:r>
        <w:rPr>
          <w:color w:val="000000"/>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color w:val="000000"/>
          <w:szCs w:val="21"/>
        </w:rPr>
      </w:pPr>
      <w:r>
        <w:rPr>
          <w:rFonts w:ascii="宋体" w:hAnsi="宋体"/>
          <w:color w:val="000000"/>
          <w:szCs w:val="21"/>
        </w:rPr>
        <w:br w:type="page"/>
      </w:r>
    </w:p>
    <w:p w14:paraId="77CD5359">
      <w:pPr>
        <w:autoSpaceDE w:val="0"/>
        <w:autoSpaceDN w:val="0"/>
        <w:spacing w:line="360" w:lineRule="auto"/>
        <w:ind w:left="480" w:hanging="480"/>
        <w:rPr>
          <w:rFonts w:hint="eastAsia" w:ascii="宋体" w:hAnsi="宋体"/>
          <w:color w:val="000000"/>
          <w:szCs w:val="21"/>
        </w:rPr>
      </w:pPr>
    </w:p>
    <w:p w14:paraId="029E36CB">
      <w:pPr>
        <w:autoSpaceDE w:val="0"/>
        <w:autoSpaceDN w:val="0"/>
        <w:spacing w:line="360" w:lineRule="auto"/>
        <w:ind w:left="480" w:hanging="480"/>
        <w:rPr>
          <w:rFonts w:hint="eastAsia" w:ascii="宋体" w:hAnsi="宋体"/>
          <w:color w:val="000000"/>
          <w:szCs w:val="21"/>
        </w:rPr>
      </w:pPr>
    </w:p>
    <w:p w14:paraId="196EFFCF">
      <w:pPr>
        <w:autoSpaceDE w:val="0"/>
        <w:autoSpaceDN w:val="0"/>
        <w:spacing w:line="360" w:lineRule="auto"/>
        <w:ind w:left="480" w:hanging="480"/>
        <w:rPr>
          <w:rFonts w:hint="eastAsia" w:ascii="宋体" w:hAnsi="宋体"/>
          <w:color w:val="000000"/>
          <w:szCs w:val="21"/>
        </w:rPr>
      </w:pPr>
    </w:p>
    <w:p w14:paraId="6258FACE">
      <w:pPr>
        <w:autoSpaceDE w:val="0"/>
        <w:autoSpaceDN w:val="0"/>
        <w:spacing w:line="360" w:lineRule="auto"/>
        <w:ind w:left="480" w:hanging="480"/>
        <w:rPr>
          <w:rFonts w:hint="eastAsia" w:ascii="宋体" w:hAnsi="宋体"/>
          <w:color w:val="000000"/>
          <w:szCs w:val="21"/>
        </w:rPr>
      </w:pPr>
    </w:p>
    <w:p w14:paraId="425AE9FD">
      <w:pPr>
        <w:autoSpaceDE w:val="0"/>
        <w:autoSpaceDN w:val="0"/>
        <w:spacing w:line="360" w:lineRule="auto"/>
        <w:ind w:left="480" w:hanging="480"/>
        <w:rPr>
          <w:rFonts w:hint="eastAsia" w:ascii="宋体" w:hAnsi="宋体"/>
          <w:color w:val="000000"/>
          <w:szCs w:val="21"/>
        </w:rPr>
      </w:pPr>
    </w:p>
    <w:p w14:paraId="2A539D30">
      <w:pPr>
        <w:autoSpaceDE w:val="0"/>
        <w:autoSpaceDN w:val="0"/>
        <w:spacing w:line="360" w:lineRule="auto"/>
        <w:ind w:left="480" w:hanging="480"/>
        <w:rPr>
          <w:rFonts w:hint="eastAsia" w:ascii="宋体" w:hAnsi="宋体"/>
          <w:color w:val="000000"/>
          <w:szCs w:val="21"/>
        </w:rPr>
      </w:pPr>
    </w:p>
    <w:p w14:paraId="0ABE12BC">
      <w:pPr>
        <w:pStyle w:val="42"/>
        <w:outlineLvl w:val="0"/>
      </w:pPr>
      <w:bookmarkStart w:id="92" w:name="_Toc6413138"/>
      <w:bookmarkStart w:id="93" w:name="_Toc29765"/>
      <w:r>
        <w:t>第八章  合同条款及格式</w:t>
      </w:r>
      <w:bookmarkEnd w:id="92"/>
      <w:bookmarkEnd w:id="93"/>
    </w:p>
    <w:p w14:paraId="000233B8">
      <w:pPr>
        <w:jc w:val="left"/>
        <w:rPr>
          <w:rFonts w:ascii="宋体" w:hAnsi="宋体" w:cs="Courier New"/>
          <w:b/>
          <w:color w:val="000000"/>
        </w:rPr>
      </w:pPr>
      <w:r>
        <w:rPr>
          <w:rFonts w:ascii="宋体" w:hAnsi="宋体" w:cs="Courier New"/>
          <w:b/>
          <w:color w:val="000000"/>
        </w:rPr>
        <w:br w:type="page"/>
      </w:r>
    </w:p>
    <w:p w14:paraId="5A726F76">
      <w:pPr>
        <w:ind w:left="1400" w:hanging="1400" w:hangingChars="500"/>
        <w:jc w:val="right"/>
        <w:rPr>
          <w:rFonts w:hint="eastAsia" w:ascii="宋体" w:hAnsi="宋体" w:eastAsia="黑体" w:cs="宋体"/>
          <w:b/>
          <w:sz w:val="28"/>
          <w:szCs w:val="28"/>
        </w:rPr>
      </w:pPr>
      <w:r>
        <w:rPr>
          <w:rFonts w:hint="eastAsia" w:ascii="黑体" w:hAnsi="宋体" w:eastAsia="黑体"/>
          <w:bCs/>
          <w:sz w:val="28"/>
          <w:szCs w:val="21"/>
        </w:rPr>
        <w:t>合同编号：</w:t>
      </w:r>
      <w:r>
        <w:rPr>
          <w:rFonts w:hint="eastAsia" w:ascii="宋体" w:hAnsi="宋体" w:eastAsia="黑体" w:cs="宋体"/>
          <w:b/>
          <w:sz w:val="28"/>
          <w:szCs w:val="28"/>
        </w:rPr>
        <w:t xml:space="preserve"> </w:t>
      </w:r>
    </w:p>
    <w:p w14:paraId="61865B9E">
      <w:pPr>
        <w:ind w:left="3112" w:hanging="3112" w:hangingChars="500"/>
        <w:jc w:val="center"/>
        <w:rPr>
          <w:b/>
          <w:bCs/>
          <w:sz w:val="62"/>
        </w:rPr>
      </w:pPr>
    </w:p>
    <w:p w14:paraId="67C37DF1">
      <w:pPr>
        <w:ind w:left="2"/>
        <w:jc w:val="center"/>
        <w:rPr>
          <w:rFonts w:eastAsia="黑体"/>
          <w:b/>
          <w:bCs/>
          <w:sz w:val="48"/>
          <w:szCs w:val="48"/>
        </w:rPr>
      </w:pPr>
      <w:r>
        <w:rPr>
          <w:rFonts w:eastAsia="黑体"/>
          <w:b/>
          <w:bCs/>
          <w:sz w:val="48"/>
          <w:szCs w:val="48"/>
        </w:rPr>
        <w:t xml:space="preserve">     </w:t>
      </w:r>
    </w:p>
    <w:p w14:paraId="181EAE1F">
      <w:pPr>
        <w:ind w:left="2"/>
        <w:jc w:val="center"/>
        <w:rPr>
          <w:rFonts w:ascii="黑体" w:hAnsi="黑体" w:eastAsia="黑体"/>
          <w:b/>
          <w:bCs/>
          <w:spacing w:val="40"/>
          <w:sz w:val="84"/>
          <w:szCs w:val="84"/>
        </w:rPr>
      </w:pPr>
    </w:p>
    <w:p w14:paraId="3153ECBF">
      <w:pPr>
        <w:ind w:left="2"/>
        <w:jc w:val="center"/>
        <w:rPr>
          <w:rFonts w:ascii="黑体" w:hAnsi="黑体" w:eastAsia="黑体"/>
          <w:b/>
          <w:bCs/>
          <w:spacing w:val="40"/>
          <w:sz w:val="84"/>
          <w:szCs w:val="84"/>
        </w:rPr>
      </w:pPr>
      <w:r>
        <w:rPr>
          <w:rFonts w:ascii="黑体" w:hAnsi="黑体" w:eastAsia="黑体"/>
          <w:b/>
          <w:bCs/>
          <w:spacing w:val="40"/>
          <w:sz w:val="72"/>
          <w:szCs w:val="72"/>
        </w:rPr>
        <w:t>施工承包合同</w:t>
      </w:r>
    </w:p>
    <w:p w14:paraId="1E49C07D">
      <w:pPr>
        <w:ind w:left="1400" w:hanging="1400" w:hangingChars="500"/>
        <w:rPr>
          <w:sz w:val="28"/>
        </w:rPr>
      </w:pPr>
    </w:p>
    <w:p w14:paraId="2820FDE6">
      <w:pPr>
        <w:spacing w:line="720" w:lineRule="auto"/>
        <w:rPr>
          <w:rFonts w:eastAsia="黑体"/>
          <w:sz w:val="30"/>
        </w:rPr>
      </w:pPr>
    </w:p>
    <w:p w14:paraId="12DF240B">
      <w:pPr>
        <w:spacing w:line="720" w:lineRule="auto"/>
        <w:rPr>
          <w:rFonts w:eastAsia="黑体"/>
          <w:sz w:val="30"/>
        </w:rPr>
      </w:pPr>
    </w:p>
    <w:p w14:paraId="300CB142">
      <w:pPr>
        <w:spacing w:line="720" w:lineRule="auto"/>
        <w:rPr>
          <w:rFonts w:eastAsia="黑体"/>
          <w:sz w:val="30"/>
        </w:rPr>
      </w:pPr>
    </w:p>
    <w:p w14:paraId="19BCC2CF">
      <w:pPr>
        <w:spacing w:line="720" w:lineRule="auto"/>
        <w:ind w:firstLine="636" w:firstLineChars="198"/>
        <w:rPr>
          <w:rFonts w:hint="eastAsia" w:eastAsia="黑体"/>
          <w:b/>
          <w:sz w:val="32"/>
          <w:szCs w:val="32"/>
        </w:rPr>
      </w:pPr>
      <w:r>
        <w:rPr>
          <w:rFonts w:eastAsia="黑体"/>
          <w:b/>
          <w:sz w:val="32"/>
          <w:szCs w:val="32"/>
        </w:rPr>
        <w:t>发包人</w:t>
      </w:r>
      <w:r>
        <w:rPr>
          <w:rFonts w:hint="eastAsia" w:eastAsia="黑体"/>
          <w:b/>
          <w:sz w:val="32"/>
          <w:szCs w:val="32"/>
        </w:rPr>
        <w:t>（甲方）</w:t>
      </w:r>
      <w:r>
        <w:rPr>
          <w:rFonts w:eastAsia="黑体"/>
          <w:b/>
          <w:sz w:val="32"/>
          <w:szCs w:val="32"/>
        </w:rPr>
        <w:t>：</w:t>
      </w:r>
      <w:r>
        <w:rPr>
          <w:rFonts w:hint="eastAsia" w:hAnsi="宋体" w:eastAsia="黑体"/>
          <w:b/>
          <w:bCs/>
          <w:snapToGrid w:val="0"/>
          <w:kern w:val="0"/>
          <w:sz w:val="32"/>
          <w:szCs w:val="32"/>
        </w:rPr>
        <w:t xml:space="preserve"> </w:t>
      </w:r>
    </w:p>
    <w:p w14:paraId="416591CD">
      <w:pPr>
        <w:spacing w:line="720" w:lineRule="auto"/>
        <w:ind w:firstLine="636" w:firstLineChars="198"/>
        <w:rPr>
          <w:rFonts w:hint="eastAsia" w:eastAsia="黑体"/>
          <w:b/>
          <w:kern w:val="0"/>
          <w:sz w:val="32"/>
          <w:szCs w:val="32"/>
        </w:rPr>
      </w:pPr>
      <w:r>
        <w:rPr>
          <w:rFonts w:eastAsia="黑体"/>
          <w:b/>
          <w:sz w:val="32"/>
          <w:szCs w:val="32"/>
        </w:rPr>
        <w:t>承包人</w:t>
      </w:r>
      <w:r>
        <w:rPr>
          <w:rFonts w:hint="eastAsia" w:eastAsia="黑体"/>
          <w:b/>
          <w:sz w:val="32"/>
          <w:szCs w:val="32"/>
        </w:rPr>
        <w:t>（乙方）</w:t>
      </w:r>
      <w:r>
        <w:rPr>
          <w:rFonts w:eastAsia="黑体"/>
          <w:b/>
          <w:sz w:val="32"/>
          <w:szCs w:val="32"/>
        </w:rPr>
        <w:t>：</w:t>
      </w:r>
      <w:r>
        <w:rPr>
          <w:rFonts w:hint="eastAsia" w:eastAsia="黑体"/>
          <w:b/>
          <w:kern w:val="0"/>
          <w:sz w:val="32"/>
          <w:szCs w:val="32"/>
        </w:rPr>
        <w:t xml:space="preserve">  </w:t>
      </w:r>
    </w:p>
    <w:p w14:paraId="14CBD901">
      <w:pPr>
        <w:spacing w:line="720" w:lineRule="auto"/>
        <w:rPr>
          <w:rFonts w:eastAsia="黑体"/>
          <w:b/>
          <w:sz w:val="32"/>
          <w:szCs w:val="32"/>
        </w:rPr>
      </w:pPr>
    </w:p>
    <w:p w14:paraId="3D4C276E">
      <w:pPr>
        <w:spacing w:line="720" w:lineRule="auto"/>
        <w:ind w:firstLine="1928" w:firstLineChars="600"/>
        <w:rPr>
          <w:rFonts w:eastAsia="黑体"/>
          <w:b/>
          <w:sz w:val="32"/>
          <w:szCs w:val="32"/>
        </w:rPr>
      </w:pPr>
      <w:r>
        <w:rPr>
          <w:rFonts w:eastAsia="黑体"/>
          <w:b/>
          <w:sz w:val="32"/>
          <w:szCs w:val="32"/>
        </w:rPr>
        <w:t>签订日期：</w:t>
      </w:r>
      <w:r>
        <w:rPr>
          <w:rFonts w:hint="eastAsia" w:eastAsia="黑体"/>
          <w:b/>
          <w:sz w:val="32"/>
          <w:szCs w:val="32"/>
        </w:rPr>
        <w:t xml:space="preserve">    </w:t>
      </w:r>
      <w:r>
        <w:rPr>
          <w:rFonts w:eastAsia="黑体"/>
          <w:b/>
          <w:sz w:val="32"/>
          <w:szCs w:val="32"/>
        </w:rPr>
        <w:t>年</w:t>
      </w:r>
      <w:r>
        <w:rPr>
          <w:rFonts w:hint="eastAsia" w:eastAsia="黑体"/>
          <w:b/>
          <w:sz w:val="32"/>
          <w:szCs w:val="32"/>
        </w:rPr>
        <w:t xml:space="preserve">  月   日</w:t>
      </w:r>
    </w:p>
    <w:p w14:paraId="67105BE5">
      <w:pPr>
        <w:rPr>
          <w:rFonts w:ascii="黑体" w:hAnsi="黑体" w:cs="Arial"/>
          <w:b/>
          <w:sz w:val="32"/>
          <w:szCs w:val="32"/>
        </w:rPr>
      </w:pPr>
    </w:p>
    <w:p w14:paraId="3576AC93">
      <w:pPr>
        <w:rPr>
          <w:rFonts w:ascii="黑体" w:hAnsi="黑体" w:cs="Arial"/>
          <w:sz w:val="32"/>
          <w:szCs w:val="32"/>
        </w:rPr>
      </w:pPr>
    </w:p>
    <w:p w14:paraId="4EEAFC9A">
      <w:pPr>
        <w:rPr>
          <w:rFonts w:ascii="黑体" w:hAnsi="黑体" w:cs="Arial"/>
          <w:sz w:val="32"/>
          <w:szCs w:val="32"/>
        </w:rPr>
      </w:pPr>
    </w:p>
    <w:p w14:paraId="3D6A47D8">
      <w:pPr>
        <w:pStyle w:val="41"/>
      </w:pPr>
      <w:r>
        <w:t>目  录</w:t>
      </w:r>
    </w:p>
    <w:p w14:paraId="526B6206">
      <w:pPr>
        <w:jc w:val="center"/>
        <w:rPr>
          <w:rFonts w:ascii="黑体" w:hAnsi="黑体" w:eastAsia="黑体" w:cs="Arial"/>
          <w:sz w:val="44"/>
          <w:szCs w:val="44"/>
        </w:rPr>
      </w:pPr>
    </w:p>
    <w:p w14:paraId="413F5FC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"1-1"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"_Toc13865"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一</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5CCE9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"_Toc18473"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二</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成交通知书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_Toc18473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lang w:val="en-US" w:eastAsia="zh-CN"/>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248206D">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"_Toc3268" </w:instrText>
      </w:r>
      <w:r>
        <w:rPr>
          <w:rFonts w:hint="eastAsia" w:ascii="黑体" w:hAnsi="黑体" w:eastAsia="黑体" w:cs="黑体"/>
          <w:sz w:val="21"/>
          <w:szCs w:val="21"/>
        </w:rPr>
        <w:fldChar w:fldCharType="separate"/>
      </w:r>
      <w:r>
        <w:rPr>
          <w:rFonts w:hint="eastAsia" w:ascii="黑体" w:hAnsi="黑体" w:eastAsia="黑体" w:cs="黑体"/>
          <w:sz w:val="21"/>
          <w:szCs w:val="21"/>
        </w:rPr>
        <w:t>三</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_Toc3268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AE84A01">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"_Toc622" </w:instrText>
      </w:r>
      <w:r>
        <w:rPr>
          <w:rFonts w:hint="eastAsia" w:ascii="黑体" w:hAnsi="黑体" w:eastAsia="黑体" w:cs="黑体"/>
          <w:sz w:val="21"/>
          <w:szCs w:val="21"/>
        </w:rPr>
        <w:fldChar w:fldCharType="separate"/>
      </w:r>
      <w:r>
        <w:rPr>
          <w:rFonts w:hint="eastAsia" w:ascii="黑体" w:hAnsi="黑体" w:eastAsia="黑体" w:cs="黑体"/>
          <w:sz w:val="21"/>
          <w:szCs w:val="21"/>
        </w:rPr>
        <w:t>四</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_Toc622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193CEE0">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"_Toc4053"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安全生产合同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38</w:t>
      </w:r>
    </w:p>
    <w:p w14:paraId="4698C1C9">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"_Toc8568" </w:instrText>
      </w:r>
      <w:r>
        <w:rPr>
          <w:rFonts w:hint="eastAsia" w:ascii="黑体" w:hAnsi="黑体" w:eastAsia="黑体" w:cs="黑体"/>
          <w:sz w:val="21"/>
          <w:szCs w:val="21"/>
        </w:rPr>
        <w:fldChar w:fldCharType="separate"/>
      </w:r>
      <w:r>
        <w:rPr>
          <w:rFonts w:hint="eastAsia" w:ascii="黑体" w:hAnsi="黑体" w:eastAsia="黑体" w:cs="黑体"/>
          <w:sz w:val="21"/>
          <w:szCs w:val="21"/>
        </w:rPr>
        <w:t>六</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廉政合同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rPr>
        <w:t>4</w:t>
      </w:r>
      <w:r>
        <w:rPr>
          <w:rFonts w:hint="eastAsia" w:ascii="黑体" w:hAnsi="黑体" w:eastAsia="黑体" w:cs="黑体"/>
          <w:sz w:val="21"/>
          <w:szCs w:val="21"/>
          <w:lang w:val="en-US" w:eastAsia="zh-CN"/>
        </w:rPr>
        <w:t>0</w:t>
      </w:r>
    </w:p>
    <w:p w14:paraId="6F6230D4">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t>七</w:t>
      </w:r>
      <w:r>
        <w:rPr>
          <w:rFonts w:hint="eastAsia" w:ascii="黑体" w:hAnsi="黑体" w:eastAsia="黑体" w:cs="黑体"/>
          <w:sz w:val="21"/>
          <w:szCs w:val="21"/>
          <w:lang w:val="en-US" w:eastAsia="zh-CN"/>
        </w:rPr>
        <w:t>. 预付款担保</w:t>
      </w:r>
      <w:r>
        <w:rPr>
          <w:rFonts w:hint="eastAsia" w:ascii="黑体" w:hAnsi="黑体" w:eastAsia="黑体" w:cs="黑体"/>
          <w:sz w:val="21"/>
          <w:szCs w:val="21"/>
        </w:rPr>
        <w:tab/>
      </w:r>
      <w:r>
        <w:rPr>
          <w:rFonts w:hint="eastAsia" w:ascii="黑体" w:hAnsi="黑体" w:eastAsia="黑体" w:cs="黑体"/>
          <w:sz w:val="21"/>
          <w:szCs w:val="21"/>
          <w:lang w:val="en-US" w:eastAsia="zh-CN"/>
        </w:rPr>
        <w:t>143</w:t>
      </w:r>
    </w:p>
    <w:p w14:paraId="10B29D5D">
      <w:pPr>
        <w:pStyle w:val="17"/>
        <w:tabs>
          <w:tab w:val="right" w:leader="dot" w:pos="9922"/>
        </w:tabs>
        <w:spacing w:line="480" w:lineRule="exact"/>
        <w:rPr>
          <w:rFonts w:hint="default" w:ascii="黑体" w:hAnsi="黑体" w:eastAsia="黑体" w:cs="黑体"/>
          <w:sz w:val="21"/>
          <w:szCs w:val="21"/>
          <w:lang w:val="en-US"/>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"_Toc22747"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 xml:space="preserve">八. </w:t>
      </w:r>
      <w:r>
        <w:rPr>
          <w:rFonts w:hint="eastAsia" w:ascii="黑体" w:hAnsi="黑体" w:eastAsia="黑体" w:cs="黑体"/>
          <w:sz w:val="21"/>
          <w:szCs w:val="21"/>
        </w:rPr>
        <w:t>工程质量保修书</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42</w:t>
      </w:r>
    </w:p>
    <w:p w14:paraId="625BF86B">
      <w:pPr>
        <w:spacing w:line="480" w:lineRule="exact"/>
        <w:rPr>
          <w:rFonts w:hint="eastAsia" w:ascii="黑体" w:hAnsi="黑体" w:eastAsia="黑体" w:cs="黑体"/>
          <w:sz w:val="21"/>
          <w:szCs w:val="21"/>
        </w:rPr>
      </w:pPr>
      <w:r>
        <w:rPr>
          <w:rFonts w:hint="eastAsia" w:ascii="黑体" w:hAnsi="黑体" w:eastAsia="黑体" w:cs="黑体"/>
          <w:sz w:val="21"/>
          <w:szCs w:val="21"/>
        </w:rPr>
        <w:fldChar w:fldCharType="end"/>
      </w:r>
    </w:p>
    <w:p w14:paraId="374FA7DD">
      <w:pPr>
        <w:rPr>
          <w:rFonts w:ascii="黑体" w:hAnsi="黑体" w:cs="Arial"/>
          <w:sz w:val="32"/>
          <w:szCs w:val="32"/>
        </w:rPr>
      </w:pPr>
    </w:p>
    <w:p w14:paraId="36A5CE80">
      <w:pPr>
        <w:rPr>
          <w:rFonts w:ascii="黑体" w:hAnsi="黑体" w:cs="Arial"/>
          <w:sz w:val="32"/>
          <w:szCs w:val="32"/>
        </w:rPr>
      </w:pPr>
    </w:p>
    <w:p w14:paraId="5BE409EE">
      <w:pPr>
        <w:rPr>
          <w:rFonts w:ascii="黑体" w:hAnsi="黑体" w:cs="Arial"/>
          <w:sz w:val="32"/>
          <w:szCs w:val="32"/>
        </w:rPr>
      </w:pPr>
    </w:p>
    <w:p w14:paraId="181B4AD2">
      <w:pPr>
        <w:rPr>
          <w:rFonts w:ascii="黑体" w:hAnsi="黑体" w:cs="Arial"/>
          <w:sz w:val="32"/>
          <w:szCs w:val="32"/>
        </w:rPr>
      </w:pPr>
    </w:p>
    <w:p w14:paraId="775D516C">
      <w:pPr>
        <w:rPr>
          <w:rFonts w:ascii="黑体" w:hAnsi="黑体" w:cs="Arial"/>
          <w:sz w:val="32"/>
          <w:szCs w:val="32"/>
        </w:rPr>
      </w:pPr>
    </w:p>
    <w:p w14:paraId="107BA803">
      <w:pPr>
        <w:rPr>
          <w:rFonts w:ascii="黑体" w:hAnsi="黑体" w:cs="Arial"/>
          <w:sz w:val="32"/>
          <w:szCs w:val="32"/>
        </w:rPr>
      </w:pPr>
    </w:p>
    <w:p w14:paraId="5ACF838F">
      <w:pPr>
        <w:rPr>
          <w:rFonts w:ascii="黑体" w:hAnsi="黑体" w:cs="Arial"/>
          <w:sz w:val="32"/>
          <w:szCs w:val="32"/>
        </w:rPr>
      </w:pPr>
    </w:p>
    <w:p w14:paraId="03066ABF">
      <w:pPr>
        <w:rPr>
          <w:rFonts w:ascii="黑体" w:hAnsi="黑体" w:cs="Arial"/>
          <w:sz w:val="32"/>
          <w:szCs w:val="32"/>
        </w:rPr>
      </w:pPr>
    </w:p>
    <w:p w14:paraId="74D3EBA4">
      <w:pPr>
        <w:pStyle w:val="11"/>
        <w:rPr>
          <w:rFonts w:ascii="黑体" w:hAnsi="黑体" w:cs="Arial"/>
          <w:sz w:val="32"/>
          <w:szCs w:val="32"/>
        </w:rPr>
      </w:pPr>
    </w:p>
    <w:p w14:paraId="44A3078F">
      <w:pPr>
        <w:pStyle w:val="11"/>
        <w:rPr>
          <w:rFonts w:ascii="黑体" w:hAnsi="黑体" w:cs="Arial"/>
          <w:sz w:val="32"/>
          <w:szCs w:val="32"/>
        </w:rPr>
      </w:pPr>
    </w:p>
    <w:p w14:paraId="5DFA6DBD">
      <w:pPr>
        <w:rPr>
          <w:rFonts w:ascii="黑体" w:hAnsi="黑体" w:cs="Arial"/>
          <w:sz w:val="32"/>
          <w:szCs w:val="32"/>
        </w:rPr>
      </w:pPr>
    </w:p>
    <w:p w14:paraId="073DA1CE">
      <w:pPr>
        <w:rPr>
          <w:rFonts w:ascii="黑体" w:hAnsi="黑体" w:cs="Arial"/>
          <w:sz w:val="32"/>
          <w:szCs w:val="32"/>
        </w:rPr>
      </w:pPr>
    </w:p>
    <w:p w14:paraId="43617F0E">
      <w:bookmarkStart w:id="94" w:name="_Toc13865"/>
    </w:p>
    <w:p w14:paraId="7133D526">
      <w:pPr>
        <w:pStyle w:val="42"/>
        <w:numPr>
          <w:ilvl w:val="0"/>
          <w:numId w:val="70"/>
        </w:numPr>
        <w:ind w:left="0" w:leftChars="0" w:firstLine="480" w:firstLineChars="0"/>
        <w:outlineLvl w:val="0"/>
      </w:pPr>
      <w:r>
        <w:t>合同协议书</w:t>
      </w:r>
      <w:bookmarkEnd w:id="94"/>
    </w:p>
    <w:p w14:paraId="64E6AE06">
      <w:pPr>
        <w:pStyle w:val="11"/>
        <w:rPr>
          <w:color w:val="000000"/>
          <w:u w:val="single"/>
        </w:rPr>
      </w:pPr>
      <w:r>
        <w:rPr>
          <w:color w:val="000000"/>
        </w:rPr>
        <w:t>发包人（全称）：</w:t>
      </w:r>
      <w:r>
        <w:rPr>
          <w:color w:val="000000"/>
          <w:u w:val="single"/>
        </w:rPr>
        <w:t xml:space="preserve">  上思县农业农村局        </w:t>
      </w:r>
    </w:p>
    <w:p w14:paraId="6FFF8160">
      <w:pPr>
        <w:spacing w:line="400" w:lineRule="exact"/>
        <w:jc w:val="left"/>
        <w:rPr>
          <w:rFonts w:hint="eastAsia" w:ascii="宋体" w:hAnsi="宋体" w:cs="宋体"/>
          <w:color w:val="000000"/>
          <w:szCs w:val="21"/>
        </w:rPr>
      </w:pPr>
    </w:p>
    <w:p w14:paraId="1B32E088">
      <w:pPr>
        <w:pStyle w:val="11"/>
        <w:rPr>
          <w:color w:val="000000"/>
          <w:u w:val="single"/>
        </w:rPr>
      </w:pPr>
      <w:r>
        <w:rPr>
          <w:color w:val="000000"/>
        </w:rPr>
        <w:t>承包人（全称）：</w:t>
      </w:r>
      <w:r>
        <w:rPr>
          <w:color w:val="000000"/>
          <w:u w:val="single"/>
        </w:rPr>
        <w:t xml:space="preserve">                          </w:t>
      </w:r>
    </w:p>
    <w:p w14:paraId="5E1C03F4">
      <w:pPr>
        <w:pStyle w:val="11"/>
        <w:rPr>
          <w:color w:val="000000"/>
        </w:rPr>
      </w:pPr>
      <w:r>
        <w:rPr>
          <w:color w:val="000000"/>
        </w:rPr>
        <w:t>根据《中华人民共和国民法典》、《中华人民共和国建筑法》及有关法律规定，遵循平等、自愿、公平和诚实信用的原则，双方就</w:t>
      </w:r>
      <w:r>
        <w:rPr>
          <w:color w:val="000000"/>
          <w:u w:val="single"/>
        </w:rPr>
        <w:t xml:space="preserve"> </w:t>
      </w:r>
      <w:r>
        <w:rPr>
          <w:rFonts w:hint="eastAsia"/>
          <w:color w:val="000000"/>
          <w:u w:val="single"/>
          <w:lang w:eastAsia="zh-CN"/>
        </w:rPr>
        <w:t>2025年平福乡平福村汪柳屯产业道路项目</w:t>
      </w:r>
      <w:r>
        <w:rPr>
          <w:color w:val="000000"/>
          <w:u w:val="single"/>
        </w:rPr>
        <w:t xml:space="preserve"> </w:t>
      </w:r>
      <w:r>
        <w:rPr>
          <w:color w:val="000000"/>
        </w:rPr>
        <w:t>施工及有关事项协商一致，共同达成如下协议：</w:t>
      </w:r>
    </w:p>
    <w:p w14:paraId="2821FAA8">
      <w:pPr>
        <w:pStyle w:val="11"/>
      </w:pPr>
      <w:r>
        <w:t>1. 本协议书与下列文件一起构成合同文件：</w:t>
      </w:r>
    </w:p>
    <w:p w14:paraId="188745A4">
      <w:pPr>
        <w:pStyle w:val="11"/>
      </w:pPr>
      <w:bookmarkStart w:id="95" w:name="_Toc17971"/>
      <w:r>
        <w:t>（1）</w:t>
      </w:r>
      <w:bookmarkEnd w:id="95"/>
      <w:r>
        <w:t>成交通知书；</w:t>
      </w:r>
    </w:p>
    <w:p w14:paraId="26C4D7C2">
      <w:pPr>
        <w:pStyle w:val="11"/>
      </w:pPr>
      <w:bookmarkStart w:id="96" w:name="_Toc1944"/>
      <w:r>
        <w:t>（2）</w:t>
      </w:r>
      <w:bookmarkEnd w:id="96"/>
      <w:r>
        <w:t>投标函及投标函附录；</w:t>
      </w:r>
    </w:p>
    <w:p w14:paraId="107DE395">
      <w:pPr>
        <w:pStyle w:val="11"/>
      </w:pPr>
      <w:bookmarkStart w:id="97" w:name="_Toc21374"/>
      <w:r>
        <w:t>（3）</w:t>
      </w:r>
      <w:bookmarkEnd w:id="97"/>
      <w:r>
        <w:t>专用合同条款（含附加条款）；</w:t>
      </w:r>
    </w:p>
    <w:p w14:paraId="763B3142">
      <w:pPr>
        <w:pStyle w:val="11"/>
      </w:pPr>
      <w:bookmarkStart w:id="98" w:name="_Toc639"/>
      <w:r>
        <w:t>（4）</w:t>
      </w:r>
      <w:bookmarkEnd w:id="98"/>
      <w:r>
        <w:t>通用合同条款；</w:t>
      </w:r>
    </w:p>
    <w:p w14:paraId="7179A078">
      <w:pPr>
        <w:pStyle w:val="11"/>
      </w:pPr>
      <w:r>
        <w:t>（5）技术标准和要求（合同技术条款）；</w:t>
      </w:r>
    </w:p>
    <w:p w14:paraId="698DEE28">
      <w:pPr>
        <w:pStyle w:val="11"/>
      </w:pPr>
      <w:r>
        <w:t>（6）图纸；</w:t>
      </w:r>
    </w:p>
    <w:p w14:paraId="6E4AB42F">
      <w:pPr>
        <w:pStyle w:val="11"/>
      </w:pPr>
      <w:r>
        <w:t>（7）已标价的工程量清单；</w:t>
      </w:r>
    </w:p>
    <w:p w14:paraId="4FDF0680">
      <w:pPr>
        <w:pStyle w:val="11"/>
      </w:pPr>
      <w:bookmarkStart w:id="99" w:name="_Toc13454"/>
      <w:r>
        <w:t>（8）</w:t>
      </w:r>
      <w:bookmarkEnd w:id="99"/>
      <w:r>
        <w:t>安全生产合同；</w:t>
      </w:r>
    </w:p>
    <w:p w14:paraId="479F593E">
      <w:pPr>
        <w:pStyle w:val="11"/>
      </w:pPr>
      <w:bookmarkStart w:id="100" w:name="_Toc15254"/>
      <w:r>
        <w:t>（9）</w:t>
      </w:r>
      <w:bookmarkEnd w:id="100"/>
      <w:r>
        <w:t>廉政合同；</w:t>
      </w:r>
    </w:p>
    <w:p w14:paraId="7A6D4980">
      <w:pPr>
        <w:pStyle w:val="11"/>
      </w:pPr>
      <w:bookmarkStart w:id="101" w:name="_Toc32659"/>
      <w:r>
        <w:t>（10）</w:t>
      </w:r>
      <w:bookmarkEnd w:id="101"/>
      <w:bookmarkStart w:id="102" w:name="_Toc8217"/>
      <w:r>
        <w:t>工程质量保修书；</w:t>
      </w:r>
    </w:p>
    <w:p w14:paraId="6028054E">
      <w:pPr>
        <w:pStyle w:val="11"/>
      </w:pPr>
      <w:r>
        <w:t>（11）</w:t>
      </w:r>
      <w:bookmarkEnd w:id="102"/>
      <w:r>
        <w:t>其他合同文件。</w:t>
      </w:r>
    </w:p>
    <w:p w14:paraId="68AC1165">
      <w:pPr>
        <w:pStyle w:val="11"/>
      </w:pPr>
      <w: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11"/>
        <w:rPr>
          <w:color w:val="000000"/>
          <w:u w:val="single"/>
        </w:rPr>
      </w:pPr>
      <w:r>
        <w:rPr>
          <w:color w:val="000000"/>
        </w:rPr>
        <w:t>3. 工程名称：</w:t>
      </w:r>
      <w:r>
        <w:rPr>
          <w:b/>
          <w:color w:val="5F497A"/>
          <w:u w:val="single"/>
        </w:rPr>
        <w:t xml:space="preserve">                            </w:t>
      </w:r>
      <w:r>
        <w:rPr>
          <w:color w:val="000000"/>
          <w:u w:val="single"/>
        </w:rPr>
        <w:t xml:space="preserve"> </w:t>
      </w:r>
    </w:p>
    <w:p w14:paraId="6FF42271">
      <w:pPr>
        <w:pStyle w:val="11"/>
        <w:rPr>
          <w:color w:val="000000"/>
        </w:rPr>
      </w:pPr>
      <w:r>
        <w:rPr>
          <w:color w:val="000000"/>
        </w:rPr>
        <w:t>4. 工程地点：</w:t>
      </w:r>
      <w:r>
        <w:rPr>
          <w:color w:val="000000"/>
          <w:u w:val="single"/>
        </w:rPr>
        <w:t xml:space="preserve">                             </w:t>
      </w:r>
    </w:p>
    <w:p w14:paraId="01DBCAEC">
      <w:pPr>
        <w:spacing w:line="360" w:lineRule="auto"/>
        <w:ind w:firstLine="470" w:firstLineChars="196"/>
        <w:rPr>
          <w:rFonts w:hAnsi="宋体" w:cs="宋体"/>
          <w:szCs w:val="21"/>
          <w:u w:val="single"/>
        </w:rPr>
      </w:pPr>
      <w:r>
        <w:rPr>
          <w:rFonts w:hint="eastAsia" w:ascii="Times New Roman" w:hAnsi="Times New Roman" w:eastAsia="宋体" w:cs="Times New Roman"/>
          <w:color w:val="000000"/>
          <w:kern w:val="0"/>
          <w:sz w:val="24"/>
          <w:szCs w:val="20"/>
        </w:rPr>
        <w:t xml:space="preserve">5. </w:t>
      </w:r>
      <w:r>
        <w:rPr>
          <w:rFonts w:hint="eastAsia" w:hAnsi="宋体" w:cs="宋体"/>
          <w:bCs/>
          <w:szCs w:val="21"/>
        </w:rPr>
        <w:t>工程立项批准文号：</w:t>
      </w:r>
      <w:r>
        <w:rPr>
          <w:rFonts w:hint="eastAsia" w:hAnsi="宋体" w:cs="宋体"/>
          <w:szCs w:val="21"/>
          <w:u w:val="single"/>
        </w:rPr>
        <w:t xml:space="preserve">                             。</w:t>
      </w:r>
    </w:p>
    <w:p w14:paraId="30A7B23B">
      <w:pPr>
        <w:pStyle w:val="11"/>
      </w:pPr>
      <w:r>
        <w:t>6. 资金来源：</w:t>
      </w:r>
      <w:r>
        <w:rPr>
          <w:u w:val="single"/>
        </w:rPr>
        <w:t xml:space="preserve">    上级资金                 。</w:t>
      </w:r>
    </w:p>
    <w:p w14:paraId="79678175">
      <w:pPr>
        <w:spacing w:line="400" w:lineRule="exact"/>
        <w:ind w:firstLine="480" w:firstLineChars="200"/>
        <w:rPr>
          <w:rFonts w:ascii="宋体" w:hAnsi="宋体" w:cs="宋体"/>
          <w:szCs w:val="21"/>
        </w:rPr>
      </w:pPr>
      <w:r>
        <w:rPr>
          <w:rFonts w:hint="eastAsia" w:ascii="Times New Roman" w:hAnsi="Times New Roman" w:eastAsia="宋体" w:cs="Times New Roman"/>
          <w:color w:val="000000"/>
          <w:kern w:val="0"/>
          <w:sz w:val="24"/>
          <w:szCs w:val="20"/>
        </w:rPr>
        <w:t>7.</w:t>
      </w:r>
      <w:r>
        <w:rPr>
          <w:rFonts w:hint="eastAsia" w:ascii="宋体" w:hAnsi="宋体" w:cs="宋体"/>
          <w:szCs w:val="21"/>
        </w:rPr>
        <w:t xml:space="preserve"> 签约合同价：人民币（大写）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p>
    <w:p w14:paraId="4C13D05F">
      <w:pPr>
        <w:pStyle w:val="11"/>
      </w:pPr>
      <w:r>
        <w:t>8.本工程的农民工工资保证金按合同总价的2％计算，即为人民币大写：</w:t>
      </w:r>
      <w:r>
        <w:rPr>
          <w:u w:val="single"/>
        </w:rPr>
        <w:t xml:space="preserve">            </w:t>
      </w:r>
      <w:r>
        <w:t>（¥</w:t>
      </w:r>
      <w:r>
        <w:rPr>
          <w:u w:val="single"/>
        </w:rPr>
        <w:t xml:space="preserve">      </w:t>
      </w:r>
      <w:r>
        <w:t>元），承包人需在开工前向发包人提供农民工工资缴纳凭证。。</w:t>
      </w:r>
    </w:p>
    <w:p w14:paraId="7328D723">
      <w:pPr>
        <w:pStyle w:val="11"/>
      </w:pPr>
      <w:r>
        <w:t>9. 承包方式：</w:t>
      </w:r>
      <w:r>
        <w:rPr>
          <w:highlight w:val="none"/>
          <w:u w:val="single"/>
        </w:rPr>
        <w:t xml:space="preserve"> 固定单价承包 </w:t>
      </w:r>
      <w:r>
        <w:rPr>
          <w:u w:val="single"/>
        </w:rPr>
        <w:t xml:space="preserve"> </w:t>
      </w:r>
      <w:r>
        <w:t>。甲方负责施工期间的水、电。</w:t>
      </w:r>
    </w:p>
    <w:p w14:paraId="2CE861D5">
      <w:pPr>
        <w:pStyle w:val="11"/>
        <w:rPr>
          <w:u w:val="single"/>
        </w:rPr>
      </w:pPr>
      <w:r>
        <w:t>10.承包人项目经理姓名：</w:t>
      </w:r>
      <w:r>
        <w:rPr>
          <w:u w:val="single"/>
        </w:rPr>
        <w:t xml:space="preserve">      </w:t>
      </w:r>
      <w:r>
        <w:t>，证书号：</w:t>
      </w:r>
      <w:r>
        <w:rPr>
          <w:u w:val="single"/>
        </w:rPr>
        <w:t xml:space="preserve">            </w:t>
      </w:r>
      <w:r>
        <w:t>，联系电话：</w:t>
      </w:r>
      <w:r>
        <w:rPr>
          <w:u w:val="single"/>
        </w:rPr>
        <w:t xml:space="preserve">       </w:t>
      </w:r>
      <w:r>
        <w:t>。</w:t>
      </w:r>
    </w:p>
    <w:p w14:paraId="7DE65B20">
      <w:pPr>
        <w:pStyle w:val="11"/>
      </w:pPr>
      <w:r>
        <w:t>11.工程建设内容及规模：</w:t>
      </w:r>
      <w:r>
        <w:rPr>
          <w:u w:val="single"/>
        </w:rPr>
        <w:t xml:space="preserve">                        </w:t>
      </w:r>
      <w:r>
        <w:t xml:space="preserve">等，具体内容详见图纸及工程量清单。  </w:t>
      </w:r>
    </w:p>
    <w:p w14:paraId="51C76241">
      <w:pPr>
        <w:pStyle w:val="11"/>
      </w:pPr>
      <w:r>
        <w:t>12. 工程质量达到设计要求和符合</w:t>
      </w:r>
      <w:r>
        <w:rPr>
          <w:color w:val="000000"/>
        </w:rPr>
        <w:t>工程质量</w:t>
      </w:r>
      <w:r>
        <w:rPr>
          <w:color w:val="000000"/>
          <w:u w:val="single"/>
        </w:rPr>
        <w:t xml:space="preserve"> 合格  </w:t>
      </w:r>
      <w:r>
        <w:rPr>
          <w:color w:val="000000"/>
        </w:rPr>
        <w:t>标准</w:t>
      </w:r>
      <w:r>
        <w:t>。</w:t>
      </w:r>
    </w:p>
    <w:p w14:paraId="1ABBC9BB">
      <w:pPr>
        <w:pStyle w:val="11"/>
      </w:pPr>
      <w:r>
        <w:t>13. 承包人承诺执行监理人开工通知，计划开工日期：</w:t>
      </w:r>
      <w:r>
        <w:rPr>
          <w:u w:val="single"/>
        </w:rPr>
        <w:t>2025</w:t>
      </w:r>
      <w:r>
        <w:t>年</w:t>
      </w:r>
      <w:r>
        <w:rPr>
          <w:u w:val="single"/>
        </w:rPr>
        <w:t xml:space="preserve">   </w:t>
      </w:r>
      <w:r>
        <w:t>月</w:t>
      </w:r>
      <w:r>
        <w:rPr>
          <w:u w:val="single"/>
        </w:rPr>
        <w:t xml:space="preserve">    </w:t>
      </w:r>
      <w:r>
        <w:t>日，计划完工日期：</w:t>
      </w:r>
      <w:r>
        <w:rPr>
          <w:u w:val="single"/>
        </w:rPr>
        <w:t xml:space="preserve"> 2025</w:t>
      </w:r>
      <w:r>
        <w:t>年</w:t>
      </w:r>
      <w:r>
        <w:rPr>
          <w:u w:val="single"/>
        </w:rPr>
        <w:t xml:space="preserve">  </w:t>
      </w:r>
      <w:r>
        <w:t>月</w:t>
      </w:r>
      <w:r>
        <w:rPr>
          <w:u w:val="single"/>
        </w:rPr>
        <w:t xml:space="preserve">   </w:t>
      </w:r>
      <w:r>
        <w:t xml:space="preserve"> 日，计划工期为</w:t>
      </w:r>
      <w:r>
        <w:rPr>
          <w:u w:val="single"/>
        </w:rPr>
        <w:t xml:space="preserve"> </w:t>
      </w:r>
      <w:r>
        <w:rPr>
          <w:rFonts w:hint="eastAsia"/>
          <w:u w:val="single"/>
          <w:lang w:val="en-US" w:eastAsia="zh-CN"/>
        </w:rPr>
        <w:t>120</w:t>
      </w:r>
      <w:r>
        <w:rPr>
          <w:u w:val="single"/>
        </w:rPr>
        <w:t xml:space="preserve"> </w:t>
      </w:r>
      <w:r>
        <w:t xml:space="preserve">日历天, 具体开工日期以开工通知为准。 </w:t>
      </w:r>
    </w:p>
    <w:p w14:paraId="3AD8A1B0">
      <w:pPr>
        <w:pStyle w:val="11"/>
      </w:pPr>
      <w:r>
        <w:t>14.承包人承诺按合同约定承担工程的实施、完成及缺陷修复。</w:t>
      </w:r>
    </w:p>
    <w:p w14:paraId="1D32F47C">
      <w:pPr>
        <w:pStyle w:val="11"/>
      </w:pPr>
      <w:r>
        <w:t>15.发包人承诺按合同约定的条件、时间和方式向承包人支付合同价款。</w:t>
      </w:r>
    </w:p>
    <w:p w14:paraId="053824B9">
      <w:pPr>
        <w:pStyle w:val="11"/>
      </w:pPr>
      <w:r>
        <w:t>16.合同未尽事宜，双方另行签订补充协议。补充协议是合同的组成部分。</w:t>
      </w:r>
    </w:p>
    <w:p w14:paraId="692F002B">
      <w:pPr>
        <w:pStyle w:val="11"/>
      </w:pPr>
      <w:bookmarkStart w:id="103" w:name="_Toc168476290"/>
      <w:bookmarkStart w:id="104" w:name="_Toc168475887"/>
      <w:bookmarkStart w:id="105" w:name="_Toc144974830"/>
      <w:r>
        <w:t>17.</w:t>
      </w:r>
      <w:bookmarkEnd w:id="103"/>
      <w:bookmarkEnd w:id="104"/>
      <w:bookmarkEnd w:id="105"/>
      <w:r>
        <w:t>本协议书一式</w:t>
      </w:r>
      <w:r>
        <w:rPr>
          <w:u w:val="single"/>
        </w:rPr>
        <w:t xml:space="preserve"> 陆</w:t>
      </w:r>
      <w:r>
        <w:t>份，甲乙双方各执</w:t>
      </w:r>
      <w:r>
        <w:rPr>
          <w:u w:val="single"/>
        </w:rPr>
        <w:t xml:space="preserve"> 叁</w:t>
      </w:r>
      <w:r>
        <w:t>份。</w:t>
      </w:r>
    </w:p>
    <w:p w14:paraId="005E92D8">
      <w:pPr>
        <w:spacing w:line="400" w:lineRule="exact"/>
        <w:ind w:firstLine="359" w:firstLineChars="171"/>
        <w:rPr>
          <w:rFonts w:ascii="宋体" w:hAnsi="宋体" w:cs="宋体"/>
          <w:szCs w:val="21"/>
        </w:rPr>
      </w:pPr>
    </w:p>
    <w:p w14:paraId="1EF70F6D">
      <w:pPr>
        <w:spacing w:line="380" w:lineRule="exact"/>
        <w:rPr>
          <w:rFonts w:ascii="Times New Roman" w:hAnsi="Times New Roman" w:eastAsia="宋体" w:cs="Times New Roman"/>
          <w:sz w:val="24"/>
          <w:szCs w:val="21"/>
        </w:rPr>
      </w:pPr>
      <w:bookmarkStart w:id="106" w:name="_Toc16822"/>
      <w:bookmarkStart w:id="107" w:name="_Toc14578"/>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w:t>
      </w:r>
    </w:p>
    <w:p w14:paraId="0B58A5E2">
      <w:pPr>
        <w:spacing w:line="380" w:lineRule="exact"/>
        <w:ind w:firstLine="1320" w:firstLineChars="550"/>
        <w:rPr>
          <w:rFonts w:ascii="Times New Roman" w:hAnsi="Times New Roman" w:eastAsia="宋体" w:cs="Times New Roman"/>
          <w:sz w:val="24"/>
          <w:szCs w:val="21"/>
        </w:rPr>
      </w:pPr>
      <w:r>
        <w:rPr>
          <w:rFonts w:hint="eastAsia" w:ascii="Times New Roman" w:hAnsi="Times New Roman" w:eastAsia="宋体" w:cs="Times New Roman"/>
          <w:sz w:val="24"/>
          <w:szCs w:val="21"/>
        </w:rPr>
        <w:t>（盖单位公章）                              （盖单位公章）</w:t>
      </w:r>
    </w:p>
    <w:p w14:paraId="07FE8353">
      <w:pPr>
        <w:pStyle w:val="11"/>
        <w:rPr>
          <w:szCs w:val="21"/>
        </w:rPr>
      </w:pPr>
    </w:p>
    <w:p w14:paraId="49F90F04">
      <w:pPr>
        <w:spacing w:line="38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法定代表人:                                    法定代表人:            </w:t>
      </w:r>
    </w:p>
    <w:p w14:paraId="1189470E">
      <w:pPr>
        <w:spacing w:line="500" w:lineRule="exact"/>
        <w:ind w:left="4110" w:leftChars="300" w:hanging="3480" w:hangingChars="1450"/>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bookmarkEnd w:id="106"/>
    <w:bookmarkEnd w:id="107"/>
    <w:p w14:paraId="7F8DA8AB">
      <w:pPr>
        <w:tabs>
          <w:tab w:val="left" w:pos="4410"/>
        </w:tabs>
        <w:spacing w:line="400" w:lineRule="exact"/>
        <w:ind w:firstLine="420" w:firstLineChars="200"/>
        <w:jc w:val="left"/>
        <w:rPr>
          <w:rFonts w:hint="eastAsia" w:ascii="宋体" w:hAnsi="宋体" w:cs="宋体"/>
          <w:color w:val="000000"/>
          <w:szCs w:val="21"/>
        </w:rPr>
      </w:pPr>
      <w:bookmarkStart w:id="108" w:name="_Toc18473"/>
    </w:p>
    <w:p w14:paraId="28172C7C">
      <w:pPr>
        <w:tabs>
          <w:tab w:val="left" w:pos="4410"/>
        </w:tabs>
        <w:spacing w:line="400" w:lineRule="exact"/>
        <w:ind w:firstLine="480" w:firstLineChars="200"/>
        <w:jc w:val="left"/>
        <w:rPr>
          <w:rFonts w:hint="eastAsia"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w:t>
      </w:r>
    </w:p>
    <w:p w14:paraId="7761CB2D">
      <w:pPr>
        <w:pStyle w:val="11"/>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1535608D">
      <w:pPr>
        <w:pStyle w:val="11"/>
        <w:rPr>
          <w:color w:val="000000"/>
        </w:rPr>
      </w:pPr>
      <w:r>
        <w:rPr>
          <w:color w:val="000000"/>
        </w:rPr>
        <w:t>邮政编码：</w:t>
      </w:r>
      <w:r>
        <w:rPr>
          <w:color w:val="000000"/>
          <w:u w:val="single"/>
        </w:rPr>
        <w:t xml:space="preserve">                   </w:t>
      </w:r>
      <w:r>
        <w:rPr>
          <w:color w:val="000000"/>
        </w:rPr>
        <w:t xml:space="preserve">                  邮政编码：</w:t>
      </w:r>
      <w:r>
        <w:rPr>
          <w:color w:val="000000"/>
          <w:u w:val="single"/>
        </w:rPr>
        <w:t xml:space="preserve">                          </w:t>
      </w:r>
    </w:p>
    <w:p w14:paraId="6D25A6AF">
      <w:pPr>
        <w:pStyle w:val="11"/>
        <w:rPr>
          <w:color w:val="000000"/>
        </w:rPr>
      </w:pPr>
      <w:r>
        <w:rPr>
          <w:color w:val="000000"/>
        </w:rPr>
        <w:t>法定代表人：</w:t>
      </w:r>
      <w:r>
        <w:rPr>
          <w:color w:val="000000"/>
          <w:u w:val="single"/>
        </w:rPr>
        <w:t xml:space="preserve">                 </w:t>
      </w:r>
      <w:r>
        <w:rPr>
          <w:color w:val="000000"/>
        </w:rPr>
        <w:t xml:space="preserve">                  法定代表人：</w:t>
      </w:r>
      <w:r>
        <w:rPr>
          <w:color w:val="000000"/>
          <w:u w:val="single"/>
        </w:rPr>
        <w:t xml:space="preserve">                        </w:t>
      </w:r>
    </w:p>
    <w:p w14:paraId="063ACC91">
      <w:pPr>
        <w:pStyle w:val="11"/>
        <w:rPr>
          <w:color w:val="000000"/>
        </w:rPr>
      </w:pPr>
      <w:r>
        <w:rPr>
          <w:color w:val="000000"/>
        </w:rPr>
        <w:t>委托代理人：</w:t>
      </w:r>
      <w:r>
        <w:rPr>
          <w:color w:val="000000"/>
          <w:u w:val="single"/>
        </w:rPr>
        <w:t xml:space="preserve">                 </w:t>
      </w:r>
      <w:r>
        <w:rPr>
          <w:color w:val="000000"/>
        </w:rPr>
        <w:t xml:space="preserve">                  委托代理人：</w:t>
      </w:r>
      <w:r>
        <w:rPr>
          <w:color w:val="000000"/>
          <w:u w:val="single"/>
        </w:rPr>
        <w:t xml:space="preserve">                         </w:t>
      </w:r>
    </w:p>
    <w:p w14:paraId="065DC572">
      <w:pPr>
        <w:pStyle w:val="11"/>
        <w:rPr>
          <w:color w:val="000000"/>
        </w:rPr>
      </w:pPr>
      <w:r>
        <w:rPr>
          <w:color w:val="000000"/>
        </w:rPr>
        <w:t>电  话：</w:t>
      </w:r>
      <w:r>
        <w:rPr>
          <w:color w:val="000000"/>
          <w:u w:val="single"/>
        </w:rPr>
        <w:t xml:space="preserve">                     </w:t>
      </w:r>
      <w:r>
        <w:rPr>
          <w:color w:val="000000"/>
        </w:rPr>
        <w:t xml:space="preserve">                  电  话：</w:t>
      </w:r>
      <w:r>
        <w:rPr>
          <w:color w:val="000000"/>
          <w:u w:val="single"/>
        </w:rPr>
        <w:t xml:space="preserve">                            </w:t>
      </w:r>
    </w:p>
    <w:p w14:paraId="549B9807">
      <w:pPr>
        <w:pStyle w:val="11"/>
        <w:rPr>
          <w:color w:val="000000"/>
        </w:rPr>
      </w:pPr>
      <w:r>
        <w:rPr>
          <w:color w:val="000000"/>
        </w:rPr>
        <w:t>传  真：</w:t>
      </w:r>
      <w:r>
        <w:rPr>
          <w:color w:val="000000"/>
          <w:u w:val="single"/>
        </w:rPr>
        <w:t xml:space="preserve">                     </w:t>
      </w:r>
      <w:r>
        <w:rPr>
          <w:color w:val="000000"/>
        </w:rPr>
        <w:t xml:space="preserve">                  传  真：</w:t>
      </w:r>
      <w:r>
        <w:rPr>
          <w:color w:val="000000"/>
          <w:u w:val="single"/>
        </w:rPr>
        <w:t xml:space="preserve">                             </w:t>
      </w:r>
    </w:p>
    <w:p w14:paraId="754021CA">
      <w:pPr>
        <w:pStyle w:val="11"/>
        <w:rPr>
          <w:color w:val="000000"/>
        </w:rPr>
      </w:pPr>
      <w:r>
        <w:rPr>
          <w:color w:val="000000"/>
        </w:rPr>
        <w:t>电子信箱：</w:t>
      </w:r>
      <w:r>
        <w:rPr>
          <w:color w:val="000000"/>
          <w:u w:val="single"/>
        </w:rPr>
        <w:t xml:space="preserve">                   </w:t>
      </w:r>
      <w:r>
        <w:rPr>
          <w:color w:val="000000"/>
        </w:rPr>
        <w:t xml:space="preserve">                  电子信箱：</w:t>
      </w:r>
      <w:r>
        <w:rPr>
          <w:color w:val="000000"/>
          <w:u w:val="single"/>
        </w:rPr>
        <w:t xml:space="preserve">                         </w:t>
      </w:r>
    </w:p>
    <w:p w14:paraId="4AF21976">
      <w:pPr>
        <w:pStyle w:val="11"/>
        <w:rPr>
          <w:color w:val="000000"/>
        </w:rPr>
      </w:pPr>
      <w:r>
        <w:rPr>
          <w:color w:val="000000"/>
        </w:rPr>
        <w:t>开户银行：</w:t>
      </w:r>
      <w:r>
        <w:rPr>
          <w:color w:val="000000"/>
          <w:u w:val="single"/>
        </w:rPr>
        <w:t xml:space="preserve">                   </w:t>
      </w:r>
      <w:r>
        <w:rPr>
          <w:color w:val="000000"/>
        </w:rPr>
        <w:t xml:space="preserve">                  开户银行：</w:t>
      </w:r>
      <w:r>
        <w:rPr>
          <w:color w:val="000000"/>
          <w:u w:val="single"/>
        </w:rPr>
        <w:t xml:space="preserve">                         </w:t>
      </w:r>
    </w:p>
    <w:p w14:paraId="2618F8B6">
      <w:pPr>
        <w:pStyle w:val="11"/>
        <w:rPr>
          <w:color w:val="000000"/>
          <w:u w:val="single"/>
        </w:rPr>
      </w:pPr>
      <w:r>
        <w:rPr>
          <w:color w:val="000000"/>
        </w:rPr>
        <w:t>账  号：</w:t>
      </w:r>
      <w:r>
        <w:rPr>
          <w:color w:val="000000"/>
          <w:u w:val="single"/>
        </w:rPr>
        <w:t xml:space="preserve">                     </w:t>
      </w:r>
      <w:r>
        <w:rPr>
          <w:color w:val="000000"/>
        </w:rPr>
        <w:t xml:space="preserve">                  账  号：</w:t>
      </w:r>
      <w:r>
        <w:rPr>
          <w:color w:val="000000"/>
          <w:u w:val="single"/>
        </w:rPr>
        <w:t xml:space="preserve">                           </w:t>
      </w:r>
    </w:p>
    <w:p w14:paraId="162AF676">
      <w:pPr>
        <w:pStyle w:val="11"/>
        <w:rPr>
          <w:b/>
        </w:rPr>
      </w:pPr>
      <w:r>
        <w:rPr>
          <w:b/>
        </w:rPr>
        <w:t xml:space="preserve">附上                     </w:t>
      </w:r>
    </w:p>
    <w:p w14:paraId="25BAAD22">
      <w:pPr>
        <w:pStyle w:val="42"/>
        <w:numPr>
          <w:ilvl w:val="0"/>
          <w:numId w:val="70"/>
        </w:numPr>
        <w:ind w:left="0" w:leftChars="0" w:firstLine="480" w:firstLineChars="0"/>
        <w:outlineLvl w:val="0"/>
        <w:rPr>
          <w:b/>
        </w:rPr>
      </w:pPr>
      <w:r>
        <w:rPr>
          <w:b/>
        </w:rPr>
        <w:t>成交通知书</w:t>
      </w:r>
      <w:bookmarkEnd w:id="108"/>
    </w:p>
    <w:p w14:paraId="20A27497">
      <w:pPr>
        <w:pStyle w:val="17"/>
        <w:rPr>
          <w:rFonts w:ascii="宋体" w:hAnsi="宋体" w:cs="宋体"/>
          <w:szCs w:val="21"/>
        </w:rPr>
      </w:pPr>
    </w:p>
    <w:p w14:paraId="14063729">
      <w:pPr>
        <w:rPr>
          <w:rFonts w:ascii="宋体" w:hAnsi="宋体" w:cs="宋体"/>
          <w:szCs w:val="21"/>
        </w:rPr>
      </w:pPr>
    </w:p>
    <w:p w14:paraId="7E689B6F">
      <w:pPr>
        <w:pStyle w:val="17"/>
        <w:rPr>
          <w:rFonts w:ascii="宋体" w:hAnsi="宋体" w:cs="宋体"/>
          <w:szCs w:val="21"/>
        </w:rPr>
      </w:pPr>
    </w:p>
    <w:p w14:paraId="65C6F084">
      <w:pPr>
        <w:rPr>
          <w:rFonts w:ascii="宋体" w:hAnsi="宋体" w:cs="宋体"/>
          <w:szCs w:val="21"/>
        </w:rPr>
      </w:pPr>
    </w:p>
    <w:p w14:paraId="2A262C09">
      <w:bookmarkStart w:id="109" w:name="_Toc3268"/>
      <w:r>
        <w:br w:type="page"/>
      </w:r>
    </w:p>
    <w:p w14:paraId="5B8A7042">
      <w:pPr>
        <w:pStyle w:val="42"/>
        <w:numPr>
          <w:ilvl w:val="0"/>
          <w:numId w:val="70"/>
        </w:numPr>
        <w:ind w:left="0" w:leftChars="0" w:firstLine="480" w:firstLineChars="0"/>
        <w:outlineLvl w:val="0"/>
      </w:pPr>
      <w:r>
        <w:t>专用合同条款</w:t>
      </w:r>
      <w:bookmarkEnd w:id="109"/>
    </w:p>
    <w:p w14:paraId="4A8DB0FB">
      <w:pPr>
        <w:pStyle w:val="2"/>
        <w:bidi w:val="0"/>
        <w:ind w:left="0" w:leftChars="0" w:firstLine="482" w:firstLineChars="0"/>
      </w:pPr>
      <w:r>
        <w:t>一般约定</w:t>
      </w:r>
    </w:p>
    <w:p w14:paraId="27AC22FD">
      <w:pPr>
        <w:pStyle w:val="2"/>
        <w:numPr>
          <w:ilvl w:val="0"/>
          <w:numId w:val="0"/>
        </w:numPr>
        <w:bidi w:val="0"/>
        <w:ind w:left="482" w:leftChars="0"/>
      </w:pPr>
      <w:r>
        <w:t>1.1 词语定义</w:t>
      </w:r>
    </w:p>
    <w:p w14:paraId="269B097F">
      <w:pPr>
        <w:pStyle w:val="2"/>
        <w:numPr>
          <w:ilvl w:val="0"/>
          <w:numId w:val="0"/>
        </w:numPr>
        <w:bidi w:val="0"/>
        <w:ind w:left="482" w:leftChars="0"/>
      </w:pPr>
      <w:r>
        <w:t>1.1.2  合同当事人和人员</w:t>
      </w:r>
    </w:p>
    <w:p w14:paraId="229F0041">
      <w:pPr>
        <w:pStyle w:val="11"/>
      </w:pPr>
      <w:r>
        <w:t>1.1.2.2  发包人：</w:t>
      </w:r>
      <w:r>
        <w:rPr>
          <w:u w:val="single"/>
        </w:rPr>
        <w:t xml:space="preserve">                   </w:t>
      </w:r>
      <w:r>
        <w:t>。</w:t>
      </w:r>
    </w:p>
    <w:p w14:paraId="0B983CBE">
      <w:pPr>
        <w:pStyle w:val="11"/>
      </w:pPr>
      <w:r>
        <w:t>1.1.2.3  承包人：</w:t>
      </w:r>
      <w:r>
        <w:rPr>
          <w:u w:val="single"/>
        </w:rPr>
        <w:t xml:space="preserve">                         </w:t>
      </w:r>
      <w:r>
        <w:t>。</w:t>
      </w:r>
    </w:p>
    <w:p w14:paraId="690A4FA2">
      <w:pPr>
        <w:pStyle w:val="11"/>
      </w:pPr>
      <w:r>
        <w:t>1.1.2.5  分包人：</w:t>
      </w:r>
      <w:r>
        <w:rPr>
          <w:u w:val="single"/>
        </w:rPr>
        <w:t xml:space="preserve">  本工程不实行分包、转包          </w:t>
      </w:r>
      <w:r>
        <w:t xml:space="preserve"> 。</w:t>
      </w:r>
    </w:p>
    <w:p w14:paraId="6A1341E6">
      <w:pPr>
        <w:pStyle w:val="11"/>
      </w:pPr>
      <w:r>
        <w:t>1.1.2.6  监理人：</w:t>
      </w:r>
      <w:r>
        <w:rPr>
          <w:u w:val="single"/>
        </w:rPr>
        <w:t xml:space="preserve">                        </w:t>
      </w:r>
      <w:r>
        <w:t xml:space="preserve"> 。</w:t>
      </w:r>
    </w:p>
    <w:p w14:paraId="31E2BB08">
      <w:pPr>
        <w:pStyle w:val="11"/>
      </w:pPr>
      <w:r>
        <w:rPr>
          <w:b w:val="0"/>
          <w:bCs w:val="0"/>
        </w:rPr>
        <w:t xml:space="preserve">1.1.4  日期： 2025年 月  日        </w:t>
      </w:r>
      <w:r>
        <w:t xml:space="preserve"> 。</w:t>
      </w:r>
    </w:p>
    <w:p w14:paraId="4758ABC5">
      <w:pPr>
        <w:pStyle w:val="11"/>
      </w:pPr>
      <w:r>
        <w:t>1.1.4.5  缺陷责任期（工程质量保修期）：双方约定本项目的质量保修期为保修期的起算日至通过竣工验收后一年。</w:t>
      </w:r>
    </w:p>
    <w:p w14:paraId="08CB410A">
      <w:pPr>
        <w:pStyle w:val="2"/>
        <w:numPr>
          <w:ilvl w:val="0"/>
          <w:numId w:val="0"/>
        </w:numPr>
        <w:bidi w:val="0"/>
        <w:ind w:left="482" w:leftChars="0"/>
        <w:rPr>
          <w:b w:val="0"/>
          <w:bCs w:val="0"/>
        </w:rPr>
      </w:pPr>
      <w:r>
        <w:rPr>
          <w:b w:val="0"/>
          <w:bCs w:val="0"/>
        </w:rPr>
        <w:t>1.4 合同文件的优先顺序</w:t>
      </w:r>
    </w:p>
    <w:p w14:paraId="75517540">
      <w:pPr>
        <w:pStyle w:val="11"/>
      </w:pPr>
      <w:r>
        <w:t>进入合同的各项文件及其优先顺序如下：</w:t>
      </w:r>
    </w:p>
    <w:p w14:paraId="6A1DB03B">
      <w:pPr>
        <w:pStyle w:val="11"/>
      </w:pPr>
      <w:r>
        <w:t>（1）成交通知书；</w:t>
      </w:r>
    </w:p>
    <w:p w14:paraId="5445C020">
      <w:pPr>
        <w:pStyle w:val="11"/>
      </w:pPr>
      <w:r>
        <w:t>（2）投标函及投标函附录；</w:t>
      </w:r>
    </w:p>
    <w:p w14:paraId="249A34C4">
      <w:pPr>
        <w:pStyle w:val="11"/>
      </w:pPr>
      <w:r>
        <w:t>（3）专用合同条款（含附加条款）；</w:t>
      </w:r>
    </w:p>
    <w:p w14:paraId="25FF4D73">
      <w:pPr>
        <w:pStyle w:val="11"/>
      </w:pPr>
      <w:r>
        <w:t>（4）通用合同条款；</w:t>
      </w:r>
    </w:p>
    <w:p w14:paraId="1825EF7F">
      <w:pPr>
        <w:pStyle w:val="11"/>
      </w:pPr>
      <w:r>
        <w:t>（5）技术标准和要求（合同技术条款）；</w:t>
      </w:r>
    </w:p>
    <w:p w14:paraId="11EC8579">
      <w:pPr>
        <w:pStyle w:val="11"/>
      </w:pPr>
      <w:r>
        <w:t>（6）图纸；</w:t>
      </w:r>
    </w:p>
    <w:p w14:paraId="5EA7623D">
      <w:pPr>
        <w:pStyle w:val="11"/>
      </w:pPr>
      <w:r>
        <w:t>（7）已标价的工程量清单；</w:t>
      </w:r>
    </w:p>
    <w:p w14:paraId="48A4C426">
      <w:pPr>
        <w:pStyle w:val="11"/>
      </w:pPr>
      <w:r>
        <w:t>（8）安全生产合同；</w:t>
      </w:r>
    </w:p>
    <w:p w14:paraId="55C442F9">
      <w:pPr>
        <w:pStyle w:val="11"/>
      </w:pPr>
      <w:r>
        <w:t>（9）廉政合同；</w:t>
      </w:r>
    </w:p>
    <w:p w14:paraId="5980B0A0">
      <w:pPr>
        <w:pStyle w:val="11"/>
      </w:pPr>
      <w:r>
        <w:t>（10）工程质量保修书；</w:t>
      </w:r>
    </w:p>
    <w:p w14:paraId="19E50FEB">
      <w:pPr>
        <w:pStyle w:val="11"/>
      </w:pPr>
      <w:r>
        <w:t>（11）其他合同文件。</w:t>
      </w:r>
    </w:p>
    <w:p w14:paraId="7267CF3E">
      <w:pPr>
        <w:pStyle w:val="11"/>
      </w:pPr>
      <w: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2"/>
        <w:numPr>
          <w:ilvl w:val="0"/>
          <w:numId w:val="0"/>
        </w:numPr>
        <w:bidi w:val="0"/>
        <w:ind w:left="482" w:leftChars="0"/>
      </w:pPr>
      <w:r>
        <w:t>1.7 联络</w:t>
      </w:r>
    </w:p>
    <w:p w14:paraId="7C5D87A8">
      <w:pPr>
        <w:pStyle w:val="11"/>
      </w:pPr>
      <w:r>
        <w:t>1.7.2  来往函件均应按技术标准和要求（合同技术条款）约定的期限送达发包人和承包人工作所在地。</w:t>
      </w:r>
    </w:p>
    <w:p w14:paraId="676EE83A">
      <w:pPr>
        <w:pStyle w:val="2"/>
        <w:tabs>
          <w:tab w:val="left" w:pos="802"/>
        </w:tabs>
        <w:bidi w:val="0"/>
        <w:ind w:left="0" w:leftChars="0" w:firstLine="482" w:firstLineChars="0"/>
      </w:pPr>
      <w:bookmarkStart w:id="110" w:name="_Toc8981"/>
      <w:r>
        <w:rPr>
          <w:rFonts w:hint="eastAsia"/>
          <w:lang w:eastAsia="zh-CN"/>
        </w:rPr>
        <w:tab/>
      </w:r>
      <w:r>
        <w:t>发包人义务</w:t>
      </w:r>
      <w:bookmarkEnd w:id="110"/>
    </w:p>
    <w:p w14:paraId="213CE933">
      <w:pPr>
        <w:pStyle w:val="2"/>
        <w:numPr>
          <w:ilvl w:val="0"/>
          <w:numId w:val="0"/>
        </w:numPr>
        <w:bidi w:val="0"/>
        <w:ind w:left="482" w:leftChars="0"/>
      </w:pPr>
      <w:r>
        <w:t>2.3 提供施工场地</w:t>
      </w:r>
    </w:p>
    <w:p w14:paraId="7085FEF9">
      <w:pPr>
        <w:pStyle w:val="11"/>
      </w:pPr>
      <w:r>
        <w:t>2.3.2</w:t>
      </w:r>
      <w:r>
        <w:rPr>
          <w:b w:val="0"/>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t xml:space="preserve"> </w:t>
      </w:r>
    </w:p>
    <w:p w14:paraId="037DE010">
      <w:pPr>
        <w:pStyle w:val="11"/>
        <w:rPr>
          <w:b/>
          <w:bCs/>
        </w:rPr>
      </w:pPr>
      <w:r>
        <w:rPr>
          <w:b/>
          <w:bCs/>
        </w:rPr>
        <w:t>2.3.3承包人自行勘察的施工场地范围为：完成合同工程施工建设任务所涉及的所有范围。</w:t>
      </w:r>
    </w:p>
    <w:p w14:paraId="2E211DB9">
      <w:pPr>
        <w:pStyle w:val="2"/>
        <w:numPr>
          <w:ilvl w:val="0"/>
          <w:numId w:val="0"/>
        </w:numPr>
        <w:bidi w:val="0"/>
        <w:ind w:left="482" w:leftChars="0"/>
      </w:pPr>
      <w:r>
        <w:t xml:space="preserve">2.8 其它义务  </w:t>
      </w:r>
    </w:p>
    <w:p w14:paraId="02ACF8CD">
      <w:pPr>
        <w:pStyle w:val="2"/>
        <w:bidi w:val="0"/>
        <w:ind w:left="0" w:leftChars="0" w:firstLine="482" w:firstLineChars="0"/>
      </w:pPr>
      <w:bookmarkStart w:id="111" w:name="_Toc12821"/>
      <w:r>
        <w:t>监理人</w:t>
      </w:r>
      <w:bookmarkEnd w:id="111"/>
    </w:p>
    <w:p w14:paraId="3D57AEFF">
      <w:pPr>
        <w:pStyle w:val="2"/>
        <w:numPr>
          <w:ilvl w:val="0"/>
          <w:numId w:val="0"/>
        </w:numPr>
        <w:bidi w:val="0"/>
        <w:ind w:left="482" w:leftChars="0"/>
      </w:pPr>
      <w:r>
        <w:t>3.1 监理人的职责和权力</w:t>
      </w:r>
    </w:p>
    <w:p w14:paraId="5C5F3536">
      <w:pPr>
        <w:pStyle w:val="11"/>
      </w:pPr>
      <w:r>
        <w:t>3.1.1　监理人须根据发包人事先批准的权力范围行使权力，发包人批准的权力范围：按本工程委托监理合同。</w:t>
      </w:r>
    </w:p>
    <w:p w14:paraId="0E6E0ADF">
      <w:pPr>
        <w:pStyle w:val="2"/>
        <w:bidi w:val="0"/>
        <w:ind w:left="0" w:leftChars="0" w:firstLine="482" w:firstLineChars="0"/>
      </w:pPr>
      <w:bookmarkStart w:id="112" w:name="_Toc22378"/>
      <w:r>
        <w:t>承包人</w:t>
      </w:r>
      <w:bookmarkEnd w:id="112"/>
    </w:p>
    <w:p w14:paraId="1AFBCE41">
      <w:pPr>
        <w:pStyle w:val="2"/>
        <w:numPr>
          <w:ilvl w:val="0"/>
          <w:numId w:val="0"/>
        </w:numPr>
        <w:bidi w:val="0"/>
        <w:ind w:left="482" w:leftChars="0"/>
      </w:pPr>
      <w:r>
        <w:t>4.1 承包人的一般义务</w:t>
      </w:r>
    </w:p>
    <w:p w14:paraId="13D6D6EA">
      <w:pPr>
        <w:pStyle w:val="2"/>
        <w:numPr>
          <w:ilvl w:val="0"/>
          <w:numId w:val="0"/>
        </w:numPr>
        <w:bidi w:val="0"/>
        <w:ind w:left="482" w:leftChars="0"/>
      </w:pPr>
      <w:r>
        <w:t>4.1.10 其他义务</w:t>
      </w:r>
    </w:p>
    <w:p w14:paraId="0103E4AA">
      <w:pPr>
        <w:pStyle w:val="11"/>
      </w:pPr>
      <w:r>
        <w:t>（一）办理有关保险。</w:t>
      </w:r>
    </w:p>
    <w:p w14:paraId="3DC0A5B4">
      <w:pPr>
        <w:pStyle w:val="11"/>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11"/>
      </w:pPr>
      <w:r>
        <w:t>按照《建筑法》规定，鼓励为从事危险作业的职工办理意外伤害保险。</w:t>
      </w:r>
    </w:p>
    <w:p w14:paraId="702E721E">
      <w:pPr>
        <w:pStyle w:val="11"/>
      </w:pPr>
      <w:bookmarkStart w:id="113" w:name="bookmark1624"/>
      <w:bookmarkEnd w:id="113"/>
      <w:r>
        <w:t>（二）执行广西壮族自治区解决企业拖欠工资问题联席会议关于保障农民工工资支付的有关规定，确保农民工工资无拖欠。</w:t>
      </w:r>
    </w:p>
    <w:p w14:paraId="115E6D15">
      <w:pPr>
        <w:pStyle w:val="11"/>
      </w:pPr>
      <w:r>
        <w:t>依法与招用的农民工签订并履行劳动合同，建立职工名册，及时办理劳动用工备案。实行农民工工资专用账户管理、银行代发农民工工资制度和农民工工资保证金制度。</w:t>
      </w:r>
    </w:p>
    <w:p w14:paraId="73FC6EC6">
      <w:pPr>
        <w:pStyle w:val="11"/>
      </w:pPr>
      <w:bookmarkStart w:id="114" w:name="bookmark1625"/>
      <w:bookmarkEnd w:id="114"/>
      <w:r>
        <w:t>（三）工程施工的义务和责任</w:t>
      </w:r>
    </w:p>
    <w:p w14:paraId="2585232A">
      <w:pPr>
        <w:pStyle w:val="11"/>
      </w:pPr>
      <w:bookmarkStart w:id="115" w:name="bookmark1626"/>
      <w:bookmarkEnd w:id="115"/>
      <w:r>
        <w:t>（1）承包人应负责施工场地内部的水、电等施工管、线路的铺、架设及其费用，并按供电部门规定向供电部门(或发包人)交纳水、电费。另外，施工通讯及设施由承包人负责并承担费用。</w:t>
      </w:r>
    </w:p>
    <w:p w14:paraId="6CD681FF">
      <w:pPr>
        <w:pStyle w:val="11"/>
      </w:pPr>
      <w:bookmarkStart w:id="116" w:name="bookmark1627"/>
      <w:bookmarkEnd w:id="116"/>
      <w:r>
        <w:t>（2）除民房外，承包人应按监理人的指示负责拆除、清理已征用土地上的杂物、灌木、 树木、树根、杂草等。</w:t>
      </w:r>
    </w:p>
    <w:p w14:paraId="737F8F1C">
      <w:pPr>
        <w:pStyle w:val="11"/>
      </w:pPr>
      <w:bookmarkStart w:id="117" w:name="bookmark1628"/>
      <w:bookmarkEnd w:id="117"/>
      <w:r>
        <w:t>（3）承包人应充分理解有一些设施(如施工道路、桥梁)可能会有其它人和单位使用通行，在使用过程中发生干扰时，应立即通知监理人并服从监理人的决定。</w:t>
      </w:r>
    </w:p>
    <w:p w14:paraId="0FDD7620">
      <w:pPr>
        <w:pStyle w:val="11"/>
      </w:pPr>
      <w:bookmarkStart w:id="118" w:name="bookmark1629"/>
      <w:bookmarkEnd w:id="118"/>
      <w:r>
        <w:t>（4）承包人应为监理人、发包人现场代表对施工现场的检查监督提供必要的配合，并对这种配合对施工的影响应有充分的考虑。</w:t>
      </w:r>
    </w:p>
    <w:p w14:paraId="2A38635D">
      <w:pPr>
        <w:pStyle w:val="11"/>
      </w:pPr>
      <w:bookmarkStart w:id="119" w:name="bookmark1630"/>
      <w:bookmarkEnd w:id="119"/>
      <w:r>
        <w:t>（5）工程竣工后，承包人应按监理人的指示清理施工现场直至监理人、发包人满意 为止。</w:t>
      </w:r>
    </w:p>
    <w:p w14:paraId="79678F5D">
      <w:pPr>
        <w:pStyle w:val="11"/>
      </w:pPr>
      <w:bookmarkStart w:id="120" w:name="bookmark1631"/>
      <w:bookmarkEnd w:id="120"/>
      <w:r>
        <w:t>（6）对上述(1)～ (5)项工作，费用已包括在有关单价和总价中，发包人不再另行支付由此所发生的一切费用。</w:t>
      </w:r>
    </w:p>
    <w:p w14:paraId="463BBC4A">
      <w:pPr>
        <w:pStyle w:val="11"/>
      </w:pPr>
      <w:bookmarkStart w:id="121" w:name="bookmark1632"/>
      <w:bookmarkEnd w:id="121"/>
      <w: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11"/>
      </w:pPr>
      <w:bookmarkStart w:id="122" w:name="bookmark1633"/>
      <w:bookmarkEnd w:id="122"/>
      <w:r>
        <w:t>（8）承包人必须文明、安全施工，在施工期间发生的一切人员伤亡和财产损失等责任事故和所发生的一切费用概由承包人承担。</w:t>
      </w:r>
    </w:p>
    <w:p w14:paraId="13D9EC11">
      <w:pPr>
        <w:pStyle w:val="11"/>
      </w:pPr>
      <w:bookmarkStart w:id="123" w:name="bookmark1634"/>
      <w:bookmarkEnd w:id="123"/>
      <w:r>
        <w:t>（1）按照发包人的要求做好安全文明宣传、监督检查宣传等工作，相关费用由承包人承担。</w:t>
      </w:r>
    </w:p>
    <w:p w14:paraId="73AC17D0">
      <w:pPr>
        <w:pStyle w:val="11"/>
      </w:pPr>
      <w:bookmarkStart w:id="124" w:name="bookmark1635"/>
      <w:bookmarkEnd w:id="124"/>
      <w:r>
        <w:t>（3）承包人应按约定时间和要求，完成以下工作：</w:t>
      </w:r>
    </w:p>
    <w:p w14:paraId="19789F5E">
      <w:pPr>
        <w:pStyle w:val="11"/>
      </w:pPr>
      <w:bookmarkStart w:id="125" w:name="bookmark1636"/>
      <w:bookmarkEnd w:id="125"/>
      <w:r>
        <w:t>①按时提交施工组织设计、单位工程的施工方案。</w:t>
      </w:r>
    </w:p>
    <w:p w14:paraId="0813F4F2">
      <w:pPr>
        <w:pStyle w:val="11"/>
      </w:pPr>
      <w:bookmarkStart w:id="126" w:name="bookmark1637"/>
      <w:bookmarkEnd w:id="126"/>
      <w:r>
        <w:t>②每月25日向监理人提交当月工程进度报表及下月进度计划。</w:t>
      </w:r>
    </w:p>
    <w:p w14:paraId="2EC37322">
      <w:pPr>
        <w:pStyle w:val="11"/>
      </w:pPr>
      <w:bookmarkStart w:id="127" w:name="bookmark1638"/>
      <w:bookmarkEnd w:id="127"/>
      <w:r>
        <w:t>③承包人自行负责施工安全保卫工作及夜间施工照明。</w:t>
      </w:r>
    </w:p>
    <w:p w14:paraId="1781A39A">
      <w:pPr>
        <w:pStyle w:val="11"/>
      </w:pPr>
      <w:bookmarkStart w:id="128" w:name="bookmark1639"/>
      <w:bookmarkEnd w:id="128"/>
      <w:r>
        <w:t>④需承包人办理的有关施工场地交通、环卫和施工噪音降尘管理等手续：遵守有关部门对施工现场交通、环卫和施工噪音降尘管理规定，如有发生，费用由承包人承担。</w:t>
      </w:r>
    </w:p>
    <w:p w14:paraId="292509E4">
      <w:pPr>
        <w:pStyle w:val="11"/>
      </w:pPr>
      <w:bookmarkStart w:id="129" w:name="bookmark1640"/>
      <w:bookmarkEnd w:id="129"/>
      <w:r>
        <w:t>⑤已完工程成品保护的特殊要求及费用承担：已完工工程未交付发包人之前，承包人按协议条款约定负责已完成工程的成品保护工作，保护期间发生损坏，承包人自费予以修复。</w:t>
      </w:r>
    </w:p>
    <w:p w14:paraId="78665897">
      <w:pPr>
        <w:pStyle w:val="11"/>
      </w:pPr>
      <w:bookmarkStart w:id="130" w:name="bookmark1641"/>
      <w:bookmarkEnd w:id="130"/>
      <w:r>
        <w:t>⑥承包人有义务对施工场地周围管线(含地上及地下)和邻近建筑物、构筑物(含文物保护建筑)、古树名木等进行探明并负责保护。</w:t>
      </w:r>
    </w:p>
    <w:p w14:paraId="62D123F7">
      <w:pPr>
        <w:pStyle w:val="11"/>
      </w:pPr>
      <w:bookmarkStart w:id="131" w:name="bookmark1642"/>
      <w:bookmarkEnd w:id="131"/>
      <w:r>
        <w:t>⑦施工场地清洁卫生的要求：按城建卫生有关规定执行，由承包人负责，费用由承包人承担。</w:t>
      </w:r>
    </w:p>
    <w:p w14:paraId="5E90A633">
      <w:pPr>
        <w:pStyle w:val="11"/>
      </w:pPr>
      <w:bookmarkStart w:id="132" w:name="bookmark1643"/>
      <w:bookmarkEnd w:id="132"/>
      <w:r>
        <w:t>⑧承包人承担施工场地、水电及运输通道的修建和维护、清场等费用。</w:t>
      </w:r>
    </w:p>
    <w:p w14:paraId="1D410E1C">
      <w:pPr>
        <w:pStyle w:val="11"/>
      </w:pPr>
      <w:bookmarkStart w:id="133" w:name="bookmark1644"/>
      <w:bookmarkEnd w:id="133"/>
      <w:r>
        <w:t>（3）双方约定承包人应做的其他工作：</w:t>
      </w:r>
    </w:p>
    <w:p w14:paraId="7D33AD82">
      <w:pPr>
        <w:pStyle w:val="11"/>
      </w:pPr>
      <w:bookmarkStart w:id="134" w:name="bookmark1645"/>
      <w:bookmarkEnd w:id="134"/>
      <w: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11"/>
      </w:pPr>
      <w:bookmarkStart w:id="135" w:name="bookmark1646"/>
      <w:bookmarkEnd w:id="135"/>
      <w: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11"/>
      </w:pPr>
      <w:bookmarkStart w:id="136" w:name="bookmark1647"/>
      <w:bookmarkEnd w:id="136"/>
      <w:r>
        <w:t>（4）其他未尽事宜待签订施工合同时双方再协商。</w:t>
      </w:r>
    </w:p>
    <w:p w14:paraId="6C8C4D02">
      <w:pPr>
        <w:pStyle w:val="11"/>
      </w:pPr>
      <w:bookmarkStart w:id="137" w:name="bookmark1648"/>
      <w:bookmarkEnd w:id="137"/>
      <w:r>
        <w:t>（一）鼓励承包人根据工程建设实际，吸纳建档立卡贫困劳动力参加工程建设。</w:t>
      </w:r>
    </w:p>
    <w:p w14:paraId="7C72CEE1">
      <w:pPr>
        <w:pStyle w:val="11"/>
      </w:pPr>
      <w:bookmarkStart w:id="138" w:name="bookmark1649"/>
      <w:bookmarkEnd w:id="138"/>
      <w:r>
        <w:t>（二）执行自治区关于松材线虫病防控工作的有关规定，工程建设采用的模板、支撑及脚手架以钢模板、钢支撑为主，木质模板及仿材尽量就地采购，避免长途转运。</w:t>
      </w:r>
    </w:p>
    <w:p w14:paraId="0546A794">
      <w:pPr>
        <w:pStyle w:val="2"/>
        <w:numPr>
          <w:ilvl w:val="0"/>
          <w:numId w:val="0"/>
        </w:numPr>
        <w:bidi w:val="0"/>
        <w:ind w:left="482" w:leftChars="0"/>
      </w:pPr>
      <w:r>
        <w:t>4.3 分包</w:t>
      </w:r>
    </w:p>
    <w:p w14:paraId="1AC4F308">
      <w:pPr>
        <w:pStyle w:val="11"/>
      </w:pPr>
      <w:r>
        <w:t>本工程不允许分包。</w:t>
      </w:r>
    </w:p>
    <w:p w14:paraId="0A1315A4">
      <w:pPr>
        <w:pStyle w:val="2"/>
        <w:numPr>
          <w:ilvl w:val="0"/>
          <w:numId w:val="0"/>
        </w:numPr>
        <w:bidi w:val="0"/>
        <w:ind w:left="482" w:leftChars="0"/>
      </w:pPr>
      <w:r>
        <w:t>4.7撤换承包人项目经理和其他人员</w:t>
      </w:r>
    </w:p>
    <w:p w14:paraId="6651D345">
      <w:pPr>
        <w:pStyle w:val="11"/>
      </w:pPr>
      <w:r>
        <w:t>□4.7.1成交人根据投标文件的承诺，投入本项目的项目经理、技术负责人、质量管理员、安全管理员等主要管理人员成交后不得更换(除因故去世、调离本单位外)。</w:t>
      </w:r>
    </w:p>
    <w:p w14:paraId="63F49D10">
      <w:pPr>
        <w:pStyle w:val="11"/>
      </w:pPr>
      <w:r>
        <w:t>■4.7.1投入本项目的项目经理、技术负责人、质量管理员、专全管理员等主要管理人员成交后，经成交人申请、监理机构审核允许、招标人同意后方可变更为不低于同等条件的人员。</w:t>
      </w:r>
    </w:p>
    <w:p w14:paraId="638D048D">
      <w:pPr>
        <w:pStyle w:val="11"/>
      </w:pPr>
      <w:r>
        <w:t>4.7.2项目经理每月在工地时间少于</w:t>
      </w:r>
      <w:r>
        <w:rPr>
          <w:u w:val="single"/>
        </w:rPr>
        <w:t xml:space="preserve"> 21 </w:t>
      </w:r>
      <w:r>
        <w:t>日（春节除外），且未经招标人同意的，按未履职处理，由有关行政监督部门处理后报请自治区有关行政监督部门将结果记入市场主体信用档案，公布不良行为记录。</w:t>
      </w:r>
    </w:p>
    <w:p w14:paraId="3E3C1CB7">
      <w:pPr>
        <w:pStyle w:val="2"/>
        <w:numPr>
          <w:ilvl w:val="0"/>
          <w:numId w:val="0"/>
        </w:numPr>
        <w:bidi w:val="0"/>
        <w:ind w:left="482" w:leftChars="0"/>
      </w:pPr>
      <w:r>
        <w:t>4.11 不利物质条件</w:t>
      </w:r>
    </w:p>
    <w:p w14:paraId="6A515A45">
      <w:pPr>
        <w:pStyle w:val="11"/>
      </w:pPr>
      <w:bookmarkStart w:id="139" w:name="_Toc221951159"/>
      <w:bookmarkStart w:id="140" w:name="_Toc22553"/>
      <w:r>
        <w:rPr>
          <w:b/>
        </w:rPr>
        <w:t>4.11.1</w:t>
      </w:r>
      <w:r>
        <w:t>不利物质条件的范围：</w:t>
      </w:r>
      <w:bookmarkStart w:id="141" w:name="OLE_LINK2"/>
      <w:r>
        <w:rPr>
          <w:u w:val="single"/>
        </w:rPr>
        <w:t>不可预见的自然物质条件、非自然的物质障碍和污染物，包括地下和水文条件</w:t>
      </w:r>
      <w:bookmarkEnd w:id="141"/>
      <w:r>
        <w:rPr>
          <w:u w:val="single"/>
        </w:rPr>
        <w:t>等，但不包括气候条件</w:t>
      </w:r>
      <w:r>
        <w:t>。</w:t>
      </w:r>
      <w:bookmarkEnd w:id="139"/>
    </w:p>
    <w:p w14:paraId="5D309BFE">
      <w:pPr>
        <w:pStyle w:val="2"/>
        <w:numPr>
          <w:ilvl w:val="0"/>
          <w:numId w:val="0"/>
        </w:numPr>
        <w:bidi w:val="0"/>
        <w:ind w:left="482" w:leftChars="0"/>
      </w:pPr>
      <w:r>
        <w:t>5. 材料和工程设备</w:t>
      </w:r>
      <w:bookmarkEnd w:id="140"/>
    </w:p>
    <w:p w14:paraId="30EC1DF0">
      <w:pPr>
        <w:pStyle w:val="2"/>
        <w:numPr>
          <w:ilvl w:val="0"/>
          <w:numId w:val="0"/>
        </w:numPr>
        <w:bidi w:val="0"/>
        <w:ind w:left="482" w:leftChars="0"/>
      </w:pPr>
      <w:r>
        <w:t>5.2 发包人提供的材料和工程设备</w:t>
      </w:r>
    </w:p>
    <w:p w14:paraId="566D8056">
      <w:pPr>
        <w:pStyle w:val="11"/>
      </w:pPr>
      <w:bookmarkStart w:id="142" w:name="_Toc28379"/>
      <w:r>
        <w:t>5.2.1本工程发包人不提供材料和工程设备。</w:t>
      </w:r>
    </w:p>
    <w:p w14:paraId="65602B64">
      <w:pPr>
        <w:pStyle w:val="2"/>
        <w:numPr>
          <w:ilvl w:val="0"/>
          <w:numId w:val="0"/>
        </w:numPr>
        <w:bidi w:val="0"/>
        <w:ind w:left="482" w:leftChars="0"/>
      </w:pPr>
      <w:r>
        <w:t>6. 施工设备和临时设施</w:t>
      </w:r>
      <w:bookmarkEnd w:id="142"/>
    </w:p>
    <w:p w14:paraId="4E984C48">
      <w:pPr>
        <w:pStyle w:val="2"/>
        <w:numPr>
          <w:ilvl w:val="0"/>
          <w:numId w:val="0"/>
        </w:numPr>
        <w:bidi w:val="0"/>
        <w:ind w:left="482" w:leftChars="0"/>
      </w:pPr>
      <w:r>
        <w:t>6.1 承包人提供的施工设备和临时设施</w:t>
      </w:r>
    </w:p>
    <w:p w14:paraId="1042A998">
      <w:pPr>
        <w:pStyle w:val="11"/>
      </w:pPr>
      <w:r>
        <w:t>6.1.2承包人自行承担修建临时设施的费用，需要临时占地的，由承包人办理相关申请手续，发包人予以协助，发生的相关费用由承包人承担。</w:t>
      </w:r>
    </w:p>
    <w:p w14:paraId="2FC22DF3">
      <w:pPr>
        <w:pStyle w:val="2"/>
        <w:numPr>
          <w:ilvl w:val="0"/>
          <w:numId w:val="0"/>
        </w:numPr>
        <w:bidi w:val="0"/>
        <w:ind w:left="482" w:leftChars="0"/>
      </w:pPr>
      <w:r>
        <w:t>6.2发包人提供的施工设备和临时设施</w:t>
      </w:r>
    </w:p>
    <w:p w14:paraId="05AD8E9F">
      <w:pPr>
        <w:pStyle w:val="11"/>
      </w:pPr>
      <w:r>
        <w:t>发包人不提供施工设备和临时设施。</w:t>
      </w:r>
    </w:p>
    <w:p w14:paraId="41F62F48">
      <w:pPr>
        <w:pStyle w:val="2"/>
        <w:numPr>
          <w:ilvl w:val="0"/>
          <w:numId w:val="0"/>
        </w:numPr>
        <w:bidi w:val="0"/>
        <w:ind w:left="482" w:leftChars="0"/>
      </w:pPr>
      <w:bookmarkStart w:id="143" w:name="_Toc6188"/>
      <w:r>
        <w:t>7. 交通运输</w:t>
      </w:r>
      <w:bookmarkEnd w:id="143"/>
    </w:p>
    <w:p w14:paraId="74173BA5">
      <w:pPr>
        <w:pStyle w:val="2"/>
        <w:numPr>
          <w:ilvl w:val="0"/>
          <w:numId w:val="0"/>
        </w:numPr>
        <w:bidi w:val="0"/>
        <w:ind w:left="482" w:leftChars="0"/>
      </w:pPr>
      <w:r>
        <w:t>7.1道路通行权和场外设施</w:t>
      </w:r>
    </w:p>
    <w:p w14:paraId="7B6FE0EA">
      <w:pPr>
        <w:pStyle w:val="11"/>
      </w:pPr>
      <w:r>
        <w:t>道路通行权和场外设施的约定：</w:t>
      </w:r>
      <w:r>
        <w:rPr>
          <w:u w:val="single"/>
        </w:rPr>
        <w:t xml:space="preserve">  承包人应根据合同工程的施工需要，负责办理取得出入施工场地的专用和临时道路的通行权，以及取得为工程建设所需修建场外设施的权利，并承担相关费用 </w:t>
      </w:r>
      <w:r>
        <w:t>。</w:t>
      </w:r>
    </w:p>
    <w:p w14:paraId="764FFD4D">
      <w:pPr>
        <w:pStyle w:val="2"/>
        <w:numPr>
          <w:ilvl w:val="0"/>
          <w:numId w:val="0"/>
        </w:numPr>
        <w:bidi w:val="0"/>
        <w:ind w:left="482" w:leftChars="0"/>
      </w:pPr>
      <w:bookmarkStart w:id="144" w:name="_Toc32221"/>
      <w:r>
        <w:t>8. 测量放线</w:t>
      </w:r>
      <w:bookmarkEnd w:id="144"/>
    </w:p>
    <w:p w14:paraId="0620AE47">
      <w:pPr>
        <w:pStyle w:val="2"/>
        <w:numPr>
          <w:ilvl w:val="0"/>
          <w:numId w:val="0"/>
        </w:numPr>
        <w:bidi w:val="0"/>
        <w:ind w:left="482" w:leftChars="0"/>
      </w:pPr>
      <w:r>
        <w:t>8.1 施工控制网</w:t>
      </w:r>
    </w:p>
    <w:p w14:paraId="36067FCC">
      <w:pPr>
        <w:pStyle w:val="11"/>
      </w:pPr>
      <w:r>
        <w:t>8.1.1施工控制网的约定：</w:t>
      </w:r>
      <w:r>
        <w:rPr>
          <w:u w:val="single"/>
        </w:rPr>
        <w:t>由承包人负责测设，并报监理人审批，相关费用由承包人承担</w:t>
      </w:r>
      <w:r>
        <w:t>。</w:t>
      </w:r>
    </w:p>
    <w:p w14:paraId="093306F7">
      <w:pPr>
        <w:pStyle w:val="2"/>
        <w:numPr>
          <w:ilvl w:val="0"/>
          <w:numId w:val="0"/>
        </w:numPr>
        <w:bidi w:val="0"/>
        <w:ind w:left="482" w:leftChars="0"/>
      </w:pPr>
      <w:bookmarkStart w:id="145" w:name="_Toc31695"/>
      <w:r>
        <w:t>9. 施工安全、治安保卫和环境保护</w:t>
      </w:r>
      <w:bookmarkEnd w:id="145"/>
    </w:p>
    <w:p w14:paraId="15B7725E">
      <w:pPr>
        <w:pStyle w:val="2"/>
        <w:numPr>
          <w:ilvl w:val="0"/>
          <w:numId w:val="0"/>
        </w:numPr>
        <w:bidi w:val="0"/>
        <w:ind w:left="482" w:leftChars="0"/>
      </w:pPr>
      <w:r>
        <w:t>9.2 承包人的施工安全责任</w:t>
      </w:r>
    </w:p>
    <w:p w14:paraId="393651AE">
      <w:pPr>
        <w:pStyle w:val="11"/>
      </w:pPr>
      <w:r>
        <w:t>9.2.8安全施工措施所需费用在投标时不得做竞争调整。</w:t>
      </w:r>
    </w:p>
    <w:p w14:paraId="4E8314D4">
      <w:pPr>
        <w:pStyle w:val="2"/>
        <w:numPr>
          <w:ilvl w:val="0"/>
          <w:numId w:val="0"/>
        </w:numPr>
        <w:bidi w:val="0"/>
        <w:ind w:left="482" w:leftChars="0"/>
      </w:pPr>
      <w:r>
        <w:t>9.7 文明工地</w:t>
      </w:r>
    </w:p>
    <w:p w14:paraId="54BDFD39">
      <w:pPr>
        <w:pStyle w:val="11"/>
      </w:pPr>
      <w:r>
        <w:t>9.7.1 本合同文明工地的约定：</w:t>
      </w:r>
      <w:r>
        <w:rPr>
          <w:color w:val="000000"/>
          <w:u w:val="single"/>
        </w:rPr>
        <w:t>要求达到《建筑施工安全检查标准》（JGJ59-2011）的标准和符合《广西壮族自治区建筑工程安全文明施工费使用管理细则》（桂建质安【2015】16号文）的要求</w:t>
      </w:r>
      <w:r>
        <w:t>。</w:t>
      </w:r>
    </w:p>
    <w:p w14:paraId="689FD7F5">
      <w:pPr>
        <w:pStyle w:val="2"/>
        <w:numPr>
          <w:ilvl w:val="0"/>
          <w:numId w:val="0"/>
        </w:numPr>
        <w:bidi w:val="0"/>
        <w:ind w:left="482" w:leftChars="0"/>
      </w:pPr>
      <w:r>
        <w:t>11. 开工和竣工（完工）</w:t>
      </w:r>
    </w:p>
    <w:p w14:paraId="68454334">
      <w:pPr>
        <w:pStyle w:val="11"/>
        <w:rPr>
          <w:b/>
        </w:rPr>
      </w:pPr>
      <w:bookmarkStart w:id="146" w:name="bookmark1713"/>
      <w:bookmarkStart w:id="147" w:name="bookmark1711"/>
      <w:bookmarkStart w:id="148" w:name="bookmark1712"/>
      <w:r>
        <w:rPr>
          <w:b/>
        </w:rPr>
        <w:t>11.2本工程主体工程完工时间为：</w:t>
      </w:r>
      <w:r>
        <w:rPr>
          <w:b/>
          <w:u w:val="single"/>
        </w:rPr>
        <w:tab/>
      </w:r>
      <w:r>
        <w:rPr>
          <w:b/>
          <w:u w:val="single"/>
        </w:rPr>
        <w:t xml:space="preserve">     </w:t>
      </w:r>
      <w:r>
        <w:rPr>
          <w:b/>
        </w:rPr>
        <w:t>年</w:t>
      </w:r>
      <w:r>
        <w:rPr>
          <w:b/>
          <w:u w:val="single"/>
        </w:rPr>
        <w:t xml:space="preserve">     </w:t>
      </w:r>
      <w:r>
        <w:rPr>
          <w:b/>
        </w:rPr>
        <w:t xml:space="preserve">月 </w:t>
      </w:r>
      <w:r>
        <w:rPr>
          <w:b/>
          <w:u w:val="single"/>
        </w:rPr>
        <w:t xml:space="preserve">    </w:t>
      </w:r>
      <w:r>
        <w:rPr>
          <w:b/>
        </w:rPr>
        <w:t>日。</w:t>
      </w:r>
      <w:bookmarkEnd w:id="146"/>
      <w:bookmarkEnd w:id="147"/>
      <w:bookmarkEnd w:id="148"/>
    </w:p>
    <w:p w14:paraId="2250C63A">
      <w:pPr>
        <w:pStyle w:val="11"/>
        <w:rPr>
          <w:b/>
        </w:rPr>
      </w:pPr>
      <w:bookmarkStart w:id="149" w:name="bookmark1715"/>
      <w:bookmarkStart w:id="150" w:name="bookmark1716"/>
      <w:bookmarkStart w:id="151" w:name="bookmark1714"/>
      <w:r>
        <w:rPr>
          <w:b/>
        </w:rPr>
        <w:t>11.3发包人的工期延误</w:t>
      </w:r>
      <w:bookmarkEnd w:id="149"/>
      <w:bookmarkEnd w:id="150"/>
      <w:bookmarkEnd w:id="151"/>
    </w:p>
    <w:p w14:paraId="4844CEA1">
      <w:pPr>
        <w:pStyle w:val="11"/>
      </w:pPr>
      <w:r>
        <w:t>在履行合同过程中，由于发包人的下列原因造成工期延误的，承包人有权要求发包人延长工期，并支付合理利润。需要修订合同进度计划的，按照第10. 2款的约定办理。</w:t>
      </w:r>
    </w:p>
    <w:p w14:paraId="413A1558">
      <w:pPr>
        <w:pStyle w:val="11"/>
      </w:pPr>
      <w:bookmarkStart w:id="152" w:name="bookmark1177"/>
      <w:bookmarkEnd w:id="152"/>
      <w:r>
        <w:t>（1）增加合同工作内容；</w:t>
      </w:r>
    </w:p>
    <w:p w14:paraId="60ABD71B">
      <w:pPr>
        <w:pStyle w:val="11"/>
      </w:pPr>
      <w:bookmarkStart w:id="153" w:name="bookmark1178"/>
      <w:bookmarkEnd w:id="153"/>
      <w:r>
        <w:t>（2）改变合同中任何一项工作的质量要求或其他特性；</w:t>
      </w:r>
    </w:p>
    <w:p w14:paraId="63118B81">
      <w:pPr>
        <w:pStyle w:val="11"/>
      </w:pPr>
      <w:bookmarkStart w:id="154" w:name="bookmark1179"/>
      <w:bookmarkEnd w:id="154"/>
      <w:r>
        <w:t>（3）发包人迟延提供材料、工程设备或变更交货地点的；</w:t>
      </w:r>
    </w:p>
    <w:p w14:paraId="7BF91875">
      <w:pPr>
        <w:pStyle w:val="11"/>
      </w:pPr>
      <w:bookmarkStart w:id="155" w:name="bookmark1180"/>
      <w:bookmarkEnd w:id="155"/>
      <w:r>
        <w:t>（4）因发包人原因导致的暂停施工；</w:t>
      </w:r>
    </w:p>
    <w:p w14:paraId="0556A2E0">
      <w:pPr>
        <w:pStyle w:val="11"/>
      </w:pPr>
      <w:bookmarkStart w:id="156" w:name="bookmark1181"/>
      <w:bookmarkEnd w:id="156"/>
      <w:r>
        <w:t>（5）提供图纸延误；</w:t>
      </w:r>
    </w:p>
    <w:p w14:paraId="320A1F1B">
      <w:pPr>
        <w:pStyle w:val="11"/>
      </w:pPr>
      <w:bookmarkStart w:id="157" w:name="bookmark1182"/>
      <w:bookmarkEnd w:id="157"/>
      <w:r>
        <w:t>（6）未按合同约定及时支付预付款、进度款；</w:t>
      </w:r>
    </w:p>
    <w:p w14:paraId="78C66146">
      <w:pPr>
        <w:pStyle w:val="11"/>
      </w:pPr>
      <w:bookmarkStart w:id="158" w:name="bookmark1183"/>
      <w:bookmarkEnd w:id="158"/>
      <w:r>
        <w:t>（7）发包人造成工期延误的其他原因。</w:t>
      </w:r>
    </w:p>
    <w:p w14:paraId="19A367B9">
      <w:pPr>
        <w:pStyle w:val="11"/>
        <w:rPr>
          <w:b/>
        </w:rPr>
      </w:pPr>
      <w:r>
        <w:rPr>
          <w:b/>
        </w:rPr>
        <w:t xml:space="preserve">11.4 异常恶劣的气候条件 </w:t>
      </w:r>
    </w:p>
    <w:p w14:paraId="3977D949">
      <w:pPr>
        <w:pStyle w:val="11"/>
      </w:pPr>
      <w:r>
        <w:t>11.4.3 本合同工程界定异常恶劣气候条件的范围为：</w:t>
      </w:r>
    </w:p>
    <w:p w14:paraId="7CF76AD2">
      <w:pPr>
        <w:pStyle w:val="11"/>
      </w:pPr>
      <w:r>
        <w:t>（1）日降雨量大于</w:t>
      </w:r>
      <w:r>
        <w:rPr>
          <w:u w:val="single"/>
        </w:rPr>
        <w:t>200</w:t>
      </w:r>
      <w:r>
        <w:t>㎜的雨日超过</w:t>
      </w:r>
      <w:r>
        <w:rPr>
          <w:u w:val="single"/>
        </w:rPr>
        <w:t xml:space="preserve"> 10</w:t>
      </w:r>
      <w:r>
        <w:t>天；</w:t>
      </w:r>
    </w:p>
    <w:p w14:paraId="1F2CF4B4">
      <w:pPr>
        <w:pStyle w:val="11"/>
      </w:pPr>
      <w:r>
        <w:t>（2）</w:t>
      </w:r>
      <w:r>
        <w:rPr>
          <w:u w:val="single"/>
        </w:rPr>
        <w:t>10</w:t>
      </w:r>
      <w:r>
        <w:t>级以上的持续</w:t>
      </w:r>
      <w:r>
        <w:rPr>
          <w:u w:val="single"/>
        </w:rPr>
        <w:t xml:space="preserve"> 2</w:t>
      </w:r>
      <w:r>
        <w:t>日的大风（以气象部门鉴定为准））</w:t>
      </w:r>
    </w:p>
    <w:p w14:paraId="2764DCFA">
      <w:pPr>
        <w:pStyle w:val="11"/>
      </w:pPr>
      <w:r>
        <w:t>（3）日气温超过</w:t>
      </w:r>
      <w:r>
        <w:rPr>
          <w:u w:val="single"/>
        </w:rPr>
        <w:t xml:space="preserve">40 </w:t>
      </w:r>
      <w:r>
        <w:t>℃的高温大于</w:t>
      </w:r>
      <w:r>
        <w:rPr>
          <w:u w:val="single"/>
        </w:rPr>
        <w:t>2</w:t>
      </w:r>
      <w:r>
        <w:t>天；</w:t>
      </w:r>
    </w:p>
    <w:p w14:paraId="7BC9EAC4">
      <w:pPr>
        <w:pStyle w:val="11"/>
      </w:pPr>
      <w:r>
        <w:t>（4）日气温低于</w:t>
      </w:r>
      <w:r>
        <w:rPr>
          <w:u w:val="single"/>
        </w:rPr>
        <w:t xml:space="preserve"> -10 </w:t>
      </w:r>
      <w:r>
        <w:t>℃的严寒大于</w:t>
      </w:r>
      <w:r>
        <w:rPr>
          <w:u w:val="single"/>
        </w:rPr>
        <w:t>2</w:t>
      </w:r>
      <w:r>
        <w:t>天。</w:t>
      </w:r>
    </w:p>
    <w:p w14:paraId="04745C02">
      <w:pPr>
        <w:pStyle w:val="11"/>
      </w:pPr>
      <w:r>
        <w:t>（5）造成工程损坏的冰雹和大雪灾害；</w:t>
      </w:r>
    </w:p>
    <w:p w14:paraId="265DBC16">
      <w:pPr>
        <w:pStyle w:val="11"/>
      </w:pPr>
      <w:r>
        <w:t>（6）</w:t>
      </w:r>
      <w:r>
        <w:rPr>
          <w:u w:val="single"/>
        </w:rPr>
        <w:t>6</w:t>
      </w:r>
      <w:r>
        <w:t>级以上的地震；</w:t>
      </w:r>
    </w:p>
    <w:p w14:paraId="1243B95C">
      <w:pPr>
        <w:pStyle w:val="11"/>
        <w:rPr>
          <w:u w:val="single"/>
        </w:rPr>
      </w:pPr>
      <w:r>
        <w:t>（7）</w:t>
      </w:r>
      <w:r>
        <w:rPr>
          <w:u w:val="single"/>
        </w:rPr>
        <w:t>50</w:t>
      </w:r>
      <w:r>
        <w:t>年一遇及以上的洪水；</w:t>
      </w:r>
    </w:p>
    <w:p w14:paraId="78B528DF">
      <w:pPr>
        <w:pStyle w:val="11"/>
      </w:pPr>
      <w:r>
        <w:t>（8）其他异常恶劣气候灾害。</w:t>
      </w:r>
    </w:p>
    <w:p w14:paraId="5D2F7734">
      <w:pPr>
        <w:pStyle w:val="11"/>
      </w:pPr>
      <w:r>
        <w:t xml:space="preserve">11.5 承包人工期延误 </w:t>
      </w:r>
    </w:p>
    <w:p w14:paraId="6EEDA42E">
      <w:pPr>
        <w:pStyle w:val="11"/>
      </w:pPr>
      <w:r>
        <w:t>（1）逾期完工违约金表(参考格式)</w:t>
      </w:r>
    </w:p>
    <w:tbl>
      <w:tblPr>
        <w:tblStyle w:val="22"/>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ascii="宋体" w:hAnsi="宋体" w:cs="宋体"/>
                <w:szCs w:val="21"/>
              </w:rPr>
            </w:pPr>
            <w:r>
              <w:rPr>
                <w:rFonts w:hint="eastAsia" w:ascii="宋体" w:hAnsi="宋体" w:cs="宋体"/>
                <w:szCs w:val="21"/>
              </w:rPr>
              <w:t>序号</w:t>
            </w:r>
          </w:p>
        </w:tc>
        <w:tc>
          <w:tcPr>
            <w:tcW w:w="3704" w:type="dxa"/>
            <w:noWrap w:val="0"/>
            <w:vAlign w:val="center"/>
          </w:tcPr>
          <w:p w14:paraId="1B56A7BF">
            <w:pPr>
              <w:adjustRightInd w:val="0"/>
              <w:snapToGrid w:val="0"/>
              <w:spacing w:line="360" w:lineRule="auto"/>
              <w:ind w:right="3"/>
              <w:jc w:val="center"/>
              <w:rPr>
                <w:rFonts w:ascii="宋体" w:hAnsi="宋体" w:cs="宋体"/>
                <w:szCs w:val="21"/>
              </w:rPr>
            </w:pPr>
            <w:r>
              <w:rPr>
                <w:rFonts w:hint="eastAsia" w:ascii="宋体" w:hAnsi="宋体" w:cs="宋体"/>
                <w:szCs w:val="21"/>
              </w:rPr>
              <w:t>项目及其说明</w:t>
            </w:r>
          </w:p>
        </w:tc>
        <w:tc>
          <w:tcPr>
            <w:tcW w:w="2011" w:type="dxa"/>
            <w:noWrap w:val="0"/>
            <w:vAlign w:val="center"/>
          </w:tcPr>
          <w:p w14:paraId="4213E76B">
            <w:pPr>
              <w:adjustRightInd w:val="0"/>
              <w:snapToGrid w:val="0"/>
              <w:spacing w:line="360" w:lineRule="auto"/>
              <w:ind w:right="9"/>
              <w:jc w:val="center"/>
              <w:rPr>
                <w:rFonts w:ascii="宋体" w:hAnsi="宋体" w:cs="宋体"/>
                <w:szCs w:val="21"/>
              </w:rPr>
            </w:pPr>
            <w:r>
              <w:rPr>
                <w:rFonts w:hint="eastAsia" w:ascii="宋体" w:hAnsi="宋体" w:cs="宋体"/>
                <w:szCs w:val="21"/>
              </w:rPr>
              <w:t>要求完工日期</w:t>
            </w:r>
          </w:p>
        </w:tc>
        <w:tc>
          <w:tcPr>
            <w:tcW w:w="2011" w:type="dxa"/>
            <w:noWrap w:val="0"/>
            <w:vAlign w:val="top"/>
          </w:tcPr>
          <w:p w14:paraId="646E77F9">
            <w:pPr>
              <w:adjustRightInd w:val="0"/>
              <w:snapToGrid w:val="0"/>
              <w:spacing w:line="360" w:lineRule="auto"/>
              <w:ind w:right="9"/>
              <w:jc w:val="center"/>
              <w:rPr>
                <w:rFonts w:ascii="宋体" w:hAnsi="宋体" w:cs="宋体"/>
                <w:szCs w:val="21"/>
              </w:rPr>
            </w:pPr>
            <w:r>
              <w:rPr>
                <w:rFonts w:hint="eastAsia" w:ascii="宋体" w:hAnsi="宋体" w:cs="宋体"/>
                <w:szCs w:val="21"/>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ascii="宋体" w:hAnsi="宋体" w:cs="宋体"/>
                <w:szCs w:val="21"/>
              </w:rPr>
            </w:pPr>
          </w:p>
        </w:tc>
        <w:tc>
          <w:tcPr>
            <w:tcW w:w="3704" w:type="dxa"/>
            <w:noWrap w:val="0"/>
            <w:vAlign w:val="center"/>
          </w:tcPr>
          <w:p w14:paraId="78A710B2">
            <w:pPr>
              <w:adjustRightInd w:val="0"/>
              <w:snapToGrid w:val="0"/>
              <w:spacing w:line="360" w:lineRule="auto"/>
              <w:ind w:right="248"/>
              <w:jc w:val="center"/>
              <w:rPr>
                <w:rFonts w:ascii="宋体" w:hAnsi="宋体" w:cs="宋体"/>
                <w:szCs w:val="21"/>
              </w:rPr>
            </w:pPr>
            <w:r>
              <w:rPr>
                <w:rFonts w:hint="eastAsia" w:ascii="宋体" w:hAnsi="宋体" w:cs="宋体"/>
                <w:bCs/>
                <w:kern w:val="0"/>
                <w:szCs w:val="21"/>
              </w:rPr>
              <w:t>合同工程完工</w:t>
            </w:r>
          </w:p>
        </w:tc>
        <w:tc>
          <w:tcPr>
            <w:tcW w:w="2011" w:type="dxa"/>
            <w:noWrap w:val="0"/>
            <w:vAlign w:val="center"/>
          </w:tcPr>
          <w:p w14:paraId="70E814FD">
            <w:pPr>
              <w:adjustRightInd w:val="0"/>
              <w:snapToGrid w:val="0"/>
              <w:spacing w:line="360" w:lineRule="auto"/>
              <w:ind w:right="248"/>
              <w:jc w:val="center"/>
              <w:rPr>
                <w:rFonts w:ascii="宋体" w:hAnsi="宋体" w:cs="宋体"/>
                <w:szCs w:val="21"/>
              </w:rPr>
            </w:pPr>
            <w:r>
              <w:rPr>
                <w:rFonts w:hint="eastAsia" w:ascii="宋体" w:hAnsi="宋体" w:cs="宋体"/>
                <w:szCs w:val="21"/>
              </w:rPr>
              <w:t xml:space="preserve">  年  月  日</w:t>
            </w:r>
          </w:p>
        </w:tc>
        <w:tc>
          <w:tcPr>
            <w:tcW w:w="2011" w:type="dxa"/>
            <w:noWrap w:val="0"/>
            <w:vAlign w:val="top"/>
          </w:tcPr>
          <w:p w14:paraId="0A839740">
            <w:pPr>
              <w:adjustRightInd w:val="0"/>
              <w:snapToGrid w:val="0"/>
              <w:spacing w:line="360" w:lineRule="auto"/>
              <w:ind w:right="248"/>
              <w:jc w:val="center"/>
              <w:rPr>
                <w:rFonts w:ascii="宋体" w:hAnsi="宋体" w:cs="宋体"/>
                <w:szCs w:val="21"/>
              </w:rPr>
            </w:pPr>
            <w:r>
              <w:rPr>
                <w:rFonts w:hint="eastAsia" w:ascii="宋体" w:hAnsi="宋体" w:cs="宋体"/>
                <w:szCs w:val="21"/>
              </w:rPr>
              <w:t>1000</w:t>
            </w:r>
          </w:p>
        </w:tc>
      </w:tr>
    </w:tbl>
    <w:p w14:paraId="789EA6DA">
      <w:pPr>
        <w:pStyle w:val="11"/>
      </w:pPr>
      <w:r>
        <w:t>承包人如未能按上表各节点要求的完工日期前完工，逾期完工违约金按</w:t>
      </w:r>
      <w:r>
        <w:rPr>
          <w:u w:val="single"/>
        </w:rPr>
        <w:t>1000</w:t>
      </w:r>
      <w:r>
        <w:t>元/天”计算。</w:t>
      </w:r>
    </w:p>
    <w:p w14:paraId="07DDB944">
      <w:pPr>
        <w:pStyle w:val="11"/>
      </w:pPr>
      <w:r>
        <w:t>（2）全部逾期完工违约金的总限额不超过合同总价的</w:t>
      </w:r>
      <w:r>
        <w:rPr>
          <w:u w:val="single"/>
        </w:rPr>
        <w:t xml:space="preserve">5 </w:t>
      </w:r>
      <w:r>
        <w:t>%，发包人可从应向承包人支付的任何金额中扣除此项违约金或以其他方式收回此款，此违约金的支付并不能解除承包人应完成工程的责任或合同规定的其他责任 。</w:t>
      </w:r>
    </w:p>
    <w:p w14:paraId="35F80B62">
      <w:pPr>
        <w:pStyle w:val="11"/>
      </w:pPr>
      <w:r>
        <w:t>11.6 工期提前</w:t>
      </w:r>
    </w:p>
    <w:p w14:paraId="311FBBCD">
      <w:pPr>
        <w:pStyle w:val="11"/>
      </w:pPr>
      <w:r>
        <w:t>工期提前的资金约定：</w:t>
      </w:r>
      <w:r>
        <w:rPr>
          <w:u w:val="single"/>
        </w:rPr>
        <w:t>在保证工程质量的前提下，发包人鼓励承包人提前完工，但本合同工程无提前工期奖金</w:t>
      </w:r>
      <w:r>
        <w:t>。</w:t>
      </w:r>
    </w:p>
    <w:p w14:paraId="66B77706">
      <w:pPr>
        <w:pStyle w:val="2"/>
        <w:numPr>
          <w:ilvl w:val="0"/>
          <w:numId w:val="0"/>
        </w:numPr>
        <w:bidi w:val="0"/>
        <w:ind w:left="482" w:leftChars="0"/>
      </w:pPr>
      <w:r>
        <w:t>12. 暂停施工</w:t>
      </w:r>
    </w:p>
    <w:p w14:paraId="7D6CD9B5">
      <w:pPr>
        <w:pStyle w:val="2"/>
        <w:numPr>
          <w:ilvl w:val="0"/>
          <w:numId w:val="0"/>
        </w:numPr>
        <w:bidi w:val="0"/>
        <w:ind w:left="482" w:leftChars="0"/>
      </w:pPr>
      <w:r>
        <w:t>12.1 承包人暂停施工的责任</w:t>
      </w:r>
    </w:p>
    <w:p w14:paraId="37BE40CE">
      <w:pPr>
        <w:pStyle w:val="11"/>
      </w:pPr>
      <w:r>
        <w:t>(5) 承包人承担暂停施工责任的其它情形：</w:t>
      </w:r>
      <w:r>
        <w:rPr>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t>。</w:t>
      </w:r>
    </w:p>
    <w:p w14:paraId="6A3E599B">
      <w:pPr>
        <w:pStyle w:val="2"/>
        <w:numPr>
          <w:ilvl w:val="0"/>
          <w:numId w:val="0"/>
        </w:numPr>
        <w:bidi w:val="0"/>
        <w:ind w:left="482" w:leftChars="0"/>
      </w:pPr>
      <w:r>
        <w:t>12.2 发包人暂停施工的责任</w:t>
      </w:r>
    </w:p>
    <w:p w14:paraId="6277BA41">
      <w:pPr>
        <w:pStyle w:val="11"/>
      </w:pPr>
      <w:r>
        <w:t>（3）因发包人原因造成的暂停施工，发包人对承包人给予工期补偿，不另行支付其它费用。</w:t>
      </w:r>
    </w:p>
    <w:p w14:paraId="375F2A33">
      <w:pPr>
        <w:pStyle w:val="2"/>
        <w:numPr>
          <w:ilvl w:val="0"/>
          <w:numId w:val="0"/>
        </w:numPr>
        <w:bidi w:val="0"/>
        <w:ind w:left="482" w:leftChars="0"/>
      </w:pPr>
      <w:r>
        <w:t>13. 工程质量</w:t>
      </w:r>
    </w:p>
    <w:p w14:paraId="4AC06104">
      <w:pPr>
        <w:pStyle w:val="2"/>
        <w:numPr>
          <w:ilvl w:val="0"/>
          <w:numId w:val="0"/>
        </w:numPr>
        <w:bidi w:val="0"/>
        <w:ind w:left="482" w:leftChars="0"/>
      </w:pPr>
      <w:r>
        <w:t>13.7 质量评定</w:t>
      </w:r>
    </w:p>
    <w:p w14:paraId="78E0F2B1">
      <w:pPr>
        <w:pStyle w:val="11"/>
      </w:pPr>
      <w:r>
        <w:t>13.7.4重要隐蔽单元工程和关键部位单元工程质量评定的约定：</w:t>
      </w:r>
      <w:r>
        <w:rPr>
          <w:u w:val="single"/>
        </w:rPr>
        <w:t>达到合格标准</w:t>
      </w:r>
      <w:r>
        <w:t>。</w:t>
      </w:r>
    </w:p>
    <w:p w14:paraId="580CC054">
      <w:pPr>
        <w:pStyle w:val="2"/>
        <w:numPr>
          <w:ilvl w:val="0"/>
          <w:numId w:val="0"/>
        </w:numPr>
        <w:bidi w:val="0"/>
        <w:ind w:left="482" w:leftChars="0"/>
      </w:pPr>
      <w:r>
        <w:t>13.8 质量事故处理</w:t>
      </w:r>
    </w:p>
    <w:p w14:paraId="1E721D26">
      <w:pPr>
        <w:pStyle w:val="11"/>
      </w:pPr>
      <w:r>
        <w:t>13.8.4工程竣工验收时，发包人负责向竣工验收委员会汇报并提交历次质量缺陷处理的备案资料。</w:t>
      </w:r>
    </w:p>
    <w:p w14:paraId="1B15E3AA">
      <w:pPr>
        <w:pStyle w:val="2"/>
        <w:numPr>
          <w:ilvl w:val="0"/>
          <w:numId w:val="0"/>
        </w:numPr>
        <w:bidi w:val="0"/>
        <w:ind w:left="482" w:leftChars="0"/>
      </w:pPr>
      <w:r>
        <w:t>14. 试验和检验</w:t>
      </w:r>
    </w:p>
    <w:p w14:paraId="75A2D2CE">
      <w:pPr>
        <w:pStyle w:val="2"/>
        <w:numPr>
          <w:ilvl w:val="0"/>
          <w:numId w:val="0"/>
        </w:numPr>
        <w:bidi w:val="0"/>
        <w:ind w:left="482" w:leftChars="0"/>
      </w:pPr>
      <w:r>
        <w:t>14.1 材料、工程设备和工程的试验和检验</w:t>
      </w:r>
    </w:p>
    <w:p w14:paraId="16184532">
      <w:pPr>
        <w:pStyle w:val="11"/>
      </w:pPr>
      <w:r>
        <w:t xml:space="preserve">14.1.5水工金属结构、启闭机及机电产品进场后的交货检查和验收中，承包人负责 </w:t>
      </w:r>
      <w:r>
        <w:rPr>
          <w:u w:val="single"/>
        </w:rPr>
        <w:tab/>
      </w:r>
      <w:r>
        <w:rPr>
          <w:u w:val="single"/>
        </w:rPr>
        <w:t xml:space="preserve">/        </w:t>
      </w:r>
      <w:r>
        <w:t>。</w:t>
      </w:r>
    </w:p>
    <w:p w14:paraId="5D09107E">
      <w:pPr>
        <w:pStyle w:val="11"/>
      </w:pPr>
      <w:r>
        <w:t>14.1.6 本工程实行见证取样的试块、试件及有关材料：</w:t>
      </w:r>
      <w:r>
        <w:rPr>
          <w:u w:val="single"/>
        </w:rPr>
        <w:t>土料压实、砼试件、砂浆试件、钢筋、水泥、砂、碎石、土工合成材料、外加剂等</w:t>
      </w:r>
      <w:r>
        <w:t>。</w:t>
      </w:r>
    </w:p>
    <w:p w14:paraId="240EE2C2">
      <w:pPr>
        <w:pStyle w:val="2"/>
        <w:numPr>
          <w:ilvl w:val="0"/>
          <w:numId w:val="0"/>
        </w:numPr>
        <w:bidi w:val="0"/>
        <w:ind w:left="482" w:leftChars="0"/>
      </w:pPr>
      <w:r>
        <w:t>15. 变更</w:t>
      </w:r>
    </w:p>
    <w:p w14:paraId="4E207F4C">
      <w:pPr>
        <w:pStyle w:val="2"/>
        <w:numPr>
          <w:ilvl w:val="0"/>
          <w:numId w:val="0"/>
        </w:numPr>
        <w:bidi w:val="0"/>
        <w:ind w:left="482" w:leftChars="0"/>
      </w:pPr>
      <w:r>
        <w:t>15.1 变更的范围和内容</w:t>
      </w:r>
    </w:p>
    <w:p w14:paraId="77EE1D5B">
      <w:pPr>
        <w:pStyle w:val="11"/>
        <w:rPr>
          <w:u w:val="single"/>
        </w:rPr>
      </w:pPr>
      <w:r>
        <w:t>（6）增加或减少合同中关键项目的工程量超过其项目工程总量的</w:t>
      </w:r>
      <w:r>
        <w:rPr>
          <w:u w:val="single"/>
        </w:rPr>
        <w:t>25 %</w:t>
      </w:r>
      <w:r>
        <w:t>,关键项 目：</w:t>
      </w:r>
      <w:r>
        <w:rPr>
          <w:u w:val="single"/>
        </w:rPr>
        <w:tab/>
      </w:r>
      <w:r>
        <w:t>,单价调整方式：</w:t>
      </w:r>
      <w:r>
        <w:rPr>
          <w:u w:val="single"/>
        </w:rPr>
        <w:t>增加超过其项目工程量的25%以上部分，按相应项目成交单价下浮10%结算；减少超过其项目工程量的25%以下时，按相应项目成交单价不变结算。</w:t>
      </w:r>
    </w:p>
    <w:p w14:paraId="17AC0039">
      <w:pPr>
        <w:pStyle w:val="2"/>
        <w:numPr>
          <w:ilvl w:val="0"/>
          <w:numId w:val="0"/>
        </w:numPr>
        <w:bidi w:val="0"/>
        <w:ind w:left="482" w:leftChars="0"/>
      </w:pPr>
      <w:r>
        <w:t>15.4 变更的估价原则</w:t>
      </w:r>
    </w:p>
    <w:p w14:paraId="389865EC">
      <w:pPr>
        <w:pStyle w:val="11"/>
      </w:pPr>
      <w: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2"/>
        <w:numPr>
          <w:ilvl w:val="0"/>
          <w:numId w:val="0"/>
        </w:numPr>
        <w:bidi w:val="0"/>
        <w:ind w:left="482" w:leftChars="0"/>
      </w:pPr>
      <w:r>
        <w:t>15.5 承包人的合理化建议</w:t>
      </w:r>
    </w:p>
    <w:p w14:paraId="2991FE52">
      <w:pPr>
        <w:pStyle w:val="11"/>
      </w:pPr>
      <w:r>
        <w:t>15.5.2 承包人实现合理化建议的奖励金额为：</w:t>
      </w:r>
      <w:r>
        <w:rPr>
          <w:u w:val="single"/>
        </w:rPr>
        <w:t>无</w:t>
      </w:r>
      <w:r>
        <w:t>。</w:t>
      </w:r>
    </w:p>
    <w:p w14:paraId="1EF9F470">
      <w:pPr>
        <w:pStyle w:val="2"/>
        <w:numPr>
          <w:ilvl w:val="0"/>
          <w:numId w:val="0"/>
        </w:numPr>
        <w:bidi w:val="0"/>
        <w:ind w:left="482" w:leftChars="0"/>
      </w:pPr>
      <w:r>
        <w:t>16 价格调整</w:t>
      </w:r>
    </w:p>
    <w:p w14:paraId="0FD754F0">
      <w:pPr>
        <w:pStyle w:val="11"/>
      </w:pPr>
      <w:r>
        <w:t>①法律变化引起的调整；</w:t>
      </w:r>
    </w:p>
    <w:p w14:paraId="7DBB95CB">
      <w:pPr>
        <w:pStyle w:val="11"/>
      </w:pPr>
      <w:r>
        <w:t>②工程变更、项目特征不符、工程量清单缺项、工程量偏差引起的调整；</w:t>
      </w:r>
    </w:p>
    <w:p w14:paraId="58E91CC4">
      <w:pPr>
        <w:pStyle w:val="11"/>
      </w:pPr>
      <w:r>
        <w:t>③计日工引起的调整。</w:t>
      </w:r>
    </w:p>
    <w:p w14:paraId="0BA03591">
      <w:pPr>
        <w:pStyle w:val="2"/>
        <w:numPr>
          <w:ilvl w:val="0"/>
          <w:numId w:val="0"/>
        </w:numPr>
        <w:bidi w:val="0"/>
        <w:ind w:left="482" w:leftChars="0"/>
      </w:pPr>
      <w:bookmarkStart w:id="159" w:name="_Toc373227747"/>
      <w:bookmarkStart w:id="160" w:name="_Toc373478394"/>
      <w:bookmarkStart w:id="161" w:name="_Toc13425"/>
      <w:bookmarkStart w:id="162" w:name="_Toc389065313"/>
      <w:bookmarkStart w:id="163" w:name="_Toc296891241"/>
      <w:bookmarkStart w:id="164" w:name="_Toc296891029"/>
      <w:bookmarkStart w:id="165" w:name="_Toc296347200"/>
      <w:bookmarkStart w:id="166" w:name="_Toc296503201"/>
      <w:bookmarkStart w:id="167" w:name="_Toc303539157"/>
      <w:bookmarkStart w:id="168" w:name="_Toc292559911"/>
      <w:bookmarkStart w:id="169" w:name="_Toc312678039"/>
      <w:bookmarkStart w:id="170" w:name="_Toc300935000"/>
      <w:bookmarkStart w:id="171" w:name="_Toc304295577"/>
      <w:bookmarkStart w:id="172" w:name="_Toc297123550"/>
      <w:bookmarkStart w:id="173" w:name="_Toc297048387"/>
      <w:bookmarkStart w:id="174" w:name="_Toc297216209"/>
      <w:bookmarkStart w:id="175" w:name="_Toc296346702"/>
      <w:bookmarkStart w:id="176" w:name="_Toc297120501"/>
      <w:bookmarkStart w:id="177" w:name="_Toc292559406"/>
      <w:bookmarkStart w:id="178" w:name="_Toc296944540"/>
      <w: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11"/>
      </w:pPr>
      <w:r>
        <w:t>市场价格波动是否调整合同价格的约定：</w:t>
      </w:r>
      <w:r>
        <w:rPr>
          <w:u w:val="single"/>
        </w:rPr>
        <w:t>如市场价格波动超过双方约定的范围，调整合同价格</w:t>
      </w:r>
      <w:r>
        <w:t>。</w:t>
      </w:r>
    </w:p>
    <w:p w14:paraId="10DEC3A9">
      <w:pPr>
        <w:pStyle w:val="11"/>
      </w:pPr>
      <w:r>
        <w:t>因市场价格波动调整合同价格，采用以下第</w:t>
      </w:r>
      <w:r>
        <w:rPr>
          <w:u w:val="single"/>
        </w:rPr>
        <w:t xml:space="preserve"> 2 </w:t>
      </w:r>
      <w:r>
        <w:t>种方式对合同价格进行调整：</w:t>
      </w:r>
    </w:p>
    <w:p w14:paraId="3FE83424">
      <w:pPr>
        <w:pStyle w:val="11"/>
      </w:pPr>
      <w:r>
        <w:t>第1种方式：采用价格指数进行价格调整。</w:t>
      </w:r>
    </w:p>
    <w:p w14:paraId="1FEF6014">
      <w:pPr>
        <w:pStyle w:val="11"/>
        <w:rPr>
          <w:u w:val="single"/>
        </w:rPr>
      </w:pPr>
      <w:r>
        <w:t>关于各可调因子、定值和变值权重，以及基本价格指数及其来源的约定：</w:t>
      </w:r>
      <w:r>
        <w:rPr>
          <w:u w:val="single"/>
        </w:rPr>
        <w:t xml:space="preserve">                </w:t>
      </w:r>
      <w:r>
        <w:t xml:space="preserve">；  </w:t>
      </w:r>
    </w:p>
    <w:p w14:paraId="623A3985">
      <w:pPr>
        <w:pStyle w:val="11"/>
      </w:pPr>
      <w:r>
        <w:t>第2种方式：采用造价信息进行价格调整。</w:t>
      </w:r>
    </w:p>
    <w:p w14:paraId="0C692A8E">
      <w:pPr>
        <w:pStyle w:val="11"/>
      </w:pPr>
      <w: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11"/>
      </w:pPr>
      <w:r>
        <w:t>（2）主要材料和设备确认价：</w:t>
      </w:r>
    </w:p>
    <w:p w14:paraId="6D216146">
      <w:pPr>
        <w:pStyle w:val="11"/>
      </w:pPr>
      <w:r>
        <w:t>按施工期间《</w:t>
      </w:r>
      <w:r>
        <w:rPr>
          <w:u w:val="single"/>
        </w:rPr>
        <w:t>防城港市</w:t>
      </w:r>
      <w:r>
        <w:t>建设工程造价信息》加权平均计算，信息价没有的按通用条款规定确定。</w:t>
      </w:r>
    </w:p>
    <w:p w14:paraId="680F92EB">
      <w:pPr>
        <w:pStyle w:val="11"/>
      </w:pPr>
      <w:r>
        <w:t>（3）价差计算方法：</w:t>
      </w:r>
    </w:p>
    <w:p w14:paraId="46AAA1C3">
      <w:pPr>
        <w:pStyle w:val="11"/>
      </w:pPr>
      <w: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11"/>
      </w:pPr>
      <w: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11"/>
      </w:pPr>
      <w: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11"/>
      </w:pPr>
      <w:r>
        <w:t>第3种方式：</w:t>
      </w:r>
      <w:r>
        <w:rPr>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2"/>
        <w:numPr>
          <w:ilvl w:val="0"/>
          <w:numId w:val="0"/>
        </w:numPr>
        <w:bidi w:val="0"/>
        <w:ind w:left="482" w:leftChars="0"/>
      </w:pPr>
      <w:r>
        <w:t>17. 计量与支付</w:t>
      </w:r>
    </w:p>
    <w:p w14:paraId="1DA3BE61">
      <w:pPr>
        <w:pStyle w:val="11"/>
      </w:pPr>
      <w:r>
        <w:t>17.2 预付款</w:t>
      </w:r>
    </w:p>
    <w:p w14:paraId="07851C0C">
      <w:pPr>
        <w:pStyle w:val="11"/>
        <w:rPr>
          <w:color w:val="000000"/>
        </w:rPr>
      </w:pPr>
      <w:bookmarkStart w:id="179" w:name="_Toc30680"/>
      <w:bookmarkStart w:id="180" w:name="_Toc12227"/>
      <w:r>
        <w:rPr>
          <w:color w:val="000000"/>
        </w:rPr>
        <w:t>预付款支付比例或金额：</w:t>
      </w:r>
      <w:r>
        <w:rPr>
          <w:color w:val="000000"/>
          <w:u w:val="single"/>
        </w:rPr>
        <w:t xml:space="preserve"> / </w:t>
      </w:r>
      <w:r>
        <w:rPr>
          <w:color w:val="000000"/>
        </w:rPr>
        <w:t>。</w:t>
      </w:r>
    </w:p>
    <w:p w14:paraId="31D14CF1">
      <w:pPr>
        <w:pStyle w:val="11"/>
        <w:rPr>
          <w:color w:val="000000"/>
        </w:rPr>
      </w:pPr>
      <w:r>
        <w:rPr>
          <w:color w:val="000000"/>
        </w:rPr>
        <w:t>预付款支付期限：</w:t>
      </w:r>
      <w:r>
        <w:rPr>
          <w:color w:val="000000"/>
          <w:u w:val="single"/>
        </w:rPr>
        <w:t xml:space="preserve">   签订合同时协商而定    </w:t>
      </w:r>
      <w:r>
        <w:rPr>
          <w:color w:val="000000"/>
        </w:rPr>
        <w:t>。</w:t>
      </w:r>
    </w:p>
    <w:p w14:paraId="5E9A9B76">
      <w:pPr>
        <w:pStyle w:val="11"/>
        <w:rPr>
          <w:color w:val="000000"/>
        </w:rPr>
      </w:pPr>
      <w:r>
        <w:rPr>
          <w:color w:val="000000"/>
        </w:rPr>
        <w:t>预付款扣回的方式：</w:t>
      </w:r>
      <w:r>
        <w:rPr>
          <w:color w:val="000000"/>
          <w:u w:val="single"/>
        </w:rPr>
        <w:t xml:space="preserve">   签订合同时协商而定  </w:t>
      </w:r>
      <w:r>
        <w:rPr>
          <w:color w:val="000000"/>
        </w:rPr>
        <w:t>。</w:t>
      </w:r>
    </w:p>
    <w:p w14:paraId="420FE1A6">
      <w:pPr>
        <w:pStyle w:val="11"/>
      </w:pPr>
      <w:r>
        <w:t>17.3工程进度付款</w:t>
      </w:r>
    </w:p>
    <w:p w14:paraId="39272E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①签订合同后，材料进场且开始施工后支付合同总价款的30%为工程预付款；②甲方根据工程需要和工程进度情况，可支付至合同总价款的</w:t>
      </w:r>
      <w:r>
        <w:rPr>
          <w:rFonts w:hint="eastAsia" w:ascii="宋体" w:hAnsi="宋体" w:eastAsia="宋体" w:cs="宋体"/>
          <w:b/>
          <w:bCs w:val="0"/>
          <w:color w:val="FF0000"/>
          <w:sz w:val="24"/>
          <w:szCs w:val="24"/>
          <w:lang w:val="en-US" w:eastAsia="zh-CN"/>
        </w:rPr>
        <w:t>80%</w:t>
      </w:r>
      <w:r>
        <w:rPr>
          <w:rFonts w:hint="eastAsia" w:ascii="宋体" w:hAnsi="宋体" w:eastAsia="宋体" w:cs="宋体"/>
          <w:b/>
          <w:bCs w:val="0"/>
          <w:sz w:val="24"/>
          <w:szCs w:val="24"/>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r>
        <w:rPr>
          <w:rFonts w:hint="eastAsia" w:ascii="宋体" w:hAnsi="宋体" w:eastAsia="宋体" w:cs="宋体"/>
          <w:b/>
          <w:bCs w:val="0"/>
          <w:color w:val="FF0000"/>
          <w:sz w:val="24"/>
          <w:szCs w:val="24"/>
          <w:lang w:eastAsia="zh-CN"/>
        </w:rPr>
        <w:t>若乙方未向甲方缴纳结算审计（审核、评审）价款</w:t>
      </w:r>
      <w:r>
        <w:rPr>
          <w:rFonts w:hint="eastAsia" w:ascii="宋体" w:hAnsi="宋体" w:eastAsia="宋体" w:cs="宋体"/>
          <w:b/>
          <w:bCs w:val="0"/>
          <w:color w:val="FF0000"/>
          <w:sz w:val="24"/>
          <w:szCs w:val="24"/>
          <w:lang w:val="en-US" w:eastAsia="zh-CN"/>
        </w:rPr>
        <w:t>3%的工程款作为工程质量保证金，则甲方向乙方支付至结算审计（审核、评审）价款的97%作为工程款，余下3%作为工程质量保证金</w:t>
      </w:r>
      <w:r>
        <w:rPr>
          <w:rFonts w:hint="eastAsia" w:ascii="宋体" w:hAnsi="宋体" w:eastAsia="宋体" w:cs="宋体"/>
          <w:b/>
          <w:bCs w:val="0"/>
          <w:sz w:val="24"/>
          <w:szCs w:val="24"/>
        </w:rPr>
        <w:t>⑤3%工程质量保证金，待工程质量保修期满后返还。本工程质量保质期为1年。在工程质量保质期内，若存在质量缺陷的，由乙方负责保修，费用由乙方负责，工程质量保质期从甲方验收合格后开始计算。</w:t>
      </w:r>
    </w:p>
    <w:p w14:paraId="58352D00">
      <w:pPr>
        <w:pStyle w:val="11"/>
      </w:pPr>
      <w:r>
        <w:t>17.3.2进度付款申请单</w:t>
      </w:r>
      <w:bookmarkEnd w:id="179"/>
      <w:bookmarkEnd w:id="180"/>
    </w:p>
    <w:p w14:paraId="2B4F2C27">
      <w:pPr>
        <w:pStyle w:val="11"/>
      </w:pPr>
      <w:r>
        <w:t>承包人提交进度付款申请单的份数：</w:t>
      </w:r>
      <w:r>
        <w:rPr>
          <w:u w:val="single"/>
        </w:rPr>
        <w:t>一式肆份</w:t>
      </w:r>
      <w:r>
        <w:t>。</w:t>
      </w:r>
    </w:p>
    <w:p w14:paraId="0B248FE1">
      <w:pPr>
        <w:pStyle w:val="11"/>
      </w:pPr>
      <w:bookmarkStart w:id="181" w:name="_Toc4367"/>
      <w:r>
        <w:t>17.4 质量保证金</w:t>
      </w:r>
      <w:bookmarkEnd w:id="181"/>
      <w:r>
        <w:t>、</w:t>
      </w:r>
    </w:p>
    <w:p w14:paraId="49E7E0B9">
      <w:pPr>
        <w:pStyle w:val="11"/>
      </w:pPr>
      <w:r>
        <w:t>■17.4.1.1每个付款周期扣留的质量保证金为工程进度付款的3%，扣留的质量保证金总额为工程价款结算总额的3% 。</w:t>
      </w:r>
    </w:p>
    <w:p w14:paraId="0864DD48">
      <w:pPr>
        <w:pStyle w:val="11"/>
      </w:pPr>
      <w:r>
        <w:t>□17.4.1.2工程完工验收后，一次性扣留的质量保证金总额为工程价款结算总额的3%。</w:t>
      </w:r>
    </w:p>
    <w:p w14:paraId="1442C0F8">
      <w:pPr>
        <w:pStyle w:val="11"/>
      </w:pPr>
      <w:r>
        <w:t>17.4.1.3在工程项目完工前，已经缴纳履约保证金的，发包人不得同时扣留工程质量保证金。</w:t>
      </w:r>
    </w:p>
    <w:p w14:paraId="1B567CC9">
      <w:pPr>
        <w:pStyle w:val="11"/>
      </w:pPr>
      <w:bookmarkStart w:id="182" w:name="_Toc11900"/>
      <w:r>
        <w:t>17.5 竣工（完工）结算</w:t>
      </w:r>
      <w:bookmarkEnd w:id="182"/>
    </w:p>
    <w:p w14:paraId="4E7D2727">
      <w:pPr>
        <w:pStyle w:val="11"/>
      </w:pPr>
      <w:r>
        <w:t xml:space="preserve">17.5.1  竣工（完工）付款申请单 </w:t>
      </w:r>
    </w:p>
    <w:p w14:paraId="199F5F82">
      <w:pPr>
        <w:pStyle w:val="11"/>
      </w:pPr>
      <w:bookmarkStart w:id="183" w:name="_Toc221951267"/>
      <w:r>
        <w:t>（1）</w:t>
      </w:r>
      <w:bookmarkEnd w:id="183"/>
      <w:r>
        <w:t>承包人应在合同工程完工证书颁发后28天内，向监理人提交</w:t>
      </w:r>
      <w:r>
        <w:rPr>
          <w:u w:val="single"/>
        </w:rPr>
        <w:t>一式肆份</w:t>
      </w:r>
      <w:r>
        <w:t>竣工（完工）付款申请单及相关证明材料。</w:t>
      </w:r>
    </w:p>
    <w:p w14:paraId="00ECDCF7">
      <w:pPr>
        <w:pStyle w:val="11"/>
      </w:pPr>
      <w:r>
        <w:t>17.5.3除按通用合同条款所说的内容外，增加以下内容：最终结算以财政评审结果或审计结果为准。</w:t>
      </w:r>
    </w:p>
    <w:p w14:paraId="2BE3926C">
      <w:pPr>
        <w:pStyle w:val="11"/>
      </w:pPr>
      <w:bookmarkStart w:id="184" w:name="_Toc31751"/>
      <w:r>
        <w:t>17.6 最终结清</w:t>
      </w:r>
      <w:bookmarkEnd w:id="184"/>
    </w:p>
    <w:p w14:paraId="54B5D872">
      <w:pPr>
        <w:pStyle w:val="11"/>
      </w:pPr>
      <w:bookmarkStart w:id="185" w:name="_Toc16188"/>
      <w:r>
        <w:t>17.6 1 最终结清申请单</w:t>
      </w:r>
      <w:bookmarkEnd w:id="185"/>
    </w:p>
    <w:p w14:paraId="24FF2DFB">
      <w:pPr>
        <w:pStyle w:val="11"/>
      </w:pPr>
      <w:bookmarkStart w:id="186" w:name="_Toc29891"/>
      <w:r>
        <w:t>（1）承包人应提交最终结清申请单份数：</w:t>
      </w:r>
      <w:r>
        <w:rPr>
          <w:u w:val="single"/>
        </w:rPr>
        <w:t>一式肆份</w:t>
      </w:r>
      <w:r>
        <w:t>。</w:t>
      </w:r>
      <w:bookmarkEnd w:id="186"/>
    </w:p>
    <w:p w14:paraId="4262295E">
      <w:pPr>
        <w:pStyle w:val="11"/>
      </w:pPr>
      <w:bookmarkStart w:id="187" w:name="_Toc2926"/>
      <w:r>
        <w:t>17.7 竣工财务决算</w:t>
      </w:r>
      <w:bookmarkEnd w:id="187"/>
    </w:p>
    <w:p w14:paraId="1E2143A8">
      <w:pPr>
        <w:pStyle w:val="11"/>
      </w:pPr>
      <w:r>
        <w:t>承包人应为竣工财务决算编制提供的资料：</w:t>
      </w:r>
      <w:r>
        <w:rPr>
          <w:u w:val="single"/>
        </w:rPr>
        <w:t>财务决算所需的一切资料</w:t>
      </w:r>
      <w:r>
        <w:t>。</w:t>
      </w:r>
    </w:p>
    <w:p w14:paraId="2395476F">
      <w:pPr>
        <w:pStyle w:val="2"/>
        <w:numPr>
          <w:ilvl w:val="0"/>
          <w:numId w:val="0"/>
        </w:numPr>
        <w:bidi w:val="0"/>
        <w:ind w:left="482" w:leftChars="0"/>
      </w:pPr>
      <w:bookmarkStart w:id="188" w:name="_Toc17310"/>
      <w:r>
        <w:t>18. 竣工验收（验收）</w:t>
      </w:r>
      <w:bookmarkEnd w:id="188"/>
    </w:p>
    <w:p w14:paraId="64F79E4E">
      <w:pPr>
        <w:pStyle w:val="2"/>
        <w:numPr>
          <w:ilvl w:val="0"/>
          <w:numId w:val="0"/>
        </w:numPr>
        <w:bidi w:val="0"/>
        <w:ind w:left="482" w:leftChars="0"/>
      </w:pPr>
      <w:r>
        <w:t>18.1 验收工作分类</w:t>
      </w:r>
    </w:p>
    <w:p w14:paraId="5DB1D23D">
      <w:pPr>
        <w:pStyle w:val="11"/>
      </w:pPr>
      <w:r>
        <w:t>按建设行政主管部门和（或）城市建设档案管理机构的要求 相关规定执行。</w:t>
      </w:r>
    </w:p>
    <w:p w14:paraId="6B5CB833">
      <w:pPr>
        <w:pStyle w:val="2"/>
        <w:numPr>
          <w:ilvl w:val="0"/>
          <w:numId w:val="0"/>
        </w:numPr>
        <w:bidi w:val="0"/>
        <w:ind w:left="482" w:leftChars="0"/>
      </w:pPr>
      <w:r>
        <w:t>18.2 分部工程验收</w:t>
      </w:r>
    </w:p>
    <w:p w14:paraId="31223A5C">
      <w:pPr>
        <w:pStyle w:val="11"/>
      </w:pPr>
      <w:r>
        <w:t>18.2.2本工程由发包人主持的分部工程验收为：</w:t>
      </w:r>
      <w:r>
        <w:rPr>
          <w:u w:val="single"/>
        </w:rPr>
        <w:tab/>
      </w:r>
      <w:r>
        <w:rPr>
          <w:u w:val="single"/>
        </w:rPr>
        <w:t xml:space="preserve">/   </w:t>
      </w:r>
      <w:r>
        <w:t>,其余由监理主持。</w:t>
      </w:r>
    </w:p>
    <w:p w14:paraId="50E1D019">
      <w:pPr>
        <w:pStyle w:val="2"/>
        <w:numPr>
          <w:ilvl w:val="0"/>
          <w:numId w:val="0"/>
        </w:numPr>
        <w:bidi w:val="0"/>
        <w:ind w:left="482" w:leftChars="0"/>
      </w:pPr>
      <w:r>
        <w:t>18.3 单位工程验收</w:t>
      </w:r>
    </w:p>
    <w:p w14:paraId="67F0E8C1">
      <w:pPr>
        <w:pStyle w:val="11"/>
      </w:pPr>
      <w:r>
        <w:t>18.3.4  提前投入使用的单位工程包括：</w:t>
      </w:r>
      <w:r>
        <w:rPr>
          <w:u w:val="single"/>
        </w:rPr>
        <w:t xml:space="preserve">       /       </w:t>
      </w:r>
      <w:r>
        <w:t>。</w:t>
      </w:r>
    </w:p>
    <w:p w14:paraId="025173D0">
      <w:pPr>
        <w:pStyle w:val="2"/>
        <w:numPr>
          <w:ilvl w:val="0"/>
          <w:numId w:val="0"/>
        </w:numPr>
        <w:bidi w:val="0"/>
        <w:ind w:left="482" w:leftChars="0"/>
      </w:pPr>
      <w:r>
        <w:t>18.5 阶段验收</w:t>
      </w:r>
    </w:p>
    <w:p w14:paraId="622DF656">
      <w:pPr>
        <w:adjustRightInd w:val="0"/>
        <w:snapToGrid w:val="0"/>
        <w:spacing w:line="360" w:lineRule="auto"/>
        <w:ind w:firstLine="480" w:firstLineChars="200"/>
        <w:rPr>
          <w:rFonts w:ascii="宋体" w:hAnsi="宋体" w:cs="宋体"/>
          <w:szCs w:val="21"/>
        </w:rPr>
      </w:pPr>
      <w:bookmarkStart w:id="189" w:name="_Toc221951283"/>
      <w:r>
        <w:rPr>
          <w:rFonts w:hint="eastAsia" w:ascii="Times New Roman" w:hAnsi="Times New Roman" w:eastAsia="宋体" w:cs="Times New Roman"/>
          <w:kern w:val="0"/>
          <w:sz w:val="24"/>
          <w:szCs w:val="20"/>
        </w:rPr>
        <w:t>18.5.1</w:t>
      </w:r>
      <w:r>
        <w:rPr>
          <w:rFonts w:hint="eastAsia" w:ascii="宋体" w:hAnsi="宋体" w:cs="宋体"/>
          <w:szCs w:val="21"/>
        </w:rPr>
        <w:t xml:space="preserve"> 本合同工程阶段验收类别包括：</w:t>
      </w:r>
      <w:bookmarkEnd w:id="189"/>
      <w:r>
        <w:rPr>
          <w:rFonts w:hint="eastAsia" w:ascii="宋体" w:hAnsi="宋体" w:cs="宋体"/>
          <w:szCs w:val="21"/>
          <w:u w:val="single"/>
        </w:rPr>
        <w:t xml:space="preserve">       /            </w:t>
      </w:r>
      <w:r>
        <w:rPr>
          <w:rFonts w:hint="eastAsia" w:ascii="宋体" w:hAnsi="宋体" w:cs="宋体"/>
          <w:szCs w:val="21"/>
        </w:rPr>
        <w:t>。</w:t>
      </w:r>
    </w:p>
    <w:p w14:paraId="45D0B7C4">
      <w:pPr>
        <w:pStyle w:val="2"/>
        <w:numPr>
          <w:ilvl w:val="0"/>
          <w:numId w:val="0"/>
        </w:numPr>
        <w:bidi w:val="0"/>
        <w:ind w:left="482" w:leftChars="0"/>
      </w:pPr>
      <w:r>
        <w:t xml:space="preserve">18.6 专项验收   </w:t>
      </w:r>
    </w:p>
    <w:p w14:paraId="4DB5C914">
      <w:pPr>
        <w:pStyle w:val="11"/>
      </w:pPr>
      <w:r>
        <w:t>18.6.2 本合同工程专项验收类别包括：</w:t>
      </w:r>
      <w:r>
        <w:rPr>
          <w:u w:val="single"/>
        </w:rPr>
        <w:t xml:space="preserve">         /         </w:t>
      </w:r>
      <w:r>
        <w:t>。</w:t>
      </w:r>
    </w:p>
    <w:p w14:paraId="139856F5">
      <w:pPr>
        <w:pStyle w:val="2"/>
        <w:numPr>
          <w:ilvl w:val="0"/>
          <w:numId w:val="0"/>
        </w:numPr>
        <w:bidi w:val="0"/>
        <w:ind w:left="482" w:leftChars="0"/>
      </w:pPr>
      <w:r>
        <w:t>18.8 施工期运行</w:t>
      </w:r>
    </w:p>
    <w:p w14:paraId="5D6AD0B2">
      <w:pPr>
        <w:pStyle w:val="11"/>
      </w:pPr>
      <w:r>
        <w:t>18.8.1需要在施工期运行的单位工程或工程设备为：</w:t>
      </w:r>
      <w:r>
        <w:rPr>
          <w:u w:val="single"/>
        </w:rPr>
        <w:t xml:space="preserve">     /    </w:t>
      </w:r>
      <w:r>
        <w:t>。</w:t>
      </w:r>
    </w:p>
    <w:p w14:paraId="02A62D69">
      <w:pPr>
        <w:pStyle w:val="2"/>
        <w:numPr>
          <w:ilvl w:val="0"/>
          <w:numId w:val="0"/>
        </w:numPr>
        <w:bidi w:val="0"/>
        <w:ind w:left="482" w:leftChars="0"/>
      </w:pPr>
      <w:r>
        <w:t>18.9试运行</w:t>
      </w:r>
    </w:p>
    <w:p w14:paraId="4EEBE9F0">
      <w:pPr>
        <w:pStyle w:val="11"/>
      </w:pPr>
      <w:r>
        <w:t>18.9.1试运行的组织：</w:t>
      </w:r>
      <w:r>
        <w:rPr>
          <w:u w:val="single"/>
        </w:rPr>
        <w:t xml:space="preserve">       无   </w:t>
      </w:r>
      <w:r>
        <w:t>；费用承担：</w:t>
      </w:r>
      <w:r>
        <w:rPr>
          <w:u w:val="single"/>
        </w:rPr>
        <w:t xml:space="preserve">      无     </w:t>
      </w:r>
      <w:r>
        <w:t>。</w:t>
      </w:r>
    </w:p>
    <w:p w14:paraId="78D93CD3">
      <w:pPr>
        <w:pStyle w:val="2"/>
        <w:numPr>
          <w:ilvl w:val="0"/>
          <w:numId w:val="0"/>
        </w:numPr>
        <w:bidi w:val="0"/>
        <w:ind w:left="482" w:leftChars="0"/>
      </w:pPr>
      <w:bookmarkStart w:id="190" w:name="_Toc171"/>
      <w:r>
        <w:t>19. 缺陷责任与保修责任</w:t>
      </w:r>
      <w:bookmarkEnd w:id="190"/>
    </w:p>
    <w:p w14:paraId="4BA881EC">
      <w:pPr>
        <w:pStyle w:val="2"/>
        <w:numPr>
          <w:ilvl w:val="0"/>
          <w:numId w:val="0"/>
        </w:numPr>
        <w:bidi w:val="0"/>
        <w:ind w:left="482" w:leftChars="0"/>
      </w:pPr>
      <w:r>
        <w:t>19.1 缺陷责任期（工程质量保修期）的起算时间</w:t>
      </w:r>
    </w:p>
    <w:p w14:paraId="59FFE13B">
      <w:pPr>
        <w:pStyle w:val="11"/>
      </w:pPr>
      <w:bookmarkStart w:id="191" w:name="_Toc18971"/>
      <w:r>
        <w:t>本工程缺陷责任期（工程质量保修）计算如下：本工程缺陷责任期（工程质量保修）计算如下：起算日按通用条款19.1和19. 7的约定，终止日按专用条款1. 1.4.5约定。</w:t>
      </w:r>
    </w:p>
    <w:p w14:paraId="4607B1F6">
      <w:pPr>
        <w:pStyle w:val="2"/>
        <w:numPr>
          <w:ilvl w:val="0"/>
          <w:numId w:val="0"/>
        </w:numPr>
        <w:bidi w:val="0"/>
        <w:ind w:left="482" w:leftChars="0"/>
      </w:pPr>
      <w:r>
        <w:t>20. 保险</w:t>
      </w:r>
      <w:bookmarkEnd w:id="191"/>
    </w:p>
    <w:p w14:paraId="31311B61">
      <w:pPr>
        <w:pStyle w:val="2"/>
        <w:numPr>
          <w:ilvl w:val="0"/>
          <w:numId w:val="0"/>
        </w:numPr>
        <w:bidi w:val="0"/>
        <w:ind w:left="482" w:leftChars="0"/>
      </w:pPr>
      <w:r>
        <w:t>20.1 工程保险</w:t>
      </w:r>
    </w:p>
    <w:p w14:paraId="2E3D5735">
      <w:pPr>
        <w:pStyle w:val="11"/>
      </w:pPr>
      <w:r>
        <w:t>建筑工程一切险和（或）安装工程一切险投保人：</w:t>
      </w:r>
      <w:r>
        <w:rPr>
          <w:u w:val="single"/>
        </w:rPr>
        <w:t xml:space="preserve">      /       </w:t>
      </w:r>
      <w:r>
        <w:t xml:space="preserve">；                        </w:t>
      </w:r>
    </w:p>
    <w:p w14:paraId="5A65765E">
      <w:pPr>
        <w:pStyle w:val="11"/>
      </w:pPr>
      <w:r>
        <w:t>投保内容：</w:t>
      </w:r>
      <w:r>
        <w:rPr>
          <w:u w:val="single"/>
        </w:rPr>
        <w:t xml:space="preserve">        /           </w:t>
      </w:r>
      <w:r>
        <w:t xml:space="preserve">；                                                      </w:t>
      </w:r>
    </w:p>
    <w:p w14:paraId="613DCD84">
      <w:pPr>
        <w:pStyle w:val="11"/>
      </w:pPr>
      <w:r>
        <w:t>保险金额、保险费率和保险期限：</w:t>
      </w:r>
      <w:r>
        <w:rPr>
          <w:u w:val="single"/>
        </w:rPr>
        <w:t xml:space="preserve">     /       </w:t>
      </w:r>
      <w:r>
        <w:t>。</w:t>
      </w:r>
    </w:p>
    <w:p w14:paraId="24A87321">
      <w:pPr>
        <w:pStyle w:val="2"/>
        <w:numPr>
          <w:ilvl w:val="0"/>
          <w:numId w:val="0"/>
        </w:numPr>
        <w:bidi w:val="0"/>
        <w:ind w:left="482" w:leftChars="0"/>
      </w:pPr>
      <w:r>
        <w:t>20.4 第三者责任险</w:t>
      </w:r>
    </w:p>
    <w:p w14:paraId="4EEEC0DA">
      <w:pPr>
        <w:pStyle w:val="11"/>
      </w:pPr>
      <w:bookmarkStart w:id="192" w:name="_Toc28183"/>
      <w:r>
        <w:t>20.4.2  第三者责任险保险费率：</w:t>
      </w:r>
      <w:r>
        <w:rPr>
          <w:u w:val="single"/>
        </w:rPr>
        <w:t xml:space="preserve">     /       </w:t>
      </w:r>
      <w:r>
        <w:t xml:space="preserve">；                                       </w:t>
      </w:r>
    </w:p>
    <w:p w14:paraId="60093BE9">
      <w:pPr>
        <w:pStyle w:val="11"/>
      </w:pPr>
      <w:r>
        <w:t>第三者责任险保险金额：</w:t>
      </w:r>
      <w:r>
        <w:rPr>
          <w:u w:val="single"/>
        </w:rPr>
        <w:t xml:space="preserve">    /       </w:t>
      </w:r>
      <w:r>
        <w:t>。</w:t>
      </w:r>
    </w:p>
    <w:p w14:paraId="1301F457">
      <w:pPr>
        <w:pStyle w:val="2"/>
        <w:numPr>
          <w:ilvl w:val="0"/>
          <w:numId w:val="0"/>
        </w:numPr>
        <w:bidi w:val="0"/>
        <w:ind w:left="482" w:leftChars="0"/>
      </w:pPr>
      <w:r>
        <w:t>20.5 其他保险</w:t>
      </w:r>
      <w:bookmarkEnd w:id="192"/>
    </w:p>
    <w:p w14:paraId="02360479">
      <w:pPr>
        <w:pStyle w:val="11"/>
      </w:pPr>
      <w:bookmarkStart w:id="193" w:name="_Toc13967"/>
      <w:r>
        <w:t>需要投保的其他内容：</w:t>
      </w:r>
      <w:r>
        <w:rPr>
          <w:u w:val="single"/>
        </w:rPr>
        <w:t xml:space="preserve">     /         </w:t>
      </w:r>
      <w:r>
        <w:t>；</w:t>
      </w:r>
    </w:p>
    <w:p w14:paraId="633DDF65">
      <w:pPr>
        <w:pStyle w:val="11"/>
      </w:pPr>
      <w:r>
        <w:t>保险金额、保险费率和保险期限：</w:t>
      </w:r>
      <w:r>
        <w:rPr>
          <w:u w:val="single"/>
        </w:rPr>
        <w:t xml:space="preserve">   /      </w:t>
      </w:r>
      <w:r>
        <w:t>；</w:t>
      </w:r>
    </w:p>
    <w:p w14:paraId="355C8504">
      <w:pPr>
        <w:pStyle w:val="2"/>
        <w:numPr>
          <w:ilvl w:val="0"/>
          <w:numId w:val="0"/>
        </w:numPr>
        <w:bidi w:val="0"/>
        <w:ind w:left="482" w:leftChars="0"/>
      </w:pPr>
      <w:r>
        <w:t>20.6 对各项保险的一般要求</w:t>
      </w:r>
      <w:bookmarkEnd w:id="193"/>
    </w:p>
    <w:p w14:paraId="6CED0E65">
      <w:pPr>
        <w:pStyle w:val="2"/>
        <w:numPr>
          <w:ilvl w:val="0"/>
          <w:numId w:val="0"/>
        </w:numPr>
        <w:bidi w:val="0"/>
        <w:ind w:left="482" w:leftChars="0"/>
      </w:pPr>
      <w:bookmarkStart w:id="194" w:name="_Toc221951328"/>
      <w:r>
        <w:t>20.6.1 保险凭证</w:t>
      </w:r>
      <w:bookmarkEnd w:id="194"/>
    </w:p>
    <w:p w14:paraId="74DF356D">
      <w:pPr>
        <w:pStyle w:val="11"/>
      </w:pPr>
      <w:bookmarkStart w:id="195" w:name="_Toc221951329"/>
      <w:r>
        <w:t>承包人提交保险凭证的期限：</w:t>
      </w:r>
      <w:r>
        <w:rPr>
          <w:u w:val="single"/>
        </w:rPr>
        <w:t xml:space="preserve">  /      </w:t>
      </w:r>
      <w:bookmarkEnd w:id="195"/>
      <w:r>
        <w:t>；</w:t>
      </w:r>
    </w:p>
    <w:p w14:paraId="31902321">
      <w:pPr>
        <w:pStyle w:val="11"/>
      </w:pPr>
      <w:bookmarkStart w:id="196" w:name="_Toc221951330"/>
      <w:r>
        <w:t>保险条件：</w:t>
      </w:r>
      <w:r>
        <w:rPr>
          <w:u w:val="single"/>
        </w:rPr>
        <w:t xml:space="preserve">     /         </w:t>
      </w:r>
      <w:r>
        <w:t>。</w:t>
      </w:r>
      <w:bookmarkEnd w:id="196"/>
    </w:p>
    <w:p w14:paraId="3876BCB3">
      <w:pPr>
        <w:pStyle w:val="2"/>
        <w:numPr>
          <w:ilvl w:val="0"/>
          <w:numId w:val="0"/>
        </w:numPr>
        <w:bidi w:val="0"/>
        <w:ind w:left="482" w:leftChars="0"/>
      </w:pPr>
      <w:bookmarkStart w:id="197" w:name="_Toc221951331"/>
      <w:r>
        <w:t>20.6.4 保险金不足的补偿</w:t>
      </w:r>
      <w:bookmarkEnd w:id="197"/>
    </w:p>
    <w:p w14:paraId="16EA9739">
      <w:pPr>
        <w:pStyle w:val="11"/>
      </w:pPr>
      <w:bookmarkStart w:id="198" w:name="_Toc221951332"/>
      <w:r>
        <w:t>承包人负责补偿的范围与金额：</w:t>
      </w:r>
      <w:bookmarkEnd w:id="198"/>
      <w:r>
        <w:rPr>
          <w:u w:val="single"/>
        </w:rPr>
        <w:t xml:space="preserve">     /      </w:t>
      </w:r>
      <w:r>
        <w:t>；</w:t>
      </w:r>
    </w:p>
    <w:p w14:paraId="72F4B9B7">
      <w:pPr>
        <w:pStyle w:val="11"/>
      </w:pPr>
      <w:r>
        <w:t>发包人负责补偿的范围与金额：</w:t>
      </w:r>
      <w:r>
        <w:rPr>
          <w:u w:val="single"/>
        </w:rPr>
        <w:t xml:space="preserve">    /     </w:t>
      </w:r>
      <w:r>
        <w:t>。</w:t>
      </w:r>
    </w:p>
    <w:p w14:paraId="59CD1945">
      <w:pPr>
        <w:pStyle w:val="2"/>
        <w:numPr>
          <w:ilvl w:val="0"/>
          <w:numId w:val="0"/>
        </w:numPr>
        <w:bidi w:val="0"/>
        <w:ind w:left="482" w:leftChars="0"/>
      </w:pPr>
      <w:r>
        <w:t>21. 不可抗力</w:t>
      </w:r>
    </w:p>
    <w:p w14:paraId="4E385B78">
      <w:pPr>
        <w:pStyle w:val="2"/>
        <w:numPr>
          <w:ilvl w:val="0"/>
          <w:numId w:val="0"/>
        </w:numPr>
        <w:bidi w:val="0"/>
        <w:ind w:left="482" w:leftChars="0"/>
      </w:pPr>
      <w:r>
        <w:t>21.1 不可抗力的确认</w:t>
      </w:r>
    </w:p>
    <w:p w14:paraId="0FA48346">
      <w:pPr>
        <w:pStyle w:val="11"/>
      </w:pPr>
      <w: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 xml:space="preserve"> </w:t>
      </w:r>
    </w:p>
    <w:p w14:paraId="0AFFED94">
      <w:pPr>
        <w:pStyle w:val="2"/>
        <w:numPr>
          <w:ilvl w:val="0"/>
          <w:numId w:val="0"/>
        </w:numPr>
        <w:bidi w:val="0"/>
        <w:ind w:left="482" w:leftChars="0"/>
      </w:pPr>
      <w:r>
        <w:t>24. 争议的解决</w:t>
      </w:r>
    </w:p>
    <w:p w14:paraId="793C3657">
      <w:pPr>
        <w:pStyle w:val="2"/>
        <w:numPr>
          <w:ilvl w:val="0"/>
          <w:numId w:val="0"/>
        </w:numPr>
        <w:bidi w:val="0"/>
        <w:ind w:left="482" w:leftChars="0"/>
      </w:pPr>
      <w:r>
        <w:t>24.1 争议的解决方式</w:t>
      </w:r>
    </w:p>
    <w:p w14:paraId="32575E6E">
      <w:pPr>
        <w:pStyle w:val="11"/>
      </w:pPr>
      <w:r>
        <w:t>合同当事人友好协商解决不成、不愿提请争议评审或不接受争议评审组意见的，约定的合同争议解决方式：</w:t>
      </w:r>
      <w:r>
        <w:rPr>
          <w:u w:val="single"/>
        </w:rPr>
        <w:t>向有管辖权的人民法院提起诉讼。</w:t>
      </w:r>
    </w:p>
    <w:p w14:paraId="31E9B007">
      <w:pPr>
        <w:pStyle w:val="2"/>
        <w:numPr>
          <w:ilvl w:val="0"/>
          <w:numId w:val="0"/>
        </w:numPr>
        <w:bidi w:val="0"/>
        <w:ind w:left="482" w:leftChars="0"/>
      </w:pPr>
      <w:r>
        <w:t>25.附加条款</w:t>
      </w:r>
    </w:p>
    <w:p w14:paraId="57B962E8">
      <w:pPr>
        <w:pStyle w:val="11"/>
      </w:pPr>
      <w:r>
        <w:t>25.1对承包人的要求</w:t>
      </w:r>
    </w:p>
    <w:p w14:paraId="020624E4">
      <w:pPr>
        <w:pStyle w:val="11"/>
      </w:pPr>
      <w: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11"/>
      </w:pPr>
      <w:r>
        <w:t>2.遵守国务院《建设工程质量管理条例》，根据有关质量管理规定，建立健全质量管理机构，结合工程实际制定完善的可操作性强的质量管理制度，施工质量等级达到合同约定等级。</w:t>
      </w:r>
    </w:p>
    <w:p w14:paraId="3EB4E147">
      <w:pPr>
        <w:pStyle w:val="11"/>
      </w:pPr>
      <w: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11"/>
      </w:pPr>
      <w:r>
        <w:t>4.按有关施工规程规范及本招标文件技术条款进行组织施工并实施施工过程和移交前工程保护措施。</w:t>
      </w:r>
    </w:p>
    <w:p w14:paraId="5E9BF063">
      <w:pPr>
        <w:pStyle w:val="11"/>
      </w:pPr>
      <w:r>
        <w:t>5.承包人违约有以下情况之一者，发包人有权采取合同规定的以下措施处理，并视情节轻重处予违约金，违约金额为合同总价的0.25%-1%（视情节严重而定）。</w:t>
      </w:r>
    </w:p>
    <w:p w14:paraId="06DE4FE8">
      <w:pPr>
        <w:pStyle w:val="11"/>
      </w:pPr>
      <w:r>
        <w:t>（1）未经发包人批准，施工期内承包人调走主要施工技术人员（包括建造师、专业工程师），经发现不及时调回的，违约金额为合同总价的0.25%-1%（视情节严重而定）。</w:t>
      </w:r>
    </w:p>
    <w:p w14:paraId="67FF5565">
      <w:pPr>
        <w:pStyle w:val="11"/>
      </w:pPr>
      <w:r>
        <w:t>（2）未经发包人批准，施工期内自行调走主要施工机械，经发现不及时调回的，违约金额为合同总价的0.25%-1%（视情节严重而定）。</w:t>
      </w:r>
    </w:p>
    <w:p w14:paraId="01BB418A">
      <w:pPr>
        <w:pStyle w:val="11"/>
      </w:pPr>
      <w:r>
        <w:t>（3）所有以上违约金均在承包人的进度款中扣除。</w:t>
      </w:r>
    </w:p>
    <w:p w14:paraId="1E803874">
      <w:pPr>
        <w:pStyle w:val="11"/>
      </w:pPr>
      <w: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11"/>
      </w:pPr>
      <w:r>
        <w:t>（5）合同签订之日起15日内，承包人无法按合同规定进场全部人员和机械时，作为承包人违约，发包人可解除合同，没收其全部履约保证金，另行发包工程。</w:t>
      </w:r>
    </w:p>
    <w:p w14:paraId="49A3C578">
      <w:pPr>
        <w:pStyle w:val="11"/>
      </w:pPr>
      <w:bookmarkStart w:id="199" w:name="bookmark1879"/>
      <w:bookmarkEnd w:id="199"/>
      <w: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11"/>
      </w:pPr>
      <w:r>
        <w:t>6.承包人生活设施及施工场地，应自费配备消防设备，防止火灾发生。</w:t>
      </w:r>
    </w:p>
    <w:p w14:paraId="4E873112">
      <w:pPr>
        <w:pStyle w:val="11"/>
      </w:pPr>
      <w:r>
        <w:t>7.承包人使用的劳动力均应进行保险，否则不准安排工作，禁止使用童工。</w:t>
      </w:r>
    </w:p>
    <w:p w14:paraId="46BB343F">
      <w:pPr>
        <w:pStyle w:val="11"/>
      </w:pPr>
      <w: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11"/>
      </w:pPr>
      <w: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11"/>
      </w:pPr>
      <w: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11"/>
      </w:pPr>
      <w:r>
        <w:rPr>
          <w:b w:val="0"/>
          <w:bCs/>
        </w:rPr>
        <w:t>25.2</w:t>
      </w:r>
      <w:r>
        <w:t xml:space="preserve"> 发包人所有付款(含预付款)均转入如下承包人单位基本账户:开户银行：</w:t>
      </w:r>
      <w:r>
        <w:rPr>
          <w:u w:val="single"/>
        </w:rPr>
        <w:t xml:space="preserve">                  </w:t>
      </w:r>
      <w:r>
        <w:t>，开户名：</w:t>
      </w:r>
      <w:r>
        <w:rPr>
          <w:u w:val="single"/>
        </w:rPr>
        <w:t xml:space="preserve">                      </w:t>
      </w:r>
      <w:r>
        <w:t>，账号：</w:t>
      </w:r>
      <w:r>
        <w:rPr>
          <w:u w:val="single"/>
        </w:rPr>
        <w:t xml:space="preserve">                     </w:t>
      </w:r>
      <w:r>
        <w:t>，承包人单位基本账户发生改变时, 承包人应书面通知（法定代表人签名并加盖单位公章）发包人。</w:t>
      </w:r>
    </w:p>
    <w:p w14:paraId="14A0CFFE">
      <w:pPr>
        <w:pStyle w:val="11"/>
      </w:pPr>
      <w:r>
        <w:rPr>
          <w:b w:val="0"/>
          <w:bCs/>
        </w:rPr>
        <w:t>25.3</w:t>
      </w:r>
      <w: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11"/>
      </w:pPr>
      <w:r>
        <w:rPr>
          <w:b w:val="0"/>
          <w:bCs/>
        </w:rPr>
        <w:t>25.4</w:t>
      </w:r>
      <w:r>
        <w:t xml:space="preserve"> 专用合同条款中未尽事宜，在签订施工合同时双方再商定。</w:t>
      </w:r>
    </w:p>
    <w:p w14:paraId="52A5238B">
      <w:pPr>
        <w:rPr>
          <w:rFonts w:ascii="宋体" w:hAnsi="宋体" w:cs="宋体"/>
          <w:szCs w:val="21"/>
        </w:rPr>
      </w:pPr>
    </w:p>
    <w:p w14:paraId="4CAAFF1F">
      <w:pPr>
        <w:rPr>
          <w:rFonts w:ascii="宋体" w:hAnsi="宋体" w:cs="宋体"/>
          <w:szCs w:val="21"/>
        </w:rPr>
      </w:pPr>
    </w:p>
    <w:p w14:paraId="0762DF2B">
      <w:pPr>
        <w:rPr>
          <w:rFonts w:ascii="宋体" w:hAnsi="宋体" w:cs="宋体"/>
          <w:szCs w:val="21"/>
        </w:rPr>
      </w:pPr>
    </w:p>
    <w:p w14:paraId="112B6754">
      <w:pPr>
        <w:rPr>
          <w:rFonts w:ascii="宋体" w:hAnsi="宋体" w:cs="宋体"/>
          <w:szCs w:val="21"/>
        </w:rPr>
      </w:pPr>
    </w:p>
    <w:p w14:paraId="451B76B5">
      <w:pPr>
        <w:rPr>
          <w:rFonts w:ascii="宋体" w:hAnsi="宋体" w:cs="宋体"/>
          <w:szCs w:val="21"/>
        </w:rPr>
      </w:pPr>
    </w:p>
    <w:p w14:paraId="3205A9BB">
      <w:pPr>
        <w:rPr>
          <w:rFonts w:ascii="宋体" w:hAnsi="宋体" w:cs="宋体"/>
          <w:szCs w:val="21"/>
        </w:rPr>
      </w:pPr>
    </w:p>
    <w:p w14:paraId="0BD2DFC8">
      <w:pPr>
        <w:rPr>
          <w:rFonts w:ascii="宋体" w:hAnsi="宋体" w:cs="宋体"/>
          <w:szCs w:val="21"/>
        </w:rPr>
      </w:pPr>
    </w:p>
    <w:p w14:paraId="0D4C2852">
      <w:pPr>
        <w:rPr>
          <w:rFonts w:ascii="宋体" w:hAnsi="宋体" w:cs="宋体"/>
          <w:szCs w:val="21"/>
        </w:rPr>
      </w:pPr>
    </w:p>
    <w:p w14:paraId="7BDA1354">
      <w:pPr>
        <w:rPr>
          <w:rFonts w:ascii="宋体" w:hAnsi="宋体" w:cs="宋体"/>
          <w:szCs w:val="21"/>
        </w:rPr>
      </w:pPr>
    </w:p>
    <w:p w14:paraId="7DBAEADE">
      <w:pPr>
        <w:rPr>
          <w:rFonts w:ascii="宋体" w:hAnsi="宋体" w:cs="宋体"/>
          <w:szCs w:val="21"/>
        </w:rPr>
      </w:pPr>
    </w:p>
    <w:p w14:paraId="432E34DC">
      <w:pPr>
        <w:rPr>
          <w:rFonts w:ascii="宋体" w:hAnsi="宋体" w:cs="宋体"/>
          <w:szCs w:val="21"/>
        </w:rPr>
      </w:pPr>
    </w:p>
    <w:p w14:paraId="32EEB835">
      <w:pPr>
        <w:rPr>
          <w:rFonts w:ascii="宋体" w:hAnsi="宋体" w:cs="宋体"/>
          <w:szCs w:val="21"/>
        </w:rPr>
      </w:pPr>
    </w:p>
    <w:p w14:paraId="28FEB01B">
      <w:pPr>
        <w:rPr>
          <w:rFonts w:ascii="宋体" w:hAnsi="宋体" w:cs="宋体"/>
          <w:szCs w:val="21"/>
        </w:rPr>
      </w:pPr>
    </w:p>
    <w:p w14:paraId="3E91170A">
      <w:pPr>
        <w:rPr>
          <w:rFonts w:ascii="宋体" w:hAnsi="宋体" w:cs="宋体"/>
          <w:szCs w:val="21"/>
        </w:rPr>
      </w:pPr>
    </w:p>
    <w:p w14:paraId="435B5224">
      <w:pPr>
        <w:rPr>
          <w:rFonts w:ascii="宋体" w:hAnsi="宋体" w:cs="宋体"/>
          <w:szCs w:val="21"/>
        </w:rPr>
      </w:pPr>
    </w:p>
    <w:p w14:paraId="27CE49E3">
      <w:bookmarkStart w:id="200" w:name="_Toc622"/>
      <w:r>
        <w:br w:type="page"/>
      </w:r>
    </w:p>
    <w:p w14:paraId="581754EA">
      <w:pPr>
        <w:pStyle w:val="42"/>
        <w:numPr>
          <w:ilvl w:val="0"/>
          <w:numId w:val="70"/>
        </w:numPr>
        <w:ind w:left="0" w:leftChars="0" w:firstLine="480" w:firstLineChars="0"/>
        <w:outlineLvl w:val="0"/>
      </w:pPr>
      <w:r>
        <w:t>通用合同条款</w:t>
      </w:r>
      <w:bookmarkEnd w:id="200"/>
    </w:p>
    <w:p w14:paraId="7AA69B57">
      <w:pPr>
        <w:pStyle w:val="2"/>
        <w:numPr>
          <w:ilvl w:val="0"/>
          <w:numId w:val="0"/>
        </w:numPr>
        <w:bidi w:val="0"/>
        <w:ind w:left="482" w:leftChars="0"/>
      </w:pPr>
      <w:bookmarkStart w:id="201" w:name="bookmark881"/>
      <w:bookmarkStart w:id="202" w:name="bookmark882"/>
      <w:bookmarkStart w:id="203" w:name="_Toc14710268"/>
      <w:bookmarkStart w:id="204" w:name="bookmark883"/>
      <w:bookmarkStart w:id="205" w:name="_Toc19504"/>
      <w:r>
        <w:t>1. 一般约定</w:t>
      </w:r>
      <w:bookmarkEnd w:id="201"/>
      <w:bookmarkEnd w:id="202"/>
      <w:bookmarkEnd w:id="203"/>
      <w:bookmarkEnd w:id="204"/>
      <w:bookmarkEnd w:id="205"/>
    </w:p>
    <w:p w14:paraId="34DA9166">
      <w:pPr>
        <w:pStyle w:val="2"/>
        <w:numPr>
          <w:ilvl w:val="0"/>
          <w:numId w:val="0"/>
        </w:numPr>
        <w:bidi w:val="0"/>
        <w:ind w:left="482" w:leftChars="0"/>
      </w:pPr>
      <w:bookmarkStart w:id="206" w:name="_Toc5974"/>
      <w:bookmarkStart w:id="207" w:name="_Toc14710269"/>
      <w:bookmarkStart w:id="208" w:name="bookmark886"/>
      <w:bookmarkStart w:id="209" w:name="bookmark884"/>
      <w:bookmarkStart w:id="210" w:name="bookmark885"/>
      <w:r>
        <w:t>1.1词语定义</w:t>
      </w:r>
      <w:bookmarkEnd w:id="206"/>
      <w:bookmarkEnd w:id="207"/>
      <w:bookmarkEnd w:id="208"/>
      <w:bookmarkEnd w:id="209"/>
      <w:bookmarkEnd w:id="210"/>
    </w:p>
    <w:p w14:paraId="6926D6A9">
      <w:pPr>
        <w:pStyle w:val="11"/>
      </w:pPr>
      <w:r>
        <w:t>通用合同条款、专用合同条款中的下列词语应具有本款所赋予的含义。</w:t>
      </w:r>
    </w:p>
    <w:p w14:paraId="2B92F31F">
      <w:pPr>
        <w:pStyle w:val="2"/>
        <w:numPr>
          <w:ilvl w:val="0"/>
          <w:numId w:val="0"/>
        </w:numPr>
        <w:bidi w:val="0"/>
        <w:ind w:left="482" w:leftChars="0"/>
      </w:pPr>
      <w:r>
        <w:t>1.1.1合同</w:t>
      </w:r>
    </w:p>
    <w:p w14:paraId="03F6D5F3">
      <w:pPr>
        <w:pStyle w:val="11"/>
      </w:pPr>
      <w:r>
        <w:t>1.1.1.1合同文件（或称合同）：指合同协议书、成交通知书、投标函及投标函附录、专用合同条款、通用合同条款、技术标准和要求、图纸、已标价工程量清单，以及其他合同文件。</w:t>
      </w:r>
    </w:p>
    <w:p w14:paraId="28E93319">
      <w:pPr>
        <w:pStyle w:val="11"/>
      </w:pPr>
      <w:bookmarkStart w:id="211" w:name="bookmark887"/>
      <w:bookmarkEnd w:id="211"/>
      <w:r>
        <w:t>1. 1. 1. 2合同协议书：指第1.5款所指的合同协议书。</w:t>
      </w:r>
    </w:p>
    <w:p w14:paraId="70B31853">
      <w:pPr>
        <w:pStyle w:val="11"/>
      </w:pPr>
      <w:r>
        <w:t>1. 1. 1. 3成交通知书：指发包人通知承包人成交的函件。</w:t>
      </w:r>
    </w:p>
    <w:p w14:paraId="6A8CE6A4">
      <w:pPr>
        <w:pStyle w:val="11"/>
      </w:pPr>
      <w:bookmarkStart w:id="212" w:name="bookmark888"/>
      <w:bookmarkEnd w:id="212"/>
      <w:r>
        <w:t>1. 1. 1. 4投标函：指构成合同文件组成部分的由承包人填写并签署的投标函。</w:t>
      </w:r>
    </w:p>
    <w:p w14:paraId="363935BB">
      <w:pPr>
        <w:pStyle w:val="11"/>
      </w:pPr>
      <w:r>
        <w:t>1. 1. 1. 5投标函附录：指附在投标函后构成合同文件的投标函附录。</w:t>
      </w:r>
    </w:p>
    <w:p w14:paraId="4521F154">
      <w:pPr>
        <w:pStyle w:val="11"/>
      </w:pPr>
      <w:bookmarkStart w:id="213" w:name="bookmark889"/>
      <w:bookmarkEnd w:id="213"/>
      <w:r>
        <w:t>1. 1. 1. 6技术标准和要求：指构成合同文件组成部分的名为技术标准和要求（合同技术条款）的文件，包括合同双方当事人约定对其所做的修改或补充。</w:t>
      </w:r>
    </w:p>
    <w:p w14:paraId="752A9C04">
      <w:pPr>
        <w:pStyle w:val="11"/>
      </w:pPr>
      <w:bookmarkStart w:id="214" w:name="bookmark890"/>
      <w:bookmarkEnd w:id="214"/>
      <w: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11"/>
      </w:pPr>
      <w:r>
        <w:t>1. 1. 1. 8已标价工程量清单：指构成合同文件组成部分的由承包人按照规定的格式和要求填写并标明价格的工程量清单。</w:t>
      </w:r>
    </w:p>
    <w:p w14:paraId="427156BF">
      <w:pPr>
        <w:pStyle w:val="11"/>
      </w:pPr>
      <w:r>
        <w:t>1. 1. 1. 9其他合同文件：指经合同双方当事人确认构成合同文件的其他文件。</w:t>
      </w:r>
    </w:p>
    <w:p w14:paraId="53821C45">
      <w:pPr>
        <w:pStyle w:val="2"/>
        <w:numPr>
          <w:ilvl w:val="0"/>
          <w:numId w:val="0"/>
        </w:numPr>
        <w:bidi w:val="0"/>
        <w:ind w:left="482" w:leftChars="0"/>
      </w:pPr>
      <w:r>
        <w:t>1.1.2合同当事人和人员。</w:t>
      </w:r>
    </w:p>
    <w:p w14:paraId="14F03757">
      <w:pPr>
        <w:pStyle w:val="11"/>
      </w:pPr>
      <w:r>
        <w:t>1. 1.2.1合同当事人：指发包人和（或）承包人。</w:t>
      </w:r>
    </w:p>
    <w:p w14:paraId="522F8FD8">
      <w:pPr>
        <w:pStyle w:val="11"/>
      </w:pPr>
      <w:bookmarkStart w:id="215" w:name="bookmark891"/>
      <w:bookmarkEnd w:id="215"/>
      <w:r>
        <w:t>1. 1.2.2发包人：指专用合同条款中指明并与承包人在合同协议书中签字的当事人。</w:t>
      </w:r>
    </w:p>
    <w:p w14:paraId="77F20B08">
      <w:pPr>
        <w:pStyle w:val="11"/>
      </w:pPr>
      <w:bookmarkStart w:id="216" w:name="bookmark892"/>
      <w:bookmarkEnd w:id="216"/>
      <w:r>
        <w:t>1. 1.2.3承包人：指专用合同条款中指明并与发包人在合同协议书中签字的当事人。</w:t>
      </w:r>
    </w:p>
    <w:p w14:paraId="176E4B5F">
      <w:pPr>
        <w:pStyle w:val="11"/>
      </w:pPr>
      <w:r>
        <w:t>1. 1.2.4承包人项目经理：指承包人派驻施工场地的全权负责人。</w:t>
      </w:r>
    </w:p>
    <w:p w14:paraId="139C18D0">
      <w:pPr>
        <w:pStyle w:val="11"/>
      </w:pPr>
      <w:r>
        <w:t>1. 1.2.5分包人：指专用合同条款中指明的，从承包人处分包合同中某一部分工程, 并与其签订分包合同的分包人。</w:t>
      </w:r>
    </w:p>
    <w:p w14:paraId="044B0CF7">
      <w:pPr>
        <w:pStyle w:val="11"/>
      </w:pPr>
      <w:bookmarkStart w:id="217" w:name="bookmark893"/>
      <w:bookmarkEnd w:id="217"/>
      <w:r>
        <w:t>1. 1.2.6  监理人：指在专用合同条款中指明的，受发包人委托对合同履行实施管理的 法人或其他组织。</w:t>
      </w:r>
    </w:p>
    <w:p w14:paraId="343BD1DE">
      <w:pPr>
        <w:pStyle w:val="11"/>
      </w:pPr>
      <w:r>
        <w:t>1. 1.2.7总监理工程师（总监）:指由监理人委派常驻施工场地对合同履行实施管理的全权负责人。</w:t>
      </w:r>
    </w:p>
    <w:p w14:paraId="37C4F645">
      <w:pPr>
        <w:pStyle w:val="2"/>
        <w:numPr>
          <w:ilvl w:val="0"/>
          <w:numId w:val="0"/>
        </w:numPr>
        <w:bidi w:val="0"/>
        <w:ind w:left="482" w:leftChars="0"/>
      </w:pPr>
      <w:r>
        <w:t>1. 1.3工程和设备</w:t>
      </w:r>
    </w:p>
    <w:p w14:paraId="15626E75">
      <w:pPr>
        <w:pStyle w:val="11"/>
      </w:pPr>
      <w:r>
        <w:t>1. 1.3. 1工程：指永久工程和（或）临时工程。</w:t>
      </w:r>
    </w:p>
    <w:p w14:paraId="556DF54E">
      <w:pPr>
        <w:pStyle w:val="11"/>
      </w:pPr>
      <w:bookmarkStart w:id="218" w:name="bookmark894"/>
      <w:bookmarkEnd w:id="218"/>
      <w:r>
        <w:t>1. 1.3. 2永久工程：指按合同约定建造并移交给发包人的工程，包括工程设备。</w:t>
      </w:r>
    </w:p>
    <w:p w14:paraId="30AAF8FC">
      <w:pPr>
        <w:pStyle w:val="11"/>
      </w:pPr>
      <w:bookmarkStart w:id="219" w:name="bookmark895"/>
      <w:bookmarkEnd w:id="219"/>
      <w:r>
        <w:t>1. 1.3. 3临时工程：指为完成合同约定的永久工程所修建的各类临时性工程，不包括施工设备。</w:t>
      </w:r>
    </w:p>
    <w:p w14:paraId="40139260">
      <w:pPr>
        <w:pStyle w:val="11"/>
      </w:pPr>
      <w:r>
        <w:t>1.1.3. 4单位工程：指专用合同条款中指明特定范围的永久工程。</w:t>
      </w:r>
    </w:p>
    <w:p w14:paraId="748E2B50">
      <w:pPr>
        <w:pStyle w:val="11"/>
      </w:pPr>
      <w:bookmarkStart w:id="220" w:name="bookmark896"/>
      <w:bookmarkEnd w:id="220"/>
      <w:r>
        <w:t>1. 1.3. 5工程设备：指构成或计划构成永久工程一部分的机电设备、金属结构设备、仪器装置及其他类似的设备和装置。</w:t>
      </w:r>
    </w:p>
    <w:p w14:paraId="0942EE19">
      <w:pPr>
        <w:pStyle w:val="11"/>
      </w:pPr>
      <w:bookmarkStart w:id="221" w:name="bookmark897"/>
      <w:bookmarkEnd w:id="221"/>
      <w:r>
        <w:t>1. 1.3. 6施工设备：指为完成合同约定的各项工作所需的设备、器具和其他物品，不包括临时工程和材料。</w:t>
      </w:r>
    </w:p>
    <w:p w14:paraId="44106307">
      <w:pPr>
        <w:pStyle w:val="11"/>
      </w:pPr>
      <w:bookmarkStart w:id="222" w:name="bookmark898"/>
      <w:bookmarkEnd w:id="222"/>
      <w:r>
        <w:t>1. 1.3. 7临时设施：指为完成合同约定的各项工作所服务的临时性生产和生活设施。</w:t>
      </w:r>
    </w:p>
    <w:p w14:paraId="7CB5770E">
      <w:pPr>
        <w:pStyle w:val="11"/>
      </w:pPr>
      <w:r>
        <w:t>1. 1. 3. 8承包人设备：指承包人自带的施工设备。</w:t>
      </w:r>
    </w:p>
    <w:p w14:paraId="230B2609">
      <w:pPr>
        <w:pStyle w:val="11"/>
      </w:pPr>
      <w:r>
        <w:t>1. 1. 3. 9施工场地（或称工地、现场）：指用于合同工程施工的场所，以及在合同中指定作为施工场地组成部分的其他场所，包括永久占地和临时占地。</w:t>
      </w:r>
    </w:p>
    <w:p w14:paraId="0D84C53C">
      <w:pPr>
        <w:pStyle w:val="11"/>
      </w:pPr>
      <w:r>
        <w:t>1. 1. 3. 10永久占地：指发包人为建设本合同工程永久征用的场地。</w:t>
      </w:r>
    </w:p>
    <w:p w14:paraId="68D1ACD7">
      <w:pPr>
        <w:pStyle w:val="11"/>
      </w:pPr>
      <w:r>
        <w:t>1.1.3.11临时占地：指发包人为建设本合同工程临时征用，并应在完工后须按合同 要求退还的场地。</w:t>
      </w:r>
    </w:p>
    <w:p w14:paraId="410C3B58">
      <w:pPr>
        <w:pStyle w:val="2"/>
        <w:numPr>
          <w:ilvl w:val="0"/>
          <w:numId w:val="0"/>
        </w:numPr>
        <w:bidi w:val="0"/>
        <w:ind w:left="482" w:leftChars="0"/>
      </w:pPr>
      <w:r>
        <w:t>1.1.4日期</w:t>
      </w:r>
    </w:p>
    <w:p w14:paraId="4D0C1E8D">
      <w:pPr>
        <w:pStyle w:val="11"/>
      </w:pPr>
      <w:r>
        <w:t>1. 1.4. 1开工通知：指监理人按第11. 1款通知承包人开工的函件。</w:t>
      </w:r>
    </w:p>
    <w:p w14:paraId="06FD4F47">
      <w:pPr>
        <w:pStyle w:val="11"/>
      </w:pPr>
      <w:r>
        <w:t>1. 1.4.2开工日期：指监理人按第11. 1款发出的开工通知中写明的开工日期。</w:t>
      </w:r>
    </w:p>
    <w:p w14:paraId="136AC7A0">
      <w:pPr>
        <w:pStyle w:val="11"/>
      </w:pPr>
      <w:r>
        <w:t>1. 1.4.3工期：指承包人在投标函中承诺的完成合同工程所需的期限，包括按第11.3 款、第11. 4款和第11. 6款约定所作的变更。</w:t>
      </w:r>
    </w:p>
    <w:p w14:paraId="109FD01C">
      <w:pPr>
        <w:pStyle w:val="11"/>
      </w:pPr>
      <w:bookmarkStart w:id="223" w:name="bookmark899"/>
      <w:bookmarkEnd w:id="223"/>
      <w:r>
        <w:t>1. 1.4.4  竣工日期：即合同工程完工日期，指第1.1. 4. 3目约定工期届满时的日期。 实际完工时间以合同工程完工证书中写明的日期为准。</w:t>
      </w:r>
    </w:p>
    <w:p w14:paraId="65317A96">
      <w:pPr>
        <w:pStyle w:val="11"/>
      </w:pPr>
      <w:bookmarkStart w:id="224" w:name="bookmark900"/>
      <w:bookmarkEnd w:id="224"/>
      <w:r>
        <w:t>1. 1.4.6  缺陷责任期：即工程质量保修期，指履行第19. 2款约定的缺陷责任的期限, 包括根据第19. 3款约定所作的延长，具体期限由专用合同条款约定。</w:t>
      </w:r>
    </w:p>
    <w:p w14:paraId="50DBC679">
      <w:pPr>
        <w:pStyle w:val="11"/>
      </w:pPr>
      <w:r>
        <w:t>1. 1.4.6基准日期：指投标截止时间前28天的日期。</w:t>
      </w:r>
    </w:p>
    <w:p w14:paraId="71839240">
      <w:pPr>
        <w:pStyle w:val="11"/>
      </w:pPr>
      <w:r>
        <w:t>1. 1.4.7天：除特别指明外，指日历天。合同中按天计算时间的，开始当天不计入, 从次日开始计算。期限最后一天的截止时间为当天24：00</w:t>
      </w:r>
      <w:r>
        <w:rPr>
          <w:vertAlign w:val="subscript"/>
        </w:rPr>
        <w:t>o</w:t>
      </w:r>
    </w:p>
    <w:p w14:paraId="40647FB2">
      <w:pPr>
        <w:pStyle w:val="2"/>
        <w:numPr>
          <w:ilvl w:val="0"/>
          <w:numId w:val="0"/>
        </w:numPr>
        <w:bidi w:val="0"/>
        <w:ind w:left="482" w:leftChars="0"/>
      </w:pPr>
      <w:r>
        <w:t>1.1.5合同价格和费用</w:t>
      </w:r>
    </w:p>
    <w:p w14:paraId="626F5460">
      <w:pPr>
        <w:pStyle w:val="11"/>
      </w:pPr>
      <w:bookmarkStart w:id="225" w:name="bookmark901"/>
      <w:bookmarkEnd w:id="225"/>
      <w:r>
        <w:t>1.1.5.1签约合同价：指签定合同时合同协议书中写明的，包括了暂列金额、暂估价的合同总金额。</w:t>
      </w:r>
    </w:p>
    <w:p w14:paraId="5818668E">
      <w:pPr>
        <w:pStyle w:val="11"/>
      </w:pPr>
      <w:bookmarkStart w:id="226" w:name="bookmark902"/>
      <w:bookmarkEnd w:id="226"/>
      <w:r>
        <w:t>1.1.5. 2合同价格：指承包人按合同约定完成了包括缺陷责任期内的全部承包工作后，发包人应付给承包人的金额，包括在履行合同过程中按合同约定进行的变更和调整。</w:t>
      </w:r>
    </w:p>
    <w:p w14:paraId="2A499B4E">
      <w:pPr>
        <w:pStyle w:val="11"/>
      </w:pPr>
      <w:bookmarkStart w:id="227" w:name="bookmark903"/>
      <w:bookmarkEnd w:id="227"/>
      <w:r>
        <w:t>1.1.5. 3费用：指为履行合同所发生的或将要发生的所有合理开支，包括管理费和应分摊的其他费用，但不包括利润。</w:t>
      </w:r>
    </w:p>
    <w:p w14:paraId="4380DC6E">
      <w:pPr>
        <w:pStyle w:val="11"/>
      </w:pPr>
      <w:r>
        <w:t>1. 1.5.4暂列金额：指已标价工程量清单中所列的暂列金额，用于在签订协议书时尚 未确定或不可预见变更的施工及其所需材料、工程设备、服务等的金额，包括以计日工方式支付的金额。</w:t>
      </w:r>
    </w:p>
    <w:p w14:paraId="71BE39C9">
      <w:pPr>
        <w:pStyle w:val="11"/>
      </w:pPr>
      <w:r>
        <w:t>1. 1.5.5暂估价：指发包人在工程量清单中给定的用于支付必然发生但暂时不能确定价格的材料、设备以及专业工程的金额。</w:t>
      </w:r>
    </w:p>
    <w:p w14:paraId="2A61EAAA">
      <w:pPr>
        <w:pStyle w:val="11"/>
      </w:pPr>
      <w:bookmarkStart w:id="228" w:name="bookmark904"/>
      <w:bookmarkEnd w:id="228"/>
      <w:r>
        <w:t>1.1.5. 6计日工：指对零星工作采取的一种计价方式，按合同中的计日工子目及其单 价计价付款。</w:t>
      </w:r>
    </w:p>
    <w:p w14:paraId="2A7D5D81">
      <w:pPr>
        <w:pStyle w:val="11"/>
      </w:pPr>
      <w:r>
        <w:t>1. 1.5.7质量保证金(或称保留金)：指按第17.4.1项约定用于保证在缺陷责任期内履行缺陷修复义务的金额。</w:t>
      </w:r>
    </w:p>
    <w:p w14:paraId="7B1FCD38">
      <w:pPr>
        <w:pStyle w:val="2"/>
        <w:numPr>
          <w:ilvl w:val="0"/>
          <w:numId w:val="0"/>
        </w:numPr>
        <w:bidi w:val="0"/>
        <w:ind w:left="482" w:leftChars="0"/>
      </w:pPr>
      <w:r>
        <w:t>1.1.6其他</w:t>
      </w:r>
    </w:p>
    <w:p w14:paraId="1368748F">
      <w:pPr>
        <w:pStyle w:val="11"/>
      </w:pPr>
      <w:bookmarkStart w:id="229" w:name="bookmark905"/>
      <w:bookmarkEnd w:id="229"/>
      <w:r>
        <w:t>1.1.6.1书面形式：指合同文件、信函、电报、传真等可以有形地表现所载内容的形式。</w:t>
      </w:r>
    </w:p>
    <w:p w14:paraId="667F35A2">
      <w:pPr>
        <w:pStyle w:val="2"/>
        <w:numPr>
          <w:ilvl w:val="0"/>
          <w:numId w:val="0"/>
        </w:numPr>
        <w:bidi w:val="0"/>
        <w:ind w:left="482" w:leftChars="0"/>
      </w:pPr>
      <w:bookmarkStart w:id="230" w:name="_Toc16626"/>
      <w:bookmarkStart w:id="231" w:name="bookmark908"/>
      <w:bookmarkStart w:id="232" w:name="bookmark906"/>
      <w:bookmarkStart w:id="233" w:name="bookmark907"/>
      <w:bookmarkStart w:id="234" w:name="_Toc14710270"/>
      <w:r>
        <w:t>1.2语言文字</w:t>
      </w:r>
      <w:bookmarkEnd w:id="230"/>
      <w:bookmarkEnd w:id="231"/>
      <w:bookmarkEnd w:id="232"/>
      <w:bookmarkEnd w:id="233"/>
      <w:bookmarkEnd w:id="234"/>
    </w:p>
    <w:p w14:paraId="626409B9">
      <w:pPr>
        <w:pStyle w:val="11"/>
      </w:pPr>
      <w:r>
        <w:t>除专用术语外，合同使用的语言文字为中文。必要时专用术语应附有中文注释。</w:t>
      </w:r>
    </w:p>
    <w:p w14:paraId="3795BE68">
      <w:pPr>
        <w:pStyle w:val="2"/>
        <w:numPr>
          <w:ilvl w:val="0"/>
          <w:numId w:val="0"/>
        </w:numPr>
        <w:bidi w:val="0"/>
        <w:ind w:left="482" w:leftChars="0"/>
      </w:pPr>
      <w:bookmarkStart w:id="235" w:name="bookmark911"/>
      <w:bookmarkStart w:id="236" w:name="_Toc14710271"/>
      <w:bookmarkStart w:id="237" w:name="_Toc7852"/>
      <w:bookmarkStart w:id="238" w:name="bookmark910"/>
      <w:bookmarkStart w:id="239" w:name="bookmark909"/>
      <w:r>
        <w:t>1.3法律</w:t>
      </w:r>
      <w:bookmarkEnd w:id="235"/>
      <w:bookmarkEnd w:id="236"/>
      <w:bookmarkEnd w:id="237"/>
      <w:bookmarkEnd w:id="238"/>
      <w:bookmarkEnd w:id="239"/>
    </w:p>
    <w:p w14:paraId="707E0DF1">
      <w:pPr>
        <w:pStyle w:val="11"/>
      </w:pPr>
      <w:r>
        <w:t>适用于合同的法律包括中华人民共和国法律、行政法规、部门规章，以及工程所在地的地方法规、自治条例、单行条例和地方政府规章。</w:t>
      </w:r>
    </w:p>
    <w:p w14:paraId="745BB90C">
      <w:pPr>
        <w:pStyle w:val="2"/>
        <w:numPr>
          <w:ilvl w:val="0"/>
          <w:numId w:val="0"/>
        </w:numPr>
        <w:bidi w:val="0"/>
        <w:ind w:left="482" w:leftChars="0"/>
      </w:pPr>
      <w:bookmarkStart w:id="240" w:name="bookmark913"/>
      <w:bookmarkStart w:id="241" w:name="bookmark912"/>
      <w:bookmarkStart w:id="242" w:name="bookmark914"/>
      <w:bookmarkStart w:id="243" w:name="_Toc17089"/>
      <w:bookmarkStart w:id="244" w:name="_Toc14710272"/>
      <w:r>
        <w:t>1.4合同文件的优先顺序</w:t>
      </w:r>
      <w:bookmarkEnd w:id="240"/>
      <w:bookmarkEnd w:id="241"/>
      <w:bookmarkEnd w:id="242"/>
      <w:bookmarkEnd w:id="243"/>
      <w:bookmarkEnd w:id="244"/>
    </w:p>
    <w:p w14:paraId="33072414">
      <w:pPr>
        <w:pStyle w:val="11"/>
      </w:pPr>
      <w:r>
        <w:t>组成合同的各项文件应互相解释，互为说明。除专用合同条款另有约定外，解释合同文件的优先顺序如下：</w:t>
      </w:r>
    </w:p>
    <w:p w14:paraId="619DB92C">
      <w:pPr>
        <w:pStyle w:val="11"/>
      </w:pPr>
      <w:bookmarkStart w:id="245" w:name="bookmark915"/>
      <w:bookmarkEnd w:id="245"/>
      <w:r>
        <w:rPr>
          <w:b w:val="0"/>
          <w:i w:val="0"/>
          <w:strike w:val="0"/>
          <w:color w:val="000000"/>
          <w:u w:val="none"/>
        </w:rPr>
        <w:t>(1)</w:t>
      </w:r>
      <w:r>
        <w:t>合同协议书；</w:t>
      </w:r>
    </w:p>
    <w:p w14:paraId="70AB832B">
      <w:pPr>
        <w:pStyle w:val="11"/>
      </w:pPr>
      <w:bookmarkStart w:id="246" w:name="bookmark916"/>
      <w:bookmarkEnd w:id="246"/>
      <w:r>
        <w:rPr>
          <w:b w:val="0"/>
          <w:i w:val="0"/>
          <w:strike w:val="0"/>
          <w:color w:val="000000"/>
          <w:u w:val="none"/>
        </w:rPr>
        <w:t>(2)</w:t>
      </w:r>
      <w:r>
        <w:t>成交通知书；</w:t>
      </w:r>
    </w:p>
    <w:p w14:paraId="3F04B1AE">
      <w:pPr>
        <w:pStyle w:val="11"/>
      </w:pPr>
      <w:bookmarkStart w:id="247" w:name="bookmark917"/>
      <w:bookmarkEnd w:id="247"/>
      <w:r>
        <w:rPr>
          <w:b w:val="0"/>
          <w:i w:val="0"/>
          <w:strike w:val="0"/>
          <w:color w:val="000000"/>
          <w:u w:val="none"/>
        </w:rPr>
        <w:t>(3)</w:t>
      </w:r>
      <w:r>
        <w:t>投标函及投标函附录；</w:t>
      </w:r>
    </w:p>
    <w:p w14:paraId="11149698">
      <w:pPr>
        <w:pStyle w:val="11"/>
      </w:pPr>
      <w:bookmarkStart w:id="248" w:name="bookmark918"/>
      <w:bookmarkEnd w:id="248"/>
      <w:r>
        <w:rPr>
          <w:b w:val="0"/>
          <w:i w:val="0"/>
          <w:strike w:val="0"/>
          <w:color w:val="000000"/>
          <w:u w:val="none"/>
        </w:rPr>
        <w:t>(4)</w:t>
      </w:r>
      <w:r>
        <w:t>专用合同条款；</w:t>
      </w:r>
    </w:p>
    <w:p w14:paraId="3FCCB84D">
      <w:pPr>
        <w:pStyle w:val="11"/>
      </w:pPr>
      <w:bookmarkStart w:id="249" w:name="bookmark919"/>
      <w:bookmarkEnd w:id="249"/>
      <w:r>
        <w:rPr>
          <w:b w:val="0"/>
          <w:i w:val="0"/>
          <w:strike w:val="0"/>
          <w:color w:val="000000"/>
          <w:u w:val="none"/>
        </w:rPr>
        <w:t>(5)</w:t>
      </w:r>
      <w:r>
        <w:t>通用合同条款；</w:t>
      </w:r>
    </w:p>
    <w:p w14:paraId="3ED5D203">
      <w:pPr>
        <w:pStyle w:val="11"/>
      </w:pPr>
      <w:bookmarkStart w:id="250" w:name="bookmark920"/>
      <w:bookmarkEnd w:id="250"/>
      <w:r>
        <w:rPr>
          <w:b w:val="0"/>
          <w:i w:val="0"/>
          <w:strike w:val="0"/>
          <w:color w:val="000000"/>
          <w:u w:val="none"/>
        </w:rPr>
        <w:t>(6)</w:t>
      </w:r>
      <w:r>
        <w:t>技术标准和要求；</w:t>
      </w:r>
    </w:p>
    <w:p w14:paraId="72207979">
      <w:pPr>
        <w:pStyle w:val="11"/>
      </w:pPr>
      <w:bookmarkStart w:id="251" w:name="bookmark921"/>
      <w:bookmarkEnd w:id="251"/>
      <w:r>
        <w:rPr>
          <w:b w:val="0"/>
          <w:i w:val="0"/>
          <w:strike w:val="0"/>
          <w:color w:val="000000"/>
          <w:u w:val="none"/>
        </w:rPr>
        <w:t>(7)</w:t>
      </w:r>
      <w:r>
        <w:t>图纸；</w:t>
      </w:r>
    </w:p>
    <w:p w14:paraId="6702FD2A">
      <w:pPr>
        <w:pStyle w:val="11"/>
      </w:pPr>
      <w:bookmarkStart w:id="252" w:name="bookmark922"/>
      <w:bookmarkEnd w:id="252"/>
      <w:r>
        <w:rPr>
          <w:b w:val="0"/>
          <w:i w:val="0"/>
          <w:strike w:val="0"/>
          <w:color w:val="000000"/>
          <w:u w:val="none"/>
        </w:rPr>
        <w:t>(8)</w:t>
      </w:r>
      <w:r>
        <w:t>已标价工程量清单；</w:t>
      </w:r>
    </w:p>
    <w:p w14:paraId="2C09F399">
      <w:pPr>
        <w:pStyle w:val="11"/>
      </w:pPr>
      <w:bookmarkStart w:id="253" w:name="bookmark923"/>
      <w:bookmarkEnd w:id="253"/>
      <w:r>
        <w:rPr>
          <w:b w:val="0"/>
          <w:i w:val="0"/>
          <w:strike w:val="0"/>
          <w:color w:val="000000"/>
          <w:u w:val="none"/>
        </w:rPr>
        <w:t>(9)</w:t>
      </w:r>
      <w:r>
        <w:t>其他合同文件。</w:t>
      </w:r>
    </w:p>
    <w:p w14:paraId="287A4A92">
      <w:pPr>
        <w:pStyle w:val="2"/>
        <w:numPr>
          <w:ilvl w:val="0"/>
          <w:numId w:val="0"/>
        </w:numPr>
        <w:bidi w:val="0"/>
        <w:ind w:left="482" w:leftChars="0"/>
      </w:pPr>
      <w:bookmarkStart w:id="254" w:name="bookmark924"/>
      <w:bookmarkStart w:id="255" w:name="bookmark926"/>
      <w:bookmarkStart w:id="256" w:name="_Toc30693"/>
      <w:bookmarkStart w:id="257" w:name="bookmark925"/>
      <w:bookmarkStart w:id="258" w:name="_Toc14710273"/>
      <w:r>
        <w:t>1.5合同协议书</w:t>
      </w:r>
      <w:bookmarkEnd w:id="254"/>
      <w:bookmarkEnd w:id="255"/>
      <w:bookmarkEnd w:id="256"/>
      <w:bookmarkEnd w:id="257"/>
      <w:bookmarkEnd w:id="258"/>
    </w:p>
    <w:p w14:paraId="02F60B59">
      <w:pPr>
        <w:pStyle w:val="11"/>
      </w:pPr>
      <w: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2"/>
        <w:numPr>
          <w:ilvl w:val="0"/>
          <w:numId w:val="0"/>
        </w:numPr>
        <w:bidi w:val="0"/>
        <w:ind w:left="482" w:leftChars="0"/>
      </w:pPr>
      <w:bookmarkStart w:id="259" w:name="bookmark929"/>
      <w:bookmarkStart w:id="260" w:name="bookmark927"/>
      <w:bookmarkStart w:id="261" w:name="bookmark928"/>
      <w:bookmarkStart w:id="262" w:name="_Toc14710274"/>
      <w:bookmarkStart w:id="263" w:name="_Toc10434"/>
      <w:r>
        <w:t>1.6图纸和承包人文件</w:t>
      </w:r>
      <w:bookmarkEnd w:id="259"/>
      <w:bookmarkEnd w:id="260"/>
      <w:bookmarkEnd w:id="261"/>
      <w:bookmarkEnd w:id="262"/>
      <w:bookmarkEnd w:id="263"/>
    </w:p>
    <w:p w14:paraId="41A752C0">
      <w:pPr>
        <w:pStyle w:val="2"/>
        <w:numPr>
          <w:ilvl w:val="0"/>
          <w:numId w:val="0"/>
        </w:numPr>
        <w:bidi w:val="0"/>
        <w:ind w:left="482" w:leftChars="0"/>
      </w:pPr>
      <w:r>
        <w:t>1.6.1图纸的提供</w:t>
      </w:r>
    </w:p>
    <w:p w14:paraId="253650DF">
      <w:pPr>
        <w:pStyle w:val="11"/>
      </w:pPr>
      <w: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2"/>
        <w:numPr>
          <w:ilvl w:val="0"/>
          <w:numId w:val="0"/>
        </w:numPr>
        <w:bidi w:val="0"/>
        <w:ind w:left="482" w:leftChars="0"/>
      </w:pPr>
      <w:r>
        <w:t>1.6.2承包人提供的文件</w:t>
      </w:r>
    </w:p>
    <w:p w14:paraId="2E3874B8">
      <w:pPr>
        <w:pStyle w:val="11"/>
      </w:pPr>
      <w:r>
        <w:t>承包人提供的文件应按技术标准和要求（合同技术条款）约定的期限和数量提供给监理人。监理人应按技术标准和要求（合同技术条款）约定的期限批复承包人。</w:t>
      </w:r>
    </w:p>
    <w:p w14:paraId="718D6C46">
      <w:pPr>
        <w:pStyle w:val="2"/>
        <w:numPr>
          <w:ilvl w:val="0"/>
          <w:numId w:val="0"/>
        </w:numPr>
        <w:bidi w:val="0"/>
        <w:ind w:left="482" w:leftChars="0"/>
      </w:pPr>
      <w:r>
        <w:t>1.6.3图纸的修改</w:t>
      </w:r>
    </w:p>
    <w:p w14:paraId="7143FCC0">
      <w:pPr>
        <w:pStyle w:val="11"/>
      </w:pPr>
      <w: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2"/>
        <w:numPr>
          <w:ilvl w:val="0"/>
          <w:numId w:val="0"/>
        </w:numPr>
        <w:bidi w:val="0"/>
        <w:ind w:left="482" w:leftChars="0"/>
      </w:pPr>
      <w:r>
        <w:t>1.6.4图纸的错误</w:t>
      </w:r>
    </w:p>
    <w:p w14:paraId="170BDDBE">
      <w:pPr>
        <w:pStyle w:val="11"/>
      </w:pPr>
      <w:r>
        <w:t>承包人发现发包人提供的图纸存在明显错误或疏忽，应及时通知监理人。</w:t>
      </w:r>
    </w:p>
    <w:p w14:paraId="5C413431">
      <w:pPr>
        <w:pStyle w:val="2"/>
        <w:numPr>
          <w:ilvl w:val="0"/>
          <w:numId w:val="0"/>
        </w:numPr>
        <w:bidi w:val="0"/>
        <w:ind w:left="482" w:leftChars="0"/>
      </w:pPr>
      <w:r>
        <w:t>1.6.5图纸和承包人文件的保管</w:t>
      </w:r>
    </w:p>
    <w:p w14:paraId="1C36244A">
      <w:pPr>
        <w:pStyle w:val="11"/>
      </w:pPr>
      <w:r>
        <w:t>监理人和承包人均应在施工场地各保存一套完整的包含第1. 6. 1项、第1.6.2项、第 1.6. 3项约定内容的图纸和承包人文件。</w:t>
      </w:r>
    </w:p>
    <w:p w14:paraId="25BA9752">
      <w:pPr>
        <w:pStyle w:val="2"/>
        <w:numPr>
          <w:ilvl w:val="0"/>
          <w:numId w:val="0"/>
        </w:numPr>
        <w:bidi w:val="0"/>
        <w:ind w:left="482" w:leftChars="0"/>
      </w:pPr>
      <w:bookmarkStart w:id="264" w:name="bookmark930"/>
      <w:bookmarkStart w:id="265" w:name="_Toc14710275"/>
      <w:bookmarkStart w:id="266" w:name="_Toc18431"/>
      <w:bookmarkStart w:id="267" w:name="bookmark931"/>
      <w:bookmarkStart w:id="268" w:name="bookmark932"/>
      <w:r>
        <w:t>1.7联络</w:t>
      </w:r>
      <w:bookmarkEnd w:id="264"/>
      <w:bookmarkEnd w:id="265"/>
      <w:bookmarkEnd w:id="266"/>
      <w:bookmarkEnd w:id="267"/>
      <w:bookmarkEnd w:id="268"/>
    </w:p>
    <w:p w14:paraId="05E08A7B">
      <w:pPr>
        <w:pStyle w:val="11"/>
      </w:pPr>
      <w:r>
        <w:t>1.7.1与合同有关的通知、批准、证明、证书、指示、要求、请求、同意、意见、确 定和决定等，均应采用书面形式。</w:t>
      </w:r>
    </w:p>
    <w:p w14:paraId="12F1AEC7">
      <w:pPr>
        <w:pStyle w:val="11"/>
      </w:pPr>
      <w: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11"/>
      </w:pPr>
      <w:r>
        <w:t>1.7.3来往函件均应按合同约定的期限及时发出和答复，不得无故扣压和拖延，亦不得拒收。否则，由此造成的后果由责任方负责。</w:t>
      </w:r>
    </w:p>
    <w:p w14:paraId="20BAA953">
      <w:pPr>
        <w:pStyle w:val="2"/>
        <w:numPr>
          <w:ilvl w:val="0"/>
          <w:numId w:val="0"/>
        </w:numPr>
        <w:bidi w:val="0"/>
        <w:ind w:left="482" w:leftChars="0"/>
      </w:pPr>
      <w:bookmarkStart w:id="269" w:name="_Toc14710276"/>
      <w:bookmarkStart w:id="270" w:name="bookmark934"/>
      <w:bookmarkStart w:id="271" w:name="_Toc11450"/>
      <w:bookmarkStart w:id="272" w:name="bookmark935"/>
      <w:bookmarkStart w:id="273" w:name="bookmark933"/>
      <w:r>
        <w:t>1.8转让</w:t>
      </w:r>
      <w:bookmarkEnd w:id="269"/>
      <w:bookmarkEnd w:id="270"/>
      <w:bookmarkEnd w:id="271"/>
      <w:bookmarkEnd w:id="272"/>
      <w:bookmarkEnd w:id="273"/>
    </w:p>
    <w:p w14:paraId="21E3F5CF">
      <w:pPr>
        <w:pStyle w:val="11"/>
      </w:pPr>
      <w:r>
        <w:t>除合同另有约定外，未经对方当事人同意，一方当事人不得将合同权利全部或部分转让给第三人，也不得全部或部分转移合同义务。</w:t>
      </w:r>
    </w:p>
    <w:p w14:paraId="29631564">
      <w:pPr>
        <w:pStyle w:val="2"/>
        <w:numPr>
          <w:ilvl w:val="0"/>
          <w:numId w:val="0"/>
        </w:numPr>
        <w:bidi w:val="0"/>
        <w:ind w:left="482" w:leftChars="0"/>
      </w:pPr>
      <w:bookmarkStart w:id="274" w:name="_Toc14710277"/>
      <w:bookmarkStart w:id="275" w:name="bookmark938"/>
      <w:bookmarkStart w:id="276" w:name="_Toc28520"/>
      <w:bookmarkStart w:id="277" w:name="bookmark936"/>
      <w:bookmarkStart w:id="278" w:name="bookmark937"/>
      <w:r>
        <w:t>1.9严禁贿赂</w:t>
      </w:r>
      <w:bookmarkEnd w:id="274"/>
      <w:bookmarkEnd w:id="275"/>
      <w:bookmarkEnd w:id="276"/>
      <w:bookmarkEnd w:id="277"/>
      <w:bookmarkEnd w:id="278"/>
    </w:p>
    <w:p w14:paraId="431D1E64">
      <w:pPr>
        <w:pStyle w:val="11"/>
      </w:pPr>
      <w:r>
        <w:t>合同双方当事人不得以贿赂或变相贿赂的方式，谋取不当利益或损害对方权益。因贿赂造成对方损失的，行为人应赔偿损失，并承担相应的法律责任。</w:t>
      </w:r>
    </w:p>
    <w:p w14:paraId="6F37C039">
      <w:pPr>
        <w:pStyle w:val="2"/>
        <w:numPr>
          <w:ilvl w:val="0"/>
          <w:numId w:val="0"/>
        </w:numPr>
        <w:bidi w:val="0"/>
        <w:ind w:left="482" w:leftChars="0"/>
      </w:pPr>
      <w:bookmarkStart w:id="279" w:name="bookmark940"/>
      <w:bookmarkStart w:id="280" w:name="bookmark939"/>
      <w:bookmarkStart w:id="281" w:name="bookmark941"/>
      <w:bookmarkStart w:id="282" w:name="_Toc14710278"/>
      <w:bookmarkStart w:id="283" w:name="_Toc27697"/>
      <w:r>
        <w:t>1.10化石、文物</w:t>
      </w:r>
      <w:bookmarkEnd w:id="279"/>
      <w:bookmarkEnd w:id="280"/>
      <w:bookmarkEnd w:id="281"/>
      <w:bookmarkEnd w:id="282"/>
      <w:bookmarkEnd w:id="283"/>
    </w:p>
    <w:p w14:paraId="36C2F076">
      <w:pPr>
        <w:pStyle w:val="11"/>
      </w:pPr>
      <w: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11"/>
      </w:pPr>
      <w:r>
        <w:t>1. 10. 2承包人发现文物后不及时报告或隐瞒不报，致使文物丢失或损坏的，应赔偿损失，并承担相应的法律责任。</w:t>
      </w:r>
    </w:p>
    <w:p w14:paraId="03120EF7">
      <w:pPr>
        <w:pStyle w:val="2"/>
        <w:numPr>
          <w:ilvl w:val="0"/>
          <w:numId w:val="0"/>
        </w:numPr>
        <w:bidi w:val="0"/>
        <w:ind w:left="482" w:leftChars="0"/>
      </w:pPr>
      <w:bookmarkStart w:id="284" w:name="_Toc8461"/>
      <w:bookmarkStart w:id="285" w:name="_Toc14710279"/>
      <w:bookmarkStart w:id="286" w:name="bookmark944"/>
      <w:bookmarkStart w:id="287" w:name="bookmark942"/>
      <w:bookmarkStart w:id="288" w:name="bookmark943"/>
      <w:r>
        <w:t>1.11专利技术</w:t>
      </w:r>
      <w:bookmarkEnd w:id="284"/>
      <w:bookmarkEnd w:id="285"/>
      <w:bookmarkEnd w:id="286"/>
      <w:bookmarkEnd w:id="287"/>
      <w:bookmarkEnd w:id="288"/>
    </w:p>
    <w:p w14:paraId="29D049E8">
      <w:pPr>
        <w:pStyle w:val="11"/>
      </w:pPr>
      <w: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11"/>
      </w:pPr>
      <w:r>
        <w:t>1.11.2承包人在投标文件中采用专利技术的，专利技术的使用费包含在投标报价内。</w:t>
      </w:r>
    </w:p>
    <w:p w14:paraId="74D0DD38">
      <w:pPr>
        <w:pStyle w:val="11"/>
      </w:pPr>
      <w:r>
        <w:t>1.11.3承包人的技术秘密和声明需要保密的资料和信息，发包人和监理人不得为合同以外的目的泄露给他人。</w:t>
      </w:r>
    </w:p>
    <w:p w14:paraId="7B9A7A8B">
      <w:pPr>
        <w:pStyle w:val="11"/>
      </w:pPr>
      <w: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2"/>
        <w:numPr>
          <w:ilvl w:val="0"/>
          <w:numId w:val="0"/>
        </w:numPr>
        <w:bidi w:val="0"/>
        <w:ind w:left="482" w:leftChars="0"/>
      </w:pPr>
      <w:bookmarkStart w:id="289" w:name="_Toc21439"/>
      <w:bookmarkStart w:id="290" w:name="bookmark947"/>
      <w:bookmarkStart w:id="291" w:name="_Toc14710280"/>
      <w:bookmarkStart w:id="292" w:name="bookmark946"/>
      <w:bookmarkStart w:id="293" w:name="bookmark945"/>
      <w:r>
        <w:t>1.12图纸和文件的保密</w:t>
      </w:r>
      <w:bookmarkEnd w:id="289"/>
      <w:bookmarkEnd w:id="290"/>
      <w:bookmarkEnd w:id="291"/>
      <w:bookmarkEnd w:id="292"/>
      <w:bookmarkEnd w:id="293"/>
    </w:p>
    <w:p w14:paraId="3634BDE6">
      <w:pPr>
        <w:pStyle w:val="11"/>
      </w:pPr>
      <w:r>
        <w:t>1.12.1发包人提供的图纸和文件，未经发包人同意，承包人不得为合同以外的目的泄露给他人或公开发表与引用。</w:t>
      </w:r>
    </w:p>
    <w:p w14:paraId="0ECF6187">
      <w:pPr>
        <w:pStyle w:val="11"/>
      </w:pPr>
      <w:r>
        <w:t>1.12.2承包人提供的文件，未经承包人同意，发包人和监理人不得为合同以外的目的泄露给他人或公开发表与引用。</w:t>
      </w:r>
    </w:p>
    <w:p w14:paraId="00CE7BA1">
      <w:pPr>
        <w:pStyle w:val="2"/>
        <w:numPr>
          <w:ilvl w:val="0"/>
          <w:numId w:val="0"/>
        </w:numPr>
        <w:bidi w:val="0"/>
        <w:ind w:left="482" w:leftChars="0"/>
      </w:pPr>
      <w:bookmarkStart w:id="294" w:name="bookmark950"/>
      <w:bookmarkEnd w:id="294"/>
      <w:bookmarkStart w:id="295" w:name="_Toc14710281"/>
      <w:bookmarkStart w:id="296" w:name="bookmark948"/>
      <w:bookmarkStart w:id="297" w:name="bookmark949"/>
      <w:bookmarkStart w:id="298" w:name="_Toc3842"/>
      <w:bookmarkStart w:id="299" w:name="bookmark951"/>
      <w:r>
        <w:t>2.发包人义务</w:t>
      </w:r>
      <w:bookmarkEnd w:id="295"/>
      <w:bookmarkEnd w:id="296"/>
      <w:bookmarkEnd w:id="297"/>
      <w:bookmarkEnd w:id="298"/>
      <w:bookmarkEnd w:id="299"/>
    </w:p>
    <w:p w14:paraId="29BC6D5F">
      <w:pPr>
        <w:pStyle w:val="2"/>
        <w:numPr>
          <w:ilvl w:val="0"/>
          <w:numId w:val="0"/>
        </w:numPr>
        <w:bidi w:val="0"/>
        <w:ind w:left="482" w:leftChars="0"/>
      </w:pPr>
      <w:bookmarkStart w:id="300" w:name="bookmark952"/>
      <w:bookmarkStart w:id="301" w:name="_Toc14710282"/>
      <w:bookmarkStart w:id="302" w:name="bookmark953"/>
      <w:bookmarkStart w:id="303" w:name="bookmark954"/>
      <w:r>
        <w:t>2.1遵守法律</w:t>
      </w:r>
      <w:bookmarkEnd w:id="300"/>
      <w:bookmarkEnd w:id="301"/>
      <w:bookmarkEnd w:id="302"/>
      <w:bookmarkEnd w:id="303"/>
    </w:p>
    <w:p w14:paraId="087B4CFD">
      <w:pPr>
        <w:pStyle w:val="11"/>
      </w:pPr>
      <w:r>
        <w:t>发包人在履行合同过程中应遵守法律，并保证承包人免于承担因发包人违反法律而引 起的任何责任。</w:t>
      </w:r>
    </w:p>
    <w:p w14:paraId="5AD95722">
      <w:pPr>
        <w:pStyle w:val="2"/>
        <w:numPr>
          <w:ilvl w:val="0"/>
          <w:numId w:val="0"/>
        </w:numPr>
        <w:bidi w:val="0"/>
        <w:ind w:left="482" w:leftChars="0"/>
      </w:pPr>
      <w:bookmarkStart w:id="304" w:name="bookmark956"/>
      <w:bookmarkStart w:id="305" w:name="bookmark957"/>
      <w:bookmarkStart w:id="306" w:name="_Toc14710283"/>
      <w:bookmarkStart w:id="307" w:name="bookmark955"/>
      <w:bookmarkStart w:id="308" w:name="_Toc16693"/>
      <w:r>
        <w:t>2.2发出开工通知</w:t>
      </w:r>
      <w:bookmarkEnd w:id="304"/>
      <w:bookmarkEnd w:id="305"/>
      <w:bookmarkEnd w:id="306"/>
      <w:bookmarkEnd w:id="307"/>
      <w:bookmarkEnd w:id="308"/>
    </w:p>
    <w:p w14:paraId="59FEE023">
      <w:pPr>
        <w:pStyle w:val="11"/>
      </w:pPr>
      <w:r>
        <w:t>发包人应委托监理人按第H. 1款的约定向承包人发出开工通知。</w:t>
      </w:r>
    </w:p>
    <w:p w14:paraId="132EA346">
      <w:pPr>
        <w:pStyle w:val="2"/>
        <w:numPr>
          <w:ilvl w:val="0"/>
          <w:numId w:val="0"/>
        </w:numPr>
        <w:bidi w:val="0"/>
        <w:ind w:left="482" w:leftChars="0"/>
      </w:pPr>
      <w:bookmarkStart w:id="309" w:name="bookmark960"/>
      <w:bookmarkStart w:id="310" w:name="bookmark958"/>
      <w:bookmarkStart w:id="311" w:name="bookmark959"/>
      <w:bookmarkStart w:id="312" w:name="_Toc14710284"/>
      <w:bookmarkStart w:id="313" w:name="_Toc5643"/>
      <w:r>
        <w:t>2.3提供施工场地</w:t>
      </w:r>
      <w:bookmarkEnd w:id="309"/>
      <w:bookmarkEnd w:id="310"/>
      <w:bookmarkEnd w:id="311"/>
      <w:bookmarkEnd w:id="312"/>
      <w:bookmarkEnd w:id="313"/>
    </w:p>
    <w:p w14:paraId="023F613F">
      <w:pPr>
        <w:pStyle w:val="11"/>
      </w:pPr>
      <w: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11"/>
      </w:pPr>
      <w:r>
        <w:t>2.3.2发包人提供的施工用地范围在专用合同条款中约定。</w:t>
      </w:r>
    </w:p>
    <w:p w14:paraId="2A21689F">
      <w:pPr>
        <w:pStyle w:val="11"/>
      </w:pPr>
      <w: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2"/>
        <w:numPr>
          <w:ilvl w:val="0"/>
          <w:numId w:val="0"/>
        </w:numPr>
        <w:bidi w:val="0"/>
        <w:ind w:left="482" w:leftChars="0"/>
      </w:pPr>
      <w:bookmarkStart w:id="314" w:name="_Toc3862"/>
      <w:bookmarkStart w:id="315" w:name="bookmark962"/>
      <w:bookmarkStart w:id="316" w:name="bookmark961"/>
      <w:bookmarkStart w:id="317" w:name="_Toc14710285"/>
      <w:bookmarkStart w:id="318" w:name="bookmark963"/>
      <w:r>
        <w:t>2.4协助承包人办理证件和批件</w:t>
      </w:r>
      <w:bookmarkEnd w:id="314"/>
      <w:bookmarkEnd w:id="315"/>
      <w:bookmarkEnd w:id="316"/>
      <w:bookmarkEnd w:id="317"/>
      <w:bookmarkEnd w:id="318"/>
    </w:p>
    <w:p w14:paraId="0924EA52">
      <w:pPr>
        <w:pStyle w:val="11"/>
      </w:pPr>
      <w:r>
        <w:t>发包人应协助承包人办理法律规定的有关施工证件和批件。</w:t>
      </w:r>
    </w:p>
    <w:p w14:paraId="7C973BBC">
      <w:pPr>
        <w:pStyle w:val="2"/>
        <w:numPr>
          <w:ilvl w:val="0"/>
          <w:numId w:val="0"/>
        </w:numPr>
        <w:bidi w:val="0"/>
        <w:ind w:left="482" w:leftChars="0"/>
      </w:pPr>
      <w:bookmarkStart w:id="319" w:name="_Toc27327"/>
      <w:bookmarkStart w:id="320" w:name="bookmark965"/>
      <w:bookmarkStart w:id="321" w:name="bookmark966"/>
      <w:bookmarkStart w:id="322" w:name="bookmark964"/>
      <w:bookmarkStart w:id="323" w:name="_Toc14710286"/>
      <w:r>
        <w:t>2.5组织设计交底</w:t>
      </w:r>
      <w:bookmarkEnd w:id="319"/>
      <w:bookmarkEnd w:id="320"/>
      <w:bookmarkEnd w:id="321"/>
      <w:bookmarkEnd w:id="322"/>
      <w:bookmarkEnd w:id="323"/>
    </w:p>
    <w:p w14:paraId="5B83F728">
      <w:pPr>
        <w:pStyle w:val="11"/>
      </w:pPr>
      <w:r>
        <w:t>发包人应根据合同进度计划，组织设计单位向承包人进行设计交底。</w:t>
      </w:r>
    </w:p>
    <w:p w14:paraId="5D400B3C">
      <w:pPr>
        <w:pStyle w:val="2"/>
        <w:numPr>
          <w:ilvl w:val="0"/>
          <w:numId w:val="0"/>
        </w:numPr>
        <w:bidi w:val="0"/>
        <w:ind w:left="482" w:leftChars="0"/>
      </w:pPr>
      <w:bookmarkStart w:id="324" w:name="bookmark967"/>
      <w:bookmarkStart w:id="325" w:name="_Toc15125"/>
      <w:bookmarkStart w:id="326" w:name="bookmark968"/>
      <w:bookmarkStart w:id="327" w:name="bookmark969"/>
      <w:bookmarkStart w:id="328" w:name="_Toc14710287"/>
      <w:r>
        <w:t>2.6支付合同价款</w:t>
      </w:r>
      <w:bookmarkEnd w:id="324"/>
      <w:bookmarkEnd w:id="325"/>
      <w:bookmarkEnd w:id="326"/>
      <w:bookmarkEnd w:id="327"/>
      <w:bookmarkEnd w:id="328"/>
    </w:p>
    <w:p w14:paraId="4CEC75C2">
      <w:pPr>
        <w:pStyle w:val="11"/>
      </w:pPr>
      <w:r>
        <w:t>发包人应按合同约定向承包人及时支付合同价款。</w:t>
      </w:r>
    </w:p>
    <w:p w14:paraId="4AF37748">
      <w:pPr>
        <w:pStyle w:val="2"/>
        <w:numPr>
          <w:ilvl w:val="0"/>
          <w:numId w:val="0"/>
        </w:numPr>
        <w:bidi w:val="0"/>
        <w:ind w:left="482" w:leftChars="0"/>
      </w:pPr>
      <w:bookmarkStart w:id="329" w:name="_Toc14608"/>
      <w:bookmarkStart w:id="330" w:name="bookmark971"/>
      <w:bookmarkStart w:id="331" w:name="_Toc14710288"/>
      <w:bookmarkStart w:id="332" w:name="bookmark972"/>
      <w:bookmarkStart w:id="333" w:name="bookmark970"/>
      <w:r>
        <w:t>2.7组织竣工验收（组织法人验收）</w:t>
      </w:r>
      <w:bookmarkEnd w:id="329"/>
      <w:bookmarkEnd w:id="330"/>
      <w:bookmarkEnd w:id="331"/>
      <w:bookmarkEnd w:id="332"/>
      <w:bookmarkEnd w:id="333"/>
    </w:p>
    <w:p w14:paraId="1F1E2841">
      <w:pPr>
        <w:pStyle w:val="11"/>
      </w:pPr>
      <w:r>
        <w:t>发包人应按合同约定及时组织法人验收。</w:t>
      </w:r>
    </w:p>
    <w:p w14:paraId="3ACC8789">
      <w:pPr>
        <w:pStyle w:val="2"/>
        <w:numPr>
          <w:ilvl w:val="0"/>
          <w:numId w:val="0"/>
        </w:numPr>
        <w:bidi w:val="0"/>
        <w:ind w:left="482" w:leftChars="0"/>
      </w:pPr>
      <w:bookmarkStart w:id="334" w:name="bookmark975"/>
      <w:bookmarkStart w:id="335" w:name="_Toc14710289"/>
      <w:bookmarkStart w:id="336" w:name="bookmark973"/>
      <w:bookmarkStart w:id="337" w:name="_Toc26461"/>
      <w:bookmarkStart w:id="338" w:name="bookmark974"/>
      <w:r>
        <w:t>2.8其它义务</w:t>
      </w:r>
      <w:bookmarkEnd w:id="334"/>
      <w:bookmarkEnd w:id="335"/>
      <w:bookmarkEnd w:id="336"/>
      <w:bookmarkEnd w:id="337"/>
      <w:bookmarkEnd w:id="338"/>
    </w:p>
    <w:p w14:paraId="5E035F2D">
      <w:pPr>
        <w:pStyle w:val="11"/>
      </w:pPr>
      <w:r>
        <w:t>其它义务在专用合同条款中补充约定。</w:t>
      </w:r>
    </w:p>
    <w:p w14:paraId="0EF48812">
      <w:pPr>
        <w:pStyle w:val="2"/>
        <w:numPr>
          <w:ilvl w:val="0"/>
          <w:numId w:val="0"/>
        </w:numPr>
        <w:bidi w:val="0"/>
        <w:ind w:left="482" w:leftChars="0"/>
      </w:pPr>
      <w:bookmarkStart w:id="339" w:name="bookmark978"/>
      <w:bookmarkStart w:id="340" w:name="bookmark977"/>
      <w:bookmarkStart w:id="341" w:name="_Toc17454"/>
      <w:bookmarkStart w:id="342" w:name="bookmark976"/>
      <w:bookmarkStart w:id="343" w:name="_Toc14710290"/>
      <w:r>
        <w:t>3.监理人</w:t>
      </w:r>
      <w:bookmarkEnd w:id="339"/>
      <w:bookmarkEnd w:id="340"/>
      <w:bookmarkEnd w:id="341"/>
      <w:bookmarkEnd w:id="342"/>
      <w:bookmarkEnd w:id="343"/>
    </w:p>
    <w:p w14:paraId="5E790147">
      <w:pPr>
        <w:pStyle w:val="2"/>
        <w:numPr>
          <w:ilvl w:val="0"/>
          <w:numId w:val="0"/>
        </w:numPr>
        <w:bidi w:val="0"/>
        <w:ind w:left="482" w:leftChars="0"/>
      </w:pPr>
      <w:bookmarkStart w:id="344" w:name="_Toc5442"/>
      <w:bookmarkStart w:id="345" w:name="bookmark980"/>
      <w:bookmarkStart w:id="346" w:name="bookmark981"/>
      <w:bookmarkStart w:id="347" w:name="bookmark979"/>
      <w:bookmarkStart w:id="348" w:name="_Toc14710291"/>
      <w:r>
        <w:t>3.1监理人的职责和权利</w:t>
      </w:r>
      <w:bookmarkEnd w:id="344"/>
      <w:bookmarkEnd w:id="345"/>
      <w:bookmarkEnd w:id="346"/>
      <w:bookmarkEnd w:id="347"/>
      <w:bookmarkEnd w:id="348"/>
    </w:p>
    <w:p w14:paraId="1E5F547A">
      <w:pPr>
        <w:pStyle w:val="11"/>
      </w:pPr>
      <w: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11"/>
      </w:pPr>
      <w:r>
        <w:t>3.1.2监理人发出的任何指示应视为已得到发包人的批准，但监理人无权免除或变更合同约定的发包人和承包人的权利、义务和责任。</w:t>
      </w:r>
    </w:p>
    <w:p w14:paraId="2AA8673F">
      <w:pPr>
        <w:pStyle w:val="11"/>
      </w:pPr>
      <w:r>
        <w:t>3.1.3合同约定应由承包人承担的义务和责任，不因监理人对承包人提交文件的审查或批准，对工程、材料和设备的检查和检验，以及为实施监理作出的指示等职务行为而减轻或解除。</w:t>
      </w:r>
    </w:p>
    <w:p w14:paraId="38E8C793">
      <w:pPr>
        <w:pStyle w:val="2"/>
        <w:numPr>
          <w:ilvl w:val="0"/>
          <w:numId w:val="0"/>
        </w:numPr>
        <w:bidi w:val="0"/>
        <w:ind w:left="482" w:leftChars="0"/>
      </w:pPr>
      <w:bookmarkStart w:id="349" w:name="bookmark984"/>
      <w:bookmarkStart w:id="350" w:name="bookmark983"/>
      <w:bookmarkStart w:id="351" w:name="bookmark982"/>
      <w:bookmarkStart w:id="352" w:name="_Toc20317"/>
      <w:bookmarkStart w:id="353" w:name="_Toc14710292"/>
      <w:r>
        <w:t>3. 2总监理工程师</w:t>
      </w:r>
      <w:bookmarkEnd w:id="349"/>
      <w:bookmarkEnd w:id="350"/>
      <w:bookmarkEnd w:id="351"/>
      <w:bookmarkEnd w:id="352"/>
      <w:bookmarkEnd w:id="353"/>
    </w:p>
    <w:p w14:paraId="3210B135">
      <w:pPr>
        <w:pStyle w:val="11"/>
      </w:pPr>
      <w: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2"/>
        <w:numPr>
          <w:ilvl w:val="0"/>
          <w:numId w:val="0"/>
        </w:numPr>
        <w:bidi w:val="0"/>
        <w:ind w:left="482" w:leftChars="0"/>
      </w:pPr>
      <w:bookmarkStart w:id="354" w:name="bookmark987"/>
      <w:bookmarkStart w:id="355" w:name="bookmark986"/>
      <w:bookmarkStart w:id="356" w:name="bookmark985"/>
      <w:bookmarkStart w:id="357" w:name="_Toc11573"/>
      <w:bookmarkStart w:id="358" w:name="_Toc14710293"/>
      <w:r>
        <w:t>3.3监理人员</w:t>
      </w:r>
      <w:bookmarkEnd w:id="354"/>
      <w:bookmarkEnd w:id="355"/>
      <w:bookmarkEnd w:id="356"/>
      <w:bookmarkEnd w:id="357"/>
      <w:bookmarkEnd w:id="358"/>
    </w:p>
    <w:p w14:paraId="5FD9F556">
      <w:pPr>
        <w:pStyle w:val="11"/>
      </w:pPr>
      <w:bookmarkStart w:id="359" w:name="bookmark988"/>
      <w:bookmarkEnd w:id="359"/>
      <w: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11"/>
      </w:pPr>
      <w: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11"/>
      </w:pPr>
      <w:r>
        <w:t>3.3.3承包人对总监理工程师授权的监理人员发出的指示有疑问的，可向总监理工程师提出书面异议，总监理工程师应在48小时内对该指示予以确认、更改或撤销。</w:t>
      </w:r>
    </w:p>
    <w:p w14:paraId="57855F89">
      <w:pPr>
        <w:pStyle w:val="11"/>
      </w:pPr>
      <w:bookmarkStart w:id="360" w:name="bookmark989"/>
      <w:bookmarkEnd w:id="360"/>
      <w:r>
        <w:t>3.3.4除专用合同条款另有约定外，总监理工程师不应将第3. 5款约定应由总监理工程师作出确定的权力授权或委托给其他监理人员。</w:t>
      </w:r>
    </w:p>
    <w:p w14:paraId="786D1423">
      <w:pPr>
        <w:pStyle w:val="2"/>
        <w:numPr>
          <w:ilvl w:val="0"/>
          <w:numId w:val="0"/>
        </w:numPr>
        <w:bidi w:val="0"/>
        <w:ind w:left="482" w:leftChars="0"/>
      </w:pPr>
      <w:bookmarkStart w:id="361" w:name="bookmark990"/>
      <w:bookmarkStart w:id="362" w:name="_Toc14710294"/>
      <w:bookmarkStart w:id="363" w:name="bookmark992"/>
      <w:bookmarkStart w:id="364" w:name="_Toc29343"/>
      <w:bookmarkStart w:id="365" w:name="bookmark991"/>
      <w:r>
        <w:t>3.4监理人的指示</w:t>
      </w:r>
      <w:bookmarkEnd w:id="361"/>
      <w:bookmarkEnd w:id="362"/>
      <w:bookmarkEnd w:id="363"/>
      <w:bookmarkEnd w:id="364"/>
      <w:bookmarkEnd w:id="365"/>
    </w:p>
    <w:p w14:paraId="3993CD44">
      <w:pPr>
        <w:pStyle w:val="11"/>
      </w:pPr>
      <w:r>
        <w:t>3.4. 1监理人应按第3. 1款的约定向承包人发出指示，监理人的指示应盖有监理人授权的施工场地机构章，并由总监理工程师或总监理工程师按第3. 3. 1项约定授权的监理人员签字。</w:t>
      </w:r>
    </w:p>
    <w:p w14:paraId="592F4156">
      <w:pPr>
        <w:pStyle w:val="11"/>
      </w:pPr>
      <w:r>
        <w:t>3.4.2承包人收到监理人按第3. 4.1项作出的指示后应遵照执行。指示构成变更的，应按第15条处理。</w:t>
      </w:r>
    </w:p>
    <w:p w14:paraId="10E96D02">
      <w:pPr>
        <w:pStyle w:val="11"/>
      </w:pPr>
      <w: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11"/>
      </w:pPr>
      <w:r>
        <w:t>3.4.4除合同另有约定外，承包人只从总监理工程师或按第3. 3. 1项被授权的监理人员处取得指示。</w:t>
      </w:r>
    </w:p>
    <w:p w14:paraId="12BF7EEC">
      <w:pPr>
        <w:pStyle w:val="11"/>
      </w:pPr>
      <w:r>
        <w:t>3.4.5由于监理人未能按合同约定发出指示、指示延误或指示错误而导致承包人费用增加和（或）工期延误的，由发包人承担赔偿责任。</w:t>
      </w:r>
    </w:p>
    <w:p w14:paraId="67329D61">
      <w:pPr>
        <w:pStyle w:val="2"/>
        <w:numPr>
          <w:ilvl w:val="0"/>
          <w:numId w:val="0"/>
        </w:numPr>
        <w:bidi w:val="0"/>
        <w:ind w:left="482" w:leftChars="0"/>
      </w:pPr>
      <w:bookmarkStart w:id="366" w:name="_Toc14710295"/>
      <w:bookmarkStart w:id="367" w:name="_Toc15164"/>
      <w:bookmarkStart w:id="368" w:name="bookmark995"/>
      <w:bookmarkStart w:id="369" w:name="bookmark994"/>
      <w:bookmarkStart w:id="370" w:name="bookmark993"/>
      <w:r>
        <w:t>3.5商定或确定</w:t>
      </w:r>
      <w:bookmarkEnd w:id="366"/>
      <w:bookmarkEnd w:id="367"/>
      <w:bookmarkEnd w:id="368"/>
      <w:bookmarkEnd w:id="369"/>
      <w:bookmarkEnd w:id="370"/>
    </w:p>
    <w:p w14:paraId="3D35DB33">
      <w:pPr>
        <w:pStyle w:val="11"/>
      </w:pPr>
      <w:r>
        <w:t>3.5.1合同约定总监理工程师应按照本款对任何事项进行商定或确定时，总监理工程师应与合同当事人协商，尽量达成一致。不能达成一致的，总监理工程师应认真研究后审慎确定。</w:t>
      </w:r>
    </w:p>
    <w:p w14:paraId="132EFAC1">
      <w:pPr>
        <w:pStyle w:val="11"/>
      </w:pPr>
      <w: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2"/>
        <w:numPr>
          <w:ilvl w:val="0"/>
          <w:numId w:val="0"/>
        </w:numPr>
        <w:bidi w:val="0"/>
        <w:ind w:left="482" w:leftChars="0"/>
      </w:pPr>
      <w:bookmarkStart w:id="371" w:name="bookmark996"/>
      <w:bookmarkStart w:id="372" w:name="_Toc13765"/>
      <w:bookmarkStart w:id="373" w:name="bookmark998"/>
      <w:bookmarkStart w:id="374" w:name="_Toc14710296"/>
      <w:bookmarkStart w:id="375" w:name="bookmark997"/>
      <w:r>
        <w:t>4.承包人</w:t>
      </w:r>
      <w:bookmarkEnd w:id="371"/>
      <w:bookmarkEnd w:id="372"/>
      <w:bookmarkEnd w:id="373"/>
      <w:bookmarkEnd w:id="374"/>
      <w:bookmarkEnd w:id="375"/>
    </w:p>
    <w:p w14:paraId="196CCFAF">
      <w:pPr>
        <w:pStyle w:val="2"/>
        <w:numPr>
          <w:ilvl w:val="0"/>
          <w:numId w:val="0"/>
        </w:numPr>
        <w:bidi w:val="0"/>
        <w:ind w:left="482" w:leftChars="0"/>
      </w:pPr>
      <w:bookmarkStart w:id="376" w:name="bookmark1001"/>
      <w:bookmarkStart w:id="377" w:name="_Toc14710297"/>
      <w:bookmarkStart w:id="378" w:name="_Toc11324"/>
      <w:bookmarkStart w:id="379" w:name="bookmark999"/>
      <w:bookmarkStart w:id="380" w:name="bookmark1000"/>
      <w:r>
        <w:t>4.1承包人的一般义务</w:t>
      </w:r>
      <w:bookmarkEnd w:id="376"/>
      <w:bookmarkEnd w:id="377"/>
      <w:bookmarkEnd w:id="378"/>
      <w:bookmarkEnd w:id="379"/>
      <w:bookmarkEnd w:id="380"/>
    </w:p>
    <w:p w14:paraId="599B166E">
      <w:pPr>
        <w:pStyle w:val="2"/>
        <w:numPr>
          <w:ilvl w:val="0"/>
          <w:numId w:val="0"/>
        </w:numPr>
        <w:bidi w:val="0"/>
        <w:ind w:left="482" w:leftChars="0"/>
      </w:pPr>
      <w:r>
        <w:t>4.1.1遵守法律</w:t>
      </w:r>
    </w:p>
    <w:p w14:paraId="62B43B65">
      <w:pPr>
        <w:pStyle w:val="11"/>
      </w:pPr>
      <w:r>
        <w:t>承包人在履行合同过程中应遵守法律，并保证发包人免于承担因承包人违反法律而引起的任何责任。</w:t>
      </w:r>
    </w:p>
    <w:p w14:paraId="17038348">
      <w:pPr>
        <w:pStyle w:val="2"/>
        <w:numPr>
          <w:ilvl w:val="0"/>
          <w:numId w:val="0"/>
        </w:numPr>
        <w:bidi w:val="0"/>
        <w:ind w:left="482" w:leftChars="0"/>
      </w:pPr>
      <w:bookmarkStart w:id="381" w:name="bookmark1002"/>
      <w:bookmarkEnd w:id="381"/>
      <w:r>
        <w:t>4.1.2依法纳税</w:t>
      </w:r>
    </w:p>
    <w:p w14:paraId="65632A18">
      <w:pPr>
        <w:pStyle w:val="11"/>
      </w:pPr>
      <w:r>
        <w:t>承包人应按有关法律规定纳税，应缴纳的税金包括在合同价格内。</w:t>
      </w:r>
    </w:p>
    <w:p w14:paraId="0626ACAE">
      <w:pPr>
        <w:pStyle w:val="2"/>
        <w:numPr>
          <w:ilvl w:val="0"/>
          <w:numId w:val="0"/>
        </w:numPr>
        <w:bidi w:val="0"/>
        <w:ind w:left="482" w:leftChars="0"/>
      </w:pPr>
      <w:r>
        <w:t>4.1.3完成各项承包工作</w:t>
      </w:r>
    </w:p>
    <w:p w14:paraId="0084A6DB">
      <w:pPr>
        <w:pStyle w:val="11"/>
      </w:pPr>
      <w: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2"/>
        <w:numPr>
          <w:ilvl w:val="0"/>
          <w:numId w:val="0"/>
        </w:numPr>
        <w:bidi w:val="0"/>
        <w:ind w:left="482" w:leftChars="0"/>
      </w:pPr>
      <w:r>
        <w:t>4.1.4对施工作业和施工方法的完备性负责</w:t>
      </w:r>
    </w:p>
    <w:p w14:paraId="565D2D87">
      <w:pPr>
        <w:pStyle w:val="11"/>
      </w:pPr>
      <w:r>
        <w:t>承包人应按合同约定的工作内容和施工进度要求，编制施工组织设计和施工措施计划，并对所有施工作业和施工方法的完备性和安全可靠性负责。</w:t>
      </w:r>
    </w:p>
    <w:p w14:paraId="311F1ECC">
      <w:pPr>
        <w:pStyle w:val="2"/>
        <w:numPr>
          <w:ilvl w:val="0"/>
          <w:numId w:val="0"/>
        </w:numPr>
        <w:bidi w:val="0"/>
        <w:ind w:left="482" w:leftChars="0"/>
      </w:pPr>
      <w:r>
        <w:t>4.1.5保证工程施工和人员的安全</w:t>
      </w:r>
    </w:p>
    <w:p w14:paraId="72FCD894">
      <w:pPr>
        <w:pStyle w:val="11"/>
      </w:pPr>
      <w:r>
        <w:t>承包人应按第9. 2款约定采取施工安全措施，确保工程及其人员、材料、设备和设施的安全，防止因工程施工造成的人身伤害和财产损失。</w:t>
      </w:r>
    </w:p>
    <w:p w14:paraId="24912FDC">
      <w:pPr>
        <w:pStyle w:val="2"/>
        <w:numPr>
          <w:ilvl w:val="0"/>
          <w:numId w:val="0"/>
        </w:numPr>
        <w:bidi w:val="0"/>
        <w:ind w:left="482" w:leftChars="0"/>
      </w:pPr>
      <w:bookmarkStart w:id="382" w:name="bookmark1003"/>
      <w:bookmarkEnd w:id="382"/>
      <w:r>
        <w:t>4.1.6负责施工场地及其周边环境与生态的保护工作</w:t>
      </w:r>
    </w:p>
    <w:p w14:paraId="350FC7DA">
      <w:pPr>
        <w:pStyle w:val="11"/>
      </w:pPr>
      <w:r>
        <w:t>承包人应按照第9.4款约定负责施工场地及其周边环境与生态的保护工作。</w:t>
      </w:r>
    </w:p>
    <w:p w14:paraId="2580032B">
      <w:pPr>
        <w:pStyle w:val="2"/>
        <w:numPr>
          <w:ilvl w:val="0"/>
          <w:numId w:val="0"/>
        </w:numPr>
        <w:bidi w:val="0"/>
        <w:ind w:left="482" w:leftChars="0"/>
      </w:pPr>
      <w:r>
        <w:t>4.1.7避免施工对公众与他人的利益造成损害</w:t>
      </w:r>
    </w:p>
    <w:p w14:paraId="14786004">
      <w:pPr>
        <w:pStyle w:val="11"/>
      </w:pPr>
      <w: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2"/>
        <w:numPr>
          <w:ilvl w:val="0"/>
          <w:numId w:val="0"/>
        </w:numPr>
        <w:bidi w:val="0"/>
        <w:ind w:left="482" w:leftChars="0"/>
      </w:pPr>
      <w:r>
        <w:t>4.1.8为他人提供方便</w:t>
      </w:r>
    </w:p>
    <w:p w14:paraId="6CDC6EAC">
      <w:pPr>
        <w:pStyle w:val="11"/>
      </w:pPr>
      <w: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2"/>
        <w:numPr>
          <w:ilvl w:val="0"/>
          <w:numId w:val="0"/>
        </w:numPr>
        <w:bidi w:val="0"/>
        <w:ind w:left="482" w:leftChars="0"/>
      </w:pPr>
      <w:r>
        <w:t>4.1.9工程的维护和照管</w:t>
      </w:r>
    </w:p>
    <w:p w14:paraId="139BC37A">
      <w:pPr>
        <w:pStyle w:val="11"/>
      </w:pPr>
      <w: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2"/>
        <w:numPr>
          <w:ilvl w:val="0"/>
          <w:numId w:val="0"/>
        </w:numPr>
        <w:bidi w:val="0"/>
        <w:ind w:left="482" w:leftChars="0"/>
      </w:pPr>
      <w:r>
        <w:t>4.1.10其它义务</w:t>
      </w:r>
    </w:p>
    <w:p w14:paraId="4517C276">
      <w:pPr>
        <w:pStyle w:val="11"/>
      </w:pPr>
      <w:r>
        <w:t>其它义务在专用合同条款中补充约定。</w:t>
      </w:r>
    </w:p>
    <w:p w14:paraId="411F86AF">
      <w:pPr>
        <w:pStyle w:val="2"/>
        <w:numPr>
          <w:ilvl w:val="0"/>
          <w:numId w:val="0"/>
        </w:numPr>
        <w:bidi w:val="0"/>
        <w:ind w:left="482" w:leftChars="0"/>
      </w:pPr>
      <w:bookmarkStart w:id="383" w:name="_Toc11535"/>
      <w:bookmarkStart w:id="384" w:name="_Toc14710298"/>
      <w:bookmarkStart w:id="385" w:name="bookmark1006"/>
      <w:bookmarkStart w:id="386" w:name="bookmark1005"/>
      <w:bookmarkStart w:id="387" w:name="bookmark1004"/>
      <w:r>
        <w:t>4.2履约担保</w:t>
      </w:r>
      <w:bookmarkEnd w:id="383"/>
      <w:bookmarkEnd w:id="384"/>
      <w:bookmarkEnd w:id="385"/>
      <w:bookmarkEnd w:id="386"/>
      <w:bookmarkEnd w:id="387"/>
    </w:p>
    <w:p w14:paraId="38796292">
      <w:pPr>
        <w:pStyle w:val="11"/>
      </w:pPr>
      <w:r>
        <w:t>承包人应保证其履约担保在发包人颁发合同工程完工证书前一直有效。发包人应在合同工程完工证书颁发后28天内将履约担保退还给承包人。</w:t>
      </w:r>
    </w:p>
    <w:p w14:paraId="34D535DA">
      <w:pPr>
        <w:pStyle w:val="2"/>
        <w:numPr>
          <w:ilvl w:val="0"/>
          <w:numId w:val="0"/>
        </w:numPr>
        <w:bidi w:val="0"/>
        <w:ind w:left="482" w:leftChars="0"/>
      </w:pPr>
      <w:bookmarkStart w:id="388" w:name="bookmark1009"/>
      <w:bookmarkStart w:id="389" w:name="bookmark1008"/>
      <w:bookmarkStart w:id="390" w:name="_Toc31393"/>
      <w:bookmarkStart w:id="391" w:name="bookmark1007"/>
      <w:bookmarkStart w:id="392" w:name="_Toc14710299"/>
      <w:r>
        <w:t>4.3分包</w:t>
      </w:r>
      <w:bookmarkEnd w:id="388"/>
      <w:bookmarkEnd w:id="389"/>
      <w:bookmarkEnd w:id="390"/>
      <w:bookmarkEnd w:id="391"/>
      <w:bookmarkEnd w:id="392"/>
    </w:p>
    <w:p w14:paraId="4D24DBAF">
      <w:pPr>
        <w:pStyle w:val="11"/>
      </w:pPr>
      <w:r>
        <w:t>4.3.1承包人不得将其承包的全部工程转包给第三人，或将其承包的全部工程肢解后以分包的名义转包给第三人。</w:t>
      </w:r>
    </w:p>
    <w:p w14:paraId="74017A71">
      <w:pPr>
        <w:pStyle w:val="11"/>
      </w:pPr>
      <w:r>
        <w:t>4.3.2承包人不得将工程主体、关键性工作分包给第三人。除专用合同条款另有约定外，未经发包人同意，承包人不得将工程的其他部分或工作分包给第三人。</w:t>
      </w:r>
    </w:p>
    <w:p w14:paraId="7E7FF656">
      <w:pPr>
        <w:pStyle w:val="11"/>
      </w:pPr>
      <w:r>
        <w:t>4.3.3分包人的资格能力应与其分包工程的标准和规模相适应。</w:t>
      </w:r>
    </w:p>
    <w:p w14:paraId="573991FC">
      <w:pPr>
        <w:pStyle w:val="11"/>
      </w:pPr>
      <w:r>
        <w:t>4.3.4按投标函附录约定分包工程的，承包人应向发包人和监理人提交分包合同 副本。</w:t>
      </w:r>
    </w:p>
    <w:p w14:paraId="576EF487">
      <w:pPr>
        <w:pStyle w:val="11"/>
      </w:pPr>
      <w:r>
        <w:t>4.3.5承包人应与分包人就分包工程向发包人承担连带责任。</w:t>
      </w:r>
    </w:p>
    <w:p w14:paraId="190B3AE1">
      <w:pPr>
        <w:pStyle w:val="11"/>
      </w:pPr>
      <w: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11"/>
      </w:pPr>
      <w: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11"/>
      </w:pPr>
      <w: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11"/>
      </w:pPr>
      <w:r>
        <w:t>4.3.9除第4. 3. 7项规定的指定分包外，承包人对其分包项目的实施以及分包人的行为向发包人负全部责任。承包人应对分包项目的工程进度、质量、安全、计量和验收等实施监督和管理。</w:t>
      </w:r>
    </w:p>
    <w:p w14:paraId="3025E768">
      <w:pPr>
        <w:pStyle w:val="11"/>
      </w:pPr>
      <w:bookmarkStart w:id="393" w:name="bookmark1010"/>
      <w:bookmarkEnd w:id="393"/>
      <w:r>
        <w:t>4.3.10分包人应按专用合同条款的约定设立项目管理机构组织管理分包工程的施工 活动。</w:t>
      </w:r>
    </w:p>
    <w:p w14:paraId="36988DC9">
      <w:pPr>
        <w:pStyle w:val="2"/>
        <w:numPr>
          <w:ilvl w:val="0"/>
          <w:numId w:val="0"/>
        </w:numPr>
        <w:bidi w:val="0"/>
        <w:ind w:left="482" w:leftChars="0"/>
      </w:pPr>
      <w:bookmarkStart w:id="394" w:name="bookmark1013"/>
      <w:bookmarkStart w:id="395" w:name="bookmark1012"/>
      <w:bookmarkStart w:id="396" w:name="_Toc14710300"/>
      <w:bookmarkStart w:id="397" w:name="_Toc27582"/>
      <w:bookmarkStart w:id="398" w:name="bookmark1011"/>
      <w:r>
        <w:t>4.4联合体</w:t>
      </w:r>
      <w:bookmarkEnd w:id="394"/>
      <w:bookmarkEnd w:id="395"/>
      <w:bookmarkEnd w:id="396"/>
      <w:bookmarkEnd w:id="397"/>
      <w:bookmarkEnd w:id="398"/>
    </w:p>
    <w:p w14:paraId="1A35C2A3">
      <w:pPr>
        <w:pStyle w:val="11"/>
      </w:pPr>
      <w:bookmarkStart w:id="399" w:name="bookmark1014"/>
      <w:bookmarkEnd w:id="399"/>
      <w:r>
        <w:rPr>
          <w:rFonts w:hint="eastAsia"/>
          <w:b w:val="0"/>
          <w:i w:val="0"/>
          <w:strike w:val="0"/>
          <w:color w:val="000000"/>
          <w:u w:val="none"/>
          <w:lang w:val="en-US" w:eastAsia="zh-CN"/>
        </w:rPr>
        <w:t>4</w:t>
      </w:r>
      <w:r>
        <w:rPr>
          <w:b w:val="0"/>
          <w:i w:val="0"/>
          <w:strike w:val="0"/>
          <w:color w:val="000000"/>
          <w:u w:val="none"/>
        </w:rPr>
        <w:t>.</w:t>
      </w:r>
      <w:r>
        <w:t>4.1联合体各方应共同与发包人签订合同协议书。联合体各方应为履行合同承担连带责任。</w:t>
      </w:r>
    </w:p>
    <w:p w14:paraId="5F0B0523">
      <w:pPr>
        <w:pStyle w:val="11"/>
      </w:pPr>
      <w:r>
        <w:t>4. 4.2联合体协议经发包人确认后作为合同附件。在履行合同过程中，未经发包人同意，不得修改联合体协议。</w:t>
      </w:r>
    </w:p>
    <w:p w14:paraId="7747D9B3">
      <w:pPr>
        <w:pStyle w:val="11"/>
      </w:pPr>
      <w:r>
        <w:t>4.4.3联合体牵头人负责与发包人和监理人联系，并接受指示，负责组织联合体各成员全面履行合同。</w:t>
      </w:r>
    </w:p>
    <w:p w14:paraId="6E4C9198">
      <w:pPr>
        <w:pStyle w:val="2"/>
        <w:numPr>
          <w:ilvl w:val="0"/>
          <w:numId w:val="0"/>
        </w:numPr>
        <w:bidi w:val="0"/>
        <w:ind w:left="482" w:leftChars="0"/>
      </w:pPr>
      <w:bookmarkStart w:id="400" w:name="_Toc27934"/>
      <w:bookmarkStart w:id="401" w:name="bookmark1015"/>
      <w:bookmarkStart w:id="402" w:name="bookmark1016"/>
      <w:bookmarkStart w:id="403" w:name="bookmark1017"/>
      <w:bookmarkStart w:id="404" w:name="_Toc14710301"/>
      <w:r>
        <w:t>4.5承包人项目经理</w:t>
      </w:r>
      <w:bookmarkEnd w:id="400"/>
      <w:bookmarkEnd w:id="401"/>
      <w:bookmarkEnd w:id="402"/>
      <w:bookmarkEnd w:id="403"/>
      <w:bookmarkEnd w:id="404"/>
    </w:p>
    <w:p w14:paraId="0CCA4A66">
      <w:pPr>
        <w:pStyle w:val="11"/>
      </w:pPr>
      <w: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11"/>
      </w:pPr>
      <w: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11"/>
      </w:pPr>
      <w:r>
        <w:t>4. 5. 3承包人为履行合同发出的一切函件均应盖有承包人授权的施工场地管理机构章，并由承包人项目经理或其授权代表签字。</w:t>
      </w:r>
    </w:p>
    <w:p w14:paraId="2EFEC903">
      <w:pPr>
        <w:pStyle w:val="11"/>
      </w:pPr>
      <w:r>
        <w:t>4. 5.4承包人项目经理可以授权其下属人员履行其某项职责，但事先应将这些人员的姓名和授权范围通知监理人。</w:t>
      </w:r>
    </w:p>
    <w:p w14:paraId="131FDC57">
      <w:pPr>
        <w:pStyle w:val="2"/>
        <w:numPr>
          <w:ilvl w:val="0"/>
          <w:numId w:val="0"/>
        </w:numPr>
        <w:bidi w:val="0"/>
        <w:ind w:left="482" w:leftChars="0"/>
      </w:pPr>
      <w:bookmarkStart w:id="405" w:name="_Toc14710302"/>
      <w:bookmarkStart w:id="406" w:name="bookmark1018"/>
      <w:bookmarkStart w:id="407" w:name="bookmark1020"/>
      <w:bookmarkStart w:id="408" w:name="bookmark1019"/>
      <w:bookmarkStart w:id="409" w:name="_Toc1095"/>
      <w:r>
        <w:t>4.6承包人人员的管理</w:t>
      </w:r>
      <w:bookmarkEnd w:id="405"/>
      <w:bookmarkEnd w:id="406"/>
      <w:bookmarkEnd w:id="407"/>
      <w:bookmarkEnd w:id="408"/>
      <w:bookmarkEnd w:id="409"/>
    </w:p>
    <w:p w14:paraId="0781B298">
      <w:pPr>
        <w:pStyle w:val="11"/>
      </w:pPr>
      <w: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11"/>
      </w:pPr>
      <w:r>
        <w:t>4. 6.2为完成合同约定的各项工作，承包人应向施工场地派遣或雇佣足够数量的下列 人员：</w:t>
      </w:r>
    </w:p>
    <w:p w14:paraId="3F663D56">
      <w:pPr>
        <w:pStyle w:val="11"/>
      </w:pPr>
      <w:bookmarkStart w:id="410" w:name="bookmark1021"/>
      <w:bookmarkEnd w:id="410"/>
      <w:r>
        <w:rPr>
          <w:b w:val="0"/>
          <w:i w:val="0"/>
          <w:strike w:val="0"/>
          <w:color w:val="000000"/>
          <w:u w:val="none"/>
        </w:rPr>
        <w:t>(1)</w:t>
      </w:r>
      <w:r>
        <w:t>具有相应资格的专业技工和合格的普工；</w:t>
      </w:r>
    </w:p>
    <w:p w14:paraId="5D41583C">
      <w:pPr>
        <w:pStyle w:val="11"/>
      </w:pPr>
      <w:bookmarkStart w:id="411" w:name="bookmark1022"/>
      <w:bookmarkEnd w:id="411"/>
      <w:r>
        <w:rPr>
          <w:b w:val="0"/>
          <w:i w:val="0"/>
          <w:strike w:val="0"/>
          <w:color w:val="000000"/>
          <w:u w:val="none"/>
        </w:rPr>
        <w:t>(2)</w:t>
      </w:r>
      <w:r>
        <w:t>具有相应施工经验的技术人员；</w:t>
      </w:r>
    </w:p>
    <w:p w14:paraId="1E12AEA1">
      <w:pPr>
        <w:pStyle w:val="11"/>
      </w:pPr>
      <w:bookmarkStart w:id="412" w:name="bookmark1023"/>
      <w:bookmarkEnd w:id="412"/>
      <w:r>
        <w:rPr>
          <w:b w:val="0"/>
          <w:i w:val="0"/>
          <w:strike w:val="0"/>
          <w:color w:val="000000"/>
          <w:u w:val="none"/>
        </w:rPr>
        <w:t>(3)</w:t>
      </w:r>
      <w:r>
        <w:t>具有相应岗位资格的各级管理人员。</w:t>
      </w:r>
    </w:p>
    <w:p w14:paraId="16E35949">
      <w:pPr>
        <w:pStyle w:val="11"/>
      </w:pPr>
      <w:r>
        <w:t>4.6.3承包人安排在施工场地的主要管理人员和技术骨干应相对稳定。承包人更换主要管理人员和技术骨干时，应取得监理人的同意。</w:t>
      </w:r>
    </w:p>
    <w:p w14:paraId="1E51B660">
      <w:pPr>
        <w:pStyle w:val="11"/>
      </w:pPr>
      <w:r>
        <w:t>4. 6.4特殊岗位的工作人员均应持有相应的资格证明，监理人有权随时检查。监理人认为有必要时，可进行现场考核。</w:t>
      </w:r>
    </w:p>
    <w:p w14:paraId="61D3A166">
      <w:pPr>
        <w:pStyle w:val="2"/>
        <w:numPr>
          <w:ilvl w:val="0"/>
          <w:numId w:val="0"/>
        </w:numPr>
        <w:bidi w:val="0"/>
        <w:ind w:left="482" w:leftChars="0"/>
      </w:pPr>
      <w:bookmarkStart w:id="413" w:name="_Toc14710303"/>
      <w:bookmarkStart w:id="414" w:name="bookmark1024"/>
      <w:bookmarkStart w:id="415" w:name="bookmark1025"/>
      <w:bookmarkStart w:id="416" w:name="_Toc24736"/>
      <w:bookmarkStart w:id="417" w:name="bookmark1026"/>
      <w:r>
        <w:t>4.7撤换承包人项目经理和其他人员</w:t>
      </w:r>
      <w:bookmarkEnd w:id="413"/>
      <w:bookmarkEnd w:id="414"/>
      <w:bookmarkEnd w:id="415"/>
      <w:bookmarkEnd w:id="416"/>
      <w:bookmarkEnd w:id="417"/>
    </w:p>
    <w:p w14:paraId="58EE6E21">
      <w:pPr>
        <w:pStyle w:val="11"/>
      </w:pPr>
      <w:r>
        <w:t>承包人应对其项目经理和其他人员进行有效管理。监理人要求撤换不能胜任本职工作、 行为不端或玩忽职守的承包人项目经理和其他人员的，承包人应予以撤换。</w:t>
      </w:r>
    </w:p>
    <w:p w14:paraId="299EDCAE">
      <w:pPr>
        <w:pStyle w:val="2"/>
        <w:numPr>
          <w:ilvl w:val="0"/>
          <w:numId w:val="0"/>
        </w:numPr>
        <w:bidi w:val="0"/>
        <w:ind w:left="482" w:leftChars="0"/>
      </w:pPr>
      <w:bookmarkStart w:id="418" w:name="bookmark1029"/>
      <w:bookmarkStart w:id="419" w:name="_Toc14710304"/>
      <w:bookmarkStart w:id="420" w:name="bookmark1027"/>
      <w:bookmarkStart w:id="421" w:name="bookmark1028"/>
      <w:bookmarkStart w:id="422" w:name="_Toc19207"/>
      <w:r>
        <w:t>4.8保障承包人人员的合法权益</w:t>
      </w:r>
      <w:bookmarkEnd w:id="418"/>
      <w:bookmarkEnd w:id="419"/>
      <w:bookmarkEnd w:id="420"/>
      <w:bookmarkEnd w:id="421"/>
      <w:bookmarkEnd w:id="422"/>
    </w:p>
    <w:p w14:paraId="23905326">
      <w:pPr>
        <w:pStyle w:val="11"/>
      </w:pPr>
      <w:r>
        <w:t>4. 8. 1承包人应与其雇佣的人员签订劳动合同，并按时发放工资。</w:t>
      </w:r>
    </w:p>
    <w:p w14:paraId="3E7111D3">
      <w:pPr>
        <w:pStyle w:val="11"/>
      </w:pPr>
      <w: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11"/>
      </w:pPr>
      <w:r>
        <w:t>4.8.3承包人应为其雇佣人员提供必要的食宿条件，以及符合环境保护和卫生要求的生活环境，在远离城镇的施工场地，还应配备必要的伤病防治和急救的医务人员与医疗设施。</w:t>
      </w:r>
    </w:p>
    <w:p w14:paraId="663EFC8F">
      <w:pPr>
        <w:pStyle w:val="11"/>
      </w:pPr>
      <w: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11"/>
      </w:pPr>
      <w:r>
        <w:t>4. 8.5承包人应按有关法律规定和合同约定，为其雇佣人员办理保险。</w:t>
      </w:r>
    </w:p>
    <w:p w14:paraId="75B29C30">
      <w:pPr>
        <w:pStyle w:val="11"/>
      </w:pPr>
      <w:r>
        <w:t>4. 8.6承包人应负责处理其雇佣人员因工伤亡事故的善后事宜。</w:t>
      </w:r>
    </w:p>
    <w:p w14:paraId="1C1490D1">
      <w:pPr>
        <w:pStyle w:val="2"/>
        <w:numPr>
          <w:ilvl w:val="0"/>
          <w:numId w:val="0"/>
        </w:numPr>
        <w:bidi w:val="0"/>
        <w:ind w:left="482" w:leftChars="0"/>
      </w:pPr>
      <w:bookmarkStart w:id="423" w:name="_Toc7851"/>
      <w:bookmarkStart w:id="424" w:name="bookmark1030"/>
      <w:bookmarkStart w:id="425" w:name="_Toc14710305"/>
      <w:bookmarkStart w:id="426" w:name="bookmark1032"/>
      <w:bookmarkStart w:id="427" w:name="bookmark1031"/>
      <w:r>
        <w:t>4.9工程价款应专款专用</w:t>
      </w:r>
      <w:bookmarkEnd w:id="423"/>
      <w:bookmarkEnd w:id="424"/>
      <w:bookmarkEnd w:id="425"/>
      <w:bookmarkEnd w:id="426"/>
      <w:bookmarkEnd w:id="427"/>
    </w:p>
    <w:p w14:paraId="0363FBF9">
      <w:pPr>
        <w:pStyle w:val="11"/>
      </w:pPr>
      <w:r>
        <w:t>发包人按合同约定支付给承包人的各项价款应专用于合同工程。</w:t>
      </w:r>
    </w:p>
    <w:p w14:paraId="593E9903">
      <w:pPr>
        <w:pStyle w:val="2"/>
        <w:numPr>
          <w:ilvl w:val="0"/>
          <w:numId w:val="0"/>
        </w:numPr>
        <w:bidi w:val="0"/>
        <w:ind w:left="482" w:leftChars="0"/>
      </w:pPr>
      <w:bookmarkStart w:id="428" w:name="bookmark1033"/>
      <w:bookmarkStart w:id="429" w:name="bookmark1034"/>
      <w:bookmarkStart w:id="430" w:name="_Toc14710306"/>
      <w:bookmarkStart w:id="431" w:name="_Toc30630"/>
      <w:bookmarkStart w:id="432" w:name="bookmark1035"/>
      <w:r>
        <w:t>4.10承包人现场查勘</w:t>
      </w:r>
      <w:bookmarkEnd w:id="428"/>
      <w:bookmarkEnd w:id="429"/>
      <w:bookmarkEnd w:id="430"/>
      <w:bookmarkEnd w:id="431"/>
      <w:bookmarkEnd w:id="432"/>
    </w:p>
    <w:p w14:paraId="22152D13">
      <w:pPr>
        <w:pStyle w:val="11"/>
      </w:pPr>
      <w:r>
        <w:t>4. 10. 1发包人应将其持有的现场地质勘探资料、水文气象资料提供给承包人，并对其准确性负责。但承包人应对其阅读上述有关资料后所作出的解释和推断负责。</w:t>
      </w:r>
    </w:p>
    <w:p w14:paraId="22433289">
      <w:pPr>
        <w:pStyle w:val="11"/>
      </w:pPr>
      <w:bookmarkStart w:id="433" w:name="bookmark1036"/>
      <w:bookmarkEnd w:id="433"/>
      <w: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2"/>
        <w:numPr>
          <w:ilvl w:val="0"/>
          <w:numId w:val="0"/>
        </w:numPr>
        <w:bidi w:val="0"/>
        <w:ind w:left="482" w:leftChars="0"/>
      </w:pPr>
      <w:bookmarkStart w:id="434" w:name="_Toc14710307"/>
      <w:bookmarkStart w:id="435" w:name="bookmark1038"/>
      <w:bookmarkStart w:id="436" w:name="bookmark1039"/>
      <w:bookmarkStart w:id="437" w:name="bookmark1037"/>
      <w:bookmarkStart w:id="438" w:name="_Toc2993"/>
      <w:r>
        <w:t>4.11不利物质条件</w:t>
      </w:r>
      <w:bookmarkEnd w:id="434"/>
      <w:bookmarkEnd w:id="435"/>
      <w:bookmarkEnd w:id="436"/>
      <w:bookmarkEnd w:id="437"/>
      <w:bookmarkEnd w:id="438"/>
    </w:p>
    <w:p w14:paraId="345F21ED">
      <w:pPr>
        <w:pStyle w:val="11"/>
      </w:pPr>
      <w:r>
        <w:t>4.11.1除专用合同条款另有约定外，不利的物质条件是指在施工中遭遇不可预见的外界障碍或自然条件造成施工受阻。</w:t>
      </w:r>
    </w:p>
    <w:p w14:paraId="73D6221A">
      <w:pPr>
        <w:pStyle w:val="11"/>
      </w:pPr>
      <w: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2"/>
        <w:numPr>
          <w:ilvl w:val="0"/>
          <w:numId w:val="0"/>
        </w:numPr>
        <w:bidi w:val="0"/>
        <w:ind w:left="482" w:leftChars="0"/>
      </w:pPr>
      <w:bookmarkStart w:id="439" w:name="bookmark1042"/>
      <w:bookmarkEnd w:id="439"/>
      <w:bookmarkStart w:id="440" w:name="bookmark1043"/>
      <w:bookmarkStart w:id="441" w:name="_Toc14710308"/>
      <w:bookmarkStart w:id="442" w:name="bookmark1041"/>
      <w:bookmarkStart w:id="443" w:name="bookmark1040"/>
      <w:bookmarkStart w:id="444" w:name="_Toc25230"/>
      <w:r>
        <w:t>5.材料和工程设备</w:t>
      </w:r>
      <w:bookmarkEnd w:id="440"/>
      <w:bookmarkEnd w:id="441"/>
      <w:bookmarkEnd w:id="442"/>
      <w:bookmarkEnd w:id="443"/>
      <w:bookmarkEnd w:id="444"/>
    </w:p>
    <w:p w14:paraId="597E2A80">
      <w:pPr>
        <w:pStyle w:val="2"/>
        <w:numPr>
          <w:ilvl w:val="0"/>
          <w:numId w:val="0"/>
        </w:numPr>
        <w:bidi w:val="0"/>
        <w:ind w:left="482" w:leftChars="0"/>
      </w:pPr>
      <w:bookmarkStart w:id="445" w:name="bookmark1046"/>
      <w:bookmarkStart w:id="446" w:name="_Toc5421"/>
      <w:bookmarkStart w:id="447" w:name="bookmark1044"/>
      <w:bookmarkStart w:id="448" w:name="_Toc14710309"/>
      <w:bookmarkStart w:id="449" w:name="bookmark1045"/>
      <w:r>
        <w:t>5.1承包人提供的材料和工程设备</w:t>
      </w:r>
      <w:bookmarkEnd w:id="445"/>
      <w:bookmarkEnd w:id="446"/>
      <w:bookmarkEnd w:id="447"/>
      <w:bookmarkEnd w:id="448"/>
      <w:bookmarkEnd w:id="449"/>
    </w:p>
    <w:p w14:paraId="1FD79D1B">
      <w:pPr>
        <w:pStyle w:val="11"/>
      </w:pPr>
      <w:bookmarkStart w:id="450" w:name="bookmark1047"/>
      <w:bookmarkEnd w:id="450"/>
      <w:r>
        <w:t>5.1. 1除第5. 2款约定由发包人提供的材料和工程设备外，承包人负责采购、运输和 保管完成本合同工作所需的材料和工程设备。承包人应对其采购的材料和工程设备负责。</w:t>
      </w:r>
    </w:p>
    <w:p w14:paraId="0AC15348">
      <w:pPr>
        <w:pStyle w:val="11"/>
      </w:pPr>
      <w: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11"/>
      </w:pPr>
      <w: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2"/>
        <w:numPr>
          <w:ilvl w:val="0"/>
          <w:numId w:val="0"/>
        </w:numPr>
        <w:bidi w:val="0"/>
        <w:ind w:left="482" w:leftChars="0"/>
      </w:pPr>
      <w:bookmarkStart w:id="451" w:name="bookmark1050"/>
      <w:bookmarkStart w:id="452" w:name="bookmark1048"/>
      <w:bookmarkStart w:id="453" w:name="bookmark1049"/>
      <w:bookmarkStart w:id="454" w:name="_Toc18208"/>
      <w:bookmarkStart w:id="455" w:name="_Toc14710310"/>
      <w:r>
        <w:t>5.2发包人提供的材料和工程设备</w:t>
      </w:r>
      <w:bookmarkEnd w:id="451"/>
      <w:bookmarkEnd w:id="452"/>
      <w:bookmarkEnd w:id="453"/>
      <w:bookmarkEnd w:id="454"/>
      <w:bookmarkEnd w:id="455"/>
    </w:p>
    <w:p w14:paraId="3767B53A">
      <w:pPr>
        <w:pStyle w:val="11"/>
      </w:pPr>
      <w:bookmarkStart w:id="456" w:name="bookmark1051"/>
      <w:bookmarkEnd w:id="456"/>
      <w:r>
        <w:t>5. 2.1发包人提供的材料和工程设备，应在专用合同条款中写明材料和工程设备的名称、规格、数量、价格、交货方式、交货地点和计划交货日期等。</w:t>
      </w:r>
    </w:p>
    <w:p w14:paraId="1D1E054E">
      <w:pPr>
        <w:pStyle w:val="11"/>
      </w:pPr>
      <w:r>
        <w:t>5. 2.2承包人应根据合同进度计划的安排，向监理人报送要求发包人交货的日期计划。发包人应按照监理人与合同双方当事人商定的交货日期，向承包人提交材料和工程设备。</w:t>
      </w:r>
    </w:p>
    <w:p w14:paraId="4EF5FE32">
      <w:pPr>
        <w:pStyle w:val="11"/>
      </w:pPr>
      <w: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11"/>
      </w:pPr>
      <w:r>
        <w:t>5. 2.4发包人要求向承包人提前交货的，承包人不得拒绝，但发包人应承担承包人由此增加的费用。</w:t>
      </w:r>
    </w:p>
    <w:p w14:paraId="12CF748D">
      <w:pPr>
        <w:pStyle w:val="11"/>
      </w:pPr>
      <w:r>
        <w:t>5. 2.5承包人要求更改交货日期或地点的，应事先报请监理人批准。由于承包人要求更改交货时间或地点所增加的费用和（或）工期延误由承包人承担。</w:t>
      </w:r>
    </w:p>
    <w:p w14:paraId="07E7AD96">
      <w:pPr>
        <w:pStyle w:val="11"/>
      </w:pPr>
      <w: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2"/>
        <w:numPr>
          <w:ilvl w:val="0"/>
          <w:numId w:val="0"/>
        </w:numPr>
        <w:bidi w:val="0"/>
        <w:ind w:left="482" w:leftChars="0"/>
      </w:pPr>
      <w:bookmarkStart w:id="457" w:name="bookmark1054"/>
      <w:bookmarkStart w:id="458" w:name="bookmark1053"/>
      <w:bookmarkStart w:id="459" w:name="bookmark1052"/>
      <w:bookmarkStart w:id="460" w:name="_Toc17795"/>
      <w:bookmarkStart w:id="461" w:name="_Toc14710311"/>
      <w:r>
        <w:t>5.3材料和工程设备专用于合同工程</w:t>
      </w:r>
      <w:bookmarkEnd w:id="457"/>
      <w:bookmarkEnd w:id="458"/>
      <w:bookmarkEnd w:id="459"/>
      <w:bookmarkEnd w:id="460"/>
      <w:bookmarkEnd w:id="461"/>
    </w:p>
    <w:p w14:paraId="70D05981">
      <w:pPr>
        <w:pStyle w:val="11"/>
      </w:pPr>
      <w:r>
        <w:t>5.3.1运入施工场地的材料、工程设备，包括备品备件、安装专用工器具与随机资料，必须专用于合同工程，未经监理人同意，承包人不得运出施工场地或挪作他用。</w:t>
      </w:r>
    </w:p>
    <w:p w14:paraId="1BB82A81">
      <w:pPr>
        <w:pStyle w:val="11"/>
      </w:pPr>
      <w: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2"/>
        <w:numPr>
          <w:ilvl w:val="0"/>
          <w:numId w:val="0"/>
        </w:numPr>
        <w:bidi w:val="0"/>
        <w:ind w:left="482" w:leftChars="0"/>
      </w:pPr>
      <w:bookmarkStart w:id="462" w:name="bookmark1056"/>
      <w:bookmarkStart w:id="463" w:name="_Toc30864"/>
      <w:bookmarkStart w:id="464" w:name="bookmark1057"/>
      <w:bookmarkStart w:id="465" w:name="_Toc14710312"/>
      <w:bookmarkStart w:id="466" w:name="bookmark1055"/>
      <w:r>
        <w:t>5.4禁止使用不合格的材料和工程设备</w:t>
      </w:r>
      <w:bookmarkEnd w:id="462"/>
      <w:bookmarkEnd w:id="463"/>
      <w:bookmarkEnd w:id="464"/>
      <w:bookmarkEnd w:id="465"/>
      <w:bookmarkEnd w:id="466"/>
    </w:p>
    <w:p w14:paraId="0B590C40">
      <w:pPr>
        <w:pStyle w:val="11"/>
      </w:pPr>
      <w:bookmarkStart w:id="467" w:name="bookmark1058"/>
      <w:bookmarkEnd w:id="467"/>
      <w:r>
        <w:t>5.4.1监理人有权拒绝承包人提供的不合格材料或工程设备，并要求承包人立即进行更换。监理人应在更换后再次进行检查和检验，由此增加的费用和（或）工期延误由承包 人承担。</w:t>
      </w:r>
    </w:p>
    <w:p w14:paraId="174FFB91">
      <w:pPr>
        <w:pStyle w:val="11"/>
      </w:pPr>
      <w:bookmarkStart w:id="468" w:name="bookmark1059"/>
      <w:bookmarkEnd w:id="468"/>
      <w:r>
        <w:t>5.4.2监理人发现承包人使用了不合格的材料和工程设备，应即时发出指示要求承包人立即改正，并禁止在工程中继续使用不合格的材料和工程设备。</w:t>
      </w:r>
    </w:p>
    <w:p w14:paraId="527CC3B2">
      <w:pPr>
        <w:pStyle w:val="11"/>
      </w:pPr>
      <w:r>
        <w:t>5.4.3发包人提供的材料或工程设备不符合合同要求的，承包人有权拒绝，并可要求发包人更换，由此增加的费用和（或）工期延误由发包人承担。</w:t>
      </w:r>
    </w:p>
    <w:p w14:paraId="691F463B">
      <w:pPr>
        <w:pStyle w:val="2"/>
        <w:numPr>
          <w:ilvl w:val="0"/>
          <w:numId w:val="0"/>
        </w:numPr>
        <w:bidi w:val="0"/>
        <w:ind w:left="482" w:leftChars="0"/>
      </w:pPr>
      <w:bookmarkStart w:id="469" w:name="bookmark1062"/>
      <w:bookmarkEnd w:id="469"/>
      <w:bookmarkStart w:id="470" w:name="_Toc21496"/>
      <w:bookmarkStart w:id="471" w:name="bookmark1060"/>
      <w:bookmarkStart w:id="472" w:name="bookmark1063"/>
      <w:bookmarkStart w:id="473" w:name="_Toc14710313"/>
      <w:bookmarkStart w:id="474" w:name="bookmark1061"/>
      <w:r>
        <w:t>6.施工设备和临时设施</w:t>
      </w:r>
      <w:bookmarkEnd w:id="470"/>
      <w:bookmarkEnd w:id="471"/>
      <w:bookmarkEnd w:id="472"/>
      <w:bookmarkEnd w:id="473"/>
      <w:bookmarkEnd w:id="474"/>
    </w:p>
    <w:p w14:paraId="108D4D7B">
      <w:pPr>
        <w:pStyle w:val="2"/>
        <w:numPr>
          <w:ilvl w:val="0"/>
          <w:numId w:val="0"/>
        </w:numPr>
        <w:bidi w:val="0"/>
        <w:ind w:left="482" w:leftChars="0"/>
      </w:pPr>
      <w:bookmarkStart w:id="475" w:name="bookmark1065"/>
      <w:bookmarkStart w:id="476" w:name="_Toc9863"/>
      <w:bookmarkStart w:id="477" w:name="_Toc14710314"/>
      <w:bookmarkStart w:id="478" w:name="bookmark1066"/>
      <w:bookmarkStart w:id="479" w:name="bookmark1064"/>
      <w:r>
        <w:t>6.1承包人提供的施工设备和临时设施</w:t>
      </w:r>
      <w:bookmarkEnd w:id="475"/>
      <w:bookmarkEnd w:id="476"/>
      <w:bookmarkEnd w:id="477"/>
      <w:bookmarkEnd w:id="478"/>
      <w:bookmarkEnd w:id="479"/>
    </w:p>
    <w:p w14:paraId="00315C05">
      <w:pPr>
        <w:pStyle w:val="11"/>
      </w:pPr>
      <w: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11"/>
      </w:pPr>
      <w:r>
        <w:t>6.1.2除专用合同条款另有约定外，承包人应自行承担修建临时设施的费用，需要临时占地的，应由发包人办理申请手续并承担相应费用。</w:t>
      </w:r>
    </w:p>
    <w:p w14:paraId="735C26E7">
      <w:pPr>
        <w:pStyle w:val="2"/>
        <w:numPr>
          <w:ilvl w:val="0"/>
          <w:numId w:val="0"/>
        </w:numPr>
        <w:bidi w:val="0"/>
        <w:ind w:left="482" w:leftChars="0"/>
      </w:pPr>
      <w:bookmarkStart w:id="480" w:name="_Toc31030"/>
      <w:bookmarkStart w:id="481" w:name="_Toc14710315"/>
      <w:bookmarkStart w:id="482" w:name="bookmark1068"/>
      <w:bookmarkStart w:id="483" w:name="bookmark1067"/>
      <w:bookmarkStart w:id="484" w:name="bookmark1069"/>
      <w:r>
        <w:t>6.2发包人提供的施工设备和临时设施</w:t>
      </w:r>
      <w:bookmarkEnd w:id="480"/>
      <w:bookmarkEnd w:id="481"/>
      <w:bookmarkEnd w:id="482"/>
      <w:bookmarkEnd w:id="483"/>
      <w:bookmarkEnd w:id="484"/>
    </w:p>
    <w:p w14:paraId="2BA458A9">
      <w:pPr>
        <w:pStyle w:val="11"/>
      </w:pPr>
      <w:r>
        <w:t>发包人提供的施工设备或临时设施在专用合同条款中约定。</w:t>
      </w:r>
    </w:p>
    <w:p w14:paraId="6EFA9811">
      <w:pPr>
        <w:pStyle w:val="2"/>
        <w:numPr>
          <w:ilvl w:val="0"/>
          <w:numId w:val="0"/>
        </w:numPr>
        <w:bidi w:val="0"/>
        <w:ind w:left="482" w:leftChars="0"/>
      </w:pPr>
      <w:bookmarkStart w:id="485" w:name="bookmark1070"/>
      <w:bookmarkStart w:id="486" w:name="_Toc14710316"/>
      <w:bookmarkStart w:id="487" w:name="_Toc30722"/>
      <w:bookmarkStart w:id="488" w:name="bookmark1071"/>
      <w:bookmarkStart w:id="489" w:name="bookmark1072"/>
      <w:r>
        <w:t>6.3要求承包人增加或更换施工设备</w:t>
      </w:r>
      <w:bookmarkEnd w:id="485"/>
      <w:bookmarkEnd w:id="486"/>
      <w:bookmarkEnd w:id="487"/>
      <w:bookmarkEnd w:id="488"/>
      <w:bookmarkEnd w:id="489"/>
    </w:p>
    <w:p w14:paraId="569724C8">
      <w:pPr>
        <w:pStyle w:val="11"/>
      </w:pPr>
      <w:r>
        <w:t>承包人使用的施工设备不能满足合同进度计划和（或）质量要求时，监理人有权要求承包人增加或更换施工设备，承包人应及时增加或更换，由此增加的费用和（或）工期延误由承包人承担。</w:t>
      </w:r>
    </w:p>
    <w:p w14:paraId="17948E95">
      <w:pPr>
        <w:pStyle w:val="2"/>
        <w:numPr>
          <w:ilvl w:val="0"/>
          <w:numId w:val="0"/>
        </w:numPr>
        <w:bidi w:val="0"/>
        <w:ind w:left="482" w:leftChars="0"/>
      </w:pPr>
      <w:bookmarkStart w:id="490" w:name="bookmark1074"/>
      <w:bookmarkStart w:id="491" w:name="_Toc14710317"/>
      <w:bookmarkStart w:id="492" w:name="bookmark1075"/>
      <w:bookmarkStart w:id="493" w:name="_Toc21826"/>
      <w:bookmarkStart w:id="494" w:name="bookmark1073"/>
      <w:r>
        <w:t>6.4施工设备和临时设施专用于合同工程</w:t>
      </w:r>
      <w:bookmarkEnd w:id="490"/>
      <w:bookmarkEnd w:id="491"/>
      <w:bookmarkEnd w:id="492"/>
      <w:bookmarkEnd w:id="493"/>
      <w:bookmarkEnd w:id="494"/>
    </w:p>
    <w:p w14:paraId="49FCDECA">
      <w:pPr>
        <w:pStyle w:val="11"/>
      </w:pPr>
      <w:bookmarkStart w:id="495" w:name="bookmark1076"/>
      <w:bookmarkEnd w:id="495"/>
      <w: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11"/>
      </w:pPr>
      <w:bookmarkStart w:id="496" w:name="bookmark1077"/>
      <w:bookmarkEnd w:id="496"/>
      <w:r>
        <w:t>6.4.2经监理人同意，承包人可根据合同进度计划撤走闲置的施工设备。</w:t>
      </w:r>
    </w:p>
    <w:p w14:paraId="58FEF656">
      <w:pPr>
        <w:pStyle w:val="2"/>
        <w:numPr>
          <w:ilvl w:val="0"/>
          <w:numId w:val="0"/>
        </w:numPr>
        <w:bidi w:val="0"/>
        <w:ind w:left="482" w:leftChars="0"/>
      </w:pPr>
      <w:bookmarkStart w:id="497" w:name="bookmark1080"/>
      <w:bookmarkEnd w:id="497"/>
      <w:bookmarkStart w:id="498" w:name="bookmark1079"/>
      <w:bookmarkStart w:id="499" w:name="_Toc13833"/>
      <w:bookmarkStart w:id="500" w:name="_Toc14710318"/>
      <w:bookmarkStart w:id="501" w:name="bookmark1081"/>
      <w:bookmarkStart w:id="502" w:name="bookmark1078"/>
      <w:r>
        <w:t>7.交通运输</w:t>
      </w:r>
      <w:bookmarkEnd w:id="498"/>
      <w:bookmarkEnd w:id="499"/>
      <w:bookmarkEnd w:id="500"/>
      <w:bookmarkEnd w:id="501"/>
      <w:bookmarkEnd w:id="502"/>
    </w:p>
    <w:p w14:paraId="1B588F8D">
      <w:pPr>
        <w:pStyle w:val="2"/>
        <w:numPr>
          <w:ilvl w:val="0"/>
          <w:numId w:val="0"/>
        </w:numPr>
        <w:bidi w:val="0"/>
        <w:ind w:left="482" w:leftChars="0"/>
      </w:pPr>
      <w:bookmarkStart w:id="503" w:name="_Toc14710319"/>
      <w:bookmarkStart w:id="504" w:name="bookmark1084"/>
      <w:bookmarkStart w:id="505" w:name="bookmark1082"/>
      <w:bookmarkStart w:id="506" w:name="_Toc22987"/>
      <w:bookmarkStart w:id="507" w:name="bookmark1083"/>
      <w:r>
        <w:t>7.1道路通行权和场外设施</w:t>
      </w:r>
      <w:bookmarkEnd w:id="503"/>
      <w:bookmarkEnd w:id="504"/>
      <w:bookmarkEnd w:id="505"/>
      <w:bookmarkEnd w:id="506"/>
      <w:bookmarkEnd w:id="507"/>
    </w:p>
    <w:p w14:paraId="3721D1B4">
      <w:pPr>
        <w:pStyle w:val="11"/>
      </w:pPr>
      <w: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2"/>
        <w:numPr>
          <w:ilvl w:val="0"/>
          <w:numId w:val="0"/>
        </w:numPr>
        <w:bidi w:val="0"/>
        <w:ind w:left="482" w:leftChars="0"/>
      </w:pPr>
      <w:bookmarkStart w:id="508" w:name="bookmark1087"/>
      <w:bookmarkStart w:id="509" w:name="_Toc14710320"/>
      <w:bookmarkStart w:id="510" w:name="bookmark1086"/>
      <w:bookmarkStart w:id="511" w:name="_Toc19760"/>
      <w:bookmarkStart w:id="512" w:name="bookmark1085"/>
      <w:r>
        <w:t>7.2场内施工道路</w:t>
      </w:r>
      <w:bookmarkEnd w:id="508"/>
      <w:bookmarkEnd w:id="509"/>
      <w:bookmarkEnd w:id="510"/>
      <w:bookmarkEnd w:id="511"/>
      <w:bookmarkEnd w:id="512"/>
    </w:p>
    <w:p w14:paraId="1F9AAC09">
      <w:pPr>
        <w:pStyle w:val="11"/>
      </w:pPr>
      <w: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11"/>
      </w:pPr>
      <w:r>
        <w:t>7.2.2承包人修建的临时道路和交通设施，应免费提供发包人、监理人，以及与本合 同有关的其他承包人使用。</w:t>
      </w:r>
    </w:p>
    <w:p w14:paraId="1D46B69A">
      <w:pPr>
        <w:pStyle w:val="2"/>
        <w:numPr>
          <w:ilvl w:val="0"/>
          <w:numId w:val="0"/>
        </w:numPr>
        <w:bidi w:val="0"/>
        <w:ind w:left="482" w:leftChars="0"/>
      </w:pPr>
      <w:bookmarkStart w:id="513" w:name="bookmark1088"/>
      <w:bookmarkStart w:id="514" w:name="bookmark1090"/>
      <w:bookmarkStart w:id="515" w:name="bookmark1089"/>
      <w:bookmarkStart w:id="516" w:name="_Toc1077"/>
      <w:bookmarkStart w:id="517" w:name="_Toc14710321"/>
      <w:r>
        <w:t>7.3场外交通</w:t>
      </w:r>
      <w:bookmarkEnd w:id="513"/>
      <w:bookmarkEnd w:id="514"/>
      <w:bookmarkEnd w:id="515"/>
      <w:bookmarkEnd w:id="516"/>
      <w:bookmarkEnd w:id="517"/>
    </w:p>
    <w:p w14:paraId="46A9AAF3">
      <w:pPr>
        <w:pStyle w:val="11"/>
      </w:pPr>
      <w:r>
        <w:t>7.3.1承包人车辆外出行驶所需的场外公共道路的通行费、养路费和税款等由承包人承担。</w:t>
      </w:r>
    </w:p>
    <w:p w14:paraId="2F383358">
      <w:pPr>
        <w:pStyle w:val="11"/>
      </w:pPr>
      <w:r>
        <w:t>7.3.2承包人应遵守有关交通法规，严格按照道路和桥梁的限制荷重安全行驶，并服从交通管理部门的检查和监督。</w:t>
      </w:r>
    </w:p>
    <w:p w14:paraId="29A99252">
      <w:pPr>
        <w:pStyle w:val="2"/>
        <w:numPr>
          <w:ilvl w:val="0"/>
          <w:numId w:val="0"/>
        </w:numPr>
        <w:bidi w:val="0"/>
        <w:ind w:left="482" w:leftChars="0"/>
      </w:pPr>
      <w:bookmarkStart w:id="518" w:name="bookmark1092"/>
      <w:bookmarkStart w:id="519" w:name="_Toc14710322"/>
      <w:bookmarkStart w:id="520" w:name="bookmark1091"/>
      <w:bookmarkStart w:id="521" w:name="bookmark1093"/>
      <w:bookmarkStart w:id="522" w:name="_Toc25595"/>
      <w:r>
        <w:t>7.4超大件和超重件的运输</w:t>
      </w:r>
      <w:bookmarkEnd w:id="518"/>
      <w:bookmarkEnd w:id="519"/>
      <w:bookmarkEnd w:id="520"/>
      <w:bookmarkEnd w:id="521"/>
      <w:bookmarkEnd w:id="522"/>
    </w:p>
    <w:p w14:paraId="234A1C68">
      <w:pPr>
        <w:pStyle w:val="11"/>
      </w:pPr>
      <w: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2"/>
        <w:numPr>
          <w:ilvl w:val="0"/>
          <w:numId w:val="0"/>
        </w:numPr>
        <w:bidi w:val="0"/>
        <w:ind w:left="482" w:leftChars="0"/>
      </w:pPr>
      <w:bookmarkStart w:id="523" w:name="bookmark1095"/>
      <w:bookmarkStart w:id="524" w:name="bookmark1094"/>
      <w:bookmarkStart w:id="525" w:name="_Toc14710323"/>
      <w:bookmarkStart w:id="526" w:name="bookmark1096"/>
      <w:bookmarkStart w:id="527" w:name="_Toc19673"/>
      <w:r>
        <w:t>7.5道路和桥梁的损坏责任</w:t>
      </w:r>
      <w:bookmarkEnd w:id="523"/>
      <w:bookmarkEnd w:id="524"/>
      <w:bookmarkEnd w:id="525"/>
      <w:bookmarkEnd w:id="526"/>
      <w:bookmarkEnd w:id="527"/>
    </w:p>
    <w:p w14:paraId="0437666B">
      <w:pPr>
        <w:pStyle w:val="11"/>
      </w:pPr>
      <w:r>
        <w:t>因承包人运输造成施工场地内外公共道路和桥梁损坏的，由承包人承担修复损坏的全部费用和可能引起的赔偿。</w:t>
      </w:r>
    </w:p>
    <w:p w14:paraId="3244E984">
      <w:pPr>
        <w:pStyle w:val="2"/>
        <w:numPr>
          <w:ilvl w:val="0"/>
          <w:numId w:val="0"/>
        </w:numPr>
        <w:bidi w:val="0"/>
        <w:ind w:left="482" w:leftChars="0"/>
      </w:pPr>
      <w:bookmarkStart w:id="528" w:name="bookmark1097"/>
      <w:bookmarkStart w:id="529" w:name="_Toc30116"/>
      <w:bookmarkStart w:id="530" w:name="bookmark1099"/>
      <w:bookmarkStart w:id="531" w:name="_Toc14710324"/>
      <w:bookmarkStart w:id="532" w:name="bookmark1098"/>
      <w:r>
        <w:t>7.6水路和航空运输</w:t>
      </w:r>
      <w:bookmarkEnd w:id="528"/>
      <w:bookmarkEnd w:id="529"/>
      <w:bookmarkEnd w:id="530"/>
      <w:bookmarkEnd w:id="531"/>
      <w:bookmarkEnd w:id="532"/>
    </w:p>
    <w:p w14:paraId="14D43EB7">
      <w:pPr>
        <w:pStyle w:val="11"/>
      </w:pPr>
      <w: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2"/>
        <w:numPr>
          <w:ilvl w:val="0"/>
          <w:numId w:val="0"/>
        </w:numPr>
        <w:bidi w:val="0"/>
        <w:ind w:left="482" w:leftChars="0"/>
      </w:pPr>
      <w:bookmarkStart w:id="533" w:name="bookmark1102"/>
      <w:bookmarkEnd w:id="533"/>
      <w:bookmarkStart w:id="534" w:name="bookmark1103"/>
      <w:bookmarkStart w:id="535" w:name="bookmark1101"/>
      <w:bookmarkStart w:id="536" w:name="_Toc7491"/>
      <w:bookmarkStart w:id="537" w:name="_Toc14710325"/>
      <w:bookmarkStart w:id="538" w:name="bookmark1100"/>
      <w:r>
        <w:t>8.测量放线</w:t>
      </w:r>
      <w:bookmarkEnd w:id="534"/>
      <w:bookmarkEnd w:id="535"/>
      <w:bookmarkEnd w:id="536"/>
      <w:bookmarkEnd w:id="537"/>
      <w:bookmarkEnd w:id="538"/>
    </w:p>
    <w:p w14:paraId="0091E85F">
      <w:pPr>
        <w:pStyle w:val="2"/>
        <w:numPr>
          <w:ilvl w:val="0"/>
          <w:numId w:val="0"/>
        </w:numPr>
        <w:bidi w:val="0"/>
        <w:ind w:left="482" w:leftChars="0"/>
      </w:pPr>
      <w:bookmarkStart w:id="539" w:name="_Toc14710326"/>
      <w:bookmarkStart w:id="540" w:name="bookmark1104"/>
      <w:bookmarkStart w:id="541" w:name="bookmark1106"/>
      <w:bookmarkStart w:id="542" w:name="_Toc7125"/>
      <w:bookmarkStart w:id="543" w:name="bookmark1105"/>
      <w:r>
        <w:t>8.1施工控制网</w:t>
      </w:r>
      <w:bookmarkEnd w:id="539"/>
      <w:bookmarkEnd w:id="540"/>
      <w:bookmarkEnd w:id="541"/>
      <w:bookmarkEnd w:id="542"/>
      <w:bookmarkEnd w:id="543"/>
    </w:p>
    <w:p w14:paraId="67AE68D0">
      <w:pPr>
        <w:pStyle w:val="11"/>
      </w:pPr>
      <w: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11"/>
      </w:pPr>
      <w:r>
        <w:t>8.1.2承包人应负责管理施工控制网点。施工控制网点丢失或损坏的，承包人应及时修复。承包人应承担施工控制网点的管理与修复费用，并在工程竣工后将施工控制网点移交发包人。</w:t>
      </w:r>
    </w:p>
    <w:p w14:paraId="39FF6458">
      <w:pPr>
        <w:pStyle w:val="2"/>
        <w:numPr>
          <w:ilvl w:val="0"/>
          <w:numId w:val="0"/>
        </w:numPr>
        <w:bidi w:val="0"/>
        <w:ind w:left="482" w:leftChars="0"/>
      </w:pPr>
      <w:bookmarkStart w:id="544" w:name="bookmark1108"/>
      <w:bookmarkStart w:id="545" w:name="_Toc14710327"/>
      <w:bookmarkStart w:id="546" w:name="bookmark1109"/>
      <w:bookmarkStart w:id="547" w:name="bookmark1107"/>
      <w:bookmarkStart w:id="548" w:name="_Toc28033"/>
      <w:r>
        <w:t>8.2施工测量</w:t>
      </w:r>
      <w:bookmarkEnd w:id="544"/>
      <w:bookmarkEnd w:id="545"/>
      <w:bookmarkEnd w:id="546"/>
      <w:bookmarkEnd w:id="547"/>
      <w:bookmarkEnd w:id="548"/>
    </w:p>
    <w:p w14:paraId="57F97606">
      <w:pPr>
        <w:pStyle w:val="11"/>
      </w:pPr>
      <w:r>
        <w:t>8.2.1承包人应负责施工过程中的全部施工测量放线工作，并配置合格的人员、仪 器、设备和其他物品。</w:t>
      </w:r>
    </w:p>
    <w:p w14:paraId="51041E5C">
      <w:pPr>
        <w:pStyle w:val="11"/>
      </w:pPr>
      <w:r>
        <w:t>8.2.2监理人可以指示承包人进行抽样复测，当复测中发现错误或出现超过合同约定的误差时，承包人应按监理人指示进行修正或补测，并承担相应的复测费用。</w:t>
      </w:r>
    </w:p>
    <w:p w14:paraId="049FE73E">
      <w:pPr>
        <w:pStyle w:val="2"/>
        <w:numPr>
          <w:ilvl w:val="0"/>
          <w:numId w:val="0"/>
        </w:numPr>
        <w:bidi w:val="0"/>
        <w:ind w:left="482" w:leftChars="0"/>
      </w:pPr>
      <w:bookmarkStart w:id="549" w:name="bookmark1112"/>
      <w:bookmarkStart w:id="550" w:name="_Toc14710328"/>
      <w:bookmarkStart w:id="551" w:name="bookmark1110"/>
      <w:bookmarkStart w:id="552" w:name="_Toc18249"/>
      <w:bookmarkStart w:id="553" w:name="bookmark1111"/>
      <w:r>
        <w:t>8.3基准资料错误的责任</w:t>
      </w:r>
      <w:bookmarkEnd w:id="549"/>
      <w:bookmarkEnd w:id="550"/>
      <w:bookmarkEnd w:id="551"/>
      <w:bookmarkEnd w:id="552"/>
      <w:bookmarkEnd w:id="553"/>
    </w:p>
    <w:p w14:paraId="01BE2AC9">
      <w:pPr>
        <w:pStyle w:val="11"/>
      </w:pPr>
      <w: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2"/>
        <w:numPr>
          <w:ilvl w:val="0"/>
          <w:numId w:val="0"/>
        </w:numPr>
        <w:bidi w:val="0"/>
        <w:ind w:left="482" w:leftChars="0"/>
      </w:pPr>
      <w:bookmarkStart w:id="554" w:name="bookmark1114"/>
      <w:bookmarkStart w:id="555" w:name="_Toc14710329"/>
      <w:bookmarkStart w:id="556" w:name="bookmark1115"/>
      <w:bookmarkStart w:id="557" w:name="bookmark1113"/>
      <w:bookmarkStart w:id="558" w:name="_Toc26810"/>
      <w:r>
        <w:t>8.4监理人使用施工控制网</w:t>
      </w:r>
      <w:bookmarkEnd w:id="554"/>
      <w:bookmarkEnd w:id="555"/>
      <w:bookmarkEnd w:id="556"/>
      <w:bookmarkEnd w:id="557"/>
      <w:bookmarkEnd w:id="558"/>
    </w:p>
    <w:p w14:paraId="43F1C44E">
      <w:pPr>
        <w:pStyle w:val="11"/>
      </w:pPr>
      <w:r>
        <w:t>监理人需要使用施工控制网的，承包人应提供必要的协助，发包人不再为此支付费用。</w:t>
      </w:r>
    </w:p>
    <w:p w14:paraId="2773CA17">
      <w:pPr>
        <w:pStyle w:val="2"/>
        <w:numPr>
          <w:ilvl w:val="0"/>
          <w:numId w:val="0"/>
        </w:numPr>
        <w:bidi w:val="0"/>
        <w:ind w:left="482" w:leftChars="0"/>
      </w:pPr>
      <w:bookmarkStart w:id="559" w:name="bookmark1116"/>
      <w:bookmarkStart w:id="560" w:name="bookmark1117"/>
      <w:bookmarkStart w:id="561" w:name="bookmark1118"/>
      <w:bookmarkStart w:id="562" w:name="_Toc26237"/>
      <w:bookmarkStart w:id="563" w:name="_Toc14710330"/>
      <w:r>
        <w:t>8.5补充地质勘探</w:t>
      </w:r>
      <w:bookmarkEnd w:id="559"/>
      <w:bookmarkEnd w:id="560"/>
      <w:bookmarkEnd w:id="561"/>
      <w:bookmarkEnd w:id="562"/>
      <w:bookmarkEnd w:id="563"/>
    </w:p>
    <w:p w14:paraId="2D2D4387">
      <w:pPr>
        <w:pStyle w:val="11"/>
      </w:pPr>
      <w: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2"/>
        <w:numPr>
          <w:ilvl w:val="0"/>
          <w:numId w:val="0"/>
        </w:numPr>
        <w:bidi w:val="0"/>
        <w:ind w:left="482" w:leftChars="0"/>
      </w:pPr>
      <w:bookmarkStart w:id="564" w:name="bookmark1121"/>
      <w:bookmarkEnd w:id="564"/>
      <w:bookmarkStart w:id="565" w:name="_Toc15267"/>
      <w:bookmarkStart w:id="566" w:name="bookmark1119"/>
      <w:bookmarkStart w:id="567" w:name="bookmark1120"/>
      <w:bookmarkStart w:id="568" w:name="_Toc14710331"/>
      <w:bookmarkStart w:id="569" w:name="bookmark1122"/>
      <w:r>
        <w:t>9.施工安全、治安保卫和环境保护</w:t>
      </w:r>
      <w:bookmarkEnd w:id="565"/>
      <w:bookmarkEnd w:id="566"/>
      <w:bookmarkEnd w:id="567"/>
      <w:bookmarkEnd w:id="568"/>
      <w:bookmarkEnd w:id="569"/>
    </w:p>
    <w:p w14:paraId="07B039DE">
      <w:pPr>
        <w:pStyle w:val="2"/>
        <w:numPr>
          <w:ilvl w:val="0"/>
          <w:numId w:val="0"/>
        </w:numPr>
        <w:bidi w:val="0"/>
        <w:ind w:left="482" w:leftChars="0"/>
      </w:pPr>
      <w:bookmarkStart w:id="570" w:name="bookmark1123"/>
      <w:bookmarkStart w:id="571" w:name="bookmark1124"/>
      <w:bookmarkStart w:id="572" w:name="_Toc14710332"/>
      <w:bookmarkStart w:id="573" w:name="_Toc13008"/>
      <w:bookmarkStart w:id="574" w:name="bookmark1125"/>
      <w:r>
        <w:t>9.1发包人的施工安全责任</w:t>
      </w:r>
      <w:bookmarkEnd w:id="570"/>
      <w:bookmarkEnd w:id="571"/>
      <w:bookmarkEnd w:id="572"/>
      <w:bookmarkEnd w:id="573"/>
      <w:bookmarkEnd w:id="574"/>
    </w:p>
    <w:p w14:paraId="489FACAC">
      <w:pPr>
        <w:pStyle w:val="11"/>
      </w:pPr>
      <w: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11"/>
      </w:pPr>
      <w:r>
        <w:t>9.1.2发包人应对其现场机构雇佣的全部人员的工伤事故承担责任，但由于承包人原因造成发包人人员工伤的，应由承包人承担责任。</w:t>
      </w:r>
    </w:p>
    <w:p w14:paraId="0EDA6923">
      <w:pPr>
        <w:pStyle w:val="11"/>
      </w:pPr>
      <w:r>
        <w:t>9. 1. 3发包人应负责赔偿以下各种情况造成的第三者人身伤亡和财产损失：</w:t>
      </w:r>
    </w:p>
    <w:p w14:paraId="4C5E48ED">
      <w:pPr>
        <w:pStyle w:val="11"/>
      </w:pPr>
      <w:bookmarkStart w:id="575" w:name="bookmark1126"/>
      <w:bookmarkEnd w:id="575"/>
      <w:r>
        <w:rPr>
          <w:b w:val="0"/>
          <w:i w:val="0"/>
          <w:strike w:val="0"/>
          <w:color w:val="000000"/>
          <w:u w:val="none"/>
        </w:rPr>
        <w:t>(1)</w:t>
      </w:r>
      <w:r>
        <w:t>工程或工程的任何部分对土地的占用所造成的第三者财产损失；</w:t>
      </w:r>
    </w:p>
    <w:p w14:paraId="667C18FC">
      <w:pPr>
        <w:pStyle w:val="11"/>
      </w:pPr>
      <w:bookmarkStart w:id="576" w:name="bookmark1127"/>
      <w:bookmarkEnd w:id="576"/>
      <w:r>
        <w:rPr>
          <w:b w:val="0"/>
          <w:i w:val="0"/>
          <w:strike w:val="0"/>
          <w:color w:val="000000"/>
          <w:u w:val="none"/>
        </w:rPr>
        <w:t>(2)</w:t>
      </w:r>
      <w:r>
        <w:t>由于发包人原因在施工场地及其毗邻地带造成的第三者人身伤亡和财产损失。</w:t>
      </w:r>
    </w:p>
    <w:p w14:paraId="09CE112A">
      <w:pPr>
        <w:pStyle w:val="11"/>
      </w:pPr>
      <w: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11"/>
      </w:pPr>
      <w:r>
        <w:t>9.1.5发包人按照已标价工程量清单所列金额和合同约定的计量支付规定，支付安全作业环境及安全施工措施所需费用。</w:t>
      </w:r>
    </w:p>
    <w:p w14:paraId="1D8BCCA8">
      <w:pPr>
        <w:pStyle w:val="11"/>
      </w:pPr>
      <w:r>
        <w:t>9.1.6发包人负责组织工程参建单位编制保证安全生产的措施方案。工程开工前，就 落实安全生产的措施进行全面系统的布置，进一步明确承包人的安全生产责任。</w:t>
      </w:r>
    </w:p>
    <w:p w14:paraId="69D9DD72">
      <w:pPr>
        <w:pStyle w:val="11"/>
      </w:pPr>
      <w:r>
        <w:t>9. 1. 7发包人负责在拆除工程和爆破工程施工14天前向有关部门或机构报送相关备案资料。</w:t>
      </w:r>
    </w:p>
    <w:p w14:paraId="268FBB94">
      <w:pPr>
        <w:pStyle w:val="2"/>
        <w:numPr>
          <w:ilvl w:val="0"/>
          <w:numId w:val="0"/>
        </w:numPr>
        <w:bidi w:val="0"/>
        <w:ind w:left="482" w:leftChars="0"/>
      </w:pPr>
      <w:bookmarkStart w:id="577" w:name="bookmark1128"/>
      <w:bookmarkStart w:id="578" w:name="_Toc14710333"/>
      <w:bookmarkStart w:id="579" w:name="bookmark1129"/>
      <w:bookmarkStart w:id="580" w:name="_Toc920"/>
      <w:bookmarkStart w:id="581" w:name="bookmark1130"/>
      <w:r>
        <w:t>9.2承包人的施工安全责任</w:t>
      </w:r>
      <w:bookmarkEnd w:id="577"/>
      <w:bookmarkEnd w:id="578"/>
      <w:bookmarkEnd w:id="579"/>
      <w:bookmarkEnd w:id="580"/>
      <w:bookmarkEnd w:id="581"/>
    </w:p>
    <w:p w14:paraId="5BD863C8">
      <w:pPr>
        <w:pStyle w:val="11"/>
      </w:pPr>
      <w: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11"/>
      </w:pPr>
      <w:r>
        <w:t>9. 2.2承包人应加强施工作业安全管理，特别应加强易燃、易爆材料、火工器材、有毒与腐蚀性材料和其他危险品的管理，以及对爆破作业和地下工程施工等危险作业的管理。</w:t>
      </w:r>
    </w:p>
    <w:p w14:paraId="5F976FD5">
      <w:pPr>
        <w:pStyle w:val="11"/>
      </w:pPr>
      <w:r>
        <w:t>9.2.3承包人应严格按照国家安全标准制定施工安全操作规程，配备必要的安全生产 和劳动保护设施，加强对承包人人员的安全教育，并发放安全工作手册和劳动保护用具。</w:t>
      </w:r>
    </w:p>
    <w:p w14:paraId="48E3443E">
      <w:pPr>
        <w:pStyle w:val="11"/>
      </w:pPr>
      <w:r>
        <w:t>9.2.4承包人应按监理人的指示制定应对灾害的紧急预案，报送监理人审批。承包人还应按预案做好安全检查，配置必要的救助物资和器材，切实保护好有关人员的人身和财产安全。</w:t>
      </w:r>
    </w:p>
    <w:p w14:paraId="66826C12">
      <w:pPr>
        <w:pStyle w:val="11"/>
      </w:pPr>
      <w: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11"/>
      </w:pPr>
      <w:r>
        <w:t>9.2.6承包人应对其履行合同所雇佣的全部人员，包括分包人人员的工伤事故承担责任，但由于发包人原因造成承包人人员工伤事故的，应由发包人承担责任。</w:t>
      </w:r>
    </w:p>
    <w:p w14:paraId="08DFCE30">
      <w:pPr>
        <w:pStyle w:val="11"/>
      </w:pPr>
      <w:r>
        <w:t>9.2.7由于承包人原因在施工场地内及其毗邻地带造成的第三者人员伤亡和财产损失，由承包人负责赔偿。</w:t>
      </w:r>
    </w:p>
    <w:p w14:paraId="72E1F0ED">
      <w:pPr>
        <w:pStyle w:val="11"/>
      </w:pPr>
      <w:r>
        <w:t>9.2.8承包人已标价工程量清单应包含工程安全作业环境及安全施工措施所需费用。</w:t>
      </w:r>
    </w:p>
    <w:p w14:paraId="2FC86174">
      <w:pPr>
        <w:pStyle w:val="11"/>
      </w:pPr>
      <w: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11"/>
      </w:pPr>
      <w:r>
        <w:t>9.2.10承包人应设立安全生产管理机构，施工现场应有专职安全生产管理人员。</w:t>
      </w:r>
    </w:p>
    <w:p w14:paraId="384F6472">
      <w:pPr>
        <w:pStyle w:val="11"/>
      </w:pPr>
      <w:r>
        <w:t>9.2.11承包人应负责对特种作业人员进行专门的安全作业培训，并保证特种作业人员持证上岗。</w:t>
      </w:r>
    </w:p>
    <w:p w14:paraId="7A3AB818">
      <w:pPr>
        <w:pStyle w:val="11"/>
      </w:pPr>
      <w: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11"/>
      </w:pPr>
      <w:r>
        <w:t>9.2.13承包人在使用施工起重机构和整体提升脚手架、模板等自升式架设设施前, 应组织有关单位进行验收。</w:t>
      </w:r>
    </w:p>
    <w:p w14:paraId="0634049D">
      <w:pPr>
        <w:pStyle w:val="2"/>
        <w:numPr>
          <w:ilvl w:val="0"/>
          <w:numId w:val="0"/>
        </w:numPr>
        <w:bidi w:val="0"/>
        <w:ind w:left="482" w:leftChars="0"/>
      </w:pPr>
      <w:bookmarkStart w:id="582" w:name="bookmark1132"/>
      <w:bookmarkStart w:id="583" w:name="_Toc14710334"/>
      <w:bookmarkStart w:id="584" w:name="_Toc24520"/>
      <w:bookmarkStart w:id="585" w:name="bookmark1133"/>
      <w:bookmarkStart w:id="586" w:name="bookmark1131"/>
      <w:r>
        <w:t>9.3治安保卫</w:t>
      </w:r>
      <w:bookmarkEnd w:id="582"/>
      <w:bookmarkEnd w:id="583"/>
      <w:bookmarkEnd w:id="584"/>
      <w:bookmarkEnd w:id="585"/>
      <w:bookmarkEnd w:id="586"/>
    </w:p>
    <w:p w14:paraId="114F398B">
      <w:pPr>
        <w:pStyle w:val="11"/>
      </w:pPr>
      <w:r>
        <w:t>9.3.1除合同另有约定外，发包人应与当地公安部门协商，在现场建立治安管理机构或联防组织，统一管理施工场地的治安保卫事项，履行合同工程的治安保卫职责。</w:t>
      </w:r>
    </w:p>
    <w:p w14:paraId="233BFB79">
      <w:pPr>
        <w:pStyle w:val="11"/>
      </w:pPr>
      <w:r>
        <w:t>9.3.2发包人和承包人除应协助现场治安管理机构或联防组织维护施工场地的社会治安外，还应做好包括生活区在内的各自管辖区的治安保卫工作。</w:t>
      </w:r>
    </w:p>
    <w:p w14:paraId="6D4512FC">
      <w:pPr>
        <w:pStyle w:val="11"/>
      </w:pPr>
      <w: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2"/>
        <w:numPr>
          <w:ilvl w:val="0"/>
          <w:numId w:val="0"/>
        </w:numPr>
        <w:bidi w:val="0"/>
        <w:ind w:left="482" w:leftChars="0"/>
      </w:pPr>
      <w:bookmarkStart w:id="587" w:name="_Toc14710335"/>
      <w:bookmarkStart w:id="588" w:name="bookmark1134"/>
      <w:bookmarkStart w:id="589" w:name="_Toc19282"/>
      <w:bookmarkStart w:id="590" w:name="bookmark1136"/>
      <w:bookmarkStart w:id="591" w:name="bookmark1135"/>
      <w:r>
        <w:t>9.4环境保护</w:t>
      </w:r>
      <w:bookmarkEnd w:id="587"/>
      <w:bookmarkEnd w:id="588"/>
      <w:bookmarkEnd w:id="589"/>
      <w:bookmarkEnd w:id="590"/>
      <w:bookmarkEnd w:id="591"/>
    </w:p>
    <w:p w14:paraId="00A735C8">
      <w:pPr>
        <w:pStyle w:val="11"/>
      </w:pPr>
      <w:r>
        <w:t>9.4.1承包人在施工过程中，应遵守有关环境保护的法律，履行合同约定的环境保护义务，并对违反法律和合同约定义务所造成的环境破坏、人身伤害和财产损失负责。</w:t>
      </w:r>
    </w:p>
    <w:p w14:paraId="78B81907">
      <w:pPr>
        <w:pStyle w:val="11"/>
      </w:pPr>
      <w:r>
        <w:t>9.4.2承包人应按合同约定的环保工作内容，编制施工环保措施计划，报送监理人审批。</w:t>
      </w:r>
    </w:p>
    <w:p w14:paraId="771FC6B8">
      <w:pPr>
        <w:pStyle w:val="11"/>
      </w:pPr>
      <w: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11"/>
      </w:pPr>
      <w:r>
        <w:t>9.4.4承包人应按合同约定采取有效措施，对施工开挖的边坡及时进行支护，维护排 水设施，并进行水土保护，避免因施工造成的地质灾害。</w:t>
      </w:r>
    </w:p>
    <w:p w14:paraId="09FE0879">
      <w:pPr>
        <w:pStyle w:val="11"/>
      </w:pPr>
      <w:r>
        <w:t>9.4.5承包人应按国家饮用水管理标准定期对饮用水源进行监测，防止施工活动污染</w:t>
      </w:r>
    </w:p>
    <w:p w14:paraId="5B2DD301">
      <w:pPr>
        <w:pStyle w:val="11"/>
      </w:pPr>
      <w:r>
        <w:t>饮用水源。</w:t>
      </w:r>
    </w:p>
    <w:p w14:paraId="52EEFE48">
      <w:pPr>
        <w:pStyle w:val="11"/>
      </w:pPr>
      <w:r>
        <w:t>9.4.6承包人应按合同约定，加强对噪声、粉尘、废气、废水和废油的控制，努力降低噪声，控制粉尘和废气浓度，做好废水和废油的治理和排放。</w:t>
      </w:r>
    </w:p>
    <w:p w14:paraId="20042010">
      <w:pPr>
        <w:pStyle w:val="2"/>
        <w:numPr>
          <w:ilvl w:val="0"/>
          <w:numId w:val="0"/>
        </w:numPr>
        <w:bidi w:val="0"/>
        <w:ind w:left="482" w:leftChars="0"/>
      </w:pPr>
      <w:bookmarkStart w:id="592" w:name="bookmark1138"/>
      <w:bookmarkStart w:id="593" w:name="bookmark1139"/>
      <w:bookmarkStart w:id="594" w:name="_Toc14710336"/>
      <w:bookmarkStart w:id="595" w:name="bookmark1137"/>
      <w:bookmarkStart w:id="596" w:name="_Toc1363"/>
      <w:r>
        <w:t>9.5事故处理</w:t>
      </w:r>
      <w:bookmarkEnd w:id="592"/>
      <w:bookmarkEnd w:id="593"/>
      <w:bookmarkEnd w:id="594"/>
      <w:bookmarkEnd w:id="595"/>
      <w:bookmarkEnd w:id="596"/>
    </w:p>
    <w:p w14:paraId="285A55A0">
      <w:pPr>
        <w:pStyle w:val="11"/>
      </w:pPr>
      <w:r>
        <w:t>9.5.1发包人负责组织参建单位制定本工程的质量与安全事故应急预案，建立质量与安全事故应急处置指挥部。</w:t>
      </w:r>
    </w:p>
    <w:p w14:paraId="5DE87CAB">
      <w:pPr>
        <w:pStyle w:val="11"/>
      </w:pPr>
      <w:r>
        <w:t>9.5.2承包人应对施工现场易发生重大事故的部位、环节的进行监控，配备救援器材、设备，并定期组织演练。</w:t>
      </w:r>
    </w:p>
    <w:p w14:paraId="29960009">
      <w:pPr>
        <w:pStyle w:val="11"/>
      </w:pPr>
      <w:r>
        <w:t>9.5.3工程开工前，承包人应根据本工程特点制定施工现场施工质量与安全事故应急预案，并报发包人备案。</w:t>
      </w:r>
    </w:p>
    <w:p w14:paraId="74DC2D7B">
      <w:pPr>
        <w:pStyle w:val="11"/>
      </w:pPr>
      <w:r>
        <w:t>9.5.4施工过程中发生事故时，发包人、承包人应立即启动应急预案。</w:t>
      </w:r>
    </w:p>
    <w:p w14:paraId="1B5C8079">
      <w:pPr>
        <w:pStyle w:val="11"/>
      </w:pPr>
      <w:r>
        <w:t>9.5.5事故调查处理由发包人按相关规定履行手续，承包人应配合。</w:t>
      </w:r>
    </w:p>
    <w:p w14:paraId="4C5D3D20">
      <w:pPr>
        <w:pStyle w:val="2"/>
        <w:numPr>
          <w:ilvl w:val="0"/>
          <w:numId w:val="0"/>
        </w:numPr>
        <w:bidi w:val="0"/>
        <w:ind w:left="482" w:leftChars="0"/>
      </w:pPr>
      <w:bookmarkStart w:id="597" w:name="bookmark1140"/>
      <w:bookmarkStart w:id="598" w:name="_Toc10912"/>
      <w:bookmarkStart w:id="599" w:name="bookmark1142"/>
      <w:bookmarkStart w:id="600" w:name="_Toc14710337"/>
      <w:bookmarkStart w:id="601" w:name="bookmark1141"/>
      <w:r>
        <w:t>9.6水土保持</w:t>
      </w:r>
      <w:bookmarkEnd w:id="597"/>
      <w:bookmarkEnd w:id="598"/>
      <w:bookmarkEnd w:id="599"/>
      <w:bookmarkEnd w:id="600"/>
      <w:bookmarkEnd w:id="601"/>
    </w:p>
    <w:p w14:paraId="05C40AC5">
      <w:pPr>
        <w:pStyle w:val="11"/>
      </w:pPr>
      <w:r>
        <w:t>9.6.1发包人应及时向承包人提供水土保持方案。</w:t>
      </w:r>
    </w:p>
    <w:p w14:paraId="22E4AA95">
      <w:pPr>
        <w:pStyle w:val="11"/>
      </w:pPr>
      <w:r>
        <w:t>9.6.2承包人在施工过程中，应遵守有关水土保持的法律法规和规章，履行合同约定的水土保持义务，并对其违反法律和合同约定义务所造成的水土流失灾害、人身伤害和财 产损失负责。</w:t>
      </w:r>
    </w:p>
    <w:p w14:paraId="3F93447E">
      <w:pPr>
        <w:pStyle w:val="11"/>
      </w:pPr>
      <w:r>
        <w:t>9.6.3承包人的水土保持措施计划，应满足技术标准和要求（合同技术条款）约定的要求。</w:t>
      </w:r>
    </w:p>
    <w:p w14:paraId="55E33454">
      <w:pPr>
        <w:pStyle w:val="2"/>
        <w:numPr>
          <w:ilvl w:val="0"/>
          <w:numId w:val="0"/>
        </w:numPr>
        <w:bidi w:val="0"/>
        <w:ind w:left="482" w:leftChars="0"/>
      </w:pPr>
      <w:bookmarkStart w:id="602" w:name="_Toc14710338"/>
      <w:bookmarkStart w:id="603" w:name="bookmark1144"/>
      <w:bookmarkStart w:id="604" w:name="bookmark1145"/>
      <w:bookmarkStart w:id="605" w:name="_Toc9534"/>
      <w:bookmarkStart w:id="606" w:name="bookmark1143"/>
      <w:r>
        <w:t>9.7文明工地</w:t>
      </w:r>
      <w:bookmarkEnd w:id="602"/>
      <w:bookmarkEnd w:id="603"/>
      <w:bookmarkEnd w:id="604"/>
      <w:bookmarkEnd w:id="605"/>
      <w:bookmarkEnd w:id="606"/>
    </w:p>
    <w:p w14:paraId="17AE9936">
      <w:pPr>
        <w:pStyle w:val="11"/>
      </w:pPr>
      <w:r>
        <w:t>9.7.1发包人应按专用合同条款的约定，负责建立创建文明建设工地的组织机构，制定创建文明建设工地的规划和办法。</w:t>
      </w:r>
    </w:p>
    <w:p w14:paraId="4604DF7E">
      <w:pPr>
        <w:pStyle w:val="11"/>
      </w:pPr>
      <w:r>
        <w:t>9.7.2承包人应按创建文明建设工地的规划和办法，履行职责，承担相应责任。所需费用应含在已标价工程量清单中。</w:t>
      </w:r>
    </w:p>
    <w:p w14:paraId="33F714C7">
      <w:pPr>
        <w:pStyle w:val="2"/>
        <w:numPr>
          <w:ilvl w:val="0"/>
          <w:numId w:val="0"/>
        </w:numPr>
        <w:bidi w:val="0"/>
        <w:ind w:left="482" w:leftChars="0"/>
      </w:pPr>
      <w:bookmarkStart w:id="607" w:name="bookmark1148"/>
      <w:bookmarkStart w:id="608" w:name="bookmark1147"/>
      <w:bookmarkStart w:id="609" w:name="_Toc2182"/>
      <w:bookmarkStart w:id="610" w:name="_Toc14710339"/>
      <w:bookmarkStart w:id="611" w:name="bookmark1146"/>
      <w:r>
        <w:t>9.8防汛度汛</w:t>
      </w:r>
      <w:bookmarkEnd w:id="607"/>
      <w:bookmarkEnd w:id="608"/>
      <w:bookmarkEnd w:id="609"/>
      <w:bookmarkEnd w:id="610"/>
      <w:bookmarkEnd w:id="611"/>
    </w:p>
    <w:p w14:paraId="76668615">
      <w:pPr>
        <w:pStyle w:val="11"/>
      </w:pPr>
      <w:r>
        <w:t>9.8.1发包人负责组织工程参建单位编制本工程的度汛方案和措施。</w:t>
      </w:r>
    </w:p>
    <w:p w14:paraId="74118158">
      <w:pPr>
        <w:pStyle w:val="11"/>
      </w:pPr>
      <w:r>
        <w:t>9.8.2承包人应根据发包人编制的本工程度汛方案和措施，制定相应的度汛方案，报发包人批准后实施。</w:t>
      </w:r>
    </w:p>
    <w:p w14:paraId="1CBC41DB">
      <w:pPr>
        <w:pStyle w:val="2"/>
        <w:numPr>
          <w:ilvl w:val="0"/>
          <w:numId w:val="0"/>
        </w:numPr>
        <w:bidi w:val="0"/>
        <w:ind w:left="482" w:leftChars="0"/>
      </w:pPr>
      <w:bookmarkStart w:id="612" w:name="_Toc27960"/>
      <w:bookmarkStart w:id="613" w:name="bookmark1149"/>
      <w:bookmarkStart w:id="614" w:name="_Toc14710340"/>
      <w:bookmarkStart w:id="615" w:name="bookmark1150"/>
      <w:bookmarkStart w:id="616" w:name="bookmark1151"/>
      <w:r>
        <w:t>10.进度计划</w:t>
      </w:r>
      <w:bookmarkEnd w:id="612"/>
      <w:bookmarkEnd w:id="613"/>
      <w:bookmarkEnd w:id="614"/>
      <w:bookmarkEnd w:id="615"/>
      <w:bookmarkEnd w:id="616"/>
    </w:p>
    <w:p w14:paraId="7B643FB8">
      <w:pPr>
        <w:pStyle w:val="2"/>
        <w:numPr>
          <w:ilvl w:val="0"/>
          <w:numId w:val="0"/>
        </w:numPr>
        <w:bidi w:val="0"/>
        <w:ind w:left="482" w:leftChars="0"/>
      </w:pPr>
      <w:bookmarkStart w:id="617" w:name="bookmark1154"/>
      <w:bookmarkStart w:id="618" w:name="bookmark1153"/>
      <w:bookmarkStart w:id="619" w:name="bookmark1152"/>
      <w:bookmarkStart w:id="620" w:name="_Toc15277"/>
      <w:bookmarkStart w:id="621" w:name="_Toc14710341"/>
      <w:r>
        <w:t>10.1合同进度计划</w:t>
      </w:r>
      <w:bookmarkEnd w:id="617"/>
      <w:bookmarkEnd w:id="618"/>
      <w:bookmarkEnd w:id="619"/>
      <w:bookmarkEnd w:id="620"/>
      <w:bookmarkEnd w:id="621"/>
    </w:p>
    <w:p w14:paraId="35C9AB4C">
      <w:pPr>
        <w:pStyle w:val="11"/>
      </w:pPr>
      <w: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2"/>
        <w:numPr>
          <w:ilvl w:val="0"/>
          <w:numId w:val="0"/>
        </w:numPr>
        <w:bidi w:val="0"/>
        <w:ind w:left="482" w:leftChars="0"/>
      </w:pPr>
      <w:bookmarkStart w:id="622" w:name="bookmark1155"/>
      <w:bookmarkStart w:id="623" w:name="_Toc8733"/>
      <w:bookmarkStart w:id="624" w:name="bookmark1157"/>
      <w:bookmarkStart w:id="625" w:name="bookmark1156"/>
      <w:bookmarkStart w:id="626" w:name="_Toc14710342"/>
      <w:r>
        <w:t>10.2合同进度计划的修订</w:t>
      </w:r>
      <w:bookmarkEnd w:id="622"/>
      <w:bookmarkEnd w:id="623"/>
      <w:bookmarkEnd w:id="624"/>
      <w:bookmarkEnd w:id="625"/>
      <w:bookmarkEnd w:id="626"/>
    </w:p>
    <w:p w14:paraId="39EE0752">
      <w:pPr>
        <w:pStyle w:val="11"/>
      </w:pPr>
      <w: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11"/>
      </w:pPr>
      <w: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2"/>
        <w:numPr>
          <w:ilvl w:val="0"/>
          <w:numId w:val="0"/>
        </w:numPr>
        <w:bidi w:val="0"/>
        <w:ind w:left="482" w:leftChars="0"/>
      </w:pPr>
      <w:bookmarkStart w:id="627" w:name="bookmark1160"/>
      <w:bookmarkStart w:id="628" w:name="bookmark1158"/>
      <w:bookmarkStart w:id="629" w:name="_Toc25361"/>
      <w:bookmarkStart w:id="630" w:name="_Toc14710343"/>
      <w:bookmarkStart w:id="631" w:name="bookmark1159"/>
      <w:r>
        <w:t>10.3单位工程进度计划</w:t>
      </w:r>
      <w:bookmarkEnd w:id="627"/>
      <w:bookmarkEnd w:id="628"/>
      <w:bookmarkEnd w:id="629"/>
      <w:bookmarkEnd w:id="630"/>
      <w:bookmarkEnd w:id="631"/>
    </w:p>
    <w:p w14:paraId="0CEBA4E3">
      <w:pPr>
        <w:pStyle w:val="11"/>
      </w:pPr>
      <w:r>
        <w:t>监理人认为有必要时，承包人应按监理人指示的内容和期限，并根据合同进度计划的进度控制要求，编制单位工程进度计划，提交监理人审批。</w:t>
      </w:r>
    </w:p>
    <w:p w14:paraId="14BDA667">
      <w:pPr>
        <w:pStyle w:val="2"/>
        <w:numPr>
          <w:ilvl w:val="0"/>
          <w:numId w:val="0"/>
        </w:numPr>
        <w:bidi w:val="0"/>
        <w:ind w:left="482" w:leftChars="0"/>
      </w:pPr>
      <w:bookmarkStart w:id="632" w:name="bookmark1162"/>
      <w:bookmarkStart w:id="633" w:name="bookmark1163"/>
      <w:bookmarkStart w:id="634" w:name="_Toc14710344"/>
      <w:bookmarkStart w:id="635" w:name="bookmark1161"/>
      <w:bookmarkStart w:id="636" w:name="_Toc18009"/>
      <w:r>
        <w:t>10.4提交资金流估算表</w:t>
      </w:r>
      <w:bookmarkEnd w:id="632"/>
      <w:bookmarkEnd w:id="633"/>
      <w:bookmarkEnd w:id="634"/>
      <w:bookmarkEnd w:id="635"/>
      <w:bookmarkEnd w:id="636"/>
    </w:p>
    <w:p w14:paraId="62E196C7">
      <w:pPr>
        <w:pStyle w:val="11"/>
      </w:pPr>
      <w: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11"/>
      </w:pPr>
      <w:r>
        <w:t>资金流估算表（参考格式）</w:t>
      </w:r>
      <w:r>
        <w:tab/>
      </w:r>
      <w:r>
        <w:t>金额单位</w:t>
      </w:r>
    </w:p>
    <w:tbl>
      <w:tblPr>
        <w:tblStyle w:val="22"/>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38"/>
              <w:spacing w:line="440" w:lineRule="exact"/>
              <w:ind w:firstLine="0"/>
              <w:rPr>
                <w:sz w:val="21"/>
                <w:szCs w:val="21"/>
              </w:rPr>
            </w:pPr>
            <w:r>
              <w:rPr>
                <w:rFonts w:hint="eastAsia"/>
                <w:sz w:val="21"/>
                <w:szCs w:val="21"/>
              </w:rPr>
              <w:t>年</w:t>
            </w:r>
          </w:p>
        </w:tc>
        <w:tc>
          <w:tcPr>
            <w:tcW w:w="336" w:type="dxa"/>
            <w:tcBorders>
              <w:top w:val="single" w:color="auto" w:sz="4" w:space="0"/>
              <w:left w:val="single" w:color="auto" w:sz="4" w:space="0"/>
            </w:tcBorders>
            <w:shd w:val="clear" w:color="auto" w:fill="FFFFFF"/>
            <w:noWrap w:val="0"/>
            <w:vAlign w:val="center"/>
          </w:tcPr>
          <w:p w14:paraId="429E1D4B">
            <w:pPr>
              <w:pStyle w:val="38"/>
              <w:spacing w:line="440" w:lineRule="exact"/>
              <w:ind w:firstLine="0"/>
              <w:rPr>
                <w:sz w:val="21"/>
                <w:szCs w:val="21"/>
              </w:rPr>
            </w:pPr>
            <w:r>
              <w:rPr>
                <w:rFonts w:hint="eastAsia"/>
                <w:sz w:val="21"/>
                <w:szCs w:val="21"/>
              </w:rPr>
              <w:t>月</w:t>
            </w:r>
          </w:p>
        </w:tc>
        <w:tc>
          <w:tcPr>
            <w:tcW w:w="1022" w:type="dxa"/>
            <w:tcBorders>
              <w:top w:val="single" w:color="auto" w:sz="4" w:space="0"/>
              <w:left w:val="single" w:color="auto" w:sz="4" w:space="0"/>
            </w:tcBorders>
            <w:shd w:val="clear" w:color="auto" w:fill="FFFFFF"/>
            <w:noWrap w:val="0"/>
            <w:vAlign w:val="center"/>
          </w:tcPr>
          <w:p w14:paraId="4836DA78">
            <w:pPr>
              <w:pStyle w:val="38"/>
              <w:spacing w:line="440" w:lineRule="exact"/>
              <w:ind w:firstLine="0"/>
              <w:rPr>
                <w:sz w:val="21"/>
                <w:szCs w:val="21"/>
              </w:rPr>
            </w:pPr>
            <w:r>
              <w:rPr>
                <w:rFonts w:hint="eastAsia"/>
                <w:sz w:val="21"/>
                <w:szCs w:val="21"/>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38"/>
              <w:spacing w:line="440" w:lineRule="exact"/>
              <w:ind w:firstLine="0"/>
              <w:rPr>
                <w:sz w:val="21"/>
                <w:szCs w:val="21"/>
              </w:rPr>
            </w:pPr>
            <w:r>
              <w:rPr>
                <w:rFonts w:hint="eastAsia"/>
                <w:sz w:val="21"/>
                <w:szCs w:val="21"/>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38"/>
              <w:spacing w:line="440" w:lineRule="exact"/>
              <w:ind w:firstLine="0"/>
              <w:rPr>
                <w:sz w:val="21"/>
                <w:szCs w:val="21"/>
              </w:rPr>
            </w:pPr>
            <w:r>
              <w:rPr>
                <w:rFonts w:hint="eastAsia"/>
                <w:sz w:val="21"/>
                <w:szCs w:val="21"/>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38"/>
              <w:spacing w:line="440" w:lineRule="exact"/>
              <w:ind w:firstLine="0"/>
              <w:rPr>
                <w:sz w:val="21"/>
                <w:szCs w:val="21"/>
              </w:rPr>
            </w:pPr>
            <w:r>
              <w:rPr>
                <w:rFonts w:hint="eastAsia"/>
                <w:sz w:val="21"/>
                <w:szCs w:val="21"/>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38"/>
              <w:spacing w:line="440" w:lineRule="exact"/>
              <w:ind w:firstLine="0"/>
              <w:rPr>
                <w:sz w:val="21"/>
                <w:szCs w:val="21"/>
              </w:rPr>
            </w:pPr>
            <w:r>
              <w:rPr>
                <w:rFonts w:hint="eastAsia"/>
                <w:sz w:val="21"/>
                <w:szCs w:val="21"/>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38"/>
              <w:spacing w:line="440" w:lineRule="exact"/>
              <w:ind w:firstLine="0"/>
              <w:rPr>
                <w:sz w:val="21"/>
                <w:szCs w:val="21"/>
              </w:rPr>
            </w:pPr>
            <w:r>
              <w:rPr>
                <w:rFonts w:hint="eastAsia"/>
                <w:sz w:val="21"/>
                <w:szCs w:val="21"/>
              </w:rPr>
              <w:t>其他</w:t>
            </w:r>
          </w:p>
        </w:tc>
        <w:tc>
          <w:tcPr>
            <w:tcW w:w="682" w:type="dxa"/>
            <w:tcBorders>
              <w:top w:val="single" w:color="auto" w:sz="4" w:space="0"/>
              <w:left w:val="single" w:color="auto" w:sz="4" w:space="0"/>
            </w:tcBorders>
            <w:shd w:val="clear" w:color="auto" w:fill="FFFFFF"/>
            <w:noWrap w:val="0"/>
            <w:vAlign w:val="center"/>
          </w:tcPr>
          <w:p w14:paraId="327F71C0">
            <w:pPr>
              <w:pStyle w:val="38"/>
              <w:spacing w:line="440" w:lineRule="exact"/>
              <w:ind w:firstLine="0"/>
              <w:rPr>
                <w:sz w:val="21"/>
                <w:szCs w:val="21"/>
              </w:rPr>
            </w:pPr>
            <w:r>
              <w:rPr>
                <w:rFonts w:hint="eastAsia"/>
                <w:sz w:val="21"/>
                <w:szCs w:val="21"/>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38"/>
              <w:spacing w:line="440" w:lineRule="exact"/>
              <w:ind w:firstLine="0"/>
              <w:rPr>
                <w:sz w:val="21"/>
                <w:szCs w:val="21"/>
              </w:rPr>
            </w:pPr>
            <w:r>
              <w:rPr>
                <w:rFonts w:hint="eastAsia"/>
                <w:sz w:val="21"/>
                <w:szCs w:val="21"/>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ascii="宋体" w:hAnsi="宋体" w:cs="宋体"/>
                <w:szCs w:val="21"/>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ascii="宋体" w:hAnsi="宋体" w:cs="宋体"/>
                <w:szCs w:val="21"/>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ascii="宋体" w:hAnsi="宋体" w:cs="宋体"/>
                <w:szCs w:val="21"/>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ascii="宋体" w:hAnsi="宋体" w:cs="宋体"/>
                <w:szCs w:val="21"/>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ascii="宋体" w:hAnsi="宋体" w:cs="宋体"/>
                <w:szCs w:val="21"/>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ascii="宋体" w:hAnsi="宋体" w:cs="宋体"/>
                <w:szCs w:val="21"/>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ascii="宋体" w:hAnsi="宋体" w:cs="宋体"/>
                <w:szCs w:val="21"/>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ascii="宋体" w:hAnsi="宋体" w:cs="宋体"/>
                <w:szCs w:val="21"/>
              </w:rPr>
            </w:pPr>
          </w:p>
        </w:tc>
      </w:tr>
    </w:tbl>
    <w:p w14:paraId="440888B9">
      <w:pPr>
        <w:pStyle w:val="2"/>
        <w:numPr>
          <w:ilvl w:val="0"/>
          <w:numId w:val="0"/>
        </w:numPr>
        <w:bidi w:val="0"/>
        <w:ind w:left="482" w:leftChars="0"/>
      </w:pPr>
      <w:bookmarkStart w:id="637" w:name="bookmark1166"/>
      <w:bookmarkEnd w:id="637"/>
      <w:bookmarkStart w:id="638" w:name="_Toc24903"/>
      <w:bookmarkStart w:id="639" w:name="_Toc14710345"/>
      <w:bookmarkStart w:id="640" w:name="bookmark1165"/>
      <w:bookmarkStart w:id="641" w:name="bookmark1167"/>
      <w:bookmarkStart w:id="642" w:name="bookmark1164"/>
      <w:r>
        <w:t>11. 开工和竣工（完工）</w:t>
      </w:r>
      <w:bookmarkEnd w:id="638"/>
      <w:bookmarkEnd w:id="639"/>
      <w:bookmarkEnd w:id="640"/>
      <w:bookmarkEnd w:id="641"/>
      <w:bookmarkEnd w:id="642"/>
    </w:p>
    <w:p w14:paraId="6C4CAD1F">
      <w:pPr>
        <w:pStyle w:val="2"/>
        <w:numPr>
          <w:ilvl w:val="0"/>
          <w:numId w:val="0"/>
        </w:numPr>
        <w:bidi w:val="0"/>
        <w:ind w:left="482" w:leftChars="0"/>
      </w:pPr>
      <w:bookmarkStart w:id="643" w:name="_Toc23713"/>
      <w:bookmarkStart w:id="644" w:name="bookmark1169"/>
      <w:bookmarkStart w:id="645" w:name="bookmark1170"/>
      <w:bookmarkStart w:id="646" w:name="_Toc14710346"/>
      <w:bookmarkStart w:id="647" w:name="bookmark1168"/>
      <w:r>
        <w:t>11.1 开工</w:t>
      </w:r>
      <w:bookmarkEnd w:id="643"/>
      <w:bookmarkEnd w:id="644"/>
      <w:bookmarkEnd w:id="645"/>
      <w:bookmarkEnd w:id="646"/>
      <w:bookmarkEnd w:id="647"/>
    </w:p>
    <w:p w14:paraId="78B87EF0">
      <w:pPr>
        <w:pStyle w:val="11"/>
      </w:pPr>
      <w: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11"/>
      </w:pPr>
      <w: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11"/>
      </w:pPr>
      <w: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11"/>
      </w:pPr>
      <w: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2"/>
        <w:numPr>
          <w:ilvl w:val="0"/>
          <w:numId w:val="0"/>
        </w:numPr>
        <w:bidi w:val="0"/>
        <w:ind w:left="482" w:leftChars="0"/>
      </w:pPr>
      <w:bookmarkStart w:id="648" w:name="bookmark1171"/>
      <w:bookmarkStart w:id="649" w:name="bookmark1173"/>
      <w:bookmarkStart w:id="650" w:name="bookmark1172"/>
      <w:bookmarkStart w:id="651" w:name="_Toc29025"/>
      <w:bookmarkStart w:id="652" w:name="_Toc14710347"/>
      <w:r>
        <w:t>11.2竣工(完工)</w:t>
      </w:r>
      <w:bookmarkEnd w:id="648"/>
      <w:bookmarkEnd w:id="649"/>
      <w:bookmarkEnd w:id="650"/>
      <w:bookmarkEnd w:id="651"/>
      <w:bookmarkEnd w:id="652"/>
    </w:p>
    <w:p w14:paraId="51BC016A">
      <w:pPr>
        <w:pStyle w:val="11"/>
      </w:pPr>
      <w: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2"/>
        <w:numPr>
          <w:ilvl w:val="0"/>
          <w:numId w:val="0"/>
        </w:numPr>
        <w:bidi w:val="0"/>
        <w:ind w:left="482" w:leftChars="0"/>
      </w:pPr>
      <w:bookmarkStart w:id="653" w:name="_Toc7284"/>
      <w:bookmarkStart w:id="654" w:name="bookmark1176"/>
      <w:bookmarkStart w:id="655" w:name="_Toc14710348"/>
      <w:bookmarkStart w:id="656" w:name="bookmark1175"/>
      <w:bookmarkStart w:id="657" w:name="bookmark1174"/>
      <w:r>
        <w:t>11.3发包人的工期延误</w:t>
      </w:r>
      <w:bookmarkEnd w:id="653"/>
      <w:bookmarkEnd w:id="654"/>
      <w:bookmarkEnd w:id="655"/>
      <w:bookmarkEnd w:id="656"/>
      <w:bookmarkEnd w:id="657"/>
    </w:p>
    <w:p w14:paraId="22A43591">
      <w:pPr>
        <w:pStyle w:val="11"/>
      </w:pPr>
      <w:r>
        <w:t>在履行合同过程中，由于发包人的下列原因造成工期延误的，承包人有权要求发包人延长工期和(或)增加费用，并支付合理利润。需要修订合同进度计划的，按照第10. 2款的约定办理。</w:t>
      </w:r>
    </w:p>
    <w:p w14:paraId="0409C38C">
      <w:pPr>
        <w:pStyle w:val="11"/>
      </w:pPr>
      <w:r>
        <w:rPr>
          <w:b w:val="0"/>
          <w:i w:val="0"/>
          <w:strike w:val="0"/>
          <w:color w:val="000000"/>
          <w:u w:val="none"/>
        </w:rPr>
        <w:t>(1)</w:t>
      </w:r>
      <w:r>
        <w:t>增加合同工作内容；</w:t>
      </w:r>
    </w:p>
    <w:p w14:paraId="047FDD48">
      <w:pPr>
        <w:pStyle w:val="11"/>
      </w:pPr>
      <w:r>
        <w:rPr>
          <w:b w:val="0"/>
          <w:i w:val="0"/>
          <w:strike w:val="0"/>
          <w:color w:val="000000"/>
          <w:u w:val="none"/>
        </w:rPr>
        <w:t>(2)</w:t>
      </w:r>
      <w:r>
        <w:t>改变合同中任何一项工作的质量要求或其他特性；</w:t>
      </w:r>
    </w:p>
    <w:p w14:paraId="53CDA2E7">
      <w:pPr>
        <w:pStyle w:val="11"/>
      </w:pPr>
      <w:r>
        <w:rPr>
          <w:b w:val="0"/>
          <w:i w:val="0"/>
          <w:strike w:val="0"/>
          <w:color w:val="000000"/>
          <w:u w:val="none"/>
        </w:rPr>
        <w:t>(3)</w:t>
      </w:r>
      <w:r>
        <w:t>发包人迟延提供材料、工程设备或变更交货地点的；</w:t>
      </w:r>
    </w:p>
    <w:p w14:paraId="565B7567">
      <w:pPr>
        <w:pStyle w:val="11"/>
      </w:pPr>
      <w:r>
        <w:rPr>
          <w:b w:val="0"/>
          <w:i w:val="0"/>
          <w:strike w:val="0"/>
          <w:color w:val="000000"/>
          <w:u w:val="none"/>
        </w:rPr>
        <w:t>(4)</w:t>
      </w:r>
      <w:r>
        <w:t>因发包人原因导致的暂停施工；</w:t>
      </w:r>
    </w:p>
    <w:p w14:paraId="3DD26290">
      <w:pPr>
        <w:pStyle w:val="11"/>
      </w:pPr>
      <w:r>
        <w:rPr>
          <w:b w:val="0"/>
          <w:i w:val="0"/>
          <w:strike w:val="0"/>
          <w:color w:val="000000"/>
          <w:u w:val="none"/>
        </w:rPr>
        <w:t>(5)</w:t>
      </w:r>
      <w:r>
        <w:t>提供图纸延误；</w:t>
      </w:r>
    </w:p>
    <w:p w14:paraId="09C45C6A">
      <w:pPr>
        <w:pStyle w:val="11"/>
      </w:pPr>
      <w:r>
        <w:rPr>
          <w:b w:val="0"/>
          <w:i w:val="0"/>
          <w:strike w:val="0"/>
          <w:color w:val="000000"/>
          <w:u w:val="none"/>
        </w:rPr>
        <w:t>(6)</w:t>
      </w:r>
      <w:r>
        <w:t>未按合同约定及时支付预付款、进度款；</w:t>
      </w:r>
    </w:p>
    <w:p w14:paraId="0DA7ECE5">
      <w:pPr>
        <w:pStyle w:val="11"/>
      </w:pPr>
      <w:r>
        <w:rPr>
          <w:b w:val="0"/>
          <w:i w:val="0"/>
          <w:strike w:val="0"/>
          <w:color w:val="000000"/>
          <w:u w:val="none"/>
        </w:rPr>
        <w:t>(7)</w:t>
      </w:r>
      <w:r>
        <w:t>发包人造成工期延误的其他原因。</w:t>
      </w:r>
    </w:p>
    <w:p w14:paraId="4D606B58">
      <w:pPr>
        <w:pStyle w:val="2"/>
        <w:numPr>
          <w:ilvl w:val="0"/>
          <w:numId w:val="0"/>
        </w:numPr>
        <w:bidi w:val="0"/>
        <w:ind w:left="482" w:leftChars="0"/>
      </w:pPr>
      <w:bookmarkStart w:id="658" w:name="bookmark1186"/>
      <w:bookmarkStart w:id="659" w:name="_Toc10371"/>
      <w:bookmarkStart w:id="660" w:name="_Toc14710349"/>
      <w:bookmarkStart w:id="661" w:name="bookmark1185"/>
      <w:bookmarkStart w:id="662" w:name="bookmark1184"/>
      <w:r>
        <w:t>11.4异常恶劣的气候条件</w:t>
      </w:r>
      <w:bookmarkEnd w:id="658"/>
      <w:bookmarkEnd w:id="659"/>
      <w:bookmarkEnd w:id="660"/>
      <w:bookmarkEnd w:id="661"/>
      <w:bookmarkEnd w:id="662"/>
    </w:p>
    <w:p w14:paraId="04E8AAC7">
      <w:pPr>
        <w:pStyle w:val="11"/>
      </w:pPr>
      <w: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11"/>
      </w:pPr>
      <w:r>
        <w:t>11.4.2异常恶劣气候条件造成的工期延误和工程损坏，应由发包人与承包人参照本合同通用合同条款第21. 3款的约定共同协商处理。</w:t>
      </w:r>
    </w:p>
    <w:p w14:paraId="749DB8C6">
      <w:pPr>
        <w:pStyle w:val="11"/>
      </w:pPr>
      <w:r>
        <w:t>11.4.3本合同工程界定异常恶劣气候条件的范围在专用合同条款中约定。</w:t>
      </w:r>
    </w:p>
    <w:p w14:paraId="443BE768">
      <w:pPr>
        <w:pStyle w:val="2"/>
        <w:numPr>
          <w:ilvl w:val="0"/>
          <w:numId w:val="0"/>
        </w:numPr>
        <w:bidi w:val="0"/>
        <w:ind w:left="482" w:leftChars="0"/>
      </w:pPr>
      <w:bookmarkStart w:id="663" w:name="bookmark1188"/>
      <w:bookmarkStart w:id="664" w:name="_Toc14710350"/>
      <w:bookmarkStart w:id="665" w:name="bookmark1187"/>
      <w:bookmarkStart w:id="666" w:name="bookmark1189"/>
      <w:bookmarkStart w:id="667" w:name="_Toc1075"/>
      <w:r>
        <w:t>11.5承包人工期延误</w:t>
      </w:r>
      <w:bookmarkEnd w:id="663"/>
      <w:bookmarkEnd w:id="664"/>
      <w:bookmarkEnd w:id="665"/>
      <w:bookmarkEnd w:id="666"/>
      <w:bookmarkEnd w:id="667"/>
    </w:p>
    <w:p w14:paraId="4A693CC6">
      <w:pPr>
        <w:pStyle w:val="11"/>
      </w:pPr>
      <w: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2"/>
        <w:numPr>
          <w:ilvl w:val="0"/>
          <w:numId w:val="0"/>
        </w:numPr>
        <w:bidi w:val="0"/>
        <w:ind w:left="482" w:leftChars="0"/>
      </w:pPr>
      <w:bookmarkStart w:id="668" w:name="bookmark1190"/>
      <w:bookmarkStart w:id="669" w:name="_Toc14710351"/>
      <w:bookmarkStart w:id="670" w:name="_Toc14969"/>
      <w:bookmarkStart w:id="671" w:name="bookmark1192"/>
      <w:bookmarkStart w:id="672" w:name="bookmark1191"/>
      <w:r>
        <w:t>11.6工期提前</w:t>
      </w:r>
      <w:bookmarkEnd w:id="668"/>
      <w:bookmarkEnd w:id="669"/>
      <w:bookmarkEnd w:id="670"/>
      <w:bookmarkEnd w:id="671"/>
      <w:bookmarkEnd w:id="672"/>
    </w:p>
    <w:p w14:paraId="59DD8795">
      <w:pPr>
        <w:pStyle w:val="11"/>
      </w:pPr>
      <w: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11"/>
      </w:pPr>
      <w:r>
        <w:t>发包人要求提前完工的，双方协商一致后应签订提前完工协议，协议内容包括：</w:t>
      </w:r>
    </w:p>
    <w:p w14:paraId="53104BD6">
      <w:pPr>
        <w:pStyle w:val="11"/>
      </w:pPr>
      <w:bookmarkStart w:id="673" w:name="bookmark1193"/>
      <w:bookmarkEnd w:id="673"/>
      <w:r>
        <w:rPr>
          <w:b w:val="0"/>
          <w:i w:val="0"/>
          <w:strike w:val="0"/>
          <w:color w:val="000000"/>
          <w:u w:val="none"/>
        </w:rPr>
        <w:t>(1)</w:t>
      </w:r>
      <w:r>
        <w:t>提前的时间和修订后的进度计划。</w:t>
      </w:r>
    </w:p>
    <w:p w14:paraId="4A6F604A">
      <w:pPr>
        <w:pStyle w:val="11"/>
      </w:pPr>
      <w:bookmarkStart w:id="674" w:name="bookmark1194"/>
      <w:bookmarkEnd w:id="674"/>
      <w:r>
        <w:rPr>
          <w:b w:val="0"/>
          <w:i w:val="0"/>
          <w:strike w:val="0"/>
          <w:color w:val="000000"/>
          <w:u w:val="none"/>
        </w:rPr>
        <w:t>(2)</w:t>
      </w:r>
      <w:r>
        <w:t>承包人的赶工措施。</w:t>
      </w:r>
    </w:p>
    <w:p w14:paraId="562431C7">
      <w:pPr>
        <w:pStyle w:val="11"/>
      </w:pPr>
      <w:r>
        <w:rPr>
          <w:b w:val="0"/>
          <w:i w:val="0"/>
          <w:strike w:val="0"/>
          <w:color w:val="000000"/>
          <w:u w:val="none"/>
        </w:rPr>
        <w:t>(3)</w:t>
      </w:r>
      <w:r>
        <w:t>发包人为赶工提供的条件。</w:t>
      </w:r>
    </w:p>
    <w:p w14:paraId="25D73B0C">
      <w:pPr>
        <w:pStyle w:val="11"/>
      </w:pPr>
      <w:bookmarkStart w:id="675" w:name="bookmark1196"/>
      <w:bookmarkEnd w:id="675"/>
      <w:r>
        <w:rPr>
          <w:b w:val="0"/>
          <w:i w:val="0"/>
          <w:strike w:val="0"/>
          <w:color w:val="000000"/>
          <w:u w:val="none"/>
        </w:rPr>
        <w:t>(4)</w:t>
      </w:r>
      <w:r>
        <w:t>赶工费用(包括利润和奖金)</w:t>
      </w:r>
    </w:p>
    <w:p w14:paraId="708A5D04">
      <w:pPr>
        <w:pStyle w:val="2"/>
        <w:numPr>
          <w:ilvl w:val="0"/>
          <w:numId w:val="0"/>
        </w:numPr>
        <w:bidi w:val="0"/>
        <w:ind w:left="482" w:leftChars="0"/>
      </w:pPr>
      <w:bookmarkStart w:id="676" w:name="bookmark1199"/>
      <w:bookmarkStart w:id="677" w:name="bookmark1197"/>
      <w:bookmarkStart w:id="678" w:name="_Toc8400"/>
      <w:bookmarkStart w:id="679" w:name="bookmark1198"/>
      <w:bookmarkStart w:id="680" w:name="_Toc14710352"/>
      <w:r>
        <w:t>12.暂停施工</w:t>
      </w:r>
      <w:bookmarkEnd w:id="676"/>
      <w:bookmarkEnd w:id="677"/>
      <w:bookmarkEnd w:id="678"/>
      <w:bookmarkEnd w:id="679"/>
      <w:bookmarkEnd w:id="680"/>
    </w:p>
    <w:p w14:paraId="1CA4D9CC">
      <w:pPr>
        <w:pStyle w:val="2"/>
        <w:numPr>
          <w:ilvl w:val="0"/>
          <w:numId w:val="0"/>
        </w:numPr>
        <w:bidi w:val="0"/>
        <w:ind w:left="482" w:leftChars="0"/>
      </w:pPr>
      <w:bookmarkStart w:id="681" w:name="bookmark1201"/>
      <w:bookmarkStart w:id="682" w:name="_Toc14710353"/>
      <w:bookmarkStart w:id="683" w:name="_Toc25279"/>
      <w:bookmarkStart w:id="684" w:name="bookmark1202"/>
      <w:bookmarkStart w:id="685" w:name="bookmark1200"/>
      <w:r>
        <w:t>12.1承包人暂停施工的责任</w:t>
      </w:r>
      <w:bookmarkEnd w:id="681"/>
      <w:bookmarkEnd w:id="682"/>
      <w:bookmarkEnd w:id="683"/>
      <w:bookmarkEnd w:id="684"/>
      <w:bookmarkEnd w:id="685"/>
    </w:p>
    <w:p w14:paraId="3FBF8A63">
      <w:pPr>
        <w:pStyle w:val="11"/>
      </w:pPr>
      <w:r>
        <w:t>因下列暂停施工增加的费用和(或)工期延误由承包人承担：</w:t>
      </w:r>
    </w:p>
    <w:p w14:paraId="5A596D35">
      <w:pPr>
        <w:pStyle w:val="11"/>
      </w:pPr>
      <w:bookmarkStart w:id="686" w:name="bookmark1203"/>
      <w:bookmarkEnd w:id="686"/>
      <w:r>
        <w:rPr>
          <w:b w:val="0"/>
          <w:i w:val="0"/>
          <w:strike w:val="0"/>
          <w:color w:val="000000"/>
          <w:u w:val="none"/>
        </w:rPr>
        <w:t>(1)</w:t>
      </w:r>
      <w:r>
        <w:t>承包人违约引起的暂停施工；</w:t>
      </w:r>
    </w:p>
    <w:p w14:paraId="70E56D12">
      <w:pPr>
        <w:pStyle w:val="11"/>
      </w:pPr>
      <w:bookmarkStart w:id="687" w:name="bookmark1204"/>
      <w:bookmarkEnd w:id="687"/>
      <w:r>
        <w:rPr>
          <w:b w:val="0"/>
          <w:i w:val="0"/>
          <w:strike w:val="0"/>
          <w:color w:val="000000"/>
          <w:u w:val="none"/>
        </w:rPr>
        <w:t>(2)</w:t>
      </w:r>
      <w:r>
        <w:t>由于承包人原因为工程合理施工和安全保障所必需的暂停施工；</w:t>
      </w:r>
    </w:p>
    <w:p w14:paraId="1FDCE8F4">
      <w:pPr>
        <w:pStyle w:val="11"/>
      </w:pPr>
      <w:bookmarkStart w:id="688" w:name="bookmark1205"/>
      <w:bookmarkEnd w:id="688"/>
      <w:r>
        <w:rPr>
          <w:b w:val="0"/>
          <w:i w:val="0"/>
          <w:strike w:val="0"/>
          <w:color w:val="000000"/>
          <w:u w:val="none"/>
        </w:rPr>
        <w:t>(3)</w:t>
      </w:r>
      <w:r>
        <w:t>承包人擅自暂停施工；</w:t>
      </w:r>
    </w:p>
    <w:p w14:paraId="4379EF37">
      <w:pPr>
        <w:pStyle w:val="11"/>
      </w:pPr>
      <w:bookmarkStart w:id="689" w:name="bookmark1206"/>
      <w:bookmarkEnd w:id="689"/>
      <w:r>
        <w:rPr>
          <w:b w:val="0"/>
          <w:i w:val="0"/>
          <w:strike w:val="0"/>
          <w:color w:val="000000"/>
          <w:u w:val="none"/>
        </w:rPr>
        <w:t>(4)</w:t>
      </w:r>
      <w:r>
        <w:t>承包人其他原因引起的暂停施工；</w:t>
      </w:r>
    </w:p>
    <w:p w14:paraId="7BD2A371">
      <w:pPr>
        <w:pStyle w:val="11"/>
      </w:pPr>
      <w:bookmarkStart w:id="690" w:name="bookmark1207"/>
      <w:bookmarkEnd w:id="690"/>
      <w:r>
        <w:rPr>
          <w:b w:val="0"/>
          <w:i w:val="0"/>
          <w:strike w:val="0"/>
          <w:color w:val="000000"/>
          <w:u w:val="none"/>
        </w:rPr>
        <w:t>(5)</w:t>
      </w:r>
      <w:r>
        <w:t>专用合同条款约定由承包人承担的其他暂停施工。</w:t>
      </w:r>
    </w:p>
    <w:p w14:paraId="189E39A1">
      <w:pPr>
        <w:pStyle w:val="2"/>
        <w:numPr>
          <w:ilvl w:val="0"/>
          <w:numId w:val="0"/>
        </w:numPr>
        <w:bidi w:val="0"/>
        <w:ind w:left="482" w:leftChars="0"/>
      </w:pPr>
      <w:bookmarkStart w:id="691" w:name="bookmark1210"/>
      <w:bookmarkStart w:id="692" w:name="bookmark1208"/>
      <w:bookmarkStart w:id="693" w:name="_Toc19655"/>
      <w:bookmarkStart w:id="694" w:name="bookmark1209"/>
      <w:bookmarkStart w:id="695" w:name="_Toc14710354"/>
      <w:r>
        <w:t>12.2发包人暂停施工的责任</w:t>
      </w:r>
      <w:bookmarkEnd w:id="691"/>
      <w:bookmarkEnd w:id="692"/>
      <w:bookmarkEnd w:id="693"/>
      <w:bookmarkEnd w:id="694"/>
      <w:bookmarkEnd w:id="695"/>
    </w:p>
    <w:p w14:paraId="61664F9E">
      <w:pPr>
        <w:pStyle w:val="11"/>
      </w:pPr>
      <w:r>
        <w:t>由于发包人原因引起的暂停施工造成工期延误的，承包人有权要求发包人延长工期和 (或)增加费用，并支付合理利润。属于下列任何一种情况引起的暂停施工，均为发包人的责任：</w:t>
      </w:r>
    </w:p>
    <w:p w14:paraId="3051C34C">
      <w:pPr>
        <w:pStyle w:val="11"/>
      </w:pPr>
      <w:bookmarkStart w:id="696" w:name="bookmark1211"/>
      <w:bookmarkEnd w:id="696"/>
      <w:r>
        <w:rPr>
          <w:b w:val="0"/>
          <w:i w:val="0"/>
          <w:strike w:val="0"/>
          <w:color w:val="000000"/>
          <w:u w:val="none"/>
        </w:rPr>
        <w:t>(1)</w:t>
      </w:r>
      <w:r>
        <w:t>由于发包人违约引起的暂停施工。</w:t>
      </w:r>
    </w:p>
    <w:p w14:paraId="52A86A46">
      <w:pPr>
        <w:pStyle w:val="11"/>
      </w:pPr>
      <w:bookmarkStart w:id="697" w:name="bookmark1212"/>
      <w:bookmarkEnd w:id="697"/>
      <w:r>
        <w:rPr>
          <w:b w:val="0"/>
          <w:i w:val="0"/>
          <w:strike w:val="0"/>
          <w:color w:val="000000"/>
          <w:u w:val="none"/>
        </w:rPr>
        <w:t>(2)</w:t>
      </w:r>
      <w:r>
        <w:t>由于不可抗力的自然或社会因素引起的暂停施工。</w:t>
      </w:r>
    </w:p>
    <w:p w14:paraId="293D3A4D">
      <w:pPr>
        <w:pStyle w:val="11"/>
      </w:pPr>
      <w:bookmarkStart w:id="698" w:name="bookmark1213"/>
      <w:bookmarkEnd w:id="698"/>
      <w:r>
        <w:rPr>
          <w:b w:val="0"/>
          <w:i w:val="0"/>
          <w:strike w:val="0"/>
          <w:color w:val="000000"/>
          <w:u w:val="none"/>
        </w:rPr>
        <w:t>(3)</w:t>
      </w:r>
      <w:r>
        <w:t>专用合同条款中约定的其它由于发包人原因引起的暂停施工。</w:t>
      </w:r>
    </w:p>
    <w:p w14:paraId="5F38DD83">
      <w:pPr>
        <w:pStyle w:val="2"/>
        <w:numPr>
          <w:ilvl w:val="0"/>
          <w:numId w:val="0"/>
        </w:numPr>
        <w:bidi w:val="0"/>
        <w:ind w:left="482" w:leftChars="0"/>
      </w:pPr>
      <w:bookmarkStart w:id="699" w:name="bookmark1214"/>
      <w:bookmarkStart w:id="700" w:name="_Toc4901"/>
      <w:bookmarkStart w:id="701" w:name="bookmark1215"/>
      <w:bookmarkStart w:id="702" w:name="bookmark1216"/>
      <w:bookmarkStart w:id="703" w:name="_Toc14710355"/>
      <w:r>
        <w:t>12.3监理人暂停施工指示</w:t>
      </w:r>
      <w:bookmarkEnd w:id="699"/>
      <w:bookmarkEnd w:id="700"/>
      <w:bookmarkEnd w:id="701"/>
      <w:bookmarkEnd w:id="702"/>
      <w:bookmarkEnd w:id="703"/>
    </w:p>
    <w:p w14:paraId="34A134B2">
      <w:pPr>
        <w:pStyle w:val="11"/>
      </w:pPr>
      <w: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11"/>
      </w:pPr>
      <w: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2"/>
        <w:numPr>
          <w:ilvl w:val="0"/>
          <w:numId w:val="0"/>
        </w:numPr>
        <w:bidi w:val="0"/>
        <w:ind w:left="482" w:leftChars="0"/>
      </w:pPr>
      <w:bookmarkStart w:id="704" w:name="_Toc14710356"/>
      <w:bookmarkStart w:id="705" w:name="bookmark1219"/>
      <w:bookmarkStart w:id="706" w:name="_Toc14048"/>
      <w:bookmarkStart w:id="707" w:name="bookmark1218"/>
      <w:bookmarkStart w:id="708" w:name="bookmark1217"/>
      <w:r>
        <w:t>12.4暂停施工后的复工</w:t>
      </w:r>
      <w:bookmarkEnd w:id="704"/>
      <w:bookmarkEnd w:id="705"/>
      <w:bookmarkEnd w:id="706"/>
      <w:bookmarkEnd w:id="707"/>
      <w:bookmarkEnd w:id="708"/>
    </w:p>
    <w:p w14:paraId="558B1E3C">
      <w:pPr>
        <w:pStyle w:val="11"/>
      </w:pPr>
      <w:bookmarkStart w:id="709" w:name="bookmark1220"/>
      <w:bookmarkEnd w:id="709"/>
      <w: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11"/>
      </w:pPr>
      <w:bookmarkStart w:id="710" w:name="bookmark1221"/>
      <w:bookmarkEnd w:id="710"/>
      <w:r>
        <w:t>12.4. 2承包人无故拖延和拒绝复工的，由此增加的费用和工期延误由承包人承担；因发包人原因无法按时复工的，承包人有权要求发包人延长工期和(或)增加费用，并支付合理利润。</w:t>
      </w:r>
    </w:p>
    <w:p w14:paraId="5D86FF77">
      <w:pPr>
        <w:pStyle w:val="2"/>
        <w:numPr>
          <w:ilvl w:val="0"/>
          <w:numId w:val="0"/>
        </w:numPr>
        <w:bidi w:val="0"/>
        <w:ind w:left="482" w:leftChars="0"/>
      </w:pPr>
      <w:bookmarkStart w:id="711" w:name="bookmark1195"/>
      <w:bookmarkEnd w:id="711"/>
      <w:bookmarkStart w:id="712" w:name="bookmark1224"/>
      <w:bookmarkStart w:id="713" w:name="bookmark1223"/>
      <w:bookmarkStart w:id="714" w:name="bookmark1222"/>
      <w:bookmarkStart w:id="715" w:name="_Toc6811"/>
      <w:bookmarkStart w:id="716" w:name="_Toc14710357"/>
      <w:r>
        <w:t>12.5暂停施工持续56天以上</w:t>
      </w:r>
      <w:bookmarkEnd w:id="712"/>
      <w:bookmarkEnd w:id="713"/>
      <w:bookmarkEnd w:id="714"/>
      <w:bookmarkEnd w:id="715"/>
      <w:bookmarkEnd w:id="716"/>
    </w:p>
    <w:p w14:paraId="3F60C078">
      <w:pPr>
        <w:pStyle w:val="11"/>
      </w:pPr>
      <w: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11"/>
      </w:pPr>
      <w:r>
        <w:t>12.5.2由于承包人责任引起的暂停施工，如承包人在收到监理人暂停施工指示后56 天内不认真采取有效的复工措施，造成工期延误，可视为承包人违约，应按第22.1款的约定办理。</w:t>
      </w:r>
    </w:p>
    <w:p w14:paraId="377A7F68">
      <w:pPr>
        <w:pStyle w:val="2"/>
        <w:numPr>
          <w:ilvl w:val="0"/>
          <w:numId w:val="0"/>
        </w:numPr>
        <w:bidi w:val="0"/>
        <w:ind w:left="482" w:leftChars="0"/>
      </w:pPr>
      <w:bookmarkStart w:id="717" w:name="bookmark1226"/>
      <w:bookmarkStart w:id="718" w:name="_Toc10322"/>
      <w:bookmarkStart w:id="719" w:name="bookmark1227"/>
      <w:bookmarkStart w:id="720" w:name="_Toc14710358"/>
      <w:bookmarkStart w:id="721" w:name="bookmark1225"/>
      <w:r>
        <w:t>13.工程质量</w:t>
      </w:r>
      <w:bookmarkEnd w:id="717"/>
      <w:bookmarkEnd w:id="718"/>
      <w:bookmarkEnd w:id="719"/>
      <w:bookmarkEnd w:id="720"/>
      <w:bookmarkEnd w:id="721"/>
    </w:p>
    <w:p w14:paraId="47F5D14E">
      <w:pPr>
        <w:pStyle w:val="2"/>
        <w:numPr>
          <w:ilvl w:val="0"/>
          <w:numId w:val="0"/>
        </w:numPr>
        <w:bidi w:val="0"/>
        <w:ind w:left="482" w:leftChars="0"/>
      </w:pPr>
      <w:bookmarkStart w:id="722" w:name="_Toc14710359"/>
      <w:bookmarkStart w:id="723" w:name="_Toc9064"/>
      <w:bookmarkStart w:id="724" w:name="bookmark1228"/>
      <w:bookmarkStart w:id="725" w:name="bookmark1229"/>
      <w:bookmarkStart w:id="726" w:name="bookmark1230"/>
      <w:r>
        <w:t>13.1工程质量要求</w:t>
      </w:r>
      <w:bookmarkEnd w:id="722"/>
      <w:bookmarkEnd w:id="723"/>
      <w:bookmarkEnd w:id="724"/>
      <w:bookmarkEnd w:id="725"/>
      <w:bookmarkEnd w:id="726"/>
    </w:p>
    <w:p w14:paraId="2F0A9856">
      <w:pPr>
        <w:pStyle w:val="11"/>
      </w:pPr>
      <w:bookmarkStart w:id="727" w:name="bookmark1231"/>
      <w:bookmarkEnd w:id="727"/>
      <w:r>
        <w:t>13.1.1工程质量验收按合同约定验收标准执行。</w:t>
      </w:r>
    </w:p>
    <w:p w14:paraId="779B234D">
      <w:pPr>
        <w:pStyle w:val="11"/>
      </w:pPr>
      <w:r>
        <w:t>13.1.2因承包人原因造成工程质量达不到合同约定验收标准的，监理人有权要求承包人返工直至符合合同要求为止，由此造成的费用增加和（或）工期延误由承包人承担。</w:t>
      </w:r>
    </w:p>
    <w:p w14:paraId="7DC0DDD7">
      <w:pPr>
        <w:pStyle w:val="11"/>
      </w:pPr>
      <w:r>
        <w:t>13.1.3因发包人原因造成工程质量达不到合同约定验收标准的，发包人应承担由于承包人返工造成的费用增加和（或）工期延误，并支付承包人合理利润。</w:t>
      </w:r>
    </w:p>
    <w:p w14:paraId="3601BF7E">
      <w:pPr>
        <w:pStyle w:val="2"/>
        <w:numPr>
          <w:ilvl w:val="0"/>
          <w:numId w:val="0"/>
        </w:numPr>
        <w:bidi w:val="0"/>
        <w:ind w:left="482" w:leftChars="0"/>
      </w:pPr>
      <w:bookmarkStart w:id="728" w:name="bookmark1234"/>
      <w:bookmarkStart w:id="729" w:name="bookmark1233"/>
      <w:bookmarkStart w:id="730" w:name="bookmark1232"/>
      <w:bookmarkStart w:id="731" w:name="_Toc6308"/>
      <w:bookmarkStart w:id="732" w:name="_Toc14710360"/>
      <w:r>
        <w:t>13.2承包人的质量管理</w:t>
      </w:r>
      <w:bookmarkEnd w:id="728"/>
      <w:bookmarkEnd w:id="729"/>
      <w:bookmarkEnd w:id="730"/>
      <w:bookmarkEnd w:id="731"/>
      <w:bookmarkEnd w:id="732"/>
    </w:p>
    <w:p w14:paraId="11840574">
      <w:pPr>
        <w:pStyle w:val="11"/>
      </w:pPr>
      <w: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11"/>
      </w:pPr>
      <w:bookmarkStart w:id="733" w:name="bookmark1235"/>
      <w:bookmarkEnd w:id="733"/>
      <w:r>
        <w:t>13.2. 2承包人应加强对施工人员的质量教育和技术培训，定期考核施工人员的劳动 技能，严格执行规范和操作规程。</w:t>
      </w:r>
    </w:p>
    <w:p w14:paraId="35016632">
      <w:pPr>
        <w:pStyle w:val="2"/>
        <w:numPr>
          <w:ilvl w:val="0"/>
          <w:numId w:val="0"/>
        </w:numPr>
        <w:bidi w:val="0"/>
        <w:ind w:left="482" w:leftChars="0"/>
      </w:pPr>
      <w:bookmarkStart w:id="734" w:name="bookmark1238"/>
      <w:bookmarkStart w:id="735" w:name="bookmark1236"/>
      <w:bookmarkStart w:id="736" w:name="_Toc14710361"/>
      <w:bookmarkStart w:id="737" w:name="bookmark1237"/>
      <w:bookmarkStart w:id="738" w:name="_Toc19429"/>
      <w:r>
        <w:t>13.3承包人的质量检查</w:t>
      </w:r>
      <w:bookmarkEnd w:id="734"/>
      <w:bookmarkEnd w:id="735"/>
      <w:bookmarkEnd w:id="736"/>
      <w:bookmarkEnd w:id="737"/>
      <w:bookmarkEnd w:id="738"/>
    </w:p>
    <w:p w14:paraId="3EC6D91C">
      <w:pPr>
        <w:pStyle w:val="11"/>
      </w:pPr>
      <w:r>
        <w:t>承包人应按合同约定对材料、工程设备以及工程的所有部位及其施工工艺进行全过程的质量检查和检验，并作详细记录，编制工程质量报表，报送监理人审查。</w:t>
      </w:r>
    </w:p>
    <w:p w14:paraId="73040FD0">
      <w:pPr>
        <w:pStyle w:val="2"/>
        <w:numPr>
          <w:ilvl w:val="0"/>
          <w:numId w:val="0"/>
        </w:numPr>
        <w:bidi w:val="0"/>
        <w:ind w:left="482" w:leftChars="0"/>
      </w:pPr>
      <w:bookmarkStart w:id="739" w:name="bookmark1240"/>
      <w:bookmarkStart w:id="740" w:name="bookmark1239"/>
      <w:bookmarkStart w:id="741" w:name="_Toc14710362"/>
      <w:bookmarkStart w:id="742" w:name="bookmark1241"/>
      <w:bookmarkStart w:id="743" w:name="_Toc26103"/>
      <w:r>
        <w:t>13.4监理人的质量检查</w:t>
      </w:r>
      <w:bookmarkEnd w:id="739"/>
      <w:bookmarkEnd w:id="740"/>
      <w:bookmarkEnd w:id="741"/>
      <w:bookmarkEnd w:id="742"/>
      <w:bookmarkEnd w:id="743"/>
    </w:p>
    <w:p w14:paraId="625A82EE">
      <w:pPr>
        <w:pStyle w:val="11"/>
      </w:pPr>
      <w: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2"/>
        <w:numPr>
          <w:ilvl w:val="0"/>
          <w:numId w:val="0"/>
        </w:numPr>
        <w:bidi w:val="0"/>
        <w:ind w:left="482" w:leftChars="0"/>
      </w:pPr>
      <w:bookmarkStart w:id="744" w:name="_Toc30255"/>
      <w:bookmarkStart w:id="745" w:name="bookmark1244"/>
      <w:bookmarkStart w:id="746" w:name="bookmark1243"/>
      <w:bookmarkStart w:id="747" w:name="_Toc14710363"/>
      <w:bookmarkStart w:id="748" w:name="bookmark1242"/>
      <w:r>
        <w:t>13.5工程隐蔽部位覆盖前的检查</w:t>
      </w:r>
      <w:bookmarkEnd w:id="744"/>
      <w:bookmarkEnd w:id="745"/>
      <w:bookmarkEnd w:id="746"/>
      <w:bookmarkEnd w:id="747"/>
      <w:bookmarkEnd w:id="748"/>
    </w:p>
    <w:p w14:paraId="11EE4DD8">
      <w:pPr>
        <w:pStyle w:val="2"/>
        <w:numPr>
          <w:ilvl w:val="0"/>
          <w:numId w:val="0"/>
        </w:numPr>
        <w:bidi w:val="0"/>
        <w:ind w:left="482" w:leftChars="0"/>
      </w:pPr>
      <w:bookmarkStart w:id="749" w:name="bookmark1245"/>
      <w:bookmarkEnd w:id="749"/>
      <w:r>
        <w:t>13.5. 1通知监理人检查</w:t>
      </w:r>
    </w:p>
    <w:p w14:paraId="7853BE5C">
      <w:pPr>
        <w:pStyle w:val="11"/>
      </w:pPr>
      <w: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2"/>
        <w:numPr>
          <w:ilvl w:val="0"/>
          <w:numId w:val="0"/>
        </w:numPr>
        <w:bidi w:val="0"/>
        <w:ind w:left="482" w:leftChars="0"/>
      </w:pPr>
      <w:r>
        <w:t>13.5.2监理人未到场检查</w:t>
      </w:r>
    </w:p>
    <w:p w14:paraId="25FD380B">
      <w:pPr>
        <w:pStyle w:val="11"/>
      </w:pPr>
      <w: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2"/>
        <w:numPr>
          <w:ilvl w:val="0"/>
          <w:numId w:val="0"/>
        </w:numPr>
        <w:bidi w:val="0"/>
        <w:ind w:left="482" w:leftChars="0"/>
      </w:pPr>
      <w:r>
        <w:t>13.5.3监理人重新检查</w:t>
      </w:r>
    </w:p>
    <w:p w14:paraId="76CA7A4E">
      <w:pPr>
        <w:pStyle w:val="11"/>
      </w:pPr>
      <w: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2"/>
        <w:numPr>
          <w:ilvl w:val="0"/>
          <w:numId w:val="0"/>
        </w:numPr>
        <w:bidi w:val="0"/>
        <w:ind w:left="482" w:leftChars="0"/>
      </w:pPr>
      <w:r>
        <w:t>13.5.4承包人私自覆盖</w:t>
      </w:r>
    </w:p>
    <w:p w14:paraId="5E542E54">
      <w:pPr>
        <w:pStyle w:val="11"/>
      </w:pPr>
      <w:r>
        <w:t>承包人未通知监理人到场检查，私自将工程隐蔽部位覆盖的，监理人有权指示承包人钻孔探测或揭开检查，由此增加的费用和（或）工期延误由承包人承担。</w:t>
      </w:r>
    </w:p>
    <w:p w14:paraId="28E5C17E">
      <w:pPr>
        <w:pStyle w:val="2"/>
        <w:numPr>
          <w:ilvl w:val="0"/>
          <w:numId w:val="0"/>
        </w:numPr>
        <w:bidi w:val="0"/>
        <w:ind w:left="482" w:leftChars="0"/>
      </w:pPr>
      <w:bookmarkStart w:id="750" w:name="_Toc31851"/>
      <w:bookmarkStart w:id="751" w:name="bookmark1248"/>
      <w:bookmarkStart w:id="752" w:name="bookmark1246"/>
      <w:bookmarkStart w:id="753" w:name="_Toc14710364"/>
      <w:bookmarkStart w:id="754" w:name="bookmark1247"/>
      <w:r>
        <w:t>13.6清除不合格工程</w:t>
      </w:r>
      <w:bookmarkEnd w:id="750"/>
      <w:bookmarkEnd w:id="751"/>
      <w:bookmarkEnd w:id="752"/>
      <w:bookmarkEnd w:id="753"/>
      <w:bookmarkEnd w:id="754"/>
    </w:p>
    <w:p w14:paraId="0D98B65C">
      <w:pPr>
        <w:pStyle w:val="11"/>
      </w:pPr>
      <w: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11"/>
      </w:pPr>
      <w:r>
        <w:t>13.6.2由于发包人提供的材料或工程设备不合格造成的工程不合格，需要承包人采取措施补救的，发包人应承担由此增加的费用和（或）工期延误，并支付承包人合理利润。</w:t>
      </w:r>
    </w:p>
    <w:p w14:paraId="34B492E0">
      <w:pPr>
        <w:pStyle w:val="2"/>
        <w:numPr>
          <w:ilvl w:val="0"/>
          <w:numId w:val="0"/>
        </w:numPr>
        <w:bidi w:val="0"/>
        <w:ind w:left="482" w:leftChars="0"/>
      </w:pPr>
      <w:bookmarkStart w:id="755" w:name="_Toc3708"/>
      <w:bookmarkStart w:id="756" w:name="_Toc14710365"/>
      <w:r>
        <w:t>13.7质量评定</w:t>
      </w:r>
      <w:bookmarkEnd w:id="755"/>
      <w:bookmarkEnd w:id="756"/>
    </w:p>
    <w:p w14:paraId="036147DB">
      <w:pPr>
        <w:pStyle w:val="11"/>
      </w:pPr>
      <w:r>
        <w:t>13.7.1发包人应组织承包人进行工程项目划分，并确定单位工程、主要分部工程、重要隐蔽单元工程和关键部位单元工程。</w:t>
      </w:r>
    </w:p>
    <w:p w14:paraId="35B2E0B2">
      <w:pPr>
        <w:pStyle w:val="11"/>
      </w:pPr>
      <w:r>
        <w:t>13.7.2工程实施过程中，单位工程、主要分部工程、重要隐蔽单元工程和关键部位单元工程的项目划分需要调整时，承包人应报发包人确认。</w:t>
      </w:r>
    </w:p>
    <w:p w14:paraId="6535BB99">
      <w:pPr>
        <w:pStyle w:val="11"/>
      </w:pPr>
      <w:r>
        <w:t>13.7.3承包人应在单元（工序）工程质量自评合格后，报监理人核定质量等级并签证认可。</w:t>
      </w:r>
    </w:p>
    <w:p w14:paraId="0C334FCF">
      <w:pPr>
        <w:pStyle w:val="11"/>
      </w:pPr>
      <w: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11"/>
      </w:pPr>
      <w:r>
        <w:t>13.7.5承包人应在分部工程质量自评合格后，报监理人复核和发包人认定。发包人负责按有关规定完成分部工程质量结论报工程质量监督机构核备（核定）手续。</w:t>
      </w:r>
    </w:p>
    <w:p w14:paraId="6230D233">
      <w:pPr>
        <w:pStyle w:val="11"/>
      </w:pPr>
      <w:r>
        <w:t>13.7.6承包人应在单位工程质量自评合格后，报监理人复核和发包人认定。发包人负责按有关规定完成单位工程质量结论报工程质量监督机构核定手续。</w:t>
      </w:r>
    </w:p>
    <w:p w14:paraId="511697C5">
      <w:pPr>
        <w:pStyle w:val="11"/>
      </w:pPr>
      <w:r>
        <w:t>13.7.7除专用合同条款另有约定外，工程质量等级分为合格和优良，应分别达到约定的标准。</w:t>
      </w:r>
    </w:p>
    <w:p w14:paraId="439C6FF7">
      <w:pPr>
        <w:pStyle w:val="2"/>
        <w:numPr>
          <w:ilvl w:val="0"/>
          <w:numId w:val="0"/>
        </w:numPr>
        <w:bidi w:val="0"/>
        <w:ind w:left="482" w:leftChars="0"/>
      </w:pPr>
      <w:bookmarkStart w:id="757" w:name="_Toc14710366"/>
      <w:bookmarkStart w:id="758" w:name="_Toc19883"/>
      <w:bookmarkStart w:id="759" w:name="bookmark1251"/>
      <w:bookmarkStart w:id="760" w:name="bookmark1249"/>
      <w:bookmarkStart w:id="761" w:name="bookmark1250"/>
      <w:r>
        <w:t>13.8质量事故处理</w:t>
      </w:r>
      <w:bookmarkEnd w:id="757"/>
      <w:bookmarkEnd w:id="758"/>
      <w:bookmarkEnd w:id="759"/>
      <w:bookmarkEnd w:id="760"/>
      <w:bookmarkEnd w:id="761"/>
    </w:p>
    <w:p w14:paraId="4B242631">
      <w:pPr>
        <w:pStyle w:val="11"/>
      </w:pPr>
      <w:r>
        <w:t>13.8.1发生质量事故时，承包人应及时向发包人和监理人报告。</w:t>
      </w:r>
    </w:p>
    <w:p w14:paraId="2042D812">
      <w:pPr>
        <w:pStyle w:val="11"/>
      </w:pPr>
      <w:r>
        <w:t>13.8.2质量事故调查处理由发包人按相关规定履行手续，承包人应配合。</w:t>
      </w:r>
    </w:p>
    <w:p w14:paraId="57E48EFC">
      <w:pPr>
        <w:pStyle w:val="11"/>
      </w:pPr>
      <w:r>
        <w:t>13.8.3承包人应对质量缺陷进行备案。发包人委托监理人对质量缺陷备案情况进行监督检查并履行相关手续。</w:t>
      </w:r>
    </w:p>
    <w:p w14:paraId="4E5D5EAD">
      <w:pPr>
        <w:pStyle w:val="11"/>
      </w:pPr>
      <w:r>
        <w:t>13.8.4除专用合同条款另有约定外，工程竣工验收时，发包人负责向竣工验收委员会汇报并提交历次质量缺陷处理的备案资料。</w:t>
      </w:r>
    </w:p>
    <w:p w14:paraId="062F9C36">
      <w:pPr>
        <w:pStyle w:val="2"/>
        <w:numPr>
          <w:ilvl w:val="0"/>
          <w:numId w:val="0"/>
        </w:numPr>
        <w:bidi w:val="0"/>
        <w:ind w:left="482" w:leftChars="0"/>
      </w:pPr>
      <w:bookmarkStart w:id="762" w:name="_Toc17645"/>
      <w:bookmarkStart w:id="763" w:name="bookmark1254"/>
      <w:bookmarkStart w:id="764" w:name="bookmark1253"/>
      <w:bookmarkStart w:id="765" w:name="_Toc14710367"/>
      <w:bookmarkStart w:id="766" w:name="bookmark1252"/>
      <w:r>
        <w:t>14 .试验和检验</w:t>
      </w:r>
      <w:bookmarkEnd w:id="762"/>
      <w:bookmarkEnd w:id="763"/>
      <w:bookmarkEnd w:id="764"/>
      <w:bookmarkEnd w:id="765"/>
      <w:bookmarkEnd w:id="766"/>
    </w:p>
    <w:p w14:paraId="216D766B">
      <w:pPr>
        <w:pStyle w:val="2"/>
        <w:numPr>
          <w:ilvl w:val="0"/>
          <w:numId w:val="0"/>
        </w:numPr>
        <w:bidi w:val="0"/>
        <w:ind w:left="482" w:leftChars="0"/>
      </w:pPr>
      <w:bookmarkStart w:id="767" w:name="bookmark1255"/>
      <w:bookmarkStart w:id="768" w:name="bookmark1256"/>
      <w:bookmarkStart w:id="769" w:name="bookmark1257"/>
      <w:bookmarkStart w:id="770" w:name="_Toc14710368"/>
      <w:bookmarkStart w:id="771" w:name="_Toc16875"/>
      <w:r>
        <w:t>14.1材料、工程设备和工程的试验和检验</w:t>
      </w:r>
      <w:bookmarkEnd w:id="767"/>
      <w:bookmarkEnd w:id="768"/>
      <w:bookmarkEnd w:id="769"/>
      <w:bookmarkEnd w:id="770"/>
      <w:bookmarkEnd w:id="771"/>
    </w:p>
    <w:p w14:paraId="65371204">
      <w:pPr>
        <w:pStyle w:val="11"/>
      </w:pPr>
      <w:bookmarkStart w:id="772" w:name="bookmark1258"/>
      <w:bookmarkEnd w:id="772"/>
      <w: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11"/>
      </w:pPr>
      <w:r>
        <w:t>14.1.2监理人未按合同约定派员参加试验和检验的，除监理人另有指示外，承包人可自行试验和检验，并应立即将试验和检验结果报送监理人，监理人应签字确认。</w:t>
      </w:r>
    </w:p>
    <w:p w14:paraId="108DFA26">
      <w:pPr>
        <w:pStyle w:val="11"/>
      </w:pPr>
      <w: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11"/>
      </w:pPr>
      <w:r>
        <w:t>14.1.4承包人应按相关规定和标准对水泥、钢材等原材料与中间产品质量进行检验, 并报监理人复核。</w:t>
      </w:r>
    </w:p>
    <w:p w14:paraId="1C52D6BB">
      <w:pPr>
        <w:pStyle w:val="11"/>
      </w:pPr>
      <w: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11"/>
      </w:pPr>
      <w:r>
        <w:t>14.1.6对专用合同条款约定的试块、试件及有关材料，监理人实行见证取样。见证取样资料由承包人制备，记录应真实齐全，监理人、承包人等参与见证取样人员均应在相关文件上签字。</w:t>
      </w:r>
    </w:p>
    <w:p w14:paraId="66D9148F">
      <w:pPr>
        <w:pStyle w:val="2"/>
        <w:numPr>
          <w:ilvl w:val="0"/>
          <w:numId w:val="0"/>
        </w:numPr>
        <w:bidi w:val="0"/>
        <w:ind w:left="482" w:leftChars="0"/>
      </w:pPr>
      <w:bookmarkStart w:id="773" w:name="bookmark1259"/>
      <w:bookmarkStart w:id="774" w:name="_Toc14710369"/>
      <w:bookmarkStart w:id="775" w:name="_Toc24338"/>
      <w:bookmarkStart w:id="776" w:name="bookmark1260"/>
      <w:bookmarkStart w:id="777" w:name="bookmark1261"/>
      <w:r>
        <w:t>14.2现场材料试验</w:t>
      </w:r>
      <w:bookmarkEnd w:id="773"/>
      <w:bookmarkEnd w:id="774"/>
      <w:bookmarkEnd w:id="775"/>
      <w:bookmarkEnd w:id="776"/>
      <w:bookmarkEnd w:id="777"/>
    </w:p>
    <w:p w14:paraId="20E64F5B">
      <w:pPr>
        <w:pStyle w:val="11"/>
      </w:pPr>
      <w:bookmarkStart w:id="778" w:name="bookmark1262"/>
      <w:bookmarkEnd w:id="778"/>
      <w:r>
        <w:t>14.2.1承包人根据合同约定或监理人指示进行的现场材料试验，应由承包人提供试 验场所、试验人员、试验设备器材以及其他必要的试验条件。</w:t>
      </w:r>
    </w:p>
    <w:p w14:paraId="40013149">
      <w:pPr>
        <w:pStyle w:val="11"/>
      </w:pPr>
      <w:bookmarkStart w:id="779" w:name="bookmark1263"/>
      <w:bookmarkEnd w:id="779"/>
      <w:r>
        <w:t>14.2.2监理人在必要时可以使用承包人的试验场所、试验设备器材以及其他试验条件，进行以工程质量检查为目的的复核性材料试验，承包人应予以协助。</w:t>
      </w:r>
    </w:p>
    <w:p w14:paraId="0804F31C">
      <w:pPr>
        <w:pStyle w:val="2"/>
        <w:numPr>
          <w:ilvl w:val="0"/>
          <w:numId w:val="0"/>
        </w:numPr>
        <w:bidi w:val="0"/>
        <w:ind w:left="482" w:leftChars="0"/>
      </w:pPr>
      <w:bookmarkStart w:id="780" w:name="bookmark1266"/>
      <w:bookmarkStart w:id="781" w:name="_Toc14710370"/>
      <w:bookmarkStart w:id="782" w:name="_Toc21991"/>
      <w:bookmarkStart w:id="783" w:name="bookmark1265"/>
      <w:bookmarkStart w:id="784" w:name="bookmark1264"/>
      <w:r>
        <w:t>14.3现场工艺试验</w:t>
      </w:r>
      <w:bookmarkEnd w:id="780"/>
      <w:bookmarkEnd w:id="781"/>
      <w:bookmarkEnd w:id="782"/>
      <w:bookmarkEnd w:id="783"/>
      <w:bookmarkEnd w:id="784"/>
    </w:p>
    <w:p w14:paraId="78B3613E">
      <w:pPr>
        <w:pStyle w:val="11"/>
      </w:pPr>
      <w: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2"/>
        <w:numPr>
          <w:ilvl w:val="0"/>
          <w:numId w:val="0"/>
        </w:numPr>
        <w:bidi w:val="0"/>
        <w:ind w:left="482" w:leftChars="0"/>
      </w:pPr>
      <w:bookmarkStart w:id="785" w:name="bookmark1269"/>
      <w:bookmarkStart w:id="786" w:name="_Toc9858"/>
      <w:bookmarkStart w:id="787" w:name="_Toc14710371"/>
      <w:bookmarkStart w:id="788" w:name="bookmark1267"/>
      <w:bookmarkStart w:id="789" w:name="bookmark1268"/>
      <w:r>
        <w:t>15.变更</w:t>
      </w:r>
      <w:bookmarkEnd w:id="785"/>
      <w:bookmarkEnd w:id="786"/>
      <w:bookmarkEnd w:id="787"/>
    </w:p>
    <w:p w14:paraId="745D3F75">
      <w:pPr>
        <w:pStyle w:val="2"/>
        <w:numPr>
          <w:ilvl w:val="0"/>
          <w:numId w:val="0"/>
        </w:numPr>
        <w:bidi w:val="0"/>
        <w:ind w:left="482" w:leftChars="0"/>
      </w:pPr>
      <w:bookmarkStart w:id="790" w:name="_Toc30097"/>
      <w:bookmarkStart w:id="791" w:name="bookmark1270"/>
      <w:bookmarkStart w:id="792" w:name="_Toc14710372"/>
      <w:r>
        <w:t>15.1变更的范围和内容</w:t>
      </w:r>
      <w:bookmarkEnd w:id="788"/>
      <w:bookmarkEnd w:id="789"/>
      <w:bookmarkEnd w:id="790"/>
      <w:bookmarkEnd w:id="791"/>
      <w:bookmarkEnd w:id="792"/>
    </w:p>
    <w:p w14:paraId="50F8B8A2">
      <w:pPr>
        <w:pStyle w:val="11"/>
      </w:pPr>
      <w:r>
        <w:t>在履行合同中发生以下情形之一，应按照本条规定进行变更。</w:t>
      </w:r>
    </w:p>
    <w:p w14:paraId="6511C534">
      <w:pPr>
        <w:pStyle w:val="11"/>
      </w:pPr>
      <w:bookmarkStart w:id="793" w:name="bookmark1271"/>
      <w:bookmarkEnd w:id="793"/>
      <w:r>
        <w:rPr>
          <w:b w:val="0"/>
          <w:i w:val="0"/>
          <w:strike w:val="0"/>
          <w:color w:val="000000"/>
          <w:u w:val="none"/>
        </w:rPr>
        <w:t>(1)</w:t>
      </w:r>
      <w:r>
        <w:t>取消合同中任何一项工作，但被取消的工作不能转由发包人或其它人实施；</w:t>
      </w:r>
    </w:p>
    <w:p w14:paraId="039216A5">
      <w:pPr>
        <w:pStyle w:val="11"/>
      </w:pPr>
      <w:bookmarkStart w:id="794" w:name="bookmark1272"/>
      <w:bookmarkEnd w:id="794"/>
      <w:r>
        <w:rPr>
          <w:b w:val="0"/>
          <w:i w:val="0"/>
          <w:strike w:val="0"/>
          <w:color w:val="000000"/>
          <w:u w:val="none"/>
        </w:rPr>
        <w:t>(2)</w:t>
      </w:r>
      <w:r>
        <w:t>改变合同中任何一项工作的质量或其它特性；</w:t>
      </w:r>
    </w:p>
    <w:p w14:paraId="31D3552A">
      <w:pPr>
        <w:pStyle w:val="11"/>
      </w:pPr>
      <w:bookmarkStart w:id="795" w:name="bookmark1273"/>
      <w:bookmarkEnd w:id="795"/>
      <w:r>
        <w:rPr>
          <w:b w:val="0"/>
          <w:i w:val="0"/>
          <w:strike w:val="0"/>
          <w:color w:val="000000"/>
          <w:u w:val="none"/>
        </w:rPr>
        <w:t>(3)</w:t>
      </w:r>
      <w:r>
        <w:t>改变合同工程的基线、标高、位置或尺寸；</w:t>
      </w:r>
    </w:p>
    <w:p w14:paraId="62EB1BFB">
      <w:pPr>
        <w:pStyle w:val="11"/>
      </w:pPr>
      <w:bookmarkStart w:id="796" w:name="bookmark1274"/>
      <w:bookmarkEnd w:id="796"/>
      <w:r>
        <w:rPr>
          <w:b w:val="0"/>
          <w:i w:val="0"/>
          <w:strike w:val="0"/>
          <w:color w:val="000000"/>
          <w:u w:val="none"/>
        </w:rPr>
        <w:t>(4)</w:t>
      </w:r>
      <w:r>
        <w:t>改变合同中任何一项工作的施工时间或改变已批准的施工工艺或顺序；</w:t>
      </w:r>
    </w:p>
    <w:p w14:paraId="3F31F586">
      <w:pPr>
        <w:pStyle w:val="11"/>
      </w:pPr>
      <w:bookmarkStart w:id="797" w:name="bookmark1275"/>
      <w:bookmarkEnd w:id="797"/>
      <w:r>
        <w:rPr>
          <w:b w:val="0"/>
          <w:i w:val="0"/>
          <w:strike w:val="0"/>
          <w:color w:val="000000"/>
          <w:u w:val="none"/>
        </w:rPr>
        <w:t>(5)</w:t>
      </w:r>
      <w:r>
        <w:t>为完成工程需要追加的额外工作；</w:t>
      </w:r>
    </w:p>
    <w:p w14:paraId="4215626C">
      <w:pPr>
        <w:pStyle w:val="11"/>
      </w:pPr>
      <w:bookmarkStart w:id="798" w:name="bookmark1276"/>
      <w:bookmarkEnd w:id="798"/>
      <w:r>
        <w:rPr>
          <w:b w:val="0"/>
          <w:i w:val="0"/>
          <w:strike w:val="0"/>
          <w:color w:val="000000"/>
          <w:u w:val="none"/>
        </w:rPr>
        <w:t>(6)</w:t>
      </w:r>
      <w:r>
        <w:t>增加或减少专用合同条款中约定的关键项目工程量超过其工程总量的一定数量的百分比。</w:t>
      </w:r>
    </w:p>
    <w:p w14:paraId="16114A48">
      <w:pPr>
        <w:pStyle w:val="11"/>
      </w:pPr>
      <w:r>
        <w:t>上述第(1) ~ (6)目的变更内容引起工程施工组织和进度计划发生实质性变动和影响其原定的价格时，才予调整该项目的单价。第(6)目情形下单价调整方式在专用合同条款中约定。</w:t>
      </w:r>
    </w:p>
    <w:p w14:paraId="397EB432">
      <w:pPr>
        <w:pStyle w:val="2"/>
        <w:numPr>
          <w:ilvl w:val="0"/>
          <w:numId w:val="0"/>
        </w:numPr>
        <w:bidi w:val="0"/>
        <w:ind w:left="482" w:leftChars="0"/>
      </w:pPr>
      <w:bookmarkStart w:id="799" w:name="bookmark1277"/>
      <w:bookmarkStart w:id="800" w:name="_Toc14710373"/>
      <w:bookmarkStart w:id="801" w:name="bookmark1278"/>
      <w:bookmarkStart w:id="802" w:name="_Toc25903"/>
      <w:bookmarkStart w:id="803" w:name="bookmark1279"/>
      <w:r>
        <w:t>15.2变更权</w:t>
      </w:r>
      <w:bookmarkEnd w:id="799"/>
      <w:bookmarkEnd w:id="800"/>
      <w:bookmarkEnd w:id="801"/>
      <w:bookmarkEnd w:id="802"/>
      <w:bookmarkEnd w:id="803"/>
    </w:p>
    <w:p w14:paraId="43686455">
      <w:pPr>
        <w:pStyle w:val="11"/>
      </w:pPr>
      <w:r>
        <w:t>在履行合同过程中，经发包人同意，监理人可按第15. 3款约定的变更程序向承包人作出变更指示，承包人应遵照执行。没有监理人的变更指示，承包人不得擅自变更。</w:t>
      </w:r>
    </w:p>
    <w:p w14:paraId="16CDE76F">
      <w:pPr>
        <w:pStyle w:val="2"/>
        <w:numPr>
          <w:ilvl w:val="0"/>
          <w:numId w:val="0"/>
        </w:numPr>
        <w:bidi w:val="0"/>
        <w:ind w:left="482" w:leftChars="0"/>
      </w:pPr>
      <w:bookmarkStart w:id="804" w:name="bookmark1280"/>
      <w:bookmarkStart w:id="805" w:name="_Toc14710374"/>
      <w:bookmarkStart w:id="806" w:name="_Toc24991"/>
      <w:bookmarkStart w:id="807" w:name="bookmark1282"/>
      <w:bookmarkStart w:id="808" w:name="bookmark1281"/>
      <w:r>
        <w:t>15.3变更程序</w:t>
      </w:r>
      <w:bookmarkEnd w:id="804"/>
      <w:bookmarkEnd w:id="805"/>
      <w:bookmarkEnd w:id="806"/>
      <w:bookmarkEnd w:id="807"/>
      <w:bookmarkEnd w:id="808"/>
    </w:p>
    <w:p w14:paraId="2C1B96C0">
      <w:pPr>
        <w:pStyle w:val="2"/>
        <w:numPr>
          <w:ilvl w:val="0"/>
          <w:numId w:val="0"/>
        </w:numPr>
        <w:bidi w:val="0"/>
        <w:ind w:left="482" w:leftChars="0"/>
      </w:pPr>
      <w:r>
        <w:t>15.3.1变更的提出</w:t>
      </w:r>
    </w:p>
    <w:p w14:paraId="227917F2">
      <w:pPr>
        <w:pStyle w:val="11"/>
      </w:pPr>
      <w:bookmarkStart w:id="809" w:name="bookmark1283"/>
      <w:bookmarkEnd w:id="809"/>
      <w:r>
        <w:rPr>
          <w:b w:val="0"/>
          <w:i w:val="0"/>
          <w:strike w:val="0"/>
          <w:color w:val="000000"/>
          <w:u w:val="none"/>
        </w:rPr>
        <w:t>(1)</w:t>
      </w:r>
      <w: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11"/>
      </w:pPr>
      <w:bookmarkStart w:id="810" w:name="bookmark1284"/>
      <w:bookmarkEnd w:id="810"/>
      <w:r>
        <w:rPr>
          <w:b w:val="0"/>
          <w:i w:val="0"/>
          <w:strike w:val="0"/>
          <w:color w:val="000000"/>
          <w:u w:val="none"/>
        </w:rPr>
        <w:t>(2)</w:t>
      </w:r>
      <w:r>
        <w:t>在合同履行过程中，发生第15. 1款约定情形的，监理人应按照第15. 3. 3项约定向承包人发出变更指示。</w:t>
      </w:r>
    </w:p>
    <w:p w14:paraId="2045D07A">
      <w:pPr>
        <w:pStyle w:val="11"/>
      </w:pPr>
      <w:bookmarkStart w:id="811" w:name="bookmark1285"/>
      <w:bookmarkEnd w:id="811"/>
      <w:r>
        <w:rPr>
          <w:b w:val="0"/>
          <w:i w:val="0"/>
          <w:strike w:val="0"/>
          <w:color w:val="000000"/>
          <w:u w:val="none"/>
        </w:rPr>
        <w:t>(3)</w:t>
      </w:r>
      <w: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11"/>
      </w:pPr>
      <w:bookmarkStart w:id="812" w:name="bookmark1286"/>
      <w:bookmarkEnd w:id="812"/>
      <w:r>
        <w:rPr>
          <w:b w:val="0"/>
          <w:i w:val="0"/>
          <w:strike w:val="0"/>
          <w:color w:val="000000"/>
          <w:u w:val="none"/>
        </w:rPr>
        <w:t>(4)</w:t>
      </w:r>
      <w:r>
        <w:t>若承包人收到监理人的变更意向书后认为难以实施此项变更，应立即通知监理人, 说明原因并附详细依据。监理人与承包人和发包人协商后确定撤销、改变或不改变原变更 意向书。</w:t>
      </w:r>
    </w:p>
    <w:p w14:paraId="2DF09B56">
      <w:pPr>
        <w:pStyle w:val="2"/>
        <w:numPr>
          <w:ilvl w:val="0"/>
          <w:numId w:val="0"/>
        </w:numPr>
        <w:bidi w:val="0"/>
        <w:ind w:left="482" w:leftChars="0"/>
      </w:pPr>
      <w:r>
        <w:t>15.3.2变更估价</w:t>
      </w:r>
    </w:p>
    <w:p w14:paraId="1BE06C4D">
      <w:pPr>
        <w:pStyle w:val="11"/>
      </w:pPr>
      <w:bookmarkStart w:id="813" w:name="bookmark1287"/>
      <w:bookmarkEnd w:id="813"/>
      <w:r>
        <w:rPr>
          <w:b w:val="0"/>
          <w:i w:val="0"/>
          <w:strike w:val="0"/>
          <w:color w:val="000000"/>
          <w:u w:val="none"/>
        </w:rPr>
        <w:t>(1)</w:t>
      </w:r>
      <w: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11"/>
      </w:pPr>
      <w:bookmarkStart w:id="814" w:name="bookmark1288"/>
      <w:bookmarkEnd w:id="814"/>
      <w:r>
        <w:rPr>
          <w:b w:val="0"/>
          <w:i w:val="0"/>
          <w:strike w:val="0"/>
          <w:color w:val="000000"/>
          <w:u w:val="none"/>
        </w:rPr>
        <w:t>(2)</w:t>
      </w:r>
      <w:r>
        <w:t>变更工作影响工期的，承包人应提出调整工期的具体细节。监理人认为有必要时, 可要求承包人提交要求提前或延长工期的施工进度计划及相应施工措施等详细资料。</w:t>
      </w:r>
    </w:p>
    <w:p w14:paraId="6D86025D">
      <w:pPr>
        <w:pStyle w:val="11"/>
      </w:pPr>
      <w:bookmarkStart w:id="815" w:name="bookmark1289"/>
      <w:bookmarkEnd w:id="815"/>
      <w:r>
        <w:rPr>
          <w:b w:val="0"/>
          <w:i w:val="0"/>
          <w:strike w:val="0"/>
          <w:color w:val="000000"/>
          <w:u w:val="none"/>
        </w:rPr>
        <w:t>(3)</w:t>
      </w:r>
      <w:r>
        <w:t>除专用合同条款对期限另有约定外，监理人收到承包人变更报价书后的14天内，根据第15. 4款约定的估价原则，按照第3. 5款商定或确定变更价格。</w:t>
      </w:r>
    </w:p>
    <w:p w14:paraId="6291D9E0">
      <w:pPr>
        <w:pStyle w:val="2"/>
        <w:numPr>
          <w:ilvl w:val="0"/>
          <w:numId w:val="0"/>
        </w:numPr>
        <w:bidi w:val="0"/>
        <w:ind w:left="482" w:leftChars="0"/>
      </w:pPr>
      <w:r>
        <w:t>15.3.3变更指示</w:t>
      </w:r>
    </w:p>
    <w:p w14:paraId="62E1638B">
      <w:pPr>
        <w:pStyle w:val="11"/>
      </w:pPr>
      <w:bookmarkStart w:id="816" w:name="bookmark1290"/>
      <w:bookmarkEnd w:id="816"/>
      <w:r>
        <w:rPr>
          <w:b w:val="0"/>
          <w:i w:val="0"/>
          <w:strike w:val="0"/>
          <w:color w:val="000000"/>
          <w:u w:val="none"/>
        </w:rPr>
        <w:t>(1)</w:t>
      </w:r>
      <w:r>
        <w:t>变更指示只能由监理人发出。</w:t>
      </w:r>
    </w:p>
    <w:p w14:paraId="28D1A5A4">
      <w:pPr>
        <w:pStyle w:val="11"/>
      </w:pPr>
      <w:bookmarkStart w:id="817" w:name="bookmark1291"/>
      <w:bookmarkEnd w:id="817"/>
      <w:r>
        <w:rPr>
          <w:b w:val="0"/>
          <w:i w:val="0"/>
          <w:strike w:val="0"/>
          <w:color w:val="000000"/>
          <w:u w:val="none"/>
        </w:rPr>
        <w:t>(2)</w:t>
      </w:r>
      <w:r>
        <w:t>变更指示应说明变更的目的、范围、变更内容以及变更的工程量及其进度和技术要求，并附有关图纸和文件。承包人收到变更指示后，应按变更指示进行变更工作。</w:t>
      </w:r>
    </w:p>
    <w:p w14:paraId="1BB1275E">
      <w:pPr>
        <w:pStyle w:val="2"/>
        <w:numPr>
          <w:ilvl w:val="0"/>
          <w:numId w:val="0"/>
        </w:numPr>
        <w:bidi w:val="0"/>
        <w:ind w:left="482" w:leftChars="0"/>
      </w:pPr>
      <w:bookmarkStart w:id="818" w:name="_Toc9569"/>
      <w:bookmarkStart w:id="819" w:name="bookmark1293"/>
      <w:bookmarkStart w:id="820" w:name="bookmark1294"/>
      <w:bookmarkStart w:id="821" w:name="_Toc14710375"/>
      <w:bookmarkStart w:id="822" w:name="bookmark1292"/>
      <w:r>
        <w:t>15.4变更的估价原则</w:t>
      </w:r>
      <w:bookmarkEnd w:id="818"/>
      <w:bookmarkEnd w:id="819"/>
      <w:bookmarkEnd w:id="820"/>
      <w:bookmarkEnd w:id="821"/>
      <w:bookmarkEnd w:id="822"/>
    </w:p>
    <w:p w14:paraId="2FE7232D">
      <w:pPr>
        <w:pStyle w:val="11"/>
      </w:pPr>
      <w:r>
        <w:t>除专用合同条款另有约定外，因变更引起的价格调整按照本款约定处理。</w:t>
      </w:r>
    </w:p>
    <w:p w14:paraId="0293510F">
      <w:pPr>
        <w:pStyle w:val="11"/>
      </w:pPr>
      <w:r>
        <w:t>15.4.1已标价工程量清单中有适用于变更工作的子目的，采用该子目的单价。</w:t>
      </w:r>
    </w:p>
    <w:p w14:paraId="2BAAA260">
      <w:pPr>
        <w:pStyle w:val="11"/>
      </w:pPr>
      <w:r>
        <w:t>15.4.2已标价工程量清单中无适用于变更工作的子目，但有类似子目的，可在合理范围内参照类似子目的单价，由监理人按第3. 5款商定或确定变更工作的单价。</w:t>
      </w:r>
    </w:p>
    <w:p w14:paraId="42A0A7F4">
      <w:pPr>
        <w:pStyle w:val="11"/>
      </w:pPr>
      <w:r>
        <w:t>15.4.3已标价工程量清单中无适用或类似子目的单价，可按照成本加利润的原则，由监理人按第3. 5款商定或确定变更工作的单价。</w:t>
      </w:r>
    </w:p>
    <w:p w14:paraId="1A1CEC82">
      <w:pPr>
        <w:pStyle w:val="2"/>
        <w:numPr>
          <w:ilvl w:val="0"/>
          <w:numId w:val="0"/>
        </w:numPr>
        <w:bidi w:val="0"/>
        <w:ind w:left="482" w:leftChars="0"/>
      </w:pPr>
      <w:bookmarkStart w:id="823" w:name="bookmark1295"/>
      <w:bookmarkStart w:id="824" w:name="bookmark1296"/>
      <w:bookmarkStart w:id="825" w:name="bookmark1297"/>
      <w:r>
        <w:t>15.5承包人的合理化建议</w:t>
      </w:r>
      <w:bookmarkEnd w:id="823"/>
      <w:bookmarkEnd w:id="824"/>
      <w:bookmarkEnd w:id="825"/>
    </w:p>
    <w:p w14:paraId="3E03533E">
      <w:pPr>
        <w:pStyle w:val="11"/>
      </w:pPr>
      <w:bookmarkStart w:id="826" w:name="bookmark1298"/>
      <w:bookmarkEnd w:id="826"/>
      <w: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11"/>
      </w:pPr>
      <w:r>
        <w:t>15.5.2承包人提出的合理化建议降低了合同价格、缩短了工期或者提高了工程经济效益的，发包人可按国家有关规定在专用合同条款中约定给予奖励。</w:t>
      </w:r>
    </w:p>
    <w:p w14:paraId="033FC89D">
      <w:pPr>
        <w:pStyle w:val="2"/>
        <w:numPr>
          <w:ilvl w:val="0"/>
          <w:numId w:val="0"/>
        </w:numPr>
        <w:bidi w:val="0"/>
        <w:ind w:left="482" w:leftChars="0"/>
      </w:pPr>
      <w:bookmarkStart w:id="827" w:name="_Toc14710376"/>
      <w:bookmarkStart w:id="828" w:name="_Toc7702"/>
      <w:bookmarkStart w:id="829" w:name="bookmark1301"/>
      <w:bookmarkStart w:id="830" w:name="bookmark1299"/>
      <w:bookmarkStart w:id="831" w:name="bookmark1300"/>
      <w:r>
        <w:t>15.6暂列金额</w:t>
      </w:r>
      <w:bookmarkEnd w:id="827"/>
      <w:bookmarkEnd w:id="828"/>
      <w:bookmarkEnd w:id="829"/>
      <w:bookmarkEnd w:id="830"/>
      <w:bookmarkEnd w:id="831"/>
    </w:p>
    <w:p w14:paraId="5B0CC5F0">
      <w:pPr>
        <w:pStyle w:val="11"/>
      </w:pPr>
      <w:r>
        <w:t>暂列金额只能按照监理人的指示使用，并对合同价格进行相应调整。</w:t>
      </w:r>
    </w:p>
    <w:p w14:paraId="595458E7">
      <w:pPr>
        <w:pStyle w:val="2"/>
        <w:numPr>
          <w:ilvl w:val="0"/>
          <w:numId w:val="0"/>
        </w:numPr>
        <w:bidi w:val="0"/>
        <w:ind w:left="482" w:leftChars="0"/>
      </w:pPr>
      <w:bookmarkStart w:id="832" w:name="_Toc23161"/>
      <w:bookmarkStart w:id="833" w:name="bookmark1304"/>
      <w:bookmarkStart w:id="834" w:name="_Toc14710377"/>
      <w:bookmarkStart w:id="835" w:name="bookmark1303"/>
      <w:bookmarkStart w:id="836" w:name="bookmark1302"/>
      <w:r>
        <w:t>15.7计日工</w:t>
      </w:r>
      <w:bookmarkEnd w:id="832"/>
      <w:bookmarkEnd w:id="833"/>
      <w:bookmarkEnd w:id="834"/>
      <w:bookmarkEnd w:id="835"/>
      <w:bookmarkEnd w:id="836"/>
    </w:p>
    <w:p w14:paraId="018E84FC">
      <w:pPr>
        <w:pStyle w:val="11"/>
      </w:pPr>
      <w:r>
        <w:t>15.7.1发包人认为有必要时，由监理人通知承包人以计日工方式实施变更的零星工作。其价款按列入已标价工程量清单中的计日工计价子目及其单价进行计算。</w:t>
      </w:r>
    </w:p>
    <w:p w14:paraId="12ED1108">
      <w:pPr>
        <w:pStyle w:val="11"/>
      </w:pPr>
      <w:r>
        <w:t>15.7.2采用计日工计价的任何一项变更工作，应从暂列金额中支付，承包人应在该项变更的实施过程中，每天提交以下报表和有关凭证报送监理人审批：</w:t>
      </w:r>
    </w:p>
    <w:p w14:paraId="0FE471E6">
      <w:pPr>
        <w:pStyle w:val="11"/>
      </w:pPr>
      <w:bookmarkStart w:id="837" w:name="bookmark1305"/>
      <w:bookmarkEnd w:id="837"/>
      <w:r>
        <w:rPr>
          <w:b w:val="0"/>
          <w:i w:val="0"/>
          <w:strike w:val="0"/>
          <w:color w:val="000000"/>
          <w:u w:val="none"/>
        </w:rPr>
        <w:t>(1)</w:t>
      </w:r>
      <w:r>
        <w:t>工作名称、内容和数量；</w:t>
      </w:r>
    </w:p>
    <w:p w14:paraId="78861C96">
      <w:pPr>
        <w:pStyle w:val="11"/>
      </w:pPr>
      <w:bookmarkStart w:id="838" w:name="bookmark1306"/>
      <w:bookmarkEnd w:id="838"/>
      <w:r>
        <w:rPr>
          <w:b w:val="0"/>
          <w:i w:val="0"/>
          <w:strike w:val="0"/>
          <w:color w:val="000000"/>
          <w:u w:val="none"/>
        </w:rPr>
        <w:t>(2)</w:t>
      </w:r>
      <w:r>
        <w:t>投入该工作所有人员的姓名、工种、级别和耗用工时；</w:t>
      </w:r>
    </w:p>
    <w:p w14:paraId="00F0AD9A">
      <w:pPr>
        <w:pStyle w:val="11"/>
      </w:pPr>
      <w:bookmarkStart w:id="839" w:name="bookmark1307"/>
      <w:bookmarkEnd w:id="839"/>
      <w:r>
        <w:rPr>
          <w:b w:val="0"/>
          <w:i w:val="0"/>
          <w:strike w:val="0"/>
          <w:color w:val="000000"/>
          <w:u w:val="none"/>
        </w:rPr>
        <w:t>(3)</w:t>
      </w:r>
      <w:r>
        <w:t>投入该工作的材料类别和数量；</w:t>
      </w:r>
    </w:p>
    <w:p w14:paraId="5A6169A3">
      <w:pPr>
        <w:pStyle w:val="11"/>
      </w:pPr>
      <w:bookmarkStart w:id="840" w:name="bookmark1308"/>
      <w:bookmarkEnd w:id="840"/>
      <w:r>
        <w:rPr>
          <w:b w:val="0"/>
          <w:i w:val="0"/>
          <w:strike w:val="0"/>
          <w:color w:val="000000"/>
          <w:u w:val="none"/>
        </w:rPr>
        <w:t>(4)</w:t>
      </w:r>
      <w:r>
        <w:t>投入该工作的施工设备型号、台数和耗用台时；</w:t>
      </w:r>
    </w:p>
    <w:p w14:paraId="5D625B8B">
      <w:pPr>
        <w:pStyle w:val="11"/>
      </w:pPr>
      <w:bookmarkStart w:id="841" w:name="bookmark1309"/>
      <w:bookmarkEnd w:id="841"/>
      <w:r>
        <w:rPr>
          <w:b w:val="0"/>
          <w:i w:val="0"/>
          <w:strike w:val="0"/>
          <w:color w:val="000000"/>
          <w:u w:val="none"/>
        </w:rPr>
        <w:t>(5)</w:t>
      </w:r>
      <w:r>
        <w:t>监理人要求提交的其他资料和凭证。</w:t>
      </w:r>
    </w:p>
    <w:p w14:paraId="5C963911">
      <w:pPr>
        <w:pStyle w:val="11"/>
      </w:pPr>
      <w:r>
        <w:t>15.7.3计日工由承包人汇总后，按第17.3.2项的约定列入进度付款申请单，由监理人复核并经发包人同意后列入进度付款。</w:t>
      </w:r>
    </w:p>
    <w:p w14:paraId="57A2F1CF">
      <w:pPr>
        <w:pStyle w:val="2"/>
        <w:numPr>
          <w:ilvl w:val="0"/>
          <w:numId w:val="0"/>
        </w:numPr>
        <w:bidi w:val="0"/>
        <w:ind w:left="482" w:leftChars="0"/>
      </w:pPr>
      <w:bookmarkStart w:id="842" w:name="bookmark1312"/>
      <w:bookmarkStart w:id="843" w:name="_Toc14710378"/>
      <w:bookmarkStart w:id="844" w:name="_Toc6776"/>
      <w:bookmarkStart w:id="845" w:name="bookmark1310"/>
      <w:bookmarkStart w:id="846" w:name="bookmark1311"/>
      <w:r>
        <w:t>15.8暂估价</w:t>
      </w:r>
      <w:bookmarkEnd w:id="842"/>
      <w:bookmarkEnd w:id="843"/>
      <w:bookmarkEnd w:id="844"/>
      <w:bookmarkEnd w:id="845"/>
      <w:bookmarkEnd w:id="846"/>
    </w:p>
    <w:p w14:paraId="4C0BB48E">
      <w:pPr>
        <w:pStyle w:val="11"/>
      </w:pPr>
      <w:bookmarkStart w:id="847" w:name="bookmark1313"/>
      <w:bookmarkEnd w:id="847"/>
      <w: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11"/>
      </w:pPr>
      <w:bookmarkStart w:id="848" w:name="bookmark1314"/>
      <w:bookmarkEnd w:id="848"/>
      <w: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11"/>
      </w:pPr>
      <w:bookmarkStart w:id="849" w:name="bookmark1315"/>
      <w:bookmarkEnd w:id="849"/>
      <w: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2"/>
        <w:numPr>
          <w:ilvl w:val="0"/>
          <w:numId w:val="0"/>
        </w:numPr>
        <w:bidi w:val="0"/>
        <w:ind w:left="482" w:leftChars="0"/>
      </w:pPr>
      <w:bookmarkStart w:id="850" w:name="_Toc14710379"/>
      <w:bookmarkStart w:id="851" w:name="bookmark1316"/>
      <w:bookmarkStart w:id="852" w:name="_Toc242"/>
      <w:bookmarkStart w:id="853" w:name="bookmark1317"/>
      <w:bookmarkStart w:id="854" w:name="bookmark1318"/>
      <w:r>
        <w:t>16 .价格调整</w:t>
      </w:r>
      <w:bookmarkEnd w:id="850"/>
      <w:bookmarkEnd w:id="851"/>
      <w:bookmarkEnd w:id="852"/>
      <w:bookmarkEnd w:id="853"/>
      <w:bookmarkEnd w:id="854"/>
    </w:p>
    <w:p w14:paraId="22B79E87">
      <w:pPr>
        <w:pStyle w:val="2"/>
        <w:numPr>
          <w:ilvl w:val="0"/>
          <w:numId w:val="0"/>
        </w:numPr>
        <w:bidi w:val="0"/>
        <w:ind w:left="482" w:leftChars="0"/>
      </w:pPr>
      <w:bookmarkStart w:id="855" w:name="bookmark1319"/>
      <w:bookmarkStart w:id="856" w:name="bookmark1321"/>
      <w:bookmarkStart w:id="857" w:name="_Toc2131"/>
      <w:bookmarkStart w:id="858" w:name="_Toc14710380"/>
      <w:bookmarkStart w:id="859" w:name="bookmark1320"/>
      <w:r>
        <w:t>16.1物价波动引起的价格调整</w:t>
      </w:r>
      <w:bookmarkEnd w:id="855"/>
      <w:bookmarkEnd w:id="856"/>
      <w:bookmarkEnd w:id="857"/>
      <w:bookmarkEnd w:id="858"/>
      <w:bookmarkEnd w:id="859"/>
    </w:p>
    <w:p w14:paraId="258E276E">
      <w:pPr>
        <w:pStyle w:val="11"/>
      </w:pPr>
      <w:r>
        <w:t>由于物价波动原因引起合同价格需要调整的，其价格调整方式在专用合同条款中约定；除专用合同条款另有约定外，因物价波动引起的价格调整按照本款约定处理。</w:t>
      </w:r>
    </w:p>
    <w:p w14:paraId="3683745F">
      <w:pPr>
        <w:pStyle w:val="2"/>
        <w:numPr>
          <w:ilvl w:val="0"/>
          <w:numId w:val="0"/>
        </w:numPr>
        <w:bidi w:val="0"/>
        <w:ind w:left="482" w:leftChars="0"/>
      </w:pPr>
      <w:bookmarkStart w:id="860" w:name="bookmark1322"/>
      <w:bookmarkEnd w:id="860"/>
      <w:r>
        <w:t>16.1.1采用价格指数调整价格差额</w:t>
      </w:r>
    </w:p>
    <w:p w14:paraId="6F1CFBD8">
      <w:pPr>
        <w:pStyle w:val="2"/>
        <w:numPr>
          <w:ilvl w:val="0"/>
          <w:numId w:val="0"/>
        </w:numPr>
        <w:bidi w:val="0"/>
        <w:ind w:left="482" w:leftChars="0"/>
      </w:pPr>
      <w:bookmarkStart w:id="861" w:name="bookmark1323"/>
      <w:bookmarkEnd w:id="861"/>
      <w:r>
        <w:t>16.1.1.1价格调整公式</w:t>
      </w:r>
    </w:p>
    <w:p w14:paraId="702EDCE4">
      <w:pPr>
        <w:pStyle w:val="11"/>
      </w:pPr>
      <w:r>
        <w:t>因人工、材料和设备等价格波动影响合同价格时，根据投标函附录中的价格指数和权重表约定的数据，按以下公式计算差额并调整合同价格。</w:t>
      </w:r>
    </w:p>
    <w:p w14:paraId="4A3FFBE9">
      <w:pPr>
        <w:pStyle w:val="36"/>
        <w:spacing w:line="440" w:lineRule="exact"/>
        <w:ind w:firstLine="420"/>
        <w:rPr>
          <w:sz w:val="21"/>
          <w:szCs w:val="21"/>
          <w:lang w:val="en-US"/>
        </w:rPr>
      </w:pPr>
      <w:r>
        <w:rPr>
          <w:rFonts w:hint="eastAsia"/>
          <w:position w:val="-34"/>
          <w:sz w:val="21"/>
          <w:szCs w:val="21"/>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11"/>
      </w:pPr>
      <w:r>
        <w:t>式中： △P -- 需调整的价格差额；</w:t>
      </w:r>
    </w:p>
    <w:p w14:paraId="5D72E784">
      <w:pPr>
        <w:pStyle w:val="11"/>
      </w:pPr>
      <w: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11"/>
      </w:pPr>
      <w:bookmarkStart w:id="862" w:name="_Toc152042495"/>
      <w:bookmarkStart w:id="863" w:name="_Toc144974686"/>
      <w:r>
        <w:t>A -- 定值权重(即不调部分的权重)；</w:t>
      </w:r>
      <w:bookmarkEnd w:id="862"/>
      <w:bookmarkEnd w:id="863"/>
    </w:p>
    <w:p w14:paraId="5A05170A">
      <w:pPr>
        <w:pStyle w:val="11"/>
      </w:pPr>
      <w:r>
        <w:t>B1；B2；B3·····Bn -- 各可调因子的变值权重(即可调部分的权重)为各可调因子在投标函投标总报价中所占的比例；</w:t>
      </w:r>
    </w:p>
    <w:p w14:paraId="14E3DB0B">
      <w:pPr>
        <w:pStyle w:val="11"/>
      </w:pPr>
      <w:r>
        <w:t>Ft1；Ft2；Ft3·····Ftn -- 各可调因子的现行价格指数，指第17.3.3项、第17.5.2项和第17.6.2项约定的付款证书相关周期最后一天的前42天的各可调因子的价格指数；</w:t>
      </w:r>
    </w:p>
    <w:p w14:paraId="2590A4B9">
      <w:pPr>
        <w:pStyle w:val="11"/>
      </w:pPr>
      <w:r>
        <w:t>Fo1；Fo2; Fo3·····Fon -- 各可调因子的基本价格指数，指基准日期的各可调因子的价格指数。</w:t>
      </w:r>
    </w:p>
    <w:p w14:paraId="79E14530">
      <w:pPr>
        <w:pStyle w:val="11"/>
      </w:pPr>
      <w: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2"/>
        <w:numPr>
          <w:ilvl w:val="0"/>
          <w:numId w:val="0"/>
        </w:numPr>
        <w:bidi w:val="0"/>
        <w:ind w:left="482" w:leftChars="0"/>
      </w:pPr>
      <w:r>
        <w:t>16.1.1.2暂时确定调整差额</w:t>
      </w:r>
    </w:p>
    <w:p w14:paraId="0FB47273">
      <w:pPr>
        <w:pStyle w:val="11"/>
      </w:pPr>
      <w:r>
        <w:t>在计算调整差额时得不到现行价格指数的，可暂用上一次价格指数计算，并在以后的付款中再按实际价格指数进行调整。</w:t>
      </w:r>
    </w:p>
    <w:p w14:paraId="2898D593">
      <w:pPr>
        <w:pStyle w:val="2"/>
        <w:numPr>
          <w:ilvl w:val="0"/>
          <w:numId w:val="0"/>
        </w:numPr>
        <w:bidi w:val="0"/>
        <w:ind w:left="482" w:leftChars="0"/>
      </w:pPr>
      <w:r>
        <w:t>16.1.1.3权重的调整</w:t>
      </w:r>
    </w:p>
    <w:p w14:paraId="03CE7076">
      <w:pPr>
        <w:pStyle w:val="11"/>
      </w:pPr>
      <w:r>
        <w:t>按第15. 1款约定的变更导致原定合同中的权重不合理时，由监理人与承包人和发包人协商后进行调整。</w:t>
      </w:r>
    </w:p>
    <w:p w14:paraId="45C82067">
      <w:pPr>
        <w:pStyle w:val="2"/>
        <w:numPr>
          <w:ilvl w:val="0"/>
          <w:numId w:val="0"/>
        </w:numPr>
        <w:bidi w:val="0"/>
        <w:ind w:left="482" w:leftChars="0"/>
      </w:pPr>
      <w:r>
        <w:t>16.1.1.4承包人工期延误后的价格调整</w:t>
      </w:r>
    </w:p>
    <w:p w14:paraId="03FD5151">
      <w:pPr>
        <w:pStyle w:val="11"/>
      </w:pPr>
      <w: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2"/>
        <w:numPr>
          <w:ilvl w:val="0"/>
          <w:numId w:val="0"/>
        </w:numPr>
        <w:bidi w:val="0"/>
        <w:ind w:left="482" w:leftChars="0"/>
      </w:pPr>
      <w:bookmarkStart w:id="864" w:name="bookmark1325"/>
      <w:bookmarkEnd w:id="864"/>
      <w:r>
        <w:t>16.1.2采用造价信息调整价格差额</w:t>
      </w:r>
    </w:p>
    <w:p w14:paraId="5C38EDB7">
      <w:pPr>
        <w:pStyle w:val="11"/>
      </w:pPr>
      <w: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11"/>
      </w:pPr>
      <w:r>
        <w:t>工程造价信息的来源以及价格调整的项目和系数在专用合同条款中约定。</w:t>
      </w:r>
    </w:p>
    <w:p w14:paraId="5E65F9EE">
      <w:pPr>
        <w:pStyle w:val="2"/>
        <w:numPr>
          <w:ilvl w:val="0"/>
          <w:numId w:val="0"/>
        </w:numPr>
        <w:bidi w:val="0"/>
        <w:ind w:left="482" w:leftChars="0"/>
      </w:pPr>
      <w:bookmarkStart w:id="865" w:name="_Toc14710381"/>
      <w:bookmarkStart w:id="866" w:name="bookmark1328"/>
      <w:bookmarkStart w:id="867" w:name="bookmark1326"/>
      <w:bookmarkStart w:id="868" w:name="_Toc30516"/>
      <w:bookmarkStart w:id="869" w:name="bookmark1327"/>
      <w:r>
        <w:t>16.2法律变化引起的价格调整</w:t>
      </w:r>
      <w:bookmarkEnd w:id="865"/>
      <w:bookmarkEnd w:id="866"/>
      <w:bookmarkEnd w:id="867"/>
      <w:bookmarkEnd w:id="868"/>
      <w:bookmarkEnd w:id="869"/>
    </w:p>
    <w:p w14:paraId="39145035">
      <w:pPr>
        <w:pStyle w:val="11"/>
      </w:pPr>
      <w: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2"/>
        <w:numPr>
          <w:ilvl w:val="0"/>
          <w:numId w:val="0"/>
        </w:numPr>
        <w:bidi w:val="0"/>
        <w:ind w:left="482" w:leftChars="0"/>
      </w:pPr>
      <w:bookmarkStart w:id="870" w:name="_Toc15158"/>
      <w:bookmarkStart w:id="871" w:name="bookmark1331"/>
      <w:bookmarkStart w:id="872" w:name="bookmark1329"/>
      <w:bookmarkStart w:id="873" w:name="bookmark1330"/>
      <w:bookmarkStart w:id="874" w:name="_Toc14710382"/>
      <w:r>
        <w:t>17.计量与支付</w:t>
      </w:r>
      <w:bookmarkEnd w:id="870"/>
      <w:bookmarkEnd w:id="871"/>
      <w:bookmarkEnd w:id="872"/>
      <w:bookmarkEnd w:id="873"/>
      <w:bookmarkEnd w:id="874"/>
    </w:p>
    <w:p w14:paraId="5725D67E">
      <w:pPr>
        <w:pStyle w:val="2"/>
        <w:numPr>
          <w:ilvl w:val="0"/>
          <w:numId w:val="0"/>
        </w:numPr>
        <w:bidi w:val="0"/>
        <w:ind w:left="482" w:leftChars="0"/>
      </w:pPr>
      <w:bookmarkStart w:id="875" w:name="bookmark1333"/>
      <w:bookmarkStart w:id="876" w:name="bookmark1334"/>
      <w:bookmarkStart w:id="877" w:name="_Toc7733"/>
      <w:bookmarkStart w:id="878" w:name="bookmark1332"/>
      <w:bookmarkStart w:id="879" w:name="_Toc14710383"/>
      <w:r>
        <w:t>17.1计量</w:t>
      </w:r>
      <w:bookmarkEnd w:id="875"/>
      <w:bookmarkEnd w:id="876"/>
      <w:bookmarkEnd w:id="877"/>
      <w:bookmarkEnd w:id="878"/>
      <w:bookmarkEnd w:id="879"/>
    </w:p>
    <w:p w14:paraId="57123A4D">
      <w:pPr>
        <w:pStyle w:val="2"/>
        <w:numPr>
          <w:ilvl w:val="0"/>
          <w:numId w:val="0"/>
        </w:numPr>
        <w:bidi w:val="0"/>
        <w:ind w:left="482" w:leftChars="0"/>
      </w:pPr>
      <w:bookmarkStart w:id="880" w:name="bookmark1335"/>
      <w:bookmarkEnd w:id="880"/>
      <w:r>
        <w:t>17.1.1计量单位</w:t>
      </w:r>
    </w:p>
    <w:p w14:paraId="74E59E3F">
      <w:pPr>
        <w:pStyle w:val="11"/>
      </w:pPr>
      <w:r>
        <w:t>计量采用国家法定的计量单位。</w:t>
      </w:r>
    </w:p>
    <w:p w14:paraId="54EC1554">
      <w:pPr>
        <w:pStyle w:val="2"/>
        <w:numPr>
          <w:ilvl w:val="0"/>
          <w:numId w:val="0"/>
        </w:numPr>
        <w:bidi w:val="0"/>
        <w:ind w:left="482" w:leftChars="0"/>
      </w:pPr>
      <w:bookmarkStart w:id="881" w:name="bookmark1336"/>
      <w:bookmarkEnd w:id="881"/>
      <w:r>
        <w:t>17.1.2计量方法</w:t>
      </w:r>
    </w:p>
    <w:p w14:paraId="669F3D01">
      <w:pPr>
        <w:pStyle w:val="11"/>
      </w:pPr>
      <w:r>
        <w:t>结算工程量应按工程量清单中约定的方法计算。</w:t>
      </w:r>
    </w:p>
    <w:p w14:paraId="0282B7A0">
      <w:pPr>
        <w:pStyle w:val="2"/>
        <w:numPr>
          <w:ilvl w:val="0"/>
          <w:numId w:val="0"/>
        </w:numPr>
        <w:bidi w:val="0"/>
        <w:ind w:left="482" w:leftChars="0"/>
      </w:pPr>
      <w:r>
        <w:t>17.1.3计量周期</w:t>
      </w:r>
    </w:p>
    <w:p w14:paraId="219D7B89">
      <w:pPr>
        <w:pStyle w:val="11"/>
      </w:pPr>
      <w:r>
        <w:t>除专用合同条款另有约定外，单价子目已完成工程量按月计量，总价子目的计量周期 按批准的支付分解报告确定。</w:t>
      </w:r>
    </w:p>
    <w:p w14:paraId="5F95B091">
      <w:pPr>
        <w:pStyle w:val="2"/>
        <w:numPr>
          <w:ilvl w:val="0"/>
          <w:numId w:val="0"/>
        </w:numPr>
        <w:bidi w:val="0"/>
        <w:ind w:left="482" w:leftChars="0"/>
      </w:pPr>
      <w:r>
        <w:t>17.1.4单价子目的计量</w:t>
      </w:r>
    </w:p>
    <w:p w14:paraId="4674272B">
      <w:pPr>
        <w:pStyle w:val="11"/>
      </w:pPr>
      <w:bookmarkStart w:id="882" w:name="bookmark1337"/>
      <w:bookmarkEnd w:id="882"/>
      <w:r>
        <w:rPr>
          <w:b w:val="0"/>
          <w:i w:val="0"/>
          <w:strike w:val="0"/>
          <w:color w:val="000000"/>
          <w:u w:val="none"/>
        </w:rPr>
        <w:t>(1)</w:t>
      </w:r>
      <w:r>
        <w:t>已标价工程量清单中的单价子目工程量为估算工程量。结算工程量是承包人实际完成的，并按合同约定的计量方法进行计量的工程量。</w:t>
      </w:r>
    </w:p>
    <w:p w14:paraId="390F3C36">
      <w:pPr>
        <w:pStyle w:val="11"/>
      </w:pPr>
      <w:bookmarkStart w:id="883" w:name="bookmark1338"/>
      <w:bookmarkEnd w:id="883"/>
      <w:r>
        <w:rPr>
          <w:b w:val="0"/>
          <w:i w:val="0"/>
          <w:strike w:val="0"/>
          <w:color w:val="000000"/>
          <w:u w:val="none"/>
        </w:rPr>
        <w:t>(2)</w:t>
      </w:r>
      <w:r>
        <w:t>承包人对已完成的工程进行计量，向监理人提交进度付款申请单、已完成工程量报表和有关计量资料。</w:t>
      </w:r>
    </w:p>
    <w:p w14:paraId="5F530CC6">
      <w:pPr>
        <w:pStyle w:val="11"/>
      </w:pPr>
      <w:r>
        <w:rPr>
          <w:b w:val="0"/>
          <w:i w:val="0"/>
          <w:strike w:val="0"/>
          <w:color w:val="000000"/>
          <w:u w:val="none"/>
        </w:rPr>
        <w:t>(3)</w:t>
      </w:r>
      <w:r>
        <w:t>监理人对承包人提交的工程量报表进行复核，以确定实际完成的工程量。对数量</w:t>
      </w:r>
      <w:bookmarkStart w:id="884" w:name="bookmark1339"/>
      <w:bookmarkEnd w:id="884"/>
      <w: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11"/>
      </w:pPr>
      <w:bookmarkStart w:id="885" w:name="bookmark1340"/>
      <w:bookmarkEnd w:id="885"/>
      <w:r>
        <w:rPr>
          <w:b w:val="0"/>
          <w:i w:val="0"/>
          <w:strike w:val="0"/>
          <w:color w:val="000000"/>
          <w:u w:val="none"/>
        </w:rPr>
        <w:t>(4)</w:t>
      </w:r>
      <w:r>
        <w:t>监理人认为有必要时，可通知承包人共同进行联合测量、计量，承包人应遵照执行。</w:t>
      </w:r>
    </w:p>
    <w:p w14:paraId="34EAF0D5">
      <w:pPr>
        <w:pStyle w:val="11"/>
      </w:pPr>
      <w:bookmarkStart w:id="886" w:name="bookmark1341"/>
      <w:bookmarkEnd w:id="886"/>
      <w:r>
        <w:rPr>
          <w:b w:val="0"/>
          <w:i w:val="0"/>
          <w:strike w:val="0"/>
          <w:color w:val="000000"/>
          <w:u w:val="none"/>
        </w:rPr>
        <w:t>(5)</w:t>
      </w:r>
      <w: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11"/>
      </w:pPr>
      <w:bookmarkStart w:id="887" w:name="bookmark1342"/>
      <w:bookmarkEnd w:id="887"/>
      <w:r>
        <w:rPr>
          <w:b w:val="0"/>
          <w:i w:val="0"/>
          <w:strike w:val="0"/>
          <w:color w:val="000000"/>
          <w:u w:val="none"/>
        </w:rPr>
        <w:t>(6)</w:t>
      </w:r>
      <w: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2"/>
        <w:numPr>
          <w:ilvl w:val="0"/>
          <w:numId w:val="0"/>
        </w:numPr>
        <w:bidi w:val="0"/>
        <w:ind w:left="482" w:leftChars="0"/>
      </w:pPr>
      <w:r>
        <w:t>17.1.5总价子目的计量</w:t>
      </w:r>
    </w:p>
    <w:p w14:paraId="16982B42">
      <w:pPr>
        <w:pStyle w:val="11"/>
      </w:pPr>
      <w:r>
        <w:t>总价子目的分解和计量按照下述约定进行。</w:t>
      </w:r>
    </w:p>
    <w:p w14:paraId="50328C19">
      <w:pPr>
        <w:pStyle w:val="11"/>
      </w:pPr>
      <w:bookmarkStart w:id="888" w:name="bookmark1343"/>
      <w:bookmarkEnd w:id="888"/>
      <w:r>
        <w:rPr>
          <w:b w:val="0"/>
          <w:i w:val="0"/>
          <w:strike w:val="0"/>
          <w:color w:val="000000"/>
          <w:u w:val="none"/>
        </w:rPr>
        <w:t>(1)</w:t>
      </w:r>
      <w:r>
        <w:t>总价子目的计量和支付应以总价为基础，不因第16.1款中的因素而进行调整。承包人实际完成的工程量，是进行工程目标管理和控制进度支付的依据。</w:t>
      </w:r>
    </w:p>
    <w:p w14:paraId="6072CF27">
      <w:pPr>
        <w:pStyle w:val="11"/>
      </w:pPr>
      <w:bookmarkStart w:id="889" w:name="bookmark1344"/>
      <w:bookmarkEnd w:id="889"/>
      <w:r>
        <w:rPr>
          <w:b w:val="0"/>
          <w:i w:val="0"/>
          <w:strike w:val="0"/>
          <w:color w:val="000000"/>
          <w:u w:val="none"/>
        </w:rPr>
        <w:t>(2)</w:t>
      </w:r>
      <w: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11"/>
      </w:pPr>
      <w:bookmarkStart w:id="890" w:name="bookmark1345"/>
      <w:bookmarkEnd w:id="890"/>
      <w:r>
        <w:rPr>
          <w:b w:val="0"/>
          <w:i w:val="0"/>
          <w:strike w:val="0"/>
          <w:color w:val="000000"/>
          <w:u w:val="none"/>
        </w:rPr>
        <w:t>(3)</w:t>
      </w:r>
      <w:r>
        <w:t>监理人对承包人提交的上述资料进行复核，以确定分阶段实际完成的工程量和工程形象目标。对其有异议的，可要求承包人按第8. 2款约定进行共同复核和抽样复测。</w:t>
      </w:r>
    </w:p>
    <w:p w14:paraId="186C9B64">
      <w:pPr>
        <w:pStyle w:val="11"/>
      </w:pPr>
      <w:bookmarkStart w:id="891" w:name="bookmark1346"/>
      <w:bookmarkEnd w:id="891"/>
      <w:r>
        <w:rPr>
          <w:b w:val="0"/>
          <w:i w:val="0"/>
          <w:strike w:val="0"/>
          <w:color w:val="000000"/>
          <w:u w:val="none"/>
        </w:rPr>
        <w:t>(4)</w:t>
      </w:r>
      <w:r>
        <w:t>除按照第15条约定的变更外，总价子目的工程量是承包人用于结算的最终工程量。</w:t>
      </w:r>
    </w:p>
    <w:p w14:paraId="1D3FC3A7">
      <w:pPr>
        <w:pStyle w:val="2"/>
        <w:numPr>
          <w:ilvl w:val="0"/>
          <w:numId w:val="0"/>
        </w:numPr>
        <w:bidi w:val="0"/>
        <w:ind w:left="482" w:leftChars="0"/>
      </w:pPr>
      <w:bookmarkStart w:id="892" w:name="bookmark1347"/>
      <w:bookmarkStart w:id="893" w:name="bookmark1348"/>
      <w:bookmarkStart w:id="894" w:name="_Toc1366"/>
      <w:bookmarkStart w:id="895" w:name="bookmark1349"/>
      <w:bookmarkStart w:id="896" w:name="_Toc14710384"/>
      <w:r>
        <w:t>17.2预付款</w:t>
      </w:r>
      <w:bookmarkEnd w:id="892"/>
      <w:bookmarkEnd w:id="893"/>
      <w:bookmarkEnd w:id="894"/>
      <w:bookmarkEnd w:id="895"/>
      <w:bookmarkEnd w:id="896"/>
    </w:p>
    <w:p w14:paraId="601F8805">
      <w:pPr>
        <w:pStyle w:val="2"/>
        <w:numPr>
          <w:ilvl w:val="0"/>
          <w:numId w:val="0"/>
        </w:numPr>
        <w:bidi w:val="0"/>
        <w:ind w:left="482" w:leftChars="0"/>
      </w:pPr>
      <w:r>
        <w:t>17.2.1预付款</w:t>
      </w:r>
    </w:p>
    <w:p w14:paraId="6FAAA381">
      <w:pPr>
        <w:pStyle w:val="11"/>
      </w:pPr>
      <w: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2"/>
        <w:numPr>
          <w:ilvl w:val="0"/>
          <w:numId w:val="0"/>
        </w:numPr>
        <w:bidi w:val="0"/>
        <w:ind w:left="482" w:leftChars="0"/>
      </w:pPr>
      <w:r>
        <w:t>17.2.2预付款保函(担保)</w:t>
      </w:r>
    </w:p>
    <w:p w14:paraId="11F5F8D5">
      <w:pPr>
        <w:pStyle w:val="11"/>
      </w:pPr>
      <w:bookmarkStart w:id="897" w:name="bookmark1350"/>
      <w:bookmarkEnd w:id="897"/>
      <w:r>
        <w:rPr>
          <w:b w:val="0"/>
          <w:i w:val="0"/>
          <w:strike w:val="0"/>
          <w:color w:val="000000"/>
          <w:u w:val="none"/>
        </w:rPr>
        <w:t>(1)</w:t>
      </w:r>
      <w:r>
        <w:t>承包人应在收到第一次工程预付款的同时向发包人提交工程预付款担保，担保金额应与第一次工程预付款金额相同，工程预付款担保在第一次工程预付款被发包人扣回前一直有效。</w:t>
      </w:r>
    </w:p>
    <w:p w14:paraId="70893AA0">
      <w:pPr>
        <w:pStyle w:val="11"/>
      </w:pPr>
      <w:bookmarkStart w:id="898" w:name="bookmark1351"/>
      <w:bookmarkEnd w:id="898"/>
      <w:r>
        <w:rPr>
          <w:b w:val="0"/>
          <w:i w:val="0"/>
          <w:strike w:val="0"/>
          <w:color w:val="000000"/>
          <w:u w:val="none"/>
        </w:rPr>
        <w:t>(2)</w:t>
      </w:r>
      <w:r>
        <w:t>工程材料预付款的担保在专用合同条款中约定。</w:t>
      </w:r>
    </w:p>
    <w:p w14:paraId="3C5F6913">
      <w:pPr>
        <w:pStyle w:val="11"/>
      </w:pPr>
      <w:bookmarkStart w:id="899" w:name="bookmark1352"/>
      <w:bookmarkEnd w:id="899"/>
      <w:r>
        <w:rPr>
          <w:b w:val="0"/>
          <w:i w:val="0"/>
          <w:strike w:val="0"/>
          <w:color w:val="000000"/>
          <w:u w:val="none"/>
        </w:rPr>
        <w:t>(3)</w:t>
      </w:r>
      <w:r>
        <w:t>预付款担保的担保金额可根据预付款扣回的金额相应递减。</w:t>
      </w:r>
    </w:p>
    <w:p w14:paraId="66FB6C52">
      <w:pPr>
        <w:pStyle w:val="2"/>
        <w:numPr>
          <w:ilvl w:val="0"/>
          <w:numId w:val="0"/>
        </w:numPr>
        <w:bidi w:val="0"/>
        <w:ind w:left="482" w:leftChars="0"/>
      </w:pPr>
      <w:r>
        <w:t>17.2.3预付款的扣回与还清</w:t>
      </w:r>
    </w:p>
    <w:p w14:paraId="0AE4DEAB">
      <w:pPr>
        <w:pStyle w:val="11"/>
      </w:pPr>
      <w: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2"/>
        <w:numPr>
          <w:ilvl w:val="0"/>
          <w:numId w:val="0"/>
        </w:numPr>
        <w:bidi w:val="0"/>
        <w:ind w:left="482" w:leftChars="0"/>
      </w:pPr>
      <w:bookmarkStart w:id="900" w:name="bookmark1353"/>
      <w:bookmarkStart w:id="901" w:name="bookmark1355"/>
      <w:bookmarkStart w:id="902" w:name="_Toc14710385"/>
      <w:bookmarkStart w:id="903" w:name="bookmark1354"/>
      <w:bookmarkStart w:id="904" w:name="_Toc2053"/>
      <w:r>
        <w:t>17.3工程进度付款</w:t>
      </w:r>
      <w:bookmarkEnd w:id="900"/>
      <w:bookmarkEnd w:id="901"/>
      <w:bookmarkEnd w:id="902"/>
      <w:bookmarkEnd w:id="903"/>
      <w:bookmarkEnd w:id="904"/>
    </w:p>
    <w:p w14:paraId="75F4730A">
      <w:pPr>
        <w:pStyle w:val="2"/>
        <w:numPr>
          <w:ilvl w:val="0"/>
          <w:numId w:val="0"/>
        </w:numPr>
        <w:bidi w:val="0"/>
        <w:ind w:left="482" w:leftChars="0"/>
      </w:pPr>
      <w:r>
        <w:t>17.3.1付款周期</w:t>
      </w:r>
    </w:p>
    <w:p w14:paraId="48D7DA49">
      <w:pPr>
        <w:pStyle w:val="11"/>
      </w:pPr>
      <w:r>
        <w:t>付款周期同计量周期。</w:t>
      </w:r>
    </w:p>
    <w:p w14:paraId="73ED5BAA">
      <w:pPr>
        <w:pStyle w:val="2"/>
        <w:numPr>
          <w:ilvl w:val="0"/>
          <w:numId w:val="0"/>
        </w:numPr>
        <w:bidi w:val="0"/>
        <w:ind w:left="482" w:leftChars="0"/>
      </w:pPr>
      <w:r>
        <w:t>17.3.2进度付款申请单</w:t>
      </w:r>
    </w:p>
    <w:p w14:paraId="4591C117">
      <w:pPr>
        <w:pStyle w:val="11"/>
      </w:pPr>
      <w: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11"/>
      </w:pPr>
      <w:bookmarkStart w:id="905" w:name="bookmark1356"/>
      <w:bookmarkEnd w:id="905"/>
      <w:r>
        <w:rPr>
          <w:b w:val="0"/>
          <w:i w:val="0"/>
          <w:strike w:val="0"/>
          <w:color w:val="000000"/>
          <w:u w:val="none"/>
        </w:rPr>
        <w:t>(1)</w:t>
      </w:r>
      <w:r>
        <w:t>截至本次付款周期末已实施工程的价款；</w:t>
      </w:r>
    </w:p>
    <w:p w14:paraId="5F9E3873">
      <w:pPr>
        <w:pStyle w:val="11"/>
      </w:pPr>
      <w:bookmarkStart w:id="906" w:name="bookmark1357"/>
      <w:bookmarkEnd w:id="906"/>
      <w:r>
        <w:rPr>
          <w:b w:val="0"/>
          <w:i w:val="0"/>
          <w:strike w:val="0"/>
          <w:color w:val="000000"/>
          <w:u w:val="none"/>
        </w:rPr>
        <w:t>(2)</w:t>
      </w:r>
      <w:r>
        <w:t>根据第15条应增加和扣减的变更金额；</w:t>
      </w:r>
    </w:p>
    <w:p w14:paraId="1783E6E0">
      <w:pPr>
        <w:pStyle w:val="11"/>
      </w:pPr>
      <w:bookmarkStart w:id="907" w:name="bookmark1358"/>
      <w:bookmarkEnd w:id="907"/>
      <w:r>
        <w:rPr>
          <w:b w:val="0"/>
          <w:i w:val="0"/>
          <w:strike w:val="0"/>
          <w:color w:val="000000"/>
          <w:u w:val="none"/>
        </w:rPr>
        <w:t>(3)</w:t>
      </w:r>
      <w:r>
        <w:t>根据第23条应增加和扣减的索赔金额；</w:t>
      </w:r>
    </w:p>
    <w:p w14:paraId="6C125F81">
      <w:pPr>
        <w:pStyle w:val="11"/>
      </w:pPr>
      <w:bookmarkStart w:id="908" w:name="bookmark1359"/>
      <w:bookmarkEnd w:id="908"/>
      <w:r>
        <w:rPr>
          <w:b w:val="0"/>
          <w:i w:val="0"/>
          <w:strike w:val="0"/>
          <w:color w:val="000000"/>
          <w:u w:val="none"/>
        </w:rPr>
        <w:t>(4)</w:t>
      </w:r>
      <w:r>
        <w:t>根据第17. 2款约定应支付的预付款和扣减的返还预付款；</w:t>
      </w:r>
    </w:p>
    <w:p w14:paraId="3120F318">
      <w:pPr>
        <w:pStyle w:val="11"/>
      </w:pPr>
      <w:bookmarkStart w:id="909" w:name="bookmark1360"/>
      <w:bookmarkEnd w:id="909"/>
      <w:r>
        <w:rPr>
          <w:b w:val="0"/>
          <w:i w:val="0"/>
          <w:strike w:val="0"/>
          <w:color w:val="000000"/>
          <w:u w:val="none"/>
        </w:rPr>
        <w:t>(5)</w:t>
      </w:r>
      <w:r>
        <w:t>根据第17.4. 1项约定应扣减的质量保证金；</w:t>
      </w:r>
    </w:p>
    <w:p w14:paraId="2B784B22">
      <w:pPr>
        <w:pStyle w:val="11"/>
      </w:pPr>
      <w:bookmarkStart w:id="910" w:name="bookmark1361"/>
      <w:bookmarkEnd w:id="910"/>
      <w:r>
        <w:rPr>
          <w:b w:val="0"/>
          <w:i w:val="0"/>
          <w:strike w:val="0"/>
          <w:color w:val="000000"/>
          <w:u w:val="none"/>
        </w:rPr>
        <w:t>(6)</w:t>
      </w:r>
      <w:r>
        <w:t>根据合同应增加和扣减的其他金额。</w:t>
      </w:r>
    </w:p>
    <w:p w14:paraId="587C12EB">
      <w:pPr>
        <w:pStyle w:val="2"/>
        <w:numPr>
          <w:ilvl w:val="0"/>
          <w:numId w:val="0"/>
        </w:numPr>
        <w:bidi w:val="0"/>
        <w:ind w:left="482" w:leftChars="0"/>
      </w:pPr>
      <w:r>
        <w:t>17.3.3进度付款证书和支付时间</w:t>
      </w:r>
    </w:p>
    <w:p w14:paraId="16C3FD4F">
      <w:pPr>
        <w:pStyle w:val="11"/>
      </w:pPr>
      <w:bookmarkStart w:id="911" w:name="bookmark1362"/>
      <w:bookmarkEnd w:id="911"/>
      <w:r>
        <w:rPr>
          <w:b w:val="0"/>
          <w:i w:val="0"/>
          <w:strike w:val="0"/>
          <w:color w:val="000000"/>
          <w:u w:val="none"/>
        </w:rPr>
        <w:t>(1)</w:t>
      </w:r>
      <w: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11"/>
      </w:pPr>
      <w:bookmarkStart w:id="912" w:name="bookmark1363"/>
      <w:bookmarkEnd w:id="912"/>
      <w:r>
        <w:rPr>
          <w:b w:val="0"/>
          <w:i w:val="0"/>
          <w:strike w:val="0"/>
          <w:color w:val="000000"/>
          <w:u w:val="none"/>
        </w:rPr>
        <w:t>(2)</w:t>
      </w:r>
      <w:r>
        <w:t>发包人应在监理人收到进度付款申请单后的28天内，将进度应付款支付给承包人。发包人不按期支付的，按专用合同条款的约定支付逾期付款违约金。</w:t>
      </w:r>
    </w:p>
    <w:p w14:paraId="71E77590">
      <w:pPr>
        <w:pStyle w:val="11"/>
      </w:pPr>
      <w:bookmarkStart w:id="913" w:name="bookmark1364"/>
      <w:bookmarkEnd w:id="913"/>
      <w:r>
        <w:rPr>
          <w:b w:val="0"/>
          <w:i w:val="0"/>
          <w:strike w:val="0"/>
          <w:color w:val="000000"/>
          <w:u w:val="none"/>
        </w:rPr>
        <w:t>(3)</w:t>
      </w:r>
      <w:r>
        <w:t>监理人出具进度付款证书，不应视为监理人已同意、批准或接受了承包人完成的该部分工作。</w:t>
      </w:r>
    </w:p>
    <w:p w14:paraId="14F9E00B">
      <w:pPr>
        <w:pStyle w:val="11"/>
      </w:pPr>
      <w:bookmarkStart w:id="914" w:name="bookmark1365"/>
      <w:bookmarkEnd w:id="914"/>
      <w:r>
        <w:rPr>
          <w:b w:val="0"/>
          <w:i w:val="0"/>
          <w:strike w:val="0"/>
          <w:color w:val="000000"/>
          <w:u w:val="none"/>
        </w:rPr>
        <w:t>(4)</w:t>
      </w:r>
      <w:r>
        <w:t>进度付款涉及政府投资资金的，按照国库集中支付等国家相关规定和专用合同条款的约定办理。</w:t>
      </w:r>
    </w:p>
    <w:p w14:paraId="4DC88245">
      <w:pPr>
        <w:pStyle w:val="2"/>
        <w:numPr>
          <w:ilvl w:val="0"/>
          <w:numId w:val="0"/>
        </w:numPr>
        <w:bidi w:val="0"/>
        <w:ind w:left="482" w:leftChars="0"/>
      </w:pPr>
      <w:r>
        <w:t>17.3.4工程进度付款的修正</w:t>
      </w:r>
    </w:p>
    <w:p w14:paraId="6A42729B">
      <w:pPr>
        <w:pStyle w:val="11"/>
      </w:pPr>
      <w: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2"/>
        <w:numPr>
          <w:ilvl w:val="0"/>
          <w:numId w:val="0"/>
        </w:numPr>
        <w:bidi w:val="0"/>
        <w:ind w:left="482" w:leftChars="0"/>
      </w:pPr>
      <w:bookmarkStart w:id="915" w:name="_Toc14710386"/>
      <w:bookmarkStart w:id="916" w:name="_Toc24179"/>
      <w:bookmarkStart w:id="917" w:name="bookmark1367"/>
      <w:bookmarkStart w:id="918" w:name="bookmark1368"/>
      <w:bookmarkStart w:id="919" w:name="bookmark1366"/>
      <w:r>
        <w:t>17.4质量保证金</w:t>
      </w:r>
      <w:bookmarkEnd w:id="915"/>
      <w:bookmarkEnd w:id="916"/>
      <w:bookmarkEnd w:id="917"/>
      <w:bookmarkEnd w:id="918"/>
      <w:bookmarkEnd w:id="919"/>
    </w:p>
    <w:p w14:paraId="7C6BFB59">
      <w:pPr>
        <w:pStyle w:val="11"/>
      </w:pPr>
      <w: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11"/>
      </w:pPr>
      <w: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11"/>
      </w:pPr>
      <w: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2"/>
        <w:numPr>
          <w:ilvl w:val="0"/>
          <w:numId w:val="0"/>
        </w:numPr>
        <w:bidi w:val="0"/>
        <w:ind w:left="482" w:leftChars="0"/>
      </w:pPr>
      <w:bookmarkStart w:id="920" w:name="bookmark1370"/>
      <w:bookmarkStart w:id="921" w:name="bookmark1371"/>
      <w:bookmarkStart w:id="922" w:name="bookmark1369"/>
      <w:bookmarkStart w:id="923" w:name="_Toc27561"/>
      <w:bookmarkStart w:id="924" w:name="_Toc14710387"/>
      <w:r>
        <w:t>17.5竣工结算(完工结算)</w:t>
      </w:r>
      <w:bookmarkEnd w:id="920"/>
      <w:bookmarkEnd w:id="921"/>
      <w:bookmarkEnd w:id="922"/>
      <w:bookmarkEnd w:id="923"/>
      <w:bookmarkEnd w:id="924"/>
    </w:p>
    <w:p w14:paraId="28EF1247">
      <w:pPr>
        <w:pStyle w:val="2"/>
        <w:numPr>
          <w:ilvl w:val="0"/>
          <w:numId w:val="0"/>
        </w:numPr>
        <w:bidi w:val="0"/>
        <w:ind w:left="482" w:leftChars="0"/>
      </w:pPr>
      <w:r>
        <w:t>17.5.1竣工(完工)付款申请单</w:t>
      </w:r>
    </w:p>
    <w:p w14:paraId="4FD3EF6B">
      <w:pPr>
        <w:pStyle w:val="11"/>
      </w:pPr>
      <w:bookmarkStart w:id="925" w:name="bookmark1372"/>
      <w:bookmarkEnd w:id="925"/>
      <w:r>
        <w:rPr>
          <w:b w:val="0"/>
          <w:i w:val="0"/>
          <w:strike w:val="0"/>
          <w:color w:val="000000"/>
          <w:u w:val="none"/>
        </w:rPr>
        <w:t>(1)</w:t>
      </w:r>
      <w: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11"/>
      </w:pPr>
      <w:bookmarkStart w:id="926" w:name="bookmark1373"/>
      <w:bookmarkEnd w:id="926"/>
      <w:r>
        <w:rPr>
          <w:b w:val="0"/>
          <w:i w:val="0"/>
          <w:strike w:val="0"/>
          <w:color w:val="000000"/>
          <w:u w:val="none"/>
        </w:rPr>
        <w:t>(2)</w:t>
      </w:r>
      <w:r>
        <w:t>监理人对完工付款申请单有异议的，有权要求承包人进行修正和提供补充资料。经监理人和承包人协商后，由承包人向监理人提交修正后的完工付款申请单。</w:t>
      </w:r>
    </w:p>
    <w:p w14:paraId="37081678">
      <w:pPr>
        <w:pStyle w:val="2"/>
        <w:numPr>
          <w:ilvl w:val="0"/>
          <w:numId w:val="0"/>
        </w:numPr>
        <w:bidi w:val="0"/>
        <w:ind w:left="482" w:leftChars="0"/>
      </w:pPr>
      <w:r>
        <w:t>17.5.2竣工(完工)付款证书及支付时间</w:t>
      </w:r>
    </w:p>
    <w:p w14:paraId="25FE97F3">
      <w:pPr>
        <w:pStyle w:val="11"/>
      </w:pPr>
      <w:bookmarkStart w:id="927" w:name="bookmark1374"/>
      <w:bookmarkEnd w:id="927"/>
      <w:r>
        <w:rPr>
          <w:b w:val="0"/>
          <w:i w:val="0"/>
          <w:strike w:val="0"/>
          <w:color w:val="000000"/>
          <w:u w:val="none"/>
        </w:rPr>
        <w:t>(1)</w:t>
      </w:r>
      <w: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11"/>
      </w:pPr>
      <w:bookmarkStart w:id="928" w:name="bookmark1375"/>
      <w:bookmarkEnd w:id="928"/>
      <w:r>
        <w:rPr>
          <w:b w:val="0"/>
          <w:i w:val="0"/>
          <w:strike w:val="0"/>
          <w:color w:val="000000"/>
          <w:u w:val="none"/>
        </w:rPr>
        <w:t>(2)</w:t>
      </w:r>
      <w:r>
        <w:t>发包人应在监理人出具完工付款证书后的14天内，将应支付款支付给承包人。发包人不按期支付的，按第17.3.3 (2)目的约定，将逾期付款违约金支付给承包人。</w:t>
      </w:r>
    </w:p>
    <w:p w14:paraId="5348D777">
      <w:pPr>
        <w:pStyle w:val="11"/>
      </w:pPr>
      <w:bookmarkStart w:id="929" w:name="bookmark1376"/>
      <w:bookmarkEnd w:id="929"/>
      <w:r>
        <w:rPr>
          <w:b w:val="0"/>
          <w:i w:val="0"/>
          <w:strike w:val="0"/>
          <w:color w:val="000000"/>
          <w:u w:val="none"/>
        </w:rPr>
        <w:t>(3)</w:t>
      </w:r>
      <w:r>
        <w:t>承包人对发包人签认的完工付款证书有异议的，发包人可出具完工付款申请单中承包人已同意部分的临时付款证书。存在争议的部分，按第24条的约定办理。</w:t>
      </w:r>
    </w:p>
    <w:p w14:paraId="7A4CFD4D">
      <w:pPr>
        <w:pStyle w:val="11"/>
      </w:pPr>
      <w:bookmarkStart w:id="930" w:name="bookmark1377"/>
      <w:bookmarkEnd w:id="930"/>
      <w:r>
        <w:rPr>
          <w:b w:val="0"/>
          <w:i w:val="0"/>
          <w:strike w:val="0"/>
          <w:color w:val="000000"/>
          <w:u w:val="none"/>
        </w:rPr>
        <w:t>(4)</w:t>
      </w:r>
      <w:r>
        <w:t>完工付款涉及政府投资资金的，按第17.3.3 (4)目的约定办理。</w:t>
      </w:r>
    </w:p>
    <w:p w14:paraId="55CE199A">
      <w:pPr>
        <w:pStyle w:val="2"/>
        <w:numPr>
          <w:ilvl w:val="0"/>
          <w:numId w:val="0"/>
        </w:numPr>
        <w:bidi w:val="0"/>
        <w:ind w:left="482" w:leftChars="0"/>
      </w:pPr>
      <w:bookmarkStart w:id="931" w:name="_Toc20149"/>
      <w:bookmarkStart w:id="932" w:name="bookmark1378"/>
      <w:bookmarkStart w:id="933" w:name="bookmark1379"/>
      <w:bookmarkStart w:id="934" w:name="bookmark1380"/>
      <w:bookmarkStart w:id="935" w:name="_Toc14710388"/>
      <w:r>
        <w:t>17.6最终结清</w:t>
      </w:r>
      <w:bookmarkEnd w:id="931"/>
      <w:bookmarkEnd w:id="932"/>
      <w:bookmarkEnd w:id="933"/>
      <w:bookmarkEnd w:id="934"/>
      <w:bookmarkEnd w:id="935"/>
    </w:p>
    <w:p w14:paraId="29B083B7">
      <w:pPr>
        <w:pStyle w:val="2"/>
        <w:numPr>
          <w:ilvl w:val="0"/>
          <w:numId w:val="0"/>
        </w:numPr>
        <w:bidi w:val="0"/>
        <w:ind w:left="482" w:leftChars="0"/>
      </w:pPr>
      <w:r>
        <w:t>17.6.1最终结清申请单</w:t>
      </w:r>
    </w:p>
    <w:p w14:paraId="205FFED9">
      <w:pPr>
        <w:pStyle w:val="11"/>
      </w:pPr>
      <w:bookmarkStart w:id="936" w:name="bookmark1381"/>
      <w:bookmarkEnd w:id="936"/>
      <w:r>
        <w:rPr>
          <w:b w:val="0"/>
          <w:i w:val="0"/>
          <w:strike w:val="0"/>
          <w:color w:val="000000"/>
          <w:u w:val="none"/>
        </w:rPr>
        <w:t>(1)</w:t>
      </w:r>
      <w:r>
        <w:t>工程质量保修责任终止证书签发后，承包人应按监理人批准的格式提交最终结清申请单。提交最终结清申请单的份数在专用合同条款中约定。</w:t>
      </w:r>
    </w:p>
    <w:p w14:paraId="0F3CFB71">
      <w:pPr>
        <w:pStyle w:val="11"/>
      </w:pPr>
      <w:bookmarkStart w:id="937" w:name="bookmark1382"/>
      <w:bookmarkEnd w:id="937"/>
      <w:r>
        <w:rPr>
          <w:b w:val="0"/>
          <w:i w:val="0"/>
          <w:strike w:val="0"/>
          <w:color w:val="000000"/>
          <w:u w:val="none"/>
        </w:rPr>
        <w:t>(2)</w:t>
      </w:r>
      <w:r>
        <w:t>发包人对最终结清申请单内容有异议的，有权要求承包人进行修正和提供补充资料，由承包人向监理人提交修正后的最终结清申请单。</w:t>
      </w:r>
    </w:p>
    <w:p w14:paraId="526D0996">
      <w:pPr>
        <w:pStyle w:val="2"/>
        <w:numPr>
          <w:ilvl w:val="0"/>
          <w:numId w:val="0"/>
        </w:numPr>
        <w:bidi w:val="0"/>
        <w:ind w:left="482" w:leftChars="0"/>
      </w:pPr>
      <w:r>
        <w:t>17.6.2最终结清证书和支付时间</w:t>
      </w:r>
    </w:p>
    <w:p w14:paraId="30F33855">
      <w:pPr>
        <w:pStyle w:val="11"/>
      </w:pPr>
      <w:bookmarkStart w:id="938" w:name="bookmark1383"/>
      <w:bookmarkEnd w:id="938"/>
      <w:r>
        <w:rPr>
          <w:b w:val="0"/>
          <w:i w:val="0"/>
          <w:strike w:val="0"/>
          <w:color w:val="000000"/>
          <w:u w:val="none"/>
        </w:rPr>
        <w:t>(1)</w:t>
      </w:r>
      <w: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11"/>
      </w:pPr>
      <w:bookmarkStart w:id="939" w:name="bookmark1384"/>
      <w:bookmarkEnd w:id="939"/>
      <w:r>
        <w:rPr>
          <w:b w:val="0"/>
          <w:i w:val="0"/>
          <w:strike w:val="0"/>
          <w:color w:val="000000"/>
          <w:u w:val="none"/>
        </w:rPr>
        <w:t>(2)</w:t>
      </w:r>
      <w:r>
        <w:t>发包人应在监理人出具最终结清证书后的14天内，将应支付款支付给承包人。发包人不按期支付的，按第17.3.3 (2)目的约定，将逾期付款违约金支付给承包人。</w:t>
      </w:r>
    </w:p>
    <w:p w14:paraId="38CBA633">
      <w:pPr>
        <w:pStyle w:val="11"/>
      </w:pPr>
      <w:bookmarkStart w:id="940" w:name="bookmark1385"/>
      <w:bookmarkEnd w:id="940"/>
      <w:r>
        <w:rPr>
          <w:b w:val="0"/>
          <w:i w:val="0"/>
          <w:strike w:val="0"/>
          <w:color w:val="000000"/>
          <w:u w:val="none"/>
        </w:rPr>
        <w:t>(3)</w:t>
      </w:r>
      <w:r>
        <w:t>承包人对发包人签认的最终结清证书有异议的，按第24条的约定办理。</w:t>
      </w:r>
    </w:p>
    <w:p w14:paraId="370F31CB">
      <w:pPr>
        <w:pStyle w:val="11"/>
      </w:pPr>
      <w:bookmarkStart w:id="941" w:name="bookmark1386"/>
      <w:bookmarkEnd w:id="941"/>
      <w:r>
        <w:rPr>
          <w:b w:val="0"/>
          <w:i w:val="0"/>
          <w:strike w:val="0"/>
          <w:color w:val="000000"/>
          <w:u w:val="none"/>
        </w:rPr>
        <w:t>(4)</w:t>
      </w:r>
      <w:r>
        <w:t>最终结清付款涉及政府投资资金的，按第17.3.3 (4)目的约定办理。</w:t>
      </w:r>
    </w:p>
    <w:p w14:paraId="60E4EE70">
      <w:pPr>
        <w:pStyle w:val="2"/>
        <w:numPr>
          <w:ilvl w:val="0"/>
          <w:numId w:val="0"/>
        </w:numPr>
        <w:bidi w:val="0"/>
        <w:ind w:left="482" w:leftChars="0"/>
      </w:pPr>
      <w:bookmarkStart w:id="942" w:name="bookmark1388"/>
      <w:bookmarkStart w:id="943" w:name="bookmark1387"/>
      <w:bookmarkStart w:id="944" w:name="_Toc14710389"/>
      <w:bookmarkStart w:id="945" w:name="_Toc4347"/>
      <w:bookmarkStart w:id="946" w:name="bookmark1389"/>
      <w:r>
        <w:t>17.7竣工财务决算</w:t>
      </w:r>
      <w:bookmarkEnd w:id="942"/>
      <w:bookmarkEnd w:id="943"/>
      <w:bookmarkEnd w:id="944"/>
      <w:bookmarkEnd w:id="945"/>
      <w:bookmarkEnd w:id="946"/>
    </w:p>
    <w:p w14:paraId="5BBD097F">
      <w:pPr>
        <w:pStyle w:val="11"/>
      </w:pPr>
      <w:r>
        <w:t>发包人负责编制本工程项目竣工财务决算，承包人应按专用合同条款的约定提供竣工财务决算编制所需的相关材料。</w:t>
      </w:r>
    </w:p>
    <w:p w14:paraId="2738A2DF">
      <w:pPr>
        <w:pStyle w:val="2"/>
        <w:numPr>
          <w:ilvl w:val="0"/>
          <w:numId w:val="0"/>
        </w:numPr>
        <w:bidi w:val="0"/>
        <w:ind w:left="482" w:leftChars="0"/>
      </w:pPr>
      <w:bookmarkStart w:id="947" w:name="_Toc14710390"/>
      <w:bookmarkStart w:id="948" w:name="bookmark1390"/>
      <w:bookmarkStart w:id="949" w:name="bookmark1392"/>
      <w:bookmarkStart w:id="950" w:name="_Toc9623"/>
      <w:bookmarkStart w:id="951" w:name="bookmark1391"/>
      <w:r>
        <w:t>17.8竣工审计</w:t>
      </w:r>
      <w:bookmarkEnd w:id="947"/>
      <w:bookmarkEnd w:id="948"/>
      <w:bookmarkEnd w:id="949"/>
      <w:bookmarkEnd w:id="950"/>
      <w:bookmarkEnd w:id="951"/>
    </w:p>
    <w:p w14:paraId="474DBF2A">
      <w:pPr>
        <w:pStyle w:val="11"/>
      </w:pPr>
      <w:r>
        <w:t>发包人负责完成本工程竣工审计手续，承包人应完成相关配合工作。</w:t>
      </w:r>
    </w:p>
    <w:p w14:paraId="5AB10260">
      <w:pPr>
        <w:pStyle w:val="2"/>
        <w:numPr>
          <w:ilvl w:val="0"/>
          <w:numId w:val="0"/>
        </w:numPr>
        <w:bidi w:val="0"/>
        <w:ind w:left="482" w:leftChars="0"/>
      </w:pPr>
      <w:bookmarkStart w:id="952" w:name="bookmark1395"/>
      <w:bookmarkStart w:id="953" w:name="bookmark1394"/>
      <w:bookmarkStart w:id="954" w:name="bookmark1393"/>
      <w:bookmarkStart w:id="955" w:name="_Toc14710391"/>
      <w:bookmarkStart w:id="956" w:name="_Toc15468"/>
      <w:r>
        <w:t>18.竣工验收（验收）</w:t>
      </w:r>
      <w:bookmarkEnd w:id="952"/>
      <w:bookmarkEnd w:id="953"/>
      <w:bookmarkEnd w:id="954"/>
      <w:bookmarkEnd w:id="955"/>
      <w:bookmarkEnd w:id="956"/>
    </w:p>
    <w:p w14:paraId="4DD17B5A">
      <w:pPr>
        <w:pStyle w:val="2"/>
        <w:numPr>
          <w:ilvl w:val="0"/>
          <w:numId w:val="0"/>
        </w:numPr>
        <w:bidi w:val="0"/>
        <w:ind w:left="482" w:leftChars="0"/>
      </w:pPr>
      <w:bookmarkStart w:id="957" w:name="bookmark1397"/>
      <w:bookmarkStart w:id="958" w:name="bookmark1396"/>
      <w:bookmarkStart w:id="959" w:name="_Toc14710392"/>
      <w:bookmarkStart w:id="960" w:name="_Toc1314"/>
      <w:bookmarkStart w:id="961" w:name="bookmark1398"/>
      <w:r>
        <w:t>18.1验收工作分类</w:t>
      </w:r>
      <w:bookmarkEnd w:id="957"/>
      <w:bookmarkEnd w:id="958"/>
      <w:bookmarkEnd w:id="959"/>
      <w:bookmarkEnd w:id="960"/>
      <w:bookmarkEnd w:id="961"/>
    </w:p>
    <w:p w14:paraId="18B076F8">
      <w:pPr>
        <w:pStyle w:val="11"/>
      </w:pPr>
      <w: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2"/>
        <w:numPr>
          <w:ilvl w:val="0"/>
          <w:numId w:val="0"/>
        </w:numPr>
        <w:bidi w:val="0"/>
        <w:ind w:left="482" w:leftChars="0"/>
      </w:pPr>
      <w:bookmarkStart w:id="962" w:name="bookmark1400"/>
      <w:bookmarkStart w:id="963" w:name="bookmark1401"/>
      <w:bookmarkStart w:id="964" w:name="bookmark1399"/>
      <w:bookmarkStart w:id="965" w:name="_Toc8655"/>
      <w:bookmarkStart w:id="966" w:name="_Toc14710393"/>
      <w:r>
        <w:t>18.2分部工程验收</w:t>
      </w:r>
      <w:bookmarkEnd w:id="962"/>
      <w:bookmarkEnd w:id="963"/>
      <w:bookmarkEnd w:id="964"/>
      <w:bookmarkEnd w:id="965"/>
      <w:bookmarkEnd w:id="966"/>
    </w:p>
    <w:p w14:paraId="715443D0">
      <w:pPr>
        <w:pStyle w:val="11"/>
      </w:pPr>
      <w:r>
        <w:t>18.2.1分部工程具备验收条件时，承包人应向发包人提交验收申请报告，发包人应在收到验收申请报告之日起10个工作日内决定是否同意进行验收。</w:t>
      </w:r>
    </w:p>
    <w:p w14:paraId="5DB08953">
      <w:pPr>
        <w:pStyle w:val="11"/>
      </w:pPr>
      <w:r>
        <w:t>18.2.2除专用合同条款另有约定外，监理人主持分部工程验收，承包人应派符合条件的代表参加验收工作组。</w:t>
      </w:r>
    </w:p>
    <w:p w14:paraId="22970B34">
      <w:pPr>
        <w:pStyle w:val="11"/>
      </w:pPr>
      <w:r>
        <w:t>18.2.3分部工程验收通过后，发包人向承包人发送分部工程验收鉴定书。承包人应及时完成分部工程验收鉴定书载明应由承包人处理的遗留问题。</w:t>
      </w:r>
    </w:p>
    <w:p w14:paraId="632B295C">
      <w:pPr>
        <w:pStyle w:val="2"/>
        <w:numPr>
          <w:ilvl w:val="0"/>
          <w:numId w:val="0"/>
        </w:numPr>
        <w:bidi w:val="0"/>
        <w:ind w:left="482" w:leftChars="0"/>
      </w:pPr>
      <w:bookmarkStart w:id="967" w:name="bookmark1403"/>
      <w:bookmarkStart w:id="968" w:name="_Toc19460"/>
      <w:bookmarkStart w:id="969" w:name="bookmark1404"/>
      <w:bookmarkStart w:id="970" w:name="_Toc14710394"/>
      <w:bookmarkStart w:id="971" w:name="bookmark1402"/>
      <w:r>
        <w:t>18.3单位工程验收</w:t>
      </w:r>
      <w:bookmarkEnd w:id="967"/>
      <w:bookmarkEnd w:id="968"/>
      <w:bookmarkEnd w:id="969"/>
      <w:bookmarkEnd w:id="970"/>
      <w:bookmarkEnd w:id="971"/>
    </w:p>
    <w:p w14:paraId="08EB0F68">
      <w:pPr>
        <w:pStyle w:val="11"/>
      </w:pPr>
      <w:r>
        <w:t>18.3.1单位工程具备验收条件时，承包人应向发包人提交验收申请报告，发包人应在收到验收申请报告之日起10个工作日内决定是否同意进行验收。</w:t>
      </w:r>
    </w:p>
    <w:p w14:paraId="42A90D81">
      <w:pPr>
        <w:pStyle w:val="11"/>
      </w:pPr>
      <w:r>
        <w:t>18.3.2发包人主持单位工程验收，承包人应派符合条件的代表参加验收工作组。</w:t>
      </w:r>
    </w:p>
    <w:p w14:paraId="03AAFF47">
      <w:pPr>
        <w:pStyle w:val="11"/>
      </w:pPr>
      <w:r>
        <w:t>18.3.3单位工程验收通过后，发包人向承包人发送单位工程验收鉴定书。承包人应及时完成单位工程验收鉴定书载明应由承包人处理的遗留问题。</w:t>
      </w:r>
    </w:p>
    <w:p w14:paraId="6737577F">
      <w:pPr>
        <w:pStyle w:val="11"/>
      </w:pPr>
      <w:r>
        <w:t>18.3.4需提前投入使用的单位工程在专用合同条款中明确。</w:t>
      </w:r>
    </w:p>
    <w:p w14:paraId="70E95081">
      <w:pPr>
        <w:pStyle w:val="2"/>
        <w:numPr>
          <w:ilvl w:val="0"/>
          <w:numId w:val="0"/>
        </w:numPr>
        <w:bidi w:val="0"/>
        <w:ind w:left="482" w:leftChars="0"/>
      </w:pPr>
      <w:bookmarkStart w:id="972" w:name="_Toc24227"/>
      <w:bookmarkStart w:id="973" w:name="bookmark1406"/>
      <w:bookmarkStart w:id="974" w:name="bookmark1405"/>
      <w:bookmarkStart w:id="975" w:name="bookmark1407"/>
      <w:bookmarkStart w:id="976" w:name="_Toc14710395"/>
      <w:r>
        <w:t>18.4合同工程完工验收</w:t>
      </w:r>
      <w:bookmarkEnd w:id="972"/>
      <w:bookmarkEnd w:id="973"/>
      <w:bookmarkEnd w:id="974"/>
      <w:bookmarkEnd w:id="975"/>
      <w:bookmarkEnd w:id="976"/>
    </w:p>
    <w:p w14:paraId="6C7FA51A">
      <w:pPr>
        <w:pStyle w:val="11"/>
      </w:pPr>
      <w:r>
        <w:t>18.4.1合同工程具备验收条件时，承包人应向发包人提交验收申请报告，发包人应在收到验收申请报告之日起20个工作日内决定是否同意进行验收。</w:t>
      </w:r>
    </w:p>
    <w:p w14:paraId="3658BE6B">
      <w:pPr>
        <w:pStyle w:val="11"/>
      </w:pPr>
      <w:r>
        <w:t>18.4.2发包人主持合同工程完工验收，承包人应派项目经理参加验收工作组。</w:t>
      </w:r>
    </w:p>
    <w:p w14:paraId="37ACCE8F">
      <w:pPr>
        <w:pStyle w:val="11"/>
      </w:pPr>
      <w:r>
        <w:t>18.4.3合同工程完工验收通过后，发包人向承包人发送合同工程完工验收鉴定书。承包人应及时完成合同工程完工验收鉴定书载明应由承包人处理的遗留问题。</w:t>
      </w:r>
    </w:p>
    <w:p w14:paraId="4298128F">
      <w:pPr>
        <w:pStyle w:val="11"/>
      </w:pPr>
      <w: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2"/>
        <w:numPr>
          <w:ilvl w:val="0"/>
          <w:numId w:val="0"/>
        </w:numPr>
        <w:bidi w:val="0"/>
        <w:ind w:left="482" w:leftChars="0"/>
      </w:pPr>
      <w:bookmarkStart w:id="977" w:name="bookmark1410"/>
      <w:bookmarkStart w:id="978" w:name="_Toc14710396"/>
      <w:bookmarkStart w:id="979" w:name="bookmark1408"/>
      <w:bookmarkStart w:id="980" w:name="_Toc32064"/>
      <w:bookmarkStart w:id="981" w:name="bookmark1409"/>
      <w:r>
        <w:t>18.5阶段验收</w:t>
      </w:r>
      <w:bookmarkEnd w:id="977"/>
      <w:bookmarkEnd w:id="978"/>
      <w:bookmarkEnd w:id="979"/>
      <w:bookmarkEnd w:id="980"/>
      <w:bookmarkEnd w:id="981"/>
    </w:p>
    <w:p w14:paraId="1A57FF1D">
      <w:pPr>
        <w:pStyle w:val="11"/>
      </w:pPr>
      <w: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11"/>
      </w:pPr>
      <w:r>
        <w:t>18.5. 2承包人应及时完成阶段验收鉴定书载明应由承包人处理的遗留问题。</w:t>
      </w:r>
    </w:p>
    <w:p w14:paraId="63FE6CBB">
      <w:pPr>
        <w:pStyle w:val="2"/>
        <w:numPr>
          <w:ilvl w:val="0"/>
          <w:numId w:val="0"/>
        </w:numPr>
        <w:bidi w:val="0"/>
        <w:ind w:left="482" w:leftChars="0"/>
      </w:pPr>
      <w:bookmarkStart w:id="982" w:name="bookmark1414"/>
      <w:bookmarkStart w:id="983" w:name="_Toc14710397"/>
      <w:bookmarkStart w:id="984" w:name="bookmark1413"/>
      <w:bookmarkStart w:id="985" w:name="bookmark1412"/>
      <w:bookmarkStart w:id="986" w:name="_Toc16235"/>
      <w:r>
        <w:t>18.6专项验收</w:t>
      </w:r>
      <w:bookmarkEnd w:id="982"/>
      <w:bookmarkEnd w:id="983"/>
      <w:bookmarkEnd w:id="984"/>
      <w:bookmarkEnd w:id="985"/>
      <w:bookmarkEnd w:id="986"/>
    </w:p>
    <w:p w14:paraId="1F11B2C4">
      <w:pPr>
        <w:pStyle w:val="11"/>
      </w:pPr>
      <w:r>
        <w:t>18.6.1发包人负责提出专项验收申请报告。承包人应按专项验收的相关规定参加专项验收。专项验收的具体类别在专用合同条款中约定。</w:t>
      </w:r>
    </w:p>
    <w:p w14:paraId="03A089A3">
      <w:pPr>
        <w:pStyle w:val="11"/>
      </w:pPr>
      <w:r>
        <w:t>18.6.2承包应及时完成专项验收成果性文件载明应由承包人处理的遗留问题。</w:t>
      </w:r>
    </w:p>
    <w:p w14:paraId="2F57B129">
      <w:pPr>
        <w:pStyle w:val="2"/>
        <w:numPr>
          <w:ilvl w:val="0"/>
          <w:numId w:val="0"/>
        </w:numPr>
        <w:bidi w:val="0"/>
        <w:ind w:left="482" w:leftChars="0"/>
      </w:pPr>
      <w:bookmarkStart w:id="987" w:name="_Toc14710398"/>
      <w:bookmarkStart w:id="988" w:name="bookmark1415"/>
      <w:bookmarkStart w:id="989" w:name="bookmark1416"/>
      <w:bookmarkStart w:id="990" w:name="bookmark1417"/>
      <w:bookmarkStart w:id="991" w:name="_Toc31377"/>
      <w:r>
        <w:t>18.7竣工验收</w:t>
      </w:r>
      <w:bookmarkEnd w:id="987"/>
      <w:bookmarkEnd w:id="988"/>
      <w:bookmarkEnd w:id="989"/>
      <w:bookmarkEnd w:id="990"/>
      <w:bookmarkEnd w:id="991"/>
    </w:p>
    <w:p w14:paraId="08C6972D">
      <w:pPr>
        <w:pStyle w:val="11"/>
      </w:pPr>
      <w:r>
        <w:t>18.7.1申请竣工验收前，发包人组织竣工验收自查，承包人应派项目经理或技术负责人参加。</w:t>
      </w:r>
    </w:p>
    <w:p w14:paraId="5244BFE5">
      <w:pPr>
        <w:pStyle w:val="11"/>
      </w:pPr>
      <w:r>
        <w:t>18.7.2竣工验收分为竣工技术预验收和竣工验收两个阶段，发包人应通知承包人派法定代表人或项目经理参加技术预验收和竣工验收。</w:t>
      </w:r>
    </w:p>
    <w:p w14:paraId="480C02FD">
      <w:pPr>
        <w:pStyle w:val="11"/>
      </w:pPr>
      <w:r>
        <w:t>18.7.3专用合同条款约定工程需要进行技术鉴定的，承包人应提交有关资料并完成配合工作。</w:t>
      </w:r>
    </w:p>
    <w:p w14:paraId="530725B3">
      <w:pPr>
        <w:pStyle w:val="11"/>
      </w:pPr>
      <w:r>
        <w:t>18.7.4竣工验收需要进行质量检测的，所需费用由发包人承担，但因承包人原因造成质量不合格的除外。</w:t>
      </w:r>
    </w:p>
    <w:p w14:paraId="655F5B14">
      <w:pPr>
        <w:pStyle w:val="11"/>
      </w:pPr>
      <w:r>
        <w:t>18.7.5工程质量保修期满以及竣工验收遗留问题和尾工处理完成并通过验收后，发包人负责将处理情况和验收成果报送竣工验收主持单位，申请领取工程竣工证书，并发送承包人。</w:t>
      </w:r>
    </w:p>
    <w:p w14:paraId="183D4D3E">
      <w:pPr>
        <w:pStyle w:val="2"/>
        <w:numPr>
          <w:ilvl w:val="0"/>
          <w:numId w:val="0"/>
        </w:numPr>
        <w:bidi w:val="0"/>
        <w:ind w:left="482" w:leftChars="0"/>
      </w:pPr>
      <w:bookmarkStart w:id="992" w:name="_Toc14710399"/>
      <w:bookmarkStart w:id="993" w:name="bookmark1420"/>
      <w:bookmarkStart w:id="994" w:name="_Toc28956"/>
      <w:bookmarkStart w:id="995" w:name="bookmark1419"/>
      <w:bookmarkStart w:id="996" w:name="bookmark1418"/>
      <w:r>
        <w:t>18.8施工期运行</w:t>
      </w:r>
      <w:bookmarkEnd w:id="992"/>
      <w:bookmarkEnd w:id="993"/>
      <w:bookmarkEnd w:id="994"/>
      <w:bookmarkEnd w:id="995"/>
      <w:bookmarkEnd w:id="996"/>
    </w:p>
    <w:p w14:paraId="2E763C69">
      <w:pPr>
        <w:pStyle w:val="11"/>
      </w:pPr>
      <w: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11"/>
      </w:pPr>
      <w:r>
        <w:t>18.8.2在施工期运行中发现工程或工程设备损坏或存在缺陷的，由承包人按第19. 2 款约定进行修复。</w:t>
      </w:r>
    </w:p>
    <w:p w14:paraId="3AE40342">
      <w:pPr>
        <w:pStyle w:val="2"/>
        <w:numPr>
          <w:ilvl w:val="0"/>
          <w:numId w:val="0"/>
        </w:numPr>
        <w:bidi w:val="0"/>
        <w:ind w:left="482" w:leftChars="0"/>
      </w:pPr>
      <w:bookmarkStart w:id="997" w:name="bookmark1421"/>
      <w:bookmarkStart w:id="998" w:name="_Toc20150"/>
      <w:bookmarkStart w:id="999" w:name="_Toc14710400"/>
      <w:bookmarkStart w:id="1000" w:name="bookmark1423"/>
      <w:bookmarkStart w:id="1001" w:name="bookmark1422"/>
      <w:r>
        <w:t>18.9试运行</w:t>
      </w:r>
      <w:bookmarkEnd w:id="997"/>
      <w:bookmarkEnd w:id="998"/>
      <w:bookmarkEnd w:id="999"/>
      <w:bookmarkEnd w:id="1000"/>
      <w:bookmarkEnd w:id="1001"/>
    </w:p>
    <w:p w14:paraId="672AC419">
      <w:pPr>
        <w:pStyle w:val="11"/>
      </w:pPr>
      <w:r>
        <w:t>18.9.1除专用合同条款另有约定外，承包人应按规定进行工程及工程设备试运行, 负责提供试运行所需的人员、器材和必要的条件，并承担全部试运行费用。</w:t>
      </w:r>
    </w:p>
    <w:p w14:paraId="6665E729">
      <w:pPr>
        <w:pStyle w:val="11"/>
      </w:pPr>
      <w: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2"/>
        <w:numPr>
          <w:ilvl w:val="0"/>
          <w:numId w:val="0"/>
        </w:numPr>
        <w:bidi w:val="0"/>
        <w:ind w:left="482" w:leftChars="0"/>
      </w:pPr>
      <w:bookmarkStart w:id="1003" w:name="_Toc14710401"/>
      <w:bookmarkStart w:id="1004" w:name="bookmark1424"/>
      <w:bookmarkStart w:id="1005" w:name="bookmark1426"/>
      <w:bookmarkStart w:id="1006" w:name="bookmark1425"/>
      <w:bookmarkStart w:id="1007" w:name="_Toc1706"/>
      <w:r>
        <w:t>18.10竣工（完工）清场</w:t>
      </w:r>
      <w:bookmarkEnd w:id="1003"/>
      <w:bookmarkEnd w:id="1004"/>
      <w:bookmarkEnd w:id="1005"/>
      <w:bookmarkEnd w:id="1006"/>
      <w:bookmarkEnd w:id="1007"/>
    </w:p>
    <w:p w14:paraId="42145979">
      <w:pPr>
        <w:pStyle w:val="11"/>
      </w:pPr>
      <w:r>
        <w:t>18.10.1工程项目竣工（完工）清场的工作范围和内容在技术标准和要求（合同技术条款）中约定。</w:t>
      </w:r>
    </w:p>
    <w:p w14:paraId="6497C469">
      <w:pPr>
        <w:pStyle w:val="11"/>
      </w:pPr>
      <w:r>
        <w:t>18.10.2承包未按监理人的要求恢复临时占地，或者场地清理未达到合同约定的，发包人有权委托其它人恢复或清理，所发生的金额从拟支付给承包人的款项中扣除。</w:t>
      </w:r>
    </w:p>
    <w:p w14:paraId="2A09FF10">
      <w:pPr>
        <w:pStyle w:val="2"/>
        <w:numPr>
          <w:ilvl w:val="0"/>
          <w:numId w:val="0"/>
        </w:numPr>
        <w:bidi w:val="0"/>
        <w:ind w:left="482" w:leftChars="0"/>
      </w:pPr>
      <w:bookmarkStart w:id="1008" w:name="bookmark1429"/>
      <w:bookmarkStart w:id="1009" w:name="_Toc28474"/>
      <w:bookmarkStart w:id="1010" w:name="_Toc14710402"/>
      <w:bookmarkStart w:id="1011" w:name="bookmark1427"/>
      <w:bookmarkStart w:id="1012" w:name="bookmark1428"/>
      <w:r>
        <w:t>18.11施工队伍的撤离</w:t>
      </w:r>
      <w:bookmarkEnd w:id="1008"/>
      <w:bookmarkEnd w:id="1009"/>
      <w:bookmarkEnd w:id="1010"/>
      <w:bookmarkEnd w:id="1011"/>
      <w:bookmarkEnd w:id="1012"/>
    </w:p>
    <w:p w14:paraId="4488D334">
      <w:pPr>
        <w:pStyle w:val="11"/>
      </w:pPr>
      <w: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2"/>
        <w:numPr>
          <w:ilvl w:val="0"/>
          <w:numId w:val="0"/>
        </w:numPr>
        <w:bidi w:val="0"/>
        <w:ind w:left="482" w:leftChars="0"/>
      </w:pPr>
      <w:bookmarkStart w:id="1013" w:name="bookmark1430"/>
      <w:bookmarkStart w:id="1014" w:name="_Toc15410"/>
      <w:bookmarkStart w:id="1015" w:name="bookmark1432"/>
      <w:bookmarkStart w:id="1016" w:name="bookmark1431"/>
      <w:bookmarkStart w:id="1017" w:name="_Toc14710403"/>
      <w:r>
        <w:t>19.缺陷责任与保修责任</w:t>
      </w:r>
      <w:bookmarkEnd w:id="1013"/>
      <w:bookmarkEnd w:id="1014"/>
      <w:bookmarkEnd w:id="1015"/>
      <w:bookmarkEnd w:id="1016"/>
      <w:bookmarkEnd w:id="1017"/>
    </w:p>
    <w:p w14:paraId="494BEF84">
      <w:pPr>
        <w:pStyle w:val="2"/>
        <w:numPr>
          <w:ilvl w:val="0"/>
          <w:numId w:val="0"/>
        </w:numPr>
        <w:bidi w:val="0"/>
        <w:ind w:left="482" w:leftChars="0"/>
      </w:pPr>
      <w:bookmarkStart w:id="1018" w:name="bookmark1435"/>
      <w:bookmarkStart w:id="1019" w:name="_Toc14710404"/>
      <w:bookmarkStart w:id="1020" w:name="bookmark1434"/>
      <w:bookmarkStart w:id="1021" w:name="_Toc22913"/>
      <w:bookmarkStart w:id="1022" w:name="bookmark1433"/>
      <w:r>
        <w:t>19.1缺陷责任期（工程质量保修期）的起算时间</w:t>
      </w:r>
      <w:bookmarkEnd w:id="1018"/>
      <w:bookmarkEnd w:id="1019"/>
      <w:bookmarkEnd w:id="1020"/>
      <w:bookmarkEnd w:id="1021"/>
      <w:bookmarkEnd w:id="1022"/>
    </w:p>
    <w:p w14:paraId="32E940E2">
      <w:pPr>
        <w:pStyle w:val="11"/>
      </w:pPr>
      <w: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2"/>
        <w:numPr>
          <w:ilvl w:val="0"/>
          <w:numId w:val="0"/>
        </w:numPr>
        <w:bidi w:val="0"/>
        <w:ind w:left="482" w:leftChars="0"/>
      </w:pPr>
      <w:bookmarkStart w:id="1023" w:name="bookmark1437"/>
      <w:bookmarkStart w:id="1024" w:name="bookmark1436"/>
      <w:bookmarkStart w:id="1025" w:name="_Toc14710405"/>
      <w:bookmarkStart w:id="1026" w:name="_Toc27743"/>
      <w:bookmarkStart w:id="1027" w:name="bookmark1438"/>
      <w:r>
        <w:t>19.2缺陷责任</w:t>
      </w:r>
      <w:bookmarkEnd w:id="1023"/>
      <w:bookmarkEnd w:id="1024"/>
      <w:bookmarkEnd w:id="1025"/>
      <w:bookmarkEnd w:id="1026"/>
      <w:bookmarkEnd w:id="1027"/>
    </w:p>
    <w:p w14:paraId="68607520">
      <w:pPr>
        <w:pStyle w:val="11"/>
      </w:pPr>
      <w:bookmarkStart w:id="1028" w:name="bookmark1439"/>
      <w:bookmarkEnd w:id="1028"/>
      <w:r>
        <w:t>19.2.1承包人应在缺陷责任期内对已交付使用的工程承担缺陷责任。</w:t>
      </w:r>
    </w:p>
    <w:p w14:paraId="4A88B74E">
      <w:pPr>
        <w:pStyle w:val="11"/>
      </w:pPr>
      <w: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11"/>
      </w:pPr>
      <w: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11"/>
      </w:pPr>
      <w:r>
        <w:t>19.2.4承包人不能在合理时间内修复缺陷的，发包人可自行修复或委托其他人修复, 所需费用和利润的承担，按第19. 2. 3项约定办理。</w:t>
      </w:r>
    </w:p>
    <w:p w14:paraId="583E4AB6">
      <w:pPr>
        <w:pStyle w:val="2"/>
        <w:numPr>
          <w:ilvl w:val="0"/>
          <w:numId w:val="0"/>
        </w:numPr>
        <w:bidi w:val="0"/>
        <w:ind w:left="482" w:leftChars="0"/>
      </w:pPr>
      <w:bookmarkStart w:id="1029" w:name="bookmark1442"/>
      <w:bookmarkStart w:id="1030" w:name="_Toc14710406"/>
      <w:bookmarkStart w:id="1031" w:name="bookmark1441"/>
      <w:bookmarkStart w:id="1032" w:name="bookmark1440"/>
      <w:bookmarkStart w:id="1033" w:name="_Toc19734"/>
      <w:r>
        <w:t>19.3缺陷责任期的延长</w:t>
      </w:r>
      <w:bookmarkEnd w:id="1029"/>
      <w:bookmarkEnd w:id="1030"/>
      <w:bookmarkEnd w:id="1031"/>
      <w:bookmarkEnd w:id="1032"/>
      <w:bookmarkEnd w:id="1033"/>
    </w:p>
    <w:p w14:paraId="4D6416C8">
      <w:pPr>
        <w:pStyle w:val="11"/>
      </w:pPr>
      <w: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2"/>
        <w:numPr>
          <w:ilvl w:val="0"/>
          <w:numId w:val="0"/>
        </w:numPr>
        <w:bidi w:val="0"/>
        <w:ind w:left="482" w:leftChars="0"/>
      </w:pPr>
      <w:bookmarkStart w:id="1034" w:name="bookmark1445"/>
      <w:bookmarkStart w:id="1035" w:name="bookmark1443"/>
      <w:bookmarkStart w:id="1036" w:name="bookmark1444"/>
      <w:bookmarkStart w:id="1037" w:name="_Toc14710407"/>
      <w:bookmarkStart w:id="1038" w:name="_Toc4593"/>
      <w:r>
        <w:t>19.4进一步试验和试运行</w:t>
      </w:r>
      <w:bookmarkEnd w:id="1034"/>
      <w:bookmarkEnd w:id="1035"/>
      <w:bookmarkEnd w:id="1036"/>
      <w:bookmarkEnd w:id="1037"/>
      <w:bookmarkEnd w:id="1038"/>
    </w:p>
    <w:p w14:paraId="0352FFA3">
      <w:pPr>
        <w:pStyle w:val="11"/>
      </w:pPr>
      <w:r>
        <w:t>任何一项缺陷或损坏修复后，经检查证明其影响了工程或工程设备的使用性能，承包人应重新进行合同约定的试验和试运行，试验和试运行的全部费用应由责任方承担。</w:t>
      </w:r>
    </w:p>
    <w:p w14:paraId="75E94345">
      <w:pPr>
        <w:pStyle w:val="2"/>
        <w:numPr>
          <w:ilvl w:val="0"/>
          <w:numId w:val="0"/>
        </w:numPr>
        <w:bidi w:val="0"/>
        <w:ind w:left="482" w:leftChars="0"/>
      </w:pPr>
      <w:bookmarkStart w:id="1039" w:name="_Toc14710408"/>
      <w:bookmarkStart w:id="1040" w:name="bookmark1447"/>
      <w:bookmarkStart w:id="1041" w:name="bookmark1448"/>
      <w:bookmarkStart w:id="1042" w:name="bookmark1446"/>
      <w:bookmarkStart w:id="1043" w:name="_Toc13710"/>
      <w:r>
        <w:t>19.5承包人的进入权</w:t>
      </w:r>
      <w:bookmarkEnd w:id="1039"/>
      <w:bookmarkEnd w:id="1040"/>
      <w:bookmarkEnd w:id="1041"/>
      <w:bookmarkEnd w:id="1042"/>
      <w:bookmarkEnd w:id="1043"/>
    </w:p>
    <w:p w14:paraId="05C1D2BF">
      <w:pPr>
        <w:pStyle w:val="11"/>
      </w:pPr>
      <w:r>
        <w:t>缺陷责任期内承包人为缺陷修复工作需要，有权进入工程现场，但应遵守发包人的保安和保密规定。</w:t>
      </w:r>
    </w:p>
    <w:p w14:paraId="6D2A9FB0">
      <w:pPr>
        <w:pStyle w:val="2"/>
        <w:numPr>
          <w:ilvl w:val="0"/>
          <w:numId w:val="0"/>
        </w:numPr>
        <w:bidi w:val="0"/>
        <w:ind w:left="482" w:leftChars="0"/>
      </w:pPr>
      <w:bookmarkStart w:id="1044" w:name="bookmark1451"/>
      <w:bookmarkStart w:id="1045" w:name="bookmark1449"/>
      <w:bookmarkStart w:id="1046" w:name="_Toc16024"/>
      <w:bookmarkStart w:id="1047" w:name="_Toc14710409"/>
      <w:bookmarkStart w:id="1048" w:name="bookmark1450"/>
      <w:r>
        <w:t>19.6缺陷责任期终止证书（工程质量保修责任终止证书）</w:t>
      </w:r>
      <w:bookmarkEnd w:id="1044"/>
      <w:bookmarkEnd w:id="1045"/>
      <w:bookmarkEnd w:id="1046"/>
      <w:bookmarkEnd w:id="1047"/>
      <w:bookmarkEnd w:id="1048"/>
    </w:p>
    <w:p w14:paraId="489C0693">
      <w:pPr>
        <w:pStyle w:val="11"/>
      </w:pPr>
      <w:r>
        <w:t>合同工程完工验收后，发包人与承包人应办理工程交接手续，承包人应向发包人递交工程质量保修书。</w:t>
      </w:r>
    </w:p>
    <w:p w14:paraId="4BBCC4E9">
      <w:pPr>
        <w:pStyle w:val="11"/>
      </w:pPr>
      <w:r>
        <w:t>缺陷责任期（工程质量保修期）满后30个工作日内，发包人应向承包人颁发工程质量保修责任终止证书，并退还剩余的质量保证金，但保修责任范围内的质量缺陷未处理完成的应除外。</w:t>
      </w:r>
    </w:p>
    <w:p w14:paraId="2FDFD46B">
      <w:pPr>
        <w:pStyle w:val="2"/>
        <w:numPr>
          <w:ilvl w:val="0"/>
          <w:numId w:val="0"/>
        </w:numPr>
        <w:bidi w:val="0"/>
        <w:ind w:left="482" w:leftChars="0"/>
      </w:pPr>
      <w:bookmarkStart w:id="1049" w:name="bookmark1452"/>
      <w:bookmarkStart w:id="1050" w:name="bookmark1453"/>
      <w:bookmarkStart w:id="1051" w:name="bookmark1454"/>
      <w:bookmarkStart w:id="1052" w:name="_Toc10377"/>
      <w:bookmarkStart w:id="1053" w:name="_Toc14710410"/>
      <w:r>
        <w:t>19.7保修责任</w:t>
      </w:r>
      <w:bookmarkEnd w:id="1049"/>
      <w:bookmarkEnd w:id="1050"/>
      <w:bookmarkEnd w:id="1051"/>
      <w:bookmarkEnd w:id="1052"/>
      <w:bookmarkEnd w:id="1053"/>
    </w:p>
    <w:p w14:paraId="46A6C177">
      <w:pPr>
        <w:pStyle w:val="11"/>
      </w:pPr>
      <w: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2"/>
        <w:numPr>
          <w:ilvl w:val="0"/>
          <w:numId w:val="0"/>
        </w:numPr>
        <w:bidi w:val="0"/>
        <w:ind w:left="482" w:leftChars="0"/>
      </w:pPr>
      <w:bookmarkStart w:id="1054" w:name="_Toc31099"/>
      <w:bookmarkStart w:id="1055" w:name="bookmark1457"/>
      <w:bookmarkStart w:id="1056" w:name="_Toc14710411"/>
      <w:bookmarkStart w:id="1057" w:name="bookmark1455"/>
      <w:bookmarkStart w:id="1058" w:name="bookmark1456"/>
      <w:r>
        <w:t>20.保险</w:t>
      </w:r>
      <w:bookmarkEnd w:id="1054"/>
      <w:bookmarkEnd w:id="1055"/>
      <w:bookmarkEnd w:id="1056"/>
    </w:p>
    <w:p w14:paraId="68414968">
      <w:pPr>
        <w:pStyle w:val="2"/>
        <w:numPr>
          <w:ilvl w:val="0"/>
          <w:numId w:val="0"/>
        </w:numPr>
        <w:bidi w:val="0"/>
        <w:ind w:left="482" w:leftChars="0"/>
      </w:pPr>
      <w:bookmarkStart w:id="1059" w:name="_Toc14710412"/>
      <w:bookmarkStart w:id="1060" w:name="_Toc16520"/>
      <w:bookmarkStart w:id="1061" w:name="bookmark1458"/>
      <w:r>
        <w:t>20.1工程保险</w:t>
      </w:r>
      <w:bookmarkEnd w:id="1057"/>
      <w:bookmarkEnd w:id="1058"/>
      <w:bookmarkEnd w:id="1059"/>
      <w:bookmarkEnd w:id="1060"/>
      <w:bookmarkEnd w:id="1061"/>
    </w:p>
    <w:p w14:paraId="65B66C01">
      <w:pPr>
        <w:pStyle w:val="11"/>
      </w:pPr>
      <w: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2"/>
        <w:numPr>
          <w:ilvl w:val="0"/>
          <w:numId w:val="0"/>
        </w:numPr>
        <w:bidi w:val="0"/>
        <w:ind w:left="482" w:leftChars="0"/>
      </w:pPr>
      <w:bookmarkStart w:id="1062" w:name="bookmark1459"/>
      <w:bookmarkStart w:id="1063" w:name="bookmark1460"/>
      <w:bookmarkStart w:id="1064" w:name="bookmark1461"/>
      <w:bookmarkStart w:id="1065" w:name="_Toc14710413"/>
      <w:bookmarkStart w:id="1066" w:name="_Toc19236"/>
      <w:r>
        <w:t>20.2人员工伤事故的保险</w:t>
      </w:r>
      <w:bookmarkEnd w:id="1062"/>
      <w:bookmarkEnd w:id="1063"/>
      <w:bookmarkEnd w:id="1064"/>
      <w:bookmarkEnd w:id="1065"/>
      <w:bookmarkEnd w:id="1066"/>
    </w:p>
    <w:p w14:paraId="48B57B8B">
      <w:pPr>
        <w:pStyle w:val="2"/>
        <w:numPr>
          <w:ilvl w:val="0"/>
          <w:numId w:val="0"/>
        </w:numPr>
        <w:bidi w:val="0"/>
        <w:ind w:left="482" w:leftChars="0"/>
      </w:pPr>
      <w:bookmarkStart w:id="1067" w:name="bookmark1462"/>
      <w:bookmarkEnd w:id="1067"/>
      <w:r>
        <w:t>20.2.1承包人员工伤事故的保险</w:t>
      </w:r>
    </w:p>
    <w:p w14:paraId="37DFD6D7">
      <w:pPr>
        <w:pStyle w:val="11"/>
      </w:pPr>
      <w:r>
        <w:t>承包人应依照有关法律规定参加工伤保险，为其履行合同所雇佣的全部人员，缴纳工 伤保险费，并要求其分包人也进行此项保险。</w:t>
      </w:r>
    </w:p>
    <w:p w14:paraId="14850002">
      <w:pPr>
        <w:pStyle w:val="2"/>
        <w:numPr>
          <w:ilvl w:val="0"/>
          <w:numId w:val="0"/>
        </w:numPr>
        <w:bidi w:val="0"/>
        <w:ind w:left="482" w:leftChars="0"/>
      </w:pPr>
      <w:r>
        <w:t>20.2.2发包人员工伤事故的保险</w:t>
      </w:r>
    </w:p>
    <w:p w14:paraId="6E7B9FA5">
      <w:pPr>
        <w:pStyle w:val="11"/>
      </w:pPr>
      <w:r>
        <w:t>发包人应依照有关法律规定参加工伤保险，为其现场机构雇佣的全部人员，缴纳工伤保险费，并要求其监理人也进行此项保险。</w:t>
      </w:r>
    </w:p>
    <w:p w14:paraId="39D473A7">
      <w:pPr>
        <w:pStyle w:val="2"/>
        <w:numPr>
          <w:ilvl w:val="0"/>
          <w:numId w:val="0"/>
        </w:numPr>
        <w:bidi w:val="0"/>
        <w:ind w:left="482" w:leftChars="0"/>
      </w:pPr>
      <w:bookmarkStart w:id="1068" w:name="bookmark1465"/>
      <w:bookmarkStart w:id="1069" w:name="bookmark1464"/>
      <w:bookmarkStart w:id="1070" w:name="bookmark1463"/>
      <w:bookmarkStart w:id="1071" w:name="_Toc9146"/>
      <w:bookmarkStart w:id="1072" w:name="_Toc14710414"/>
      <w:r>
        <w:t>20.3人身意外伤害险</w:t>
      </w:r>
      <w:bookmarkEnd w:id="1068"/>
      <w:bookmarkEnd w:id="1069"/>
      <w:bookmarkEnd w:id="1070"/>
      <w:bookmarkEnd w:id="1071"/>
      <w:bookmarkEnd w:id="1072"/>
    </w:p>
    <w:p w14:paraId="3954D12B">
      <w:pPr>
        <w:pStyle w:val="11"/>
      </w:pPr>
      <w:r>
        <w:t>20.3.1发包人应在整个施工期间为其现场机构雇用的全部人员，投保人身意外伤害险，缴纳保险费，并要求其监理人也进行此项保险。</w:t>
      </w:r>
    </w:p>
    <w:p w14:paraId="0F373B39">
      <w:pPr>
        <w:pStyle w:val="11"/>
      </w:pPr>
      <w:r>
        <w:t>20.3.2承包人应在整个施工期间为其现场机构雇用的全部人员，投保人身意外伤害险，缴纳保险费，并要求其分包人也进行此项保险。</w:t>
      </w:r>
    </w:p>
    <w:p w14:paraId="54711A3A">
      <w:pPr>
        <w:pStyle w:val="2"/>
        <w:numPr>
          <w:ilvl w:val="0"/>
          <w:numId w:val="0"/>
        </w:numPr>
        <w:bidi w:val="0"/>
        <w:ind w:left="482" w:leftChars="0"/>
      </w:pPr>
      <w:bookmarkStart w:id="1073" w:name="bookmark1468"/>
      <w:bookmarkStart w:id="1074" w:name="_Toc10666"/>
      <w:bookmarkStart w:id="1075" w:name="bookmark1467"/>
      <w:bookmarkStart w:id="1076" w:name="_Toc14710415"/>
      <w:bookmarkStart w:id="1077" w:name="bookmark1466"/>
      <w:r>
        <w:t>20.4第三者责任险</w:t>
      </w:r>
      <w:bookmarkEnd w:id="1073"/>
      <w:bookmarkEnd w:id="1074"/>
      <w:bookmarkEnd w:id="1075"/>
      <w:bookmarkEnd w:id="1076"/>
      <w:bookmarkEnd w:id="1077"/>
    </w:p>
    <w:p w14:paraId="52E75ACB">
      <w:pPr>
        <w:pStyle w:val="11"/>
      </w:pPr>
      <w: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11"/>
      </w:pPr>
      <w:r>
        <w:t>20.4.2在缺陷责任期终止证书颁发前，承包人应以承包人和发包人的共同名义，投保第20. 4.1项约定的第三者责任险，其保险费率、保险金额等有关内容在专用合同条款中约定。</w:t>
      </w:r>
    </w:p>
    <w:p w14:paraId="66C581C7">
      <w:pPr>
        <w:pStyle w:val="2"/>
        <w:numPr>
          <w:ilvl w:val="0"/>
          <w:numId w:val="0"/>
        </w:numPr>
        <w:bidi w:val="0"/>
        <w:ind w:left="482" w:leftChars="0"/>
      </w:pPr>
      <w:bookmarkStart w:id="1078" w:name="bookmark1469"/>
      <w:bookmarkStart w:id="1079" w:name="bookmark1471"/>
      <w:bookmarkStart w:id="1080" w:name="_Toc14710416"/>
      <w:bookmarkStart w:id="1081" w:name="_Toc15855"/>
      <w:bookmarkStart w:id="1082" w:name="bookmark1470"/>
      <w:r>
        <w:t>20.5其他保险</w:t>
      </w:r>
      <w:bookmarkEnd w:id="1078"/>
      <w:bookmarkEnd w:id="1079"/>
      <w:bookmarkEnd w:id="1080"/>
      <w:bookmarkEnd w:id="1081"/>
      <w:bookmarkEnd w:id="1082"/>
    </w:p>
    <w:p w14:paraId="7E1A1D8C">
      <w:pPr>
        <w:pStyle w:val="11"/>
      </w:pPr>
      <w:r>
        <w:t>除专用合同条款另有约定外，承包人应为其施工设备、进场的材料和工程设备等办理保险。</w:t>
      </w:r>
    </w:p>
    <w:p w14:paraId="3DC7180F">
      <w:pPr>
        <w:pStyle w:val="2"/>
        <w:numPr>
          <w:ilvl w:val="0"/>
          <w:numId w:val="0"/>
        </w:numPr>
        <w:bidi w:val="0"/>
        <w:ind w:left="482" w:leftChars="0"/>
      </w:pPr>
      <w:bookmarkStart w:id="1083" w:name="bookmark1474"/>
      <w:bookmarkStart w:id="1084" w:name="_Toc20306"/>
      <w:bookmarkStart w:id="1085" w:name="_Toc14710417"/>
      <w:bookmarkStart w:id="1086" w:name="bookmark1472"/>
      <w:bookmarkStart w:id="1087" w:name="bookmark1473"/>
      <w:r>
        <w:t>20.6对各项保险的一般要求</w:t>
      </w:r>
      <w:bookmarkEnd w:id="1083"/>
      <w:bookmarkEnd w:id="1084"/>
      <w:bookmarkEnd w:id="1085"/>
      <w:bookmarkEnd w:id="1086"/>
      <w:bookmarkEnd w:id="1087"/>
    </w:p>
    <w:p w14:paraId="1DA8175D">
      <w:pPr>
        <w:pStyle w:val="2"/>
        <w:numPr>
          <w:ilvl w:val="0"/>
          <w:numId w:val="0"/>
        </w:numPr>
        <w:bidi w:val="0"/>
        <w:ind w:left="482" w:leftChars="0"/>
      </w:pPr>
      <w:r>
        <w:t>20.6.1保险凭证</w:t>
      </w:r>
    </w:p>
    <w:p w14:paraId="00037316">
      <w:pPr>
        <w:pStyle w:val="11"/>
      </w:pPr>
      <w:r>
        <w:t>承包人应在专用合同条款约定的期限内向发包人提交各项保险生效的证据和保险单副本，保险单必须与专用合同条款约定的条件保持一致。</w:t>
      </w:r>
    </w:p>
    <w:p w14:paraId="08E87269">
      <w:pPr>
        <w:pStyle w:val="2"/>
        <w:numPr>
          <w:ilvl w:val="0"/>
          <w:numId w:val="0"/>
        </w:numPr>
        <w:bidi w:val="0"/>
        <w:ind w:left="482" w:leftChars="0"/>
      </w:pPr>
      <w:r>
        <w:t>20.6.2保险合同条款的变动</w:t>
      </w:r>
    </w:p>
    <w:p w14:paraId="3E76D994">
      <w:pPr>
        <w:pStyle w:val="11"/>
      </w:pPr>
      <w:r>
        <w:t>承包人需要变动保险合同条款时，应事先征得发包人同意，并通知监理人。保险人作出变动的，承包人应在收到保险人通知后立即通知发包人和监理人。</w:t>
      </w:r>
    </w:p>
    <w:p w14:paraId="78D84CE1">
      <w:pPr>
        <w:pStyle w:val="2"/>
        <w:numPr>
          <w:ilvl w:val="0"/>
          <w:numId w:val="0"/>
        </w:numPr>
        <w:bidi w:val="0"/>
        <w:ind w:left="482" w:leftChars="0"/>
      </w:pPr>
      <w:r>
        <w:t>20.6.3持续保险</w:t>
      </w:r>
    </w:p>
    <w:p w14:paraId="346FCECB">
      <w:pPr>
        <w:pStyle w:val="11"/>
      </w:pPr>
      <w:r>
        <w:t>承包人应与保险人保持联系，使保险人能够随时了解工程实施中的变动，并确保按保险合同条款要求持续保险。</w:t>
      </w:r>
    </w:p>
    <w:p w14:paraId="6E57DE3E">
      <w:pPr>
        <w:pStyle w:val="2"/>
        <w:numPr>
          <w:ilvl w:val="0"/>
          <w:numId w:val="0"/>
        </w:numPr>
        <w:bidi w:val="0"/>
        <w:ind w:left="482" w:leftChars="0"/>
      </w:pPr>
      <w:r>
        <w:t>20.6.4保险金不足的补偿</w:t>
      </w:r>
    </w:p>
    <w:p w14:paraId="39E53E3F">
      <w:pPr>
        <w:pStyle w:val="11"/>
      </w:pPr>
      <w:r>
        <w:t>保险金不足以补偿损失时，应由承包人和发包人各自负责补偿的范围和金额在专用合 同条款中约定。</w:t>
      </w:r>
    </w:p>
    <w:p w14:paraId="49DD8F37">
      <w:pPr>
        <w:pStyle w:val="2"/>
        <w:numPr>
          <w:ilvl w:val="0"/>
          <w:numId w:val="0"/>
        </w:numPr>
        <w:bidi w:val="0"/>
        <w:ind w:left="482" w:leftChars="0"/>
      </w:pPr>
      <w:r>
        <w:t>20.6.5未按约定投保的补救</w:t>
      </w:r>
    </w:p>
    <w:p w14:paraId="78FE8BBF">
      <w:pPr>
        <w:pStyle w:val="11"/>
      </w:pPr>
      <w:bookmarkStart w:id="1088" w:name="bookmark1475"/>
      <w:bookmarkEnd w:id="1088"/>
      <w:r>
        <w:rPr>
          <w:b w:val="0"/>
          <w:i w:val="0"/>
          <w:strike w:val="0"/>
          <w:color w:val="000000"/>
          <w:u w:val="none"/>
        </w:rPr>
        <w:t>(1)</w:t>
      </w:r>
      <w:r>
        <w:t>由于负有投保义务的一方当事人未按合同约定办理保险，或未能使保险持续有效的，另一方当事人可代为办理，所需费用由对方当事人承担。</w:t>
      </w:r>
    </w:p>
    <w:p w14:paraId="740DDDEC">
      <w:pPr>
        <w:pStyle w:val="11"/>
      </w:pPr>
      <w:bookmarkStart w:id="1089" w:name="bookmark1476"/>
      <w:bookmarkEnd w:id="1089"/>
      <w:r>
        <w:rPr>
          <w:b w:val="0"/>
          <w:i w:val="0"/>
          <w:strike w:val="0"/>
          <w:color w:val="000000"/>
          <w:u w:val="none"/>
        </w:rPr>
        <w:t>(2)</w:t>
      </w:r>
      <w:r>
        <w:t>由于负有投保义务的一方当事人未按合同约定办理某项保险，导致受益人未能得到保险人的赔偿，原应从该项保险得到的保险金应由负有投保义务的一方当事人支付。</w:t>
      </w:r>
    </w:p>
    <w:p w14:paraId="121CC2C2">
      <w:pPr>
        <w:pStyle w:val="2"/>
        <w:numPr>
          <w:ilvl w:val="0"/>
          <w:numId w:val="0"/>
        </w:numPr>
        <w:bidi w:val="0"/>
        <w:ind w:left="482" w:leftChars="0"/>
      </w:pPr>
      <w:r>
        <w:t>20.6.6报告义务</w:t>
      </w:r>
    </w:p>
    <w:p w14:paraId="6F57AAE9">
      <w:pPr>
        <w:pStyle w:val="11"/>
      </w:pPr>
      <w:r>
        <w:t>当保险事故发生时，投保人应按照保险单规定的条件和期限及时向保险人报告。</w:t>
      </w:r>
    </w:p>
    <w:p w14:paraId="796CF8C7">
      <w:pPr>
        <w:pStyle w:val="2"/>
        <w:numPr>
          <w:ilvl w:val="0"/>
          <w:numId w:val="0"/>
        </w:numPr>
        <w:bidi w:val="0"/>
        <w:ind w:left="482" w:leftChars="0"/>
      </w:pPr>
      <w:bookmarkStart w:id="1090" w:name="_Toc14710418"/>
      <w:bookmarkStart w:id="1091" w:name="bookmark1477"/>
      <w:bookmarkStart w:id="1092" w:name="bookmark1479"/>
      <w:bookmarkStart w:id="1093" w:name="_Toc12103"/>
      <w:bookmarkStart w:id="1094" w:name="bookmark1478"/>
      <w:r>
        <w:t>20.7风险责任的转移</w:t>
      </w:r>
      <w:bookmarkEnd w:id="1090"/>
      <w:bookmarkEnd w:id="1091"/>
      <w:bookmarkEnd w:id="1092"/>
      <w:bookmarkEnd w:id="1093"/>
      <w:bookmarkEnd w:id="1094"/>
    </w:p>
    <w:p w14:paraId="7389A9F3">
      <w:pPr>
        <w:pStyle w:val="11"/>
      </w:pPr>
      <w: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2"/>
        <w:numPr>
          <w:ilvl w:val="0"/>
          <w:numId w:val="0"/>
        </w:numPr>
        <w:bidi w:val="0"/>
        <w:ind w:left="482" w:leftChars="0"/>
      </w:pPr>
      <w:bookmarkStart w:id="1095" w:name="bookmark1481"/>
      <w:bookmarkStart w:id="1096" w:name="_Toc14710419"/>
      <w:bookmarkStart w:id="1097" w:name="bookmark1480"/>
      <w:bookmarkStart w:id="1098" w:name="bookmark1482"/>
      <w:bookmarkStart w:id="1099" w:name="_Toc5879"/>
      <w:r>
        <w:t>21.不可抗力</w:t>
      </w:r>
      <w:bookmarkEnd w:id="1095"/>
      <w:bookmarkEnd w:id="1096"/>
      <w:bookmarkEnd w:id="1097"/>
      <w:bookmarkEnd w:id="1098"/>
      <w:bookmarkEnd w:id="1099"/>
    </w:p>
    <w:p w14:paraId="697732DF">
      <w:pPr>
        <w:pStyle w:val="2"/>
        <w:numPr>
          <w:ilvl w:val="0"/>
          <w:numId w:val="0"/>
        </w:numPr>
        <w:bidi w:val="0"/>
        <w:ind w:left="482" w:leftChars="0"/>
      </w:pPr>
      <w:bookmarkStart w:id="1100" w:name="bookmark1483"/>
      <w:bookmarkStart w:id="1101" w:name="_Toc14710420"/>
      <w:bookmarkStart w:id="1102" w:name="_Toc15722"/>
      <w:bookmarkStart w:id="1103" w:name="bookmark1484"/>
      <w:bookmarkStart w:id="1104" w:name="bookmark1485"/>
      <w:r>
        <w:t>21.1不可抗力的确认</w:t>
      </w:r>
      <w:bookmarkEnd w:id="1100"/>
      <w:bookmarkEnd w:id="1101"/>
      <w:bookmarkEnd w:id="1102"/>
      <w:bookmarkEnd w:id="1103"/>
      <w:bookmarkEnd w:id="1104"/>
    </w:p>
    <w:p w14:paraId="05A34B9A">
      <w:pPr>
        <w:pStyle w:val="11"/>
      </w:pPr>
      <w: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11"/>
      </w:pPr>
      <w: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2"/>
        <w:numPr>
          <w:ilvl w:val="0"/>
          <w:numId w:val="0"/>
        </w:numPr>
        <w:bidi w:val="0"/>
        <w:ind w:left="482" w:leftChars="0"/>
      </w:pPr>
      <w:bookmarkStart w:id="1105" w:name="bookmark1486"/>
      <w:bookmarkStart w:id="1106" w:name="bookmark1487"/>
      <w:bookmarkStart w:id="1107" w:name="_Toc14710421"/>
      <w:bookmarkStart w:id="1108" w:name="bookmark1488"/>
      <w:bookmarkStart w:id="1109" w:name="_Toc5372"/>
      <w:r>
        <w:t>21.2不可抗力的通知</w:t>
      </w:r>
      <w:bookmarkEnd w:id="1105"/>
      <w:bookmarkEnd w:id="1106"/>
      <w:bookmarkEnd w:id="1107"/>
      <w:bookmarkEnd w:id="1108"/>
      <w:bookmarkEnd w:id="1109"/>
    </w:p>
    <w:p w14:paraId="0DF15C30">
      <w:pPr>
        <w:pStyle w:val="11"/>
      </w:pPr>
      <w:r>
        <w:t>21.2.1合同一方当事人遇到不可抗力事件，使其履行合同义务受到阻碍时，应立即通知合同另一方当事人和监理人，书面说明不可抗力和受阻碍的详细情况，并提供必要的证明。</w:t>
      </w:r>
    </w:p>
    <w:p w14:paraId="45F544B3">
      <w:pPr>
        <w:pStyle w:val="11"/>
      </w:pPr>
      <w: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2"/>
        <w:numPr>
          <w:ilvl w:val="0"/>
          <w:numId w:val="0"/>
        </w:numPr>
        <w:bidi w:val="0"/>
        <w:ind w:left="482" w:leftChars="0"/>
      </w:pPr>
      <w:bookmarkStart w:id="1110" w:name="bookmark1489"/>
      <w:bookmarkStart w:id="1111" w:name="_Toc14710422"/>
      <w:bookmarkStart w:id="1112" w:name="_Toc17208"/>
      <w:bookmarkStart w:id="1113" w:name="bookmark1491"/>
      <w:bookmarkStart w:id="1114" w:name="bookmark1490"/>
      <w:r>
        <w:t>21.3不可抗力后果及其处理</w:t>
      </w:r>
      <w:bookmarkEnd w:id="1110"/>
      <w:bookmarkEnd w:id="1111"/>
      <w:bookmarkEnd w:id="1112"/>
      <w:bookmarkEnd w:id="1113"/>
      <w:bookmarkEnd w:id="1114"/>
    </w:p>
    <w:p w14:paraId="7C6D9A55">
      <w:pPr>
        <w:pStyle w:val="2"/>
        <w:numPr>
          <w:ilvl w:val="0"/>
          <w:numId w:val="0"/>
        </w:numPr>
        <w:bidi w:val="0"/>
        <w:ind w:left="482" w:leftChars="0"/>
      </w:pPr>
      <w:r>
        <w:t>21.3.1不可抗力造成损害的责任</w:t>
      </w:r>
    </w:p>
    <w:p w14:paraId="74518CFD">
      <w:pPr>
        <w:pStyle w:val="11"/>
      </w:pPr>
      <w:r>
        <w:t>除专用合同条款另有约定外，不可抗力导致的人员伤亡、财产损失、费用增加和(或) 工期延误等后果，由合同双方按以下原则承担：</w:t>
      </w:r>
    </w:p>
    <w:p w14:paraId="0570C8E4">
      <w:pPr>
        <w:pStyle w:val="11"/>
      </w:pPr>
      <w:bookmarkStart w:id="1115" w:name="bookmark1492"/>
      <w:bookmarkEnd w:id="1115"/>
      <w:r>
        <w:rPr>
          <w:b w:val="0"/>
          <w:i w:val="0"/>
          <w:strike w:val="0"/>
          <w:color w:val="000000"/>
          <w:u w:val="none"/>
        </w:rPr>
        <w:t>(1)</w:t>
      </w:r>
      <w:r>
        <w:t>永久工程，包括已运至施工场地的材料和工程设备的损害，以及因工程损害造成的第三者人员伤亡和财产损失由发包人承担；</w:t>
      </w:r>
    </w:p>
    <w:p w14:paraId="04F6768D">
      <w:pPr>
        <w:pStyle w:val="11"/>
      </w:pPr>
      <w:bookmarkStart w:id="1116" w:name="bookmark1493"/>
      <w:bookmarkEnd w:id="1116"/>
      <w:r>
        <w:rPr>
          <w:b w:val="0"/>
          <w:i w:val="0"/>
          <w:strike w:val="0"/>
          <w:color w:val="000000"/>
          <w:u w:val="none"/>
        </w:rPr>
        <w:t>(2)</w:t>
      </w:r>
      <w:r>
        <w:t>承包人设备的损坏由承包人承担；</w:t>
      </w:r>
    </w:p>
    <w:p w14:paraId="70E818A0">
      <w:pPr>
        <w:pStyle w:val="11"/>
      </w:pPr>
      <w:bookmarkStart w:id="1117" w:name="bookmark1494"/>
      <w:bookmarkEnd w:id="1117"/>
      <w:r>
        <w:rPr>
          <w:b w:val="0"/>
          <w:i w:val="0"/>
          <w:strike w:val="0"/>
          <w:color w:val="000000"/>
          <w:u w:val="none"/>
        </w:rPr>
        <w:t>(3)</w:t>
      </w:r>
      <w:r>
        <w:t>发包人和承包人各自承担其人员伤亡和其他财产损失及其相关费用；</w:t>
      </w:r>
    </w:p>
    <w:p w14:paraId="1A107565">
      <w:pPr>
        <w:pStyle w:val="11"/>
      </w:pPr>
      <w:bookmarkStart w:id="1118" w:name="bookmark1495"/>
      <w:bookmarkEnd w:id="1118"/>
      <w:r>
        <w:rPr>
          <w:b w:val="0"/>
          <w:i w:val="0"/>
          <w:strike w:val="0"/>
          <w:color w:val="000000"/>
          <w:u w:val="none"/>
        </w:rPr>
        <w:t>(4)</w:t>
      </w:r>
      <w:r>
        <w:t>承包人的停工损失由承包人承担，但停工期间应监理人要求照管工程和清理、修复工程的金额由发包人承担；</w:t>
      </w:r>
    </w:p>
    <w:p w14:paraId="5ECC0108">
      <w:pPr>
        <w:pStyle w:val="11"/>
      </w:pPr>
      <w:bookmarkStart w:id="1119" w:name="bookmark1496"/>
      <w:bookmarkEnd w:id="1119"/>
      <w:r>
        <w:rPr>
          <w:b w:val="0"/>
          <w:i w:val="0"/>
          <w:strike w:val="0"/>
          <w:color w:val="000000"/>
          <w:u w:val="none"/>
        </w:rPr>
        <w:t>(5)</w:t>
      </w:r>
      <w:r>
        <w:t>不能按期竣工的，应合理延长工期，承包人不需支付逾期竣工违约金。发包人要求赶工的，承包人应采取赶工措施，赶工费用由发包人承担。</w:t>
      </w:r>
    </w:p>
    <w:p w14:paraId="3E8D7B83">
      <w:pPr>
        <w:pStyle w:val="2"/>
        <w:numPr>
          <w:ilvl w:val="0"/>
          <w:numId w:val="0"/>
        </w:numPr>
        <w:bidi w:val="0"/>
        <w:ind w:left="482" w:leftChars="0"/>
      </w:pPr>
      <w:r>
        <w:t>21.3.2延迟履行期间发生的不可抗力</w:t>
      </w:r>
    </w:p>
    <w:p w14:paraId="1D8B168E">
      <w:pPr>
        <w:pStyle w:val="11"/>
      </w:pPr>
      <w:r>
        <w:t>合同一方当事人延迟履行，在延迟履行期间发生不可抗力的，不免除其责任。</w:t>
      </w:r>
    </w:p>
    <w:p w14:paraId="4F1584F8">
      <w:pPr>
        <w:pStyle w:val="2"/>
        <w:numPr>
          <w:ilvl w:val="0"/>
          <w:numId w:val="0"/>
        </w:numPr>
        <w:bidi w:val="0"/>
        <w:ind w:left="482" w:leftChars="0"/>
      </w:pPr>
      <w:r>
        <w:t>21.3.3避免和减少不可抗力损失</w:t>
      </w:r>
    </w:p>
    <w:p w14:paraId="70F51EF8">
      <w:pPr>
        <w:pStyle w:val="11"/>
      </w:pPr>
      <w:r>
        <w:t>不可抗力发生后，发包人和承包人均应采取措施尽量避免和减少损失的扩大，任何一 方没有采取有效措施导致损失扩大的，应对扩大的损失承担责任。</w:t>
      </w:r>
    </w:p>
    <w:p w14:paraId="287B9519">
      <w:pPr>
        <w:pStyle w:val="2"/>
        <w:numPr>
          <w:ilvl w:val="0"/>
          <w:numId w:val="0"/>
        </w:numPr>
        <w:bidi w:val="0"/>
        <w:ind w:left="482" w:leftChars="0"/>
      </w:pPr>
      <w:r>
        <w:t>21.3.4因不可抗力解除合同</w:t>
      </w:r>
    </w:p>
    <w:p w14:paraId="2DE3F2F7">
      <w:pPr>
        <w:pStyle w:val="11"/>
      </w:pPr>
      <w: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2"/>
        <w:numPr>
          <w:ilvl w:val="0"/>
          <w:numId w:val="0"/>
        </w:numPr>
        <w:bidi w:val="0"/>
        <w:ind w:left="482" w:leftChars="0"/>
      </w:pPr>
      <w:bookmarkStart w:id="1120" w:name="_Toc14710423"/>
      <w:bookmarkStart w:id="1121" w:name="bookmark1499"/>
      <w:bookmarkStart w:id="1122" w:name="_Toc6299"/>
      <w:bookmarkStart w:id="1123" w:name="bookmark1498"/>
      <w:bookmarkStart w:id="1124" w:name="bookmark1497"/>
      <w:r>
        <w:t>22.违约</w:t>
      </w:r>
      <w:bookmarkEnd w:id="1120"/>
      <w:bookmarkEnd w:id="1121"/>
      <w:bookmarkEnd w:id="1122"/>
    </w:p>
    <w:p w14:paraId="6C0B096F">
      <w:pPr>
        <w:pStyle w:val="2"/>
        <w:numPr>
          <w:ilvl w:val="0"/>
          <w:numId w:val="0"/>
        </w:numPr>
        <w:bidi w:val="0"/>
        <w:ind w:left="482" w:leftChars="0"/>
      </w:pPr>
      <w:bookmarkStart w:id="1125" w:name="_Toc15198"/>
      <w:bookmarkStart w:id="1126" w:name="bookmark1500"/>
      <w:bookmarkStart w:id="1127" w:name="_Toc14710424"/>
      <w:r>
        <w:t>22.1承包人违约</w:t>
      </w:r>
      <w:bookmarkEnd w:id="1123"/>
      <w:bookmarkEnd w:id="1124"/>
      <w:bookmarkEnd w:id="1125"/>
      <w:bookmarkEnd w:id="1126"/>
      <w:bookmarkEnd w:id="1127"/>
    </w:p>
    <w:p w14:paraId="16C2F668">
      <w:pPr>
        <w:pStyle w:val="2"/>
        <w:numPr>
          <w:ilvl w:val="0"/>
          <w:numId w:val="0"/>
        </w:numPr>
        <w:bidi w:val="0"/>
        <w:ind w:left="482" w:leftChars="0"/>
      </w:pPr>
      <w:r>
        <w:t>22.1.1承包人违约的情形</w:t>
      </w:r>
    </w:p>
    <w:p w14:paraId="7B3BE2FA">
      <w:pPr>
        <w:pStyle w:val="11"/>
      </w:pPr>
      <w:r>
        <w:t>在履行合同过程中发生的下列情况属承包人违约：</w:t>
      </w:r>
    </w:p>
    <w:p w14:paraId="6DE0F155">
      <w:pPr>
        <w:pStyle w:val="11"/>
      </w:pPr>
      <w:bookmarkStart w:id="1128" w:name="bookmark1501"/>
      <w:bookmarkEnd w:id="1128"/>
      <w:r>
        <w:rPr>
          <w:b w:val="0"/>
          <w:i w:val="0"/>
          <w:strike w:val="0"/>
          <w:color w:val="000000"/>
          <w:u w:val="none"/>
        </w:rPr>
        <w:t>(1)</w:t>
      </w:r>
      <w:r>
        <w:t>承包人违反第1.8款或第4. 3款的约定，私自将合同的全部或部分权利转让给其他人，或私自将合同的全部或部分义务转移给其他人；</w:t>
      </w:r>
    </w:p>
    <w:p w14:paraId="1D1FF4E7">
      <w:pPr>
        <w:pStyle w:val="11"/>
      </w:pPr>
      <w:bookmarkStart w:id="1129" w:name="bookmark1502"/>
      <w:bookmarkEnd w:id="1129"/>
      <w:r>
        <w:rPr>
          <w:b w:val="0"/>
          <w:i w:val="0"/>
          <w:strike w:val="0"/>
          <w:color w:val="000000"/>
          <w:u w:val="none"/>
        </w:rPr>
        <w:t>(2)</w:t>
      </w:r>
      <w:r>
        <w:t>承包人违反第5. 3款或第6. 4款的约定，未经监理人批准，私自将已按合同约定进入施工场地的施工设备、临时设施或材料撤离施工场地；</w:t>
      </w:r>
    </w:p>
    <w:p w14:paraId="6C97F42C">
      <w:pPr>
        <w:pStyle w:val="11"/>
      </w:pPr>
      <w:bookmarkStart w:id="1130" w:name="bookmark1503"/>
      <w:bookmarkEnd w:id="1130"/>
      <w:r>
        <w:rPr>
          <w:b w:val="0"/>
          <w:i w:val="0"/>
          <w:strike w:val="0"/>
          <w:color w:val="000000"/>
          <w:u w:val="none"/>
        </w:rPr>
        <w:t>(3)</w:t>
      </w:r>
      <w:r>
        <w:t>承包人违反第5. 4款的约定使用了不合格材料或工程设备，工程质量达不到标准要求，又拒绝清除不合格工程；</w:t>
      </w:r>
    </w:p>
    <w:p w14:paraId="394830A0">
      <w:pPr>
        <w:pStyle w:val="11"/>
      </w:pPr>
      <w:bookmarkStart w:id="1131" w:name="bookmark1504"/>
      <w:bookmarkEnd w:id="1131"/>
      <w:r>
        <w:rPr>
          <w:b w:val="0"/>
          <w:i w:val="0"/>
          <w:strike w:val="0"/>
          <w:color w:val="000000"/>
          <w:u w:val="none"/>
        </w:rPr>
        <w:t>(4)</w:t>
      </w:r>
      <w:r>
        <w:t>承包人未能按合同进度计划及时完成合同约定的工作，已造成或预期造成工期延误；</w:t>
      </w:r>
    </w:p>
    <w:p w14:paraId="41009C5B">
      <w:pPr>
        <w:pStyle w:val="11"/>
      </w:pPr>
      <w:bookmarkStart w:id="1132" w:name="bookmark1505"/>
      <w:bookmarkEnd w:id="1132"/>
      <w:r>
        <w:rPr>
          <w:b w:val="0"/>
          <w:i w:val="0"/>
          <w:strike w:val="0"/>
          <w:color w:val="000000"/>
          <w:u w:val="none"/>
        </w:rPr>
        <w:t>(5)</w:t>
      </w:r>
      <w: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11"/>
      </w:pPr>
      <w:bookmarkStart w:id="1133" w:name="bookmark1506"/>
      <w:bookmarkEnd w:id="1133"/>
      <w:r>
        <w:rPr>
          <w:b w:val="0"/>
          <w:i w:val="0"/>
          <w:strike w:val="0"/>
          <w:color w:val="000000"/>
          <w:u w:val="none"/>
        </w:rPr>
        <w:t>(6)</w:t>
      </w:r>
      <w:r>
        <w:t>承包人无法继续履行或明确表示不履行或实质上已停止履行合同；</w:t>
      </w:r>
    </w:p>
    <w:p w14:paraId="294FDF69">
      <w:pPr>
        <w:pStyle w:val="11"/>
      </w:pPr>
      <w:bookmarkStart w:id="1134" w:name="bookmark1507"/>
      <w:bookmarkEnd w:id="1134"/>
      <w:r>
        <w:rPr>
          <w:b w:val="0"/>
          <w:i w:val="0"/>
          <w:strike w:val="0"/>
          <w:color w:val="000000"/>
          <w:u w:val="none"/>
        </w:rPr>
        <w:t>(7)</w:t>
      </w:r>
      <w:r>
        <w:t>承包人不按合同约定履行义务的其他情况。</w:t>
      </w:r>
    </w:p>
    <w:p w14:paraId="5B0715C0">
      <w:pPr>
        <w:pStyle w:val="2"/>
        <w:numPr>
          <w:ilvl w:val="0"/>
          <w:numId w:val="0"/>
        </w:numPr>
        <w:bidi w:val="0"/>
        <w:ind w:left="482" w:leftChars="0"/>
      </w:pPr>
      <w:r>
        <w:t>22.1.2对承包人违约的处理</w:t>
      </w:r>
    </w:p>
    <w:p w14:paraId="10F802CD">
      <w:pPr>
        <w:pStyle w:val="11"/>
      </w:pPr>
      <w:bookmarkStart w:id="1135" w:name="bookmark1508"/>
      <w:bookmarkEnd w:id="1135"/>
      <w:r>
        <w:rPr>
          <w:b w:val="0"/>
          <w:i w:val="0"/>
          <w:strike w:val="0"/>
          <w:color w:val="000000"/>
          <w:u w:val="none"/>
        </w:rPr>
        <w:t>(1)</w:t>
      </w:r>
      <w:r>
        <w:t>承包人发生第22.1.1 (6)目约定的违约情况时，发包人可通知承包人立即解除合同，并按有关法律处理。</w:t>
      </w:r>
    </w:p>
    <w:p w14:paraId="343F1937">
      <w:pPr>
        <w:pStyle w:val="11"/>
      </w:pPr>
      <w:bookmarkStart w:id="1136" w:name="bookmark1509"/>
      <w:bookmarkEnd w:id="1136"/>
      <w:r>
        <w:rPr>
          <w:b w:val="0"/>
          <w:i w:val="0"/>
          <w:strike w:val="0"/>
          <w:color w:val="000000"/>
          <w:u w:val="none"/>
        </w:rPr>
        <w:t>(2)</w:t>
      </w:r>
      <w:r>
        <w:t>承包人发生除第22. 1. 1 (6)目约定以外的其他违约情况时，监理人可向承包人发出整改通知，要求其在指定的期限内改正。承包人应承担其违约所引起的费用增加和 (或)工期延误。</w:t>
      </w:r>
    </w:p>
    <w:p w14:paraId="7C8C104B">
      <w:pPr>
        <w:pStyle w:val="11"/>
      </w:pPr>
      <w:bookmarkStart w:id="1137" w:name="bookmark1510"/>
      <w:bookmarkEnd w:id="1137"/>
      <w:r>
        <w:rPr>
          <w:b w:val="0"/>
          <w:i w:val="0"/>
          <w:strike w:val="0"/>
          <w:color w:val="000000"/>
          <w:u w:val="none"/>
        </w:rPr>
        <w:t>(3)</w:t>
      </w:r>
      <w:r>
        <w:t>经检查证明承包人已采取了有效措施纠正违约行为，具备复工条件的，可由监理人签发复工通知复工。</w:t>
      </w:r>
    </w:p>
    <w:p w14:paraId="78F913E0">
      <w:pPr>
        <w:pStyle w:val="2"/>
        <w:numPr>
          <w:ilvl w:val="0"/>
          <w:numId w:val="0"/>
        </w:numPr>
        <w:bidi w:val="0"/>
        <w:ind w:left="482" w:leftChars="0"/>
      </w:pPr>
      <w:r>
        <w:t>22.1.3承包人违约解除合同</w:t>
      </w:r>
    </w:p>
    <w:p w14:paraId="505C7274">
      <w:pPr>
        <w:pStyle w:val="11"/>
      </w:pPr>
      <w: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2"/>
        <w:numPr>
          <w:ilvl w:val="0"/>
          <w:numId w:val="0"/>
        </w:numPr>
        <w:bidi w:val="0"/>
        <w:ind w:left="482" w:leftChars="0"/>
      </w:pPr>
      <w:r>
        <w:t>22.1.4合同解除后的估价、付款和结清</w:t>
      </w:r>
    </w:p>
    <w:p w14:paraId="44A70E80">
      <w:pPr>
        <w:pStyle w:val="11"/>
      </w:pPr>
      <w:bookmarkStart w:id="1138" w:name="bookmark1511"/>
      <w:bookmarkEnd w:id="1138"/>
      <w:r>
        <w:rPr>
          <w:b w:val="0"/>
          <w:i w:val="0"/>
          <w:strike w:val="0"/>
          <w:color w:val="000000"/>
          <w:u w:val="none"/>
        </w:rPr>
        <w:t>(1)</w:t>
      </w:r>
      <w:r>
        <w:t>合同解除后，监理人按第3. 5款商定或确定承包人实际完成工作的价值，以及承包人已提供的材料、施工设备、工程设备和临时工程等的价值。</w:t>
      </w:r>
    </w:p>
    <w:p w14:paraId="1B2769E8">
      <w:pPr>
        <w:pStyle w:val="11"/>
      </w:pPr>
      <w:bookmarkStart w:id="1139" w:name="bookmark1512"/>
      <w:bookmarkEnd w:id="1139"/>
      <w:r>
        <w:rPr>
          <w:b w:val="0"/>
          <w:i w:val="0"/>
          <w:strike w:val="0"/>
          <w:color w:val="000000"/>
          <w:u w:val="none"/>
        </w:rPr>
        <w:t>(2)</w:t>
      </w:r>
      <w:r>
        <w:t>合同解除后，发包人应暂停对承包人的一切付款，查清各项付款和已扣款金额, 包括承包人应支付的违约金。</w:t>
      </w:r>
    </w:p>
    <w:p w14:paraId="7F4219DF">
      <w:pPr>
        <w:pStyle w:val="11"/>
      </w:pPr>
      <w:bookmarkStart w:id="1140" w:name="bookmark1513"/>
      <w:bookmarkEnd w:id="1140"/>
      <w:r>
        <w:rPr>
          <w:b w:val="0"/>
          <w:i w:val="0"/>
          <w:strike w:val="0"/>
          <w:color w:val="000000"/>
          <w:u w:val="none"/>
        </w:rPr>
        <w:t>(3)</w:t>
      </w:r>
      <w:r>
        <w:t>合同解除后，发包人应按第23. 4款的约定向承包人索赔由于解除合同给发包人造成的损失。</w:t>
      </w:r>
    </w:p>
    <w:p w14:paraId="6D07544B">
      <w:pPr>
        <w:pStyle w:val="11"/>
      </w:pPr>
      <w:bookmarkStart w:id="1141" w:name="bookmark1514"/>
      <w:bookmarkEnd w:id="1141"/>
      <w:r>
        <w:rPr>
          <w:b w:val="0"/>
          <w:i w:val="0"/>
          <w:strike w:val="0"/>
          <w:color w:val="000000"/>
          <w:u w:val="none"/>
        </w:rPr>
        <w:t>(4)</w:t>
      </w:r>
      <w:r>
        <w:t>合同双方确认上述往来款项后，出具最终结清付款证书，结清全部合同款项。</w:t>
      </w:r>
    </w:p>
    <w:p w14:paraId="079CEDEE">
      <w:pPr>
        <w:pStyle w:val="11"/>
      </w:pPr>
      <w:bookmarkStart w:id="1142" w:name="bookmark1515"/>
      <w:bookmarkEnd w:id="1142"/>
      <w:r>
        <w:rPr>
          <w:b w:val="0"/>
          <w:i w:val="0"/>
          <w:strike w:val="0"/>
          <w:color w:val="000000"/>
          <w:u w:val="none"/>
        </w:rPr>
        <w:t>(5)</w:t>
      </w:r>
      <w:r>
        <w:t>发包人和承包人未能就解除合同后的结清达成一致而形成争议的，按第24条的约定办理。</w:t>
      </w:r>
    </w:p>
    <w:p w14:paraId="1001A2B7">
      <w:pPr>
        <w:pStyle w:val="2"/>
        <w:numPr>
          <w:ilvl w:val="0"/>
          <w:numId w:val="0"/>
        </w:numPr>
        <w:bidi w:val="0"/>
        <w:ind w:left="482" w:leftChars="0"/>
      </w:pPr>
      <w:r>
        <w:t>22.1.5协议利益的转让</w:t>
      </w:r>
    </w:p>
    <w:p w14:paraId="3956E681">
      <w:pPr>
        <w:pStyle w:val="11"/>
      </w:pPr>
      <w:r>
        <w:t>因承包人违约解除合同的，发包人有权要求承包人将其为实施合同而签订的材料和设备的订货协议或任何服务协议利益转让给发包人，并在解除合同后的14天内，依法办理转让手续。</w:t>
      </w:r>
    </w:p>
    <w:p w14:paraId="121B84FC">
      <w:pPr>
        <w:pStyle w:val="2"/>
        <w:numPr>
          <w:ilvl w:val="0"/>
          <w:numId w:val="0"/>
        </w:numPr>
        <w:bidi w:val="0"/>
        <w:ind w:left="482" w:leftChars="0"/>
      </w:pPr>
      <w:bookmarkStart w:id="1143" w:name="bookmark1516"/>
      <w:bookmarkEnd w:id="1143"/>
      <w:r>
        <w:t>22.1.6紧急情况下无能力或不愿进行抢救</w:t>
      </w:r>
    </w:p>
    <w:p w14:paraId="2D553EDE">
      <w:pPr>
        <w:pStyle w:val="11"/>
      </w:pPr>
      <w: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2"/>
        <w:numPr>
          <w:ilvl w:val="0"/>
          <w:numId w:val="0"/>
        </w:numPr>
        <w:bidi w:val="0"/>
        <w:ind w:left="482" w:leftChars="0"/>
      </w:pPr>
      <w:bookmarkStart w:id="1144" w:name="_Toc14710425"/>
      <w:bookmarkStart w:id="1145" w:name="bookmark1517"/>
      <w:bookmarkStart w:id="1146" w:name="_Toc24772"/>
      <w:bookmarkStart w:id="1147" w:name="bookmark1518"/>
      <w:bookmarkStart w:id="1148" w:name="bookmark1519"/>
      <w:r>
        <w:t>22.2发包人违约</w:t>
      </w:r>
      <w:bookmarkEnd w:id="1144"/>
      <w:bookmarkEnd w:id="1145"/>
      <w:bookmarkEnd w:id="1146"/>
      <w:bookmarkEnd w:id="1147"/>
      <w:bookmarkEnd w:id="1148"/>
    </w:p>
    <w:p w14:paraId="69DA5DBF">
      <w:pPr>
        <w:pStyle w:val="2"/>
        <w:numPr>
          <w:ilvl w:val="0"/>
          <w:numId w:val="0"/>
        </w:numPr>
        <w:bidi w:val="0"/>
        <w:ind w:left="482" w:leftChars="0"/>
      </w:pPr>
      <w:r>
        <w:t>22.2.1发包人违约的情形</w:t>
      </w:r>
    </w:p>
    <w:p w14:paraId="7EDB5805">
      <w:pPr>
        <w:pStyle w:val="11"/>
      </w:pPr>
      <w:r>
        <w:t>在履行合同过程中发生的下列情形，属发包人违约：</w:t>
      </w:r>
    </w:p>
    <w:p w14:paraId="4E2D7103">
      <w:pPr>
        <w:pStyle w:val="11"/>
      </w:pPr>
      <w:bookmarkStart w:id="1149" w:name="bookmark1520"/>
      <w:bookmarkEnd w:id="1149"/>
      <w:r>
        <w:rPr>
          <w:b w:val="0"/>
          <w:i w:val="0"/>
          <w:strike w:val="0"/>
          <w:color w:val="000000"/>
          <w:u w:val="none"/>
        </w:rPr>
        <w:t>(1)</w:t>
      </w:r>
      <w:r>
        <w:t>发包人未能按合同约定支付预付款或合同价款，或拖延、拒绝批准付款申请和支付凭证，导致付款延误的；</w:t>
      </w:r>
    </w:p>
    <w:p w14:paraId="69B40122">
      <w:pPr>
        <w:pStyle w:val="11"/>
      </w:pPr>
      <w:bookmarkStart w:id="1150" w:name="bookmark1521"/>
      <w:bookmarkEnd w:id="1150"/>
      <w:r>
        <w:rPr>
          <w:b w:val="0"/>
          <w:i w:val="0"/>
          <w:strike w:val="0"/>
          <w:color w:val="000000"/>
          <w:u w:val="none"/>
        </w:rPr>
        <w:t>(2)</w:t>
      </w:r>
      <w:r>
        <w:t>发包人原因造成停工的；</w:t>
      </w:r>
    </w:p>
    <w:p w14:paraId="063F687D">
      <w:pPr>
        <w:pStyle w:val="11"/>
      </w:pPr>
      <w:bookmarkStart w:id="1151" w:name="bookmark1522"/>
      <w:bookmarkEnd w:id="1151"/>
      <w:r>
        <w:rPr>
          <w:b w:val="0"/>
          <w:i w:val="0"/>
          <w:strike w:val="0"/>
          <w:color w:val="000000"/>
          <w:u w:val="none"/>
        </w:rPr>
        <w:t>(3)</w:t>
      </w:r>
      <w:r>
        <w:t>监理人无正当理由没有在约定期限内发出复工指示，导致承包人无法复工的；</w:t>
      </w:r>
    </w:p>
    <w:p w14:paraId="7538270A">
      <w:pPr>
        <w:pStyle w:val="11"/>
      </w:pPr>
      <w:bookmarkStart w:id="1152" w:name="bookmark1523"/>
      <w:bookmarkEnd w:id="1152"/>
      <w:r>
        <w:rPr>
          <w:b w:val="0"/>
          <w:i w:val="0"/>
          <w:strike w:val="0"/>
          <w:color w:val="000000"/>
          <w:u w:val="none"/>
        </w:rPr>
        <w:t>(4)</w:t>
      </w:r>
      <w:r>
        <w:t>发包人无法继续履行或明确表示不履行或实质上已停止履行合同的；</w:t>
      </w:r>
    </w:p>
    <w:p w14:paraId="123F7689">
      <w:pPr>
        <w:pStyle w:val="11"/>
      </w:pPr>
      <w:bookmarkStart w:id="1153" w:name="bookmark1524"/>
      <w:bookmarkEnd w:id="1153"/>
      <w:r>
        <w:rPr>
          <w:b w:val="0"/>
          <w:i w:val="0"/>
          <w:strike w:val="0"/>
          <w:color w:val="000000"/>
          <w:u w:val="none"/>
        </w:rPr>
        <w:t>(5)</w:t>
      </w:r>
      <w:r>
        <w:t>发包人不履行合同约定其他义务的。</w:t>
      </w:r>
    </w:p>
    <w:p w14:paraId="51A66E48">
      <w:pPr>
        <w:pStyle w:val="2"/>
        <w:numPr>
          <w:ilvl w:val="0"/>
          <w:numId w:val="0"/>
        </w:numPr>
        <w:bidi w:val="0"/>
        <w:ind w:left="482" w:leftChars="0"/>
      </w:pPr>
      <w:r>
        <w:t>22.2.2承包人有权暂停施工</w:t>
      </w:r>
    </w:p>
    <w:p w14:paraId="680135D7">
      <w:pPr>
        <w:pStyle w:val="11"/>
      </w:pPr>
      <w: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2"/>
        <w:numPr>
          <w:ilvl w:val="0"/>
          <w:numId w:val="0"/>
        </w:numPr>
        <w:bidi w:val="0"/>
        <w:ind w:left="482" w:leftChars="0"/>
      </w:pPr>
      <w:r>
        <w:t>22.2.3发包人违约解除合同</w:t>
      </w:r>
    </w:p>
    <w:p w14:paraId="4E8CB7D0">
      <w:pPr>
        <w:pStyle w:val="11"/>
      </w:pPr>
      <w:bookmarkStart w:id="1154" w:name="bookmark1525"/>
      <w:bookmarkEnd w:id="1154"/>
      <w:r>
        <w:rPr>
          <w:b w:val="0"/>
          <w:i w:val="0"/>
          <w:strike w:val="0"/>
          <w:color w:val="000000"/>
          <w:u w:val="none"/>
        </w:rPr>
        <w:t>(1)</w:t>
      </w:r>
      <w:r>
        <w:t>发生第22.2.1 (4)目的违约情况时，承包人可书面通知发包人解除合同。</w:t>
      </w:r>
    </w:p>
    <w:p w14:paraId="68B8EB79">
      <w:pPr>
        <w:pStyle w:val="11"/>
      </w:pPr>
      <w:bookmarkStart w:id="1155" w:name="bookmark1526"/>
      <w:bookmarkEnd w:id="1155"/>
      <w:r>
        <w:rPr>
          <w:b w:val="0"/>
          <w:i w:val="0"/>
          <w:strike w:val="0"/>
          <w:color w:val="000000"/>
          <w:u w:val="none"/>
        </w:rPr>
        <w:t>(2)</w:t>
      </w:r>
      <w: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2"/>
        <w:numPr>
          <w:ilvl w:val="0"/>
          <w:numId w:val="0"/>
        </w:numPr>
        <w:bidi w:val="0"/>
        <w:ind w:left="482" w:leftChars="0"/>
      </w:pPr>
      <w:r>
        <w:t>22.2.4解除合同后的付款</w:t>
      </w:r>
    </w:p>
    <w:p w14:paraId="0FF5DE57">
      <w:pPr>
        <w:pStyle w:val="11"/>
      </w:pPr>
      <w:r>
        <w:t>因发包人违约解除合同的，发包人应在解除合同后28天内向承包人支付下列金额，承包人应在此期限内及时向发包人提交要求支付下列金额的有关资料和凭证：</w:t>
      </w:r>
    </w:p>
    <w:p w14:paraId="4758CD8E">
      <w:pPr>
        <w:pStyle w:val="11"/>
      </w:pPr>
      <w:bookmarkStart w:id="1156" w:name="bookmark1527"/>
      <w:bookmarkEnd w:id="1156"/>
      <w:r>
        <w:rPr>
          <w:b w:val="0"/>
          <w:i w:val="0"/>
          <w:strike w:val="0"/>
          <w:color w:val="000000"/>
          <w:u w:val="none"/>
        </w:rPr>
        <w:t>(1)</w:t>
      </w:r>
      <w:r>
        <w:t>合同解除日以前所完成工作的价款；</w:t>
      </w:r>
    </w:p>
    <w:p w14:paraId="502F29A8">
      <w:pPr>
        <w:pStyle w:val="11"/>
      </w:pPr>
      <w:bookmarkStart w:id="1157" w:name="bookmark1528"/>
      <w:bookmarkEnd w:id="1157"/>
      <w:r>
        <w:rPr>
          <w:b w:val="0"/>
          <w:i w:val="0"/>
          <w:strike w:val="0"/>
          <w:color w:val="000000"/>
          <w:u w:val="none"/>
        </w:rPr>
        <w:t>(2)</w:t>
      </w:r>
      <w:r>
        <w:t>承包人为该工程施工订购并已付款的材料、工程设备和其他物品的金额。发包人付还后，该材料、工程设备和其他物品归发包人所有；</w:t>
      </w:r>
    </w:p>
    <w:p w14:paraId="1584445D">
      <w:pPr>
        <w:pStyle w:val="11"/>
      </w:pPr>
      <w:bookmarkStart w:id="1158" w:name="bookmark1529"/>
      <w:bookmarkEnd w:id="1158"/>
      <w:r>
        <w:rPr>
          <w:b w:val="0"/>
          <w:i w:val="0"/>
          <w:strike w:val="0"/>
          <w:color w:val="000000"/>
          <w:u w:val="none"/>
        </w:rPr>
        <w:t>(3)</w:t>
      </w:r>
      <w:r>
        <w:t>承包人为完成工程所发生的，而发包人未支付的金额；</w:t>
      </w:r>
    </w:p>
    <w:p w14:paraId="75BB1EE5">
      <w:pPr>
        <w:pStyle w:val="11"/>
      </w:pPr>
      <w:bookmarkStart w:id="1159" w:name="bookmark1530"/>
      <w:bookmarkEnd w:id="1159"/>
      <w:r>
        <w:rPr>
          <w:b w:val="0"/>
          <w:i w:val="0"/>
          <w:strike w:val="0"/>
          <w:color w:val="000000"/>
          <w:u w:val="none"/>
        </w:rPr>
        <w:t>(4)</w:t>
      </w:r>
      <w:r>
        <w:t>承包人撤离施工场地以及遣散承包人人员的金额；</w:t>
      </w:r>
    </w:p>
    <w:p w14:paraId="3A3DD7D9">
      <w:pPr>
        <w:pStyle w:val="11"/>
      </w:pPr>
      <w:bookmarkStart w:id="1160" w:name="bookmark1531"/>
      <w:bookmarkEnd w:id="1160"/>
      <w:r>
        <w:rPr>
          <w:b w:val="0"/>
          <w:i w:val="0"/>
          <w:strike w:val="0"/>
          <w:color w:val="000000"/>
          <w:u w:val="none"/>
        </w:rPr>
        <w:t>(5)</w:t>
      </w:r>
      <w:r>
        <w:t>由于解除合同应赔偿的承包人损失；</w:t>
      </w:r>
    </w:p>
    <w:p w14:paraId="3360C835">
      <w:pPr>
        <w:pStyle w:val="11"/>
      </w:pPr>
      <w:bookmarkStart w:id="1161" w:name="bookmark1532"/>
      <w:bookmarkEnd w:id="1161"/>
      <w:r>
        <w:rPr>
          <w:b w:val="0"/>
          <w:i w:val="0"/>
          <w:strike w:val="0"/>
          <w:color w:val="000000"/>
          <w:u w:val="none"/>
        </w:rPr>
        <w:t>(6)</w:t>
      </w:r>
      <w:r>
        <w:t>按合同约定在合同解除日前应支付给承包人的其他金额。</w:t>
      </w:r>
    </w:p>
    <w:p w14:paraId="62FD3827">
      <w:pPr>
        <w:pStyle w:val="11"/>
      </w:pPr>
      <w:r>
        <w:t>发包人应按本项约定支付上述金额并退还质量保证金和履约担保，但有权要求承包人支付应偿还给发包人的各项金额。</w:t>
      </w:r>
    </w:p>
    <w:p w14:paraId="367B1DA2">
      <w:pPr>
        <w:pStyle w:val="2"/>
        <w:numPr>
          <w:ilvl w:val="0"/>
          <w:numId w:val="0"/>
        </w:numPr>
        <w:bidi w:val="0"/>
        <w:ind w:left="482" w:leftChars="0"/>
      </w:pPr>
      <w:r>
        <w:t>22.2.5解除合同后的承包人撤离</w:t>
      </w:r>
    </w:p>
    <w:p w14:paraId="049E81AF">
      <w:pPr>
        <w:pStyle w:val="11"/>
      </w:pPr>
      <w: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2"/>
        <w:numPr>
          <w:ilvl w:val="0"/>
          <w:numId w:val="0"/>
        </w:numPr>
        <w:bidi w:val="0"/>
        <w:ind w:left="482" w:leftChars="0"/>
      </w:pPr>
      <w:bookmarkStart w:id="1162" w:name="bookmark1534"/>
      <w:bookmarkStart w:id="1163" w:name="bookmark1535"/>
      <w:bookmarkStart w:id="1164" w:name="bookmark1533"/>
      <w:bookmarkStart w:id="1165" w:name="_Toc9266"/>
      <w:bookmarkStart w:id="1166" w:name="_Toc14710426"/>
      <w:r>
        <w:t>22.3第三人造成的违约</w:t>
      </w:r>
      <w:bookmarkEnd w:id="1162"/>
      <w:bookmarkEnd w:id="1163"/>
      <w:bookmarkEnd w:id="1164"/>
      <w:bookmarkEnd w:id="1165"/>
      <w:bookmarkEnd w:id="1166"/>
    </w:p>
    <w:p w14:paraId="15943285">
      <w:pPr>
        <w:pStyle w:val="11"/>
      </w:pPr>
      <w:r>
        <w:t>在履行合同过程中，一方当事人因第三人的原因造成违约的，应当向对方当事人承担违约责任。一方当事人和第三人之间的纠纷，依照法律规定或者按照约定解决。</w:t>
      </w:r>
    </w:p>
    <w:p w14:paraId="126A9BEA">
      <w:pPr>
        <w:pStyle w:val="2"/>
        <w:numPr>
          <w:ilvl w:val="0"/>
          <w:numId w:val="0"/>
        </w:numPr>
        <w:bidi w:val="0"/>
        <w:ind w:left="482" w:leftChars="0"/>
      </w:pPr>
      <w:bookmarkStart w:id="1167" w:name="_Toc14710427"/>
      <w:bookmarkStart w:id="1168" w:name="_Toc26868"/>
      <w:r>
        <w:t>23.索赔</w:t>
      </w:r>
      <w:bookmarkEnd w:id="1167"/>
      <w:bookmarkEnd w:id="1168"/>
    </w:p>
    <w:p w14:paraId="19A706B7">
      <w:pPr>
        <w:pStyle w:val="2"/>
        <w:numPr>
          <w:ilvl w:val="0"/>
          <w:numId w:val="0"/>
        </w:numPr>
        <w:bidi w:val="0"/>
        <w:ind w:left="482" w:leftChars="0"/>
      </w:pPr>
      <w:bookmarkStart w:id="1169" w:name="bookmark1536"/>
      <w:bookmarkStart w:id="1170" w:name="bookmark1537"/>
      <w:bookmarkStart w:id="1171" w:name="_Toc12223"/>
      <w:bookmarkStart w:id="1172" w:name="bookmark1538"/>
      <w:bookmarkStart w:id="1173" w:name="_Toc14710428"/>
      <w:r>
        <w:t>23.1承包人索赔的提出</w:t>
      </w:r>
      <w:bookmarkEnd w:id="1169"/>
      <w:bookmarkEnd w:id="1170"/>
      <w:bookmarkEnd w:id="1171"/>
      <w:bookmarkEnd w:id="1172"/>
      <w:bookmarkEnd w:id="1173"/>
    </w:p>
    <w:p w14:paraId="76810609">
      <w:pPr>
        <w:pStyle w:val="11"/>
      </w:pPr>
      <w:r>
        <w:t>根据合同约定，承包人认为有权得到追加付款和(或)延长工期的，应按以下程序向发包人提出索赔：</w:t>
      </w:r>
    </w:p>
    <w:p w14:paraId="2FBE9A08">
      <w:pPr>
        <w:pStyle w:val="11"/>
      </w:pPr>
      <w:bookmarkStart w:id="1174" w:name="bookmark1539"/>
      <w:bookmarkEnd w:id="1174"/>
      <w:r>
        <w:rPr>
          <w:b w:val="0"/>
          <w:i w:val="0"/>
          <w:strike w:val="0"/>
          <w:color w:val="000000"/>
          <w:u w:val="none"/>
        </w:rPr>
        <w:t>(1)</w:t>
      </w:r>
      <w: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11"/>
      </w:pPr>
      <w:bookmarkStart w:id="1175" w:name="bookmark1540"/>
      <w:bookmarkEnd w:id="1175"/>
      <w:r>
        <w:rPr>
          <w:b w:val="0"/>
          <w:i w:val="0"/>
          <w:strike w:val="0"/>
          <w:color w:val="000000"/>
          <w:u w:val="none"/>
        </w:rPr>
        <w:t>(2)</w:t>
      </w:r>
      <w:r>
        <w:t>承包人应在发出索赔意向通知书后28天内，向监理人正式递交索赔通知书。索赔通知书应详细说明索赔理由以及要求追加的付款金额和(或)延长的工期，并附必要的记 录和证明材料；</w:t>
      </w:r>
    </w:p>
    <w:p w14:paraId="3759F8D1">
      <w:pPr>
        <w:pStyle w:val="11"/>
      </w:pPr>
      <w:bookmarkStart w:id="1176" w:name="bookmark1541"/>
      <w:bookmarkEnd w:id="1176"/>
      <w:r>
        <w:rPr>
          <w:b w:val="0"/>
          <w:i w:val="0"/>
          <w:strike w:val="0"/>
          <w:color w:val="000000"/>
          <w:u w:val="none"/>
        </w:rPr>
        <w:t>(3)</w:t>
      </w:r>
      <w:r>
        <w:t>索赔事件具有连续影响的，承包人应按合理时间间隔继续递交延续索赔通知，说明连续影响的实际情况和记录，列出累计的追加付款金额和(或)工期延长天数；</w:t>
      </w:r>
    </w:p>
    <w:p w14:paraId="0E0187D6">
      <w:pPr>
        <w:pStyle w:val="11"/>
      </w:pPr>
      <w:bookmarkStart w:id="1177" w:name="bookmark1542"/>
      <w:bookmarkEnd w:id="1177"/>
      <w:r>
        <w:rPr>
          <w:b w:val="0"/>
          <w:i w:val="0"/>
          <w:strike w:val="0"/>
          <w:color w:val="000000"/>
          <w:u w:val="none"/>
        </w:rPr>
        <w:t>(4)</w:t>
      </w:r>
      <w:r>
        <w:t>在索赔事件影响结束后的28天内，承包人应向监理人递交最终索赔通知书，说明最终要求索赔的追加付款金额和延长的工期，并附必要的记录和证明材料。</w:t>
      </w:r>
    </w:p>
    <w:p w14:paraId="78584A92">
      <w:pPr>
        <w:pStyle w:val="2"/>
        <w:numPr>
          <w:ilvl w:val="0"/>
          <w:numId w:val="0"/>
        </w:numPr>
        <w:bidi w:val="0"/>
        <w:ind w:left="482" w:leftChars="0"/>
      </w:pPr>
      <w:bookmarkStart w:id="1178" w:name="bookmark1543"/>
      <w:bookmarkStart w:id="1179" w:name="_Toc5534"/>
      <w:bookmarkStart w:id="1180" w:name="_Toc14710429"/>
      <w:bookmarkStart w:id="1181" w:name="bookmark1545"/>
      <w:bookmarkStart w:id="1182" w:name="bookmark1544"/>
      <w:r>
        <w:t>23.2承包人索赔处理程序</w:t>
      </w:r>
      <w:bookmarkEnd w:id="1178"/>
      <w:bookmarkEnd w:id="1179"/>
      <w:bookmarkEnd w:id="1180"/>
      <w:bookmarkEnd w:id="1181"/>
      <w:bookmarkEnd w:id="1182"/>
    </w:p>
    <w:p w14:paraId="2A79C9ED">
      <w:pPr>
        <w:pStyle w:val="11"/>
      </w:pPr>
      <w:bookmarkStart w:id="1183" w:name="bookmark1546"/>
      <w:bookmarkEnd w:id="1183"/>
      <w:r>
        <w:rPr>
          <w:b w:val="0"/>
          <w:i w:val="0"/>
          <w:strike w:val="0"/>
          <w:color w:val="000000"/>
          <w:u w:val="none"/>
        </w:rPr>
        <w:t>(1)</w:t>
      </w:r>
      <w:r>
        <w:t>监理人收到承包人提交的索赔通知书后，应及时审查索赔通知书的内容、查验承包人的记录和证明材料，必要时监理人可要求承包人提交全部原始记录副本。</w:t>
      </w:r>
    </w:p>
    <w:p w14:paraId="31B84EFD">
      <w:pPr>
        <w:pStyle w:val="11"/>
      </w:pPr>
      <w:bookmarkStart w:id="1184" w:name="bookmark1547"/>
      <w:bookmarkEnd w:id="1184"/>
      <w:r>
        <w:rPr>
          <w:b w:val="0"/>
          <w:i w:val="0"/>
          <w:strike w:val="0"/>
          <w:color w:val="000000"/>
          <w:u w:val="none"/>
        </w:rPr>
        <w:t>(2)</w:t>
      </w:r>
      <w:r>
        <w:t>监理人应按第3. 5款商定或确定追加的付款和(或)延长的工期，并在收到上述索赔通知书或有关索赔的进一步证明材料后的42天内，将索赔处理结果答复承包人。</w:t>
      </w:r>
    </w:p>
    <w:p w14:paraId="3A25AED7">
      <w:pPr>
        <w:pStyle w:val="11"/>
      </w:pPr>
      <w:bookmarkStart w:id="1185" w:name="bookmark1548"/>
      <w:bookmarkEnd w:id="1185"/>
      <w:r>
        <w:rPr>
          <w:b w:val="0"/>
          <w:i w:val="0"/>
          <w:strike w:val="0"/>
          <w:color w:val="000000"/>
          <w:u w:val="none"/>
        </w:rPr>
        <w:t>(3)</w:t>
      </w:r>
      <w:r>
        <w:t>承包人接受索赔处理结果的，发包人应在作出索赔处理结果答复后28天内完成赔付。承包人不接受索赔处理结果的，按第24条的约定办理。</w:t>
      </w:r>
    </w:p>
    <w:p w14:paraId="0C9FA7D2">
      <w:pPr>
        <w:pStyle w:val="2"/>
        <w:numPr>
          <w:ilvl w:val="0"/>
          <w:numId w:val="0"/>
        </w:numPr>
        <w:bidi w:val="0"/>
        <w:ind w:left="482" w:leftChars="0"/>
      </w:pPr>
      <w:bookmarkStart w:id="1186" w:name="bookmark1551"/>
      <w:bookmarkStart w:id="1187" w:name="bookmark1550"/>
      <w:bookmarkStart w:id="1188" w:name="_Toc2285"/>
      <w:bookmarkStart w:id="1189" w:name="bookmark1549"/>
      <w:bookmarkStart w:id="1190" w:name="_Toc14710430"/>
      <w:r>
        <w:t>23.3承包人提出索赔的期限</w:t>
      </w:r>
      <w:bookmarkEnd w:id="1186"/>
      <w:bookmarkEnd w:id="1187"/>
      <w:bookmarkEnd w:id="1188"/>
      <w:bookmarkEnd w:id="1189"/>
      <w:bookmarkEnd w:id="1190"/>
    </w:p>
    <w:p w14:paraId="3CB485A6">
      <w:pPr>
        <w:pStyle w:val="11"/>
      </w:pPr>
      <w:bookmarkStart w:id="1191" w:name="bookmark1552"/>
      <w:bookmarkEnd w:id="1191"/>
      <w:r>
        <w:rPr>
          <w:b w:val="0"/>
          <w:i w:val="0"/>
          <w:strike w:val="0"/>
          <w:color w:val="000000"/>
          <w:u w:val="none"/>
        </w:rPr>
        <w:t>22.</w:t>
      </w:r>
      <w:r>
        <w:t>3.1承包人按第17. 5款的约定接受了完工付款证书后，应被认为已无权再提出在合同工程完工证书颁发前所发生的任何索赔。</w:t>
      </w:r>
    </w:p>
    <w:p w14:paraId="0B4D2974">
      <w:pPr>
        <w:pStyle w:val="11"/>
      </w:pPr>
      <w:r>
        <w:t>23.3.2承包人按第17. 6款的约定提交的最终结清申请单中，只限于提出合同工程完工证书颁发后发生的索赔。提出索赔的期限自接受最终结清证书时终止。</w:t>
      </w:r>
    </w:p>
    <w:p w14:paraId="41624E45">
      <w:pPr>
        <w:pStyle w:val="2"/>
        <w:numPr>
          <w:ilvl w:val="0"/>
          <w:numId w:val="0"/>
        </w:numPr>
        <w:bidi w:val="0"/>
        <w:ind w:left="482" w:leftChars="0"/>
      </w:pPr>
      <w:bookmarkStart w:id="1192" w:name="bookmark1554"/>
      <w:bookmarkStart w:id="1193" w:name="bookmark1553"/>
      <w:bookmarkStart w:id="1194" w:name="_Toc1321"/>
      <w:bookmarkStart w:id="1195" w:name="_Toc14710431"/>
      <w:bookmarkStart w:id="1196" w:name="bookmark1555"/>
      <w:r>
        <w:t>23.4发包人的索赔</w:t>
      </w:r>
      <w:bookmarkEnd w:id="1192"/>
      <w:bookmarkEnd w:id="1193"/>
      <w:bookmarkEnd w:id="1194"/>
      <w:bookmarkEnd w:id="1195"/>
      <w:bookmarkEnd w:id="1196"/>
    </w:p>
    <w:p w14:paraId="1B1DF9E7">
      <w:pPr>
        <w:pStyle w:val="11"/>
      </w:pPr>
      <w:r>
        <w:t>23.4.1发生索赔事件后，监理人应及时书面通知承包人，详细说明发包人有权得到的索赔金额和(或)延长缺陷责任期的细节和依据。发包人提出索赔的期限和要求与第</w:t>
      </w:r>
      <w:bookmarkStart w:id="1197" w:name="bookmark1556"/>
      <w:bookmarkEnd w:id="1197"/>
      <w:r>
        <w:t>23.3款的约定相同，延长缺陷责任期的通知应在缺陷责任期届满前发出。</w:t>
      </w:r>
    </w:p>
    <w:p w14:paraId="644F11B4">
      <w:pPr>
        <w:pStyle w:val="11"/>
      </w:pPr>
      <w: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11"/>
      </w:pPr>
      <w: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bookmark1557"/>
      <w:bookmarkStart w:id="1200" w:name="bookmark1560"/>
      <w:bookmarkStart w:id="1201" w:name="bookmark1558"/>
      <w:bookmarkStart w:id="1202" w:name="_Toc32550"/>
      <w:bookmarkStart w:id="1203" w:name="_Toc14710432"/>
    </w:p>
    <w:p w14:paraId="275AE9E7">
      <w:pPr>
        <w:pStyle w:val="2"/>
        <w:numPr>
          <w:ilvl w:val="0"/>
          <w:numId w:val="0"/>
        </w:numPr>
        <w:bidi w:val="0"/>
        <w:ind w:left="482" w:leftChars="0"/>
      </w:pPr>
      <w:r>
        <w:t>24.争议的解决</w:t>
      </w:r>
      <w:bookmarkEnd w:id="1199"/>
      <w:bookmarkEnd w:id="1200"/>
      <w:bookmarkEnd w:id="1201"/>
      <w:bookmarkEnd w:id="1202"/>
      <w:bookmarkEnd w:id="1203"/>
    </w:p>
    <w:p w14:paraId="0A202E5B">
      <w:pPr>
        <w:pStyle w:val="2"/>
        <w:numPr>
          <w:ilvl w:val="0"/>
          <w:numId w:val="0"/>
        </w:numPr>
        <w:bidi w:val="0"/>
        <w:ind w:left="482" w:leftChars="0"/>
      </w:pPr>
      <w:bookmarkStart w:id="1204" w:name="_Toc14710433"/>
      <w:bookmarkStart w:id="1205" w:name="bookmark1563"/>
      <w:bookmarkStart w:id="1206" w:name="bookmark1562"/>
      <w:bookmarkStart w:id="1207" w:name="bookmark1561"/>
      <w:bookmarkStart w:id="1208" w:name="_Toc12687"/>
      <w:r>
        <w:t>24.1争议的解决方式</w:t>
      </w:r>
      <w:bookmarkEnd w:id="1204"/>
      <w:bookmarkEnd w:id="1205"/>
      <w:bookmarkEnd w:id="1206"/>
      <w:bookmarkEnd w:id="1207"/>
      <w:bookmarkEnd w:id="1208"/>
    </w:p>
    <w:p w14:paraId="2D31476A">
      <w:pPr>
        <w:pStyle w:val="11"/>
      </w:pPr>
      <w: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11"/>
      </w:pPr>
      <w:bookmarkStart w:id="1209" w:name="bookmark1564"/>
      <w:bookmarkEnd w:id="1209"/>
      <w:r>
        <w:rPr>
          <w:b w:val="0"/>
          <w:i w:val="0"/>
          <w:strike w:val="0"/>
          <w:color w:val="000000"/>
          <w:u w:val="none"/>
        </w:rPr>
        <w:t>(1)</w:t>
      </w:r>
      <w:r>
        <w:t>向约定的仲裁委员会申请仲裁；</w:t>
      </w:r>
    </w:p>
    <w:p w14:paraId="1EDEDA7A">
      <w:pPr>
        <w:pStyle w:val="11"/>
      </w:pPr>
      <w:bookmarkStart w:id="1210" w:name="bookmark1565"/>
      <w:bookmarkEnd w:id="1210"/>
      <w:r>
        <w:rPr>
          <w:b w:val="0"/>
          <w:i w:val="0"/>
          <w:strike w:val="0"/>
          <w:color w:val="000000"/>
          <w:u w:val="none"/>
        </w:rPr>
        <w:t>(2)</w:t>
      </w:r>
      <w:r>
        <w:t>向有管辖权的人民法院提起诉讼。</w:t>
      </w:r>
    </w:p>
    <w:p w14:paraId="756FBB51">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1" w:name="bookmark1568"/>
      <w:bookmarkStart w:id="1212" w:name="bookmark1566"/>
      <w:bookmarkStart w:id="1213" w:name="_Toc13288"/>
      <w:bookmarkStart w:id="1214" w:name="_Toc14710434"/>
      <w:bookmarkStart w:id="1215" w:name="bookmark1567"/>
      <w:r>
        <w:t>24.2友好解决</w:t>
      </w:r>
      <w:bookmarkEnd w:id="1211"/>
      <w:bookmarkEnd w:id="1212"/>
      <w:bookmarkEnd w:id="1213"/>
      <w:bookmarkEnd w:id="1214"/>
      <w:bookmarkEnd w:id="1215"/>
    </w:p>
    <w:p w14:paraId="3DEE3622">
      <w:pPr>
        <w:pStyle w:val="11"/>
      </w:pPr>
      <w:r>
        <w:t>在提请争议评审、仲裁或者诉讼前，以及在争议评审、仲裁或诉讼过程中，发包人和承包人均可共同努力友好协商解决争议。</w:t>
      </w:r>
    </w:p>
    <w:p w14:paraId="7546A93E">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6" w:name="_Toc14710435"/>
      <w:bookmarkStart w:id="1217" w:name="bookmark1569"/>
      <w:bookmarkStart w:id="1218" w:name="_Toc12305"/>
      <w:bookmarkStart w:id="1219" w:name="bookmark1571"/>
      <w:bookmarkStart w:id="1220" w:name="bookmark1570"/>
      <w:r>
        <w:t>24.3争议评审</w:t>
      </w:r>
      <w:bookmarkEnd w:id="1216"/>
      <w:bookmarkEnd w:id="1217"/>
      <w:bookmarkEnd w:id="1218"/>
      <w:bookmarkEnd w:id="1219"/>
      <w:bookmarkEnd w:id="1220"/>
    </w:p>
    <w:p w14:paraId="2F73CC21">
      <w:pPr>
        <w:pStyle w:val="11"/>
      </w:pPr>
      <w:r>
        <w:t>24.3.1采用争议评审的，发包人和承包人应在开工日后的28天内或在争议发生后, 协商成立争议评审组。争议评审组由有合同管理和工程实践经验的专家组成。</w:t>
      </w:r>
    </w:p>
    <w:p w14:paraId="758D62DD">
      <w:pPr>
        <w:pStyle w:val="11"/>
      </w:pPr>
      <w:r>
        <w:t>24.3.2合同双方的争议，应首先由申请人向争议评审组提交一份详细的评审申请报告，并附必要的文件、图纸和证明材料，申请人还应将上述报告的副本同时提交给被申请人和监理人。</w:t>
      </w:r>
    </w:p>
    <w:p w14:paraId="1750A8FC">
      <w:pPr>
        <w:pStyle w:val="11"/>
      </w:pPr>
      <w:r>
        <w:t>24.3.3被申请人在收到申请人评审申请报告副本后的28天内，向争议评审组提交一份答辩报告，并附证明材料。被申请人应将答辩报告的副本同时提交给申请人和监理人。</w:t>
      </w:r>
    </w:p>
    <w:p w14:paraId="61A3143F">
      <w:pPr>
        <w:pStyle w:val="11"/>
      </w:pPr>
      <w: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11"/>
      </w:pPr>
      <w:bookmarkStart w:id="1221" w:name="bookmark1572"/>
      <w:bookmarkEnd w:id="1221"/>
      <w: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11"/>
      </w:pPr>
      <w:r>
        <w:t>24.3.6发包人和承包人接受评审意见的，由监理人根据评审意见拟定执行协议，经争议双方签字后作为合同的补充文件，并遵照执行。</w:t>
      </w:r>
    </w:p>
    <w:p w14:paraId="086FD8C3">
      <w:pPr>
        <w:pStyle w:val="11"/>
      </w:pPr>
      <w: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22" w:name="bookmark1574"/>
      <w:bookmarkStart w:id="1223" w:name="bookmark1575"/>
      <w:bookmarkStart w:id="1224" w:name="bookmark1573"/>
      <w:bookmarkStart w:id="1225" w:name="_Toc548"/>
      <w:bookmarkStart w:id="1226" w:name="_Toc14710436"/>
      <w:r>
        <w:t>24.4仲裁</w:t>
      </w:r>
      <w:bookmarkEnd w:id="1222"/>
      <w:bookmarkEnd w:id="1223"/>
      <w:bookmarkEnd w:id="1224"/>
      <w:bookmarkEnd w:id="1225"/>
      <w:bookmarkEnd w:id="1226"/>
    </w:p>
    <w:p w14:paraId="4DF322D3">
      <w:pPr>
        <w:pStyle w:val="11"/>
      </w:pPr>
      <w:r>
        <w:t>24.4.1若合同双方商定直接向仲裁机构申请仲裁，应签订仲裁协议并约定仲裁机构。</w:t>
      </w:r>
    </w:p>
    <w:p w14:paraId="01A5ABEE">
      <w:pPr>
        <w:pStyle w:val="11"/>
        <w:rPr>
          <w:rFonts w:ascii="宋体" w:hAnsi="宋体" w:eastAsia="宋体" w:cs="宋体"/>
          <w:b w:val="0"/>
          <w:bCs/>
          <w:kern w:val="44"/>
          <w:sz w:val="21"/>
          <w:szCs w:val="21"/>
          <w:lang w:val="en-US" w:eastAsia="zh-CN" w:bidi="ar-SA"/>
        </w:rPr>
      </w:pPr>
      <w:r>
        <w:t>24.4.2若合同双方未能达成仲裁协议，则本合同的仲裁条款无效，任一方均有权向人民法院提起诉讼。</w:t>
      </w:r>
      <w:bookmarkStart w:id="1227" w:name="_Toc508272186"/>
    </w:p>
    <w:p w14:paraId="578580F5">
      <w:pPr>
        <w:pStyle w:val="42"/>
        <w:numPr>
          <w:ilvl w:val="0"/>
          <w:numId w:val="70"/>
        </w:numPr>
        <w:ind w:left="0" w:leftChars="0" w:firstLine="480" w:firstLineChars="0"/>
        <w:outlineLvl w:val="0"/>
      </w:pPr>
      <w:bookmarkStart w:id="1228" w:name="_Toc4053"/>
      <w:r>
        <w:t>安全生产合同</w:t>
      </w:r>
      <w:bookmarkEnd w:id="1227"/>
      <w:bookmarkEnd w:id="1228"/>
    </w:p>
    <w:p w14:paraId="22894B28">
      <w:pPr>
        <w:pStyle w:val="11"/>
      </w:pPr>
      <w:r>
        <w:t>为在</w:t>
      </w:r>
      <w:r>
        <w:rPr>
          <w:b/>
          <w:u w:val="single"/>
        </w:rPr>
        <w:t xml:space="preserve">                     </w:t>
      </w:r>
      <w:r>
        <w:t>施工合同的实施过程中创造安全、高效的施工环境，切实搞好本项目的安全管理工作，本项目发包人</w:t>
      </w:r>
      <w:r>
        <w:rPr>
          <w:b/>
          <w:u w:val="single"/>
        </w:rPr>
        <w:t xml:space="preserve">                    </w:t>
      </w:r>
      <w:r>
        <w:t>与承包人</w:t>
      </w:r>
      <w:r>
        <w:rPr>
          <w:b/>
          <w:u w:val="single"/>
        </w:rPr>
        <w:t xml:space="preserve">                     </w:t>
      </w:r>
      <w:r>
        <w:t>特此签订安全生产合同：</w:t>
      </w:r>
    </w:p>
    <w:p w14:paraId="619C59C8">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1.发包人职责</w:t>
      </w:r>
    </w:p>
    <w:p w14:paraId="0CA0757C">
      <w:pPr>
        <w:pStyle w:val="11"/>
      </w:pPr>
      <w:r>
        <w:t>（1）严格遵守国家有关安全生产的法律法规，认真执行工程承包合同中的有关安全要求。</w:t>
      </w:r>
    </w:p>
    <w:p w14:paraId="780F2D4C">
      <w:pPr>
        <w:pStyle w:val="11"/>
      </w:pPr>
      <w:r>
        <w:t>（2）按照“安全第一、预防为主”和坚持“管生产必须管安全”的原则进行安全生产管理，做到生产与安全工作同时计划、布置、检查、总结和评比。</w:t>
      </w:r>
    </w:p>
    <w:p w14:paraId="3DA801C1">
      <w:pPr>
        <w:pStyle w:val="11"/>
      </w:pPr>
      <w:r>
        <w:t>（3）重要的安全设施必须坚持与主体工程“三同时”的原则，即：同时设计、审批，同时施工，同时验收，投入使用。</w:t>
      </w:r>
    </w:p>
    <w:p w14:paraId="5F3C0DCE">
      <w:pPr>
        <w:pStyle w:val="11"/>
      </w:pPr>
      <w:r>
        <w:t>（4）定期召开安全生产调度会，及时传达中央及地方有关安全生产的精神。</w:t>
      </w:r>
    </w:p>
    <w:p w14:paraId="4A846971">
      <w:pPr>
        <w:pStyle w:val="11"/>
      </w:pPr>
      <w:r>
        <w:t>（5）组织对承包人施工现场安全生产检查，监督承包人及时处理发现的各种安全隐患。</w:t>
      </w:r>
    </w:p>
    <w:p w14:paraId="1F648164">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2.承包人职责</w:t>
      </w:r>
    </w:p>
    <w:p w14:paraId="1F92D686">
      <w:pPr>
        <w:pStyle w:val="11"/>
      </w:pPr>
      <w: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11"/>
      </w:pPr>
      <w: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11"/>
      </w:pPr>
      <w: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11"/>
      </w:pPr>
      <w:r>
        <w:t>（4）承包人在任何时候都应采取各种合理的预防措施，防止其员工发生任何违法、违禁、暴力或妨碍治安的行为。</w:t>
      </w:r>
    </w:p>
    <w:p w14:paraId="47631A14">
      <w:pPr>
        <w:pStyle w:val="11"/>
      </w:pPr>
      <w: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11"/>
      </w:pPr>
      <w: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11"/>
      </w:pPr>
      <w:r>
        <w:t>（7）操作人员上岗，必须按规定穿戴防护用品。施工负责人和安全检查员应随时检查劳动防护用品的穿戴情况，不按规定穿戴防护用品的人员不得上岗。</w:t>
      </w:r>
    </w:p>
    <w:p w14:paraId="5AEC901B">
      <w:pPr>
        <w:pStyle w:val="11"/>
      </w:pPr>
      <w:r>
        <w:t>（8）所有施工机具设备和高空作业的设备均应定期检查，并有安全员的签字记录，保证其经常处于完好状态；不合格的机具、设备和劳动保护用品严禁使用：</w:t>
      </w:r>
    </w:p>
    <w:p w14:paraId="1D79B5A3">
      <w:pPr>
        <w:pStyle w:val="11"/>
      </w:pPr>
      <w:r>
        <w:t>（9）施工中采用新技术、新工艺、新设备、新材料时，必须制定相应的安全技术措施，施工现场必须具有相关的安全标志牌。</w:t>
      </w:r>
    </w:p>
    <w:p w14:paraId="39C73720">
      <w:pPr>
        <w:pStyle w:val="11"/>
      </w:pPr>
      <w: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11"/>
        <w:rPr>
          <w:highlight w:val="red"/>
        </w:rPr>
      </w:pPr>
      <w: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3.违约责任</w:t>
      </w:r>
    </w:p>
    <w:p w14:paraId="7DE1AA99">
      <w:pPr>
        <w:pStyle w:val="11"/>
      </w:pPr>
      <w:r>
        <w:t>如因发包人或承包人违约造成安全事故，将依法追究责任。</w:t>
      </w:r>
    </w:p>
    <w:p w14:paraId="45C4A0C6">
      <w:pPr>
        <w:pStyle w:val="11"/>
      </w:pPr>
      <w:r>
        <w:t>4.本合同由双方法定代表人或其授权的代理人签署并加盖单位章后生效，全部工程竣工验收后失效。</w:t>
      </w:r>
    </w:p>
    <w:p w14:paraId="3A826D40">
      <w:pPr>
        <w:pStyle w:val="11"/>
        <w:rPr>
          <w:rFonts w:hint="eastAsia" w:ascii="Times New Roman" w:hAnsi="Times New Roman" w:eastAsia="宋体" w:cs="Times New Roman"/>
          <w:sz w:val="24"/>
          <w:szCs w:val="21"/>
        </w:rPr>
      </w:pPr>
      <w:r>
        <w:t>5.本合同正本—式陆份，发包人和承包人各执叁份。</w:t>
      </w:r>
    </w:p>
    <w:p w14:paraId="4349127C">
      <w:pPr>
        <w:spacing w:line="240" w:lineRule="auto"/>
        <w:rPr>
          <w:rFonts w:hint="eastAsia" w:ascii="Times New Roman" w:hAnsi="Times New Roman" w:eastAsia="宋体" w:cs="Times New Roman"/>
          <w:sz w:val="24"/>
          <w:szCs w:val="21"/>
        </w:rPr>
      </w:pPr>
    </w:p>
    <w:p w14:paraId="1B1FDB19">
      <w:pPr>
        <w:spacing w:line="240" w:lineRule="auto"/>
        <w:rPr>
          <w:rFonts w:ascii="Times New Roman" w:hAnsi="Times New Roman" w:eastAsia="宋体" w:cs="Times New Roman"/>
          <w:spacing w:val="-20"/>
          <w:sz w:val="24"/>
          <w:szCs w:val="21"/>
          <w:u w:val="single"/>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bCs/>
          <w:sz w:val="24"/>
          <w:szCs w:val="21"/>
          <w:u w:val="single"/>
        </w:rPr>
        <w:t xml:space="preserve"> </w:t>
      </w:r>
      <w:r>
        <w:rPr>
          <w:rFonts w:hint="eastAsia" w:ascii="Times New Roman" w:hAnsi="Times New Roman" w:eastAsia="宋体" w:cs="Times New Roman"/>
          <w:b/>
          <w:sz w:val="24"/>
          <w:szCs w:val="21"/>
          <w:u w:val="single"/>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szCs w:val="21"/>
          <w:lang w:val="en-US" w:eastAsia="zh-CN"/>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pacing w:val="-20"/>
          <w:sz w:val="24"/>
          <w:szCs w:val="21"/>
          <w:u w:val="single"/>
        </w:rPr>
        <w:t xml:space="preserve">                                          </w:t>
      </w:r>
    </w:p>
    <w:p w14:paraId="03F5D9E1">
      <w:pPr>
        <w:spacing w:line="240" w:lineRule="auto"/>
        <w:ind w:firstLine="1440" w:firstLineChars="6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（盖单位章）                           （盖单位章） </w:t>
      </w:r>
    </w:p>
    <w:p w14:paraId="0ABFF362">
      <w:pPr>
        <w:spacing w:line="240" w:lineRule="auto"/>
        <w:rPr>
          <w:rFonts w:ascii="宋体" w:hAnsi="宋体" w:cs="宋体"/>
          <w:szCs w:val="21"/>
        </w:rPr>
      </w:pPr>
    </w:p>
    <w:p w14:paraId="4F1EE19C">
      <w:pPr>
        <w:spacing w:line="240" w:lineRule="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0E71B893">
      <w:pPr>
        <w:spacing w:line="24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4E57654C">
      <w:pPr>
        <w:spacing w:line="240" w:lineRule="auto"/>
        <w:rPr>
          <w:rFonts w:ascii="宋体" w:hAnsi="宋体" w:cs="宋体"/>
          <w:szCs w:val="21"/>
        </w:rPr>
      </w:pPr>
    </w:p>
    <w:p w14:paraId="541D9280">
      <w:pPr>
        <w:spacing w:line="240" w:lineRule="auto"/>
        <w:ind w:firstLine="2310" w:firstLineChars="1100"/>
        <w:rPr>
          <w:rFonts w:ascii="宋体" w:hAnsi="宋体" w:cs="宋体"/>
          <w:szCs w:val="21"/>
        </w:rPr>
      </w:pPr>
    </w:p>
    <w:p w14:paraId="35BB794E">
      <w:pPr>
        <w:spacing w:line="240" w:lineRule="auto"/>
        <w:ind w:firstLine="2640" w:firstLineChars="11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日                </w:t>
      </w:r>
    </w:p>
    <w:p w14:paraId="71219672">
      <w:pPr>
        <w:rPr>
          <w:rFonts w:ascii="宋体" w:hAnsi="宋体" w:cs="宋体"/>
          <w:szCs w:val="21"/>
        </w:rPr>
      </w:pPr>
      <w:bookmarkStart w:id="1229" w:name="_Toc508272187"/>
    </w:p>
    <w:p w14:paraId="00BE3D78">
      <w:bookmarkStart w:id="1230" w:name="_Toc8568"/>
      <w:r>
        <w:br w:type="page"/>
      </w:r>
    </w:p>
    <w:p w14:paraId="207703E1">
      <w:pPr>
        <w:pStyle w:val="42"/>
        <w:numPr>
          <w:ilvl w:val="0"/>
          <w:numId w:val="70"/>
        </w:numPr>
        <w:ind w:left="0" w:leftChars="0" w:firstLine="480" w:firstLineChars="0"/>
        <w:outlineLvl w:val="0"/>
      </w:pPr>
      <w:r>
        <w:t>廉政合同</w:t>
      </w:r>
      <w:bookmarkEnd w:id="1229"/>
      <w:bookmarkEnd w:id="1230"/>
    </w:p>
    <w:p w14:paraId="79F0F2AC">
      <w:pPr>
        <w:pStyle w:val="11"/>
      </w:pPr>
      <w:r>
        <w:t>根据有关工程建设、廉政建设的规定，为做好工程建设中的党风廉政建设，保证工程建设高效优质，保证建设资金的安全和有效使用以及投资效益，</w:t>
      </w:r>
      <w:r>
        <w:rPr>
          <w:b/>
          <w:u w:val="single"/>
        </w:rPr>
        <w:t xml:space="preserve">               </w:t>
      </w:r>
      <w:r>
        <w:t xml:space="preserve">项目法人 </w:t>
      </w:r>
      <w:r>
        <w:rPr>
          <w:b/>
          <w:u w:val="single"/>
        </w:rPr>
        <w:t xml:space="preserve">                   </w:t>
      </w:r>
      <w:r>
        <w:rPr>
          <w:u w:val="single"/>
        </w:rPr>
        <w:t xml:space="preserve"> </w:t>
      </w:r>
      <w:r>
        <w:rPr>
          <w:b/>
          <w:u w:val="single"/>
        </w:rPr>
        <w:t xml:space="preserve"> </w:t>
      </w:r>
      <w:r>
        <w:t>与该项目的施工单位</w:t>
      </w:r>
      <w:r>
        <w:rPr>
          <w:b/>
          <w:u w:val="single"/>
        </w:rPr>
        <w:t xml:space="preserve">                             </w:t>
      </w:r>
      <w:r>
        <w:t>特订立如下合同。</w:t>
      </w:r>
    </w:p>
    <w:p w14:paraId="409C5C7B">
      <w:pPr>
        <w:pStyle w:val="11"/>
      </w:pPr>
      <w:r>
        <w:t>1．发包人和承包人双方的权利和义务</w:t>
      </w:r>
    </w:p>
    <w:p w14:paraId="0D0C47AC">
      <w:pPr>
        <w:pStyle w:val="11"/>
      </w:pPr>
      <w:r>
        <w:t>（1）严格遵守党的政策规定和国家有关法律法规及交通运输部的有关规定。</w:t>
      </w:r>
    </w:p>
    <w:p w14:paraId="7A44A625">
      <w:pPr>
        <w:pStyle w:val="11"/>
      </w:pPr>
      <w:r>
        <w:t>（2）严格执行</w:t>
      </w:r>
      <w:r>
        <w:rPr>
          <w:b/>
          <w:u w:val="single"/>
        </w:rPr>
        <w:t xml:space="preserve">                         </w:t>
      </w:r>
      <w:r>
        <w:t>施工合同文件，自觉按合同办事。</w:t>
      </w:r>
    </w:p>
    <w:p w14:paraId="23637535">
      <w:pPr>
        <w:pStyle w:val="11"/>
      </w:pPr>
      <w:r>
        <w:t>（3）双方的业务活动坚持公开、公正、诚信、透明的原则（法律认定的商业秘密和合同文件另有规定除外），不得损害国家和集体利益，不得违反工程建设管理规章制度。</w:t>
      </w:r>
    </w:p>
    <w:p w14:paraId="1BD6D649">
      <w:pPr>
        <w:pStyle w:val="11"/>
      </w:pPr>
      <w:r>
        <w:t>（4）建立健全廉政制度，开展廉政教育，设立廉政告示牌，公布举报电话，监督并认真查处违法违纪行为。</w:t>
      </w:r>
    </w:p>
    <w:p w14:paraId="1E6279DB">
      <w:pPr>
        <w:pStyle w:val="11"/>
      </w:pPr>
      <w:r>
        <w:t>（5）发现对方在业务活动中有违反廉政规定的行为，有及时提醒对方纠正的权利和义务。</w:t>
      </w:r>
    </w:p>
    <w:p w14:paraId="6CAF8672">
      <w:pPr>
        <w:pStyle w:val="11"/>
      </w:pPr>
      <w:r>
        <w:t>（6）发现对方严重违反本合同义务条款的行为，有向其上级有关部门举报、建议给予处理并要求告知处理结果的权利。</w:t>
      </w:r>
    </w:p>
    <w:p w14:paraId="07363E64">
      <w:pPr>
        <w:pStyle w:val="11"/>
      </w:pPr>
      <w:r>
        <w:t>2．发包人的义务</w:t>
      </w:r>
    </w:p>
    <w:p w14:paraId="209D2AFD">
      <w:pPr>
        <w:pStyle w:val="11"/>
      </w:pPr>
      <w:r>
        <w:t>（1）发包人及其工作人员不得索要或接受承包人的礼金、有价证券和贵重物品，不得让承包人报销任何应由发包人或发包人工作人员个人支付的费用等。</w:t>
      </w:r>
    </w:p>
    <w:p w14:paraId="1C973728">
      <w:pPr>
        <w:pStyle w:val="11"/>
      </w:pPr>
      <w:r>
        <w:t>（2）发包人工作人员不得参加承包人安排的超标准宴请和娱乐活动；不得接受承包人提供的通讯工具、交通工具和高档办公用品等。</w:t>
      </w:r>
    </w:p>
    <w:p w14:paraId="62F89F06">
      <w:pPr>
        <w:pStyle w:val="11"/>
      </w:pPr>
      <w:r>
        <w:t>（3）发包人及其工作人员不得要求或者接受承包人为其住房装修、婚丧嫁娶活动、配偶子女的工作安排以及出国出境、旅游等提供方便等。</w:t>
      </w:r>
    </w:p>
    <w:p w14:paraId="67B30F11">
      <w:pPr>
        <w:pStyle w:val="11"/>
      </w:pPr>
      <w:r>
        <w:t>（4）发包人工作人员及其配偶、子女不得从事与发包人工作有关的材料设备供应、工程分包、劳务等经济活动等。</w:t>
      </w:r>
    </w:p>
    <w:p w14:paraId="7915B45F">
      <w:pPr>
        <w:pStyle w:val="11"/>
      </w:pPr>
      <w:r>
        <w:t>（5）发包人及期工作人员不得以任何理由向承包人推荐分包单位或推销材料，不得要求承包人购买合同规定外的材料和设备。</w:t>
      </w:r>
    </w:p>
    <w:p w14:paraId="23CC258B">
      <w:pPr>
        <w:pStyle w:val="11"/>
      </w:pPr>
      <w:r>
        <w:t>（6）发包人工作人员要秉公办事，不准营私舞弊，不准利用职权从事各种个人有偿中介活动和安排个人施工队伍。</w:t>
      </w:r>
    </w:p>
    <w:p w14:paraId="5371750B">
      <w:pPr>
        <w:pStyle w:val="11"/>
      </w:pPr>
      <w:r>
        <w:t>3．承包人的义务</w:t>
      </w:r>
    </w:p>
    <w:p w14:paraId="25169150">
      <w:pPr>
        <w:pStyle w:val="11"/>
      </w:pPr>
      <w:r>
        <w:t>（1）承包人不得以任何理由向发包人及其工作人员行贿或馈赠礼金、有价证券、贵重礼品。</w:t>
      </w:r>
    </w:p>
    <w:p w14:paraId="3C011AAA">
      <w:pPr>
        <w:pStyle w:val="11"/>
      </w:pPr>
      <w:r>
        <w:t>（2）承包人不得以任何名义为发包人及其工作人员报销应由发包人单位或个人支付的任何费用。</w:t>
      </w:r>
    </w:p>
    <w:p w14:paraId="5D6E32F9">
      <w:pPr>
        <w:pStyle w:val="11"/>
      </w:pPr>
      <w:r>
        <w:t>（3）承包人不得以任何理由安排发包人工作人员参加超标准宴请及娱乐活动。</w:t>
      </w:r>
    </w:p>
    <w:p w14:paraId="7538D539">
      <w:pPr>
        <w:pStyle w:val="11"/>
      </w:pPr>
      <w:r>
        <w:t>（4）承包人不得为发包人单位和个人购置或提供通讯工具、交通工具和高档办公用品等。</w:t>
      </w:r>
    </w:p>
    <w:p w14:paraId="7A7F5D0C">
      <w:pPr>
        <w:pStyle w:val="11"/>
      </w:pPr>
      <w:r>
        <w:t>4．违约责任</w:t>
      </w:r>
    </w:p>
    <w:p w14:paraId="0A496ED0">
      <w:pPr>
        <w:pStyle w:val="11"/>
      </w:pPr>
      <w:r>
        <w:t>（1）发包人及其工作人员违反本合同第1、2条，按管理权限，依据有关规定给予党纪、政纪或组织处理；涉嫌犯罪的，移交司法机关追究刑事责任；给承包人单位造成经济损失的，应予以赔偿。</w:t>
      </w:r>
    </w:p>
    <w:p w14:paraId="0FF040F2">
      <w:pPr>
        <w:pStyle w:val="11"/>
      </w:pPr>
      <w: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11"/>
      </w:pPr>
      <w: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11"/>
      </w:pPr>
      <w:r>
        <w:t>6.本合同有效期为发包人和承包人签署之日起至该工程项目竣工验收后止。</w:t>
      </w:r>
    </w:p>
    <w:p w14:paraId="1E93B8DF">
      <w:pPr>
        <w:pStyle w:val="11"/>
      </w:pPr>
      <w:r>
        <w:t>7．本合同作为</w:t>
      </w:r>
      <w:r>
        <w:rPr>
          <w:b/>
          <w:u w:val="single"/>
        </w:rPr>
        <w:t xml:space="preserve">                   </w:t>
      </w:r>
      <w:r>
        <w:t>施工合同的附件，与工程施工合同具有同等的法律效力，经合同双方签署后立即生效。</w:t>
      </w:r>
    </w:p>
    <w:p w14:paraId="7EA2CB71">
      <w:pPr>
        <w:pStyle w:val="11"/>
      </w:pPr>
      <w:r>
        <w:t>8．本合同一式陆份，发包人和承包人各执叁份。</w:t>
      </w:r>
    </w:p>
    <w:p w14:paraId="300CF5F1">
      <w:pPr>
        <w:spacing w:line="500" w:lineRule="exact"/>
        <w:rPr>
          <w:rFonts w:ascii="宋体" w:hAnsi="宋体" w:cs="宋体"/>
          <w:szCs w:val="21"/>
        </w:rPr>
      </w:pPr>
    </w:p>
    <w:p w14:paraId="4814537D">
      <w:pPr>
        <w:pStyle w:val="11"/>
        <w:rPr>
          <w:u w:val="single"/>
        </w:rPr>
      </w:pPr>
      <w:r>
        <w:t>发包人：</w:t>
      </w:r>
      <w:r>
        <w:rPr>
          <w:u w:val="single"/>
        </w:rPr>
        <w:t xml:space="preserve">                               </w:t>
      </w:r>
      <w:r>
        <w:t xml:space="preserve">    承包人：</w:t>
      </w:r>
      <w:r>
        <w:rPr>
          <w:u w:val="single"/>
        </w:rPr>
        <w:t xml:space="preserve">                         </w:t>
      </w:r>
    </w:p>
    <w:p w14:paraId="55C0C40A">
      <w:pPr>
        <w:spacing w:line="500" w:lineRule="exact"/>
        <w:ind w:left="2096" w:leftChars="798" w:hanging="420" w:hangingChars="200"/>
        <w:rPr>
          <w:rFonts w:ascii="宋体" w:hAnsi="宋体" w:cs="宋体"/>
          <w:szCs w:val="21"/>
        </w:rPr>
      </w:pPr>
      <w:r>
        <w:rPr>
          <w:rFonts w:hint="eastAsia" w:ascii="宋体" w:hAnsi="宋体" w:cs="宋体"/>
          <w:szCs w:val="21"/>
        </w:rPr>
        <w:t xml:space="preserve">（盖单位章）                    </w:t>
      </w:r>
      <w:r>
        <w:rPr>
          <w:rFonts w:hint="eastAsia" w:ascii="宋体" w:hAnsi="宋体" w:cs="宋体"/>
          <w:szCs w:val="21"/>
          <w:lang w:val="en-US" w:eastAsia="zh-CN"/>
        </w:rPr>
        <w:t xml:space="preserve">    </w:t>
      </w:r>
      <w:r>
        <w:rPr>
          <w:rFonts w:hint="eastAsia" w:ascii="宋体" w:hAnsi="宋体" w:cs="宋体"/>
          <w:szCs w:val="21"/>
        </w:rPr>
        <w:t xml:space="preserve">（盖单位章） </w:t>
      </w:r>
    </w:p>
    <w:p w14:paraId="33ABBE07">
      <w:pPr>
        <w:spacing w:line="500" w:lineRule="exact"/>
        <w:rPr>
          <w:rFonts w:ascii="宋体" w:hAnsi="宋体" w:cs="宋体"/>
          <w:szCs w:val="21"/>
        </w:rPr>
      </w:pPr>
    </w:p>
    <w:p w14:paraId="756A2DE4">
      <w:pPr>
        <w:pStyle w:val="11"/>
        <w:rPr>
          <w:u w:val="single"/>
        </w:rPr>
      </w:pPr>
      <w:r>
        <w:t>法定代表人：</w:t>
      </w:r>
      <w:r>
        <w:rPr>
          <w:u w:val="single"/>
        </w:rPr>
        <w:t xml:space="preserve">                </w:t>
      </w:r>
      <w:r>
        <w:t xml:space="preserve">       </w:t>
      </w:r>
      <w:r>
        <w:rPr>
          <w:rFonts w:hint="eastAsia"/>
          <w:lang w:val="en-US" w:eastAsia="zh-CN"/>
        </w:rPr>
        <w:t xml:space="preserve">      </w:t>
      </w:r>
      <w:r>
        <w:t xml:space="preserve"> 法定代表人：</w:t>
      </w:r>
      <w:r>
        <w:rPr>
          <w:u w:val="single"/>
        </w:rPr>
        <w:t xml:space="preserve">               </w:t>
      </w:r>
    </w:p>
    <w:p w14:paraId="75325830">
      <w:pPr>
        <w:spacing w:line="500" w:lineRule="exact"/>
        <w:ind w:firstLine="420" w:firstLineChars="200"/>
        <w:rPr>
          <w:rFonts w:ascii="宋体" w:hAnsi="宋体" w:cs="宋体"/>
          <w:szCs w:val="21"/>
        </w:rPr>
      </w:pPr>
      <w:r>
        <w:rPr>
          <w:rFonts w:hint="eastAsia" w:ascii="宋体" w:hAnsi="宋体" w:cs="宋体"/>
          <w:szCs w:val="21"/>
        </w:rPr>
        <w:t xml:space="preserve">（签字或盖章）                         </w:t>
      </w:r>
      <w:r>
        <w:rPr>
          <w:rFonts w:hint="eastAsia" w:ascii="宋体" w:hAnsi="宋体" w:cs="宋体"/>
          <w:szCs w:val="21"/>
          <w:lang w:val="en-US" w:eastAsia="zh-CN"/>
        </w:rPr>
        <w:t xml:space="preserve">       </w:t>
      </w:r>
      <w:r>
        <w:rPr>
          <w:rFonts w:hint="eastAsia" w:ascii="宋体" w:hAnsi="宋体" w:cs="宋体"/>
          <w:szCs w:val="21"/>
        </w:rPr>
        <w:t xml:space="preserve"> （签字或盖章）</w:t>
      </w:r>
    </w:p>
    <w:p w14:paraId="6B89DFD0">
      <w:pPr>
        <w:spacing w:line="500" w:lineRule="exact"/>
        <w:ind w:firstLine="2100" w:firstLineChars="1000"/>
        <w:rPr>
          <w:rFonts w:ascii="宋体" w:hAnsi="宋体" w:cs="宋体"/>
          <w:szCs w:val="21"/>
        </w:rPr>
      </w:pPr>
    </w:p>
    <w:p w14:paraId="62F4E216">
      <w:pPr>
        <w:rPr>
          <w:rFonts w:hint="eastAsia" w:ascii="Times New Roman" w:hAnsi="Times New Roman" w:eastAsia="宋体" w:cs="Times New Roman"/>
          <w:sz w:val="24"/>
          <w:szCs w:val="21"/>
          <w:u w:val="single"/>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日</w:t>
      </w:r>
    </w:p>
    <w:p w14:paraId="78104C73">
      <w:pPr>
        <w:pStyle w:val="2"/>
        <w:rPr>
          <w:rFonts w:hint="eastAsia" w:ascii="宋体" w:hAnsi="宋体" w:cs="宋体"/>
          <w:szCs w:val="21"/>
          <w:u w:val="single"/>
        </w:rPr>
        <w:sectPr>
          <w:footerReference r:id="rId10" w:type="default"/>
          <w:pgSz w:w="11906" w:h="16838"/>
          <w:pgMar w:top="1440" w:right="1080" w:bottom="1440" w:left="1080" w:header="851" w:footer="992" w:gutter="0"/>
          <w:cols w:space="720" w:num="1"/>
          <w:docGrid w:type="lines" w:linePitch="312" w:charSpace="0"/>
        </w:sectPr>
      </w:pPr>
    </w:p>
    <w:p w14:paraId="78B42CF6">
      <w:pPr>
        <w:pStyle w:val="42"/>
        <w:numPr>
          <w:ilvl w:val="0"/>
          <w:numId w:val="70"/>
        </w:numPr>
        <w:ind w:left="0" w:leftChars="0" w:firstLine="480" w:firstLineChars="0"/>
        <w:outlineLvl w:val="0"/>
        <w:rPr>
          <w:highlight w:val="none"/>
        </w:rPr>
      </w:pPr>
      <w:r>
        <w:rPr>
          <w:highlight w:val="none"/>
        </w:rPr>
        <w:t>预付款担保</w:t>
      </w:r>
    </w:p>
    <w:p w14:paraId="4E1DA76B">
      <w:pPr>
        <w:spacing w:line="360" w:lineRule="auto"/>
        <w:rPr>
          <w:rFonts w:hint="eastAsia" w:ascii="宋体" w:hAnsi="宋体" w:cs="宋体"/>
          <w:color w:val="auto"/>
          <w:szCs w:val="21"/>
          <w:highlight w:val="none"/>
        </w:rPr>
      </w:pPr>
    </w:p>
    <w:p w14:paraId="7D7B1F1E">
      <w:pPr>
        <w:pStyle w:val="44"/>
        <w:rPr>
          <w:highlight w:val="none"/>
        </w:rPr>
      </w:pPr>
      <w:r>
        <w:rPr>
          <w:highlight w:val="none"/>
        </w:rPr>
        <w:t>预付款担保</w:t>
      </w:r>
    </w:p>
    <w:p w14:paraId="1EFEAADD">
      <w:pPr>
        <w:pStyle w:val="11"/>
        <w:ind w:firstLine="0" w:firstLineChars="0"/>
        <w:rPr>
          <w:color w:val="auto"/>
          <w:highlight w:val="none"/>
        </w:rPr>
      </w:pP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 xml:space="preserve"> （发包人名称）：</w:t>
      </w:r>
    </w:p>
    <w:p w14:paraId="0E641037">
      <w:pPr>
        <w:spacing w:line="360" w:lineRule="auto"/>
        <w:rPr>
          <w:rFonts w:hint="eastAsia" w:ascii="宋体" w:hAnsi="宋体" w:cs="宋体"/>
          <w:color w:val="auto"/>
          <w:szCs w:val="21"/>
          <w:highlight w:val="none"/>
        </w:rPr>
      </w:pPr>
    </w:p>
    <w:p w14:paraId="21B5D941">
      <w:pPr>
        <w:pStyle w:val="11"/>
        <w:rPr>
          <w:color w:val="auto"/>
          <w:highlight w:val="none"/>
        </w:rPr>
      </w:pPr>
      <w:r>
        <w:rPr>
          <w:color w:val="auto"/>
          <w:highlight w:val="none"/>
        </w:rPr>
        <w:t>根据</w:t>
      </w:r>
      <w:r>
        <w:rPr>
          <w:color w:val="auto"/>
          <w:highlight w:val="none"/>
          <w:u w:val="single"/>
        </w:rPr>
        <w:t xml:space="preserve">                 </w:t>
      </w:r>
      <w:r>
        <w:rPr>
          <w:color w:val="auto"/>
          <w:highlight w:val="none"/>
        </w:rPr>
        <w:t>（承包人名称）（以下称“承包人”）与</w:t>
      </w:r>
    </w:p>
    <w:p w14:paraId="22C352E5">
      <w:pPr>
        <w:pStyle w:val="11"/>
        <w:rPr>
          <w:color w:val="auto"/>
          <w:highlight w:val="none"/>
        </w:rPr>
      </w:pPr>
      <w:r>
        <w:rPr>
          <w:color w:val="auto"/>
          <w:highlight w:val="none"/>
          <w:u w:val="single"/>
        </w:rPr>
        <w:t xml:space="preserve">                       </w:t>
      </w:r>
      <w:r>
        <w:rPr>
          <w:color w:val="auto"/>
          <w:highlight w:val="none"/>
        </w:rPr>
        <w:t>（发包人名称）（以下简称“发包人”）</w:t>
      </w:r>
    </w:p>
    <w:p w14:paraId="2088B3AC">
      <w:pPr>
        <w:pStyle w:val="11"/>
        <w:rPr>
          <w:color w:val="auto"/>
          <w:highlight w:val="none"/>
        </w:rPr>
      </w:pPr>
      <w:r>
        <w:rPr>
          <w:color w:val="auto"/>
          <w:highlight w:val="none"/>
        </w:rPr>
        <w:t>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日签订的</w:t>
      </w:r>
      <w:r>
        <w:rPr>
          <w:color w:val="auto"/>
          <w:highlight w:val="none"/>
          <w:u w:val="single"/>
        </w:rPr>
        <w:t xml:space="preserve">                   （项目名称）（标段名称）</w:t>
      </w:r>
      <w:r>
        <w:rPr>
          <w:color w:val="auto"/>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1. 担保金额人民币（大写）                元（¥             ）。</w:t>
      </w:r>
    </w:p>
    <w:p w14:paraId="2198BAE8">
      <w:pPr>
        <w:pStyle w:val="11"/>
        <w:rPr>
          <w:color w:val="auto"/>
          <w:highlight w:val="none"/>
        </w:rPr>
      </w:pPr>
      <w:r>
        <w:rPr>
          <w:color w:val="auto"/>
          <w:highlight w:val="none"/>
        </w:rPr>
        <w:t>2. 担保有效期自预付款支付给承包人起生效，至你方签发的进度款支付证书说明已完全扣清止。</w:t>
      </w:r>
    </w:p>
    <w:p w14:paraId="63FDCE13">
      <w:pPr>
        <w:pStyle w:val="11"/>
        <w:rPr>
          <w:color w:val="auto"/>
          <w:highlight w:val="none"/>
        </w:rPr>
      </w:pPr>
      <w:r>
        <w:rPr>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11"/>
        <w:rPr>
          <w:color w:val="auto"/>
          <w:highlight w:val="none"/>
        </w:rPr>
      </w:pPr>
      <w:r>
        <w:rPr>
          <w:color w:val="auto"/>
          <w:highlight w:val="none"/>
        </w:rPr>
        <w:t>4. 你方和承包人按合同约定变更合同时，我方承担本保函规定的义务不变。</w:t>
      </w:r>
    </w:p>
    <w:p w14:paraId="4B88940C">
      <w:pPr>
        <w:pStyle w:val="11"/>
        <w:rPr>
          <w:color w:val="auto"/>
          <w:highlight w:val="none"/>
        </w:rPr>
      </w:pPr>
      <w:r>
        <w:rPr>
          <w:color w:val="auto"/>
          <w:highlight w:val="none"/>
        </w:rPr>
        <w:t>5. 因本保函发生的纠纷，可由双方协商解决，协商不成的，任何一方均可提请</w:t>
      </w:r>
      <w:r>
        <w:rPr>
          <w:color w:val="auto"/>
          <w:highlight w:val="none"/>
          <w:u w:val="single"/>
        </w:rPr>
        <w:t xml:space="preserve">        </w:t>
      </w:r>
      <w:r>
        <w:rPr>
          <w:color w:val="auto"/>
          <w:highlight w:val="none"/>
        </w:rPr>
        <w:t>仲裁委员会仲裁。</w:t>
      </w:r>
    </w:p>
    <w:p w14:paraId="460E4011">
      <w:pPr>
        <w:pStyle w:val="11"/>
        <w:rPr>
          <w:rFonts w:hint="eastAsia" w:ascii="宋体" w:hAnsi="宋体" w:cs="宋体"/>
          <w:color w:val="auto"/>
          <w:szCs w:val="21"/>
          <w:highlight w:val="none"/>
        </w:rPr>
      </w:pPr>
      <w:r>
        <w:rPr>
          <w:color w:val="auto"/>
          <w:highlight w:val="none"/>
        </w:rPr>
        <w:t>6. 本保函自我方法定代表人（或其授权代理人）签字并加盖公章之日起生效。</w:t>
      </w:r>
    </w:p>
    <w:p w14:paraId="1B6E3924">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担保人：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（盖单位章）</w:t>
      </w:r>
    </w:p>
    <w:p w14:paraId="457C3660">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法定代表人或其委托代理人：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（签字）</w:t>
      </w:r>
    </w:p>
    <w:p w14:paraId="53C3AFBB">
      <w:pPr>
        <w:spacing w:line="360" w:lineRule="auto"/>
        <w:rPr>
          <w:rFonts w:hint="eastAsia" w:ascii="Times New Roman" w:hAnsi="Times New Roman" w:eastAsia="宋体" w:cs="Times New Roman"/>
          <w:color w:val="auto"/>
          <w:sz w:val="24"/>
          <w:szCs w:val="21"/>
          <w:highlight w:val="none"/>
        </w:rPr>
      </w:pPr>
    </w:p>
    <w:p w14:paraId="5CE3704F">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地    址：</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2160743">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邮政编码：</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149F52D">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电    话：</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9DF26">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传    真：</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28650D5E">
      <w:pPr>
        <w:spacing w:line="360" w:lineRule="auto"/>
        <w:rPr>
          <w:rFonts w:hint="eastAsia" w:ascii="Times New Roman" w:hAnsi="Times New Roman" w:eastAsia="宋体" w:cs="Times New Roman"/>
          <w:sz w:val="24"/>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年</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月</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日</w:t>
      </w:r>
    </w:p>
    <w:p w14:paraId="2F8F6878">
      <w:pPr>
        <w:pStyle w:val="42"/>
        <w:numPr>
          <w:ilvl w:val="0"/>
          <w:numId w:val="70"/>
        </w:numPr>
        <w:ind w:left="0" w:leftChars="0" w:firstLine="480" w:firstLineChars="0"/>
        <w:outlineLvl w:val="0"/>
      </w:pPr>
      <w:bookmarkStart w:id="1231" w:name="_Toc22747"/>
      <w:bookmarkStart w:id="1232" w:name="_Toc508272188"/>
      <w:r>
        <w:t>工程质量保修书</w:t>
      </w:r>
      <w:bookmarkEnd w:id="1231"/>
      <w:bookmarkEnd w:id="1232"/>
    </w:p>
    <w:p w14:paraId="5763EDE8">
      <w:pPr>
        <w:pStyle w:val="11"/>
        <w:rPr>
          <w:b/>
          <w:u w:val="single"/>
        </w:rPr>
      </w:pPr>
      <w:r>
        <w:t>发包人(全称)：</w:t>
      </w:r>
      <w:r>
        <w:rPr>
          <w:b/>
          <w:u w:val="single"/>
        </w:rPr>
        <w:t xml:space="preserve">                           </w:t>
      </w:r>
      <w:r>
        <w:rPr>
          <w:u w:val="single"/>
        </w:rPr>
        <w:t xml:space="preserve"> </w:t>
      </w:r>
    </w:p>
    <w:p w14:paraId="76D1CB59">
      <w:pPr>
        <w:pStyle w:val="11"/>
      </w:pPr>
      <w:r>
        <w:t>承包人(全称)：</w:t>
      </w:r>
      <w:r>
        <w:rPr>
          <w:b/>
          <w:u w:val="single"/>
        </w:rPr>
        <w:t xml:space="preserve">                                         </w:t>
      </w:r>
      <w:r>
        <w:t xml:space="preserve">                  </w:t>
      </w:r>
    </w:p>
    <w:p w14:paraId="58CA576E">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工程质量保修内容</w:t>
      </w:r>
    </w:p>
    <w:p w14:paraId="4293D8C9">
      <w:pPr>
        <w:pStyle w:val="11"/>
      </w:pPr>
      <w:r>
        <w:rPr>
          <w:b/>
          <w:u w:val="single"/>
        </w:rPr>
        <w:t xml:space="preserve">                        </w:t>
      </w:r>
      <w:r>
        <w:t>工程的所有建设内容均属保修范围，具体建设内容详见图纸及工程量清单。</w:t>
      </w:r>
    </w:p>
    <w:p w14:paraId="687D810F">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质量保修期</w:t>
      </w:r>
    </w:p>
    <w:p w14:paraId="0C4B9E48">
      <w:pPr>
        <w:pStyle w:val="11"/>
      </w:pPr>
      <w:r>
        <w:t>本项目的质量保修期为一年，从工程通过竣工验收之日起计。</w:t>
      </w:r>
    </w:p>
    <w:p w14:paraId="4F279CF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质量保修责任</w:t>
      </w:r>
    </w:p>
    <w:p w14:paraId="51E8374B">
      <w:pPr>
        <w:pStyle w:val="11"/>
      </w:pPr>
      <w:r>
        <w:t>1.属于保修范围和内容的项目，承包人应在接到修理通知之日后7天内派人处理。承包人不在约定期限内派人修理，发包人可委托其他人员修理，保修费用从质量保证金扣除。</w:t>
      </w:r>
    </w:p>
    <w:p w14:paraId="416CBF65">
      <w:pPr>
        <w:pStyle w:val="11"/>
      </w:pPr>
      <w:r>
        <w:t>2.发生须紧急抢修事故，承包人接到事故通知后，应立即到在事故现场抢修。非承包人施工质量引起事故，抢修费用由发包人承担。</w:t>
      </w:r>
    </w:p>
    <w:p w14:paraId="028D9FE0">
      <w:pPr>
        <w:pStyle w:val="11"/>
      </w:pPr>
      <w:r>
        <w:t>3.在国家规定的工程合理使用期限内，承包人确保基础工程和主体结构的质量。因承包人原因致使工程在合理使用期限内造成人身和财产损害的，承包人应承担损害赔偿责任。</w:t>
      </w:r>
    </w:p>
    <w:p w14:paraId="7508B665">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质量保证金的支付与返还</w:t>
      </w:r>
    </w:p>
    <w:p w14:paraId="41B6F4EF">
      <w:pPr>
        <w:pStyle w:val="11"/>
      </w:pPr>
      <w:r>
        <w:t>本工程的质量保证金为结算审计（审核、评审）价款的</w:t>
      </w:r>
      <w:r>
        <w:rPr>
          <w:u w:val="single"/>
        </w:rPr>
        <w:t xml:space="preserve"> 3 </w:t>
      </w:r>
      <w: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其他</w:t>
      </w:r>
    </w:p>
    <w:p w14:paraId="2D26BF36">
      <w:pPr>
        <w:pStyle w:val="11"/>
        <w:rPr>
          <w:u w:val="single"/>
        </w:rPr>
      </w:pPr>
      <w:r>
        <w:t xml:space="preserve">双方约定的其他工程质量保修事项： </w:t>
      </w:r>
      <w:r>
        <w:rPr>
          <w:u w:val="single"/>
        </w:rPr>
        <w:t xml:space="preserve">                                </w:t>
      </w:r>
    </w:p>
    <w:p w14:paraId="18EA7A32">
      <w:pPr>
        <w:pStyle w:val="11"/>
        <w:rPr>
          <w:rFonts w:hint="eastAsia" w:ascii="Times New Roman" w:hAnsi="Times New Roman" w:eastAsia="宋体" w:cs="Times New Roman"/>
          <w:sz w:val="24"/>
          <w:szCs w:val="21"/>
        </w:rPr>
      </w:pPr>
      <w:r>
        <w:t>本工程质量保修书作为施工合同附件，由施工合同发包人承包人双方共同签署，一式陆份，发包人和承包人各执叁份。</w:t>
      </w:r>
    </w:p>
    <w:p w14:paraId="18E31B7F">
      <w:pPr>
        <w:pStyle w:val="11"/>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ascii="宋体" w:hAnsi="宋体" w:cs="宋体"/>
          <w:szCs w:val="21"/>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日</w:t>
      </w:r>
      <w:r>
        <w:rPr>
          <w:rFonts w:hint="eastAsia" w:ascii="Times New Roman" w:hAnsi="Times New Roman" w:eastAsia="宋体" w:cs="Times New Roman"/>
          <w:sz w:val="24"/>
          <w:szCs w:val="21"/>
        </w:rPr>
        <w:tab/>
      </w:r>
    </w:p>
    <w:p w14:paraId="7484EF5D">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宋体"/>
          <w:b/>
          <w:bCs/>
          <w:color w:val="000000"/>
          <w:kern w:val="0"/>
          <w:szCs w:val="21"/>
        </w:rPr>
        <w:sectPr>
          <w:footerReference r:id="rId11" w:type="default"/>
          <w:pgSz w:w="11906" w:h="16838"/>
          <w:pgMar w:top="1440" w:right="1080" w:bottom="1440" w:left="880" w:header="851" w:footer="992" w:gutter="0"/>
          <w:cols w:space="720" w:num="1"/>
          <w:docGrid w:type="lines" w:linePitch="312" w:charSpace="0"/>
        </w:sectPr>
      </w:pPr>
    </w:p>
    <w:p w14:paraId="30FE0013">
      <w:pPr>
        <w:pStyle w:val="40"/>
        <w:outlineLvl w:val="0"/>
      </w:pPr>
      <w:r>
        <w:t>附件</w:t>
      </w:r>
    </w:p>
    <w:p w14:paraId="03C2A8DD">
      <w:pPr>
        <w:pStyle w:val="44"/>
        <w:widowControl/>
        <w:outlineLvl w:val="0"/>
      </w:pPr>
      <w:r>
        <w:t>广西壮族自治区政府采购项目合同验收书（格式）</w:t>
      </w:r>
    </w:p>
    <w:p w14:paraId="2589BDCE">
      <w:pPr>
        <w:pStyle w:val="11"/>
        <w:widowControl/>
        <w:rPr>
          <w:color w:val="000000"/>
        </w:rPr>
      </w:pPr>
      <w:r>
        <w:rPr>
          <w:color w:val="000000"/>
        </w:rPr>
        <w:t>根据政府采购项目（</w:t>
      </w:r>
      <w:r>
        <w:rPr>
          <w:color w:val="000000"/>
          <w:u w:val="single"/>
        </w:rPr>
        <w:t>采购合同编号：</w:t>
      </w:r>
      <w:r>
        <w:rPr>
          <w:color w:val="000000"/>
          <w:u w:val="single"/>
        </w:rPr>
        <w:softHyphen/>
      </w:r>
      <w:r>
        <w:rPr>
          <w:color w:val="000000"/>
          <w:u w:val="single"/>
        </w:rPr>
        <w:t xml:space="preserve">    </w:t>
      </w:r>
      <w:r>
        <w:rPr>
          <w:color w:val="000000"/>
        </w:rPr>
        <w:t>）的约定，我单位对（</w:t>
      </w:r>
      <w:r>
        <w:rPr>
          <w:color w:val="000000"/>
          <w:u w:val="single"/>
        </w:rPr>
        <w:t xml:space="preserve">  项目名称   </w:t>
      </w:r>
      <w:r>
        <w:rPr>
          <w:color w:val="000000"/>
        </w:rPr>
        <w:t>）政府采购项目中标（或成交）供应商（</w:t>
      </w:r>
      <w:r>
        <w:rPr>
          <w:color w:val="000000"/>
          <w:u w:val="single"/>
        </w:rPr>
        <w:t xml:space="preserve">            公司名称              </w:t>
      </w:r>
      <w:r>
        <w:rPr>
          <w:color w:val="000000"/>
        </w:rPr>
        <w:t>）提供的货物（或工程、服务）进行了验收，验收情况如下：</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ascii="宋体" w:hAnsi="宋体" w:cs="宋体"/>
                <w:color w:val="000000"/>
                <w:kern w:val="0"/>
                <w:szCs w:val="21"/>
              </w:rPr>
            </w:pPr>
            <w:r>
              <w:rPr>
                <w:rFonts w:hint="eastAsia" w:ascii="宋体" w:hAnsi="宋体" w:cs="宋体"/>
                <w:color w:val="000000"/>
                <w:kern w:val="0"/>
                <w:szCs w:val="21"/>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20" w:firstLineChars="200"/>
              <w:jc w:val="center"/>
              <w:rPr>
                <w:rFonts w:ascii="宋体" w:hAnsi="宋体" w:cs="宋体"/>
                <w:color w:val="000000"/>
                <w:kern w:val="0"/>
                <w:szCs w:val="21"/>
              </w:rPr>
            </w:pPr>
            <w:r>
              <w:rPr>
                <w:rFonts w:hint="eastAsia" w:ascii="宋体" w:hAnsi="宋体" w:cs="宋体"/>
                <w:color w:val="000000"/>
                <w:kern w:val="0"/>
                <w:szCs w:val="21"/>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ascii="宋体" w:hAnsi="宋体" w:cs="宋体"/>
                <w:color w:val="000000"/>
                <w:kern w:val="0"/>
                <w:szCs w:val="21"/>
              </w:rPr>
            </w:pPr>
            <w:r>
              <w:rPr>
                <w:rFonts w:hint="eastAsia" w:ascii="宋体" w:hAnsi="宋体" w:cs="宋体"/>
                <w:color w:val="000000"/>
                <w:kern w:val="0"/>
                <w:szCs w:val="21"/>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ascii="宋体" w:hAnsi="宋体" w:cs="宋体"/>
                <w:color w:val="000000"/>
                <w:kern w:val="0"/>
                <w:szCs w:val="21"/>
              </w:rPr>
            </w:pPr>
            <w:r>
              <w:rPr>
                <w:rFonts w:hint="eastAsia" w:ascii="宋体" w:hAnsi="宋体" w:cs="宋体"/>
                <w:color w:val="000000"/>
                <w:kern w:val="0"/>
                <w:szCs w:val="21"/>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ascii="宋体" w:hAnsi="宋体" w:cs="宋体"/>
                <w:color w:val="000000"/>
                <w:kern w:val="0"/>
                <w:szCs w:val="21"/>
              </w:rPr>
            </w:pPr>
            <w:r>
              <w:rPr>
                <w:rFonts w:hint="eastAsia" w:ascii="宋体" w:hAnsi="宋体" w:cs="宋体"/>
                <w:color w:val="000000"/>
                <w:kern w:val="0"/>
                <w:szCs w:val="21"/>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39" w:firstLineChars="19"/>
              <w:jc w:val="center"/>
              <w:rPr>
                <w:rFonts w:ascii="宋体" w:hAnsi="宋体" w:cs="宋体"/>
                <w:color w:val="000000"/>
                <w:kern w:val="0"/>
                <w:szCs w:val="21"/>
              </w:rPr>
            </w:pPr>
            <w:r>
              <w:rPr>
                <w:rFonts w:hint="eastAsia" w:ascii="宋体" w:hAnsi="宋体" w:cs="宋体"/>
                <w:color w:val="000000"/>
                <w:kern w:val="0"/>
                <w:szCs w:val="21"/>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20" w:firstLineChars="200"/>
              <w:jc w:val="left"/>
              <w:rPr>
                <w:rFonts w:ascii="宋体" w:hAnsi="宋体" w:cs="宋体"/>
                <w:color w:val="000000"/>
                <w:kern w:val="0"/>
                <w:szCs w:val="21"/>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olor w:val="000000"/>
                <w:szCs w:val="21"/>
              </w:rPr>
              <w:t>（应</w:t>
            </w:r>
            <w:r>
              <w:rPr>
                <w:rFonts w:hint="eastAsia" w:ascii="宋体" w:hAnsi="宋体" w:cs="宋体"/>
                <w:color w:val="000000"/>
                <w:kern w:val="0"/>
                <w:szCs w:val="21"/>
              </w:rPr>
              <w:t>按采购合同、采购文件、磋商响应文件及验收方案等进行验收；并核对</w:t>
            </w:r>
            <w:r>
              <w:rPr>
                <w:rFonts w:hint="eastAsia" w:ascii="宋体" w:hAnsi="宋体"/>
                <w:color w:val="000000"/>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kern w:val="0"/>
                <w:szCs w:val="21"/>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05" w:firstLineChars="50"/>
              <w:jc w:val="left"/>
              <w:rPr>
                <w:rFonts w:ascii="宋体" w:hAnsi="宋体" w:cs="宋体"/>
                <w:color w:val="000000"/>
                <w:kern w:val="0"/>
                <w:szCs w:val="21"/>
              </w:rPr>
            </w:pPr>
            <w:r>
              <w:rPr>
                <w:rFonts w:hint="eastAsia" w:ascii="宋体" w:hAnsi="宋体" w:cs="宋体"/>
                <w:color w:val="000000"/>
                <w:kern w:val="0"/>
                <w:szCs w:val="21"/>
              </w:rPr>
              <w:t>验收结论性意见：</w:t>
            </w:r>
          </w:p>
          <w:p w14:paraId="56386DBC">
            <w:pPr>
              <w:widowControl/>
              <w:spacing w:before="100" w:beforeAutospacing="1" w:after="100" w:afterAutospacing="1" w:line="320" w:lineRule="exact"/>
              <w:jc w:val="left"/>
              <w:rPr>
                <w:rFonts w:ascii="宋体" w:hAnsi="宋体" w:cs="宋体"/>
                <w:color w:val="000000"/>
                <w:kern w:val="0"/>
                <w:szCs w:val="21"/>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ascii="宋体" w:hAnsi="宋体" w:cs="宋体"/>
                <w:color w:val="000000"/>
                <w:kern w:val="0"/>
                <w:szCs w:val="21"/>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84" w:firstLineChars="40"/>
              <w:jc w:val="left"/>
              <w:rPr>
                <w:rFonts w:ascii="宋体" w:hAnsi="宋体" w:cs="宋体"/>
                <w:color w:val="000000"/>
                <w:kern w:val="0"/>
                <w:szCs w:val="21"/>
              </w:rPr>
            </w:pPr>
            <w:r>
              <w:rPr>
                <w:rFonts w:hint="eastAsia" w:ascii="宋体" w:hAnsi="宋体" w:cs="宋体"/>
                <w:color w:val="000000"/>
                <w:kern w:val="0"/>
                <w:szCs w:val="21"/>
              </w:rPr>
              <w:t>有异议的意见和说明理由：</w:t>
            </w:r>
          </w:p>
          <w:p w14:paraId="0613418E">
            <w:pPr>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监督人员或其他相关人员签字：</w:t>
            </w:r>
          </w:p>
          <w:p w14:paraId="689D267D">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14:paraId="18D0052B">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采购人或受托机构的意见（盖章）：</w:t>
            </w:r>
          </w:p>
          <w:p w14:paraId="5220F607">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r>
    </w:tbl>
    <w:p w14:paraId="4FD20AF0">
      <w:pPr>
        <w:pStyle w:val="11"/>
        <w:keepNext w:val="0"/>
        <w:keepLines w:val="0"/>
        <w:pageBreakBefore w:val="0"/>
        <w:widowControl w:val="0"/>
        <w:kinsoku/>
        <w:wordWrap/>
        <w:overflowPunct/>
        <w:topLinePunct w:val="0"/>
        <w:autoSpaceDE/>
        <w:autoSpaceDN/>
        <w:bidi w:val="0"/>
        <w:adjustRightInd/>
        <w:snapToGrid/>
        <w:spacing w:line="240" w:lineRule="auto"/>
        <w:textAlignment w:val="auto"/>
        <w:rPr>
          <w:w w:val="90"/>
          <w:sz w:val="24"/>
        </w:rPr>
      </w:pPr>
      <w:r>
        <w:rPr>
          <w:color w:val="000000"/>
          <w:w w:val="90"/>
          <w:sz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6"/>
      <w:jc w:val="center"/>
    </w:pPr>
    <w:r>
      <w:fldChar w:fldCharType="begin"/>
    </w:r>
    <w:r>
      <w:instrText xml:space="preserve">PAGE   \* MERGEFORMAT</w:instrText>
    </w:r>
    <w:r>
      <w:fldChar w:fldCharType="separate"/>
    </w:r>
    <w:r>
      <w:rPr>
        <w:lang w:val="zh-CN"/>
      </w:rPr>
      <w:t>1</w:t>
    </w:r>
    <w:r>
      <w:fldChar w:fldCharType="end"/>
    </w:r>
  </w:p>
  <w:p w14:paraId="0149E4E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6"/>
      <w:jc w:val="center"/>
    </w:pPr>
    <w:r>
      <w:fldChar w:fldCharType="begin"/>
    </w:r>
    <w:r>
      <w:instrText xml:space="preserve">PAGE   \* MERGEFORMAT</w:instrText>
    </w:r>
    <w:r>
      <w:fldChar w:fldCharType="separate"/>
    </w:r>
    <w:r>
      <w:rPr>
        <w:lang w:val="zh-CN"/>
      </w:rPr>
      <w:t>2</w:t>
    </w:r>
    <w:r>
      <w:fldChar w:fldCharType="end"/>
    </w:r>
  </w:p>
  <w:p w14:paraId="6B36E70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6"/>
      <w:framePr w:wrap="around" w:vAnchor="text" w:hAnchor="margin" w:xAlign="center" w:y="1"/>
      <w:rPr>
        <w:rStyle w:val="24"/>
      </w:rPr>
    </w:pPr>
    <w:r>
      <w:fldChar w:fldCharType="begin"/>
    </w:r>
    <w:r>
      <w:rPr>
        <w:rStyle w:val="24"/>
      </w:rPr>
      <w:instrText xml:space="preserve">PAGE  </w:instrText>
    </w:r>
    <w:r>
      <w:fldChar w:fldCharType="end"/>
    </w:r>
  </w:p>
  <w:p w14:paraId="50FC54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6"/>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0"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2"/>
      <w:lvlText w:val="%1."/>
      <w:lvlJc w:val="left"/>
      <w:pPr>
        <w:tabs>
          <w:tab w:val="left" w:pos="482"/>
        </w:tabs>
        <w:ind w:left="0" w:leftChars="0" w:firstLine="482" w:firstLineChars="0"/>
      </w:pPr>
      <w:rPr>
        <w:rFonts w:hint="default"/>
      </w:rPr>
    </w:lvl>
    <w:lvl w:ilvl="1" w:tentative="0">
      <w:start w:val="1"/>
      <w:numFmt w:val="decimal"/>
      <w:pStyle w:val="3"/>
      <w:lvlText w:val="%1.%2."/>
      <w:lvlJc w:val="left"/>
      <w:pPr>
        <w:tabs>
          <w:tab w:val="left" w:pos="482"/>
        </w:tabs>
        <w:ind w:left="1" w:leftChars="0" w:firstLine="481"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42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让一切随风">
    <w15:presenceInfo w15:providerId="WPS Office" w15:userId="2823178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3036C0"/>
    <w:rsid w:val="0577737D"/>
    <w:rsid w:val="05E97159"/>
    <w:rsid w:val="06306C83"/>
    <w:rsid w:val="0683519D"/>
    <w:rsid w:val="088D53E8"/>
    <w:rsid w:val="0C3B4CA0"/>
    <w:rsid w:val="0CCA2457"/>
    <w:rsid w:val="0D0767C2"/>
    <w:rsid w:val="0E2E40A7"/>
    <w:rsid w:val="12300775"/>
    <w:rsid w:val="14AC5473"/>
    <w:rsid w:val="158A15A6"/>
    <w:rsid w:val="1E1A5386"/>
    <w:rsid w:val="1F2B3A62"/>
    <w:rsid w:val="21F72DBD"/>
    <w:rsid w:val="23205984"/>
    <w:rsid w:val="2A583E9C"/>
    <w:rsid w:val="2D084EBB"/>
    <w:rsid w:val="2D5F13D7"/>
    <w:rsid w:val="2FF25CDA"/>
    <w:rsid w:val="31B832E9"/>
    <w:rsid w:val="38614D91"/>
    <w:rsid w:val="3A113B67"/>
    <w:rsid w:val="3B2A1AA2"/>
    <w:rsid w:val="3B822DC7"/>
    <w:rsid w:val="3BBD7D90"/>
    <w:rsid w:val="3D8348B6"/>
    <w:rsid w:val="3E582682"/>
    <w:rsid w:val="40776973"/>
    <w:rsid w:val="46C655B1"/>
    <w:rsid w:val="492F08D6"/>
    <w:rsid w:val="493269BD"/>
    <w:rsid w:val="4C0076E4"/>
    <w:rsid w:val="513C1D62"/>
    <w:rsid w:val="5B447447"/>
    <w:rsid w:val="5C5850E7"/>
    <w:rsid w:val="60E16FD7"/>
    <w:rsid w:val="6191272F"/>
    <w:rsid w:val="61E315B7"/>
    <w:rsid w:val="628D11A7"/>
    <w:rsid w:val="630930CF"/>
    <w:rsid w:val="667B57E3"/>
    <w:rsid w:val="6A6534F3"/>
    <w:rsid w:val="73F844DE"/>
    <w:rsid w:val="746D637A"/>
    <w:rsid w:val="7E64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3">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4">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5">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6">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Body Text"/>
    <w:next w:val="12"/>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First Indent"/>
    <w:basedOn w:val="11"/>
    <w:next w:val="13"/>
    <w:qFormat/>
    <w:uiPriority w:val="0"/>
    <w:pPr>
      <w:ind w:firstLine="420" w:firstLineChars="100"/>
    </w:pPr>
    <w:rPr>
      <w:rFonts w:ascii="宋体" w:hAnsi="Courier New"/>
      <w:kern w:val="0"/>
      <w:sz w:val="20"/>
      <w:szCs w:val="21"/>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9">
    <w:name w:val="toc 2"/>
    <w:basedOn w:val="1"/>
    <w:next w:val="1"/>
    <w:unhideWhenUsed/>
    <w:qFormat/>
    <w:uiPriority w:val="39"/>
    <w:pPr>
      <w:tabs>
        <w:tab w:val="right" w:leader="dot" w:pos="8450"/>
      </w:tabs>
      <w:ind w:left="420" w:leftChars="200"/>
    </w:pPr>
  </w:style>
  <w:style w:type="paragraph" w:styleId="20">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1">
    <w:name w:val="Body Text First Indent 2"/>
    <w:basedOn w:val="14"/>
    <w:unhideWhenUsed/>
    <w:qFormat/>
    <w:uiPriority w:val="99"/>
    <w:pPr>
      <w:ind w:firstLine="420" w:firstLineChars="200"/>
    </w:pPr>
  </w:style>
  <w:style w:type="character" w:styleId="24">
    <w:name w:val="page number"/>
    <w:qFormat/>
    <w:uiPriority w:val="0"/>
  </w:style>
  <w:style w:type="character" w:styleId="25">
    <w:name w:val="Hyperlink"/>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表格文字"/>
    <w:basedOn w:val="14"/>
    <w:next w:val="11"/>
    <w:qFormat/>
    <w:uiPriority w:val="0"/>
    <w:pPr>
      <w:spacing w:before="25" w:after="25"/>
      <w:jc w:val="left"/>
    </w:pPr>
    <w:rPr>
      <w:bCs/>
      <w:spacing w:val="10"/>
      <w:kern w:val="0"/>
      <w:sz w:val="24"/>
      <w:szCs w:val="2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textcontents"/>
    <w:qFormat/>
    <w:uiPriority w:val="0"/>
  </w:style>
  <w:style w:type="paragraph"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Indent"/>
    <w:basedOn w:val="1"/>
    <w:qFormat/>
    <w:uiPriority w:val="0"/>
    <w:pPr>
      <w:widowControl/>
      <w:ind w:firstLine="420"/>
      <w:jc w:val="left"/>
    </w:pPr>
    <w:rPr>
      <w:rFonts w:ascii="Times New Roman" w:hAnsi="Times New Roman"/>
      <w:kern w:val="0"/>
      <w:szCs w:val="20"/>
    </w:rPr>
  </w:style>
  <w:style w:type="paragraph" w:styleId="35">
    <w:name w:val="List Paragraph"/>
    <w:basedOn w:val="1"/>
    <w:qFormat/>
    <w:uiPriority w:val="0"/>
    <w:pPr>
      <w:ind w:firstLine="420" w:firstLineChars="200"/>
    </w:pPr>
  </w:style>
  <w:style w:type="paragraph" w:customStyle="1" w:styleId="36">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7">
    <w:name w:val="Body text|2"/>
    <w:basedOn w:val="1"/>
    <w:qFormat/>
    <w:uiPriority w:val="0"/>
    <w:pPr>
      <w:spacing w:after="30"/>
      <w:ind w:firstLine="420"/>
      <w:jc w:val="left"/>
    </w:pPr>
    <w:rPr>
      <w:rFonts w:ascii="Calibri" w:hAnsi="Calibri"/>
      <w:sz w:val="20"/>
      <w:szCs w:val="20"/>
    </w:rPr>
  </w:style>
  <w:style w:type="paragraph" w:customStyle="1" w:styleId="38">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Heading #4|1"/>
    <w:basedOn w:val="1"/>
    <w:qFormat/>
    <w:uiPriority w:val="0"/>
    <w:pPr>
      <w:spacing w:after="120"/>
      <w:jc w:val="left"/>
      <w:outlineLvl w:val="3"/>
    </w:pPr>
    <w:rPr>
      <w:rFonts w:ascii="宋体" w:hAnsi="宋体" w:cs="宋体"/>
      <w:szCs w:val="22"/>
      <w:lang w:val="zh-CN" w:bidi="zh-CN"/>
    </w:rPr>
  </w:style>
  <w:style w:type="paragraph" w:customStyle="1" w:styleId="4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1">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2">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3">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20077</Words>
  <Characters>20823</Characters>
  <Lines>0</Lines>
  <Paragraphs>0</Paragraphs>
  <TotalTime>0</TotalTime>
  <ScaleCrop>false</ScaleCrop>
  <LinksUpToDate>false</LinksUpToDate>
  <CharactersWithSpaces>21002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2025-08-04T15:48:40Z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8D9DB2855167431A98A89B0C3BBF6ED5_11</vt:lpwstr>
  </property>
  <property fmtid="{D5CDD505-2E9C-101B-9397-08002B2CF9AE}" pid="4" name="KSOTemplateDocerSaveRecord">
    <vt:lpwstr>eyJoZGlkIjoiMzM4ZDVlYTVjYzcwMzhjNGFkMjViNmNhM2EyNGJmZWYiLCJ1c2VySWQiOiIzOTM3Njc1MDYifQ==</vt:lpwstr>
  </property>
</Properties>
</file>