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C20AA">
      <w:pPr>
        <w:spacing w:before="120" w:beforeLines="50"/>
        <w:rPr>
          <w:rFonts w:hint="eastAsia" w:ascii="宋体" w:hAnsi="宋体" w:eastAsia="宋体" w:cs="宋体"/>
          <w:b/>
          <w:bCs/>
          <w:color w:val="000000"/>
          <w:sz w:val="24"/>
          <w:szCs w:val="24"/>
        </w:rPr>
      </w:pPr>
    </w:p>
    <w:p w14:paraId="6CFA5930">
      <w:pPr>
        <w:snapToGrid w:val="0"/>
        <w:spacing w:before="286" w:beforeAutospacing="0" w:after="143" w:afterAutospacing="0" w:line="240" w:lineRule="auto"/>
        <w:jc w:val="center"/>
        <w:textAlignment w:val="baseline"/>
        <w:rPr>
          <w:rFonts w:hint="eastAsia" w:ascii="宋体" w:hAnsi="宋体" w:eastAsia="宋体" w:cs="宋体"/>
          <w:b/>
          <w:i w:val="0"/>
          <w:caps w:val="0"/>
          <w:spacing w:val="0"/>
          <w:w w:val="100"/>
          <w:sz w:val="72"/>
          <w:szCs w:val="72"/>
        </w:rPr>
      </w:pPr>
      <w:r>
        <w:rPr>
          <w:rFonts w:hint="eastAsia" w:ascii="宋体" w:hAnsi="宋体" w:eastAsia="宋体" w:cs="宋体"/>
          <w:b/>
          <w:i w:val="0"/>
          <w:caps w:val="0"/>
          <w:spacing w:val="0"/>
          <w:w w:val="100"/>
          <w:sz w:val="72"/>
          <w:szCs w:val="72"/>
          <w:lang w:val="en-US" w:eastAsia="zh-CN"/>
        </w:rPr>
        <w:t>广西国立工程咨询</w:t>
      </w:r>
      <w:r>
        <w:rPr>
          <w:rFonts w:hint="eastAsia" w:ascii="宋体" w:hAnsi="宋体" w:eastAsia="宋体" w:cs="宋体"/>
          <w:b/>
          <w:i w:val="0"/>
          <w:caps w:val="0"/>
          <w:spacing w:val="0"/>
          <w:w w:val="100"/>
          <w:sz w:val="72"/>
          <w:szCs w:val="72"/>
          <w:lang w:eastAsia="zh-CN"/>
        </w:rPr>
        <w:t>有限公司</w:t>
      </w:r>
    </w:p>
    <w:p w14:paraId="41B07739">
      <w:pPr>
        <w:snapToGrid w:val="0"/>
        <w:spacing w:before="286" w:beforeAutospacing="0" w:after="143" w:afterAutospacing="0" w:line="240" w:lineRule="auto"/>
        <w:jc w:val="center"/>
        <w:textAlignment w:val="baseline"/>
        <w:rPr>
          <w:rFonts w:hint="eastAsia" w:ascii="宋体" w:hAnsi="宋体" w:eastAsia="宋体" w:cs="宋体"/>
          <w:b/>
          <w:i w:val="0"/>
          <w:caps w:val="0"/>
          <w:spacing w:val="0"/>
          <w:w w:val="100"/>
          <w:sz w:val="72"/>
          <w:szCs w:val="72"/>
        </w:rPr>
      </w:pPr>
    </w:p>
    <w:p w14:paraId="7FB31E34">
      <w:pPr>
        <w:snapToGrid w:val="0"/>
        <w:spacing w:before="286" w:beforeAutospacing="0" w:after="143" w:afterAutospacing="0" w:line="240" w:lineRule="auto"/>
        <w:jc w:val="center"/>
        <w:textAlignment w:val="baseline"/>
        <w:rPr>
          <w:rFonts w:hint="eastAsia" w:ascii="宋体" w:hAnsi="宋体" w:eastAsia="宋体" w:cs="宋体"/>
          <w:b/>
          <w:i w:val="0"/>
          <w:caps w:val="0"/>
          <w:spacing w:val="0"/>
          <w:w w:val="100"/>
          <w:sz w:val="72"/>
          <w:szCs w:val="72"/>
        </w:rPr>
      </w:pPr>
    </w:p>
    <w:p w14:paraId="3478A105">
      <w:pPr>
        <w:snapToGrid w:val="0"/>
        <w:spacing w:before="286" w:beforeAutospacing="0" w:after="143" w:afterAutospacing="0" w:line="240" w:lineRule="auto"/>
        <w:jc w:val="center"/>
        <w:textAlignment w:val="baseline"/>
        <w:rPr>
          <w:rFonts w:hint="eastAsia" w:ascii="宋体" w:hAnsi="宋体" w:eastAsia="宋体" w:cs="宋体"/>
          <w:b/>
          <w:i w:val="0"/>
          <w:caps w:val="0"/>
          <w:spacing w:val="0"/>
          <w:w w:val="100"/>
          <w:sz w:val="72"/>
          <w:szCs w:val="72"/>
        </w:rPr>
      </w:pPr>
      <w:r>
        <w:rPr>
          <w:rFonts w:hint="eastAsia" w:ascii="宋体" w:hAnsi="宋体" w:eastAsia="宋体" w:cs="宋体"/>
          <w:b/>
          <w:i w:val="0"/>
          <w:caps w:val="0"/>
          <w:spacing w:val="0"/>
          <w:w w:val="100"/>
          <w:sz w:val="72"/>
          <w:szCs w:val="72"/>
        </w:rPr>
        <w:t>竞争性磋商文件</w:t>
      </w:r>
    </w:p>
    <w:p w14:paraId="33D609F8">
      <w:pPr>
        <w:pStyle w:val="29"/>
        <w:rPr>
          <w:rFonts w:hint="eastAsia" w:ascii="宋体" w:hAnsi="宋体" w:eastAsia="宋体" w:cs="宋体"/>
          <w:sz w:val="72"/>
          <w:szCs w:val="72"/>
        </w:rPr>
      </w:pPr>
    </w:p>
    <w:p w14:paraId="11A068C8">
      <w:pPr>
        <w:snapToGrid w:val="0"/>
        <w:spacing w:before="120" w:beforeLines="50" w:line="360" w:lineRule="auto"/>
        <w:ind w:firstLine="602"/>
        <w:jc w:val="center"/>
        <w:rPr>
          <w:rFonts w:hint="eastAsia" w:ascii="宋体" w:hAnsi="宋体" w:eastAsia="宋体" w:cs="宋体"/>
          <w:b/>
          <w:color w:val="000000"/>
          <w:sz w:val="24"/>
          <w:szCs w:val="24"/>
        </w:rPr>
      </w:pPr>
    </w:p>
    <w:p w14:paraId="016485B7">
      <w:pPr>
        <w:rPr>
          <w:rFonts w:hint="eastAsia" w:ascii="宋体" w:hAnsi="宋体" w:eastAsia="宋体" w:cs="宋体"/>
          <w:b w:val="0"/>
          <w:color w:val="000000"/>
          <w:sz w:val="24"/>
          <w:szCs w:val="24"/>
        </w:rPr>
      </w:pPr>
    </w:p>
    <w:p w14:paraId="2AF2DE9A">
      <w:pPr>
        <w:keepNext w:val="0"/>
        <w:keepLines w:val="0"/>
        <w:pageBreakBefore w:val="0"/>
        <w:widowControl w:val="0"/>
        <w:kinsoku/>
        <w:wordWrap/>
        <w:overflowPunct/>
        <w:topLinePunct w:val="0"/>
        <w:autoSpaceDE/>
        <w:autoSpaceDN/>
        <w:bidi w:val="0"/>
        <w:adjustRightInd/>
        <w:snapToGrid w:val="0"/>
        <w:spacing w:before="120" w:beforeLines="50" w:line="600" w:lineRule="exact"/>
        <w:ind w:firstLine="0" w:firstLineChars="0"/>
        <w:jc w:val="both"/>
        <w:textAlignment w:val="auto"/>
        <w:rPr>
          <w:rFonts w:hint="eastAsia" w:ascii="宋体" w:hAnsi="宋体" w:eastAsia="宋体" w:cs="宋体"/>
          <w:b/>
          <w:color w:val="auto"/>
          <w:sz w:val="24"/>
          <w:szCs w:val="24"/>
          <w:u w:val="none"/>
        </w:rPr>
      </w:pPr>
    </w:p>
    <w:p w14:paraId="3C4D0922">
      <w:pPr>
        <w:keepNext w:val="0"/>
        <w:keepLines w:val="0"/>
        <w:pageBreakBefore w:val="0"/>
        <w:widowControl w:val="0"/>
        <w:kinsoku/>
        <w:wordWrap/>
        <w:overflowPunct/>
        <w:topLinePunct w:val="0"/>
        <w:autoSpaceDE/>
        <w:autoSpaceDN/>
        <w:bidi w:val="0"/>
        <w:adjustRightInd/>
        <w:spacing w:line="600" w:lineRule="exact"/>
        <w:ind w:firstLine="1285" w:firstLineChars="400"/>
        <w:textAlignment w:val="auto"/>
        <w:rPr>
          <w:rFonts w:hint="eastAsia" w:ascii="宋体" w:hAnsi="宋体" w:eastAsia="宋体" w:cs="宋体"/>
          <w:b/>
          <w:bCs/>
          <w:color w:val="auto"/>
          <w:sz w:val="32"/>
          <w:szCs w:val="32"/>
          <w:u w:val="none"/>
        </w:rPr>
      </w:pPr>
      <w:r>
        <w:rPr>
          <w:rFonts w:hint="eastAsia" w:ascii="宋体" w:hAnsi="宋体" w:eastAsia="宋体" w:cs="宋体"/>
          <w:b/>
          <w:bCs/>
          <w:color w:val="auto"/>
          <w:sz w:val="32"/>
          <w:szCs w:val="32"/>
          <w:u w:val="none"/>
        </w:rPr>
        <w:t>项目名称：</w:t>
      </w:r>
      <w:r>
        <w:rPr>
          <w:rFonts w:hint="eastAsia" w:ascii="宋体" w:hAnsi="宋体" w:eastAsia="宋体" w:cs="宋体"/>
          <w:b/>
          <w:bCs/>
          <w:color w:val="auto"/>
          <w:sz w:val="32"/>
          <w:szCs w:val="32"/>
          <w:u w:val="none"/>
        </w:rPr>
        <w:fldChar w:fldCharType="begin"/>
      </w:r>
      <w:r>
        <w:rPr>
          <w:rFonts w:hint="eastAsia" w:ascii="宋体" w:hAnsi="宋体" w:eastAsia="宋体" w:cs="宋体"/>
          <w:b/>
          <w:bCs/>
          <w:color w:val="auto"/>
          <w:sz w:val="32"/>
          <w:szCs w:val="32"/>
          <w:u w:val="none"/>
        </w:rPr>
        <w:instrText xml:space="preserve"> HYPERLINK "https://www.gcy.zfcg.gxzf.gov.cn/project-center/_procurement_/project-detail-router/662138e66ac54375" \t "https://www.gcy.zfcg.gxzf.gov.cn/bid-inviting/_procurement_/purchaseFileMake/_blank" </w:instrText>
      </w:r>
      <w:r>
        <w:rPr>
          <w:rFonts w:hint="eastAsia" w:ascii="宋体" w:hAnsi="宋体" w:eastAsia="宋体" w:cs="宋体"/>
          <w:b/>
          <w:bCs/>
          <w:color w:val="auto"/>
          <w:sz w:val="32"/>
          <w:szCs w:val="32"/>
          <w:u w:val="none"/>
        </w:rPr>
        <w:fldChar w:fldCharType="separate"/>
      </w:r>
      <w:r>
        <w:rPr>
          <w:rStyle w:val="28"/>
          <w:rFonts w:hint="eastAsia" w:ascii="宋体" w:hAnsi="宋体" w:eastAsia="宋体" w:cs="宋体"/>
          <w:b/>
          <w:bCs/>
          <w:i w:val="0"/>
          <w:iCs w:val="0"/>
          <w:caps w:val="0"/>
          <w:color w:val="auto"/>
          <w:spacing w:val="0"/>
          <w:sz w:val="32"/>
          <w:szCs w:val="32"/>
          <w:u w:val="none"/>
        </w:rPr>
        <w:t>防城港市高级中学教学楼供电改造项目</w:t>
      </w:r>
      <w:r>
        <w:rPr>
          <w:rFonts w:hint="eastAsia" w:ascii="宋体" w:hAnsi="宋体" w:eastAsia="宋体" w:cs="宋体"/>
          <w:b/>
          <w:bCs/>
          <w:color w:val="auto"/>
          <w:sz w:val="32"/>
          <w:szCs w:val="32"/>
          <w:u w:val="none"/>
        </w:rPr>
        <w:fldChar w:fldCharType="end"/>
      </w:r>
    </w:p>
    <w:p w14:paraId="78D3AB57">
      <w:pPr>
        <w:keepNext w:val="0"/>
        <w:keepLines w:val="0"/>
        <w:pageBreakBefore w:val="0"/>
        <w:widowControl w:val="0"/>
        <w:kinsoku/>
        <w:wordWrap/>
        <w:overflowPunct/>
        <w:topLinePunct w:val="0"/>
        <w:autoSpaceDE/>
        <w:autoSpaceDN/>
        <w:bidi w:val="0"/>
        <w:adjustRightInd/>
        <w:spacing w:line="600" w:lineRule="exact"/>
        <w:ind w:firstLine="1285" w:firstLineChars="400"/>
        <w:textAlignment w:val="auto"/>
        <w:rPr>
          <w:rFonts w:hint="eastAsia"/>
          <w:sz w:val="32"/>
          <w:szCs w:val="32"/>
        </w:rPr>
      </w:pPr>
      <w:r>
        <w:rPr>
          <w:rFonts w:hint="eastAsia" w:ascii="宋体" w:hAnsi="宋体" w:eastAsia="宋体" w:cs="宋体"/>
          <w:b/>
          <w:bCs/>
          <w:color w:val="auto"/>
          <w:sz w:val="32"/>
          <w:szCs w:val="32"/>
          <w:u w:val="none"/>
        </w:rPr>
        <w:t>项目编号：FCZC2025-C2-990090-GXGL</w:t>
      </w:r>
    </w:p>
    <w:p w14:paraId="3E2E56C3">
      <w:pPr>
        <w:pStyle w:val="2"/>
        <w:rPr>
          <w:rFonts w:hint="eastAsia" w:ascii="宋体" w:hAnsi="宋体" w:eastAsia="宋体" w:cs="宋体"/>
          <w:b/>
          <w:bCs/>
          <w:color w:val="000000"/>
          <w:sz w:val="32"/>
          <w:szCs w:val="32"/>
        </w:rPr>
      </w:pPr>
    </w:p>
    <w:p w14:paraId="3B57AA51">
      <w:pPr>
        <w:pStyle w:val="4"/>
        <w:rPr>
          <w:rFonts w:hint="eastAsia"/>
          <w:sz w:val="32"/>
          <w:szCs w:val="32"/>
        </w:rPr>
      </w:pPr>
    </w:p>
    <w:p w14:paraId="248C1C5D">
      <w:pPr>
        <w:pStyle w:val="2"/>
        <w:rPr>
          <w:rFonts w:hint="eastAsia"/>
          <w:sz w:val="32"/>
          <w:szCs w:val="32"/>
        </w:rPr>
      </w:pPr>
    </w:p>
    <w:p w14:paraId="605A56CF">
      <w:pPr>
        <w:rPr>
          <w:rFonts w:hint="eastAsia" w:ascii="宋体" w:hAnsi="宋体" w:eastAsia="宋体" w:cs="宋体"/>
          <w:b/>
          <w:bCs/>
          <w:sz w:val="32"/>
          <w:szCs w:val="32"/>
        </w:rPr>
      </w:pPr>
    </w:p>
    <w:p w14:paraId="0BC3A03E">
      <w:pPr>
        <w:snapToGrid w:val="0"/>
        <w:spacing w:before="120" w:beforeLines="50" w:line="480" w:lineRule="auto"/>
        <w:ind w:firstLine="1402" w:firstLineChars="283"/>
        <w:jc w:val="left"/>
        <w:rPr>
          <w:rFonts w:hint="eastAsia" w:ascii="宋体" w:hAnsi="宋体" w:eastAsia="宋体" w:cs="宋体"/>
          <w:b/>
          <w:bCs/>
          <w:color w:val="000000"/>
          <w:sz w:val="32"/>
          <w:szCs w:val="32"/>
          <w:lang w:eastAsia="zh-CN"/>
        </w:rPr>
      </w:pPr>
      <w:r>
        <w:rPr>
          <w:rFonts w:hint="eastAsia" w:ascii="宋体" w:hAnsi="宋体" w:eastAsia="宋体" w:cs="宋体"/>
          <w:b/>
          <w:bCs/>
          <w:color w:val="000000"/>
          <w:spacing w:val="87"/>
          <w:kern w:val="0"/>
          <w:sz w:val="32"/>
          <w:szCs w:val="32"/>
          <w:fitText w:val="1806" w:id="1164258868"/>
        </w:rPr>
        <w:t>采购单</w:t>
      </w:r>
      <w:r>
        <w:rPr>
          <w:rFonts w:hint="eastAsia" w:ascii="宋体" w:hAnsi="宋体" w:eastAsia="宋体" w:cs="宋体"/>
          <w:b/>
          <w:bCs/>
          <w:color w:val="000000"/>
          <w:spacing w:val="2"/>
          <w:kern w:val="0"/>
          <w:sz w:val="32"/>
          <w:szCs w:val="32"/>
          <w:fitText w:val="1806" w:id="1164258868"/>
        </w:rPr>
        <w:t>位</w:t>
      </w:r>
      <w:r>
        <w:rPr>
          <w:rFonts w:hint="eastAsia" w:ascii="宋体" w:hAnsi="宋体" w:eastAsia="宋体" w:cs="宋体"/>
          <w:b/>
          <w:bCs/>
          <w:color w:val="000000"/>
          <w:sz w:val="32"/>
          <w:szCs w:val="32"/>
        </w:rPr>
        <w:t>：</w:t>
      </w:r>
      <w:r>
        <w:rPr>
          <w:rFonts w:hint="eastAsia" w:ascii="宋体" w:hAnsi="宋体" w:cs="宋体"/>
          <w:b/>
          <w:bCs/>
          <w:color w:val="000000"/>
          <w:sz w:val="32"/>
          <w:szCs w:val="32"/>
          <w:lang w:eastAsia="zh-CN"/>
        </w:rPr>
        <w:t>防城港市</w:t>
      </w:r>
      <w:r>
        <w:rPr>
          <w:rFonts w:hint="eastAsia" w:ascii="宋体" w:hAnsi="宋体" w:eastAsia="宋体" w:cs="宋体"/>
          <w:b/>
          <w:bCs/>
          <w:color w:val="000000"/>
          <w:sz w:val="32"/>
          <w:szCs w:val="32"/>
        </w:rPr>
        <w:t>高级中学</w:t>
      </w:r>
    </w:p>
    <w:p w14:paraId="5284E228">
      <w:pPr>
        <w:snapToGrid w:val="0"/>
        <w:spacing w:before="120" w:beforeLines="50" w:line="480" w:lineRule="auto"/>
        <w:ind w:firstLine="1545" w:firstLineChars="481"/>
        <w:jc w:val="left"/>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rPr>
        <w:t>采购代理单位：</w:t>
      </w:r>
      <w:r>
        <w:rPr>
          <w:rFonts w:hint="eastAsia" w:ascii="宋体" w:hAnsi="宋体" w:eastAsia="宋体" w:cs="宋体"/>
          <w:b/>
          <w:bCs/>
          <w:color w:val="000000"/>
          <w:sz w:val="32"/>
          <w:szCs w:val="32"/>
          <w:lang w:val="en-US" w:eastAsia="zh-CN"/>
        </w:rPr>
        <w:t>广西国立工程咨询</w:t>
      </w:r>
      <w:r>
        <w:rPr>
          <w:rFonts w:hint="eastAsia" w:ascii="宋体" w:hAnsi="宋体" w:eastAsia="宋体" w:cs="宋体"/>
          <w:b/>
          <w:bCs/>
          <w:color w:val="000000"/>
          <w:sz w:val="32"/>
          <w:szCs w:val="32"/>
          <w:lang w:eastAsia="zh-CN"/>
        </w:rPr>
        <w:t>有限公司</w:t>
      </w:r>
    </w:p>
    <w:p w14:paraId="77DFF633">
      <w:pPr>
        <w:jc w:val="center"/>
        <w:rPr>
          <w:rFonts w:hint="eastAsia" w:ascii="宋体" w:hAnsi="宋体" w:eastAsia="宋体" w:cs="宋体"/>
          <w:b/>
          <w:bCs/>
          <w:color w:val="000000"/>
          <w:w w:val="95"/>
          <w:sz w:val="32"/>
          <w:szCs w:val="32"/>
          <w:lang w:val="en-US" w:eastAsia="zh-CN"/>
        </w:rPr>
      </w:pPr>
      <w:r>
        <w:rPr>
          <w:rFonts w:hint="eastAsia" w:ascii="宋体" w:hAnsi="宋体" w:eastAsia="宋体" w:cs="宋体"/>
          <w:b/>
          <w:bCs/>
          <w:color w:val="000000"/>
          <w:w w:val="95"/>
          <w:sz w:val="32"/>
          <w:szCs w:val="32"/>
          <w:lang w:val="en-US" w:eastAsia="zh-CN"/>
        </w:rPr>
        <w:t>2025年</w:t>
      </w:r>
      <w:r>
        <w:rPr>
          <w:rFonts w:hint="eastAsia" w:ascii="宋体" w:hAnsi="宋体" w:cs="宋体"/>
          <w:b/>
          <w:bCs/>
          <w:color w:val="000000"/>
          <w:w w:val="95"/>
          <w:sz w:val="32"/>
          <w:szCs w:val="32"/>
          <w:lang w:val="en-US" w:eastAsia="zh-CN"/>
        </w:rPr>
        <w:t>8</w:t>
      </w:r>
      <w:r>
        <w:rPr>
          <w:rFonts w:hint="eastAsia" w:ascii="宋体" w:hAnsi="宋体" w:eastAsia="宋体" w:cs="宋体"/>
          <w:b/>
          <w:bCs/>
          <w:color w:val="000000"/>
          <w:w w:val="95"/>
          <w:sz w:val="32"/>
          <w:szCs w:val="32"/>
          <w:lang w:val="en-US" w:eastAsia="zh-CN"/>
        </w:rPr>
        <w:t>月</w:t>
      </w:r>
    </w:p>
    <w:p w14:paraId="42FA9026">
      <w:pPr>
        <w:spacing w:line="360" w:lineRule="auto"/>
        <w:jc w:val="center"/>
        <w:rPr>
          <w:rFonts w:hint="eastAsia" w:ascii="宋体" w:hAnsi="宋体" w:eastAsia="宋体" w:cs="宋体"/>
          <w:b/>
          <w:color w:val="000000"/>
          <w:sz w:val="32"/>
          <w:szCs w:val="32"/>
        </w:rPr>
        <w:sectPr>
          <w:footerReference r:id="rId3" w:type="default"/>
          <w:pgSz w:w="11907" w:h="16840"/>
          <w:pgMar w:top="1418" w:right="1134" w:bottom="1134" w:left="1134" w:header="851" w:footer="851" w:gutter="0"/>
          <w:pgNumType w:start="0"/>
          <w:cols w:space="720" w:num="1"/>
          <w:titlePg/>
          <w:docGrid w:linePitch="312" w:charSpace="0"/>
        </w:sectPr>
      </w:pPr>
    </w:p>
    <w:p w14:paraId="57D84158">
      <w:pPr>
        <w:spacing w:line="360" w:lineRule="auto"/>
        <w:jc w:val="center"/>
        <w:rPr>
          <w:rFonts w:hint="eastAsia" w:ascii="宋体" w:hAnsi="宋体" w:eastAsia="宋体" w:cs="宋体"/>
          <w:b/>
          <w:color w:val="000000"/>
          <w:sz w:val="24"/>
          <w:szCs w:val="24"/>
        </w:rPr>
      </w:pPr>
    </w:p>
    <w:p w14:paraId="2F5C5179">
      <w:pPr>
        <w:pStyle w:val="43"/>
        <w:rPr>
          <w:rFonts w:hint="eastAsia" w:ascii="宋体" w:hAnsi="宋体" w:eastAsia="宋体" w:cs="宋体"/>
          <w:b/>
          <w:bCs/>
          <w:sz w:val="52"/>
          <w:szCs w:val="52"/>
        </w:rPr>
      </w:pPr>
      <w:r>
        <w:rPr>
          <w:rFonts w:hint="eastAsia" w:ascii="宋体" w:hAnsi="宋体" w:eastAsia="宋体" w:cs="宋体"/>
          <w:b/>
          <w:bCs/>
          <w:sz w:val="52"/>
          <w:szCs w:val="52"/>
        </w:rPr>
        <w:t>目   录</w:t>
      </w:r>
    </w:p>
    <w:p w14:paraId="37114605">
      <w:pPr>
        <w:pStyle w:val="5"/>
        <w:tabs>
          <w:tab w:val="right" w:leader="dot" w:pos="9639"/>
          <w:tab w:val="clear" w:pos="8450"/>
        </w:tabs>
        <w:spacing w:line="360" w:lineRule="auto"/>
        <w:outlineLvl w:val="0"/>
        <w:rPr>
          <w:rFonts w:hint="eastAsia" w:ascii="宋体" w:hAnsi="宋体" w:eastAsia="宋体" w:cs="宋体"/>
          <w:b/>
          <w:bCs/>
          <w:color w:val="000000"/>
          <w:sz w:val="30"/>
          <w:szCs w:val="30"/>
        </w:rPr>
      </w:pPr>
      <w:r>
        <w:rPr>
          <w:rFonts w:hint="eastAsia" w:ascii="宋体" w:hAnsi="宋体" w:eastAsia="宋体" w:cs="宋体"/>
          <w:b/>
          <w:bCs/>
          <w:color w:val="000000"/>
          <w:sz w:val="30"/>
          <w:szCs w:val="30"/>
        </w:rPr>
        <w:fldChar w:fldCharType="begin"/>
      </w:r>
      <w:r>
        <w:rPr>
          <w:rFonts w:hint="eastAsia" w:ascii="宋体" w:hAnsi="宋体" w:eastAsia="宋体" w:cs="宋体"/>
          <w:b/>
          <w:bCs/>
          <w:color w:val="000000"/>
          <w:sz w:val="30"/>
          <w:szCs w:val="30"/>
        </w:rPr>
        <w:instrText xml:space="preserve"> TOC \o "1-3" \h \z \u </w:instrText>
      </w:r>
      <w:r>
        <w:rPr>
          <w:rFonts w:hint="eastAsia" w:ascii="宋体" w:hAnsi="宋体" w:eastAsia="宋体" w:cs="宋体"/>
          <w:b/>
          <w:bCs/>
          <w:color w:val="000000"/>
          <w:sz w:val="30"/>
          <w:szCs w:val="30"/>
        </w:rPr>
        <w:fldChar w:fldCharType="separate"/>
      </w:r>
      <w:r>
        <w:rPr>
          <w:rFonts w:hint="eastAsia" w:ascii="宋体" w:hAnsi="宋体" w:eastAsia="宋体" w:cs="宋体"/>
          <w:b/>
          <w:bCs/>
          <w:color w:val="000000"/>
          <w:sz w:val="30"/>
          <w:szCs w:val="30"/>
        </w:rPr>
        <w:fldChar w:fldCharType="begin"/>
      </w:r>
      <w:r>
        <w:rPr>
          <w:rFonts w:hint="eastAsia" w:ascii="宋体" w:hAnsi="宋体" w:eastAsia="宋体" w:cs="宋体"/>
          <w:b/>
          <w:bCs/>
          <w:color w:val="000000"/>
          <w:sz w:val="30"/>
          <w:szCs w:val="30"/>
        </w:rPr>
        <w:instrText xml:space="preserve"> HYPERLINK \l _Toc19824 </w:instrText>
      </w:r>
      <w:r>
        <w:rPr>
          <w:rFonts w:hint="eastAsia" w:ascii="宋体" w:hAnsi="宋体" w:eastAsia="宋体" w:cs="宋体"/>
          <w:b/>
          <w:bCs/>
          <w:color w:val="000000"/>
          <w:sz w:val="30"/>
          <w:szCs w:val="30"/>
        </w:rPr>
        <w:fldChar w:fldCharType="separate"/>
      </w:r>
      <w:r>
        <w:rPr>
          <w:rFonts w:hint="eastAsia" w:ascii="宋体" w:hAnsi="宋体" w:eastAsia="宋体" w:cs="宋体"/>
          <w:b/>
          <w:bCs/>
          <w:color w:val="000000"/>
          <w:sz w:val="30"/>
          <w:szCs w:val="30"/>
        </w:rPr>
        <w:t xml:space="preserve">第一章 </w:t>
      </w:r>
      <w:r>
        <w:rPr>
          <w:rFonts w:hint="eastAsia" w:ascii="宋体" w:hAnsi="宋体" w:eastAsia="宋体" w:cs="宋体"/>
          <w:b/>
          <w:bCs/>
          <w:color w:val="000000"/>
          <w:sz w:val="30"/>
          <w:szCs w:val="30"/>
          <w:lang w:val="en-US" w:eastAsia="zh-CN"/>
        </w:rPr>
        <w:t xml:space="preserve"> </w:t>
      </w:r>
      <w:r>
        <w:rPr>
          <w:rFonts w:hint="eastAsia" w:ascii="宋体" w:hAnsi="宋体" w:eastAsia="宋体" w:cs="宋体"/>
          <w:b/>
          <w:bCs/>
          <w:color w:val="000000"/>
          <w:sz w:val="30"/>
          <w:szCs w:val="30"/>
        </w:rPr>
        <w:t>竞争性磋商公告</w:t>
      </w:r>
      <w:r>
        <w:rPr>
          <w:rFonts w:hint="eastAsia" w:ascii="宋体" w:hAnsi="宋体" w:eastAsia="宋体" w:cs="宋体"/>
          <w:b/>
          <w:bCs/>
          <w:color w:val="000000"/>
          <w:sz w:val="30"/>
          <w:szCs w:val="30"/>
        </w:rPr>
        <w:tab/>
      </w:r>
      <w:r>
        <w:rPr>
          <w:rFonts w:hint="eastAsia" w:ascii="宋体" w:hAnsi="宋体" w:cs="宋体"/>
          <w:b/>
          <w:bCs/>
          <w:color w:val="000000"/>
          <w:sz w:val="30"/>
          <w:szCs w:val="30"/>
          <w:lang w:val="en-US" w:eastAsia="zh-CN"/>
        </w:rPr>
        <w:t>1</w:t>
      </w:r>
      <w:r>
        <w:rPr>
          <w:rFonts w:hint="eastAsia" w:ascii="宋体" w:hAnsi="宋体" w:eastAsia="宋体" w:cs="宋体"/>
          <w:b/>
          <w:bCs/>
          <w:color w:val="000000"/>
          <w:sz w:val="30"/>
          <w:szCs w:val="30"/>
        </w:rPr>
        <w:fldChar w:fldCharType="end"/>
      </w:r>
    </w:p>
    <w:p w14:paraId="7F584E11">
      <w:pPr>
        <w:pStyle w:val="5"/>
        <w:tabs>
          <w:tab w:val="right" w:leader="dot" w:pos="9639"/>
          <w:tab w:val="clear" w:pos="8450"/>
        </w:tabs>
        <w:spacing w:line="360" w:lineRule="auto"/>
        <w:rPr>
          <w:rFonts w:hint="eastAsia" w:ascii="宋体" w:hAnsi="宋体" w:eastAsia="宋体" w:cs="宋体"/>
          <w:b/>
          <w:bCs/>
          <w:color w:val="000000"/>
          <w:sz w:val="30"/>
          <w:szCs w:val="30"/>
        </w:rPr>
      </w:pPr>
      <w:r>
        <w:rPr>
          <w:rFonts w:hint="eastAsia" w:ascii="宋体" w:hAnsi="宋体" w:eastAsia="宋体" w:cs="宋体"/>
          <w:b/>
          <w:bCs/>
          <w:color w:val="000000"/>
          <w:sz w:val="30"/>
          <w:szCs w:val="30"/>
        </w:rPr>
        <w:fldChar w:fldCharType="begin"/>
      </w:r>
      <w:r>
        <w:rPr>
          <w:rFonts w:hint="eastAsia" w:ascii="宋体" w:hAnsi="宋体" w:eastAsia="宋体" w:cs="宋体"/>
          <w:b/>
          <w:bCs/>
          <w:color w:val="000000"/>
          <w:sz w:val="30"/>
          <w:szCs w:val="30"/>
        </w:rPr>
        <w:instrText xml:space="preserve"> HYPERLINK \l _Toc1467 </w:instrText>
      </w:r>
      <w:r>
        <w:rPr>
          <w:rFonts w:hint="eastAsia" w:ascii="宋体" w:hAnsi="宋体" w:eastAsia="宋体" w:cs="宋体"/>
          <w:b/>
          <w:bCs/>
          <w:color w:val="000000"/>
          <w:sz w:val="30"/>
          <w:szCs w:val="30"/>
        </w:rPr>
        <w:fldChar w:fldCharType="separate"/>
      </w:r>
      <w:r>
        <w:rPr>
          <w:rFonts w:hint="eastAsia" w:ascii="宋体" w:hAnsi="宋体" w:eastAsia="宋体" w:cs="宋体"/>
          <w:b/>
          <w:bCs/>
          <w:color w:val="000000"/>
          <w:sz w:val="30"/>
          <w:szCs w:val="30"/>
        </w:rPr>
        <w:t xml:space="preserve">第二章 </w:t>
      </w:r>
      <w:r>
        <w:rPr>
          <w:rFonts w:hint="eastAsia" w:ascii="宋体" w:hAnsi="宋体" w:eastAsia="宋体" w:cs="宋体"/>
          <w:b/>
          <w:bCs/>
          <w:color w:val="000000"/>
          <w:sz w:val="30"/>
          <w:szCs w:val="30"/>
          <w:lang w:val="en-US" w:eastAsia="zh-CN"/>
        </w:rPr>
        <w:t xml:space="preserve"> </w:t>
      </w:r>
      <w:r>
        <w:rPr>
          <w:rFonts w:hint="eastAsia" w:ascii="宋体" w:hAnsi="宋体" w:eastAsia="宋体" w:cs="宋体"/>
          <w:b/>
          <w:bCs/>
          <w:color w:val="000000"/>
          <w:sz w:val="30"/>
          <w:szCs w:val="30"/>
        </w:rPr>
        <w:t>磋商须知</w:t>
      </w:r>
      <w:r>
        <w:rPr>
          <w:rFonts w:hint="eastAsia" w:ascii="宋体" w:hAnsi="宋体" w:eastAsia="宋体" w:cs="宋体"/>
          <w:b/>
          <w:bCs/>
          <w:color w:val="000000"/>
          <w:sz w:val="30"/>
          <w:szCs w:val="30"/>
        </w:rPr>
        <w:tab/>
      </w:r>
      <w:r>
        <w:rPr>
          <w:rFonts w:hint="eastAsia" w:ascii="宋体" w:hAnsi="宋体" w:cs="宋体"/>
          <w:b/>
          <w:bCs/>
          <w:color w:val="000000"/>
          <w:sz w:val="30"/>
          <w:szCs w:val="30"/>
          <w:lang w:val="en-US" w:eastAsia="zh-CN"/>
        </w:rPr>
        <w:t>4</w:t>
      </w:r>
      <w:r>
        <w:rPr>
          <w:rFonts w:hint="eastAsia" w:ascii="宋体" w:hAnsi="宋体" w:eastAsia="宋体" w:cs="宋体"/>
          <w:b/>
          <w:bCs/>
          <w:color w:val="000000"/>
          <w:sz w:val="30"/>
          <w:szCs w:val="30"/>
        </w:rPr>
        <w:fldChar w:fldCharType="end"/>
      </w:r>
    </w:p>
    <w:p w14:paraId="46A88E86">
      <w:pPr>
        <w:pStyle w:val="5"/>
        <w:tabs>
          <w:tab w:val="right" w:leader="dot" w:pos="9639"/>
          <w:tab w:val="clear" w:pos="8450"/>
        </w:tabs>
        <w:spacing w:line="360" w:lineRule="auto"/>
        <w:rPr>
          <w:rFonts w:hint="eastAsia" w:ascii="宋体" w:hAnsi="宋体" w:eastAsia="宋体" w:cs="宋体"/>
          <w:b/>
          <w:bCs/>
          <w:color w:val="000000"/>
          <w:sz w:val="30"/>
          <w:szCs w:val="30"/>
          <w:lang w:val="en-US" w:eastAsia="zh-CN"/>
        </w:rPr>
      </w:pPr>
      <w:r>
        <w:rPr>
          <w:rFonts w:hint="eastAsia" w:ascii="宋体" w:hAnsi="宋体" w:eastAsia="宋体" w:cs="宋体"/>
          <w:b/>
          <w:bCs/>
          <w:color w:val="000000"/>
          <w:sz w:val="30"/>
          <w:szCs w:val="30"/>
        </w:rPr>
        <w:fldChar w:fldCharType="begin"/>
      </w:r>
      <w:r>
        <w:rPr>
          <w:rFonts w:hint="eastAsia" w:ascii="宋体" w:hAnsi="宋体" w:eastAsia="宋体" w:cs="宋体"/>
          <w:b/>
          <w:bCs/>
          <w:color w:val="000000"/>
          <w:sz w:val="30"/>
          <w:szCs w:val="30"/>
        </w:rPr>
        <w:instrText xml:space="preserve"> HYPERLINK \l _Toc12144 </w:instrText>
      </w:r>
      <w:r>
        <w:rPr>
          <w:rFonts w:hint="eastAsia" w:ascii="宋体" w:hAnsi="宋体" w:eastAsia="宋体" w:cs="宋体"/>
          <w:b/>
          <w:bCs/>
          <w:color w:val="000000"/>
          <w:sz w:val="30"/>
          <w:szCs w:val="30"/>
        </w:rPr>
        <w:fldChar w:fldCharType="separate"/>
      </w:r>
      <w:r>
        <w:rPr>
          <w:rFonts w:hint="eastAsia" w:ascii="宋体" w:hAnsi="宋体" w:eastAsia="宋体" w:cs="宋体"/>
          <w:b/>
          <w:bCs/>
          <w:color w:val="000000"/>
          <w:sz w:val="30"/>
          <w:szCs w:val="30"/>
        </w:rPr>
        <w:t xml:space="preserve">第三章 </w:t>
      </w:r>
      <w:r>
        <w:rPr>
          <w:rFonts w:hint="eastAsia" w:ascii="宋体" w:hAnsi="宋体" w:eastAsia="宋体" w:cs="宋体"/>
          <w:b/>
          <w:bCs/>
          <w:color w:val="000000"/>
          <w:sz w:val="30"/>
          <w:szCs w:val="30"/>
          <w:lang w:val="en-US" w:eastAsia="zh-CN"/>
        </w:rPr>
        <w:t xml:space="preserve"> </w:t>
      </w:r>
      <w:r>
        <w:rPr>
          <w:rFonts w:hint="eastAsia" w:ascii="宋体" w:hAnsi="宋体" w:eastAsia="宋体" w:cs="宋体"/>
          <w:b/>
          <w:bCs/>
          <w:color w:val="000000"/>
          <w:sz w:val="30"/>
          <w:szCs w:val="30"/>
        </w:rPr>
        <w:t>评审方法及定标标准</w:t>
      </w:r>
      <w:r>
        <w:rPr>
          <w:rFonts w:hint="eastAsia" w:ascii="宋体" w:hAnsi="宋体" w:eastAsia="宋体" w:cs="宋体"/>
          <w:b/>
          <w:bCs/>
          <w:color w:val="000000"/>
          <w:sz w:val="30"/>
          <w:szCs w:val="30"/>
        </w:rPr>
        <w:tab/>
      </w:r>
      <w:r>
        <w:rPr>
          <w:rFonts w:hint="eastAsia" w:ascii="宋体" w:hAnsi="宋体" w:cs="宋体"/>
          <w:b/>
          <w:bCs/>
          <w:color w:val="000000"/>
          <w:sz w:val="30"/>
          <w:szCs w:val="30"/>
          <w:lang w:val="en-US" w:eastAsia="zh-CN"/>
        </w:rPr>
        <w:t>2</w:t>
      </w:r>
      <w:r>
        <w:rPr>
          <w:rFonts w:hint="eastAsia" w:ascii="宋体" w:hAnsi="宋体" w:eastAsia="宋体" w:cs="宋体"/>
          <w:b/>
          <w:bCs/>
          <w:color w:val="000000"/>
          <w:sz w:val="30"/>
          <w:szCs w:val="30"/>
        </w:rPr>
        <w:fldChar w:fldCharType="end"/>
      </w:r>
      <w:r>
        <w:rPr>
          <w:rFonts w:hint="eastAsia" w:ascii="宋体" w:hAnsi="宋体" w:cs="宋体"/>
          <w:b/>
          <w:bCs/>
          <w:color w:val="000000"/>
          <w:sz w:val="30"/>
          <w:szCs w:val="30"/>
          <w:lang w:val="en-US" w:eastAsia="zh-CN"/>
        </w:rPr>
        <w:t>2</w:t>
      </w:r>
    </w:p>
    <w:p w14:paraId="1815CABE">
      <w:pPr>
        <w:pStyle w:val="5"/>
        <w:tabs>
          <w:tab w:val="right" w:leader="dot" w:pos="9639"/>
          <w:tab w:val="clear" w:pos="8450"/>
        </w:tabs>
        <w:spacing w:line="360" w:lineRule="auto"/>
        <w:rPr>
          <w:rFonts w:hint="eastAsia" w:ascii="宋体" w:hAnsi="宋体" w:eastAsia="宋体" w:cs="宋体"/>
          <w:b/>
          <w:bCs/>
          <w:color w:val="000000"/>
          <w:sz w:val="30"/>
          <w:szCs w:val="30"/>
          <w:lang w:val="en-US" w:eastAsia="zh-CN"/>
        </w:rPr>
      </w:pPr>
      <w:r>
        <w:rPr>
          <w:rFonts w:hint="eastAsia" w:ascii="宋体" w:hAnsi="宋体" w:eastAsia="宋体" w:cs="宋体"/>
          <w:b/>
          <w:bCs/>
          <w:color w:val="000000"/>
          <w:sz w:val="30"/>
          <w:szCs w:val="30"/>
        </w:rPr>
        <w:fldChar w:fldCharType="begin"/>
      </w:r>
      <w:r>
        <w:rPr>
          <w:rFonts w:hint="eastAsia" w:ascii="宋体" w:hAnsi="宋体" w:eastAsia="宋体" w:cs="宋体"/>
          <w:b/>
          <w:bCs/>
          <w:color w:val="000000"/>
          <w:sz w:val="30"/>
          <w:szCs w:val="30"/>
        </w:rPr>
        <w:instrText xml:space="preserve"> HYPERLINK \l _Toc30146 </w:instrText>
      </w:r>
      <w:r>
        <w:rPr>
          <w:rFonts w:hint="eastAsia" w:ascii="宋体" w:hAnsi="宋体" w:eastAsia="宋体" w:cs="宋体"/>
          <w:b/>
          <w:bCs/>
          <w:color w:val="000000"/>
          <w:sz w:val="30"/>
          <w:szCs w:val="30"/>
        </w:rPr>
        <w:fldChar w:fldCharType="separate"/>
      </w:r>
      <w:r>
        <w:rPr>
          <w:rFonts w:hint="eastAsia" w:ascii="宋体" w:hAnsi="宋体" w:eastAsia="宋体" w:cs="宋体"/>
          <w:b/>
          <w:bCs/>
          <w:color w:val="000000"/>
          <w:sz w:val="30"/>
          <w:szCs w:val="30"/>
        </w:rPr>
        <w:t>第四章</w:t>
      </w:r>
      <w:r>
        <w:rPr>
          <w:rFonts w:hint="eastAsia" w:ascii="宋体" w:hAnsi="宋体" w:eastAsia="宋体" w:cs="宋体"/>
          <w:b/>
          <w:bCs/>
          <w:color w:val="000000"/>
          <w:sz w:val="30"/>
          <w:szCs w:val="30"/>
          <w:lang w:val="en-US" w:eastAsia="zh-CN"/>
        </w:rPr>
        <w:t xml:space="preserve"> </w:t>
      </w:r>
      <w:r>
        <w:rPr>
          <w:rFonts w:hint="eastAsia" w:ascii="宋体" w:hAnsi="宋体" w:eastAsia="宋体" w:cs="宋体"/>
          <w:b/>
          <w:bCs/>
          <w:color w:val="000000"/>
          <w:sz w:val="30"/>
          <w:szCs w:val="30"/>
        </w:rPr>
        <w:t xml:space="preserve"> 工程量清单</w:t>
      </w:r>
      <w:r>
        <w:rPr>
          <w:rFonts w:hint="eastAsia" w:ascii="宋体" w:hAnsi="宋体" w:eastAsia="宋体" w:cs="宋体"/>
          <w:b/>
          <w:bCs/>
          <w:color w:val="000000"/>
          <w:sz w:val="30"/>
          <w:szCs w:val="30"/>
        </w:rPr>
        <w:tab/>
      </w:r>
      <w:r>
        <w:rPr>
          <w:rFonts w:hint="eastAsia" w:ascii="宋体" w:hAnsi="宋体" w:eastAsia="宋体" w:cs="宋体"/>
          <w:b/>
          <w:bCs/>
          <w:color w:val="000000"/>
          <w:sz w:val="30"/>
          <w:szCs w:val="30"/>
          <w:lang w:val="en-US" w:eastAsia="zh-CN"/>
        </w:rPr>
        <w:t>2</w:t>
      </w:r>
      <w:r>
        <w:rPr>
          <w:rFonts w:hint="eastAsia" w:ascii="宋体" w:hAnsi="宋体" w:eastAsia="宋体" w:cs="宋体"/>
          <w:b/>
          <w:bCs/>
          <w:color w:val="000000"/>
          <w:sz w:val="30"/>
          <w:szCs w:val="30"/>
        </w:rPr>
        <w:fldChar w:fldCharType="end"/>
      </w:r>
      <w:r>
        <w:rPr>
          <w:rFonts w:hint="eastAsia" w:ascii="宋体" w:hAnsi="宋体" w:cs="宋体"/>
          <w:b/>
          <w:bCs/>
          <w:color w:val="000000"/>
          <w:sz w:val="30"/>
          <w:szCs w:val="30"/>
          <w:lang w:val="en-US" w:eastAsia="zh-CN"/>
        </w:rPr>
        <w:t>8</w:t>
      </w:r>
    </w:p>
    <w:p w14:paraId="10466DF8">
      <w:pPr>
        <w:pStyle w:val="5"/>
        <w:tabs>
          <w:tab w:val="right" w:leader="dot" w:pos="9639"/>
          <w:tab w:val="clear" w:pos="8450"/>
        </w:tabs>
        <w:spacing w:line="360" w:lineRule="auto"/>
        <w:rPr>
          <w:rFonts w:hint="eastAsia" w:ascii="宋体" w:hAnsi="宋体" w:eastAsia="宋体" w:cs="宋体"/>
          <w:b/>
          <w:bCs/>
          <w:color w:val="000000"/>
          <w:sz w:val="30"/>
          <w:szCs w:val="30"/>
          <w:lang w:val="en-US" w:eastAsia="zh-CN"/>
        </w:rPr>
      </w:pPr>
      <w:r>
        <w:rPr>
          <w:rFonts w:hint="eastAsia" w:ascii="宋体" w:hAnsi="宋体" w:eastAsia="宋体" w:cs="宋体"/>
          <w:b/>
          <w:bCs/>
          <w:color w:val="000000"/>
          <w:sz w:val="30"/>
          <w:szCs w:val="30"/>
        </w:rPr>
        <w:fldChar w:fldCharType="begin"/>
      </w:r>
      <w:r>
        <w:rPr>
          <w:rFonts w:hint="eastAsia" w:ascii="宋体" w:hAnsi="宋体" w:eastAsia="宋体" w:cs="宋体"/>
          <w:b/>
          <w:bCs/>
          <w:color w:val="000000"/>
          <w:sz w:val="30"/>
          <w:szCs w:val="30"/>
        </w:rPr>
        <w:instrText xml:space="preserve"> HYPERLINK \l _Toc23497 </w:instrText>
      </w:r>
      <w:r>
        <w:rPr>
          <w:rFonts w:hint="eastAsia" w:ascii="宋体" w:hAnsi="宋体" w:eastAsia="宋体" w:cs="宋体"/>
          <w:b/>
          <w:bCs/>
          <w:color w:val="000000"/>
          <w:sz w:val="30"/>
          <w:szCs w:val="30"/>
        </w:rPr>
        <w:fldChar w:fldCharType="separate"/>
      </w:r>
      <w:r>
        <w:rPr>
          <w:rFonts w:hint="eastAsia" w:ascii="宋体" w:hAnsi="宋体" w:eastAsia="宋体" w:cs="宋体"/>
          <w:b/>
          <w:bCs/>
          <w:color w:val="000000"/>
          <w:sz w:val="30"/>
          <w:szCs w:val="30"/>
        </w:rPr>
        <w:t>第五章  图纸</w:t>
      </w:r>
      <w:r>
        <w:rPr>
          <w:rFonts w:hint="eastAsia" w:ascii="宋体" w:hAnsi="宋体" w:eastAsia="宋体" w:cs="宋体"/>
          <w:b/>
          <w:bCs/>
          <w:color w:val="000000"/>
          <w:sz w:val="30"/>
          <w:szCs w:val="30"/>
        </w:rPr>
        <w:tab/>
      </w:r>
      <w:r>
        <w:rPr>
          <w:rFonts w:hint="eastAsia" w:ascii="宋体" w:hAnsi="宋体" w:cs="宋体"/>
          <w:b/>
          <w:bCs/>
          <w:color w:val="000000"/>
          <w:sz w:val="30"/>
          <w:szCs w:val="30"/>
          <w:lang w:val="en-US" w:eastAsia="zh-CN"/>
        </w:rPr>
        <w:t>2</w:t>
      </w:r>
      <w:r>
        <w:rPr>
          <w:rFonts w:hint="eastAsia" w:ascii="宋体" w:hAnsi="宋体" w:eastAsia="宋体" w:cs="宋体"/>
          <w:b/>
          <w:bCs/>
          <w:color w:val="000000"/>
          <w:sz w:val="30"/>
          <w:szCs w:val="30"/>
        </w:rPr>
        <w:fldChar w:fldCharType="end"/>
      </w:r>
      <w:r>
        <w:rPr>
          <w:rFonts w:hint="eastAsia" w:ascii="宋体" w:hAnsi="宋体" w:cs="宋体"/>
          <w:b/>
          <w:bCs/>
          <w:color w:val="000000"/>
          <w:sz w:val="30"/>
          <w:szCs w:val="30"/>
          <w:lang w:val="en-US" w:eastAsia="zh-CN"/>
        </w:rPr>
        <w:t>9</w:t>
      </w:r>
    </w:p>
    <w:p w14:paraId="55675527">
      <w:pPr>
        <w:pStyle w:val="5"/>
        <w:tabs>
          <w:tab w:val="right" w:leader="dot" w:pos="9639"/>
          <w:tab w:val="clear" w:pos="8450"/>
        </w:tabs>
        <w:spacing w:line="360" w:lineRule="auto"/>
        <w:rPr>
          <w:rFonts w:hint="eastAsia" w:ascii="宋体" w:hAnsi="宋体" w:eastAsia="宋体" w:cs="宋体"/>
          <w:b/>
          <w:bCs/>
          <w:color w:val="000000"/>
          <w:sz w:val="30"/>
          <w:szCs w:val="30"/>
          <w:lang w:val="en-US" w:eastAsia="zh-CN"/>
        </w:rPr>
      </w:pPr>
      <w:r>
        <w:rPr>
          <w:rFonts w:hint="eastAsia" w:ascii="宋体" w:hAnsi="宋体" w:eastAsia="宋体" w:cs="宋体"/>
          <w:b/>
          <w:bCs/>
          <w:color w:val="000000"/>
          <w:sz w:val="30"/>
          <w:szCs w:val="30"/>
        </w:rPr>
        <w:fldChar w:fldCharType="begin"/>
      </w:r>
      <w:r>
        <w:rPr>
          <w:rFonts w:hint="eastAsia" w:ascii="宋体" w:hAnsi="宋体" w:eastAsia="宋体" w:cs="宋体"/>
          <w:b/>
          <w:bCs/>
          <w:color w:val="000000"/>
          <w:sz w:val="30"/>
          <w:szCs w:val="30"/>
        </w:rPr>
        <w:instrText xml:space="preserve"> HYPERLINK \l _Toc9750 </w:instrText>
      </w:r>
      <w:r>
        <w:rPr>
          <w:rFonts w:hint="eastAsia" w:ascii="宋体" w:hAnsi="宋体" w:eastAsia="宋体" w:cs="宋体"/>
          <w:b/>
          <w:bCs/>
          <w:color w:val="000000"/>
          <w:sz w:val="30"/>
          <w:szCs w:val="30"/>
        </w:rPr>
        <w:fldChar w:fldCharType="separate"/>
      </w:r>
      <w:r>
        <w:rPr>
          <w:rFonts w:hint="eastAsia" w:ascii="宋体" w:hAnsi="宋体" w:eastAsia="宋体" w:cs="宋体"/>
          <w:b/>
          <w:bCs/>
          <w:color w:val="000000"/>
          <w:sz w:val="30"/>
          <w:szCs w:val="30"/>
        </w:rPr>
        <w:t>第六章  技术标准和要求</w:t>
      </w:r>
      <w:r>
        <w:rPr>
          <w:rFonts w:hint="eastAsia" w:ascii="宋体" w:hAnsi="宋体" w:eastAsia="宋体" w:cs="宋体"/>
          <w:b/>
          <w:bCs/>
          <w:color w:val="000000"/>
          <w:sz w:val="30"/>
          <w:szCs w:val="30"/>
        </w:rPr>
        <w:tab/>
      </w:r>
      <w:r>
        <w:rPr>
          <w:rFonts w:hint="eastAsia" w:ascii="宋体" w:hAnsi="宋体" w:eastAsia="宋体" w:cs="宋体"/>
          <w:b/>
          <w:bCs/>
          <w:color w:val="000000"/>
          <w:sz w:val="30"/>
          <w:szCs w:val="30"/>
          <w:lang w:val="en-US" w:eastAsia="zh-CN"/>
        </w:rPr>
        <w:t>3</w:t>
      </w:r>
      <w:r>
        <w:rPr>
          <w:rFonts w:hint="eastAsia" w:ascii="宋体" w:hAnsi="宋体" w:eastAsia="宋体" w:cs="宋体"/>
          <w:b/>
          <w:bCs/>
          <w:color w:val="000000"/>
          <w:sz w:val="30"/>
          <w:szCs w:val="30"/>
        </w:rPr>
        <w:fldChar w:fldCharType="end"/>
      </w:r>
      <w:r>
        <w:rPr>
          <w:rFonts w:hint="eastAsia" w:ascii="宋体" w:hAnsi="宋体" w:cs="宋体"/>
          <w:b/>
          <w:bCs/>
          <w:color w:val="000000"/>
          <w:sz w:val="30"/>
          <w:szCs w:val="30"/>
          <w:lang w:val="en-US" w:eastAsia="zh-CN"/>
        </w:rPr>
        <w:t>0</w:t>
      </w:r>
    </w:p>
    <w:p w14:paraId="5524D8D4">
      <w:pPr>
        <w:pStyle w:val="5"/>
        <w:tabs>
          <w:tab w:val="right" w:leader="dot" w:pos="9639"/>
          <w:tab w:val="clear" w:pos="8450"/>
        </w:tabs>
        <w:spacing w:line="360" w:lineRule="auto"/>
        <w:rPr>
          <w:rFonts w:hint="eastAsia" w:ascii="宋体" w:hAnsi="宋体" w:eastAsia="宋体" w:cs="宋体"/>
          <w:b/>
          <w:bCs/>
          <w:color w:val="000000"/>
          <w:sz w:val="30"/>
          <w:szCs w:val="30"/>
          <w:lang w:val="en-US" w:eastAsia="zh-CN"/>
        </w:rPr>
      </w:pPr>
      <w:r>
        <w:rPr>
          <w:rFonts w:hint="eastAsia" w:ascii="宋体" w:hAnsi="宋体" w:eastAsia="宋体" w:cs="宋体"/>
          <w:b/>
          <w:bCs/>
          <w:color w:val="000000"/>
          <w:sz w:val="30"/>
          <w:szCs w:val="30"/>
        </w:rPr>
        <w:fldChar w:fldCharType="begin"/>
      </w:r>
      <w:r>
        <w:rPr>
          <w:rFonts w:hint="eastAsia" w:ascii="宋体" w:hAnsi="宋体" w:eastAsia="宋体" w:cs="宋体"/>
          <w:b/>
          <w:bCs/>
          <w:color w:val="000000"/>
          <w:sz w:val="30"/>
          <w:szCs w:val="30"/>
        </w:rPr>
        <w:instrText xml:space="preserve"> HYPERLINK \l _Toc1701 </w:instrText>
      </w:r>
      <w:r>
        <w:rPr>
          <w:rFonts w:hint="eastAsia" w:ascii="宋体" w:hAnsi="宋体" w:eastAsia="宋体" w:cs="宋体"/>
          <w:b/>
          <w:bCs/>
          <w:color w:val="000000"/>
          <w:sz w:val="30"/>
          <w:szCs w:val="30"/>
        </w:rPr>
        <w:fldChar w:fldCharType="separate"/>
      </w:r>
      <w:r>
        <w:rPr>
          <w:rFonts w:hint="eastAsia" w:ascii="宋体" w:hAnsi="宋体" w:eastAsia="宋体" w:cs="宋体"/>
          <w:b/>
          <w:bCs/>
          <w:color w:val="000000"/>
          <w:sz w:val="30"/>
          <w:szCs w:val="30"/>
        </w:rPr>
        <w:t xml:space="preserve">第七章 </w:t>
      </w:r>
      <w:r>
        <w:rPr>
          <w:rFonts w:hint="eastAsia" w:ascii="宋体" w:hAnsi="宋体" w:eastAsia="宋体" w:cs="宋体"/>
          <w:b/>
          <w:bCs/>
          <w:color w:val="000000"/>
          <w:sz w:val="30"/>
          <w:szCs w:val="30"/>
          <w:lang w:val="en-US" w:eastAsia="zh-CN"/>
        </w:rPr>
        <w:t xml:space="preserve"> </w:t>
      </w:r>
      <w:r>
        <w:rPr>
          <w:rFonts w:hint="eastAsia" w:ascii="宋体" w:hAnsi="宋体" w:eastAsia="宋体" w:cs="宋体"/>
          <w:b/>
          <w:bCs/>
          <w:color w:val="000000"/>
          <w:sz w:val="30"/>
          <w:szCs w:val="30"/>
        </w:rPr>
        <w:t>响应文件格式</w:t>
      </w:r>
      <w:r>
        <w:rPr>
          <w:rFonts w:hint="eastAsia" w:ascii="宋体" w:hAnsi="宋体" w:eastAsia="宋体" w:cs="宋体"/>
          <w:b/>
          <w:bCs/>
          <w:color w:val="000000"/>
          <w:sz w:val="30"/>
          <w:szCs w:val="30"/>
        </w:rPr>
        <w:tab/>
      </w:r>
      <w:r>
        <w:rPr>
          <w:rFonts w:hint="eastAsia" w:ascii="宋体" w:hAnsi="宋体" w:eastAsia="宋体" w:cs="宋体"/>
          <w:b/>
          <w:bCs/>
          <w:color w:val="000000"/>
          <w:sz w:val="30"/>
          <w:szCs w:val="30"/>
          <w:lang w:val="en-US" w:eastAsia="zh-CN"/>
        </w:rPr>
        <w:t>3</w:t>
      </w:r>
      <w:r>
        <w:rPr>
          <w:rFonts w:hint="eastAsia" w:ascii="宋体" w:hAnsi="宋体" w:eastAsia="宋体" w:cs="宋体"/>
          <w:b/>
          <w:bCs/>
          <w:color w:val="000000"/>
          <w:sz w:val="30"/>
          <w:szCs w:val="30"/>
        </w:rPr>
        <w:fldChar w:fldCharType="end"/>
      </w:r>
      <w:r>
        <w:rPr>
          <w:rFonts w:hint="eastAsia" w:ascii="宋体" w:hAnsi="宋体" w:cs="宋体"/>
          <w:b/>
          <w:bCs/>
          <w:color w:val="000000"/>
          <w:sz w:val="30"/>
          <w:szCs w:val="30"/>
          <w:lang w:val="en-US" w:eastAsia="zh-CN"/>
        </w:rPr>
        <w:t>1</w:t>
      </w:r>
    </w:p>
    <w:p w14:paraId="06DE1F54">
      <w:pPr>
        <w:pStyle w:val="5"/>
        <w:tabs>
          <w:tab w:val="right" w:leader="dot" w:pos="9639"/>
          <w:tab w:val="clear" w:pos="8450"/>
        </w:tabs>
        <w:spacing w:line="360" w:lineRule="auto"/>
        <w:rPr>
          <w:rFonts w:hint="eastAsia" w:ascii="宋体" w:hAnsi="宋体" w:eastAsia="宋体" w:cs="宋体"/>
          <w:b/>
          <w:bCs/>
          <w:color w:val="000000"/>
          <w:sz w:val="30"/>
          <w:szCs w:val="30"/>
          <w:lang w:val="en-US" w:eastAsia="zh-CN"/>
        </w:rPr>
      </w:pPr>
      <w:r>
        <w:rPr>
          <w:rFonts w:hint="eastAsia" w:ascii="宋体" w:hAnsi="宋体" w:eastAsia="宋体" w:cs="宋体"/>
          <w:b/>
          <w:bCs/>
          <w:color w:val="000000"/>
          <w:sz w:val="30"/>
          <w:szCs w:val="30"/>
        </w:rPr>
        <w:fldChar w:fldCharType="begin"/>
      </w:r>
      <w:r>
        <w:rPr>
          <w:rFonts w:hint="eastAsia" w:ascii="宋体" w:hAnsi="宋体" w:eastAsia="宋体" w:cs="宋体"/>
          <w:b/>
          <w:bCs/>
          <w:color w:val="000000"/>
          <w:sz w:val="30"/>
          <w:szCs w:val="30"/>
        </w:rPr>
        <w:instrText xml:space="preserve"> HYPERLINK \l _Toc29765 </w:instrText>
      </w:r>
      <w:r>
        <w:rPr>
          <w:rFonts w:hint="eastAsia" w:ascii="宋体" w:hAnsi="宋体" w:eastAsia="宋体" w:cs="宋体"/>
          <w:b/>
          <w:bCs/>
          <w:color w:val="000000"/>
          <w:sz w:val="30"/>
          <w:szCs w:val="30"/>
        </w:rPr>
        <w:fldChar w:fldCharType="separate"/>
      </w:r>
      <w:r>
        <w:rPr>
          <w:rFonts w:hint="eastAsia" w:ascii="宋体" w:hAnsi="宋体" w:eastAsia="宋体" w:cs="宋体"/>
          <w:b/>
          <w:bCs/>
          <w:color w:val="000000"/>
          <w:sz w:val="30"/>
          <w:szCs w:val="30"/>
        </w:rPr>
        <w:t>第八章  合同条款及格式</w:t>
      </w:r>
      <w:bookmarkStart w:id="0" w:name="_Hlt58481485"/>
      <w:bookmarkStart w:id="1" w:name="_Hlt58481484"/>
      <w:r>
        <w:rPr>
          <w:rFonts w:hint="eastAsia" w:ascii="宋体" w:hAnsi="宋体" w:eastAsia="宋体" w:cs="宋体"/>
          <w:b/>
          <w:bCs/>
          <w:color w:val="000000"/>
          <w:sz w:val="30"/>
          <w:szCs w:val="30"/>
        </w:rPr>
        <w:tab/>
      </w:r>
      <w:bookmarkEnd w:id="0"/>
      <w:bookmarkEnd w:id="1"/>
      <w:r>
        <w:rPr>
          <w:rFonts w:hint="eastAsia" w:ascii="宋体" w:hAnsi="宋体" w:cs="宋体"/>
          <w:b/>
          <w:bCs/>
          <w:color w:val="000000"/>
          <w:sz w:val="30"/>
          <w:szCs w:val="30"/>
          <w:lang w:val="en-US" w:eastAsia="zh-CN"/>
        </w:rPr>
        <w:t>6</w:t>
      </w:r>
      <w:r>
        <w:rPr>
          <w:rFonts w:hint="eastAsia" w:ascii="宋体" w:hAnsi="宋体" w:eastAsia="宋体" w:cs="宋体"/>
          <w:b/>
          <w:bCs/>
          <w:color w:val="000000"/>
          <w:sz w:val="30"/>
          <w:szCs w:val="30"/>
        </w:rPr>
        <w:fldChar w:fldCharType="end"/>
      </w:r>
      <w:r>
        <w:rPr>
          <w:rFonts w:hint="eastAsia" w:ascii="宋体" w:hAnsi="宋体" w:cs="宋体"/>
          <w:b/>
          <w:bCs/>
          <w:color w:val="000000"/>
          <w:sz w:val="30"/>
          <w:szCs w:val="30"/>
          <w:lang w:val="en-US" w:eastAsia="zh-CN"/>
        </w:rPr>
        <w:t>8</w:t>
      </w:r>
    </w:p>
    <w:p w14:paraId="4D7A0DFD">
      <w:pPr>
        <w:spacing w:line="360" w:lineRule="auto"/>
        <w:jc w:val="left"/>
        <w:rPr>
          <w:rFonts w:hint="eastAsia" w:ascii="宋体" w:hAnsi="宋体" w:eastAsia="宋体" w:cs="宋体"/>
          <w:b/>
          <w:color w:val="000000"/>
          <w:sz w:val="24"/>
          <w:szCs w:val="24"/>
        </w:rPr>
      </w:pPr>
      <w:r>
        <w:rPr>
          <w:rFonts w:hint="eastAsia" w:ascii="宋体" w:hAnsi="宋体" w:eastAsia="宋体" w:cs="宋体"/>
          <w:b/>
          <w:bCs/>
          <w:color w:val="000000"/>
          <w:sz w:val="30"/>
          <w:szCs w:val="30"/>
        </w:rPr>
        <w:fldChar w:fldCharType="end"/>
      </w:r>
    </w:p>
    <w:p w14:paraId="68A9FD16">
      <w:pPr>
        <w:spacing w:line="360" w:lineRule="auto"/>
        <w:jc w:val="left"/>
        <w:rPr>
          <w:rFonts w:hint="eastAsia" w:ascii="宋体" w:hAnsi="宋体" w:eastAsia="宋体" w:cs="宋体"/>
          <w:b/>
          <w:color w:val="000000"/>
          <w:sz w:val="24"/>
          <w:szCs w:val="24"/>
        </w:rPr>
      </w:pPr>
    </w:p>
    <w:p w14:paraId="5E42DFEC">
      <w:pPr>
        <w:spacing w:line="360" w:lineRule="auto"/>
        <w:jc w:val="center"/>
        <w:rPr>
          <w:rFonts w:hint="eastAsia" w:ascii="宋体" w:hAnsi="宋体" w:eastAsia="宋体" w:cs="宋体"/>
          <w:b/>
          <w:color w:val="000000"/>
          <w:sz w:val="24"/>
          <w:szCs w:val="24"/>
        </w:rPr>
      </w:pPr>
    </w:p>
    <w:p w14:paraId="68646B41">
      <w:pPr>
        <w:spacing w:line="360" w:lineRule="auto"/>
        <w:jc w:val="center"/>
        <w:rPr>
          <w:rFonts w:hint="eastAsia" w:ascii="宋体" w:hAnsi="宋体" w:eastAsia="宋体" w:cs="宋体"/>
          <w:b/>
          <w:color w:val="000000"/>
          <w:sz w:val="24"/>
          <w:szCs w:val="24"/>
        </w:rPr>
      </w:pPr>
    </w:p>
    <w:p w14:paraId="40FF6282">
      <w:pPr>
        <w:spacing w:line="360" w:lineRule="auto"/>
        <w:jc w:val="center"/>
        <w:rPr>
          <w:rFonts w:hint="eastAsia" w:ascii="宋体" w:hAnsi="宋体" w:eastAsia="宋体" w:cs="宋体"/>
          <w:b/>
          <w:color w:val="000000"/>
          <w:sz w:val="24"/>
          <w:szCs w:val="24"/>
        </w:rPr>
      </w:pPr>
    </w:p>
    <w:p w14:paraId="0001EFB1">
      <w:pPr>
        <w:spacing w:line="360" w:lineRule="auto"/>
        <w:jc w:val="center"/>
        <w:rPr>
          <w:rFonts w:hint="eastAsia" w:ascii="宋体" w:hAnsi="宋体" w:eastAsia="宋体" w:cs="宋体"/>
          <w:b/>
          <w:color w:val="000000"/>
          <w:sz w:val="24"/>
          <w:szCs w:val="24"/>
        </w:rPr>
      </w:pPr>
    </w:p>
    <w:p w14:paraId="00787E26">
      <w:pPr>
        <w:spacing w:line="360" w:lineRule="auto"/>
        <w:jc w:val="center"/>
        <w:rPr>
          <w:rFonts w:hint="eastAsia" w:ascii="宋体" w:hAnsi="宋体" w:eastAsia="宋体" w:cs="宋体"/>
          <w:b/>
          <w:color w:val="000000"/>
          <w:sz w:val="24"/>
          <w:szCs w:val="24"/>
        </w:rPr>
      </w:pPr>
    </w:p>
    <w:p w14:paraId="4267A150">
      <w:pPr>
        <w:spacing w:line="240" w:lineRule="atLeast"/>
        <w:jc w:val="center"/>
        <w:rPr>
          <w:rFonts w:hint="eastAsia" w:ascii="宋体" w:hAnsi="宋体" w:eastAsia="宋体" w:cs="宋体"/>
          <w:b/>
          <w:color w:val="000000"/>
          <w:sz w:val="24"/>
          <w:szCs w:val="24"/>
        </w:rPr>
        <w:sectPr>
          <w:pgSz w:w="11907" w:h="16840"/>
          <w:pgMar w:top="1418" w:right="1134" w:bottom="1134" w:left="1134" w:header="851" w:footer="851" w:gutter="0"/>
          <w:pgNumType w:start="0"/>
          <w:cols w:space="720" w:num="1"/>
          <w:titlePg/>
          <w:docGrid w:linePitch="312" w:charSpace="0"/>
        </w:sectPr>
      </w:pPr>
    </w:p>
    <w:p w14:paraId="1D22A44B">
      <w:pPr>
        <w:pStyle w:val="44"/>
        <w:numPr>
          <w:ilvl w:val="0"/>
          <w:numId w:val="2"/>
        </w:numPr>
        <w:ind w:left="0" w:leftChars="0" w:firstLine="0" w:firstLineChars="0"/>
        <w:outlineLvl w:val="0"/>
        <w:rPr>
          <w:rFonts w:hint="eastAsia" w:ascii="宋体" w:hAnsi="宋体" w:eastAsia="宋体" w:cs="宋体"/>
          <w:b/>
          <w:bCs/>
          <w:sz w:val="30"/>
          <w:szCs w:val="30"/>
        </w:rPr>
      </w:pPr>
      <w:bookmarkStart w:id="2" w:name="_Toc19824"/>
      <w:r>
        <w:rPr>
          <w:rFonts w:hint="eastAsia" w:ascii="宋体" w:hAnsi="宋体" w:eastAsia="宋体" w:cs="宋体"/>
          <w:b/>
          <w:bCs/>
          <w:sz w:val="30"/>
          <w:szCs w:val="30"/>
        </w:rPr>
        <w:t>竞争性磋商公告</w:t>
      </w:r>
      <w:bookmarkEnd w:id="2"/>
    </w:p>
    <w:p w14:paraId="2FEB20A1">
      <w:pPr>
        <w:pStyle w:val="45"/>
        <w:jc w:val="center"/>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广西国立工程咨询有限公司</w:t>
      </w:r>
      <w:r>
        <w:rPr>
          <w:rFonts w:hint="eastAsia" w:ascii="宋体" w:hAnsi="宋体" w:eastAsia="宋体" w:cs="宋体"/>
          <w:b/>
          <w:bCs/>
          <w:color w:val="auto"/>
          <w:sz w:val="28"/>
          <w:szCs w:val="28"/>
        </w:rPr>
        <w:t>关于</w:t>
      </w:r>
      <w:r>
        <w:rPr>
          <w:rFonts w:hint="eastAsia" w:ascii="宋体" w:hAnsi="宋体" w:eastAsia="宋体" w:cs="宋体"/>
          <w:i w:val="0"/>
          <w:iCs w:val="0"/>
          <w:caps w:val="0"/>
          <w:color w:val="auto"/>
          <w:spacing w:val="0"/>
          <w:sz w:val="28"/>
          <w:szCs w:val="28"/>
          <w:u w:val="none"/>
        </w:rPr>
        <w:fldChar w:fldCharType="begin"/>
      </w:r>
      <w:r>
        <w:rPr>
          <w:rFonts w:hint="eastAsia" w:ascii="宋体" w:hAnsi="宋体" w:eastAsia="宋体" w:cs="宋体"/>
          <w:i w:val="0"/>
          <w:iCs w:val="0"/>
          <w:caps w:val="0"/>
          <w:color w:val="auto"/>
          <w:spacing w:val="0"/>
          <w:sz w:val="28"/>
          <w:szCs w:val="28"/>
          <w:u w:val="none"/>
        </w:rPr>
        <w:instrText xml:space="preserve"> HYPERLINK "https://www.gcy.zfcg.gxzf.gov.cn/project-center/_procurement_/project-detail-router/662138e66ac54375" \t "https://www.gcy.zfcg.gxzf.gov.cn/bid-inviting/_procurement_/purchaseFileMake/_blank" </w:instrText>
      </w:r>
      <w:r>
        <w:rPr>
          <w:rFonts w:hint="eastAsia" w:ascii="宋体" w:hAnsi="宋体" w:eastAsia="宋体" w:cs="宋体"/>
          <w:i w:val="0"/>
          <w:iCs w:val="0"/>
          <w:caps w:val="0"/>
          <w:color w:val="auto"/>
          <w:spacing w:val="0"/>
          <w:sz w:val="28"/>
          <w:szCs w:val="28"/>
          <w:u w:val="none"/>
        </w:rPr>
        <w:fldChar w:fldCharType="separate"/>
      </w:r>
      <w:r>
        <w:rPr>
          <w:rStyle w:val="28"/>
          <w:rFonts w:hint="eastAsia" w:ascii="宋体" w:hAnsi="宋体" w:eastAsia="宋体" w:cs="宋体"/>
          <w:i w:val="0"/>
          <w:iCs w:val="0"/>
          <w:caps w:val="0"/>
          <w:color w:val="auto"/>
          <w:spacing w:val="0"/>
          <w:sz w:val="28"/>
          <w:szCs w:val="28"/>
          <w:u w:val="none"/>
        </w:rPr>
        <w:t>防城港市高级中学教学楼供电改造项目</w:t>
      </w:r>
      <w:r>
        <w:rPr>
          <w:rFonts w:hint="eastAsia" w:ascii="宋体" w:hAnsi="宋体" w:eastAsia="宋体" w:cs="宋体"/>
          <w:i w:val="0"/>
          <w:iCs w:val="0"/>
          <w:caps w:val="0"/>
          <w:color w:val="auto"/>
          <w:spacing w:val="0"/>
          <w:sz w:val="28"/>
          <w:szCs w:val="28"/>
          <w:u w:val="none"/>
        </w:rPr>
        <w:fldChar w:fldCharType="end"/>
      </w:r>
      <w:r>
        <w:rPr>
          <w:rFonts w:hint="eastAsia" w:ascii="宋体" w:hAnsi="宋体" w:eastAsia="宋体" w:cs="宋体"/>
          <w:b/>
          <w:bCs/>
          <w:color w:val="auto"/>
          <w:sz w:val="28"/>
          <w:szCs w:val="28"/>
        </w:rPr>
        <w:t>（项目编号：</w:t>
      </w:r>
      <w:r>
        <w:rPr>
          <w:rFonts w:hint="eastAsia"/>
        </w:rPr>
        <w:t>FCZC2025-C2-990090-GXGL）</w:t>
      </w:r>
      <w:r>
        <w:rPr>
          <w:rFonts w:hint="eastAsia" w:ascii="宋体" w:hAnsi="宋体" w:eastAsia="宋体" w:cs="宋体"/>
          <w:b/>
          <w:bCs/>
          <w:color w:val="auto"/>
          <w:sz w:val="28"/>
          <w:szCs w:val="28"/>
        </w:rPr>
        <w:t>竞争性磋商公告</w:t>
      </w:r>
    </w:p>
    <w:p w14:paraId="4BAADD1E">
      <w:pPr>
        <w:rPr>
          <w:rFonts w:hint="eastAsia" w:ascii="宋体" w:hAnsi="宋体" w:eastAsia="宋体" w:cs="宋体"/>
          <w:color w:val="000000"/>
          <w:sz w:val="24"/>
          <w:szCs w:val="24"/>
        </w:rPr>
      </w:pP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0BD3D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00" w:type="pct"/>
            <w:noWrap w:val="0"/>
            <w:vAlign w:val="top"/>
          </w:tcPr>
          <w:p w14:paraId="33BDB8A7">
            <w:pPr>
              <w:spacing w:line="360" w:lineRule="auto"/>
              <w:rPr>
                <w:rFonts w:hint="eastAsia" w:ascii="宋体" w:hAnsi="宋体" w:eastAsia="宋体" w:cs="宋体"/>
                <w:b/>
                <w:color w:val="auto"/>
                <w:spacing w:val="-2"/>
                <w:sz w:val="24"/>
                <w:szCs w:val="24"/>
              </w:rPr>
            </w:pPr>
            <w:r>
              <w:rPr>
                <w:rFonts w:hint="eastAsia" w:ascii="宋体" w:hAnsi="宋体" w:eastAsia="宋体" w:cs="宋体"/>
                <w:b/>
                <w:color w:val="auto"/>
                <w:spacing w:val="-2"/>
                <w:sz w:val="24"/>
                <w:szCs w:val="24"/>
              </w:rPr>
              <w:t>项目概况</w:t>
            </w:r>
          </w:p>
          <w:p w14:paraId="610EE9C4">
            <w:pPr>
              <w:widowControl/>
              <w:spacing w:line="450" w:lineRule="atLeast"/>
              <w:ind w:firstLine="480" w:firstLineChars="200"/>
              <w:rPr>
                <w:rFonts w:hint="eastAsia" w:ascii="宋体" w:hAnsi="宋体" w:eastAsia="宋体" w:cs="宋体"/>
                <w:color w:val="auto"/>
                <w:sz w:val="24"/>
                <w:szCs w:val="24"/>
              </w:rPr>
            </w:pPr>
            <w:r>
              <w:rPr>
                <w:rFonts w:ascii="微软雅黑" w:hAnsi="微软雅黑" w:eastAsia="微软雅黑" w:cs="微软雅黑"/>
                <w:i w:val="0"/>
                <w:iCs w:val="0"/>
                <w:caps w:val="0"/>
                <w:color w:val="auto"/>
                <w:spacing w:val="0"/>
                <w:sz w:val="24"/>
                <w:szCs w:val="24"/>
                <w:u w:val="none"/>
              </w:rPr>
              <w:fldChar w:fldCharType="begin"/>
            </w:r>
            <w:r>
              <w:rPr>
                <w:rFonts w:ascii="微软雅黑" w:hAnsi="微软雅黑" w:eastAsia="微软雅黑" w:cs="微软雅黑"/>
                <w:i w:val="0"/>
                <w:iCs w:val="0"/>
                <w:caps w:val="0"/>
                <w:color w:val="auto"/>
                <w:spacing w:val="0"/>
                <w:sz w:val="24"/>
                <w:szCs w:val="24"/>
                <w:u w:val="none"/>
              </w:rPr>
              <w:instrText xml:space="preserve"> HYPERLINK "https://www.gcy.zfcg.gxzf.gov.cn/project-center/_procurement_/project-detail-router/662138e66ac54375" \t "https://www.gcy.zfcg.gxzf.gov.cn/bid-inviting/_procurement_/purchaseFileMake/_blank" </w:instrText>
            </w:r>
            <w:r>
              <w:rPr>
                <w:rFonts w:ascii="微软雅黑" w:hAnsi="微软雅黑" w:eastAsia="微软雅黑" w:cs="微软雅黑"/>
                <w:i w:val="0"/>
                <w:iCs w:val="0"/>
                <w:caps w:val="0"/>
                <w:color w:val="auto"/>
                <w:spacing w:val="0"/>
                <w:sz w:val="24"/>
                <w:szCs w:val="24"/>
                <w:u w:val="none"/>
              </w:rPr>
              <w:fldChar w:fldCharType="separate"/>
            </w:r>
            <w:r>
              <w:rPr>
                <w:rStyle w:val="28"/>
                <w:rFonts w:hint="eastAsia" w:ascii="微软雅黑" w:hAnsi="微软雅黑" w:eastAsia="微软雅黑" w:cs="微软雅黑"/>
                <w:i w:val="0"/>
                <w:iCs w:val="0"/>
                <w:caps w:val="0"/>
                <w:color w:val="auto"/>
                <w:spacing w:val="0"/>
                <w:sz w:val="24"/>
                <w:szCs w:val="24"/>
                <w:u w:val="none"/>
              </w:rPr>
              <w:t>防城港市高级中学教学楼供电改造项目</w:t>
            </w:r>
            <w:r>
              <w:rPr>
                <w:rFonts w:hint="eastAsia" w:ascii="微软雅黑" w:hAnsi="微软雅黑" w:eastAsia="微软雅黑" w:cs="微软雅黑"/>
                <w:i w:val="0"/>
                <w:iCs w:val="0"/>
                <w:caps w:val="0"/>
                <w:color w:val="auto"/>
                <w:spacing w:val="0"/>
                <w:sz w:val="24"/>
                <w:szCs w:val="24"/>
                <w:u w:val="none"/>
              </w:rPr>
              <w:fldChar w:fldCharType="end"/>
            </w:r>
            <w:r>
              <w:rPr>
                <w:rFonts w:hint="eastAsia" w:ascii="宋体" w:hAnsi="宋体" w:eastAsia="宋体" w:cs="宋体"/>
                <w:color w:val="auto"/>
                <w:spacing w:val="0"/>
                <w:sz w:val="24"/>
                <w:szCs w:val="24"/>
              </w:rPr>
              <w:t>采购</w:t>
            </w:r>
            <w:r>
              <w:rPr>
                <w:rFonts w:hint="eastAsia" w:ascii="宋体" w:hAnsi="宋体" w:eastAsia="宋体" w:cs="宋体"/>
                <w:color w:val="auto"/>
                <w:spacing w:val="0"/>
                <w:sz w:val="24"/>
                <w:szCs w:val="24"/>
                <w:u w:val="none"/>
              </w:rPr>
              <w:t>的</w:t>
            </w:r>
            <w:r>
              <w:rPr>
                <w:rFonts w:hint="eastAsia" w:ascii="宋体" w:hAnsi="宋体" w:eastAsia="宋体" w:cs="宋体"/>
                <w:bCs/>
                <w:color w:val="auto"/>
                <w:spacing w:val="0"/>
                <w:sz w:val="24"/>
                <w:szCs w:val="24"/>
                <w:u w:val="none"/>
              </w:rPr>
              <w:t>潜在供应商在政采云平台</w:t>
            </w:r>
            <w:r>
              <w:rPr>
                <w:rStyle w:val="28"/>
                <w:rFonts w:hint="eastAsia" w:ascii="宋体" w:hAnsi="宋体" w:eastAsia="宋体" w:cs="宋体"/>
                <w:color w:val="auto"/>
                <w:sz w:val="24"/>
                <w:szCs w:val="24"/>
                <w:u w:val="none"/>
              </w:rPr>
              <w:t>获取采购文件，并于</w:t>
            </w:r>
            <w:r>
              <w:rPr>
                <w:rStyle w:val="28"/>
                <w:rFonts w:hint="eastAsia" w:ascii="宋体" w:hAnsi="宋体" w:eastAsia="宋体" w:cs="宋体"/>
                <w:color w:val="auto"/>
                <w:sz w:val="24"/>
                <w:szCs w:val="24"/>
                <w:u w:val="none"/>
                <w:lang w:val="en-US" w:eastAsia="zh-CN"/>
              </w:rPr>
              <w:t>2025</w:t>
            </w:r>
            <w:r>
              <w:rPr>
                <w:rStyle w:val="28"/>
                <w:rFonts w:hint="eastAsia" w:ascii="宋体" w:hAnsi="宋体" w:eastAsia="宋体" w:cs="宋体"/>
                <w:color w:val="auto"/>
                <w:sz w:val="24"/>
                <w:szCs w:val="24"/>
                <w:u w:val="none"/>
              </w:rPr>
              <w:t>年</w:t>
            </w:r>
            <w:r>
              <w:rPr>
                <w:rStyle w:val="28"/>
                <w:rFonts w:hint="eastAsia" w:ascii="宋体" w:hAnsi="宋体" w:cs="宋体"/>
                <w:color w:val="auto"/>
                <w:sz w:val="24"/>
                <w:szCs w:val="24"/>
                <w:u w:val="none"/>
                <w:lang w:val="en-US" w:eastAsia="zh-CN"/>
              </w:rPr>
              <w:t>8</w:t>
            </w:r>
            <w:r>
              <w:rPr>
                <w:rStyle w:val="28"/>
                <w:rFonts w:hint="eastAsia" w:ascii="宋体" w:hAnsi="宋体" w:eastAsia="宋体" w:cs="宋体"/>
                <w:color w:val="auto"/>
                <w:sz w:val="24"/>
                <w:szCs w:val="24"/>
                <w:u w:val="none"/>
              </w:rPr>
              <w:t>月</w:t>
            </w:r>
            <w:r>
              <w:rPr>
                <w:rFonts w:hint="eastAsia" w:ascii="宋体" w:hAnsi="宋体" w:cs="宋体"/>
                <w:bCs/>
                <w:color w:val="auto"/>
                <w:kern w:val="0"/>
                <w:sz w:val="24"/>
                <w:szCs w:val="24"/>
                <w:u w:val="none"/>
                <w:lang w:val="en-US" w:eastAsia="zh-CN"/>
              </w:rPr>
              <w:t>21</w:t>
            </w:r>
            <w:r>
              <w:rPr>
                <w:rFonts w:hint="eastAsia" w:ascii="宋体" w:hAnsi="宋体" w:eastAsia="宋体" w:cs="宋体"/>
                <w:color w:val="auto"/>
                <w:sz w:val="24"/>
                <w:szCs w:val="24"/>
                <w:u w:val="none"/>
              </w:rPr>
              <w:t>日</w:t>
            </w:r>
            <w:r>
              <w:rPr>
                <w:rFonts w:hint="eastAsia" w:ascii="宋体" w:hAnsi="宋体" w:eastAsia="宋体" w:cs="宋体"/>
                <w:color w:val="auto"/>
                <w:sz w:val="24"/>
                <w:szCs w:val="24"/>
                <w:u w:val="none"/>
                <w:lang w:val="en-US" w:eastAsia="zh-CN"/>
              </w:rPr>
              <w:t>9</w:t>
            </w:r>
            <w:r>
              <w:rPr>
                <w:rFonts w:hint="eastAsia" w:ascii="宋体" w:hAnsi="宋体" w:eastAsia="宋体" w:cs="宋体"/>
                <w:bCs/>
                <w:color w:val="auto"/>
                <w:kern w:val="0"/>
                <w:sz w:val="24"/>
                <w:szCs w:val="24"/>
                <w:u w:val="none"/>
              </w:rPr>
              <w:t>点</w:t>
            </w:r>
            <w:r>
              <w:rPr>
                <w:rFonts w:hint="eastAsia" w:ascii="宋体" w:hAnsi="宋体" w:eastAsia="宋体" w:cs="宋体"/>
                <w:bCs/>
                <w:color w:val="auto"/>
                <w:kern w:val="0"/>
                <w:sz w:val="24"/>
                <w:szCs w:val="24"/>
                <w:u w:val="none"/>
                <w:lang w:val="en-US" w:eastAsia="zh-CN"/>
              </w:rPr>
              <w:t>30</w:t>
            </w:r>
            <w:r>
              <w:rPr>
                <w:rFonts w:hint="eastAsia" w:ascii="宋体" w:hAnsi="宋体" w:eastAsia="宋体" w:cs="宋体"/>
                <w:bCs/>
                <w:color w:val="auto"/>
                <w:kern w:val="0"/>
                <w:sz w:val="24"/>
                <w:szCs w:val="24"/>
                <w:u w:val="none"/>
              </w:rPr>
              <w:t>分</w:t>
            </w:r>
            <w:r>
              <w:rPr>
                <w:rFonts w:hint="eastAsia" w:ascii="宋体" w:hAnsi="宋体" w:eastAsia="宋体" w:cs="宋体"/>
                <w:color w:val="auto"/>
                <w:sz w:val="24"/>
                <w:szCs w:val="24"/>
                <w:u w:val="none"/>
              </w:rPr>
              <w:t>（北京</w:t>
            </w:r>
            <w:r>
              <w:rPr>
                <w:rFonts w:hint="eastAsia" w:ascii="宋体" w:hAnsi="宋体" w:eastAsia="宋体" w:cs="宋体"/>
                <w:color w:val="auto"/>
                <w:sz w:val="24"/>
                <w:szCs w:val="24"/>
              </w:rPr>
              <w:t>时间）前提交响应文件</w:t>
            </w:r>
            <w:r>
              <w:rPr>
                <w:rFonts w:hint="eastAsia" w:ascii="宋体" w:hAnsi="宋体" w:eastAsia="宋体" w:cs="宋体"/>
                <w:color w:val="auto"/>
                <w:spacing w:val="-2"/>
                <w:sz w:val="24"/>
                <w:szCs w:val="24"/>
              </w:rPr>
              <w:t>。</w:t>
            </w:r>
          </w:p>
        </w:tc>
      </w:tr>
    </w:tbl>
    <w:p w14:paraId="27C06EA2">
      <w:pPr>
        <w:rPr>
          <w:rFonts w:hint="eastAsia" w:ascii="宋体" w:hAnsi="宋体" w:eastAsia="宋体" w:cs="宋体"/>
          <w:color w:val="auto"/>
          <w:sz w:val="24"/>
          <w:szCs w:val="24"/>
        </w:rPr>
      </w:pPr>
    </w:p>
    <w:p w14:paraId="3D5AD3DF">
      <w:pPr>
        <w:pStyle w:val="6"/>
        <w:widowControl/>
        <w:numPr>
          <w:ilvl w:val="0"/>
          <w:numId w:val="3"/>
        </w:numPr>
        <w:topLinePunct w:val="0"/>
        <w:ind w:left="210" w:leftChars="0" w:firstLine="0" w:firstLineChars="0"/>
        <w:rPr>
          <w:rFonts w:hint="eastAsia" w:ascii="宋体" w:hAnsi="宋体" w:eastAsia="宋体" w:cs="宋体"/>
          <w:b/>
          <w:sz w:val="24"/>
          <w:szCs w:val="24"/>
        </w:rPr>
      </w:pPr>
      <w:bookmarkStart w:id="3" w:name="_Toc35393621"/>
      <w:bookmarkStart w:id="4" w:name="_Toc35393790"/>
      <w:bookmarkStart w:id="5" w:name="_Toc28359002"/>
      <w:bookmarkStart w:id="6" w:name="_Toc28359079"/>
      <w:bookmarkStart w:id="7" w:name="_Hlk24379207"/>
      <w:r>
        <w:rPr>
          <w:rFonts w:hint="eastAsia" w:ascii="宋体" w:hAnsi="宋体" w:eastAsia="宋体" w:cs="宋体"/>
          <w:color w:val="auto"/>
          <w:sz w:val="24"/>
          <w:szCs w:val="24"/>
        </w:rPr>
        <w:t>项目基本情况</w:t>
      </w:r>
      <w:bookmarkEnd w:id="3"/>
      <w:bookmarkEnd w:id="4"/>
      <w:bookmarkEnd w:id="5"/>
      <w:bookmarkEnd w:id="6"/>
    </w:p>
    <w:p w14:paraId="28D31F02">
      <w:pPr>
        <w:pStyle w:val="4"/>
        <w:widowControl/>
        <w:rPr>
          <w:rFonts w:hint="eastAsia"/>
          <w:sz w:val="24"/>
          <w:szCs w:val="24"/>
        </w:rPr>
      </w:pPr>
      <w:r>
        <w:rPr>
          <w:rFonts w:hint="eastAsia" w:ascii="宋体" w:hAnsi="宋体" w:eastAsia="宋体" w:cs="宋体"/>
          <w:color w:val="000000"/>
          <w:sz w:val="24"/>
          <w:szCs w:val="24"/>
        </w:rPr>
        <w:t>项目编号：</w:t>
      </w:r>
      <w:r>
        <w:rPr>
          <w:rFonts w:hint="eastAsia"/>
          <w:sz w:val="24"/>
          <w:szCs w:val="24"/>
        </w:rPr>
        <w:t>FCZC2025-C2-990090-GXGL</w:t>
      </w:r>
    </w:p>
    <w:p w14:paraId="79099562">
      <w:pPr>
        <w:pStyle w:val="4"/>
        <w:widowControl/>
        <w:rPr>
          <w:rFonts w:hint="eastAsia" w:ascii="宋体" w:hAnsi="宋体" w:eastAsia="宋体" w:cs="宋体"/>
          <w:b w:val="0"/>
          <w:bCs/>
          <w:color w:val="000000"/>
          <w:sz w:val="24"/>
          <w:szCs w:val="24"/>
          <w:lang w:eastAsia="zh-CN"/>
        </w:rPr>
      </w:pPr>
      <w:r>
        <w:rPr>
          <w:rFonts w:hint="eastAsia" w:ascii="宋体" w:hAnsi="宋体" w:eastAsia="宋体" w:cs="宋体"/>
          <w:color w:val="000000"/>
          <w:sz w:val="24"/>
          <w:szCs w:val="24"/>
        </w:rPr>
        <w:t>项目名称：</w:t>
      </w:r>
      <w:r>
        <w:rPr>
          <w:rFonts w:ascii="微软雅黑" w:hAnsi="微软雅黑" w:eastAsia="微软雅黑" w:cs="微软雅黑"/>
          <w:i w:val="0"/>
          <w:iCs w:val="0"/>
          <w:caps w:val="0"/>
          <w:color w:val="auto"/>
          <w:spacing w:val="0"/>
          <w:sz w:val="24"/>
          <w:szCs w:val="24"/>
          <w:u w:val="none"/>
        </w:rPr>
        <w:fldChar w:fldCharType="begin"/>
      </w:r>
      <w:r>
        <w:rPr>
          <w:rFonts w:ascii="微软雅黑" w:hAnsi="微软雅黑" w:eastAsia="微软雅黑" w:cs="微软雅黑"/>
          <w:i w:val="0"/>
          <w:iCs w:val="0"/>
          <w:caps w:val="0"/>
          <w:color w:val="auto"/>
          <w:spacing w:val="0"/>
          <w:sz w:val="24"/>
          <w:szCs w:val="24"/>
          <w:u w:val="none"/>
        </w:rPr>
        <w:instrText xml:space="preserve"> HYPERLINK "https://www.gcy.zfcg.gxzf.gov.cn/project-center/_procurement_/project-detail-router/662138e66ac54375" \t "https://www.gcy.zfcg.gxzf.gov.cn/bid-inviting/_procurement_/purchaseFileMake/_blank" </w:instrText>
      </w:r>
      <w:r>
        <w:rPr>
          <w:rFonts w:ascii="微软雅黑" w:hAnsi="微软雅黑" w:eastAsia="微软雅黑" w:cs="微软雅黑"/>
          <w:i w:val="0"/>
          <w:iCs w:val="0"/>
          <w:caps w:val="0"/>
          <w:color w:val="auto"/>
          <w:spacing w:val="0"/>
          <w:sz w:val="24"/>
          <w:szCs w:val="24"/>
          <w:u w:val="none"/>
        </w:rPr>
        <w:fldChar w:fldCharType="separate"/>
      </w:r>
      <w:r>
        <w:rPr>
          <w:rStyle w:val="28"/>
          <w:rFonts w:hint="eastAsia" w:ascii="微软雅黑" w:hAnsi="微软雅黑" w:eastAsia="微软雅黑" w:cs="微软雅黑"/>
          <w:i w:val="0"/>
          <w:iCs w:val="0"/>
          <w:caps w:val="0"/>
          <w:color w:val="auto"/>
          <w:spacing w:val="0"/>
          <w:sz w:val="24"/>
          <w:szCs w:val="24"/>
          <w:u w:val="none"/>
        </w:rPr>
        <w:t>防城港市高级中学教学楼供电改造项目</w:t>
      </w:r>
      <w:r>
        <w:rPr>
          <w:rFonts w:hint="eastAsia" w:ascii="微软雅黑" w:hAnsi="微软雅黑" w:eastAsia="微软雅黑" w:cs="微软雅黑"/>
          <w:i w:val="0"/>
          <w:iCs w:val="0"/>
          <w:caps w:val="0"/>
          <w:color w:val="auto"/>
          <w:spacing w:val="0"/>
          <w:sz w:val="24"/>
          <w:szCs w:val="24"/>
          <w:u w:val="none"/>
        </w:rPr>
        <w:fldChar w:fldCharType="end"/>
      </w:r>
    </w:p>
    <w:p w14:paraId="790F234E">
      <w:pPr>
        <w:pStyle w:val="4"/>
        <w:widowControl/>
        <w:rPr>
          <w:rFonts w:hint="eastAsia" w:ascii="宋体" w:hAnsi="宋体" w:eastAsia="宋体" w:cs="宋体"/>
          <w:color w:val="000000"/>
          <w:sz w:val="24"/>
          <w:szCs w:val="24"/>
          <w:highlight w:val="none"/>
        </w:rPr>
      </w:pPr>
      <w:r>
        <w:rPr>
          <w:rFonts w:hint="eastAsia" w:ascii="宋体" w:hAnsi="宋体" w:eastAsia="宋体" w:cs="宋体"/>
          <w:color w:val="000000"/>
          <w:sz w:val="24"/>
          <w:szCs w:val="24"/>
        </w:rPr>
        <w:t>采购方式：</w:t>
      </w:r>
      <w:bookmarkEnd w:id="7"/>
      <w:r>
        <w:rPr>
          <w:rFonts w:hint="eastAsia" w:ascii="宋体" w:hAnsi="宋体" w:eastAsia="宋体" w:cs="宋体"/>
          <w:color w:val="000000"/>
          <w:sz w:val="24"/>
          <w:szCs w:val="24"/>
        </w:rPr>
        <w:t>☑竞争性</w:t>
      </w:r>
      <w:r>
        <w:rPr>
          <w:rFonts w:hint="eastAsia" w:ascii="宋体" w:hAnsi="宋体" w:eastAsia="宋体" w:cs="宋体"/>
          <w:color w:val="000000"/>
          <w:sz w:val="24"/>
          <w:szCs w:val="24"/>
          <w:highlight w:val="none"/>
        </w:rPr>
        <w:t>磋商</w:t>
      </w:r>
    </w:p>
    <w:p w14:paraId="41B751FB">
      <w:pPr>
        <w:pStyle w:val="4"/>
        <w:widowControl/>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预算总金额（元）：</w:t>
      </w:r>
      <w:r>
        <w:rPr>
          <w:rStyle w:val="31"/>
          <w:rFonts w:hint="eastAsia" w:ascii="宋体" w:hAnsi="宋体" w:eastAsia="宋体" w:cs="宋体"/>
          <w:b w:val="0"/>
          <w:i w:val="0"/>
          <w:sz w:val="24"/>
          <w:szCs w:val="24"/>
          <w:highlight w:val="none"/>
        </w:rPr>
        <w:t>人民币</w:t>
      </w:r>
      <w:r>
        <w:rPr>
          <w:rStyle w:val="31"/>
          <w:rFonts w:hint="eastAsia" w:ascii="宋体" w:hAnsi="宋体" w:cs="宋体"/>
          <w:b w:val="0"/>
          <w:i w:val="0"/>
          <w:sz w:val="24"/>
          <w:szCs w:val="24"/>
          <w:highlight w:val="none"/>
          <w:lang w:val="en-US" w:eastAsia="zh-CN"/>
        </w:rPr>
        <w:t>陆拾陆万壹仟叁佰玖拾元肆角陆分</w:t>
      </w:r>
      <w:r>
        <w:rPr>
          <w:rStyle w:val="31"/>
          <w:rFonts w:hint="eastAsia" w:ascii="宋体" w:hAnsi="宋体" w:eastAsia="宋体" w:cs="宋体"/>
          <w:b w:val="0"/>
          <w:i w:val="0"/>
          <w:sz w:val="24"/>
          <w:szCs w:val="24"/>
          <w:highlight w:val="none"/>
        </w:rPr>
        <w:t>（¥</w:t>
      </w:r>
      <w:r>
        <w:rPr>
          <w:rStyle w:val="31"/>
          <w:rFonts w:hint="eastAsia" w:ascii="宋体" w:hAnsi="宋体" w:eastAsia="宋体" w:cs="宋体"/>
          <w:b w:val="0"/>
          <w:i w:val="0"/>
          <w:sz w:val="24"/>
          <w:szCs w:val="24"/>
          <w:highlight w:val="none"/>
          <w:lang w:val="en-US" w:eastAsia="zh-CN"/>
        </w:rPr>
        <w:t>661390.46元</w:t>
      </w:r>
      <w:r>
        <w:rPr>
          <w:rStyle w:val="31"/>
          <w:rFonts w:hint="eastAsia" w:ascii="宋体" w:hAnsi="宋体" w:eastAsia="宋体" w:cs="宋体"/>
          <w:b w:val="0"/>
          <w:i w:val="0"/>
          <w:sz w:val="24"/>
          <w:szCs w:val="24"/>
          <w:highlight w:val="none"/>
        </w:rPr>
        <w:t>）</w:t>
      </w:r>
    </w:p>
    <w:p w14:paraId="5035EFC4">
      <w:pPr>
        <w:pStyle w:val="4"/>
        <w:rPr>
          <w:rFonts w:hint="eastAsia" w:ascii="宋体" w:hAnsi="宋体" w:eastAsia="宋体" w:cs="宋体"/>
          <w:color w:val="auto"/>
          <w:sz w:val="24"/>
          <w:szCs w:val="24"/>
          <w:highlight w:val="none"/>
        </w:rPr>
      </w:pPr>
      <w:bookmarkStart w:id="8" w:name="_Toc20981"/>
      <w:bookmarkStart w:id="9" w:name="_Toc27882"/>
      <w:bookmarkStart w:id="10" w:name="_Toc11056"/>
      <w:bookmarkStart w:id="11" w:name="_Toc6591"/>
      <w:r>
        <w:rPr>
          <w:rFonts w:hint="eastAsia" w:ascii="宋体" w:hAnsi="宋体" w:eastAsia="宋体" w:cs="宋体"/>
          <w:sz w:val="24"/>
          <w:szCs w:val="24"/>
          <w:highlight w:val="none"/>
        </w:rPr>
        <w:t>最高限价：同采购预算</w:t>
      </w:r>
    </w:p>
    <w:bookmarkEnd w:id="8"/>
    <w:bookmarkEnd w:id="9"/>
    <w:bookmarkEnd w:id="10"/>
    <w:bookmarkEnd w:id="11"/>
    <w:p w14:paraId="1E1BFDD3">
      <w:pPr>
        <w:pStyle w:val="4"/>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采购需求：项目地点位</w:t>
      </w:r>
      <w:r>
        <w:rPr>
          <w:rFonts w:hint="eastAsia" w:ascii="宋体" w:hAnsi="宋体" w:eastAsia="宋体" w:cs="宋体"/>
          <w:b w:val="0"/>
          <w:bCs w:val="0"/>
          <w:color w:val="auto"/>
          <w:sz w:val="24"/>
          <w:szCs w:val="24"/>
          <w:highlight w:val="none"/>
        </w:rPr>
        <w:t>于</w:t>
      </w:r>
      <w:r>
        <w:rPr>
          <w:rFonts w:ascii="微软雅黑" w:hAnsi="微软雅黑" w:eastAsia="微软雅黑" w:cs="微软雅黑"/>
          <w:i w:val="0"/>
          <w:iCs w:val="0"/>
          <w:caps w:val="0"/>
          <w:color w:val="auto"/>
          <w:spacing w:val="0"/>
          <w:sz w:val="24"/>
          <w:szCs w:val="24"/>
          <w:u w:val="none"/>
        </w:rPr>
        <w:fldChar w:fldCharType="begin"/>
      </w:r>
      <w:r>
        <w:rPr>
          <w:rFonts w:ascii="微软雅黑" w:hAnsi="微软雅黑" w:eastAsia="微软雅黑" w:cs="微软雅黑"/>
          <w:i w:val="0"/>
          <w:iCs w:val="0"/>
          <w:caps w:val="0"/>
          <w:color w:val="auto"/>
          <w:spacing w:val="0"/>
          <w:sz w:val="24"/>
          <w:szCs w:val="24"/>
          <w:u w:val="none"/>
        </w:rPr>
        <w:instrText xml:space="preserve"> HYPERLINK "https://www.gcy.zfcg.gxzf.gov.cn/project-center/_procurement_/project-detail-router/662138e66ac54375" \t "https://www.gcy.zfcg.gxzf.gov.cn/bid-inviting/_procurement_/purchaseFileMake/_blank" </w:instrText>
      </w:r>
      <w:r>
        <w:rPr>
          <w:rFonts w:ascii="微软雅黑" w:hAnsi="微软雅黑" w:eastAsia="微软雅黑" w:cs="微软雅黑"/>
          <w:i w:val="0"/>
          <w:iCs w:val="0"/>
          <w:caps w:val="0"/>
          <w:color w:val="auto"/>
          <w:spacing w:val="0"/>
          <w:sz w:val="24"/>
          <w:szCs w:val="24"/>
          <w:u w:val="none"/>
        </w:rPr>
        <w:fldChar w:fldCharType="separate"/>
      </w:r>
      <w:r>
        <w:rPr>
          <w:rStyle w:val="28"/>
          <w:rFonts w:hint="eastAsia" w:ascii="微软雅黑" w:hAnsi="微软雅黑" w:eastAsia="微软雅黑" w:cs="微软雅黑"/>
          <w:i w:val="0"/>
          <w:iCs w:val="0"/>
          <w:caps w:val="0"/>
          <w:color w:val="auto"/>
          <w:spacing w:val="0"/>
          <w:sz w:val="24"/>
          <w:szCs w:val="24"/>
          <w:u w:val="none"/>
        </w:rPr>
        <w:t>防城港市高级中学教学楼</w:t>
      </w:r>
      <w:r>
        <w:rPr>
          <w:rFonts w:hint="eastAsia" w:ascii="微软雅黑" w:hAnsi="微软雅黑" w:eastAsia="微软雅黑" w:cs="微软雅黑"/>
          <w:i w:val="0"/>
          <w:iCs w:val="0"/>
          <w:caps w:val="0"/>
          <w:color w:val="auto"/>
          <w:spacing w:val="0"/>
          <w:sz w:val="24"/>
          <w:szCs w:val="24"/>
          <w:u w:val="none"/>
        </w:rPr>
        <w:fldChar w:fldCharType="end"/>
      </w:r>
      <w:r>
        <w:rPr>
          <w:rFonts w:hint="eastAsia" w:ascii="宋体" w:hAnsi="宋体" w:eastAsia="宋体" w:cs="宋体"/>
          <w:b w:val="0"/>
          <w:bCs w:val="0"/>
          <w:color w:val="auto"/>
          <w:sz w:val="24"/>
          <w:szCs w:val="24"/>
          <w:highlight w:val="none"/>
        </w:rPr>
        <w:t>，详见</w:t>
      </w:r>
      <w:r>
        <w:rPr>
          <w:rFonts w:hint="eastAsia" w:ascii="宋体" w:hAnsi="宋体" w:eastAsia="宋体" w:cs="宋体"/>
          <w:color w:val="auto"/>
          <w:sz w:val="24"/>
          <w:szCs w:val="24"/>
          <w:highlight w:val="none"/>
        </w:rPr>
        <w:t>工程量清单。</w:t>
      </w:r>
    </w:p>
    <w:p w14:paraId="336ADEA1">
      <w:pPr>
        <w:pStyle w:val="4"/>
        <w:widowControl/>
        <w:numPr>
          <w:ilvl w:val="0"/>
          <w:numId w:val="0"/>
        </w:numPr>
        <w:ind w:left="480" w:leftChars="0"/>
        <w:rPr>
          <w:rFonts w:hint="eastAsia" w:ascii="宋体" w:hAnsi="宋体" w:eastAsia="宋体" w:cs="宋体"/>
          <w:color w:val="auto"/>
          <w:sz w:val="24"/>
          <w:szCs w:val="24"/>
        </w:rPr>
      </w:pPr>
      <w:r>
        <w:rPr>
          <w:rFonts w:hint="eastAsia" w:ascii="宋体" w:hAnsi="宋体" w:eastAsia="宋体" w:cs="宋体"/>
          <w:color w:val="auto"/>
          <w:sz w:val="24"/>
          <w:szCs w:val="24"/>
        </w:rPr>
        <w:t>合同履行期限：</w:t>
      </w:r>
      <w:r>
        <w:rPr>
          <w:rFonts w:hint="eastAsia" w:ascii="宋体" w:hAnsi="宋体" w:cs="宋体"/>
          <w:color w:val="auto"/>
          <w:sz w:val="24"/>
          <w:szCs w:val="24"/>
          <w:lang w:eastAsia="zh-CN"/>
        </w:rPr>
        <w:t>施工</w:t>
      </w:r>
      <w:r>
        <w:rPr>
          <w:rFonts w:hint="eastAsia" w:ascii="宋体" w:hAnsi="宋体" w:eastAsia="宋体" w:cs="宋体"/>
          <w:color w:val="auto"/>
          <w:sz w:val="24"/>
          <w:szCs w:val="24"/>
        </w:rPr>
        <w:t>工期为</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日历天。</w:t>
      </w:r>
    </w:p>
    <w:p w14:paraId="6D777DDB">
      <w:pPr>
        <w:pStyle w:val="4"/>
        <w:widowControl/>
        <w:rPr>
          <w:rFonts w:hint="eastAsia" w:ascii="宋体" w:hAnsi="宋体" w:eastAsia="宋体" w:cs="宋体"/>
          <w:color w:val="auto"/>
          <w:sz w:val="24"/>
          <w:szCs w:val="24"/>
        </w:rPr>
      </w:pPr>
      <w:r>
        <w:rPr>
          <w:rFonts w:hint="eastAsia" w:ascii="宋体" w:hAnsi="宋体" w:eastAsia="宋体" w:cs="宋体"/>
          <w:color w:val="auto"/>
          <w:sz w:val="24"/>
          <w:szCs w:val="24"/>
        </w:rPr>
        <w:t>本项目不接受联合体。</w:t>
      </w:r>
      <w:bookmarkStart w:id="12" w:name="_Toc28359080"/>
      <w:bookmarkStart w:id="13" w:name="_Toc35393791"/>
      <w:bookmarkStart w:id="14" w:name="_Toc35393622"/>
      <w:bookmarkStart w:id="15" w:name="_Toc28359003"/>
    </w:p>
    <w:p w14:paraId="6D4D7349">
      <w:pPr>
        <w:pStyle w:val="6"/>
        <w:widowControl/>
        <w:numPr>
          <w:ilvl w:val="0"/>
          <w:numId w:val="3"/>
        </w:numPr>
        <w:topLinePunct w:val="0"/>
        <w:ind w:left="210" w:leftChars="0" w:firstLine="0" w:firstLineChars="0"/>
        <w:rPr>
          <w:rFonts w:hint="eastAsia" w:ascii="宋体" w:hAnsi="宋体" w:eastAsia="宋体" w:cs="宋体"/>
          <w:b/>
          <w:color w:val="auto"/>
          <w:sz w:val="24"/>
          <w:szCs w:val="24"/>
        </w:rPr>
      </w:pPr>
      <w:r>
        <w:rPr>
          <w:rFonts w:hint="eastAsia" w:ascii="宋体" w:hAnsi="宋体" w:eastAsia="宋体" w:cs="宋体"/>
          <w:color w:val="auto"/>
          <w:sz w:val="24"/>
          <w:szCs w:val="24"/>
        </w:rPr>
        <w:t>申请人的资格要求</w:t>
      </w:r>
      <w:bookmarkEnd w:id="12"/>
      <w:bookmarkEnd w:id="13"/>
      <w:bookmarkEnd w:id="14"/>
      <w:bookmarkEnd w:id="15"/>
    </w:p>
    <w:p w14:paraId="4CBF112D">
      <w:pPr>
        <w:pStyle w:val="4"/>
        <w:widowControl/>
        <w:numPr>
          <w:ilvl w:val="0"/>
          <w:numId w:val="4"/>
        </w:numPr>
        <w:ind w:left="0" w:leftChars="0" w:firstLine="480" w:firstLineChars="0"/>
        <w:rPr>
          <w:rFonts w:hint="eastAsia" w:ascii="宋体" w:hAnsi="宋体" w:eastAsia="宋体" w:cs="宋体"/>
          <w:b w:val="0"/>
          <w:color w:val="auto"/>
          <w:sz w:val="24"/>
          <w:szCs w:val="24"/>
        </w:rPr>
      </w:pPr>
      <w:r>
        <w:rPr>
          <w:rFonts w:hint="eastAsia" w:ascii="宋体" w:hAnsi="宋体" w:eastAsia="宋体" w:cs="宋体"/>
          <w:color w:val="000000"/>
          <w:sz w:val="24"/>
          <w:szCs w:val="24"/>
        </w:rPr>
        <w:t>满足《中华人民共和国政府采购法》第二十二条规定；</w:t>
      </w:r>
    </w:p>
    <w:p w14:paraId="01A187CF">
      <w:pPr>
        <w:pStyle w:val="4"/>
        <w:widowControl/>
        <w:numPr>
          <w:ilvl w:val="0"/>
          <w:numId w:val="4"/>
        </w:numPr>
        <w:ind w:left="0" w:leftChars="0" w:firstLine="480" w:firstLineChars="0"/>
        <w:rPr>
          <w:rFonts w:hint="eastAsia" w:ascii="宋体" w:hAnsi="宋体" w:eastAsia="宋体" w:cs="宋体"/>
          <w:b w:val="0"/>
          <w:color w:val="auto"/>
          <w:sz w:val="24"/>
          <w:szCs w:val="24"/>
        </w:rPr>
      </w:pPr>
      <w:bookmarkStart w:id="16" w:name="_Toc28359081"/>
      <w:bookmarkStart w:id="17" w:name="_Toc28359004"/>
      <w:r>
        <w:rPr>
          <w:rFonts w:hint="eastAsia" w:ascii="宋体" w:hAnsi="宋体" w:eastAsia="宋体" w:cs="宋体"/>
          <w:color w:val="auto"/>
          <w:sz w:val="24"/>
          <w:szCs w:val="24"/>
        </w:rPr>
        <w:t>落实政府采购政策需满足的资格要求：供应商为中小企业。</w:t>
      </w:r>
    </w:p>
    <w:p w14:paraId="1330D3D4">
      <w:pPr>
        <w:pStyle w:val="4"/>
        <w:widowControl/>
        <w:numPr>
          <w:ilvl w:val="0"/>
          <w:numId w:val="4"/>
        </w:numPr>
        <w:ind w:left="0" w:leftChars="0" w:firstLine="480" w:firstLineChars="0"/>
        <w:rPr>
          <w:rFonts w:hint="eastAsia" w:ascii="宋体" w:hAnsi="宋体" w:eastAsia="宋体" w:cs="宋体"/>
          <w:b w:val="0"/>
          <w:color w:val="auto"/>
          <w:sz w:val="24"/>
          <w:szCs w:val="24"/>
        </w:rPr>
      </w:pPr>
      <w:r>
        <w:rPr>
          <w:rFonts w:hint="eastAsia" w:ascii="宋体" w:hAnsi="宋体" w:eastAsia="宋体" w:cs="宋体"/>
          <w:color w:val="auto"/>
          <w:sz w:val="24"/>
          <w:szCs w:val="24"/>
        </w:rPr>
        <w:t>本项目的特定资格要求：</w:t>
      </w:r>
      <w:bookmarkStart w:id="18" w:name="_Toc35393623"/>
      <w:bookmarkStart w:id="19" w:name="_Toc35393792"/>
    </w:p>
    <w:p w14:paraId="455D5BA1">
      <w:pPr>
        <w:pStyle w:val="4"/>
        <w:widowControl/>
        <w:numPr>
          <w:ilvl w:val="0"/>
          <w:numId w:val="5"/>
        </w:numPr>
        <w:ind w:left="0" w:leftChars="0" w:firstLine="480" w:firstLineChars="0"/>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国内注册（指按国家有关规定要求注册的）具备法人资格，</w:t>
      </w:r>
      <w:r>
        <w:rPr>
          <w:rFonts w:hint="eastAsia" w:ascii="宋体" w:hAnsi="宋体" w:eastAsia="宋体" w:cs="宋体"/>
          <w:color w:val="auto"/>
          <w:sz w:val="24"/>
          <w:szCs w:val="24"/>
          <w:highlight w:val="none"/>
          <w:u w:val="single"/>
        </w:rPr>
        <w:t>具有建筑工程施工总承包</w:t>
      </w:r>
      <w:r>
        <w:rPr>
          <w:rFonts w:hint="eastAsia" w:ascii="宋体" w:hAnsi="宋体" w:cs="宋体"/>
          <w:color w:val="auto"/>
          <w:sz w:val="24"/>
          <w:szCs w:val="24"/>
          <w:highlight w:val="none"/>
          <w:u w:val="single"/>
          <w:lang w:eastAsia="zh-CN"/>
        </w:rPr>
        <w:t>二</w:t>
      </w:r>
      <w:r>
        <w:rPr>
          <w:rFonts w:hint="eastAsia" w:ascii="宋体" w:hAnsi="宋体" w:eastAsia="宋体" w:cs="宋体"/>
          <w:color w:val="auto"/>
          <w:sz w:val="24"/>
          <w:szCs w:val="24"/>
          <w:highlight w:val="none"/>
          <w:u w:val="single"/>
        </w:rPr>
        <w:t>级及以上资质</w:t>
      </w:r>
      <w:r>
        <w:rPr>
          <w:rFonts w:hint="eastAsia" w:ascii="宋体" w:hAnsi="宋体" w:eastAsia="宋体" w:cs="宋体"/>
          <w:color w:val="auto"/>
          <w:sz w:val="24"/>
          <w:szCs w:val="24"/>
          <w:highlight w:val="none"/>
        </w:rPr>
        <w:t>，并在人员、设备、资金等方面具有相应能力的施工企业。</w:t>
      </w:r>
    </w:p>
    <w:p w14:paraId="20836B12">
      <w:pPr>
        <w:pStyle w:val="4"/>
        <w:widowControl/>
        <w:numPr>
          <w:ilvl w:val="0"/>
          <w:numId w:val="5"/>
        </w:numPr>
        <w:ind w:left="0" w:leftChars="0" w:firstLine="480" w:firstLineChars="0"/>
        <w:rPr>
          <w:rFonts w:hint="eastAsia" w:ascii="宋体" w:hAnsi="宋体" w:eastAsia="宋体" w:cs="宋体"/>
          <w:b w:val="0"/>
          <w:color w:val="auto"/>
          <w:sz w:val="24"/>
          <w:szCs w:val="24"/>
        </w:rPr>
      </w:pPr>
      <w:r>
        <w:rPr>
          <w:rFonts w:hint="eastAsia" w:ascii="宋体" w:hAnsi="宋体" w:eastAsia="宋体" w:cs="宋体"/>
          <w:color w:val="auto"/>
          <w:sz w:val="24"/>
          <w:szCs w:val="24"/>
        </w:rPr>
        <w:t>投标人拟派项目经理须具备建筑工程专业二级（含）以上注册建造师执业资格，具备有效的安全生产考核合格证书（B类）。</w:t>
      </w:r>
    </w:p>
    <w:p w14:paraId="4BA0E986">
      <w:pPr>
        <w:pStyle w:val="4"/>
        <w:widowControl/>
        <w:numPr>
          <w:ilvl w:val="0"/>
          <w:numId w:val="4"/>
        </w:numPr>
        <w:ind w:left="0" w:leftChars="0" w:firstLine="480" w:firstLineChars="0"/>
        <w:rPr>
          <w:rFonts w:hint="eastAsia" w:ascii="宋体" w:hAnsi="宋体" w:eastAsia="宋体" w:cs="宋体"/>
          <w:color w:val="000000"/>
          <w:sz w:val="24"/>
          <w:szCs w:val="24"/>
        </w:rPr>
      </w:pPr>
      <w:r>
        <w:rPr>
          <w:rFonts w:hint="eastAsia" w:ascii="宋体" w:hAnsi="宋体" w:eastAsia="宋体" w:cs="宋体"/>
          <w:color w:val="auto"/>
          <w:sz w:val="24"/>
          <w:szCs w:val="24"/>
        </w:rPr>
        <w:t>单位负责人为同一人或者存在直接控股、管理关系的不同供应商，不得参</w:t>
      </w:r>
      <w:r>
        <w:rPr>
          <w:rFonts w:hint="eastAsia" w:ascii="宋体" w:hAnsi="宋体" w:eastAsia="宋体" w:cs="宋体"/>
          <w:color w:val="000000"/>
          <w:sz w:val="24"/>
          <w:szCs w:val="24"/>
        </w:rPr>
        <w:t>加同一合同项下的政府采购活动。除单一来源采购项目外，为采购项目提供整体设计、规范编制或者项目管理、监理、检测等服务的供应商，不得再参加该采购项目的其他采购活动。</w:t>
      </w:r>
    </w:p>
    <w:p w14:paraId="52FC9C49">
      <w:pPr>
        <w:pStyle w:val="4"/>
        <w:widowControl/>
        <w:numPr>
          <w:ilvl w:val="0"/>
          <w:numId w:val="4"/>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w:t>
      </w:r>
    </w:p>
    <w:p w14:paraId="65EDA7EA">
      <w:pPr>
        <w:pStyle w:val="6"/>
        <w:widowControl/>
        <w:numPr>
          <w:ilvl w:val="0"/>
          <w:numId w:val="3"/>
        </w:numPr>
        <w:topLinePunct w:val="0"/>
        <w:ind w:left="210" w:leftChars="0" w:firstLine="0" w:firstLineChars="0"/>
        <w:rPr>
          <w:rFonts w:hint="eastAsia" w:ascii="宋体" w:hAnsi="宋体" w:eastAsia="宋体" w:cs="宋体"/>
          <w:b/>
          <w:color w:val="auto"/>
          <w:sz w:val="24"/>
          <w:szCs w:val="24"/>
        </w:rPr>
      </w:pPr>
      <w:r>
        <w:rPr>
          <w:rFonts w:hint="eastAsia" w:ascii="宋体" w:hAnsi="宋体" w:eastAsia="宋体" w:cs="宋体"/>
          <w:sz w:val="24"/>
          <w:szCs w:val="24"/>
        </w:rPr>
        <w:t>获取采购文件</w:t>
      </w:r>
      <w:bookmarkEnd w:id="16"/>
      <w:bookmarkEnd w:id="17"/>
      <w:bookmarkEnd w:id="18"/>
      <w:bookmarkEnd w:id="19"/>
    </w:p>
    <w:p w14:paraId="4A3D445F">
      <w:pPr>
        <w:pStyle w:val="4"/>
        <w:widowControl/>
        <w:rPr>
          <w:rFonts w:hint="eastAsia" w:ascii="宋体" w:hAnsi="宋体" w:eastAsia="宋体" w:cs="宋体"/>
          <w:color w:val="auto"/>
          <w:sz w:val="24"/>
          <w:szCs w:val="24"/>
        </w:rPr>
      </w:pPr>
      <w:r>
        <w:rPr>
          <w:rFonts w:hint="eastAsia" w:ascii="宋体" w:hAnsi="宋体" w:eastAsia="宋体" w:cs="宋体"/>
          <w:color w:val="auto"/>
          <w:sz w:val="24"/>
          <w:szCs w:val="24"/>
        </w:rPr>
        <w:t>时间：2025年</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日至2025年</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日，每天</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:00至12:00，1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:00至</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（北京时间，法定节假日除外）</w:t>
      </w:r>
    </w:p>
    <w:p w14:paraId="7BF62DF7">
      <w:pPr>
        <w:pStyle w:val="4"/>
        <w:widowControl/>
        <w:rPr>
          <w:rFonts w:hint="eastAsia" w:ascii="宋体" w:hAnsi="宋体" w:eastAsia="宋体" w:cs="宋体"/>
          <w:color w:val="auto"/>
          <w:sz w:val="24"/>
          <w:szCs w:val="24"/>
        </w:rPr>
      </w:pPr>
      <w:r>
        <w:rPr>
          <w:rFonts w:hint="eastAsia" w:ascii="宋体" w:hAnsi="宋体" w:eastAsia="宋体" w:cs="宋体"/>
          <w:color w:val="auto"/>
          <w:sz w:val="24"/>
          <w:szCs w:val="24"/>
        </w:rPr>
        <w:t>地点：政采云平台（www.zcygov.cn）；</w:t>
      </w:r>
    </w:p>
    <w:p w14:paraId="7F120AED">
      <w:pPr>
        <w:pStyle w:val="4"/>
        <w:widowControl/>
        <w:rPr>
          <w:rFonts w:hint="eastAsia" w:ascii="宋体" w:hAnsi="宋体" w:eastAsia="宋体" w:cs="宋体"/>
          <w:color w:val="auto"/>
          <w:sz w:val="24"/>
          <w:szCs w:val="24"/>
        </w:rPr>
      </w:pPr>
      <w:r>
        <w:rPr>
          <w:rFonts w:hint="eastAsia" w:ascii="宋体" w:hAnsi="宋体" w:eastAsia="宋体" w:cs="宋体"/>
          <w:color w:val="auto"/>
          <w:sz w:val="24"/>
          <w:szCs w:val="24"/>
        </w:rPr>
        <w:t>方式：供应商登录政采云平台https://www.zcygov.cn/在线申请获取采购文件（进入“项目采购”应用，在获取采购文件菜单中选择项目，申请获取采购文件）。</w:t>
      </w:r>
    </w:p>
    <w:p w14:paraId="7C9F888E">
      <w:pPr>
        <w:pStyle w:val="4"/>
        <w:widowControl/>
        <w:rPr>
          <w:rFonts w:hint="eastAsia" w:ascii="宋体" w:hAnsi="宋体" w:eastAsia="宋体" w:cs="宋体"/>
          <w:color w:val="auto"/>
          <w:sz w:val="24"/>
          <w:szCs w:val="24"/>
        </w:rPr>
      </w:pPr>
      <w:r>
        <w:rPr>
          <w:rFonts w:hint="eastAsia" w:ascii="宋体" w:hAnsi="宋体" w:eastAsia="宋体" w:cs="宋体"/>
          <w:color w:val="auto"/>
          <w:sz w:val="24"/>
          <w:szCs w:val="24"/>
        </w:rPr>
        <w:t>售价：0元</w:t>
      </w:r>
    </w:p>
    <w:p w14:paraId="3A2D5639">
      <w:pPr>
        <w:pStyle w:val="6"/>
        <w:widowControl/>
        <w:numPr>
          <w:ilvl w:val="0"/>
          <w:numId w:val="3"/>
        </w:numPr>
        <w:topLinePunct w:val="0"/>
        <w:ind w:left="210" w:leftChars="0" w:firstLine="0" w:firstLineChars="0"/>
        <w:rPr>
          <w:rFonts w:hint="eastAsia" w:ascii="宋体" w:hAnsi="宋体" w:eastAsia="宋体" w:cs="宋体"/>
          <w:b/>
          <w:color w:val="auto"/>
          <w:sz w:val="24"/>
          <w:szCs w:val="24"/>
        </w:rPr>
      </w:pPr>
      <w:r>
        <w:rPr>
          <w:rFonts w:hint="eastAsia" w:ascii="宋体" w:hAnsi="宋体" w:eastAsia="宋体" w:cs="宋体"/>
          <w:color w:val="auto"/>
          <w:sz w:val="24"/>
          <w:szCs w:val="24"/>
        </w:rPr>
        <w:t>响应文件提交</w:t>
      </w:r>
    </w:p>
    <w:p w14:paraId="1646F979">
      <w:pPr>
        <w:pStyle w:val="4"/>
        <w:widowControl/>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Style w:val="28"/>
          <w:rFonts w:hint="eastAsia" w:ascii="宋体" w:hAnsi="宋体" w:eastAsia="宋体" w:cs="宋体"/>
          <w:color w:val="auto"/>
          <w:sz w:val="24"/>
          <w:szCs w:val="24"/>
          <w:u w:val="none"/>
          <w:lang w:val="en-US" w:eastAsia="zh-CN"/>
        </w:rPr>
        <w:t>2025</w:t>
      </w:r>
      <w:r>
        <w:rPr>
          <w:rStyle w:val="28"/>
          <w:rFonts w:hint="eastAsia" w:ascii="宋体" w:hAnsi="宋体" w:eastAsia="宋体" w:cs="宋体"/>
          <w:color w:val="auto"/>
          <w:sz w:val="24"/>
          <w:szCs w:val="24"/>
          <w:u w:val="none"/>
        </w:rPr>
        <w:t>年</w:t>
      </w:r>
      <w:r>
        <w:rPr>
          <w:rStyle w:val="28"/>
          <w:rFonts w:hint="eastAsia" w:ascii="宋体" w:hAnsi="宋体" w:cs="宋体"/>
          <w:color w:val="auto"/>
          <w:sz w:val="24"/>
          <w:szCs w:val="24"/>
          <w:u w:val="none"/>
          <w:lang w:val="en-US" w:eastAsia="zh-CN"/>
        </w:rPr>
        <w:t>8</w:t>
      </w:r>
      <w:r>
        <w:rPr>
          <w:rStyle w:val="28"/>
          <w:rFonts w:hint="eastAsia" w:ascii="宋体" w:hAnsi="宋体" w:eastAsia="宋体" w:cs="宋体"/>
          <w:color w:val="auto"/>
          <w:sz w:val="24"/>
          <w:szCs w:val="24"/>
          <w:u w:val="none"/>
        </w:rPr>
        <w:t>月</w:t>
      </w:r>
      <w:r>
        <w:rPr>
          <w:rFonts w:hint="eastAsia" w:ascii="宋体" w:hAnsi="宋体" w:cs="宋体"/>
          <w:bCs/>
          <w:color w:val="auto"/>
          <w:kern w:val="0"/>
          <w:sz w:val="24"/>
          <w:szCs w:val="24"/>
          <w:u w:val="none"/>
          <w:lang w:val="en-US" w:eastAsia="zh-CN"/>
        </w:rPr>
        <w:t>21</w:t>
      </w:r>
      <w:r>
        <w:rPr>
          <w:rFonts w:hint="eastAsia" w:ascii="宋体" w:hAnsi="宋体" w:eastAsia="宋体" w:cs="宋体"/>
          <w:color w:val="auto"/>
          <w:sz w:val="24"/>
          <w:szCs w:val="24"/>
          <w:u w:val="none"/>
        </w:rPr>
        <w:t>日</w:t>
      </w:r>
      <w:r>
        <w:rPr>
          <w:rFonts w:hint="eastAsia" w:ascii="宋体" w:hAnsi="宋体" w:eastAsia="宋体" w:cs="宋体"/>
          <w:color w:val="auto"/>
          <w:sz w:val="24"/>
          <w:szCs w:val="24"/>
          <w:u w:val="none"/>
          <w:lang w:val="en-US" w:eastAsia="zh-CN"/>
        </w:rPr>
        <w:t>9</w:t>
      </w:r>
      <w:r>
        <w:rPr>
          <w:rFonts w:hint="eastAsia" w:ascii="宋体" w:hAnsi="宋体" w:eastAsia="宋体" w:cs="宋体"/>
          <w:bCs/>
          <w:color w:val="auto"/>
          <w:kern w:val="0"/>
          <w:sz w:val="24"/>
          <w:szCs w:val="24"/>
          <w:u w:val="none"/>
        </w:rPr>
        <w:t>点</w:t>
      </w:r>
      <w:r>
        <w:rPr>
          <w:rFonts w:hint="eastAsia" w:ascii="宋体" w:hAnsi="宋体" w:eastAsia="宋体" w:cs="宋体"/>
          <w:bCs/>
          <w:color w:val="auto"/>
          <w:kern w:val="0"/>
          <w:sz w:val="24"/>
          <w:szCs w:val="24"/>
          <w:u w:val="none"/>
          <w:lang w:val="en-US" w:eastAsia="zh-CN"/>
        </w:rPr>
        <w:t>30</w:t>
      </w:r>
      <w:r>
        <w:rPr>
          <w:rFonts w:hint="eastAsia" w:ascii="宋体" w:hAnsi="宋体" w:eastAsia="宋体" w:cs="宋体"/>
          <w:bCs/>
          <w:color w:val="auto"/>
          <w:kern w:val="0"/>
          <w:sz w:val="24"/>
          <w:szCs w:val="24"/>
          <w:u w:val="none"/>
        </w:rPr>
        <w:t>分</w:t>
      </w:r>
      <w:r>
        <w:rPr>
          <w:rFonts w:hint="eastAsia" w:ascii="宋体" w:hAnsi="宋体" w:eastAsia="宋体" w:cs="宋体"/>
          <w:color w:val="auto"/>
          <w:sz w:val="24"/>
          <w:szCs w:val="24"/>
        </w:rPr>
        <w:t>（北京时间）</w:t>
      </w:r>
    </w:p>
    <w:p w14:paraId="2D77080A">
      <w:pPr>
        <w:pStyle w:val="4"/>
        <w:widowControl/>
        <w:rPr>
          <w:rFonts w:hint="eastAsia" w:ascii="宋体" w:hAnsi="宋体" w:eastAsia="宋体" w:cs="宋体"/>
          <w:color w:val="auto"/>
          <w:sz w:val="24"/>
          <w:szCs w:val="24"/>
        </w:rPr>
      </w:pPr>
      <w:r>
        <w:rPr>
          <w:rFonts w:hint="eastAsia" w:ascii="宋体" w:hAnsi="宋体" w:eastAsia="宋体" w:cs="宋体"/>
          <w:color w:val="auto"/>
          <w:sz w:val="24"/>
          <w:szCs w:val="24"/>
        </w:rPr>
        <w:t>地点：通过政采云平台实行在线投标响应。</w:t>
      </w:r>
    </w:p>
    <w:p w14:paraId="4D6428BD">
      <w:pPr>
        <w:pStyle w:val="6"/>
        <w:widowControl/>
        <w:numPr>
          <w:ilvl w:val="0"/>
          <w:numId w:val="3"/>
        </w:numPr>
        <w:topLinePunct w:val="0"/>
        <w:ind w:left="210" w:leftChars="0" w:firstLine="0" w:firstLineChars="0"/>
        <w:rPr>
          <w:rFonts w:hint="eastAsia" w:ascii="宋体" w:hAnsi="宋体" w:eastAsia="宋体" w:cs="宋体"/>
          <w:b/>
          <w:color w:val="auto"/>
          <w:sz w:val="24"/>
          <w:szCs w:val="24"/>
        </w:rPr>
      </w:pPr>
      <w:bookmarkStart w:id="20" w:name="_Toc35393633"/>
      <w:bookmarkStart w:id="21" w:name="_Toc35393802"/>
      <w:bookmarkStart w:id="22" w:name="_Toc28359093"/>
      <w:bookmarkStart w:id="23" w:name="_Toc28359016"/>
      <w:r>
        <w:rPr>
          <w:rFonts w:hint="eastAsia" w:ascii="宋体" w:hAnsi="宋体" w:eastAsia="宋体" w:cs="宋体"/>
          <w:color w:val="auto"/>
          <w:sz w:val="24"/>
          <w:szCs w:val="24"/>
        </w:rPr>
        <w:t>开启</w:t>
      </w:r>
      <w:bookmarkEnd w:id="20"/>
      <w:bookmarkEnd w:id="21"/>
      <w:bookmarkEnd w:id="22"/>
      <w:bookmarkEnd w:id="23"/>
      <w:r>
        <w:rPr>
          <w:rFonts w:hint="eastAsia" w:ascii="宋体" w:hAnsi="宋体" w:eastAsia="宋体" w:cs="宋体"/>
          <w:color w:val="auto"/>
          <w:sz w:val="24"/>
          <w:szCs w:val="24"/>
        </w:rPr>
        <w:t>（竞争性磋商方式必须填写）</w:t>
      </w:r>
    </w:p>
    <w:p w14:paraId="4106E6C5">
      <w:pPr>
        <w:pStyle w:val="4"/>
        <w:widowControl/>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Style w:val="28"/>
          <w:rFonts w:hint="eastAsia" w:ascii="宋体" w:hAnsi="宋体" w:eastAsia="宋体" w:cs="宋体"/>
          <w:color w:val="auto"/>
          <w:sz w:val="24"/>
          <w:szCs w:val="24"/>
          <w:u w:val="none"/>
          <w:lang w:val="en-US" w:eastAsia="zh-CN"/>
        </w:rPr>
        <w:t>2025</w:t>
      </w:r>
      <w:r>
        <w:rPr>
          <w:rStyle w:val="28"/>
          <w:rFonts w:hint="eastAsia" w:ascii="宋体" w:hAnsi="宋体" w:eastAsia="宋体" w:cs="宋体"/>
          <w:color w:val="auto"/>
          <w:sz w:val="24"/>
          <w:szCs w:val="24"/>
          <w:u w:val="none"/>
        </w:rPr>
        <w:t>年</w:t>
      </w:r>
      <w:r>
        <w:rPr>
          <w:rStyle w:val="28"/>
          <w:rFonts w:hint="eastAsia" w:ascii="宋体" w:hAnsi="宋体" w:cs="宋体"/>
          <w:color w:val="auto"/>
          <w:sz w:val="24"/>
          <w:szCs w:val="24"/>
          <w:u w:val="none"/>
          <w:lang w:val="en-US" w:eastAsia="zh-CN"/>
        </w:rPr>
        <w:t>8</w:t>
      </w:r>
      <w:r>
        <w:rPr>
          <w:rStyle w:val="28"/>
          <w:rFonts w:hint="eastAsia" w:ascii="宋体" w:hAnsi="宋体" w:eastAsia="宋体" w:cs="宋体"/>
          <w:color w:val="auto"/>
          <w:sz w:val="24"/>
          <w:szCs w:val="24"/>
          <w:u w:val="none"/>
        </w:rPr>
        <w:t>月</w:t>
      </w:r>
      <w:r>
        <w:rPr>
          <w:rFonts w:hint="eastAsia" w:ascii="宋体" w:hAnsi="宋体" w:cs="宋体"/>
          <w:bCs/>
          <w:color w:val="auto"/>
          <w:kern w:val="0"/>
          <w:sz w:val="24"/>
          <w:szCs w:val="24"/>
          <w:u w:val="none"/>
          <w:lang w:val="en-US" w:eastAsia="zh-CN"/>
        </w:rPr>
        <w:t>21</w:t>
      </w:r>
      <w:r>
        <w:rPr>
          <w:rFonts w:hint="eastAsia" w:ascii="宋体" w:hAnsi="宋体" w:eastAsia="宋体" w:cs="宋体"/>
          <w:color w:val="auto"/>
          <w:sz w:val="24"/>
          <w:szCs w:val="24"/>
          <w:u w:val="none"/>
        </w:rPr>
        <w:t>日</w:t>
      </w:r>
      <w:r>
        <w:rPr>
          <w:rFonts w:hint="eastAsia" w:ascii="宋体" w:hAnsi="宋体" w:eastAsia="宋体" w:cs="宋体"/>
          <w:color w:val="auto"/>
          <w:sz w:val="24"/>
          <w:szCs w:val="24"/>
          <w:u w:val="none"/>
          <w:lang w:val="en-US" w:eastAsia="zh-CN"/>
        </w:rPr>
        <w:t>9</w:t>
      </w:r>
      <w:r>
        <w:rPr>
          <w:rFonts w:hint="eastAsia" w:ascii="宋体" w:hAnsi="宋体" w:eastAsia="宋体" w:cs="宋体"/>
          <w:bCs/>
          <w:color w:val="auto"/>
          <w:kern w:val="0"/>
          <w:sz w:val="24"/>
          <w:szCs w:val="24"/>
          <w:u w:val="none"/>
        </w:rPr>
        <w:t>点</w:t>
      </w:r>
      <w:r>
        <w:rPr>
          <w:rFonts w:hint="eastAsia" w:ascii="宋体" w:hAnsi="宋体" w:eastAsia="宋体" w:cs="宋体"/>
          <w:bCs/>
          <w:color w:val="auto"/>
          <w:kern w:val="0"/>
          <w:sz w:val="24"/>
          <w:szCs w:val="24"/>
          <w:u w:val="none"/>
          <w:lang w:val="en-US" w:eastAsia="zh-CN"/>
        </w:rPr>
        <w:t>30</w:t>
      </w:r>
      <w:r>
        <w:rPr>
          <w:rFonts w:hint="eastAsia" w:ascii="宋体" w:hAnsi="宋体" w:eastAsia="宋体" w:cs="宋体"/>
          <w:bCs/>
          <w:color w:val="auto"/>
          <w:kern w:val="0"/>
          <w:sz w:val="24"/>
          <w:szCs w:val="24"/>
          <w:u w:val="none"/>
        </w:rPr>
        <w:t>分</w:t>
      </w:r>
      <w:r>
        <w:rPr>
          <w:rFonts w:hint="eastAsia" w:ascii="宋体" w:hAnsi="宋体" w:eastAsia="宋体" w:cs="宋体"/>
          <w:color w:val="auto"/>
          <w:sz w:val="24"/>
          <w:szCs w:val="24"/>
        </w:rPr>
        <w:t>（北京时间）</w:t>
      </w:r>
    </w:p>
    <w:p w14:paraId="0A88CF50">
      <w:pPr>
        <w:pStyle w:val="4"/>
        <w:widowControl/>
        <w:rPr>
          <w:rFonts w:hint="eastAsia" w:ascii="宋体" w:hAnsi="宋体" w:eastAsia="宋体" w:cs="宋体"/>
          <w:color w:val="auto"/>
          <w:sz w:val="24"/>
          <w:szCs w:val="24"/>
        </w:rPr>
      </w:pPr>
      <w:r>
        <w:rPr>
          <w:rFonts w:hint="eastAsia" w:ascii="宋体" w:hAnsi="宋体" w:eastAsia="宋体" w:cs="宋体"/>
          <w:color w:val="auto"/>
          <w:sz w:val="24"/>
          <w:szCs w:val="24"/>
        </w:rPr>
        <w:t>地点：</w:t>
      </w:r>
      <w:bookmarkStart w:id="24" w:name="_Toc28359084"/>
      <w:bookmarkStart w:id="25" w:name="_Toc28359007"/>
      <w:bookmarkStart w:id="26" w:name="_Toc35393625"/>
      <w:bookmarkStart w:id="27" w:name="_Toc35393794"/>
      <w:r>
        <w:rPr>
          <w:rFonts w:hint="eastAsia" w:ascii="宋体" w:hAnsi="宋体" w:eastAsia="宋体" w:cs="宋体"/>
          <w:color w:val="auto"/>
          <w:sz w:val="24"/>
          <w:szCs w:val="24"/>
        </w:rPr>
        <w:t>通过政采云平台电子开标大厅【</w:t>
      </w:r>
      <w:r>
        <w:rPr>
          <w:rFonts w:hint="eastAsia" w:ascii="宋体" w:hAnsi="宋体" w:eastAsia="宋体" w:cs="宋体"/>
          <w:color w:val="auto"/>
          <w:sz w:val="24"/>
          <w:szCs w:val="24"/>
          <w:highlight w:val="none"/>
        </w:rPr>
        <w:t>政府采购开评标室</w:t>
      </w:r>
      <w:r>
        <w:rPr>
          <w:rFonts w:hint="eastAsia" w:ascii="宋体" w:hAnsi="宋体" w:cs="宋体"/>
          <w:color w:val="auto"/>
          <w:sz w:val="24"/>
          <w:szCs w:val="24"/>
          <w:highlight w:val="none"/>
          <w:lang w:eastAsia="zh-CN"/>
        </w:rPr>
        <w:t>二</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rPr>
        <w:t>线解密开启。</w:t>
      </w:r>
    </w:p>
    <w:p w14:paraId="3A6C6D2A">
      <w:pPr>
        <w:pStyle w:val="6"/>
        <w:widowControl/>
        <w:numPr>
          <w:ilvl w:val="0"/>
          <w:numId w:val="3"/>
        </w:numPr>
        <w:topLinePunct w:val="0"/>
        <w:ind w:left="210" w:leftChars="0" w:firstLine="0" w:firstLineChars="0"/>
        <w:rPr>
          <w:rFonts w:hint="eastAsia" w:ascii="宋体" w:hAnsi="宋体" w:eastAsia="宋体" w:cs="宋体"/>
          <w:b/>
          <w:color w:val="auto"/>
          <w:sz w:val="24"/>
          <w:szCs w:val="24"/>
        </w:rPr>
      </w:pPr>
      <w:r>
        <w:rPr>
          <w:rFonts w:hint="eastAsia" w:ascii="宋体" w:hAnsi="宋体" w:eastAsia="宋体" w:cs="宋体"/>
          <w:color w:val="auto"/>
          <w:sz w:val="24"/>
          <w:szCs w:val="24"/>
        </w:rPr>
        <w:t>公告期限</w:t>
      </w:r>
      <w:bookmarkEnd w:id="24"/>
      <w:bookmarkEnd w:id="25"/>
      <w:bookmarkEnd w:id="26"/>
      <w:bookmarkEnd w:id="27"/>
    </w:p>
    <w:p w14:paraId="59506B64">
      <w:pPr>
        <w:pStyle w:val="4"/>
        <w:widowControl/>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自本公告发布之日起5个工作日。</w:t>
      </w:r>
    </w:p>
    <w:p w14:paraId="13FAF465">
      <w:pPr>
        <w:pStyle w:val="6"/>
        <w:widowControl/>
        <w:numPr>
          <w:ilvl w:val="0"/>
          <w:numId w:val="3"/>
        </w:numPr>
        <w:topLinePunct w:val="0"/>
        <w:ind w:left="210" w:leftChars="0" w:firstLine="0" w:firstLineChars="0"/>
        <w:rPr>
          <w:rFonts w:hint="eastAsia" w:ascii="宋体" w:hAnsi="宋体" w:eastAsia="宋体" w:cs="宋体"/>
          <w:b/>
          <w:color w:val="auto"/>
          <w:sz w:val="24"/>
          <w:szCs w:val="24"/>
        </w:rPr>
      </w:pPr>
      <w:bookmarkStart w:id="28" w:name="_Toc35393795"/>
      <w:bookmarkStart w:id="29" w:name="_Toc35393626"/>
      <w:r>
        <w:rPr>
          <w:rFonts w:hint="eastAsia" w:ascii="宋体" w:hAnsi="宋体" w:eastAsia="宋体" w:cs="宋体"/>
          <w:color w:val="auto"/>
          <w:sz w:val="24"/>
          <w:szCs w:val="24"/>
        </w:rPr>
        <w:t>其他补充事宜</w:t>
      </w:r>
      <w:bookmarkEnd w:id="28"/>
      <w:bookmarkEnd w:id="29"/>
      <w:r>
        <w:rPr>
          <w:rFonts w:hint="eastAsia" w:ascii="宋体" w:hAnsi="宋体" w:eastAsia="宋体" w:cs="宋体"/>
          <w:color w:val="auto"/>
          <w:sz w:val="24"/>
          <w:szCs w:val="24"/>
        </w:rPr>
        <w:t>：</w:t>
      </w:r>
    </w:p>
    <w:p w14:paraId="47BB88F9">
      <w:pPr>
        <w:pStyle w:val="4"/>
        <w:widowControl/>
        <w:numPr>
          <w:ilvl w:val="0"/>
          <w:numId w:val="6"/>
        </w:numPr>
        <w:ind w:left="0" w:leftChars="0" w:firstLine="480" w:firstLineChars="0"/>
        <w:rPr>
          <w:rFonts w:hint="eastAsia"/>
          <w:color w:val="auto"/>
          <w:sz w:val="24"/>
          <w:szCs w:val="24"/>
        </w:rPr>
      </w:pPr>
      <w:bookmarkStart w:id="30" w:name="_Toc35393796"/>
      <w:bookmarkStart w:id="31" w:name="_Toc35393627"/>
      <w:bookmarkStart w:id="32" w:name="_Toc28359008"/>
      <w:bookmarkStart w:id="33" w:name="_Toc28359085"/>
      <w:r>
        <w:rPr>
          <w:rFonts w:hint="eastAsia" w:ascii="宋体" w:hAnsi="宋体" w:eastAsia="宋体" w:cs="宋体"/>
          <w:color w:val="auto"/>
          <w:sz w:val="24"/>
          <w:szCs w:val="24"/>
        </w:rPr>
        <w:t>在网上公告媒体：中国政府采购网、广西壮族自治区政府采购网、</w:t>
      </w:r>
      <w:r>
        <w:rPr>
          <w:color w:val="auto"/>
          <w:sz w:val="24"/>
          <w:szCs w:val="24"/>
        </w:rPr>
        <w:t>广西防城港港口区人民政府门户网站</w:t>
      </w:r>
      <w:r>
        <w:rPr>
          <w:rFonts w:hint="eastAsia"/>
          <w:color w:val="auto"/>
          <w:sz w:val="24"/>
          <w:szCs w:val="24"/>
          <w:lang w:eastAsia="zh-CN"/>
        </w:rPr>
        <w:t>、</w:t>
      </w:r>
      <w:r>
        <w:rPr>
          <w:rFonts w:hint="eastAsia"/>
          <w:color w:val="auto"/>
          <w:sz w:val="24"/>
          <w:szCs w:val="24"/>
        </w:rPr>
        <w:t>全国公共资源交易平台（广西•防城港）。</w:t>
      </w:r>
    </w:p>
    <w:p w14:paraId="2EA56B54">
      <w:pPr>
        <w:pStyle w:val="4"/>
        <w:widowControl/>
        <w:numPr>
          <w:ilvl w:val="0"/>
          <w:numId w:val="6"/>
        </w:numPr>
        <w:ind w:left="0" w:leftChars="0" w:firstLine="480" w:firstLineChars="0"/>
        <w:rPr>
          <w:rFonts w:hint="eastAsia" w:ascii="宋体" w:hAnsi="宋体" w:eastAsia="宋体" w:cs="宋体"/>
          <w:b w:val="0"/>
          <w:color w:val="auto"/>
          <w:sz w:val="24"/>
          <w:szCs w:val="24"/>
        </w:rPr>
      </w:pPr>
      <w:r>
        <w:rPr>
          <w:rFonts w:hint="eastAsia" w:ascii="宋体" w:hAnsi="宋体" w:eastAsia="宋体" w:cs="宋体"/>
          <w:color w:val="auto"/>
          <w:sz w:val="24"/>
          <w:szCs w:val="24"/>
        </w:rPr>
        <w:t>本项目需要落实的政府采购政策：</w:t>
      </w:r>
    </w:p>
    <w:p w14:paraId="32CD52E4">
      <w:pPr>
        <w:pStyle w:val="4"/>
        <w:widowControl/>
        <w:numPr>
          <w:ilvl w:val="0"/>
          <w:numId w:val="0"/>
        </w:numPr>
        <w:ind w:left="480" w:leftChars="0"/>
        <w:rPr>
          <w:rFonts w:hint="eastAsia" w:ascii="宋体" w:hAnsi="宋体" w:eastAsia="宋体" w:cs="宋体"/>
          <w:b w:val="0"/>
          <w:color w:val="auto"/>
          <w:sz w:val="24"/>
          <w:szCs w:val="24"/>
        </w:rPr>
      </w:pPr>
      <w:r>
        <w:rPr>
          <w:rFonts w:hint="eastAsia" w:ascii="宋体" w:hAnsi="宋体" w:eastAsia="宋体" w:cs="宋体"/>
          <w:color w:val="auto"/>
          <w:sz w:val="24"/>
          <w:szCs w:val="24"/>
        </w:rPr>
        <w:t>（1）《政府采购促进中小企业发展管理办法》（财库[2020]46号）；中小企业划分标准属于行业为：“</w:t>
      </w:r>
      <w:r>
        <w:rPr>
          <w:rFonts w:hint="eastAsia" w:ascii="宋体" w:hAnsi="宋体" w:cs="宋体"/>
          <w:color w:val="auto"/>
          <w:sz w:val="24"/>
          <w:szCs w:val="24"/>
          <w:lang w:eastAsia="zh-CN"/>
        </w:rPr>
        <w:t>建筑</w:t>
      </w:r>
      <w:r>
        <w:rPr>
          <w:rFonts w:hint="eastAsia" w:ascii="宋体" w:hAnsi="宋体" w:eastAsia="宋体" w:cs="宋体"/>
          <w:color w:val="auto"/>
          <w:sz w:val="24"/>
          <w:szCs w:val="24"/>
        </w:rPr>
        <w:t>工程建筑行业”；</w:t>
      </w:r>
    </w:p>
    <w:p w14:paraId="0C27721F">
      <w:pPr>
        <w:pStyle w:val="4"/>
        <w:widowControl/>
        <w:numPr>
          <w:ilvl w:val="0"/>
          <w:numId w:val="7"/>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《财政部、司法部关于政府采购支持监狱企业发展有关问题的通知》（财库〔2014〕68号）；</w:t>
      </w:r>
    </w:p>
    <w:p w14:paraId="76FDF390">
      <w:pPr>
        <w:pStyle w:val="4"/>
        <w:widowControl/>
        <w:numPr>
          <w:ilvl w:val="0"/>
          <w:numId w:val="7"/>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《财政部民政部中国残疾人联合会关于促进残疾人就业政府采购政策的通知》（财库〔2017〕141号）；</w:t>
      </w:r>
    </w:p>
    <w:p w14:paraId="0E109FE6">
      <w:pPr>
        <w:pStyle w:val="4"/>
        <w:widowControl/>
        <w:numPr>
          <w:ilvl w:val="0"/>
          <w:numId w:val="7"/>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财政部 发展改革委 生态环境部市场监管总局关于调整优化节能产品、环境标志产品政府采购执行机制的通知（财库〔2019〕9号）；</w:t>
      </w:r>
    </w:p>
    <w:p w14:paraId="160034D4">
      <w:pPr>
        <w:pStyle w:val="4"/>
        <w:widowControl/>
        <w:numPr>
          <w:ilvl w:val="0"/>
          <w:numId w:val="7"/>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 xml:space="preserve">财政部 发展改革委关于印发节能产品政府采购品目清单的通知（财库〔2019〕19号）等政府采购相关政策。 </w:t>
      </w:r>
    </w:p>
    <w:p w14:paraId="43A477FE">
      <w:pPr>
        <w:pStyle w:val="4"/>
        <w:widowControl/>
        <w:numPr>
          <w:ilvl w:val="0"/>
          <w:numId w:val="6"/>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磋商保证金：本项目不需提交磋商保证金。</w:t>
      </w:r>
    </w:p>
    <w:p w14:paraId="7F07D492">
      <w:pPr>
        <w:pStyle w:val="4"/>
        <w:widowControl/>
        <w:numPr>
          <w:ilvl w:val="0"/>
          <w:numId w:val="6"/>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在线竞标响应（电子竞标）说明及注意事项：</w:t>
      </w:r>
    </w:p>
    <w:p w14:paraId="5D7F2E22">
      <w:pPr>
        <w:pStyle w:val="4"/>
        <w:widowControl/>
        <w:numPr>
          <w:ilvl w:val="0"/>
          <w:numId w:val="8"/>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本项目通过“政采云”平台实行在线电子响应，供应商应先安装“政采云电子交易客户端”（请自行前往“政采云”平台进行下载），并按照本项目采购文件和“政采云”平台的要求编制、加密后在响应文件递交截止时间前通过网络上传至“政采云”平台，供应商在“政采云”平台提交电子响应文件时，请填写参加远程开标活动经办人联系方式。供应商登录“政采云”平台，依次进入“服务中心-项目采购-操作流程-电子招投标-政府采购项目电子交易管理操作指南-供应商”查看电子投标具体操作流程；在使用政采云投标客户端时，建议使用WIN7及以上操作系统。</w:t>
      </w:r>
    </w:p>
    <w:p w14:paraId="0B76D582">
      <w:pPr>
        <w:pStyle w:val="4"/>
        <w:widowControl/>
        <w:numPr>
          <w:ilvl w:val="0"/>
          <w:numId w:val="8"/>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使用“政采云电子交易客户端”需要提前申领CA数字证书，供应商应当在响应文件递交截止时间前，完成电子交易平台上的CA数字证书办理（完成CA数字证书办理预计要一周左右，供应商可登录“广西政府采购网”，依次进入“办事服务-下载专区”或者登陆“政采云”平台，依次进入“服务中心-入驻与配置”中查看CA数字证书办理操作流程。如在操作过程中遇到问题或者需要技术支持，请致电政采云客服热线：400-881-7190）。</w:t>
      </w:r>
    </w:p>
    <w:p w14:paraId="197A4085">
      <w:pPr>
        <w:pStyle w:val="4"/>
        <w:widowControl/>
        <w:numPr>
          <w:ilvl w:val="0"/>
          <w:numId w:val="8"/>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供应商应当在响应截止时间前，将生成的“电子响应文件”上传递交至政采云平台。响应文件递交截止时间前可以撤回电子响应文件。补充或者修改电子响应文件的，应当先行撤回原文件，补充、修改后重新上传递交，响应文件递交截止时间前未完成上传的，视为撤回响应文件；响应文件递交截止时间以后上传递交的响应文件，“政采云”平台将予以拒收。</w:t>
      </w:r>
    </w:p>
    <w:p w14:paraId="6553DC87">
      <w:pPr>
        <w:pStyle w:val="4"/>
        <w:widowControl/>
        <w:numPr>
          <w:ilvl w:val="0"/>
          <w:numId w:val="8"/>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CA证书在线解密：供应商竞标响应时，需用有效数字证书（CA认证）登录“政采云”平台电子开标大厅现场，在截标时间后30分钟内对加密的响应文件进行解密，否则后果自负。</w:t>
      </w:r>
    </w:p>
    <w:p w14:paraId="6C3E93A5">
      <w:pPr>
        <w:pStyle w:val="4"/>
        <w:widowControl/>
        <w:numPr>
          <w:ilvl w:val="0"/>
          <w:numId w:val="8"/>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供应商可以提供以介质（U盘或光盘等）存储的数据电文形成的电子备份响应文件。电子备份响应文件应当在响应文</w:t>
      </w:r>
      <w:r>
        <w:rPr>
          <w:rFonts w:hint="eastAsia" w:ascii="宋体" w:hAnsi="宋体" w:eastAsia="宋体" w:cs="宋体"/>
          <w:sz w:val="24"/>
          <w:szCs w:val="24"/>
        </w:rPr>
        <w:t>件</w:t>
      </w:r>
      <w:r>
        <w:rPr>
          <w:rFonts w:hint="eastAsia" w:ascii="宋体" w:hAnsi="宋体" w:eastAsia="宋体" w:cs="宋体"/>
          <w:color w:val="000000"/>
          <w:sz w:val="24"/>
          <w:szCs w:val="24"/>
        </w:rPr>
        <w:t>递交截止时间前按要求密封并直接送达至防城港市公共资源交易中心（防城港市迎宾路红树林大厦东塔）（以响应文件提交当天防城港市公共资源交易中心六楼电子显示屏公布的开标室为准），逾期送达或未按要求密封将被拒收。电子备份响应文件应当密封包装并在包装上标注项目名称、供应商名称并加盖公章。</w:t>
      </w:r>
    </w:p>
    <w:p w14:paraId="44CA0445">
      <w:pPr>
        <w:pStyle w:val="4"/>
        <w:widowControl/>
        <w:numPr>
          <w:ilvl w:val="0"/>
          <w:numId w:val="8"/>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通过“政府采购云平台”上传递交的“电子加密响应文件”无法按时解密，供应商递交了电子备份响应文件的，以电子备份响应文件为依据，否则视为响应文件撤回。通过政采云平台上传递交的电子加密响应文件已按时解密的，电子备份响应文件自动失效。供应商仅递交电子备份响应文件的，竞标无效。</w:t>
      </w:r>
    </w:p>
    <w:p w14:paraId="1CE22A85">
      <w:pPr>
        <w:pStyle w:val="4"/>
        <w:widowControl/>
        <w:numPr>
          <w:ilvl w:val="0"/>
          <w:numId w:val="8"/>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本项目需要供应商代表在截标后，按磋商小组要求及时登陆政采云平台等候在线磋商及提交最后报价。</w:t>
      </w:r>
    </w:p>
    <w:p w14:paraId="13FDFB57">
      <w:pPr>
        <w:pStyle w:val="4"/>
        <w:widowControl/>
        <w:numPr>
          <w:ilvl w:val="0"/>
          <w:numId w:val="8"/>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为确保网上操作合法、有效和安全，请供应商确保在电子响应过程中能够对相关数据电文进行加密和使用电子签章，妥善保管CA数字证书并使用有效的CA数字证书参与整个竞标活动。</w:t>
      </w:r>
    </w:p>
    <w:p w14:paraId="5721C811">
      <w:pPr>
        <w:pStyle w:val="4"/>
        <w:widowControl/>
        <w:numPr>
          <w:ilvl w:val="0"/>
          <w:numId w:val="8"/>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本项目不接受未登陆“政采云”平台获取本项目采购文件的供应商竞标响应。</w:t>
      </w:r>
    </w:p>
    <w:p w14:paraId="5BCC4C4E">
      <w:pPr>
        <w:pStyle w:val="4"/>
        <w:widowControl/>
        <w:numPr>
          <w:ilvl w:val="0"/>
          <w:numId w:val="8"/>
        </w:numPr>
        <w:topLinePunct w:val="0"/>
        <w:ind w:left="0" w:leftChars="0" w:firstLine="480" w:firstLineChars="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不同投标人的投标文件由同一单位或者个人编制；或不同投标人报名的IP地址一致的;此类投标供应商将视为无效</w:t>
      </w:r>
      <w:r>
        <w:rPr>
          <w:rFonts w:hint="eastAsia" w:ascii="宋体" w:hAnsi="宋体" w:eastAsia="宋体" w:cs="宋体"/>
          <w:b/>
          <w:bCs/>
          <w:color w:val="000000"/>
          <w:sz w:val="24"/>
          <w:szCs w:val="24"/>
          <w:lang w:eastAsia="zh-CN"/>
        </w:rPr>
        <w:t>。</w:t>
      </w:r>
    </w:p>
    <w:p w14:paraId="3415E7AD">
      <w:pPr>
        <w:pStyle w:val="4"/>
        <w:widowControl/>
        <w:numPr>
          <w:ilvl w:val="0"/>
          <w:numId w:val="8"/>
        </w:numPr>
        <w:topLinePunct w:val="0"/>
        <w:ind w:left="0" w:leftChars="0" w:firstLine="480" w:firstLineChars="0"/>
        <w:rPr>
          <w:rFonts w:hint="eastAsia" w:ascii="宋体" w:hAnsi="宋体" w:eastAsia="宋体" w:cs="宋体"/>
          <w:b/>
          <w:color w:val="000000"/>
          <w:kern w:val="0"/>
          <w:sz w:val="24"/>
          <w:szCs w:val="24"/>
        </w:rPr>
      </w:pPr>
      <w:r>
        <w:rPr>
          <w:rFonts w:hint="eastAsia" w:ascii="宋体" w:hAnsi="宋体" w:eastAsia="宋体" w:cs="宋体"/>
          <w:color w:val="000000"/>
          <w:sz w:val="24"/>
          <w:szCs w:val="24"/>
        </w:rPr>
        <w:t xml:space="preserve">监督部门：防城港市港口区政府采购管理办公室；电话：0770-6106362     </w:t>
      </w:r>
    </w:p>
    <w:bookmarkEnd w:id="30"/>
    <w:bookmarkEnd w:id="31"/>
    <w:bookmarkEnd w:id="32"/>
    <w:bookmarkEnd w:id="33"/>
    <w:p w14:paraId="2E25AC68">
      <w:pPr>
        <w:pStyle w:val="6"/>
        <w:widowControl/>
        <w:numPr>
          <w:ilvl w:val="0"/>
          <w:numId w:val="3"/>
        </w:numPr>
        <w:topLinePunct w:val="0"/>
        <w:ind w:left="210" w:leftChars="0" w:firstLine="0" w:firstLineChars="0"/>
        <w:rPr>
          <w:rFonts w:hint="eastAsia" w:ascii="宋体" w:hAnsi="宋体" w:eastAsia="宋体" w:cs="宋体"/>
          <w:b/>
          <w:sz w:val="24"/>
          <w:szCs w:val="24"/>
        </w:rPr>
      </w:pPr>
      <w:r>
        <w:rPr>
          <w:rFonts w:hint="eastAsia" w:ascii="宋体" w:hAnsi="宋体" w:eastAsia="宋体" w:cs="宋体"/>
          <w:sz w:val="24"/>
          <w:szCs w:val="24"/>
        </w:rPr>
        <w:t>凡对本次采购提出询问，请按以下方式联系</w:t>
      </w:r>
    </w:p>
    <w:p w14:paraId="0C9D7071">
      <w:pPr>
        <w:pStyle w:val="45"/>
        <w:widowControl/>
        <w:numPr>
          <w:ilvl w:val="0"/>
          <w:numId w:val="9"/>
        </w:numPr>
        <w:ind w:left="0" w:leftChars="0" w:firstLine="422" w:firstLineChars="175"/>
        <w:jc w:val="left"/>
        <w:outlineLvl w:val="1"/>
        <w:rPr>
          <w:rFonts w:hint="eastAsia" w:ascii="宋体" w:hAnsi="宋体" w:eastAsia="宋体" w:cs="宋体"/>
          <w:b/>
          <w:sz w:val="24"/>
          <w:szCs w:val="24"/>
          <w:highlight w:val="none"/>
        </w:rPr>
      </w:pPr>
      <w:bookmarkStart w:id="34" w:name="_Toc28359096"/>
      <w:bookmarkStart w:id="35" w:name="_Toc35393806"/>
      <w:bookmarkStart w:id="36" w:name="_Toc28359019"/>
      <w:bookmarkStart w:id="37" w:name="_Toc35393637"/>
      <w:r>
        <w:rPr>
          <w:rFonts w:hint="eastAsia" w:ascii="宋体" w:hAnsi="宋体" w:eastAsia="宋体" w:cs="宋体"/>
          <w:sz w:val="24"/>
          <w:szCs w:val="24"/>
          <w:highlight w:val="none"/>
        </w:rPr>
        <w:t>采购人信息</w:t>
      </w:r>
      <w:bookmarkEnd w:id="34"/>
      <w:bookmarkEnd w:id="35"/>
      <w:bookmarkEnd w:id="36"/>
      <w:bookmarkEnd w:id="37"/>
    </w:p>
    <w:p w14:paraId="4782F968">
      <w:pPr>
        <w:pStyle w:val="4"/>
        <w:widowControl/>
        <w:rPr>
          <w:rFonts w:hint="eastAsia" w:ascii="宋体" w:hAnsi="宋体" w:eastAsia="宋体" w:cs="宋体"/>
          <w:color w:val="auto"/>
          <w:sz w:val="24"/>
          <w:szCs w:val="24"/>
          <w:highlight w:val="none"/>
          <w:lang w:eastAsia="zh-CN"/>
        </w:rPr>
      </w:pPr>
      <w:bookmarkStart w:id="38" w:name="_Toc28359097"/>
      <w:bookmarkStart w:id="39" w:name="_Toc35393807"/>
      <w:bookmarkStart w:id="40" w:name="_Toc35393638"/>
      <w:bookmarkStart w:id="41" w:name="_Toc28359020"/>
      <w:r>
        <w:rPr>
          <w:rFonts w:hint="eastAsia" w:ascii="宋体" w:hAnsi="宋体" w:eastAsia="宋体" w:cs="宋体"/>
          <w:color w:val="000000"/>
          <w:sz w:val="24"/>
          <w:szCs w:val="24"/>
          <w:highlight w:val="none"/>
        </w:rPr>
        <w:t>名称：防城港市</w:t>
      </w:r>
      <w:r>
        <w:rPr>
          <w:rFonts w:hint="eastAsia" w:ascii="宋体" w:hAnsi="宋体" w:eastAsia="宋体" w:cs="宋体"/>
          <w:color w:val="000000"/>
          <w:sz w:val="24"/>
          <w:szCs w:val="24"/>
          <w:highlight w:val="none"/>
          <w:lang w:eastAsia="zh-CN"/>
        </w:rPr>
        <w:t>高级中学</w:t>
      </w:r>
    </w:p>
    <w:p w14:paraId="45C782E8">
      <w:pPr>
        <w:pStyle w:val="4"/>
        <w:widowControl/>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i w:val="0"/>
          <w:color w:val="auto"/>
          <w:sz w:val="24"/>
          <w:szCs w:val="24"/>
          <w:highlight w:val="none"/>
          <w:lang w:val="en-US" w:eastAsia="zh-CN"/>
        </w:rPr>
        <w:t xml:space="preserve"> </w:t>
      </w:r>
      <w:r>
        <w:rPr>
          <w:rFonts w:hint="eastAsia" w:ascii="宋体" w:hAnsi="宋体" w:eastAsia="宋体" w:cs="宋体"/>
          <w:color w:val="auto"/>
          <w:sz w:val="24"/>
          <w:szCs w:val="24"/>
          <w:highlight w:val="none"/>
        </w:rPr>
        <w:t>防城港市港口区</w:t>
      </w:r>
      <w:r>
        <w:rPr>
          <w:rFonts w:hint="eastAsia" w:ascii="宋体" w:hAnsi="宋体" w:eastAsia="宋体" w:cs="宋体"/>
          <w:i w:val="0"/>
          <w:iCs w:val="0"/>
          <w:caps w:val="0"/>
          <w:color w:val="auto"/>
          <w:spacing w:val="0"/>
          <w:sz w:val="24"/>
          <w:szCs w:val="24"/>
          <w:shd w:val="clear" w:fill="FFFFFF"/>
        </w:rPr>
        <w:t>政府所在地渔洲城渔洲大道</w:t>
      </w:r>
    </w:p>
    <w:p w14:paraId="66C51885">
      <w:pPr>
        <w:pStyle w:val="4"/>
        <w:widowControl/>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eastAsia="zh-CN"/>
        </w:rPr>
        <w:t>甘</w:t>
      </w:r>
      <w:r>
        <w:rPr>
          <w:rFonts w:hint="eastAsia" w:ascii="宋体" w:hAnsi="宋体" w:cs="宋体"/>
          <w:color w:val="auto"/>
          <w:sz w:val="24"/>
          <w:szCs w:val="24"/>
          <w:highlight w:val="none"/>
          <w:lang w:eastAsia="zh-CN"/>
        </w:rPr>
        <w:t>儒</w:t>
      </w:r>
    </w:p>
    <w:p w14:paraId="6D338B5D">
      <w:pPr>
        <w:pStyle w:val="4"/>
        <w:widowControl/>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联系方式：0770-</w:t>
      </w:r>
      <w:r>
        <w:rPr>
          <w:rFonts w:hint="eastAsia" w:ascii="宋体" w:hAnsi="宋体" w:cs="宋体"/>
          <w:color w:val="auto"/>
          <w:sz w:val="24"/>
          <w:szCs w:val="24"/>
          <w:highlight w:val="none"/>
          <w:lang w:val="en-US" w:eastAsia="zh-CN"/>
        </w:rPr>
        <w:t>2220058</w:t>
      </w:r>
    </w:p>
    <w:p w14:paraId="4857B4E2">
      <w:pPr>
        <w:pStyle w:val="45"/>
        <w:widowControl/>
        <w:numPr>
          <w:ilvl w:val="0"/>
          <w:numId w:val="9"/>
        </w:numPr>
        <w:ind w:left="0" w:leftChars="0" w:firstLine="422" w:firstLineChars="175"/>
        <w:jc w:val="left"/>
        <w:outlineLvl w:val="1"/>
        <w:rPr>
          <w:rFonts w:hint="eastAsia" w:ascii="宋体" w:hAnsi="宋体" w:eastAsia="宋体" w:cs="宋体"/>
          <w:b/>
          <w:color w:val="auto"/>
          <w:sz w:val="24"/>
          <w:szCs w:val="24"/>
        </w:rPr>
      </w:pPr>
      <w:r>
        <w:rPr>
          <w:rFonts w:hint="eastAsia" w:ascii="宋体" w:hAnsi="宋体" w:eastAsia="宋体" w:cs="宋体"/>
          <w:color w:val="auto"/>
          <w:sz w:val="24"/>
          <w:szCs w:val="24"/>
        </w:rPr>
        <w:t>采购代理机构信息</w:t>
      </w:r>
      <w:bookmarkEnd w:id="38"/>
      <w:bookmarkEnd w:id="39"/>
      <w:bookmarkEnd w:id="40"/>
      <w:bookmarkEnd w:id="41"/>
    </w:p>
    <w:p w14:paraId="336B8787">
      <w:pPr>
        <w:pStyle w:val="4"/>
        <w:widowControl/>
        <w:rPr>
          <w:rFonts w:hint="eastAsia" w:ascii="宋体" w:hAnsi="宋体" w:eastAsia="宋体" w:cs="宋体"/>
          <w:color w:val="000000"/>
          <w:sz w:val="24"/>
          <w:szCs w:val="24"/>
          <w:lang w:eastAsia="zh-CN"/>
        </w:rPr>
      </w:pPr>
      <w:bookmarkStart w:id="42" w:name="_Toc28359021"/>
      <w:bookmarkStart w:id="43" w:name="_Toc35393808"/>
      <w:bookmarkStart w:id="44" w:name="_Toc35393639"/>
      <w:bookmarkStart w:id="45" w:name="_Toc28359098"/>
      <w:r>
        <w:rPr>
          <w:rFonts w:hint="eastAsia" w:ascii="宋体" w:hAnsi="宋体" w:eastAsia="宋体" w:cs="宋体"/>
          <w:color w:val="000000"/>
          <w:sz w:val="24"/>
          <w:szCs w:val="24"/>
        </w:rPr>
        <w:t>名称：</w:t>
      </w:r>
      <w:r>
        <w:rPr>
          <w:rFonts w:hint="eastAsia" w:ascii="宋体" w:hAnsi="宋体" w:eastAsia="宋体" w:cs="宋体"/>
          <w:color w:val="000000"/>
          <w:sz w:val="24"/>
          <w:szCs w:val="24"/>
          <w:lang w:eastAsia="zh-CN"/>
        </w:rPr>
        <w:t>广西国立工程咨询有限公司</w:t>
      </w:r>
    </w:p>
    <w:p w14:paraId="3A923CC6">
      <w:pPr>
        <w:pStyle w:val="4"/>
        <w:widowControl/>
        <w:rPr>
          <w:rFonts w:hint="eastAsia" w:ascii="宋体" w:hAnsi="宋体" w:eastAsia="宋体" w:cs="宋体"/>
          <w:color w:val="000000"/>
          <w:sz w:val="24"/>
          <w:szCs w:val="24"/>
        </w:rPr>
      </w:pPr>
      <w:r>
        <w:rPr>
          <w:rFonts w:hint="eastAsia" w:ascii="宋体" w:hAnsi="宋体" w:eastAsia="宋体" w:cs="宋体"/>
          <w:color w:val="000000"/>
          <w:sz w:val="24"/>
          <w:szCs w:val="24"/>
        </w:rPr>
        <w:t>地址：</w:t>
      </w:r>
      <w:r>
        <w:rPr>
          <w:rFonts w:hint="eastAsia" w:ascii="宋体" w:hAnsi="宋体" w:eastAsia="宋体" w:cs="宋体"/>
          <w:i w:val="0"/>
          <w:color w:val="383838"/>
          <w:sz w:val="24"/>
          <w:szCs w:val="24"/>
        </w:rPr>
        <w:t>防城港市防城区市场监督管理局大门直入50米</w:t>
      </w:r>
    </w:p>
    <w:p w14:paraId="634E9753">
      <w:pPr>
        <w:pStyle w:val="4"/>
        <w:widowControl/>
        <w:rPr>
          <w:rFonts w:hint="eastAsia" w:ascii="宋体" w:hAnsi="宋体" w:eastAsia="宋体" w:cs="宋体"/>
          <w:color w:val="000000"/>
          <w:sz w:val="24"/>
          <w:szCs w:val="24"/>
        </w:rPr>
      </w:pPr>
      <w:r>
        <w:rPr>
          <w:rFonts w:hint="eastAsia" w:ascii="宋体" w:hAnsi="宋体" w:eastAsia="宋体" w:cs="宋体"/>
          <w:color w:val="000000"/>
          <w:sz w:val="24"/>
          <w:szCs w:val="24"/>
        </w:rPr>
        <w:t>项目联系人：</w:t>
      </w:r>
      <w:bookmarkEnd w:id="42"/>
      <w:bookmarkEnd w:id="43"/>
      <w:bookmarkEnd w:id="44"/>
      <w:bookmarkEnd w:id="45"/>
      <w:r>
        <w:rPr>
          <w:rFonts w:hint="eastAsia" w:ascii="宋体" w:hAnsi="宋体" w:eastAsia="宋体" w:cs="宋体"/>
          <w:color w:val="000000"/>
          <w:sz w:val="24"/>
          <w:szCs w:val="24"/>
          <w:highlight w:val="none"/>
        </w:rPr>
        <w:t>严</w:t>
      </w:r>
      <w:r>
        <w:rPr>
          <w:rFonts w:hint="eastAsia" w:ascii="宋体" w:hAnsi="宋体" w:eastAsia="宋体" w:cs="宋体"/>
          <w:color w:val="000000"/>
          <w:sz w:val="24"/>
          <w:szCs w:val="24"/>
          <w:highlight w:val="none"/>
          <w:lang w:val="en-US" w:eastAsia="zh-CN"/>
        </w:rPr>
        <w:t>叶存</w:t>
      </w:r>
    </w:p>
    <w:p w14:paraId="00D76F9E">
      <w:pPr>
        <w:pStyle w:val="4"/>
        <w:widowControl/>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联系方式：</w:t>
      </w:r>
      <w:r>
        <w:rPr>
          <w:rFonts w:hint="eastAsia" w:ascii="宋体" w:hAnsi="宋体" w:eastAsia="宋体" w:cs="宋体"/>
          <w:color w:val="000000"/>
          <w:sz w:val="24"/>
          <w:szCs w:val="24"/>
          <w:lang w:val="en-US" w:eastAsia="zh-CN"/>
        </w:rPr>
        <w:t>0770-3236256</w:t>
      </w:r>
      <w:r>
        <w:rPr>
          <w:rFonts w:hint="eastAsia" w:ascii="宋体" w:hAnsi="宋体" w:cs="宋体"/>
          <w:color w:val="000000"/>
          <w:sz w:val="24"/>
          <w:szCs w:val="24"/>
          <w:lang w:val="en-US" w:eastAsia="zh-CN"/>
        </w:rPr>
        <w:t>，18977002756</w:t>
      </w:r>
    </w:p>
    <w:p w14:paraId="5FEDD90E">
      <w:pPr>
        <w:widowControl/>
        <w:spacing w:line="450" w:lineRule="atLeast"/>
        <w:ind w:firstLine="240" w:firstLineChars="100"/>
        <w:rPr>
          <w:rFonts w:hint="eastAsia" w:ascii="宋体" w:hAnsi="宋体" w:eastAsia="宋体" w:cs="宋体"/>
          <w:bCs/>
          <w:color w:val="000000"/>
          <w:kern w:val="0"/>
          <w:sz w:val="24"/>
          <w:szCs w:val="24"/>
        </w:rPr>
      </w:pPr>
    </w:p>
    <w:p w14:paraId="45A788F0">
      <w:pPr>
        <w:keepNext w:val="0"/>
        <w:keepLines w:val="0"/>
        <w:widowControl w:val="0"/>
        <w:spacing w:before="120" w:beforeAutospacing="0" w:after="120" w:afterAutospacing="0" w:line="360" w:lineRule="auto"/>
        <w:ind w:left="7590" w:hanging="6505" w:hangingChars="2700"/>
        <w:outlineLvl w:val="9"/>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w:t>
      </w:r>
    </w:p>
    <w:p w14:paraId="21CA25FC">
      <w:pPr>
        <w:rPr>
          <w:rFonts w:hint="eastAsia" w:ascii="宋体" w:hAnsi="宋体" w:eastAsia="宋体" w:cs="宋体"/>
          <w:sz w:val="24"/>
          <w:szCs w:val="24"/>
        </w:rPr>
      </w:pPr>
    </w:p>
    <w:p w14:paraId="17A05927">
      <w:pPr>
        <w:pStyle w:val="29"/>
        <w:rPr>
          <w:rFonts w:hint="eastAsia" w:ascii="宋体" w:hAnsi="宋体" w:eastAsia="宋体" w:cs="宋体"/>
          <w:sz w:val="24"/>
          <w:szCs w:val="24"/>
        </w:rPr>
      </w:pPr>
    </w:p>
    <w:p w14:paraId="046EE6A4">
      <w:pPr>
        <w:pStyle w:val="29"/>
        <w:rPr>
          <w:rFonts w:hint="eastAsia" w:ascii="宋体" w:hAnsi="宋体" w:eastAsia="宋体" w:cs="宋体"/>
          <w:sz w:val="24"/>
          <w:szCs w:val="24"/>
        </w:rPr>
      </w:pPr>
    </w:p>
    <w:p w14:paraId="141C0E2E">
      <w:pPr>
        <w:pStyle w:val="29"/>
        <w:rPr>
          <w:rFonts w:hint="eastAsia" w:ascii="宋体" w:hAnsi="宋体" w:eastAsia="宋体" w:cs="宋体"/>
          <w:sz w:val="24"/>
          <w:szCs w:val="24"/>
        </w:rPr>
      </w:pPr>
    </w:p>
    <w:p w14:paraId="17401F36">
      <w:pPr>
        <w:pStyle w:val="29"/>
        <w:rPr>
          <w:rFonts w:hint="eastAsia" w:ascii="宋体" w:hAnsi="宋体" w:eastAsia="宋体" w:cs="宋体"/>
          <w:sz w:val="24"/>
          <w:szCs w:val="24"/>
        </w:rPr>
      </w:pPr>
    </w:p>
    <w:p w14:paraId="50D165B7">
      <w:pPr>
        <w:pStyle w:val="29"/>
        <w:rPr>
          <w:rFonts w:hint="eastAsia" w:ascii="宋体" w:hAnsi="宋体" w:eastAsia="宋体" w:cs="宋体"/>
          <w:sz w:val="24"/>
          <w:szCs w:val="24"/>
        </w:rPr>
      </w:pPr>
    </w:p>
    <w:p w14:paraId="3B4C4F01">
      <w:pPr>
        <w:pStyle w:val="29"/>
        <w:rPr>
          <w:rFonts w:hint="eastAsia" w:ascii="宋体" w:hAnsi="宋体" w:eastAsia="宋体" w:cs="宋体"/>
          <w:sz w:val="24"/>
          <w:szCs w:val="24"/>
        </w:rPr>
      </w:pPr>
    </w:p>
    <w:p w14:paraId="4B418F9E">
      <w:pPr>
        <w:pStyle w:val="29"/>
        <w:rPr>
          <w:rFonts w:hint="eastAsia" w:ascii="宋体" w:hAnsi="宋体" w:eastAsia="宋体" w:cs="宋体"/>
          <w:sz w:val="24"/>
          <w:szCs w:val="24"/>
        </w:rPr>
      </w:pPr>
    </w:p>
    <w:p w14:paraId="63C43CC4">
      <w:pPr>
        <w:pStyle w:val="29"/>
        <w:rPr>
          <w:rFonts w:hint="eastAsia" w:ascii="宋体" w:hAnsi="宋体" w:eastAsia="宋体" w:cs="宋体"/>
          <w:sz w:val="24"/>
          <w:szCs w:val="24"/>
        </w:rPr>
      </w:pPr>
    </w:p>
    <w:p w14:paraId="09147CEF">
      <w:pPr>
        <w:pStyle w:val="29"/>
        <w:rPr>
          <w:rFonts w:hint="eastAsia" w:ascii="宋体" w:hAnsi="宋体" w:eastAsia="宋体" w:cs="宋体"/>
          <w:sz w:val="24"/>
          <w:szCs w:val="24"/>
        </w:rPr>
      </w:pPr>
    </w:p>
    <w:p w14:paraId="20C7E7FC">
      <w:pPr>
        <w:pStyle w:val="44"/>
        <w:numPr>
          <w:ilvl w:val="0"/>
          <w:numId w:val="2"/>
        </w:numPr>
        <w:spacing w:line="240" w:lineRule="auto"/>
        <w:ind w:left="0" w:leftChars="0" w:firstLine="0" w:firstLineChars="0"/>
        <w:outlineLvl w:val="0"/>
        <w:rPr>
          <w:rFonts w:hint="eastAsia" w:ascii="宋体" w:hAnsi="宋体" w:eastAsia="宋体" w:cs="宋体"/>
          <w:b/>
          <w:bCs/>
          <w:sz w:val="32"/>
          <w:szCs w:val="32"/>
        </w:rPr>
      </w:pPr>
      <w:bookmarkStart w:id="46" w:name="_Toc1467"/>
      <w:r>
        <w:rPr>
          <w:rFonts w:hint="eastAsia" w:ascii="宋体" w:hAnsi="宋体" w:eastAsia="宋体" w:cs="宋体"/>
          <w:b/>
          <w:bCs/>
          <w:sz w:val="32"/>
          <w:szCs w:val="32"/>
        </w:rPr>
        <w:t>磋商须知</w:t>
      </w:r>
      <w:bookmarkEnd w:id="46"/>
    </w:p>
    <w:p w14:paraId="16BD5381">
      <w:pPr>
        <w:pStyle w:val="46"/>
        <w:spacing w:line="240" w:lineRule="auto"/>
        <w:outlineLvl w:val="0"/>
        <w:rPr>
          <w:rFonts w:hint="eastAsia" w:ascii="宋体" w:hAnsi="宋体" w:eastAsia="宋体" w:cs="宋体"/>
          <w:b/>
          <w:bCs/>
          <w:sz w:val="30"/>
          <w:szCs w:val="30"/>
        </w:rPr>
      </w:pPr>
      <w:r>
        <w:rPr>
          <w:rFonts w:hint="eastAsia" w:ascii="宋体" w:hAnsi="宋体" w:eastAsia="宋体" w:cs="宋体"/>
          <w:b/>
          <w:bCs/>
          <w:sz w:val="30"/>
          <w:szCs w:val="30"/>
        </w:rPr>
        <w:t>磋商须知前附表</w:t>
      </w:r>
    </w:p>
    <w:tbl>
      <w:tblPr>
        <w:tblStyle w:val="25"/>
        <w:tblpPr w:leftFromText="180" w:rightFromText="180" w:vertAnchor="text" w:horzAnchor="page" w:tblpX="1106" w:tblpY="585"/>
        <w:tblOverlap w:val="never"/>
        <w:tblW w:w="100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1126"/>
        <w:gridCol w:w="8010"/>
      </w:tblGrid>
      <w:tr w14:paraId="5EDB9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939" w:type="dxa"/>
            <w:noWrap w:val="0"/>
            <w:vAlign w:val="center"/>
          </w:tcPr>
          <w:p w14:paraId="14885D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1126" w:type="dxa"/>
            <w:noWrap w:val="0"/>
            <w:vAlign w:val="center"/>
          </w:tcPr>
          <w:p w14:paraId="631311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条款号</w:t>
            </w:r>
          </w:p>
        </w:tc>
        <w:tc>
          <w:tcPr>
            <w:tcW w:w="8010" w:type="dxa"/>
            <w:noWrap w:val="0"/>
            <w:vAlign w:val="center"/>
          </w:tcPr>
          <w:p w14:paraId="739AF3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内    容</w:t>
            </w:r>
          </w:p>
        </w:tc>
      </w:tr>
      <w:tr w14:paraId="28C75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939" w:type="dxa"/>
            <w:noWrap w:val="0"/>
            <w:vAlign w:val="center"/>
          </w:tcPr>
          <w:p w14:paraId="7607B1AE">
            <w:pPr>
              <w:numPr>
                <w:ilvl w:val="0"/>
                <w:numId w:val="0"/>
              </w:numPr>
              <w:spacing w:line="360" w:lineRule="auto"/>
              <w:ind w:left="420" w:leftChars="0" w:hanging="420" w:firstLine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w:t>
            </w:r>
          </w:p>
        </w:tc>
        <w:tc>
          <w:tcPr>
            <w:tcW w:w="1126" w:type="dxa"/>
            <w:noWrap w:val="0"/>
            <w:vAlign w:val="center"/>
          </w:tcPr>
          <w:p w14:paraId="188939B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8010" w:type="dxa"/>
            <w:noWrap w:val="0"/>
            <w:vAlign w:val="center"/>
          </w:tcPr>
          <w:p w14:paraId="1C4F2C29">
            <w:pPr>
              <w:pStyle w:val="4"/>
              <w:widowControl/>
              <w:ind w:left="0" w:leftChars="0" w:firstLine="0" w:firstLineChars="0"/>
              <w:rPr>
                <w:rFonts w:hint="eastAsia"/>
                <w:color w:val="auto"/>
                <w:sz w:val="24"/>
                <w:szCs w:val="24"/>
              </w:rPr>
            </w:pPr>
            <w:r>
              <w:rPr>
                <w:rFonts w:hint="eastAsia" w:ascii="宋体" w:hAnsi="宋体" w:eastAsia="宋体" w:cs="宋体"/>
                <w:color w:val="auto"/>
                <w:sz w:val="24"/>
                <w:szCs w:val="24"/>
              </w:rPr>
              <w:t>项目编号：</w:t>
            </w:r>
            <w:r>
              <w:rPr>
                <w:rFonts w:hint="eastAsia"/>
                <w:color w:val="auto"/>
                <w:sz w:val="24"/>
                <w:szCs w:val="24"/>
              </w:rPr>
              <w:t>FCZC2025-C2-990090-GXGL</w:t>
            </w:r>
          </w:p>
          <w:p w14:paraId="3FFF322A">
            <w:pPr>
              <w:pStyle w:val="4"/>
              <w:widowControl/>
              <w:ind w:left="0" w:leftChars="0" w:firstLine="0" w:firstLineChars="0"/>
              <w:rPr>
                <w:rFonts w:hint="eastAsia" w:ascii="宋体" w:hAnsi="宋体" w:eastAsia="宋体" w:cs="宋体"/>
                <w:b w:val="0"/>
                <w:bCs/>
                <w:color w:val="auto"/>
                <w:sz w:val="24"/>
                <w:szCs w:val="24"/>
                <w:lang w:eastAsia="zh-CN"/>
              </w:rPr>
            </w:pPr>
            <w:r>
              <w:rPr>
                <w:rFonts w:hint="eastAsia" w:ascii="宋体" w:hAnsi="宋体" w:eastAsia="宋体" w:cs="宋体"/>
                <w:color w:val="auto"/>
                <w:sz w:val="24"/>
                <w:szCs w:val="24"/>
              </w:rPr>
              <w:t>项目名称：</w:t>
            </w:r>
            <w:r>
              <w:rPr>
                <w:rFonts w:ascii="微软雅黑" w:hAnsi="微软雅黑" w:eastAsia="微软雅黑" w:cs="微软雅黑"/>
                <w:i w:val="0"/>
                <w:iCs w:val="0"/>
                <w:caps w:val="0"/>
                <w:color w:val="auto"/>
                <w:spacing w:val="0"/>
                <w:sz w:val="24"/>
                <w:szCs w:val="24"/>
                <w:u w:val="none"/>
              </w:rPr>
              <w:fldChar w:fldCharType="begin"/>
            </w:r>
            <w:r>
              <w:rPr>
                <w:rFonts w:ascii="微软雅黑" w:hAnsi="微软雅黑" w:eastAsia="微软雅黑" w:cs="微软雅黑"/>
                <w:i w:val="0"/>
                <w:iCs w:val="0"/>
                <w:caps w:val="0"/>
                <w:color w:val="auto"/>
                <w:spacing w:val="0"/>
                <w:sz w:val="24"/>
                <w:szCs w:val="24"/>
                <w:u w:val="none"/>
              </w:rPr>
              <w:instrText xml:space="preserve"> HYPERLINK "https://www.gcy.zfcg.gxzf.gov.cn/project-center/_procurement_/project-detail-router/662138e66ac54375" \t "https://www.gcy.zfcg.gxzf.gov.cn/bid-inviting/_procurement_/purchaseFileMake/_blank" </w:instrText>
            </w:r>
            <w:r>
              <w:rPr>
                <w:rFonts w:ascii="微软雅黑" w:hAnsi="微软雅黑" w:eastAsia="微软雅黑" w:cs="微软雅黑"/>
                <w:i w:val="0"/>
                <w:iCs w:val="0"/>
                <w:caps w:val="0"/>
                <w:color w:val="auto"/>
                <w:spacing w:val="0"/>
                <w:sz w:val="24"/>
                <w:szCs w:val="24"/>
                <w:u w:val="none"/>
              </w:rPr>
              <w:fldChar w:fldCharType="separate"/>
            </w:r>
            <w:r>
              <w:rPr>
                <w:rStyle w:val="28"/>
                <w:rFonts w:hint="eastAsia" w:ascii="微软雅黑" w:hAnsi="微软雅黑" w:eastAsia="微软雅黑" w:cs="微软雅黑"/>
                <w:i w:val="0"/>
                <w:iCs w:val="0"/>
                <w:caps w:val="0"/>
                <w:color w:val="auto"/>
                <w:spacing w:val="0"/>
                <w:sz w:val="24"/>
                <w:szCs w:val="24"/>
                <w:u w:val="none"/>
              </w:rPr>
              <w:t>防城港市高级中学教学楼供电改造项目</w:t>
            </w:r>
            <w:r>
              <w:rPr>
                <w:rFonts w:hint="eastAsia" w:ascii="微软雅黑" w:hAnsi="微软雅黑" w:eastAsia="微软雅黑" w:cs="微软雅黑"/>
                <w:i w:val="0"/>
                <w:iCs w:val="0"/>
                <w:caps w:val="0"/>
                <w:color w:val="auto"/>
                <w:spacing w:val="0"/>
                <w:sz w:val="24"/>
                <w:szCs w:val="24"/>
                <w:u w:val="none"/>
              </w:rPr>
              <w:fldChar w:fldCharType="end"/>
            </w:r>
          </w:p>
          <w:p w14:paraId="14C6CF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eastAsia="zh-CN"/>
              </w:rPr>
            </w:pPr>
            <w:r>
              <w:rPr>
                <w:rFonts w:hint="eastAsia" w:ascii="宋体" w:hAnsi="宋体" w:eastAsia="宋体" w:cs="宋体"/>
                <w:bCs/>
                <w:color w:val="auto"/>
                <w:sz w:val="24"/>
                <w:szCs w:val="24"/>
              </w:rPr>
              <w:t>工程范围：项目地点位于</w:t>
            </w:r>
            <w:r>
              <w:rPr>
                <w:rStyle w:val="28"/>
                <w:rFonts w:hint="eastAsia" w:ascii="微软雅黑" w:hAnsi="微软雅黑" w:eastAsia="微软雅黑" w:cs="微软雅黑"/>
                <w:i w:val="0"/>
                <w:iCs w:val="0"/>
                <w:caps w:val="0"/>
                <w:color w:val="auto"/>
                <w:spacing w:val="0"/>
                <w:sz w:val="24"/>
                <w:szCs w:val="24"/>
                <w:u w:val="none"/>
              </w:rPr>
              <w:t>防城港市高级中学教学楼供电改造</w:t>
            </w:r>
            <w:r>
              <w:rPr>
                <w:rFonts w:hint="eastAsia" w:ascii="宋体" w:hAnsi="宋体" w:eastAsia="宋体" w:cs="宋体"/>
                <w:b w:val="0"/>
                <w:bCs w:val="0"/>
                <w:color w:val="auto"/>
                <w:sz w:val="24"/>
                <w:szCs w:val="24"/>
                <w:highlight w:val="none"/>
              </w:rPr>
              <w:t>，详见</w:t>
            </w:r>
            <w:r>
              <w:rPr>
                <w:rFonts w:hint="eastAsia" w:ascii="宋体" w:hAnsi="宋体" w:eastAsia="宋体" w:cs="宋体"/>
                <w:color w:val="auto"/>
                <w:sz w:val="24"/>
                <w:szCs w:val="24"/>
                <w:highlight w:val="none"/>
              </w:rPr>
              <w:t>工程量清单。</w:t>
            </w:r>
          </w:p>
          <w:p w14:paraId="4667D9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资金来源及出资比例：</w:t>
            </w:r>
            <w:r>
              <w:rPr>
                <w:rFonts w:hint="eastAsia" w:ascii="宋体" w:hAnsi="宋体" w:eastAsia="宋体" w:cs="宋体"/>
                <w:bCs/>
                <w:color w:val="auto"/>
                <w:sz w:val="24"/>
                <w:szCs w:val="24"/>
                <w:lang w:eastAsia="zh-CN"/>
              </w:rPr>
              <w:t>财政</w:t>
            </w:r>
            <w:r>
              <w:rPr>
                <w:rFonts w:hint="eastAsia" w:ascii="宋体" w:hAnsi="宋体" w:eastAsia="宋体" w:cs="宋体"/>
                <w:bCs/>
                <w:color w:val="auto"/>
                <w:sz w:val="24"/>
                <w:szCs w:val="24"/>
              </w:rPr>
              <w:t>资金，100%；</w:t>
            </w:r>
          </w:p>
          <w:p w14:paraId="01887A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发包方式：综合单价包干；</w:t>
            </w:r>
          </w:p>
          <w:p w14:paraId="434756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要求工期：工期为</w:t>
            </w:r>
            <w:r>
              <w:rPr>
                <w:rFonts w:hint="eastAsia" w:ascii="宋体" w:hAnsi="宋体" w:eastAsia="宋体" w:cs="宋体"/>
                <w:bCs/>
                <w:color w:val="auto"/>
                <w:sz w:val="24"/>
                <w:szCs w:val="24"/>
                <w:lang w:val="en-US" w:eastAsia="zh-CN"/>
              </w:rPr>
              <w:t>50</w:t>
            </w:r>
            <w:r>
              <w:rPr>
                <w:rFonts w:hint="eastAsia" w:ascii="宋体" w:hAnsi="宋体" w:eastAsia="宋体" w:cs="宋体"/>
                <w:bCs/>
                <w:color w:val="auto"/>
                <w:sz w:val="24"/>
                <w:szCs w:val="24"/>
              </w:rPr>
              <w:t>日历天；</w:t>
            </w:r>
          </w:p>
          <w:p w14:paraId="0587F1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质量要求：达到国家施工验收规范合格标准；</w:t>
            </w:r>
          </w:p>
        </w:tc>
      </w:tr>
      <w:tr w14:paraId="5D013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939" w:type="dxa"/>
            <w:noWrap w:val="0"/>
            <w:vAlign w:val="center"/>
          </w:tcPr>
          <w:p w14:paraId="7A18DAD9">
            <w:pPr>
              <w:numPr>
                <w:ilvl w:val="0"/>
                <w:numId w:val="0"/>
              </w:numPr>
              <w:spacing w:line="360" w:lineRule="auto"/>
              <w:ind w:left="420" w:leftChars="0" w:hanging="420" w:firstLine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2</w:t>
            </w:r>
          </w:p>
        </w:tc>
        <w:tc>
          <w:tcPr>
            <w:tcW w:w="1126" w:type="dxa"/>
            <w:noWrap w:val="0"/>
            <w:vAlign w:val="center"/>
          </w:tcPr>
          <w:p w14:paraId="2B4FFE0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3.1</w:t>
            </w:r>
          </w:p>
        </w:tc>
        <w:tc>
          <w:tcPr>
            <w:tcW w:w="8010" w:type="dxa"/>
            <w:noWrap w:val="0"/>
            <w:vAlign w:val="center"/>
          </w:tcPr>
          <w:p w14:paraId="20764E47">
            <w:pPr>
              <w:snapToGrid w:val="0"/>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t>供应商的资格条件</w:t>
            </w:r>
            <w:r>
              <w:rPr>
                <w:rFonts w:hint="eastAsia" w:ascii="宋体" w:hAnsi="宋体" w:eastAsia="宋体" w:cs="宋体"/>
                <w:b/>
                <w:bCs/>
                <w:color w:val="auto"/>
                <w:sz w:val="24"/>
                <w:szCs w:val="24"/>
              </w:rPr>
              <w:t>：</w:t>
            </w:r>
            <w:r>
              <w:rPr>
                <w:rFonts w:hint="eastAsia" w:ascii="宋体" w:hAnsi="宋体" w:eastAsia="宋体" w:cs="宋体"/>
                <w:color w:val="auto"/>
                <w:sz w:val="24"/>
                <w:szCs w:val="24"/>
              </w:rPr>
              <w:t>详见竞争性磋商公告</w:t>
            </w:r>
          </w:p>
        </w:tc>
      </w:tr>
      <w:tr w14:paraId="62FBD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8" w:hRule="atLeast"/>
        </w:trPr>
        <w:tc>
          <w:tcPr>
            <w:tcW w:w="939" w:type="dxa"/>
            <w:noWrap w:val="0"/>
            <w:vAlign w:val="center"/>
          </w:tcPr>
          <w:p w14:paraId="1DB3CA7E">
            <w:pPr>
              <w:numPr>
                <w:ilvl w:val="0"/>
                <w:numId w:val="0"/>
              </w:numPr>
              <w:spacing w:line="360" w:lineRule="auto"/>
              <w:ind w:left="420" w:leftChars="0" w:hanging="420" w:firstLine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3</w:t>
            </w:r>
          </w:p>
        </w:tc>
        <w:tc>
          <w:tcPr>
            <w:tcW w:w="1126" w:type="dxa"/>
            <w:noWrap w:val="0"/>
            <w:vAlign w:val="center"/>
          </w:tcPr>
          <w:p w14:paraId="2B7A629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4.2</w:t>
            </w:r>
          </w:p>
        </w:tc>
        <w:tc>
          <w:tcPr>
            <w:tcW w:w="8010" w:type="dxa"/>
            <w:noWrap w:val="0"/>
            <w:vAlign w:val="center"/>
          </w:tcPr>
          <w:p w14:paraId="7796694F">
            <w:pPr>
              <w:pStyle w:val="17"/>
              <w:snapToGrid w:val="0"/>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1.采购代理费收取方式：</w:t>
            </w:r>
          </w:p>
          <w:p w14:paraId="4E2190B8">
            <w:pPr>
              <w:pStyle w:val="17"/>
              <w:snapToGrid w:val="0"/>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☑本项目代理服务费由</w:t>
            </w:r>
            <w:r>
              <w:rPr>
                <w:rFonts w:hint="eastAsia" w:ascii="宋体" w:hAnsi="宋体" w:eastAsia="宋体" w:cs="宋体"/>
                <w:color w:val="auto"/>
                <w:sz w:val="24"/>
                <w:szCs w:val="24"/>
                <w:u w:val="single"/>
              </w:rPr>
              <w:t>成交供应商</w:t>
            </w:r>
            <w:r>
              <w:rPr>
                <w:rFonts w:hint="eastAsia" w:ascii="宋体" w:hAnsi="宋体" w:eastAsia="宋体" w:cs="宋体"/>
                <w:color w:val="auto"/>
                <w:sz w:val="24"/>
                <w:szCs w:val="24"/>
              </w:rPr>
              <w:t>向采购代理机构支付。</w:t>
            </w:r>
          </w:p>
          <w:p w14:paraId="0A1FF718">
            <w:pPr>
              <w:pStyle w:val="17"/>
              <w:snapToGrid w:val="0"/>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□采购人支付。</w:t>
            </w:r>
          </w:p>
          <w:p w14:paraId="19BBC5EA">
            <w:pPr>
              <w:pStyle w:val="17"/>
              <w:snapToGrid w:val="0"/>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2.采购代理费收取标准：</w:t>
            </w:r>
          </w:p>
          <w:p w14:paraId="43302298">
            <w:pPr>
              <w:pStyle w:val="30"/>
              <w:spacing w:line="42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☑本项目的招标代理服务费按国家发展计划委员会计价格[2002]1980号《招标代理服务费管理暂行办法》文执行的收费标准，由成交人向采购代理机构支付。</w:t>
            </w:r>
          </w:p>
        </w:tc>
      </w:tr>
      <w:tr w14:paraId="2042F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939" w:type="dxa"/>
            <w:noWrap w:val="0"/>
            <w:vAlign w:val="center"/>
          </w:tcPr>
          <w:p w14:paraId="6359863F">
            <w:pPr>
              <w:numPr>
                <w:ilvl w:val="0"/>
                <w:numId w:val="0"/>
              </w:numPr>
              <w:spacing w:line="360" w:lineRule="auto"/>
              <w:ind w:left="420" w:leftChars="0" w:hanging="420" w:firstLine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4</w:t>
            </w:r>
          </w:p>
        </w:tc>
        <w:tc>
          <w:tcPr>
            <w:tcW w:w="1126" w:type="dxa"/>
            <w:noWrap w:val="0"/>
            <w:vAlign w:val="center"/>
          </w:tcPr>
          <w:p w14:paraId="22DD1E6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7.1</w:t>
            </w:r>
          </w:p>
        </w:tc>
        <w:tc>
          <w:tcPr>
            <w:tcW w:w="8010" w:type="dxa"/>
            <w:noWrap w:val="0"/>
            <w:vAlign w:val="center"/>
          </w:tcPr>
          <w:p w14:paraId="6E51C175">
            <w:pPr>
              <w:spacing w:line="360" w:lineRule="auto"/>
              <w:rPr>
                <w:rFonts w:hint="eastAsia" w:ascii="宋体" w:hAnsi="宋体" w:eastAsia="宋体" w:cs="宋体"/>
                <w:color w:val="auto"/>
                <w:sz w:val="24"/>
                <w:szCs w:val="24"/>
              </w:rPr>
            </w:pPr>
            <w:r>
              <w:rPr>
                <w:rFonts w:hint="eastAsia" w:ascii="宋体" w:hAnsi="宋体" w:eastAsia="宋体" w:cs="宋体"/>
                <w:color w:val="auto"/>
                <w:spacing w:val="4"/>
                <w:sz w:val="24"/>
                <w:szCs w:val="24"/>
              </w:rPr>
              <w:t>现场踏勘：</w:t>
            </w:r>
            <w:r>
              <w:rPr>
                <w:rFonts w:hint="eastAsia" w:ascii="宋体" w:hAnsi="宋体" w:eastAsia="宋体" w:cs="宋体"/>
                <w:color w:val="auto"/>
                <w:sz w:val="24"/>
                <w:szCs w:val="24"/>
              </w:rPr>
              <w:t>不组织现场踏勘，潜在供应商可自行考察现场。</w:t>
            </w:r>
          </w:p>
        </w:tc>
      </w:tr>
      <w:tr w14:paraId="7CB65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trPr>
        <w:tc>
          <w:tcPr>
            <w:tcW w:w="939" w:type="dxa"/>
            <w:noWrap w:val="0"/>
            <w:vAlign w:val="center"/>
          </w:tcPr>
          <w:p w14:paraId="018CA926">
            <w:pPr>
              <w:numPr>
                <w:ilvl w:val="0"/>
                <w:numId w:val="0"/>
              </w:numPr>
              <w:spacing w:line="360" w:lineRule="auto"/>
              <w:ind w:left="420" w:leftChars="0" w:hanging="420" w:firstLine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5</w:t>
            </w:r>
          </w:p>
        </w:tc>
        <w:tc>
          <w:tcPr>
            <w:tcW w:w="1126" w:type="dxa"/>
            <w:noWrap w:val="0"/>
            <w:vAlign w:val="center"/>
          </w:tcPr>
          <w:p w14:paraId="5AD4A808">
            <w:pPr>
              <w:spacing w:line="360" w:lineRule="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付款方式</w:t>
            </w:r>
          </w:p>
        </w:tc>
        <w:tc>
          <w:tcPr>
            <w:tcW w:w="8010" w:type="dxa"/>
            <w:noWrap w:val="0"/>
            <w:vAlign w:val="center"/>
          </w:tcPr>
          <w:p w14:paraId="19CC6E51">
            <w:pPr>
              <w:spacing w:line="360" w:lineRule="auto"/>
              <w:rPr>
                <w:rFonts w:hint="eastAsia" w:ascii="宋体" w:hAnsi="宋体" w:eastAsia="宋体" w:cs="宋体"/>
                <w:color w:val="auto"/>
                <w:spacing w:val="4"/>
                <w:sz w:val="24"/>
                <w:szCs w:val="24"/>
              </w:rPr>
            </w:pPr>
            <w:r>
              <w:rPr>
                <w:rFonts w:hint="eastAsia" w:ascii="宋体" w:hAnsi="宋体" w:cs="宋体"/>
                <w:color w:val="auto"/>
                <w:spacing w:val="1"/>
                <w:sz w:val="24"/>
                <w:szCs w:val="24"/>
                <w:lang w:eastAsia="zh-CN"/>
              </w:rPr>
              <w:t>施工完成后</w:t>
            </w:r>
            <w:r>
              <w:rPr>
                <w:rFonts w:hint="eastAsia" w:ascii="宋体" w:hAnsi="宋体" w:cs="宋体"/>
                <w:color w:val="auto"/>
                <w:spacing w:val="1"/>
                <w:sz w:val="24"/>
                <w:szCs w:val="24"/>
                <w:lang w:val="en-US" w:eastAsia="zh-CN"/>
              </w:rPr>
              <w:t>30天内</w:t>
            </w:r>
            <w:r>
              <w:rPr>
                <w:rFonts w:hint="eastAsia" w:ascii="宋体" w:hAnsi="宋体" w:cs="宋体"/>
                <w:color w:val="auto"/>
                <w:spacing w:val="1"/>
                <w:sz w:val="24"/>
                <w:szCs w:val="24"/>
                <w:lang w:eastAsia="zh-CN"/>
              </w:rPr>
              <w:t>付</w:t>
            </w:r>
            <w:r>
              <w:rPr>
                <w:rFonts w:hint="eastAsia" w:ascii="宋体" w:hAnsi="宋体" w:eastAsia="宋体" w:cs="宋体"/>
                <w:color w:val="auto"/>
                <w:spacing w:val="1"/>
                <w:sz w:val="24"/>
                <w:szCs w:val="24"/>
              </w:rPr>
              <w:t>合同款的80%，工程</w:t>
            </w:r>
            <w:r>
              <w:rPr>
                <w:rFonts w:hint="eastAsia" w:ascii="宋体" w:hAnsi="宋体" w:cs="宋体"/>
                <w:color w:val="auto"/>
                <w:spacing w:val="1"/>
                <w:sz w:val="24"/>
                <w:szCs w:val="24"/>
                <w:lang w:eastAsia="zh-CN"/>
              </w:rPr>
              <w:t>施工</w:t>
            </w:r>
            <w:r>
              <w:rPr>
                <w:rFonts w:hint="eastAsia" w:ascii="宋体" w:hAnsi="宋体" w:eastAsia="宋体" w:cs="宋体"/>
                <w:color w:val="auto"/>
                <w:spacing w:val="1"/>
                <w:sz w:val="24"/>
                <w:szCs w:val="24"/>
              </w:rPr>
              <w:t>完</w:t>
            </w:r>
            <w:r>
              <w:rPr>
                <w:rFonts w:hint="eastAsia" w:ascii="宋体" w:hAnsi="宋体" w:cs="宋体"/>
                <w:color w:val="auto"/>
                <w:spacing w:val="1"/>
                <w:sz w:val="24"/>
                <w:szCs w:val="24"/>
                <w:lang w:eastAsia="zh-CN"/>
              </w:rPr>
              <w:t>至</w:t>
            </w:r>
            <w:r>
              <w:rPr>
                <w:rFonts w:hint="eastAsia" w:ascii="宋体" w:hAnsi="宋体" w:eastAsia="宋体" w:cs="宋体"/>
                <w:color w:val="auto"/>
                <w:spacing w:val="1"/>
                <w:sz w:val="24"/>
                <w:szCs w:val="24"/>
              </w:rPr>
              <w:t>验收质量</w:t>
            </w:r>
            <w:r>
              <w:rPr>
                <w:rFonts w:hint="eastAsia" w:ascii="宋体" w:hAnsi="宋体" w:cs="宋体"/>
                <w:color w:val="auto"/>
                <w:spacing w:val="1"/>
                <w:sz w:val="24"/>
                <w:szCs w:val="24"/>
                <w:lang w:eastAsia="zh-CN"/>
              </w:rPr>
              <w:t>达到合格标准</w:t>
            </w:r>
            <w:r>
              <w:rPr>
                <w:rFonts w:hint="eastAsia" w:ascii="宋体" w:hAnsi="宋体" w:eastAsia="宋体" w:cs="宋体"/>
                <w:color w:val="auto"/>
                <w:spacing w:val="1"/>
                <w:sz w:val="24"/>
                <w:szCs w:val="24"/>
              </w:rPr>
              <w:t>，经</w:t>
            </w:r>
            <w:r>
              <w:rPr>
                <w:rFonts w:hint="eastAsia" w:ascii="宋体" w:hAnsi="宋体" w:eastAsia="宋体" w:cs="宋体"/>
                <w:color w:val="auto"/>
                <w:spacing w:val="1"/>
                <w:sz w:val="24"/>
                <w:szCs w:val="24"/>
                <w:lang w:eastAsia="zh-CN"/>
              </w:rPr>
              <w:t>结算</w:t>
            </w:r>
            <w:r>
              <w:rPr>
                <w:rFonts w:hint="eastAsia" w:ascii="宋体" w:hAnsi="宋体" w:eastAsia="宋体" w:cs="宋体"/>
                <w:color w:val="auto"/>
                <w:spacing w:val="1"/>
                <w:sz w:val="24"/>
                <w:szCs w:val="24"/>
              </w:rPr>
              <w:t>审定</w:t>
            </w:r>
            <w:r>
              <w:rPr>
                <w:rFonts w:hint="eastAsia" w:ascii="宋体" w:hAnsi="宋体" w:cs="宋体"/>
                <w:color w:val="auto"/>
                <w:spacing w:val="1"/>
                <w:sz w:val="24"/>
                <w:szCs w:val="24"/>
                <w:lang w:val="en-US" w:eastAsia="zh-CN"/>
              </w:rPr>
              <w:t>30天内</w:t>
            </w:r>
            <w:r>
              <w:rPr>
                <w:rFonts w:hint="eastAsia" w:ascii="宋体" w:hAnsi="宋体" w:eastAsia="宋体" w:cs="宋体"/>
                <w:color w:val="auto"/>
                <w:spacing w:val="1"/>
                <w:sz w:val="24"/>
                <w:szCs w:val="24"/>
              </w:rPr>
              <w:t>支付</w:t>
            </w:r>
            <w:r>
              <w:rPr>
                <w:rFonts w:hint="eastAsia" w:ascii="宋体" w:hAnsi="宋体" w:cs="宋体"/>
                <w:color w:val="auto"/>
                <w:spacing w:val="1"/>
                <w:sz w:val="24"/>
                <w:szCs w:val="24"/>
                <w:lang w:eastAsia="zh-CN"/>
              </w:rPr>
              <w:t>合同款</w:t>
            </w:r>
            <w:r>
              <w:rPr>
                <w:rFonts w:hint="eastAsia" w:ascii="宋体" w:hAnsi="宋体" w:eastAsia="宋体" w:cs="宋体"/>
                <w:color w:val="auto"/>
                <w:spacing w:val="1"/>
                <w:sz w:val="24"/>
                <w:szCs w:val="24"/>
              </w:rPr>
              <w:t>总价的</w:t>
            </w:r>
            <w:r>
              <w:rPr>
                <w:rFonts w:hint="eastAsia" w:ascii="宋体" w:hAnsi="宋体" w:cs="宋体"/>
                <w:color w:val="auto"/>
                <w:spacing w:val="1"/>
                <w:sz w:val="24"/>
                <w:szCs w:val="24"/>
                <w:lang w:val="en-US" w:eastAsia="zh-CN"/>
              </w:rPr>
              <w:t>20</w:t>
            </w:r>
            <w:r>
              <w:rPr>
                <w:rFonts w:hint="eastAsia" w:ascii="宋体" w:hAnsi="宋体" w:eastAsia="宋体" w:cs="宋体"/>
                <w:color w:val="auto"/>
                <w:spacing w:val="1"/>
                <w:sz w:val="24"/>
                <w:szCs w:val="24"/>
              </w:rPr>
              <w:t>%；</w:t>
            </w:r>
            <w:r>
              <w:rPr>
                <w:rFonts w:hint="eastAsia" w:ascii="宋体" w:hAnsi="宋体" w:eastAsia="宋体" w:cs="宋体"/>
                <w:color w:val="auto"/>
                <w:spacing w:val="1"/>
                <w:sz w:val="24"/>
                <w:szCs w:val="24"/>
                <w:lang w:eastAsia="zh-CN"/>
              </w:rPr>
              <w:t>本工程的</w:t>
            </w:r>
            <w:r>
              <w:rPr>
                <w:rFonts w:hint="eastAsia" w:ascii="宋体" w:hAnsi="宋体" w:eastAsia="宋体" w:cs="宋体"/>
                <w:color w:val="auto"/>
                <w:spacing w:val="1"/>
                <w:sz w:val="24"/>
                <w:szCs w:val="24"/>
              </w:rPr>
              <w:t>质量缺陷责任期</w:t>
            </w:r>
            <w:r>
              <w:rPr>
                <w:rFonts w:hint="eastAsia" w:ascii="宋体" w:hAnsi="宋体" w:eastAsia="宋体" w:cs="宋体"/>
                <w:color w:val="auto"/>
                <w:spacing w:val="1"/>
                <w:sz w:val="24"/>
                <w:szCs w:val="24"/>
                <w:lang w:eastAsia="zh-CN"/>
              </w:rPr>
              <w:t>为</w:t>
            </w:r>
            <w:r>
              <w:rPr>
                <w:rFonts w:hint="eastAsia" w:ascii="宋体" w:hAnsi="宋体" w:eastAsia="宋体" w:cs="宋体"/>
                <w:color w:val="auto"/>
                <w:spacing w:val="1"/>
                <w:sz w:val="24"/>
                <w:szCs w:val="24"/>
                <w:lang w:val="en-US" w:eastAsia="zh-CN"/>
              </w:rPr>
              <w:t>12个月。</w:t>
            </w:r>
          </w:p>
        </w:tc>
      </w:tr>
      <w:tr w14:paraId="6076B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939" w:type="dxa"/>
            <w:noWrap w:val="0"/>
            <w:vAlign w:val="center"/>
          </w:tcPr>
          <w:p w14:paraId="2290B0E2">
            <w:pPr>
              <w:numPr>
                <w:ilvl w:val="0"/>
                <w:numId w:val="0"/>
              </w:numPr>
              <w:spacing w:line="360" w:lineRule="auto"/>
              <w:ind w:left="420" w:leftChars="0" w:hanging="420" w:firstLineChars="0"/>
              <w:jc w:val="center"/>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6</w:t>
            </w:r>
          </w:p>
        </w:tc>
        <w:tc>
          <w:tcPr>
            <w:tcW w:w="1126" w:type="dxa"/>
            <w:noWrap w:val="0"/>
            <w:vAlign w:val="center"/>
          </w:tcPr>
          <w:p w14:paraId="47AF7812">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8010" w:type="dxa"/>
            <w:noWrap w:val="0"/>
            <w:vAlign w:val="center"/>
          </w:tcPr>
          <w:p w14:paraId="7CAE70C4">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响应文件有效期：</w:t>
            </w:r>
            <w:r>
              <w:rPr>
                <w:rFonts w:hint="eastAsia" w:ascii="宋体" w:hAnsi="宋体" w:eastAsia="宋体" w:cs="宋体"/>
                <w:color w:val="000000"/>
                <w:spacing w:val="1"/>
                <w:sz w:val="24"/>
                <w:szCs w:val="24"/>
              </w:rPr>
              <w:t>响应文件递交截止日期后</w:t>
            </w:r>
            <w:r>
              <w:rPr>
                <w:rFonts w:hint="eastAsia" w:ascii="宋体" w:hAnsi="宋体" w:eastAsia="宋体" w:cs="宋体"/>
                <w:color w:val="000000"/>
                <w:sz w:val="24"/>
                <w:szCs w:val="24"/>
                <w:u w:val="single"/>
              </w:rPr>
              <w:t xml:space="preserve"> </w:t>
            </w:r>
            <w:r>
              <w:rPr>
                <w:rFonts w:hint="eastAsia" w:ascii="宋体" w:hAnsi="宋体" w:eastAsia="宋体" w:cs="宋体"/>
                <w:color w:val="000000"/>
                <w:spacing w:val="1"/>
                <w:sz w:val="24"/>
                <w:szCs w:val="24"/>
                <w:u w:val="single"/>
              </w:rPr>
              <w:t>6</w:t>
            </w:r>
            <w:r>
              <w:rPr>
                <w:rFonts w:hint="eastAsia" w:ascii="宋体" w:hAnsi="宋体" w:eastAsia="宋体" w:cs="宋体"/>
                <w:color w:val="000000"/>
                <w:sz w:val="24"/>
                <w:szCs w:val="24"/>
                <w:u w:val="single"/>
              </w:rPr>
              <w:t>0</w:t>
            </w:r>
            <w:r>
              <w:rPr>
                <w:rFonts w:hint="eastAsia" w:ascii="宋体" w:hAnsi="宋体" w:eastAsia="宋体" w:cs="宋体"/>
                <w:color w:val="000000"/>
                <w:spacing w:val="-71"/>
                <w:sz w:val="24"/>
                <w:szCs w:val="24"/>
                <w:u w:val="single"/>
              </w:rPr>
              <w:t xml:space="preserve"> </w:t>
            </w:r>
            <w:r>
              <w:rPr>
                <w:rFonts w:hint="eastAsia" w:ascii="宋体" w:hAnsi="宋体" w:eastAsia="宋体" w:cs="宋体"/>
                <w:color w:val="000000"/>
                <w:spacing w:val="4"/>
                <w:sz w:val="24"/>
                <w:szCs w:val="24"/>
              </w:rPr>
              <w:t>天（日</w:t>
            </w:r>
            <w:r>
              <w:rPr>
                <w:rFonts w:hint="eastAsia" w:ascii="宋体" w:hAnsi="宋体" w:eastAsia="宋体" w:cs="宋体"/>
                <w:color w:val="000000"/>
                <w:spacing w:val="7"/>
                <w:sz w:val="24"/>
                <w:szCs w:val="24"/>
              </w:rPr>
              <w:t>历</w:t>
            </w:r>
            <w:r>
              <w:rPr>
                <w:rFonts w:hint="eastAsia" w:ascii="宋体" w:hAnsi="宋体" w:eastAsia="宋体" w:cs="宋体"/>
                <w:color w:val="000000"/>
                <w:spacing w:val="4"/>
                <w:sz w:val="24"/>
                <w:szCs w:val="24"/>
              </w:rPr>
              <w:t>天</w:t>
            </w:r>
            <w:r>
              <w:rPr>
                <w:rFonts w:hint="eastAsia" w:ascii="宋体" w:hAnsi="宋体" w:eastAsia="宋体" w:cs="宋体"/>
                <w:color w:val="000000"/>
                <w:sz w:val="24"/>
                <w:szCs w:val="24"/>
              </w:rPr>
              <w:t>）</w:t>
            </w:r>
          </w:p>
        </w:tc>
      </w:tr>
      <w:tr w14:paraId="30F28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939" w:type="dxa"/>
            <w:noWrap w:val="0"/>
            <w:vAlign w:val="center"/>
          </w:tcPr>
          <w:p w14:paraId="46308AED">
            <w:pPr>
              <w:numPr>
                <w:ilvl w:val="0"/>
                <w:numId w:val="0"/>
              </w:numPr>
              <w:spacing w:line="360" w:lineRule="auto"/>
              <w:ind w:left="420" w:leftChars="0" w:hanging="420" w:firstLineChars="0"/>
              <w:jc w:val="center"/>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7</w:t>
            </w:r>
          </w:p>
        </w:tc>
        <w:tc>
          <w:tcPr>
            <w:tcW w:w="1126" w:type="dxa"/>
            <w:noWrap w:val="0"/>
            <w:vAlign w:val="center"/>
          </w:tcPr>
          <w:p w14:paraId="65336CF9">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8010" w:type="dxa"/>
            <w:noWrap w:val="0"/>
            <w:vAlign w:val="center"/>
          </w:tcPr>
          <w:p w14:paraId="5FC1DEB0">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磋商保证金金额：本项目免收保证金。</w:t>
            </w:r>
          </w:p>
        </w:tc>
      </w:tr>
      <w:tr w14:paraId="2B16D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3" w:hRule="atLeast"/>
        </w:trPr>
        <w:tc>
          <w:tcPr>
            <w:tcW w:w="939" w:type="dxa"/>
            <w:noWrap w:val="0"/>
            <w:vAlign w:val="center"/>
          </w:tcPr>
          <w:p w14:paraId="685D9485">
            <w:pPr>
              <w:numPr>
                <w:ilvl w:val="0"/>
                <w:numId w:val="0"/>
              </w:numPr>
              <w:spacing w:line="360" w:lineRule="auto"/>
              <w:ind w:left="420" w:leftChars="0" w:hanging="420" w:firstLineChars="0"/>
              <w:jc w:val="center"/>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8</w:t>
            </w:r>
          </w:p>
        </w:tc>
        <w:tc>
          <w:tcPr>
            <w:tcW w:w="1126" w:type="dxa"/>
            <w:noWrap w:val="0"/>
            <w:vAlign w:val="center"/>
          </w:tcPr>
          <w:p w14:paraId="6A06FEB6">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13.1</w:t>
            </w:r>
          </w:p>
        </w:tc>
        <w:tc>
          <w:tcPr>
            <w:tcW w:w="8010" w:type="dxa"/>
            <w:noWrap w:val="0"/>
            <w:vAlign w:val="center"/>
          </w:tcPr>
          <w:p w14:paraId="0BC2B56A">
            <w:pPr>
              <w:tabs>
                <w:tab w:val="left" w:pos="525"/>
              </w:tabs>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磋商报价：</w:t>
            </w:r>
          </w:p>
          <w:p w14:paraId="57E4DFA6">
            <w:pPr>
              <w:tabs>
                <w:tab w:val="left" w:pos="525"/>
              </w:tabs>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（1）供应商必须就所磋商的全部内容作完整报价，漏项报价的或有选择的或有条件的报价，其磋商将视为无效。</w:t>
            </w:r>
          </w:p>
          <w:p w14:paraId="4FF0F561">
            <w:pPr>
              <w:tabs>
                <w:tab w:val="left" w:pos="525"/>
              </w:tabs>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（2）本项目采用工程量清单报价方式, 供应商应使用符合该数据交换标准的计价软件导入电子工程量清单，填写单价和计算总额价，完成已标价工程量清单的编制。严禁供应商修改工程量清单的项目结构、分标名称、单项工程名称、单位工程名称、项目编码、项目名称、项目特征、计量单位、工程量、清单顺序和序号。供应商不得对工程量清单项目进行增减调整。</w:t>
            </w:r>
          </w:p>
          <w:p w14:paraId="76878FD6">
            <w:pPr>
              <w:tabs>
                <w:tab w:val="left" w:pos="525"/>
              </w:tabs>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（3）供应商在响应文件递交截止时间前修改磋商报价表中的磋商总报价，应同时修改第五章“响应文件格式”中的相应报价。此修改须符合“供应商须知”第16条的有关要求。</w:t>
            </w:r>
          </w:p>
        </w:tc>
      </w:tr>
      <w:tr w14:paraId="5EA6F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939" w:type="dxa"/>
            <w:noWrap w:val="0"/>
            <w:vAlign w:val="center"/>
          </w:tcPr>
          <w:p w14:paraId="410238A6">
            <w:pPr>
              <w:numPr>
                <w:ilvl w:val="0"/>
                <w:numId w:val="0"/>
              </w:numPr>
              <w:spacing w:line="360" w:lineRule="auto"/>
              <w:ind w:left="420" w:leftChars="0" w:hanging="420" w:firstLineChars="0"/>
              <w:jc w:val="center"/>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9</w:t>
            </w:r>
          </w:p>
        </w:tc>
        <w:tc>
          <w:tcPr>
            <w:tcW w:w="1126" w:type="dxa"/>
            <w:noWrap w:val="0"/>
            <w:vAlign w:val="center"/>
          </w:tcPr>
          <w:p w14:paraId="0D8A1DB3">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14.1</w:t>
            </w:r>
          </w:p>
        </w:tc>
        <w:tc>
          <w:tcPr>
            <w:tcW w:w="8010" w:type="dxa"/>
            <w:noWrap w:val="0"/>
            <w:vAlign w:val="center"/>
          </w:tcPr>
          <w:p w14:paraId="21C2AE4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响应文件份数：电子响应文件一份</w:t>
            </w:r>
          </w:p>
        </w:tc>
      </w:tr>
      <w:tr w14:paraId="18757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9" w:type="dxa"/>
            <w:noWrap w:val="0"/>
            <w:vAlign w:val="center"/>
          </w:tcPr>
          <w:p w14:paraId="755D6306">
            <w:pPr>
              <w:numPr>
                <w:ilvl w:val="0"/>
                <w:numId w:val="0"/>
              </w:numPr>
              <w:spacing w:line="360" w:lineRule="auto"/>
              <w:ind w:left="420" w:leftChars="0" w:hanging="420" w:firstLineChars="0"/>
              <w:jc w:val="center"/>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10</w:t>
            </w:r>
          </w:p>
        </w:tc>
        <w:tc>
          <w:tcPr>
            <w:tcW w:w="1126" w:type="dxa"/>
            <w:noWrap w:val="0"/>
            <w:vAlign w:val="center"/>
          </w:tcPr>
          <w:p w14:paraId="2804053E">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8010" w:type="dxa"/>
            <w:noWrap w:val="0"/>
            <w:vAlign w:val="center"/>
          </w:tcPr>
          <w:p w14:paraId="725C20E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响应文件递交截止时间：</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21</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点</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之前将电子磋商响应文件上传到政采云平台。应按照本项目竞争性磋商文件和政采云平台的要求编制、加密传输磋商响应文件。供应商在使用系统进行投标的过程中遇到涉及平台使用的任何问题，可致电政采云平台技术支持热线咨询，联系方式：400-881-7190。</w:t>
            </w:r>
          </w:p>
        </w:tc>
      </w:tr>
      <w:tr w14:paraId="5F43E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939" w:type="dxa"/>
            <w:noWrap w:val="0"/>
            <w:vAlign w:val="center"/>
          </w:tcPr>
          <w:p w14:paraId="48B78896">
            <w:pPr>
              <w:numPr>
                <w:ilvl w:val="0"/>
                <w:numId w:val="0"/>
              </w:numPr>
              <w:spacing w:line="360" w:lineRule="auto"/>
              <w:ind w:left="420" w:leftChars="0" w:hanging="420" w:firstLineChars="0"/>
              <w:jc w:val="center"/>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11</w:t>
            </w:r>
          </w:p>
        </w:tc>
        <w:tc>
          <w:tcPr>
            <w:tcW w:w="1126" w:type="dxa"/>
            <w:noWrap w:val="0"/>
            <w:vAlign w:val="center"/>
          </w:tcPr>
          <w:p w14:paraId="541CA033">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18.1</w:t>
            </w:r>
          </w:p>
        </w:tc>
        <w:tc>
          <w:tcPr>
            <w:tcW w:w="8010" w:type="dxa"/>
            <w:noWrap w:val="0"/>
            <w:vAlign w:val="center"/>
          </w:tcPr>
          <w:p w14:paraId="5AB0F115">
            <w:pPr>
              <w:spacing w:line="360" w:lineRule="auto"/>
              <w:rPr>
                <w:rFonts w:hint="eastAsia" w:ascii="宋体" w:hAnsi="宋体" w:eastAsia="宋体" w:cs="宋体"/>
                <w:color w:val="000000"/>
                <w:sz w:val="24"/>
                <w:szCs w:val="24"/>
              </w:rPr>
            </w:pPr>
            <w:r>
              <w:rPr>
                <w:rFonts w:hint="eastAsia" w:ascii="宋体" w:hAnsi="宋体" w:eastAsia="宋体" w:cs="宋体"/>
                <w:sz w:val="24"/>
                <w:szCs w:val="24"/>
              </w:rPr>
              <w:t>磋商小组的人数：</w:t>
            </w:r>
            <w:r>
              <w:rPr>
                <w:rFonts w:hint="eastAsia" w:ascii="宋体" w:hAnsi="宋体" w:eastAsia="宋体" w:cs="宋体"/>
                <w:sz w:val="24"/>
                <w:szCs w:val="24"/>
                <w:u w:val="single"/>
              </w:rPr>
              <w:t xml:space="preserve"> 3 </w:t>
            </w:r>
            <w:r>
              <w:rPr>
                <w:rFonts w:hint="eastAsia" w:ascii="宋体" w:hAnsi="宋体" w:eastAsia="宋体" w:cs="宋体"/>
                <w:sz w:val="24"/>
                <w:szCs w:val="24"/>
              </w:rPr>
              <w:t>人。</w:t>
            </w:r>
          </w:p>
        </w:tc>
      </w:tr>
      <w:tr w14:paraId="1B889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7" w:hRule="atLeast"/>
        </w:trPr>
        <w:tc>
          <w:tcPr>
            <w:tcW w:w="939" w:type="dxa"/>
            <w:noWrap w:val="0"/>
            <w:vAlign w:val="center"/>
          </w:tcPr>
          <w:p w14:paraId="726FE45A">
            <w:pPr>
              <w:numPr>
                <w:ilvl w:val="0"/>
                <w:numId w:val="0"/>
              </w:numPr>
              <w:spacing w:line="360" w:lineRule="auto"/>
              <w:ind w:left="420" w:leftChars="0" w:hanging="420" w:firstLineChars="0"/>
              <w:jc w:val="center"/>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12</w:t>
            </w:r>
          </w:p>
        </w:tc>
        <w:tc>
          <w:tcPr>
            <w:tcW w:w="1126" w:type="dxa"/>
            <w:noWrap w:val="0"/>
            <w:vAlign w:val="center"/>
          </w:tcPr>
          <w:p w14:paraId="4FC7CDDE">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19.2</w:t>
            </w:r>
          </w:p>
        </w:tc>
        <w:tc>
          <w:tcPr>
            <w:tcW w:w="8010" w:type="dxa"/>
            <w:noWrap w:val="0"/>
            <w:vAlign w:val="center"/>
          </w:tcPr>
          <w:p w14:paraId="3615D298">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在对供应商资格审查时进行信用查询，查询结果与响应文件不一致时，以资格审查时查询结果为准。</w:t>
            </w:r>
          </w:p>
          <w:p w14:paraId="30FAACBF">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查询渠道：“信用中国”网站(www.creditchina.gov.cn)、中国政府采购网(www.ccgp.gov.cn)等。</w:t>
            </w:r>
          </w:p>
          <w:p w14:paraId="5FA28BB8">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查询起止时间：首次提交响应文件截止时间前</w:t>
            </w:r>
          </w:p>
          <w:p w14:paraId="345C6CA4">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查询记录和证据留存方式：在查询网站中直接打印查询记录，打印材料作为评审资料保存。</w:t>
            </w:r>
          </w:p>
          <w:p w14:paraId="7D3697CA">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信用信息使用规则：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A321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7" w:hRule="atLeast"/>
        </w:trPr>
        <w:tc>
          <w:tcPr>
            <w:tcW w:w="939" w:type="dxa"/>
            <w:noWrap w:val="0"/>
            <w:vAlign w:val="center"/>
          </w:tcPr>
          <w:p w14:paraId="2F97430E">
            <w:pPr>
              <w:numPr>
                <w:ilvl w:val="0"/>
                <w:numId w:val="0"/>
              </w:numPr>
              <w:spacing w:line="360" w:lineRule="auto"/>
              <w:ind w:left="420" w:leftChars="0" w:hanging="420" w:firstLineChars="0"/>
              <w:jc w:val="center"/>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13</w:t>
            </w:r>
          </w:p>
        </w:tc>
        <w:tc>
          <w:tcPr>
            <w:tcW w:w="1126" w:type="dxa"/>
            <w:noWrap w:val="0"/>
            <w:vAlign w:val="center"/>
          </w:tcPr>
          <w:p w14:paraId="3E0C92D9">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19.4.1</w:t>
            </w:r>
          </w:p>
        </w:tc>
        <w:tc>
          <w:tcPr>
            <w:tcW w:w="8010" w:type="dxa"/>
            <w:noWrap w:val="0"/>
            <w:vAlign w:val="center"/>
          </w:tcPr>
          <w:p w14:paraId="6D028EB6">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磋商开始时间：响应文件递交截止时间后。</w:t>
            </w:r>
          </w:p>
          <w:p w14:paraId="2007FC96">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磋商地点：详见公告。</w:t>
            </w:r>
          </w:p>
        </w:tc>
      </w:tr>
      <w:tr w14:paraId="48BCD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39" w:type="dxa"/>
            <w:noWrap w:val="0"/>
            <w:vAlign w:val="center"/>
          </w:tcPr>
          <w:p w14:paraId="68F89AFC">
            <w:pPr>
              <w:numPr>
                <w:ilvl w:val="0"/>
                <w:numId w:val="0"/>
              </w:numPr>
              <w:spacing w:line="360" w:lineRule="auto"/>
              <w:ind w:left="420" w:leftChars="0" w:hanging="420" w:firstLineChars="0"/>
              <w:jc w:val="center"/>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14</w:t>
            </w:r>
          </w:p>
        </w:tc>
        <w:tc>
          <w:tcPr>
            <w:tcW w:w="1126" w:type="dxa"/>
            <w:noWrap w:val="0"/>
            <w:vAlign w:val="center"/>
          </w:tcPr>
          <w:p w14:paraId="0F203926">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19.4.2</w:t>
            </w:r>
          </w:p>
        </w:tc>
        <w:tc>
          <w:tcPr>
            <w:tcW w:w="8010" w:type="dxa"/>
            <w:noWrap w:val="0"/>
            <w:vAlign w:val="center"/>
          </w:tcPr>
          <w:p w14:paraId="1D3DCAF9">
            <w:pPr>
              <w:spacing w:line="38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磋商前准备：</w:t>
            </w:r>
          </w:p>
          <w:p w14:paraId="3D76FDED">
            <w:pPr>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1、本项目实行网上磋商，采用电子磋商响应文件。若供应商参与磋商，自行承担磋商一切费用。</w:t>
            </w:r>
          </w:p>
          <w:p w14:paraId="27DF78C1">
            <w:pPr>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2、各供应商应在截标前应确保成为政采云平台正式注册入库供应商，并完成CA数字证书申领。因未注册入库、未办理CA数字证书等原因造成无法磋商或磋商失败等后果由供应商自行承担。</w:t>
            </w:r>
          </w:p>
          <w:p w14:paraId="6E7F93FF">
            <w:pPr>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3、供应商将政采云电子交易客户端下载、安装完成后，可通过账号密码或CA登录客户端进行响应文件制作。客户端请至网站下载专区查看，如有问题可拨打政采云客户服务热线400-881-7190进行咨询。</w:t>
            </w:r>
          </w:p>
          <w:p w14:paraId="45ED27C0">
            <w:pPr>
              <w:spacing w:line="38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磋商响应文件解密时间：</w:t>
            </w:r>
          </w:p>
          <w:p w14:paraId="14C43E5A">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截标时间后30分钟内磋商供应商可以登录政采云平台，用“项目采购-开标评标”功能进行解密磋商响应文件。若磋商供应商在规定时间内无法解密或解密失败，可以以电子备份磋商响应文件作为依据，若电子备份磋商响应文件件与政采云平台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tc>
      </w:tr>
      <w:tr w14:paraId="6A28A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939" w:type="dxa"/>
            <w:noWrap w:val="0"/>
            <w:vAlign w:val="center"/>
          </w:tcPr>
          <w:p w14:paraId="31753260">
            <w:pPr>
              <w:numPr>
                <w:ilvl w:val="0"/>
                <w:numId w:val="0"/>
              </w:numPr>
              <w:spacing w:line="360" w:lineRule="auto"/>
              <w:ind w:left="420" w:leftChars="0" w:hanging="420" w:firstLineChars="0"/>
              <w:jc w:val="center"/>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15</w:t>
            </w:r>
          </w:p>
        </w:tc>
        <w:tc>
          <w:tcPr>
            <w:tcW w:w="1126" w:type="dxa"/>
            <w:noWrap w:val="0"/>
            <w:vAlign w:val="center"/>
          </w:tcPr>
          <w:p w14:paraId="49602CA9">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28</w:t>
            </w:r>
          </w:p>
        </w:tc>
        <w:tc>
          <w:tcPr>
            <w:tcW w:w="8010" w:type="dxa"/>
            <w:noWrap w:val="0"/>
            <w:vAlign w:val="center"/>
          </w:tcPr>
          <w:p w14:paraId="751C306F">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履约保证金金额：无磋商主要内容及程序：</w:t>
            </w:r>
          </w:p>
        </w:tc>
      </w:tr>
      <w:tr w14:paraId="34DB5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9" w:type="dxa"/>
            <w:noWrap w:val="0"/>
            <w:vAlign w:val="center"/>
          </w:tcPr>
          <w:p w14:paraId="2111F50B">
            <w:pPr>
              <w:numPr>
                <w:ilvl w:val="0"/>
                <w:numId w:val="0"/>
              </w:numPr>
              <w:spacing w:line="360" w:lineRule="auto"/>
              <w:ind w:left="420" w:leftChars="0" w:hanging="420" w:firstLineChars="0"/>
              <w:jc w:val="center"/>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16</w:t>
            </w:r>
          </w:p>
        </w:tc>
        <w:tc>
          <w:tcPr>
            <w:tcW w:w="1126" w:type="dxa"/>
            <w:noWrap w:val="0"/>
            <w:vAlign w:val="center"/>
          </w:tcPr>
          <w:p w14:paraId="1384B34F">
            <w:pPr>
              <w:spacing w:line="360" w:lineRule="auto"/>
              <w:jc w:val="center"/>
              <w:rPr>
                <w:rFonts w:hint="eastAsia" w:ascii="宋体" w:hAnsi="宋体" w:eastAsia="宋体" w:cs="宋体"/>
                <w:color w:val="000000"/>
                <w:sz w:val="24"/>
                <w:szCs w:val="24"/>
              </w:rPr>
            </w:pPr>
          </w:p>
        </w:tc>
        <w:tc>
          <w:tcPr>
            <w:tcW w:w="8010" w:type="dxa"/>
            <w:noWrap w:val="0"/>
            <w:vAlign w:val="center"/>
          </w:tcPr>
          <w:p w14:paraId="59EFD6FE">
            <w:pPr>
              <w:snapToGrid w:val="0"/>
              <w:spacing w:line="360" w:lineRule="auto"/>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 技术要求、服务要求以及合同草案条款，其中磋商供应商资格条件和标注★号的条款除外； </w:t>
            </w:r>
          </w:p>
          <w:p w14:paraId="20027FF9">
            <w:pPr>
              <w:autoSpaceDE w:val="0"/>
              <w:autoSpaceDN w:val="0"/>
              <w:snapToGrid w:val="0"/>
              <w:spacing w:line="360" w:lineRule="auto"/>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2、实质性变动的内容，须经采购人确认。</w:t>
            </w:r>
          </w:p>
        </w:tc>
      </w:tr>
      <w:tr w14:paraId="3AA82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9" w:type="dxa"/>
            <w:noWrap w:val="0"/>
            <w:vAlign w:val="center"/>
          </w:tcPr>
          <w:p w14:paraId="57CB5552">
            <w:pPr>
              <w:numPr>
                <w:ilvl w:val="0"/>
                <w:numId w:val="0"/>
              </w:numPr>
              <w:spacing w:line="360" w:lineRule="auto"/>
              <w:ind w:left="420" w:leftChars="0" w:hanging="420" w:firstLineChars="0"/>
              <w:jc w:val="center"/>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17</w:t>
            </w:r>
          </w:p>
        </w:tc>
        <w:tc>
          <w:tcPr>
            <w:tcW w:w="1126" w:type="dxa"/>
            <w:noWrap w:val="0"/>
            <w:vAlign w:val="center"/>
          </w:tcPr>
          <w:p w14:paraId="37BEB502">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其他内容</w:t>
            </w:r>
          </w:p>
        </w:tc>
        <w:tc>
          <w:tcPr>
            <w:tcW w:w="8010" w:type="dxa"/>
            <w:noWrap w:val="0"/>
            <w:vAlign w:val="center"/>
          </w:tcPr>
          <w:p w14:paraId="456E423C">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 本文件中描述供应商的“公章”是指根据我国对公章的管理规定，用供应商法定主体行为名称制作的印章，除本文件有特殊规定外，供应商的财务章、部门章、分公司章、工会章、合同章、投标专用章、业务专用章及银行的转账章、现金收讫章、现金付讫章等其它形式印章均不能代替公章。</w:t>
            </w:r>
          </w:p>
          <w:p w14:paraId="09FE3702">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 本文件中描述供应商的“签字”是指供应商的法定代表人或被授权人亲自在磋商文件规定签署处亲笔写上个人的名字的行为，私章、签字章、印鉴、影印等其它形式均不能代替亲笔签字。</w:t>
            </w:r>
          </w:p>
        </w:tc>
      </w:tr>
    </w:tbl>
    <w:p w14:paraId="31281D4E">
      <w:pPr>
        <w:pStyle w:val="46"/>
        <w:outlineLvl w:val="0"/>
        <w:rPr>
          <w:rFonts w:hint="eastAsia" w:ascii="宋体" w:hAnsi="宋体" w:eastAsia="宋体" w:cs="宋体"/>
          <w:sz w:val="32"/>
          <w:szCs w:val="32"/>
        </w:rPr>
      </w:pPr>
      <w:r>
        <w:rPr>
          <w:rFonts w:hint="eastAsia" w:ascii="宋体" w:hAnsi="宋体" w:eastAsia="宋体" w:cs="宋体"/>
          <w:sz w:val="24"/>
          <w:szCs w:val="24"/>
        </w:rPr>
        <w:br w:type="page"/>
      </w:r>
      <w:r>
        <w:rPr>
          <w:rFonts w:hint="eastAsia" w:ascii="宋体" w:hAnsi="宋体" w:eastAsia="宋体" w:cs="宋体"/>
          <w:sz w:val="32"/>
          <w:szCs w:val="32"/>
        </w:rPr>
        <w:t>供应商须知</w:t>
      </w:r>
    </w:p>
    <w:p w14:paraId="01AF47D2">
      <w:pPr>
        <w:pStyle w:val="6"/>
        <w:numPr>
          <w:ilvl w:val="0"/>
          <w:numId w:val="10"/>
        </w:numPr>
        <w:topLinePunct w:val="0"/>
        <w:ind w:left="0" w:leftChars="0" w:firstLine="0" w:firstLineChars="0"/>
        <w:rPr>
          <w:rFonts w:hint="eastAsia" w:ascii="宋体" w:hAnsi="宋体" w:eastAsia="宋体" w:cs="宋体"/>
          <w:b/>
          <w:sz w:val="32"/>
          <w:szCs w:val="32"/>
        </w:rPr>
      </w:pPr>
      <w:r>
        <w:rPr>
          <w:rFonts w:hint="eastAsia" w:ascii="宋体" w:hAnsi="宋体" w:eastAsia="宋体" w:cs="宋体"/>
          <w:sz w:val="32"/>
          <w:szCs w:val="32"/>
        </w:rPr>
        <w:t>总　则</w:t>
      </w:r>
    </w:p>
    <w:p w14:paraId="0AA27F40">
      <w:pPr>
        <w:pStyle w:val="7"/>
        <w:numPr>
          <w:ilvl w:val="0"/>
          <w:numId w:val="11"/>
        </w:numPr>
        <w:tabs>
          <w:tab w:val="left" w:pos="420"/>
          <w:tab w:val="clear" w:pos="482"/>
        </w:tabs>
        <w:ind w:left="0" w:leftChars="0" w:firstLine="482" w:firstLineChars="0"/>
        <w:rPr>
          <w:rFonts w:hint="eastAsia" w:ascii="宋体" w:hAnsi="宋体" w:eastAsia="宋体" w:cs="宋体"/>
          <w:b/>
          <w:sz w:val="24"/>
          <w:szCs w:val="24"/>
        </w:rPr>
      </w:pPr>
      <w:r>
        <w:rPr>
          <w:rFonts w:hint="eastAsia" w:ascii="宋体" w:hAnsi="宋体" w:eastAsia="宋体" w:cs="宋体"/>
          <w:sz w:val="24"/>
          <w:szCs w:val="24"/>
        </w:rPr>
        <w:t>适用范围</w:t>
      </w:r>
    </w:p>
    <w:p w14:paraId="6AA352A8">
      <w:pPr>
        <w:pStyle w:val="4"/>
        <w:numPr>
          <w:ilvl w:val="0"/>
          <w:numId w:val="12"/>
        </w:numPr>
        <w:tabs>
          <w:tab w:val="left" w:pos="0"/>
        </w:tabs>
        <w:ind w:left="0" w:leftChars="0" w:firstLine="482"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本竞争性磋商采购文件根据《中华人民共和国政府采购法》及相关法律法规编制，仅适用于本文件中所叙述的工程、货物或服务类采购项目。</w:t>
      </w:r>
    </w:p>
    <w:p w14:paraId="520BBA42">
      <w:pPr>
        <w:pStyle w:val="7"/>
        <w:numPr>
          <w:ilvl w:val="0"/>
          <w:numId w:val="11"/>
        </w:numPr>
        <w:tabs>
          <w:tab w:val="clear" w:pos="482"/>
        </w:tabs>
        <w:ind w:left="0" w:leftChars="0" w:firstLine="482" w:firstLineChars="0"/>
        <w:rPr>
          <w:rFonts w:hint="eastAsia" w:ascii="宋体" w:hAnsi="宋体" w:eastAsia="宋体" w:cs="宋体"/>
          <w:b/>
          <w:sz w:val="24"/>
          <w:szCs w:val="24"/>
        </w:rPr>
      </w:pPr>
      <w:r>
        <w:rPr>
          <w:rFonts w:hint="eastAsia" w:ascii="宋体" w:hAnsi="宋体" w:eastAsia="宋体" w:cs="宋体"/>
          <w:sz w:val="24"/>
          <w:szCs w:val="24"/>
        </w:rPr>
        <w:t>定义</w:t>
      </w:r>
    </w:p>
    <w:p w14:paraId="2AC089AE">
      <w:pPr>
        <w:pStyle w:val="4"/>
        <w:numPr>
          <w:ilvl w:val="0"/>
          <w:numId w:val="13"/>
        </w:numPr>
        <w:tabs>
          <w:tab w:val="left" w:pos="0"/>
        </w:tabs>
        <w:ind w:left="0" w:leftChars="0" w:firstLine="482"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竞争性磋商采购人：是指获得资金、贷款的国家机关、企事业单位或者其他社会组织。本项目竞争性磋商采购人特指：</w:t>
      </w:r>
      <w:r>
        <w:rPr>
          <w:rFonts w:hint="eastAsia" w:ascii="宋体" w:hAnsi="宋体" w:cs="宋体"/>
          <w:color w:val="000000"/>
          <w:sz w:val="24"/>
          <w:szCs w:val="24"/>
          <w:lang w:eastAsia="zh-CN"/>
        </w:rPr>
        <w:t>采购</w:t>
      </w:r>
      <w:r>
        <w:rPr>
          <w:rFonts w:hint="eastAsia" w:ascii="宋体" w:hAnsi="宋体" w:cs="宋体"/>
          <w:sz w:val="24"/>
          <w:szCs w:val="24"/>
          <w:lang w:eastAsia="zh-CN"/>
        </w:rPr>
        <w:t>单位</w:t>
      </w:r>
      <w:r>
        <w:rPr>
          <w:rFonts w:hint="eastAsia" w:ascii="宋体" w:hAnsi="宋体" w:eastAsia="宋体" w:cs="宋体"/>
          <w:color w:val="000000"/>
          <w:sz w:val="24"/>
          <w:szCs w:val="24"/>
        </w:rPr>
        <w:t>。</w:t>
      </w:r>
    </w:p>
    <w:p w14:paraId="30AA00B8">
      <w:pPr>
        <w:spacing w:line="360" w:lineRule="auto"/>
        <w:ind w:firstLine="480" w:firstLineChars="200"/>
        <w:rPr>
          <w:rFonts w:hint="eastAsia" w:ascii="宋体" w:hAnsi="宋体" w:eastAsia="宋体" w:cs="宋体"/>
          <w:b w:val="0"/>
          <w:color w:val="000000"/>
          <w:sz w:val="24"/>
          <w:szCs w:val="24"/>
        </w:rPr>
      </w:pPr>
      <w:r>
        <w:rPr>
          <w:rFonts w:hint="eastAsia" w:ascii="宋体" w:hAnsi="宋体" w:eastAsia="宋体" w:cs="宋体"/>
          <w:color w:val="000000"/>
          <w:sz w:val="24"/>
          <w:szCs w:val="24"/>
        </w:rPr>
        <w:t>竞争性磋商采购代理机构：竞争性磋商采购代理机构是指依法取得采购代理资格、从事竞争性磋商采购代理业务并提供相关服务的专门机构。本竞争性磋商文件的竞争性磋商采购代理机构特指：</w:t>
      </w:r>
      <w:r>
        <w:rPr>
          <w:rFonts w:hint="eastAsia" w:ascii="宋体" w:hAnsi="宋体" w:eastAsia="宋体" w:cs="宋体"/>
          <w:color w:val="000000"/>
          <w:sz w:val="24"/>
          <w:szCs w:val="24"/>
          <w:lang w:eastAsia="zh-CN"/>
        </w:rPr>
        <w:t>广西国立工程咨询有限公司</w:t>
      </w:r>
      <w:r>
        <w:rPr>
          <w:rFonts w:hint="eastAsia" w:ascii="宋体" w:hAnsi="宋体" w:eastAsia="宋体" w:cs="宋体"/>
          <w:color w:val="000000"/>
          <w:sz w:val="24"/>
          <w:szCs w:val="24"/>
        </w:rPr>
        <w:t>　。</w:t>
      </w:r>
    </w:p>
    <w:p w14:paraId="75C437E2">
      <w:pPr>
        <w:pStyle w:val="4"/>
        <w:numPr>
          <w:ilvl w:val="0"/>
          <w:numId w:val="13"/>
        </w:numPr>
        <w:tabs>
          <w:tab w:val="left" w:pos="0"/>
        </w:tabs>
        <w:ind w:left="0" w:leftChars="0" w:firstLine="482"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供应商：指已经报名，且响应本竞争性磋商文件要求、能提供本工程所必需的设施、人员和专业技术能力且具有独立法人资格的法人单位或其他组织。</w:t>
      </w:r>
    </w:p>
    <w:p w14:paraId="52232B09">
      <w:pPr>
        <w:pStyle w:val="4"/>
        <w:numPr>
          <w:ilvl w:val="0"/>
          <w:numId w:val="13"/>
        </w:numPr>
        <w:tabs>
          <w:tab w:val="left" w:pos="0"/>
        </w:tabs>
        <w:ind w:left="0" w:leftChars="0" w:firstLine="482"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日期：如无特别说明，均指公历日。</w:t>
      </w:r>
    </w:p>
    <w:p w14:paraId="133B1E0A">
      <w:pPr>
        <w:pStyle w:val="4"/>
        <w:numPr>
          <w:ilvl w:val="0"/>
          <w:numId w:val="13"/>
        </w:numPr>
        <w:tabs>
          <w:tab w:val="left" w:pos="0"/>
        </w:tabs>
        <w:ind w:left="0" w:leftChars="0" w:firstLine="482"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合同：指采购人与成交供应商双方按合同格式签署的书面协议，包括所有的附件、附录及双方认可的其它相关书面文件。</w:t>
      </w:r>
    </w:p>
    <w:p w14:paraId="25FCAAE7">
      <w:pPr>
        <w:pStyle w:val="4"/>
        <w:numPr>
          <w:ilvl w:val="0"/>
          <w:numId w:val="13"/>
        </w:numPr>
        <w:tabs>
          <w:tab w:val="left" w:pos="0"/>
        </w:tabs>
        <w:ind w:left="0" w:leftChars="0" w:firstLine="482"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政府采购信息发布媒体：与本项目相关的政府采购业务信息（包括竞争性磋商采购公告、成交公告及其更正事项等）将在以下媒体上发布中国政府采购网、广西壮族自治区政府采购网、广西防城港港口区人民政府门户网站、全国公共资源交易平台（广西•防城港）。上发布。</w:t>
      </w:r>
    </w:p>
    <w:p w14:paraId="21FC6D6D">
      <w:pPr>
        <w:pStyle w:val="7"/>
        <w:numPr>
          <w:ilvl w:val="0"/>
          <w:numId w:val="11"/>
        </w:numPr>
        <w:tabs>
          <w:tab w:val="clear" w:pos="482"/>
        </w:tabs>
        <w:ind w:left="0" w:leftChars="0" w:firstLine="482" w:firstLineChars="0"/>
        <w:rPr>
          <w:rFonts w:hint="eastAsia" w:ascii="宋体" w:hAnsi="宋体" w:eastAsia="宋体" w:cs="宋体"/>
          <w:b/>
          <w:sz w:val="24"/>
          <w:szCs w:val="24"/>
        </w:rPr>
      </w:pPr>
      <w:r>
        <w:rPr>
          <w:rFonts w:hint="eastAsia" w:ascii="宋体" w:hAnsi="宋体" w:eastAsia="宋体" w:cs="宋体"/>
          <w:sz w:val="24"/>
          <w:szCs w:val="24"/>
        </w:rPr>
        <w:t>供应商资格要求</w:t>
      </w:r>
    </w:p>
    <w:p w14:paraId="710F8769">
      <w:pPr>
        <w:pStyle w:val="4"/>
        <w:numPr>
          <w:ilvl w:val="0"/>
          <w:numId w:val="14"/>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供应商的基本条件：见本须知前附表。</w:t>
      </w:r>
    </w:p>
    <w:p w14:paraId="73E05E7C">
      <w:pPr>
        <w:pStyle w:val="4"/>
        <w:numPr>
          <w:ilvl w:val="0"/>
          <w:numId w:val="14"/>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供应商不得存在下列情形之一：</w:t>
      </w:r>
    </w:p>
    <w:p w14:paraId="04DBCC44">
      <w:pPr>
        <w:pStyle w:val="4"/>
        <w:numPr>
          <w:ilvl w:val="0"/>
          <w:numId w:val="15"/>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不具有独立法人资格的附属机构（单位）；</w:t>
      </w:r>
    </w:p>
    <w:p w14:paraId="1B7BDAB9">
      <w:pPr>
        <w:pStyle w:val="4"/>
        <w:numPr>
          <w:ilvl w:val="0"/>
          <w:numId w:val="15"/>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为本项目前期准备提供设计或咨询服务的，但设计施工总承包的除外；</w:t>
      </w:r>
    </w:p>
    <w:p w14:paraId="4D43DE35">
      <w:pPr>
        <w:pStyle w:val="4"/>
        <w:numPr>
          <w:ilvl w:val="0"/>
          <w:numId w:val="15"/>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为本项目的监理人；</w:t>
      </w:r>
    </w:p>
    <w:p w14:paraId="56047F93">
      <w:pPr>
        <w:pStyle w:val="4"/>
        <w:numPr>
          <w:ilvl w:val="0"/>
          <w:numId w:val="15"/>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为本项目的代建人；</w:t>
      </w:r>
    </w:p>
    <w:p w14:paraId="445E9968">
      <w:pPr>
        <w:pStyle w:val="4"/>
        <w:numPr>
          <w:ilvl w:val="0"/>
          <w:numId w:val="15"/>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为本项目提供采购代理服务的；</w:t>
      </w:r>
    </w:p>
    <w:p w14:paraId="6FF11F1C">
      <w:pPr>
        <w:pStyle w:val="4"/>
        <w:numPr>
          <w:ilvl w:val="0"/>
          <w:numId w:val="15"/>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与本项目的监理人或代建人或采购代理机构同为一个法定代表人的；</w:t>
      </w:r>
    </w:p>
    <w:p w14:paraId="7E42D1ED">
      <w:pPr>
        <w:pStyle w:val="4"/>
        <w:numPr>
          <w:ilvl w:val="0"/>
          <w:numId w:val="15"/>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与本项目的监理人或代建人或采购代理机构相互控股或参股的；</w:t>
      </w:r>
    </w:p>
    <w:p w14:paraId="6D71FF0E">
      <w:pPr>
        <w:pStyle w:val="4"/>
        <w:numPr>
          <w:ilvl w:val="0"/>
          <w:numId w:val="15"/>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与本项目的监理人或代建人或采购代理机构相互任职或工作的；</w:t>
      </w:r>
    </w:p>
    <w:p w14:paraId="08A1F86D">
      <w:pPr>
        <w:pStyle w:val="4"/>
        <w:numPr>
          <w:ilvl w:val="0"/>
          <w:numId w:val="15"/>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被责令停业整顿的；</w:t>
      </w:r>
    </w:p>
    <w:p w14:paraId="6ED2E14F">
      <w:pPr>
        <w:pStyle w:val="4"/>
        <w:numPr>
          <w:ilvl w:val="0"/>
          <w:numId w:val="15"/>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被暂停或取消磋商资格的；</w:t>
      </w:r>
    </w:p>
    <w:p w14:paraId="57E1A5C6">
      <w:pPr>
        <w:pStyle w:val="4"/>
        <w:numPr>
          <w:ilvl w:val="0"/>
          <w:numId w:val="15"/>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财产被接管或冻结的；</w:t>
      </w:r>
    </w:p>
    <w:p w14:paraId="5B5AA3E5">
      <w:pPr>
        <w:pStyle w:val="4"/>
        <w:numPr>
          <w:ilvl w:val="0"/>
          <w:numId w:val="15"/>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有骗取中标或严重违约或工程质量安全问题，正处在停业整顿或暂停磋商期间的。</w:t>
      </w:r>
    </w:p>
    <w:p w14:paraId="052A6E35">
      <w:pPr>
        <w:pStyle w:val="7"/>
        <w:numPr>
          <w:ilvl w:val="0"/>
          <w:numId w:val="11"/>
        </w:numPr>
        <w:tabs>
          <w:tab w:val="clear" w:pos="482"/>
        </w:tabs>
        <w:ind w:left="0" w:leftChars="0" w:firstLine="482" w:firstLineChars="0"/>
        <w:rPr>
          <w:rFonts w:hint="eastAsia" w:ascii="宋体" w:hAnsi="宋体" w:eastAsia="宋体" w:cs="宋体"/>
          <w:b/>
          <w:sz w:val="24"/>
          <w:szCs w:val="24"/>
        </w:rPr>
      </w:pPr>
      <w:r>
        <w:rPr>
          <w:rFonts w:hint="eastAsia" w:ascii="宋体" w:hAnsi="宋体" w:eastAsia="宋体" w:cs="宋体"/>
          <w:sz w:val="24"/>
          <w:szCs w:val="24"/>
        </w:rPr>
        <w:t>磋商费用</w:t>
      </w:r>
    </w:p>
    <w:p w14:paraId="23491F1B">
      <w:pPr>
        <w:pStyle w:val="4"/>
        <w:numPr>
          <w:ilvl w:val="0"/>
          <w:numId w:val="16"/>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不论磋商结果如何，供应商应自行承担所有与编写和提交响应文件有关的费用，采购人和采购代理机构在任何情况下无义务和责任承担此类费用。</w:t>
      </w:r>
    </w:p>
    <w:p w14:paraId="7B19721F">
      <w:pPr>
        <w:pStyle w:val="4"/>
        <w:numPr>
          <w:ilvl w:val="0"/>
          <w:numId w:val="16"/>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本项目代理服务费：见本须知前附表。</w:t>
      </w:r>
    </w:p>
    <w:p w14:paraId="7BD233FC">
      <w:pPr>
        <w:pStyle w:val="6"/>
        <w:numPr>
          <w:ilvl w:val="0"/>
          <w:numId w:val="10"/>
        </w:numPr>
        <w:topLinePunct w:val="0"/>
        <w:ind w:left="0" w:leftChars="0" w:firstLine="0" w:firstLineChars="0"/>
        <w:rPr>
          <w:rFonts w:hint="eastAsia" w:ascii="宋体" w:hAnsi="宋体" w:eastAsia="宋体" w:cs="宋体"/>
          <w:b/>
          <w:sz w:val="24"/>
          <w:szCs w:val="24"/>
        </w:rPr>
      </w:pPr>
      <w:r>
        <w:rPr>
          <w:rFonts w:hint="eastAsia" w:ascii="宋体" w:hAnsi="宋体" w:eastAsia="宋体" w:cs="宋体"/>
          <w:sz w:val="24"/>
          <w:szCs w:val="24"/>
        </w:rPr>
        <w:t>磋商文件</w:t>
      </w:r>
    </w:p>
    <w:p w14:paraId="1CDB8105">
      <w:pPr>
        <w:pStyle w:val="7"/>
        <w:numPr>
          <w:ilvl w:val="0"/>
          <w:numId w:val="11"/>
        </w:numPr>
        <w:tabs>
          <w:tab w:val="clear" w:pos="482"/>
        </w:tabs>
        <w:ind w:left="0" w:leftChars="0" w:firstLine="482" w:firstLineChars="0"/>
        <w:rPr>
          <w:rFonts w:hint="eastAsia" w:ascii="宋体" w:hAnsi="宋体" w:eastAsia="宋体" w:cs="宋体"/>
          <w:b/>
          <w:sz w:val="24"/>
          <w:szCs w:val="24"/>
        </w:rPr>
      </w:pPr>
      <w:r>
        <w:rPr>
          <w:rFonts w:hint="eastAsia" w:ascii="宋体" w:hAnsi="宋体" w:eastAsia="宋体" w:cs="宋体"/>
          <w:sz w:val="24"/>
          <w:szCs w:val="24"/>
        </w:rPr>
        <w:t>磋商文件的组成</w:t>
      </w:r>
    </w:p>
    <w:p w14:paraId="1BDBFD0A">
      <w:pPr>
        <w:pStyle w:val="4"/>
        <w:numPr>
          <w:ilvl w:val="0"/>
          <w:numId w:val="17"/>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磋商公告；</w:t>
      </w:r>
    </w:p>
    <w:p w14:paraId="5E3E6062">
      <w:pPr>
        <w:pStyle w:val="4"/>
        <w:numPr>
          <w:ilvl w:val="0"/>
          <w:numId w:val="17"/>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磋商须知；</w:t>
      </w:r>
    </w:p>
    <w:p w14:paraId="7764F99B">
      <w:pPr>
        <w:pStyle w:val="4"/>
        <w:numPr>
          <w:ilvl w:val="0"/>
          <w:numId w:val="17"/>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评审办法和定标标准；</w:t>
      </w:r>
    </w:p>
    <w:p w14:paraId="467F52AA">
      <w:pPr>
        <w:pStyle w:val="4"/>
        <w:numPr>
          <w:ilvl w:val="0"/>
          <w:numId w:val="17"/>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响应文件格式；</w:t>
      </w:r>
    </w:p>
    <w:p w14:paraId="20678EF5">
      <w:pPr>
        <w:pStyle w:val="4"/>
        <w:numPr>
          <w:ilvl w:val="0"/>
          <w:numId w:val="17"/>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合同主要条款；</w:t>
      </w:r>
    </w:p>
    <w:p w14:paraId="4F9BAF5E">
      <w:pPr>
        <w:pStyle w:val="4"/>
        <w:numPr>
          <w:ilvl w:val="0"/>
          <w:numId w:val="17"/>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其他资料。</w:t>
      </w:r>
    </w:p>
    <w:p w14:paraId="372BF7F2">
      <w:pPr>
        <w:pStyle w:val="7"/>
        <w:numPr>
          <w:ilvl w:val="0"/>
          <w:numId w:val="11"/>
        </w:numPr>
        <w:tabs>
          <w:tab w:val="clear" w:pos="482"/>
        </w:tabs>
        <w:ind w:left="0" w:leftChars="0" w:firstLine="482" w:firstLineChars="0"/>
        <w:rPr>
          <w:rFonts w:hint="eastAsia" w:ascii="宋体" w:hAnsi="宋体" w:eastAsia="宋体" w:cs="宋体"/>
          <w:b/>
          <w:sz w:val="24"/>
          <w:szCs w:val="24"/>
        </w:rPr>
      </w:pPr>
      <w:r>
        <w:rPr>
          <w:rFonts w:hint="eastAsia" w:ascii="宋体" w:hAnsi="宋体" w:eastAsia="宋体" w:cs="宋体"/>
          <w:sz w:val="24"/>
          <w:szCs w:val="24"/>
        </w:rPr>
        <w:t>磋商文件的澄清或修改</w:t>
      </w:r>
    </w:p>
    <w:p w14:paraId="24309A81">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发布媒体的形式通知所有获取磋商文件的供应商；不足5日的，采购人、采购代理机构应当顺延提交首次响应文件截止时间。</w:t>
      </w:r>
    </w:p>
    <w:p w14:paraId="227DFE9B">
      <w:pPr>
        <w:pStyle w:val="7"/>
        <w:numPr>
          <w:ilvl w:val="0"/>
          <w:numId w:val="11"/>
        </w:numPr>
        <w:tabs>
          <w:tab w:val="clear" w:pos="482"/>
        </w:tabs>
        <w:ind w:left="0" w:leftChars="0" w:firstLine="482" w:firstLineChars="0"/>
        <w:rPr>
          <w:rFonts w:hint="eastAsia" w:ascii="宋体" w:hAnsi="宋体" w:eastAsia="宋体" w:cs="宋体"/>
          <w:b/>
          <w:sz w:val="24"/>
          <w:szCs w:val="24"/>
        </w:rPr>
      </w:pPr>
      <w:r>
        <w:rPr>
          <w:rFonts w:hint="eastAsia" w:ascii="宋体" w:hAnsi="宋体" w:eastAsia="宋体" w:cs="宋体"/>
          <w:sz w:val="24"/>
          <w:szCs w:val="24"/>
        </w:rPr>
        <w:t>现场考察或答疑会</w:t>
      </w:r>
    </w:p>
    <w:p w14:paraId="60243D56">
      <w:pPr>
        <w:pStyle w:val="4"/>
        <w:numPr>
          <w:ilvl w:val="0"/>
          <w:numId w:val="18"/>
        </w:numPr>
        <w:tabs>
          <w:tab w:val="left" w:pos="0"/>
        </w:tabs>
        <w:ind w:left="0" w:leftChars="0" w:firstLine="482"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采购人、采购代理机构可以视采购项目的具体情况，按须知前附表的规定组织供应商进行现场考察或召开磋商前答疑会，但不得单独或分别组织只有一个供应商参加的现场考察和答疑会。</w:t>
      </w:r>
    </w:p>
    <w:p w14:paraId="70ADA74D">
      <w:pPr>
        <w:pStyle w:val="4"/>
        <w:numPr>
          <w:ilvl w:val="0"/>
          <w:numId w:val="18"/>
        </w:numPr>
        <w:tabs>
          <w:tab w:val="left" w:pos="0"/>
        </w:tabs>
        <w:ind w:left="0" w:leftChars="0" w:firstLine="482"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供应商考察现场或参加答疑会发生的费用自理。</w:t>
      </w:r>
    </w:p>
    <w:p w14:paraId="55C10102">
      <w:pPr>
        <w:pStyle w:val="4"/>
        <w:numPr>
          <w:ilvl w:val="0"/>
          <w:numId w:val="18"/>
        </w:numPr>
        <w:tabs>
          <w:tab w:val="left" w:pos="0"/>
        </w:tabs>
        <w:ind w:left="0" w:leftChars="0" w:firstLine="482"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供应商自行负责在考察现场或参加答疑会中所发生的人员伤亡和财产损失。</w:t>
      </w:r>
    </w:p>
    <w:p w14:paraId="4A192142">
      <w:pPr>
        <w:pStyle w:val="6"/>
        <w:numPr>
          <w:ilvl w:val="0"/>
          <w:numId w:val="10"/>
        </w:numPr>
        <w:tabs>
          <w:tab w:val="clear" w:pos="482"/>
        </w:tabs>
        <w:topLinePunct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响应文件</w:t>
      </w:r>
    </w:p>
    <w:p w14:paraId="0CBBCACD">
      <w:pPr>
        <w:pStyle w:val="7"/>
        <w:numPr>
          <w:ilvl w:val="0"/>
          <w:numId w:val="11"/>
        </w:numPr>
        <w:tabs>
          <w:tab w:val="clear" w:pos="482"/>
        </w:tabs>
        <w:ind w:left="0" w:leftChars="0" w:firstLine="482" w:firstLineChars="0"/>
        <w:rPr>
          <w:rFonts w:hint="eastAsia" w:ascii="宋体" w:hAnsi="宋体" w:eastAsia="宋体" w:cs="宋体"/>
          <w:b/>
          <w:color w:val="000000"/>
          <w:sz w:val="24"/>
          <w:szCs w:val="24"/>
        </w:rPr>
      </w:pPr>
      <w:r>
        <w:rPr>
          <w:rFonts w:hint="eastAsia" w:ascii="宋体" w:hAnsi="宋体" w:eastAsia="宋体" w:cs="宋体"/>
          <w:b/>
          <w:color w:val="000000"/>
          <w:sz w:val="24"/>
          <w:szCs w:val="24"/>
        </w:rPr>
        <w:t>响应文件组成</w:t>
      </w:r>
    </w:p>
    <w:p w14:paraId="7EBAE225">
      <w:pPr>
        <w:pStyle w:val="4"/>
        <w:numPr>
          <w:ilvl w:val="0"/>
          <w:numId w:val="0"/>
        </w:numPr>
        <w:tabs>
          <w:tab w:val="left" w:pos="0"/>
        </w:tabs>
        <w:ind w:left="480" w:leftChars="0"/>
        <w:rPr>
          <w:rFonts w:hint="eastAsia" w:ascii="宋体" w:hAnsi="宋体" w:eastAsia="宋体" w:cs="宋体"/>
          <w:color w:val="000000"/>
          <w:sz w:val="24"/>
          <w:szCs w:val="24"/>
        </w:rPr>
      </w:pPr>
      <w:r>
        <w:rPr>
          <w:rFonts w:hint="eastAsia" w:ascii="宋体" w:hAnsi="宋体" w:eastAsia="宋体" w:cs="宋体"/>
          <w:color w:val="000000"/>
          <w:sz w:val="24"/>
          <w:szCs w:val="24"/>
        </w:rPr>
        <w:t>响应文件应分为资格审查文件、商务文件、技术文件组成。</w:t>
      </w:r>
      <w:r>
        <w:rPr>
          <w:rFonts w:hint="eastAsia" w:ascii="宋体" w:hAnsi="宋体" w:eastAsia="宋体" w:cs="宋体"/>
          <w:b/>
          <w:color w:val="000000"/>
          <w:sz w:val="24"/>
          <w:szCs w:val="24"/>
        </w:rPr>
        <w:t>（上述文件均须加盖供应商单位公章；标注有“必须提供”的必须提供，如未提供，磋商小组有权拒绝其响应文件。）</w:t>
      </w:r>
    </w:p>
    <w:p w14:paraId="07D5F083">
      <w:pPr>
        <w:pStyle w:val="4"/>
        <w:numPr>
          <w:ilvl w:val="0"/>
          <w:numId w:val="19"/>
        </w:numPr>
        <w:tabs>
          <w:tab w:val="left" w:pos="0"/>
        </w:tabs>
        <w:ind w:left="0" w:leftChars="0" w:firstLine="480" w:firstLineChars="0"/>
        <w:rPr>
          <w:rFonts w:hint="eastAsia" w:ascii="宋体" w:hAnsi="宋体" w:eastAsia="宋体" w:cs="宋体"/>
          <w:b/>
          <w:bCs/>
          <w:sz w:val="24"/>
          <w:szCs w:val="24"/>
        </w:rPr>
      </w:pPr>
      <w:r>
        <w:rPr>
          <w:rFonts w:hint="eastAsia" w:ascii="宋体" w:hAnsi="宋体" w:eastAsia="宋体" w:cs="宋体"/>
          <w:b/>
          <w:bCs/>
          <w:sz w:val="24"/>
          <w:szCs w:val="24"/>
        </w:rPr>
        <w:t>资格审查文件</w:t>
      </w:r>
    </w:p>
    <w:p w14:paraId="524762BB">
      <w:pPr>
        <w:pStyle w:val="4"/>
        <w:numPr>
          <w:ilvl w:val="0"/>
          <w:numId w:val="20"/>
        </w:numPr>
        <w:topLinePunct w:val="0"/>
        <w:ind w:left="0" w:leftChars="0" w:firstLine="480" w:firstLineChars="0"/>
        <w:rPr>
          <w:rFonts w:hint="eastAsia" w:ascii="宋体" w:hAnsi="宋体" w:eastAsia="宋体" w:cs="宋体"/>
          <w:b w:val="0"/>
          <w:sz w:val="24"/>
          <w:szCs w:val="24"/>
        </w:rPr>
      </w:pPr>
      <w:r>
        <w:rPr>
          <w:rFonts w:hint="eastAsia" w:ascii="宋体" w:hAnsi="宋体" w:eastAsia="宋体" w:cs="宋体"/>
          <w:sz w:val="24"/>
          <w:szCs w:val="24"/>
        </w:rPr>
        <w:t>法定代表人身份证明书及法定代表人有效身份证正反面复印件；</w:t>
      </w:r>
      <w:r>
        <w:rPr>
          <w:rFonts w:hint="eastAsia" w:ascii="宋体" w:hAnsi="宋体" w:eastAsia="宋体" w:cs="宋体"/>
          <w:b/>
          <w:sz w:val="24"/>
          <w:szCs w:val="24"/>
        </w:rPr>
        <w:t>（必须提供，加盖单位公章）</w:t>
      </w:r>
    </w:p>
    <w:p w14:paraId="18D18A2E">
      <w:pPr>
        <w:pStyle w:val="4"/>
        <w:numPr>
          <w:ilvl w:val="0"/>
          <w:numId w:val="20"/>
        </w:numPr>
        <w:topLinePunct w:val="0"/>
        <w:ind w:left="0" w:leftChars="0" w:firstLine="480" w:firstLineChars="0"/>
        <w:rPr>
          <w:rFonts w:hint="eastAsia" w:ascii="宋体" w:hAnsi="宋体" w:eastAsia="宋体" w:cs="宋体"/>
          <w:b w:val="0"/>
          <w:sz w:val="24"/>
          <w:szCs w:val="24"/>
        </w:rPr>
      </w:pPr>
      <w:r>
        <w:rPr>
          <w:rFonts w:hint="eastAsia" w:ascii="宋体" w:hAnsi="宋体" w:eastAsia="宋体" w:cs="宋体"/>
          <w:sz w:val="24"/>
          <w:szCs w:val="24"/>
        </w:rPr>
        <w:t>法定代表人授权委托书及被授权人有效身份证正反面复印件；</w:t>
      </w:r>
      <w:r>
        <w:rPr>
          <w:rFonts w:hint="eastAsia" w:ascii="宋体" w:hAnsi="宋体" w:eastAsia="宋体" w:cs="宋体"/>
          <w:b/>
          <w:sz w:val="24"/>
          <w:szCs w:val="24"/>
        </w:rPr>
        <w:t>（委托代理时必须提供，加盖单位公章）</w:t>
      </w:r>
    </w:p>
    <w:p w14:paraId="61860FEB">
      <w:pPr>
        <w:pStyle w:val="4"/>
        <w:numPr>
          <w:ilvl w:val="0"/>
          <w:numId w:val="20"/>
        </w:numPr>
        <w:topLinePunct w:val="0"/>
        <w:ind w:left="0" w:leftChars="0" w:firstLine="480" w:firstLineChars="0"/>
        <w:rPr>
          <w:rFonts w:hint="eastAsia" w:ascii="宋体" w:hAnsi="宋体" w:eastAsia="宋体" w:cs="宋体"/>
          <w:b w:val="0"/>
          <w:color w:val="auto"/>
          <w:sz w:val="24"/>
          <w:szCs w:val="24"/>
        </w:rPr>
      </w:pPr>
      <w:r>
        <w:rPr>
          <w:rFonts w:hint="eastAsia" w:ascii="宋体" w:hAnsi="宋体" w:eastAsia="宋体" w:cs="宋体"/>
          <w:color w:val="auto"/>
          <w:sz w:val="24"/>
          <w:szCs w:val="24"/>
        </w:rPr>
        <w:t>供应商基本情况表（附有效的营业执照副本、企业资质证书副本、安全生产许可证副本复印件）；</w:t>
      </w:r>
      <w:r>
        <w:rPr>
          <w:rFonts w:hint="eastAsia" w:ascii="宋体" w:hAnsi="宋体" w:eastAsia="宋体" w:cs="宋体"/>
          <w:b/>
          <w:color w:val="auto"/>
          <w:sz w:val="24"/>
          <w:szCs w:val="24"/>
        </w:rPr>
        <w:t>（必须提供，加盖单位公章）</w:t>
      </w:r>
    </w:p>
    <w:p w14:paraId="1F4379D4">
      <w:pPr>
        <w:pStyle w:val="4"/>
        <w:numPr>
          <w:ilvl w:val="0"/>
          <w:numId w:val="20"/>
        </w:numPr>
        <w:topLinePunct w:val="0"/>
        <w:ind w:left="0" w:leftChars="0" w:firstLine="48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建设工程项目管理承诺书；</w:t>
      </w:r>
      <w:r>
        <w:rPr>
          <w:rFonts w:hint="eastAsia" w:ascii="宋体" w:hAnsi="宋体" w:eastAsia="宋体" w:cs="宋体"/>
          <w:b/>
          <w:color w:val="auto"/>
          <w:sz w:val="24"/>
          <w:szCs w:val="24"/>
        </w:rPr>
        <w:t>（必须提供，加盖单位公章）</w:t>
      </w:r>
    </w:p>
    <w:p w14:paraId="13D412AA">
      <w:pPr>
        <w:pStyle w:val="4"/>
        <w:numPr>
          <w:ilvl w:val="0"/>
          <w:numId w:val="20"/>
        </w:numPr>
        <w:topLinePunct w:val="0"/>
        <w:ind w:left="0" w:leftChars="0" w:firstLine="480" w:firstLineChars="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防城港市政府采购供应商信用承诺函</w:t>
      </w:r>
      <w:r>
        <w:rPr>
          <w:rFonts w:hint="eastAsia" w:ascii="宋体" w:hAnsi="宋体" w:eastAsia="宋体" w:cs="宋体"/>
          <w:color w:val="auto"/>
          <w:sz w:val="24"/>
          <w:szCs w:val="24"/>
        </w:rPr>
        <w:t>（格式后附）</w:t>
      </w:r>
      <w:r>
        <w:rPr>
          <w:rFonts w:hint="eastAsia" w:ascii="宋体" w:hAnsi="宋体" w:eastAsia="宋体" w:cs="宋体"/>
          <w:b w:val="0"/>
          <w:bCs/>
          <w:color w:val="auto"/>
          <w:sz w:val="24"/>
          <w:szCs w:val="24"/>
          <w:lang w:val="en-US" w:eastAsia="zh-CN"/>
        </w:rPr>
        <w:t>；</w:t>
      </w:r>
      <w:r>
        <w:rPr>
          <w:rFonts w:hint="eastAsia" w:ascii="宋体" w:hAnsi="宋体" w:eastAsia="宋体" w:cs="宋体"/>
          <w:b/>
          <w:bCs w:val="0"/>
          <w:color w:val="auto"/>
          <w:sz w:val="24"/>
          <w:szCs w:val="24"/>
        </w:rPr>
        <w:t>（必须提供，加盖单位公章）</w:t>
      </w:r>
    </w:p>
    <w:p w14:paraId="3F53A7D4">
      <w:pPr>
        <w:pStyle w:val="4"/>
        <w:numPr>
          <w:ilvl w:val="0"/>
          <w:numId w:val="20"/>
        </w:numPr>
        <w:topLinePunct w:val="0"/>
        <w:ind w:left="0" w:leftChars="0" w:firstLine="480" w:firstLineChars="0"/>
        <w:rPr>
          <w:rFonts w:hint="eastAsia" w:ascii="宋体" w:hAnsi="宋体" w:eastAsia="宋体" w:cs="宋体"/>
          <w:b w:val="0"/>
          <w:color w:val="auto"/>
          <w:sz w:val="24"/>
          <w:szCs w:val="24"/>
        </w:rPr>
      </w:pPr>
      <w:r>
        <w:rPr>
          <w:rFonts w:hint="eastAsia" w:ascii="宋体" w:hAnsi="宋体" w:eastAsia="宋体" w:cs="宋体"/>
          <w:color w:val="auto"/>
          <w:sz w:val="24"/>
          <w:szCs w:val="24"/>
        </w:rPr>
        <w:t>项目经理须具备建筑工程专业二级（含）以上注册建造师执业资格，具备有效的安全生产考核合格证书（B类）的证明材料复印件；</w:t>
      </w:r>
      <w:r>
        <w:rPr>
          <w:rFonts w:hint="eastAsia" w:ascii="宋体" w:hAnsi="宋体" w:eastAsia="宋体" w:cs="宋体"/>
          <w:b/>
          <w:bCs/>
          <w:color w:val="auto"/>
          <w:sz w:val="24"/>
          <w:szCs w:val="24"/>
        </w:rPr>
        <w:t>（必须提供，加盖单位公章）</w:t>
      </w:r>
    </w:p>
    <w:p w14:paraId="634832A4">
      <w:pPr>
        <w:pStyle w:val="4"/>
        <w:numPr>
          <w:ilvl w:val="0"/>
          <w:numId w:val="20"/>
        </w:numPr>
        <w:topLinePunct w:val="0"/>
        <w:ind w:left="0" w:leftChars="0" w:firstLine="480" w:firstLineChars="0"/>
        <w:rPr>
          <w:rFonts w:hint="eastAsia" w:ascii="宋体" w:hAnsi="宋体" w:eastAsia="宋体" w:cs="宋体"/>
          <w:b w:val="0"/>
          <w:color w:val="auto"/>
          <w:sz w:val="24"/>
          <w:szCs w:val="24"/>
        </w:rPr>
      </w:pPr>
      <w:r>
        <w:rPr>
          <w:rFonts w:hint="eastAsia" w:ascii="宋体" w:hAnsi="宋体" w:eastAsia="宋体" w:cs="宋体"/>
          <w:color w:val="auto"/>
          <w:sz w:val="24"/>
          <w:szCs w:val="24"/>
        </w:rPr>
        <w:t>磋商供应商提供近半年内连续三个月的依法缴纳的社保费凭证复印件或者《依法缴纳或依法交社保证明》复印件（如社保凭证或证明未包含养老保险及医疗保险部分，供应商须同时提供养老保险及医疗保险凭证或缴纳证明），如为新成立的磋商单位请按实际依法缴纳月份提供</w:t>
      </w:r>
      <w:r>
        <w:rPr>
          <w:rFonts w:hint="eastAsia" w:ascii="宋体" w:hAnsi="宋体" w:eastAsia="宋体" w:cs="宋体"/>
          <w:b/>
          <w:bCs/>
          <w:color w:val="auto"/>
          <w:sz w:val="24"/>
          <w:szCs w:val="24"/>
        </w:rPr>
        <w:t>（必须提供，并加盖公章）；</w:t>
      </w:r>
    </w:p>
    <w:p w14:paraId="1AF22011">
      <w:pPr>
        <w:pStyle w:val="4"/>
        <w:numPr>
          <w:ilvl w:val="0"/>
          <w:numId w:val="20"/>
        </w:numPr>
        <w:topLinePunct w:val="0"/>
        <w:ind w:left="0" w:leftChars="0" w:firstLine="480" w:firstLineChars="0"/>
        <w:rPr>
          <w:rFonts w:hint="eastAsia" w:ascii="宋体" w:hAnsi="宋体" w:eastAsia="宋体" w:cs="宋体"/>
          <w:b w:val="0"/>
          <w:color w:val="auto"/>
          <w:sz w:val="24"/>
          <w:szCs w:val="24"/>
        </w:rPr>
      </w:pPr>
      <w:r>
        <w:rPr>
          <w:rFonts w:hint="eastAsia" w:ascii="宋体" w:hAnsi="宋体" w:eastAsia="宋体" w:cs="宋体"/>
          <w:color w:val="auto"/>
          <w:sz w:val="24"/>
          <w:szCs w:val="24"/>
        </w:rPr>
        <w:t>磋商供应商提供近半年内连续三个月依法纳税的完税凭证复印件或者《依法纳税或依法免税证明》复印件，如为新成立的磋商单位请按实际依法缴纳月份提供</w:t>
      </w:r>
      <w:r>
        <w:rPr>
          <w:rFonts w:hint="eastAsia" w:ascii="宋体" w:hAnsi="宋体" w:eastAsia="宋体" w:cs="宋体"/>
          <w:b/>
          <w:bCs/>
          <w:color w:val="auto"/>
          <w:sz w:val="24"/>
          <w:szCs w:val="24"/>
        </w:rPr>
        <w:t>（必须提供，并加盖公章）；</w:t>
      </w:r>
    </w:p>
    <w:p w14:paraId="3605A88F">
      <w:pPr>
        <w:pStyle w:val="4"/>
        <w:numPr>
          <w:ilvl w:val="0"/>
          <w:numId w:val="20"/>
        </w:numPr>
        <w:topLinePunct w:val="0"/>
        <w:ind w:left="0" w:leftChars="0" w:firstLine="480" w:firstLineChars="0"/>
        <w:rPr>
          <w:rFonts w:hint="eastAsia" w:ascii="宋体" w:hAnsi="宋体" w:eastAsia="宋体" w:cs="宋体"/>
          <w:b w:val="0"/>
          <w:color w:val="auto"/>
          <w:sz w:val="24"/>
          <w:szCs w:val="24"/>
        </w:rPr>
      </w:pPr>
      <w:r>
        <w:rPr>
          <w:rFonts w:hint="eastAsia" w:ascii="宋体" w:hAnsi="宋体" w:eastAsia="宋体" w:cs="宋体"/>
          <w:color w:val="auto"/>
          <w:sz w:val="24"/>
          <w:szCs w:val="24"/>
        </w:rPr>
        <w:t>磋商供应商202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年度经审计财务报告复印件（若为新成立的企业，可根据实际情况提供月度财务报表，格式自拟）；</w:t>
      </w:r>
    </w:p>
    <w:p w14:paraId="31CA2BD2">
      <w:pPr>
        <w:pStyle w:val="4"/>
        <w:numPr>
          <w:ilvl w:val="0"/>
          <w:numId w:val="20"/>
        </w:numPr>
        <w:topLinePunct w:val="0"/>
        <w:ind w:left="0" w:leftChars="0" w:firstLine="480" w:firstLineChars="0"/>
        <w:rPr>
          <w:rFonts w:hint="eastAsia" w:ascii="宋体" w:hAnsi="宋体" w:eastAsia="宋体" w:cs="宋体"/>
          <w:b w:val="0"/>
          <w:color w:val="auto"/>
          <w:sz w:val="24"/>
          <w:szCs w:val="24"/>
        </w:rPr>
      </w:pPr>
      <w:r>
        <w:rPr>
          <w:rFonts w:hint="eastAsia" w:ascii="宋体" w:hAnsi="宋体" w:eastAsia="宋体" w:cs="宋体"/>
          <w:color w:val="auto"/>
          <w:sz w:val="24"/>
          <w:szCs w:val="24"/>
        </w:rPr>
        <w:t>参加政府采购活动前3年内在经营活动中没有重大违法记录的书面声明；（</w:t>
      </w:r>
      <w:r>
        <w:rPr>
          <w:rFonts w:hint="eastAsia" w:ascii="宋体" w:hAnsi="宋体" w:eastAsia="宋体" w:cs="宋体"/>
          <w:b/>
          <w:color w:val="auto"/>
          <w:sz w:val="24"/>
          <w:szCs w:val="24"/>
        </w:rPr>
        <w:t>必须提供，加盖单位公章</w:t>
      </w:r>
      <w:r>
        <w:rPr>
          <w:rFonts w:hint="eastAsia" w:ascii="宋体" w:hAnsi="宋体" w:eastAsia="宋体" w:cs="宋体"/>
          <w:color w:val="auto"/>
          <w:sz w:val="24"/>
          <w:szCs w:val="24"/>
        </w:rPr>
        <w:t>）</w:t>
      </w:r>
    </w:p>
    <w:p w14:paraId="5A5D2132">
      <w:pPr>
        <w:pStyle w:val="4"/>
        <w:numPr>
          <w:ilvl w:val="0"/>
          <w:numId w:val="20"/>
        </w:numPr>
        <w:topLinePunct w:val="0"/>
        <w:ind w:left="0" w:leftChars="0" w:firstLine="480" w:firstLineChars="0"/>
        <w:rPr>
          <w:rFonts w:hint="eastAsia" w:ascii="宋体" w:hAnsi="宋体" w:eastAsia="宋体" w:cs="宋体"/>
          <w:b w:val="0"/>
          <w:sz w:val="24"/>
          <w:szCs w:val="24"/>
        </w:rPr>
      </w:pPr>
      <w:r>
        <w:rPr>
          <w:rFonts w:hint="eastAsia" w:ascii="宋体" w:hAnsi="宋体" w:eastAsia="宋体" w:cs="宋体"/>
          <w:sz w:val="24"/>
          <w:szCs w:val="24"/>
        </w:rPr>
        <w:t>供应商参加本项目无围标串标行为的承诺函（格式后附）（</w:t>
      </w:r>
      <w:r>
        <w:rPr>
          <w:rFonts w:hint="eastAsia" w:ascii="宋体" w:hAnsi="宋体" w:eastAsia="宋体" w:cs="宋体"/>
          <w:b/>
          <w:sz w:val="24"/>
          <w:szCs w:val="24"/>
        </w:rPr>
        <w:t>必须提供，加盖单位公章</w:t>
      </w:r>
      <w:r>
        <w:rPr>
          <w:rFonts w:hint="eastAsia" w:ascii="宋体" w:hAnsi="宋体" w:eastAsia="宋体" w:cs="宋体"/>
          <w:sz w:val="24"/>
          <w:szCs w:val="24"/>
        </w:rPr>
        <w:t>）</w:t>
      </w:r>
    </w:p>
    <w:p w14:paraId="3AA0797F">
      <w:pPr>
        <w:pStyle w:val="4"/>
        <w:numPr>
          <w:ilvl w:val="0"/>
          <w:numId w:val="20"/>
        </w:numPr>
        <w:topLinePunct w:val="0"/>
        <w:ind w:left="0" w:leftChars="0" w:firstLine="480" w:firstLineChars="0"/>
        <w:rPr>
          <w:rFonts w:hint="eastAsia" w:ascii="宋体" w:hAnsi="宋体" w:eastAsia="宋体" w:cs="宋体"/>
          <w:b w:val="0"/>
          <w:sz w:val="24"/>
          <w:szCs w:val="24"/>
        </w:rPr>
      </w:pPr>
      <w:r>
        <w:rPr>
          <w:rFonts w:hint="eastAsia" w:ascii="宋体" w:hAnsi="宋体" w:eastAsia="宋体" w:cs="宋体"/>
          <w:sz w:val="24"/>
          <w:szCs w:val="24"/>
        </w:rPr>
        <w:t>供应商认为资格审查需要的其他材料</w:t>
      </w:r>
    </w:p>
    <w:p w14:paraId="64E14F9E">
      <w:pPr>
        <w:pStyle w:val="4"/>
        <w:numPr>
          <w:ilvl w:val="0"/>
          <w:numId w:val="19"/>
        </w:numPr>
        <w:tabs>
          <w:tab w:val="left" w:pos="0"/>
        </w:tabs>
        <w:ind w:left="0" w:leftChars="0" w:firstLine="480" w:firstLineChars="0"/>
        <w:rPr>
          <w:rFonts w:hint="eastAsia" w:ascii="宋体" w:hAnsi="宋体" w:eastAsia="宋体" w:cs="宋体"/>
          <w:b/>
          <w:color w:val="000000"/>
          <w:sz w:val="24"/>
          <w:szCs w:val="24"/>
        </w:rPr>
      </w:pPr>
      <w:r>
        <w:rPr>
          <w:rFonts w:hint="eastAsia" w:ascii="宋体" w:hAnsi="宋体" w:eastAsia="宋体" w:cs="宋体"/>
          <w:b/>
          <w:bCs/>
          <w:sz w:val="24"/>
          <w:szCs w:val="24"/>
        </w:rPr>
        <w:t>商务</w:t>
      </w:r>
      <w:r>
        <w:rPr>
          <w:rFonts w:hint="eastAsia" w:ascii="宋体" w:hAnsi="宋体" w:eastAsia="宋体" w:cs="宋体"/>
          <w:b/>
          <w:color w:val="000000"/>
          <w:sz w:val="24"/>
          <w:szCs w:val="24"/>
        </w:rPr>
        <w:t>文件</w:t>
      </w:r>
    </w:p>
    <w:p w14:paraId="33B3A6D9">
      <w:pPr>
        <w:pStyle w:val="4"/>
        <w:numPr>
          <w:ilvl w:val="0"/>
          <w:numId w:val="21"/>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磋商函；</w:t>
      </w:r>
      <w:r>
        <w:rPr>
          <w:rFonts w:hint="eastAsia" w:ascii="宋体" w:hAnsi="宋体" w:eastAsia="宋体" w:cs="宋体"/>
          <w:b/>
          <w:color w:val="000000"/>
          <w:sz w:val="24"/>
          <w:szCs w:val="24"/>
        </w:rPr>
        <w:t>（必须提供，加盖单位公章）</w:t>
      </w:r>
    </w:p>
    <w:p w14:paraId="7D197EDA">
      <w:pPr>
        <w:pStyle w:val="4"/>
        <w:numPr>
          <w:ilvl w:val="0"/>
          <w:numId w:val="21"/>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磋商函附录；</w:t>
      </w:r>
      <w:r>
        <w:rPr>
          <w:rFonts w:hint="eastAsia" w:ascii="宋体" w:hAnsi="宋体" w:eastAsia="宋体" w:cs="宋体"/>
          <w:b/>
          <w:color w:val="000000"/>
          <w:sz w:val="24"/>
          <w:szCs w:val="24"/>
        </w:rPr>
        <w:t>（必须提供，加盖单位公章）</w:t>
      </w:r>
    </w:p>
    <w:p w14:paraId="6A09E191">
      <w:pPr>
        <w:pStyle w:val="4"/>
        <w:numPr>
          <w:ilvl w:val="0"/>
          <w:numId w:val="21"/>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磋商报价表；</w:t>
      </w:r>
      <w:r>
        <w:rPr>
          <w:rFonts w:hint="eastAsia" w:ascii="宋体" w:hAnsi="宋体" w:eastAsia="宋体" w:cs="宋体"/>
          <w:b/>
          <w:color w:val="000000"/>
          <w:sz w:val="24"/>
          <w:szCs w:val="24"/>
        </w:rPr>
        <w:t>（必须提供，加盖单位公章）</w:t>
      </w:r>
    </w:p>
    <w:p w14:paraId="5033D4AE">
      <w:pPr>
        <w:pStyle w:val="4"/>
        <w:numPr>
          <w:ilvl w:val="0"/>
          <w:numId w:val="21"/>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已标价工程量清单；</w:t>
      </w:r>
      <w:r>
        <w:rPr>
          <w:rFonts w:hint="eastAsia" w:ascii="宋体" w:hAnsi="宋体" w:eastAsia="宋体" w:cs="宋体"/>
          <w:b/>
          <w:color w:val="000000"/>
          <w:sz w:val="24"/>
          <w:szCs w:val="24"/>
        </w:rPr>
        <w:t>（必须提供，加盖单位公章）</w:t>
      </w:r>
    </w:p>
    <w:p w14:paraId="2EEA7882">
      <w:pPr>
        <w:pStyle w:val="4"/>
        <w:numPr>
          <w:ilvl w:val="0"/>
          <w:numId w:val="21"/>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供应商认为必要提供的其它资料</w:t>
      </w:r>
    </w:p>
    <w:p w14:paraId="7F2CFCE9">
      <w:pPr>
        <w:pStyle w:val="4"/>
        <w:numPr>
          <w:ilvl w:val="0"/>
          <w:numId w:val="19"/>
        </w:numPr>
        <w:tabs>
          <w:tab w:val="left" w:pos="0"/>
        </w:tabs>
        <w:ind w:left="0" w:leftChars="0" w:firstLine="480" w:firstLineChars="0"/>
        <w:rPr>
          <w:rFonts w:hint="eastAsia" w:ascii="宋体" w:hAnsi="宋体" w:eastAsia="宋体" w:cs="宋体"/>
          <w:b/>
          <w:color w:val="000000"/>
          <w:sz w:val="24"/>
          <w:szCs w:val="24"/>
        </w:rPr>
      </w:pPr>
      <w:r>
        <w:rPr>
          <w:rFonts w:hint="eastAsia" w:ascii="宋体" w:hAnsi="宋体" w:eastAsia="宋体" w:cs="宋体"/>
          <w:b/>
          <w:color w:val="000000"/>
          <w:sz w:val="24"/>
          <w:szCs w:val="24"/>
        </w:rPr>
        <w:t>技术文件</w:t>
      </w:r>
    </w:p>
    <w:p w14:paraId="6380025B">
      <w:pPr>
        <w:pStyle w:val="4"/>
        <w:numPr>
          <w:ilvl w:val="0"/>
          <w:numId w:val="22"/>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施工组织设计；（必须提供，加盖单位公章）</w:t>
      </w:r>
    </w:p>
    <w:p w14:paraId="5CBB49F5">
      <w:pPr>
        <w:pStyle w:val="4"/>
        <w:numPr>
          <w:ilvl w:val="0"/>
          <w:numId w:val="22"/>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项目管理机构配备情况表；（必须提供，加盖单位公章）</w:t>
      </w:r>
    </w:p>
    <w:p w14:paraId="48BC3449">
      <w:pPr>
        <w:pStyle w:val="4"/>
        <w:numPr>
          <w:ilvl w:val="0"/>
          <w:numId w:val="22"/>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按本竞争性磋商文件规定提交的其它资料。</w:t>
      </w:r>
    </w:p>
    <w:p w14:paraId="39FB85E3">
      <w:pPr>
        <w:pStyle w:val="45"/>
        <w:numPr>
          <w:ilvl w:val="0"/>
          <w:numId w:val="0"/>
        </w:numPr>
        <w:ind w:leftChars="-1662"/>
        <w:jc w:val="left"/>
        <w:outlineLvl w:val="1"/>
        <w:rPr>
          <w:rFonts w:hint="eastAsia" w:ascii="宋体" w:hAnsi="宋体" w:eastAsia="宋体" w:cs="宋体"/>
          <w:b/>
          <w:color w:val="000000"/>
          <w:sz w:val="24"/>
          <w:szCs w:val="24"/>
        </w:rPr>
      </w:pPr>
      <w:r>
        <w:rPr>
          <w:rFonts w:hint="eastAsia" w:ascii="宋体" w:hAnsi="宋体" w:eastAsia="宋体" w:cs="宋体"/>
          <w:b/>
          <w:color w:val="000000"/>
          <w:sz w:val="24"/>
          <w:szCs w:val="24"/>
        </w:rPr>
        <w:t>▲特别说明：</w:t>
      </w:r>
    </w:p>
    <w:p w14:paraId="095FE50C">
      <w:pPr>
        <w:pStyle w:val="4"/>
        <w:rPr>
          <w:rFonts w:hint="eastAsia" w:ascii="宋体" w:hAnsi="宋体" w:eastAsia="宋体" w:cs="宋体"/>
          <w:b/>
          <w:color w:val="000000"/>
          <w:sz w:val="24"/>
          <w:szCs w:val="24"/>
        </w:rPr>
      </w:pPr>
      <w:r>
        <w:rPr>
          <w:rFonts w:hint="eastAsia" w:ascii="宋体" w:hAnsi="宋体" w:eastAsia="宋体" w:cs="宋体"/>
          <w:b/>
          <w:color w:val="000000"/>
          <w:sz w:val="24"/>
          <w:szCs w:val="24"/>
        </w:rPr>
        <w:t>▲特别说明：（1）电子磋商响应文件中所须加盖公章部分均采用CA签章。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14:paraId="3BE598EC">
      <w:pPr>
        <w:pStyle w:val="4"/>
        <w:numPr>
          <w:ilvl w:val="0"/>
          <w:numId w:val="0"/>
        </w:numPr>
        <w:topLinePunct w:val="0"/>
        <w:ind w:left="480" w:leftChars="0"/>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竞争性磋商文件要求提供的的各种复印件，须加盖磋商供应商CA签章，否则其磋商无效。</w:t>
      </w:r>
    </w:p>
    <w:p w14:paraId="785FD460">
      <w:pPr>
        <w:pStyle w:val="4"/>
        <w:numPr>
          <w:ilvl w:val="0"/>
          <w:numId w:val="0"/>
        </w:numPr>
        <w:topLinePunct w:val="0"/>
        <w:ind w:left="480" w:leftChars="0"/>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竞争性磋商文件要求“必须提供”的证明等材料，磋商供应商必须全部提供，缺一不可，否则磋商无效。</w:t>
      </w:r>
    </w:p>
    <w:p w14:paraId="74FE2DE2">
      <w:pPr>
        <w:pStyle w:val="4"/>
        <w:numPr>
          <w:ilvl w:val="0"/>
          <w:numId w:val="22"/>
        </w:numPr>
        <w:topLinePunct w:val="0"/>
        <w:ind w:left="0" w:leftChars="0" w:firstLine="480" w:firstLineChars="0"/>
        <w:rPr>
          <w:rFonts w:hint="eastAsia" w:ascii="宋体" w:hAnsi="宋体" w:eastAsia="宋体" w:cs="宋体"/>
          <w:b/>
          <w:color w:val="000000"/>
          <w:sz w:val="24"/>
          <w:szCs w:val="24"/>
        </w:rPr>
      </w:pPr>
      <w:r>
        <w:rPr>
          <w:rFonts w:hint="eastAsia" w:ascii="宋体" w:hAnsi="宋体" w:eastAsia="宋体" w:cs="宋体"/>
          <w:b/>
          <w:color w:val="000000"/>
          <w:sz w:val="24"/>
          <w:szCs w:val="24"/>
        </w:rPr>
        <w:t>竞争性磋商文件要求法定代表人（负责人）或委托代理人签字的部分必须签字然后扫描或者拍照做成pdf格式上传，无签字的视为磋商无效。</w:t>
      </w:r>
    </w:p>
    <w:p w14:paraId="1D457FE5">
      <w:pPr>
        <w:pStyle w:val="7"/>
        <w:numPr>
          <w:ilvl w:val="0"/>
          <w:numId w:val="11"/>
        </w:numPr>
        <w:tabs>
          <w:tab w:val="clear" w:pos="482"/>
        </w:tabs>
        <w:ind w:left="0" w:leftChars="0" w:firstLine="482" w:firstLineChars="0"/>
        <w:rPr>
          <w:rFonts w:hint="eastAsia" w:ascii="宋体" w:hAnsi="宋体" w:eastAsia="宋体" w:cs="宋体"/>
          <w:b/>
          <w:color w:val="000000"/>
          <w:sz w:val="24"/>
          <w:szCs w:val="24"/>
        </w:rPr>
      </w:pPr>
      <w:r>
        <w:rPr>
          <w:rFonts w:hint="eastAsia" w:ascii="宋体" w:hAnsi="宋体" w:eastAsia="宋体" w:cs="宋体"/>
          <w:sz w:val="24"/>
          <w:szCs w:val="24"/>
        </w:rPr>
        <w:t>响应文件</w:t>
      </w:r>
      <w:r>
        <w:rPr>
          <w:rFonts w:hint="eastAsia" w:ascii="宋体" w:hAnsi="宋体" w:eastAsia="宋体" w:cs="宋体"/>
          <w:b/>
          <w:color w:val="000000"/>
          <w:sz w:val="24"/>
          <w:szCs w:val="24"/>
        </w:rPr>
        <w:t>编制要求</w:t>
      </w:r>
    </w:p>
    <w:p w14:paraId="4247DE17">
      <w:pPr>
        <w:pStyle w:val="4"/>
        <w:numPr>
          <w:ilvl w:val="0"/>
          <w:numId w:val="23"/>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w:t>
      </w:r>
      <w:r>
        <w:rPr>
          <w:rFonts w:hint="eastAsia" w:ascii="宋体" w:hAnsi="宋体" w:eastAsia="宋体" w:cs="宋体"/>
          <w:color w:val="000000"/>
          <w:sz w:val="24"/>
          <w:szCs w:val="24"/>
        </w:rPr>
        <w:t>本项目实行电子投标，供应商应准备电子磋商响应文件：</w:t>
      </w:r>
    </w:p>
    <w:p w14:paraId="4761EE72">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9.1.1电子响应文件按政采云平台要求及本竞争性磋商文件要求制作、加密并递交。具体操作流程可参考《政府采购项目电子交易管理操作指南-供应商》，指南可在“http://www.ccgp-guangxi.gov.cn/PurchaseAdvisory/ImportantNotice/2866753.html”下载。</w:t>
      </w:r>
    </w:p>
    <w:p w14:paraId="51E44A9F">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9.1.2磋商响应文件启用顺序和效力：磋商响应文件的启用，按先后顺位分别为电子磋商响应文件、电子备份磋商响应文件。若磋商供应商在规定时间内无法解密或解密失败，可以以电子备份磋商响应文件作为依据，若电子备份磋商响应文件与政采云平台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p w14:paraId="3ADAD3AB">
      <w:pPr>
        <w:pStyle w:val="4"/>
        <w:numPr>
          <w:ilvl w:val="0"/>
          <w:numId w:val="23"/>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 xml:space="preserve">磋商供应商应按采购文件的要求对竞争性磋商电子响应文件进行编制。  </w:t>
      </w:r>
    </w:p>
    <w:p w14:paraId="502E5C6F">
      <w:pPr>
        <w:pStyle w:val="4"/>
        <w:numPr>
          <w:ilvl w:val="0"/>
          <w:numId w:val="23"/>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 xml:space="preserve">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  </w:t>
      </w:r>
    </w:p>
    <w:p w14:paraId="37E115A4">
      <w:pPr>
        <w:pStyle w:val="4"/>
        <w:numPr>
          <w:ilvl w:val="0"/>
          <w:numId w:val="23"/>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 xml:space="preserve">磋商供应商应认真阅读、并充分理解本文件的全部内容（包括所有的澄清、更改、补充、答疑等内容），承诺并履行本文件中各项条款规定及要求 。  </w:t>
      </w:r>
    </w:p>
    <w:p w14:paraId="67E45F83">
      <w:pPr>
        <w:pStyle w:val="4"/>
        <w:numPr>
          <w:ilvl w:val="0"/>
          <w:numId w:val="23"/>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竞争性磋商响应文件必须按本文件的全部内容，包括所有的澄清、更改、补充、答疑等内容及附件进行编制。</w:t>
      </w:r>
    </w:p>
    <w:p w14:paraId="144B755D">
      <w:pPr>
        <w:pStyle w:val="4"/>
        <w:numPr>
          <w:ilvl w:val="0"/>
          <w:numId w:val="23"/>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 xml:space="preserve">如因磋商供应商只填写和提供了本文件要求的部分内容和附件，而给磋商小组评审造成困难，其可能导致的结果和责任由磋商供应商自行承担。 </w:t>
      </w:r>
    </w:p>
    <w:p w14:paraId="2E55126E">
      <w:pPr>
        <w:pStyle w:val="4"/>
        <w:numPr>
          <w:ilvl w:val="0"/>
          <w:numId w:val="23"/>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 xml:space="preserve">竞争性磋商响应文件的组成：竞争性磋商响应文件应分为资格审查文件、商务文件和技术文件三个部分组成。 </w:t>
      </w:r>
    </w:p>
    <w:p w14:paraId="2906BCF9">
      <w:pPr>
        <w:pStyle w:val="7"/>
        <w:numPr>
          <w:ilvl w:val="0"/>
          <w:numId w:val="11"/>
        </w:numPr>
        <w:tabs>
          <w:tab w:val="clear" w:pos="482"/>
        </w:tabs>
        <w:ind w:left="0" w:leftChars="0" w:firstLine="482" w:firstLineChars="0"/>
        <w:rPr>
          <w:rFonts w:hint="eastAsia" w:ascii="宋体" w:hAnsi="宋体" w:eastAsia="宋体" w:cs="宋体"/>
          <w:sz w:val="24"/>
          <w:szCs w:val="24"/>
        </w:rPr>
      </w:pPr>
      <w:r>
        <w:rPr>
          <w:rFonts w:hint="eastAsia" w:ascii="宋体" w:hAnsi="宋体" w:eastAsia="宋体" w:cs="宋体"/>
          <w:sz w:val="24"/>
          <w:szCs w:val="24"/>
        </w:rPr>
        <w:t>计量单位</w:t>
      </w:r>
    </w:p>
    <w:p w14:paraId="08BF59AF">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10.1除技术要求中另有规定外，本文件所要求使用的计量单位均应采用国家法定计量单位。</w:t>
      </w:r>
    </w:p>
    <w:p w14:paraId="2A27BCB9">
      <w:pPr>
        <w:pStyle w:val="7"/>
        <w:numPr>
          <w:ilvl w:val="0"/>
          <w:numId w:val="11"/>
        </w:numPr>
        <w:tabs>
          <w:tab w:val="clear" w:pos="482"/>
        </w:tabs>
        <w:ind w:left="0" w:leftChars="0" w:firstLine="482" w:firstLineChars="0"/>
        <w:rPr>
          <w:rFonts w:hint="eastAsia" w:ascii="宋体" w:hAnsi="宋体" w:eastAsia="宋体" w:cs="宋体"/>
          <w:b/>
          <w:color w:val="000000"/>
          <w:sz w:val="24"/>
          <w:szCs w:val="24"/>
        </w:rPr>
      </w:pPr>
      <w:r>
        <w:rPr>
          <w:rFonts w:hint="eastAsia" w:ascii="宋体" w:hAnsi="宋体" w:eastAsia="宋体" w:cs="宋体"/>
          <w:sz w:val="24"/>
          <w:szCs w:val="24"/>
        </w:rPr>
        <w:t>响应</w:t>
      </w:r>
      <w:r>
        <w:rPr>
          <w:rFonts w:hint="eastAsia" w:ascii="宋体" w:hAnsi="宋体" w:eastAsia="宋体" w:cs="宋体"/>
          <w:b/>
          <w:color w:val="000000"/>
          <w:sz w:val="24"/>
          <w:szCs w:val="24"/>
        </w:rPr>
        <w:t>文件有效期</w:t>
      </w:r>
    </w:p>
    <w:p w14:paraId="2B3ED28D">
      <w:pPr>
        <w:pStyle w:val="4"/>
        <w:numPr>
          <w:ilvl w:val="0"/>
          <w:numId w:val="24"/>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响应文件有效期按须知前附表规定的期限，有效期不足的响应文件按无效处理。</w:t>
      </w:r>
    </w:p>
    <w:p w14:paraId="380BF1FE">
      <w:pPr>
        <w:pStyle w:val="4"/>
        <w:numPr>
          <w:ilvl w:val="0"/>
          <w:numId w:val="24"/>
        </w:numPr>
        <w:ind w:left="0" w:leftChars="0" w:firstLine="480" w:firstLineChars="0"/>
        <w:rPr>
          <w:rFonts w:hint="eastAsia" w:ascii="宋体" w:hAnsi="宋体" w:eastAsia="宋体" w:cs="宋体"/>
          <w:b w:val="0"/>
          <w:color w:val="000000"/>
          <w:sz w:val="24"/>
          <w:szCs w:val="24"/>
        </w:rPr>
      </w:pPr>
      <w:bookmarkStart w:id="47" w:name="_Toc254970540"/>
      <w:bookmarkStart w:id="48" w:name="_Toc254970681"/>
      <w:r>
        <w:rPr>
          <w:rFonts w:hint="eastAsia" w:ascii="宋体" w:hAnsi="宋体" w:eastAsia="宋体" w:cs="宋体"/>
          <w:color w:val="000000"/>
          <w:sz w:val="24"/>
          <w:szCs w:val="24"/>
        </w:rPr>
        <w:t>未成交的响应文件有效期内均应保持有效。</w:t>
      </w:r>
      <w:bookmarkEnd w:id="47"/>
      <w:bookmarkEnd w:id="48"/>
    </w:p>
    <w:p w14:paraId="331F5137">
      <w:pPr>
        <w:pStyle w:val="4"/>
        <w:numPr>
          <w:ilvl w:val="0"/>
          <w:numId w:val="24"/>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成交供应商的响应文件自响应文件递交截止之日起至合同履行完毕止均应保持有效。</w:t>
      </w:r>
    </w:p>
    <w:p w14:paraId="7171DB91">
      <w:pPr>
        <w:pStyle w:val="7"/>
        <w:numPr>
          <w:ilvl w:val="0"/>
          <w:numId w:val="11"/>
        </w:numPr>
        <w:tabs>
          <w:tab w:val="clear" w:pos="482"/>
        </w:tabs>
        <w:ind w:left="0" w:leftChars="0" w:firstLine="482" w:firstLineChars="0"/>
        <w:rPr>
          <w:rFonts w:hint="eastAsia" w:ascii="宋体" w:hAnsi="宋体" w:eastAsia="宋体" w:cs="宋体"/>
          <w:b/>
          <w:color w:val="000000"/>
          <w:sz w:val="24"/>
          <w:szCs w:val="24"/>
        </w:rPr>
      </w:pPr>
      <w:r>
        <w:rPr>
          <w:rFonts w:hint="eastAsia" w:ascii="宋体" w:hAnsi="宋体" w:eastAsia="宋体" w:cs="宋体"/>
          <w:sz w:val="24"/>
          <w:szCs w:val="24"/>
        </w:rPr>
        <w:t>磋商</w:t>
      </w:r>
      <w:r>
        <w:rPr>
          <w:rFonts w:hint="eastAsia" w:ascii="宋体" w:hAnsi="宋体" w:eastAsia="宋体" w:cs="宋体"/>
          <w:b/>
          <w:color w:val="000000"/>
          <w:sz w:val="24"/>
          <w:szCs w:val="24"/>
        </w:rPr>
        <w:t>保证金</w:t>
      </w:r>
    </w:p>
    <w:p w14:paraId="0769A59E">
      <w:pPr>
        <w:pStyle w:val="4"/>
        <w:numPr>
          <w:ilvl w:val="0"/>
          <w:numId w:val="25"/>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供应商必须按须知前附表的规定交纳磋商保证金，否则，其响应文件按无效响应处理。</w:t>
      </w:r>
    </w:p>
    <w:p w14:paraId="27F73E8A">
      <w:pPr>
        <w:pStyle w:val="4"/>
        <w:numPr>
          <w:ilvl w:val="0"/>
          <w:numId w:val="25"/>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磋商保证金交纳方式：按须知前附表的规定。</w:t>
      </w:r>
    </w:p>
    <w:p w14:paraId="5163E597">
      <w:pPr>
        <w:pStyle w:val="4"/>
        <w:numPr>
          <w:ilvl w:val="0"/>
          <w:numId w:val="25"/>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磋商保证金交纳截止时间：按须知前附表的规定。</w:t>
      </w:r>
    </w:p>
    <w:p w14:paraId="235DA851">
      <w:pPr>
        <w:pStyle w:val="4"/>
        <w:numPr>
          <w:ilvl w:val="0"/>
          <w:numId w:val="25"/>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磋商保证金：详见须知前附表。</w:t>
      </w:r>
    </w:p>
    <w:p w14:paraId="7EDF76F2">
      <w:pPr>
        <w:pStyle w:val="4"/>
        <w:numPr>
          <w:ilvl w:val="0"/>
          <w:numId w:val="25"/>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磋商保证金的退还均以转账形式退回到供应商银行账户。</w:t>
      </w:r>
    </w:p>
    <w:p w14:paraId="320B5B66">
      <w:pPr>
        <w:pStyle w:val="4"/>
        <w:numPr>
          <w:ilvl w:val="0"/>
          <w:numId w:val="25"/>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有下列情形之一的，磋商保证金不予退还：</w:t>
      </w:r>
    </w:p>
    <w:p w14:paraId="5604B58E">
      <w:pPr>
        <w:pStyle w:val="4"/>
        <w:numPr>
          <w:ilvl w:val="0"/>
          <w:numId w:val="26"/>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 xml:space="preserve">供应商在提交响应文件截止时间后撤回响应文件的； </w:t>
      </w:r>
    </w:p>
    <w:p w14:paraId="57FCE81E">
      <w:pPr>
        <w:pStyle w:val="4"/>
        <w:numPr>
          <w:ilvl w:val="0"/>
          <w:numId w:val="26"/>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供应商在响应文件中提供虚假材料的；</w:t>
      </w:r>
    </w:p>
    <w:p w14:paraId="7A01B46A">
      <w:pPr>
        <w:pStyle w:val="4"/>
        <w:numPr>
          <w:ilvl w:val="0"/>
          <w:numId w:val="26"/>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除因不可抗力或磋商文件认可的情形以外，成交供应商不与采购人签订合同的；</w:t>
      </w:r>
    </w:p>
    <w:p w14:paraId="33A9771C">
      <w:pPr>
        <w:pStyle w:val="4"/>
        <w:numPr>
          <w:ilvl w:val="0"/>
          <w:numId w:val="26"/>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供应商与采购人、其他供应商或者采购代理机构恶意串通的；</w:t>
      </w:r>
    </w:p>
    <w:p w14:paraId="5D10B749">
      <w:pPr>
        <w:pStyle w:val="4"/>
        <w:numPr>
          <w:ilvl w:val="0"/>
          <w:numId w:val="26"/>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法律法规规定的其他情形。</w:t>
      </w:r>
    </w:p>
    <w:p w14:paraId="31BA8C48">
      <w:pPr>
        <w:pStyle w:val="7"/>
        <w:numPr>
          <w:ilvl w:val="0"/>
          <w:numId w:val="11"/>
        </w:numPr>
        <w:tabs>
          <w:tab w:val="clear" w:pos="482"/>
        </w:tabs>
        <w:ind w:left="0" w:leftChars="0" w:firstLine="482" w:firstLineChars="0"/>
        <w:rPr>
          <w:rFonts w:hint="eastAsia" w:ascii="宋体" w:hAnsi="宋体" w:eastAsia="宋体" w:cs="宋体"/>
          <w:b/>
          <w:color w:val="000000"/>
          <w:sz w:val="24"/>
          <w:szCs w:val="24"/>
        </w:rPr>
      </w:pPr>
      <w:r>
        <w:rPr>
          <w:rFonts w:hint="eastAsia" w:ascii="宋体" w:hAnsi="宋体" w:eastAsia="宋体" w:cs="宋体"/>
          <w:b/>
          <w:color w:val="000000"/>
          <w:sz w:val="24"/>
          <w:szCs w:val="24"/>
        </w:rPr>
        <w:t>磋</w:t>
      </w:r>
      <w:r>
        <w:rPr>
          <w:rFonts w:hint="eastAsia" w:ascii="宋体" w:hAnsi="宋体" w:eastAsia="宋体" w:cs="宋体"/>
          <w:b/>
          <w:kern w:val="2"/>
          <w:sz w:val="24"/>
          <w:szCs w:val="24"/>
        </w:rPr>
        <w:t>商</w:t>
      </w:r>
      <w:r>
        <w:rPr>
          <w:rFonts w:hint="eastAsia" w:ascii="宋体" w:hAnsi="宋体" w:eastAsia="宋体" w:cs="宋体"/>
          <w:b/>
          <w:color w:val="000000"/>
          <w:sz w:val="24"/>
          <w:szCs w:val="24"/>
        </w:rPr>
        <w:t>报价要求</w:t>
      </w:r>
      <w:r>
        <w:rPr>
          <w:rFonts w:hint="eastAsia" w:ascii="宋体" w:hAnsi="宋体" w:eastAsia="宋体" w:cs="宋体"/>
          <w:color w:val="000000"/>
          <w:sz w:val="24"/>
          <w:szCs w:val="24"/>
        </w:rPr>
        <w:t>：见本须知前附表。</w:t>
      </w:r>
    </w:p>
    <w:p w14:paraId="7BFD0B5F">
      <w:pPr>
        <w:pStyle w:val="7"/>
        <w:numPr>
          <w:ilvl w:val="0"/>
          <w:numId w:val="11"/>
        </w:numPr>
        <w:tabs>
          <w:tab w:val="clear" w:pos="482"/>
        </w:tabs>
        <w:ind w:left="0" w:leftChars="0" w:firstLine="482" w:firstLineChars="0"/>
        <w:rPr>
          <w:rFonts w:hint="eastAsia" w:ascii="宋体" w:hAnsi="宋体" w:eastAsia="宋体" w:cs="宋体"/>
          <w:b/>
          <w:color w:val="000000"/>
          <w:sz w:val="24"/>
          <w:szCs w:val="24"/>
        </w:rPr>
      </w:pPr>
      <w:r>
        <w:rPr>
          <w:rFonts w:hint="eastAsia" w:ascii="宋体" w:hAnsi="宋体" w:eastAsia="宋体" w:cs="宋体"/>
          <w:b/>
          <w:color w:val="000000"/>
          <w:sz w:val="24"/>
          <w:szCs w:val="24"/>
        </w:rPr>
        <w:t>响应文件的份数、封装</w:t>
      </w:r>
    </w:p>
    <w:p w14:paraId="7623666F">
      <w:pPr>
        <w:pStyle w:val="4"/>
        <w:numPr>
          <w:ilvl w:val="0"/>
          <w:numId w:val="27"/>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磋商响应文件的封装</w:t>
      </w:r>
    </w:p>
    <w:p w14:paraId="1CB70441">
      <w:pPr>
        <w:pStyle w:val="4"/>
        <w:numPr>
          <w:ilvl w:val="0"/>
          <w:numId w:val="28"/>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电子磋商响应文件中须加盖供应商公章部分均采用 CA 签章，并根据“政府采购项目电子交易管理操作指南-供应商”及本竞争性磋商文件规定的格式和顺序编制电子磋商响应文件并进行关联定位，以便磋商小组在评审时，点击评分项可直接定位到该评分项内容。如对竞争性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漏读，或者在按竞争性磋商文件规定的部位查找不到相关内容的，由供应商自行承担。</w:t>
      </w:r>
    </w:p>
    <w:p w14:paraId="02332B1B">
      <w:pPr>
        <w:pStyle w:val="4"/>
        <w:numPr>
          <w:ilvl w:val="0"/>
          <w:numId w:val="28"/>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CA 签章上目前没有法人（负责人）或授权代表签字信息，供应商在磋商响应文件中涉及到签字的位置线下签好字然后扫描或者拍照做成PDF的格式即可。</w:t>
      </w:r>
    </w:p>
    <w:p w14:paraId="6D2424C2">
      <w:pPr>
        <w:pStyle w:val="4"/>
        <w:numPr>
          <w:ilvl w:val="0"/>
          <w:numId w:val="27"/>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磋商响应文件不得涂改，若有修改错漏处，须法定代表人（负责人）或授权委托人签字。磋商响应文件因字迹潦草或表达不清所引起的后果由供应商负责。</w:t>
      </w:r>
    </w:p>
    <w:p w14:paraId="7BCCFD84">
      <w:pPr>
        <w:pStyle w:val="7"/>
        <w:numPr>
          <w:ilvl w:val="0"/>
          <w:numId w:val="11"/>
        </w:numPr>
        <w:tabs>
          <w:tab w:val="clear" w:pos="482"/>
        </w:tabs>
        <w:ind w:left="0" w:leftChars="0" w:firstLine="482" w:firstLineChars="0"/>
        <w:rPr>
          <w:rFonts w:hint="eastAsia" w:ascii="宋体" w:hAnsi="宋体" w:eastAsia="宋体" w:cs="宋体"/>
          <w:b/>
          <w:color w:val="000000"/>
          <w:sz w:val="24"/>
          <w:szCs w:val="24"/>
        </w:rPr>
      </w:pPr>
      <w:r>
        <w:rPr>
          <w:rFonts w:hint="eastAsia" w:ascii="宋体" w:hAnsi="宋体" w:eastAsia="宋体" w:cs="宋体"/>
          <w:b/>
          <w:color w:val="000000"/>
          <w:sz w:val="24"/>
          <w:szCs w:val="24"/>
        </w:rPr>
        <w:t>响应文件的递交</w:t>
      </w:r>
    </w:p>
    <w:p w14:paraId="730229FA">
      <w:pPr>
        <w:pStyle w:val="4"/>
        <w:numPr>
          <w:ilvl w:val="0"/>
          <w:numId w:val="29"/>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所有竞争性磋商响应文件应于竞争性磋商文件中规定的时间前上传递交至政采云平台。</w:t>
      </w:r>
    </w:p>
    <w:p w14:paraId="60AC7614">
      <w:pPr>
        <w:pStyle w:val="4"/>
        <w:numPr>
          <w:ilvl w:val="0"/>
          <w:numId w:val="29"/>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 xml:space="preserve">竞争性磋商响应文件从响应文件递交截止日期后60天内有效。  </w:t>
      </w:r>
    </w:p>
    <w:p w14:paraId="77776321">
      <w:pPr>
        <w:pStyle w:val="4"/>
        <w:numPr>
          <w:ilvl w:val="0"/>
          <w:numId w:val="0"/>
        </w:numPr>
        <w:ind w:left="480" w:leftChars="0"/>
        <w:rPr>
          <w:rFonts w:hint="eastAsia" w:ascii="宋体" w:hAnsi="宋体" w:eastAsia="宋体" w:cs="宋体"/>
          <w:b/>
          <w:color w:val="000000"/>
          <w:sz w:val="24"/>
          <w:szCs w:val="24"/>
        </w:rPr>
      </w:pPr>
      <w:r>
        <w:rPr>
          <w:rFonts w:hint="eastAsia" w:ascii="宋体" w:hAnsi="宋体" w:eastAsia="宋体" w:cs="宋体"/>
          <w:b/>
          <w:color w:val="000000"/>
          <w:sz w:val="24"/>
          <w:szCs w:val="24"/>
        </w:rPr>
        <w:t>电子响应文件的相关说明</w:t>
      </w:r>
    </w:p>
    <w:p w14:paraId="77BAE903">
      <w:pPr>
        <w:pStyle w:val="4"/>
        <w:numPr>
          <w:ilvl w:val="0"/>
          <w:numId w:val="30"/>
        </w:numPr>
        <w:topLinePunct w:val="0"/>
        <w:ind w:left="0" w:leftChars="0" w:firstLine="482" w:firstLineChars="0"/>
        <w:rPr>
          <w:rFonts w:hint="eastAsia" w:ascii="宋体" w:hAnsi="宋体" w:eastAsia="宋体" w:cs="宋体"/>
          <w:b/>
          <w:color w:val="000000"/>
          <w:sz w:val="24"/>
          <w:szCs w:val="24"/>
        </w:rPr>
      </w:pPr>
      <w:r>
        <w:rPr>
          <w:rFonts w:hint="eastAsia" w:ascii="宋体" w:hAnsi="宋体" w:eastAsia="宋体" w:cs="宋体"/>
          <w:b/>
          <w:color w:val="000000"/>
          <w:sz w:val="24"/>
          <w:szCs w:val="24"/>
        </w:rPr>
        <w:t>供应商进行电子投标应安装客户端软件，并按照竞争性磋商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14:paraId="06B21EC8">
      <w:pPr>
        <w:pStyle w:val="4"/>
        <w:numPr>
          <w:ilvl w:val="0"/>
          <w:numId w:val="30"/>
        </w:numPr>
        <w:topLinePunct w:val="0"/>
        <w:ind w:left="0" w:leftChars="0" w:firstLine="482" w:firstLineChars="0"/>
        <w:rPr>
          <w:rFonts w:hint="eastAsia" w:ascii="宋体" w:hAnsi="宋体" w:eastAsia="宋体" w:cs="宋体"/>
          <w:b/>
          <w:color w:val="000000"/>
          <w:sz w:val="24"/>
          <w:szCs w:val="24"/>
        </w:rPr>
      </w:pPr>
      <w:r>
        <w:rPr>
          <w:rFonts w:hint="eastAsia" w:ascii="宋体" w:hAnsi="宋体" w:eastAsia="宋体" w:cs="宋体"/>
          <w:b/>
          <w:color w:val="000000"/>
          <w:sz w:val="24"/>
          <w:szCs w:val="24"/>
        </w:rPr>
        <w:t>如有特殊情况，采购代理机构延长截止时间和开标时间，采购代理机构和供应商的权利和义务将受到新的截止时间和开标时间的约束。</w:t>
      </w:r>
    </w:p>
    <w:p w14:paraId="3CDAA722">
      <w:pPr>
        <w:pStyle w:val="7"/>
        <w:numPr>
          <w:ilvl w:val="0"/>
          <w:numId w:val="11"/>
        </w:numPr>
        <w:tabs>
          <w:tab w:val="clear" w:pos="482"/>
        </w:tabs>
        <w:ind w:left="0" w:leftChars="0" w:firstLine="482" w:firstLineChars="0"/>
        <w:rPr>
          <w:rFonts w:hint="eastAsia" w:ascii="宋体" w:hAnsi="宋体" w:eastAsia="宋体" w:cs="宋体"/>
          <w:b/>
          <w:color w:val="000000"/>
          <w:sz w:val="24"/>
          <w:szCs w:val="24"/>
        </w:rPr>
      </w:pPr>
      <w:r>
        <w:rPr>
          <w:rFonts w:hint="eastAsia" w:ascii="宋体" w:hAnsi="宋体" w:eastAsia="宋体" w:cs="宋体"/>
          <w:b/>
          <w:color w:val="000000"/>
          <w:sz w:val="24"/>
          <w:szCs w:val="24"/>
        </w:rPr>
        <w:t>响应文件的补充、修改</w:t>
      </w:r>
    </w:p>
    <w:p w14:paraId="7FDE9817">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1B491C42">
      <w:pPr>
        <w:pStyle w:val="7"/>
        <w:numPr>
          <w:ilvl w:val="0"/>
          <w:numId w:val="11"/>
        </w:numPr>
        <w:tabs>
          <w:tab w:val="clear" w:pos="482"/>
        </w:tabs>
        <w:ind w:left="0" w:leftChars="0" w:firstLine="482" w:firstLineChars="0"/>
        <w:rPr>
          <w:rFonts w:hint="eastAsia" w:ascii="宋体" w:hAnsi="宋体" w:eastAsia="宋体" w:cs="宋体"/>
          <w:b/>
          <w:color w:val="000000"/>
          <w:sz w:val="24"/>
          <w:szCs w:val="24"/>
        </w:rPr>
      </w:pPr>
      <w:r>
        <w:rPr>
          <w:rFonts w:hint="eastAsia" w:ascii="宋体" w:hAnsi="宋体" w:eastAsia="宋体" w:cs="宋体"/>
          <w:b/>
          <w:color w:val="000000"/>
          <w:sz w:val="24"/>
          <w:szCs w:val="24"/>
        </w:rPr>
        <w:t>迟交的响应文件</w:t>
      </w:r>
    </w:p>
    <w:p w14:paraId="23205449">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采购代理机构拒绝在其规定的递交响应文件截止时间之后收到的任何响应文件。</w:t>
      </w:r>
    </w:p>
    <w:p w14:paraId="2950F2DC">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供应商应认真阅读、并充分理解本文件的全部内容（包括所有的补充、修改内容），承诺并履行本文件中各项条款规定及要求。</w:t>
      </w:r>
    </w:p>
    <w:p w14:paraId="776E74FE">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响应文件必须按本文件的全部内容，包括所有的补充通知及附件进行编制。</w:t>
      </w:r>
    </w:p>
    <w:p w14:paraId="67434592">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如因供应商只填写和提供了本文件要求的部分内容和附件，而给评审造成困难，其可能导致的结果和责任由供应商自行承担。</w:t>
      </w:r>
    </w:p>
    <w:p w14:paraId="4A8140A9">
      <w:pPr>
        <w:pStyle w:val="6"/>
        <w:numPr>
          <w:ilvl w:val="0"/>
          <w:numId w:val="10"/>
        </w:numPr>
        <w:tabs>
          <w:tab w:val="clear" w:pos="482"/>
        </w:tabs>
        <w:topLinePunct w:val="0"/>
        <w:ind w:left="0" w:leftChars="0" w:firstLine="0" w:firstLineChars="0"/>
        <w:rPr>
          <w:rFonts w:hint="eastAsia" w:ascii="宋体" w:hAnsi="宋体" w:eastAsia="宋体" w:cs="宋体"/>
          <w:b/>
          <w:sz w:val="24"/>
          <w:szCs w:val="24"/>
        </w:rPr>
      </w:pPr>
      <w:r>
        <w:rPr>
          <w:rFonts w:hint="eastAsia" w:ascii="宋体" w:hAnsi="宋体" w:eastAsia="宋体" w:cs="宋体"/>
          <w:sz w:val="24"/>
          <w:szCs w:val="24"/>
        </w:rPr>
        <w:t>响应文件评审程序</w:t>
      </w:r>
    </w:p>
    <w:p w14:paraId="45E352BF">
      <w:pPr>
        <w:pStyle w:val="7"/>
        <w:numPr>
          <w:ilvl w:val="0"/>
          <w:numId w:val="11"/>
        </w:numPr>
        <w:tabs>
          <w:tab w:val="clear" w:pos="482"/>
        </w:tabs>
        <w:ind w:left="0" w:leftChars="0" w:firstLine="482" w:firstLineChars="0"/>
        <w:rPr>
          <w:rFonts w:hint="eastAsia" w:ascii="宋体" w:hAnsi="宋体" w:eastAsia="宋体" w:cs="宋体"/>
          <w:b/>
          <w:color w:val="000000"/>
          <w:sz w:val="24"/>
          <w:szCs w:val="24"/>
        </w:rPr>
      </w:pPr>
      <w:r>
        <w:rPr>
          <w:rFonts w:hint="eastAsia" w:ascii="宋体" w:hAnsi="宋体" w:eastAsia="宋体" w:cs="宋体"/>
          <w:b/>
          <w:color w:val="000000"/>
          <w:sz w:val="24"/>
          <w:szCs w:val="24"/>
        </w:rPr>
        <w:t>磋商小组组建</w:t>
      </w:r>
    </w:p>
    <w:p w14:paraId="4B8D3B9C">
      <w:pPr>
        <w:pStyle w:val="4"/>
        <w:numPr>
          <w:ilvl w:val="0"/>
          <w:numId w:val="31"/>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sz w:val="24"/>
          <w:szCs w:val="24"/>
        </w:rPr>
        <w:t>成立磋商小组：磋商小组由采购人代表和评审专家共3人以上单数组成，具体人数见“供应商须知前附表”，其中评审专家人数不得少于磋商小组成员总数的2/3。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3人以上单数组成。</w:t>
      </w:r>
    </w:p>
    <w:p w14:paraId="219F6152">
      <w:pPr>
        <w:pStyle w:val="4"/>
        <w:numPr>
          <w:ilvl w:val="0"/>
          <w:numId w:val="31"/>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评审专家应当从政府采购评审专家库内相关专业的专家名单中随机抽取。属于市场竞争不充分的科研项目，或需要扶持的科技成果转化项目，或情况特殊、通过随机方式难以确定合适的评审专家的项目，经主管预算单位同意，可以自行选定评审专家。技术复杂、专业性强的采购项目，评审专家中应当包含1名法律专家。</w:t>
      </w:r>
    </w:p>
    <w:p w14:paraId="18479465">
      <w:pPr>
        <w:pStyle w:val="7"/>
        <w:numPr>
          <w:ilvl w:val="0"/>
          <w:numId w:val="11"/>
        </w:numPr>
        <w:tabs>
          <w:tab w:val="clear" w:pos="482"/>
        </w:tabs>
        <w:ind w:left="0" w:leftChars="0" w:firstLine="482" w:firstLineChars="0"/>
        <w:rPr>
          <w:rFonts w:hint="eastAsia" w:ascii="宋体" w:hAnsi="宋体" w:eastAsia="宋体" w:cs="宋体"/>
          <w:b/>
          <w:color w:val="000000"/>
          <w:sz w:val="24"/>
          <w:szCs w:val="24"/>
        </w:rPr>
      </w:pPr>
      <w:r>
        <w:rPr>
          <w:rFonts w:hint="eastAsia" w:ascii="宋体" w:hAnsi="宋体" w:eastAsia="宋体" w:cs="宋体"/>
          <w:sz w:val="24"/>
          <w:szCs w:val="24"/>
        </w:rPr>
        <w:t>评审</w:t>
      </w:r>
      <w:r>
        <w:rPr>
          <w:rFonts w:hint="eastAsia" w:ascii="宋体" w:hAnsi="宋体" w:eastAsia="宋体" w:cs="宋体"/>
          <w:b/>
          <w:color w:val="000000"/>
          <w:sz w:val="24"/>
          <w:szCs w:val="24"/>
        </w:rPr>
        <w:t>程序</w:t>
      </w:r>
    </w:p>
    <w:p w14:paraId="1417FA05">
      <w:pPr>
        <w:pStyle w:val="4"/>
        <w:numPr>
          <w:ilvl w:val="0"/>
          <w:numId w:val="32"/>
        </w:numPr>
        <w:ind w:left="0" w:leftChars="0" w:firstLine="482" w:firstLineChars="0"/>
        <w:rPr>
          <w:rFonts w:hint="eastAsia" w:ascii="宋体" w:hAnsi="宋体" w:eastAsia="宋体" w:cs="宋体"/>
          <w:b/>
          <w:color w:val="000000"/>
          <w:sz w:val="24"/>
          <w:szCs w:val="24"/>
        </w:rPr>
      </w:pPr>
      <w:r>
        <w:rPr>
          <w:rFonts w:hint="eastAsia" w:ascii="宋体" w:hAnsi="宋体" w:eastAsia="宋体" w:cs="宋体"/>
          <w:b/>
          <w:color w:val="000000"/>
          <w:sz w:val="24"/>
          <w:szCs w:val="24"/>
        </w:rPr>
        <w:t>采购代理机构向磋商小组移交接收所有的响应文件。</w:t>
      </w:r>
    </w:p>
    <w:p w14:paraId="30B77323">
      <w:pPr>
        <w:pStyle w:val="4"/>
        <w:numPr>
          <w:ilvl w:val="0"/>
          <w:numId w:val="32"/>
        </w:numPr>
        <w:ind w:left="0" w:leftChars="0" w:firstLine="482" w:firstLineChars="0"/>
        <w:rPr>
          <w:rFonts w:hint="eastAsia" w:ascii="宋体" w:hAnsi="宋体" w:eastAsia="宋体" w:cs="宋体"/>
          <w:b/>
          <w:color w:val="000000"/>
          <w:sz w:val="24"/>
          <w:szCs w:val="24"/>
        </w:rPr>
      </w:pPr>
      <w:r>
        <w:rPr>
          <w:rFonts w:hint="eastAsia" w:ascii="宋体" w:hAnsi="宋体" w:eastAsia="宋体" w:cs="宋体"/>
          <w:b/>
          <w:color w:val="000000"/>
          <w:sz w:val="24"/>
          <w:szCs w:val="24"/>
        </w:rPr>
        <w:t>磋商小组评审响应文件</w:t>
      </w:r>
    </w:p>
    <w:p w14:paraId="390E9506">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磋商小组对供应商资格条件和响应文件的有效性、完整性和响应程度进行审查。对资格条件不符合的供应商或未实质性响应磋商文件的响应文件按无效响应处理，磋商小组应当告知有关供应商。</w:t>
      </w:r>
    </w:p>
    <w:p w14:paraId="628CDCCE">
      <w:pPr>
        <w:pStyle w:val="4"/>
        <w:numPr>
          <w:ilvl w:val="0"/>
          <w:numId w:val="32"/>
        </w:numPr>
        <w:ind w:left="0" w:leftChars="0" w:firstLine="482" w:firstLineChars="0"/>
        <w:rPr>
          <w:rFonts w:hint="eastAsia" w:ascii="宋体" w:hAnsi="宋体" w:eastAsia="宋体" w:cs="宋体"/>
          <w:b/>
          <w:color w:val="000000"/>
          <w:sz w:val="24"/>
          <w:szCs w:val="24"/>
        </w:rPr>
      </w:pPr>
      <w:r>
        <w:rPr>
          <w:rFonts w:hint="eastAsia" w:ascii="宋体" w:hAnsi="宋体" w:eastAsia="宋体" w:cs="宋体"/>
          <w:b/>
          <w:color w:val="000000"/>
          <w:sz w:val="24"/>
          <w:szCs w:val="24"/>
        </w:rPr>
        <w:t>澄清</w:t>
      </w:r>
    </w:p>
    <w:p w14:paraId="39A837F6">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F0089B8">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CD0070F">
      <w:pPr>
        <w:pStyle w:val="4"/>
        <w:widowControl/>
        <w:numPr>
          <w:ilvl w:val="0"/>
          <w:numId w:val="32"/>
        </w:numPr>
        <w:ind w:left="0" w:leftChars="0" w:firstLine="482" w:firstLineChars="0"/>
        <w:rPr>
          <w:rFonts w:hint="eastAsia" w:ascii="宋体" w:hAnsi="宋体" w:eastAsia="宋体" w:cs="宋体"/>
          <w:b/>
          <w:color w:val="000000"/>
          <w:sz w:val="24"/>
          <w:szCs w:val="24"/>
        </w:rPr>
      </w:pPr>
      <w:r>
        <w:rPr>
          <w:rFonts w:hint="eastAsia" w:ascii="宋体" w:hAnsi="宋体" w:eastAsia="宋体" w:cs="宋体"/>
          <w:b/>
          <w:color w:val="000000"/>
          <w:sz w:val="24"/>
          <w:szCs w:val="24"/>
        </w:rPr>
        <w:t>磋商</w:t>
      </w:r>
    </w:p>
    <w:p w14:paraId="468D7CAB">
      <w:pPr>
        <w:pStyle w:val="4"/>
        <w:widowControl/>
        <w:numPr>
          <w:ilvl w:val="0"/>
          <w:numId w:val="33"/>
        </w:numPr>
        <w:tabs>
          <w:tab w:val="left" w:pos="0"/>
        </w:tabs>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磋商时间及地点：按须知前附表规定。</w:t>
      </w:r>
    </w:p>
    <w:p w14:paraId="6D002A1F">
      <w:pPr>
        <w:pStyle w:val="4"/>
        <w:widowControl/>
        <w:numPr>
          <w:ilvl w:val="0"/>
          <w:numId w:val="33"/>
        </w:numPr>
        <w:tabs>
          <w:tab w:val="left" w:pos="0"/>
        </w:tabs>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供应商参加需要携带的材料：按须知前附表规定。</w:t>
      </w:r>
    </w:p>
    <w:p w14:paraId="5A301E23">
      <w:pPr>
        <w:pStyle w:val="4"/>
        <w:widowControl/>
        <w:numPr>
          <w:ilvl w:val="0"/>
          <w:numId w:val="33"/>
        </w:numPr>
        <w:tabs>
          <w:tab w:val="left" w:pos="0"/>
        </w:tabs>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磋商小组按须知前附表规定的磋商顺序，集中与单一供应商分别进行磋商，并给予所有参加磋商的供应商平等的磋商机会。符合磋商资格的供应商未在规定时间内参加磋商的，视同放弃参加磋商权利，其响应文件作无效处理。</w:t>
      </w:r>
    </w:p>
    <w:p w14:paraId="628B3A74">
      <w:pPr>
        <w:pStyle w:val="4"/>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4CE641A6">
      <w:pPr>
        <w:pStyle w:val="4"/>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对磋商文件作出的实质性变动是磋商文件的有效组成部分，磋商小组应当及时以书面形式同时通知所有参加磋商的供应商。</w:t>
      </w:r>
    </w:p>
    <w:p w14:paraId="0E1B2AA9">
      <w:pPr>
        <w:pStyle w:val="4"/>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供应商应当按照磋商文件的变动情况和磋商小组的要求重新提交响应文件，并由其法定代表人或授权代表签字或者加盖公章。由授权代表签字的，应当附法定代表人授权书。参加磋商的供应商未在规定时间内重新提交响应文件的，视同放弃提交权利，其响应文件作无效处理。</w:t>
      </w:r>
    </w:p>
    <w:p w14:paraId="2254F355">
      <w:pPr>
        <w:pStyle w:val="4"/>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磋商中，磋商的任何一方不得透露与磋商有关的其他供应商的技术资料、价格和其他信息。</w:t>
      </w:r>
    </w:p>
    <w:p w14:paraId="3826862B">
      <w:pPr>
        <w:pStyle w:val="4"/>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采购代理机构对磋商过程和重要磋商内容进行记录，磋商双方在记录上签字确认。</w:t>
      </w:r>
    </w:p>
    <w:p w14:paraId="00FE7621">
      <w:pPr>
        <w:pStyle w:val="4"/>
        <w:widowControl/>
        <w:numPr>
          <w:ilvl w:val="0"/>
          <w:numId w:val="0"/>
        </w:numPr>
        <w:tabs>
          <w:tab w:val="left" w:pos="0"/>
        </w:tabs>
        <w:ind w:left="480" w:leftChars="0"/>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特别说明：政采云公司如对电子化磋商及评审程序有调整的，按调整后的程序操作。</w:t>
      </w:r>
    </w:p>
    <w:p w14:paraId="0A9EDCD9">
      <w:pPr>
        <w:pStyle w:val="4"/>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澄清有关问题。对响应文件中含义不明确、同类问题表述不一致或者有明显文字和计算错误的内容，磋商小组可以书面形式（应当由磋商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14:paraId="03A0F65F">
      <w:pPr>
        <w:pStyle w:val="4"/>
        <w:numPr>
          <w:ilvl w:val="0"/>
          <w:numId w:val="33"/>
        </w:numPr>
        <w:tabs>
          <w:tab w:val="left" w:pos="0"/>
        </w:tabs>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 xml:space="preserve">确定参加磋商的供应商名单。磋商小组将所有通过资格性审查及符合性审查的供应商确定为参加磋商的供应商。 </w:t>
      </w:r>
    </w:p>
    <w:p w14:paraId="28CF7324">
      <w:pPr>
        <w:pStyle w:val="4"/>
        <w:numPr>
          <w:ilvl w:val="0"/>
          <w:numId w:val="33"/>
        </w:numPr>
        <w:tabs>
          <w:tab w:val="left" w:pos="0"/>
        </w:tabs>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采购过程中出现以下情形，导致电子交易平台无法正常运行，或者无法保证电子交易的公平、公正和安全时，采购组织机构可中止电子交易活动：</w:t>
      </w:r>
    </w:p>
    <w:p w14:paraId="619CACF9">
      <w:pPr>
        <w:pStyle w:val="4"/>
        <w:numPr>
          <w:ilvl w:val="0"/>
          <w:numId w:val="33"/>
        </w:numPr>
        <w:tabs>
          <w:tab w:val="left" w:pos="0"/>
        </w:tabs>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 xml:space="preserve">电子交易平台发生故障而无法登录访问的； </w:t>
      </w:r>
    </w:p>
    <w:p w14:paraId="3AFE2E02">
      <w:pPr>
        <w:pStyle w:val="4"/>
        <w:numPr>
          <w:ilvl w:val="0"/>
          <w:numId w:val="33"/>
        </w:numPr>
        <w:tabs>
          <w:tab w:val="left" w:pos="0"/>
        </w:tabs>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电子交易平台应用或数据库出现错误，不能进行正常操作的；</w:t>
      </w:r>
    </w:p>
    <w:p w14:paraId="61640D90">
      <w:pPr>
        <w:pStyle w:val="4"/>
        <w:numPr>
          <w:ilvl w:val="0"/>
          <w:numId w:val="33"/>
        </w:numPr>
        <w:tabs>
          <w:tab w:val="left" w:pos="0"/>
        </w:tabs>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电子交易平台发现严重安全漏洞，有潜在泄密危险的；</w:t>
      </w:r>
    </w:p>
    <w:p w14:paraId="616DFD56">
      <w:pPr>
        <w:pStyle w:val="4"/>
        <w:numPr>
          <w:ilvl w:val="0"/>
          <w:numId w:val="33"/>
        </w:numPr>
        <w:tabs>
          <w:tab w:val="left" w:pos="0"/>
        </w:tabs>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 xml:space="preserve">病毒发作导致不能进行正常操作的； </w:t>
      </w:r>
    </w:p>
    <w:p w14:paraId="48EBDB42">
      <w:pPr>
        <w:pStyle w:val="4"/>
        <w:numPr>
          <w:ilvl w:val="0"/>
          <w:numId w:val="33"/>
        </w:numPr>
        <w:tabs>
          <w:tab w:val="left" w:pos="0"/>
        </w:tabs>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其他无法保证电子交易的公平、公正和安全的情况。</w:t>
      </w:r>
    </w:p>
    <w:p w14:paraId="1EEFBB12">
      <w:pPr>
        <w:pStyle w:val="4"/>
        <w:numPr>
          <w:ilvl w:val="0"/>
          <w:numId w:val="33"/>
        </w:numPr>
        <w:tabs>
          <w:tab w:val="left" w:pos="0"/>
        </w:tabs>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31A9CA87">
      <w:pPr>
        <w:pStyle w:val="4"/>
        <w:numPr>
          <w:ilvl w:val="0"/>
          <w:numId w:val="33"/>
        </w:numPr>
        <w:tabs>
          <w:tab w:val="left" w:pos="0"/>
        </w:tabs>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磋商小组对磋商资格条件及响应文件进行评审，并从符合竟争性磋商文件规定的相应资格条件的供应商名单中确定不少于3家的供应商参加磋商，符合财库〔2014〕214号《政府采购竞争性磋商采购方式管理暂行办法》第三条第一项（政府购买服务项目）情形的，确定不少于2家的供应商参加磋商。资格条件不符合的供应商或未实质性响应磋商文件的响应文件按无效响应处理，磋商小组应当告知有关供应商。</w:t>
      </w:r>
    </w:p>
    <w:p w14:paraId="53D87641">
      <w:pPr>
        <w:pStyle w:val="4"/>
        <w:widowControl/>
        <w:numPr>
          <w:ilvl w:val="0"/>
          <w:numId w:val="33"/>
        </w:numPr>
        <w:tabs>
          <w:tab w:val="left" w:pos="0"/>
        </w:tabs>
        <w:ind w:left="0" w:leftChars="0" w:firstLine="48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74220EF">
      <w:pPr>
        <w:pStyle w:val="4"/>
        <w:widowControl/>
        <w:numPr>
          <w:ilvl w:val="0"/>
          <w:numId w:val="33"/>
        </w:numPr>
        <w:tabs>
          <w:tab w:val="left" w:pos="0"/>
        </w:tabs>
        <w:ind w:left="0" w:leftChars="0" w:firstLine="480" w:firstLineChars="0"/>
        <w:rPr>
          <w:rStyle w:val="31"/>
          <w:rFonts w:hint="eastAsia" w:ascii="宋体" w:hAnsi="宋体" w:eastAsia="宋体" w:cs="宋体"/>
          <w:color w:val="000000"/>
          <w:sz w:val="24"/>
          <w:szCs w:val="24"/>
        </w:rPr>
      </w:pPr>
      <w:r>
        <w:rPr>
          <w:rFonts w:hint="eastAsia" w:ascii="宋体" w:hAnsi="宋体" w:eastAsia="宋体" w:cs="宋体"/>
          <w:color w:val="000000"/>
          <w:sz w:val="24"/>
          <w:szCs w:val="24"/>
        </w:rPr>
        <w:t>磋商小组要求供应商澄清、说明或者更正响应文件应当在政采云在线评标系统向供应商发起在线询标澄清。供应商的澄清、说明或者更正应当由法定代表人或其授权代表签字或者加盖公章。由授权代表签字的，应当附法定代表人授权书。供应商为自然人的，应当由本人签字并附身份证明。</w:t>
      </w:r>
    </w:p>
    <w:p w14:paraId="55705C6C">
      <w:pPr>
        <w:pStyle w:val="4"/>
        <w:widowControl/>
        <w:numPr>
          <w:ilvl w:val="0"/>
          <w:numId w:val="0"/>
        </w:numPr>
        <w:tabs>
          <w:tab w:val="left" w:pos="0"/>
        </w:tabs>
        <w:ind w:left="480" w:leftChars="0"/>
        <w:rPr>
          <w:rStyle w:val="31"/>
          <w:rFonts w:hint="eastAsia" w:ascii="宋体" w:hAnsi="宋体" w:eastAsia="宋体" w:cs="宋体"/>
          <w:color w:val="000000"/>
          <w:sz w:val="24"/>
          <w:szCs w:val="24"/>
        </w:rPr>
      </w:pPr>
      <w:r>
        <w:rPr>
          <w:rStyle w:val="31"/>
          <w:rFonts w:hint="eastAsia" w:ascii="宋体" w:hAnsi="宋体" w:eastAsia="宋体" w:cs="宋体"/>
          <w:color w:val="000000"/>
          <w:sz w:val="24"/>
          <w:szCs w:val="24"/>
        </w:rPr>
        <w:t>磋商主要内容及程序：</w:t>
      </w:r>
    </w:p>
    <w:p w14:paraId="51441620">
      <w:pPr>
        <w:pStyle w:val="4"/>
        <w:numPr>
          <w:ilvl w:val="0"/>
          <w:numId w:val="34"/>
        </w:numPr>
        <w:ind w:left="0" w:leftChars="0" w:firstLine="480" w:firstLineChars="0"/>
        <w:rPr>
          <w:rStyle w:val="31"/>
          <w:rFonts w:hint="eastAsia" w:ascii="宋体" w:hAnsi="宋体" w:eastAsia="宋体" w:cs="宋体"/>
          <w:b w:val="0"/>
          <w:color w:val="000000"/>
          <w:sz w:val="24"/>
          <w:szCs w:val="24"/>
        </w:rPr>
      </w:pPr>
      <w:r>
        <w:rPr>
          <w:rStyle w:val="31"/>
          <w:rFonts w:hint="eastAsia" w:ascii="宋体" w:hAnsi="宋体" w:eastAsia="宋体" w:cs="宋体"/>
          <w:color w:val="000000"/>
          <w:sz w:val="24"/>
          <w:szCs w:val="24"/>
        </w:rPr>
        <w:t xml:space="preserve">就本项目各类报价进行磋商； </w:t>
      </w:r>
    </w:p>
    <w:p w14:paraId="1A839BDB">
      <w:pPr>
        <w:pStyle w:val="4"/>
        <w:numPr>
          <w:ilvl w:val="0"/>
          <w:numId w:val="34"/>
        </w:numPr>
        <w:ind w:left="0" w:leftChars="0" w:firstLine="480" w:firstLineChars="0"/>
        <w:rPr>
          <w:rStyle w:val="31"/>
          <w:rFonts w:hint="eastAsia" w:ascii="宋体" w:hAnsi="宋体" w:eastAsia="宋体" w:cs="宋体"/>
          <w:b w:val="0"/>
          <w:color w:val="000000"/>
          <w:sz w:val="24"/>
          <w:szCs w:val="24"/>
        </w:rPr>
      </w:pPr>
      <w:r>
        <w:rPr>
          <w:rStyle w:val="31"/>
          <w:rFonts w:hint="eastAsia" w:ascii="宋体" w:hAnsi="宋体" w:eastAsia="宋体" w:cs="宋体"/>
          <w:color w:val="000000"/>
          <w:sz w:val="24"/>
          <w:szCs w:val="24"/>
        </w:rPr>
        <w:t>就本项目的服务承诺进行磋商；</w:t>
      </w:r>
    </w:p>
    <w:p w14:paraId="768D0304">
      <w:pPr>
        <w:pStyle w:val="4"/>
        <w:numPr>
          <w:ilvl w:val="0"/>
          <w:numId w:val="34"/>
        </w:numPr>
        <w:ind w:left="0" w:leftChars="0" w:firstLine="480" w:firstLineChars="0"/>
        <w:rPr>
          <w:rStyle w:val="31"/>
          <w:rFonts w:hint="eastAsia" w:ascii="宋体" w:hAnsi="宋体" w:eastAsia="宋体" w:cs="宋体"/>
          <w:b w:val="0"/>
          <w:color w:val="000000"/>
          <w:sz w:val="24"/>
          <w:szCs w:val="24"/>
        </w:rPr>
      </w:pPr>
      <w:r>
        <w:rPr>
          <w:rStyle w:val="31"/>
          <w:rFonts w:hint="eastAsia" w:ascii="宋体" w:hAnsi="宋体" w:eastAsia="宋体" w:cs="宋体"/>
          <w:color w:val="000000"/>
          <w:sz w:val="24"/>
          <w:szCs w:val="24"/>
        </w:rPr>
        <w:t>就本项目的质量要求进行磋商并对其作出相关承诺。</w:t>
      </w:r>
    </w:p>
    <w:p w14:paraId="7D6D8022">
      <w:pPr>
        <w:pStyle w:val="4"/>
        <w:widowControl/>
        <w:numPr>
          <w:ilvl w:val="0"/>
          <w:numId w:val="33"/>
        </w:numPr>
        <w:tabs>
          <w:tab w:val="left" w:pos="0"/>
        </w:tabs>
        <w:ind w:left="0" w:leftChars="0" w:firstLine="480" w:firstLineChars="0"/>
        <w:rPr>
          <w:rFonts w:hint="eastAsia" w:ascii="宋体" w:hAnsi="宋体" w:eastAsia="宋体" w:cs="宋体"/>
          <w:color w:val="000000"/>
          <w:sz w:val="24"/>
          <w:szCs w:val="24"/>
        </w:rPr>
      </w:pPr>
      <w:r>
        <w:rPr>
          <w:rStyle w:val="31"/>
          <w:rFonts w:hint="eastAsia" w:ascii="宋体" w:hAnsi="宋体" w:eastAsia="宋体" w:cs="宋体"/>
          <w:color w:val="000000"/>
          <w:sz w:val="24"/>
          <w:szCs w:val="24"/>
        </w:rPr>
        <w:t>磋商评审在严格保密的情况下进行，磋商的任何一方不得透露与磋商有关的其他供应商的技术服务资料、价格和其他信息。</w:t>
      </w:r>
    </w:p>
    <w:p w14:paraId="78A71E19">
      <w:pPr>
        <w:pStyle w:val="4"/>
        <w:widowControl/>
        <w:numPr>
          <w:ilvl w:val="0"/>
          <w:numId w:val="32"/>
        </w:numPr>
        <w:ind w:left="0" w:leftChars="0" w:firstLine="482" w:firstLineChars="0"/>
        <w:rPr>
          <w:rFonts w:hint="eastAsia" w:ascii="宋体" w:hAnsi="宋体" w:eastAsia="宋体" w:cs="宋体"/>
          <w:b/>
          <w:color w:val="000000"/>
          <w:sz w:val="24"/>
          <w:szCs w:val="24"/>
        </w:rPr>
      </w:pPr>
      <w:r>
        <w:rPr>
          <w:rFonts w:hint="eastAsia" w:ascii="宋体" w:hAnsi="宋体" w:eastAsia="宋体" w:cs="宋体"/>
          <w:b/>
          <w:color w:val="000000"/>
          <w:sz w:val="24"/>
          <w:szCs w:val="24"/>
        </w:rPr>
        <w:t>最后报价</w:t>
      </w:r>
    </w:p>
    <w:p w14:paraId="42BFC000">
      <w:pPr>
        <w:pStyle w:val="4"/>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采购组织机构在平台开启新一轮报价，供应商点击【报价】，参与报价。在报价页面填写最终报价、项目负责人等信息，生成报价文件。生成报价文件后，供应商需报价文件进行CA签章。</w:t>
      </w:r>
    </w:p>
    <w:p w14:paraId="5B2CF2E7">
      <w:pPr>
        <w:pStyle w:val="4"/>
        <w:numPr>
          <w:ilvl w:val="0"/>
          <w:numId w:val="36"/>
        </w:numPr>
        <w:topLinePunct w:val="0"/>
        <w:ind w:left="0" w:leftChars="0" w:firstLine="480" w:firstLineChars="0"/>
        <w:rPr>
          <w:rFonts w:hint="eastAsia" w:ascii="宋体" w:hAnsi="宋体" w:eastAsia="宋体" w:cs="宋体"/>
          <w:b w:val="0"/>
          <w:sz w:val="24"/>
          <w:szCs w:val="24"/>
        </w:rPr>
      </w:pPr>
      <w:r>
        <w:rPr>
          <w:rFonts w:hint="eastAsia" w:ascii="宋体" w:hAnsi="宋体" w:eastAsia="宋体" w:cs="宋体"/>
          <w:sz w:val="24"/>
          <w:szCs w:val="24"/>
        </w:rPr>
        <w:t>修改报价文件：生成报价文件后，报价栏内容都置灰，无法编辑，如供应商需要修改，可点击【重新编辑】，进行修改。</w:t>
      </w:r>
    </w:p>
    <w:p w14:paraId="4D3644EE">
      <w:pPr>
        <w:pStyle w:val="4"/>
        <w:numPr>
          <w:ilvl w:val="0"/>
          <w:numId w:val="36"/>
        </w:numPr>
        <w:topLinePunct w:val="0"/>
        <w:ind w:left="0" w:leftChars="0" w:firstLine="480" w:firstLineChars="0"/>
        <w:rPr>
          <w:rFonts w:hint="eastAsia" w:ascii="宋体" w:hAnsi="宋体" w:eastAsia="宋体" w:cs="宋体"/>
          <w:b w:val="0"/>
          <w:sz w:val="24"/>
          <w:szCs w:val="24"/>
        </w:rPr>
      </w:pPr>
      <w:r>
        <w:rPr>
          <w:rFonts w:hint="eastAsia" w:ascii="宋体" w:hAnsi="宋体" w:eastAsia="宋体" w:cs="宋体"/>
          <w:sz w:val="24"/>
          <w:szCs w:val="24"/>
        </w:rPr>
        <w:t>提交报价文件：确认报价文件后，点击右上角【提交】，提交报价文件。</w:t>
      </w:r>
    </w:p>
    <w:p w14:paraId="16A75E23">
      <w:pPr>
        <w:pStyle w:val="4"/>
        <w:widowControl/>
        <w:rPr>
          <w:rFonts w:hint="eastAsia" w:ascii="宋体" w:hAnsi="宋体" w:eastAsia="宋体" w:cs="宋体"/>
          <w:b/>
          <w:color w:val="000000"/>
          <w:sz w:val="24"/>
          <w:szCs w:val="24"/>
        </w:rPr>
      </w:pPr>
      <w:r>
        <w:rPr>
          <w:rFonts w:hint="eastAsia" w:ascii="宋体" w:hAnsi="宋体" w:eastAsia="宋体" w:cs="宋体"/>
          <w:b/>
          <w:sz w:val="24"/>
          <w:szCs w:val="24"/>
        </w:rPr>
        <w:t>注：本项目磋商采用二次报价（在线多轮报价（最终报价））方式，如磋商人的第二次报价有调整时，报价文件必须以工程量清单报价表的格式编制转为pdf格式作为附件上传系统。磋商人不得以总价下浮的方式做报价，否则作无效磋商处理。请各磋商人须提前做好相关准备并按时递交报价文件，报价高于本项目招标控制价的磋商响应文件将被拒绝。</w:t>
      </w:r>
    </w:p>
    <w:p w14:paraId="571815F5">
      <w:pPr>
        <w:pStyle w:val="4"/>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rFonts w:hint="eastAsia" w:ascii="宋体" w:hAnsi="宋体" w:eastAsia="宋体" w:cs="宋体"/>
          <w:b w:val="0"/>
          <w:color w:val="000000"/>
          <w:sz w:val="24"/>
          <w:szCs w:val="24"/>
        </w:rPr>
      </w:pPr>
      <w:r>
        <w:rPr>
          <w:rFonts w:hint="eastAsia" w:ascii="宋体" w:hAnsi="宋体" w:eastAsia="宋体" w:cs="宋体"/>
          <w:color w:val="000000"/>
          <w:sz w:val="24"/>
          <w:szCs w:val="24"/>
        </w:rPr>
        <w:t>磋商文件能够详细列明采购标的的技术、服务要求的，磋商结束后，磋商小组应当要求所有继续参加磋商的供应商在规定时间内提交最终报价，提交最终报价的供应商不得少于3家。</w:t>
      </w:r>
    </w:p>
    <w:p w14:paraId="61882BC0">
      <w:pPr>
        <w:pStyle w:val="4"/>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rFonts w:hint="eastAsia" w:ascii="宋体" w:hAnsi="宋体" w:eastAsia="宋体" w:cs="宋体"/>
          <w:b w:val="0"/>
          <w:color w:val="000000"/>
          <w:sz w:val="24"/>
          <w:szCs w:val="24"/>
        </w:rPr>
      </w:pPr>
      <w:r>
        <w:rPr>
          <w:rFonts w:hint="eastAsia" w:ascii="宋体" w:hAnsi="宋体" w:eastAsia="宋体" w:cs="宋体"/>
          <w:color w:val="000000"/>
          <w:sz w:val="24"/>
          <w:szCs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密封提交最后报价。供应商未在规定时间内提交最后报价的，视同放弃最后报价权利。</w:t>
      </w:r>
    </w:p>
    <w:p w14:paraId="0E73C831">
      <w:pPr>
        <w:pStyle w:val="4"/>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rFonts w:hint="eastAsia" w:ascii="宋体" w:hAnsi="宋体" w:eastAsia="宋体" w:cs="宋体"/>
          <w:b w:val="0"/>
          <w:color w:val="000000"/>
          <w:sz w:val="24"/>
          <w:szCs w:val="24"/>
        </w:rPr>
      </w:pPr>
      <w:r>
        <w:rPr>
          <w:rFonts w:hint="eastAsia" w:ascii="宋体" w:hAnsi="宋体" w:eastAsia="宋体" w:cs="宋体"/>
          <w:color w:val="000000"/>
          <w:sz w:val="24"/>
          <w:szCs w:val="24"/>
        </w:rPr>
        <w:t>属于市场竞争不充分的科研项目，以及需要扶持的科技成果转化项目，提交最后报价的供应商可以为2家。</w:t>
      </w:r>
    </w:p>
    <w:p w14:paraId="57230550">
      <w:pPr>
        <w:pStyle w:val="4"/>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rFonts w:hint="eastAsia" w:ascii="宋体" w:hAnsi="宋体" w:eastAsia="宋体" w:cs="宋体"/>
          <w:b w:val="0"/>
          <w:color w:val="000000"/>
          <w:sz w:val="24"/>
          <w:szCs w:val="24"/>
        </w:rPr>
      </w:pPr>
      <w:r>
        <w:rPr>
          <w:rFonts w:hint="eastAsia" w:ascii="宋体" w:hAnsi="宋体" w:eastAsia="宋体" w:cs="宋体"/>
          <w:color w:val="000000"/>
          <w:sz w:val="24"/>
          <w:szCs w:val="24"/>
        </w:rPr>
        <w:t>根据财库【2015】124号《财政部关于政府采购竞争性磋商采购方式有关问题的通知》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02CC021">
      <w:pPr>
        <w:pStyle w:val="4"/>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rFonts w:hint="eastAsia" w:ascii="宋体" w:hAnsi="宋体" w:eastAsia="宋体" w:cs="宋体"/>
          <w:b w:val="0"/>
          <w:color w:val="000000"/>
          <w:sz w:val="24"/>
          <w:szCs w:val="24"/>
        </w:rPr>
      </w:pPr>
      <w:r>
        <w:rPr>
          <w:rFonts w:hint="eastAsia" w:ascii="宋体" w:hAnsi="宋体" w:eastAsia="宋体" w:cs="宋体"/>
          <w:color w:val="000000"/>
          <w:sz w:val="24"/>
          <w:szCs w:val="24"/>
        </w:rPr>
        <w:t>最后报价是供应商响应文件的有效组成部分。</w:t>
      </w:r>
    </w:p>
    <w:p w14:paraId="61DE9AC3">
      <w:pPr>
        <w:pStyle w:val="4"/>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rFonts w:hint="eastAsia" w:ascii="宋体" w:hAnsi="宋体" w:eastAsia="宋体" w:cs="宋体"/>
          <w:b w:val="0"/>
          <w:color w:val="000000"/>
          <w:sz w:val="24"/>
          <w:szCs w:val="24"/>
        </w:rPr>
      </w:pPr>
      <w:r>
        <w:rPr>
          <w:rFonts w:hint="eastAsia" w:ascii="宋体" w:hAnsi="宋体" w:eastAsia="宋体" w:cs="宋体"/>
          <w:color w:val="000000"/>
          <w:sz w:val="24"/>
          <w:szCs w:val="24"/>
        </w:rPr>
        <w:t>已经提交响应文件的供应商，在提交最后报价之前，可以根据磋商情况退出磋商。采购人、采购代理机构将退还退出磋商的供应商的保证金。</w:t>
      </w:r>
    </w:p>
    <w:p w14:paraId="4F47CE10">
      <w:pPr>
        <w:pStyle w:val="4"/>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rFonts w:hint="eastAsia" w:ascii="宋体" w:hAnsi="宋体" w:eastAsia="宋体" w:cs="宋体"/>
          <w:b w:val="0"/>
          <w:color w:val="000000"/>
          <w:sz w:val="24"/>
          <w:szCs w:val="24"/>
        </w:rPr>
      </w:pPr>
      <w:r>
        <w:rPr>
          <w:rFonts w:hint="eastAsia" w:ascii="宋体" w:hAnsi="宋体" w:eastAsia="宋体" w:cs="宋体"/>
          <w:color w:val="000000"/>
          <w:sz w:val="24"/>
          <w:szCs w:val="24"/>
        </w:rPr>
        <w:t>响应供应商的报价均超过了采购预算，采购人不能支付的，磋商活动终止。</w:t>
      </w:r>
    </w:p>
    <w:p w14:paraId="7D9A2BC6">
      <w:pPr>
        <w:pStyle w:val="4"/>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rFonts w:hint="eastAsia" w:ascii="宋体" w:hAnsi="宋体" w:eastAsia="宋体" w:cs="宋体"/>
          <w:b w:val="0"/>
          <w:color w:val="000000"/>
          <w:sz w:val="24"/>
          <w:szCs w:val="24"/>
        </w:rPr>
      </w:pPr>
      <w:r>
        <w:rPr>
          <w:rFonts w:hint="eastAsia" w:ascii="宋体" w:hAnsi="宋体" w:eastAsia="宋体" w:cs="宋体"/>
          <w:color w:val="000000"/>
          <w:sz w:val="24"/>
          <w:szCs w:val="24"/>
        </w:rPr>
        <w:t>低于成本报价</w:t>
      </w:r>
    </w:p>
    <w:p w14:paraId="77CDE26E">
      <w:pPr>
        <w:pStyle w:val="4"/>
        <w:widowControl/>
        <w:rPr>
          <w:rFonts w:hint="eastAsia" w:ascii="宋体" w:hAnsi="宋体" w:eastAsia="宋体" w:cs="宋体"/>
          <w:color w:val="000000"/>
          <w:sz w:val="24"/>
          <w:szCs w:val="24"/>
        </w:rPr>
      </w:pPr>
      <w:r>
        <w:rPr>
          <w:rFonts w:hint="eastAsia" w:ascii="宋体" w:hAnsi="宋体" w:eastAsia="宋体" w:cs="宋体"/>
          <w:color w:val="000000"/>
          <w:sz w:val="24"/>
          <w:szCs w:val="24"/>
        </w:rPr>
        <w:t>磋商小组在评审过程中发现供应商的总报价明显低于其他供应商的总报价或者明显低于采购预算价，有理由怀疑其报价可能低于其成本的，应当要求该供应商做出书面说明并提供相关证明材料。供应商不能合理说明或者不能提供相关证明材料的，视作该供应商报价以低于成本价，其响应文件无效。</w:t>
      </w:r>
    </w:p>
    <w:p w14:paraId="13B131B9">
      <w:pPr>
        <w:pStyle w:val="7"/>
        <w:numPr>
          <w:ilvl w:val="0"/>
          <w:numId w:val="11"/>
        </w:numPr>
        <w:tabs>
          <w:tab w:val="clear" w:pos="482"/>
        </w:tabs>
        <w:ind w:left="0" w:leftChars="0" w:firstLine="482" w:firstLineChars="0"/>
        <w:rPr>
          <w:rFonts w:hint="eastAsia" w:ascii="宋体" w:hAnsi="宋体" w:eastAsia="宋体" w:cs="宋体"/>
          <w:b/>
          <w:color w:val="000000"/>
          <w:sz w:val="24"/>
          <w:szCs w:val="24"/>
        </w:rPr>
      </w:pPr>
      <w:r>
        <w:rPr>
          <w:rFonts w:hint="eastAsia" w:ascii="宋体" w:hAnsi="宋体" w:eastAsia="宋体" w:cs="宋体"/>
          <w:b/>
          <w:color w:val="000000"/>
          <w:sz w:val="24"/>
          <w:szCs w:val="24"/>
        </w:rPr>
        <w:t>最终磋</w:t>
      </w:r>
      <w:r>
        <w:rPr>
          <w:rFonts w:hint="eastAsia" w:ascii="宋体" w:hAnsi="宋体" w:eastAsia="宋体" w:cs="宋体"/>
          <w:sz w:val="24"/>
          <w:szCs w:val="24"/>
        </w:rPr>
        <w:t>商</w:t>
      </w:r>
      <w:r>
        <w:rPr>
          <w:rFonts w:hint="eastAsia" w:ascii="宋体" w:hAnsi="宋体" w:eastAsia="宋体" w:cs="宋体"/>
          <w:b/>
          <w:color w:val="000000"/>
          <w:sz w:val="24"/>
          <w:szCs w:val="24"/>
        </w:rPr>
        <w:t>结束后，磋商小组不得再与供应商进行任何形式的商谈</w:t>
      </w:r>
    </w:p>
    <w:p w14:paraId="6D848310">
      <w:pPr>
        <w:pStyle w:val="7"/>
        <w:numPr>
          <w:ilvl w:val="0"/>
          <w:numId w:val="11"/>
        </w:numPr>
        <w:tabs>
          <w:tab w:val="clear" w:pos="482"/>
        </w:tabs>
        <w:ind w:left="0" w:leftChars="0" w:firstLine="482" w:firstLineChars="0"/>
        <w:rPr>
          <w:rFonts w:hint="eastAsia" w:ascii="宋体" w:hAnsi="宋体" w:eastAsia="宋体" w:cs="宋体"/>
          <w:b/>
          <w:color w:val="000000"/>
          <w:sz w:val="24"/>
          <w:szCs w:val="24"/>
        </w:rPr>
      </w:pPr>
      <w:r>
        <w:rPr>
          <w:rFonts w:hint="eastAsia" w:ascii="宋体" w:hAnsi="宋体" w:eastAsia="宋体" w:cs="宋体"/>
          <w:b/>
          <w:color w:val="000000"/>
          <w:sz w:val="24"/>
          <w:szCs w:val="24"/>
        </w:rPr>
        <w:t>评审与比较</w:t>
      </w:r>
    </w:p>
    <w:p w14:paraId="6237DB1F">
      <w:pPr>
        <w:pStyle w:val="4"/>
        <w:widowControl/>
        <w:numPr>
          <w:ilvl w:val="0"/>
          <w:numId w:val="37"/>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经磋商确定最终采购需求和提交最后报价的供应商后，由磋商小组采用综合评分法对提交最后报价的供应商的响应文件和最后报价进行综合评分。</w:t>
      </w:r>
    </w:p>
    <w:p w14:paraId="63D5F800">
      <w:pPr>
        <w:pStyle w:val="4"/>
        <w:widowControl/>
        <w:numPr>
          <w:ilvl w:val="0"/>
          <w:numId w:val="37"/>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评审原则。磋商小组必须公平、公正、客观，不带任何倾向性和启发性；不得向外界透露任何与评审有关的内容；任何单位和个人不得干扰、影响评审的正常进行。</w:t>
      </w:r>
    </w:p>
    <w:p w14:paraId="4F57D743">
      <w:pPr>
        <w:pStyle w:val="4"/>
        <w:widowControl/>
        <w:numPr>
          <w:ilvl w:val="0"/>
          <w:numId w:val="37"/>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评标办法及标准详见第四章。</w:t>
      </w:r>
    </w:p>
    <w:p w14:paraId="550E6A29">
      <w:pPr>
        <w:pStyle w:val="7"/>
        <w:numPr>
          <w:ilvl w:val="0"/>
          <w:numId w:val="11"/>
        </w:numPr>
        <w:tabs>
          <w:tab w:val="clear" w:pos="482"/>
        </w:tabs>
        <w:ind w:left="0" w:leftChars="0" w:firstLine="482" w:firstLineChars="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在评审过程中出现法律法规和磋商文件均没有明确规定的情形时，由磋商小组现场协商解决，协商不一致的，由全体磋商小组投票表决，以得票率二分之一以上专家的意见为准。</w:t>
      </w:r>
    </w:p>
    <w:p w14:paraId="7F4F3195">
      <w:pPr>
        <w:pStyle w:val="7"/>
        <w:numPr>
          <w:ilvl w:val="0"/>
          <w:numId w:val="11"/>
        </w:numPr>
        <w:tabs>
          <w:tab w:val="clear" w:pos="482"/>
        </w:tabs>
        <w:ind w:left="0" w:leftChars="0" w:firstLine="482" w:firstLineChars="0"/>
        <w:rPr>
          <w:rFonts w:hint="eastAsia" w:ascii="宋体" w:hAnsi="宋体" w:eastAsia="宋体" w:cs="宋体"/>
          <w:b/>
          <w:color w:val="000000"/>
          <w:sz w:val="24"/>
          <w:szCs w:val="24"/>
        </w:rPr>
      </w:pPr>
      <w:r>
        <w:rPr>
          <w:rFonts w:hint="eastAsia" w:ascii="宋体" w:hAnsi="宋体" w:eastAsia="宋体" w:cs="宋体"/>
          <w:b/>
          <w:color w:val="000000"/>
          <w:sz w:val="24"/>
          <w:szCs w:val="24"/>
        </w:rPr>
        <w:t>特别说明：</w:t>
      </w:r>
    </w:p>
    <w:p w14:paraId="4026DDBB">
      <w:pPr>
        <w:pStyle w:val="4"/>
        <w:widowControl/>
        <w:numPr>
          <w:ilvl w:val="0"/>
          <w:numId w:val="38"/>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供应商磋商所使用的资格、信誉、荣誉、业绩与企业认证必须为本法人所拥有。供应商磋商所使用的采购项目实施人员必须为本法人员工（或必须为本法人或控股公司正式员工）。</w:t>
      </w:r>
    </w:p>
    <w:p w14:paraId="2F7D4FB9">
      <w:pPr>
        <w:pStyle w:val="4"/>
        <w:widowControl/>
        <w:numPr>
          <w:ilvl w:val="0"/>
          <w:numId w:val="38"/>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供应商应仔细阅读竞争性磋商文件的所有内容，按照竞争性磋商文件的要求提交响应文件，并对所提供的全部资料的真实性承担法律责任。</w:t>
      </w:r>
    </w:p>
    <w:p w14:paraId="727EB495">
      <w:pPr>
        <w:pStyle w:val="4"/>
        <w:widowControl/>
        <w:numPr>
          <w:ilvl w:val="0"/>
          <w:numId w:val="38"/>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供应商在磋商活动中提供任何虚假材料，其磋商无效，并报监管部门查处；中标后发现的，成交供应商须依照《中华人民共和国消费者权益保护法》的规定赔偿采购人，且民事赔偿并不免除违法供应商的行政与刑事责任。</w:t>
      </w:r>
    </w:p>
    <w:p w14:paraId="253EE705">
      <w:pPr>
        <w:pStyle w:val="4"/>
        <w:numPr>
          <w:ilvl w:val="0"/>
          <w:numId w:val="38"/>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有下列情形之一的视为供应商相互串通投标，响应文件将被视为无效：</w:t>
      </w:r>
    </w:p>
    <w:p w14:paraId="39B9EAF9">
      <w:pPr>
        <w:pStyle w:val="4"/>
        <w:numPr>
          <w:ilvl w:val="0"/>
          <w:numId w:val="39"/>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不同供应商的响应文件由同一单位或者个人编制；或不同供应商报名的IP地址一致的；</w:t>
      </w:r>
    </w:p>
    <w:p w14:paraId="444B5031">
      <w:pPr>
        <w:pStyle w:val="4"/>
        <w:numPr>
          <w:ilvl w:val="0"/>
          <w:numId w:val="39"/>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不同供应商委托同一单位或者个人办理磋商事宜；</w:t>
      </w:r>
    </w:p>
    <w:p w14:paraId="2B335A39">
      <w:pPr>
        <w:pStyle w:val="4"/>
        <w:numPr>
          <w:ilvl w:val="0"/>
          <w:numId w:val="39"/>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不同的供应商的响应文件载明的项目管理员为同一个人；</w:t>
      </w:r>
    </w:p>
    <w:p w14:paraId="0226429D">
      <w:pPr>
        <w:pStyle w:val="4"/>
        <w:numPr>
          <w:ilvl w:val="0"/>
          <w:numId w:val="39"/>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不同供应商的响应文件异常一致或报价呈规律性差异；</w:t>
      </w:r>
    </w:p>
    <w:p w14:paraId="3EE1B04B">
      <w:pPr>
        <w:pStyle w:val="4"/>
        <w:numPr>
          <w:ilvl w:val="0"/>
          <w:numId w:val="39"/>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不同供应商的响应文件相互混装；</w:t>
      </w:r>
    </w:p>
    <w:p w14:paraId="683E4ED4">
      <w:pPr>
        <w:pStyle w:val="4"/>
        <w:numPr>
          <w:ilvl w:val="0"/>
          <w:numId w:val="39"/>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不同供应商的保证金从同一单位或者个人账户转出。</w:t>
      </w:r>
    </w:p>
    <w:p w14:paraId="3593AF46">
      <w:pPr>
        <w:pStyle w:val="4"/>
        <w:numPr>
          <w:ilvl w:val="0"/>
          <w:numId w:val="38"/>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供应商有下列情形之一的，属于恶意串通行为：</w:t>
      </w:r>
    </w:p>
    <w:p w14:paraId="3B1EC18D">
      <w:pPr>
        <w:pStyle w:val="4"/>
        <w:numPr>
          <w:ilvl w:val="0"/>
          <w:numId w:val="40"/>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供应商直接或者间接从采购人或者采购代理机构处获得其他供应商的相关信息并修改其响应文件：</w:t>
      </w:r>
    </w:p>
    <w:p w14:paraId="4ECF93BD">
      <w:pPr>
        <w:pStyle w:val="4"/>
        <w:numPr>
          <w:ilvl w:val="0"/>
          <w:numId w:val="40"/>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供应商按照采购人或者采购代理机构的授意撤换、修改响应文件；</w:t>
      </w:r>
    </w:p>
    <w:p w14:paraId="520A481F">
      <w:pPr>
        <w:pStyle w:val="4"/>
        <w:numPr>
          <w:ilvl w:val="0"/>
          <w:numId w:val="40"/>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供应商之间协商报价、技术方案等响应文件的实质性内容；</w:t>
      </w:r>
    </w:p>
    <w:p w14:paraId="0247A57E">
      <w:pPr>
        <w:pStyle w:val="4"/>
        <w:numPr>
          <w:ilvl w:val="0"/>
          <w:numId w:val="40"/>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属于同一集团、协会、商会等组织成员的供应商按照该组织要求协同参加政府采购活动；</w:t>
      </w:r>
    </w:p>
    <w:p w14:paraId="1733C7F2">
      <w:pPr>
        <w:pStyle w:val="4"/>
        <w:numPr>
          <w:ilvl w:val="0"/>
          <w:numId w:val="40"/>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供应商之间事先约定一致抬高或者压低报价,或者在采购项目中事先约定轮流以高价位或者低价位成交,或者事先约定由某一特定供应商成交,然后再参加磋商；</w:t>
      </w:r>
    </w:p>
    <w:p w14:paraId="3D7B23C7">
      <w:pPr>
        <w:pStyle w:val="4"/>
        <w:numPr>
          <w:ilvl w:val="0"/>
          <w:numId w:val="40"/>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供应商之间商定部分供应商放弃参加政府采购活动或者放弃成交；</w:t>
      </w:r>
    </w:p>
    <w:p w14:paraId="66DEFA4C">
      <w:pPr>
        <w:pStyle w:val="4"/>
        <w:numPr>
          <w:ilvl w:val="0"/>
          <w:numId w:val="40"/>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供应商与采购人或者采购代理机构之间、供应商相互之间，为谋求特定供应商成交或者排斥其他供应商的其他串通行为。</w:t>
      </w:r>
    </w:p>
    <w:p w14:paraId="5730D702">
      <w:pPr>
        <w:pStyle w:val="4"/>
        <w:numPr>
          <w:ilvl w:val="0"/>
          <w:numId w:val="38"/>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单位负责人为同一人或者存在直接控股、管理关系的不同的供应商，不得参加同一合同项下的政府采购活动，否则响应文件将被视为无效。</w:t>
      </w:r>
    </w:p>
    <w:p w14:paraId="2FA9892F">
      <w:pPr>
        <w:pStyle w:val="7"/>
        <w:numPr>
          <w:ilvl w:val="0"/>
          <w:numId w:val="11"/>
        </w:numPr>
        <w:tabs>
          <w:tab w:val="clear" w:pos="482"/>
        </w:tabs>
        <w:ind w:left="0" w:leftChars="0" w:firstLine="482" w:firstLineChars="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出现下列情形之一的，采购人或者采购代理机构应当终止竞争性磋商采购活动，发布项目终止公告并说明原因，重新开展采购活动：</w:t>
      </w:r>
    </w:p>
    <w:p w14:paraId="688EE1DC">
      <w:pPr>
        <w:pStyle w:val="4"/>
        <w:widowControl/>
        <w:numPr>
          <w:ilvl w:val="0"/>
          <w:numId w:val="41"/>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因情况变化，不再符合规定的竞争性磋商采购方式适用情形的；</w:t>
      </w:r>
    </w:p>
    <w:p w14:paraId="02B94E8A">
      <w:pPr>
        <w:pStyle w:val="4"/>
        <w:widowControl/>
        <w:numPr>
          <w:ilvl w:val="0"/>
          <w:numId w:val="41"/>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出现影响采购公正的违法、违规行为的；</w:t>
      </w:r>
    </w:p>
    <w:p w14:paraId="3E02BD65">
      <w:pPr>
        <w:pStyle w:val="4"/>
        <w:widowControl/>
        <w:numPr>
          <w:ilvl w:val="0"/>
          <w:numId w:val="41"/>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除本须知19.5.4、19.5.5及法律法规规定的情形外，在采购过程中符合要求的供应商或者报价未超过采购预算的供应商不足3家的。</w:t>
      </w:r>
    </w:p>
    <w:p w14:paraId="3DCFB017">
      <w:pPr>
        <w:pStyle w:val="7"/>
        <w:numPr>
          <w:ilvl w:val="0"/>
          <w:numId w:val="11"/>
        </w:numPr>
        <w:tabs>
          <w:tab w:val="clear" w:pos="482"/>
        </w:tabs>
        <w:ind w:left="0" w:leftChars="0" w:firstLine="482" w:firstLineChars="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在采购活动中因重大变故，采购任务取消的，采购人或者采购代理机构应当终止采购活动，通知所有参加采购活动的供应商，并将项目实施情况和采购任务取消原因报送本级财政部门。</w:t>
      </w:r>
    </w:p>
    <w:p w14:paraId="549892CE">
      <w:pPr>
        <w:pStyle w:val="6"/>
        <w:numPr>
          <w:ilvl w:val="0"/>
          <w:numId w:val="10"/>
        </w:numPr>
        <w:tabs>
          <w:tab w:val="clear" w:pos="482"/>
        </w:tabs>
        <w:topLinePunct w:val="0"/>
        <w:ind w:left="0" w:leftChars="0" w:firstLine="0" w:firstLineChars="0"/>
        <w:rPr>
          <w:rFonts w:hint="eastAsia" w:ascii="宋体" w:hAnsi="宋体" w:eastAsia="宋体" w:cs="宋体"/>
          <w:b/>
          <w:sz w:val="24"/>
          <w:szCs w:val="24"/>
        </w:rPr>
      </w:pPr>
      <w:r>
        <w:rPr>
          <w:rFonts w:hint="eastAsia" w:ascii="宋体" w:hAnsi="宋体" w:eastAsia="宋体" w:cs="宋体"/>
          <w:sz w:val="24"/>
          <w:szCs w:val="24"/>
        </w:rPr>
        <w:t>确定成交供应商办法及结果公告</w:t>
      </w:r>
    </w:p>
    <w:p w14:paraId="16296913">
      <w:pPr>
        <w:pStyle w:val="7"/>
        <w:numPr>
          <w:ilvl w:val="0"/>
          <w:numId w:val="11"/>
        </w:numPr>
        <w:tabs>
          <w:tab w:val="clear" w:pos="482"/>
        </w:tabs>
        <w:ind w:left="0" w:leftChars="0" w:firstLine="482" w:firstLineChars="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代理机构应当自评审结束之日起2个工作日内将评审报告送交采购人，采购人在收到代理机构提交的评审报告后，2个工作日内从评审报告提出的成交候选供应商中确定成交供应商。</w:t>
      </w:r>
    </w:p>
    <w:p w14:paraId="3059E0B6">
      <w:pPr>
        <w:pStyle w:val="7"/>
        <w:numPr>
          <w:ilvl w:val="0"/>
          <w:numId w:val="11"/>
        </w:numPr>
        <w:tabs>
          <w:tab w:val="clear" w:pos="482"/>
        </w:tabs>
        <w:ind w:left="0" w:leftChars="0" w:firstLine="482" w:firstLineChars="0"/>
        <w:rPr>
          <w:rFonts w:hint="eastAsia" w:ascii="宋体" w:hAnsi="宋体" w:eastAsia="宋体" w:cs="宋体"/>
          <w:b w:val="0"/>
          <w:color w:val="000000"/>
          <w:sz w:val="24"/>
          <w:szCs w:val="24"/>
        </w:rPr>
      </w:pPr>
      <w:r>
        <w:rPr>
          <w:rFonts w:hint="eastAsia" w:ascii="宋体" w:hAnsi="宋体" w:eastAsia="宋体" w:cs="宋体"/>
          <w:b w:val="0"/>
          <w:bCs/>
          <w:color w:val="000000"/>
          <w:sz w:val="24"/>
          <w:szCs w:val="24"/>
        </w:rPr>
        <w:t>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w:t>
      </w:r>
      <w:r>
        <w:rPr>
          <w:rFonts w:hint="eastAsia" w:ascii="宋体" w:hAnsi="宋体" w:eastAsia="宋体" w:cs="宋体"/>
          <w:color w:val="000000"/>
          <w:sz w:val="24"/>
          <w:szCs w:val="24"/>
        </w:rPr>
        <w:t>为成交人。</w:t>
      </w:r>
    </w:p>
    <w:p w14:paraId="3E021F28">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以上信息查询记录及相关证据与采购文件一并保存。</w:t>
      </w:r>
    </w:p>
    <w:p w14:paraId="03A2930E">
      <w:pPr>
        <w:pStyle w:val="6"/>
        <w:numPr>
          <w:ilvl w:val="0"/>
          <w:numId w:val="10"/>
        </w:numPr>
        <w:tabs>
          <w:tab w:val="clear" w:pos="482"/>
        </w:tabs>
        <w:topLinePunct w:val="0"/>
        <w:ind w:left="0" w:leftChars="0" w:firstLine="0" w:firstLineChars="0"/>
        <w:rPr>
          <w:rFonts w:hint="eastAsia" w:ascii="宋体" w:hAnsi="宋体" w:eastAsia="宋体" w:cs="宋体"/>
          <w:b/>
          <w:sz w:val="24"/>
          <w:szCs w:val="24"/>
        </w:rPr>
      </w:pPr>
      <w:r>
        <w:rPr>
          <w:rFonts w:hint="eastAsia" w:ascii="宋体" w:hAnsi="宋体" w:eastAsia="宋体" w:cs="宋体"/>
          <w:sz w:val="24"/>
          <w:szCs w:val="24"/>
        </w:rPr>
        <w:t>履约保证金</w:t>
      </w:r>
    </w:p>
    <w:p w14:paraId="2810AFE3">
      <w:pPr>
        <w:pStyle w:val="7"/>
        <w:numPr>
          <w:ilvl w:val="0"/>
          <w:numId w:val="11"/>
        </w:numPr>
        <w:tabs>
          <w:tab w:val="clear" w:pos="482"/>
        </w:tabs>
        <w:ind w:left="0" w:leftChars="0" w:firstLine="482" w:firstLineChars="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本项目无履约保证金</w:t>
      </w:r>
    </w:p>
    <w:p w14:paraId="5BC55DAD">
      <w:pPr>
        <w:pStyle w:val="6"/>
        <w:numPr>
          <w:ilvl w:val="0"/>
          <w:numId w:val="10"/>
        </w:numPr>
        <w:tabs>
          <w:tab w:val="clear" w:pos="482"/>
        </w:tabs>
        <w:topLinePunct w:val="0"/>
        <w:ind w:left="0" w:leftChars="0" w:firstLine="0" w:firstLineChars="0"/>
        <w:rPr>
          <w:rFonts w:hint="eastAsia" w:ascii="宋体" w:hAnsi="宋体" w:eastAsia="宋体" w:cs="宋体"/>
          <w:b/>
          <w:sz w:val="24"/>
          <w:szCs w:val="24"/>
        </w:rPr>
      </w:pPr>
      <w:r>
        <w:rPr>
          <w:rFonts w:hint="eastAsia" w:ascii="宋体" w:hAnsi="宋体" w:eastAsia="宋体" w:cs="宋体"/>
          <w:sz w:val="24"/>
          <w:szCs w:val="24"/>
        </w:rPr>
        <w:t>签订合同</w:t>
      </w:r>
    </w:p>
    <w:p w14:paraId="56B63B64">
      <w:pPr>
        <w:pStyle w:val="7"/>
        <w:numPr>
          <w:ilvl w:val="0"/>
          <w:numId w:val="11"/>
        </w:numPr>
        <w:tabs>
          <w:tab w:val="clear" w:pos="482"/>
        </w:tabs>
        <w:ind w:left="0" w:leftChars="0" w:firstLine="482" w:firstLineChars="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根据《广西深化政府采购制度改革工作方案》和《关于促进政府采购公平竞争优化营商环境的通知》（财库〔2019〕38号）等相关政策的要求，为了提高采购时效，压缩采购合同签订时间，成交供应商自接到成交通知书之日起7个工作日内与采购人签订政府采购合同。</w:t>
      </w:r>
    </w:p>
    <w:p w14:paraId="04449260">
      <w:pPr>
        <w:pStyle w:val="7"/>
        <w:numPr>
          <w:ilvl w:val="0"/>
          <w:numId w:val="11"/>
        </w:numPr>
        <w:tabs>
          <w:tab w:val="clear" w:pos="482"/>
        </w:tabs>
        <w:ind w:left="0" w:leftChars="0" w:firstLine="482" w:firstLineChars="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如成交供应商不按成交通知书的规定签订合同，则按成交供应商违约处理。</w:t>
      </w:r>
    </w:p>
    <w:p w14:paraId="4A766311">
      <w:pPr>
        <w:pStyle w:val="7"/>
        <w:numPr>
          <w:ilvl w:val="0"/>
          <w:numId w:val="11"/>
        </w:numPr>
        <w:tabs>
          <w:tab w:val="clear" w:pos="482"/>
        </w:tabs>
        <w:ind w:left="0" w:leftChars="0" w:firstLine="482" w:firstLineChars="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成交供应商因不可抗力或者拒绝签订政府采购合同的，采购人可以与成交供应商之后排名第一的成交候选供应商签订采购合同，以此类推。采购人也可以重新开展政府采购活动。拒绝签订政府采购合同的成交供应商不得参加对该项目重新开展的采购活动。</w:t>
      </w:r>
    </w:p>
    <w:p w14:paraId="775D0057">
      <w:pPr>
        <w:pStyle w:val="7"/>
        <w:numPr>
          <w:ilvl w:val="0"/>
          <w:numId w:val="11"/>
        </w:numPr>
        <w:tabs>
          <w:tab w:val="clear" w:pos="482"/>
        </w:tabs>
        <w:ind w:left="0" w:leftChars="0" w:firstLine="482" w:firstLineChars="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政府采购合同公告</w:t>
      </w:r>
    </w:p>
    <w:p w14:paraId="074B704B">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0D9D5B5">
      <w:pPr>
        <w:pStyle w:val="6"/>
        <w:numPr>
          <w:ilvl w:val="0"/>
          <w:numId w:val="10"/>
        </w:numPr>
        <w:tabs>
          <w:tab w:val="clear" w:pos="482"/>
        </w:tabs>
        <w:topLinePunct w:val="0"/>
        <w:ind w:left="0" w:leftChars="0" w:firstLine="0" w:firstLineChars="0"/>
        <w:rPr>
          <w:rFonts w:hint="eastAsia" w:ascii="宋体" w:hAnsi="宋体" w:eastAsia="宋体" w:cs="宋体"/>
          <w:b/>
          <w:sz w:val="24"/>
          <w:szCs w:val="24"/>
        </w:rPr>
      </w:pPr>
      <w:r>
        <w:rPr>
          <w:rFonts w:hint="eastAsia" w:ascii="宋体" w:hAnsi="宋体" w:eastAsia="宋体" w:cs="宋体"/>
          <w:sz w:val="24"/>
          <w:szCs w:val="24"/>
        </w:rPr>
        <w:t>适用法律</w:t>
      </w:r>
    </w:p>
    <w:p w14:paraId="3A8D2B3C">
      <w:pPr>
        <w:pStyle w:val="7"/>
        <w:numPr>
          <w:ilvl w:val="0"/>
          <w:numId w:val="11"/>
        </w:numPr>
        <w:tabs>
          <w:tab w:val="clear" w:pos="482"/>
        </w:tabs>
        <w:ind w:left="0" w:leftChars="0" w:firstLine="482" w:firstLineChars="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采购当事人的一切活动均适用于《中华人民共和国政府采购法》、《政府采购竞争性磋商采购方式管理暂行办法》及相关规定。</w:t>
      </w:r>
    </w:p>
    <w:p w14:paraId="35289AEC">
      <w:pPr>
        <w:pStyle w:val="6"/>
        <w:numPr>
          <w:ilvl w:val="0"/>
          <w:numId w:val="10"/>
        </w:numPr>
        <w:tabs>
          <w:tab w:val="clear" w:pos="482"/>
        </w:tabs>
        <w:topLinePunct w:val="0"/>
        <w:ind w:left="0" w:leftChars="0" w:firstLine="0" w:firstLineChars="0"/>
        <w:rPr>
          <w:rFonts w:hint="eastAsia" w:ascii="宋体" w:hAnsi="宋体" w:eastAsia="宋体" w:cs="宋体"/>
          <w:b/>
          <w:sz w:val="24"/>
          <w:szCs w:val="24"/>
        </w:rPr>
      </w:pPr>
      <w:r>
        <w:rPr>
          <w:rFonts w:hint="eastAsia" w:ascii="宋体" w:hAnsi="宋体" w:eastAsia="宋体" w:cs="宋体"/>
          <w:sz w:val="24"/>
          <w:szCs w:val="24"/>
        </w:rPr>
        <w:t>其它内容</w:t>
      </w:r>
    </w:p>
    <w:p w14:paraId="02E2840D">
      <w:pPr>
        <w:pStyle w:val="7"/>
        <w:numPr>
          <w:ilvl w:val="0"/>
          <w:numId w:val="11"/>
        </w:numPr>
        <w:tabs>
          <w:tab w:val="clear" w:pos="482"/>
        </w:tabs>
        <w:ind w:left="0" w:leftChars="0" w:firstLine="482" w:firstLineChars="0"/>
        <w:rPr>
          <w:rFonts w:hint="eastAsia" w:ascii="宋体" w:hAnsi="宋体" w:eastAsia="宋体" w:cs="宋体"/>
          <w:b w:val="0"/>
          <w:bCs/>
          <w:sz w:val="24"/>
          <w:szCs w:val="24"/>
        </w:rPr>
      </w:pPr>
      <w:r>
        <w:rPr>
          <w:rFonts w:hint="eastAsia" w:ascii="宋体" w:hAnsi="宋体" w:eastAsia="宋体" w:cs="宋体"/>
          <w:b w:val="0"/>
          <w:bCs/>
          <w:sz w:val="24"/>
          <w:szCs w:val="24"/>
        </w:rPr>
        <w:t>代理服务费</w:t>
      </w:r>
    </w:p>
    <w:p w14:paraId="7E10D127">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见本须知前附表</w:t>
      </w:r>
    </w:p>
    <w:p w14:paraId="6A79065E">
      <w:pPr>
        <w:pStyle w:val="7"/>
        <w:numPr>
          <w:ilvl w:val="0"/>
          <w:numId w:val="11"/>
        </w:numPr>
        <w:tabs>
          <w:tab w:val="clear" w:pos="482"/>
        </w:tabs>
        <w:ind w:left="0" w:leftChars="0" w:firstLine="482" w:firstLineChars="0"/>
        <w:rPr>
          <w:rFonts w:hint="eastAsia" w:ascii="宋体" w:hAnsi="宋体" w:eastAsia="宋体" w:cs="宋体"/>
          <w:b w:val="0"/>
          <w:bCs/>
          <w:sz w:val="24"/>
          <w:szCs w:val="24"/>
        </w:rPr>
      </w:pPr>
      <w:r>
        <w:rPr>
          <w:rFonts w:hint="eastAsia" w:ascii="宋体" w:hAnsi="宋体" w:eastAsia="宋体" w:cs="宋体"/>
          <w:b w:val="0"/>
          <w:bCs/>
          <w:sz w:val="24"/>
          <w:szCs w:val="24"/>
        </w:rPr>
        <w:t>询问、质疑和投诉</w:t>
      </w:r>
    </w:p>
    <w:p w14:paraId="24B6A80D">
      <w:pPr>
        <w:pStyle w:val="7"/>
        <w:numPr>
          <w:ilvl w:val="0"/>
          <w:numId w:val="11"/>
        </w:numPr>
        <w:ind w:left="0" w:leftChars="0" w:firstLine="482" w:firstLineChars="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供应商对政府采购活动事项有疑问的，可以向采购人、采购代理机构提出询问。</w:t>
      </w:r>
    </w:p>
    <w:p w14:paraId="0DC3F87F">
      <w:pPr>
        <w:pStyle w:val="4"/>
        <w:numPr>
          <w:ilvl w:val="0"/>
          <w:numId w:val="42"/>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供应商认为采购文件、采购过程或成交结果使自己的合法权益受到损害的，应当在知道或者应知其权益受到损害之日起七个工作日内，以书面形式向采购人、采购代理机构提出质疑。具体计算时间如下：</w:t>
      </w:r>
    </w:p>
    <w:p w14:paraId="2E400AC7">
      <w:pPr>
        <w:pStyle w:val="4"/>
        <w:numPr>
          <w:ilvl w:val="0"/>
          <w:numId w:val="43"/>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对可以质疑的采购文件提出质疑的，为收到采购文件之日；</w:t>
      </w:r>
    </w:p>
    <w:p w14:paraId="741DBED1">
      <w:pPr>
        <w:pStyle w:val="4"/>
        <w:numPr>
          <w:ilvl w:val="0"/>
          <w:numId w:val="43"/>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对采购过程提出质疑的，为各采购程序环节结束之日；</w:t>
      </w:r>
    </w:p>
    <w:p w14:paraId="30EDE744">
      <w:pPr>
        <w:pStyle w:val="4"/>
        <w:numPr>
          <w:ilvl w:val="0"/>
          <w:numId w:val="43"/>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对成交结果提出质疑的，为成交结果公告期限届满之日。</w:t>
      </w:r>
    </w:p>
    <w:p w14:paraId="16A81E19">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供应商对采购人或采购代理机构的质疑答复不满意或者采购人或采购代理机构未在规定时间内作出答复的，可以在答复期满后十五个工作日内向同级采购监管部门投诉。</w:t>
      </w:r>
    </w:p>
    <w:p w14:paraId="7AD1D659">
      <w:pPr>
        <w:pStyle w:val="4"/>
        <w:numPr>
          <w:ilvl w:val="0"/>
          <w:numId w:val="42"/>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质疑、投诉应当采用书面形式，质疑书、投诉书均应明确阐述采购文件、采购过程、成交结果中使自己合法权益受到损害的实质性内容，提供相关事实、明确的请求、必要的证明材料，便于有关单位调查、答复和处理。</w:t>
      </w:r>
    </w:p>
    <w:p w14:paraId="36C5E83C">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供应商提出质疑应当提交质疑函和必要的证明材料，针对同一采购程序环节的质疑必须在法定质疑期内一次性提出。质疑函应当包括下列内容：</w:t>
      </w:r>
    </w:p>
    <w:p w14:paraId="4D248430">
      <w:pPr>
        <w:pStyle w:val="4"/>
        <w:numPr>
          <w:ilvl w:val="0"/>
          <w:numId w:val="44"/>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供应商的姓名或者名称、地址、邮编、联系人及联系电话；</w:t>
      </w:r>
    </w:p>
    <w:p w14:paraId="1F31AC28">
      <w:pPr>
        <w:pStyle w:val="4"/>
        <w:numPr>
          <w:ilvl w:val="0"/>
          <w:numId w:val="44"/>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质疑项目的名称、编号；</w:t>
      </w:r>
    </w:p>
    <w:p w14:paraId="2858DF2D">
      <w:pPr>
        <w:pStyle w:val="4"/>
        <w:numPr>
          <w:ilvl w:val="0"/>
          <w:numId w:val="44"/>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具体、明确的质疑事项和与质疑事项相关的请求；</w:t>
      </w:r>
    </w:p>
    <w:p w14:paraId="5141F70A">
      <w:pPr>
        <w:pStyle w:val="4"/>
        <w:numPr>
          <w:ilvl w:val="0"/>
          <w:numId w:val="44"/>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事实依据；</w:t>
      </w:r>
    </w:p>
    <w:p w14:paraId="3EE293E3">
      <w:pPr>
        <w:pStyle w:val="4"/>
        <w:numPr>
          <w:ilvl w:val="0"/>
          <w:numId w:val="44"/>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必要的法律依据；</w:t>
      </w:r>
    </w:p>
    <w:p w14:paraId="30B91685">
      <w:pPr>
        <w:pStyle w:val="4"/>
        <w:numPr>
          <w:ilvl w:val="0"/>
          <w:numId w:val="44"/>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提出质疑的日期。</w:t>
      </w:r>
    </w:p>
    <w:p w14:paraId="431CF8AA">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供应商为自然人的，应当由本人签字；供应商为法人或者其他组织的，应当由法定代表人、主要负责人，或者其授权代表签字或者盖章，并加盖公章。</w:t>
      </w:r>
    </w:p>
    <w:p w14:paraId="245A3DEE">
      <w:pPr>
        <w:keepNext/>
        <w:keepLines/>
        <w:widowControl w:val="0"/>
        <w:spacing w:before="280" w:after="290" w:line="376" w:lineRule="auto"/>
        <w:jc w:val="both"/>
        <w:outlineLvl w:val="9"/>
        <w:rPr>
          <w:rFonts w:hint="eastAsia" w:ascii="宋体" w:hAnsi="宋体" w:eastAsia="宋体" w:cs="宋体"/>
          <w:b/>
          <w:bCs/>
          <w:color w:val="000000"/>
          <w:kern w:val="2"/>
          <w:sz w:val="24"/>
          <w:szCs w:val="24"/>
          <w:lang w:val="en-US" w:eastAsia="zh-CN" w:bidi="ar-SA"/>
        </w:rPr>
      </w:pPr>
    </w:p>
    <w:p w14:paraId="4808E4B7">
      <w:pPr>
        <w:rPr>
          <w:rFonts w:hint="eastAsia" w:ascii="宋体" w:hAnsi="宋体" w:eastAsia="宋体" w:cs="宋体"/>
          <w:color w:val="000000"/>
          <w:sz w:val="24"/>
          <w:szCs w:val="24"/>
        </w:rPr>
      </w:pPr>
    </w:p>
    <w:p w14:paraId="7A6A9398">
      <w:pPr>
        <w:keepNext/>
        <w:keepLines/>
        <w:widowControl w:val="0"/>
        <w:spacing w:before="280" w:after="290" w:line="376" w:lineRule="auto"/>
        <w:jc w:val="both"/>
        <w:outlineLvl w:val="9"/>
        <w:rPr>
          <w:rFonts w:hint="eastAsia" w:ascii="宋体" w:hAnsi="宋体" w:eastAsia="宋体" w:cs="宋体"/>
          <w:b/>
          <w:bCs/>
          <w:color w:val="000000"/>
          <w:kern w:val="2"/>
          <w:sz w:val="24"/>
          <w:szCs w:val="24"/>
          <w:lang w:val="en-US" w:eastAsia="zh-CN" w:bidi="ar-SA"/>
        </w:rPr>
      </w:pPr>
    </w:p>
    <w:p w14:paraId="04D39035">
      <w:pPr>
        <w:keepNext/>
        <w:keepLines/>
        <w:widowControl w:val="0"/>
        <w:spacing w:before="280" w:after="290" w:line="376" w:lineRule="auto"/>
        <w:jc w:val="both"/>
        <w:outlineLvl w:val="9"/>
        <w:rPr>
          <w:rFonts w:hint="eastAsia" w:ascii="宋体" w:hAnsi="宋体" w:eastAsia="宋体" w:cs="宋体"/>
          <w:b/>
          <w:bCs/>
          <w:color w:val="000000"/>
          <w:kern w:val="2"/>
          <w:sz w:val="24"/>
          <w:szCs w:val="24"/>
          <w:lang w:val="en-US" w:eastAsia="zh-CN" w:bidi="ar-SA"/>
        </w:rPr>
      </w:pPr>
    </w:p>
    <w:p w14:paraId="05A56BCB">
      <w:pPr>
        <w:rPr>
          <w:rFonts w:hint="eastAsia" w:ascii="宋体" w:hAnsi="宋体" w:eastAsia="宋体" w:cs="宋体"/>
          <w:color w:val="000000"/>
          <w:sz w:val="24"/>
          <w:szCs w:val="24"/>
        </w:rPr>
      </w:pPr>
    </w:p>
    <w:p w14:paraId="67282D75">
      <w:pPr>
        <w:pStyle w:val="4"/>
        <w:rPr>
          <w:rFonts w:hint="eastAsia" w:ascii="宋体" w:hAnsi="宋体" w:eastAsia="宋体" w:cs="宋体"/>
          <w:color w:val="000000"/>
          <w:sz w:val="24"/>
          <w:szCs w:val="24"/>
        </w:rPr>
      </w:pPr>
    </w:p>
    <w:p w14:paraId="21876406">
      <w:pPr>
        <w:rPr>
          <w:rFonts w:hint="eastAsia" w:ascii="宋体" w:hAnsi="宋体" w:eastAsia="宋体" w:cs="宋体"/>
          <w:color w:val="000000"/>
          <w:sz w:val="24"/>
          <w:szCs w:val="24"/>
        </w:rPr>
      </w:pPr>
    </w:p>
    <w:p w14:paraId="39475841">
      <w:pPr>
        <w:pStyle w:val="4"/>
        <w:rPr>
          <w:rFonts w:hint="eastAsia" w:ascii="宋体" w:hAnsi="宋体" w:eastAsia="宋体" w:cs="宋体"/>
          <w:color w:val="000000"/>
          <w:sz w:val="24"/>
          <w:szCs w:val="24"/>
        </w:rPr>
      </w:pPr>
    </w:p>
    <w:p w14:paraId="3CED62A0">
      <w:pPr>
        <w:rPr>
          <w:rFonts w:hint="eastAsia" w:ascii="宋体" w:hAnsi="宋体" w:eastAsia="宋体" w:cs="宋体"/>
          <w:color w:val="000000"/>
          <w:sz w:val="24"/>
          <w:szCs w:val="24"/>
        </w:rPr>
      </w:pPr>
    </w:p>
    <w:p w14:paraId="197604D6">
      <w:pPr>
        <w:pStyle w:val="4"/>
        <w:rPr>
          <w:rFonts w:hint="eastAsia" w:ascii="宋体" w:hAnsi="宋体" w:eastAsia="宋体" w:cs="宋体"/>
          <w:color w:val="000000"/>
          <w:sz w:val="24"/>
          <w:szCs w:val="24"/>
        </w:rPr>
      </w:pPr>
    </w:p>
    <w:p w14:paraId="1C93A2FB">
      <w:pPr>
        <w:rPr>
          <w:rFonts w:hint="eastAsia" w:ascii="宋体" w:hAnsi="宋体" w:eastAsia="宋体" w:cs="宋体"/>
          <w:color w:val="000000"/>
          <w:sz w:val="24"/>
          <w:szCs w:val="24"/>
        </w:rPr>
      </w:pPr>
    </w:p>
    <w:p w14:paraId="7B75E0A6">
      <w:pPr>
        <w:pStyle w:val="4"/>
        <w:rPr>
          <w:rFonts w:hint="eastAsia" w:ascii="宋体" w:hAnsi="宋体" w:eastAsia="宋体" w:cs="宋体"/>
          <w:color w:val="000000"/>
          <w:sz w:val="24"/>
          <w:szCs w:val="24"/>
        </w:rPr>
      </w:pPr>
    </w:p>
    <w:p w14:paraId="1AB3151C">
      <w:pPr>
        <w:rPr>
          <w:rFonts w:hint="eastAsia" w:ascii="宋体" w:hAnsi="宋体" w:eastAsia="宋体" w:cs="宋体"/>
          <w:sz w:val="24"/>
          <w:szCs w:val="24"/>
        </w:rPr>
      </w:pPr>
      <w:bookmarkStart w:id="49" w:name="_Toc12144"/>
      <w:r>
        <w:rPr>
          <w:rFonts w:hint="eastAsia" w:ascii="宋体" w:hAnsi="宋体" w:eastAsia="宋体" w:cs="宋体"/>
          <w:sz w:val="24"/>
          <w:szCs w:val="24"/>
        </w:rPr>
        <w:br w:type="page"/>
      </w:r>
    </w:p>
    <w:p w14:paraId="1683B67D">
      <w:pPr>
        <w:pStyle w:val="44"/>
        <w:numPr>
          <w:ilvl w:val="0"/>
          <w:numId w:val="2"/>
        </w:numPr>
        <w:ind w:left="0" w:leftChars="0" w:firstLine="0" w:firstLineChars="0"/>
        <w:outlineLvl w:val="0"/>
        <w:rPr>
          <w:rFonts w:hint="eastAsia" w:ascii="宋体" w:hAnsi="宋体" w:eastAsia="宋体" w:cs="宋体"/>
          <w:b/>
          <w:bCs/>
          <w:sz w:val="36"/>
          <w:szCs w:val="36"/>
        </w:rPr>
      </w:pPr>
      <w:r>
        <w:rPr>
          <w:rFonts w:hint="eastAsia" w:ascii="宋体" w:hAnsi="宋体" w:eastAsia="宋体" w:cs="宋体"/>
          <w:b/>
          <w:bCs/>
          <w:sz w:val="36"/>
          <w:szCs w:val="36"/>
        </w:rPr>
        <w:t>评审方法及定标标准</w:t>
      </w:r>
      <w:bookmarkEnd w:id="49"/>
    </w:p>
    <w:p w14:paraId="27330177">
      <w:pPr>
        <w:pStyle w:val="6"/>
        <w:numPr>
          <w:ilvl w:val="0"/>
          <w:numId w:val="45"/>
        </w:numPr>
        <w:tabs>
          <w:tab w:val="clear" w:pos="482"/>
        </w:tabs>
        <w:topLinePunct w:val="0"/>
        <w:ind w:left="0" w:leftChars="0" w:firstLine="0" w:firstLineChars="0"/>
        <w:rPr>
          <w:rFonts w:hint="eastAsia" w:ascii="宋体" w:hAnsi="宋体" w:eastAsia="宋体" w:cs="宋体"/>
          <w:b/>
          <w:sz w:val="24"/>
          <w:szCs w:val="24"/>
        </w:rPr>
      </w:pPr>
      <w:r>
        <w:rPr>
          <w:rFonts w:hint="eastAsia" w:ascii="宋体" w:hAnsi="宋体" w:eastAsia="宋体" w:cs="宋体"/>
          <w:sz w:val="24"/>
          <w:szCs w:val="24"/>
        </w:rPr>
        <w:t>评标原则</w:t>
      </w:r>
    </w:p>
    <w:p w14:paraId="3F449896">
      <w:pPr>
        <w:pStyle w:val="4"/>
        <w:numPr>
          <w:ilvl w:val="0"/>
          <w:numId w:val="46"/>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磋商小组的构成：</w:t>
      </w:r>
    </w:p>
    <w:p w14:paraId="2663A778">
      <w:pPr>
        <w:pStyle w:val="4"/>
        <w:numPr>
          <w:ilvl w:val="0"/>
          <w:numId w:val="47"/>
        </w:numPr>
        <w:ind w:left="0" w:leftChars="0" w:firstLine="482"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本采购项目的磋商小组分别由依法组成的评审专家、采购人代表等三人组成，其中专家人数不少于成员总数的三分之二。</w:t>
      </w:r>
    </w:p>
    <w:p w14:paraId="45EE27DF">
      <w:pPr>
        <w:pStyle w:val="4"/>
        <w:numPr>
          <w:ilvl w:val="0"/>
          <w:numId w:val="47"/>
        </w:numPr>
        <w:ind w:left="0" w:leftChars="0" w:firstLine="482" w:firstLineChars="0"/>
        <w:rPr>
          <w:rFonts w:hint="eastAsia" w:ascii="宋体" w:hAnsi="宋体" w:eastAsia="宋体" w:cs="宋体"/>
          <w:sz w:val="24"/>
          <w:szCs w:val="24"/>
        </w:rPr>
      </w:pPr>
      <w:r>
        <w:rPr>
          <w:rFonts w:hint="eastAsia" w:ascii="宋体" w:hAnsi="宋体" w:eastAsia="宋体" w:cs="宋体"/>
          <w:color w:val="000000"/>
          <w:sz w:val="24"/>
          <w:szCs w:val="24"/>
        </w:rPr>
        <w:t>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r>
        <w:rPr>
          <w:rFonts w:hint="eastAsia" w:ascii="宋体" w:hAnsi="宋体" w:eastAsia="宋体" w:cs="宋体"/>
          <w:sz w:val="24"/>
          <w:szCs w:val="24"/>
        </w:rPr>
        <w:t>。</w:t>
      </w:r>
    </w:p>
    <w:p w14:paraId="5CF05039">
      <w:pPr>
        <w:pStyle w:val="4"/>
        <w:numPr>
          <w:ilvl w:val="0"/>
          <w:numId w:val="46"/>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评标依据：磋商小组将以磋商响应文件为评标依据，对供应商的价格、技术方案分等方面内容按百分制打分。</w:t>
      </w:r>
    </w:p>
    <w:p w14:paraId="3B86394B">
      <w:pPr>
        <w:pStyle w:val="4"/>
        <w:numPr>
          <w:ilvl w:val="0"/>
          <w:numId w:val="46"/>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评标方法：综合评分法。</w:t>
      </w:r>
    </w:p>
    <w:p w14:paraId="61633588">
      <w:pPr>
        <w:pStyle w:val="6"/>
        <w:numPr>
          <w:ilvl w:val="0"/>
          <w:numId w:val="45"/>
        </w:numPr>
        <w:tabs>
          <w:tab w:val="clear" w:pos="482"/>
        </w:tabs>
        <w:topLinePunct w:val="0"/>
        <w:ind w:left="0" w:leftChars="0" w:firstLine="0" w:firstLineChars="0"/>
        <w:rPr>
          <w:rFonts w:hint="eastAsia" w:ascii="宋体" w:hAnsi="宋体" w:eastAsia="宋体" w:cs="宋体"/>
          <w:b/>
          <w:sz w:val="24"/>
          <w:szCs w:val="24"/>
        </w:rPr>
      </w:pPr>
      <w:r>
        <w:rPr>
          <w:rFonts w:hint="eastAsia" w:ascii="宋体" w:hAnsi="宋体" w:eastAsia="宋体" w:cs="宋体"/>
          <w:sz w:val="24"/>
          <w:szCs w:val="24"/>
        </w:rPr>
        <w:t>评标方法（计分办法按四舍五入取至百分位）：</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691"/>
        <w:gridCol w:w="6784"/>
      </w:tblGrid>
      <w:tr w14:paraId="578C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4622B18B">
            <w:pPr>
              <w:widowControl/>
              <w:spacing w:line="40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691" w:type="dxa"/>
            <w:noWrap w:val="0"/>
            <w:vAlign w:val="center"/>
          </w:tcPr>
          <w:p w14:paraId="6A1226CD">
            <w:pPr>
              <w:widowControl/>
              <w:spacing w:line="40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评分因素</w:t>
            </w:r>
          </w:p>
        </w:tc>
        <w:tc>
          <w:tcPr>
            <w:tcW w:w="6784" w:type="dxa"/>
            <w:noWrap w:val="0"/>
            <w:vAlign w:val="center"/>
          </w:tcPr>
          <w:p w14:paraId="59FB96FD">
            <w:pPr>
              <w:widowControl/>
              <w:spacing w:line="40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评分内容</w:t>
            </w:r>
          </w:p>
        </w:tc>
      </w:tr>
      <w:tr w14:paraId="7D5A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7" w:type="dxa"/>
            <w:gridSpan w:val="3"/>
            <w:noWrap w:val="0"/>
            <w:vAlign w:val="center"/>
          </w:tcPr>
          <w:p w14:paraId="416B54B8">
            <w:pPr>
              <w:widowControl/>
              <w:spacing w:line="400" w:lineRule="exac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1、价格分（满分</w:t>
            </w:r>
            <w:r>
              <w:rPr>
                <w:rFonts w:hint="eastAsia" w:ascii="宋体" w:hAnsi="宋体" w:cs="宋体"/>
                <w:b/>
                <w:bCs/>
                <w:color w:val="000000"/>
                <w:kern w:val="0"/>
                <w:sz w:val="24"/>
                <w:szCs w:val="24"/>
                <w:lang w:val="en-US" w:eastAsia="zh-CN"/>
              </w:rPr>
              <w:t>2</w:t>
            </w:r>
            <w:r>
              <w:rPr>
                <w:rFonts w:hint="eastAsia" w:ascii="宋体" w:hAnsi="宋体" w:eastAsia="宋体" w:cs="宋体"/>
                <w:b/>
                <w:bCs/>
                <w:color w:val="000000"/>
                <w:kern w:val="0"/>
                <w:sz w:val="24"/>
                <w:szCs w:val="24"/>
              </w:rPr>
              <w:t>0分）</w:t>
            </w:r>
          </w:p>
        </w:tc>
      </w:tr>
      <w:tr w14:paraId="0E48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428C760A">
            <w:pPr>
              <w:widowControl/>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1691" w:type="dxa"/>
            <w:noWrap w:val="0"/>
            <w:vAlign w:val="center"/>
          </w:tcPr>
          <w:p w14:paraId="4ABDE348">
            <w:pPr>
              <w:widowControl/>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价格分</w:t>
            </w:r>
          </w:p>
          <w:p w14:paraId="19340E29">
            <w:pPr>
              <w:widowControl/>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（满分</w:t>
            </w:r>
            <w:r>
              <w:rPr>
                <w:rFonts w:hint="eastAsia" w:ascii="宋体" w:hAnsi="宋体" w:cs="宋体"/>
                <w:color w:val="000000"/>
                <w:kern w:val="0"/>
                <w:sz w:val="24"/>
                <w:szCs w:val="24"/>
                <w:lang w:val="en-US" w:eastAsia="zh-CN"/>
              </w:rPr>
              <w:t>20</w:t>
            </w:r>
            <w:r>
              <w:rPr>
                <w:rFonts w:hint="eastAsia" w:ascii="宋体" w:hAnsi="宋体" w:eastAsia="宋体" w:cs="宋体"/>
                <w:color w:val="000000"/>
                <w:kern w:val="0"/>
                <w:sz w:val="24"/>
                <w:szCs w:val="24"/>
              </w:rPr>
              <w:t>分）</w:t>
            </w:r>
          </w:p>
        </w:tc>
        <w:tc>
          <w:tcPr>
            <w:tcW w:w="6784" w:type="dxa"/>
            <w:noWrap w:val="0"/>
            <w:vAlign w:val="top"/>
          </w:tcPr>
          <w:p w14:paraId="3C0B5175">
            <w:pPr>
              <w:pStyle w:val="17"/>
              <w:numPr>
                <w:ilvl w:val="0"/>
                <w:numId w:val="0"/>
              </w:numPr>
              <w:spacing w:line="400" w:lineRule="exact"/>
              <w:rPr>
                <w:rFonts w:hint="eastAsia" w:ascii="宋体" w:hAnsi="宋体" w:eastAsia="宋体" w:cs="宋体"/>
                <w:bCs/>
                <w:color w:val="000000"/>
                <w:sz w:val="24"/>
                <w:szCs w:val="24"/>
              </w:rPr>
            </w:pPr>
            <w:r>
              <w:rPr>
                <w:rFonts w:hint="eastAsia" w:ascii="宋体" w:hAnsi="宋体" w:eastAsia="宋体" w:cs="宋体"/>
                <w:bCs/>
                <w:color w:val="000000"/>
                <w:kern w:val="0"/>
                <w:sz w:val="24"/>
                <w:szCs w:val="24"/>
                <w:lang w:val="en-US" w:eastAsia="zh-CN" w:bidi="ar-SA"/>
              </w:rPr>
              <w:t>（1）</w:t>
            </w:r>
            <w:r>
              <w:rPr>
                <w:rFonts w:hint="eastAsia" w:ascii="宋体" w:hAnsi="宋体" w:eastAsia="宋体" w:cs="宋体"/>
                <w:bCs/>
                <w:color w:val="000000"/>
                <w:sz w:val="24"/>
                <w:szCs w:val="24"/>
              </w:rPr>
              <w:t>评标价为供应商的磋商报价进行政策性扣除后的价格，评标价只是作为评标时使用。最终成交供应商的成交金额＝磋商报价。</w:t>
            </w:r>
          </w:p>
          <w:p w14:paraId="755ACB9D">
            <w:pPr>
              <w:pStyle w:val="17"/>
              <w:spacing w:line="400" w:lineRule="exact"/>
              <w:rPr>
                <w:rFonts w:hint="eastAsia" w:ascii="宋体" w:hAnsi="宋体" w:eastAsia="宋体" w:cs="宋体"/>
                <w:bCs/>
                <w:color w:val="000000"/>
                <w:sz w:val="24"/>
                <w:szCs w:val="24"/>
                <w:highlight w:val="none"/>
                <w:lang w:val="en-US"/>
              </w:rPr>
            </w:pPr>
            <w:r>
              <w:rPr>
                <w:rFonts w:hint="eastAsia" w:ascii="宋体" w:hAnsi="宋体" w:eastAsia="宋体" w:cs="宋体"/>
                <w:bCs/>
                <w:color w:val="auto"/>
                <w:sz w:val="24"/>
                <w:szCs w:val="24"/>
                <w:highlight w:val="none"/>
                <w:lang w:val="en-US"/>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rPr>
              <w:t>）</w:t>
            </w:r>
            <w:r>
              <w:rPr>
                <w:rFonts w:hint="eastAsia" w:ascii="宋体" w:hAnsi="宋体" w:eastAsia="宋体" w:cs="宋体"/>
                <w:bCs/>
                <w:color w:val="000000"/>
                <w:sz w:val="24"/>
                <w:szCs w:val="24"/>
                <w:highlight w:val="none"/>
                <w:lang w:val="en-US"/>
              </w:rPr>
              <w:t>本项目为专门面对中小企业项目，</w:t>
            </w:r>
            <w:r>
              <w:rPr>
                <w:rFonts w:hint="eastAsia" w:ascii="宋体" w:hAnsi="宋体" w:eastAsia="宋体" w:cs="宋体"/>
                <w:bCs/>
                <w:color w:val="000000"/>
                <w:sz w:val="24"/>
                <w:szCs w:val="24"/>
                <w:highlight w:val="none"/>
                <w:lang w:val="en-US" w:eastAsia="zh-CN"/>
              </w:rPr>
              <w:t>按照《政府采购促进中小企业发展管理办法》（财库）</w:t>
            </w:r>
            <w:r>
              <w:rPr>
                <w:rFonts w:hint="eastAsia" w:ascii="宋体" w:hAnsi="宋体" w:eastAsia="宋体" w:cs="宋体"/>
                <w:bCs/>
                <w:color w:val="000000"/>
                <w:sz w:val="24"/>
                <w:szCs w:val="24"/>
                <w:highlight w:val="none"/>
                <w:lang w:val="en-US"/>
              </w:rPr>
              <w:t>〔</w:t>
            </w:r>
            <w:r>
              <w:rPr>
                <w:rFonts w:hint="eastAsia" w:ascii="宋体" w:hAnsi="宋体" w:eastAsia="宋体" w:cs="宋体"/>
                <w:bCs/>
                <w:color w:val="000000"/>
                <w:sz w:val="24"/>
                <w:szCs w:val="24"/>
                <w:highlight w:val="none"/>
                <w:lang w:val="en-US" w:eastAsia="zh-CN"/>
              </w:rPr>
              <w:t>2020</w:t>
            </w:r>
            <w:r>
              <w:rPr>
                <w:rFonts w:hint="eastAsia" w:ascii="宋体" w:hAnsi="宋体" w:eastAsia="宋体" w:cs="宋体"/>
                <w:bCs/>
                <w:color w:val="000000"/>
                <w:sz w:val="24"/>
                <w:szCs w:val="24"/>
                <w:highlight w:val="none"/>
                <w:lang w:val="en-US"/>
              </w:rPr>
              <w:t>〕</w:t>
            </w:r>
            <w:r>
              <w:rPr>
                <w:rFonts w:hint="eastAsia" w:ascii="宋体" w:hAnsi="宋体" w:eastAsia="宋体" w:cs="宋体"/>
                <w:bCs/>
                <w:color w:val="000000"/>
                <w:sz w:val="24"/>
                <w:szCs w:val="24"/>
                <w:highlight w:val="none"/>
                <w:lang w:val="en-US" w:eastAsia="zh-CN"/>
              </w:rPr>
              <w:t>46</w:t>
            </w:r>
            <w:r>
              <w:rPr>
                <w:rFonts w:hint="eastAsia" w:ascii="宋体" w:hAnsi="宋体" w:eastAsia="宋体" w:cs="宋体"/>
                <w:bCs/>
                <w:color w:val="000000"/>
                <w:sz w:val="24"/>
                <w:szCs w:val="24"/>
                <w:highlight w:val="none"/>
                <w:lang w:val="en-US"/>
              </w:rPr>
              <w:t>号</w:t>
            </w:r>
            <w:r>
              <w:rPr>
                <w:rFonts w:hint="eastAsia" w:ascii="宋体" w:hAnsi="宋体" w:eastAsia="宋体" w:cs="宋体"/>
                <w:bCs/>
                <w:color w:val="000000"/>
                <w:sz w:val="24"/>
                <w:szCs w:val="24"/>
                <w:highlight w:val="none"/>
                <w:lang w:val="en-US" w:eastAsia="zh-CN"/>
              </w:rPr>
              <w:t>）的规定及《财政部、司法部关于政府采购支持监狱企业发展有关问题的通知》（财库〔2014〕68号）的规定，对应供应商最后报价不再执行价格评审优惠的扶持政策</w:t>
            </w:r>
            <w:r>
              <w:rPr>
                <w:rFonts w:hint="eastAsia" w:ascii="宋体" w:hAnsi="宋体" w:eastAsia="宋体" w:cs="宋体"/>
                <w:bCs/>
                <w:color w:val="000000"/>
                <w:sz w:val="24"/>
                <w:szCs w:val="24"/>
                <w:highlight w:val="none"/>
                <w:lang w:val="en-US"/>
              </w:rPr>
              <w:t>。</w:t>
            </w:r>
          </w:p>
          <w:p w14:paraId="78CD2CD1">
            <w:pPr>
              <w:pStyle w:val="17"/>
              <w:spacing w:line="40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）以进入综合评分环节的最低的评标报价为基准价，基准价报价得分为30分。</w:t>
            </w:r>
          </w:p>
          <w:p w14:paraId="4394017F">
            <w:pPr>
              <w:pStyle w:val="17"/>
              <w:spacing w:line="40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4</w:t>
            </w:r>
            <w:r>
              <w:rPr>
                <w:rFonts w:hint="eastAsia" w:ascii="宋体" w:hAnsi="宋体" w:eastAsia="宋体" w:cs="宋体"/>
                <w:bCs/>
                <w:color w:val="000000"/>
                <w:sz w:val="24"/>
                <w:szCs w:val="24"/>
                <w:highlight w:val="none"/>
              </w:rPr>
              <w:t>）有效的最后磋商报价应为对磋商文件实质性响应且完整、合理，不低于企业成本，且不超过采购人的政府采购预算的报价。如果磋商人的最后磋商报价超出采购人的政府采购预算做无效标处理。</w:t>
            </w:r>
          </w:p>
          <w:p w14:paraId="07EDBD68">
            <w:pPr>
              <w:pStyle w:val="17"/>
              <w:spacing w:line="40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5</w:t>
            </w:r>
            <w:r>
              <w:rPr>
                <w:rFonts w:hint="eastAsia" w:ascii="宋体" w:hAnsi="宋体" w:eastAsia="宋体" w:cs="宋体"/>
                <w:bCs/>
                <w:color w:val="000000"/>
                <w:sz w:val="24"/>
                <w:szCs w:val="24"/>
                <w:highlight w:val="none"/>
              </w:rPr>
              <w:t>）价格分计算公式：</w:t>
            </w:r>
          </w:p>
          <w:p w14:paraId="5C1520F5">
            <w:pPr>
              <w:pStyle w:val="17"/>
              <w:spacing w:line="400" w:lineRule="exact"/>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某供应商价格分=基准价/某供应商磋商报价金额×30分</w:t>
            </w:r>
          </w:p>
          <w:p w14:paraId="2AA8BC62">
            <w:pPr>
              <w:pStyle w:val="17"/>
              <w:spacing w:line="400" w:lineRule="exact"/>
              <w:ind w:firstLine="482" w:firstLineChars="200"/>
              <w:rPr>
                <w:rFonts w:hint="eastAsia" w:ascii="宋体" w:hAnsi="宋体" w:eastAsia="宋体" w:cs="宋体"/>
                <w:bCs/>
                <w:color w:val="000000"/>
                <w:sz w:val="24"/>
                <w:szCs w:val="24"/>
              </w:rPr>
            </w:pPr>
            <w:r>
              <w:rPr>
                <w:rFonts w:hint="eastAsia" w:ascii="宋体" w:hAnsi="宋体" w:eastAsia="宋体" w:cs="宋体"/>
                <w:b/>
                <w:bCs/>
                <w:color w:val="000000"/>
                <w:sz w:val="24"/>
                <w:szCs w:val="24"/>
              </w:rPr>
              <w:t>备注: 磋商小组认为供应商的报价明显低于其他通过符合性审查供应商的报价，有可能影响工程质量或者不能诚信履约的，应当要求其在评标现场合理的时间内提供书面说明，必要时提交相关证明材料；供应商不能证明其报价合理性的，磋商小组应当将其作为无效竞标处理。</w:t>
            </w:r>
          </w:p>
        </w:tc>
      </w:tr>
      <w:tr w14:paraId="7F91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7" w:type="dxa"/>
            <w:gridSpan w:val="3"/>
            <w:noWrap w:val="0"/>
            <w:vAlign w:val="center"/>
          </w:tcPr>
          <w:p w14:paraId="69E3BC9C">
            <w:pPr>
              <w:widowControl/>
              <w:spacing w:line="40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2、技术方案分（满分</w:t>
            </w:r>
            <w:r>
              <w:rPr>
                <w:rFonts w:hint="eastAsia" w:ascii="宋体" w:hAnsi="宋体" w:eastAsia="宋体" w:cs="宋体"/>
                <w:b/>
                <w:bCs/>
                <w:color w:val="000000"/>
                <w:sz w:val="24"/>
                <w:szCs w:val="24"/>
                <w:lang w:val="en-US" w:eastAsia="zh-CN"/>
              </w:rPr>
              <w:t>6</w:t>
            </w:r>
            <w:r>
              <w:rPr>
                <w:rFonts w:hint="eastAsia" w:ascii="宋体" w:hAnsi="宋体" w:cs="宋体"/>
                <w:b/>
                <w:bCs/>
                <w:color w:val="000000"/>
                <w:sz w:val="24"/>
                <w:szCs w:val="24"/>
                <w:lang w:val="en-US" w:eastAsia="zh-CN"/>
              </w:rPr>
              <w:t>5</w:t>
            </w:r>
            <w:r>
              <w:rPr>
                <w:rFonts w:hint="eastAsia" w:ascii="宋体" w:hAnsi="宋体" w:eastAsia="宋体" w:cs="宋体"/>
                <w:b/>
                <w:bCs/>
                <w:color w:val="000000"/>
                <w:sz w:val="24"/>
                <w:szCs w:val="24"/>
              </w:rPr>
              <w:t>分）</w:t>
            </w:r>
          </w:p>
        </w:tc>
      </w:tr>
      <w:tr w14:paraId="07A3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1B5CAB3A">
            <w:pPr>
              <w:adjustRightInd w:val="0"/>
              <w:spacing w:line="400" w:lineRule="exact"/>
              <w:ind w:left="-105" w:leftChars="-50" w:right="-105" w:rightChars="-50"/>
              <w:jc w:val="center"/>
              <w:textAlignment w:val="baseline"/>
              <w:rPr>
                <w:rFonts w:hint="eastAsia" w:ascii="宋体" w:hAnsi="宋体" w:eastAsia="宋体" w:cs="宋体"/>
                <w:bCs/>
                <w:color w:val="000000"/>
                <w:kern w:val="0"/>
                <w:sz w:val="24"/>
                <w:szCs w:val="24"/>
                <w:lang w:eastAsia="zh-CN"/>
              </w:rPr>
            </w:pPr>
            <w:r>
              <w:rPr>
                <w:rFonts w:hint="eastAsia" w:ascii="宋体" w:hAnsi="宋体" w:eastAsia="宋体" w:cs="宋体"/>
                <w:bCs/>
                <w:color w:val="000000"/>
                <w:kern w:val="0"/>
                <w:sz w:val="24"/>
                <w:szCs w:val="24"/>
              </w:rPr>
              <w:t>2.</w:t>
            </w:r>
            <w:r>
              <w:rPr>
                <w:rFonts w:hint="eastAsia" w:ascii="宋体" w:hAnsi="宋体" w:eastAsia="宋体" w:cs="宋体"/>
                <w:bCs/>
                <w:color w:val="000000"/>
                <w:kern w:val="0"/>
                <w:sz w:val="24"/>
                <w:szCs w:val="24"/>
                <w:lang w:val="en-US" w:eastAsia="zh-CN"/>
              </w:rPr>
              <w:t>1</w:t>
            </w:r>
          </w:p>
        </w:tc>
        <w:tc>
          <w:tcPr>
            <w:tcW w:w="1691" w:type="dxa"/>
            <w:noWrap w:val="0"/>
            <w:vAlign w:val="center"/>
          </w:tcPr>
          <w:p w14:paraId="6B7B9726">
            <w:pPr>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主要施工</w:t>
            </w:r>
            <w:r>
              <w:rPr>
                <w:rFonts w:hint="eastAsia" w:ascii="宋体" w:hAnsi="宋体" w:eastAsia="宋体" w:cs="宋体"/>
                <w:bCs/>
                <w:color w:val="000000"/>
                <w:sz w:val="24"/>
                <w:szCs w:val="24"/>
                <w:lang w:val="en-US" w:eastAsia="zh-CN"/>
              </w:rPr>
              <w:t>方法、方案与技术措施</w:t>
            </w:r>
            <w:r>
              <w:rPr>
                <w:rFonts w:hint="eastAsia" w:ascii="宋体" w:hAnsi="宋体" w:eastAsia="宋体" w:cs="宋体"/>
                <w:bCs/>
                <w:color w:val="000000"/>
                <w:sz w:val="24"/>
                <w:szCs w:val="24"/>
              </w:rPr>
              <w:t>（满分</w:t>
            </w:r>
            <w:r>
              <w:rPr>
                <w:rFonts w:hint="eastAsia" w:ascii="宋体" w:hAnsi="宋体" w:cs="宋体"/>
                <w:bCs/>
                <w:color w:val="000000"/>
                <w:sz w:val="24"/>
                <w:szCs w:val="24"/>
                <w:lang w:val="en-US" w:eastAsia="zh-CN"/>
              </w:rPr>
              <w:t>5</w:t>
            </w:r>
            <w:r>
              <w:rPr>
                <w:rFonts w:hint="eastAsia" w:ascii="宋体" w:hAnsi="宋体" w:eastAsia="宋体" w:cs="宋体"/>
                <w:bCs/>
                <w:color w:val="000000"/>
                <w:sz w:val="24"/>
                <w:szCs w:val="24"/>
              </w:rPr>
              <w:t>分）</w:t>
            </w:r>
          </w:p>
        </w:tc>
        <w:tc>
          <w:tcPr>
            <w:tcW w:w="6784" w:type="dxa"/>
            <w:noWrap w:val="0"/>
            <w:vAlign w:val="center"/>
          </w:tcPr>
          <w:p w14:paraId="10CDB340">
            <w:pPr>
              <w:widowControl/>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优（</w:t>
            </w:r>
            <w:r>
              <w:rPr>
                <w:rFonts w:hint="eastAsia" w:ascii="宋体" w:hAnsi="宋体" w:cs="宋体"/>
                <w:bCs/>
                <w:color w:val="000000"/>
                <w:kern w:val="0"/>
                <w:sz w:val="24"/>
                <w:szCs w:val="24"/>
                <w:lang w:val="en-US" w:eastAsia="zh-CN"/>
              </w:rPr>
              <w:t>5</w:t>
            </w:r>
            <w:r>
              <w:rPr>
                <w:rFonts w:hint="eastAsia" w:ascii="宋体" w:hAnsi="宋体" w:eastAsia="宋体" w:cs="宋体"/>
                <w:bCs/>
                <w:color w:val="000000"/>
                <w:kern w:val="0"/>
                <w:sz w:val="24"/>
                <w:szCs w:val="24"/>
              </w:rPr>
              <w:t xml:space="preserve">分）：各主要分部施工方法针对性强，施工技术方案详尽周密，工艺先进、方法科学、可行，能很好的指导具体施工并确保安全。 </w:t>
            </w:r>
          </w:p>
          <w:p w14:paraId="0C0AF6E9">
            <w:pPr>
              <w:widowControl/>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良（</w:t>
            </w:r>
            <w:r>
              <w:rPr>
                <w:rFonts w:hint="eastAsia" w:ascii="宋体" w:hAnsi="宋体" w:cs="宋体"/>
                <w:bCs/>
                <w:color w:val="000000"/>
                <w:kern w:val="0"/>
                <w:sz w:val="24"/>
                <w:szCs w:val="24"/>
                <w:lang w:val="en-US" w:eastAsia="zh-CN"/>
              </w:rPr>
              <w:t>4</w:t>
            </w:r>
            <w:r>
              <w:rPr>
                <w:rFonts w:hint="eastAsia" w:ascii="宋体" w:hAnsi="宋体" w:eastAsia="宋体" w:cs="宋体"/>
                <w:bCs/>
                <w:color w:val="000000"/>
                <w:kern w:val="0"/>
                <w:sz w:val="24"/>
                <w:szCs w:val="24"/>
              </w:rPr>
              <w:t>分）：各主要分部施工方法符合项目实际，施工技术方案齐全，工艺成熟、方法合理、可行，能指导具体施工并确保安全。</w:t>
            </w:r>
          </w:p>
          <w:p w14:paraId="65040B90">
            <w:pPr>
              <w:widowControl/>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中（</w:t>
            </w:r>
            <w:r>
              <w:rPr>
                <w:rFonts w:hint="eastAsia" w:ascii="宋体" w:hAnsi="宋体" w:cs="宋体"/>
                <w:bCs/>
                <w:color w:val="000000"/>
                <w:kern w:val="0"/>
                <w:sz w:val="24"/>
                <w:szCs w:val="24"/>
                <w:lang w:val="en-US" w:eastAsia="zh-CN"/>
              </w:rPr>
              <w:t>3</w:t>
            </w:r>
            <w:r>
              <w:rPr>
                <w:rFonts w:hint="eastAsia" w:ascii="宋体" w:hAnsi="宋体" w:eastAsia="宋体" w:cs="宋体"/>
                <w:bCs/>
                <w:color w:val="000000"/>
                <w:kern w:val="0"/>
                <w:sz w:val="24"/>
                <w:szCs w:val="24"/>
              </w:rPr>
              <w:t>分）：各主要分部施工方法基本符合项目实际，施工技术方案基本齐全，方法基本合理、基本可行，基本能指导具体施工并确保安全。</w:t>
            </w:r>
          </w:p>
          <w:p w14:paraId="7A8A90B4">
            <w:pPr>
              <w:widowControl/>
              <w:spacing w:line="360" w:lineRule="auto"/>
              <w:rPr>
                <w:rFonts w:hint="eastAsia" w:ascii="宋体" w:hAnsi="宋体" w:eastAsia="宋体" w:cs="宋体"/>
                <w:bCs/>
                <w:color w:val="000000"/>
                <w:sz w:val="24"/>
                <w:szCs w:val="24"/>
              </w:rPr>
            </w:pPr>
            <w:r>
              <w:rPr>
                <w:rFonts w:hint="eastAsia" w:ascii="宋体" w:hAnsi="宋体" w:eastAsia="宋体" w:cs="宋体"/>
                <w:bCs/>
                <w:color w:val="000000"/>
                <w:kern w:val="0"/>
                <w:sz w:val="24"/>
                <w:szCs w:val="24"/>
              </w:rPr>
              <w:t xml:space="preserve"> 差（</w:t>
            </w:r>
            <w:r>
              <w:rPr>
                <w:rFonts w:hint="eastAsia" w:ascii="宋体" w:hAnsi="宋体" w:cs="宋体"/>
                <w:bCs/>
                <w:color w:val="000000"/>
                <w:kern w:val="0"/>
                <w:sz w:val="24"/>
                <w:szCs w:val="24"/>
                <w:lang w:val="en-US" w:eastAsia="zh-CN"/>
              </w:rPr>
              <w:t>1</w:t>
            </w:r>
            <w:r>
              <w:rPr>
                <w:rFonts w:hint="eastAsia" w:ascii="宋体" w:hAnsi="宋体" w:eastAsia="宋体" w:cs="宋体"/>
                <w:bCs/>
                <w:color w:val="000000"/>
                <w:kern w:val="0"/>
                <w:sz w:val="24"/>
                <w:szCs w:val="24"/>
              </w:rPr>
              <w:t>分）：各主要分部施工方法针对性差，施工技术方案差，工艺落后、方法不合理，不能指导具体施工和确保安全。</w:t>
            </w:r>
          </w:p>
        </w:tc>
      </w:tr>
      <w:tr w14:paraId="166C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0A9265D8">
            <w:pPr>
              <w:adjustRightInd w:val="0"/>
              <w:spacing w:line="400" w:lineRule="exact"/>
              <w:ind w:left="-105" w:leftChars="-50" w:right="-105" w:rightChars="-50"/>
              <w:jc w:val="center"/>
              <w:textAlignment w:val="baseline"/>
              <w:rPr>
                <w:rFonts w:hint="eastAsia" w:ascii="宋体" w:hAnsi="宋体" w:eastAsia="宋体" w:cs="宋体"/>
                <w:bCs/>
                <w:color w:val="000000"/>
                <w:kern w:val="0"/>
                <w:sz w:val="24"/>
                <w:szCs w:val="24"/>
                <w:lang w:eastAsia="zh-CN"/>
              </w:rPr>
            </w:pPr>
            <w:r>
              <w:rPr>
                <w:rFonts w:hint="eastAsia" w:ascii="宋体" w:hAnsi="宋体" w:eastAsia="宋体" w:cs="宋体"/>
                <w:bCs/>
                <w:color w:val="000000"/>
                <w:kern w:val="0"/>
                <w:sz w:val="24"/>
                <w:szCs w:val="24"/>
              </w:rPr>
              <w:t>2.</w:t>
            </w:r>
            <w:r>
              <w:rPr>
                <w:rFonts w:hint="eastAsia" w:ascii="宋体" w:hAnsi="宋体" w:eastAsia="宋体" w:cs="宋体"/>
                <w:bCs/>
                <w:color w:val="000000"/>
                <w:kern w:val="0"/>
                <w:sz w:val="24"/>
                <w:szCs w:val="24"/>
                <w:lang w:val="en-US" w:eastAsia="zh-CN"/>
              </w:rPr>
              <w:t>2</w:t>
            </w:r>
          </w:p>
        </w:tc>
        <w:tc>
          <w:tcPr>
            <w:tcW w:w="1691" w:type="dxa"/>
            <w:noWrap w:val="0"/>
            <w:vAlign w:val="center"/>
          </w:tcPr>
          <w:p w14:paraId="5EA6DADF">
            <w:pPr>
              <w:widowControl/>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拟投入的主要物资计划（满分</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分）</w:t>
            </w:r>
          </w:p>
        </w:tc>
        <w:tc>
          <w:tcPr>
            <w:tcW w:w="6784" w:type="dxa"/>
            <w:noWrap w:val="0"/>
            <w:vAlign w:val="center"/>
          </w:tcPr>
          <w:p w14:paraId="07EDC60C">
            <w:pPr>
              <w:widowControl/>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优（</w:t>
            </w:r>
            <w:r>
              <w:rPr>
                <w:rFonts w:hint="eastAsia" w:ascii="宋体" w:hAnsi="宋体" w:eastAsia="宋体" w:cs="宋体"/>
                <w:bCs/>
                <w:color w:val="000000"/>
                <w:kern w:val="0"/>
                <w:sz w:val="24"/>
                <w:szCs w:val="24"/>
                <w:lang w:val="en-US" w:eastAsia="zh-CN"/>
              </w:rPr>
              <w:t>6</w:t>
            </w:r>
            <w:r>
              <w:rPr>
                <w:rFonts w:hint="eastAsia" w:ascii="宋体" w:hAnsi="宋体" w:eastAsia="宋体" w:cs="宋体"/>
                <w:bCs/>
                <w:color w:val="000000"/>
                <w:kern w:val="0"/>
                <w:sz w:val="24"/>
                <w:szCs w:val="24"/>
              </w:rPr>
              <w:t>分）：投入的施工材料有详细的组织计划且计划周密，投入计划与进度计划呼应，较好满足施工需要，调配投入计划合理、准确。</w:t>
            </w:r>
          </w:p>
          <w:p w14:paraId="7B5544BC">
            <w:pPr>
              <w:widowControl/>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 xml:space="preserve">良（4分）：投入的施工材料有详细的组织计划，投入计划与进度计划呼应，基本满足施工需要，调配投入计划基本合理、准确。 </w:t>
            </w:r>
          </w:p>
          <w:p w14:paraId="4A4D1BF9">
            <w:pPr>
              <w:widowControl/>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 xml:space="preserve">中（2分）：投入的施工材料有详细的组织计划，投入计划与进度计划呼应，基本满足施工需要，调配投入计划基本合理。 </w:t>
            </w:r>
          </w:p>
          <w:p w14:paraId="58A0CFF3">
            <w:pPr>
              <w:widowControl/>
              <w:spacing w:line="360" w:lineRule="auto"/>
              <w:rPr>
                <w:rFonts w:hint="eastAsia" w:ascii="宋体" w:hAnsi="宋体" w:eastAsia="宋体" w:cs="宋体"/>
                <w:bCs/>
                <w:color w:val="000000"/>
                <w:sz w:val="24"/>
                <w:szCs w:val="24"/>
              </w:rPr>
            </w:pPr>
            <w:r>
              <w:rPr>
                <w:rFonts w:hint="eastAsia" w:ascii="宋体" w:hAnsi="宋体" w:eastAsia="宋体" w:cs="宋体"/>
                <w:bCs/>
                <w:color w:val="000000"/>
                <w:kern w:val="0"/>
                <w:sz w:val="24"/>
                <w:szCs w:val="24"/>
              </w:rPr>
              <w:t>差（1分）：投入的施工材料的组织计划差，投入计划与进度计划不呼应，不能满足施工需要。</w:t>
            </w:r>
          </w:p>
        </w:tc>
      </w:tr>
      <w:tr w14:paraId="0114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14C04F0B">
            <w:pPr>
              <w:adjustRightInd w:val="0"/>
              <w:spacing w:line="400" w:lineRule="exact"/>
              <w:ind w:left="-105" w:leftChars="-50" w:right="-105" w:rightChars="-50"/>
              <w:jc w:val="center"/>
              <w:textAlignment w:val="baseline"/>
              <w:rPr>
                <w:rFonts w:hint="eastAsia" w:ascii="宋体" w:hAnsi="宋体" w:eastAsia="宋体" w:cs="宋体"/>
                <w:bCs/>
                <w:color w:val="000000"/>
                <w:kern w:val="0"/>
                <w:sz w:val="24"/>
                <w:szCs w:val="24"/>
                <w:lang w:eastAsia="zh-CN"/>
              </w:rPr>
            </w:pPr>
            <w:r>
              <w:rPr>
                <w:rFonts w:hint="eastAsia" w:ascii="宋体" w:hAnsi="宋体" w:eastAsia="宋体" w:cs="宋体"/>
                <w:bCs/>
                <w:color w:val="000000"/>
                <w:kern w:val="0"/>
                <w:sz w:val="24"/>
                <w:szCs w:val="24"/>
              </w:rPr>
              <w:t>2.</w:t>
            </w:r>
            <w:r>
              <w:rPr>
                <w:rFonts w:hint="eastAsia" w:ascii="宋体" w:hAnsi="宋体" w:eastAsia="宋体" w:cs="宋体"/>
                <w:bCs/>
                <w:color w:val="000000"/>
                <w:kern w:val="0"/>
                <w:sz w:val="24"/>
                <w:szCs w:val="24"/>
                <w:lang w:val="en-US" w:eastAsia="zh-CN"/>
              </w:rPr>
              <w:t>3</w:t>
            </w:r>
          </w:p>
        </w:tc>
        <w:tc>
          <w:tcPr>
            <w:tcW w:w="1691" w:type="dxa"/>
            <w:noWrap w:val="0"/>
            <w:vAlign w:val="center"/>
          </w:tcPr>
          <w:p w14:paraId="499FA5A3">
            <w:pPr>
              <w:widowControl/>
              <w:spacing w:line="400" w:lineRule="exact"/>
              <w:jc w:val="center"/>
              <w:rPr>
                <w:rFonts w:hint="eastAsia" w:ascii="宋体" w:hAnsi="宋体" w:eastAsia="宋体" w:cs="宋体"/>
                <w:color w:val="000000"/>
                <w:kern w:val="0"/>
                <w:sz w:val="24"/>
                <w:szCs w:val="24"/>
              </w:rPr>
            </w:pPr>
            <w:r>
              <w:rPr>
                <w:rFonts w:hint="eastAsia" w:ascii="宋体" w:hAnsi="宋体" w:eastAsia="宋体" w:cs="宋体"/>
                <w:bCs/>
                <w:sz w:val="24"/>
                <w:szCs w:val="24"/>
              </w:rPr>
              <w:t>拟投入的主要施工机械、设备计划（满分</w:t>
            </w:r>
            <w:r>
              <w:rPr>
                <w:rFonts w:hint="eastAsia" w:ascii="宋体" w:hAnsi="宋体" w:cs="宋体"/>
                <w:bCs/>
                <w:sz w:val="24"/>
                <w:szCs w:val="24"/>
                <w:lang w:val="en-US" w:eastAsia="zh-CN"/>
              </w:rPr>
              <w:t>8</w:t>
            </w:r>
            <w:r>
              <w:rPr>
                <w:rFonts w:hint="eastAsia" w:ascii="宋体" w:hAnsi="宋体" w:eastAsia="宋体" w:cs="宋体"/>
                <w:bCs/>
                <w:sz w:val="24"/>
                <w:szCs w:val="24"/>
              </w:rPr>
              <w:t>分）</w:t>
            </w:r>
          </w:p>
        </w:tc>
        <w:tc>
          <w:tcPr>
            <w:tcW w:w="6784" w:type="dxa"/>
            <w:noWrap w:val="0"/>
            <w:vAlign w:val="center"/>
          </w:tcPr>
          <w:p w14:paraId="37516A70">
            <w:pPr>
              <w:widowControl/>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优（</w:t>
            </w:r>
            <w:r>
              <w:rPr>
                <w:rFonts w:hint="eastAsia" w:ascii="宋体" w:hAnsi="宋体" w:cs="宋体"/>
                <w:bCs/>
                <w:color w:val="000000"/>
                <w:kern w:val="0"/>
                <w:sz w:val="24"/>
                <w:szCs w:val="24"/>
                <w:lang w:val="en-US" w:eastAsia="zh-CN"/>
              </w:rPr>
              <w:t>8</w:t>
            </w:r>
            <w:r>
              <w:rPr>
                <w:rFonts w:hint="eastAsia" w:ascii="宋体" w:hAnsi="宋体" w:eastAsia="宋体" w:cs="宋体"/>
                <w:bCs/>
                <w:color w:val="000000"/>
                <w:kern w:val="0"/>
                <w:sz w:val="24"/>
                <w:szCs w:val="24"/>
              </w:rPr>
              <w:t>分）：投入的施工机械、设备、机具有详细的组织计划且计划周密，设备数量、选型配置、进场时间安排合理，满足施工需要。</w:t>
            </w:r>
          </w:p>
          <w:p w14:paraId="72975A05">
            <w:pPr>
              <w:widowControl/>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良（</w:t>
            </w:r>
            <w:r>
              <w:rPr>
                <w:rFonts w:hint="eastAsia" w:ascii="宋体" w:hAnsi="宋体" w:cs="宋体"/>
                <w:bCs/>
                <w:color w:val="000000"/>
                <w:kern w:val="0"/>
                <w:sz w:val="24"/>
                <w:szCs w:val="24"/>
                <w:lang w:val="en-US" w:eastAsia="zh-CN"/>
              </w:rPr>
              <w:t>7</w:t>
            </w:r>
            <w:r>
              <w:rPr>
                <w:rFonts w:hint="eastAsia" w:ascii="宋体" w:hAnsi="宋体" w:eastAsia="宋体" w:cs="宋体"/>
                <w:bCs/>
                <w:color w:val="000000"/>
                <w:kern w:val="0"/>
                <w:sz w:val="24"/>
                <w:szCs w:val="24"/>
              </w:rPr>
              <w:t>分）：投入的施工机械、设备、机具有详细的组织计划，设备数量、选型配置、进场投入计划与进度计划呼应，满足施工需要。</w:t>
            </w:r>
          </w:p>
          <w:p w14:paraId="62C22E8A">
            <w:pPr>
              <w:widowControl/>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中（</w:t>
            </w:r>
            <w:r>
              <w:rPr>
                <w:rFonts w:hint="eastAsia" w:ascii="宋体" w:hAnsi="宋体" w:cs="宋体"/>
                <w:bCs/>
                <w:color w:val="000000"/>
                <w:kern w:val="0"/>
                <w:sz w:val="24"/>
                <w:szCs w:val="24"/>
                <w:lang w:val="en-US" w:eastAsia="zh-CN"/>
              </w:rPr>
              <w:t>5</w:t>
            </w:r>
            <w:r>
              <w:rPr>
                <w:rFonts w:hint="eastAsia" w:ascii="宋体" w:hAnsi="宋体" w:eastAsia="宋体" w:cs="宋体"/>
                <w:bCs/>
                <w:color w:val="000000"/>
                <w:kern w:val="0"/>
                <w:sz w:val="24"/>
                <w:szCs w:val="24"/>
              </w:rPr>
              <w:t>分）：投入的施工机械、设备、机具有组织计划，设备数量、选型配置、进场投入计划与进度计划呼应，基本满足施工需要。</w:t>
            </w:r>
          </w:p>
          <w:p w14:paraId="7FF12AAF">
            <w:pPr>
              <w:widowControl/>
              <w:spacing w:line="360" w:lineRule="auto"/>
              <w:rPr>
                <w:rFonts w:hint="eastAsia" w:ascii="宋体" w:hAnsi="宋体" w:eastAsia="宋体" w:cs="宋体"/>
                <w:bCs/>
                <w:color w:val="000000"/>
                <w:sz w:val="24"/>
                <w:szCs w:val="24"/>
              </w:rPr>
            </w:pPr>
            <w:r>
              <w:rPr>
                <w:rFonts w:hint="eastAsia" w:ascii="宋体" w:hAnsi="宋体" w:eastAsia="宋体" w:cs="宋体"/>
                <w:bCs/>
                <w:color w:val="000000"/>
                <w:kern w:val="0"/>
                <w:sz w:val="24"/>
                <w:szCs w:val="24"/>
              </w:rPr>
              <w:t>差（</w:t>
            </w:r>
            <w:r>
              <w:rPr>
                <w:rFonts w:hint="eastAsia" w:ascii="宋体" w:hAnsi="宋体" w:eastAsia="宋体" w:cs="宋体"/>
                <w:bCs/>
                <w:color w:val="000000"/>
                <w:kern w:val="0"/>
                <w:sz w:val="24"/>
                <w:szCs w:val="24"/>
                <w:lang w:val="en-US" w:eastAsia="zh-CN"/>
              </w:rPr>
              <w:t>2</w:t>
            </w:r>
            <w:r>
              <w:rPr>
                <w:rFonts w:hint="eastAsia" w:ascii="宋体" w:hAnsi="宋体" w:eastAsia="宋体" w:cs="宋体"/>
                <w:bCs/>
                <w:color w:val="000000"/>
                <w:kern w:val="0"/>
                <w:sz w:val="24"/>
                <w:szCs w:val="24"/>
              </w:rPr>
              <w:t>分）：投入的施工机械、设备、机具组织计划差，投入计划与进度计划不呼应，不能满足施工需要。</w:t>
            </w:r>
          </w:p>
        </w:tc>
      </w:tr>
      <w:tr w14:paraId="5FF8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137C7ECC">
            <w:pPr>
              <w:adjustRightInd w:val="0"/>
              <w:spacing w:line="400" w:lineRule="exact"/>
              <w:ind w:left="-105" w:leftChars="-50" w:right="-105" w:rightChars="-50"/>
              <w:jc w:val="center"/>
              <w:textAlignment w:val="baseline"/>
              <w:rPr>
                <w:rFonts w:hint="eastAsia" w:ascii="宋体" w:hAnsi="宋体" w:eastAsia="宋体" w:cs="宋体"/>
                <w:bCs/>
                <w:color w:val="000000"/>
                <w:kern w:val="0"/>
                <w:sz w:val="24"/>
                <w:szCs w:val="24"/>
                <w:lang w:eastAsia="zh-CN"/>
              </w:rPr>
            </w:pPr>
            <w:r>
              <w:rPr>
                <w:rFonts w:hint="eastAsia" w:ascii="宋体" w:hAnsi="宋体" w:eastAsia="宋体" w:cs="宋体"/>
                <w:bCs/>
                <w:color w:val="000000"/>
                <w:kern w:val="0"/>
                <w:sz w:val="24"/>
                <w:szCs w:val="24"/>
              </w:rPr>
              <w:t>2.</w:t>
            </w:r>
            <w:r>
              <w:rPr>
                <w:rFonts w:hint="eastAsia" w:ascii="宋体" w:hAnsi="宋体" w:eastAsia="宋体" w:cs="宋体"/>
                <w:bCs/>
                <w:color w:val="000000"/>
                <w:kern w:val="0"/>
                <w:sz w:val="24"/>
                <w:szCs w:val="24"/>
                <w:lang w:val="en-US" w:eastAsia="zh-CN"/>
              </w:rPr>
              <w:t>4</w:t>
            </w:r>
          </w:p>
        </w:tc>
        <w:tc>
          <w:tcPr>
            <w:tcW w:w="1691" w:type="dxa"/>
            <w:noWrap w:val="0"/>
            <w:vAlign w:val="center"/>
          </w:tcPr>
          <w:p w14:paraId="7296FF1A">
            <w:pPr>
              <w:widowControl/>
              <w:spacing w:line="400" w:lineRule="exact"/>
              <w:jc w:val="center"/>
              <w:rPr>
                <w:rFonts w:hint="eastAsia" w:ascii="宋体" w:hAnsi="宋体" w:eastAsia="宋体" w:cs="宋体"/>
                <w:color w:val="000000"/>
                <w:kern w:val="0"/>
                <w:sz w:val="24"/>
                <w:szCs w:val="24"/>
              </w:rPr>
            </w:pPr>
            <w:r>
              <w:rPr>
                <w:rFonts w:hint="eastAsia" w:ascii="宋体" w:hAnsi="宋体" w:eastAsia="宋体" w:cs="宋体"/>
                <w:bCs/>
                <w:color w:val="000000"/>
                <w:sz w:val="24"/>
                <w:szCs w:val="24"/>
                <w:lang w:val="en-US" w:eastAsia="zh-CN"/>
              </w:rPr>
              <w:t>拟投入项目班子人员、</w:t>
            </w:r>
            <w:r>
              <w:rPr>
                <w:rFonts w:hint="eastAsia" w:ascii="宋体" w:hAnsi="宋体" w:eastAsia="宋体" w:cs="宋体"/>
                <w:bCs/>
                <w:color w:val="000000"/>
                <w:sz w:val="24"/>
                <w:szCs w:val="24"/>
              </w:rPr>
              <w:t>劳动力安排计划（满分</w:t>
            </w:r>
            <w:r>
              <w:rPr>
                <w:rFonts w:hint="eastAsia" w:ascii="宋体" w:hAnsi="宋体" w:eastAsia="宋体" w:cs="宋体"/>
                <w:bCs/>
                <w:color w:val="000000"/>
                <w:sz w:val="24"/>
                <w:szCs w:val="24"/>
                <w:lang w:val="en-US" w:eastAsia="zh-CN"/>
              </w:rPr>
              <w:t>8</w:t>
            </w:r>
            <w:r>
              <w:rPr>
                <w:rFonts w:hint="eastAsia" w:ascii="宋体" w:hAnsi="宋体" w:eastAsia="宋体" w:cs="宋体"/>
                <w:bCs/>
                <w:color w:val="000000"/>
                <w:sz w:val="24"/>
                <w:szCs w:val="24"/>
              </w:rPr>
              <w:t>分）</w:t>
            </w:r>
          </w:p>
        </w:tc>
        <w:tc>
          <w:tcPr>
            <w:tcW w:w="6784" w:type="dxa"/>
            <w:noWrap w:val="0"/>
            <w:vAlign w:val="center"/>
          </w:tcPr>
          <w:p w14:paraId="50B5DDA2">
            <w:pPr>
              <w:widowControl/>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优（</w:t>
            </w:r>
            <w:r>
              <w:rPr>
                <w:rFonts w:hint="eastAsia" w:ascii="宋体" w:hAnsi="宋体" w:eastAsia="宋体" w:cs="宋体"/>
                <w:bCs/>
                <w:color w:val="000000"/>
                <w:kern w:val="0"/>
                <w:sz w:val="24"/>
                <w:szCs w:val="24"/>
                <w:lang w:val="en-US" w:eastAsia="zh-CN"/>
              </w:rPr>
              <w:t>8</w:t>
            </w:r>
            <w:r>
              <w:rPr>
                <w:rFonts w:hint="eastAsia" w:ascii="宋体" w:hAnsi="宋体" w:eastAsia="宋体" w:cs="宋体"/>
                <w:bCs/>
                <w:color w:val="000000"/>
                <w:kern w:val="0"/>
                <w:sz w:val="24"/>
                <w:szCs w:val="24"/>
              </w:rPr>
              <w:t>分）：</w:t>
            </w:r>
            <w:r>
              <w:rPr>
                <w:rFonts w:hint="eastAsia" w:ascii="宋体" w:hAnsi="宋体" w:eastAsia="宋体" w:cs="宋体"/>
                <w:bCs/>
                <w:color w:val="000000"/>
                <w:kern w:val="0"/>
                <w:sz w:val="24"/>
                <w:szCs w:val="24"/>
                <w:lang w:val="en-US" w:eastAsia="zh-CN"/>
              </w:rPr>
              <w:t>拟投入项目管理</w:t>
            </w:r>
            <w:r>
              <w:rPr>
                <w:rFonts w:hint="eastAsia" w:ascii="宋体" w:hAnsi="宋体" w:eastAsia="宋体" w:cs="宋体"/>
                <w:bCs/>
                <w:color w:val="000000"/>
                <w:kern w:val="0"/>
                <w:sz w:val="24"/>
                <w:szCs w:val="24"/>
              </w:rPr>
              <w:t>班子人员齐备、搭配合理，都有岗位证书</w:t>
            </w:r>
            <w:r>
              <w:rPr>
                <w:rFonts w:hint="eastAsia" w:ascii="宋体" w:hAnsi="宋体" w:eastAsia="宋体" w:cs="宋体"/>
                <w:bCs/>
                <w:color w:val="000000"/>
                <w:kern w:val="0"/>
                <w:sz w:val="24"/>
                <w:szCs w:val="24"/>
                <w:lang w:eastAsia="zh-CN"/>
              </w:rPr>
              <w:t>，</w:t>
            </w:r>
            <w:r>
              <w:rPr>
                <w:rFonts w:hint="eastAsia" w:ascii="宋体" w:hAnsi="宋体" w:eastAsia="宋体" w:cs="宋体"/>
                <w:bCs/>
                <w:color w:val="000000"/>
                <w:kern w:val="0"/>
                <w:sz w:val="24"/>
                <w:szCs w:val="24"/>
              </w:rPr>
              <w:t>各主要施工工序有详细周密的劳动力安排计划，各工种劳动力安排计划齐全，劳动力投入与进度计划呼应合理，满足施工需要。</w:t>
            </w:r>
          </w:p>
          <w:p w14:paraId="472C6706">
            <w:pPr>
              <w:widowControl/>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 xml:space="preserve"> 良（</w:t>
            </w:r>
            <w:r>
              <w:rPr>
                <w:rFonts w:hint="eastAsia" w:ascii="宋体" w:hAnsi="宋体" w:eastAsia="宋体" w:cs="宋体"/>
                <w:bCs/>
                <w:color w:val="000000"/>
                <w:kern w:val="0"/>
                <w:sz w:val="24"/>
                <w:szCs w:val="24"/>
                <w:lang w:val="en-US" w:eastAsia="zh-CN"/>
              </w:rPr>
              <w:t>6</w:t>
            </w:r>
            <w:r>
              <w:rPr>
                <w:rFonts w:hint="eastAsia" w:ascii="宋体" w:hAnsi="宋体" w:eastAsia="宋体" w:cs="宋体"/>
                <w:bCs/>
                <w:color w:val="000000"/>
                <w:kern w:val="0"/>
                <w:sz w:val="24"/>
                <w:szCs w:val="24"/>
              </w:rPr>
              <w:t xml:space="preserve">分）：拟投入项目管理班子人员齐备、搭配合理，都有岗位证书，各主要施工工序有详细的劳动力安排计划，有各工种劳动力安排计划，劳动力投入合理，满足施工需要。 </w:t>
            </w:r>
          </w:p>
          <w:p w14:paraId="6E4C3DDC">
            <w:pPr>
              <w:widowControl/>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中（</w:t>
            </w:r>
            <w:r>
              <w:rPr>
                <w:rFonts w:hint="eastAsia" w:ascii="宋体" w:hAnsi="宋体" w:eastAsia="宋体" w:cs="宋体"/>
                <w:bCs/>
                <w:color w:val="000000"/>
                <w:kern w:val="0"/>
                <w:sz w:val="24"/>
                <w:szCs w:val="24"/>
                <w:lang w:val="en-US" w:eastAsia="zh-CN"/>
              </w:rPr>
              <w:t>4</w:t>
            </w:r>
            <w:r>
              <w:rPr>
                <w:rFonts w:hint="eastAsia" w:ascii="宋体" w:hAnsi="宋体" w:eastAsia="宋体" w:cs="宋体"/>
                <w:bCs/>
                <w:color w:val="000000"/>
                <w:kern w:val="0"/>
                <w:sz w:val="24"/>
                <w:szCs w:val="24"/>
              </w:rPr>
              <w:t xml:space="preserve">分）：拟投入项目管理班子人员齐备、搭配基本合理，各主要施工工序应有劳动力安排计划，有各工种劳动力安排计划，劳动力投入基本合理，基本满足施工需要。 </w:t>
            </w:r>
          </w:p>
          <w:p w14:paraId="1FDB90D4">
            <w:pPr>
              <w:widowControl/>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差（</w:t>
            </w:r>
            <w:r>
              <w:rPr>
                <w:rFonts w:hint="eastAsia" w:ascii="宋体" w:hAnsi="宋体" w:eastAsia="宋体" w:cs="宋体"/>
                <w:bCs/>
                <w:color w:val="000000"/>
                <w:kern w:val="0"/>
                <w:sz w:val="24"/>
                <w:szCs w:val="24"/>
                <w:lang w:val="en-US" w:eastAsia="zh-CN"/>
              </w:rPr>
              <w:t>2</w:t>
            </w:r>
            <w:r>
              <w:rPr>
                <w:rFonts w:hint="eastAsia" w:ascii="宋体" w:hAnsi="宋体" w:eastAsia="宋体" w:cs="宋体"/>
                <w:bCs/>
                <w:color w:val="000000"/>
                <w:kern w:val="0"/>
                <w:sz w:val="24"/>
                <w:szCs w:val="24"/>
              </w:rPr>
              <w:t>分）：拟投入项目管理班子人员不齐备或搭配不合理</w:t>
            </w:r>
            <w:r>
              <w:rPr>
                <w:rFonts w:hint="eastAsia" w:ascii="宋体" w:hAnsi="宋体" w:eastAsia="宋体" w:cs="宋体"/>
                <w:bCs/>
                <w:color w:val="000000"/>
                <w:kern w:val="0"/>
                <w:sz w:val="24"/>
                <w:szCs w:val="24"/>
                <w:lang w:eastAsia="zh-CN"/>
              </w:rPr>
              <w:t>，</w:t>
            </w:r>
            <w:r>
              <w:rPr>
                <w:rFonts w:hint="eastAsia" w:ascii="宋体" w:hAnsi="宋体" w:eastAsia="宋体" w:cs="宋体"/>
                <w:bCs/>
                <w:color w:val="000000"/>
                <w:kern w:val="0"/>
                <w:sz w:val="24"/>
                <w:szCs w:val="24"/>
              </w:rPr>
              <w:t>各主要施工工序劳动力安排计划不全，无各工种劳动力安排计划或计划不全，劳动力投入不合理，不能满足施工需要。</w:t>
            </w:r>
          </w:p>
        </w:tc>
      </w:tr>
      <w:tr w14:paraId="668A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56386407">
            <w:pPr>
              <w:adjustRightInd w:val="0"/>
              <w:spacing w:line="400" w:lineRule="exact"/>
              <w:ind w:left="-105" w:leftChars="-50" w:right="-105" w:rightChars="-50"/>
              <w:jc w:val="center"/>
              <w:textAlignment w:val="baseline"/>
              <w:rPr>
                <w:rFonts w:hint="eastAsia" w:ascii="宋体" w:hAnsi="宋体" w:eastAsia="宋体" w:cs="宋体"/>
                <w:bCs/>
                <w:color w:val="000000"/>
                <w:kern w:val="0"/>
                <w:sz w:val="24"/>
                <w:szCs w:val="24"/>
                <w:lang w:eastAsia="zh-CN"/>
              </w:rPr>
            </w:pPr>
            <w:r>
              <w:rPr>
                <w:rFonts w:hint="eastAsia" w:ascii="宋体" w:hAnsi="宋体" w:eastAsia="宋体" w:cs="宋体"/>
                <w:bCs/>
                <w:color w:val="000000"/>
                <w:kern w:val="0"/>
                <w:sz w:val="24"/>
                <w:szCs w:val="24"/>
              </w:rPr>
              <w:t>2.</w:t>
            </w:r>
            <w:r>
              <w:rPr>
                <w:rFonts w:hint="eastAsia" w:ascii="宋体" w:hAnsi="宋体" w:eastAsia="宋体" w:cs="宋体"/>
                <w:bCs/>
                <w:color w:val="000000"/>
                <w:kern w:val="0"/>
                <w:sz w:val="24"/>
                <w:szCs w:val="24"/>
                <w:lang w:val="en-US" w:eastAsia="zh-CN"/>
              </w:rPr>
              <w:t>5</w:t>
            </w:r>
          </w:p>
        </w:tc>
        <w:tc>
          <w:tcPr>
            <w:tcW w:w="1691" w:type="dxa"/>
            <w:noWrap w:val="0"/>
            <w:vAlign w:val="center"/>
          </w:tcPr>
          <w:p w14:paraId="4DB07960">
            <w:pPr>
              <w:widowControl/>
              <w:spacing w:line="400" w:lineRule="exact"/>
              <w:jc w:val="center"/>
              <w:rPr>
                <w:rFonts w:hint="eastAsia" w:ascii="宋体" w:hAnsi="宋体" w:eastAsia="宋体" w:cs="宋体"/>
                <w:color w:val="000000"/>
                <w:kern w:val="0"/>
                <w:sz w:val="24"/>
                <w:szCs w:val="24"/>
              </w:rPr>
            </w:pPr>
            <w:r>
              <w:rPr>
                <w:rFonts w:hint="eastAsia" w:ascii="宋体" w:hAnsi="宋体" w:eastAsia="宋体" w:cs="宋体"/>
                <w:bCs/>
                <w:color w:val="000000"/>
                <w:sz w:val="24"/>
                <w:szCs w:val="24"/>
              </w:rPr>
              <w:t>确保工程质量的技术组织措施（满分</w:t>
            </w:r>
            <w:r>
              <w:rPr>
                <w:rFonts w:hint="eastAsia" w:ascii="宋体" w:hAnsi="宋体" w:eastAsia="宋体" w:cs="宋体"/>
                <w:bCs/>
                <w:color w:val="000000"/>
                <w:sz w:val="24"/>
                <w:szCs w:val="24"/>
                <w:lang w:val="en-US" w:eastAsia="zh-CN"/>
              </w:rPr>
              <w:t>6</w:t>
            </w:r>
            <w:r>
              <w:rPr>
                <w:rFonts w:hint="eastAsia" w:ascii="宋体" w:hAnsi="宋体" w:eastAsia="宋体" w:cs="宋体"/>
                <w:bCs/>
                <w:color w:val="000000"/>
                <w:sz w:val="24"/>
                <w:szCs w:val="24"/>
              </w:rPr>
              <w:t>分）</w:t>
            </w:r>
          </w:p>
        </w:tc>
        <w:tc>
          <w:tcPr>
            <w:tcW w:w="6784" w:type="dxa"/>
            <w:noWrap w:val="0"/>
            <w:vAlign w:val="center"/>
          </w:tcPr>
          <w:p w14:paraId="16DABB6E">
            <w:pPr>
              <w:widowControl/>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优（</w:t>
            </w:r>
            <w:r>
              <w:rPr>
                <w:rFonts w:hint="eastAsia" w:ascii="宋体" w:hAnsi="宋体" w:eastAsia="宋体" w:cs="宋体"/>
                <w:bCs/>
                <w:color w:val="000000"/>
                <w:kern w:val="0"/>
                <w:sz w:val="24"/>
                <w:szCs w:val="24"/>
                <w:lang w:val="en-US" w:eastAsia="zh-CN"/>
              </w:rPr>
              <w:t>6</w:t>
            </w:r>
            <w:r>
              <w:rPr>
                <w:rFonts w:hint="eastAsia" w:ascii="宋体" w:hAnsi="宋体" w:eastAsia="宋体" w:cs="宋体"/>
                <w:bCs/>
                <w:color w:val="000000"/>
                <w:kern w:val="0"/>
                <w:sz w:val="24"/>
                <w:szCs w:val="24"/>
              </w:rPr>
              <w:t>分）：有专门的质量技术管理班子和制度，且人员配备合理，制度健全。主要工序有质量技术保证措施和手段，且先进、可行、具体，达到招标文件的质量要求及施工验收规范要求，达到承诺的质量标准</w:t>
            </w:r>
          </w:p>
          <w:p w14:paraId="31C97BCE">
            <w:pPr>
              <w:widowControl/>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良（4分）：有专门的质量技术管理班子和制度，且人员配备合理，制度健全。主要工序有质量技术保证措施和手段，自控体系完整，能有效保证技术质量，达到承诺的质量标准。</w:t>
            </w:r>
          </w:p>
          <w:p w14:paraId="170ABB33">
            <w:pPr>
              <w:widowControl/>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 xml:space="preserve">中（2分）：质量技术管理班子人员配备基本合理，制度基本健全。主要工序有质量技术保证措施和手段，能有效保证技术质量，满足招标文件的质量要求。 </w:t>
            </w:r>
          </w:p>
          <w:p w14:paraId="1977B2FB">
            <w:pPr>
              <w:widowControl/>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差（1分）：质量技术管理班子人员配备不合理，制度不健全。质量技术保证措施和手段不可行，没有质量违约责任承诺。</w:t>
            </w:r>
          </w:p>
        </w:tc>
      </w:tr>
      <w:tr w14:paraId="0AF6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3132B0BB">
            <w:pPr>
              <w:adjustRightInd w:val="0"/>
              <w:spacing w:line="400" w:lineRule="exact"/>
              <w:ind w:left="-105" w:leftChars="-50" w:right="-105" w:rightChars="-50"/>
              <w:jc w:val="center"/>
              <w:textAlignment w:val="baseline"/>
              <w:rPr>
                <w:rFonts w:hint="eastAsia" w:ascii="宋体" w:hAnsi="宋体" w:eastAsia="宋体" w:cs="宋体"/>
                <w:bCs/>
                <w:color w:val="000000"/>
                <w:kern w:val="0"/>
                <w:sz w:val="24"/>
                <w:szCs w:val="24"/>
                <w:lang w:eastAsia="zh-CN"/>
              </w:rPr>
            </w:pPr>
            <w:r>
              <w:rPr>
                <w:rFonts w:hint="eastAsia" w:ascii="宋体" w:hAnsi="宋体" w:eastAsia="宋体" w:cs="宋体"/>
                <w:bCs/>
                <w:color w:val="000000"/>
                <w:kern w:val="0"/>
                <w:sz w:val="24"/>
                <w:szCs w:val="24"/>
              </w:rPr>
              <w:t>2.</w:t>
            </w:r>
            <w:r>
              <w:rPr>
                <w:rFonts w:hint="eastAsia" w:ascii="宋体" w:hAnsi="宋体" w:eastAsia="宋体" w:cs="宋体"/>
                <w:bCs/>
                <w:color w:val="000000"/>
                <w:kern w:val="0"/>
                <w:sz w:val="24"/>
                <w:szCs w:val="24"/>
                <w:lang w:val="en-US" w:eastAsia="zh-CN"/>
              </w:rPr>
              <w:t>6</w:t>
            </w:r>
          </w:p>
        </w:tc>
        <w:tc>
          <w:tcPr>
            <w:tcW w:w="1691" w:type="dxa"/>
            <w:noWrap w:val="0"/>
            <w:vAlign w:val="center"/>
          </w:tcPr>
          <w:p w14:paraId="58E907B4">
            <w:pPr>
              <w:widowControl/>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确保安全生产的技术组织措施（满分</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分）</w:t>
            </w:r>
          </w:p>
        </w:tc>
        <w:tc>
          <w:tcPr>
            <w:tcW w:w="6784" w:type="dxa"/>
            <w:noWrap w:val="0"/>
            <w:vAlign w:val="center"/>
          </w:tcPr>
          <w:p w14:paraId="59EE8BDE">
            <w:pPr>
              <w:widowControl/>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优（</w:t>
            </w:r>
            <w:r>
              <w:rPr>
                <w:rFonts w:hint="eastAsia" w:ascii="宋体" w:hAnsi="宋体" w:eastAsia="宋体" w:cs="宋体"/>
                <w:bCs/>
                <w:color w:val="000000"/>
                <w:kern w:val="0"/>
                <w:sz w:val="24"/>
                <w:szCs w:val="24"/>
                <w:lang w:val="en-US" w:eastAsia="zh-CN"/>
              </w:rPr>
              <w:t>6</w:t>
            </w:r>
            <w:r>
              <w:rPr>
                <w:rFonts w:hint="eastAsia" w:ascii="宋体" w:hAnsi="宋体" w:eastAsia="宋体" w:cs="宋体"/>
                <w:bCs/>
                <w:color w:val="000000"/>
                <w:kern w:val="0"/>
                <w:sz w:val="24"/>
                <w:szCs w:val="24"/>
              </w:rPr>
              <w:t xml:space="preserve">分）：安全人员配备合理；有健全的安全管理制度，各道工序安全技术措施针对性强，符合实际且高于国家有关安全技术标准要求。现场防火、应急救援、社会治安安全措施得力。 </w:t>
            </w:r>
          </w:p>
          <w:p w14:paraId="028CC106">
            <w:pPr>
              <w:widowControl/>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 xml:space="preserve">良（4分）：安全人员配备合理；有健全的安全管理制度，各道工序安全技术措施符合实际且满足有关安全技术标准要求。现场防火、应急救援、社会治安安全措施合理。 </w:t>
            </w:r>
          </w:p>
          <w:p w14:paraId="099395F3">
            <w:pPr>
              <w:widowControl/>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 xml:space="preserve">中（2分）：安全人员配备基本合理，安全管理制度基本健全，各道工序安全技术措施基本符合实际，基本满足有关安全技术标准要求。现场防火、应急救援、社会治安安全措施基本合理。 </w:t>
            </w:r>
          </w:p>
          <w:p w14:paraId="77AED2CD">
            <w:pPr>
              <w:widowControl/>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差（1分）：安全人员配备不合理，安全管理制度不健全，各道工序安全技术措施基本符合实际，不能满足有关安全技术标准要求。现场防火、应急救援、社会治安安全措施不合理。</w:t>
            </w:r>
          </w:p>
        </w:tc>
      </w:tr>
      <w:tr w14:paraId="0700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4E8E2CE1">
            <w:pPr>
              <w:adjustRightInd w:val="0"/>
              <w:spacing w:line="400" w:lineRule="exact"/>
              <w:ind w:left="-105" w:leftChars="-50" w:right="-105" w:rightChars="-50"/>
              <w:jc w:val="center"/>
              <w:textAlignment w:val="baseline"/>
              <w:rPr>
                <w:rFonts w:hint="eastAsia" w:ascii="宋体" w:hAnsi="宋体" w:eastAsia="宋体" w:cs="宋体"/>
                <w:bCs/>
                <w:color w:val="000000"/>
                <w:kern w:val="0"/>
                <w:sz w:val="24"/>
                <w:szCs w:val="24"/>
                <w:lang w:eastAsia="zh-CN"/>
              </w:rPr>
            </w:pPr>
            <w:r>
              <w:rPr>
                <w:rFonts w:hint="eastAsia" w:ascii="宋体" w:hAnsi="宋体" w:eastAsia="宋体" w:cs="宋体"/>
                <w:bCs/>
                <w:color w:val="000000"/>
                <w:kern w:val="0"/>
                <w:sz w:val="24"/>
                <w:szCs w:val="24"/>
              </w:rPr>
              <w:t>2.</w:t>
            </w:r>
            <w:r>
              <w:rPr>
                <w:rFonts w:hint="eastAsia" w:ascii="宋体" w:hAnsi="宋体" w:eastAsia="宋体" w:cs="宋体"/>
                <w:bCs/>
                <w:color w:val="000000"/>
                <w:kern w:val="0"/>
                <w:sz w:val="24"/>
                <w:szCs w:val="24"/>
                <w:lang w:val="en-US" w:eastAsia="zh-CN"/>
              </w:rPr>
              <w:t>7</w:t>
            </w:r>
          </w:p>
        </w:tc>
        <w:tc>
          <w:tcPr>
            <w:tcW w:w="1691" w:type="dxa"/>
            <w:noWrap w:val="0"/>
            <w:vAlign w:val="center"/>
          </w:tcPr>
          <w:p w14:paraId="3DADFD9C">
            <w:pPr>
              <w:widowControl/>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确保工期的技术组织措施（满分</w:t>
            </w:r>
            <w:r>
              <w:rPr>
                <w:rFonts w:hint="eastAsia" w:ascii="宋体" w:hAnsi="宋体" w:cs="宋体"/>
                <w:color w:val="000000"/>
                <w:kern w:val="0"/>
                <w:sz w:val="24"/>
                <w:szCs w:val="24"/>
                <w:lang w:val="en-US" w:eastAsia="zh-CN"/>
              </w:rPr>
              <w:t>8</w:t>
            </w:r>
            <w:r>
              <w:rPr>
                <w:rFonts w:hint="eastAsia" w:ascii="宋体" w:hAnsi="宋体" w:eastAsia="宋体" w:cs="宋体"/>
                <w:color w:val="000000"/>
                <w:kern w:val="0"/>
                <w:sz w:val="24"/>
                <w:szCs w:val="24"/>
              </w:rPr>
              <w:t>分）</w:t>
            </w:r>
          </w:p>
        </w:tc>
        <w:tc>
          <w:tcPr>
            <w:tcW w:w="6784" w:type="dxa"/>
            <w:noWrap w:val="0"/>
            <w:vAlign w:val="center"/>
          </w:tcPr>
          <w:p w14:paraId="4DB1B9CF">
            <w:pPr>
              <w:widowControl/>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优（</w:t>
            </w:r>
            <w:r>
              <w:rPr>
                <w:rFonts w:hint="eastAsia" w:ascii="宋体" w:hAnsi="宋体" w:cs="宋体"/>
                <w:bCs/>
                <w:color w:val="000000"/>
                <w:kern w:val="0"/>
                <w:sz w:val="24"/>
                <w:szCs w:val="24"/>
                <w:lang w:val="en-US" w:eastAsia="zh-CN"/>
              </w:rPr>
              <w:t>8</w:t>
            </w:r>
            <w:r>
              <w:rPr>
                <w:rFonts w:hint="eastAsia" w:ascii="宋体" w:hAnsi="宋体" w:eastAsia="宋体" w:cs="宋体"/>
                <w:bCs/>
                <w:color w:val="000000"/>
                <w:kern w:val="0"/>
                <w:sz w:val="24"/>
                <w:szCs w:val="24"/>
              </w:rPr>
              <w:t xml:space="preserve">分）：有保证工期的具体措施且措施得力。各项计划图表编制详尽周密，安排科学合理，符合本项目施工实际要求。 </w:t>
            </w:r>
          </w:p>
          <w:p w14:paraId="62F1C084">
            <w:pPr>
              <w:widowControl/>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良（</w:t>
            </w:r>
            <w:r>
              <w:rPr>
                <w:rFonts w:hint="eastAsia" w:ascii="宋体" w:hAnsi="宋体" w:cs="宋体"/>
                <w:bCs/>
                <w:color w:val="000000"/>
                <w:kern w:val="0"/>
                <w:sz w:val="24"/>
                <w:szCs w:val="24"/>
                <w:lang w:val="en-US" w:eastAsia="zh-CN"/>
              </w:rPr>
              <w:t>6</w:t>
            </w:r>
            <w:r>
              <w:rPr>
                <w:rFonts w:hint="eastAsia" w:ascii="宋体" w:hAnsi="宋体" w:eastAsia="宋体" w:cs="宋体"/>
                <w:bCs/>
                <w:color w:val="000000"/>
                <w:kern w:val="0"/>
                <w:sz w:val="24"/>
                <w:szCs w:val="24"/>
              </w:rPr>
              <w:t xml:space="preserve">分）：有保证工期的具体措施且措施得当。各项计划图表编制完善，安排较合理，符合本项目施工实际要求。 </w:t>
            </w:r>
          </w:p>
          <w:p w14:paraId="537C951B">
            <w:pPr>
              <w:widowControl/>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中（</w:t>
            </w:r>
            <w:r>
              <w:rPr>
                <w:rFonts w:hint="eastAsia" w:ascii="宋体" w:hAnsi="宋体" w:cs="宋体"/>
                <w:bCs/>
                <w:color w:val="000000"/>
                <w:kern w:val="0"/>
                <w:sz w:val="24"/>
                <w:szCs w:val="24"/>
                <w:lang w:val="en-US" w:eastAsia="zh-CN"/>
              </w:rPr>
              <w:t>4</w:t>
            </w:r>
            <w:r>
              <w:rPr>
                <w:rFonts w:hint="eastAsia" w:ascii="宋体" w:hAnsi="宋体" w:eastAsia="宋体" w:cs="宋体"/>
                <w:bCs/>
                <w:color w:val="000000"/>
                <w:kern w:val="0"/>
                <w:sz w:val="24"/>
                <w:szCs w:val="24"/>
              </w:rPr>
              <w:t>分）：有保证工期的具体措施且措施基本得当。各项计划图表编制基本完善，安排较合理，符合本项目施工实际要求。</w:t>
            </w:r>
          </w:p>
          <w:p w14:paraId="7E45A5CA">
            <w:pPr>
              <w:widowControl/>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差（1分）：有保证工期的具体措施。各项计划图表编制不完善，安排不合理，不能满足本项目施工实际要求。</w:t>
            </w:r>
          </w:p>
        </w:tc>
      </w:tr>
      <w:tr w14:paraId="5526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7E8088C7">
            <w:pPr>
              <w:adjustRightInd w:val="0"/>
              <w:spacing w:line="400" w:lineRule="exact"/>
              <w:ind w:left="-105" w:leftChars="-50" w:right="-105" w:rightChars="-50"/>
              <w:jc w:val="center"/>
              <w:textAlignment w:val="baseline"/>
              <w:rPr>
                <w:rFonts w:hint="eastAsia" w:ascii="宋体" w:hAnsi="宋体" w:eastAsia="宋体" w:cs="宋体"/>
                <w:bCs/>
                <w:color w:val="000000"/>
                <w:kern w:val="0"/>
                <w:sz w:val="24"/>
                <w:szCs w:val="24"/>
                <w:lang w:eastAsia="zh-CN"/>
              </w:rPr>
            </w:pPr>
            <w:r>
              <w:rPr>
                <w:rFonts w:hint="eastAsia" w:ascii="宋体" w:hAnsi="宋体" w:eastAsia="宋体" w:cs="宋体"/>
                <w:bCs/>
                <w:color w:val="000000"/>
                <w:kern w:val="0"/>
                <w:sz w:val="24"/>
                <w:szCs w:val="24"/>
              </w:rPr>
              <w:t>2.</w:t>
            </w:r>
            <w:r>
              <w:rPr>
                <w:rFonts w:hint="eastAsia" w:ascii="宋体" w:hAnsi="宋体" w:eastAsia="宋体" w:cs="宋体"/>
                <w:bCs/>
                <w:color w:val="000000"/>
                <w:kern w:val="0"/>
                <w:sz w:val="24"/>
                <w:szCs w:val="24"/>
                <w:lang w:val="en-US" w:eastAsia="zh-CN"/>
              </w:rPr>
              <w:t>8</w:t>
            </w:r>
          </w:p>
        </w:tc>
        <w:tc>
          <w:tcPr>
            <w:tcW w:w="1691" w:type="dxa"/>
            <w:noWrap w:val="0"/>
            <w:vAlign w:val="center"/>
          </w:tcPr>
          <w:p w14:paraId="00552B32">
            <w:pPr>
              <w:widowControl/>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确保文明施工的技术组织措施（满分</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分）</w:t>
            </w:r>
          </w:p>
        </w:tc>
        <w:tc>
          <w:tcPr>
            <w:tcW w:w="6784" w:type="dxa"/>
            <w:noWrap w:val="0"/>
            <w:vAlign w:val="center"/>
          </w:tcPr>
          <w:p w14:paraId="78B69244">
            <w:pPr>
              <w:widowControl/>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优（</w:t>
            </w:r>
            <w:r>
              <w:rPr>
                <w:rFonts w:hint="eastAsia" w:ascii="宋体" w:hAnsi="宋体" w:eastAsia="宋体" w:cs="宋体"/>
                <w:bCs/>
                <w:color w:val="000000"/>
                <w:kern w:val="0"/>
                <w:sz w:val="24"/>
                <w:szCs w:val="24"/>
                <w:lang w:val="en-US" w:eastAsia="zh-CN"/>
              </w:rPr>
              <w:t>6</w:t>
            </w:r>
            <w:r>
              <w:rPr>
                <w:rFonts w:hint="eastAsia" w:ascii="宋体" w:hAnsi="宋体" w:eastAsia="宋体" w:cs="宋体"/>
                <w:bCs/>
                <w:color w:val="000000"/>
                <w:kern w:val="0"/>
                <w:sz w:val="24"/>
                <w:szCs w:val="24"/>
              </w:rPr>
              <w:t>分）：现场文明施工、环境保护措施和内容达到且高于《建筑施工安全生产检查标准》、《广西壮族自治区建筑工程文明施工导则》要求；有具体实现现场文明施工目标的承诺，而且各项措施科学、具体、得力的。</w:t>
            </w:r>
          </w:p>
          <w:p w14:paraId="792C5774">
            <w:pPr>
              <w:widowControl/>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 xml:space="preserve"> 良（4分）：现场文明施工、环境保护措施和内容达到《建筑施工安全生产检查标准》、《广西壮族自治区建筑工程文明施工导则》；有具体实现现场文明施工目标的承诺，而且各项措施周全、具体、有效的。 </w:t>
            </w:r>
          </w:p>
          <w:p w14:paraId="338343E0">
            <w:pPr>
              <w:widowControl/>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中（2分）：现场文明施工、环境保护措施和内容基本达到《建筑施工安全生产检查标准》、《广西壮族自治区建筑工程文明施工导则》；有具体实现现场文明施工目标的承诺，而且各项措施基本全面、具体、有效的。</w:t>
            </w:r>
          </w:p>
          <w:p w14:paraId="71909621">
            <w:pPr>
              <w:widowControl/>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 xml:space="preserve"> 差（1分）: 现场文明施工、环境保护措施和内容与《建筑施工安全生产检查标准》、《广西壮族自治区建筑工程文明施工导则》的要求偏差大，无现场文明施工目标的承诺。</w:t>
            </w:r>
          </w:p>
        </w:tc>
      </w:tr>
      <w:tr w14:paraId="26CA5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451D77F9">
            <w:pPr>
              <w:adjustRightInd w:val="0"/>
              <w:spacing w:line="400" w:lineRule="exact"/>
              <w:ind w:left="-105" w:leftChars="-50" w:right="-105" w:rightChars="-50"/>
              <w:jc w:val="center"/>
              <w:textAlignment w:val="baseline"/>
              <w:rPr>
                <w:rFonts w:hint="eastAsia" w:ascii="宋体" w:hAnsi="宋体" w:eastAsia="宋体" w:cs="宋体"/>
                <w:bCs/>
                <w:color w:val="000000"/>
                <w:kern w:val="0"/>
                <w:sz w:val="24"/>
                <w:szCs w:val="24"/>
                <w:lang w:eastAsia="zh-CN"/>
              </w:rPr>
            </w:pPr>
            <w:r>
              <w:rPr>
                <w:rFonts w:hint="eastAsia" w:ascii="宋体" w:hAnsi="宋体" w:eastAsia="宋体" w:cs="宋体"/>
                <w:bCs/>
                <w:color w:val="000000"/>
                <w:kern w:val="0"/>
                <w:sz w:val="24"/>
                <w:szCs w:val="24"/>
              </w:rPr>
              <w:t>2.</w:t>
            </w:r>
            <w:r>
              <w:rPr>
                <w:rFonts w:hint="eastAsia" w:ascii="宋体" w:hAnsi="宋体" w:eastAsia="宋体" w:cs="宋体"/>
                <w:bCs/>
                <w:color w:val="000000"/>
                <w:kern w:val="0"/>
                <w:sz w:val="24"/>
                <w:szCs w:val="24"/>
                <w:lang w:val="en-US" w:eastAsia="zh-CN"/>
              </w:rPr>
              <w:t>9</w:t>
            </w:r>
          </w:p>
        </w:tc>
        <w:tc>
          <w:tcPr>
            <w:tcW w:w="1691" w:type="dxa"/>
            <w:noWrap w:val="0"/>
            <w:vAlign w:val="center"/>
          </w:tcPr>
          <w:p w14:paraId="25758C02">
            <w:pPr>
              <w:widowControl/>
              <w:spacing w:line="400" w:lineRule="exact"/>
              <w:jc w:val="center"/>
              <w:rPr>
                <w:rFonts w:hint="eastAsia" w:ascii="宋体" w:hAnsi="宋体" w:eastAsia="宋体" w:cs="宋体"/>
                <w:color w:val="000000"/>
                <w:kern w:val="0"/>
                <w:sz w:val="24"/>
                <w:szCs w:val="24"/>
              </w:rPr>
            </w:pPr>
            <w:r>
              <w:rPr>
                <w:rFonts w:hint="eastAsia" w:ascii="宋体" w:hAnsi="宋体" w:eastAsia="宋体" w:cs="宋体"/>
                <w:bCs/>
                <w:color w:val="000000"/>
                <w:sz w:val="24"/>
                <w:szCs w:val="24"/>
              </w:rPr>
              <w:t>工程施工的重点和难点及保证措施（满分</w:t>
            </w:r>
            <w:r>
              <w:rPr>
                <w:rFonts w:hint="eastAsia" w:ascii="宋体" w:hAnsi="宋体" w:eastAsia="宋体" w:cs="宋体"/>
                <w:bCs/>
                <w:color w:val="000000"/>
                <w:sz w:val="24"/>
                <w:szCs w:val="24"/>
                <w:lang w:val="en-US" w:eastAsia="zh-CN"/>
              </w:rPr>
              <w:t>6</w:t>
            </w:r>
            <w:r>
              <w:rPr>
                <w:rFonts w:hint="eastAsia" w:ascii="宋体" w:hAnsi="宋体" w:eastAsia="宋体" w:cs="宋体"/>
                <w:bCs/>
                <w:color w:val="000000"/>
                <w:sz w:val="24"/>
                <w:szCs w:val="24"/>
              </w:rPr>
              <w:t>分）</w:t>
            </w:r>
          </w:p>
        </w:tc>
        <w:tc>
          <w:tcPr>
            <w:tcW w:w="6784" w:type="dxa"/>
            <w:noWrap w:val="0"/>
            <w:vAlign w:val="center"/>
          </w:tcPr>
          <w:p w14:paraId="4F37D36B">
            <w:pPr>
              <w:widowControl/>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优（</w:t>
            </w:r>
            <w:r>
              <w:rPr>
                <w:rFonts w:hint="eastAsia" w:ascii="宋体" w:hAnsi="宋体" w:eastAsia="宋体" w:cs="宋体"/>
                <w:bCs/>
                <w:color w:val="000000"/>
                <w:kern w:val="0"/>
                <w:sz w:val="24"/>
                <w:szCs w:val="24"/>
                <w:lang w:val="en-US" w:eastAsia="zh-CN"/>
              </w:rPr>
              <w:t>6</w:t>
            </w:r>
            <w:r>
              <w:rPr>
                <w:rFonts w:hint="eastAsia" w:ascii="宋体" w:hAnsi="宋体" w:eastAsia="宋体" w:cs="宋体"/>
                <w:bCs/>
                <w:color w:val="000000"/>
                <w:kern w:val="0"/>
                <w:sz w:val="24"/>
                <w:szCs w:val="24"/>
              </w:rPr>
              <w:t xml:space="preserve">分）：对项目关键技术、工艺有深入的表述。对重点、难点有先进合理的施工措施并有可行的安全措施，解决方案完整、经济、安全、切实可行，措施得力。 </w:t>
            </w:r>
          </w:p>
          <w:p w14:paraId="10FF2A1C">
            <w:pPr>
              <w:widowControl/>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 xml:space="preserve">良（4分）：对项目关键技术、工艺有深入的表述，对重点、难点有合理的建议，解决方案经济、安全、基本可行。 </w:t>
            </w:r>
          </w:p>
          <w:p w14:paraId="3A313681">
            <w:pPr>
              <w:widowControl/>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中（2分）：对项目关键技术有一定了解，对重点、难点有建议，解决方案基本可行。</w:t>
            </w:r>
          </w:p>
          <w:p w14:paraId="7B1759B8">
            <w:pPr>
              <w:widowControl/>
              <w:spacing w:line="360" w:lineRule="auto"/>
              <w:rPr>
                <w:rFonts w:hint="eastAsia" w:ascii="宋体" w:hAnsi="宋体" w:eastAsia="宋体" w:cs="宋体"/>
                <w:bCs/>
                <w:color w:val="000000"/>
                <w:sz w:val="24"/>
                <w:szCs w:val="24"/>
              </w:rPr>
            </w:pPr>
            <w:r>
              <w:rPr>
                <w:rFonts w:hint="eastAsia" w:ascii="宋体" w:hAnsi="宋体" w:eastAsia="宋体" w:cs="宋体"/>
                <w:bCs/>
                <w:color w:val="000000"/>
                <w:kern w:val="0"/>
                <w:sz w:val="24"/>
                <w:szCs w:val="24"/>
              </w:rPr>
              <w:t>差（1分）：对项目关键技术有表述，对重点、难点有建议，解决方案不可行。</w:t>
            </w:r>
          </w:p>
        </w:tc>
      </w:tr>
      <w:tr w14:paraId="0EF9A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63A604F4">
            <w:pPr>
              <w:spacing w:line="400" w:lineRule="exact"/>
              <w:jc w:val="center"/>
              <w:rPr>
                <w:rFonts w:hint="eastAsia" w:ascii="宋体" w:hAnsi="宋体" w:eastAsia="宋体" w:cs="宋体"/>
                <w:bCs/>
                <w:color w:val="000000"/>
                <w:kern w:val="0"/>
                <w:sz w:val="24"/>
                <w:szCs w:val="24"/>
                <w:lang w:val="en-US" w:eastAsia="zh-CN"/>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10</w:t>
            </w:r>
          </w:p>
        </w:tc>
        <w:tc>
          <w:tcPr>
            <w:tcW w:w="1691" w:type="dxa"/>
            <w:noWrap w:val="0"/>
            <w:vAlign w:val="center"/>
          </w:tcPr>
          <w:p w14:paraId="364EC3F0">
            <w:pPr>
              <w:spacing w:line="400" w:lineRule="exact"/>
              <w:jc w:val="center"/>
              <w:rPr>
                <w:rFonts w:hint="eastAsia" w:ascii="宋体" w:hAnsi="宋体" w:eastAsia="宋体" w:cs="宋体"/>
                <w:bCs/>
                <w:color w:val="000000"/>
                <w:sz w:val="24"/>
                <w:szCs w:val="24"/>
              </w:rPr>
            </w:pPr>
            <w:r>
              <w:rPr>
                <w:rFonts w:hint="eastAsia" w:ascii="宋体" w:hAnsi="宋体" w:eastAsia="宋体" w:cs="宋体"/>
                <w:bCs/>
                <w:sz w:val="24"/>
                <w:szCs w:val="24"/>
              </w:rPr>
              <w:t>施工总平面布置图（满分</w:t>
            </w:r>
            <w:r>
              <w:rPr>
                <w:rFonts w:hint="eastAsia" w:ascii="宋体" w:hAnsi="宋体" w:eastAsia="宋体" w:cs="宋体"/>
                <w:bCs/>
                <w:sz w:val="24"/>
                <w:szCs w:val="24"/>
                <w:lang w:val="en-US" w:eastAsia="zh-CN"/>
              </w:rPr>
              <w:t>6</w:t>
            </w:r>
            <w:r>
              <w:rPr>
                <w:rFonts w:hint="eastAsia" w:ascii="宋体" w:hAnsi="宋体" w:eastAsia="宋体" w:cs="宋体"/>
                <w:bCs/>
                <w:sz w:val="24"/>
                <w:szCs w:val="24"/>
              </w:rPr>
              <w:t>分）</w:t>
            </w:r>
          </w:p>
        </w:tc>
        <w:tc>
          <w:tcPr>
            <w:tcW w:w="6784" w:type="dxa"/>
            <w:noWrap w:val="0"/>
            <w:vAlign w:val="center"/>
          </w:tcPr>
          <w:p w14:paraId="4CC02778">
            <w:pPr>
              <w:widowControl/>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优（</w:t>
            </w:r>
            <w:r>
              <w:rPr>
                <w:rFonts w:hint="eastAsia" w:ascii="宋体" w:hAnsi="宋体" w:eastAsia="宋体" w:cs="宋体"/>
                <w:bCs/>
                <w:color w:val="000000"/>
                <w:kern w:val="0"/>
                <w:sz w:val="24"/>
                <w:szCs w:val="24"/>
                <w:lang w:val="en-US" w:eastAsia="zh-CN"/>
              </w:rPr>
              <w:t>6</w:t>
            </w:r>
            <w:r>
              <w:rPr>
                <w:rFonts w:hint="eastAsia" w:ascii="宋体" w:hAnsi="宋体" w:eastAsia="宋体" w:cs="宋体"/>
                <w:bCs/>
                <w:color w:val="000000"/>
                <w:kern w:val="0"/>
                <w:sz w:val="24"/>
                <w:szCs w:val="24"/>
              </w:rPr>
              <w:t>分）：总体布置有针对性、合理，较好满足施工需要，符合安全、文明生产要求。</w:t>
            </w:r>
          </w:p>
          <w:p w14:paraId="77BAA2DB">
            <w:pPr>
              <w:widowControl/>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 xml:space="preserve">良（4分）：总体布置合理，能满足施工需要，基本符合安全、文明生产要求。 </w:t>
            </w:r>
          </w:p>
          <w:p w14:paraId="34F96170">
            <w:pPr>
              <w:widowControl/>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中（2分）：总体布置基本合理，基本满足施工需要。</w:t>
            </w:r>
          </w:p>
          <w:p w14:paraId="0F5AFCED">
            <w:pPr>
              <w:widowControl/>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差（1分）：总体布置不合理，不符合安全、文明生产要求 。</w:t>
            </w:r>
          </w:p>
        </w:tc>
      </w:tr>
      <w:tr w14:paraId="58376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7" w:type="dxa"/>
            <w:gridSpan w:val="3"/>
            <w:noWrap w:val="0"/>
            <w:vAlign w:val="center"/>
          </w:tcPr>
          <w:p w14:paraId="2F3C2F38">
            <w:pPr>
              <w:pStyle w:val="2"/>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b/>
                <w:color w:val="000000"/>
                <w:spacing w:val="0"/>
                <w:kern w:val="2"/>
                <w:sz w:val="24"/>
                <w:szCs w:val="24"/>
                <w:highlight w:val="none"/>
                <w:lang w:eastAsia="zh-CN"/>
              </w:rPr>
              <w:t>3</w:t>
            </w:r>
            <w:r>
              <w:rPr>
                <w:rFonts w:hint="eastAsia" w:ascii="宋体" w:hAnsi="宋体" w:eastAsia="宋体" w:cs="宋体"/>
                <w:b/>
                <w:color w:val="000000"/>
                <w:spacing w:val="0"/>
                <w:kern w:val="2"/>
                <w:sz w:val="24"/>
                <w:szCs w:val="24"/>
                <w:highlight w:val="none"/>
              </w:rPr>
              <w:t>、</w:t>
            </w:r>
            <w:r>
              <w:rPr>
                <w:rFonts w:hint="eastAsia" w:ascii="宋体" w:hAnsi="宋体" w:eastAsia="宋体" w:cs="宋体"/>
                <w:b/>
                <w:color w:val="000000"/>
                <w:spacing w:val="0"/>
                <w:kern w:val="2"/>
                <w:sz w:val="24"/>
                <w:szCs w:val="24"/>
                <w:highlight w:val="none"/>
                <w:lang w:val="en-US" w:eastAsia="zh-CN"/>
              </w:rPr>
              <w:t>商务</w:t>
            </w:r>
            <w:r>
              <w:rPr>
                <w:rFonts w:hint="eastAsia" w:ascii="宋体" w:hAnsi="宋体" w:eastAsia="宋体" w:cs="宋体"/>
                <w:b/>
                <w:color w:val="000000"/>
                <w:spacing w:val="0"/>
                <w:kern w:val="2"/>
                <w:sz w:val="24"/>
                <w:szCs w:val="24"/>
                <w:highlight w:val="none"/>
              </w:rPr>
              <w:t>分（满分</w:t>
            </w:r>
            <w:r>
              <w:rPr>
                <w:rFonts w:hint="eastAsia" w:ascii="宋体" w:hAnsi="宋体" w:eastAsia="宋体" w:cs="宋体"/>
                <w:b/>
                <w:color w:val="000000"/>
                <w:spacing w:val="0"/>
                <w:kern w:val="2"/>
                <w:sz w:val="24"/>
                <w:szCs w:val="24"/>
                <w:highlight w:val="none"/>
                <w:lang w:val="en-US" w:eastAsia="zh-CN"/>
              </w:rPr>
              <w:t>15</w:t>
            </w:r>
            <w:r>
              <w:rPr>
                <w:rFonts w:hint="eastAsia" w:ascii="宋体" w:hAnsi="宋体" w:eastAsia="宋体" w:cs="宋体"/>
                <w:b/>
                <w:color w:val="000000"/>
                <w:spacing w:val="0"/>
                <w:kern w:val="2"/>
                <w:sz w:val="24"/>
                <w:szCs w:val="24"/>
                <w:highlight w:val="none"/>
              </w:rPr>
              <w:t>分）</w:t>
            </w:r>
          </w:p>
        </w:tc>
      </w:tr>
      <w:tr w14:paraId="5933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4" w:hRule="atLeast"/>
          <w:jc w:val="center"/>
        </w:trPr>
        <w:tc>
          <w:tcPr>
            <w:tcW w:w="852" w:type="dxa"/>
            <w:noWrap w:val="0"/>
            <w:vAlign w:val="center"/>
          </w:tcPr>
          <w:p w14:paraId="7F7920AA">
            <w:pPr>
              <w:spacing w:line="40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3.1</w:t>
            </w:r>
          </w:p>
        </w:tc>
        <w:tc>
          <w:tcPr>
            <w:tcW w:w="1691" w:type="dxa"/>
            <w:noWrap w:val="0"/>
            <w:vAlign w:val="center"/>
          </w:tcPr>
          <w:p w14:paraId="07319B9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Cs/>
                <w:color w:val="auto"/>
                <w:sz w:val="24"/>
                <w:szCs w:val="24"/>
                <w:highlight w:val="none"/>
              </w:rPr>
            </w:pPr>
            <w:r>
              <w:rPr>
                <w:b w:val="0"/>
                <w:bCs w:val="0"/>
                <w:color w:val="auto"/>
                <w:spacing w:val="3"/>
                <w:sz w:val="24"/>
                <w:szCs w:val="24"/>
              </w:rPr>
              <w:t>人员配备</w:t>
            </w:r>
            <w:r>
              <w:rPr>
                <w:rFonts w:hint="eastAsia" w:ascii="宋体" w:hAnsi="宋体" w:eastAsia="宋体" w:cs="宋体"/>
                <w:b w:val="0"/>
                <w:bCs w:val="0"/>
                <w:color w:val="auto"/>
                <w:sz w:val="24"/>
                <w:szCs w:val="24"/>
                <w:highlight w:val="none"/>
              </w:rPr>
              <w:t>（满分</w:t>
            </w: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val="en-US" w:eastAsia="zh-CN"/>
              </w:rPr>
              <w:t>分</w:t>
            </w:r>
            <w:r>
              <w:rPr>
                <w:rFonts w:hint="eastAsia" w:ascii="宋体" w:hAnsi="宋体" w:eastAsia="宋体" w:cs="宋体"/>
                <w:b w:val="0"/>
                <w:bCs w:val="0"/>
                <w:color w:val="auto"/>
                <w:sz w:val="24"/>
                <w:szCs w:val="24"/>
                <w:highlight w:val="none"/>
              </w:rPr>
              <w:t>）</w:t>
            </w:r>
          </w:p>
        </w:tc>
        <w:tc>
          <w:tcPr>
            <w:tcW w:w="6784" w:type="dxa"/>
            <w:noWrap w:val="0"/>
            <w:vAlign w:val="center"/>
          </w:tcPr>
          <w:p w14:paraId="51FFF9AA">
            <w:pPr>
              <w:bidi w:val="0"/>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人员配备（满分 10 分）</w:t>
            </w:r>
          </w:p>
          <w:p w14:paraId="5F21EB1B">
            <w:pPr>
              <w:bidi w:val="0"/>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（1）拟投入的项目经理</w:t>
            </w:r>
            <w:r>
              <w:rPr>
                <w:rFonts w:hint="eastAsia" w:ascii="宋体" w:hAnsi="宋体" w:eastAsia="宋体" w:cs="宋体"/>
                <w:b w:val="0"/>
                <w:bCs w:val="0"/>
                <w:color w:val="auto"/>
                <w:sz w:val="24"/>
                <w:szCs w:val="24"/>
                <w:lang w:val="en-US" w:eastAsia="zh-CN"/>
              </w:rPr>
              <w:t>具有</w:t>
            </w:r>
            <w:r>
              <w:rPr>
                <w:rFonts w:hint="eastAsia" w:ascii="宋体" w:hAnsi="宋体" w:eastAsia="宋体" w:cs="宋体"/>
                <w:color w:val="auto"/>
                <w:sz w:val="24"/>
                <w:szCs w:val="24"/>
              </w:rPr>
              <w:t>建筑工程专业二级（含）以上注册建造师执业资格，具备有效的安全生产考核合格证书（B类）</w:t>
            </w:r>
            <w:r>
              <w:rPr>
                <w:rFonts w:hint="eastAsia" w:ascii="宋体" w:hAnsi="宋体" w:eastAsia="宋体" w:cs="宋体"/>
                <w:b w:val="0"/>
                <w:bCs w:val="0"/>
                <w:color w:val="auto"/>
                <w:sz w:val="24"/>
                <w:szCs w:val="24"/>
              </w:rPr>
              <w:t>，得 5 分。</w:t>
            </w:r>
          </w:p>
          <w:p w14:paraId="55140AA0">
            <w:pPr>
              <w:bidi w:val="0"/>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（2）拟投入的技术负责人具有工程类专业中级及以上职称，得 3 分。</w:t>
            </w:r>
          </w:p>
          <w:p w14:paraId="1C2A7158">
            <w:pPr>
              <w:bidi w:val="0"/>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（3）安全员、施工员、质检员、材料员应具有相应岗位资格证书的得 2 分（缺少一个不得分）。</w:t>
            </w:r>
          </w:p>
          <w:p w14:paraId="7FC66603">
            <w:pPr>
              <w:bidi w:val="0"/>
              <w:spacing w:line="360" w:lineRule="auto"/>
              <w:rPr>
                <w:rFonts w:hint="eastAsia" w:ascii="宋体" w:hAnsi="宋体" w:eastAsia="宋体" w:cs="宋体"/>
                <w:color w:val="auto"/>
                <w:szCs w:val="24"/>
                <w:highlight w:val="none"/>
                <w:lang w:val="en-US" w:eastAsia="zh-CN"/>
              </w:rPr>
            </w:pPr>
            <w:r>
              <w:rPr>
                <w:rFonts w:hint="eastAsia" w:ascii="宋体" w:hAnsi="宋体" w:eastAsia="宋体" w:cs="宋体"/>
                <w:b w:val="0"/>
                <w:bCs w:val="0"/>
                <w:color w:val="auto"/>
                <w:sz w:val="24"/>
                <w:szCs w:val="24"/>
              </w:rPr>
              <w:t>注： 以上评分项目需提供相关人员资格证书</w:t>
            </w:r>
            <w:r>
              <w:rPr>
                <w:rFonts w:hint="eastAsia" w:ascii="宋体" w:hAnsi="宋体" w:eastAsia="宋体" w:cs="宋体"/>
                <w:b w:val="0"/>
                <w:bCs w:val="0"/>
                <w:color w:val="auto"/>
                <w:sz w:val="24"/>
                <w:szCs w:val="24"/>
                <w:lang w:val="en-US" w:eastAsia="zh-CN"/>
              </w:rPr>
              <w:t>以及</w:t>
            </w:r>
            <w:r>
              <w:rPr>
                <w:rFonts w:hint="eastAsia" w:ascii="宋体" w:hAnsi="宋体" w:cs="宋体"/>
                <w:b w:val="0"/>
                <w:bCs w:val="0"/>
                <w:i w:val="0"/>
                <w:caps w:val="0"/>
                <w:color w:val="auto"/>
                <w:spacing w:val="0"/>
                <w:w w:val="100"/>
                <w:sz w:val="24"/>
                <w:szCs w:val="24"/>
                <w:highlight w:val="none"/>
                <w:lang w:eastAsia="zh-CN"/>
              </w:rPr>
              <w:t>最近三个月的</w:t>
            </w:r>
            <w:r>
              <w:rPr>
                <w:rFonts w:hint="eastAsia" w:ascii="宋体" w:hAnsi="宋体" w:eastAsia="宋体" w:cs="宋体"/>
                <w:b w:val="0"/>
                <w:bCs w:val="0"/>
                <w:i w:val="0"/>
                <w:caps w:val="0"/>
                <w:color w:val="auto"/>
                <w:spacing w:val="0"/>
                <w:w w:val="100"/>
                <w:sz w:val="24"/>
                <w:szCs w:val="24"/>
                <w:highlight w:val="none"/>
              </w:rPr>
              <w:t>社保缴纳证明</w:t>
            </w:r>
            <w:r>
              <w:rPr>
                <w:rFonts w:hint="eastAsia" w:ascii="宋体" w:hAnsi="宋体" w:eastAsia="宋体" w:cs="宋体"/>
                <w:b w:val="0"/>
                <w:bCs w:val="0"/>
                <w:color w:val="auto"/>
                <w:sz w:val="24"/>
                <w:szCs w:val="24"/>
              </w:rPr>
              <w:t>等证明材料复印件， 以上证明材料加盖供应商公章，否则不予计分。</w:t>
            </w:r>
          </w:p>
        </w:tc>
      </w:tr>
      <w:tr w14:paraId="39132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jc w:val="center"/>
        </w:trPr>
        <w:tc>
          <w:tcPr>
            <w:tcW w:w="852" w:type="dxa"/>
            <w:noWrap w:val="0"/>
            <w:vAlign w:val="center"/>
          </w:tcPr>
          <w:p w14:paraId="1C72574D">
            <w:pPr>
              <w:spacing w:line="400" w:lineRule="exact"/>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3.2</w:t>
            </w:r>
          </w:p>
        </w:tc>
        <w:tc>
          <w:tcPr>
            <w:tcW w:w="1691" w:type="dxa"/>
            <w:noWrap w:val="0"/>
            <w:vAlign w:val="center"/>
          </w:tcPr>
          <w:p w14:paraId="787D852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Courier New"/>
                <w:bCs/>
                <w:color w:val="auto"/>
                <w:sz w:val="24"/>
                <w:szCs w:val="24"/>
                <w:highlight w:val="none"/>
              </w:rPr>
            </w:pPr>
            <w:r>
              <w:rPr>
                <w:rFonts w:hint="eastAsia" w:ascii="宋体" w:hAnsi="宋体" w:cs="Courier New"/>
                <w:bCs/>
                <w:color w:val="auto"/>
                <w:sz w:val="24"/>
                <w:szCs w:val="24"/>
                <w:highlight w:val="none"/>
              </w:rPr>
              <w:t>类似项目业绩</w:t>
            </w:r>
          </w:p>
          <w:p w14:paraId="1A44A44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center"/>
              <w:textAlignment w:val="baseline"/>
              <w:rPr>
                <w:b/>
                <w:bCs/>
                <w:color w:val="auto"/>
                <w:spacing w:val="3"/>
                <w:sz w:val="24"/>
                <w:szCs w:val="24"/>
              </w:rPr>
            </w:pPr>
            <w:r>
              <w:rPr>
                <w:rFonts w:hint="eastAsia" w:ascii="宋体" w:hAnsi="宋体" w:cs="Courier New"/>
                <w:bCs/>
                <w:color w:val="auto"/>
                <w:sz w:val="24"/>
                <w:szCs w:val="24"/>
                <w:highlight w:val="none"/>
                <w:lang w:val="en-US" w:eastAsia="zh-CN"/>
              </w:rPr>
              <w:t>(5分）</w:t>
            </w:r>
          </w:p>
        </w:tc>
        <w:tc>
          <w:tcPr>
            <w:tcW w:w="6784" w:type="dxa"/>
            <w:noWrap w:val="0"/>
            <w:vAlign w:val="center"/>
          </w:tcPr>
          <w:p w14:paraId="70E4CF33">
            <w:pPr>
              <w:bidi w:val="0"/>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类似项目业绩，自2023年1月1日起至本项目磋商截止之日止承接过类似(建筑工程100万元以上)工程业绩的，每有一个得5分，最多计5分（须提供施工合同或竣工验收意见书或交工验收证书复印件）。(满分5分）</w:t>
            </w:r>
          </w:p>
        </w:tc>
      </w:tr>
      <w:tr w14:paraId="01D9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7" w:type="dxa"/>
            <w:gridSpan w:val="3"/>
            <w:noWrap w:val="0"/>
            <w:vAlign w:val="top"/>
          </w:tcPr>
          <w:p w14:paraId="5F4425EE">
            <w:pPr>
              <w:pStyle w:val="17"/>
              <w:spacing w:line="400" w:lineRule="exact"/>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rPr>
              <w:t>总得分＝1+2</w:t>
            </w:r>
            <w:r>
              <w:rPr>
                <w:rFonts w:hint="eastAsia" w:ascii="宋体" w:hAnsi="宋体" w:eastAsia="宋体" w:cs="宋体"/>
                <w:bCs/>
                <w:color w:val="000000"/>
                <w:sz w:val="24"/>
                <w:szCs w:val="24"/>
                <w:lang w:val="en-US" w:eastAsia="zh-CN"/>
              </w:rPr>
              <w:t>+3</w:t>
            </w:r>
          </w:p>
        </w:tc>
      </w:tr>
    </w:tbl>
    <w:p w14:paraId="36F77ACB">
      <w:pPr>
        <w:pStyle w:val="17"/>
        <w:spacing w:line="320" w:lineRule="exact"/>
        <w:rPr>
          <w:rFonts w:hint="eastAsia" w:ascii="宋体" w:hAnsi="宋体" w:eastAsia="宋体" w:cs="宋体"/>
          <w:b/>
          <w:bCs/>
          <w:color w:val="000000"/>
          <w:sz w:val="24"/>
          <w:szCs w:val="24"/>
        </w:rPr>
      </w:pPr>
    </w:p>
    <w:p w14:paraId="1861D105">
      <w:pPr>
        <w:pStyle w:val="6"/>
        <w:numPr>
          <w:ilvl w:val="0"/>
          <w:numId w:val="45"/>
        </w:numPr>
        <w:tabs>
          <w:tab w:val="clear" w:pos="482"/>
        </w:tabs>
        <w:topLinePunct w:val="0"/>
        <w:ind w:left="0" w:leftChars="0" w:firstLine="0" w:firstLineChars="0"/>
        <w:rPr>
          <w:rFonts w:hint="eastAsia" w:ascii="宋体" w:hAnsi="宋体" w:eastAsia="宋体" w:cs="宋体"/>
          <w:b/>
          <w:sz w:val="24"/>
          <w:szCs w:val="24"/>
        </w:rPr>
      </w:pPr>
      <w:r>
        <w:rPr>
          <w:rFonts w:hint="eastAsia" w:ascii="宋体" w:hAnsi="宋体" w:eastAsia="宋体" w:cs="宋体"/>
          <w:sz w:val="24"/>
          <w:szCs w:val="24"/>
        </w:rPr>
        <w:t>成交候选人推荐原则</w:t>
      </w:r>
    </w:p>
    <w:p w14:paraId="220AA1C2">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磋商小组应当根据综合评分情况，按照评审得分由高到低顺序推荐3名以上成交候选供应商，并编写评审报告。符合财库﹝2014﹞214号《政府采购竞争性磋商采购方式管理暂行办法》第二十一条第三款情形的，可以推荐2家成交候选供应商。评审得分相同的，按照最后报价（不计算价格折扣）由低到高的顺序推荐。评审得分且最后报价（不计算价格折扣）相同的，按照技术指标优劣顺序推荐。</w:t>
      </w:r>
    </w:p>
    <w:p w14:paraId="3EAA731E">
      <w:pPr>
        <w:pStyle w:val="4"/>
        <w:rPr>
          <w:rFonts w:hint="eastAsia" w:ascii="宋体" w:hAnsi="宋体" w:eastAsia="宋体" w:cs="宋体"/>
          <w:color w:val="000000"/>
          <w:sz w:val="40"/>
          <w:szCs w:val="40"/>
        </w:rPr>
      </w:pPr>
      <w:r>
        <w:rPr>
          <w:rFonts w:hint="eastAsia" w:ascii="宋体" w:hAnsi="宋体" w:eastAsia="宋体" w:cs="宋体"/>
          <w:color w:val="000000"/>
          <w:sz w:val="24"/>
          <w:szCs w:val="24"/>
        </w:rPr>
        <w:t>采购单位应当确定磋商小组推荐排名第一的成交候选人为成交人。排名第一的成交候选人放弃成交、因不可抗力提出不能履行合同，采购单位可以确定排名第二的成交候选人为成交人。排名第二的成交候选人因前款规定的同样原因不能签订合同的，采购单位可以确定排名第三的成交候选人为成交人，其余以此类推。</w:t>
      </w:r>
      <w:r>
        <w:rPr>
          <w:rFonts w:hint="eastAsia" w:ascii="宋体" w:hAnsi="宋体" w:eastAsia="宋体" w:cs="宋体"/>
          <w:color w:val="000000"/>
          <w:sz w:val="40"/>
          <w:szCs w:val="40"/>
        </w:rPr>
        <w:br w:type="page"/>
      </w:r>
    </w:p>
    <w:p w14:paraId="67304562">
      <w:pPr>
        <w:pStyle w:val="44"/>
        <w:numPr>
          <w:ilvl w:val="0"/>
          <w:numId w:val="2"/>
        </w:numPr>
        <w:ind w:left="0" w:leftChars="0" w:firstLine="0" w:firstLineChars="0"/>
        <w:outlineLvl w:val="0"/>
        <w:rPr>
          <w:rFonts w:hint="eastAsia" w:ascii="宋体" w:hAnsi="宋体" w:eastAsia="宋体" w:cs="宋体"/>
          <w:b w:val="0"/>
          <w:sz w:val="40"/>
          <w:szCs w:val="40"/>
        </w:rPr>
      </w:pPr>
      <w:bookmarkStart w:id="50" w:name="_Toc30146"/>
      <w:r>
        <w:rPr>
          <w:rFonts w:hint="eastAsia" w:ascii="宋体" w:hAnsi="宋体" w:eastAsia="宋体" w:cs="宋体"/>
          <w:sz w:val="40"/>
          <w:szCs w:val="40"/>
        </w:rPr>
        <w:t>工程量清单</w:t>
      </w:r>
      <w:bookmarkEnd w:id="50"/>
    </w:p>
    <w:p w14:paraId="72BCFC4B">
      <w:pPr>
        <w:pStyle w:val="20"/>
        <w:rPr>
          <w:rFonts w:hint="eastAsia" w:ascii="宋体" w:hAnsi="宋体" w:eastAsia="宋体" w:cs="宋体"/>
          <w:sz w:val="40"/>
          <w:szCs w:val="40"/>
        </w:rPr>
      </w:pPr>
      <w:bookmarkStart w:id="51" w:name="_Toc26346"/>
      <w:r>
        <w:rPr>
          <w:rFonts w:hint="eastAsia" w:ascii="宋体" w:hAnsi="宋体" w:eastAsia="宋体" w:cs="宋体"/>
          <w:sz w:val="40"/>
          <w:szCs w:val="40"/>
        </w:rPr>
        <w:t>(由潜在供应商登陆政采云平台自行下载)</w:t>
      </w:r>
      <w:bookmarkEnd w:id="51"/>
    </w:p>
    <w:p w14:paraId="2EB80BDF">
      <w:pPr>
        <w:spacing w:line="360" w:lineRule="auto"/>
        <w:rPr>
          <w:rFonts w:hint="eastAsia" w:ascii="宋体" w:hAnsi="宋体" w:eastAsia="宋体" w:cs="宋体"/>
          <w:color w:val="000000"/>
          <w:sz w:val="24"/>
          <w:szCs w:val="24"/>
        </w:rPr>
      </w:pPr>
      <w:bookmarkStart w:id="52" w:name="_Toc530263370"/>
    </w:p>
    <w:bookmarkEnd w:id="52"/>
    <w:p w14:paraId="3D2E98CE">
      <w:pPr>
        <w:spacing w:line="360" w:lineRule="auto"/>
        <w:jc w:val="center"/>
        <w:rPr>
          <w:rFonts w:hint="eastAsia" w:ascii="宋体" w:hAnsi="宋体" w:eastAsia="宋体" w:cs="宋体"/>
          <w:color w:val="000000"/>
          <w:sz w:val="24"/>
          <w:szCs w:val="24"/>
        </w:rPr>
      </w:pPr>
    </w:p>
    <w:p w14:paraId="0EA726B4">
      <w:pPr>
        <w:spacing w:line="360" w:lineRule="auto"/>
        <w:jc w:val="center"/>
        <w:rPr>
          <w:rFonts w:hint="eastAsia" w:ascii="宋体" w:hAnsi="宋体" w:eastAsia="宋体" w:cs="宋体"/>
          <w:color w:val="000000"/>
          <w:sz w:val="24"/>
          <w:szCs w:val="24"/>
        </w:rPr>
      </w:pPr>
    </w:p>
    <w:p w14:paraId="76BC4193">
      <w:pPr>
        <w:keepNext/>
        <w:keepLines/>
        <w:widowControl w:val="0"/>
        <w:spacing w:before="260" w:after="260" w:line="360" w:lineRule="auto"/>
        <w:jc w:val="center"/>
        <w:outlineLvl w:val="9"/>
        <w:rPr>
          <w:rFonts w:hint="eastAsia" w:ascii="宋体" w:hAnsi="宋体" w:eastAsia="宋体" w:cs="宋体"/>
          <w:b/>
          <w:bCs/>
          <w:color w:val="000000"/>
          <w:kern w:val="2"/>
          <w:sz w:val="24"/>
          <w:szCs w:val="24"/>
          <w:lang w:val="en-US" w:eastAsia="zh-CN" w:bidi="ar-SA"/>
        </w:rPr>
      </w:pPr>
    </w:p>
    <w:p w14:paraId="6159A735">
      <w:pPr>
        <w:keepNext/>
        <w:keepLines/>
        <w:widowControl w:val="0"/>
        <w:spacing w:before="260" w:after="260" w:line="360" w:lineRule="auto"/>
        <w:jc w:val="center"/>
        <w:outlineLvl w:val="9"/>
        <w:rPr>
          <w:rFonts w:hint="eastAsia" w:ascii="宋体" w:hAnsi="宋体" w:eastAsia="宋体" w:cs="宋体"/>
          <w:b/>
          <w:bCs/>
          <w:color w:val="000000"/>
          <w:kern w:val="2"/>
          <w:sz w:val="24"/>
          <w:szCs w:val="24"/>
          <w:lang w:val="en-US" w:eastAsia="zh-CN" w:bidi="ar-SA"/>
        </w:rPr>
      </w:pPr>
    </w:p>
    <w:p w14:paraId="626165BE">
      <w:pPr>
        <w:keepNext/>
        <w:keepLines/>
        <w:widowControl w:val="0"/>
        <w:spacing w:before="260" w:after="260" w:line="360" w:lineRule="auto"/>
        <w:jc w:val="center"/>
        <w:outlineLvl w:val="9"/>
        <w:rPr>
          <w:rFonts w:hint="eastAsia" w:ascii="宋体" w:hAnsi="宋体" w:eastAsia="宋体" w:cs="宋体"/>
          <w:b/>
          <w:bCs/>
          <w:color w:val="000000"/>
          <w:kern w:val="2"/>
          <w:sz w:val="24"/>
          <w:szCs w:val="24"/>
          <w:lang w:val="en-US" w:eastAsia="zh-CN" w:bidi="ar-SA"/>
        </w:rPr>
      </w:pPr>
    </w:p>
    <w:p w14:paraId="0D2738A1">
      <w:pPr>
        <w:rPr>
          <w:rFonts w:hint="eastAsia" w:ascii="宋体" w:hAnsi="宋体" w:eastAsia="宋体" w:cs="宋体"/>
          <w:color w:val="000000"/>
          <w:sz w:val="24"/>
          <w:szCs w:val="24"/>
        </w:rPr>
      </w:pPr>
    </w:p>
    <w:p w14:paraId="54EC1819">
      <w:pPr>
        <w:keepNext/>
        <w:keepLines/>
        <w:widowControl w:val="0"/>
        <w:spacing w:before="280" w:after="290" w:line="376" w:lineRule="auto"/>
        <w:jc w:val="both"/>
        <w:outlineLvl w:val="9"/>
        <w:rPr>
          <w:rFonts w:hint="eastAsia" w:ascii="宋体" w:hAnsi="宋体" w:eastAsia="宋体" w:cs="宋体"/>
          <w:b/>
          <w:bCs/>
          <w:color w:val="000000"/>
          <w:kern w:val="2"/>
          <w:sz w:val="24"/>
          <w:szCs w:val="24"/>
          <w:lang w:val="en-US" w:eastAsia="zh-CN" w:bidi="ar-SA"/>
        </w:rPr>
      </w:pPr>
    </w:p>
    <w:p w14:paraId="0396A591">
      <w:pPr>
        <w:rPr>
          <w:rFonts w:hint="eastAsia" w:ascii="宋体" w:hAnsi="宋体" w:eastAsia="宋体" w:cs="宋体"/>
          <w:color w:val="000000"/>
          <w:sz w:val="24"/>
          <w:szCs w:val="24"/>
        </w:rPr>
      </w:pPr>
    </w:p>
    <w:p w14:paraId="5E7E9228">
      <w:pPr>
        <w:keepNext/>
        <w:keepLines/>
        <w:widowControl w:val="0"/>
        <w:spacing w:before="260" w:after="260" w:line="360" w:lineRule="auto"/>
        <w:jc w:val="center"/>
        <w:outlineLvl w:val="9"/>
        <w:rPr>
          <w:rFonts w:hint="eastAsia" w:ascii="宋体" w:hAnsi="宋体" w:eastAsia="宋体" w:cs="宋体"/>
          <w:b/>
          <w:bCs/>
          <w:color w:val="000000"/>
          <w:kern w:val="2"/>
          <w:sz w:val="24"/>
          <w:szCs w:val="24"/>
          <w:lang w:val="en-US" w:eastAsia="zh-CN" w:bidi="ar-SA"/>
        </w:rPr>
      </w:pPr>
    </w:p>
    <w:p w14:paraId="6587EFB7">
      <w:pPr>
        <w:keepNext/>
        <w:keepLines/>
        <w:widowControl w:val="0"/>
        <w:spacing w:before="260" w:after="260" w:line="360" w:lineRule="auto"/>
        <w:jc w:val="center"/>
        <w:outlineLvl w:val="9"/>
        <w:rPr>
          <w:rFonts w:hint="eastAsia" w:ascii="宋体" w:hAnsi="宋体" w:eastAsia="宋体" w:cs="宋体"/>
          <w:b/>
          <w:bCs/>
          <w:color w:val="000000"/>
          <w:kern w:val="2"/>
          <w:sz w:val="24"/>
          <w:szCs w:val="24"/>
          <w:lang w:val="en-US" w:eastAsia="zh-CN" w:bidi="ar-SA"/>
        </w:rPr>
      </w:pPr>
    </w:p>
    <w:p w14:paraId="49DCEF75">
      <w:pPr>
        <w:rPr>
          <w:rFonts w:hint="eastAsia" w:ascii="宋体" w:hAnsi="宋体" w:eastAsia="宋体" w:cs="宋体"/>
          <w:color w:val="000000"/>
          <w:sz w:val="24"/>
          <w:szCs w:val="24"/>
        </w:rPr>
      </w:pPr>
    </w:p>
    <w:p w14:paraId="2B9224B1">
      <w:pPr>
        <w:keepNext/>
        <w:keepLines/>
        <w:widowControl w:val="0"/>
        <w:spacing w:before="280" w:after="290" w:line="376" w:lineRule="auto"/>
        <w:jc w:val="both"/>
        <w:outlineLvl w:val="9"/>
        <w:rPr>
          <w:rFonts w:hint="eastAsia" w:ascii="宋体" w:hAnsi="宋体" w:eastAsia="宋体" w:cs="宋体"/>
          <w:b/>
          <w:bCs/>
          <w:color w:val="000000"/>
          <w:kern w:val="2"/>
          <w:sz w:val="24"/>
          <w:szCs w:val="24"/>
          <w:lang w:val="en-US" w:eastAsia="zh-CN" w:bidi="ar-SA"/>
        </w:rPr>
      </w:pPr>
    </w:p>
    <w:p w14:paraId="4920533A">
      <w:pPr>
        <w:rPr>
          <w:rFonts w:hint="eastAsia" w:ascii="宋体" w:hAnsi="宋体" w:eastAsia="宋体" w:cs="宋体"/>
          <w:color w:val="000000"/>
          <w:sz w:val="24"/>
          <w:szCs w:val="24"/>
        </w:rPr>
      </w:pPr>
    </w:p>
    <w:p w14:paraId="6B7F2FAC">
      <w:pPr>
        <w:keepNext/>
        <w:keepLines/>
        <w:widowControl w:val="0"/>
        <w:spacing w:before="280" w:after="290" w:line="376" w:lineRule="auto"/>
        <w:jc w:val="both"/>
        <w:outlineLvl w:val="9"/>
        <w:rPr>
          <w:rFonts w:hint="eastAsia" w:ascii="宋体" w:hAnsi="宋体" w:eastAsia="宋体" w:cs="宋体"/>
          <w:b/>
          <w:bCs/>
          <w:color w:val="000000"/>
          <w:kern w:val="2"/>
          <w:sz w:val="24"/>
          <w:szCs w:val="24"/>
          <w:lang w:val="en-US" w:eastAsia="zh-CN" w:bidi="ar-SA"/>
        </w:rPr>
      </w:pPr>
    </w:p>
    <w:p w14:paraId="36486BA3">
      <w:pPr>
        <w:rPr>
          <w:rFonts w:hint="eastAsia" w:ascii="宋体" w:hAnsi="宋体" w:eastAsia="宋体" w:cs="宋体"/>
          <w:color w:val="000000"/>
          <w:sz w:val="24"/>
          <w:szCs w:val="24"/>
        </w:rPr>
      </w:pPr>
    </w:p>
    <w:p w14:paraId="54E76214">
      <w:pPr>
        <w:keepNext/>
        <w:keepLines/>
        <w:widowControl w:val="0"/>
        <w:spacing w:before="260" w:after="260" w:line="360" w:lineRule="auto"/>
        <w:jc w:val="center"/>
        <w:outlineLvl w:val="9"/>
        <w:rPr>
          <w:rFonts w:hint="eastAsia" w:ascii="宋体" w:hAnsi="宋体" w:eastAsia="宋体" w:cs="宋体"/>
          <w:b/>
          <w:bCs/>
          <w:color w:val="000000"/>
          <w:kern w:val="2"/>
          <w:sz w:val="24"/>
          <w:szCs w:val="24"/>
          <w:lang w:val="en-US" w:eastAsia="zh-CN" w:bidi="ar-SA"/>
        </w:rPr>
      </w:pPr>
      <w:bookmarkStart w:id="53" w:name="_Toc23497"/>
    </w:p>
    <w:p w14:paraId="37F3E142">
      <w:pPr>
        <w:rPr>
          <w:rFonts w:hint="eastAsia" w:ascii="宋体" w:hAnsi="宋体" w:eastAsia="宋体" w:cs="宋体"/>
          <w:sz w:val="40"/>
          <w:szCs w:val="40"/>
        </w:rPr>
      </w:pPr>
      <w:r>
        <w:rPr>
          <w:rFonts w:hint="eastAsia" w:ascii="宋体" w:hAnsi="宋体" w:eastAsia="宋体" w:cs="宋体"/>
          <w:sz w:val="24"/>
          <w:szCs w:val="24"/>
        </w:rPr>
        <w:br w:type="page"/>
      </w:r>
    </w:p>
    <w:p w14:paraId="2DF1D5D8">
      <w:pPr>
        <w:pStyle w:val="44"/>
        <w:numPr>
          <w:ilvl w:val="0"/>
          <w:numId w:val="2"/>
        </w:numPr>
        <w:ind w:left="0" w:leftChars="0" w:firstLine="0" w:firstLineChars="0"/>
        <w:outlineLvl w:val="0"/>
        <w:rPr>
          <w:rFonts w:hint="eastAsia" w:ascii="宋体" w:hAnsi="宋体" w:eastAsia="宋体" w:cs="宋体"/>
          <w:b w:val="0"/>
          <w:sz w:val="40"/>
          <w:szCs w:val="40"/>
        </w:rPr>
      </w:pPr>
      <w:r>
        <w:rPr>
          <w:rFonts w:hint="eastAsia" w:ascii="宋体" w:hAnsi="宋体" w:eastAsia="宋体" w:cs="宋体"/>
          <w:sz w:val="40"/>
          <w:szCs w:val="40"/>
        </w:rPr>
        <w:t>图纸</w:t>
      </w:r>
      <w:bookmarkEnd w:id="53"/>
    </w:p>
    <w:p w14:paraId="65FCA8EC">
      <w:pPr>
        <w:pStyle w:val="20"/>
        <w:rPr>
          <w:rFonts w:hint="eastAsia" w:ascii="宋体" w:hAnsi="宋体" w:eastAsia="宋体" w:cs="宋体"/>
          <w:sz w:val="40"/>
          <w:szCs w:val="40"/>
        </w:rPr>
      </w:pPr>
      <w:r>
        <w:rPr>
          <w:rFonts w:hint="eastAsia" w:ascii="宋体" w:hAnsi="宋体" w:eastAsia="宋体" w:cs="宋体"/>
          <w:sz w:val="40"/>
          <w:szCs w:val="40"/>
        </w:rPr>
        <w:t>(由潜在供应商登陆政采云平台自行下载)</w:t>
      </w:r>
    </w:p>
    <w:p w14:paraId="5545EE45">
      <w:pPr>
        <w:spacing w:line="360" w:lineRule="auto"/>
        <w:jc w:val="center"/>
        <w:rPr>
          <w:rFonts w:hint="eastAsia" w:ascii="宋体" w:hAnsi="宋体" w:eastAsia="宋体" w:cs="宋体"/>
          <w:b/>
          <w:color w:val="000000"/>
          <w:sz w:val="24"/>
          <w:szCs w:val="24"/>
        </w:rPr>
      </w:pPr>
    </w:p>
    <w:p w14:paraId="29129976">
      <w:pPr>
        <w:spacing w:line="360" w:lineRule="auto"/>
        <w:jc w:val="center"/>
        <w:rPr>
          <w:rFonts w:hint="eastAsia" w:ascii="宋体" w:hAnsi="宋体" w:eastAsia="宋体" w:cs="宋体"/>
          <w:b/>
          <w:color w:val="000000"/>
          <w:sz w:val="24"/>
          <w:szCs w:val="24"/>
        </w:rPr>
      </w:pPr>
    </w:p>
    <w:p w14:paraId="3279B310">
      <w:pPr>
        <w:spacing w:line="360" w:lineRule="auto"/>
        <w:jc w:val="center"/>
        <w:rPr>
          <w:rFonts w:hint="eastAsia" w:ascii="宋体" w:hAnsi="宋体" w:eastAsia="宋体" w:cs="宋体"/>
          <w:b/>
          <w:color w:val="000000"/>
          <w:sz w:val="24"/>
          <w:szCs w:val="24"/>
        </w:rPr>
      </w:pPr>
    </w:p>
    <w:p w14:paraId="38907C38">
      <w:pPr>
        <w:spacing w:line="360" w:lineRule="auto"/>
        <w:jc w:val="center"/>
        <w:rPr>
          <w:rFonts w:hint="eastAsia" w:ascii="宋体" w:hAnsi="宋体" w:eastAsia="宋体" w:cs="宋体"/>
          <w:b/>
          <w:color w:val="000000"/>
          <w:sz w:val="24"/>
          <w:szCs w:val="24"/>
        </w:rPr>
      </w:pPr>
    </w:p>
    <w:p w14:paraId="78297828">
      <w:pPr>
        <w:spacing w:line="360" w:lineRule="auto"/>
        <w:jc w:val="center"/>
        <w:rPr>
          <w:rFonts w:hint="eastAsia" w:ascii="宋体" w:hAnsi="宋体" w:eastAsia="宋体" w:cs="宋体"/>
          <w:b/>
          <w:color w:val="000000"/>
          <w:sz w:val="24"/>
          <w:szCs w:val="24"/>
        </w:rPr>
      </w:pPr>
    </w:p>
    <w:p w14:paraId="7D63D116">
      <w:pPr>
        <w:spacing w:line="360" w:lineRule="auto"/>
        <w:jc w:val="center"/>
        <w:rPr>
          <w:rFonts w:hint="eastAsia" w:ascii="宋体" w:hAnsi="宋体" w:eastAsia="宋体" w:cs="宋体"/>
          <w:b/>
          <w:color w:val="000000"/>
          <w:sz w:val="24"/>
          <w:szCs w:val="24"/>
        </w:rPr>
      </w:pPr>
    </w:p>
    <w:p w14:paraId="3E064D36">
      <w:pPr>
        <w:spacing w:line="360" w:lineRule="auto"/>
        <w:jc w:val="center"/>
        <w:rPr>
          <w:rFonts w:hint="eastAsia" w:ascii="宋体" w:hAnsi="宋体" w:eastAsia="宋体" w:cs="宋体"/>
          <w:b/>
          <w:color w:val="000000"/>
          <w:sz w:val="24"/>
          <w:szCs w:val="24"/>
        </w:rPr>
      </w:pPr>
    </w:p>
    <w:p w14:paraId="688876CF">
      <w:pPr>
        <w:spacing w:line="360" w:lineRule="auto"/>
        <w:jc w:val="center"/>
        <w:rPr>
          <w:rFonts w:hint="eastAsia" w:ascii="宋体" w:hAnsi="宋体" w:eastAsia="宋体" w:cs="宋体"/>
          <w:b/>
          <w:color w:val="000000"/>
          <w:sz w:val="24"/>
          <w:szCs w:val="24"/>
        </w:rPr>
      </w:pPr>
    </w:p>
    <w:p w14:paraId="2AE25913">
      <w:pPr>
        <w:spacing w:line="360" w:lineRule="auto"/>
        <w:jc w:val="center"/>
        <w:rPr>
          <w:rFonts w:hint="eastAsia" w:ascii="宋体" w:hAnsi="宋体" w:eastAsia="宋体" w:cs="宋体"/>
          <w:b/>
          <w:color w:val="000000"/>
          <w:sz w:val="24"/>
          <w:szCs w:val="24"/>
        </w:rPr>
      </w:pPr>
    </w:p>
    <w:p w14:paraId="61FBD7E4">
      <w:pPr>
        <w:spacing w:line="360" w:lineRule="auto"/>
        <w:rPr>
          <w:rFonts w:hint="eastAsia" w:ascii="宋体" w:hAnsi="宋体" w:eastAsia="宋体" w:cs="宋体"/>
          <w:color w:val="000000"/>
          <w:sz w:val="24"/>
          <w:szCs w:val="24"/>
        </w:rPr>
      </w:pPr>
    </w:p>
    <w:p w14:paraId="2133740C">
      <w:pPr>
        <w:rPr>
          <w:rFonts w:hint="eastAsia" w:ascii="宋体" w:hAnsi="宋体" w:eastAsia="宋体" w:cs="宋体"/>
          <w:sz w:val="32"/>
          <w:szCs w:val="32"/>
        </w:rPr>
      </w:pPr>
      <w:bookmarkStart w:id="54" w:name="_Toc9750"/>
      <w:r>
        <w:rPr>
          <w:rFonts w:hint="eastAsia" w:ascii="宋体" w:hAnsi="宋体" w:eastAsia="宋体" w:cs="宋体"/>
          <w:sz w:val="32"/>
          <w:szCs w:val="32"/>
        </w:rPr>
        <w:br w:type="page"/>
      </w:r>
    </w:p>
    <w:p w14:paraId="7E1E6A96">
      <w:pPr>
        <w:pStyle w:val="44"/>
        <w:numPr>
          <w:ilvl w:val="0"/>
          <w:numId w:val="2"/>
        </w:numPr>
        <w:ind w:left="0" w:leftChars="0" w:firstLine="0" w:firstLineChars="0"/>
        <w:outlineLvl w:val="0"/>
        <w:rPr>
          <w:rFonts w:hint="eastAsia" w:ascii="宋体" w:hAnsi="宋体" w:eastAsia="宋体" w:cs="宋体"/>
          <w:b/>
          <w:bCs/>
          <w:sz w:val="52"/>
          <w:szCs w:val="52"/>
        </w:rPr>
      </w:pPr>
      <w:r>
        <w:rPr>
          <w:rFonts w:hint="eastAsia" w:ascii="宋体" w:hAnsi="宋体" w:eastAsia="宋体" w:cs="宋体"/>
          <w:b/>
          <w:bCs/>
          <w:sz w:val="52"/>
          <w:szCs w:val="52"/>
        </w:rPr>
        <w:t>技术标准和要求</w:t>
      </w:r>
      <w:bookmarkEnd w:id="54"/>
    </w:p>
    <w:p w14:paraId="6BDBA985">
      <w:pPr>
        <w:rPr>
          <w:rFonts w:hint="eastAsia"/>
        </w:rPr>
      </w:pPr>
    </w:p>
    <w:p w14:paraId="1C4C83EC">
      <w:pPr>
        <w:pStyle w:val="4"/>
        <w:rPr>
          <w:rFonts w:hint="eastAsia" w:ascii="宋体" w:hAnsi="宋体" w:eastAsia="宋体" w:cs="宋体"/>
          <w:color w:val="000000"/>
          <w:sz w:val="28"/>
          <w:szCs w:val="28"/>
        </w:rPr>
      </w:pPr>
      <w:r>
        <w:rPr>
          <w:rFonts w:hint="eastAsia" w:ascii="宋体" w:hAnsi="宋体" w:eastAsia="宋体" w:cs="宋体"/>
          <w:b/>
          <w:color w:val="000000"/>
          <w:sz w:val="28"/>
          <w:szCs w:val="28"/>
        </w:rPr>
        <w:t>本章由采购人根据国家行业及地方现行标准、规范和规程等，以及项目具体情况摘录。</w:t>
      </w:r>
    </w:p>
    <w:p w14:paraId="33C48D6E">
      <w:pPr>
        <w:spacing w:line="360" w:lineRule="auto"/>
        <w:jc w:val="center"/>
        <w:rPr>
          <w:rFonts w:hint="eastAsia" w:ascii="宋体" w:hAnsi="宋体" w:eastAsia="宋体" w:cs="宋体"/>
          <w:b/>
          <w:color w:val="000000"/>
          <w:sz w:val="28"/>
          <w:szCs w:val="28"/>
        </w:rPr>
      </w:pPr>
    </w:p>
    <w:p w14:paraId="55A70B2B">
      <w:pPr>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现行国家有关工程施工验收规范和标准要求</w:t>
      </w:r>
    </w:p>
    <w:p w14:paraId="2EEFC6A5">
      <w:pPr>
        <w:spacing w:line="360" w:lineRule="auto"/>
        <w:jc w:val="center"/>
        <w:rPr>
          <w:rFonts w:hint="eastAsia" w:ascii="宋体" w:hAnsi="宋体" w:eastAsia="宋体" w:cs="宋体"/>
          <w:b/>
          <w:color w:val="000000"/>
          <w:sz w:val="24"/>
          <w:szCs w:val="24"/>
        </w:rPr>
      </w:pPr>
    </w:p>
    <w:p w14:paraId="36A83032">
      <w:pPr>
        <w:spacing w:line="360" w:lineRule="auto"/>
        <w:jc w:val="center"/>
        <w:rPr>
          <w:rFonts w:hint="eastAsia" w:ascii="宋体" w:hAnsi="宋体" w:eastAsia="宋体" w:cs="宋体"/>
          <w:b/>
          <w:color w:val="000000"/>
          <w:sz w:val="24"/>
          <w:szCs w:val="24"/>
        </w:rPr>
      </w:pPr>
    </w:p>
    <w:p w14:paraId="106DFA8D">
      <w:pPr>
        <w:spacing w:line="360" w:lineRule="auto"/>
        <w:jc w:val="center"/>
        <w:rPr>
          <w:rFonts w:hint="eastAsia" w:ascii="宋体" w:hAnsi="宋体" w:eastAsia="宋体" w:cs="宋体"/>
          <w:b/>
          <w:color w:val="000000"/>
          <w:sz w:val="24"/>
          <w:szCs w:val="24"/>
        </w:rPr>
      </w:pPr>
    </w:p>
    <w:p w14:paraId="2952E620">
      <w:pPr>
        <w:spacing w:line="360" w:lineRule="auto"/>
        <w:jc w:val="center"/>
        <w:rPr>
          <w:rFonts w:hint="eastAsia" w:ascii="宋体" w:hAnsi="宋体" w:eastAsia="宋体" w:cs="宋体"/>
          <w:b/>
          <w:color w:val="000000"/>
          <w:sz w:val="24"/>
          <w:szCs w:val="24"/>
        </w:rPr>
      </w:pPr>
    </w:p>
    <w:p w14:paraId="1B0B365F">
      <w:pPr>
        <w:spacing w:line="360" w:lineRule="auto"/>
        <w:jc w:val="center"/>
        <w:rPr>
          <w:rFonts w:hint="eastAsia" w:ascii="宋体" w:hAnsi="宋体" w:eastAsia="宋体" w:cs="宋体"/>
          <w:b/>
          <w:color w:val="000000"/>
          <w:sz w:val="24"/>
          <w:szCs w:val="24"/>
        </w:rPr>
      </w:pPr>
    </w:p>
    <w:p w14:paraId="4FB89013">
      <w:pPr>
        <w:spacing w:line="360" w:lineRule="auto"/>
        <w:jc w:val="center"/>
        <w:rPr>
          <w:rFonts w:hint="eastAsia" w:ascii="宋体" w:hAnsi="宋体" w:eastAsia="宋体" w:cs="宋体"/>
          <w:b/>
          <w:color w:val="000000"/>
          <w:sz w:val="24"/>
          <w:szCs w:val="24"/>
        </w:rPr>
      </w:pPr>
    </w:p>
    <w:p w14:paraId="696EC58E">
      <w:pPr>
        <w:spacing w:line="360" w:lineRule="auto"/>
        <w:jc w:val="center"/>
        <w:rPr>
          <w:rFonts w:hint="eastAsia" w:ascii="宋体" w:hAnsi="宋体" w:eastAsia="宋体" w:cs="宋体"/>
          <w:b/>
          <w:color w:val="000000"/>
          <w:sz w:val="24"/>
          <w:szCs w:val="24"/>
        </w:rPr>
      </w:pPr>
    </w:p>
    <w:p w14:paraId="0C3DA742">
      <w:pPr>
        <w:spacing w:line="360" w:lineRule="auto"/>
        <w:jc w:val="center"/>
        <w:rPr>
          <w:rFonts w:hint="eastAsia" w:ascii="宋体" w:hAnsi="宋体" w:eastAsia="宋体" w:cs="宋体"/>
          <w:b/>
          <w:color w:val="000000"/>
          <w:sz w:val="24"/>
          <w:szCs w:val="24"/>
        </w:rPr>
      </w:pPr>
    </w:p>
    <w:p w14:paraId="53BEE707">
      <w:pPr>
        <w:spacing w:line="360" w:lineRule="auto"/>
        <w:jc w:val="center"/>
        <w:rPr>
          <w:rFonts w:hint="eastAsia" w:ascii="宋体" w:hAnsi="宋体" w:eastAsia="宋体" w:cs="宋体"/>
          <w:b/>
          <w:color w:val="000000"/>
          <w:sz w:val="24"/>
          <w:szCs w:val="24"/>
        </w:rPr>
      </w:pPr>
    </w:p>
    <w:p w14:paraId="1FE63188">
      <w:pPr>
        <w:spacing w:before="120" w:beforeLines="50" w:after="120" w:afterLines="50" w:line="360" w:lineRule="auto"/>
        <w:ind w:firstLine="482" w:firstLineChars="200"/>
        <w:rPr>
          <w:rFonts w:hint="eastAsia" w:ascii="宋体" w:hAnsi="宋体" w:eastAsia="宋体" w:cs="宋体"/>
          <w:b/>
          <w:color w:val="000000"/>
          <w:sz w:val="24"/>
          <w:szCs w:val="24"/>
        </w:rPr>
      </w:pPr>
    </w:p>
    <w:p w14:paraId="57CDEBE8">
      <w:pPr>
        <w:spacing w:before="120" w:beforeLines="50" w:after="120" w:afterLines="50"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br w:type="page"/>
      </w:r>
    </w:p>
    <w:p w14:paraId="7FDED429">
      <w:pPr>
        <w:spacing w:line="360" w:lineRule="auto"/>
        <w:jc w:val="center"/>
        <w:rPr>
          <w:rFonts w:hint="eastAsia" w:ascii="宋体" w:hAnsi="宋体" w:eastAsia="宋体" w:cs="宋体"/>
          <w:color w:val="000000"/>
          <w:sz w:val="24"/>
          <w:szCs w:val="24"/>
        </w:rPr>
      </w:pPr>
    </w:p>
    <w:p w14:paraId="2E046B01">
      <w:pPr>
        <w:spacing w:line="360" w:lineRule="auto"/>
        <w:jc w:val="center"/>
        <w:rPr>
          <w:rFonts w:hint="eastAsia" w:ascii="宋体" w:hAnsi="宋体" w:eastAsia="宋体" w:cs="宋体"/>
          <w:color w:val="000000"/>
          <w:sz w:val="24"/>
          <w:szCs w:val="24"/>
        </w:rPr>
      </w:pPr>
    </w:p>
    <w:p w14:paraId="0F3E61BE">
      <w:pPr>
        <w:spacing w:line="360" w:lineRule="auto"/>
        <w:jc w:val="center"/>
        <w:rPr>
          <w:rFonts w:hint="eastAsia" w:ascii="宋体" w:hAnsi="宋体" w:eastAsia="宋体" w:cs="宋体"/>
          <w:color w:val="000000"/>
          <w:sz w:val="24"/>
          <w:szCs w:val="24"/>
        </w:rPr>
      </w:pPr>
    </w:p>
    <w:p w14:paraId="0BCDD8E9">
      <w:pPr>
        <w:spacing w:line="360" w:lineRule="auto"/>
        <w:jc w:val="center"/>
        <w:rPr>
          <w:rFonts w:hint="eastAsia" w:ascii="宋体" w:hAnsi="宋体" w:eastAsia="宋体" w:cs="宋体"/>
          <w:color w:val="000000"/>
          <w:sz w:val="24"/>
          <w:szCs w:val="24"/>
        </w:rPr>
      </w:pPr>
    </w:p>
    <w:p w14:paraId="1D04A11F">
      <w:pPr>
        <w:spacing w:line="360" w:lineRule="auto"/>
        <w:jc w:val="center"/>
        <w:rPr>
          <w:rFonts w:hint="eastAsia" w:ascii="宋体" w:hAnsi="宋体" w:eastAsia="宋体" w:cs="宋体"/>
          <w:color w:val="000000"/>
          <w:sz w:val="24"/>
          <w:szCs w:val="24"/>
        </w:rPr>
      </w:pPr>
    </w:p>
    <w:p w14:paraId="523488CE">
      <w:pPr>
        <w:spacing w:line="360" w:lineRule="auto"/>
        <w:jc w:val="center"/>
        <w:rPr>
          <w:rFonts w:hint="eastAsia" w:ascii="宋体" w:hAnsi="宋体" w:eastAsia="宋体" w:cs="宋体"/>
          <w:color w:val="000000"/>
          <w:sz w:val="24"/>
          <w:szCs w:val="24"/>
        </w:rPr>
      </w:pPr>
    </w:p>
    <w:p w14:paraId="20B544A9">
      <w:pPr>
        <w:spacing w:line="360" w:lineRule="auto"/>
        <w:jc w:val="center"/>
        <w:rPr>
          <w:rFonts w:hint="eastAsia" w:ascii="宋体" w:hAnsi="宋体" w:eastAsia="宋体" w:cs="宋体"/>
          <w:color w:val="000000"/>
          <w:sz w:val="24"/>
          <w:szCs w:val="24"/>
        </w:rPr>
      </w:pPr>
    </w:p>
    <w:p w14:paraId="07A4D104">
      <w:pPr>
        <w:spacing w:line="360" w:lineRule="auto"/>
        <w:jc w:val="center"/>
        <w:rPr>
          <w:rFonts w:hint="eastAsia" w:ascii="宋体" w:hAnsi="宋体" w:eastAsia="宋体" w:cs="宋体"/>
          <w:color w:val="000000"/>
          <w:sz w:val="24"/>
          <w:szCs w:val="24"/>
        </w:rPr>
      </w:pPr>
    </w:p>
    <w:p w14:paraId="1777B4EB">
      <w:pPr>
        <w:spacing w:line="360" w:lineRule="auto"/>
        <w:jc w:val="center"/>
        <w:rPr>
          <w:rFonts w:hint="eastAsia" w:ascii="宋体" w:hAnsi="宋体" w:eastAsia="宋体" w:cs="宋体"/>
          <w:color w:val="000000"/>
          <w:sz w:val="24"/>
          <w:szCs w:val="24"/>
        </w:rPr>
      </w:pPr>
    </w:p>
    <w:p w14:paraId="6E6380DC">
      <w:pPr>
        <w:spacing w:line="360" w:lineRule="auto"/>
        <w:jc w:val="center"/>
        <w:rPr>
          <w:rFonts w:hint="eastAsia" w:ascii="宋体" w:hAnsi="宋体" w:eastAsia="宋体" w:cs="宋体"/>
          <w:color w:val="000000"/>
          <w:sz w:val="24"/>
          <w:szCs w:val="24"/>
        </w:rPr>
      </w:pPr>
    </w:p>
    <w:p w14:paraId="22299ACD">
      <w:pPr>
        <w:spacing w:line="360" w:lineRule="auto"/>
        <w:jc w:val="center"/>
        <w:rPr>
          <w:rFonts w:hint="eastAsia" w:ascii="宋体" w:hAnsi="宋体" w:eastAsia="宋体" w:cs="宋体"/>
          <w:color w:val="000000"/>
          <w:sz w:val="24"/>
          <w:szCs w:val="24"/>
        </w:rPr>
      </w:pPr>
    </w:p>
    <w:p w14:paraId="76BAAAAD">
      <w:pPr>
        <w:spacing w:line="360" w:lineRule="auto"/>
        <w:jc w:val="center"/>
        <w:rPr>
          <w:rFonts w:hint="eastAsia" w:ascii="宋体" w:hAnsi="宋体" w:eastAsia="宋体" w:cs="宋体"/>
          <w:color w:val="000000"/>
          <w:sz w:val="24"/>
          <w:szCs w:val="24"/>
        </w:rPr>
      </w:pPr>
    </w:p>
    <w:p w14:paraId="538CE30B">
      <w:pPr>
        <w:pStyle w:val="44"/>
        <w:numPr>
          <w:ilvl w:val="0"/>
          <w:numId w:val="2"/>
        </w:numPr>
        <w:ind w:left="0" w:leftChars="0" w:firstLine="0" w:firstLineChars="0"/>
        <w:outlineLvl w:val="0"/>
        <w:rPr>
          <w:rFonts w:hint="eastAsia" w:ascii="宋体" w:hAnsi="宋体" w:eastAsia="宋体" w:cs="宋体"/>
          <w:b w:val="0"/>
          <w:sz w:val="36"/>
          <w:szCs w:val="36"/>
        </w:rPr>
      </w:pPr>
      <w:bookmarkStart w:id="55" w:name="_Toc1701"/>
      <w:r>
        <w:rPr>
          <w:rFonts w:hint="eastAsia" w:ascii="宋体" w:hAnsi="宋体" w:eastAsia="宋体" w:cs="宋体"/>
          <w:sz w:val="36"/>
          <w:szCs w:val="36"/>
        </w:rPr>
        <w:t>响应文件格式</w:t>
      </w:r>
      <w:bookmarkEnd w:id="55"/>
    </w:p>
    <w:p w14:paraId="19B1D16B">
      <w:pPr>
        <w:spacing w:line="360" w:lineRule="auto"/>
        <w:jc w:val="center"/>
        <w:rPr>
          <w:rFonts w:hint="eastAsia" w:ascii="宋体" w:hAnsi="宋体" w:eastAsia="宋体" w:cs="宋体"/>
          <w:b/>
          <w:color w:val="000000"/>
          <w:sz w:val="24"/>
          <w:szCs w:val="24"/>
        </w:rPr>
      </w:pPr>
    </w:p>
    <w:p w14:paraId="062934B4">
      <w:pPr>
        <w:spacing w:line="360" w:lineRule="auto"/>
        <w:jc w:val="center"/>
        <w:rPr>
          <w:rFonts w:hint="eastAsia" w:ascii="宋体" w:hAnsi="宋体" w:eastAsia="宋体" w:cs="宋体"/>
          <w:b/>
          <w:color w:val="000000"/>
          <w:sz w:val="24"/>
          <w:szCs w:val="24"/>
        </w:rPr>
      </w:pPr>
    </w:p>
    <w:p w14:paraId="788B47B3">
      <w:pPr>
        <w:spacing w:line="360" w:lineRule="auto"/>
        <w:jc w:val="center"/>
        <w:rPr>
          <w:rFonts w:hint="eastAsia" w:ascii="宋体" w:hAnsi="宋体" w:eastAsia="宋体" w:cs="宋体"/>
          <w:b/>
          <w:color w:val="000000"/>
          <w:sz w:val="24"/>
          <w:szCs w:val="24"/>
        </w:rPr>
      </w:pPr>
    </w:p>
    <w:p w14:paraId="6FE628FA">
      <w:pPr>
        <w:spacing w:line="360" w:lineRule="auto"/>
        <w:jc w:val="center"/>
        <w:rPr>
          <w:rFonts w:hint="eastAsia" w:ascii="宋体" w:hAnsi="宋体" w:eastAsia="宋体" w:cs="宋体"/>
          <w:b/>
          <w:color w:val="000000"/>
          <w:sz w:val="24"/>
          <w:szCs w:val="24"/>
        </w:rPr>
      </w:pPr>
    </w:p>
    <w:p w14:paraId="589A5E43">
      <w:pPr>
        <w:spacing w:line="360" w:lineRule="auto"/>
        <w:jc w:val="center"/>
        <w:rPr>
          <w:rFonts w:hint="eastAsia" w:ascii="宋体" w:hAnsi="宋体" w:eastAsia="宋体" w:cs="宋体"/>
          <w:b/>
          <w:color w:val="000000"/>
          <w:sz w:val="24"/>
          <w:szCs w:val="24"/>
        </w:rPr>
      </w:pPr>
    </w:p>
    <w:p w14:paraId="44FD0107">
      <w:pPr>
        <w:spacing w:line="360" w:lineRule="auto"/>
        <w:jc w:val="center"/>
        <w:rPr>
          <w:rFonts w:hint="eastAsia" w:ascii="宋体" w:hAnsi="宋体" w:eastAsia="宋体" w:cs="宋体"/>
          <w:b/>
          <w:color w:val="000000"/>
          <w:sz w:val="24"/>
          <w:szCs w:val="24"/>
        </w:rPr>
      </w:pPr>
    </w:p>
    <w:p w14:paraId="5843D4EB">
      <w:pPr>
        <w:spacing w:line="360" w:lineRule="auto"/>
        <w:jc w:val="center"/>
        <w:rPr>
          <w:rFonts w:hint="eastAsia" w:ascii="宋体" w:hAnsi="宋体" w:eastAsia="宋体" w:cs="宋体"/>
          <w:b/>
          <w:color w:val="000000"/>
          <w:sz w:val="24"/>
          <w:szCs w:val="24"/>
        </w:rPr>
      </w:pPr>
    </w:p>
    <w:p w14:paraId="0E92994A">
      <w:pPr>
        <w:spacing w:line="360" w:lineRule="auto"/>
        <w:jc w:val="center"/>
        <w:rPr>
          <w:rFonts w:hint="eastAsia" w:ascii="宋体" w:hAnsi="宋体" w:eastAsia="宋体" w:cs="宋体"/>
          <w:b/>
          <w:color w:val="000000"/>
          <w:sz w:val="24"/>
          <w:szCs w:val="24"/>
        </w:rPr>
      </w:pPr>
    </w:p>
    <w:p w14:paraId="68A15C1F">
      <w:pPr>
        <w:spacing w:line="360" w:lineRule="auto"/>
        <w:jc w:val="center"/>
        <w:rPr>
          <w:rFonts w:hint="eastAsia" w:ascii="宋体" w:hAnsi="宋体" w:eastAsia="宋体" w:cs="宋体"/>
          <w:b/>
          <w:color w:val="000000"/>
          <w:sz w:val="24"/>
          <w:szCs w:val="24"/>
        </w:rPr>
      </w:pPr>
    </w:p>
    <w:p w14:paraId="30D0FF52">
      <w:pPr>
        <w:spacing w:line="360" w:lineRule="auto"/>
        <w:jc w:val="center"/>
        <w:rPr>
          <w:rFonts w:hint="eastAsia" w:ascii="宋体" w:hAnsi="宋体" w:eastAsia="宋体" w:cs="宋体"/>
          <w:b/>
          <w:color w:val="000000"/>
          <w:sz w:val="24"/>
          <w:szCs w:val="24"/>
        </w:rPr>
      </w:pPr>
    </w:p>
    <w:p w14:paraId="36784A01">
      <w:pPr>
        <w:spacing w:line="360" w:lineRule="auto"/>
        <w:jc w:val="center"/>
        <w:rPr>
          <w:rFonts w:hint="eastAsia" w:ascii="宋体" w:hAnsi="宋体" w:eastAsia="宋体" w:cs="宋体"/>
          <w:b/>
          <w:color w:val="000000"/>
          <w:sz w:val="24"/>
          <w:szCs w:val="24"/>
        </w:rPr>
      </w:pPr>
    </w:p>
    <w:p w14:paraId="729134CA">
      <w:pPr>
        <w:spacing w:line="360" w:lineRule="auto"/>
        <w:rPr>
          <w:rFonts w:hint="eastAsia" w:ascii="宋体" w:hAnsi="宋体" w:eastAsia="宋体" w:cs="宋体"/>
          <w:b/>
          <w:color w:val="000000"/>
          <w:sz w:val="32"/>
          <w:szCs w:val="32"/>
        </w:rPr>
      </w:pPr>
      <w:r>
        <w:rPr>
          <w:rFonts w:hint="eastAsia" w:ascii="宋体" w:hAnsi="宋体" w:eastAsia="宋体" w:cs="宋体"/>
          <w:b/>
          <w:color w:val="000000"/>
          <w:sz w:val="24"/>
          <w:szCs w:val="24"/>
        </w:rPr>
        <w:br w:type="page"/>
      </w:r>
      <w:r>
        <w:rPr>
          <w:rFonts w:hint="eastAsia" w:ascii="宋体" w:hAnsi="宋体" w:eastAsia="宋体" w:cs="宋体"/>
          <w:b/>
          <w:color w:val="000000"/>
          <w:sz w:val="32"/>
          <w:szCs w:val="32"/>
        </w:rPr>
        <w:t>所有响应文件封面格式</w:t>
      </w:r>
    </w:p>
    <w:p w14:paraId="7A09D79F">
      <w:pPr>
        <w:spacing w:line="360" w:lineRule="auto"/>
        <w:jc w:val="center"/>
        <w:rPr>
          <w:rFonts w:hint="eastAsia" w:ascii="宋体" w:hAnsi="宋体" w:eastAsia="宋体" w:cs="宋体"/>
          <w:b/>
          <w:color w:val="000000"/>
          <w:sz w:val="32"/>
          <w:szCs w:val="32"/>
        </w:rPr>
      </w:pPr>
    </w:p>
    <w:p w14:paraId="6A8EC05F">
      <w:pPr>
        <w:spacing w:line="360" w:lineRule="auto"/>
        <w:jc w:val="center"/>
        <w:rPr>
          <w:rFonts w:hint="eastAsia" w:ascii="宋体" w:hAnsi="宋体" w:eastAsia="宋体" w:cs="宋体"/>
          <w:b/>
          <w:color w:val="000000"/>
          <w:sz w:val="32"/>
          <w:szCs w:val="32"/>
        </w:rPr>
      </w:pPr>
    </w:p>
    <w:p w14:paraId="40438E03">
      <w:pPr>
        <w:spacing w:line="360" w:lineRule="auto"/>
        <w:jc w:val="center"/>
        <w:rPr>
          <w:rFonts w:hint="eastAsia" w:ascii="宋体" w:hAnsi="宋体" w:eastAsia="宋体" w:cs="宋体"/>
          <w:b/>
          <w:color w:val="000000"/>
          <w:sz w:val="40"/>
          <w:szCs w:val="40"/>
        </w:rPr>
      </w:pPr>
      <w:r>
        <w:rPr>
          <w:rFonts w:hint="eastAsia" w:ascii="宋体" w:hAnsi="宋体" w:eastAsia="宋体" w:cs="宋体"/>
          <w:b/>
          <w:color w:val="000000"/>
          <w:sz w:val="40"/>
          <w:szCs w:val="40"/>
        </w:rPr>
        <w:t>响 应 文 件</w:t>
      </w:r>
    </w:p>
    <w:p w14:paraId="09E6BCC6">
      <w:pPr>
        <w:spacing w:line="360" w:lineRule="auto"/>
        <w:jc w:val="center"/>
        <w:rPr>
          <w:rFonts w:hint="eastAsia" w:ascii="宋体" w:hAnsi="宋体" w:eastAsia="宋体" w:cs="宋体"/>
          <w:color w:val="000000"/>
          <w:sz w:val="24"/>
          <w:szCs w:val="24"/>
        </w:rPr>
      </w:pPr>
    </w:p>
    <w:p w14:paraId="3C040AD5">
      <w:pPr>
        <w:spacing w:line="360" w:lineRule="auto"/>
        <w:jc w:val="center"/>
        <w:rPr>
          <w:rFonts w:hint="eastAsia" w:ascii="宋体" w:hAnsi="宋体" w:eastAsia="宋体" w:cs="宋体"/>
          <w:color w:val="000000"/>
          <w:sz w:val="24"/>
          <w:szCs w:val="24"/>
        </w:rPr>
      </w:pPr>
    </w:p>
    <w:p w14:paraId="565D5CF2">
      <w:pPr>
        <w:spacing w:line="360" w:lineRule="auto"/>
        <w:jc w:val="center"/>
        <w:rPr>
          <w:rFonts w:hint="eastAsia" w:ascii="宋体" w:hAnsi="宋体" w:eastAsia="宋体" w:cs="宋体"/>
          <w:color w:val="000000"/>
          <w:sz w:val="24"/>
          <w:szCs w:val="24"/>
        </w:rPr>
      </w:pPr>
    </w:p>
    <w:p w14:paraId="5A50EE38">
      <w:pPr>
        <w:spacing w:line="360" w:lineRule="auto"/>
        <w:jc w:val="center"/>
        <w:rPr>
          <w:rFonts w:hint="eastAsia" w:ascii="宋体" w:hAnsi="宋体" w:eastAsia="宋体" w:cs="宋体"/>
          <w:color w:val="000000"/>
          <w:sz w:val="24"/>
          <w:szCs w:val="24"/>
        </w:rPr>
      </w:pPr>
    </w:p>
    <w:p w14:paraId="5AC362E2">
      <w:pPr>
        <w:spacing w:line="360" w:lineRule="auto"/>
        <w:jc w:val="center"/>
        <w:rPr>
          <w:rFonts w:hint="eastAsia" w:ascii="宋体" w:hAnsi="宋体" w:eastAsia="宋体" w:cs="宋体"/>
          <w:color w:val="000000"/>
          <w:sz w:val="24"/>
          <w:szCs w:val="24"/>
        </w:rPr>
      </w:pPr>
    </w:p>
    <w:p w14:paraId="3C0667B4">
      <w:pPr>
        <w:spacing w:line="360" w:lineRule="auto"/>
        <w:jc w:val="center"/>
        <w:rPr>
          <w:rFonts w:hint="eastAsia" w:ascii="宋体" w:hAnsi="宋体" w:eastAsia="宋体" w:cs="宋体"/>
          <w:color w:val="000000"/>
          <w:sz w:val="24"/>
          <w:szCs w:val="24"/>
        </w:rPr>
      </w:pPr>
    </w:p>
    <w:p w14:paraId="34B6075D">
      <w:pPr>
        <w:spacing w:line="360" w:lineRule="auto"/>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竞争性磋商项目编号：</w:t>
      </w:r>
      <w:r>
        <w:rPr>
          <w:rFonts w:hint="eastAsia" w:ascii="宋体" w:hAnsi="宋体" w:eastAsia="宋体" w:cs="宋体"/>
          <w:color w:val="000000"/>
          <w:sz w:val="24"/>
          <w:szCs w:val="24"/>
          <w:u w:val="single"/>
        </w:rPr>
        <w:t xml:space="preserve">                       </w:t>
      </w:r>
    </w:p>
    <w:p w14:paraId="64F30B76">
      <w:pPr>
        <w:tabs>
          <w:tab w:val="left" w:pos="3240"/>
        </w:tabs>
        <w:spacing w:line="360" w:lineRule="auto"/>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竞争性磋商项目名称：</w:t>
      </w:r>
      <w:r>
        <w:rPr>
          <w:rFonts w:hint="eastAsia" w:ascii="宋体" w:hAnsi="宋体" w:eastAsia="宋体" w:cs="宋体"/>
          <w:color w:val="000000"/>
          <w:sz w:val="24"/>
          <w:szCs w:val="24"/>
          <w:u w:val="single"/>
        </w:rPr>
        <w:t xml:space="preserve">                       </w:t>
      </w:r>
    </w:p>
    <w:p w14:paraId="1808637D">
      <w:pPr>
        <w:tabs>
          <w:tab w:val="left" w:pos="3240"/>
        </w:tabs>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响应文件名称：资格审查文件、商务文件、技术文件</w:t>
      </w:r>
    </w:p>
    <w:p w14:paraId="4EEC9072">
      <w:pPr>
        <w:tabs>
          <w:tab w:val="left" w:pos="3240"/>
        </w:tabs>
        <w:spacing w:line="360" w:lineRule="auto"/>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lang w:eastAsia="zh-CN"/>
        </w:rPr>
        <w:t>分</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标</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u w:val="single"/>
        </w:rPr>
        <w:t xml:space="preserve">                    </w:t>
      </w:r>
    </w:p>
    <w:p w14:paraId="42C50EF4">
      <w:pPr>
        <w:tabs>
          <w:tab w:val="left" w:pos="3240"/>
        </w:tabs>
        <w:spacing w:line="360" w:lineRule="auto"/>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w:t>
      </w:r>
      <w:r>
        <w:rPr>
          <w:rFonts w:hint="eastAsia" w:ascii="宋体" w:hAnsi="宋体" w:eastAsia="宋体" w:cs="宋体"/>
          <w:color w:val="000000"/>
          <w:sz w:val="24"/>
          <w:szCs w:val="24"/>
          <w:u w:val="single"/>
        </w:rPr>
        <w:t xml:space="preserve">                       </w:t>
      </w:r>
    </w:p>
    <w:p w14:paraId="60F1CA03">
      <w:pPr>
        <w:tabs>
          <w:tab w:val="left" w:pos="3240"/>
        </w:tabs>
        <w:spacing w:line="360" w:lineRule="auto"/>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供应商地址：</w:t>
      </w:r>
      <w:r>
        <w:rPr>
          <w:rFonts w:hint="eastAsia" w:ascii="宋体" w:hAnsi="宋体" w:eastAsia="宋体" w:cs="宋体"/>
          <w:color w:val="000000"/>
          <w:sz w:val="24"/>
          <w:szCs w:val="24"/>
          <w:u w:val="single"/>
        </w:rPr>
        <w:t xml:space="preserve">                       </w:t>
      </w:r>
    </w:p>
    <w:p w14:paraId="7E6FD2B5">
      <w:pPr>
        <w:tabs>
          <w:tab w:val="left" w:pos="3240"/>
        </w:tabs>
        <w:spacing w:line="360" w:lineRule="auto"/>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供应商邮编：</w:t>
      </w:r>
      <w:r>
        <w:rPr>
          <w:rFonts w:hint="eastAsia" w:ascii="宋体" w:hAnsi="宋体" w:eastAsia="宋体" w:cs="宋体"/>
          <w:color w:val="000000"/>
          <w:sz w:val="24"/>
          <w:szCs w:val="24"/>
          <w:u w:val="single"/>
        </w:rPr>
        <w:t xml:space="preserve">                       </w:t>
      </w:r>
    </w:p>
    <w:p w14:paraId="448BA5B2">
      <w:pPr>
        <w:tabs>
          <w:tab w:val="left" w:pos="2625"/>
        </w:tabs>
        <w:spacing w:line="360" w:lineRule="auto"/>
        <w:jc w:val="center"/>
        <w:rPr>
          <w:rFonts w:hint="eastAsia" w:ascii="宋体" w:hAnsi="宋体" w:eastAsia="宋体" w:cs="宋体"/>
          <w:color w:val="000000"/>
          <w:sz w:val="24"/>
          <w:szCs w:val="24"/>
        </w:rPr>
      </w:pPr>
    </w:p>
    <w:p w14:paraId="1AFEAC7A">
      <w:pPr>
        <w:tabs>
          <w:tab w:val="left" w:pos="2625"/>
        </w:tabs>
        <w:spacing w:line="360" w:lineRule="auto"/>
        <w:jc w:val="center"/>
        <w:rPr>
          <w:rFonts w:hint="eastAsia" w:ascii="宋体" w:hAnsi="宋体" w:eastAsia="宋体" w:cs="宋体"/>
          <w:color w:val="000000"/>
          <w:sz w:val="24"/>
          <w:szCs w:val="24"/>
        </w:rPr>
      </w:pPr>
    </w:p>
    <w:p w14:paraId="6A52408D">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（供应商公章）</w:t>
      </w:r>
    </w:p>
    <w:p w14:paraId="390E6EE9">
      <w:pPr>
        <w:spacing w:line="360" w:lineRule="auto"/>
        <w:rPr>
          <w:rFonts w:hint="eastAsia" w:ascii="宋体" w:hAnsi="宋体" w:eastAsia="宋体" w:cs="宋体"/>
          <w:color w:val="000000"/>
          <w:sz w:val="24"/>
          <w:szCs w:val="24"/>
        </w:rPr>
      </w:pPr>
    </w:p>
    <w:p w14:paraId="3182577C">
      <w:pPr>
        <w:spacing w:line="360" w:lineRule="auto"/>
        <w:rPr>
          <w:rFonts w:hint="eastAsia" w:ascii="宋体" w:hAnsi="宋体" w:eastAsia="宋体" w:cs="宋体"/>
          <w:color w:val="000000"/>
          <w:sz w:val="24"/>
          <w:szCs w:val="24"/>
        </w:rPr>
      </w:pPr>
    </w:p>
    <w:p w14:paraId="435ADBEE">
      <w:pPr>
        <w:spacing w:line="360" w:lineRule="auto"/>
        <w:rPr>
          <w:rFonts w:hint="eastAsia" w:ascii="宋体" w:hAnsi="宋体" w:eastAsia="宋体" w:cs="宋体"/>
          <w:color w:val="000000"/>
          <w:sz w:val="24"/>
          <w:szCs w:val="24"/>
        </w:rPr>
      </w:pPr>
    </w:p>
    <w:p w14:paraId="2E377AAC">
      <w:pPr>
        <w:spacing w:line="360" w:lineRule="auto"/>
        <w:rPr>
          <w:rFonts w:hint="eastAsia" w:ascii="宋体" w:hAnsi="宋体" w:eastAsia="宋体" w:cs="宋体"/>
          <w:color w:val="000000"/>
          <w:sz w:val="24"/>
          <w:szCs w:val="24"/>
        </w:rPr>
      </w:pPr>
    </w:p>
    <w:p w14:paraId="7A9BECF5">
      <w:pPr>
        <w:spacing w:line="360" w:lineRule="auto"/>
        <w:rPr>
          <w:rFonts w:hint="eastAsia" w:ascii="宋体" w:hAnsi="宋体" w:eastAsia="宋体" w:cs="宋体"/>
          <w:color w:val="000000"/>
          <w:sz w:val="24"/>
          <w:szCs w:val="24"/>
        </w:rPr>
      </w:pPr>
    </w:p>
    <w:p w14:paraId="5D233DBE">
      <w:pPr>
        <w:spacing w:line="360" w:lineRule="auto"/>
        <w:rPr>
          <w:rFonts w:hint="eastAsia" w:ascii="宋体" w:hAnsi="宋体" w:eastAsia="宋体" w:cs="宋体"/>
          <w:color w:val="000000"/>
          <w:sz w:val="24"/>
          <w:szCs w:val="24"/>
        </w:rPr>
      </w:pPr>
    </w:p>
    <w:p w14:paraId="4296A011">
      <w:pPr>
        <w:spacing w:line="360" w:lineRule="auto"/>
        <w:rPr>
          <w:rFonts w:hint="eastAsia" w:ascii="宋体" w:hAnsi="宋体" w:eastAsia="宋体" w:cs="宋体"/>
          <w:color w:val="000000"/>
          <w:sz w:val="24"/>
          <w:szCs w:val="24"/>
        </w:rPr>
      </w:pPr>
    </w:p>
    <w:p w14:paraId="77938C54">
      <w:pPr>
        <w:spacing w:line="360" w:lineRule="auto"/>
        <w:rPr>
          <w:rFonts w:hint="eastAsia" w:ascii="宋体" w:hAnsi="宋体" w:eastAsia="宋体" w:cs="宋体"/>
          <w:color w:val="000000"/>
          <w:sz w:val="24"/>
          <w:szCs w:val="24"/>
        </w:rPr>
      </w:pPr>
    </w:p>
    <w:p w14:paraId="51BBC1A1">
      <w:pPr>
        <w:spacing w:line="360" w:lineRule="auto"/>
        <w:rPr>
          <w:rFonts w:hint="eastAsia" w:ascii="宋体" w:hAnsi="宋体" w:eastAsia="宋体" w:cs="宋体"/>
          <w:color w:val="000000"/>
          <w:sz w:val="24"/>
          <w:szCs w:val="24"/>
        </w:rPr>
      </w:pPr>
    </w:p>
    <w:p w14:paraId="12B56C6E">
      <w:pPr>
        <w:spacing w:line="360" w:lineRule="auto"/>
        <w:jc w:val="center"/>
        <w:rPr>
          <w:rFonts w:hint="eastAsia" w:ascii="宋体" w:hAnsi="宋体" w:eastAsia="宋体" w:cs="宋体"/>
          <w:b/>
          <w:bCs/>
          <w:color w:val="000000"/>
          <w:sz w:val="32"/>
          <w:szCs w:val="32"/>
        </w:rPr>
      </w:pPr>
      <w:r>
        <w:rPr>
          <w:rFonts w:hint="eastAsia" w:ascii="宋体" w:hAnsi="宋体" w:eastAsia="宋体" w:cs="宋体"/>
          <w:color w:val="000000"/>
          <w:sz w:val="24"/>
          <w:szCs w:val="24"/>
        </w:rPr>
        <w:br w:type="page"/>
      </w:r>
      <w:r>
        <w:rPr>
          <w:rFonts w:hint="eastAsia" w:ascii="宋体" w:hAnsi="宋体" w:eastAsia="宋体" w:cs="宋体"/>
          <w:b/>
          <w:bCs/>
          <w:color w:val="000000"/>
          <w:sz w:val="32"/>
          <w:szCs w:val="32"/>
        </w:rPr>
        <w:t>目录</w:t>
      </w:r>
    </w:p>
    <w:p w14:paraId="63538118">
      <w:pPr>
        <w:pStyle w:val="45"/>
        <w:keepNext w:val="0"/>
        <w:keepLines w:val="0"/>
        <w:pageBreakBefore w:val="0"/>
        <w:widowControl w:val="0"/>
        <w:kinsoku/>
        <w:wordWrap/>
        <w:overflowPunct/>
        <w:topLinePunct w:val="0"/>
        <w:autoSpaceDE/>
        <w:autoSpaceDN/>
        <w:bidi w:val="0"/>
        <w:adjustRightInd/>
        <w:snapToGrid/>
        <w:spacing w:line="264" w:lineRule="auto"/>
        <w:ind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资格审查文件</w:t>
      </w:r>
    </w:p>
    <w:p w14:paraId="0358783B">
      <w:pPr>
        <w:pStyle w:val="4"/>
        <w:keepNext w:val="0"/>
        <w:keepLines w:val="0"/>
        <w:pageBreakBefore w:val="0"/>
        <w:widowControl w:val="0"/>
        <w:numPr>
          <w:ilvl w:val="0"/>
          <w:numId w:val="48"/>
        </w:numPr>
        <w:kinsoku/>
        <w:wordWrap/>
        <w:overflowPunct/>
        <w:topLinePunct w:val="0"/>
        <w:autoSpaceDE/>
        <w:autoSpaceDN/>
        <w:bidi w:val="0"/>
        <w:adjustRightInd/>
        <w:snapToGrid/>
        <w:spacing w:line="264" w:lineRule="auto"/>
        <w:ind w:left="148" w:leftChars="0" w:firstLine="482" w:firstLineChars="0"/>
        <w:textAlignment w:val="auto"/>
        <w:rPr>
          <w:rFonts w:hint="eastAsia" w:ascii="宋体" w:hAnsi="宋体" w:eastAsia="宋体" w:cs="宋体"/>
          <w:b w:val="0"/>
          <w:color w:val="000000"/>
          <w:sz w:val="24"/>
          <w:szCs w:val="24"/>
        </w:rPr>
      </w:pPr>
      <w:r>
        <w:rPr>
          <w:rFonts w:hint="eastAsia" w:ascii="宋体" w:hAnsi="宋体" w:eastAsia="宋体" w:cs="宋体"/>
          <w:color w:val="000000"/>
          <w:sz w:val="24"/>
          <w:szCs w:val="24"/>
        </w:rPr>
        <w:t>法定代表人身份证明书及法定代表人有效身份证正反面复印件；</w:t>
      </w:r>
      <w:r>
        <w:rPr>
          <w:rFonts w:hint="eastAsia" w:ascii="宋体" w:hAnsi="宋体" w:eastAsia="宋体" w:cs="宋体"/>
          <w:b/>
          <w:color w:val="000000"/>
          <w:sz w:val="24"/>
          <w:szCs w:val="24"/>
        </w:rPr>
        <w:t xml:space="preserve"> </w:t>
      </w:r>
    </w:p>
    <w:p w14:paraId="5439B421">
      <w:pPr>
        <w:pStyle w:val="4"/>
        <w:keepNext w:val="0"/>
        <w:keepLines w:val="0"/>
        <w:pageBreakBefore w:val="0"/>
        <w:widowControl w:val="0"/>
        <w:numPr>
          <w:ilvl w:val="0"/>
          <w:numId w:val="48"/>
        </w:numPr>
        <w:kinsoku/>
        <w:wordWrap/>
        <w:overflowPunct/>
        <w:topLinePunct w:val="0"/>
        <w:autoSpaceDE/>
        <w:autoSpaceDN/>
        <w:bidi w:val="0"/>
        <w:adjustRightInd/>
        <w:snapToGrid/>
        <w:spacing w:line="264" w:lineRule="auto"/>
        <w:ind w:left="148" w:leftChars="0" w:firstLine="482" w:firstLineChars="0"/>
        <w:textAlignment w:val="auto"/>
        <w:rPr>
          <w:rFonts w:hint="eastAsia" w:ascii="宋体" w:hAnsi="宋体" w:eastAsia="宋体" w:cs="宋体"/>
          <w:b w:val="0"/>
          <w:color w:val="000000"/>
          <w:sz w:val="24"/>
          <w:szCs w:val="24"/>
        </w:rPr>
      </w:pPr>
      <w:r>
        <w:rPr>
          <w:rFonts w:hint="eastAsia" w:ascii="宋体" w:hAnsi="宋体" w:eastAsia="宋体" w:cs="宋体"/>
          <w:color w:val="000000"/>
          <w:sz w:val="24"/>
          <w:szCs w:val="24"/>
        </w:rPr>
        <w:t>法定代表人授权委托书及被授权人有效身份证正反面复印件；</w:t>
      </w:r>
      <w:r>
        <w:rPr>
          <w:rFonts w:hint="eastAsia" w:ascii="宋体" w:hAnsi="宋体" w:eastAsia="宋体" w:cs="宋体"/>
          <w:b/>
          <w:color w:val="000000"/>
          <w:sz w:val="24"/>
          <w:szCs w:val="24"/>
        </w:rPr>
        <w:t xml:space="preserve"> </w:t>
      </w:r>
    </w:p>
    <w:p w14:paraId="2E0C5476">
      <w:pPr>
        <w:pStyle w:val="4"/>
        <w:keepNext w:val="0"/>
        <w:keepLines w:val="0"/>
        <w:pageBreakBefore w:val="0"/>
        <w:widowControl w:val="0"/>
        <w:numPr>
          <w:ilvl w:val="0"/>
          <w:numId w:val="48"/>
        </w:numPr>
        <w:kinsoku/>
        <w:wordWrap/>
        <w:overflowPunct/>
        <w:topLinePunct w:val="0"/>
        <w:autoSpaceDE/>
        <w:autoSpaceDN/>
        <w:bidi w:val="0"/>
        <w:adjustRightInd/>
        <w:snapToGrid/>
        <w:spacing w:line="264" w:lineRule="auto"/>
        <w:ind w:left="148" w:leftChars="0" w:firstLine="482" w:firstLineChars="0"/>
        <w:textAlignment w:val="auto"/>
        <w:rPr>
          <w:rFonts w:hint="eastAsia" w:ascii="宋体" w:hAnsi="宋体" w:eastAsia="宋体" w:cs="宋体"/>
          <w:b w:val="0"/>
          <w:color w:val="auto"/>
          <w:sz w:val="24"/>
          <w:szCs w:val="24"/>
        </w:rPr>
      </w:pPr>
      <w:r>
        <w:rPr>
          <w:rFonts w:hint="eastAsia" w:ascii="宋体" w:hAnsi="宋体" w:eastAsia="宋体" w:cs="宋体"/>
          <w:color w:val="000000"/>
          <w:sz w:val="24"/>
          <w:szCs w:val="24"/>
        </w:rPr>
        <w:t>供应商基本情况表（附有效的营业执照副本、企业资质证书副本、安全生产许可证副本复印件）；</w:t>
      </w:r>
      <w:r>
        <w:rPr>
          <w:rFonts w:hint="eastAsia" w:ascii="宋体" w:hAnsi="宋体" w:eastAsia="宋体" w:cs="宋体"/>
          <w:b/>
          <w:color w:val="000000"/>
          <w:sz w:val="24"/>
          <w:szCs w:val="24"/>
        </w:rPr>
        <w:t xml:space="preserve"> </w:t>
      </w:r>
    </w:p>
    <w:p w14:paraId="7B73568C">
      <w:pPr>
        <w:pStyle w:val="4"/>
        <w:keepNext w:val="0"/>
        <w:keepLines w:val="0"/>
        <w:pageBreakBefore w:val="0"/>
        <w:widowControl w:val="0"/>
        <w:numPr>
          <w:ilvl w:val="0"/>
          <w:numId w:val="48"/>
        </w:numPr>
        <w:kinsoku/>
        <w:wordWrap/>
        <w:overflowPunct/>
        <w:topLinePunct w:val="0"/>
        <w:autoSpaceDE/>
        <w:autoSpaceDN/>
        <w:bidi w:val="0"/>
        <w:adjustRightInd/>
        <w:snapToGrid/>
        <w:spacing w:line="264" w:lineRule="auto"/>
        <w:ind w:left="148" w:leftChars="0" w:firstLine="482" w:firstLineChars="0"/>
        <w:textAlignment w:val="auto"/>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建设工程项目管理承诺书；</w:t>
      </w:r>
    </w:p>
    <w:p w14:paraId="048AE128">
      <w:pPr>
        <w:pStyle w:val="4"/>
        <w:keepNext w:val="0"/>
        <w:keepLines w:val="0"/>
        <w:pageBreakBefore w:val="0"/>
        <w:widowControl w:val="0"/>
        <w:numPr>
          <w:ilvl w:val="0"/>
          <w:numId w:val="48"/>
        </w:numPr>
        <w:kinsoku/>
        <w:wordWrap/>
        <w:overflowPunct/>
        <w:topLinePunct w:val="0"/>
        <w:autoSpaceDE/>
        <w:autoSpaceDN/>
        <w:bidi w:val="0"/>
        <w:adjustRightInd/>
        <w:snapToGrid/>
        <w:spacing w:line="264" w:lineRule="auto"/>
        <w:ind w:left="148" w:leftChars="0" w:firstLine="482"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防城港</w:t>
      </w:r>
      <w:r>
        <w:rPr>
          <w:rFonts w:hint="eastAsia" w:ascii="宋体" w:hAnsi="宋体" w:eastAsia="宋体" w:cs="宋体"/>
          <w:color w:val="auto"/>
          <w:sz w:val="24"/>
          <w:szCs w:val="24"/>
          <w:highlight w:val="none"/>
        </w:rPr>
        <w:t>市政府采购供应商信用承诺函</w:t>
      </w:r>
      <w:r>
        <w:rPr>
          <w:rFonts w:hint="eastAsia" w:ascii="宋体" w:hAnsi="宋体" w:eastAsia="宋体" w:cs="宋体"/>
          <w:color w:val="auto"/>
          <w:sz w:val="24"/>
          <w:szCs w:val="24"/>
          <w:highlight w:val="none"/>
          <w:lang w:eastAsia="zh-CN"/>
        </w:rPr>
        <w:t>（格式后附）</w:t>
      </w:r>
      <w:r>
        <w:rPr>
          <w:rFonts w:hint="eastAsia" w:ascii="宋体" w:hAnsi="宋体" w:eastAsia="宋体" w:cs="宋体"/>
          <w:color w:val="auto"/>
          <w:sz w:val="24"/>
          <w:szCs w:val="24"/>
          <w:highlight w:val="none"/>
        </w:rPr>
        <w:t xml:space="preserve">； </w:t>
      </w:r>
    </w:p>
    <w:p w14:paraId="4E846E2D">
      <w:pPr>
        <w:pStyle w:val="4"/>
        <w:keepNext w:val="0"/>
        <w:keepLines w:val="0"/>
        <w:pageBreakBefore w:val="0"/>
        <w:widowControl w:val="0"/>
        <w:numPr>
          <w:ilvl w:val="0"/>
          <w:numId w:val="48"/>
        </w:numPr>
        <w:kinsoku/>
        <w:wordWrap/>
        <w:overflowPunct/>
        <w:topLinePunct w:val="0"/>
        <w:autoSpaceDE/>
        <w:autoSpaceDN/>
        <w:bidi w:val="0"/>
        <w:adjustRightInd/>
        <w:snapToGrid/>
        <w:spacing w:line="264" w:lineRule="auto"/>
        <w:ind w:left="148" w:leftChars="0" w:firstLine="482" w:firstLineChars="0"/>
        <w:textAlignment w:val="auto"/>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项目经理须具备建筑工程专业二级（含）以上注册建造师执业资格，具备有效的安全生产考核合格证书（B类）的证明材料复印件；</w:t>
      </w:r>
    </w:p>
    <w:p w14:paraId="7B78A949">
      <w:pPr>
        <w:pStyle w:val="4"/>
        <w:keepNext w:val="0"/>
        <w:keepLines w:val="0"/>
        <w:pageBreakBefore w:val="0"/>
        <w:widowControl w:val="0"/>
        <w:numPr>
          <w:ilvl w:val="0"/>
          <w:numId w:val="48"/>
        </w:numPr>
        <w:kinsoku/>
        <w:wordWrap/>
        <w:overflowPunct/>
        <w:topLinePunct w:val="0"/>
        <w:autoSpaceDE/>
        <w:autoSpaceDN/>
        <w:bidi w:val="0"/>
        <w:adjustRightInd/>
        <w:snapToGrid/>
        <w:spacing w:line="264" w:lineRule="auto"/>
        <w:ind w:left="148" w:leftChars="0" w:firstLine="482" w:firstLineChars="0"/>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highlight w:val="none"/>
        </w:rPr>
        <w:t>磋商供应商提供近半年内连续三个月的依法缴纳的社保费凭证复印件或者《依法缴纳或依法交社保证明》复印件（如社保凭证或证明未包含养老保险及医疗保险部分，供应商须同时提供养老保险及医疗保险凭证或缴纳证明）</w:t>
      </w:r>
      <w:r>
        <w:rPr>
          <w:rFonts w:hint="eastAsia" w:ascii="宋体" w:hAnsi="宋体" w:eastAsia="宋体" w:cs="宋体"/>
          <w:color w:val="auto"/>
          <w:sz w:val="24"/>
          <w:szCs w:val="24"/>
        </w:rPr>
        <w:t>，如为新成立的磋商单位请按实际依法缴纳月份提供（必须提供，并加盖公章）；</w:t>
      </w:r>
    </w:p>
    <w:p w14:paraId="5E9C34E6">
      <w:pPr>
        <w:pStyle w:val="4"/>
        <w:keepNext w:val="0"/>
        <w:keepLines w:val="0"/>
        <w:pageBreakBefore w:val="0"/>
        <w:widowControl w:val="0"/>
        <w:numPr>
          <w:ilvl w:val="0"/>
          <w:numId w:val="48"/>
        </w:numPr>
        <w:kinsoku/>
        <w:wordWrap/>
        <w:overflowPunct/>
        <w:topLinePunct w:val="0"/>
        <w:autoSpaceDE/>
        <w:autoSpaceDN/>
        <w:bidi w:val="0"/>
        <w:adjustRightInd/>
        <w:snapToGrid/>
        <w:spacing w:line="264" w:lineRule="auto"/>
        <w:ind w:left="148" w:leftChars="0" w:firstLine="482" w:firstLineChars="0"/>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磋商供应商提供近半年内连续三个月依法纳税的完税凭证复印件或者《依法纳税或依法免税证明》复印件，如为新成立的磋商单位请按实际依法缴纳月份提供（必须提供，并加盖公章）；</w:t>
      </w:r>
    </w:p>
    <w:p w14:paraId="3BF09371">
      <w:pPr>
        <w:pStyle w:val="4"/>
        <w:keepNext w:val="0"/>
        <w:keepLines w:val="0"/>
        <w:pageBreakBefore w:val="0"/>
        <w:widowControl w:val="0"/>
        <w:numPr>
          <w:ilvl w:val="0"/>
          <w:numId w:val="48"/>
        </w:numPr>
        <w:kinsoku/>
        <w:wordWrap/>
        <w:overflowPunct/>
        <w:topLinePunct w:val="0"/>
        <w:autoSpaceDE/>
        <w:autoSpaceDN/>
        <w:bidi w:val="0"/>
        <w:adjustRightInd/>
        <w:snapToGrid/>
        <w:spacing w:line="264" w:lineRule="auto"/>
        <w:ind w:left="148" w:leftChars="0" w:firstLine="482" w:firstLineChars="0"/>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磋商供应商202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度经审计财务报告复印件（若为新成立的企业，可根据实际情况提供月度财务报表，格式自拟）；</w:t>
      </w:r>
    </w:p>
    <w:p w14:paraId="557C1C5D">
      <w:pPr>
        <w:pStyle w:val="4"/>
        <w:keepNext w:val="0"/>
        <w:keepLines w:val="0"/>
        <w:pageBreakBefore w:val="0"/>
        <w:widowControl w:val="0"/>
        <w:numPr>
          <w:ilvl w:val="0"/>
          <w:numId w:val="48"/>
        </w:numPr>
        <w:kinsoku/>
        <w:wordWrap/>
        <w:overflowPunct/>
        <w:topLinePunct w:val="0"/>
        <w:autoSpaceDE/>
        <w:autoSpaceDN/>
        <w:bidi w:val="0"/>
        <w:adjustRightInd/>
        <w:snapToGrid/>
        <w:spacing w:line="264" w:lineRule="auto"/>
        <w:ind w:left="148" w:leftChars="0" w:firstLine="482" w:firstLineChars="0"/>
        <w:textAlignment w:val="auto"/>
        <w:rPr>
          <w:rFonts w:hint="eastAsia" w:ascii="宋体" w:hAnsi="宋体" w:eastAsia="宋体" w:cs="宋体"/>
          <w:b w:val="0"/>
          <w:color w:val="000000"/>
          <w:sz w:val="24"/>
          <w:szCs w:val="24"/>
        </w:rPr>
      </w:pPr>
      <w:r>
        <w:rPr>
          <w:rFonts w:hint="eastAsia" w:ascii="宋体" w:hAnsi="宋体" w:eastAsia="宋体" w:cs="宋体"/>
          <w:color w:val="auto"/>
          <w:sz w:val="24"/>
          <w:szCs w:val="24"/>
        </w:rPr>
        <w:t>参加政府采购活动前3年内在经营活动中没有重大违法记</w:t>
      </w:r>
      <w:r>
        <w:rPr>
          <w:rFonts w:hint="eastAsia" w:ascii="宋体" w:hAnsi="宋体" w:eastAsia="宋体" w:cs="宋体"/>
          <w:color w:val="000000"/>
          <w:sz w:val="24"/>
          <w:szCs w:val="24"/>
        </w:rPr>
        <w:t xml:space="preserve">录的书面声明； </w:t>
      </w:r>
    </w:p>
    <w:p w14:paraId="45E53316">
      <w:pPr>
        <w:pStyle w:val="4"/>
        <w:keepNext w:val="0"/>
        <w:keepLines w:val="0"/>
        <w:pageBreakBefore w:val="0"/>
        <w:widowControl w:val="0"/>
        <w:numPr>
          <w:ilvl w:val="0"/>
          <w:numId w:val="48"/>
        </w:numPr>
        <w:kinsoku/>
        <w:wordWrap/>
        <w:overflowPunct/>
        <w:topLinePunct w:val="0"/>
        <w:autoSpaceDE/>
        <w:autoSpaceDN/>
        <w:bidi w:val="0"/>
        <w:adjustRightInd/>
        <w:snapToGrid/>
        <w:spacing w:line="264" w:lineRule="auto"/>
        <w:ind w:left="148" w:leftChars="0" w:firstLine="482" w:firstLineChars="0"/>
        <w:textAlignment w:val="auto"/>
        <w:rPr>
          <w:rFonts w:hint="eastAsia" w:ascii="宋体" w:hAnsi="宋体" w:eastAsia="宋体" w:cs="宋体"/>
          <w:b w:val="0"/>
          <w:color w:val="000000"/>
          <w:sz w:val="24"/>
          <w:szCs w:val="24"/>
        </w:rPr>
      </w:pPr>
      <w:r>
        <w:rPr>
          <w:rFonts w:hint="eastAsia" w:ascii="宋体" w:hAnsi="宋体" w:eastAsia="宋体" w:cs="宋体"/>
          <w:color w:val="000000"/>
          <w:sz w:val="24"/>
          <w:szCs w:val="24"/>
        </w:rPr>
        <w:t>供应商参加本项目无围标串标行为的承诺函（格式后附）</w:t>
      </w:r>
    </w:p>
    <w:p w14:paraId="3DCA187A">
      <w:pPr>
        <w:pStyle w:val="4"/>
        <w:keepNext w:val="0"/>
        <w:keepLines w:val="0"/>
        <w:pageBreakBefore w:val="0"/>
        <w:widowControl w:val="0"/>
        <w:numPr>
          <w:ilvl w:val="0"/>
          <w:numId w:val="48"/>
        </w:numPr>
        <w:kinsoku/>
        <w:wordWrap/>
        <w:overflowPunct/>
        <w:topLinePunct w:val="0"/>
        <w:autoSpaceDE/>
        <w:autoSpaceDN/>
        <w:bidi w:val="0"/>
        <w:adjustRightInd/>
        <w:snapToGrid/>
        <w:spacing w:line="264" w:lineRule="auto"/>
        <w:ind w:left="148" w:leftChars="0" w:firstLine="482" w:firstLineChars="0"/>
        <w:textAlignment w:val="auto"/>
        <w:rPr>
          <w:rFonts w:hint="eastAsia" w:ascii="宋体" w:hAnsi="宋体" w:eastAsia="宋体" w:cs="宋体"/>
          <w:b w:val="0"/>
          <w:color w:val="000000"/>
          <w:sz w:val="24"/>
          <w:szCs w:val="24"/>
        </w:rPr>
      </w:pPr>
      <w:r>
        <w:rPr>
          <w:rFonts w:hint="eastAsia" w:ascii="宋体" w:hAnsi="宋体" w:eastAsia="宋体" w:cs="宋体"/>
          <w:color w:val="000000"/>
          <w:sz w:val="24"/>
          <w:szCs w:val="24"/>
        </w:rPr>
        <w:t>供应商认为资格审查需要的其他材料</w:t>
      </w:r>
    </w:p>
    <w:p w14:paraId="31E8721C">
      <w:pPr>
        <w:pStyle w:val="45"/>
        <w:keepNext w:val="0"/>
        <w:keepLines w:val="0"/>
        <w:pageBreakBefore w:val="0"/>
        <w:widowControl w:val="0"/>
        <w:kinsoku/>
        <w:wordWrap/>
        <w:overflowPunct/>
        <w:topLinePunct w:val="0"/>
        <w:autoSpaceDE/>
        <w:autoSpaceDN/>
        <w:bidi w:val="0"/>
        <w:adjustRightInd/>
        <w:snapToGrid/>
        <w:spacing w:line="264" w:lineRule="auto"/>
        <w:ind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商务文件</w:t>
      </w:r>
    </w:p>
    <w:p w14:paraId="0303D2DC">
      <w:pPr>
        <w:pStyle w:val="4"/>
        <w:keepNext w:val="0"/>
        <w:keepLines w:val="0"/>
        <w:pageBreakBefore w:val="0"/>
        <w:widowControl w:val="0"/>
        <w:numPr>
          <w:ilvl w:val="0"/>
          <w:numId w:val="49"/>
        </w:numPr>
        <w:kinsoku/>
        <w:wordWrap/>
        <w:overflowPunct/>
        <w:topLinePunct w:val="0"/>
        <w:autoSpaceDE/>
        <w:autoSpaceDN/>
        <w:bidi w:val="0"/>
        <w:adjustRightInd/>
        <w:snapToGrid/>
        <w:spacing w:line="264" w:lineRule="auto"/>
        <w:ind w:left="0" w:leftChars="0" w:firstLine="480" w:firstLineChars="0"/>
        <w:textAlignment w:val="auto"/>
        <w:rPr>
          <w:rFonts w:hint="eastAsia" w:ascii="宋体" w:hAnsi="宋体" w:eastAsia="宋体" w:cs="宋体"/>
          <w:b w:val="0"/>
          <w:color w:val="000000"/>
          <w:sz w:val="24"/>
          <w:szCs w:val="24"/>
        </w:rPr>
      </w:pPr>
      <w:r>
        <w:rPr>
          <w:rFonts w:hint="eastAsia" w:ascii="宋体" w:hAnsi="宋体" w:eastAsia="宋体" w:cs="宋体"/>
          <w:color w:val="000000"/>
          <w:sz w:val="24"/>
          <w:szCs w:val="24"/>
        </w:rPr>
        <w:t>磋商函</w:t>
      </w:r>
      <w:r>
        <w:rPr>
          <w:rFonts w:hint="eastAsia" w:ascii="宋体" w:hAnsi="宋体" w:eastAsia="宋体" w:cs="宋体"/>
          <w:b/>
          <w:color w:val="000000"/>
          <w:sz w:val="24"/>
          <w:szCs w:val="24"/>
        </w:rPr>
        <w:t xml:space="preserve"> </w:t>
      </w:r>
    </w:p>
    <w:p w14:paraId="5C51BFB7">
      <w:pPr>
        <w:pStyle w:val="4"/>
        <w:keepNext w:val="0"/>
        <w:keepLines w:val="0"/>
        <w:pageBreakBefore w:val="0"/>
        <w:widowControl w:val="0"/>
        <w:numPr>
          <w:ilvl w:val="0"/>
          <w:numId w:val="49"/>
        </w:numPr>
        <w:kinsoku/>
        <w:wordWrap/>
        <w:overflowPunct/>
        <w:topLinePunct w:val="0"/>
        <w:autoSpaceDE/>
        <w:autoSpaceDN/>
        <w:bidi w:val="0"/>
        <w:adjustRightInd/>
        <w:snapToGrid/>
        <w:spacing w:line="264" w:lineRule="auto"/>
        <w:ind w:left="0" w:leftChars="0" w:firstLine="480" w:firstLineChars="0"/>
        <w:textAlignment w:val="auto"/>
        <w:rPr>
          <w:rFonts w:hint="eastAsia" w:ascii="宋体" w:hAnsi="宋体" w:eastAsia="宋体" w:cs="宋体"/>
          <w:b w:val="0"/>
          <w:color w:val="000000"/>
          <w:sz w:val="24"/>
          <w:szCs w:val="24"/>
        </w:rPr>
      </w:pPr>
      <w:r>
        <w:rPr>
          <w:rFonts w:hint="eastAsia" w:ascii="宋体" w:hAnsi="宋体" w:eastAsia="宋体" w:cs="宋体"/>
          <w:color w:val="000000"/>
          <w:sz w:val="24"/>
          <w:szCs w:val="24"/>
        </w:rPr>
        <w:t>磋商函附录</w:t>
      </w:r>
    </w:p>
    <w:p w14:paraId="388FBE99">
      <w:pPr>
        <w:pStyle w:val="4"/>
        <w:keepNext w:val="0"/>
        <w:keepLines w:val="0"/>
        <w:pageBreakBefore w:val="0"/>
        <w:widowControl w:val="0"/>
        <w:numPr>
          <w:ilvl w:val="0"/>
          <w:numId w:val="49"/>
        </w:numPr>
        <w:kinsoku/>
        <w:wordWrap/>
        <w:overflowPunct/>
        <w:topLinePunct w:val="0"/>
        <w:autoSpaceDE/>
        <w:autoSpaceDN/>
        <w:bidi w:val="0"/>
        <w:adjustRightInd/>
        <w:snapToGrid/>
        <w:spacing w:line="264" w:lineRule="auto"/>
        <w:ind w:left="0" w:leftChars="0" w:firstLine="480" w:firstLineChars="0"/>
        <w:textAlignment w:val="auto"/>
        <w:rPr>
          <w:rFonts w:hint="eastAsia" w:ascii="宋体" w:hAnsi="宋体" w:eastAsia="宋体" w:cs="宋体"/>
          <w:b w:val="0"/>
          <w:color w:val="000000"/>
          <w:sz w:val="24"/>
          <w:szCs w:val="24"/>
        </w:rPr>
      </w:pPr>
      <w:r>
        <w:rPr>
          <w:rFonts w:hint="eastAsia" w:ascii="宋体" w:hAnsi="宋体" w:eastAsia="宋体" w:cs="宋体"/>
          <w:color w:val="000000"/>
          <w:sz w:val="24"/>
          <w:szCs w:val="24"/>
        </w:rPr>
        <w:t>磋商报价表</w:t>
      </w:r>
    </w:p>
    <w:p w14:paraId="43F13051">
      <w:pPr>
        <w:pStyle w:val="4"/>
        <w:keepNext w:val="0"/>
        <w:keepLines w:val="0"/>
        <w:pageBreakBefore w:val="0"/>
        <w:widowControl w:val="0"/>
        <w:numPr>
          <w:ilvl w:val="0"/>
          <w:numId w:val="49"/>
        </w:numPr>
        <w:kinsoku/>
        <w:wordWrap/>
        <w:overflowPunct/>
        <w:topLinePunct w:val="0"/>
        <w:autoSpaceDE/>
        <w:autoSpaceDN/>
        <w:bidi w:val="0"/>
        <w:adjustRightInd/>
        <w:snapToGrid/>
        <w:spacing w:line="264" w:lineRule="auto"/>
        <w:ind w:left="0" w:leftChars="0" w:firstLine="480" w:firstLineChars="0"/>
        <w:textAlignment w:val="auto"/>
        <w:rPr>
          <w:rFonts w:hint="eastAsia" w:ascii="宋体" w:hAnsi="宋体" w:eastAsia="宋体" w:cs="宋体"/>
          <w:b w:val="0"/>
          <w:color w:val="000000"/>
          <w:sz w:val="24"/>
          <w:szCs w:val="24"/>
        </w:rPr>
      </w:pPr>
      <w:r>
        <w:rPr>
          <w:rFonts w:hint="eastAsia" w:ascii="宋体" w:hAnsi="宋体" w:eastAsia="宋体" w:cs="宋体"/>
          <w:color w:val="000000"/>
          <w:sz w:val="24"/>
          <w:szCs w:val="24"/>
        </w:rPr>
        <w:t>已标价工程量清单</w:t>
      </w:r>
    </w:p>
    <w:p w14:paraId="59067634">
      <w:pPr>
        <w:pStyle w:val="4"/>
        <w:keepNext w:val="0"/>
        <w:keepLines w:val="0"/>
        <w:pageBreakBefore w:val="0"/>
        <w:widowControl w:val="0"/>
        <w:numPr>
          <w:ilvl w:val="0"/>
          <w:numId w:val="49"/>
        </w:numPr>
        <w:kinsoku/>
        <w:wordWrap/>
        <w:overflowPunct/>
        <w:topLinePunct w:val="0"/>
        <w:autoSpaceDE/>
        <w:autoSpaceDN/>
        <w:bidi w:val="0"/>
        <w:adjustRightInd/>
        <w:snapToGrid/>
        <w:spacing w:line="264" w:lineRule="auto"/>
        <w:ind w:left="0" w:leftChars="0" w:firstLine="480" w:firstLineChars="0"/>
        <w:textAlignment w:val="auto"/>
        <w:rPr>
          <w:rFonts w:hint="eastAsia" w:ascii="宋体" w:hAnsi="宋体" w:eastAsia="宋体" w:cs="宋体"/>
          <w:b w:val="0"/>
          <w:sz w:val="24"/>
          <w:szCs w:val="24"/>
        </w:rPr>
      </w:pPr>
      <w:r>
        <w:rPr>
          <w:rFonts w:hint="eastAsia" w:ascii="宋体" w:hAnsi="宋体" w:eastAsia="宋体" w:cs="宋体"/>
          <w:sz w:val="24"/>
          <w:szCs w:val="24"/>
        </w:rPr>
        <w:t>供应商认为必要提供的其它资料</w:t>
      </w:r>
    </w:p>
    <w:p w14:paraId="276DA067">
      <w:pPr>
        <w:pStyle w:val="4"/>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技术文件</w:t>
      </w:r>
    </w:p>
    <w:p w14:paraId="1DAE7C53">
      <w:pPr>
        <w:pStyle w:val="4"/>
        <w:keepNext w:val="0"/>
        <w:keepLines w:val="0"/>
        <w:pageBreakBefore w:val="0"/>
        <w:widowControl w:val="0"/>
        <w:numPr>
          <w:ilvl w:val="0"/>
          <w:numId w:val="50"/>
        </w:numPr>
        <w:kinsoku/>
        <w:wordWrap/>
        <w:overflowPunct/>
        <w:topLinePunct w:val="0"/>
        <w:autoSpaceDE/>
        <w:autoSpaceDN/>
        <w:bidi w:val="0"/>
        <w:adjustRightInd/>
        <w:snapToGrid/>
        <w:spacing w:line="264" w:lineRule="auto"/>
        <w:ind w:left="0" w:leftChars="0" w:firstLine="480" w:firstLineChars="0"/>
        <w:textAlignment w:val="auto"/>
        <w:rPr>
          <w:rFonts w:hint="eastAsia" w:ascii="宋体" w:hAnsi="宋体" w:eastAsia="宋体" w:cs="宋体"/>
          <w:b w:val="0"/>
          <w:color w:val="000000"/>
          <w:sz w:val="24"/>
          <w:szCs w:val="24"/>
        </w:rPr>
      </w:pPr>
      <w:r>
        <w:rPr>
          <w:rFonts w:hint="eastAsia" w:ascii="宋体" w:hAnsi="宋体" w:eastAsia="宋体" w:cs="宋体"/>
          <w:color w:val="000000"/>
          <w:sz w:val="24"/>
          <w:szCs w:val="24"/>
        </w:rPr>
        <w:t>施工组织设计</w:t>
      </w:r>
    </w:p>
    <w:p w14:paraId="2EC5F343">
      <w:pPr>
        <w:pStyle w:val="4"/>
        <w:keepNext w:val="0"/>
        <w:keepLines w:val="0"/>
        <w:pageBreakBefore w:val="0"/>
        <w:widowControl w:val="0"/>
        <w:numPr>
          <w:ilvl w:val="0"/>
          <w:numId w:val="50"/>
        </w:numPr>
        <w:kinsoku/>
        <w:wordWrap/>
        <w:overflowPunct/>
        <w:topLinePunct w:val="0"/>
        <w:autoSpaceDE/>
        <w:autoSpaceDN/>
        <w:bidi w:val="0"/>
        <w:adjustRightInd/>
        <w:snapToGrid/>
        <w:spacing w:line="264" w:lineRule="auto"/>
        <w:ind w:left="0" w:leftChars="0" w:firstLine="480" w:firstLineChars="0"/>
        <w:textAlignment w:val="auto"/>
        <w:rPr>
          <w:rFonts w:hint="eastAsia" w:ascii="宋体" w:hAnsi="宋体" w:eastAsia="宋体" w:cs="宋体"/>
          <w:b w:val="0"/>
          <w:color w:val="000000"/>
          <w:sz w:val="24"/>
          <w:szCs w:val="24"/>
        </w:rPr>
      </w:pPr>
      <w:r>
        <w:rPr>
          <w:rFonts w:hint="eastAsia" w:ascii="宋体" w:hAnsi="宋体" w:eastAsia="宋体" w:cs="宋体"/>
          <w:color w:val="000000"/>
          <w:sz w:val="24"/>
          <w:szCs w:val="24"/>
        </w:rPr>
        <w:t>项目管理机构配备情况表</w:t>
      </w:r>
    </w:p>
    <w:p w14:paraId="0CD2DFD2">
      <w:pPr>
        <w:pStyle w:val="4"/>
        <w:keepNext w:val="0"/>
        <w:keepLines w:val="0"/>
        <w:pageBreakBefore w:val="0"/>
        <w:widowControl w:val="0"/>
        <w:numPr>
          <w:ilvl w:val="0"/>
          <w:numId w:val="50"/>
        </w:numPr>
        <w:kinsoku/>
        <w:wordWrap/>
        <w:overflowPunct/>
        <w:topLinePunct w:val="0"/>
        <w:autoSpaceDE/>
        <w:autoSpaceDN/>
        <w:bidi w:val="0"/>
        <w:adjustRightInd/>
        <w:snapToGrid/>
        <w:spacing w:line="264" w:lineRule="auto"/>
        <w:ind w:left="0" w:leftChars="0" w:firstLine="480" w:firstLineChars="0"/>
        <w:textAlignment w:val="auto"/>
        <w:rPr>
          <w:rFonts w:hint="eastAsia" w:ascii="宋体" w:hAnsi="宋体" w:eastAsia="宋体" w:cs="宋体"/>
          <w:b w:val="0"/>
          <w:color w:val="000000"/>
          <w:sz w:val="24"/>
          <w:szCs w:val="24"/>
        </w:rPr>
      </w:pPr>
      <w:r>
        <w:rPr>
          <w:rFonts w:hint="eastAsia" w:ascii="宋体" w:hAnsi="宋体" w:eastAsia="宋体" w:cs="宋体"/>
          <w:color w:val="000000"/>
          <w:sz w:val="24"/>
          <w:szCs w:val="24"/>
        </w:rPr>
        <w:t>按本竞争性磋商文件规定提交的其它资料。</w:t>
      </w:r>
    </w:p>
    <w:p w14:paraId="32FA69C8">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000000"/>
          <w:sz w:val="24"/>
          <w:szCs w:val="24"/>
        </w:rPr>
        <w:sectPr>
          <w:headerReference r:id="rId4" w:type="first"/>
          <w:footerReference r:id="rId6" w:type="first"/>
          <w:footerReference r:id="rId5" w:type="default"/>
          <w:pgSz w:w="11907" w:h="16840"/>
          <w:pgMar w:top="1134" w:right="1134" w:bottom="1134" w:left="1134" w:header="851" w:footer="851" w:gutter="0"/>
          <w:cols w:space="720" w:num="1"/>
          <w:titlePg/>
          <w:docGrid w:linePitch="312" w:charSpace="0"/>
        </w:sectPr>
      </w:pPr>
    </w:p>
    <w:p w14:paraId="7029E735">
      <w:pPr>
        <w:spacing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资格审查文件</w:t>
      </w:r>
    </w:p>
    <w:p w14:paraId="0E03AAC6">
      <w:pPr>
        <w:spacing w:line="360" w:lineRule="auto"/>
        <w:jc w:val="center"/>
        <w:rPr>
          <w:rFonts w:hint="eastAsia" w:ascii="宋体" w:hAnsi="宋体" w:eastAsia="宋体" w:cs="宋体"/>
          <w:color w:val="000000"/>
          <w:sz w:val="24"/>
          <w:szCs w:val="24"/>
        </w:rPr>
      </w:pPr>
    </w:p>
    <w:p w14:paraId="35AC4F60">
      <w:pPr>
        <w:spacing w:line="360" w:lineRule="auto"/>
        <w:ind w:firstLine="6720" w:firstLineChars="2800"/>
        <w:rPr>
          <w:rFonts w:hint="eastAsia" w:ascii="宋体" w:hAnsi="宋体" w:eastAsia="宋体" w:cs="宋体"/>
          <w:color w:val="000000"/>
          <w:sz w:val="24"/>
          <w:szCs w:val="24"/>
        </w:rPr>
      </w:pPr>
    </w:p>
    <w:p w14:paraId="63FAD453">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p w14:paraId="62C288B0">
      <w:pPr>
        <w:pStyle w:val="43"/>
        <w:rPr>
          <w:rFonts w:hint="eastAsia" w:ascii="宋体" w:hAnsi="宋体" w:eastAsia="宋体" w:cs="宋体"/>
          <w:sz w:val="36"/>
          <w:szCs w:val="36"/>
        </w:rPr>
      </w:pPr>
      <w:r>
        <w:rPr>
          <w:rFonts w:hint="eastAsia" w:ascii="宋体" w:hAnsi="宋体" w:eastAsia="宋体" w:cs="宋体"/>
          <w:sz w:val="36"/>
          <w:szCs w:val="36"/>
        </w:rPr>
        <w:t>资格审查文件目录</w:t>
      </w:r>
    </w:p>
    <w:p w14:paraId="721FCA82">
      <w:pPr>
        <w:spacing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（应附有页码）</w:t>
      </w:r>
    </w:p>
    <w:p w14:paraId="5D369F9D">
      <w:pPr>
        <w:spacing w:line="360" w:lineRule="auto"/>
        <w:jc w:val="center"/>
        <w:rPr>
          <w:rFonts w:hint="eastAsia" w:ascii="宋体" w:hAnsi="宋体" w:eastAsia="宋体" w:cs="宋体"/>
          <w:b/>
          <w:color w:val="000000"/>
          <w:sz w:val="24"/>
          <w:szCs w:val="24"/>
        </w:rPr>
      </w:pPr>
    </w:p>
    <w:p w14:paraId="631C4B48">
      <w:pPr>
        <w:spacing w:line="360" w:lineRule="auto"/>
        <w:rPr>
          <w:rFonts w:hint="eastAsia" w:ascii="宋体" w:hAnsi="宋体" w:eastAsia="宋体" w:cs="宋体"/>
          <w:color w:val="000000"/>
          <w:sz w:val="24"/>
          <w:szCs w:val="24"/>
        </w:rPr>
      </w:pPr>
    </w:p>
    <w:p w14:paraId="382B16A4">
      <w:pPr>
        <w:pStyle w:val="4"/>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法定代表人身份证明书及法定代表人有效身份证正反面复印件； </w:t>
      </w:r>
    </w:p>
    <w:p w14:paraId="6BA82F48">
      <w:pPr>
        <w:pStyle w:val="4"/>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法定代表人授权委托书及被授权人有效身份证正反面复印件； </w:t>
      </w:r>
    </w:p>
    <w:p w14:paraId="18DCBCCE">
      <w:pPr>
        <w:pStyle w:val="4"/>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rFonts w:hint="eastAsia" w:ascii="宋体" w:hAnsi="宋体" w:eastAsia="宋体" w:cs="宋体"/>
          <w:b/>
          <w:color w:val="000000"/>
          <w:sz w:val="24"/>
          <w:szCs w:val="24"/>
        </w:rPr>
      </w:pPr>
      <w:r>
        <w:rPr>
          <w:rFonts w:hint="eastAsia" w:ascii="宋体" w:hAnsi="宋体" w:eastAsia="宋体" w:cs="宋体"/>
          <w:b w:val="0"/>
          <w:bCs w:val="0"/>
          <w:color w:val="000000"/>
          <w:sz w:val="24"/>
          <w:szCs w:val="24"/>
        </w:rPr>
        <w:t>供应商基本情况表（附有效的营业执照副本、企业资质证书副本、安全生产许可证副本复印件</w:t>
      </w:r>
      <w:r>
        <w:rPr>
          <w:rFonts w:hint="eastAsia" w:ascii="宋体" w:hAnsi="宋体" w:eastAsia="宋体" w:cs="宋体"/>
          <w:color w:val="000000"/>
          <w:sz w:val="24"/>
          <w:szCs w:val="24"/>
        </w:rPr>
        <w:t>）</w:t>
      </w:r>
      <w:r>
        <w:rPr>
          <w:rFonts w:hint="eastAsia" w:ascii="宋体" w:hAnsi="宋体" w:eastAsia="宋体" w:cs="宋体"/>
          <w:bCs/>
          <w:color w:val="000000"/>
          <w:sz w:val="24"/>
          <w:szCs w:val="24"/>
        </w:rPr>
        <w:t>；</w:t>
      </w:r>
      <w:r>
        <w:rPr>
          <w:rFonts w:hint="eastAsia" w:ascii="宋体" w:hAnsi="宋体" w:eastAsia="宋体" w:cs="宋体"/>
          <w:b/>
          <w:color w:val="000000"/>
          <w:sz w:val="24"/>
          <w:szCs w:val="24"/>
        </w:rPr>
        <w:t xml:space="preserve"> </w:t>
      </w:r>
    </w:p>
    <w:p w14:paraId="204DC5FE">
      <w:pPr>
        <w:pStyle w:val="4"/>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建设工程项目管理承诺书</w:t>
      </w:r>
      <w:r>
        <w:rPr>
          <w:rFonts w:hint="eastAsia" w:ascii="宋体" w:hAnsi="宋体" w:eastAsia="宋体" w:cs="宋体"/>
          <w:bCs/>
          <w:color w:val="000000"/>
          <w:sz w:val="24"/>
          <w:szCs w:val="24"/>
          <w:highlight w:val="none"/>
        </w:rPr>
        <w:t>；</w:t>
      </w:r>
    </w:p>
    <w:p w14:paraId="5799CEAA">
      <w:pPr>
        <w:pStyle w:val="4"/>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防城港市政府采购供应商信用承诺函（格式后附）； </w:t>
      </w:r>
    </w:p>
    <w:p w14:paraId="31A6E9BC">
      <w:pPr>
        <w:pStyle w:val="4"/>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项目经理须具备建筑工程专业二级（含）以上注册建造师执业资格，具备有效的安全生产考核合格证书（B类）的证明材料复印件；</w:t>
      </w:r>
      <w:r>
        <w:rPr>
          <w:rFonts w:hint="eastAsia" w:ascii="宋体" w:hAnsi="宋体" w:eastAsia="宋体" w:cs="宋体"/>
          <w:b/>
          <w:color w:val="auto"/>
          <w:sz w:val="24"/>
          <w:szCs w:val="24"/>
          <w:highlight w:val="none"/>
        </w:rPr>
        <w:t xml:space="preserve"> </w:t>
      </w:r>
    </w:p>
    <w:p w14:paraId="5C97D208">
      <w:pPr>
        <w:pStyle w:val="4"/>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供应商提供近半年内连续三个月的依法缴纳的社保费凭证复印件或者《依法缴纳或依法交社保证明》复印件（如社保凭证或证明未包含养老保险及医疗保险部分，供应商须同时提供养老保险及医疗保险凭证或缴纳证明）</w:t>
      </w:r>
      <w:r>
        <w:rPr>
          <w:rFonts w:hint="eastAsia" w:ascii="宋体" w:hAnsi="宋体" w:eastAsia="宋体" w:cs="宋体"/>
          <w:color w:val="auto"/>
          <w:sz w:val="24"/>
          <w:szCs w:val="24"/>
        </w:rPr>
        <w:t>，如为新成立的磋商单位请按实际依法缴纳月份提供（必须提供，并加盖公章）；</w:t>
      </w:r>
    </w:p>
    <w:p w14:paraId="3D2D9855">
      <w:pPr>
        <w:pStyle w:val="4"/>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磋商供应商提供近半年内连续三个月依法纳税的完税凭证复印件或者《依法纳税或依法免税证明》复印件，如为新成立的磋商单位请按实际依法缴纳月份提供（必须提供，并加盖公章）；</w:t>
      </w:r>
    </w:p>
    <w:p w14:paraId="1E0817C7">
      <w:pPr>
        <w:pStyle w:val="4"/>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磋商供应商2023年度经审计财务报告复印件（若为新成立的企业，可根据实际情况提供月度财务报表，格式自拟）；</w:t>
      </w:r>
    </w:p>
    <w:p w14:paraId="34334A8D">
      <w:pPr>
        <w:pStyle w:val="4"/>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rFonts w:hint="eastAsia" w:ascii="宋体" w:hAnsi="宋体" w:eastAsia="宋体" w:cs="宋体"/>
          <w:color w:val="000000"/>
          <w:sz w:val="24"/>
          <w:szCs w:val="24"/>
        </w:rPr>
      </w:pPr>
      <w:r>
        <w:rPr>
          <w:rFonts w:hint="eastAsia" w:ascii="宋体" w:hAnsi="宋体" w:eastAsia="宋体" w:cs="宋体"/>
          <w:color w:val="auto"/>
          <w:sz w:val="24"/>
          <w:szCs w:val="24"/>
        </w:rPr>
        <w:t xml:space="preserve">参加政府采购活动前3年内在经营活动中没有重大违法记录的书面声明； </w:t>
      </w:r>
    </w:p>
    <w:p w14:paraId="133E13E7">
      <w:pPr>
        <w:pStyle w:val="4"/>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供应商参加本项目无围标串标行为的承诺函（格式后附）</w:t>
      </w:r>
    </w:p>
    <w:p w14:paraId="5328F1B2">
      <w:pPr>
        <w:pStyle w:val="4"/>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供应商认为资格审查需要的其他材料</w:t>
      </w:r>
    </w:p>
    <w:p w14:paraId="21F33BEE">
      <w:pPr>
        <w:pStyle w:val="23"/>
        <w:rPr>
          <w:rFonts w:hint="eastAsia" w:ascii="宋体" w:hAnsi="宋体" w:eastAsia="宋体" w:cs="宋体"/>
          <w:color w:val="000000"/>
          <w:sz w:val="24"/>
          <w:szCs w:val="24"/>
        </w:rPr>
      </w:pPr>
    </w:p>
    <w:p w14:paraId="6F9F7384">
      <w:pPr>
        <w:pStyle w:val="21"/>
        <w:rPr>
          <w:rFonts w:hint="eastAsia" w:ascii="宋体" w:hAnsi="宋体" w:eastAsia="宋体" w:cs="宋体"/>
          <w:color w:val="000000"/>
          <w:sz w:val="24"/>
          <w:szCs w:val="24"/>
        </w:rPr>
      </w:pPr>
    </w:p>
    <w:p w14:paraId="175E3485">
      <w:pPr>
        <w:rPr>
          <w:rFonts w:hint="eastAsia" w:ascii="宋体" w:hAnsi="宋体" w:eastAsia="宋体" w:cs="宋体"/>
          <w:color w:val="000000"/>
          <w:sz w:val="24"/>
          <w:szCs w:val="24"/>
        </w:rPr>
      </w:pPr>
    </w:p>
    <w:p w14:paraId="6B87E703">
      <w:pPr>
        <w:rPr>
          <w:rFonts w:hint="eastAsia" w:ascii="宋体" w:hAnsi="宋体" w:eastAsia="宋体" w:cs="宋体"/>
          <w:color w:val="000000"/>
          <w:sz w:val="24"/>
          <w:szCs w:val="24"/>
        </w:rPr>
      </w:pPr>
    </w:p>
    <w:p w14:paraId="64F335A7">
      <w:pPr>
        <w:rPr>
          <w:rFonts w:hint="eastAsia" w:ascii="宋体" w:hAnsi="宋体" w:eastAsia="宋体" w:cs="宋体"/>
          <w:color w:val="000000"/>
          <w:sz w:val="24"/>
          <w:szCs w:val="24"/>
        </w:rPr>
      </w:pPr>
    </w:p>
    <w:p w14:paraId="2C837569">
      <w:pPr>
        <w:rPr>
          <w:rFonts w:hint="eastAsia" w:ascii="宋体" w:hAnsi="宋体" w:eastAsia="宋体" w:cs="宋体"/>
          <w:color w:val="000000"/>
          <w:sz w:val="24"/>
          <w:szCs w:val="24"/>
        </w:rPr>
      </w:pPr>
    </w:p>
    <w:p w14:paraId="09C60F52">
      <w:pPr>
        <w:rPr>
          <w:rFonts w:hint="eastAsia" w:ascii="宋体" w:hAnsi="宋体" w:eastAsia="宋体" w:cs="宋体"/>
          <w:color w:val="000000"/>
          <w:sz w:val="24"/>
          <w:szCs w:val="24"/>
        </w:rPr>
      </w:pPr>
    </w:p>
    <w:p w14:paraId="1FAC9DEB">
      <w:pPr>
        <w:rPr>
          <w:rFonts w:hint="eastAsia" w:ascii="宋体" w:hAnsi="宋体" w:eastAsia="宋体" w:cs="宋体"/>
          <w:color w:val="000000"/>
          <w:sz w:val="24"/>
          <w:szCs w:val="24"/>
        </w:rPr>
      </w:pPr>
    </w:p>
    <w:p w14:paraId="40F1C68E">
      <w:pPr>
        <w:rPr>
          <w:rFonts w:hint="eastAsia" w:ascii="宋体" w:hAnsi="宋体" w:eastAsia="宋体" w:cs="宋体"/>
          <w:color w:val="000000"/>
          <w:sz w:val="24"/>
          <w:szCs w:val="24"/>
        </w:rPr>
      </w:pPr>
    </w:p>
    <w:p w14:paraId="44787338">
      <w:pPr>
        <w:rPr>
          <w:rFonts w:hint="eastAsia" w:ascii="宋体" w:hAnsi="宋体" w:eastAsia="宋体" w:cs="宋体"/>
          <w:color w:val="000000"/>
          <w:sz w:val="24"/>
          <w:szCs w:val="24"/>
        </w:rPr>
      </w:pPr>
    </w:p>
    <w:p w14:paraId="264161EB">
      <w:pPr>
        <w:rPr>
          <w:rFonts w:hint="eastAsia" w:ascii="宋体" w:hAnsi="宋体" w:eastAsia="宋体" w:cs="宋体"/>
          <w:color w:val="000000"/>
          <w:sz w:val="24"/>
          <w:szCs w:val="24"/>
        </w:rPr>
      </w:pPr>
    </w:p>
    <w:p w14:paraId="3637007B">
      <w:pPr>
        <w:pStyle w:val="6"/>
        <w:numPr>
          <w:ilvl w:val="0"/>
          <w:numId w:val="52"/>
        </w:numPr>
        <w:tabs>
          <w:tab w:val="clear" w:pos="482"/>
        </w:tabs>
        <w:bidi w:val="0"/>
        <w:ind w:left="0" w:leftChars="0" w:firstLine="480" w:firstLineChars="0"/>
        <w:rPr>
          <w:rFonts w:hint="eastAsia" w:ascii="宋体" w:hAnsi="宋体" w:eastAsia="宋体" w:cs="宋体"/>
          <w:sz w:val="24"/>
          <w:szCs w:val="24"/>
        </w:rPr>
      </w:pPr>
      <w:r>
        <w:rPr>
          <w:rFonts w:hint="eastAsia" w:ascii="宋体" w:hAnsi="宋体" w:eastAsia="宋体" w:cs="宋体"/>
          <w:sz w:val="24"/>
          <w:szCs w:val="24"/>
        </w:rPr>
        <w:t>法定代表人身份证明书及法定代表人有效身份证正反面复印件；（格式）</w:t>
      </w:r>
    </w:p>
    <w:p w14:paraId="3BB0CCF9">
      <w:pPr>
        <w:spacing w:line="360" w:lineRule="auto"/>
        <w:ind w:firstLine="602" w:firstLineChars="250"/>
        <w:jc w:val="center"/>
        <w:rPr>
          <w:rFonts w:hint="eastAsia" w:ascii="宋体" w:hAnsi="宋体" w:eastAsia="宋体" w:cs="宋体"/>
          <w:b/>
          <w:color w:val="000000"/>
          <w:sz w:val="24"/>
          <w:szCs w:val="24"/>
        </w:rPr>
      </w:pPr>
    </w:p>
    <w:p w14:paraId="21EE4B95">
      <w:pPr>
        <w:pStyle w:val="45"/>
        <w:outlineLvl w:val="9"/>
        <w:rPr>
          <w:rFonts w:hint="eastAsia" w:ascii="宋体" w:hAnsi="宋体" w:eastAsia="宋体" w:cs="宋体"/>
          <w:sz w:val="24"/>
          <w:szCs w:val="24"/>
        </w:rPr>
      </w:pPr>
      <w:r>
        <w:rPr>
          <w:rFonts w:hint="eastAsia" w:ascii="宋体" w:hAnsi="宋体" w:eastAsia="宋体" w:cs="宋体"/>
          <w:sz w:val="24"/>
          <w:szCs w:val="24"/>
        </w:rPr>
        <w:t>法定代表人身份证明</w:t>
      </w:r>
    </w:p>
    <w:p w14:paraId="4D8C48BA">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供 应 商：</w:t>
      </w:r>
      <w:r>
        <w:rPr>
          <w:rFonts w:hint="eastAsia" w:ascii="宋体" w:hAnsi="宋体" w:eastAsia="宋体" w:cs="宋体"/>
          <w:color w:val="000000"/>
          <w:sz w:val="24"/>
          <w:szCs w:val="24"/>
          <w:u w:val="single"/>
        </w:rPr>
        <w:t xml:space="preserve">                                                        </w:t>
      </w:r>
    </w:p>
    <w:p w14:paraId="651DD35F">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单位性质：</w:t>
      </w:r>
      <w:r>
        <w:rPr>
          <w:rFonts w:hint="eastAsia" w:ascii="宋体" w:hAnsi="宋体" w:eastAsia="宋体" w:cs="宋体"/>
          <w:color w:val="000000"/>
          <w:sz w:val="24"/>
          <w:szCs w:val="24"/>
          <w:u w:val="single"/>
        </w:rPr>
        <w:t xml:space="preserve">                                                        </w:t>
      </w:r>
    </w:p>
    <w:p w14:paraId="458A2A08">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w:t>
      </w:r>
    </w:p>
    <w:p w14:paraId="196B6E85">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成立时间：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48B7256B">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经营期限：</w:t>
      </w:r>
      <w:r>
        <w:rPr>
          <w:rFonts w:hint="eastAsia" w:ascii="宋体" w:hAnsi="宋体" w:eastAsia="宋体" w:cs="宋体"/>
          <w:color w:val="000000"/>
          <w:sz w:val="24"/>
          <w:szCs w:val="24"/>
          <w:u w:val="single"/>
        </w:rPr>
        <w:t xml:space="preserve">                                                        </w:t>
      </w:r>
    </w:p>
    <w:p w14:paraId="564C413F">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性     别：</w:t>
      </w:r>
      <w:r>
        <w:rPr>
          <w:rFonts w:hint="eastAsia" w:ascii="宋体" w:hAnsi="宋体" w:eastAsia="宋体" w:cs="宋体"/>
          <w:color w:val="000000"/>
          <w:sz w:val="24"/>
          <w:szCs w:val="24"/>
          <w:u w:val="single"/>
        </w:rPr>
        <w:t xml:space="preserve">                   </w:t>
      </w:r>
    </w:p>
    <w:p w14:paraId="4E5136CB">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年    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职     务：</w:t>
      </w:r>
      <w:r>
        <w:rPr>
          <w:rFonts w:hint="eastAsia" w:ascii="宋体" w:hAnsi="宋体" w:eastAsia="宋体" w:cs="宋体"/>
          <w:color w:val="000000"/>
          <w:sz w:val="24"/>
          <w:szCs w:val="24"/>
          <w:u w:val="single"/>
        </w:rPr>
        <w:t xml:space="preserve">                   </w:t>
      </w:r>
    </w:p>
    <w:p w14:paraId="4A019CDA">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（供应商名称）的法定代表人。</w:t>
      </w:r>
    </w:p>
    <w:p w14:paraId="08A240EE">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特此证明。</w:t>
      </w:r>
    </w:p>
    <w:p w14:paraId="243062E7">
      <w:pPr>
        <w:spacing w:line="360" w:lineRule="auto"/>
        <w:rPr>
          <w:rFonts w:hint="eastAsia" w:ascii="宋体" w:hAnsi="宋体" w:eastAsia="宋体" w:cs="宋体"/>
          <w:color w:val="000000"/>
          <w:sz w:val="24"/>
          <w:szCs w:val="24"/>
        </w:rPr>
      </w:pPr>
    </w:p>
    <w:p w14:paraId="46774FA6">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附件：法定代表人有效身份证正反面复印件</w:t>
      </w:r>
    </w:p>
    <w:p w14:paraId="32AF4180">
      <w:pPr>
        <w:spacing w:line="360" w:lineRule="auto"/>
        <w:rPr>
          <w:rFonts w:hint="eastAsia" w:ascii="宋体" w:hAnsi="宋体" w:eastAsia="宋体" w:cs="宋体"/>
          <w:color w:val="000000"/>
          <w:sz w:val="24"/>
          <w:szCs w:val="24"/>
        </w:rPr>
      </w:pPr>
    </w:p>
    <w:p w14:paraId="1E5D0C6D">
      <w:pPr>
        <w:spacing w:line="360" w:lineRule="auto"/>
        <w:jc w:val="right"/>
        <w:rPr>
          <w:rFonts w:hint="eastAsia" w:ascii="宋体" w:hAnsi="宋体" w:eastAsia="宋体" w:cs="宋体"/>
          <w:color w:val="000000"/>
          <w:sz w:val="24"/>
          <w:szCs w:val="24"/>
        </w:rPr>
      </w:pPr>
      <w:r>
        <w:rPr>
          <w:rFonts w:hint="eastAsia" w:ascii="宋体" w:hAnsi="宋体" w:eastAsia="宋体" w:cs="宋体"/>
          <w:color w:val="000000"/>
          <w:sz w:val="24"/>
          <w:szCs w:val="24"/>
        </w:rPr>
        <w:t>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p>
    <w:p w14:paraId="7730A7D1">
      <w:pPr>
        <w:spacing w:line="360" w:lineRule="auto"/>
        <w:ind w:left="420" w:leftChars="200" w:firstLine="4200" w:firstLineChars="1750"/>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70F69A75">
      <w:pPr>
        <w:spacing w:line="360" w:lineRule="auto"/>
        <w:ind w:left="420" w:leftChars="200" w:firstLine="4200" w:firstLineChars="1750"/>
        <w:rPr>
          <w:rFonts w:hint="eastAsia" w:ascii="宋体" w:hAnsi="宋体" w:eastAsia="宋体" w:cs="宋体"/>
          <w:color w:val="000000"/>
          <w:sz w:val="24"/>
          <w:szCs w:val="24"/>
        </w:rPr>
      </w:pPr>
    </w:p>
    <w:p w14:paraId="482E49C3">
      <w:pPr>
        <w:spacing w:line="360" w:lineRule="auto"/>
        <w:ind w:left="420" w:leftChars="200" w:firstLine="4200" w:firstLineChars="1750"/>
        <w:rPr>
          <w:rFonts w:hint="eastAsia" w:ascii="宋体" w:hAnsi="宋体" w:eastAsia="宋体" w:cs="宋体"/>
          <w:color w:val="000000"/>
          <w:sz w:val="24"/>
          <w:szCs w:val="24"/>
        </w:rPr>
      </w:pPr>
    </w:p>
    <w:p w14:paraId="7F62862E">
      <w:pPr>
        <w:spacing w:line="360" w:lineRule="auto"/>
        <w:ind w:left="420" w:leftChars="200" w:firstLine="4200" w:firstLineChars="1750"/>
        <w:rPr>
          <w:rFonts w:hint="eastAsia" w:ascii="宋体" w:hAnsi="宋体" w:eastAsia="宋体" w:cs="宋体"/>
          <w:b/>
          <w:color w:val="000000"/>
          <w:sz w:val="24"/>
          <w:szCs w:val="24"/>
        </w:rPr>
      </w:pPr>
      <w:r>
        <w:rPr>
          <w:rFonts w:hint="eastAsia" w:ascii="宋体" w:hAnsi="宋体" w:eastAsia="宋体" w:cs="宋体"/>
          <w:color w:val="000000"/>
          <w:sz w:val="24"/>
          <w:szCs w:val="24"/>
        </w:rPr>
        <w:br w:type="page"/>
      </w:r>
    </w:p>
    <w:p w14:paraId="1AA22095">
      <w:pPr>
        <w:pStyle w:val="6"/>
        <w:numPr>
          <w:ilvl w:val="0"/>
          <w:numId w:val="52"/>
        </w:numPr>
        <w:tabs>
          <w:tab w:val="clear" w:pos="482"/>
        </w:tabs>
        <w:bidi w:val="0"/>
        <w:ind w:left="0" w:leftChars="0" w:firstLine="480" w:firstLineChars="0"/>
        <w:rPr>
          <w:rFonts w:hint="eastAsia" w:ascii="宋体" w:hAnsi="宋体" w:eastAsia="宋体" w:cs="宋体"/>
          <w:sz w:val="24"/>
          <w:szCs w:val="24"/>
        </w:rPr>
      </w:pPr>
      <w:r>
        <w:rPr>
          <w:rFonts w:hint="eastAsia" w:ascii="宋体" w:hAnsi="宋体" w:eastAsia="宋体" w:cs="宋体"/>
          <w:sz w:val="24"/>
          <w:szCs w:val="24"/>
        </w:rPr>
        <w:t>法定代表人授权委托书及被授权人有效身份证正反面复印件（格式）</w:t>
      </w:r>
    </w:p>
    <w:p w14:paraId="049F8B7F">
      <w:pPr>
        <w:adjustRightInd w:val="0"/>
        <w:snapToGrid w:val="0"/>
        <w:spacing w:line="360" w:lineRule="auto"/>
        <w:jc w:val="center"/>
        <w:rPr>
          <w:rFonts w:hint="eastAsia" w:ascii="宋体" w:hAnsi="宋体" w:eastAsia="宋体" w:cs="宋体"/>
          <w:b/>
          <w:color w:val="000000"/>
          <w:sz w:val="24"/>
          <w:szCs w:val="24"/>
        </w:rPr>
      </w:pPr>
    </w:p>
    <w:p w14:paraId="5DB2AE5E">
      <w:pPr>
        <w:pStyle w:val="45"/>
        <w:outlineLvl w:val="9"/>
        <w:rPr>
          <w:rFonts w:hint="eastAsia" w:ascii="宋体" w:hAnsi="宋体" w:eastAsia="宋体" w:cs="宋体"/>
          <w:sz w:val="24"/>
          <w:szCs w:val="24"/>
        </w:rPr>
      </w:pPr>
      <w:r>
        <w:rPr>
          <w:rFonts w:hint="eastAsia" w:ascii="宋体" w:hAnsi="宋体" w:eastAsia="宋体" w:cs="宋体"/>
          <w:sz w:val="24"/>
          <w:szCs w:val="24"/>
        </w:rPr>
        <w:t>法 定 代 表 人 授 权 书</w:t>
      </w:r>
    </w:p>
    <w:p w14:paraId="4E947C0A">
      <w:pPr>
        <w:adjustRightInd w:val="0"/>
        <w:snapToGrid w:val="0"/>
        <w:spacing w:line="360" w:lineRule="auto"/>
        <w:rPr>
          <w:rFonts w:hint="eastAsia" w:ascii="宋体" w:hAnsi="宋体" w:eastAsia="宋体" w:cs="宋体"/>
          <w:color w:val="000000"/>
          <w:sz w:val="24"/>
          <w:szCs w:val="24"/>
        </w:rPr>
      </w:pPr>
    </w:p>
    <w:p w14:paraId="7112C1DA">
      <w:pPr>
        <w:pStyle w:val="4"/>
        <w:ind w:firstLine="0" w:firstLineChars="0"/>
        <w:rPr>
          <w:rFonts w:hint="eastAsia" w:ascii="宋体" w:hAnsi="宋体" w:eastAsia="宋体" w:cs="宋体"/>
          <w:b/>
          <w:color w:val="000000"/>
          <w:sz w:val="24"/>
          <w:szCs w:val="24"/>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lang w:eastAsia="zh-CN"/>
        </w:rPr>
        <w:t>广西国立工程咨询有限公司</w:t>
      </w:r>
      <w:r>
        <w:rPr>
          <w:rFonts w:hint="eastAsia" w:ascii="宋体" w:hAnsi="宋体" w:eastAsia="宋体" w:cs="宋体"/>
          <w:color w:val="000000"/>
          <w:sz w:val="24"/>
          <w:szCs w:val="24"/>
          <w:u w:val="single"/>
        </w:rPr>
        <w:t>　</w:t>
      </w:r>
      <w:r>
        <w:rPr>
          <w:rFonts w:hint="eastAsia" w:ascii="宋体" w:hAnsi="宋体" w:eastAsia="宋体" w:cs="宋体"/>
          <w:b/>
          <w:color w:val="000000"/>
          <w:sz w:val="24"/>
          <w:szCs w:val="24"/>
        </w:rPr>
        <w:t xml:space="preserve"> </w:t>
      </w:r>
      <w:r>
        <w:rPr>
          <w:rFonts w:hint="eastAsia" w:ascii="宋体" w:hAnsi="宋体" w:eastAsia="宋体" w:cs="宋体"/>
          <w:color w:val="000000"/>
          <w:sz w:val="24"/>
          <w:szCs w:val="24"/>
        </w:rPr>
        <w:t>：</w:t>
      </w:r>
    </w:p>
    <w:p w14:paraId="5811E9A0">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我______（姓名）系______（供应商名称）的法定代表人，现授权委托本单位在职职工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（姓名）以我方的名义参加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项目的磋商活动，并代表我方全权办理针对上述项目的递交文件、磋商、澄清、签约等具体事务和签署相关文件。</w:t>
      </w:r>
    </w:p>
    <w:p w14:paraId="3571F61C">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我方对被授权人的签名事项负全部责任。</w:t>
      </w:r>
    </w:p>
    <w:p w14:paraId="09955FBE">
      <w:pPr>
        <w:pStyle w:val="4"/>
        <w:rPr>
          <w:rFonts w:hint="eastAsia" w:ascii="宋体" w:hAnsi="宋体" w:eastAsia="宋体" w:cs="宋体"/>
          <w:color w:val="000000"/>
          <w:sz w:val="24"/>
          <w:szCs w:val="24"/>
        </w:rPr>
      </w:pPr>
      <w:r>
        <w:rPr>
          <w:rFonts w:hint="eastAsia" w:ascii="宋体" w:hAnsi="宋体" w:eastAsia="宋体" w:cs="宋体"/>
          <w:color w:val="000000"/>
          <w:sz w:val="24"/>
          <w:szCs w:val="24"/>
          <w:u w:val="single"/>
        </w:rPr>
        <w:t>在撤销授权的书面通知以前，本授权书一直有效。</w:t>
      </w:r>
      <w:r>
        <w:rPr>
          <w:rFonts w:hint="eastAsia" w:ascii="宋体" w:hAnsi="宋体" w:eastAsia="宋体" w:cs="宋体"/>
          <w:color w:val="000000"/>
          <w:sz w:val="24"/>
          <w:szCs w:val="24"/>
        </w:rPr>
        <w:t>被授权人在授权书有效期内签署的所有文件不因授权的撤销而失效。</w:t>
      </w:r>
    </w:p>
    <w:p w14:paraId="36B5FACE">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被授权人无转委托权，特此委托。</w:t>
      </w:r>
    </w:p>
    <w:p w14:paraId="3438144F">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附：法定代表人身份证明及被授权人有效身份证正反面复印件</w:t>
      </w:r>
    </w:p>
    <w:p w14:paraId="3CAF5586">
      <w:pPr>
        <w:snapToGrid w:val="0"/>
        <w:spacing w:before="120" w:beforeLines="50" w:after="50" w:line="360" w:lineRule="auto"/>
        <w:rPr>
          <w:rFonts w:hint="eastAsia" w:ascii="宋体" w:hAnsi="宋体" w:eastAsia="宋体" w:cs="宋体"/>
          <w:color w:val="000000"/>
          <w:sz w:val="24"/>
          <w:szCs w:val="24"/>
        </w:rPr>
      </w:pPr>
    </w:p>
    <w:p w14:paraId="1D9EDE19">
      <w:pPr>
        <w:snapToGrid w:val="0"/>
        <w:spacing w:before="120" w:beforeLines="50" w:after="50" w:line="36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被授权人签名：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法定代表人签名：</w:t>
      </w:r>
      <w:r>
        <w:rPr>
          <w:rFonts w:hint="eastAsia" w:ascii="宋体" w:hAnsi="宋体" w:eastAsia="宋体" w:cs="宋体"/>
          <w:color w:val="000000"/>
          <w:sz w:val="24"/>
          <w:szCs w:val="24"/>
          <w:u w:val="single"/>
        </w:rPr>
        <w:t xml:space="preserve">              </w:t>
      </w:r>
    </w:p>
    <w:p w14:paraId="19DA35D9">
      <w:pPr>
        <w:snapToGrid w:val="0"/>
        <w:spacing w:before="120" w:beforeLines="50" w:after="5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所在部门职务：</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职务：</w:t>
      </w:r>
      <w:r>
        <w:rPr>
          <w:rFonts w:hint="eastAsia" w:ascii="宋体" w:hAnsi="宋体" w:eastAsia="宋体" w:cs="宋体"/>
          <w:color w:val="000000"/>
          <w:sz w:val="24"/>
          <w:szCs w:val="24"/>
          <w:u w:val="single"/>
        </w:rPr>
        <w:t xml:space="preserve">                  </w:t>
      </w:r>
    </w:p>
    <w:p w14:paraId="3F3C9CAD">
      <w:pPr>
        <w:snapToGrid w:val="0"/>
        <w:spacing w:before="120" w:beforeLines="50" w:after="5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被授权人身份证号码：</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00F40E69">
      <w:pPr>
        <w:snapToGrid w:val="0"/>
        <w:spacing w:before="120" w:beforeLines="50" w:after="5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供应商公章：</w:t>
      </w:r>
    </w:p>
    <w:p w14:paraId="733DCDC7">
      <w:pPr>
        <w:spacing w:line="360" w:lineRule="auto"/>
        <w:ind w:left="420"/>
        <w:rPr>
          <w:rFonts w:hint="eastAsia" w:ascii="宋体" w:hAnsi="宋体" w:eastAsia="宋体" w:cs="宋体"/>
          <w:b/>
          <w:color w:val="000000"/>
          <w:sz w:val="24"/>
          <w:szCs w:val="24"/>
        </w:rPr>
      </w:pPr>
      <w:r>
        <w:rPr>
          <w:rFonts w:hint="eastAsia" w:ascii="宋体" w:hAnsi="宋体" w:eastAsia="宋体" w:cs="宋体"/>
          <w:color w:val="000000"/>
          <w:sz w:val="24"/>
          <w:szCs w:val="24"/>
        </w:rPr>
        <w:t xml:space="preserve">                                              年    月    日</w:t>
      </w:r>
    </w:p>
    <w:p w14:paraId="25B91B05">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br w:type="page"/>
      </w:r>
    </w:p>
    <w:p w14:paraId="4C6BEE35">
      <w:pPr>
        <w:pStyle w:val="6"/>
        <w:numPr>
          <w:ilvl w:val="0"/>
          <w:numId w:val="52"/>
        </w:numPr>
        <w:tabs>
          <w:tab w:val="clear" w:pos="482"/>
        </w:tabs>
        <w:bidi w:val="0"/>
        <w:ind w:left="0" w:leftChars="0" w:firstLine="480" w:firstLineChars="0"/>
        <w:rPr>
          <w:rFonts w:hint="eastAsia" w:ascii="宋体" w:hAnsi="宋体" w:eastAsia="宋体" w:cs="宋体"/>
          <w:sz w:val="24"/>
          <w:szCs w:val="24"/>
        </w:rPr>
      </w:pPr>
      <w:r>
        <w:rPr>
          <w:rFonts w:hint="eastAsia" w:ascii="宋体" w:hAnsi="宋体" w:eastAsia="宋体" w:cs="宋体"/>
          <w:sz w:val="24"/>
          <w:szCs w:val="24"/>
        </w:rPr>
        <w:t>供应商基本情况表</w:t>
      </w:r>
    </w:p>
    <w:p w14:paraId="441DF862">
      <w:pPr>
        <w:pStyle w:val="45"/>
        <w:outlineLvl w:val="9"/>
        <w:rPr>
          <w:rFonts w:hint="eastAsia" w:ascii="宋体" w:hAnsi="宋体" w:eastAsia="宋体" w:cs="宋体"/>
          <w:sz w:val="24"/>
          <w:szCs w:val="24"/>
        </w:rPr>
      </w:pPr>
      <w:r>
        <w:rPr>
          <w:rFonts w:hint="eastAsia" w:ascii="宋体" w:hAnsi="宋体" w:eastAsia="宋体" w:cs="宋体"/>
          <w:sz w:val="24"/>
          <w:szCs w:val="24"/>
        </w:rPr>
        <w:t>供应商基本情况表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14:paraId="20D5B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41A58FEC">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供应商名称</w:t>
            </w:r>
          </w:p>
        </w:tc>
        <w:tc>
          <w:tcPr>
            <w:tcW w:w="7341" w:type="dxa"/>
            <w:gridSpan w:val="8"/>
            <w:noWrap w:val="0"/>
            <w:vAlign w:val="center"/>
          </w:tcPr>
          <w:p w14:paraId="55E79093">
            <w:pPr>
              <w:spacing w:line="360" w:lineRule="auto"/>
              <w:jc w:val="center"/>
              <w:rPr>
                <w:rFonts w:hint="eastAsia" w:ascii="宋体" w:hAnsi="宋体" w:eastAsia="宋体" w:cs="宋体"/>
                <w:color w:val="000000"/>
                <w:sz w:val="24"/>
                <w:szCs w:val="24"/>
              </w:rPr>
            </w:pPr>
          </w:p>
        </w:tc>
      </w:tr>
      <w:tr w14:paraId="6704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297C8573">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注册地址</w:t>
            </w:r>
          </w:p>
        </w:tc>
        <w:tc>
          <w:tcPr>
            <w:tcW w:w="3389" w:type="dxa"/>
            <w:gridSpan w:val="4"/>
            <w:noWrap w:val="0"/>
            <w:vAlign w:val="center"/>
          </w:tcPr>
          <w:p w14:paraId="7F439B0E">
            <w:pPr>
              <w:spacing w:line="360" w:lineRule="auto"/>
              <w:jc w:val="center"/>
              <w:rPr>
                <w:rFonts w:hint="eastAsia" w:ascii="宋体" w:hAnsi="宋体" w:eastAsia="宋体" w:cs="宋体"/>
                <w:color w:val="000000"/>
                <w:sz w:val="24"/>
                <w:szCs w:val="24"/>
              </w:rPr>
            </w:pPr>
          </w:p>
        </w:tc>
        <w:tc>
          <w:tcPr>
            <w:tcW w:w="1246" w:type="dxa"/>
            <w:noWrap w:val="0"/>
            <w:vAlign w:val="center"/>
          </w:tcPr>
          <w:p w14:paraId="0C6C93DA">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p>
        </w:tc>
        <w:tc>
          <w:tcPr>
            <w:tcW w:w="2706" w:type="dxa"/>
            <w:gridSpan w:val="3"/>
            <w:noWrap w:val="0"/>
            <w:vAlign w:val="center"/>
          </w:tcPr>
          <w:p w14:paraId="3295BBF4">
            <w:pPr>
              <w:spacing w:line="360" w:lineRule="auto"/>
              <w:jc w:val="center"/>
              <w:rPr>
                <w:rFonts w:hint="eastAsia" w:ascii="宋体" w:hAnsi="宋体" w:eastAsia="宋体" w:cs="宋体"/>
                <w:color w:val="000000"/>
                <w:sz w:val="24"/>
                <w:szCs w:val="24"/>
              </w:rPr>
            </w:pPr>
          </w:p>
        </w:tc>
      </w:tr>
      <w:tr w14:paraId="2B81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noWrap w:val="0"/>
            <w:vAlign w:val="center"/>
          </w:tcPr>
          <w:p w14:paraId="6F2A4440">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联系方式</w:t>
            </w:r>
          </w:p>
        </w:tc>
        <w:tc>
          <w:tcPr>
            <w:tcW w:w="897" w:type="dxa"/>
            <w:noWrap w:val="0"/>
            <w:vAlign w:val="center"/>
          </w:tcPr>
          <w:p w14:paraId="2EA63106">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联系人</w:t>
            </w:r>
          </w:p>
        </w:tc>
        <w:tc>
          <w:tcPr>
            <w:tcW w:w="2492" w:type="dxa"/>
            <w:gridSpan w:val="3"/>
            <w:noWrap w:val="0"/>
            <w:vAlign w:val="center"/>
          </w:tcPr>
          <w:p w14:paraId="6DCB1532">
            <w:pPr>
              <w:spacing w:line="360" w:lineRule="auto"/>
              <w:jc w:val="center"/>
              <w:rPr>
                <w:rFonts w:hint="eastAsia" w:ascii="宋体" w:hAnsi="宋体" w:eastAsia="宋体" w:cs="宋体"/>
                <w:color w:val="000000"/>
                <w:sz w:val="24"/>
                <w:szCs w:val="24"/>
              </w:rPr>
            </w:pPr>
          </w:p>
        </w:tc>
        <w:tc>
          <w:tcPr>
            <w:tcW w:w="1246" w:type="dxa"/>
            <w:noWrap w:val="0"/>
            <w:vAlign w:val="center"/>
          </w:tcPr>
          <w:p w14:paraId="30F29A37">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  话</w:t>
            </w:r>
          </w:p>
        </w:tc>
        <w:tc>
          <w:tcPr>
            <w:tcW w:w="2706" w:type="dxa"/>
            <w:gridSpan w:val="3"/>
            <w:noWrap w:val="0"/>
            <w:vAlign w:val="center"/>
          </w:tcPr>
          <w:p w14:paraId="695C8733">
            <w:pPr>
              <w:spacing w:line="360" w:lineRule="auto"/>
              <w:jc w:val="center"/>
              <w:rPr>
                <w:rFonts w:hint="eastAsia" w:ascii="宋体" w:hAnsi="宋体" w:eastAsia="宋体" w:cs="宋体"/>
                <w:color w:val="000000"/>
                <w:sz w:val="24"/>
                <w:szCs w:val="24"/>
              </w:rPr>
            </w:pPr>
          </w:p>
        </w:tc>
      </w:tr>
      <w:tr w14:paraId="7563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noWrap w:val="0"/>
            <w:vAlign w:val="center"/>
          </w:tcPr>
          <w:p w14:paraId="74A84301">
            <w:pPr>
              <w:spacing w:line="360" w:lineRule="auto"/>
              <w:jc w:val="center"/>
              <w:rPr>
                <w:rFonts w:hint="eastAsia" w:ascii="宋体" w:hAnsi="宋体" w:eastAsia="宋体" w:cs="宋体"/>
                <w:color w:val="000000"/>
                <w:sz w:val="24"/>
                <w:szCs w:val="24"/>
              </w:rPr>
            </w:pPr>
          </w:p>
        </w:tc>
        <w:tc>
          <w:tcPr>
            <w:tcW w:w="897" w:type="dxa"/>
            <w:noWrap w:val="0"/>
            <w:vAlign w:val="center"/>
          </w:tcPr>
          <w:p w14:paraId="2C813A5A">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传  真</w:t>
            </w:r>
          </w:p>
        </w:tc>
        <w:tc>
          <w:tcPr>
            <w:tcW w:w="2492" w:type="dxa"/>
            <w:gridSpan w:val="3"/>
            <w:noWrap w:val="0"/>
            <w:vAlign w:val="center"/>
          </w:tcPr>
          <w:p w14:paraId="75DF499C">
            <w:pPr>
              <w:spacing w:line="360" w:lineRule="auto"/>
              <w:jc w:val="center"/>
              <w:rPr>
                <w:rFonts w:hint="eastAsia" w:ascii="宋体" w:hAnsi="宋体" w:eastAsia="宋体" w:cs="宋体"/>
                <w:color w:val="000000"/>
                <w:sz w:val="24"/>
                <w:szCs w:val="24"/>
              </w:rPr>
            </w:pPr>
          </w:p>
        </w:tc>
        <w:tc>
          <w:tcPr>
            <w:tcW w:w="1246" w:type="dxa"/>
            <w:noWrap w:val="0"/>
            <w:vAlign w:val="center"/>
          </w:tcPr>
          <w:p w14:paraId="7039FC22">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网  址</w:t>
            </w:r>
          </w:p>
        </w:tc>
        <w:tc>
          <w:tcPr>
            <w:tcW w:w="2706" w:type="dxa"/>
            <w:gridSpan w:val="3"/>
            <w:noWrap w:val="0"/>
            <w:vAlign w:val="center"/>
          </w:tcPr>
          <w:p w14:paraId="3856B05B">
            <w:pPr>
              <w:spacing w:line="360" w:lineRule="auto"/>
              <w:jc w:val="center"/>
              <w:rPr>
                <w:rFonts w:hint="eastAsia" w:ascii="宋体" w:hAnsi="宋体" w:eastAsia="宋体" w:cs="宋体"/>
                <w:color w:val="000000"/>
                <w:sz w:val="24"/>
                <w:szCs w:val="24"/>
              </w:rPr>
            </w:pPr>
          </w:p>
        </w:tc>
      </w:tr>
      <w:tr w14:paraId="354D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5EAC9DA9">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统一社会信用代码</w:t>
            </w:r>
          </w:p>
        </w:tc>
        <w:tc>
          <w:tcPr>
            <w:tcW w:w="7341" w:type="dxa"/>
            <w:gridSpan w:val="8"/>
            <w:noWrap w:val="0"/>
            <w:vAlign w:val="center"/>
          </w:tcPr>
          <w:p w14:paraId="1AF04ADD">
            <w:pPr>
              <w:spacing w:line="360" w:lineRule="auto"/>
              <w:jc w:val="center"/>
              <w:rPr>
                <w:rFonts w:hint="eastAsia" w:ascii="宋体" w:hAnsi="宋体" w:eastAsia="宋体" w:cs="宋体"/>
                <w:color w:val="000000"/>
                <w:sz w:val="24"/>
                <w:szCs w:val="24"/>
              </w:rPr>
            </w:pPr>
          </w:p>
        </w:tc>
      </w:tr>
      <w:tr w14:paraId="3515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2035A579">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897" w:type="dxa"/>
            <w:noWrap w:val="0"/>
            <w:vAlign w:val="center"/>
          </w:tcPr>
          <w:p w14:paraId="3563944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1021" w:type="dxa"/>
            <w:noWrap w:val="0"/>
            <w:vAlign w:val="center"/>
          </w:tcPr>
          <w:p w14:paraId="40A8E408">
            <w:pPr>
              <w:spacing w:line="360" w:lineRule="auto"/>
              <w:jc w:val="center"/>
              <w:rPr>
                <w:rFonts w:hint="eastAsia" w:ascii="宋体" w:hAnsi="宋体" w:eastAsia="宋体" w:cs="宋体"/>
                <w:color w:val="000000"/>
                <w:sz w:val="24"/>
                <w:szCs w:val="24"/>
              </w:rPr>
            </w:pPr>
          </w:p>
        </w:tc>
        <w:tc>
          <w:tcPr>
            <w:tcW w:w="1160" w:type="dxa"/>
            <w:noWrap w:val="0"/>
            <w:vAlign w:val="center"/>
          </w:tcPr>
          <w:p w14:paraId="60DA35B9">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技术职称</w:t>
            </w:r>
          </w:p>
        </w:tc>
        <w:tc>
          <w:tcPr>
            <w:tcW w:w="1620" w:type="dxa"/>
            <w:gridSpan w:val="3"/>
            <w:noWrap w:val="0"/>
            <w:vAlign w:val="center"/>
          </w:tcPr>
          <w:p w14:paraId="38950F18">
            <w:pPr>
              <w:spacing w:line="360" w:lineRule="auto"/>
              <w:jc w:val="center"/>
              <w:rPr>
                <w:rFonts w:hint="eastAsia" w:ascii="宋体" w:hAnsi="宋体" w:eastAsia="宋体" w:cs="宋体"/>
                <w:color w:val="000000"/>
                <w:sz w:val="24"/>
                <w:szCs w:val="24"/>
              </w:rPr>
            </w:pPr>
          </w:p>
        </w:tc>
        <w:tc>
          <w:tcPr>
            <w:tcW w:w="720" w:type="dxa"/>
            <w:noWrap w:val="0"/>
            <w:vAlign w:val="center"/>
          </w:tcPr>
          <w:p w14:paraId="3534AB1F">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电话</w:t>
            </w:r>
          </w:p>
        </w:tc>
        <w:tc>
          <w:tcPr>
            <w:tcW w:w="1923" w:type="dxa"/>
            <w:noWrap w:val="0"/>
            <w:vAlign w:val="center"/>
          </w:tcPr>
          <w:p w14:paraId="63A27D06">
            <w:pPr>
              <w:spacing w:line="360" w:lineRule="auto"/>
              <w:jc w:val="center"/>
              <w:rPr>
                <w:rFonts w:hint="eastAsia" w:ascii="宋体" w:hAnsi="宋体" w:eastAsia="宋体" w:cs="宋体"/>
                <w:color w:val="000000"/>
                <w:sz w:val="24"/>
                <w:szCs w:val="24"/>
              </w:rPr>
            </w:pPr>
          </w:p>
        </w:tc>
      </w:tr>
      <w:tr w14:paraId="5D5B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755523FA">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技术负责人</w:t>
            </w:r>
          </w:p>
        </w:tc>
        <w:tc>
          <w:tcPr>
            <w:tcW w:w="897" w:type="dxa"/>
            <w:noWrap w:val="0"/>
            <w:vAlign w:val="center"/>
          </w:tcPr>
          <w:p w14:paraId="73026BC3">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1021" w:type="dxa"/>
            <w:noWrap w:val="0"/>
            <w:vAlign w:val="center"/>
          </w:tcPr>
          <w:p w14:paraId="257B53AA">
            <w:pPr>
              <w:spacing w:line="360" w:lineRule="auto"/>
              <w:jc w:val="center"/>
              <w:rPr>
                <w:rFonts w:hint="eastAsia" w:ascii="宋体" w:hAnsi="宋体" w:eastAsia="宋体" w:cs="宋体"/>
                <w:color w:val="000000"/>
                <w:sz w:val="24"/>
                <w:szCs w:val="24"/>
              </w:rPr>
            </w:pPr>
          </w:p>
        </w:tc>
        <w:tc>
          <w:tcPr>
            <w:tcW w:w="1160" w:type="dxa"/>
            <w:noWrap w:val="0"/>
            <w:vAlign w:val="center"/>
          </w:tcPr>
          <w:p w14:paraId="5D5BF137">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技术职称</w:t>
            </w:r>
          </w:p>
        </w:tc>
        <w:tc>
          <w:tcPr>
            <w:tcW w:w="1620" w:type="dxa"/>
            <w:gridSpan w:val="3"/>
            <w:noWrap w:val="0"/>
            <w:vAlign w:val="center"/>
          </w:tcPr>
          <w:p w14:paraId="19BDCFB6">
            <w:pPr>
              <w:spacing w:line="360" w:lineRule="auto"/>
              <w:jc w:val="center"/>
              <w:rPr>
                <w:rFonts w:hint="eastAsia" w:ascii="宋体" w:hAnsi="宋体" w:eastAsia="宋体" w:cs="宋体"/>
                <w:color w:val="000000"/>
                <w:sz w:val="24"/>
                <w:szCs w:val="24"/>
              </w:rPr>
            </w:pPr>
          </w:p>
        </w:tc>
        <w:tc>
          <w:tcPr>
            <w:tcW w:w="720" w:type="dxa"/>
            <w:noWrap w:val="0"/>
            <w:vAlign w:val="center"/>
          </w:tcPr>
          <w:p w14:paraId="2D968C89">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电话</w:t>
            </w:r>
          </w:p>
        </w:tc>
        <w:tc>
          <w:tcPr>
            <w:tcW w:w="1923" w:type="dxa"/>
            <w:noWrap w:val="0"/>
            <w:vAlign w:val="center"/>
          </w:tcPr>
          <w:p w14:paraId="669F30EE">
            <w:pPr>
              <w:spacing w:line="360" w:lineRule="auto"/>
              <w:jc w:val="center"/>
              <w:rPr>
                <w:rFonts w:hint="eastAsia" w:ascii="宋体" w:hAnsi="宋体" w:eastAsia="宋体" w:cs="宋体"/>
                <w:color w:val="000000"/>
                <w:sz w:val="24"/>
                <w:szCs w:val="24"/>
              </w:rPr>
            </w:pPr>
          </w:p>
        </w:tc>
      </w:tr>
      <w:tr w14:paraId="497F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07C9DB26">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成立时间</w:t>
            </w:r>
          </w:p>
        </w:tc>
        <w:tc>
          <w:tcPr>
            <w:tcW w:w="1918" w:type="dxa"/>
            <w:gridSpan w:val="2"/>
            <w:noWrap w:val="0"/>
            <w:vAlign w:val="center"/>
          </w:tcPr>
          <w:p w14:paraId="77F61CB2">
            <w:pPr>
              <w:spacing w:line="360" w:lineRule="auto"/>
              <w:jc w:val="center"/>
              <w:rPr>
                <w:rFonts w:hint="eastAsia" w:ascii="宋体" w:hAnsi="宋体" w:eastAsia="宋体" w:cs="宋体"/>
                <w:color w:val="000000"/>
                <w:sz w:val="24"/>
                <w:szCs w:val="24"/>
              </w:rPr>
            </w:pPr>
          </w:p>
        </w:tc>
        <w:tc>
          <w:tcPr>
            <w:tcW w:w="5423" w:type="dxa"/>
            <w:gridSpan w:val="6"/>
            <w:noWrap w:val="0"/>
            <w:vAlign w:val="center"/>
          </w:tcPr>
          <w:p w14:paraId="4D4EC38E">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员工总人数：</w:t>
            </w:r>
          </w:p>
        </w:tc>
      </w:tr>
      <w:tr w14:paraId="347D3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061083CB">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资质等级</w:t>
            </w:r>
          </w:p>
        </w:tc>
        <w:tc>
          <w:tcPr>
            <w:tcW w:w="1918" w:type="dxa"/>
            <w:gridSpan w:val="2"/>
            <w:noWrap w:val="0"/>
            <w:vAlign w:val="center"/>
          </w:tcPr>
          <w:p w14:paraId="548BD27D">
            <w:pPr>
              <w:spacing w:line="360" w:lineRule="auto"/>
              <w:jc w:val="center"/>
              <w:rPr>
                <w:rFonts w:hint="eastAsia" w:ascii="宋体" w:hAnsi="宋体" w:eastAsia="宋体" w:cs="宋体"/>
                <w:color w:val="000000"/>
                <w:sz w:val="24"/>
                <w:szCs w:val="24"/>
              </w:rPr>
            </w:pPr>
          </w:p>
        </w:tc>
        <w:tc>
          <w:tcPr>
            <w:tcW w:w="1160" w:type="dxa"/>
            <w:vMerge w:val="restart"/>
            <w:noWrap w:val="0"/>
            <w:vAlign w:val="center"/>
          </w:tcPr>
          <w:p w14:paraId="295359D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其中</w:t>
            </w:r>
          </w:p>
        </w:tc>
        <w:tc>
          <w:tcPr>
            <w:tcW w:w="1620" w:type="dxa"/>
            <w:gridSpan w:val="3"/>
            <w:noWrap w:val="0"/>
            <w:vAlign w:val="center"/>
          </w:tcPr>
          <w:p w14:paraId="45B5CEBB">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项目经理</w:t>
            </w:r>
          </w:p>
        </w:tc>
        <w:tc>
          <w:tcPr>
            <w:tcW w:w="2643" w:type="dxa"/>
            <w:gridSpan w:val="2"/>
            <w:noWrap w:val="0"/>
            <w:vAlign w:val="center"/>
          </w:tcPr>
          <w:p w14:paraId="5F60C7A7">
            <w:pPr>
              <w:spacing w:line="360" w:lineRule="auto"/>
              <w:jc w:val="center"/>
              <w:rPr>
                <w:rFonts w:hint="eastAsia" w:ascii="宋体" w:hAnsi="宋体" w:eastAsia="宋体" w:cs="宋体"/>
                <w:color w:val="000000"/>
                <w:sz w:val="24"/>
                <w:szCs w:val="24"/>
              </w:rPr>
            </w:pPr>
          </w:p>
        </w:tc>
      </w:tr>
      <w:tr w14:paraId="0608C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7327C8D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安全生产许可证号</w:t>
            </w:r>
          </w:p>
        </w:tc>
        <w:tc>
          <w:tcPr>
            <w:tcW w:w="1918" w:type="dxa"/>
            <w:gridSpan w:val="2"/>
            <w:noWrap w:val="0"/>
            <w:vAlign w:val="center"/>
          </w:tcPr>
          <w:p w14:paraId="739B38E3">
            <w:pPr>
              <w:spacing w:line="360" w:lineRule="auto"/>
              <w:jc w:val="center"/>
              <w:rPr>
                <w:rFonts w:hint="eastAsia" w:ascii="宋体" w:hAnsi="宋体" w:eastAsia="宋体" w:cs="宋体"/>
                <w:color w:val="000000"/>
                <w:sz w:val="24"/>
                <w:szCs w:val="24"/>
              </w:rPr>
            </w:pPr>
          </w:p>
        </w:tc>
        <w:tc>
          <w:tcPr>
            <w:tcW w:w="1160" w:type="dxa"/>
            <w:vMerge w:val="continue"/>
            <w:noWrap w:val="0"/>
            <w:vAlign w:val="center"/>
          </w:tcPr>
          <w:p w14:paraId="5698A948">
            <w:pPr>
              <w:spacing w:line="360" w:lineRule="auto"/>
              <w:jc w:val="center"/>
              <w:rPr>
                <w:rFonts w:hint="eastAsia" w:ascii="宋体" w:hAnsi="宋体" w:eastAsia="宋体" w:cs="宋体"/>
                <w:color w:val="000000"/>
                <w:sz w:val="24"/>
                <w:szCs w:val="24"/>
              </w:rPr>
            </w:pPr>
          </w:p>
        </w:tc>
        <w:tc>
          <w:tcPr>
            <w:tcW w:w="1620" w:type="dxa"/>
            <w:gridSpan w:val="3"/>
            <w:noWrap w:val="0"/>
            <w:vAlign w:val="center"/>
          </w:tcPr>
          <w:p w14:paraId="3C9AC1AC">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高级职称人员</w:t>
            </w:r>
          </w:p>
        </w:tc>
        <w:tc>
          <w:tcPr>
            <w:tcW w:w="2643" w:type="dxa"/>
            <w:gridSpan w:val="2"/>
            <w:noWrap w:val="0"/>
            <w:vAlign w:val="center"/>
          </w:tcPr>
          <w:p w14:paraId="1AEE92D2">
            <w:pPr>
              <w:spacing w:line="360" w:lineRule="auto"/>
              <w:jc w:val="center"/>
              <w:rPr>
                <w:rFonts w:hint="eastAsia" w:ascii="宋体" w:hAnsi="宋体" w:eastAsia="宋体" w:cs="宋体"/>
                <w:color w:val="000000"/>
                <w:sz w:val="24"/>
                <w:szCs w:val="24"/>
              </w:rPr>
            </w:pPr>
          </w:p>
        </w:tc>
      </w:tr>
      <w:tr w14:paraId="60C5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23C11AA7">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注册资金</w:t>
            </w:r>
          </w:p>
        </w:tc>
        <w:tc>
          <w:tcPr>
            <w:tcW w:w="1918" w:type="dxa"/>
            <w:gridSpan w:val="2"/>
            <w:noWrap w:val="0"/>
            <w:vAlign w:val="center"/>
          </w:tcPr>
          <w:p w14:paraId="14EF0D88">
            <w:pPr>
              <w:spacing w:line="360" w:lineRule="auto"/>
              <w:jc w:val="center"/>
              <w:rPr>
                <w:rFonts w:hint="eastAsia" w:ascii="宋体" w:hAnsi="宋体" w:eastAsia="宋体" w:cs="宋体"/>
                <w:color w:val="000000"/>
                <w:sz w:val="24"/>
                <w:szCs w:val="24"/>
              </w:rPr>
            </w:pPr>
          </w:p>
        </w:tc>
        <w:tc>
          <w:tcPr>
            <w:tcW w:w="1160" w:type="dxa"/>
            <w:vMerge w:val="continue"/>
            <w:noWrap w:val="0"/>
            <w:vAlign w:val="center"/>
          </w:tcPr>
          <w:p w14:paraId="4636369E">
            <w:pPr>
              <w:spacing w:line="360" w:lineRule="auto"/>
              <w:jc w:val="center"/>
              <w:rPr>
                <w:rFonts w:hint="eastAsia" w:ascii="宋体" w:hAnsi="宋体" w:eastAsia="宋体" w:cs="宋体"/>
                <w:color w:val="000000"/>
                <w:sz w:val="24"/>
                <w:szCs w:val="24"/>
              </w:rPr>
            </w:pPr>
          </w:p>
        </w:tc>
        <w:tc>
          <w:tcPr>
            <w:tcW w:w="1620" w:type="dxa"/>
            <w:gridSpan w:val="3"/>
            <w:noWrap w:val="0"/>
            <w:vAlign w:val="center"/>
          </w:tcPr>
          <w:p w14:paraId="1F39640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中级职称人员</w:t>
            </w:r>
          </w:p>
        </w:tc>
        <w:tc>
          <w:tcPr>
            <w:tcW w:w="2643" w:type="dxa"/>
            <w:gridSpan w:val="2"/>
            <w:noWrap w:val="0"/>
            <w:vAlign w:val="center"/>
          </w:tcPr>
          <w:p w14:paraId="6C47F440">
            <w:pPr>
              <w:spacing w:line="360" w:lineRule="auto"/>
              <w:jc w:val="center"/>
              <w:rPr>
                <w:rFonts w:hint="eastAsia" w:ascii="宋体" w:hAnsi="宋体" w:eastAsia="宋体" w:cs="宋体"/>
                <w:color w:val="000000"/>
                <w:sz w:val="24"/>
                <w:szCs w:val="24"/>
              </w:rPr>
            </w:pPr>
          </w:p>
        </w:tc>
      </w:tr>
      <w:tr w14:paraId="7E1B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36F1C721">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p>
        </w:tc>
        <w:tc>
          <w:tcPr>
            <w:tcW w:w="1918" w:type="dxa"/>
            <w:gridSpan w:val="2"/>
            <w:noWrap w:val="0"/>
            <w:vAlign w:val="center"/>
          </w:tcPr>
          <w:p w14:paraId="290C8F65">
            <w:pPr>
              <w:spacing w:line="360" w:lineRule="auto"/>
              <w:jc w:val="center"/>
              <w:rPr>
                <w:rFonts w:hint="eastAsia" w:ascii="宋体" w:hAnsi="宋体" w:eastAsia="宋体" w:cs="宋体"/>
                <w:color w:val="000000"/>
                <w:sz w:val="24"/>
                <w:szCs w:val="24"/>
              </w:rPr>
            </w:pPr>
          </w:p>
        </w:tc>
        <w:tc>
          <w:tcPr>
            <w:tcW w:w="1160" w:type="dxa"/>
            <w:vMerge w:val="continue"/>
            <w:noWrap w:val="0"/>
            <w:vAlign w:val="center"/>
          </w:tcPr>
          <w:p w14:paraId="31CD85D6">
            <w:pPr>
              <w:spacing w:line="360" w:lineRule="auto"/>
              <w:jc w:val="center"/>
              <w:rPr>
                <w:rFonts w:hint="eastAsia" w:ascii="宋体" w:hAnsi="宋体" w:eastAsia="宋体" w:cs="宋体"/>
                <w:color w:val="000000"/>
                <w:sz w:val="24"/>
                <w:szCs w:val="24"/>
              </w:rPr>
            </w:pPr>
          </w:p>
        </w:tc>
        <w:tc>
          <w:tcPr>
            <w:tcW w:w="1620" w:type="dxa"/>
            <w:gridSpan w:val="3"/>
            <w:noWrap w:val="0"/>
            <w:vAlign w:val="center"/>
          </w:tcPr>
          <w:p w14:paraId="07745B3D">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初级职称人员</w:t>
            </w:r>
          </w:p>
        </w:tc>
        <w:tc>
          <w:tcPr>
            <w:tcW w:w="2643" w:type="dxa"/>
            <w:gridSpan w:val="2"/>
            <w:noWrap w:val="0"/>
            <w:vAlign w:val="center"/>
          </w:tcPr>
          <w:p w14:paraId="30B530C4">
            <w:pPr>
              <w:spacing w:line="360" w:lineRule="auto"/>
              <w:jc w:val="center"/>
              <w:rPr>
                <w:rFonts w:hint="eastAsia" w:ascii="宋体" w:hAnsi="宋体" w:eastAsia="宋体" w:cs="宋体"/>
                <w:color w:val="000000"/>
                <w:sz w:val="24"/>
                <w:szCs w:val="24"/>
              </w:rPr>
            </w:pPr>
          </w:p>
        </w:tc>
      </w:tr>
      <w:tr w14:paraId="5A08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5C2068E8">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账号</w:t>
            </w:r>
          </w:p>
        </w:tc>
        <w:tc>
          <w:tcPr>
            <w:tcW w:w="1918" w:type="dxa"/>
            <w:gridSpan w:val="2"/>
            <w:noWrap w:val="0"/>
            <w:vAlign w:val="center"/>
          </w:tcPr>
          <w:p w14:paraId="0B1B108E">
            <w:pPr>
              <w:spacing w:line="360" w:lineRule="auto"/>
              <w:jc w:val="center"/>
              <w:rPr>
                <w:rFonts w:hint="eastAsia" w:ascii="宋体" w:hAnsi="宋体" w:eastAsia="宋体" w:cs="宋体"/>
                <w:color w:val="000000"/>
                <w:sz w:val="24"/>
                <w:szCs w:val="24"/>
              </w:rPr>
            </w:pPr>
          </w:p>
        </w:tc>
        <w:tc>
          <w:tcPr>
            <w:tcW w:w="1160" w:type="dxa"/>
            <w:vMerge w:val="continue"/>
            <w:noWrap w:val="0"/>
            <w:vAlign w:val="center"/>
          </w:tcPr>
          <w:p w14:paraId="6130CAA9">
            <w:pPr>
              <w:spacing w:line="360" w:lineRule="auto"/>
              <w:jc w:val="center"/>
              <w:rPr>
                <w:rFonts w:hint="eastAsia" w:ascii="宋体" w:hAnsi="宋体" w:eastAsia="宋体" w:cs="宋体"/>
                <w:color w:val="000000"/>
                <w:sz w:val="24"/>
                <w:szCs w:val="24"/>
              </w:rPr>
            </w:pPr>
          </w:p>
        </w:tc>
        <w:tc>
          <w:tcPr>
            <w:tcW w:w="1620" w:type="dxa"/>
            <w:gridSpan w:val="3"/>
            <w:noWrap w:val="0"/>
            <w:vAlign w:val="center"/>
          </w:tcPr>
          <w:p w14:paraId="3B23629D">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  工</w:t>
            </w:r>
          </w:p>
        </w:tc>
        <w:tc>
          <w:tcPr>
            <w:tcW w:w="2643" w:type="dxa"/>
            <w:gridSpan w:val="2"/>
            <w:noWrap w:val="0"/>
            <w:vAlign w:val="center"/>
          </w:tcPr>
          <w:p w14:paraId="7A05B9AF">
            <w:pPr>
              <w:spacing w:line="360" w:lineRule="auto"/>
              <w:jc w:val="center"/>
              <w:rPr>
                <w:rFonts w:hint="eastAsia" w:ascii="宋体" w:hAnsi="宋体" w:eastAsia="宋体" w:cs="宋体"/>
                <w:color w:val="000000"/>
                <w:sz w:val="24"/>
                <w:szCs w:val="24"/>
              </w:rPr>
            </w:pPr>
          </w:p>
        </w:tc>
      </w:tr>
      <w:tr w14:paraId="5752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626" w:type="dxa"/>
            <w:noWrap w:val="0"/>
            <w:vAlign w:val="center"/>
          </w:tcPr>
          <w:p w14:paraId="3D864EE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经营范围</w:t>
            </w:r>
          </w:p>
        </w:tc>
        <w:tc>
          <w:tcPr>
            <w:tcW w:w="7341" w:type="dxa"/>
            <w:gridSpan w:val="8"/>
            <w:noWrap w:val="0"/>
            <w:vAlign w:val="center"/>
          </w:tcPr>
          <w:p w14:paraId="6CE7A54A">
            <w:pPr>
              <w:spacing w:line="360" w:lineRule="auto"/>
              <w:jc w:val="center"/>
              <w:rPr>
                <w:rFonts w:hint="eastAsia" w:ascii="宋体" w:hAnsi="宋体" w:eastAsia="宋体" w:cs="宋体"/>
                <w:color w:val="000000"/>
                <w:sz w:val="24"/>
                <w:szCs w:val="24"/>
              </w:rPr>
            </w:pPr>
          </w:p>
        </w:tc>
      </w:tr>
      <w:tr w14:paraId="2AE7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2ADE06F0">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c>
          <w:tcPr>
            <w:tcW w:w="7341" w:type="dxa"/>
            <w:gridSpan w:val="8"/>
            <w:noWrap w:val="0"/>
            <w:vAlign w:val="center"/>
          </w:tcPr>
          <w:p w14:paraId="74478BF3">
            <w:pPr>
              <w:spacing w:line="360" w:lineRule="auto"/>
              <w:jc w:val="center"/>
              <w:rPr>
                <w:rFonts w:hint="eastAsia" w:ascii="宋体" w:hAnsi="宋体" w:eastAsia="宋体" w:cs="宋体"/>
                <w:color w:val="000000"/>
                <w:sz w:val="24"/>
                <w:szCs w:val="24"/>
              </w:rPr>
            </w:pPr>
          </w:p>
        </w:tc>
      </w:tr>
    </w:tbl>
    <w:p w14:paraId="50989095">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【备注：附有效的营业执照副本、企业资质证书副本、安全生产许可证副本复印件。以上复印件均须加盖供应商单位公章】</w:t>
      </w:r>
    </w:p>
    <w:p w14:paraId="35830871">
      <w:pPr>
        <w:spacing w:line="360" w:lineRule="auto"/>
        <w:ind w:left="420"/>
        <w:rPr>
          <w:rFonts w:hint="eastAsia" w:ascii="宋体" w:hAnsi="宋体" w:eastAsia="宋体" w:cs="宋体"/>
          <w:color w:val="000000"/>
          <w:sz w:val="24"/>
          <w:szCs w:val="24"/>
        </w:rPr>
      </w:pPr>
    </w:p>
    <w:p w14:paraId="57A09879">
      <w:pPr>
        <w:pStyle w:val="6"/>
        <w:numPr>
          <w:ilvl w:val="0"/>
          <w:numId w:val="52"/>
        </w:numPr>
        <w:tabs>
          <w:tab w:val="clear" w:pos="482"/>
        </w:tabs>
        <w:bidi w:val="0"/>
        <w:ind w:left="0" w:leftChars="0" w:firstLine="480" w:firstLineChars="0"/>
        <w:rPr>
          <w:rFonts w:hint="eastAsia" w:ascii="宋体" w:hAnsi="宋体" w:eastAsia="宋体" w:cs="宋体"/>
          <w:sz w:val="24"/>
          <w:szCs w:val="24"/>
        </w:rPr>
      </w:pPr>
      <w:r>
        <w:rPr>
          <w:rFonts w:hint="eastAsia" w:ascii="宋体" w:hAnsi="宋体" w:eastAsia="宋体" w:cs="宋体"/>
          <w:sz w:val="24"/>
          <w:szCs w:val="24"/>
        </w:rPr>
        <w:t>建设工程项目管理承诺书</w:t>
      </w:r>
    </w:p>
    <w:p w14:paraId="05B4E0F0">
      <w:pPr>
        <w:pStyle w:val="45"/>
        <w:outlineLvl w:val="1"/>
        <w:rPr>
          <w:rFonts w:hint="eastAsia" w:ascii="宋体" w:hAnsi="宋体" w:eastAsia="宋体" w:cs="宋体"/>
          <w:sz w:val="24"/>
          <w:szCs w:val="24"/>
        </w:rPr>
      </w:pPr>
      <w:r>
        <w:rPr>
          <w:rFonts w:hint="eastAsia" w:ascii="宋体" w:hAnsi="宋体" w:eastAsia="宋体" w:cs="宋体"/>
          <w:sz w:val="24"/>
          <w:szCs w:val="24"/>
        </w:rPr>
        <w:t>建设工程项目管理承诺书</w:t>
      </w:r>
    </w:p>
    <w:p w14:paraId="698059D8">
      <w:pPr>
        <w:pStyle w:val="4"/>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（采购单位名称）：</w:t>
      </w:r>
    </w:p>
    <w:p w14:paraId="230F7531">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作为参与</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（工程名称）项目的磋商单位，根据国家、自治区相关文件规定，我方在此向采购单位承诺：</w:t>
      </w:r>
    </w:p>
    <w:p w14:paraId="51B48427">
      <w:pPr>
        <w:pStyle w:val="4"/>
        <w:numPr>
          <w:ilvl w:val="0"/>
          <w:numId w:val="53"/>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14:paraId="7D347CD1">
      <w:pPr>
        <w:pStyle w:val="4"/>
        <w:numPr>
          <w:ilvl w:val="0"/>
          <w:numId w:val="53"/>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一旦成交，我方保证在施工过程中，严格执行《广西壮族自治区建设工程安全文明施工费使用管理细则》（</w:t>
      </w:r>
      <w:bookmarkStart w:id="56" w:name="OLE_LINK19"/>
      <w:r>
        <w:rPr>
          <w:rFonts w:hint="eastAsia" w:ascii="宋体" w:hAnsi="宋体" w:eastAsia="宋体" w:cs="宋体"/>
          <w:color w:val="000000"/>
          <w:sz w:val="24"/>
          <w:szCs w:val="24"/>
        </w:rPr>
        <w:t>桂建质【2015】16号</w:t>
      </w:r>
      <w:bookmarkEnd w:id="56"/>
      <w:r>
        <w:rPr>
          <w:rFonts w:hint="eastAsia" w:ascii="宋体" w:hAnsi="宋体" w:eastAsia="宋体" w:cs="宋体"/>
          <w:color w:val="000000"/>
          <w:sz w:val="24"/>
          <w:szCs w:val="24"/>
        </w:rPr>
        <w:t>）的有关规定，确保建设工程各项安全防护、文明施工措施落实到位。如我方在该项目的承包中出现未按桂建质【2015】16号文附件一规定执行的情形，我方愿意按照相关规定接受建设单位及有关主管部门的处罚。</w:t>
      </w:r>
    </w:p>
    <w:p w14:paraId="31D9C871">
      <w:pPr>
        <w:spacing w:line="360" w:lineRule="auto"/>
        <w:ind w:left="-2" w:leftChars="-1" w:firstLine="513" w:firstLineChars="214"/>
        <w:jc w:val="left"/>
        <w:rPr>
          <w:rFonts w:hint="eastAsia" w:ascii="宋体" w:hAnsi="宋体" w:eastAsia="宋体" w:cs="宋体"/>
          <w:color w:val="000000"/>
          <w:sz w:val="24"/>
          <w:szCs w:val="24"/>
        </w:rPr>
      </w:pPr>
    </w:p>
    <w:p w14:paraId="0380883D">
      <w:pPr>
        <w:spacing w:line="360" w:lineRule="auto"/>
        <w:jc w:val="left"/>
        <w:rPr>
          <w:rFonts w:hint="eastAsia" w:ascii="宋体" w:hAnsi="宋体" w:eastAsia="宋体" w:cs="宋体"/>
          <w:color w:val="000000"/>
          <w:sz w:val="24"/>
          <w:szCs w:val="24"/>
        </w:rPr>
      </w:pPr>
    </w:p>
    <w:p w14:paraId="05371E8F">
      <w:pPr>
        <w:spacing w:line="360" w:lineRule="auto"/>
        <w:jc w:val="left"/>
        <w:rPr>
          <w:rFonts w:hint="eastAsia" w:ascii="宋体" w:hAnsi="宋体" w:eastAsia="宋体" w:cs="宋体"/>
          <w:color w:val="000000"/>
          <w:sz w:val="24"/>
          <w:szCs w:val="24"/>
        </w:rPr>
      </w:pPr>
    </w:p>
    <w:p w14:paraId="0C1FF902">
      <w:pPr>
        <w:spacing w:line="360" w:lineRule="auto"/>
        <w:ind w:firstLine="3564" w:firstLineChars="1485"/>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w:t>
      </w:r>
      <w:r>
        <w:rPr>
          <w:rFonts w:hint="eastAsia" w:ascii="宋体" w:hAnsi="宋体" w:eastAsia="宋体" w:cs="宋体"/>
          <w:color w:val="000000"/>
          <w:sz w:val="24"/>
          <w:szCs w:val="24"/>
          <w:u w:val="single"/>
        </w:rPr>
        <w:t xml:space="preserve">                     （盖单位章）</w:t>
      </w:r>
    </w:p>
    <w:p w14:paraId="44F457FE">
      <w:pPr>
        <w:spacing w:line="360" w:lineRule="auto"/>
        <w:ind w:firstLine="1440" w:firstLineChars="600"/>
        <w:jc w:val="left"/>
        <w:rPr>
          <w:rFonts w:hint="eastAsia" w:ascii="宋体" w:hAnsi="宋体" w:eastAsia="宋体" w:cs="宋体"/>
          <w:color w:val="000000"/>
          <w:sz w:val="24"/>
          <w:szCs w:val="24"/>
        </w:rPr>
      </w:pPr>
    </w:p>
    <w:p w14:paraId="5C211D3D">
      <w:pPr>
        <w:spacing w:line="360" w:lineRule="auto"/>
        <w:ind w:firstLine="2280" w:firstLineChars="95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法定代表人或授权代理人：</w:t>
      </w:r>
      <w:r>
        <w:rPr>
          <w:rFonts w:hint="eastAsia" w:ascii="宋体" w:hAnsi="宋体" w:eastAsia="宋体" w:cs="宋体"/>
          <w:color w:val="000000"/>
          <w:sz w:val="24"/>
          <w:szCs w:val="24"/>
          <w:u w:val="single"/>
        </w:rPr>
        <w:t xml:space="preserve">              （签字或盖章）</w:t>
      </w:r>
    </w:p>
    <w:p w14:paraId="6EFFDA85">
      <w:pPr>
        <w:spacing w:line="360" w:lineRule="auto"/>
        <w:ind w:firstLine="1440" w:firstLineChars="600"/>
        <w:jc w:val="left"/>
        <w:rPr>
          <w:rFonts w:hint="eastAsia" w:ascii="宋体" w:hAnsi="宋体" w:eastAsia="宋体" w:cs="宋体"/>
          <w:color w:val="000000"/>
          <w:sz w:val="24"/>
          <w:szCs w:val="24"/>
        </w:rPr>
      </w:pPr>
    </w:p>
    <w:p w14:paraId="6804DC56">
      <w:pPr>
        <w:spacing w:line="360" w:lineRule="auto"/>
        <w:ind w:left="420" w:firstLine="3084" w:firstLineChars="1285"/>
        <w:rPr>
          <w:rFonts w:hint="eastAsia" w:ascii="宋体" w:hAnsi="宋体" w:eastAsia="宋体" w:cs="宋体"/>
          <w:color w:val="000000"/>
          <w:sz w:val="24"/>
          <w:szCs w:val="24"/>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4982392D">
      <w:pPr>
        <w:spacing w:line="360" w:lineRule="auto"/>
        <w:ind w:left="420"/>
        <w:rPr>
          <w:rFonts w:hint="eastAsia" w:ascii="宋体" w:hAnsi="宋体" w:eastAsia="宋体" w:cs="宋体"/>
          <w:color w:val="000000"/>
          <w:sz w:val="24"/>
          <w:szCs w:val="24"/>
        </w:rPr>
      </w:pPr>
    </w:p>
    <w:p w14:paraId="24B04E31">
      <w:pPr>
        <w:spacing w:line="360" w:lineRule="auto"/>
        <w:ind w:left="420"/>
        <w:rPr>
          <w:rFonts w:hint="eastAsia" w:ascii="宋体" w:hAnsi="宋体" w:eastAsia="宋体" w:cs="宋体"/>
          <w:color w:val="000000"/>
          <w:sz w:val="24"/>
          <w:szCs w:val="24"/>
        </w:rPr>
      </w:pPr>
    </w:p>
    <w:p w14:paraId="60596019">
      <w:pPr>
        <w:spacing w:line="360" w:lineRule="auto"/>
        <w:ind w:left="420"/>
        <w:rPr>
          <w:rFonts w:hint="eastAsia" w:ascii="宋体" w:hAnsi="宋体" w:eastAsia="宋体" w:cs="宋体"/>
          <w:b/>
          <w:color w:val="000000"/>
          <w:sz w:val="24"/>
          <w:szCs w:val="24"/>
        </w:rPr>
      </w:pPr>
    </w:p>
    <w:p w14:paraId="3A751FB0">
      <w:pPr>
        <w:spacing w:line="360" w:lineRule="auto"/>
        <w:ind w:left="420"/>
        <w:rPr>
          <w:rFonts w:hint="eastAsia" w:ascii="宋体" w:hAnsi="宋体" w:eastAsia="宋体" w:cs="宋体"/>
          <w:b/>
          <w:color w:val="000000"/>
          <w:sz w:val="24"/>
          <w:szCs w:val="24"/>
        </w:rPr>
      </w:pPr>
    </w:p>
    <w:p w14:paraId="7235EA2A">
      <w:pPr>
        <w:spacing w:line="360" w:lineRule="auto"/>
        <w:ind w:left="420"/>
        <w:rPr>
          <w:rFonts w:hint="eastAsia" w:ascii="宋体" w:hAnsi="宋体" w:eastAsia="宋体" w:cs="宋体"/>
          <w:b/>
          <w:color w:val="000000"/>
          <w:sz w:val="24"/>
          <w:szCs w:val="24"/>
        </w:rPr>
      </w:pPr>
    </w:p>
    <w:p w14:paraId="396F5282">
      <w:pPr>
        <w:spacing w:line="360" w:lineRule="auto"/>
        <w:ind w:left="420"/>
        <w:rPr>
          <w:rFonts w:hint="eastAsia" w:ascii="宋体" w:hAnsi="宋体" w:eastAsia="宋体" w:cs="宋体"/>
          <w:b/>
          <w:color w:val="000000"/>
          <w:sz w:val="24"/>
          <w:szCs w:val="24"/>
        </w:rPr>
      </w:pPr>
    </w:p>
    <w:p w14:paraId="2E6FA367">
      <w:pPr>
        <w:spacing w:line="360" w:lineRule="auto"/>
        <w:ind w:left="420"/>
        <w:rPr>
          <w:rFonts w:hint="eastAsia" w:ascii="宋体" w:hAnsi="宋体" w:eastAsia="宋体" w:cs="宋体"/>
          <w:b/>
          <w:color w:val="000000"/>
          <w:sz w:val="24"/>
          <w:szCs w:val="24"/>
        </w:rPr>
      </w:pPr>
    </w:p>
    <w:p w14:paraId="50DE5183">
      <w:pPr>
        <w:spacing w:line="360" w:lineRule="auto"/>
        <w:ind w:left="420"/>
        <w:rPr>
          <w:rFonts w:hint="eastAsia" w:ascii="宋体" w:hAnsi="宋体" w:eastAsia="宋体" w:cs="宋体"/>
          <w:b/>
          <w:color w:val="000000"/>
          <w:sz w:val="24"/>
          <w:szCs w:val="24"/>
        </w:rPr>
      </w:pPr>
    </w:p>
    <w:p w14:paraId="29C282E1">
      <w:pPr>
        <w:spacing w:line="360" w:lineRule="auto"/>
        <w:ind w:left="420"/>
        <w:rPr>
          <w:rFonts w:hint="eastAsia" w:ascii="宋体" w:hAnsi="宋体" w:eastAsia="宋体" w:cs="宋体"/>
          <w:b/>
          <w:color w:val="000000"/>
          <w:sz w:val="24"/>
          <w:szCs w:val="24"/>
        </w:rPr>
      </w:pPr>
    </w:p>
    <w:p w14:paraId="55981ECC">
      <w:pPr>
        <w:spacing w:line="360" w:lineRule="auto"/>
        <w:ind w:firstLine="602" w:firstLineChars="25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广西壮族自治区建筑工程安全文明施工措施项目清单内容</w:t>
      </w:r>
    </w:p>
    <w:p w14:paraId="21904CA6">
      <w:pPr>
        <w:pStyle w:val="32"/>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（桂建质【2015】16号文附件一）</w:t>
      </w:r>
    </w:p>
    <w:p w14:paraId="38EB7FC1">
      <w:pPr>
        <w:pStyle w:val="45"/>
        <w:outlineLvl w:val="9"/>
        <w:rPr>
          <w:rFonts w:hint="eastAsia" w:ascii="宋体" w:hAnsi="宋体" w:eastAsia="宋体" w:cs="宋体"/>
          <w:sz w:val="24"/>
          <w:szCs w:val="24"/>
        </w:rPr>
      </w:pPr>
      <w:r>
        <w:rPr>
          <w:rFonts w:hint="eastAsia" w:ascii="宋体" w:hAnsi="宋体" w:eastAsia="宋体" w:cs="宋体"/>
          <w:sz w:val="24"/>
          <w:szCs w:val="24"/>
        </w:rPr>
        <w:t>广西壮族自治区</w:t>
      </w:r>
    </w:p>
    <w:p w14:paraId="11EFEA81">
      <w:pPr>
        <w:pStyle w:val="45"/>
        <w:outlineLvl w:val="9"/>
        <w:rPr>
          <w:rFonts w:hint="eastAsia" w:ascii="宋体" w:hAnsi="宋体" w:eastAsia="宋体" w:cs="宋体"/>
          <w:sz w:val="24"/>
          <w:szCs w:val="24"/>
        </w:rPr>
      </w:pPr>
      <w:r>
        <w:rPr>
          <w:rFonts w:hint="eastAsia" w:ascii="宋体" w:hAnsi="宋体" w:eastAsia="宋体" w:cs="宋体"/>
          <w:sz w:val="24"/>
          <w:szCs w:val="24"/>
        </w:rPr>
        <w:t>建设工程安全文明施工措施项目清单内容</w:t>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14:paraId="09DBE6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noWrap w:val="0"/>
            <w:vAlign w:val="center"/>
          </w:tcPr>
          <w:p w14:paraId="24D615DA">
            <w:pPr>
              <w:pStyle w:val="33"/>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类别</w:t>
            </w:r>
          </w:p>
        </w:tc>
        <w:tc>
          <w:tcPr>
            <w:tcW w:w="2070" w:type="dxa"/>
            <w:gridSpan w:val="2"/>
            <w:noWrap w:val="0"/>
            <w:vAlign w:val="center"/>
          </w:tcPr>
          <w:p w14:paraId="04DB493B">
            <w:pPr>
              <w:pStyle w:val="33"/>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项目名称</w:t>
            </w:r>
          </w:p>
        </w:tc>
        <w:tc>
          <w:tcPr>
            <w:tcW w:w="6645" w:type="dxa"/>
            <w:noWrap w:val="0"/>
            <w:vAlign w:val="center"/>
          </w:tcPr>
          <w:p w14:paraId="0A6BABC3">
            <w:pPr>
              <w:pStyle w:val="33"/>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主要内容和要求</w:t>
            </w:r>
          </w:p>
        </w:tc>
      </w:tr>
      <w:tr w14:paraId="3DB829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6A347BF2">
            <w:pPr>
              <w:pStyle w:val="33"/>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文明</w:t>
            </w:r>
          </w:p>
          <w:p w14:paraId="7B51E17F">
            <w:pPr>
              <w:pStyle w:val="33"/>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施工</w:t>
            </w:r>
          </w:p>
          <w:p w14:paraId="510990CA">
            <w:pPr>
              <w:pStyle w:val="33"/>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与</w:t>
            </w:r>
          </w:p>
          <w:p w14:paraId="25B86DC7">
            <w:pPr>
              <w:pStyle w:val="33"/>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环境</w:t>
            </w:r>
          </w:p>
          <w:p w14:paraId="3E4B590F">
            <w:pPr>
              <w:pStyle w:val="33"/>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保护</w:t>
            </w:r>
          </w:p>
        </w:tc>
        <w:tc>
          <w:tcPr>
            <w:tcW w:w="2070" w:type="dxa"/>
            <w:gridSpan w:val="2"/>
            <w:noWrap w:val="0"/>
            <w:vAlign w:val="center"/>
          </w:tcPr>
          <w:p w14:paraId="01AF696D">
            <w:pPr>
              <w:pStyle w:val="33"/>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安全警示</w:t>
            </w:r>
          </w:p>
          <w:p w14:paraId="399F878D">
            <w:pPr>
              <w:pStyle w:val="33"/>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标志牌</w:t>
            </w:r>
          </w:p>
        </w:tc>
        <w:tc>
          <w:tcPr>
            <w:tcW w:w="6645" w:type="dxa"/>
            <w:noWrap w:val="0"/>
            <w:vAlign w:val="center"/>
          </w:tcPr>
          <w:p w14:paraId="46810E87">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在易发伤亡事故（或危险）处设置明显的、符合国家标准要求的安全警示标志牌。</w:t>
            </w:r>
          </w:p>
        </w:tc>
      </w:tr>
      <w:tr w14:paraId="2D022E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3EBA639">
            <w:pPr>
              <w:pStyle w:val="33"/>
              <w:spacing w:line="360" w:lineRule="auto"/>
              <w:jc w:val="center"/>
              <w:rPr>
                <w:rFonts w:hint="eastAsia" w:ascii="宋体" w:hAnsi="宋体" w:eastAsia="宋体" w:cs="宋体"/>
                <w:color w:val="000000"/>
                <w:sz w:val="24"/>
                <w:szCs w:val="24"/>
              </w:rPr>
            </w:pPr>
          </w:p>
        </w:tc>
        <w:tc>
          <w:tcPr>
            <w:tcW w:w="2070" w:type="dxa"/>
            <w:gridSpan w:val="2"/>
            <w:noWrap w:val="0"/>
            <w:vAlign w:val="center"/>
          </w:tcPr>
          <w:p w14:paraId="0BCE5373">
            <w:pPr>
              <w:pStyle w:val="33"/>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现场围挡</w:t>
            </w:r>
          </w:p>
        </w:tc>
        <w:tc>
          <w:tcPr>
            <w:tcW w:w="6645" w:type="dxa"/>
            <w:noWrap w:val="0"/>
            <w:vAlign w:val="center"/>
          </w:tcPr>
          <w:p w14:paraId="3B0CDF93">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 现场采用封闭围挡，高度不小于1.8m。</w:t>
            </w:r>
          </w:p>
          <w:p w14:paraId="44012720">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 围挡材料可用彩色、定型钢板，砌块等墙体。</w:t>
            </w:r>
          </w:p>
        </w:tc>
      </w:tr>
      <w:tr w14:paraId="09EC1B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039F149">
            <w:pPr>
              <w:pStyle w:val="33"/>
              <w:spacing w:line="360" w:lineRule="auto"/>
              <w:jc w:val="center"/>
              <w:rPr>
                <w:rFonts w:hint="eastAsia" w:ascii="宋体" w:hAnsi="宋体" w:eastAsia="宋体" w:cs="宋体"/>
                <w:color w:val="000000"/>
                <w:sz w:val="24"/>
                <w:szCs w:val="24"/>
              </w:rPr>
            </w:pPr>
          </w:p>
        </w:tc>
        <w:tc>
          <w:tcPr>
            <w:tcW w:w="2070" w:type="dxa"/>
            <w:gridSpan w:val="2"/>
            <w:noWrap w:val="0"/>
            <w:vAlign w:val="center"/>
          </w:tcPr>
          <w:p w14:paraId="791501F2">
            <w:pPr>
              <w:pStyle w:val="33"/>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七牌二图</w:t>
            </w:r>
          </w:p>
        </w:tc>
        <w:tc>
          <w:tcPr>
            <w:tcW w:w="6645" w:type="dxa"/>
            <w:noWrap w:val="0"/>
            <w:vAlign w:val="center"/>
          </w:tcPr>
          <w:p w14:paraId="29A8CA0D">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在进门处悬挂工程概况、现场出入制度、管理人员名单及监督电话、安全生产规定、文明施工、消防保卫、节能公示等七牌以及施工现场总平面图、工程效果图。</w:t>
            </w:r>
          </w:p>
        </w:tc>
      </w:tr>
      <w:tr w14:paraId="16ADE9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noWrap w:val="0"/>
            <w:vAlign w:val="center"/>
          </w:tcPr>
          <w:p w14:paraId="71BE4F69">
            <w:pPr>
              <w:pStyle w:val="33"/>
              <w:spacing w:line="360" w:lineRule="auto"/>
              <w:jc w:val="center"/>
              <w:rPr>
                <w:rFonts w:hint="eastAsia" w:ascii="宋体" w:hAnsi="宋体" w:eastAsia="宋体" w:cs="宋体"/>
                <w:color w:val="000000"/>
                <w:sz w:val="24"/>
                <w:szCs w:val="24"/>
              </w:rPr>
            </w:pPr>
          </w:p>
        </w:tc>
        <w:tc>
          <w:tcPr>
            <w:tcW w:w="2070" w:type="dxa"/>
            <w:gridSpan w:val="2"/>
            <w:noWrap w:val="0"/>
            <w:vAlign w:val="center"/>
          </w:tcPr>
          <w:p w14:paraId="4DBE92DA">
            <w:pPr>
              <w:pStyle w:val="33"/>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企业标志</w:t>
            </w:r>
          </w:p>
        </w:tc>
        <w:tc>
          <w:tcPr>
            <w:tcW w:w="6645" w:type="dxa"/>
            <w:noWrap w:val="0"/>
            <w:vAlign w:val="center"/>
          </w:tcPr>
          <w:p w14:paraId="4BE59024">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现场出入的大门应设有本企业标志或企业标识。</w:t>
            </w:r>
          </w:p>
        </w:tc>
      </w:tr>
      <w:tr w14:paraId="4E1D8B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1EEFF4F9">
            <w:pPr>
              <w:pStyle w:val="33"/>
              <w:spacing w:line="360" w:lineRule="auto"/>
              <w:jc w:val="center"/>
              <w:rPr>
                <w:rFonts w:hint="eastAsia" w:ascii="宋体" w:hAnsi="宋体" w:eastAsia="宋体" w:cs="宋体"/>
                <w:color w:val="000000"/>
                <w:sz w:val="24"/>
                <w:szCs w:val="24"/>
              </w:rPr>
            </w:pPr>
          </w:p>
        </w:tc>
        <w:tc>
          <w:tcPr>
            <w:tcW w:w="2070" w:type="dxa"/>
            <w:gridSpan w:val="2"/>
            <w:noWrap w:val="0"/>
            <w:vAlign w:val="center"/>
          </w:tcPr>
          <w:p w14:paraId="2097DD96">
            <w:pPr>
              <w:pStyle w:val="33"/>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场容场貌</w:t>
            </w:r>
          </w:p>
        </w:tc>
        <w:tc>
          <w:tcPr>
            <w:tcW w:w="6645" w:type="dxa"/>
            <w:noWrap w:val="0"/>
            <w:vAlign w:val="center"/>
          </w:tcPr>
          <w:p w14:paraId="3A756F48">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 道路畅通。</w:t>
            </w:r>
          </w:p>
          <w:p w14:paraId="74E50166">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 排水设施齐全畅通。</w:t>
            </w:r>
          </w:p>
          <w:p w14:paraId="687B700E">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 工地地面硬化处理（办公区、生活区、现场道路、材料堆放、混凝土搅拌、砂浆搅拌、钢筋加工等场地和外脚手架基础等）。</w:t>
            </w:r>
          </w:p>
        </w:tc>
      </w:tr>
      <w:tr w14:paraId="407A45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D60C00E">
            <w:pPr>
              <w:pStyle w:val="33"/>
              <w:spacing w:line="360" w:lineRule="auto"/>
              <w:jc w:val="center"/>
              <w:rPr>
                <w:rFonts w:hint="eastAsia" w:ascii="宋体" w:hAnsi="宋体" w:eastAsia="宋体" w:cs="宋体"/>
                <w:color w:val="000000"/>
                <w:sz w:val="24"/>
                <w:szCs w:val="24"/>
              </w:rPr>
            </w:pPr>
          </w:p>
        </w:tc>
        <w:tc>
          <w:tcPr>
            <w:tcW w:w="2070" w:type="dxa"/>
            <w:gridSpan w:val="2"/>
            <w:noWrap w:val="0"/>
            <w:vAlign w:val="center"/>
          </w:tcPr>
          <w:p w14:paraId="763F08D3">
            <w:pPr>
              <w:pStyle w:val="33"/>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材料堆放</w:t>
            </w:r>
          </w:p>
        </w:tc>
        <w:tc>
          <w:tcPr>
            <w:tcW w:w="6645" w:type="dxa"/>
            <w:noWrap w:val="0"/>
            <w:vAlign w:val="center"/>
          </w:tcPr>
          <w:p w14:paraId="603EC673">
            <w:pPr>
              <w:pStyle w:val="33"/>
              <w:numPr>
                <w:ilvl w:val="0"/>
                <w:numId w:val="0"/>
              </w:numPr>
              <w:spacing w:line="360" w:lineRule="auto"/>
              <w:ind w:left="1200" w:leftChars="0" w:hanging="360" w:firstLineChars="0"/>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1.</w:t>
            </w:r>
            <w:r>
              <w:rPr>
                <w:rFonts w:hint="eastAsia" w:ascii="宋体" w:hAnsi="宋体" w:eastAsia="宋体" w:cs="宋体"/>
                <w:color w:val="000000"/>
                <w:sz w:val="24"/>
                <w:szCs w:val="24"/>
              </w:rPr>
              <w:t>材料、构件、料具等堆放时，应有名称、品种、规格等标牌。</w:t>
            </w:r>
          </w:p>
          <w:p w14:paraId="720555E4">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 水泥和其它易飞扬细颗粒建筑材料应封闭存放或采取覆盖等措施。</w:t>
            </w:r>
          </w:p>
          <w:p w14:paraId="1834ACB6">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 易燃、易爆和有毒有害物品分类存放。</w:t>
            </w:r>
          </w:p>
        </w:tc>
      </w:tr>
      <w:tr w14:paraId="248266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126322C2">
            <w:pPr>
              <w:pStyle w:val="33"/>
              <w:spacing w:line="360" w:lineRule="auto"/>
              <w:jc w:val="center"/>
              <w:rPr>
                <w:rFonts w:hint="eastAsia" w:ascii="宋体" w:hAnsi="宋体" w:eastAsia="宋体" w:cs="宋体"/>
                <w:color w:val="000000"/>
                <w:sz w:val="24"/>
                <w:szCs w:val="24"/>
              </w:rPr>
            </w:pPr>
          </w:p>
        </w:tc>
        <w:tc>
          <w:tcPr>
            <w:tcW w:w="2070" w:type="dxa"/>
            <w:gridSpan w:val="2"/>
            <w:noWrap w:val="0"/>
            <w:vAlign w:val="center"/>
          </w:tcPr>
          <w:p w14:paraId="72EBF8AF">
            <w:pPr>
              <w:pStyle w:val="33"/>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现场防火</w:t>
            </w:r>
          </w:p>
        </w:tc>
        <w:tc>
          <w:tcPr>
            <w:tcW w:w="6645" w:type="dxa"/>
            <w:noWrap w:val="0"/>
            <w:vAlign w:val="center"/>
          </w:tcPr>
          <w:p w14:paraId="669D50D9">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消防器材配置合理，符合消防要求。</w:t>
            </w:r>
          </w:p>
        </w:tc>
      </w:tr>
      <w:tr w14:paraId="456E1D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773FC74">
            <w:pPr>
              <w:pStyle w:val="33"/>
              <w:spacing w:line="360" w:lineRule="auto"/>
              <w:jc w:val="center"/>
              <w:rPr>
                <w:rFonts w:hint="eastAsia" w:ascii="宋体" w:hAnsi="宋体" w:eastAsia="宋体" w:cs="宋体"/>
                <w:color w:val="000000"/>
                <w:sz w:val="24"/>
                <w:szCs w:val="24"/>
              </w:rPr>
            </w:pPr>
          </w:p>
        </w:tc>
        <w:tc>
          <w:tcPr>
            <w:tcW w:w="2070" w:type="dxa"/>
            <w:gridSpan w:val="2"/>
            <w:noWrap w:val="0"/>
            <w:vAlign w:val="center"/>
          </w:tcPr>
          <w:p w14:paraId="010E215D">
            <w:pPr>
              <w:pStyle w:val="33"/>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垃圾清运</w:t>
            </w:r>
          </w:p>
        </w:tc>
        <w:tc>
          <w:tcPr>
            <w:tcW w:w="6645" w:type="dxa"/>
            <w:noWrap w:val="0"/>
            <w:vAlign w:val="center"/>
          </w:tcPr>
          <w:p w14:paraId="36433CBC">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 施工现场应设置密闭式垃圾站，施工垃圾、生活垃圾应分类存放。</w:t>
            </w:r>
          </w:p>
          <w:p w14:paraId="5E6A1044">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 施工垃圾必须采用相应容器或管道运输。</w:t>
            </w:r>
          </w:p>
        </w:tc>
      </w:tr>
      <w:tr w14:paraId="4F0F88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3E929399">
            <w:pPr>
              <w:pStyle w:val="33"/>
              <w:spacing w:line="360" w:lineRule="auto"/>
              <w:jc w:val="center"/>
              <w:rPr>
                <w:rFonts w:hint="eastAsia" w:ascii="宋体" w:hAnsi="宋体" w:eastAsia="宋体" w:cs="宋体"/>
                <w:color w:val="000000"/>
                <w:sz w:val="24"/>
                <w:szCs w:val="24"/>
              </w:rPr>
            </w:pPr>
          </w:p>
        </w:tc>
        <w:tc>
          <w:tcPr>
            <w:tcW w:w="2070" w:type="dxa"/>
            <w:gridSpan w:val="2"/>
            <w:noWrap w:val="0"/>
            <w:vAlign w:val="center"/>
          </w:tcPr>
          <w:p w14:paraId="6EB10B68">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宣传栏、环保及不扰民措施</w:t>
            </w:r>
          </w:p>
        </w:tc>
        <w:tc>
          <w:tcPr>
            <w:tcW w:w="6645" w:type="dxa"/>
            <w:noWrap w:val="0"/>
            <w:vAlign w:val="center"/>
          </w:tcPr>
          <w:p w14:paraId="22C9F047">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宣传栏、安全宣传标语等，洗车（防止污染市区道路）、粉尘、噪声控制和排污（污水、废气）措施等。</w:t>
            </w:r>
          </w:p>
        </w:tc>
      </w:tr>
      <w:tr w14:paraId="4B1796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14724CB6">
            <w:pPr>
              <w:pStyle w:val="33"/>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临时设施</w:t>
            </w:r>
          </w:p>
        </w:tc>
        <w:tc>
          <w:tcPr>
            <w:tcW w:w="2070" w:type="dxa"/>
            <w:gridSpan w:val="2"/>
            <w:noWrap w:val="0"/>
            <w:vAlign w:val="center"/>
          </w:tcPr>
          <w:p w14:paraId="4F2096D6">
            <w:pPr>
              <w:pStyle w:val="33"/>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现场办公</w:t>
            </w:r>
          </w:p>
          <w:p w14:paraId="21386316">
            <w:pPr>
              <w:pStyle w:val="33"/>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生活设施</w:t>
            </w:r>
          </w:p>
        </w:tc>
        <w:tc>
          <w:tcPr>
            <w:tcW w:w="6645" w:type="dxa"/>
            <w:noWrap w:val="0"/>
            <w:vAlign w:val="center"/>
          </w:tcPr>
          <w:p w14:paraId="562A6963">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 施工现场办公、生活区与作业区分开设置，保持安全距离。</w:t>
            </w:r>
          </w:p>
          <w:p w14:paraId="47E96C44">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 工地办公室、现场宿舍、食堂、厕所、饮水、沐浴、休息场所等符合卫生、消防安全要求。</w:t>
            </w:r>
          </w:p>
        </w:tc>
      </w:tr>
      <w:tr w14:paraId="6C71D1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A010B75">
            <w:pPr>
              <w:pStyle w:val="33"/>
              <w:spacing w:line="360" w:lineRule="auto"/>
              <w:jc w:val="center"/>
              <w:rPr>
                <w:rFonts w:hint="eastAsia" w:ascii="宋体" w:hAnsi="宋体" w:eastAsia="宋体" w:cs="宋体"/>
                <w:color w:val="000000"/>
                <w:sz w:val="24"/>
                <w:szCs w:val="24"/>
              </w:rPr>
            </w:pPr>
          </w:p>
        </w:tc>
        <w:tc>
          <w:tcPr>
            <w:tcW w:w="525" w:type="dxa"/>
            <w:vMerge w:val="restart"/>
            <w:noWrap w:val="0"/>
            <w:vAlign w:val="center"/>
          </w:tcPr>
          <w:p w14:paraId="7180A0C6">
            <w:pPr>
              <w:pStyle w:val="33"/>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施工现场</w:t>
            </w:r>
          </w:p>
          <w:p w14:paraId="7112192E">
            <w:pPr>
              <w:pStyle w:val="33"/>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临时用电</w:t>
            </w:r>
          </w:p>
        </w:tc>
        <w:tc>
          <w:tcPr>
            <w:tcW w:w="1545" w:type="dxa"/>
            <w:noWrap w:val="0"/>
            <w:vAlign w:val="center"/>
          </w:tcPr>
          <w:p w14:paraId="0E2DD95F">
            <w:pPr>
              <w:pStyle w:val="33"/>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配电线路</w:t>
            </w:r>
          </w:p>
        </w:tc>
        <w:tc>
          <w:tcPr>
            <w:tcW w:w="6645" w:type="dxa"/>
            <w:noWrap w:val="0"/>
            <w:vAlign w:val="center"/>
          </w:tcPr>
          <w:p w14:paraId="752EE292">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 按照TN-S系统要求配备五芯电缆、四芯电缆和三芯电缆。</w:t>
            </w:r>
          </w:p>
          <w:p w14:paraId="42B5567B">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 按要求架设临时用电线路的电杆、横担、瓷夹、瓷瓶等，或电缆埋地的地沟。</w:t>
            </w:r>
          </w:p>
          <w:p w14:paraId="599E12B4">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 对靠近施工现场的外电线路，设置木质、塑料等绝缘体的防护设施。</w:t>
            </w:r>
          </w:p>
        </w:tc>
      </w:tr>
      <w:tr w14:paraId="0BA352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CE3B340">
            <w:pPr>
              <w:pStyle w:val="33"/>
              <w:spacing w:line="360" w:lineRule="auto"/>
              <w:jc w:val="center"/>
              <w:rPr>
                <w:rFonts w:hint="eastAsia" w:ascii="宋体" w:hAnsi="宋体" w:eastAsia="宋体" w:cs="宋体"/>
                <w:color w:val="000000"/>
                <w:sz w:val="24"/>
                <w:szCs w:val="24"/>
              </w:rPr>
            </w:pPr>
          </w:p>
        </w:tc>
        <w:tc>
          <w:tcPr>
            <w:tcW w:w="525" w:type="dxa"/>
            <w:vMerge w:val="continue"/>
            <w:noWrap w:val="0"/>
            <w:vAlign w:val="center"/>
          </w:tcPr>
          <w:p w14:paraId="092023F1">
            <w:pPr>
              <w:pStyle w:val="33"/>
              <w:spacing w:line="360" w:lineRule="auto"/>
              <w:jc w:val="center"/>
              <w:rPr>
                <w:rFonts w:hint="eastAsia" w:ascii="宋体" w:hAnsi="宋体" w:eastAsia="宋体" w:cs="宋体"/>
                <w:color w:val="000000"/>
                <w:sz w:val="24"/>
                <w:szCs w:val="24"/>
              </w:rPr>
            </w:pPr>
          </w:p>
        </w:tc>
        <w:tc>
          <w:tcPr>
            <w:tcW w:w="1545" w:type="dxa"/>
            <w:noWrap w:val="0"/>
            <w:vAlign w:val="center"/>
          </w:tcPr>
          <w:p w14:paraId="06336A0B">
            <w:pPr>
              <w:pStyle w:val="33"/>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配电箱</w:t>
            </w:r>
          </w:p>
          <w:p w14:paraId="652B0B59">
            <w:pPr>
              <w:pStyle w:val="33"/>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开关箱</w:t>
            </w:r>
          </w:p>
        </w:tc>
        <w:tc>
          <w:tcPr>
            <w:tcW w:w="6645" w:type="dxa"/>
            <w:noWrap w:val="0"/>
            <w:vAlign w:val="center"/>
          </w:tcPr>
          <w:p w14:paraId="4EE6F45F">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 按三级配电要求，配备总配电箱、分配电箱、开关箱三类（铁质）标准电箱，开关箱应符合“一机、一箱、一闸、一漏”，三类电箱中的各类电器应是合格品。</w:t>
            </w:r>
          </w:p>
          <w:p w14:paraId="21CF76F6">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 按两级保护的要求，选取符合容量要求和质量合格的总配电箱和开关箱中的漏电保护器。</w:t>
            </w:r>
          </w:p>
          <w:p w14:paraId="0C5568D3">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 对大型、落地式分配电箱、开关箱设置防护棚和通透式围挡。</w:t>
            </w:r>
          </w:p>
        </w:tc>
      </w:tr>
      <w:tr w14:paraId="256C8D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noWrap w:val="0"/>
            <w:vAlign w:val="center"/>
          </w:tcPr>
          <w:p w14:paraId="06E286E4">
            <w:pPr>
              <w:pStyle w:val="33"/>
              <w:spacing w:line="360" w:lineRule="auto"/>
              <w:jc w:val="center"/>
              <w:rPr>
                <w:rFonts w:hint="eastAsia" w:ascii="宋体" w:hAnsi="宋体" w:eastAsia="宋体" w:cs="宋体"/>
                <w:color w:val="000000"/>
                <w:sz w:val="24"/>
                <w:szCs w:val="24"/>
              </w:rPr>
            </w:pPr>
          </w:p>
        </w:tc>
        <w:tc>
          <w:tcPr>
            <w:tcW w:w="525" w:type="dxa"/>
            <w:vMerge w:val="continue"/>
            <w:noWrap w:val="0"/>
            <w:vAlign w:val="center"/>
          </w:tcPr>
          <w:p w14:paraId="6A8BE8ED">
            <w:pPr>
              <w:pStyle w:val="33"/>
              <w:spacing w:line="360" w:lineRule="auto"/>
              <w:jc w:val="center"/>
              <w:rPr>
                <w:rFonts w:hint="eastAsia" w:ascii="宋体" w:hAnsi="宋体" w:eastAsia="宋体" w:cs="宋体"/>
                <w:color w:val="000000"/>
                <w:sz w:val="24"/>
                <w:szCs w:val="24"/>
              </w:rPr>
            </w:pPr>
          </w:p>
        </w:tc>
        <w:tc>
          <w:tcPr>
            <w:tcW w:w="1545" w:type="dxa"/>
            <w:noWrap w:val="0"/>
            <w:vAlign w:val="center"/>
          </w:tcPr>
          <w:p w14:paraId="73DFD8A2">
            <w:pPr>
              <w:pStyle w:val="33"/>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接地装置</w:t>
            </w:r>
          </w:p>
        </w:tc>
        <w:tc>
          <w:tcPr>
            <w:tcW w:w="6645" w:type="dxa"/>
            <w:noWrap w:val="0"/>
            <w:vAlign w:val="center"/>
          </w:tcPr>
          <w:p w14:paraId="0C1951AD">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施工现场应设置不少于三处的重复接地装置。</w:t>
            </w:r>
          </w:p>
        </w:tc>
      </w:tr>
      <w:tr w14:paraId="3869AB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noWrap w:val="0"/>
            <w:vAlign w:val="center"/>
          </w:tcPr>
          <w:p w14:paraId="48B0EDB5">
            <w:pPr>
              <w:pStyle w:val="33"/>
              <w:spacing w:line="360" w:lineRule="auto"/>
              <w:jc w:val="center"/>
              <w:rPr>
                <w:rFonts w:hint="eastAsia" w:ascii="宋体" w:hAnsi="宋体" w:eastAsia="宋体" w:cs="宋体"/>
                <w:color w:val="000000"/>
                <w:sz w:val="24"/>
                <w:szCs w:val="24"/>
              </w:rPr>
            </w:pPr>
          </w:p>
        </w:tc>
        <w:tc>
          <w:tcPr>
            <w:tcW w:w="525" w:type="dxa"/>
            <w:vMerge w:val="continue"/>
            <w:noWrap w:val="0"/>
            <w:vAlign w:val="center"/>
          </w:tcPr>
          <w:p w14:paraId="0D9C8114">
            <w:pPr>
              <w:pStyle w:val="33"/>
              <w:spacing w:line="360" w:lineRule="auto"/>
              <w:jc w:val="center"/>
              <w:rPr>
                <w:rFonts w:hint="eastAsia" w:ascii="宋体" w:hAnsi="宋体" w:eastAsia="宋体" w:cs="宋体"/>
                <w:color w:val="000000"/>
                <w:sz w:val="24"/>
                <w:szCs w:val="24"/>
              </w:rPr>
            </w:pPr>
          </w:p>
        </w:tc>
        <w:tc>
          <w:tcPr>
            <w:tcW w:w="1545" w:type="dxa"/>
            <w:noWrap w:val="0"/>
            <w:vAlign w:val="center"/>
          </w:tcPr>
          <w:p w14:paraId="08D6B349">
            <w:pPr>
              <w:pStyle w:val="33"/>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现场变配电装置</w:t>
            </w:r>
          </w:p>
        </w:tc>
        <w:tc>
          <w:tcPr>
            <w:tcW w:w="6645" w:type="dxa"/>
            <w:noWrap w:val="0"/>
            <w:vAlign w:val="center"/>
          </w:tcPr>
          <w:p w14:paraId="78790081">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总配电房建筑材料必须达到消防防火要求，室内做硬地坪、电缆沟。</w:t>
            </w:r>
          </w:p>
        </w:tc>
      </w:tr>
      <w:tr w14:paraId="6ECB30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8" w:type="dxa"/>
            <w:noWrap w:val="0"/>
            <w:vAlign w:val="center"/>
          </w:tcPr>
          <w:p w14:paraId="3AAD6FEA">
            <w:pPr>
              <w:pStyle w:val="33"/>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类别</w:t>
            </w:r>
          </w:p>
        </w:tc>
        <w:tc>
          <w:tcPr>
            <w:tcW w:w="2070" w:type="dxa"/>
            <w:gridSpan w:val="2"/>
            <w:noWrap w:val="0"/>
            <w:vAlign w:val="center"/>
          </w:tcPr>
          <w:p w14:paraId="04CF213E">
            <w:pPr>
              <w:pStyle w:val="33"/>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项目名称</w:t>
            </w:r>
          </w:p>
        </w:tc>
        <w:tc>
          <w:tcPr>
            <w:tcW w:w="6645" w:type="dxa"/>
            <w:noWrap w:val="0"/>
            <w:vAlign w:val="center"/>
          </w:tcPr>
          <w:p w14:paraId="26D69129">
            <w:pPr>
              <w:pStyle w:val="33"/>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主要内容和要求</w:t>
            </w:r>
          </w:p>
        </w:tc>
      </w:tr>
      <w:tr w14:paraId="07F532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11F0CD2F">
            <w:pPr>
              <w:pStyle w:val="33"/>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安全施工</w:t>
            </w:r>
          </w:p>
        </w:tc>
        <w:tc>
          <w:tcPr>
            <w:tcW w:w="525" w:type="dxa"/>
            <w:vMerge w:val="restart"/>
            <w:noWrap w:val="0"/>
            <w:vAlign w:val="center"/>
          </w:tcPr>
          <w:p w14:paraId="67784066">
            <w:pPr>
              <w:pStyle w:val="33"/>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高处作业防护</w:t>
            </w:r>
          </w:p>
        </w:tc>
        <w:tc>
          <w:tcPr>
            <w:tcW w:w="1545" w:type="dxa"/>
            <w:noWrap w:val="0"/>
            <w:vAlign w:val="center"/>
          </w:tcPr>
          <w:p w14:paraId="59929E22">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楼层、屋面、阳台等临边</w:t>
            </w:r>
          </w:p>
        </w:tc>
        <w:tc>
          <w:tcPr>
            <w:tcW w:w="6645" w:type="dxa"/>
            <w:noWrap w:val="0"/>
            <w:vAlign w:val="center"/>
          </w:tcPr>
          <w:p w14:paraId="71768551">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设两道防护栏杆和18cm高的踢脚板，用密目式安全立网全封闭。</w:t>
            </w:r>
          </w:p>
        </w:tc>
      </w:tr>
      <w:tr w14:paraId="72667D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14C4DEED">
            <w:pPr>
              <w:pStyle w:val="33"/>
              <w:spacing w:line="360" w:lineRule="auto"/>
              <w:jc w:val="center"/>
              <w:rPr>
                <w:rFonts w:hint="eastAsia" w:ascii="宋体" w:hAnsi="宋体" w:eastAsia="宋体" w:cs="宋体"/>
                <w:color w:val="000000"/>
                <w:sz w:val="24"/>
                <w:szCs w:val="24"/>
              </w:rPr>
            </w:pPr>
          </w:p>
        </w:tc>
        <w:tc>
          <w:tcPr>
            <w:tcW w:w="525" w:type="dxa"/>
            <w:vMerge w:val="continue"/>
            <w:noWrap w:val="0"/>
            <w:vAlign w:val="center"/>
          </w:tcPr>
          <w:p w14:paraId="4011E092">
            <w:pPr>
              <w:pStyle w:val="33"/>
              <w:spacing w:line="360" w:lineRule="auto"/>
              <w:jc w:val="center"/>
              <w:rPr>
                <w:rFonts w:hint="eastAsia" w:ascii="宋体" w:hAnsi="宋体" w:eastAsia="宋体" w:cs="宋体"/>
                <w:color w:val="000000"/>
                <w:sz w:val="24"/>
                <w:szCs w:val="24"/>
              </w:rPr>
            </w:pPr>
          </w:p>
        </w:tc>
        <w:tc>
          <w:tcPr>
            <w:tcW w:w="1545" w:type="dxa"/>
            <w:noWrap w:val="0"/>
            <w:vAlign w:val="center"/>
          </w:tcPr>
          <w:p w14:paraId="18649CB4">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通道口</w:t>
            </w:r>
          </w:p>
        </w:tc>
        <w:tc>
          <w:tcPr>
            <w:tcW w:w="6645" w:type="dxa"/>
            <w:noWrap w:val="0"/>
            <w:vAlign w:val="center"/>
          </w:tcPr>
          <w:p w14:paraId="33406E88">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设防护棚，防护棚应为不小于5cm厚的木板或两道相距50cm的竹笆。两侧应沿栏杆架用密目式安全网封闭。</w:t>
            </w:r>
          </w:p>
        </w:tc>
      </w:tr>
      <w:tr w14:paraId="38FC49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137CA41A">
            <w:pPr>
              <w:pStyle w:val="33"/>
              <w:spacing w:line="360" w:lineRule="auto"/>
              <w:jc w:val="center"/>
              <w:rPr>
                <w:rFonts w:hint="eastAsia" w:ascii="宋体" w:hAnsi="宋体" w:eastAsia="宋体" w:cs="宋体"/>
                <w:color w:val="000000"/>
                <w:sz w:val="24"/>
                <w:szCs w:val="24"/>
              </w:rPr>
            </w:pPr>
          </w:p>
        </w:tc>
        <w:tc>
          <w:tcPr>
            <w:tcW w:w="525" w:type="dxa"/>
            <w:vMerge w:val="continue"/>
            <w:noWrap w:val="0"/>
            <w:vAlign w:val="center"/>
          </w:tcPr>
          <w:p w14:paraId="05770210">
            <w:pPr>
              <w:pStyle w:val="33"/>
              <w:spacing w:line="360" w:lineRule="auto"/>
              <w:jc w:val="center"/>
              <w:rPr>
                <w:rFonts w:hint="eastAsia" w:ascii="宋体" w:hAnsi="宋体" w:eastAsia="宋体" w:cs="宋体"/>
                <w:color w:val="000000"/>
                <w:sz w:val="24"/>
                <w:szCs w:val="24"/>
              </w:rPr>
            </w:pPr>
          </w:p>
        </w:tc>
        <w:tc>
          <w:tcPr>
            <w:tcW w:w="1545" w:type="dxa"/>
            <w:noWrap w:val="0"/>
            <w:vAlign w:val="center"/>
          </w:tcPr>
          <w:p w14:paraId="148E6B4B">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预留洞口</w:t>
            </w:r>
          </w:p>
        </w:tc>
        <w:tc>
          <w:tcPr>
            <w:tcW w:w="6645" w:type="dxa"/>
            <w:noWrap w:val="0"/>
            <w:vAlign w:val="center"/>
          </w:tcPr>
          <w:p w14:paraId="4910D561">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用硬质材料全封闭，短边超过1.5m长的洞口，除封闭外四周还应设有防护栏杆。</w:t>
            </w:r>
          </w:p>
        </w:tc>
      </w:tr>
      <w:tr w14:paraId="7AEA7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noWrap w:val="0"/>
            <w:vAlign w:val="center"/>
          </w:tcPr>
          <w:p w14:paraId="2BBFFBFF">
            <w:pPr>
              <w:pStyle w:val="33"/>
              <w:spacing w:line="360" w:lineRule="auto"/>
              <w:jc w:val="center"/>
              <w:rPr>
                <w:rFonts w:hint="eastAsia" w:ascii="宋体" w:hAnsi="宋体" w:eastAsia="宋体" w:cs="宋体"/>
                <w:color w:val="000000"/>
                <w:sz w:val="24"/>
                <w:szCs w:val="24"/>
              </w:rPr>
            </w:pPr>
          </w:p>
        </w:tc>
        <w:tc>
          <w:tcPr>
            <w:tcW w:w="525" w:type="dxa"/>
            <w:vMerge w:val="continue"/>
            <w:noWrap w:val="0"/>
            <w:vAlign w:val="center"/>
          </w:tcPr>
          <w:p w14:paraId="617696BE">
            <w:pPr>
              <w:pStyle w:val="33"/>
              <w:spacing w:line="360" w:lineRule="auto"/>
              <w:jc w:val="center"/>
              <w:rPr>
                <w:rFonts w:hint="eastAsia" w:ascii="宋体" w:hAnsi="宋体" w:eastAsia="宋体" w:cs="宋体"/>
                <w:color w:val="000000"/>
                <w:sz w:val="24"/>
                <w:szCs w:val="24"/>
              </w:rPr>
            </w:pPr>
          </w:p>
        </w:tc>
        <w:tc>
          <w:tcPr>
            <w:tcW w:w="1545" w:type="dxa"/>
            <w:noWrap w:val="0"/>
            <w:vAlign w:val="center"/>
          </w:tcPr>
          <w:p w14:paraId="3BF1383D">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电梯井口</w:t>
            </w:r>
          </w:p>
        </w:tc>
        <w:tc>
          <w:tcPr>
            <w:tcW w:w="6645" w:type="dxa"/>
            <w:noWrap w:val="0"/>
            <w:vAlign w:val="center"/>
          </w:tcPr>
          <w:p w14:paraId="065E9009">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设置定型化、工具化的防护门，在电梯井内每隔2层（不大于10m）设置一道水平防护。</w:t>
            </w:r>
          </w:p>
        </w:tc>
      </w:tr>
      <w:tr w14:paraId="42D361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60C84849">
            <w:pPr>
              <w:pStyle w:val="33"/>
              <w:spacing w:line="360" w:lineRule="auto"/>
              <w:jc w:val="center"/>
              <w:rPr>
                <w:rFonts w:hint="eastAsia" w:ascii="宋体" w:hAnsi="宋体" w:eastAsia="宋体" w:cs="宋体"/>
                <w:color w:val="000000"/>
                <w:sz w:val="24"/>
                <w:szCs w:val="24"/>
              </w:rPr>
            </w:pPr>
          </w:p>
        </w:tc>
        <w:tc>
          <w:tcPr>
            <w:tcW w:w="525" w:type="dxa"/>
            <w:vMerge w:val="continue"/>
            <w:noWrap w:val="0"/>
            <w:vAlign w:val="center"/>
          </w:tcPr>
          <w:p w14:paraId="507FBBAA">
            <w:pPr>
              <w:pStyle w:val="33"/>
              <w:spacing w:line="360" w:lineRule="auto"/>
              <w:jc w:val="center"/>
              <w:rPr>
                <w:rFonts w:hint="eastAsia" w:ascii="宋体" w:hAnsi="宋体" w:eastAsia="宋体" w:cs="宋体"/>
                <w:color w:val="000000"/>
                <w:sz w:val="24"/>
                <w:szCs w:val="24"/>
              </w:rPr>
            </w:pPr>
          </w:p>
        </w:tc>
        <w:tc>
          <w:tcPr>
            <w:tcW w:w="1545" w:type="dxa"/>
            <w:noWrap w:val="0"/>
            <w:vAlign w:val="center"/>
          </w:tcPr>
          <w:p w14:paraId="0D39052D">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楼梯边</w:t>
            </w:r>
          </w:p>
        </w:tc>
        <w:tc>
          <w:tcPr>
            <w:tcW w:w="6645" w:type="dxa"/>
            <w:noWrap w:val="0"/>
            <w:vAlign w:val="center"/>
          </w:tcPr>
          <w:p w14:paraId="1CE213CE">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设1.2m高的定型化、工具化的防护栏，18cm高的踢脚板。</w:t>
            </w:r>
          </w:p>
        </w:tc>
      </w:tr>
      <w:tr w14:paraId="2B7428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D622BA4">
            <w:pPr>
              <w:pStyle w:val="33"/>
              <w:spacing w:line="360" w:lineRule="auto"/>
              <w:jc w:val="center"/>
              <w:rPr>
                <w:rFonts w:hint="eastAsia" w:ascii="宋体" w:hAnsi="宋体" w:eastAsia="宋体" w:cs="宋体"/>
                <w:color w:val="000000"/>
                <w:sz w:val="24"/>
                <w:szCs w:val="24"/>
              </w:rPr>
            </w:pPr>
          </w:p>
        </w:tc>
        <w:tc>
          <w:tcPr>
            <w:tcW w:w="525" w:type="dxa"/>
            <w:vMerge w:val="continue"/>
            <w:noWrap w:val="0"/>
            <w:vAlign w:val="center"/>
          </w:tcPr>
          <w:p w14:paraId="5A745E0C">
            <w:pPr>
              <w:pStyle w:val="33"/>
              <w:spacing w:line="360" w:lineRule="auto"/>
              <w:jc w:val="center"/>
              <w:rPr>
                <w:rFonts w:hint="eastAsia" w:ascii="宋体" w:hAnsi="宋体" w:eastAsia="宋体" w:cs="宋体"/>
                <w:color w:val="000000"/>
                <w:sz w:val="24"/>
                <w:szCs w:val="24"/>
              </w:rPr>
            </w:pPr>
          </w:p>
        </w:tc>
        <w:tc>
          <w:tcPr>
            <w:tcW w:w="1545" w:type="dxa"/>
            <w:noWrap w:val="0"/>
            <w:vAlign w:val="center"/>
          </w:tcPr>
          <w:p w14:paraId="39D35A7A">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垂直方向交叉作业</w:t>
            </w:r>
          </w:p>
        </w:tc>
        <w:tc>
          <w:tcPr>
            <w:tcW w:w="6645" w:type="dxa"/>
            <w:noWrap w:val="0"/>
            <w:vAlign w:val="center"/>
          </w:tcPr>
          <w:p w14:paraId="0A4C5F82">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设置防护隔离棚或其它设施。</w:t>
            </w:r>
          </w:p>
        </w:tc>
      </w:tr>
      <w:tr w14:paraId="4282B2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0A88222">
            <w:pPr>
              <w:pStyle w:val="33"/>
              <w:spacing w:line="360" w:lineRule="auto"/>
              <w:jc w:val="center"/>
              <w:rPr>
                <w:rFonts w:hint="eastAsia" w:ascii="宋体" w:hAnsi="宋体" w:eastAsia="宋体" w:cs="宋体"/>
                <w:color w:val="000000"/>
                <w:sz w:val="24"/>
                <w:szCs w:val="24"/>
              </w:rPr>
            </w:pPr>
          </w:p>
        </w:tc>
        <w:tc>
          <w:tcPr>
            <w:tcW w:w="525" w:type="dxa"/>
            <w:vMerge w:val="continue"/>
            <w:noWrap w:val="0"/>
            <w:vAlign w:val="center"/>
          </w:tcPr>
          <w:p w14:paraId="5FDA94DD">
            <w:pPr>
              <w:pStyle w:val="33"/>
              <w:spacing w:line="360" w:lineRule="auto"/>
              <w:jc w:val="center"/>
              <w:rPr>
                <w:rFonts w:hint="eastAsia" w:ascii="宋体" w:hAnsi="宋体" w:eastAsia="宋体" w:cs="宋体"/>
                <w:color w:val="000000"/>
                <w:sz w:val="24"/>
                <w:szCs w:val="24"/>
              </w:rPr>
            </w:pPr>
          </w:p>
        </w:tc>
        <w:tc>
          <w:tcPr>
            <w:tcW w:w="1545" w:type="dxa"/>
            <w:noWrap w:val="0"/>
            <w:vAlign w:val="center"/>
          </w:tcPr>
          <w:p w14:paraId="23BB157C">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高处作业</w:t>
            </w:r>
          </w:p>
        </w:tc>
        <w:tc>
          <w:tcPr>
            <w:tcW w:w="6645" w:type="dxa"/>
            <w:noWrap w:val="0"/>
            <w:vAlign w:val="center"/>
          </w:tcPr>
          <w:p w14:paraId="151FA7D4">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有悬挂安全带的悬索或其它设施，有操作平台，有上下的梯子或其它形式的通道。</w:t>
            </w:r>
          </w:p>
        </w:tc>
      </w:tr>
      <w:tr w14:paraId="759F0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3F2B1B6">
            <w:pPr>
              <w:pStyle w:val="33"/>
              <w:spacing w:line="360" w:lineRule="auto"/>
              <w:jc w:val="center"/>
              <w:rPr>
                <w:rFonts w:hint="eastAsia" w:ascii="宋体" w:hAnsi="宋体" w:eastAsia="宋体" w:cs="宋体"/>
                <w:color w:val="000000"/>
                <w:sz w:val="24"/>
                <w:szCs w:val="24"/>
              </w:rPr>
            </w:pPr>
          </w:p>
        </w:tc>
        <w:tc>
          <w:tcPr>
            <w:tcW w:w="525" w:type="dxa"/>
            <w:vMerge w:val="continue"/>
            <w:noWrap w:val="0"/>
            <w:vAlign w:val="center"/>
          </w:tcPr>
          <w:p w14:paraId="1F88295A">
            <w:pPr>
              <w:pStyle w:val="33"/>
              <w:spacing w:line="360" w:lineRule="auto"/>
              <w:jc w:val="center"/>
              <w:rPr>
                <w:rFonts w:hint="eastAsia" w:ascii="宋体" w:hAnsi="宋体" w:eastAsia="宋体" w:cs="宋体"/>
                <w:color w:val="000000"/>
                <w:sz w:val="24"/>
                <w:szCs w:val="24"/>
              </w:rPr>
            </w:pPr>
          </w:p>
        </w:tc>
        <w:tc>
          <w:tcPr>
            <w:tcW w:w="1545" w:type="dxa"/>
            <w:noWrap w:val="0"/>
            <w:vAlign w:val="center"/>
          </w:tcPr>
          <w:p w14:paraId="56101DD2">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基坑、物料平台</w:t>
            </w:r>
          </w:p>
        </w:tc>
        <w:tc>
          <w:tcPr>
            <w:tcW w:w="6645" w:type="dxa"/>
            <w:noWrap w:val="0"/>
            <w:vAlign w:val="center"/>
          </w:tcPr>
          <w:p w14:paraId="4E5EAA26">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设1.2m高标准化的防护栏，用密目式安全立网封闭，悬挂标识。</w:t>
            </w:r>
          </w:p>
        </w:tc>
      </w:tr>
      <w:tr w14:paraId="61F5EF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C7B46E5">
            <w:pPr>
              <w:pStyle w:val="33"/>
              <w:spacing w:line="360" w:lineRule="auto"/>
              <w:jc w:val="center"/>
              <w:rPr>
                <w:rFonts w:hint="eastAsia" w:ascii="宋体" w:hAnsi="宋体" w:eastAsia="宋体" w:cs="宋体"/>
                <w:color w:val="000000"/>
                <w:sz w:val="24"/>
                <w:szCs w:val="24"/>
              </w:rPr>
            </w:pPr>
          </w:p>
        </w:tc>
        <w:tc>
          <w:tcPr>
            <w:tcW w:w="2070" w:type="dxa"/>
            <w:gridSpan w:val="2"/>
            <w:noWrap w:val="0"/>
            <w:vAlign w:val="center"/>
          </w:tcPr>
          <w:p w14:paraId="2EC37F97">
            <w:pPr>
              <w:pStyle w:val="33"/>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安全防护用品</w:t>
            </w:r>
          </w:p>
        </w:tc>
        <w:tc>
          <w:tcPr>
            <w:tcW w:w="6645" w:type="dxa"/>
            <w:noWrap w:val="0"/>
            <w:vAlign w:val="center"/>
          </w:tcPr>
          <w:p w14:paraId="5945AE86">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安全帽、安全带、特种作业人员（电工、焊工、架子工等）防护服装、用品等。</w:t>
            </w:r>
          </w:p>
        </w:tc>
      </w:tr>
      <w:tr w14:paraId="1DFB25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noWrap w:val="0"/>
            <w:vAlign w:val="center"/>
          </w:tcPr>
          <w:p w14:paraId="03ED3023">
            <w:pPr>
              <w:pStyle w:val="33"/>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其它</w:t>
            </w:r>
          </w:p>
        </w:tc>
        <w:tc>
          <w:tcPr>
            <w:tcW w:w="525" w:type="dxa"/>
            <w:vMerge w:val="restart"/>
            <w:noWrap w:val="0"/>
            <w:vAlign w:val="center"/>
          </w:tcPr>
          <w:p w14:paraId="7E65BE0A">
            <w:pPr>
              <w:pStyle w:val="33"/>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机械设备防护</w:t>
            </w:r>
          </w:p>
        </w:tc>
        <w:tc>
          <w:tcPr>
            <w:tcW w:w="1545" w:type="dxa"/>
            <w:noWrap w:val="0"/>
            <w:vAlign w:val="center"/>
          </w:tcPr>
          <w:p w14:paraId="6EF58143">
            <w:pPr>
              <w:pStyle w:val="33"/>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中小型机械</w:t>
            </w:r>
          </w:p>
        </w:tc>
        <w:tc>
          <w:tcPr>
            <w:tcW w:w="6645" w:type="dxa"/>
            <w:noWrap w:val="0"/>
            <w:vAlign w:val="center"/>
          </w:tcPr>
          <w:p w14:paraId="2C818A6F">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设防护棚（同通道口防护并有防雨措施）。</w:t>
            </w:r>
          </w:p>
        </w:tc>
      </w:tr>
      <w:tr w14:paraId="71E04A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AA30D65">
            <w:pPr>
              <w:pStyle w:val="33"/>
              <w:spacing w:line="360" w:lineRule="auto"/>
              <w:jc w:val="center"/>
              <w:rPr>
                <w:rFonts w:hint="eastAsia" w:ascii="宋体" w:hAnsi="宋体" w:eastAsia="宋体" w:cs="宋体"/>
                <w:color w:val="000000"/>
                <w:sz w:val="24"/>
                <w:szCs w:val="24"/>
              </w:rPr>
            </w:pPr>
          </w:p>
        </w:tc>
        <w:tc>
          <w:tcPr>
            <w:tcW w:w="525" w:type="dxa"/>
            <w:vMerge w:val="continue"/>
            <w:noWrap w:val="0"/>
            <w:vAlign w:val="center"/>
          </w:tcPr>
          <w:p w14:paraId="051E3F5B">
            <w:pPr>
              <w:pStyle w:val="33"/>
              <w:spacing w:line="360" w:lineRule="auto"/>
              <w:jc w:val="center"/>
              <w:rPr>
                <w:rFonts w:hint="eastAsia" w:ascii="宋体" w:hAnsi="宋体" w:eastAsia="宋体" w:cs="宋体"/>
                <w:color w:val="000000"/>
                <w:sz w:val="24"/>
                <w:szCs w:val="24"/>
              </w:rPr>
            </w:pPr>
          </w:p>
        </w:tc>
        <w:tc>
          <w:tcPr>
            <w:tcW w:w="1545" w:type="dxa"/>
            <w:noWrap w:val="0"/>
            <w:vAlign w:val="center"/>
          </w:tcPr>
          <w:p w14:paraId="4D4F16AD">
            <w:pPr>
              <w:pStyle w:val="33"/>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垂直运输设备</w:t>
            </w:r>
          </w:p>
        </w:tc>
        <w:tc>
          <w:tcPr>
            <w:tcW w:w="6645" w:type="dxa"/>
            <w:noWrap w:val="0"/>
            <w:vAlign w:val="center"/>
          </w:tcPr>
          <w:p w14:paraId="7AF82E8E">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 垂直运输设备检测、检验、日常维护、保养等。</w:t>
            </w:r>
          </w:p>
          <w:p w14:paraId="0CF1DA2C">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 物料提升机、施工电梯等物料平台搭设、外侧用密目式安全立网全封闭，有安全通道、安全防护门、防护棚等。</w:t>
            </w:r>
          </w:p>
        </w:tc>
      </w:tr>
      <w:tr w14:paraId="352521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1D4E3715">
            <w:pPr>
              <w:pStyle w:val="33"/>
              <w:spacing w:line="360" w:lineRule="auto"/>
              <w:jc w:val="center"/>
              <w:rPr>
                <w:rFonts w:hint="eastAsia" w:ascii="宋体" w:hAnsi="宋体" w:eastAsia="宋体" w:cs="宋体"/>
                <w:color w:val="000000"/>
                <w:sz w:val="24"/>
                <w:szCs w:val="24"/>
              </w:rPr>
            </w:pPr>
          </w:p>
        </w:tc>
        <w:tc>
          <w:tcPr>
            <w:tcW w:w="2070" w:type="dxa"/>
            <w:gridSpan w:val="2"/>
            <w:noWrap w:val="0"/>
            <w:vAlign w:val="center"/>
          </w:tcPr>
          <w:p w14:paraId="4DED02F6">
            <w:pPr>
              <w:pStyle w:val="33"/>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专家论证审查</w:t>
            </w:r>
          </w:p>
        </w:tc>
        <w:tc>
          <w:tcPr>
            <w:tcW w:w="6645" w:type="dxa"/>
            <w:noWrap w:val="0"/>
            <w:vAlign w:val="center"/>
          </w:tcPr>
          <w:p w14:paraId="0C41D694">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超过一定规模的危险性较大分部分项工程专家论证审查。</w:t>
            </w:r>
          </w:p>
        </w:tc>
      </w:tr>
      <w:tr w14:paraId="43B7F6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3BDF4628">
            <w:pPr>
              <w:pStyle w:val="33"/>
              <w:spacing w:line="360" w:lineRule="auto"/>
              <w:jc w:val="center"/>
              <w:rPr>
                <w:rFonts w:hint="eastAsia" w:ascii="宋体" w:hAnsi="宋体" w:eastAsia="宋体" w:cs="宋体"/>
                <w:color w:val="000000"/>
                <w:sz w:val="24"/>
                <w:szCs w:val="24"/>
              </w:rPr>
            </w:pPr>
          </w:p>
        </w:tc>
        <w:tc>
          <w:tcPr>
            <w:tcW w:w="2070" w:type="dxa"/>
            <w:gridSpan w:val="2"/>
            <w:noWrap w:val="0"/>
            <w:vAlign w:val="center"/>
          </w:tcPr>
          <w:p w14:paraId="15E1461F">
            <w:pPr>
              <w:pStyle w:val="33"/>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应急救援预案</w:t>
            </w:r>
          </w:p>
        </w:tc>
        <w:tc>
          <w:tcPr>
            <w:tcW w:w="6645" w:type="dxa"/>
            <w:noWrap w:val="0"/>
            <w:vAlign w:val="center"/>
          </w:tcPr>
          <w:p w14:paraId="5A21B539">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救援器材准备及演练等。</w:t>
            </w:r>
          </w:p>
        </w:tc>
      </w:tr>
      <w:tr w14:paraId="5ADCB8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6844AB0E">
            <w:pPr>
              <w:pStyle w:val="33"/>
              <w:spacing w:line="360" w:lineRule="auto"/>
              <w:jc w:val="center"/>
              <w:rPr>
                <w:rFonts w:hint="eastAsia" w:ascii="宋体" w:hAnsi="宋体" w:eastAsia="宋体" w:cs="宋体"/>
                <w:color w:val="000000"/>
                <w:sz w:val="24"/>
                <w:szCs w:val="24"/>
              </w:rPr>
            </w:pPr>
          </w:p>
        </w:tc>
        <w:tc>
          <w:tcPr>
            <w:tcW w:w="2070" w:type="dxa"/>
            <w:gridSpan w:val="2"/>
            <w:noWrap w:val="0"/>
            <w:vAlign w:val="center"/>
          </w:tcPr>
          <w:p w14:paraId="09564948">
            <w:pPr>
              <w:pStyle w:val="33"/>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非正常情况施工</w:t>
            </w:r>
          </w:p>
        </w:tc>
        <w:tc>
          <w:tcPr>
            <w:tcW w:w="6645" w:type="dxa"/>
            <w:noWrap w:val="0"/>
            <w:vAlign w:val="center"/>
          </w:tcPr>
          <w:p w14:paraId="1DA4C4F0">
            <w:pPr>
              <w:pStyle w:val="33"/>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其它特殊情况下的防护费用，如：城市主干道、人流密集、河边等处施工及文物、古建筑、古树保护等。</w:t>
            </w:r>
          </w:p>
        </w:tc>
      </w:tr>
    </w:tbl>
    <w:p w14:paraId="760AAB7F">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注：本表所列建设工程安全文明施工费，是依据现行法律法规及标准、规范确定的。如法律法规和标准、规范修订，本表所列项目应按照修订后的法律法规和标准规范进行调整。</w:t>
      </w:r>
    </w:p>
    <w:p w14:paraId="3B2F7745">
      <w:pPr>
        <w:pStyle w:val="6"/>
        <w:numPr>
          <w:ilvl w:val="0"/>
          <w:numId w:val="52"/>
        </w:numPr>
        <w:tabs>
          <w:tab w:val="clear" w:pos="482"/>
        </w:tabs>
        <w:bidi w:val="0"/>
        <w:ind w:left="0" w:leftChars="0" w:firstLine="480" w:firstLineChars="0"/>
        <w:rPr>
          <w:rFonts w:hint="eastAsia" w:ascii="宋体" w:hAnsi="宋体" w:eastAsia="宋体" w:cs="宋体"/>
          <w:sz w:val="24"/>
          <w:szCs w:val="24"/>
        </w:rPr>
        <w:sectPr>
          <w:pgSz w:w="11907" w:h="16840"/>
          <w:pgMar w:top="1134" w:right="1134" w:bottom="1134" w:left="1134" w:header="851" w:footer="851" w:gutter="0"/>
          <w:cols w:space="720" w:num="1"/>
          <w:titlePg/>
          <w:docGrid w:linePitch="312" w:charSpace="0"/>
        </w:sectPr>
      </w:pPr>
    </w:p>
    <w:p w14:paraId="31BE3B73">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b/>
          <w:bCs/>
          <w:kern w:val="44"/>
          <w:sz w:val="24"/>
          <w:szCs w:val="24"/>
          <w:highlight w:val="none"/>
          <w:lang w:eastAsia="zh-CN"/>
        </w:rPr>
      </w:pPr>
      <w:r>
        <w:rPr>
          <w:rFonts w:hint="eastAsia" w:ascii="宋体" w:hAnsi="宋体" w:eastAsia="宋体" w:cs="宋体"/>
          <w:b/>
          <w:bCs/>
          <w:kern w:val="44"/>
          <w:sz w:val="24"/>
          <w:szCs w:val="24"/>
          <w:highlight w:val="none"/>
          <w:lang w:val="en-US" w:eastAsia="zh-CN"/>
        </w:rPr>
        <w:t>5.</w:t>
      </w:r>
      <w:r>
        <w:rPr>
          <w:rFonts w:hint="eastAsia" w:ascii="宋体" w:hAnsi="宋体" w:eastAsia="宋体" w:cs="宋体"/>
          <w:b/>
          <w:bCs/>
          <w:kern w:val="44"/>
          <w:sz w:val="24"/>
          <w:szCs w:val="24"/>
          <w:highlight w:val="none"/>
          <w:lang w:eastAsia="zh-CN"/>
        </w:rPr>
        <w:t>防城港市政府采购供应商信用承诺函；</w:t>
      </w:r>
    </w:p>
    <w:p w14:paraId="46286173">
      <w:pPr>
        <w:pStyle w:val="16"/>
        <w:ind w:left="0"/>
        <w:rPr>
          <w:rFonts w:hint="eastAsia" w:ascii="宋体" w:hAnsi="宋体" w:eastAsia="宋体" w:cs="宋体"/>
          <w:b/>
          <w:bCs/>
          <w:kern w:val="44"/>
          <w:sz w:val="24"/>
          <w:szCs w:val="24"/>
          <w:highlight w:val="none"/>
        </w:rPr>
      </w:pPr>
    </w:p>
    <w:p w14:paraId="40C54A8C">
      <w:pPr>
        <w:pStyle w:val="16"/>
        <w:ind w:left="0"/>
        <w:rPr>
          <w:rFonts w:hint="eastAsia" w:ascii="宋体" w:hAnsi="宋体" w:eastAsia="宋体" w:cs="宋体"/>
          <w:b/>
          <w:bCs/>
          <w:kern w:val="44"/>
          <w:sz w:val="24"/>
          <w:szCs w:val="24"/>
          <w:highlight w:val="none"/>
        </w:rPr>
      </w:pPr>
    </w:p>
    <w:p w14:paraId="0CD4A3B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kern w:val="44"/>
          <w:sz w:val="24"/>
          <w:szCs w:val="24"/>
          <w:highlight w:val="none"/>
        </w:rPr>
      </w:pPr>
      <w:r>
        <w:rPr>
          <w:rFonts w:hint="eastAsia" w:ascii="宋体" w:hAnsi="宋体" w:eastAsia="宋体" w:cs="宋体"/>
          <w:b/>
          <w:bCs/>
          <w:kern w:val="44"/>
          <w:sz w:val="24"/>
          <w:szCs w:val="24"/>
          <w:highlight w:val="none"/>
          <w:lang w:eastAsia="zh-CN"/>
        </w:rPr>
        <w:t>防城港</w:t>
      </w:r>
      <w:r>
        <w:rPr>
          <w:rFonts w:hint="eastAsia" w:ascii="宋体" w:hAnsi="宋体" w:eastAsia="宋体" w:cs="宋体"/>
          <w:b/>
          <w:bCs/>
          <w:kern w:val="44"/>
          <w:sz w:val="24"/>
          <w:szCs w:val="24"/>
          <w:highlight w:val="none"/>
        </w:rPr>
        <w:t>市政府采购供应商信用承诺函（格式）</w:t>
      </w:r>
    </w:p>
    <w:p w14:paraId="69715C2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kern w:val="44"/>
          <w:sz w:val="24"/>
          <w:szCs w:val="24"/>
          <w:highlight w:val="none"/>
        </w:rPr>
      </w:pPr>
    </w:p>
    <w:p w14:paraId="6736E16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val="0"/>
          <w:bCs w:val="0"/>
          <w:kern w:val="44"/>
          <w:sz w:val="24"/>
          <w:szCs w:val="24"/>
          <w:highlight w:val="none"/>
        </w:rPr>
      </w:pPr>
      <w:r>
        <w:rPr>
          <w:rFonts w:hint="eastAsia" w:ascii="宋体" w:hAnsi="宋体" w:eastAsia="宋体" w:cs="宋体"/>
          <w:b w:val="0"/>
          <w:bCs w:val="0"/>
          <w:kern w:val="44"/>
          <w:sz w:val="24"/>
          <w:szCs w:val="24"/>
          <w:highlight w:val="none"/>
        </w:rPr>
        <w:t>致（采购人或采购代理机构） ：</w:t>
      </w:r>
    </w:p>
    <w:p w14:paraId="7848015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kern w:val="44"/>
          <w:sz w:val="24"/>
          <w:szCs w:val="24"/>
          <w:highlight w:val="none"/>
        </w:rPr>
      </w:pPr>
      <w:r>
        <w:rPr>
          <w:rFonts w:hint="eastAsia" w:ascii="宋体" w:hAnsi="宋体" w:eastAsia="宋体" w:cs="宋体"/>
          <w:b w:val="0"/>
          <w:bCs w:val="0"/>
          <w:kern w:val="44"/>
          <w:sz w:val="24"/>
          <w:szCs w:val="24"/>
          <w:highlight w:val="none"/>
          <w:lang w:val="en-US" w:eastAsia="zh-CN"/>
        </w:rPr>
        <w:t>我方自愿参加 （项目名称） 项目</w:t>
      </w:r>
      <w:r>
        <w:rPr>
          <w:rFonts w:hint="eastAsia" w:ascii="宋体" w:hAnsi="宋体" w:eastAsia="宋体" w:cs="宋体"/>
          <w:b w:val="0"/>
          <w:bCs w:val="0"/>
          <w:kern w:val="44"/>
          <w:sz w:val="24"/>
          <w:szCs w:val="24"/>
          <w:highlight w:val="none"/>
        </w:rPr>
        <w:t xml:space="preserve">（项目编号：       </w:t>
      </w:r>
      <w:r>
        <w:rPr>
          <w:rFonts w:hint="eastAsia" w:ascii="宋体" w:hAnsi="宋体" w:eastAsia="宋体" w:cs="宋体"/>
          <w:b w:val="0"/>
          <w:bCs w:val="0"/>
          <w:kern w:val="44"/>
          <w:sz w:val="24"/>
          <w:szCs w:val="24"/>
          <w:highlight w:val="none"/>
          <w:lang w:val="en-US" w:eastAsia="zh-CN"/>
        </w:rPr>
        <w:t xml:space="preserve">  </w:t>
      </w:r>
      <w:r>
        <w:rPr>
          <w:rFonts w:hint="eastAsia" w:ascii="宋体" w:hAnsi="宋体" w:eastAsia="宋体" w:cs="宋体"/>
          <w:b w:val="0"/>
          <w:bCs w:val="0"/>
          <w:kern w:val="44"/>
          <w:sz w:val="24"/>
          <w:szCs w:val="24"/>
          <w:highlight w:val="none"/>
        </w:rPr>
        <w:t>）</w:t>
      </w:r>
      <w:r>
        <w:rPr>
          <w:rFonts w:hint="eastAsia" w:ascii="宋体" w:hAnsi="宋体" w:eastAsia="宋体" w:cs="宋体"/>
          <w:b w:val="0"/>
          <w:bCs w:val="0"/>
          <w:kern w:val="44"/>
          <w:sz w:val="24"/>
          <w:szCs w:val="24"/>
          <w:highlight w:val="none"/>
          <w:lang w:val="en-US" w:eastAsia="zh-CN"/>
        </w:rPr>
        <w:t xml:space="preserve">的政府采购活动，严格遵守《中华人民共和国政府采购法》及相关法律法规，依法诚信经营，无条件遵守本次政府采购活动的各项规定，并郑重承诺： </w:t>
      </w:r>
    </w:p>
    <w:p w14:paraId="42EC21A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kern w:val="44"/>
          <w:sz w:val="24"/>
          <w:szCs w:val="24"/>
          <w:highlight w:val="none"/>
        </w:rPr>
      </w:pPr>
      <w:r>
        <w:rPr>
          <w:rFonts w:hint="eastAsia" w:ascii="宋体" w:hAnsi="宋体" w:eastAsia="宋体" w:cs="宋体"/>
          <w:b w:val="0"/>
          <w:bCs w:val="0"/>
          <w:kern w:val="44"/>
          <w:sz w:val="24"/>
          <w:szCs w:val="24"/>
          <w:highlight w:val="none"/>
          <w:lang w:val="en-US" w:eastAsia="zh-CN"/>
        </w:rPr>
        <w:t xml:space="preserve">1.我方具有符合采购文件资格要求的财务状况报告。 </w:t>
      </w:r>
    </w:p>
    <w:p w14:paraId="0FCE44E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kern w:val="44"/>
          <w:sz w:val="24"/>
          <w:szCs w:val="24"/>
          <w:highlight w:val="none"/>
        </w:rPr>
      </w:pPr>
      <w:r>
        <w:rPr>
          <w:rFonts w:hint="eastAsia" w:ascii="宋体" w:hAnsi="宋体" w:eastAsia="宋体" w:cs="宋体"/>
          <w:b w:val="0"/>
          <w:bCs w:val="0"/>
          <w:kern w:val="44"/>
          <w:sz w:val="24"/>
          <w:szCs w:val="24"/>
          <w:highlight w:val="none"/>
          <w:lang w:val="en-US" w:eastAsia="zh-CN"/>
        </w:rPr>
        <w:t xml:space="preserve">2.我方具有符合采购文件资格要求的依法缴纳税收和社会保障资金的良好记录。 </w:t>
      </w:r>
    </w:p>
    <w:p w14:paraId="2B81BA8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kern w:val="44"/>
          <w:sz w:val="24"/>
          <w:szCs w:val="24"/>
          <w:highlight w:val="none"/>
        </w:rPr>
      </w:pPr>
      <w:r>
        <w:rPr>
          <w:rFonts w:hint="eastAsia" w:ascii="宋体" w:hAnsi="宋体" w:eastAsia="宋体" w:cs="宋体"/>
          <w:b w:val="0"/>
          <w:bCs w:val="0"/>
          <w:kern w:val="44"/>
          <w:sz w:val="24"/>
          <w:szCs w:val="24"/>
          <w:highlight w:val="none"/>
          <w:lang w:val="en-US" w:eastAsia="zh-CN"/>
        </w:rPr>
        <w:t xml:space="preserve">3.我方参加政府采购活动前三年内在经营活动中没有重大违法记录。 </w:t>
      </w:r>
    </w:p>
    <w:p w14:paraId="6FD0CEF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kern w:val="44"/>
          <w:sz w:val="24"/>
          <w:szCs w:val="24"/>
          <w:highlight w:val="none"/>
        </w:rPr>
      </w:pPr>
      <w:r>
        <w:rPr>
          <w:rFonts w:hint="eastAsia" w:ascii="宋体" w:hAnsi="宋体" w:eastAsia="宋体" w:cs="宋体"/>
          <w:b w:val="0"/>
          <w:bCs w:val="0"/>
          <w:kern w:val="44"/>
          <w:sz w:val="24"/>
          <w:szCs w:val="24"/>
          <w:highlight w:val="none"/>
          <w:lang w:val="en-US" w:eastAsia="zh-CN"/>
        </w:rPr>
        <w:t>我方对以上承诺内容的真实性负责。如有虚假，将依法承担相应责任。</w:t>
      </w:r>
    </w:p>
    <w:p w14:paraId="3D66B441">
      <w:pPr>
        <w:keepNext w:val="0"/>
        <w:keepLines w:val="0"/>
        <w:pageBreakBefore w:val="0"/>
        <w:widowControl w:val="0"/>
        <w:kinsoku/>
        <w:wordWrap/>
        <w:overflowPunct/>
        <w:topLinePunct w:val="0"/>
        <w:autoSpaceDE/>
        <w:autoSpaceDN/>
        <w:bidi w:val="0"/>
        <w:adjustRightInd/>
        <w:snapToGrid/>
        <w:spacing w:line="520" w:lineRule="exact"/>
        <w:ind w:firstLine="2760" w:firstLineChars="1150"/>
        <w:textAlignment w:val="auto"/>
        <w:rPr>
          <w:rFonts w:hint="eastAsia" w:ascii="宋体" w:hAnsi="宋体" w:eastAsia="宋体" w:cs="宋体"/>
          <w:b w:val="0"/>
          <w:bCs w:val="0"/>
          <w:kern w:val="44"/>
          <w:sz w:val="24"/>
          <w:szCs w:val="24"/>
          <w:highlight w:val="none"/>
        </w:rPr>
      </w:pPr>
    </w:p>
    <w:p w14:paraId="04FCB29F">
      <w:pPr>
        <w:keepNext w:val="0"/>
        <w:keepLines w:val="0"/>
        <w:pageBreakBefore w:val="0"/>
        <w:widowControl w:val="0"/>
        <w:kinsoku/>
        <w:wordWrap/>
        <w:overflowPunct/>
        <w:topLinePunct w:val="0"/>
        <w:autoSpaceDE/>
        <w:autoSpaceDN/>
        <w:bidi w:val="0"/>
        <w:adjustRightInd/>
        <w:snapToGrid/>
        <w:spacing w:line="520" w:lineRule="exact"/>
        <w:ind w:firstLine="2760" w:firstLineChars="1150"/>
        <w:textAlignment w:val="auto"/>
        <w:rPr>
          <w:rFonts w:hint="eastAsia" w:ascii="宋体" w:hAnsi="宋体" w:eastAsia="宋体" w:cs="宋体"/>
          <w:b w:val="0"/>
          <w:bCs w:val="0"/>
          <w:kern w:val="44"/>
          <w:sz w:val="24"/>
          <w:szCs w:val="24"/>
          <w:highlight w:val="none"/>
        </w:rPr>
      </w:pPr>
    </w:p>
    <w:p w14:paraId="644177EC">
      <w:pPr>
        <w:keepNext w:val="0"/>
        <w:keepLines w:val="0"/>
        <w:pageBreakBefore w:val="0"/>
        <w:widowControl w:val="0"/>
        <w:kinsoku/>
        <w:wordWrap/>
        <w:overflowPunct/>
        <w:topLinePunct w:val="0"/>
        <w:autoSpaceDE/>
        <w:autoSpaceDN/>
        <w:bidi w:val="0"/>
        <w:adjustRightInd/>
        <w:snapToGrid/>
        <w:spacing w:line="520" w:lineRule="exact"/>
        <w:ind w:firstLine="2760" w:firstLineChars="1150"/>
        <w:textAlignment w:val="auto"/>
        <w:rPr>
          <w:rFonts w:hint="eastAsia" w:ascii="宋体" w:hAnsi="宋体" w:eastAsia="宋体" w:cs="宋体"/>
          <w:b w:val="0"/>
          <w:bCs w:val="0"/>
          <w:kern w:val="44"/>
          <w:sz w:val="24"/>
          <w:szCs w:val="24"/>
          <w:highlight w:val="none"/>
        </w:rPr>
      </w:pPr>
      <w:r>
        <w:rPr>
          <w:rFonts w:hint="eastAsia" w:ascii="宋体" w:hAnsi="宋体" w:eastAsia="宋体" w:cs="宋体"/>
          <w:b w:val="0"/>
          <w:bCs w:val="0"/>
          <w:kern w:val="44"/>
          <w:sz w:val="24"/>
          <w:szCs w:val="24"/>
          <w:highlight w:val="none"/>
        </w:rPr>
        <w:t>供应商名称（公章）：</w:t>
      </w:r>
    </w:p>
    <w:p w14:paraId="263C2507">
      <w:pPr>
        <w:keepNext w:val="0"/>
        <w:keepLines w:val="0"/>
        <w:pageBreakBefore w:val="0"/>
        <w:widowControl w:val="0"/>
        <w:kinsoku/>
        <w:wordWrap/>
        <w:overflowPunct/>
        <w:topLinePunct w:val="0"/>
        <w:autoSpaceDE/>
        <w:autoSpaceDN/>
        <w:bidi w:val="0"/>
        <w:adjustRightInd/>
        <w:snapToGrid/>
        <w:spacing w:line="600" w:lineRule="exact"/>
        <w:ind w:firstLine="2640" w:firstLineChars="1100"/>
        <w:textAlignment w:val="auto"/>
        <w:rPr>
          <w:rFonts w:hint="eastAsia" w:ascii="宋体" w:hAnsi="宋体" w:eastAsia="宋体" w:cs="宋体"/>
          <w:b w:val="0"/>
          <w:bCs w:val="0"/>
          <w:kern w:val="44"/>
          <w:sz w:val="24"/>
          <w:szCs w:val="24"/>
          <w:highlight w:val="none"/>
        </w:rPr>
      </w:pPr>
      <w:r>
        <w:rPr>
          <w:rFonts w:hint="eastAsia" w:ascii="宋体" w:hAnsi="宋体" w:eastAsia="宋体" w:cs="宋体"/>
          <w:b w:val="0"/>
          <w:bCs w:val="0"/>
          <w:kern w:val="44"/>
          <w:sz w:val="24"/>
          <w:szCs w:val="24"/>
          <w:highlight w:val="none"/>
        </w:rPr>
        <w:t>统一社会信用代码：</w:t>
      </w:r>
    </w:p>
    <w:p w14:paraId="46550CF4">
      <w:pPr>
        <w:keepNext w:val="0"/>
        <w:keepLines w:val="0"/>
        <w:pageBreakBefore w:val="0"/>
        <w:widowControl w:val="0"/>
        <w:kinsoku/>
        <w:wordWrap/>
        <w:overflowPunct/>
        <w:topLinePunct w:val="0"/>
        <w:autoSpaceDE/>
        <w:autoSpaceDN/>
        <w:bidi w:val="0"/>
        <w:adjustRightInd/>
        <w:snapToGrid/>
        <w:spacing w:line="520" w:lineRule="exact"/>
        <w:ind w:firstLine="1680" w:firstLineChars="700"/>
        <w:textAlignment w:val="auto"/>
        <w:rPr>
          <w:rFonts w:hint="eastAsia" w:ascii="宋体" w:hAnsi="宋体" w:eastAsia="宋体" w:cs="宋体"/>
          <w:b w:val="0"/>
          <w:bCs w:val="0"/>
          <w:kern w:val="44"/>
          <w:sz w:val="24"/>
          <w:szCs w:val="24"/>
          <w:highlight w:val="none"/>
        </w:rPr>
      </w:pPr>
      <w:r>
        <w:rPr>
          <w:rFonts w:hint="eastAsia" w:ascii="宋体" w:hAnsi="宋体" w:eastAsia="宋体" w:cs="宋体"/>
          <w:b w:val="0"/>
          <w:bCs w:val="0"/>
          <w:kern w:val="44"/>
          <w:sz w:val="24"/>
          <w:szCs w:val="24"/>
          <w:highlight w:val="none"/>
        </w:rPr>
        <w:t>法定代表人或授权代表(签名)：</w:t>
      </w:r>
    </w:p>
    <w:p w14:paraId="193FBA81">
      <w:pPr>
        <w:keepNext w:val="0"/>
        <w:keepLines w:val="0"/>
        <w:pageBreakBefore w:val="0"/>
        <w:widowControl w:val="0"/>
        <w:kinsoku/>
        <w:wordWrap/>
        <w:overflowPunct/>
        <w:topLinePunct w:val="0"/>
        <w:autoSpaceDE/>
        <w:autoSpaceDN/>
        <w:bidi w:val="0"/>
        <w:adjustRightInd/>
        <w:snapToGrid/>
        <w:spacing w:line="520" w:lineRule="exact"/>
        <w:ind w:firstLine="3120" w:firstLineChars="1300"/>
        <w:textAlignment w:val="auto"/>
        <w:rPr>
          <w:rFonts w:hint="eastAsia" w:ascii="宋体" w:hAnsi="宋体" w:eastAsia="宋体" w:cs="宋体"/>
          <w:b w:val="0"/>
          <w:bCs w:val="0"/>
          <w:kern w:val="44"/>
          <w:sz w:val="24"/>
          <w:szCs w:val="24"/>
          <w:highlight w:val="none"/>
        </w:rPr>
      </w:pPr>
      <w:r>
        <w:rPr>
          <w:rFonts w:hint="eastAsia" w:ascii="宋体" w:hAnsi="宋体" w:eastAsia="宋体" w:cs="宋体"/>
          <w:b w:val="0"/>
          <w:bCs w:val="0"/>
          <w:kern w:val="44"/>
          <w:sz w:val="24"/>
          <w:szCs w:val="24"/>
          <w:highlight w:val="none"/>
        </w:rPr>
        <w:t xml:space="preserve">日期： </w:t>
      </w:r>
      <w:r>
        <w:rPr>
          <w:rFonts w:hint="eastAsia" w:ascii="宋体" w:hAnsi="宋体" w:eastAsia="宋体" w:cs="宋体"/>
          <w:b w:val="0"/>
          <w:bCs w:val="0"/>
          <w:kern w:val="44"/>
          <w:sz w:val="24"/>
          <w:szCs w:val="24"/>
          <w:highlight w:val="none"/>
          <w:lang w:val="en-US" w:eastAsia="zh-CN"/>
        </w:rPr>
        <w:t xml:space="preserve">   </w:t>
      </w:r>
      <w:r>
        <w:rPr>
          <w:rFonts w:hint="eastAsia" w:ascii="宋体" w:hAnsi="宋体" w:eastAsia="宋体" w:cs="宋体"/>
          <w:b w:val="0"/>
          <w:bCs w:val="0"/>
          <w:kern w:val="44"/>
          <w:sz w:val="24"/>
          <w:szCs w:val="24"/>
          <w:highlight w:val="none"/>
        </w:rPr>
        <w:t>年 月 日</w:t>
      </w:r>
    </w:p>
    <w:p w14:paraId="628C74C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 w:val="0"/>
          <w:bCs w:val="0"/>
          <w:kern w:val="44"/>
          <w:sz w:val="24"/>
          <w:szCs w:val="24"/>
          <w:highlight w:val="none"/>
        </w:rPr>
      </w:pPr>
    </w:p>
    <w:p w14:paraId="448F1F1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 w:val="0"/>
          <w:bCs w:val="0"/>
          <w:kern w:val="44"/>
          <w:sz w:val="24"/>
          <w:szCs w:val="24"/>
          <w:highlight w:val="none"/>
        </w:rPr>
      </w:pPr>
      <w:r>
        <w:rPr>
          <w:rFonts w:hint="eastAsia" w:ascii="宋体" w:hAnsi="宋体" w:eastAsia="宋体" w:cs="宋体"/>
          <w:b w:val="0"/>
          <w:bCs w:val="0"/>
          <w:kern w:val="44"/>
          <w:sz w:val="24"/>
          <w:szCs w:val="24"/>
          <w:highlight w:val="none"/>
        </w:rPr>
        <w:t>注：1.供应商须在投标（响应）文件中按此模板提供承诺函，未提供视为未实质性响应招标（采购）文件要求，按无效投标（响应）处理。</w:t>
      </w:r>
    </w:p>
    <w:p w14:paraId="76140AFB">
      <w:pPr>
        <w:pStyle w:val="16"/>
        <w:ind w:left="0" w:firstLine="960" w:firstLineChars="400"/>
        <w:rPr>
          <w:rFonts w:hint="eastAsia" w:ascii="宋体" w:hAnsi="宋体" w:eastAsia="宋体" w:cs="宋体"/>
          <w:b w:val="0"/>
          <w:bCs w:val="0"/>
          <w:kern w:val="44"/>
          <w:sz w:val="24"/>
          <w:szCs w:val="24"/>
          <w:highlight w:val="none"/>
        </w:rPr>
      </w:pPr>
      <w:r>
        <w:rPr>
          <w:rFonts w:hint="eastAsia" w:ascii="宋体" w:hAnsi="宋体" w:eastAsia="宋体" w:cs="宋体"/>
          <w:b w:val="0"/>
          <w:bCs w:val="0"/>
          <w:kern w:val="44"/>
          <w:sz w:val="24"/>
          <w:szCs w:val="24"/>
          <w:highlight w:val="none"/>
        </w:rPr>
        <w:t>2.供应商的法定代表人（其他组织的为负责人）或者授权代表的签名或盖章应真实、有效，如由授权代表签名或盖章的，应提供“法定代表人授权书”。</w:t>
      </w:r>
    </w:p>
    <w:p w14:paraId="62EE83D3">
      <w:pPr>
        <w:pStyle w:val="6"/>
        <w:numPr>
          <w:ilvl w:val="0"/>
          <w:numId w:val="52"/>
        </w:numPr>
        <w:tabs>
          <w:tab w:val="clear" w:pos="482"/>
        </w:tabs>
        <w:bidi w:val="0"/>
        <w:ind w:left="0" w:leftChars="0" w:firstLine="480" w:firstLineChars="0"/>
        <w:rPr>
          <w:rFonts w:hint="eastAsia" w:ascii="宋体" w:hAnsi="宋体" w:eastAsia="宋体" w:cs="宋体"/>
          <w:sz w:val="24"/>
          <w:szCs w:val="24"/>
        </w:rPr>
      </w:pPr>
      <w:r>
        <w:rPr>
          <w:rFonts w:hint="eastAsia" w:ascii="宋体" w:hAnsi="宋体" w:eastAsia="宋体" w:cs="宋体"/>
          <w:sz w:val="24"/>
          <w:szCs w:val="24"/>
        </w:rPr>
        <w:br w:type="page"/>
      </w:r>
    </w:p>
    <w:p w14:paraId="208DFFB6">
      <w:pPr>
        <w:pStyle w:val="6"/>
        <w:numPr>
          <w:ilvl w:val="0"/>
          <w:numId w:val="52"/>
        </w:numPr>
        <w:tabs>
          <w:tab w:val="clear" w:pos="482"/>
        </w:tabs>
        <w:bidi w:val="0"/>
        <w:ind w:left="0" w:leftChars="0" w:firstLine="480" w:firstLineChars="0"/>
        <w:rPr>
          <w:rFonts w:hint="eastAsia" w:ascii="宋体" w:hAnsi="宋体" w:eastAsia="宋体" w:cs="宋体"/>
          <w:sz w:val="24"/>
          <w:szCs w:val="24"/>
        </w:rPr>
      </w:pPr>
      <w:r>
        <w:rPr>
          <w:rFonts w:hint="eastAsia" w:ascii="宋体" w:hAnsi="宋体" w:eastAsia="宋体" w:cs="宋体"/>
          <w:sz w:val="24"/>
          <w:szCs w:val="24"/>
          <w:highlight w:val="none"/>
        </w:rPr>
        <w:t>项目经理须具备建筑工程专业二级（含）以上注册建造师执业资格，具备有效的安全生产考核合格证书（B类）的证明材料复印件</w:t>
      </w:r>
    </w:p>
    <w:p w14:paraId="39ED3919">
      <w:pPr>
        <w:pStyle w:val="29"/>
        <w:spacing w:line="360" w:lineRule="auto"/>
        <w:rPr>
          <w:rFonts w:hint="eastAsia" w:ascii="宋体" w:hAnsi="宋体" w:eastAsia="宋体" w:cs="宋体"/>
          <w:sz w:val="24"/>
          <w:szCs w:val="24"/>
        </w:rPr>
      </w:pPr>
    </w:p>
    <w:p w14:paraId="26120078">
      <w:pPr>
        <w:pStyle w:val="29"/>
        <w:spacing w:line="360" w:lineRule="auto"/>
        <w:rPr>
          <w:rFonts w:hint="eastAsia" w:ascii="宋体" w:hAnsi="宋体" w:eastAsia="宋体" w:cs="宋体"/>
          <w:sz w:val="24"/>
          <w:szCs w:val="24"/>
        </w:rPr>
      </w:pPr>
    </w:p>
    <w:p w14:paraId="5FF5641B">
      <w:pPr>
        <w:pStyle w:val="29"/>
        <w:spacing w:line="360" w:lineRule="auto"/>
        <w:rPr>
          <w:rFonts w:hint="eastAsia" w:ascii="宋体" w:hAnsi="宋体" w:eastAsia="宋体" w:cs="宋体"/>
          <w:sz w:val="24"/>
          <w:szCs w:val="24"/>
        </w:rPr>
      </w:pPr>
    </w:p>
    <w:p w14:paraId="184A36AA">
      <w:pPr>
        <w:pStyle w:val="6"/>
        <w:numPr>
          <w:ilvl w:val="0"/>
          <w:numId w:val="52"/>
        </w:numPr>
        <w:tabs>
          <w:tab w:val="clear" w:pos="482"/>
        </w:tabs>
        <w:bidi w:val="0"/>
        <w:ind w:left="0" w:leftChars="0" w:firstLine="480" w:firstLineChars="0"/>
        <w:rPr>
          <w:rFonts w:hint="eastAsia" w:ascii="宋体" w:hAnsi="宋体" w:eastAsia="宋体" w:cs="宋体"/>
          <w:sz w:val="24"/>
          <w:szCs w:val="24"/>
        </w:rPr>
      </w:pPr>
      <w:r>
        <w:rPr>
          <w:rFonts w:hint="eastAsia" w:ascii="宋体" w:hAnsi="宋体" w:eastAsia="宋体" w:cs="宋体"/>
          <w:sz w:val="24"/>
          <w:szCs w:val="24"/>
        </w:rPr>
        <w:t>磋商供应商提供近半年内连续三个月的依法缴纳的社保费凭证复印件或者《依法缴纳或依法交社保证明》复印件（如社保凭证或证明未包含养老保险及医疗保险部分，供应商须同时提供养老保险及医疗保险凭证或缴纳证明），如为新成立的磋商单位请按实际依法缴纳月份提供（必须提供，并加盖公章）；</w:t>
      </w:r>
    </w:p>
    <w:p w14:paraId="44506439">
      <w:pPr>
        <w:spacing w:line="360" w:lineRule="auto"/>
        <w:ind w:left="420"/>
        <w:rPr>
          <w:rFonts w:hint="eastAsia" w:ascii="宋体" w:hAnsi="宋体" w:eastAsia="宋体" w:cs="宋体"/>
          <w:b/>
          <w:color w:val="000000"/>
          <w:sz w:val="24"/>
          <w:szCs w:val="24"/>
        </w:rPr>
      </w:pPr>
    </w:p>
    <w:p w14:paraId="3EE5698C">
      <w:pPr>
        <w:pStyle w:val="29"/>
        <w:rPr>
          <w:rFonts w:hint="eastAsia" w:ascii="宋体" w:hAnsi="宋体" w:eastAsia="宋体" w:cs="宋体"/>
          <w:sz w:val="24"/>
          <w:szCs w:val="24"/>
        </w:rPr>
      </w:pPr>
    </w:p>
    <w:p w14:paraId="7BA1F3D7">
      <w:pPr>
        <w:pStyle w:val="6"/>
        <w:numPr>
          <w:ilvl w:val="0"/>
          <w:numId w:val="52"/>
        </w:numPr>
        <w:tabs>
          <w:tab w:val="clear" w:pos="482"/>
        </w:tabs>
        <w:bidi w:val="0"/>
        <w:ind w:left="0" w:leftChars="0" w:firstLine="480" w:firstLineChars="0"/>
        <w:rPr>
          <w:rFonts w:hint="eastAsia" w:ascii="宋体" w:hAnsi="宋体" w:eastAsia="宋体" w:cs="宋体"/>
          <w:sz w:val="24"/>
          <w:szCs w:val="24"/>
        </w:rPr>
      </w:pPr>
      <w:r>
        <w:rPr>
          <w:rFonts w:hint="eastAsia" w:ascii="宋体" w:hAnsi="宋体" w:eastAsia="宋体" w:cs="宋体"/>
          <w:sz w:val="24"/>
          <w:szCs w:val="24"/>
        </w:rPr>
        <w:t>磋商供应商提供近半年内连续三个月依法纳税的完税凭证复印件或者《依法纳税或依法免税证明》复印件，如为新成立的磋商单位请按实际依法缴纳月份提供（必须提供，并加盖公章）；</w:t>
      </w:r>
    </w:p>
    <w:p w14:paraId="53EA38EE">
      <w:pPr>
        <w:spacing w:line="360" w:lineRule="auto"/>
        <w:ind w:left="420"/>
        <w:rPr>
          <w:rFonts w:hint="eastAsia" w:ascii="宋体" w:hAnsi="宋体" w:eastAsia="宋体" w:cs="宋体"/>
          <w:b/>
          <w:color w:val="000000"/>
          <w:sz w:val="24"/>
          <w:szCs w:val="24"/>
        </w:rPr>
      </w:pPr>
    </w:p>
    <w:p w14:paraId="0EC26AA9">
      <w:pPr>
        <w:spacing w:line="360" w:lineRule="auto"/>
        <w:ind w:left="420"/>
        <w:rPr>
          <w:rFonts w:hint="eastAsia" w:ascii="宋体" w:hAnsi="宋体" w:eastAsia="宋体" w:cs="宋体"/>
          <w:b/>
          <w:color w:val="000000"/>
          <w:sz w:val="24"/>
          <w:szCs w:val="24"/>
        </w:rPr>
      </w:pPr>
    </w:p>
    <w:p w14:paraId="639C6BD6">
      <w:pPr>
        <w:spacing w:line="360" w:lineRule="auto"/>
        <w:ind w:left="420"/>
        <w:rPr>
          <w:rFonts w:hint="eastAsia" w:ascii="宋体" w:hAnsi="宋体" w:eastAsia="宋体" w:cs="宋体"/>
          <w:b/>
          <w:color w:val="000000"/>
          <w:sz w:val="24"/>
          <w:szCs w:val="24"/>
        </w:rPr>
      </w:pPr>
    </w:p>
    <w:p w14:paraId="722A968D">
      <w:pPr>
        <w:pStyle w:val="6"/>
        <w:numPr>
          <w:ilvl w:val="0"/>
          <w:numId w:val="52"/>
        </w:numPr>
        <w:tabs>
          <w:tab w:val="clear" w:pos="482"/>
        </w:tabs>
        <w:bidi w:val="0"/>
        <w:ind w:left="0" w:leftChars="0" w:firstLine="480" w:firstLineChars="0"/>
        <w:rPr>
          <w:rFonts w:hint="eastAsia" w:ascii="宋体" w:hAnsi="宋体" w:eastAsia="宋体" w:cs="宋体"/>
          <w:sz w:val="24"/>
          <w:szCs w:val="24"/>
        </w:rPr>
      </w:pPr>
      <w:r>
        <w:rPr>
          <w:rFonts w:hint="eastAsia" w:ascii="宋体" w:hAnsi="宋体" w:eastAsia="宋体" w:cs="宋体"/>
          <w:sz w:val="24"/>
          <w:szCs w:val="24"/>
        </w:rPr>
        <w:t>磋商供应商2023年度经审计财务报告复印件（若为新成立的企业，可根据实际情况提供月度财务报表，格式自拟）；</w:t>
      </w:r>
    </w:p>
    <w:p w14:paraId="29494A33">
      <w:pPr>
        <w:spacing w:line="360" w:lineRule="auto"/>
        <w:rPr>
          <w:rFonts w:hint="eastAsia" w:ascii="宋体" w:hAnsi="宋体" w:eastAsia="宋体" w:cs="宋体"/>
          <w:b/>
          <w:color w:val="000000"/>
          <w:sz w:val="24"/>
          <w:szCs w:val="24"/>
        </w:rPr>
      </w:pPr>
    </w:p>
    <w:p w14:paraId="050CEF89">
      <w:pPr>
        <w:spacing w:line="360" w:lineRule="auto"/>
        <w:rPr>
          <w:rFonts w:hint="eastAsia" w:ascii="宋体" w:hAnsi="宋体" w:eastAsia="宋体" w:cs="宋体"/>
          <w:b/>
          <w:color w:val="000000"/>
          <w:sz w:val="24"/>
          <w:szCs w:val="24"/>
        </w:rPr>
      </w:pPr>
    </w:p>
    <w:p w14:paraId="326EED63">
      <w:pPr>
        <w:spacing w:line="360" w:lineRule="auto"/>
        <w:rPr>
          <w:rFonts w:hint="eastAsia" w:ascii="宋体" w:hAnsi="宋体" w:eastAsia="宋体" w:cs="宋体"/>
          <w:b/>
          <w:color w:val="000000"/>
          <w:sz w:val="24"/>
          <w:szCs w:val="24"/>
        </w:rPr>
        <w:sectPr>
          <w:pgSz w:w="11907" w:h="16840"/>
          <w:pgMar w:top="1134" w:right="1134" w:bottom="1134" w:left="1134" w:header="851" w:footer="851" w:gutter="0"/>
          <w:cols w:space="720" w:num="1"/>
          <w:titlePg/>
          <w:docGrid w:linePitch="312" w:charSpace="0"/>
        </w:sectPr>
      </w:pPr>
    </w:p>
    <w:p w14:paraId="036554DE">
      <w:pPr>
        <w:pStyle w:val="6"/>
        <w:numPr>
          <w:ilvl w:val="0"/>
          <w:numId w:val="52"/>
        </w:numPr>
        <w:tabs>
          <w:tab w:val="clear" w:pos="482"/>
        </w:tabs>
        <w:bidi w:val="0"/>
        <w:ind w:left="0" w:leftChars="0" w:firstLine="480" w:firstLineChars="0"/>
        <w:rPr>
          <w:rFonts w:hint="eastAsia" w:ascii="宋体" w:hAnsi="宋体" w:eastAsia="宋体" w:cs="宋体"/>
          <w:sz w:val="24"/>
          <w:szCs w:val="24"/>
        </w:rPr>
      </w:pPr>
      <w:r>
        <w:rPr>
          <w:rFonts w:hint="eastAsia" w:ascii="宋体" w:hAnsi="宋体" w:eastAsia="宋体" w:cs="宋体"/>
          <w:sz w:val="24"/>
          <w:szCs w:val="24"/>
        </w:rPr>
        <w:t>参加政府采购活动前3年内在经营活动中没有重大违法记录的书面声明</w:t>
      </w:r>
    </w:p>
    <w:p w14:paraId="072A7AC0">
      <w:pPr>
        <w:spacing w:line="360" w:lineRule="auto"/>
        <w:ind w:firstLine="240" w:firstLineChars="100"/>
        <w:rPr>
          <w:rStyle w:val="34"/>
          <w:rFonts w:hint="eastAsia" w:ascii="宋体" w:hAnsi="宋体" w:eastAsia="宋体" w:cs="宋体"/>
          <w:color w:val="000000"/>
          <w:sz w:val="24"/>
          <w:szCs w:val="24"/>
          <w:u w:val="single"/>
        </w:rPr>
      </w:pPr>
    </w:p>
    <w:p w14:paraId="666F7A5E">
      <w:pPr>
        <w:spacing w:line="360" w:lineRule="auto"/>
        <w:ind w:firstLine="240" w:firstLineChars="100"/>
        <w:rPr>
          <w:rStyle w:val="34"/>
          <w:rFonts w:hint="eastAsia" w:ascii="宋体" w:hAnsi="宋体" w:eastAsia="宋体" w:cs="宋体"/>
          <w:color w:val="000000"/>
          <w:sz w:val="24"/>
          <w:szCs w:val="24"/>
          <w:u w:val="single"/>
        </w:rPr>
      </w:pPr>
    </w:p>
    <w:p w14:paraId="6F80DFC9">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sz w:val="24"/>
          <w:szCs w:val="24"/>
          <w:u w:val="single"/>
        </w:rPr>
      </w:pPr>
      <w:r>
        <w:rPr>
          <w:rStyle w:val="34"/>
          <w:rFonts w:hint="eastAsia" w:ascii="宋体" w:hAnsi="宋体" w:eastAsia="宋体" w:cs="宋体"/>
          <w:color w:val="000000"/>
          <w:sz w:val="24"/>
          <w:szCs w:val="24"/>
          <w:u w:val="single"/>
          <w:lang w:eastAsia="zh-CN"/>
        </w:rPr>
        <w:t>广西国立工程咨询有限公司</w:t>
      </w:r>
      <w:r>
        <w:rPr>
          <w:rStyle w:val="34"/>
          <w:rFonts w:hint="eastAsia" w:ascii="宋体" w:hAnsi="宋体" w:eastAsia="宋体" w:cs="宋体"/>
          <w:color w:val="000000"/>
          <w:sz w:val="24"/>
          <w:szCs w:val="24"/>
          <w:u w:val="single"/>
        </w:rPr>
        <w:t>：</w:t>
      </w:r>
    </w:p>
    <w:p w14:paraId="5E36A3EB">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Style w:val="34"/>
          <w:rFonts w:hint="eastAsia" w:ascii="宋体" w:hAnsi="宋体" w:eastAsia="宋体" w:cs="宋体"/>
          <w:color w:val="000000"/>
          <w:sz w:val="24"/>
          <w:szCs w:val="24"/>
        </w:rPr>
        <w:t>我公司参加贵公司组织</w:t>
      </w:r>
      <w:r>
        <w:rPr>
          <w:rStyle w:val="34"/>
          <w:rFonts w:hint="eastAsia" w:ascii="宋体" w:hAnsi="宋体" w:eastAsia="宋体" w:cs="宋体"/>
          <w:color w:val="000000"/>
          <w:sz w:val="24"/>
          <w:szCs w:val="24"/>
          <w:u w:val="single"/>
        </w:rPr>
        <w:t xml:space="preserve">         </w:t>
      </w:r>
      <w:r>
        <w:rPr>
          <w:rStyle w:val="34"/>
          <w:rFonts w:hint="eastAsia" w:ascii="宋体" w:hAnsi="宋体" w:eastAsia="宋体" w:cs="宋体"/>
          <w:color w:val="000000"/>
          <w:sz w:val="24"/>
          <w:szCs w:val="24"/>
        </w:rPr>
        <w:t>项目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EAD019F">
      <w:pPr>
        <w:pStyle w:val="4"/>
        <w:rPr>
          <w:rFonts w:hint="eastAsia" w:ascii="宋体" w:hAnsi="宋体" w:eastAsia="宋体" w:cs="宋体"/>
          <w:color w:val="000000"/>
          <w:sz w:val="24"/>
          <w:szCs w:val="24"/>
        </w:rPr>
      </w:pPr>
      <w:r>
        <w:rPr>
          <w:rStyle w:val="34"/>
          <w:rFonts w:hint="eastAsia" w:ascii="宋体" w:hAnsi="宋体" w:eastAsia="宋体" w:cs="宋体"/>
          <w:color w:val="000000"/>
          <w:sz w:val="24"/>
          <w:szCs w:val="24"/>
        </w:rPr>
        <w:t>特此承诺。</w:t>
      </w:r>
    </w:p>
    <w:p w14:paraId="6F5669A9">
      <w:pPr>
        <w:spacing w:line="360" w:lineRule="auto"/>
        <w:ind w:firstLine="480" w:firstLineChars="200"/>
        <w:rPr>
          <w:rFonts w:hint="eastAsia" w:ascii="宋体" w:hAnsi="宋体" w:eastAsia="宋体" w:cs="宋体"/>
          <w:color w:val="000000"/>
          <w:sz w:val="24"/>
          <w:szCs w:val="24"/>
        </w:rPr>
      </w:pPr>
    </w:p>
    <w:p w14:paraId="2FCE4D5A">
      <w:pPr>
        <w:spacing w:line="360" w:lineRule="auto"/>
        <w:ind w:firstLine="480" w:firstLineChars="200"/>
        <w:rPr>
          <w:rFonts w:hint="eastAsia" w:ascii="宋体" w:hAnsi="宋体" w:eastAsia="宋体" w:cs="宋体"/>
          <w:color w:val="000000"/>
          <w:sz w:val="24"/>
          <w:szCs w:val="24"/>
        </w:rPr>
      </w:pPr>
    </w:p>
    <w:p w14:paraId="0D851938">
      <w:pPr>
        <w:spacing w:line="360" w:lineRule="auto"/>
        <w:ind w:firstLine="480" w:firstLineChars="200"/>
        <w:rPr>
          <w:rStyle w:val="34"/>
          <w:rFonts w:hint="eastAsia" w:ascii="宋体" w:hAnsi="宋体" w:eastAsia="宋体" w:cs="宋体"/>
          <w:color w:val="000000"/>
          <w:sz w:val="24"/>
          <w:szCs w:val="24"/>
        </w:rPr>
      </w:pPr>
      <w:r>
        <w:rPr>
          <w:rStyle w:val="34"/>
          <w:rFonts w:hint="eastAsia" w:ascii="宋体" w:hAnsi="宋体" w:eastAsia="宋体" w:cs="宋体"/>
          <w:color w:val="000000"/>
          <w:sz w:val="24"/>
          <w:szCs w:val="24"/>
        </w:rPr>
        <w:t xml:space="preserve">供应商公章：  </w:t>
      </w:r>
    </w:p>
    <w:p w14:paraId="45AB5236">
      <w:pPr>
        <w:spacing w:line="360" w:lineRule="auto"/>
        <w:ind w:firstLine="480" w:firstLineChars="200"/>
        <w:rPr>
          <w:rStyle w:val="34"/>
          <w:rFonts w:hint="eastAsia" w:ascii="宋体" w:hAnsi="宋体" w:eastAsia="宋体" w:cs="宋体"/>
          <w:color w:val="000000"/>
          <w:sz w:val="24"/>
          <w:szCs w:val="24"/>
        </w:rPr>
      </w:pPr>
      <w:r>
        <w:rPr>
          <w:rStyle w:val="34"/>
          <w:rFonts w:hint="eastAsia" w:ascii="宋体" w:hAnsi="宋体" w:eastAsia="宋体" w:cs="宋体"/>
          <w:color w:val="000000"/>
          <w:sz w:val="24"/>
          <w:szCs w:val="24"/>
        </w:rPr>
        <w:t>法定代表人或委托代理人签字：   </w:t>
      </w:r>
    </w:p>
    <w:p w14:paraId="7E25CD93">
      <w:pPr>
        <w:spacing w:line="360" w:lineRule="auto"/>
        <w:ind w:left="420"/>
        <w:rPr>
          <w:rStyle w:val="34"/>
          <w:rFonts w:hint="eastAsia" w:ascii="宋体" w:hAnsi="宋体" w:eastAsia="宋体" w:cs="宋体"/>
          <w:color w:val="000000"/>
          <w:sz w:val="24"/>
          <w:szCs w:val="24"/>
        </w:rPr>
      </w:pPr>
      <w:r>
        <w:rPr>
          <w:rStyle w:val="34"/>
          <w:rFonts w:hint="eastAsia" w:ascii="宋体" w:hAnsi="宋体" w:eastAsia="宋体" w:cs="宋体"/>
          <w:color w:val="000000"/>
          <w:sz w:val="24"/>
          <w:szCs w:val="24"/>
        </w:rPr>
        <w:t>日期：     年     月     日</w:t>
      </w:r>
    </w:p>
    <w:p w14:paraId="672AFA16">
      <w:pPr>
        <w:spacing w:line="360" w:lineRule="auto"/>
        <w:ind w:left="420"/>
        <w:rPr>
          <w:rFonts w:hint="eastAsia" w:ascii="宋体" w:hAnsi="宋体" w:eastAsia="宋体" w:cs="宋体"/>
          <w:b/>
          <w:color w:val="000000"/>
          <w:sz w:val="24"/>
          <w:szCs w:val="24"/>
        </w:rPr>
      </w:pPr>
    </w:p>
    <w:p w14:paraId="03BEB3B9">
      <w:pPr>
        <w:pStyle w:val="29"/>
        <w:spacing w:line="360" w:lineRule="auto"/>
        <w:rPr>
          <w:rFonts w:hint="eastAsia" w:ascii="宋体" w:hAnsi="宋体" w:eastAsia="宋体" w:cs="宋体"/>
          <w:b/>
          <w:sz w:val="24"/>
          <w:szCs w:val="24"/>
        </w:rPr>
      </w:pPr>
    </w:p>
    <w:p w14:paraId="11149A61">
      <w:pPr>
        <w:pStyle w:val="29"/>
        <w:spacing w:line="360" w:lineRule="auto"/>
        <w:rPr>
          <w:rFonts w:hint="eastAsia" w:ascii="宋体" w:hAnsi="宋体" w:eastAsia="宋体" w:cs="宋体"/>
          <w:b/>
          <w:sz w:val="24"/>
          <w:szCs w:val="24"/>
        </w:rPr>
      </w:pPr>
    </w:p>
    <w:p w14:paraId="66251B9E">
      <w:pPr>
        <w:pStyle w:val="29"/>
        <w:spacing w:line="360" w:lineRule="auto"/>
        <w:rPr>
          <w:rFonts w:hint="eastAsia" w:ascii="宋体" w:hAnsi="宋体" w:eastAsia="宋体" w:cs="宋体"/>
          <w:b/>
          <w:sz w:val="24"/>
          <w:szCs w:val="24"/>
        </w:rPr>
      </w:pPr>
    </w:p>
    <w:p w14:paraId="75F49A10">
      <w:pPr>
        <w:pStyle w:val="29"/>
        <w:spacing w:line="360" w:lineRule="auto"/>
        <w:rPr>
          <w:rFonts w:hint="eastAsia" w:ascii="宋体" w:hAnsi="宋体" w:eastAsia="宋体" w:cs="宋体"/>
          <w:b/>
          <w:sz w:val="24"/>
          <w:szCs w:val="24"/>
        </w:rPr>
      </w:pPr>
    </w:p>
    <w:p w14:paraId="65C57AD8">
      <w:pPr>
        <w:pStyle w:val="29"/>
        <w:spacing w:line="360" w:lineRule="auto"/>
        <w:rPr>
          <w:rFonts w:hint="eastAsia" w:ascii="宋体" w:hAnsi="宋体" w:eastAsia="宋体" w:cs="宋体"/>
          <w:b/>
          <w:sz w:val="24"/>
          <w:szCs w:val="24"/>
        </w:rPr>
      </w:pPr>
    </w:p>
    <w:p w14:paraId="23A05ABA">
      <w:pPr>
        <w:pStyle w:val="29"/>
        <w:spacing w:line="360" w:lineRule="auto"/>
        <w:rPr>
          <w:rFonts w:hint="eastAsia" w:ascii="宋体" w:hAnsi="宋体" w:eastAsia="宋体" w:cs="宋体"/>
          <w:b/>
          <w:sz w:val="24"/>
          <w:szCs w:val="24"/>
        </w:rPr>
      </w:pPr>
    </w:p>
    <w:p w14:paraId="10ADB49F">
      <w:pPr>
        <w:pStyle w:val="29"/>
        <w:spacing w:line="360" w:lineRule="auto"/>
        <w:rPr>
          <w:rFonts w:hint="eastAsia" w:ascii="宋体" w:hAnsi="宋体" w:eastAsia="宋体" w:cs="宋体"/>
          <w:b/>
          <w:sz w:val="24"/>
          <w:szCs w:val="24"/>
        </w:rPr>
      </w:pPr>
    </w:p>
    <w:p w14:paraId="1712052A">
      <w:pPr>
        <w:pStyle w:val="29"/>
        <w:spacing w:line="360" w:lineRule="auto"/>
        <w:rPr>
          <w:rFonts w:hint="eastAsia" w:ascii="宋体" w:hAnsi="宋体" w:eastAsia="宋体" w:cs="宋体"/>
          <w:b/>
          <w:sz w:val="24"/>
          <w:szCs w:val="24"/>
        </w:rPr>
        <w:sectPr>
          <w:pgSz w:w="11907" w:h="16840"/>
          <w:pgMar w:top="1134" w:right="1134" w:bottom="1134" w:left="1134" w:header="851" w:footer="851" w:gutter="0"/>
          <w:cols w:space="720" w:num="1"/>
          <w:titlePg/>
          <w:docGrid w:linePitch="312" w:charSpace="0"/>
        </w:sectPr>
      </w:pPr>
    </w:p>
    <w:p w14:paraId="277037FF">
      <w:pPr>
        <w:pStyle w:val="29"/>
        <w:spacing w:line="360" w:lineRule="auto"/>
        <w:rPr>
          <w:rFonts w:hint="eastAsia" w:ascii="宋体" w:hAnsi="宋体" w:eastAsia="宋体" w:cs="宋体"/>
          <w:b/>
          <w:sz w:val="24"/>
          <w:szCs w:val="24"/>
        </w:rPr>
      </w:pPr>
    </w:p>
    <w:p w14:paraId="340398B9">
      <w:pPr>
        <w:pStyle w:val="6"/>
        <w:numPr>
          <w:ilvl w:val="0"/>
          <w:numId w:val="52"/>
        </w:numPr>
        <w:tabs>
          <w:tab w:val="clear" w:pos="482"/>
        </w:tabs>
        <w:bidi w:val="0"/>
        <w:ind w:left="0" w:leftChars="0" w:firstLine="480" w:firstLineChars="0"/>
        <w:rPr>
          <w:rFonts w:hint="eastAsia" w:ascii="宋体" w:hAnsi="宋体" w:eastAsia="宋体" w:cs="宋体"/>
          <w:sz w:val="24"/>
          <w:szCs w:val="24"/>
        </w:rPr>
      </w:pPr>
      <w:r>
        <w:rPr>
          <w:rFonts w:hint="eastAsia" w:ascii="宋体" w:hAnsi="宋体" w:eastAsia="宋体" w:cs="宋体"/>
          <w:sz w:val="24"/>
          <w:szCs w:val="24"/>
        </w:rPr>
        <w:t>供应商参加本项目无围标串标行为的承诺函（格式）；</w:t>
      </w:r>
    </w:p>
    <w:p w14:paraId="7094715E">
      <w:pPr>
        <w:pStyle w:val="7"/>
        <w:numPr>
          <w:ilvl w:val="0"/>
          <w:numId w:val="54"/>
        </w:numPr>
        <w:tabs>
          <w:tab w:val="clear" w:pos="482"/>
        </w:tabs>
        <w:topLinePunct w:val="0"/>
        <w:ind w:left="0" w:leftChars="0" w:firstLine="482" w:firstLineChars="0"/>
        <w:rPr>
          <w:rFonts w:hint="eastAsia" w:ascii="宋体" w:hAnsi="宋体" w:eastAsia="宋体" w:cs="宋体"/>
          <w:b/>
          <w:sz w:val="24"/>
          <w:szCs w:val="24"/>
        </w:rPr>
      </w:pPr>
      <w:r>
        <w:rPr>
          <w:rFonts w:hint="eastAsia" w:ascii="宋体" w:hAnsi="宋体" w:eastAsia="宋体" w:cs="宋体"/>
          <w:sz w:val="24"/>
          <w:szCs w:val="24"/>
        </w:rPr>
        <w:t>我公司承诺无下列相互串通投标的情形：</w:t>
      </w:r>
    </w:p>
    <w:p w14:paraId="7FC4AD9D">
      <w:pPr>
        <w:pStyle w:val="4"/>
        <w:numPr>
          <w:ilvl w:val="0"/>
          <w:numId w:val="55"/>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不同投标人的投标文件由同一单位或者个人编制；或不同投标人报名的IP地址一致的；</w:t>
      </w:r>
    </w:p>
    <w:p w14:paraId="0E9C2095">
      <w:pPr>
        <w:pStyle w:val="4"/>
        <w:numPr>
          <w:ilvl w:val="0"/>
          <w:numId w:val="55"/>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不同投标人委托同一单位或者个人办理投标事宜；</w:t>
      </w:r>
    </w:p>
    <w:p w14:paraId="1FB97EFD">
      <w:pPr>
        <w:pStyle w:val="4"/>
        <w:numPr>
          <w:ilvl w:val="0"/>
          <w:numId w:val="55"/>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不同的投标人的投标文件载明的项目管理员为同一个人；</w:t>
      </w:r>
    </w:p>
    <w:p w14:paraId="0C03B8A1">
      <w:pPr>
        <w:pStyle w:val="4"/>
        <w:numPr>
          <w:ilvl w:val="0"/>
          <w:numId w:val="55"/>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不同投标人的投标文件异常一致或投标报价呈规律性差异；</w:t>
      </w:r>
    </w:p>
    <w:p w14:paraId="3DDDCA6A">
      <w:pPr>
        <w:pStyle w:val="4"/>
        <w:numPr>
          <w:ilvl w:val="0"/>
          <w:numId w:val="55"/>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不同投标人的投标文件相互混装；</w:t>
      </w:r>
    </w:p>
    <w:p w14:paraId="57566154">
      <w:pPr>
        <w:pStyle w:val="4"/>
        <w:numPr>
          <w:ilvl w:val="0"/>
          <w:numId w:val="55"/>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不同投标人的投标保证金从同一单位或者个人账户转出。</w:t>
      </w:r>
    </w:p>
    <w:p w14:paraId="72E8E9DD">
      <w:pPr>
        <w:pStyle w:val="7"/>
        <w:numPr>
          <w:ilvl w:val="0"/>
          <w:numId w:val="54"/>
        </w:numPr>
        <w:tabs>
          <w:tab w:val="clear" w:pos="482"/>
        </w:tabs>
        <w:topLinePunct w:val="0"/>
        <w:ind w:left="0" w:leftChars="0" w:firstLine="482" w:firstLineChars="0"/>
        <w:rPr>
          <w:rFonts w:hint="eastAsia" w:ascii="宋体" w:hAnsi="宋体" w:eastAsia="宋体" w:cs="宋体"/>
          <w:b/>
          <w:sz w:val="24"/>
          <w:szCs w:val="24"/>
        </w:rPr>
      </w:pPr>
      <w:r>
        <w:rPr>
          <w:rFonts w:hint="eastAsia" w:ascii="宋体" w:hAnsi="宋体" w:eastAsia="宋体" w:cs="宋体"/>
          <w:sz w:val="24"/>
          <w:szCs w:val="24"/>
        </w:rPr>
        <w:t>我公司承诺无下列恶意串通的情形：</w:t>
      </w:r>
    </w:p>
    <w:p w14:paraId="13D30AF1">
      <w:pPr>
        <w:pStyle w:val="4"/>
        <w:numPr>
          <w:ilvl w:val="0"/>
          <w:numId w:val="56"/>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供应商直接或者间接从采购人或者采购代理机构处获得其他供应商的相关信息并修改其投标文件或者响应文件；</w:t>
      </w:r>
    </w:p>
    <w:p w14:paraId="4C8B2441">
      <w:pPr>
        <w:pStyle w:val="4"/>
        <w:numPr>
          <w:ilvl w:val="0"/>
          <w:numId w:val="56"/>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供应商按照采购人或者采购代理机构的授意撤换、修改投标文件或者响应文件；</w:t>
      </w:r>
    </w:p>
    <w:p w14:paraId="668B9A4A">
      <w:pPr>
        <w:pStyle w:val="4"/>
        <w:numPr>
          <w:ilvl w:val="0"/>
          <w:numId w:val="56"/>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供应商之间协商报价、技术方案等投标文件或者响应文件的实质性内容；</w:t>
      </w:r>
    </w:p>
    <w:p w14:paraId="3E6556A6">
      <w:pPr>
        <w:pStyle w:val="4"/>
        <w:numPr>
          <w:ilvl w:val="0"/>
          <w:numId w:val="56"/>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属于同一集团、协会、商会等组织成员的供应商按照该组织要求协同参加政府采购活动；</w:t>
      </w:r>
    </w:p>
    <w:p w14:paraId="120DF94D">
      <w:pPr>
        <w:pStyle w:val="4"/>
        <w:numPr>
          <w:ilvl w:val="0"/>
          <w:numId w:val="56"/>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供应商之间事先约定一致抬高或者压低投标报价,或者在招标项目中事先约定轮流以高价位或者低价位中标,或者事先约定由某一特定供应商中标,然后再参加投标；</w:t>
      </w:r>
    </w:p>
    <w:p w14:paraId="043FD2E1">
      <w:pPr>
        <w:pStyle w:val="4"/>
        <w:numPr>
          <w:ilvl w:val="0"/>
          <w:numId w:val="56"/>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供应商之间商定部分供应商放弃参加政府采购活动或者放弃中标；</w:t>
      </w:r>
    </w:p>
    <w:p w14:paraId="663EEB49">
      <w:pPr>
        <w:pStyle w:val="4"/>
        <w:numPr>
          <w:ilvl w:val="0"/>
          <w:numId w:val="56"/>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供应商与采购人或者采购代理机构之间、供应商相互之间，为谋求特定供应商中标或者排斥其他供应商的其他串通行为。</w:t>
      </w:r>
    </w:p>
    <w:p w14:paraId="69966BD3">
      <w:pPr>
        <w:pStyle w:val="4"/>
        <w:rPr>
          <w:rFonts w:hint="eastAsia" w:ascii="宋体" w:hAnsi="宋体" w:eastAsia="宋体" w:cs="宋体"/>
          <w:b/>
          <w:color w:val="000000"/>
          <w:sz w:val="24"/>
          <w:szCs w:val="24"/>
        </w:rPr>
      </w:pPr>
      <w:r>
        <w:rPr>
          <w:rFonts w:hint="eastAsia" w:ascii="宋体" w:hAnsi="宋体" w:eastAsia="宋体" w:cs="宋体"/>
          <w:b/>
          <w:color w:val="000000"/>
          <w:sz w:val="24"/>
          <w:szCs w:val="24"/>
        </w:rPr>
        <w:t>以上情形一经核查属实，我方愿意承担一切后果，并不再寻求任何旨在减轻或免除法律责任的辩解。</w:t>
      </w:r>
    </w:p>
    <w:p w14:paraId="75FB941D">
      <w:pPr>
        <w:pStyle w:val="17"/>
        <w:snapToGrid w:val="0"/>
        <w:spacing w:before="295" w:after="295" w:line="360" w:lineRule="auto"/>
        <w:ind w:firstLine="6840" w:firstLineChars="2850"/>
        <w:rPr>
          <w:rFonts w:hint="eastAsia" w:ascii="宋体" w:hAnsi="宋体" w:eastAsia="宋体" w:cs="宋体"/>
          <w:color w:val="000000"/>
          <w:sz w:val="24"/>
          <w:szCs w:val="24"/>
        </w:rPr>
      </w:pPr>
    </w:p>
    <w:p w14:paraId="6A8444B5">
      <w:pPr>
        <w:pStyle w:val="17"/>
        <w:snapToGrid w:val="0"/>
        <w:spacing w:before="295" w:after="295" w:line="360" w:lineRule="auto"/>
        <w:ind w:firstLine="6840" w:firstLineChars="2850"/>
        <w:rPr>
          <w:rFonts w:hint="eastAsia" w:ascii="宋体" w:hAnsi="宋体" w:eastAsia="宋体" w:cs="宋体"/>
          <w:color w:val="000000"/>
          <w:sz w:val="24"/>
          <w:szCs w:val="24"/>
        </w:rPr>
      </w:pPr>
      <w:r>
        <w:rPr>
          <w:rFonts w:hint="eastAsia" w:ascii="宋体" w:hAnsi="宋体" w:eastAsia="宋体" w:cs="宋体"/>
          <w:color w:val="000000"/>
          <w:sz w:val="24"/>
          <w:szCs w:val="24"/>
        </w:rPr>
        <w:t>（公章）</w:t>
      </w:r>
    </w:p>
    <w:p w14:paraId="6E8FE86F">
      <w:pPr>
        <w:pStyle w:val="17"/>
        <w:snapToGrid w:val="0"/>
        <w:spacing w:before="295" w:after="295"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7903B613">
      <w:pPr>
        <w:rPr>
          <w:rFonts w:hint="eastAsia" w:ascii="宋体" w:hAnsi="宋体" w:eastAsia="宋体" w:cs="宋体"/>
          <w:b/>
          <w:color w:val="000000"/>
          <w:sz w:val="24"/>
          <w:szCs w:val="24"/>
        </w:rPr>
      </w:pPr>
      <w:r>
        <w:rPr>
          <w:rFonts w:hint="eastAsia" w:ascii="宋体" w:hAnsi="宋体" w:eastAsia="宋体" w:cs="宋体"/>
          <w:b/>
          <w:sz w:val="24"/>
          <w:szCs w:val="24"/>
        </w:rPr>
        <w:br w:type="page"/>
      </w:r>
    </w:p>
    <w:p w14:paraId="019053C7">
      <w:pPr>
        <w:pStyle w:val="6"/>
        <w:numPr>
          <w:ilvl w:val="0"/>
          <w:numId w:val="52"/>
        </w:numPr>
        <w:tabs>
          <w:tab w:val="clear" w:pos="482"/>
        </w:tabs>
        <w:bidi w:val="0"/>
        <w:ind w:left="0" w:leftChars="0" w:firstLine="480" w:firstLineChars="0"/>
        <w:rPr>
          <w:rFonts w:hint="eastAsia" w:ascii="宋体" w:hAnsi="宋体" w:eastAsia="宋体" w:cs="宋体"/>
          <w:sz w:val="24"/>
          <w:szCs w:val="24"/>
        </w:rPr>
      </w:pPr>
      <w:r>
        <w:rPr>
          <w:rFonts w:hint="eastAsia" w:ascii="宋体" w:hAnsi="宋体" w:eastAsia="宋体" w:cs="宋体"/>
          <w:sz w:val="24"/>
          <w:szCs w:val="24"/>
        </w:rPr>
        <w:t>供应商认为资格审查需要的其他材料</w:t>
      </w:r>
    </w:p>
    <w:p w14:paraId="75528650">
      <w:pPr>
        <w:spacing w:line="360" w:lineRule="auto"/>
        <w:rPr>
          <w:rFonts w:hint="eastAsia" w:ascii="宋体" w:hAnsi="宋体" w:eastAsia="宋体" w:cs="宋体"/>
          <w:b/>
          <w:color w:val="000000"/>
          <w:sz w:val="24"/>
          <w:szCs w:val="24"/>
        </w:rPr>
      </w:pPr>
      <w:r>
        <w:rPr>
          <w:rFonts w:hint="eastAsia" w:ascii="宋体" w:hAnsi="宋体" w:eastAsia="宋体" w:cs="宋体"/>
          <w:color w:val="000000"/>
          <w:sz w:val="24"/>
          <w:szCs w:val="24"/>
        </w:rPr>
        <w:br w:type="page"/>
      </w:r>
    </w:p>
    <w:p w14:paraId="10F79356">
      <w:pPr>
        <w:spacing w:line="360" w:lineRule="auto"/>
        <w:jc w:val="center"/>
        <w:rPr>
          <w:rFonts w:hint="eastAsia" w:ascii="宋体" w:hAnsi="宋体" w:eastAsia="宋体" w:cs="宋体"/>
          <w:b/>
          <w:color w:val="000000"/>
          <w:sz w:val="24"/>
          <w:szCs w:val="24"/>
        </w:rPr>
      </w:pPr>
    </w:p>
    <w:p w14:paraId="326A997B">
      <w:pPr>
        <w:spacing w:line="360" w:lineRule="auto"/>
        <w:jc w:val="center"/>
        <w:rPr>
          <w:rFonts w:hint="eastAsia" w:ascii="宋体" w:hAnsi="宋体" w:eastAsia="宋体" w:cs="宋体"/>
          <w:b/>
          <w:color w:val="000000"/>
          <w:sz w:val="24"/>
          <w:szCs w:val="24"/>
        </w:rPr>
      </w:pPr>
    </w:p>
    <w:p w14:paraId="48D03602">
      <w:pPr>
        <w:spacing w:line="360" w:lineRule="auto"/>
        <w:jc w:val="center"/>
        <w:rPr>
          <w:rFonts w:hint="eastAsia" w:ascii="宋体" w:hAnsi="宋体" w:eastAsia="宋体" w:cs="宋体"/>
          <w:b/>
          <w:color w:val="000000"/>
          <w:sz w:val="24"/>
          <w:szCs w:val="24"/>
        </w:rPr>
      </w:pPr>
    </w:p>
    <w:p w14:paraId="31281F7F">
      <w:pPr>
        <w:spacing w:line="360" w:lineRule="auto"/>
        <w:jc w:val="center"/>
        <w:rPr>
          <w:rFonts w:hint="eastAsia" w:ascii="宋体" w:hAnsi="宋体" w:eastAsia="宋体" w:cs="宋体"/>
          <w:b/>
          <w:color w:val="000000"/>
          <w:sz w:val="24"/>
          <w:szCs w:val="24"/>
        </w:rPr>
      </w:pPr>
    </w:p>
    <w:p w14:paraId="65C721B2">
      <w:pPr>
        <w:spacing w:line="360" w:lineRule="auto"/>
        <w:jc w:val="center"/>
        <w:rPr>
          <w:rFonts w:hint="eastAsia" w:ascii="宋体" w:hAnsi="宋体" w:eastAsia="宋体" w:cs="宋体"/>
          <w:b/>
          <w:color w:val="000000"/>
          <w:sz w:val="24"/>
          <w:szCs w:val="24"/>
        </w:rPr>
      </w:pPr>
    </w:p>
    <w:p w14:paraId="1440878F">
      <w:pPr>
        <w:spacing w:line="360" w:lineRule="auto"/>
        <w:jc w:val="center"/>
        <w:rPr>
          <w:rFonts w:hint="eastAsia" w:ascii="宋体" w:hAnsi="宋体" w:eastAsia="宋体" w:cs="宋体"/>
          <w:sz w:val="40"/>
          <w:szCs w:val="40"/>
        </w:rPr>
      </w:pPr>
      <w:r>
        <w:rPr>
          <w:rFonts w:hint="eastAsia" w:ascii="宋体" w:hAnsi="宋体" w:eastAsia="宋体" w:cs="宋体"/>
          <w:b/>
          <w:color w:val="000000"/>
          <w:sz w:val="40"/>
          <w:szCs w:val="40"/>
        </w:rPr>
        <w:t>商务文件</w:t>
      </w:r>
    </w:p>
    <w:p w14:paraId="23B191C7">
      <w:pPr>
        <w:spacing w:line="360" w:lineRule="auto"/>
        <w:jc w:val="center"/>
        <w:rPr>
          <w:rFonts w:hint="eastAsia" w:ascii="宋体" w:hAnsi="宋体" w:eastAsia="宋体" w:cs="宋体"/>
          <w:color w:val="000000"/>
          <w:sz w:val="24"/>
          <w:szCs w:val="24"/>
        </w:rPr>
      </w:pPr>
    </w:p>
    <w:p w14:paraId="7EEB894E">
      <w:pPr>
        <w:spacing w:line="360" w:lineRule="auto"/>
        <w:jc w:val="center"/>
        <w:rPr>
          <w:rFonts w:hint="eastAsia" w:ascii="宋体" w:hAnsi="宋体" w:eastAsia="宋体" w:cs="宋体"/>
          <w:color w:val="000000"/>
          <w:sz w:val="24"/>
          <w:szCs w:val="24"/>
        </w:rPr>
      </w:pPr>
    </w:p>
    <w:p w14:paraId="08F70BB2">
      <w:pPr>
        <w:spacing w:line="360" w:lineRule="auto"/>
        <w:jc w:val="center"/>
        <w:rPr>
          <w:rFonts w:hint="eastAsia" w:ascii="宋体" w:hAnsi="宋体" w:eastAsia="宋体" w:cs="宋体"/>
          <w:color w:val="000000"/>
          <w:sz w:val="24"/>
          <w:szCs w:val="24"/>
        </w:rPr>
      </w:pPr>
    </w:p>
    <w:p w14:paraId="7A9B966A">
      <w:pPr>
        <w:spacing w:line="360" w:lineRule="auto"/>
        <w:jc w:val="center"/>
        <w:rPr>
          <w:rFonts w:hint="eastAsia" w:ascii="宋体" w:hAnsi="宋体" w:eastAsia="宋体" w:cs="宋体"/>
          <w:color w:val="000000"/>
          <w:sz w:val="24"/>
          <w:szCs w:val="24"/>
        </w:rPr>
      </w:pPr>
    </w:p>
    <w:p w14:paraId="022F816F">
      <w:pPr>
        <w:spacing w:line="360" w:lineRule="auto"/>
        <w:jc w:val="center"/>
        <w:rPr>
          <w:rFonts w:hint="eastAsia" w:ascii="宋体" w:hAnsi="宋体" w:eastAsia="宋体" w:cs="宋体"/>
          <w:color w:val="000000"/>
          <w:sz w:val="24"/>
          <w:szCs w:val="24"/>
        </w:rPr>
      </w:pPr>
    </w:p>
    <w:p w14:paraId="2147CF5A">
      <w:pPr>
        <w:spacing w:line="360" w:lineRule="auto"/>
        <w:jc w:val="center"/>
        <w:rPr>
          <w:rFonts w:hint="eastAsia" w:ascii="宋体" w:hAnsi="宋体" w:eastAsia="宋体" w:cs="宋体"/>
          <w:color w:val="000000"/>
          <w:sz w:val="24"/>
          <w:szCs w:val="24"/>
        </w:rPr>
      </w:pPr>
    </w:p>
    <w:p w14:paraId="722C4CDB">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p w14:paraId="2D972BC8">
      <w:pPr>
        <w:pStyle w:val="43"/>
        <w:rPr>
          <w:rFonts w:hint="eastAsia" w:ascii="宋体" w:hAnsi="宋体" w:eastAsia="宋体" w:cs="宋体"/>
          <w:sz w:val="32"/>
          <w:szCs w:val="32"/>
        </w:rPr>
      </w:pPr>
      <w:r>
        <w:rPr>
          <w:rFonts w:hint="eastAsia" w:ascii="宋体" w:hAnsi="宋体" w:eastAsia="宋体" w:cs="宋体"/>
          <w:sz w:val="32"/>
          <w:szCs w:val="32"/>
        </w:rPr>
        <w:t>商务文件目录</w:t>
      </w:r>
    </w:p>
    <w:p w14:paraId="39150185">
      <w:pPr>
        <w:spacing w:line="360" w:lineRule="auto"/>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（应附有页码）</w:t>
      </w:r>
    </w:p>
    <w:p w14:paraId="52F9A0FB">
      <w:pPr>
        <w:spacing w:line="360" w:lineRule="auto"/>
        <w:jc w:val="center"/>
        <w:rPr>
          <w:rFonts w:hint="eastAsia" w:ascii="宋体" w:hAnsi="宋体" w:eastAsia="宋体" w:cs="宋体"/>
          <w:b/>
          <w:color w:val="000000"/>
          <w:sz w:val="24"/>
          <w:szCs w:val="24"/>
        </w:rPr>
      </w:pPr>
    </w:p>
    <w:p w14:paraId="398CA7C8">
      <w:pPr>
        <w:numPr>
          <w:ilvl w:val="0"/>
          <w:numId w:val="57"/>
        </w:numPr>
        <w:tabs>
          <w:tab w:val="left" w:pos="0"/>
        </w:tabs>
        <w:spacing w:line="360" w:lineRule="auto"/>
        <w:ind w:left="0" w:leftChars="0" w:firstLine="482" w:firstLineChars="0"/>
        <w:rPr>
          <w:rFonts w:hint="eastAsia" w:ascii="宋体" w:hAnsi="宋体" w:eastAsia="宋体" w:cs="宋体"/>
          <w:b/>
          <w:color w:val="000000"/>
          <w:sz w:val="24"/>
          <w:szCs w:val="24"/>
        </w:rPr>
      </w:pPr>
      <w:r>
        <w:rPr>
          <w:rFonts w:hint="eastAsia" w:ascii="宋体" w:hAnsi="宋体" w:eastAsia="宋体" w:cs="宋体"/>
          <w:color w:val="000000"/>
          <w:sz w:val="24"/>
          <w:szCs w:val="24"/>
        </w:rPr>
        <w:t>磋商函</w:t>
      </w:r>
      <w:r>
        <w:rPr>
          <w:rFonts w:hint="eastAsia" w:ascii="宋体" w:hAnsi="宋体" w:eastAsia="宋体" w:cs="宋体"/>
          <w:b/>
          <w:color w:val="000000"/>
          <w:sz w:val="24"/>
          <w:szCs w:val="24"/>
        </w:rPr>
        <w:t xml:space="preserve"> </w:t>
      </w:r>
    </w:p>
    <w:p w14:paraId="149311F9">
      <w:pPr>
        <w:numPr>
          <w:ilvl w:val="0"/>
          <w:numId w:val="57"/>
        </w:numPr>
        <w:tabs>
          <w:tab w:val="left" w:pos="0"/>
        </w:tabs>
        <w:spacing w:line="360" w:lineRule="auto"/>
        <w:ind w:left="0" w:leftChars="0" w:firstLine="482"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磋商函附录</w:t>
      </w:r>
    </w:p>
    <w:p w14:paraId="0ECA03B9">
      <w:pPr>
        <w:numPr>
          <w:ilvl w:val="0"/>
          <w:numId w:val="57"/>
        </w:numPr>
        <w:tabs>
          <w:tab w:val="left" w:pos="0"/>
        </w:tabs>
        <w:spacing w:line="360" w:lineRule="auto"/>
        <w:ind w:left="0" w:leftChars="0" w:firstLine="482"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磋商报价表</w:t>
      </w:r>
    </w:p>
    <w:p w14:paraId="4A210192">
      <w:pPr>
        <w:numPr>
          <w:ilvl w:val="0"/>
          <w:numId w:val="57"/>
        </w:numPr>
        <w:tabs>
          <w:tab w:val="left" w:pos="0"/>
        </w:tabs>
        <w:spacing w:line="360" w:lineRule="auto"/>
        <w:ind w:left="0" w:leftChars="0" w:firstLine="482"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已标价工程量清单</w:t>
      </w:r>
    </w:p>
    <w:p w14:paraId="40ADD111">
      <w:pPr>
        <w:numPr>
          <w:ilvl w:val="0"/>
          <w:numId w:val="57"/>
        </w:numPr>
        <w:tabs>
          <w:tab w:val="left" w:pos="0"/>
        </w:tabs>
        <w:spacing w:line="360" w:lineRule="auto"/>
        <w:ind w:left="0" w:leftChars="0" w:firstLine="482"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供应商认为必要提供的其它资料</w:t>
      </w:r>
    </w:p>
    <w:p w14:paraId="36078832">
      <w:pPr>
        <w:spacing w:line="360" w:lineRule="auto"/>
        <w:rPr>
          <w:rFonts w:hint="eastAsia" w:ascii="宋体" w:hAnsi="宋体" w:eastAsia="宋体" w:cs="宋体"/>
          <w:color w:val="000000"/>
          <w:sz w:val="24"/>
          <w:szCs w:val="24"/>
        </w:rPr>
      </w:pPr>
    </w:p>
    <w:p w14:paraId="75EE59DF">
      <w:pPr>
        <w:spacing w:line="360" w:lineRule="auto"/>
        <w:ind w:firstLine="6720" w:firstLineChars="2800"/>
        <w:rPr>
          <w:rFonts w:hint="eastAsia" w:ascii="宋体" w:hAnsi="宋体" w:eastAsia="宋体" w:cs="宋体"/>
          <w:color w:val="000000"/>
          <w:sz w:val="24"/>
          <w:szCs w:val="24"/>
        </w:rPr>
      </w:pPr>
    </w:p>
    <w:p w14:paraId="47A7055D">
      <w:pPr>
        <w:pStyle w:val="6"/>
        <w:numPr>
          <w:ilvl w:val="0"/>
          <w:numId w:val="58"/>
        </w:numPr>
        <w:tabs>
          <w:tab w:val="clear" w:pos="482"/>
        </w:tabs>
        <w:ind w:left="0" w:leftChars="0" w:firstLine="482" w:firstLineChars="0"/>
        <w:rPr>
          <w:rFonts w:hint="eastAsia" w:ascii="宋体" w:hAnsi="宋体" w:eastAsia="宋体" w:cs="宋体"/>
          <w:b/>
          <w:sz w:val="24"/>
          <w:szCs w:val="24"/>
        </w:rPr>
      </w:pPr>
      <w:r>
        <w:rPr>
          <w:rFonts w:hint="eastAsia" w:ascii="宋体" w:hAnsi="宋体" w:eastAsia="宋体" w:cs="宋体"/>
          <w:sz w:val="24"/>
          <w:szCs w:val="24"/>
        </w:rPr>
        <w:br w:type="page"/>
      </w:r>
      <w:r>
        <w:rPr>
          <w:rFonts w:hint="eastAsia" w:ascii="宋体" w:hAnsi="宋体" w:eastAsia="宋体" w:cs="宋体"/>
          <w:sz w:val="24"/>
          <w:szCs w:val="24"/>
        </w:rPr>
        <w:t>磋商函（格式）</w:t>
      </w:r>
    </w:p>
    <w:p w14:paraId="4BC6634E">
      <w:pPr>
        <w:pStyle w:val="45"/>
        <w:outlineLvl w:val="9"/>
        <w:rPr>
          <w:rFonts w:hint="eastAsia" w:ascii="宋体" w:hAnsi="宋体" w:eastAsia="宋体" w:cs="宋体"/>
          <w:sz w:val="24"/>
          <w:szCs w:val="24"/>
        </w:rPr>
      </w:pPr>
      <w:bookmarkStart w:id="57" w:name="_Toc6413134"/>
      <w:bookmarkStart w:id="58" w:name="_Toc14342"/>
      <w:r>
        <w:rPr>
          <w:rFonts w:hint="eastAsia" w:ascii="宋体" w:hAnsi="宋体" w:eastAsia="宋体" w:cs="宋体"/>
          <w:sz w:val="24"/>
          <w:szCs w:val="24"/>
        </w:rPr>
        <w:t>磋商函</w:t>
      </w:r>
      <w:bookmarkEnd w:id="57"/>
      <w:bookmarkEnd w:id="58"/>
    </w:p>
    <w:p w14:paraId="2022D7B0">
      <w:pPr>
        <w:pStyle w:val="4"/>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致 </w:t>
      </w:r>
      <w:r>
        <w:rPr>
          <w:rFonts w:hint="eastAsia" w:ascii="宋体" w:hAnsi="宋体" w:eastAsia="宋体" w:cs="宋体"/>
          <w:color w:val="000000"/>
          <w:sz w:val="24"/>
          <w:szCs w:val="24"/>
          <w:u w:val="single"/>
        </w:rPr>
        <w:t>（采购人）</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213E0460">
      <w:pPr>
        <w:tabs>
          <w:tab w:val="left" w:pos="7560"/>
        </w:tabs>
        <w:spacing w:line="360" w:lineRule="auto"/>
        <w:ind w:firstLine="480" w:firstLineChars="200"/>
        <w:rPr>
          <w:rFonts w:hint="eastAsia" w:ascii="宋体" w:hAnsi="宋体" w:eastAsia="宋体" w:cs="宋体"/>
          <w:color w:val="000000"/>
          <w:sz w:val="24"/>
          <w:szCs w:val="24"/>
        </w:rPr>
      </w:pPr>
    </w:p>
    <w:p w14:paraId="4DC6773D">
      <w:pPr>
        <w:pStyle w:val="4"/>
        <w:numPr>
          <w:ilvl w:val="0"/>
          <w:numId w:val="59"/>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根据你方项目编号为</w:t>
      </w:r>
      <w:r>
        <w:rPr>
          <w:rFonts w:hint="eastAsia" w:ascii="宋体" w:hAnsi="宋体" w:eastAsia="宋体" w:cs="宋体"/>
          <w:color w:val="000000"/>
          <w:sz w:val="24"/>
          <w:szCs w:val="24"/>
          <w:u w:val="single"/>
        </w:rPr>
        <w:t xml:space="preserve">  （项目编号）  </w:t>
      </w:r>
      <w:r>
        <w:rPr>
          <w:rFonts w:hint="eastAsia" w:ascii="宋体" w:hAnsi="宋体" w:eastAsia="宋体" w:cs="宋体"/>
          <w:color w:val="000000"/>
          <w:sz w:val="24"/>
          <w:szCs w:val="24"/>
        </w:rPr>
        <w:t>的</w:t>
      </w:r>
      <w:r>
        <w:rPr>
          <w:rFonts w:hint="eastAsia" w:ascii="宋体" w:hAnsi="宋体" w:eastAsia="宋体" w:cs="宋体"/>
          <w:color w:val="000000"/>
          <w:sz w:val="24"/>
          <w:szCs w:val="24"/>
          <w:u w:val="single"/>
        </w:rPr>
        <w:t xml:space="preserve">  （项目名称）  </w:t>
      </w:r>
      <w:r>
        <w:rPr>
          <w:rFonts w:hint="eastAsia" w:ascii="宋体" w:hAnsi="宋体" w:eastAsia="宋体" w:cs="宋体"/>
          <w:color w:val="000000"/>
          <w:sz w:val="24"/>
          <w:szCs w:val="24"/>
        </w:rPr>
        <w:t>工程竞争性磋商文件，遵照《中华人民共和国政府采购法》、《中华人民共和国政府采购法实施条例》、《政府采购竞争性磋商采购方式管理暂行办法》等有关规定，经踏勘项目现场和研究上述竞争性磋商文件的磋商须知、合同条款、图纸、工程建设标准和工程量清单及其他有关文件后，我方愿以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元（小写）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元，的磋商报价并按上述图纸、合同条款、工程建设标准和工程量清单（如有时）的条件要求承包上述工程的施工、竣工，并承担任何质量缺陷保修责任。我方保证工程质量达到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等级。</w:t>
      </w:r>
    </w:p>
    <w:p w14:paraId="0C693CA5">
      <w:pPr>
        <w:pStyle w:val="4"/>
        <w:numPr>
          <w:ilvl w:val="0"/>
          <w:numId w:val="59"/>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我方已详细审核全部竞争性磋商文件，包括修改文件（如有时）及有关附件。</w:t>
      </w:r>
    </w:p>
    <w:p w14:paraId="78886314">
      <w:pPr>
        <w:pStyle w:val="4"/>
        <w:numPr>
          <w:ilvl w:val="0"/>
          <w:numId w:val="59"/>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我方承认磋商函附录是我方磋商函的组成部分。</w:t>
      </w:r>
    </w:p>
    <w:p w14:paraId="5060644D">
      <w:pPr>
        <w:pStyle w:val="4"/>
        <w:numPr>
          <w:ilvl w:val="0"/>
          <w:numId w:val="59"/>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一旦我方成交，我方保证按合同书中规定的工期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日历天内完成并移交全部工程。</w:t>
      </w:r>
    </w:p>
    <w:p w14:paraId="6DE77A8A">
      <w:pPr>
        <w:pStyle w:val="4"/>
        <w:numPr>
          <w:ilvl w:val="0"/>
          <w:numId w:val="59"/>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如果我方成交，我方将按照文件规定提交履约保证金作为履约担保。</w:t>
      </w:r>
    </w:p>
    <w:p w14:paraId="23D9EE20">
      <w:pPr>
        <w:pStyle w:val="4"/>
        <w:numPr>
          <w:ilvl w:val="0"/>
          <w:numId w:val="59"/>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我方同意所提交的响应文件在竞争性磋商文件的“磋商须知”中第11条规定的响应文件有效期内有效，在此期间内如果成交，我方将受此约束。</w:t>
      </w:r>
    </w:p>
    <w:p w14:paraId="67983986">
      <w:pPr>
        <w:pStyle w:val="4"/>
        <w:numPr>
          <w:ilvl w:val="0"/>
          <w:numId w:val="59"/>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除非另外达成协议并生效，你方的成交通知书和本响应文件将成为约束双方的合同文件的组成部分。</w:t>
      </w:r>
    </w:p>
    <w:p w14:paraId="2092DF27">
      <w:pPr>
        <w:spacing w:line="360" w:lineRule="auto"/>
        <w:rPr>
          <w:rFonts w:hint="eastAsia" w:ascii="宋体" w:hAnsi="宋体" w:eastAsia="宋体" w:cs="宋体"/>
          <w:color w:val="000000"/>
          <w:sz w:val="24"/>
          <w:szCs w:val="24"/>
        </w:rPr>
      </w:pPr>
    </w:p>
    <w:p w14:paraId="6807F4A7">
      <w:pPr>
        <w:spacing w:line="360" w:lineRule="auto"/>
        <w:ind w:left="1000"/>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         供 应 商：</w:t>
      </w:r>
      <w:r>
        <w:rPr>
          <w:rFonts w:hint="eastAsia" w:ascii="宋体" w:hAnsi="宋体" w:eastAsia="宋体" w:cs="宋体"/>
          <w:color w:val="000000"/>
          <w:sz w:val="24"/>
          <w:szCs w:val="24"/>
          <w:u w:val="single"/>
        </w:rPr>
        <w:t xml:space="preserve">                                        （盖单位章）</w:t>
      </w:r>
    </w:p>
    <w:p w14:paraId="26DC7DEA">
      <w:pPr>
        <w:spacing w:line="360" w:lineRule="auto"/>
        <w:ind w:left="1000"/>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         单位地址：</w:t>
      </w:r>
      <w:r>
        <w:rPr>
          <w:rFonts w:hint="eastAsia" w:ascii="宋体" w:hAnsi="宋体" w:eastAsia="宋体" w:cs="宋体"/>
          <w:color w:val="000000"/>
          <w:sz w:val="24"/>
          <w:szCs w:val="24"/>
          <w:u w:val="single"/>
        </w:rPr>
        <w:t xml:space="preserve">                                        </w:t>
      </w:r>
    </w:p>
    <w:p w14:paraId="645C9590">
      <w:pPr>
        <w:spacing w:line="360" w:lineRule="auto"/>
        <w:ind w:left="1000"/>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         法定代表人或其委托代理人：</w:t>
      </w:r>
      <w:r>
        <w:rPr>
          <w:rFonts w:hint="eastAsia" w:ascii="宋体" w:hAnsi="宋体" w:eastAsia="宋体" w:cs="宋体"/>
          <w:color w:val="000000"/>
          <w:sz w:val="24"/>
          <w:szCs w:val="24"/>
          <w:u w:val="single"/>
        </w:rPr>
        <w:t xml:space="preserve">      （签字或盖章）</w:t>
      </w:r>
    </w:p>
    <w:p w14:paraId="4D289FB2">
      <w:pPr>
        <w:spacing w:line="360" w:lineRule="auto"/>
        <w:ind w:left="1000" w:leftChars="476" w:firstLine="1080" w:firstLineChars="450"/>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传真：</w:t>
      </w:r>
      <w:r>
        <w:rPr>
          <w:rFonts w:hint="eastAsia" w:ascii="宋体" w:hAnsi="宋体" w:eastAsia="宋体" w:cs="宋体"/>
          <w:color w:val="000000"/>
          <w:sz w:val="24"/>
          <w:szCs w:val="24"/>
          <w:u w:val="single"/>
        </w:rPr>
        <w:t xml:space="preserve">          </w:t>
      </w:r>
    </w:p>
    <w:p w14:paraId="2AE9744C">
      <w:pPr>
        <w:spacing w:line="360" w:lineRule="auto"/>
        <w:ind w:left="10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开户银行名称：</w:t>
      </w:r>
      <w:r>
        <w:rPr>
          <w:rFonts w:hint="eastAsia" w:ascii="宋体" w:hAnsi="宋体" w:eastAsia="宋体" w:cs="宋体"/>
          <w:color w:val="000000"/>
          <w:sz w:val="24"/>
          <w:szCs w:val="24"/>
          <w:u w:val="single"/>
        </w:rPr>
        <w:t xml:space="preserve">                                    </w:t>
      </w:r>
    </w:p>
    <w:p w14:paraId="5D1251FA">
      <w:pPr>
        <w:spacing w:line="360" w:lineRule="auto"/>
        <w:ind w:left="10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开户银行账号：</w:t>
      </w:r>
      <w:r>
        <w:rPr>
          <w:rFonts w:hint="eastAsia" w:ascii="宋体" w:hAnsi="宋体" w:eastAsia="宋体" w:cs="宋体"/>
          <w:color w:val="000000"/>
          <w:sz w:val="24"/>
          <w:szCs w:val="24"/>
          <w:u w:val="single"/>
        </w:rPr>
        <w:t xml:space="preserve">                                    </w:t>
      </w:r>
    </w:p>
    <w:p w14:paraId="37ED7739">
      <w:pPr>
        <w:spacing w:line="360" w:lineRule="auto"/>
        <w:ind w:left="10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开户银行地址：</w:t>
      </w:r>
      <w:r>
        <w:rPr>
          <w:rFonts w:hint="eastAsia" w:ascii="宋体" w:hAnsi="宋体" w:eastAsia="宋体" w:cs="宋体"/>
          <w:color w:val="000000"/>
          <w:sz w:val="24"/>
          <w:szCs w:val="24"/>
          <w:u w:val="single"/>
        </w:rPr>
        <w:t xml:space="preserve">                                    </w:t>
      </w:r>
    </w:p>
    <w:p w14:paraId="48BE8EC9">
      <w:pPr>
        <w:spacing w:line="360" w:lineRule="auto"/>
        <w:ind w:left="10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开户银行电话：</w:t>
      </w:r>
      <w:r>
        <w:rPr>
          <w:rFonts w:hint="eastAsia" w:ascii="宋体" w:hAnsi="宋体" w:eastAsia="宋体" w:cs="宋体"/>
          <w:color w:val="000000"/>
          <w:sz w:val="24"/>
          <w:szCs w:val="24"/>
          <w:u w:val="single"/>
        </w:rPr>
        <w:t xml:space="preserve">                                    </w:t>
      </w:r>
    </w:p>
    <w:p w14:paraId="42BFBC0F">
      <w:pPr>
        <w:spacing w:line="360" w:lineRule="auto"/>
        <w:ind w:left="420" w:leftChars="200" w:firstLine="1800" w:firstLineChars="750"/>
        <w:rPr>
          <w:rFonts w:hint="eastAsia" w:ascii="宋体" w:hAnsi="宋体" w:eastAsia="宋体" w:cs="宋体"/>
          <w:color w:val="000000"/>
          <w:sz w:val="24"/>
          <w:szCs w:val="24"/>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1A45F2CD">
      <w:pPr>
        <w:spacing w:line="360" w:lineRule="auto"/>
        <w:ind w:left="420" w:leftChars="200" w:firstLine="1800" w:firstLineChars="750"/>
        <w:rPr>
          <w:rFonts w:hint="eastAsia" w:ascii="宋体" w:hAnsi="宋体" w:eastAsia="宋体" w:cs="宋体"/>
          <w:color w:val="000000"/>
          <w:sz w:val="24"/>
          <w:szCs w:val="24"/>
        </w:rPr>
      </w:pPr>
    </w:p>
    <w:p w14:paraId="737ACAD0">
      <w:pPr>
        <w:spacing w:line="360" w:lineRule="auto"/>
        <w:ind w:left="420" w:leftChars="200" w:firstLine="1807" w:firstLineChars="750"/>
        <w:rPr>
          <w:rFonts w:hint="eastAsia" w:ascii="宋体" w:hAnsi="宋体" w:eastAsia="宋体" w:cs="宋体"/>
          <w:b/>
          <w:color w:val="000000"/>
          <w:sz w:val="24"/>
          <w:szCs w:val="24"/>
        </w:rPr>
        <w:sectPr>
          <w:pgSz w:w="11907" w:h="16840"/>
          <w:pgMar w:top="1134" w:right="1134" w:bottom="1134" w:left="1134" w:header="851" w:footer="851" w:gutter="0"/>
          <w:cols w:space="720" w:num="1"/>
          <w:titlePg/>
          <w:docGrid w:linePitch="312" w:charSpace="0"/>
        </w:sectPr>
      </w:pPr>
    </w:p>
    <w:p w14:paraId="5DCEE534">
      <w:pPr>
        <w:pStyle w:val="6"/>
        <w:numPr>
          <w:ilvl w:val="0"/>
          <w:numId w:val="58"/>
        </w:numPr>
        <w:tabs>
          <w:tab w:val="clear" w:pos="482"/>
        </w:tabs>
        <w:ind w:left="0" w:leftChars="0" w:firstLine="482" w:firstLineChars="0"/>
        <w:rPr>
          <w:rFonts w:hint="eastAsia" w:ascii="宋体" w:hAnsi="宋体" w:eastAsia="宋体" w:cs="宋体"/>
          <w:sz w:val="24"/>
          <w:szCs w:val="24"/>
        </w:rPr>
      </w:pPr>
      <w:r>
        <w:rPr>
          <w:rFonts w:hint="eastAsia" w:ascii="宋体" w:hAnsi="宋体" w:eastAsia="宋体" w:cs="宋体"/>
          <w:sz w:val="24"/>
          <w:szCs w:val="24"/>
        </w:rPr>
        <w:t>磋商函附录（格式）</w:t>
      </w:r>
    </w:p>
    <w:p w14:paraId="1E2E8453">
      <w:pPr>
        <w:pStyle w:val="42"/>
        <w:jc w:val="center"/>
        <w:outlineLvl w:val="1"/>
        <w:rPr>
          <w:rFonts w:hint="eastAsia" w:ascii="宋体" w:hAnsi="宋体" w:eastAsia="宋体" w:cs="宋体"/>
          <w:sz w:val="24"/>
          <w:szCs w:val="24"/>
        </w:rPr>
      </w:pPr>
      <w:bookmarkStart w:id="59" w:name="_Toc6413135"/>
      <w:bookmarkStart w:id="60" w:name="_Toc13925"/>
      <w:r>
        <w:rPr>
          <w:rFonts w:hint="eastAsia" w:ascii="宋体" w:hAnsi="宋体" w:eastAsia="宋体" w:cs="宋体"/>
          <w:sz w:val="24"/>
          <w:szCs w:val="24"/>
        </w:rPr>
        <w:t>磋商函附录</w:t>
      </w:r>
      <w:bookmarkEnd w:id="59"/>
      <w:bookmarkEnd w:id="60"/>
    </w:p>
    <w:p w14:paraId="32DD4E80">
      <w:pPr>
        <w:pStyle w:val="35"/>
        <w:spacing w:line="360" w:lineRule="auto"/>
        <w:jc w:val="center"/>
        <w:rPr>
          <w:rFonts w:hint="eastAsia" w:ascii="宋体" w:hAnsi="宋体" w:eastAsia="宋体" w:cs="宋体"/>
          <w:color w:val="000000"/>
          <w:sz w:val="24"/>
          <w:szCs w:val="24"/>
        </w:rPr>
      </w:pPr>
    </w:p>
    <w:tbl>
      <w:tblPr>
        <w:tblStyle w:val="25"/>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14:paraId="48ACA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3E407EFA">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 号</w:t>
            </w:r>
          </w:p>
        </w:tc>
        <w:tc>
          <w:tcPr>
            <w:tcW w:w="1985" w:type="dxa"/>
            <w:noWrap w:val="0"/>
            <w:vAlign w:val="center"/>
          </w:tcPr>
          <w:p w14:paraId="459D8BD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条款内容</w:t>
            </w:r>
          </w:p>
        </w:tc>
        <w:tc>
          <w:tcPr>
            <w:tcW w:w="2126" w:type="dxa"/>
            <w:noWrap w:val="0"/>
            <w:vAlign w:val="center"/>
          </w:tcPr>
          <w:p w14:paraId="73AC8480">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合同条款号</w:t>
            </w:r>
          </w:p>
        </w:tc>
        <w:tc>
          <w:tcPr>
            <w:tcW w:w="1984" w:type="dxa"/>
            <w:noWrap w:val="0"/>
            <w:vAlign w:val="center"/>
          </w:tcPr>
          <w:p w14:paraId="1D1B930C">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约定内容</w:t>
            </w:r>
          </w:p>
        </w:tc>
        <w:tc>
          <w:tcPr>
            <w:tcW w:w="1843" w:type="dxa"/>
            <w:noWrap w:val="0"/>
            <w:vAlign w:val="center"/>
          </w:tcPr>
          <w:p w14:paraId="1A32E24A">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14:paraId="20E9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60024F80">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985" w:type="dxa"/>
            <w:noWrap w:val="0"/>
            <w:vAlign w:val="center"/>
          </w:tcPr>
          <w:p w14:paraId="5FC69956">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项目经理</w:t>
            </w:r>
          </w:p>
        </w:tc>
        <w:tc>
          <w:tcPr>
            <w:tcW w:w="2126" w:type="dxa"/>
            <w:noWrap w:val="0"/>
            <w:tcMar>
              <w:left w:w="170" w:type="dxa"/>
            </w:tcMar>
            <w:vAlign w:val="center"/>
          </w:tcPr>
          <w:p w14:paraId="00939A68">
            <w:pPr>
              <w:spacing w:line="360" w:lineRule="auto"/>
              <w:jc w:val="center"/>
              <w:rPr>
                <w:rFonts w:hint="eastAsia" w:ascii="宋体" w:hAnsi="宋体" w:eastAsia="宋体" w:cs="宋体"/>
                <w:color w:val="000000"/>
                <w:sz w:val="24"/>
                <w:szCs w:val="24"/>
              </w:rPr>
            </w:pPr>
          </w:p>
        </w:tc>
        <w:tc>
          <w:tcPr>
            <w:tcW w:w="1984" w:type="dxa"/>
            <w:noWrap w:val="0"/>
            <w:vAlign w:val="center"/>
          </w:tcPr>
          <w:p w14:paraId="5970E792">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姓名：</w:t>
            </w:r>
            <w:r>
              <w:rPr>
                <w:rFonts w:hint="eastAsia" w:ascii="宋体" w:hAnsi="宋体" w:eastAsia="宋体" w:cs="宋体"/>
                <w:color w:val="000000"/>
                <w:sz w:val="24"/>
                <w:szCs w:val="24"/>
                <w:u w:val="single"/>
              </w:rPr>
              <w:t xml:space="preserve">          </w:t>
            </w:r>
          </w:p>
        </w:tc>
        <w:tc>
          <w:tcPr>
            <w:tcW w:w="1843" w:type="dxa"/>
            <w:noWrap w:val="0"/>
            <w:vAlign w:val="center"/>
          </w:tcPr>
          <w:p w14:paraId="4CF9A238">
            <w:pPr>
              <w:spacing w:line="360" w:lineRule="auto"/>
              <w:jc w:val="center"/>
              <w:rPr>
                <w:rFonts w:hint="eastAsia" w:ascii="宋体" w:hAnsi="宋体" w:eastAsia="宋体" w:cs="宋体"/>
                <w:color w:val="000000"/>
                <w:sz w:val="24"/>
                <w:szCs w:val="24"/>
              </w:rPr>
            </w:pPr>
          </w:p>
        </w:tc>
      </w:tr>
      <w:tr w14:paraId="203E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3A523701">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985" w:type="dxa"/>
            <w:noWrap w:val="0"/>
            <w:vAlign w:val="center"/>
          </w:tcPr>
          <w:p w14:paraId="0CE86D58">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响应文件有效期</w:t>
            </w:r>
          </w:p>
        </w:tc>
        <w:tc>
          <w:tcPr>
            <w:tcW w:w="2126" w:type="dxa"/>
            <w:noWrap w:val="0"/>
            <w:tcMar>
              <w:left w:w="170" w:type="dxa"/>
            </w:tcMar>
            <w:vAlign w:val="center"/>
          </w:tcPr>
          <w:p w14:paraId="084BB42A">
            <w:pPr>
              <w:spacing w:line="360" w:lineRule="auto"/>
              <w:rPr>
                <w:rFonts w:hint="eastAsia" w:ascii="宋体" w:hAnsi="宋体" w:eastAsia="宋体" w:cs="宋体"/>
                <w:color w:val="000000"/>
                <w:sz w:val="24"/>
                <w:szCs w:val="24"/>
              </w:rPr>
            </w:pPr>
          </w:p>
        </w:tc>
        <w:tc>
          <w:tcPr>
            <w:tcW w:w="1984" w:type="dxa"/>
            <w:noWrap w:val="0"/>
            <w:vAlign w:val="center"/>
          </w:tcPr>
          <w:p w14:paraId="061E62E6">
            <w:pPr>
              <w:spacing w:line="360" w:lineRule="auto"/>
              <w:jc w:val="center"/>
              <w:rPr>
                <w:rFonts w:hint="eastAsia" w:ascii="宋体" w:hAnsi="宋体" w:eastAsia="宋体" w:cs="宋体"/>
                <w:color w:val="000000"/>
                <w:sz w:val="24"/>
                <w:szCs w:val="24"/>
                <w:u w:val="single"/>
              </w:rPr>
            </w:pPr>
          </w:p>
        </w:tc>
        <w:tc>
          <w:tcPr>
            <w:tcW w:w="1843" w:type="dxa"/>
            <w:noWrap w:val="0"/>
            <w:vAlign w:val="center"/>
          </w:tcPr>
          <w:p w14:paraId="65624AF1">
            <w:pPr>
              <w:spacing w:line="360" w:lineRule="auto"/>
              <w:jc w:val="center"/>
              <w:rPr>
                <w:rFonts w:hint="eastAsia" w:ascii="宋体" w:hAnsi="宋体" w:eastAsia="宋体" w:cs="宋体"/>
                <w:color w:val="000000"/>
                <w:sz w:val="24"/>
                <w:szCs w:val="24"/>
              </w:rPr>
            </w:pPr>
          </w:p>
        </w:tc>
      </w:tr>
      <w:tr w14:paraId="7283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2F2E6E77">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985" w:type="dxa"/>
            <w:noWrap w:val="0"/>
            <w:vAlign w:val="center"/>
          </w:tcPr>
          <w:p w14:paraId="7D824889">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工期</w:t>
            </w:r>
          </w:p>
        </w:tc>
        <w:tc>
          <w:tcPr>
            <w:tcW w:w="2126" w:type="dxa"/>
            <w:noWrap w:val="0"/>
            <w:tcMar>
              <w:left w:w="170" w:type="dxa"/>
            </w:tcMar>
            <w:vAlign w:val="center"/>
          </w:tcPr>
          <w:p w14:paraId="23291C69">
            <w:pPr>
              <w:spacing w:line="360" w:lineRule="auto"/>
              <w:jc w:val="center"/>
              <w:rPr>
                <w:rFonts w:hint="eastAsia" w:ascii="宋体" w:hAnsi="宋体" w:eastAsia="宋体" w:cs="宋体"/>
                <w:color w:val="000000"/>
                <w:sz w:val="24"/>
                <w:szCs w:val="24"/>
              </w:rPr>
            </w:pPr>
          </w:p>
        </w:tc>
        <w:tc>
          <w:tcPr>
            <w:tcW w:w="1984" w:type="dxa"/>
            <w:noWrap w:val="0"/>
            <w:vAlign w:val="center"/>
          </w:tcPr>
          <w:p w14:paraId="7F4031BF">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日历天</w:t>
            </w:r>
          </w:p>
        </w:tc>
        <w:tc>
          <w:tcPr>
            <w:tcW w:w="1843" w:type="dxa"/>
            <w:noWrap w:val="0"/>
            <w:vAlign w:val="center"/>
          </w:tcPr>
          <w:p w14:paraId="3F9D1A1E">
            <w:pPr>
              <w:spacing w:line="360" w:lineRule="auto"/>
              <w:jc w:val="center"/>
              <w:rPr>
                <w:rFonts w:hint="eastAsia" w:ascii="宋体" w:hAnsi="宋体" w:eastAsia="宋体" w:cs="宋体"/>
                <w:color w:val="000000"/>
                <w:sz w:val="24"/>
                <w:szCs w:val="24"/>
              </w:rPr>
            </w:pPr>
          </w:p>
        </w:tc>
      </w:tr>
      <w:tr w14:paraId="65AC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231680E1">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985" w:type="dxa"/>
            <w:noWrap w:val="0"/>
            <w:vAlign w:val="center"/>
          </w:tcPr>
          <w:p w14:paraId="2E2D059C">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履约保证金</w:t>
            </w:r>
          </w:p>
        </w:tc>
        <w:tc>
          <w:tcPr>
            <w:tcW w:w="2126" w:type="dxa"/>
            <w:noWrap w:val="0"/>
            <w:tcMar>
              <w:left w:w="170" w:type="dxa"/>
            </w:tcMar>
            <w:vAlign w:val="center"/>
          </w:tcPr>
          <w:p w14:paraId="66B1A8BA">
            <w:pPr>
              <w:spacing w:line="360" w:lineRule="auto"/>
              <w:jc w:val="center"/>
              <w:rPr>
                <w:rFonts w:hint="eastAsia" w:ascii="宋体" w:hAnsi="宋体" w:eastAsia="宋体" w:cs="宋体"/>
                <w:color w:val="000000"/>
                <w:sz w:val="24"/>
                <w:szCs w:val="24"/>
              </w:rPr>
            </w:pPr>
          </w:p>
        </w:tc>
        <w:tc>
          <w:tcPr>
            <w:tcW w:w="1984" w:type="dxa"/>
            <w:noWrap w:val="0"/>
            <w:vAlign w:val="center"/>
          </w:tcPr>
          <w:p w14:paraId="7C7291BB">
            <w:pPr>
              <w:spacing w:line="360" w:lineRule="auto"/>
              <w:jc w:val="center"/>
              <w:rPr>
                <w:rFonts w:hint="eastAsia" w:ascii="宋体" w:hAnsi="宋体" w:eastAsia="宋体" w:cs="宋体"/>
                <w:color w:val="000000"/>
                <w:sz w:val="24"/>
                <w:szCs w:val="24"/>
              </w:rPr>
            </w:pPr>
          </w:p>
        </w:tc>
        <w:tc>
          <w:tcPr>
            <w:tcW w:w="1843" w:type="dxa"/>
            <w:noWrap w:val="0"/>
            <w:vAlign w:val="center"/>
          </w:tcPr>
          <w:p w14:paraId="49948484">
            <w:pPr>
              <w:spacing w:line="360" w:lineRule="auto"/>
              <w:jc w:val="center"/>
              <w:rPr>
                <w:rFonts w:hint="eastAsia" w:ascii="宋体" w:hAnsi="宋体" w:eastAsia="宋体" w:cs="宋体"/>
                <w:color w:val="000000"/>
                <w:sz w:val="24"/>
                <w:szCs w:val="24"/>
              </w:rPr>
            </w:pPr>
          </w:p>
        </w:tc>
      </w:tr>
      <w:tr w14:paraId="4009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188D143A">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985" w:type="dxa"/>
            <w:noWrap w:val="0"/>
            <w:vAlign w:val="center"/>
          </w:tcPr>
          <w:p w14:paraId="48FE3446">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质量标准</w:t>
            </w:r>
          </w:p>
        </w:tc>
        <w:tc>
          <w:tcPr>
            <w:tcW w:w="2126" w:type="dxa"/>
            <w:noWrap w:val="0"/>
            <w:tcMar>
              <w:left w:w="170" w:type="dxa"/>
            </w:tcMar>
            <w:vAlign w:val="center"/>
          </w:tcPr>
          <w:p w14:paraId="1D4E0686">
            <w:pPr>
              <w:spacing w:line="360" w:lineRule="auto"/>
              <w:jc w:val="center"/>
              <w:rPr>
                <w:rFonts w:hint="eastAsia" w:ascii="宋体" w:hAnsi="宋体" w:eastAsia="宋体" w:cs="宋体"/>
                <w:color w:val="000000"/>
                <w:sz w:val="24"/>
                <w:szCs w:val="24"/>
              </w:rPr>
            </w:pPr>
          </w:p>
        </w:tc>
        <w:tc>
          <w:tcPr>
            <w:tcW w:w="1984" w:type="dxa"/>
            <w:noWrap w:val="0"/>
            <w:vAlign w:val="center"/>
          </w:tcPr>
          <w:p w14:paraId="210737E8">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p>
        </w:tc>
        <w:tc>
          <w:tcPr>
            <w:tcW w:w="1843" w:type="dxa"/>
            <w:noWrap w:val="0"/>
            <w:vAlign w:val="center"/>
          </w:tcPr>
          <w:p w14:paraId="4B873EC2">
            <w:pPr>
              <w:spacing w:line="360" w:lineRule="auto"/>
              <w:jc w:val="center"/>
              <w:rPr>
                <w:rFonts w:hint="eastAsia" w:ascii="宋体" w:hAnsi="宋体" w:eastAsia="宋体" w:cs="宋体"/>
                <w:color w:val="000000"/>
                <w:sz w:val="24"/>
                <w:szCs w:val="24"/>
              </w:rPr>
            </w:pPr>
          </w:p>
        </w:tc>
      </w:tr>
      <w:tr w14:paraId="387E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18949E13">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1985" w:type="dxa"/>
            <w:noWrap w:val="0"/>
            <w:vAlign w:val="center"/>
          </w:tcPr>
          <w:p w14:paraId="3084419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126" w:type="dxa"/>
            <w:noWrap w:val="0"/>
            <w:tcMar>
              <w:left w:w="170" w:type="dxa"/>
            </w:tcMar>
            <w:vAlign w:val="center"/>
          </w:tcPr>
          <w:p w14:paraId="090D4B3D">
            <w:pPr>
              <w:spacing w:line="360" w:lineRule="auto"/>
              <w:rPr>
                <w:rFonts w:hint="eastAsia" w:ascii="宋体" w:hAnsi="宋体" w:eastAsia="宋体" w:cs="宋体"/>
                <w:color w:val="000000"/>
                <w:sz w:val="24"/>
                <w:szCs w:val="24"/>
              </w:rPr>
            </w:pPr>
          </w:p>
        </w:tc>
        <w:tc>
          <w:tcPr>
            <w:tcW w:w="1984" w:type="dxa"/>
            <w:noWrap w:val="0"/>
            <w:vAlign w:val="center"/>
          </w:tcPr>
          <w:p w14:paraId="2B3DB547">
            <w:pPr>
              <w:spacing w:line="360" w:lineRule="auto"/>
              <w:jc w:val="center"/>
              <w:rPr>
                <w:rFonts w:hint="eastAsia" w:ascii="宋体" w:hAnsi="宋体" w:eastAsia="宋体" w:cs="宋体"/>
                <w:color w:val="000000"/>
                <w:sz w:val="24"/>
                <w:szCs w:val="24"/>
              </w:rPr>
            </w:pPr>
          </w:p>
        </w:tc>
        <w:tc>
          <w:tcPr>
            <w:tcW w:w="1843" w:type="dxa"/>
            <w:noWrap w:val="0"/>
            <w:vAlign w:val="center"/>
          </w:tcPr>
          <w:p w14:paraId="0D191B18">
            <w:pPr>
              <w:spacing w:line="360" w:lineRule="auto"/>
              <w:jc w:val="center"/>
              <w:rPr>
                <w:rFonts w:hint="eastAsia" w:ascii="宋体" w:hAnsi="宋体" w:eastAsia="宋体" w:cs="宋体"/>
                <w:color w:val="000000"/>
                <w:sz w:val="24"/>
                <w:szCs w:val="24"/>
              </w:rPr>
            </w:pPr>
          </w:p>
        </w:tc>
      </w:tr>
      <w:tr w14:paraId="1756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noWrap w:val="0"/>
            <w:vAlign w:val="center"/>
          </w:tcPr>
          <w:p w14:paraId="0347F037">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备注：供应商在响应竞争性磋商文件中规定的实质性要求和条件的基础上，可做出其他有利于采购单位的承诺。此类承诺可在本表中予以补充填写。</w:t>
            </w:r>
          </w:p>
        </w:tc>
      </w:tr>
    </w:tbl>
    <w:p w14:paraId="7FBAA73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供应商（盖单位章）：</w:t>
      </w:r>
    </w:p>
    <w:p w14:paraId="4B7D884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法人代表或委托代理人（签字或盖章）：</w:t>
      </w:r>
    </w:p>
    <w:p w14:paraId="697EF25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1EA29EB1">
      <w:pPr>
        <w:spacing w:line="360" w:lineRule="auto"/>
        <w:ind w:firstLine="600" w:firstLineChars="250"/>
        <w:rPr>
          <w:rFonts w:hint="eastAsia" w:ascii="宋体" w:hAnsi="宋体" w:eastAsia="宋体" w:cs="宋体"/>
          <w:color w:val="000000"/>
          <w:sz w:val="24"/>
          <w:szCs w:val="24"/>
        </w:rPr>
      </w:pPr>
    </w:p>
    <w:p w14:paraId="1F658AF0">
      <w:pPr>
        <w:spacing w:line="360" w:lineRule="auto"/>
        <w:rPr>
          <w:rFonts w:hint="eastAsia" w:ascii="宋体" w:hAnsi="宋体" w:eastAsia="宋体" w:cs="宋体"/>
          <w:color w:val="000000"/>
          <w:sz w:val="24"/>
          <w:szCs w:val="24"/>
        </w:rPr>
        <w:sectPr>
          <w:pgSz w:w="11907" w:h="16840"/>
          <w:pgMar w:top="1134" w:right="1134" w:bottom="1134" w:left="1134" w:header="1139" w:footer="851" w:gutter="0"/>
          <w:cols w:space="720" w:num="1"/>
          <w:titlePg/>
          <w:docGrid w:linePitch="312" w:charSpace="0"/>
        </w:sectPr>
      </w:pPr>
    </w:p>
    <w:p w14:paraId="3369C441">
      <w:pPr>
        <w:pStyle w:val="6"/>
        <w:numPr>
          <w:ilvl w:val="0"/>
          <w:numId w:val="58"/>
        </w:numPr>
        <w:tabs>
          <w:tab w:val="clear" w:pos="482"/>
        </w:tabs>
        <w:ind w:left="0" w:leftChars="0" w:firstLine="482" w:firstLineChars="0"/>
        <w:rPr>
          <w:rFonts w:hint="eastAsia" w:ascii="宋体" w:hAnsi="宋体" w:eastAsia="宋体" w:cs="宋体"/>
          <w:sz w:val="24"/>
          <w:szCs w:val="24"/>
        </w:rPr>
      </w:pPr>
      <w:r>
        <w:rPr>
          <w:rFonts w:hint="eastAsia" w:ascii="宋体" w:hAnsi="宋体" w:eastAsia="宋体" w:cs="宋体"/>
          <w:sz w:val="24"/>
          <w:szCs w:val="24"/>
        </w:rPr>
        <w:t>磋商报价表（格式）</w:t>
      </w:r>
    </w:p>
    <w:p w14:paraId="29B4CBB6">
      <w:pPr>
        <w:pStyle w:val="45"/>
        <w:outlineLvl w:val="9"/>
        <w:rPr>
          <w:rFonts w:hint="eastAsia" w:ascii="宋体" w:hAnsi="宋体" w:eastAsia="宋体" w:cs="宋体"/>
          <w:sz w:val="24"/>
          <w:szCs w:val="24"/>
        </w:rPr>
      </w:pPr>
      <w:bookmarkStart w:id="61" w:name="_Toc6413136"/>
      <w:bookmarkStart w:id="62" w:name="_Toc8370"/>
      <w:r>
        <w:rPr>
          <w:rFonts w:hint="eastAsia" w:ascii="宋体" w:hAnsi="宋体" w:eastAsia="宋体" w:cs="宋体"/>
          <w:sz w:val="24"/>
          <w:szCs w:val="24"/>
        </w:rPr>
        <w:t>磋商报价表</w:t>
      </w:r>
      <w:bookmarkEnd w:id="61"/>
      <w:bookmarkEnd w:id="62"/>
    </w:p>
    <w:p w14:paraId="39AB9B0C">
      <w:pPr>
        <w:pStyle w:val="35"/>
        <w:spacing w:line="360" w:lineRule="auto"/>
        <w:jc w:val="center"/>
        <w:outlineLvl w:val="9"/>
        <w:rPr>
          <w:rFonts w:hint="eastAsia" w:ascii="宋体" w:hAnsi="宋体" w:eastAsia="宋体" w:cs="宋体"/>
          <w:b/>
          <w:color w:val="000000"/>
          <w:sz w:val="24"/>
          <w:szCs w:val="24"/>
        </w:rPr>
      </w:pPr>
    </w:p>
    <w:p w14:paraId="764F1A76">
      <w:pPr>
        <w:spacing w:line="360" w:lineRule="auto"/>
        <w:ind w:left="-178" w:leftChars="-85" w:right="-512" w:rightChars="-244" w:firstLine="960" w:firstLineChars="4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币种：人民币</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2"/>
        <w:gridCol w:w="3153"/>
        <w:gridCol w:w="2005"/>
        <w:gridCol w:w="1722"/>
      </w:tblGrid>
      <w:tr w14:paraId="7CA4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2901" w:type="pct"/>
            <w:gridSpan w:val="2"/>
            <w:noWrap w:val="0"/>
            <w:vAlign w:val="center"/>
          </w:tcPr>
          <w:p w14:paraId="56661DF0">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磋商报价</w:t>
            </w:r>
          </w:p>
        </w:tc>
        <w:tc>
          <w:tcPr>
            <w:tcW w:w="1128" w:type="pct"/>
            <w:noWrap w:val="0"/>
            <w:vAlign w:val="center"/>
          </w:tcPr>
          <w:p w14:paraId="1D6BA275">
            <w:pPr>
              <w:widowControl/>
              <w:spacing w:line="360" w:lineRule="auto"/>
              <w:jc w:val="right"/>
              <w:rPr>
                <w:rFonts w:hint="eastAsia" w:ascii="宋体" w:hAnsi="宋体" w:eastAsia="宋体" w:cs="宋体"/>
                <w:color w:val="000000"/>
                <w:sz w:val="24"/>
                <w:szCs w:val="24"/>
              </w:rPr>
            </w:pPr>
            <w:r>
              <w:rPr>
                <w:rFonts w:hint="eastAsia" w:ascii="宋体" w:hAnsi="宋体" w:eastAsia="宋体" w:cs="宋体"/>
                <w:color w:val="000000"/>
                <w:sz w:val="24"/>
                <w:szCs w:val="24"/>
              </w:rPr>
              <w:t>元</w:t>
            </w:r>
          </w:p>
        </w:tc>
        <w:tc>
          <w:tcPr>
            <w:tcW w:w="969" w:type="pct"/>
            <w:noWrap w:val="0"/>
            <w:vAlign w:val="center"/>
          </w:tcPr>
          <w:p w14:paraId="04A50E68">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14:paraId="3068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27" w:type="pct"/>
            <w:vMerge w:val="restart"/>
            <w:noWrap w:val="0"/>
            <w:vAlign w:val="center"/>
          </w:tcPr>
          <w:p w14:paraId="65627FB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其中</w:t>
            </w:r>
          </w:p>
        </w:tc>
        <w:tc>
          <w:tcPr>
            <w:tcW w:w="1773" w:type="pct"/>
            <w:noWrap w:val="0"/>
            <w:vAlign w:val="center"/>
          </w:tcPr>
          <w:p w14:paraId="2FC5AB45">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安全文明施工费</w:t>
            </w:r>
          </w:p>
        </w:tc>
        <w:tc>
          <w:tcPr>
            <w:tcW w:w="1128" w:type="pct"/>
            <w:noWrap w:val="0"/>
            <w:vAlign w:val="center"/>
          </w:tcPr>
          <w:p w14:paraId="0F584747">
            <w:pPr>
              <w:spacing w:line="360" w:lineRule="auto"/>
              <w:jc w:val="right"/>
              <w:rPr>
                <w:rFonts w:hint="eastAsia" w:ascii="宋体" w:hAnsi="宋体" w:eastAsia="宋体" w:cs="宋体"/>
                <w:color w:val="000000"/>
                <w:sz w:val="24"/>
                <w:szCs w:val="24"/>
              </w:rPr>
            </w:pPr>
            <w:r>
              <w:rPr>
                <w:rFonts w:hint="eastAsia" w:ascii="宋体" w:hAnsi="宋体" w:eastAsia="宋体" w:cs="宋体"/>
                <w:color w:val="000000"/>
                <w:sz w:val="24"/>
                <w:szCs w:val="24"/>
              </w:rPr>
              <w:t>元</w:t>
            </w:r>
          </w:p>
        </w:tc>
        <w:tc>
          <w:tcPr>
            <w:tcW w:w="969" w:type="pct"/>
            <w:noWrap w:val="0"/>
            <w:vAlign w:val="center"/>
          </w:tcPr>
          <w:p w14:paraId="2879110D">
            <w:pPr>
              <w:spacing w:line="360" w:lineRule="auto"/>
              <w:jc w:val="center"/>
              <w:rPr>
                <w:rFonts w:hint="eastAsia" w:ascii="宋体" w:hAnsi="宋体" w:eastAsia="宋体" w:cs="宋体"/>
                <w:color w:val="000000"/>
                <w:sz w:val="24"/>
                <w:szCs w:val="24"/>
              </w:rPr>
            </w:pPr>
          </w:p>
        </w:tc>
      </w:tr>
      <w:tr w14:paraId="6670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27" w:type="pct"/>
            <w:vMerge w:val="continue"/>
            <w:noWrap w:val="0"/>
            <w:vAlign w:val="center"/>
          </w:tcPr>
          <w:p w14:paraId="0D3CE84D">
            <w:pPr>
              <w:widowControl/>
              <w:spacing w:line="360" w:lineRule="auto"/>
              <w:jc w:val="center"/>
              <w:rPr>
                <w:rFonts w:hint="eastAsia" w:ascii="宋体" w:hAnsi="宋体" w:eastAsia="宋体" w:cs="宋体"/>
                <w:color w:val="000000"/>
                <w:sz w:val="24"/>
                <w:szCs w:val="24"/>
              </w:rPr>
            </w:pPr>
          </w:p>
        </w:tc>
        <w:tc>
          <w:tcPr>
            <w:tcW w:w="1773" w:type="pct"/>
            <w:noWrap w:val="0"/>
            <w:vAlign w:val="center"/>
          </w:tcPr>
          <w:p w14:paraId="1955ECA1">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发包人提供材料（如有）</w:t>
            </w:r>
          </w:p>
        </w:tc>
        <w:tc>
          <w:tcPr>
            <w:tcW w:w="1128" w:type="pct"/>
            <w:noWrap w:val="0"/>
            <w:vAlign w:val="center"/>
          </w:tcPr>
          <w:p w14:paraId="0D355B18">
            <w:pPr>
              <w:widowControl/>
              <w:spacing w:line="360" w:lineRule="auto"/>
              <w:jc w:val="right"/>
              <w:rPr>
                <w:rFonts w:hint="eastAsia" w:ascii="宋体" w:hAnsi="宋体" w:eastAsia="宋体" w:cs="宋体"/>
                <w:color w:val="000000"/>
                <w:sz w:val="24"/>
                <w:szCs w:val="24"/>
              </w:rPr>
            </w:pPr>
            <w:r>
              <w:rPr>
                <w:rFonts w:hint="eastAsia" w:ascii="宋体" w:hAnsi="宋体" w:eastAsia="宋体" w:cs="宋体"/>
                <w:color w:val="000000"/>
                <w:sz w:val="24"/>
                <w:szCs w:val="24"/>
              </w:rPr>
              <w:t>元</w:t>
            </w:r>
          </w:p>
        </w:tc>
        <w:tc>
          <w:tcPr>
            <w:tcW w:w="969" w:type="pct"/>
            <w:noWrap w:val="0"/>
            <w:vAlign w:val="top"/>
          </w:tcPr>
          <w:p w14:paraId="4E21F4E3">
            <w:pPr>
              <w:widowControl/>
              <w:spacing w:line="360" w:lineRule="auto"/>
              <w:ind w:right="480"/>
              <w:rPr>
                <w:rFonts w:hint="eastAsia" w:ascii="宋体" w:hAnsi="宋体" w:eastAsia="宋体" w:cs="宋体"/>
                <w:color w:val="000000"/>
                <w:sz w:val="24"/>
                <w:szCs w:val="24"/>
              </w:rPr>
            </w:pPr>
          </w:p>
        </w:tc>
      </w:tr>
      <w:tr w14:paraId="1CA6F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27" w:type="pct"/>
            <w:vMerge w:val="continue"/>
            <w:noWrap w:val="0"/>
            <w:vAlign w:val="center"/>
          </w:tcPr>
          <w:p w14:paraId="11E02564">
            <w:pPr>
              <w:widowControl/>
              <w:spacing w:line="360" w:lineRule="auto"/>
              <w:jc w:val="center"/>
              <w:rPr>
                <w:rFonts w:hint="eastAsia" w:ascii="宋体" w:hAnsi="宋体" w:eastAsia="宋体" w:cs="宋体"/>
                <w:color w:val="000000"/>
                <w:sz w:val="24"/>
                <w:szCs w:val="24"/>
              </w:rPr>
            </w:pPr>
          </w:p>
        </w:tc>
        <w:tc>
          <w:tcPr>
            <w:tcW w:w="1773" w:type="pct"/>
            <w:noWrap w:val="0"/>
            <w:vAlign w:val="center"/>
          </w:tcPr>
          <w:p w14:paraId="2FF58CFC">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承包人提供材料（设备）暂估价（如有）</w:t>
            </w:r>
          </w:p>
        </w:tc>
        <w:tc>
          <w:tcPr>
            <w:tcW w:w="1128" w:type="pct"/>
            <w:noWrap w:val="0"/>
            <w:vAlign w:val="center"/>
          </w:tcPr>
          <w:p w14:paraId="482B580A">
            <w:pPr>
              <w:widowControl/>
              <w:spacing w:line="360" w:lineRule="auto"/>
              <w:jc w:val="right"/>
              <w:rPr>
                <w:rFonts w:hint="eastAsia" w:ascii="宋体" w:hAnsi="宋体" w:eastAsia="宋体" w:cs="宋体"/>
                <w:color w:val="000000"/>
                <w:sz w:val="24"/>
                <w:szCs w:val="24"/>
              </w:rPr>
            </w:pPr>
            <w:r>
              <w:rPr>
                <w:rFonts w:hint="eastAsia" w:ascii="宋体" w:hAnsi="宋体" w:eastAsia="宋体" w:cs="宋体"/>
                <w:color w:val="000000"/>
                <w:sz w:val="24"/>
                <w:szCs w:val="24"/>
              </w:rPr>
              <w:t>元</w:t>
            </w:r>
          </w:p>
        </w:tc>
        <w:tc>
          <w:tcPr>
            <w:tcW w:w="969" w:type="pct"/>
            <w:noWrap w:val="0"/>
            <w:vAlign w:val="top"/>
          </w:tcPr>
          <w:p w14:paraId="1F536A78">
            <w:pPr>
              <w:widowControl/>
              <w:spacing w:line="360" w:lineRule="auto"/>
              <w:ind w:right="480"/>
              <w:rPr>
                <w:rFonts w:hint="eastAsia" w:ascii="宋体" w:hAnsi="宋体" w:eastAsia="宋体" w:cs="宋体"/>
                <w:color w:val="000000"/>
                <w:sz w:val="24"/>
                <w:szCs w:val="24"/>
              </w:rPr>
            </w:pPr>
          </w:p>
        </w:tc>
      </w:tr>
      <w:tr w14:paraId="4079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27" w:type="pct"/>
            <w:vMerge w:val="continue"/>
            <w:noWrap w:val="0"/>
            <w:vAlign w:val="center"/>
          </w:tcPr>
          <w:p w14:paraId="71D94A91">
            <w:pPr>
              <w:widowControl/>
              <w:spacing w:line="360" w:lineRule="auto"/>
              <w:jc w:val="center"/>
              <w:rPr>
                <w:rFonts w:hint="eastAsia" w:ascii="宋体" w:hAnsi="宋体" w:eastAsia="宋体" w:cs="宋体"/>
                <w:color w:val="000000"/>
                <w:sz w:val="24"/>
                <w:szCs w:val="24"/>
              </w:rPr>
            </w:pPr>
          </w:p>
        </w:tc>
        <w:tc>
          <w:tcPr>
            <w:tcW w:w="1773" w:type="pct"/>
            <w:noWrap w:val="0"/>
            <w:vAlign w:val="center"/>
          </w:tcPr>
          <w:p w14:paraId="62CAF642">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暂估专业工程（如有）</w:t>
            </w:r>
          </w:p>
        </w:tc>
        <w:tc>
          <w:tcPr>
            <w:tcW w:w="1128" w:type="pct"/>
            <w:noWrap w:val="0"/>
            <w:vAlign w:val="center"/>
          </w:tcPr>
          <w:p w14:paraId="2568889C">
            <w:pPr>
              <w:widowControl/>
              <w:spacing w:line="360" w:lineRule="auto"/>
              <w:jc w:val="right"/>
              <w:rPr>
                <w:rFonts w:hint="eastAsia" w:ascii="宋体" w:hAnsi="宋体" w:eastAsia="宋体" w:cs="宋体"/>
                <w:color w:val="000000"/>
                <w:sz w:val="24"/>
                <w:szCs w:val="24"/>
              </w:rPr>
            </w:pPr>
            <w:r>
              <w:rPr>
                <w:rFonts w:hint="eastAsia" w:ascii="宋体" w:hAnsi="宋体" w:eastAsia="宋体" w:cs="宋体"/>
                <w:color w:val="000000"/>
                <w:sz w:val="24"/>
                <w:szCs w:val="24"/>
              </w:rPr>
              <w:t>元</w:t>
            </w:r>
          </w:p>
        </w:tc>
        <w:tc>
          <w:tcPr>
            <w:tcW w:w="969" w:type="pct"/>
            <w:noWrap w:val="0"/>
            <w:vAlign w:val="top"/>
          </w:tcPr>
          <w:p w14:paraId="632948A8">
            <w:pPr>
              <w:widowControl/>
              <w:spacing w:line="360" w:lineRule="auto"/>
              <w:ind w:right="480"/>
              <w:rPr>
                <w:rFonts w:hint="eastAsia" w:ascii="宋体" w:hAnsi="宋体" w:eastAsia="宋体" w:cs="宋体"/>
                <w:color w:val="000000"/>
                <w:sz w:val="24"/>
                <w:szCs w:val="24"/>
              </w:rPr>
            </w:pPr>
          </w:p>
        </w:tc>
      </w:tr>
      <w:tr w14:paraId="6CDD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27" w:type="pct"/>
            <w:vMerge w:val="continue"/>
            <w:noWrap w:val="0"/>
            <w:vAlign w:val="center"/>
          </w:tcPr>
          <w:p w14:paraId="14B7CBDF">
            <w:pPr>
              <w:widowControl/>
              <w:spacing w:line="360" w:lineRule="auto"/>
              <w:jc w:val="center"/>
              <w:rPr>
                <w:rFonts w:hint="eastAsia" w:ascii="宋体" w:hAnsi="宋体" w:eastAsia="宋体" w:cs="宋体"/>
                <w:color w:val="000000"/>
                <w:sz w:val="24"/>
                <w:szCs w:val="24"/>
              </w:rPr>
            </w:pPr>
          </w:p>
        </w:tc>
        <w:tc>
          <w:tcPr>
            <w:tcW w:w="1773" w:type="pct"/>
            <w:noWrap w:val="0"/>
            <w:vAlign w:val="center"/>
          </w:tcPr>
          <w:p w14:paraId="2A29D304">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暂列金额（如有）</w:t>
            </w:r>
          </w:p>
        </w:tc>
        <w:tc>
          <w:tcPr>
            <w:tcW w:w="1128" w:type="pct"/>
            <w:noWrap w:val="0"/>
            <w:vAlign w:val="center"/>
          </w:tcPr>
          <w:p w14:paraId="2AF83464">
            <w:pPr>
              <w:widowControl/>
              <w:spacing w:line="360" w:lineRule="auto"/>
              <w:jc w:val="right"/>
              <w:rPr>
                <w:rFonts w:hint="eastAsia" w:ascii="宋体" w:hAnsi="宋体" w:eastAsia="宋体" w:cs="宋体"/>
                <w:color w:val="000000"/>
                <w:sz w:val="24"/>
                <w:szCs w:val="24"/>
              </w:rPr>
            </w:pPr>
            <w:r>
              <w:rPr>
                <w:rFonts w:hint="eastAsia" w:ascii="宋体" w:hAnsi="宋体" w:eastAsia="宋体" w:cs="宋体"/>
                <w:color w:val="000000"/>
                <w:sz w:val="24"/>
                <w:szCs w:val="24"/>
              </w:rPr>
              <w:t>元</w:t>
            </w:r>
          </w:p>
        </w:tc>
        <w:tc>
          <w:tcPr>
            <w:tcW w:w="969" w:type="pct"/>
            <w:noWrap w:val="0"/>
            <w:vAlign w:val="top"/>
          </w:tcPr>
          <w:p w14:paraId="63AD09AA">
            <w:pPr>
              <w:widowControl/>
              <w:spacing w:line="360" w:lineRule="auto"/>
              <w:ind w:right="480"/>
              <w:rPr>
                <w:rFonts w:hint="eastAsia" w:ascii="宋体" w:hAnsi="宋体" w:eastAsia="宋体" w:cs="宋体"/>
                <w:color w:val="000000"/>
                <w:sz w:val="24"/>
                <w:szCs w:val="24"/>
              </w:rPr>
            </w:pPr>
          </w:p>
        </w:tc>
      </w:tr>
    </w:tbl>
    <w:p w14:paraId="721E4C17">
      <w:pPr>
        <w:spacing w:line="360" w:lineRule="auto"/>
        <w:ind w:left="-178" w:leftChars="-85" w:firstLine="177" w:firstLineChars="74"/>
        <w:rPr>
          <w:rFonts w:hint="eastAsia" w:ascii="宋体" w:hAnsi="宋体" w:eastAsia="宋体" w:cs="宋体"/>
          <w:color w:val="000000"/>
          <w:sz w:val="24"/>
          <w:szCs w:val="24"/>
        </w:rPr>
      </w:pPr>
    </w:p>
    <w:p w14:paraId="0B1E3ED2">
      <w:pPr>
        <w:spacing w:line="360" w:lineRule="auto"/>
        <w:rPr>
          <w:rFonts w:hint="eastAsia" w:ascii="宋体" w:hAnsi="宋体" w:eastAsia="宋体" w:cs="宋体"/>
          <w:color w:val="000000"/>
          <w:sz w:val="24"/>
          <w:szCs w:val="24"/>
        </w:rPr>
      </w:pPr>
    </w:p>
    <w:p w14:paraId="6E62EBB7">
      <w:pPr>
        <w:spacing w:line="360" w:lineRule="auto"/>
        <w:rPr>
          <w:rFonts w:hint="eastAsia" w:ascii="宋体" w:hAnsi="宋体" w:eastAsia="宋体" w:cs="宋体"/>
          <w:color w:val="000000"/>
          <w:sz w:val="24"/>
          <w:szCs w:val="24"/>
        </w:rPr>
      </w:pPr>
    </w:p>
    <w:p w14:paraId="551CD40C">
      <w:pPr>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供应商（盖单位章）：</w:t>
      </w:r>
    </w:p>
    <w:p w14:paraId="0A072AEA">
      <w:pPr>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法定代表人或其委托代理人（签字或盖章）：</w:t>
      </w:r>
    </w:p>
    <w:p w14:paraId="0111C414">
      <w:pPr>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73B90FD4">
      <w:pPr>
        <w:spacing w:line="360" w:lineRule="auto"/>
        <w:ind w:firstLine="240" w:firstLineChars="100"/>
        <w:rPr>
          <w:rFonts w:hint="eastAsia" w:ascii="宋体" w:hAnsi="宋体" w:eastAsia="宋体" w:cs="宋体"/>
          <w:color w:val="000000"/>
          <w:sz w:val="24"/>
          <w:szCs w:val="24"/>
        </w:rPr>
      </w:pPr>
    </w:p>
    <w:p w14:paraId="6869A31F">
      <w:pPr>
        <w:spacing w:line="360" w:lineRule="auto"/>
        <w:ind w:left="420"/>
        <w:rPr>
          <w:rFonts w:hint="eastAsia" w:ascii="宋体" w:hAnsi="宋体" w:eastAsia="宋体" w:cs="宋体"/>
          <w:b/>
          <w:color w:val="000000"/>
          <w:sz w:val="24"/>
          <w:szCs w:val="24"/>
        </w:rPr>
      </w:pPr>
    </w:p>
    <w:p w14:paraId="7F676143">
      <w:pPr>
        <w:spacing w:line="360" w:lineRule="auto"/>
        <w:ind w:left="420"/>
        <w:rPr>
          <w:rFonts w:hint="eastAsia" w:ascii="宋体" w:hAnsi="宋体" w:eastAsia="宋体" w:cs="宋体"/>
          <w:b/>
          <w:color w:val="000000"/>
          <w:sz w:val="24"/>
          <w:szCs w:val="24"/>
        </w:rPr>
      </w:pPr>
    </w:p>
    <w:p w14:paraId="1F5A39B8">
      <w:pPr>
        <w:spacing w:line="360" w:lineRule="auto"/>
        <w:ind w:left="420"/>
        <w:rPr>
          <w:rFonts w:hint="eastAsia" w:ascii="宋体" w:hAnsi="宋体" w:eastAsia="宋体" w:cs="宋体"/>
          <w:b/>
          <w:color w:val="000000"/>
          <w:sz w:val="24"/>
          <w:szCs w:val="24"/>
        </w:rPr>
      </w:pPr>
    </w:p>
    <w:p w14:paraId="5C3B21EA">
      <w:pPr>
        <w:spacing w:line="360" w:lineRule="auto"/>
        <w:ind w:left="420"/>
        <w:rPr>
          <w:rFonts w:hint="eastAsia" w:ascii="宋体" w:hAnsi="宋体" w:eastAsia="宋体" w:cs="宋体"/>
          <w:b/>
          <w:color w:val="000000"/>
          <w:sz w:val="24"/>
          <w:szCs w:val="24"/>
        </w:rPr>
      </w:pPr>
    </w:p>
    <w:p w14:paraId="7C2B2894">
      <w:pPr>
        <w:spacing w:line="360" w:lineRule="auto"/>
        <w:ind w:left="420"/>
        <w:rPr>
          <w:rFonts w:hint="eastAsia" w:ascii="宋体" w:hAnsi="宋体" w:eastAsia="宋体" w:cs="宋体"/>
          <w:b/>
          <w:color w:val="000000"/>
          <w:sz w:val="24"/>
          <w:szCs w:val="24"/>
        </w:rPr>
      </w:pPr>
    </w:p>
    <w:p w14:paraId="50A74963">
      <w:pPr>
        <w:spacing w:line="360" w:lineRule="auto"/>
        <w:ind w:left="420"/>
        <w:rPr>
          <w:rFonts w:hint="eastAsia" w:ascii="宋体" w:hAnsi="宋体" w:eastAsia="宋体" w:cs="宋体"/>
          <w:b/>
          <w:color w:val="000000"/>
          <w:sz w:val="24"/>
          <w:szCs w:val="24"/>
        </w:rPr>
      </w:pPr>
    </w:p>
    <w:p w14:paraId="335206B6">
      <w:pPr>
        <w:spacing w:line="360" w:lineRule="auto"/>
        <w:ind w:left="420"/>
        <w:rPr>
          <w:rFonts w:hint="eastAsia" w:ascii="宋体" w:hAnsi="宋体" w:eastAsia="宋体" w:cs="宋体"/>
          <w:b/>
          <w:color w:val="000000"/>
          <w:sz w:val="24"/>
          <w:szCs w:val="24"/>
        </w:rPr>
        <w:sectPr>
          <w:pgSz w:w="11907" w:h="16840"/>
          <w:pgMar w:top="1440" w:right="1440" w:bottom="1440" w:left="1797" w:header="851" w:footer="851" w:gutter="0"/>
          <w:cols w:space="720" w:num="1"/>
          <w:docGrid w:linePitch="312" w:charSpace="0"/>
        </w:sectPr>
      </w:pPr>
    </w:p>
    <w:p w14:paraId="5E9D7820">
      <w:pPr>
        <w:pStyle w:val="6"/>
        <w:numPr>
          <w:ilvl w:val="0"/>
          <w:numId w:val="58"/>
        </w:numPr>
        <w:tabs>
          <w:tab w:val="clear" w:pos="482"/>
        </w:tabs>
        <w:ind w:left="0" w:leftChars="0" w:firstLine="482" w:firstLineChars="0"/>
        <w:rPr>
          <w:rFonts w:hint="eastAsia" w:ascii="宋体" w:hAnsi="宋体" w:eastAsia="宋体" w:cs="宋体"/>
          <w:sz w:val="24"/>
          <w:szCs w:val="24"/>
        </w:rPr>
      </w:pPr>
      <w:r>
        <w:rPr>
          <w:rFonts w:hint="eastAsia" w:ascii="宋体" w:hAnsi="宋体" w:eastAsia="宋体" w:cs="宋体"/>
          <w:sz w:val="24"/>
          <w:szCs w:val="24"/>
        </w:rPr>
        <w:t>已标价工程量清单</w:t>
      </w:r>
    </w:p>
    <w:p w14:paraId="561E5D91">
      <w:pPr>
        <w:pStyle w:val="4"/>
        <w:numPr>
          <w:ilvl w:val="0"/>
          <w:numId w:val="60"/>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说明：已标价工程量清单按规范中的“工程量清单”中的相关清单表格式填写。构成合同文件的已标价工程量清单包括规范中的“工程量清单”有关工程量清单、磋商报价以及其他说明的内容。</w:t>
      </w:r>
    </w:p>
    <w:p w14:paraId="34727FD1">
      <w:pPr>
        <w:pStyle w:val="4"/>
        <w:numPr>
          <w:ilvl w:val="0"/>
          <w:numId w:val="60"/>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表格：可按《建设工程工程量计算规范（GB50854～50862—2013）广西壮族自治区实施细则》工程量清单计价表格提供。</w:t>
      </w:r>
    </w:p>
    <w:p w14:paraId="1B514B4D">
      <w:pPr>
        <w:spacing w:line="360" w:lineRule="auto"/>
        <w:rPr>
          <w:rFonts w:hint="eastAsia" w:ascii="宋体" w:hAnsi="宋体" w:eastAsia="宋体" w:cs="宋体"/>
          <w:b/>
          <w:color w:val="000000"/>
          <w:sz w:val="24"/>
          <w:szCs w:val="24"/>
        </w:rPr>
      </w:pPr>
      <w:r>
        <w:rPr>
          <w:rFonts w:hint="eastAsia" w:ascii="宋体" w:hAnsi="宋体" w:eastAsia="宋体" w:cs="宋体"/>
          <w:color w:val="000000"/>
          <w:sz w:val="24"/>
          <w:szCs w:val="24"/>
        </w:rPr>
        <w:br w:type="page"/>
      </w:r>
    </w:p>
    <w:p w14:paraId="26618748">
      <w:pPr>
        <w:spacing w:line="360" w:lineRule="auto"/>
        <w:jc w:val="center"/>
        <w:rPr>
          <w:rFonts w:hint="eastAsia" w:ascii="宋体" w:hAnsi="宋体" w:eastAsia="宋体" w:cs="宋体"/>
          <w:b/>
          <w:color w:val="000000"/>
          <w:sz w:val="24"/>
          <w:szCs w:val="24"/>
        </w:rPr>
      </w:pPr>
    </w:p>
    <w:p w14:paraId="74A56375">
      <w:pPr>
        <w:spacing w:line="360" w:lineRule="auto"/>
        <w:jc w:val="center"/>
        <w:rPr>
          <w:rFonts w:hint="eastAsia" w:ascii="宋体" w:hAnsi="宋体" w:eastAsia="宋体" w:cs="宋体"/>
          <w:b/>
          <w:color w:val="000000"/>
          <w:sz w:val="24"/>
          <w:szCs w:val="24"/>
        </w:rPr>
      </w:pPr>
    </w:p>
    <w:p w14:paraId="44BA06A5">
      <w:pPr>
        <w:spacing w:line="360" w:lineRule="auto"/>
        <w:jc w:val="center"/>
        <w:rPr>
          <w:rFonts w:hint="eastAsia" w:ascii="宋体" w:hAnsi="宋体" w:eastAsia="宋体" w:cs="宋体"/>
          <w:b/>
          <w:color w:val="000000"/>
          <w:sz w:val="24"/>
          <w:szCs w:val="24"/>
        </w:rPr>
      </w:pPr>
    </w:p>
    <w:p w14:paraId="0BA60183">
      <w:pPr>
        <w:spacing w:line="360" w:lineRule="auto"/>
        <w:jc w:val="center"/>
        <w:rPr>
          <w:rFonts w:hint="eastAsia" w:ascii="宋体" w:hAnsi="宋体" w:eastAsia="宋体" w:cs="宋体"/>
          <w:b/>
          <w:color w:val="000000"/>
          <w:sz w:val="24"/>
          <w:szCs w:val="24"/>
        </w:rPr>
      </w:pPr>
    </w:p>
    <w:p w14:paraId="634DCE7C">
      <w:pPr>
        <w:spacing w:line="360" w:lineRule="auto"/>
        <w:jc w:val="center"/>
        <w:rPr>
          <w:rFonts w:hint="eastAsia" w:ascii="宋体" w:hAnsi="宋体" w:eastAsia="宋体" w:cs="宋体"/>
          <w:b/>
          <w:color w:val="000000"/>
          <w:sz w:val="24"/>
          <w:szCs w:val="24"/>
        </w:rPr>
      </w:pPr>
    </w:p>
    <w:p w14:paraId="02254337">
      <w:pPr>
        <w:spacing w:line="360" w:lineRule="auto"/>
        <w:jc w:val="center"/>
        <w:rPr>
          <w:rFonts w:hint="eastAsia" w:ascii="宋体" w:hAnsi="宋体" w:eastAsia="宋体" w:cs="宋体"/>
          <w:b/>
          <w:color w:val="000000"/>
          <w:sz w:val="48"/>
          <w:szCs w:val="48"/>
        </w:rPr>
      </w:pPr>
    </w:p>
    <w:p w14:paraId="67D0E666">
      <w:pPr>
        <w:spacing w:line="360" w:lineRule="auto"/>
        <w:jc w:val="center"/>
        <w:rPr>
          <w:rFonts w:hint="eastAsia" w:ascii="宋体" w:hAnsi="宋体" w:eastAsia="宋体" w:cs="宋体"/>
          <w:b/>
          <w:color w:val="000000"/>
          <w:sz w:val="48"/>
          <w:szCs w:val="48"/>
        </w:rPr>
      </w:pPr>
      <w:r>
        <w:rPr>
          <w:rFonts w:hint="eastAsia" w:ascii="宋体" w:hAnsi="宋体" w:eastAsia="宋体" w:cs="宋体"/>
          <w:b/>
          <w:color w:val="000000"/>
          <w:sz w:val="48"/>
          <w:szCs w:val="48"/>
        </w:rPr>
        <w:t>技术文件</w:t>
      </w:r>
    </w:p>
    <w:p w14:paraId="59E0CDA7">
      <w:pPr>
        <w:spacing w:line="360" w:lineRule="auto"/>
        <w:jc w:val="center"/>
        <w:rPr>
          <w:rFonts w:hint="eastAsia" w:ascii="宋体" w:hAnsi="宋体" w:eastAsia="宋体" w:cs="宋体"/>
          <w:color w:val="000000"/>
          <w:sz w:val="24"/>
          <w:szCs w:val="24"/>
        </w:rPr>
      </w:pPr>
    </w:p>
    <w:p w14:paraId="02F7CB89">
      <w:pPr>
        <w:spacing w:line="360" w:lineRule="auto"/>
        <w:jc w:val="center"/>
        <w:rPr>
          <w:rFonts w:hint="eastAsia" w:ascii="宋体" w:hAnsi="宋体" w:eastAsia="宋体" w:cs="宋体"/>
          <w:color w:val="000000"/>
          <w:sz w:val="24"/>
          <w:szCs w:val="24"/>
        </w:rPr>
      </w:pPr>
    </w:p>
    <w:p w14:paraId="032BA9E9">
      <w:pPr>
        <w:spacing w:line="360" w:lineRule="auto"/>
        <w:jc w:val="center"/>
        <w:rPr>
          <w:rFonts w:hint="eastAsia" w:ascii="宋体" w:hAnsi="宋体" w:eastAsia="宋体" w:cs="宋体"/>
          <w:color w:val="000000"/>
          <w:sz w:val="24"/>
          <w:szCs w:val="24"/>
        </w:rPr>
      </w:pPr>
    </w:p>
    <w:p w14:paraId="33E00972">
      <w:pPr>
        <w:spacing w:line="360" w:lineRule="auto"/>
        <w:jc w:val="center"/>
        <w:rPr>
          <w:rFonts w:hint="eastAsia" w:ascii="宋体" w:hAnsi="宋体" w:eastAsia="宋体" w:cs="宋体"/>
          <w:color w:val="000000"/>
          <w:sz w:val="24"/>
          <w:szCs w:val="24"/>
        </w:rPr>
      </w:pPr>
    </w:p>
    <w:p w14:paraId="7EED91C4">
      <w:pPr>
        <w:spacing w:line="360" w:lineRule="auto"/>
        <w:jc w:val="center"/>
        <w:rPr>
          <w:rFonts w:hint="eastAsia" w:ascii="宋体" w:hAnsi="宋体" w:eastAsia="宋体" w:cs="宋体"/>
          <w:color w:val="000000"/>
          <w:sz w:val="24"/>
          <w:szCs w:val="24"/>
        </w:rPr>
      </w:pPr>
    </w:p>
    <w:p w14:paraId="34337A0E">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p w14:paraId="64A5A880">
      <w:pPr>
        <w:pStyle w:val="43"/>
        <w:rPr>
          <w:rFonts w:hint="eastAsia" w:ascii="宋体" w:hAnsi="宋体" w:eastAsia="宋体" w:cs="宋体"/>
          <w:sz w:val="32"/>
          <w:szCs w:val="32"/>
        </w:rPr>
      </w:pPr>
      <w:r>
        <w:rPr>
          <w:rFonts w:hint="eastAsia" w:ascii="宋体" w:hAnsi="宋体" w:eastAsia="宋体" w:cs="宋体"/>
          <w:sz w:val="32"/>
          <w:szCs w:val="32"/>
        </w:rPr>
        <w:t>技术文件目录</w:t>
      </w:r>
    </w:p>
    <w:p w14:paraId="0CB6A442">
      <w:pPr>
        <w:pStyle w:val="43"/>
        <w:rPr>
          <w:rFonts w:hint="eastAsia" w:ascii="宋体" w:hAnsi="宋体" w:eastAsia="宋体" w:cs="宋体"/>
          <w:sz w:val="32"/>
          <w:szCs w:val="32"/>
        </w:rPr>
      </w:pPr>
      <w:r>
        <w:rPr>
          <w:rFonts w:hint="eastAsia" w:ascii="宋体" w:hAnsi="宋体" w:eastAsia="宋体" w:cs="宋体"/>
          <w:sz w:val="32"/>
          <w:szCs w:val="32"/>
        </w:rPr>
        <w:t>（应附有页码）</w:t>
      </w:r>
    </w:p>
    <w:p w14:paraId="5C82F284">
      <w:pPr>
        <w:spacing w:line="360" w:lineRule="auto"/>
        <w:jc w:val="center"/>
        <w:rPr>
          <w:rFonts w:hint="eastAsia" w:ascii="宋体" w:hAnsi="宋体" w:eastAsia="宋体" w:cs="宋体"/>
          <w:b/>
          <w:color w:val="000000"/>
          <w:sz w:val="24"/>
          <w:szCs w:val="24"/>
        </w:rPr>
      </w:pPr>
    </w:p>
    <w:p w14:paraId="6E797409">
      <w:pPr>
        <w:pStyle w:val="4"/>
        <w:numPr>
          <w:ilvl w:val="0"/>
          <w:numId w:val="61"/>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施工组织设计</w:t>
      </w:r>
    </w:p>
    <w:p w14:paraId="74C829A6">
      <w:pPr>
        <w:pStyle w:val="4"/>
        <w:numPr>
          <w:ilvl w:val="0"/>
          <w:numId w:val="61"/>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项目管理机构配备情况表</w:t>
      </w:r>
    </w:p>
    <w:p w14:paraId="489B256E">
      <w:pPr>
        <w:pStyle w:val="4"/>
        <w:numPr>
          <w:ilvl w:val="0"/>
          <w:numId w:val="61"/>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按本竞争性磋商文件规定提交的其它资料</w:t>
      </w:r>
    </w:p>
    <w:p w14:paraId="7F4A34F6">
      <w:pPr>
        <w:keepNext/>
        <w:keepLines/>
        <w:widowControl w:val="0"/>
        <w:spacing w:before="280" w:after="290" w:line="376" w:lineRule="auto"/>
        <w:jc w:val="both"/>
        <w:outlineLvl w:val="9"/>
        <w:rPr>
          <w:rFonts w:hint="eastAsia" w:ascii="宋体" w:hAnsi="宋体" w:eastAsia="宋体" w:cs="宋体"/>
          <w:b/>
          <w:bCs/>
          <w:color w:val="000000"/>
          <w:kern w:val="2"/>
          <w:sz w:val="24"/>
          <w:szCs w:val="24"/>
          <w:lang w:val="en-US" w:eastAsia="zh-CN" w:bidi="ar-SA"/>
        </w:rPr>
      </w:pPr>
    </w:p>
    <w:p w14:paraId="15099CDF">
      <w:pPr>
        <w:spacing w:line="360" w:lineRule="auto"/>
        <w:rPr>
          <w:rFonts w:hint="eastAsia" w:ascii="宋体" w:hAnsi="宋体" w:eastAsia="宋体" w:cs="宋体"/>
          <w:color w:val="000000"/>
          <w:sz w:val="24"/>
          <w:szCs w:val="24"/>
        </w:rPr>
      </w:pPr>
    </w:p>
    <w:p w14:paraId="75A7034B">
      <w:pPr>
        <w:pStyle w:val="6"/>
        <w:numPr>
          <w:ilvl w:val="0"/>
          <w:numId w:val="62"/>
        </w:numPr>
        <w:ind w:left="0" w:leftChars="0" w:firstLine="480" w:firstLineChars="0"/>
        <w:rPr>
          <w:rFonts w:hint="eastAsia" w:ascii="宋体" w:hAnsi="宋体" w:eastAsia="宋体" w:cs="宋体"/>
          <w:b/>
          <w:sz w:val="24"/>
          <w:szCs w:val="24"/>
        </w:rPr>
      </w:pPr>
      <w:r>
        <w:rPr>
          <w:rFonts w:hint="eastAsia" w:ascii="宋体" w:hAnsi="宋体" w:eastAsia="宋体" w:cs="宋体"/>
          <w:sz w:val="24"/>
          <w:szCs w:val="24"/>
        </w:rPr>
        <w:br w:type="page"/>
      </w:r>
      <w:r>
        <w:rPr>
          <w:rFonts w:hint="eastAsia" w:ascii="宋体" w:hAnsi="宋体" w:eastAsia="宋体" w:cs="宋体"/>
          <w:sz w:val="24"/>
          <w:szCs w:val="24"/>
        </w:rPr>
        <w:t>施工组织设计</w:t>
      </w:r>
    </w:p>
    <w:p w14:paraId="008AAAF8">
      <w:pPr>
        <w:pStyle w:val="4"/>
        <w:numPr>
          <w:ilvl w:val="0"/>
          <w:numId w:val="63"/>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542D211C">
      <w:pPr>
        <w:pStyle w:val="4"/>
        <w:numPr>
          <w:ilvl w:val="0"/>
          <w:numId w:val="63"/>
        </w:numPr>
        <w:topLinePunct w:val="0"/>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施工组织设计除采用文字表述外可附下列图表，图表及格式要求附后。</w:t>
      </w:r>
    </w:p>
    <w:p w14:paraId="3893E7B3">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附表一  拟投入本工程的主要施工设备表</w:t>
      </w:r>
    </w:p>
    <w:p w14:paraId="36E53A0B">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附表二  拟配备本工程的试验和检测仪器设备表</w:t>
      </w:r>
    </w:p>
    <w:p w14:paraId="6C1A3A0E">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附表三  劳动力计划表</w:t>
      </w:r>
    </w:p>
    <w:p w14:paraId="275260C2">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附表四  计划开、竣工日期和施工进度网络图</w:t>
      </w:r>
    </w:p>
    <w:p w14:paraId="06AAD7D6">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附表五  临时用地表</w:t>
      </w:r>
    </w:p>
    <w:p w14:paraId="36E8AD8A">
      <w:pPr>
        <w:pStyle w:val="42"/>
        <w:outlineLvl w:val="0"/>
        <w:rPr>
          <w:rFonts w:hint="eastAsia" w:ascii="宋体" w:hAnsi="宋体" w:eastAsia="宋体" w:cs="宋体"/>
          <w:sz w:val="24"/>
          <w:szCs w:val="24"/>
        </w:rPr>
      </w:pPr>
      <w:r>
        <w:rPr>
          <w:rFonts w:hint="eastAsia" w:ascii="宋体" w:hAnsi="宋体" w:eastAsia="宋体" w:cs="宋体"/>
          <w:sz w:val="24"/>
          <w:szCs w:val="24"/>
        </w:rPr>
        <w:t>附表一：拟投入本工程的主要施工设备表</w:t>
      </w:r>
    </w:p>
    <w:tbl>
      <w:tblPr>
        <w:tblStyle w:val="2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165"/>
        <w:gridCol w:w="807"/>
        <w:gridCol w:w="672"/>
        <w:gridCol w:w="672"/>
        <w:gridCol w:w="807"/>
        <w:gridCol w:w="1077"/>
        <w:gridCol w:w="942"/>
        <w:gridCol w:w="1078"/>
        <w:gridCol w:w="943"/>
      </w:tblGrid>
      <w:tr w14:paraId="5C362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404" w:type="pct"/>
            <w:noWrap w:val="0"/>
            <w:vAlign w:val="center"/>
          </w:tcPr>
          <w:p w14:paraId="4EA6A9E8">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655" w:type="pct"/>
            <w:noWrap w:val="0"/>
            <w:vAlign w:val="center"/>
          </w:tcPr>
          <w:p w14:paraId="4B132F1B">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设备名称</w:t>
            </w:r>
          </w:p>
        </w:tc>
        <w:tc>
          <w:tcPr>
            <w:tcW w:w="454" w:type="pct"/>
            <w:noWrap w:val="0"/>
            <w:vAlign w:val="center"/>
          </w:tcPr>
          <w:p w14:paraId="693A721A">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型号</w:t>
            </w:r>
          </w:p>
          <w:p w14:paraId="7B798CB6">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规格</w:t>
            </w:r>
          </w:p>
        </w:tc>
        <w:tc>
          <w:tcPr>
            <w:tcW w:w="378" w:type="pct"/>
            <w:noWrap w:val="0"/>
            <w:vAlign w:val="center"/>
          </w:tcPr>
          <w:p w14:paraId="571B19F0">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378" w:type="pct"/>
            <w:noWrap w:val="0"/>
            <w:vAlign w:val="center"/>
          </w:tcPr>
          <w:p w14:paraId="11ED56A3">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国别</w:t>
            </w:r>
          </w:p>
          <w:p w14:paraId="3CC88932">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产地</w:t>
            </w:r>
          </w:p>
        </w:tc>
        <w:tc>
          <w:tcPr>
            <w:tcW w:w="454" w:type="pct"/>
            <w:noWrap w:val="0"/>
            <w:vAlign w:val="center"/>
          </w:tcPr>
          <w:p w14:paraId="17B6CD13">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制造</w:t>
            </w:r>
          </w:p>
          <w:p w14:paraId="3A306613">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年份</w:t>
            </w:r>
          </w:p>
        </w:tc>
        <w:tc>
          <w:tcPr>
            <w:tcW w:w="606" w:type="pct"/>
            <w:noWrap w:val="0"/>
            <w:vAlign w:val="center"/>
          </w:tcPr>
          <w:p w14:paraId="340F54D7">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额定功率</w:t>
            </w:r>
          </w:p>
          <w:p w14:paraId="1D82BD0C">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（KW）</w:t>
            </w:r>
          </w:p>
        </w:tc>
        <w:tc>
          <w:tcPr>
            <w:tcW w:w="530" w:type="pct"/>
            <w:noWrap w:val="0"/>
            <w:vAlign w:val="center"/>
          </w:tcPr>
          <w:p w14:paraId="5AEFFA3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生产</w:t>
            </w:r>
          </w:p>
          <w:p w14:paraId="7FC6AB0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能力</w:t>
            </w:r>
          </w:p>
        </w:tc>
        <w:tc>
          <w:tcPr>
            <w:tcW w:w="606" w:type="pct"/>
            <w:noWrap w:val="0"/>
            <w:vAlign w:val="center"/>
          </w:tcPr>
          <w:p w14:paraId="18AC45C2">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用于施</w:t>
            </w:r>
          </w:p>
          <w:p w14:paraId="2EB9890A">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工部位</w:t>
            </w:r>
          </w:p>
        </w:tc>
        <w:tc>
          <w:tcPr>
            <w:tcW w:w="530" w:type="pct"/>
            <w:noWrap w:val="0"/>
            <w:vAlign w:val="center"/>
          </w:tcPr>
          <w:p w14:paraId="77FCCF12">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14:paraId="727D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noWrap w:val="0"/>
            <w:vAlign w:val="top"/>
          </w:tcPr>
          <w:p w14:paraId="2EEB7E2F">
            <w:pPr>
              <w:spacing w:line="360" w:lineRule="auto"/>
              <w:rPr>
                <w:rFonts w:hint="eastAsia" w:ascii="宋体" w:hAnsi="宋体" w:eastAsia="宋体" w:cs="宋体"/>
                <w:color w:val="000000"/>
                <w:sz w:val="24"/>
                <w:szCs w:val="24"/>
              </w:rPr>
            </w:pPr>
          </w:p>
        </w:tc>
        <w:tc>
          <w:tcPr>
            <w:tcW w:w="655" w:type="pct"/>
            <w:noWrap w:val="0"/>
            <w:vAlign w:val="top"/>
          </w:tcPr>
          <w:p w14:paraId="6FAF569F">
            <w:pPr>
              <w:spacing w:line="360" w:lineRule="auto"/>
              <w:ind w:firstLine="480" w:firstLineChars="200"/>
              <w:rPr>
                <w:rFonts w:hint="eastAsia" w:ascii="宋体" w:hAnsi="宋体" w:eastAsia="宋体" w:cs="宋体"/>
                <w:color w:val="000000"/>
                <w:sz w:val="24"/>
                <w:szCs w:val="24"/>
              </w:rPr>
            </w:pPr>
          </w:p>
        </w:tc>
        <w:tc>
          <w:tcPr>
            <w:tcW w:w="454" w:type="pct"/>
            <w:noWrap w:val="0"/>
            <w:vAlign w:val="top"/>
          </w:tcPr>
          <w:p w14:paraId="13D7B33F">
            <w:pPr>
              <w:spacing w:line="360" w:lineRule="auto"/>
              <w:rPr>
                <w:rFonts w:hint="eastAsia" w:ascii="宋体" w:hAnsi="宋体" w:eastAsia="宋体" w:cs="宋体"/>
                <w:color w:val="000000"/>
                <w:sz w:val="24"/>
                <w:szCs w:val="24"/>
              </w:rPr>
            </w:pPr>
          </w:p>
        </w:tc>
        <w:tc>
          <w:tcPr>
            <w:tcW w:w="378" w:type="pct"/>
            <w:noWrap w:val="0"/>
            <w:vAlign w:val="top"/>
          </w:tcPr>
          <w:p w14:paraId="338FD442">
            <w:pPr>
              <w:spacing w:line="360" w:lineRule="auto"/>
              <w:rPr>
                <w:rFonts w:hint="eastAsia" w:ascii="宋体" w:hAnsi="宋体" w:eastAsia="宋体" w:cs="宋体"/>
                <w:color w:val="000000"/>
                <w:sz w:val="24"/>
                <w:szCs w:val="24"/>
              </w:rPr>
            </w:pPr>
          </w:p>
        </w:tc>
        <w:tc>
          <w:tcPr>
            <w:tcW w:w="378" w:type="pct"/>
            <w:noWrap w:val="0"/>
            <w:vAlign w:val="top"/>
          </w:tcPr>
          <w:p w14:paraId="319BB4AA">
            <w:pPr>
              <w:spacing w:line="360" w:lineRule="auto"/>
              <w:rPr>
                <w:rFonts w:hint="eastAsia" w:ascii="宋体" w:hAnsi="宋体" w:eastAsia="宋体" w:cs="宋体"/>
                <w:color w:val="000000"/>
                <w:sz w:val="24"/>
                <w:szCs w:val="24"/>
              </w:rPr>
            </w:pPr>
          </w:p>
        </w:tc>
        <w:tc>
          <w:tcPr>
            <w:tcW w:w="454" w:type="pct"/>
            <w:noWrap w:val="0"/>
            <w:vAlign w:val="top"/>
          </w:tcPr>
          <w:p w14:paraId="67C51D34">
            <w:pPr>
              <w:spacing w:line="360" w:lineRule="auto"/>
              <w:rPr>
                <w:rFonts w:hint="eastAsia" w:ascii="宋体" w:hAnsi="宋体" w:eastAsia="宋体" w:cs="宋体"/>
                <w:color w:val="000000"/>
                <w:sz w:val="24"/>
                <w:szCs w:val="24"/>
              </w:rPr>
            </w:pPr>
          </w:p>
        </w:tc>
        <w:tc>
          <w:tcPr>
            <w:tcW w:w="606" w:type="pct"/>
            <w:noWrap w:val="0"/>
            <w:vAlign w:val="top"/>
          </w:tcPr>
          <w:p w14:paraId="3D1DC047">
            <w:pPr>
              <w:spacing w:line="360" w:lineRule="auto"/>
              <w:rPr>
                <w:rFonts w:hint="eastAsia" w:ascii="宋体" w:hAnsi="宋体" w:eastAsia="宋体" w:cs="宋体"/>
                <w:color w:val="000000"/>
                <w:sz w:val="24"/>
                <w:szCs w:val="24"/>
              </w:rPr>
            </w:pPr>
          </w:p>
        </w:tc>
        <w:tc>
          <w:tcPr>
            <w:tcW w:w="530" w:type="pct"/>
            <w:noWrap w:val="0"/>
            <w:vAlign w:val="top"/>
          </w:tcPr>
          <w:p w14:paraId="32F22FB3">
            <w:pPr>
              <w:spacing w:line="360" w:lineRule="auto"/>
              <w:rPr>
                <w:rFonts w:hint="eastAsia" w:ascii="宋体" w:hAnsi="宋体" w:eastAsia="宋体" w:cs="宋体"/>
                <w:color w:val="000000"/>
                <w:sz w:val="24"/>
                <w:szCs w:val="24"/>
              </w:rPr>
            </w:pPr>
          </w:p>
        </w:tc>
        <w:tc>
          <w:tcPr>
            <w:tcW w:w="606" w:type="pct"/>
            <w:noWrap w:val="0"/>
            <w:vAlign w:val="top"/>
          </w:tcPr>
          <w:p w14:paraId="3684839D">
            <w:pPr>
              <w:spacing w:line="360" w:lineRule="auto"/>
              <w:rPr>
                <w:rFonts w:hint="eastAsia" w:ascii="宋体" w:hAnsi="宋体" w:eastAsia="宋体" w:cs="宋体"/>
                <w:color w:val="000000"/>
                <w:sz w:val="24"/>
                <w:szCs w:val="24"/>
              </w:rPr>
            </w:pPr>
          </w:p>
        </w:tc>
        <w:tc>
          <w:tcPr>
            <w:tcW w:w="530" w:type="pct"/>
            <w:noWrap w:val="0"/>
            <w:vAlign w:val="top"/>
          </w:tcPr>
          <w:p w14:paraId="0C3840CD">
            <w:pPr>
              <w:spacing w:line="360" w:lineRule="auto"/>
              <w:rPr>
                <w:rFonts w:hint="eastAsia" w:ascii="宋体" w:hAnsi="宋体" w:eastAsia="宋体" w:cs="宋体"/>
                <w:color w:val="000000"/>
                <w:sz w:val="24"/>
                <w:szCs w:val="24"/>
              </w:rPr>
            </w:pPr>
          </w:p>
        </w:tc>
      </w:tr>
      <w:tr w14:paraId="03B9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noWrap w:val="0"/>
            <w:vAlign w:val="top"/>
          </w:tcPr>
          <w:p w14:paraId="3EB79408">
            <w:pPr>
              <w:spacing w:line="360" w:lineRule="auto"/>
              <w:rPr>
                <w:rFonts w:hint="eastAsia" w:ascii="宋体" w:hAnsi="宋体" w:eastAsia="宋体" w:cs="宋体"/>
                <w:color w:val="000000"/>
                <w:sz w:val="24"/>
                <w:szCs w:val="24"/>
              </w:rPr>
            </w:pPr>
          </w:p>
        </w:tc>
        <w:tc>
          <w:tcPr>
            <w:tcW w:w="655" w:type="pct"/>
            <w:noWrap w:val="0"/>
            <w:vAlign w:val="top"/>
          </w:tcPr>
          <w:p w14:paraId="663169DD">
            <w:pPr>
              <w:spacing w:line="360" w:lineRule="auto"/>
              <w:rPr>
                <w:rFonts w:hint="eastAsia" w:ascii="宋体" w:hAnsi="宋体" w:eastAsia="宋体" w:cs="宋体"/>
                <w:color w:val="000000"/>
                <w:sz w:val="24"/>
                <w:szCs w:val="24"/>
              </w:rPr>
            </w:pPr>
          </w:p>
        </w:tc>
        <w:tc>
          <w:tcPr>
            <w:tcW w:w="454" w:type="pct"/>
            <w:noWrap w:val="0"/>
            <w:vAlign w:val="top"/>
          </w:tcPr>
          <w:p w14:paraId="2F4F784C">
            <w:pPr>
              <w:spacing w:line="360" w:lineRule="auto"/>
              <w:rPr>
                <w:rFonts w:hint="eastAsia" w:ascii="宋体" w:hAnsi="宋体" w:eastAsia="宋体" w:cs="宋体"/>
                <w:color w:val="000000"/>
                <w:sz w:val="24"/>
                <w:szCs w:val="24"/>
              </w:rPr>
            </w:pPr>
          </w:p>
        </w:tc>
        <w:tc>
          <w:tcPr>
            <w:tcW w:w="378" w:type="pct"/>
            <w:noWrap w:val="0"/>
            <w:vAlign w:val="top"/>
          </w:tcPr>
          <w:p w14:paraId="1D832459">
            <w:pPr>
              <w:spacing w:line="360" w:lineRule="auto"/>
              <w:rPr>
                <w:rFonts w:hint="eastAsia" w:ascii="宋体" w:hAnsi="宋体" w:eastAsia="宋体" w:cs="宋体"/>
                <w:color w:val="000000"/>
                <w:sz w:val="24"/>
                <w:szCs w:val="24"/>
              </w:rPr>
            </w:pPr>
          </w:p>
        </w:tc>
        <w:tc>
          <w:tcPr>
            <w:tcW w:w="378" w:type="pct"/>
            <w:noWrap w:val="0"/>
            <w:vAlign w:val="top"/>
          </w:tcPr>
          <w:p w14:paraId="0073E153">
            <w:pPr>
              <w:spacing w:line="360" w:lineRule="auto"/>
              <w:rPr>
                <w:rFonts w:hint="eastAsia" w:ascii="宋体" w:hAnsi="宋体" w:eastAsia="宋体" w:cs="宋体"/>
                <w:color w:val="000000"/>
                <w:sz w:val="24"/>
                <w:szCs w:val="24"/>
              </w:rPr>
            </w:pPr>
          </w:p>
        </w:tc>
        <w:tc>
          <w:tcPr>
            <w:tcW w:w="454" w:type="pct"/>
            <w:noWrap w:val="0"/>
            <w:vAlign w:val="top"/>
          </w:tcPr>
          <w:p w14:paraId="1A8A9B6B">
            <w:pPr>
              <w:spacing w:line="360" w:lineRule="auto"/>
              <w:rPr>
                <w:rFonts w:hint="eastAsia" w:ascii="宋体" w:hAnsi="宋体" w:eastAsia="宋体" w:cs="宋体"/>
                <w:color w:val="000000"/>
                <w:sz w:val="24"/>
                <w:szCs w:val="24"/>
              </w:rPr>
            </w:pPr>
          </w:p>
        </w:tc>
        <w:tc>
          <w:tcPr>
            <w:tcW w:w="606" w:type="pct"/>
            <w:noWrap w:val="0"/>
            <w:vAlign w:val="top"/>
          </w:tcPr>
          <w:p w14:paraId="7CAB8D84">
            <w:pPr>
              <w:spacing w:line="360" w:lineRule="auto"/>
              <w:rPr>
                <w:rFonts w:hint="eastAsia" w:ascii="宋体" w:hAnsi="宋体" w:eastAsia="宋体" w:cs="宋体"/>
                <w:color w:val="000000"/>
                <w:sz w:val="24"/>
                <w:szCs w:val="24"/>
              </w:rPr>
            </w:pPr>
          </w:p>
        </w:tc>
        <w:tc>
          <w:tcPr>
            <w:tcW w:w="530" w:type="pct"/>
            <w:noWrap w:val="0"/>
            <w:vAlign w:val="top"/>
          </w:tcPr>
          <w:p w14:paraId="4677C2D8">
            <w:pPr>
              <w:spacing w:line="360" w:lineRule="auto"/>
              <w:rPr>
                <w:rFonts w:hint="eastAsia" w:ascii="宋体" w:hAnsi="宋体" w:eastAsia="宋体" w:cs="宋体"/>
                <w:color w:val="000000"/>
                <w:sz w:val="24"/>
                <w:szCs w:val="24"/>
              </w:rPr>
            </w:pPr>
          </w:p>
        </w:tc>
        <w:tc>
          <w:tcPr>
            <w:tcW w:w="606" w:type="pct"/>
            <w:noWrap w:val="0"/>
            <w:vAlign w:val="top"/>
          </w:tcPr>
          <w:p w14:paraId="39146878">
            <w:pPr>
              <w:spacing w:line="360" w:lineRule="auto"/>
              <w:rPr>
                <w:rFonts w:hint="eastAsia" w:ascii="宋体" w:hAnsi="宋体" w:eastAsia="宋体" w:cs="宋体"/>
                <w:color w:val="000000"/>
                <w:sz w:val="24"/>
                <w:szCs w:val="24"/>
              </w:rPr>
            </w:pPr>
          </w:p>
        </w:tc>
        <w:tc>
          <w:tcPr>
            <w:tcW w:w="530" w:type="pct"/>
            <w:noWrap w:val="0"/>
            <w:vAlign w:val="top"/>
          </w:tcPr>
          <w:p w14:paraId="4464997D">
            <w:pPr>
              <w:spacing w:line="360" w:lineRule="auto"/>
              <w:rPr>
                <w:rFonts w:hint="eastAsia" w:ascii="宋体" w:hAnsi="宋体" w:eastAsia="宋体" w:cs="宋体"/>
                <w:color w:val="000000"/>
                <w:sz w:val="24"/>
                <w:szCs w:val="24"/>
              </w:rPr>
            </w:pPr>
          </w:p>
        </w:tc>
      </w:tr>
      <w:tr w14:paraId="6E44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noWrap w:val="0"/>
            <w:vAlign w:val="top"/>
          </w:tcPr>
          <w:p w14:paraId="16BE0094">
            <w:pPr>
              <w:spacing w:line="360" w:lineRule="auto"/>
              <w:rPr>
                <w:rFonts w:hint="eastAsia" w:ascii="宋体" w:hAnsi="宋体" w:eastAsia="宋体" w:cs="宋体"/>
                <w:color w:val="000000"/>
                <w:sz w:val="24"/>
                <w:szCs w:val="24"/>
              </w:rPr>
            </w:pPr>
          </w:p>
        </w:tc>
        <w:tc>
          <w:tcPr>
            <w:tcW w:w="655" w:type="pct"/>
            <w:noWrap w:val="0"/>
            <w:vAlign w:val="top"/>
          </w:tcPr>
          <w:p w14:paraId="0A444C9B">
            <w:pPr>
              <w:spacing w:line="360" w:lineRule="auto"/>
              <w:rPr>
                <w:rFonts w:hint="eastAsia" w:ascii="宋体" w:hAnsi="宋体" w:eastAsia="宋体" w:cs="宋体"/>
                <w:color w:val="000000"/>
                <w:sz w:val="24"/>
                <w:szCs w:val="24"/>
              </w:rPr>
            </w:pPr>
          </w:p>
        </w:tc>
        <w:tc>
          <w:tcPr>
            <w:tcW w:w="454" w:type="pct"/>
            <w:noWrap w:val="0"/>
            <w:vAlign w:val="top"/>
          </w:tcPr>
          <w:p w14:paraId="2FD42CDF">
            <w:pPr>
              <w:spacing w:line="360" w:lineRule="auto"/>
              <w:rPr>
                <w:rFonts w:hint="eastAsia" w:ascii="宋体" w:hAnsi="宋体" w:eastAsia="宋体" w:cs="宋体"/>
                <w:color w:val="000000"/>
                <w:sz w:val="24"/>
                <w:szCs w:val="24"/>
              </w:rPr>
            </w:pPr>
          </w:p>
        </w:tc>
        <w:tc>
          <w:tcPr>
            <w:tcW w:w="378" w:type="pct"/>
            <w:noWrap w:val="0"/>
            <w:vAlign w:val="top"/>
          </w:tcPr>
          <w:p w14:paraId="11518358">
            <w:pPr>
              <w:spacing w:line="360" w:lineRule="auto"/>
              <w:rPr>
                <w:rFonts w:hint="eastAsia" w:ascii="宋体" w:hAnsi="宋体" w:eastAsia="宋体" w:cs="宋体"/>
                <w:color w:val="000000"/>
                <w:sz w:val="24"/>
                <w:szCs w:val="24"/>
              </w:rPr>
            </w:pPr>
          </w:p>
        </w:tc>
        <w:tc>
          <w:tcPr>
            <w:tcW w:w="378" w:type="pct"/>
            <w:noWrap w:val="0"/>
            <w:vAlign w:val="top"/>
          </w:tcPr>
          <w:p w14:paraId="42DB4B01">
            <w:pPr>
              <w:spacing w:line="360" w:lineRule="auto"/>
              <w:rPr>
                <w:rFonts w:hint="eastAsia" w:ascii="宋体" w:hAnsi="宋体" w:eastAsia="宋体" w:cs="宋体"/>
                <w:color w:val="000000"/>
                <w:sz w:val="24"/>
                <w:szCs w:val="24"/>
              </w:rPr>
            </w:pPr>
          </w:p>
        </w:tc>
        <w:tc>
          <w:tcPr>
            <w:tcW w:w="454" w:type="pct"/>
            <w:noWrap w:val="0"/>
            <w:vAlign w:val="top"/>
          </w:tcPr>
          <w:p w14:paraId="76C36FE6">
            <w:pPr>
              <w:spacing w:line="360" w:lineRule="auto"/>
              <w:rPr>
                <w:rFonts w:hint="eastAsia" w:ascii="宋体" w:hAnsi="宋体" w:eastAsia="宋体" w:cs="宋体"/>
                <w:color w:val="000000"/>
                <w:sz w:val="24"/>
                <w:szCs w:val="24"/>
              </w:rPr>
            </w:pPr>
          </w:p>
        </w:tc>
        <w:tc>
          <w:tcPr>
            <w:tcW w:w="606" w:type="pct"/>
            <w:noWrap w:val="0"/>
            <w:vAlign w:val="top"/>
          </w:tcPr>
          <w:p w14:paraId="72235936">
            <w:pPr>
              <w:spacing w:line="360" w:lineRule="auto"/>
              <w:rPr>
                <w:rFonts w:hint="eastAsia" w:ascii="宋体" w:hAnsi="宋体" w:eastAsia="宋体" w:cs="宋体"/>
                <w:color w:val="000000"/>
                <w:sz w:val="24"/>
                <w:szCs w:val="24"/>
              </w:rPr>
            </w:pPr>
          </w:p>
        </w:tc>
        <w:tc>
          <w:tcPr>
            <w:tcW w:w="530" w:type="pct"/>
            <w:noWrap w:val="0"/>
            <w:vAlign w:val="top"/>
          </w:tcPr>
          <w:p w14:paraId="6543A0AC">
            <w:pPr>
              <w:spacing w:line="360" w:lineRule="auto"/>
              <w:rPr>
                <w:rFonts w:hint="eastAsia" w:ascii="宋体" w:hAnsi="宋体" w:eastAsia="宋体" w:cs="宋体"/>
                <w:color w:val="000000"/>
                <w:sz w:val="24"/>
                <w:szCs w:val="24"/>
              </w:rPr>
            </w:pPr>
          </w:p>
        </w:tc>
        <w:tc>
          <w:tcPr>
            <w:tcW w:w="606" w:type="pct"/>
            <w:noWrap w:val="0"/>
            <w:vAlign w:val="top"/>
          </w:tcPr>
          <w:p w14:paraId="489FB7DC">
            <w:pPr>
              <w:spacing w:line="360" w:lineRule="auto"/>
              <w:rPr>
                <w:rFonts w:hint="eastAsia" w:ascii="宋体" w:hAnsi="宋体" w:eastAsia="宋体" w:cs="宋体"/>
                <w:color w:val="000000"/>
                <w:sz w:val="24"/>
                <w:szCs w:val="24"/>
              </w:rPr>
            </w:pPr>
          </w:p>
        </w:tc>
        <w:tc>
          <w:tcPr>
            <w:tcW w:w="530" w:type="pct"/>
            <w:noWrap w:val="0"/>
            <w:vAlign w:val="top"/>
          </w:tcPr>
          <w:p w14:paraId="5ED20606">
            <w:pPr>
              <w:spacing w:line="360" w:lineRule="auto"/>
              <w:rPr>
                <w:rFonts w:hint="eastAsia" w:ascii="宋体" w:hAnsi="宋体" w:eastAsia="宋体" w:cs="宋体"/>
                <w:color w:val="000000"/>
                <w:sz w:val="24"/>
                <w:szCs w:val="24"/>
              </w:rPr>
            </w:pPr>
          </w:p>
        </w:tc>
      </w:tr>
      <w:tr w14:paraId="41C6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noWrap w:val="0"/>
            <w:vAlign w:val="top"/>
          </w:tcPr>
          <w:p w14:paraId="30EF524D">
            <w:pPr>
              <w:spacing w:line="360" w:lineRule="auto"/>
              <w:rPr>
                <w:rFonts w:hint="eastAsia" w:ascii="宋体" w:hAnsi="宋体" w:eastAsia="宋体" w:cs="宋体"/>
                <w:color w:val="000000"/>
                <w:sz w:val="24"/>
                <w:szCs w:val="24"/>
              </w:rPr>
            </w:pPr>
          </w:p>
        </w:tc>
        <w:tc>
          <w:tcPr>
            <w:tcW w:w="655" w:type="pct"/>
            <w:noWrap w:val="0"/>
            <w:vAlign w:val="top"/>
          </w:tcPr>
          <w:p w14:paraId="7A5FFDF7">
            <w:pPr>
              <w:spacing w:line="360" w:lineRule="auto"/>
              <w:rPr>
                <w:rFonts w:hint="eastAsia" w:ascii="宋体" w:hAnsi="宋体" w:eastAsia="宋体" w:cs="宋体"/>
                <w:color w:val="000000"/>
                <w:sz w:val="24"/>
                <w:szCs w:val="24"/>
              </w:rPr>
            </w:pPr>
          </w:p>
        </w:tc>
        <w:tc>
          <w:tcPr>
            <w:tcW w:w="454" w:type="pct"/>
            <w:noWrap w:val="0"/>
            <w:vAlign w:val="top"/>
          </w:tcPr>
          <w:p w14:paraId="0120EA22">
            <w:pPr>
              <w:spacing w:line="360" w:lineRule="auto"/>
              <w:rPr>
                <w:rFonts w:hint="eastAsia" w:ascii="宋体" w:hAnsi="宋体" w:eastAsia="宋体" w:cs="宋体"/>
                <w:color w:val="000000"/>
                <w:sz w:val="24"/>
                <w:szCs w:val="24"/>
              </w:rPr>
            </w:pPr>
          </w:p>
        </w:tc>
        <w:tc>
          <w:tcPr>
            <w:tcW w:w="378" w:type="pct"/>
            <w:noWrap w:val="0"/>
            <w:vAlign w:val="top"/>
          </w:tcPr>
          <w:p w14:paraId="5B745305">
            <w:pPr>
              <w:spacing w:line="360" w:lineRule="auto"/>
              <w:rPr>
                <w:rFonts w:hint="eastAsia" w:ascii="宋体" w:hAnsi="宋体" w:eastAsia="宋体" w:cs="宋体"/>
                <w:color w:val="000000"/>
                <w:sz w:val="24"/>
                <w:szCs w:val="24"/>
              </w:rPr>
            </w:pPr>
          </w:p>
        </w:tc>
        <w:tc>
          <w:tcPr>
            <w:tcW w:w="378" w:type="pct"/>
            <w:noWrap w:val="0"/>
            <w:vAlign w:val="top"/>
          </w:tcPr>
          <w:p w14:paraId="28494321">
            <w:pPr>
              <w:spacing w:line="360" w:lineRule="auto"/>
              <w:rPr>
                <w:rFonts w:hint="eastAsia" w:ascii="宋体" w:hAnsi="宋体" w:eastAsia="宋体" w:cs="宋体"/>
                <w:color w:val="000000"/>
                <w:sz w:val="24"/>
                <w:szCs w:val="24"/>
              </w:rPr>
            </w:pPr>
          </w:p>
        </w:tc>
        <w:tc>
          <w:tcPr>
            <w:tcW w:w="454" w:type="pct"/>
            <w:noWrap w:val="0"/>
            <w:vAlign w:val="top"/>
          </w:tcPr>
          <w:p w14:paraId="27BEC911">
            <w:pPr>
              <w:spacing w:line="360" w:lineRule="auto"/>
              <w:rPr>
                <w:rFonts w:hint="eastAsia" w:ascii="宋体" w:hAnsi="宋体" w:eastAsia="宋体" w:cs="宋体"/>
                <w:color w:val="000000"/>
                <w:sz w:val="24"/>
                <w:szCs w:val="24"/>
              </w:rPr>
            </w:pPr>
          </w:p>
        </w:tc>
        <w:tc>
          <w:tcPr>
            <w:tcW w:w="606" w:type="pct"/>
            <w:noWrap w:val="0"/>
            <w:vAlign w:val="top"/>
          </w:tcPr>
          <w:p w14:paraId="67EC5BD3">
            <w:pPr>
              <w:spacing w:line="360" w:lineRule="auto"/>
              <w:rPr>
                <w:rFonts w:hint="eastAsia" w:ascii="宋体" w:hAnsi="宋体" w:eastAsia="宋体" w:cs="宋体"/>
                <w:color w:val="000000"/>
                <w:sz w:val="24"/>
                <w:szCs w:val="24"/>
              </w:rPr>
            </w:pPr>
          </w:p>
        </w:tc>
        <w:tc>
          <w:tcPr>
            <w:tcW w:w="530" w:type="pct"/>
            <w:noWrap w:val="0"/>
            <w:vAlign w:val="top"/>
          </w:tcPr>
          <w:p w14:paraId="4CFBD8E3">
            <w:pPr>
              <w:spacing w:line="360" w:lineRule="auto"/>
              <w:rPr>
                <w:rFonts w:hint="eastAsia" w:ascii="宋体" w:hAnsi="宋体" w:eastAsia="宋体" w:cs="宋体"/>
                <w:color w:val="000000"/>
                <w:sz w:val="24"/>
                <w:szCs w:val="24"/>
              </w:rPr>
            </w:pPr>
          </w:p>
        </w:tc>
        <w:tc>
          <w:tcPr>
            <w:tcW w:w="606" w:type="pct"/>
            <w:noWrap w:val="0"/>
            <w:vAlign w:val="top"/>
          </w:tcPr>
          <w:p w14:paraId="27C12233">
            <w:pPr>
              <w:spacing w:line="360" w:lineRule="auto"/>
              <w:rPr>
                <w:rFonts w:hint="eastAsia" w:ascii="宋体" w:hAnsi="宋体" w:eastAsia="宋体" w:cs="宋体"/>
                <w:color w:val="000000"/>
                <w:sz w:val="24"/>
                <w:szCs w:val="24"/>
              </w:rPr>
            </w:pPr>
          </w:p>
        </w:tc>
        <w:tc>
          <w:tcPr>
            <w:tcW w:w="530" w:type="pct"/>
            <w:noWrap w:val="0"/>
            <w:vAlign w:val="top"/>
          </w:tcPr>
          <w:p w14:paraId="1A0A495F">
            <w:pPr>
              <w:spacing w:line="360" w:lineRule="auto"/>
              <w:rPr>
                <w:rFonts w:hint="eastAsia" w:ascii="宋体" w:hAnsi="宋体" w:eastAsia="宋体" w:cs="宋体"/>
                <w:color w:val="000000"/>
                <w:sz w:val="24"/>
                <w:szCs w:val="24"/>
              </w:rPr>
            </w:pPr>
          </w:p>
        </w:tc>
      </w:tr>
      <w:tr w14:paraId="0C6D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noWrap w:val="0"/>
            <w:vAlign w:val="top"/>
          </w:tcPr>
          <w:p w14:paraId="130AC916">
            <w:pPr>
              <w:spacing w:line="360" w:lineRule="auto"/>
              <w:rPr>
                <w:rFonts w:hint="eastAsia" w:ascii="宋体" w:hAnsi="宋体" w:eastAsia="宋体" w:cs="宋体"/>
                <w:color w:val="000000"/>
                <w:sz w:val="24"/>
                <w:szCs w:val="24"/>
              </w:rPr>
            </w:pPr>
          </w:p>
        </w:tc>
        <w:tc>
          <w:tcPr>
            <w:tcW w:w="655" w:type="pct"/>
            <w:noWrap w:val="0"/>
            <w:vAlign w:val="top"/>
          </w:tcPr>
          <w:p w14:paraId="094BEA20">
            <w:pPr>
              <w:spacing w:line="360" w:lineRule="auto"/>
              <w:rPr>
                <w:rFonts w:hint="eastAsia" w:ascii="宋体" w:hAnsi="宋体" w:eastAsia="宋体" w:cs="宋体"/>
                <w:color w:val="000000"/>
                <w:sz w:val="24"/>
                <w:szCs w:val="24"/>
              </w:rPr>
            </w:pPr>
          </w:p>
        </w:tc>
        <w:tc>
          <w:tcPr>
            <w:tcW w:w="454" w:type="pct"/>
            <w:noWrap w:val="0"/>
            <w:vAlign w:val="top"/>
          </w:tcPr>
          <w:p w14:paraId="52B59EF9">
            <w:pPr>
              <w:spacing w:line="360" w:lineRule="auto"/>
              <w:rPr>
                <w:rFonts w:hint="eastAsia" w:ascii="宋体" w:hAnsi="宋体" w:eastAsia="宋体" w:cs="宋体"/>
                <w:color w:val="000000"/>
                <w:sz w:val="24"/>
                <w:szCs w:val="24"/>
              </w:rPr>
            </w:pPr>
          </w:p>
        </w:tc>
        <w:tc>
          <w:tcPr>
            <w:tcW w:w="378" w:type="pct"/>
            <w:noWrap w:val="0"/>
            <w:vAlign w:val="top"/>
          </w:tcPr>
          <w:p w14:paraId="6A850BF2">
            <w:pPr>
              <w:spacing w:line="360" w:lineRule="auto"/>
              <w:rPr>
                <w:rFonts w:hint="eastAsia" w:ascii="宋体" w:hAnsi="宋体" w:eastAsia="宋体" w:cs="宋体"/>
                <w:color w:val="000000"/>
                <w:sz w:val="24"/>
                <w:szCs w:val="24"/>
              </w:rPr>
            </w:pPr>
          </w:p>
        </w:tc>
        <w:tc>
          <w:tcPr>
            <w:tcW w:w="378" w:type="pct"/>
            <w:noWrap w:val="0"/>
            <w:vAlign w:val="top"/>
          </w:tcPr>
          <w:p w14:paraId="3F0AE17E">
            <w:pPr>
              <w:spacing w:line="360" w:lineRule="auto"/>
              <w:rPr>
                <w:rFonts w:hint="eastAsia" w:ascii="宋体" w:hAnsi="宋体" w:eastAsia="宋体" w:cs="宋体"/>
                <w:color w:val="000000"/>
                <w:sz w:val="24"/>
                <w:szCs w:val="24"/>
              </w:rPr>
            </w:pPr>
          </w:p>
        </w:tc>
        <w:tc>
          <w:tcPr>
            <w:tcW w:w="454" w:type="pct"/>
            <w:noWrap w:val="0"/>
            <w:vAlign w:val="top"/>
          </w:tcPr>
          <w:p w14:paraId="55EA0708">
            <w:pPr>
              <w:spacing w:line="360" w:lineRule="auto"/>
              <w:rPr>
                <w:rFonts w:hint="eastAsia" w:ascii="宋体" w:hAnsi="宋体" w:eastAsia="宋体" w:cs="宋体"/>
                <w:color w:val="000000"/>
                <w:sz w:val="24"/>
                <w:szCs w:val="24"/>
              </w:rPr>
            </w:pPr>
          </w:p>
        </w:tc>
        <w:tc>
          <w:tcPr>
            <w:tcW w:w="606" w:type="pct"/>
            <w:noWrap w:val="0"/>
            <w:vAlign w:val="top"/>
          </w:tcPr>
          <w:p w14:paraId="25AC284A">
            <w:pPr>
              <w:spacing w:line="360" w:lineRule="auto"/>
              <w:rPr>
                <w:rFonts w:hint="eastAsia" w:ascii="宋体" w:hAnsi="宋体" w:eastAsia="宋体" w:cs="宋体"/>
                <w:color w:val="000000"/>
                <w:sz w:val="24"/>
                <w:szCs w:val="24"/>
              </w:rPr>
            </w:pPr>
          </w:p>
        </w:tc>
        <w:tc>
          <w:tcPr>
            <w:tcW w:w="530" w:type="pct"/>
            <w:noWrap w:val="0"/>
            <w:vAlign w:val="top"/>
          </w:tcPr>
          <w:p w14:paraId="322360FE">
            <w:pPr>
              <w:spacing w:line="360" w:lineRule="auto"/>
              <w:rPr>
                <w:rFonts w:hint="eastAsia" w:ascii="宋体" w:hAnsi="宋体" w:eastAsia="宋体" w:cs="宋体"/>
                <w:color w:val="000000"/>
                <w:sz w:val="24"/>
                <w:szCs w:val="24"/>
              </w:rPr>
            </w:pPr>
          </w:p>
        </w:tc>
        <w:tc>
          <w:tcPr>
            <w:tcW w:w="606" w:type="pct"/>
            <w:noWrap w:val="0"/>
            <w:vAlign w:val="top"/>
          </w:tcPr>
          <w:p w14:paraId="0FBD6AF6">
            <w:pPr>
              <w:spacing w:line="360" w:lineRule="auto"/>
              <w:rPr>
                <w:rFonts w:hint="eastAsia" w:ascii="宋体" w:hAnsi="宋体" w:eastAsia="宋体" w:cs="宋体"/>
                <w:color w:val="000000"/>
                <w:sz w:val="24"/>
                <w:szCs w:val="24"/>
              </w:rPr>
            </w:pPr>
          </w:p>
        </w:tc>
        <w:tc>
          <w:tcPr>
            <w:tcW w:w="530" w:type="pct"/>
            <w:noWrap w:val="0"/>
            <w:vAlign w:val="top"/>
          </w:tcPr>
          <w:p w14:paraId="0A47D828">
            <w:pPr>
              <w:spacing w:line="360" w:lineRule="auto"/>
              <w:rPr>
                <w:rFonts w:hint="eastAsia" w:ascii="宋体" w:hAnsi="宋体" w:eastAsia="宋体" w:cs="宋体"/>
                <w:color w:val="000000"/>
                <w:sz w:val="24"/>
                <w:szCs w:val="24"/>
              </w:rPr>
            </w:pPr>
          </w:p>
        </w:tc>
      </w:tr>
    </w:tbl>
    <w:p w14:paraId="0E8961F9">
      <w:pPr>
        <w:pStyle w:val="42"/>
        <w:outlineLvl w:val="0"/>
        <w:rPr>
          <w:rFonts w:hint="eastAsia" w:ascii="宋体" w:hAnsi="宋体" w:eastAsia="宋体" w:cs="宋体"/>
          <w:sz w:val="24"/>
          <w:szCs w:val="24"/>
        </w:rPr>
      </w:pPr>
      <w:r>
        <w:rPr>
          <w:rFonts w:hint="eastAsia" w:ascii="宋体" w:hAnsi="宋体" w:eastAsia="宋体" w:cs="宋体"/>
          <w:sz w:val="24"/>
          <w:szCs w:val="24"/>
        </w:rPr>
        <w:t>附表二：拟配备本工程的试验和检测仪器设备表</w:t>
      </w:r>
    </w:p>
    <w:tbl>
      <w:tblPr>
        <w:tblStyle w:val="2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164"/>
        <w:gridCol w:w="807"/>
        <w:gridCol w:w="672"/>
        <w:gridCol w:w="672"/>
        <w:gridCol w:w="1077"/>
        <w:gridCol w:w="1212"/>
        <w:gridCol w:w="1077"/>
        <w:gridCol w:w="1482"/>
      </w:tblGrid>
      <w:tr w14:paraId="1A17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noWrap w:val="0"/>
            <w:vAlign w:val="center"/>
          </w:tcPr>
          <w:p w14:paraId="5B0D959E">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655" w:type="pct"/>
            <w:noWrap w:val="0"/>
            <w:vAlign w:val="center"/>
          </w:tcPr>
          <w:p w14:paraId="77B7A888">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仪器设备名称</w:t>
            </w:r>
          </w:p>
        </w:tc>
        <w:tc>
          <w:tcPr>
            <w:tcW w:w="454" w:type="pct"/>
            <w:noWrap w:val="0"/>
            <w:vAlign w:val="center"/>
          </w:tcPr>
          <w:p w14:paraId="72DA05F9">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型号</w:t>
            </w:r>
          </w:p>
          <w:p w14:paraId="5ECFB7C8">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规格</w:t>
            </w:r>
          </w:p>
        </w:tc>
        <w:tc>
          <w:tcPr>
            <w:tcW w:w="378" w:type="pct"/>
            <w:noWrap w:val="0"/>
            <w:vAlign w:val="center"/>
          </w:tcPr>
          <w:p w14:paraId="019F9C33">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378" w:type="pct"/>
            <w:noWrap w:val="0"/>
            <w:vAlign w:val="center"/>
          </w:tcPr>
          <w:p w14:paraId="170DA676">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国别</w:t>
            </w:r>
          </w:p>
          <w:p w14:paraId="307633B3">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产地</w:t>
            </w:r>
          </w:p>
        </w:tc>
        <w:tc>
          <w:tcPr>
            <w:tcW w:w="606" w:type="pct"/>
            <w:noWrap w:val="0"/>
            <w:vAlign w:val="center"/>
          </w:tcPr>
          <w:p w14:paraId="44894E8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制造年份</w:t>
            </w:r>
          </w:p>
        </w:tc>
        <w:tc>
          <w:tcPr>
            <w:tcW w:w="682" w:type="pct"/>
            <w:noWrap w:val="0"/>
            <w:vAlign w:val="center"/>
          </w:tcPr>
          <w:p w14:paraId="7F668592">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已使用</w:t>
            </w:r>
          </w:p>
          <w:p w14:paraId="038B3203">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台时数</w:t>
            </w:r>
          </w:p>
        </w:tc>
        <w:tc>
          <w:tcPr>
            <w:tcW w:w="606" w:type="pct"/>
            <w:noWrap w:val="0"/>
            <w:vAlign w:val="center"/>
          </w:tcPr>
          <w:p w14:paraId="7CF22FF9">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用途</w:t>
            </w:r>
          </w:p>
        </w:tc>
        <w:tc>
          <w:tcPr>
            <w:tcW w:w="833" w:type="pct"/>
            <w:noWrap w:val="0"/>
            <w:vAlign w:val="center"/>
          </w:tcPr>
          <w:p w14:paraId="2F8E1D4B">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14:paraId="587AA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noWrap w:val="0"/>
            <w:vAlign w:val="center"/>
          </w:tcPr>
          <w:p w14:paraId="42CA75AC">
            <w:pPr>
              <w:spacing w:line="360" w:lineRule="auto"/>
              <w:ind w:firstLine="480" w:firstLineChars="200"/>
              <w:rPr>
                <w:rFonts w:hint="eastAsia" w:ascii="宋体" w:hAnsi="宋体" w:eastAsia="宋体" w:cs="宋体"/>
                <w:color w:val="000000"/>
                <w:sz w:val="24"/>
                <w:szCs w:val="24"/>
              </w:rPr>
            </w:pPr>
          </w:p>
        </w:tc>
        <w:tc>
          <w:tcPr>
            <w:tcW w:w="655" w:type="pct"/>
            <w:noWrap w:val="0"/>
            <w:vAlign w:val="center"/>
          </w:tcPr>
          <w:p w14:paraId="2F5887F4">
            <w:pPr>
              <w:spacing w:line="360" w:lineRule="auto"/>
              <w:ind w:firstLine="480" w:firstLineChars="200"/>
              <w:rPr>
                <w:rFonts w:hint="eastAsia" w:ascii="宋体" w:hAnsi="宋体" w:eastAsia="宋体" w:cs="宋体"/>
                <w:color w:val="000000"/>
                <w:sz w:val="24"/>
                <w:szCs w:val="24"/>
              </w:rPr>
            </w:pPr>
          </w:p>
        </w:tc>
        <w:tc>
          <w:tcPr>
            <w:tcW w:w="454" w:type="pct"/>
            <w:noWrap w:val="0"/>
            <w:vAlign w:val="center"/>
          </w:tcPr>
          <w:p w14:paraId="3165BEDB">
            <w:pPr>
              <w:spacing w:line="360" w:lineRule="auto"/>
              <w:ind w:firstLine="480" w:firstLineChars="200"/>
              <w:rPr>
                <w:rFonts w:hint="eastAsia" w:ascii="宋体" w:hAnsi="宋体" w:eastAsia="宋体" w:cs="宋体"/>
                <w:color w:val="000000"/>
                <w:sz w:val="24"/>
                <w:szCs w:val="24"/>
              </w:rPr>
            </w:pPr>
          </w:p>
        </w:tc>
        <w:tc>
          <w:tcPr>
            <w:tcW w:w="378" w:type="pct"/>
            <w:noWrap w:val="0"/>
            <w:vAlign w:val="center"/>
          </w:tcPr>
          <w:p w14:paraId="367AC21F">
            <w:pPr>
              <w:spacing w:line="360" w:lineRule="auto"/>
              <w:ind w:firstLine="480" w:firstLineChars="200"/>
              <w:rPr>
                <w:rFonts w:hint="eastAsia" w:ascii="宋体" w:hAnsi="宋体" w:eastAsia="宋体" w:cs="宋体"/>
                <w:color w:val="000000"/>
                <w:sz w:val="24"/>
                <w:szCs w:val="24"/>
              </w:rPr>
            </w:pPr>
          </w:p>
        </w:tc>
        <w:tc>
          <w:tcPr>
            <w:tcW w:w="378" w:type="pct"/>
            <w:noWrap w:val="0"/>
            <w:vAlign w:val="center"/>
          </w:tcPr>
          <w:p w14:paraId="175B75CA">
            <w:pPr>
              <w:spacing w:line="360" w:lineRule="auto"/>
              <w:ind w:firstLine="480" w:firstLineChars="200"/>
              <w:rPr>
                <w:rFonts w:hint="eastAsia" w:ascii="宋体" w:hAnsi="宋体" w:eastAsia="宋体" w:cs="宋体"/>
                <w:color w:val="000000"/>
                <w:sz w:val="24"/>
                <w:szCs w:val="24"/>
              </w:rPr>
            </w:pPr>
          </w:p>
        </w:tc>
        <w:tc>
          <w:tcPr>
            <w:tcW w:w="606" w:type="pct"/>
            <w:noWrap w:val="0"/>
            <w:vAlign w:val="center"/>
          </w:tcPr>
          <w:p w14:paraId="5D9D7477">
            <w:pPr>
              <w:spacing w:line="360" w:lineRule="auto"/>
              <w:ind w:firstLine="480" w:firstLineChars="200"/>
              <w:rPr>
                <w:rFonts w:hint="eastAsia" w:ascii="宋体" w:hAnsi="宋体" w:eastAsia="宋体" w:cs="宋体"/>
                <w:color w:val="000000"/>
                <w:sz w:val="24"/>
                <w:szCs w:val="24"/>
              </w:rPr>
            </w:pPr>
          </w:p>
        </w:tc>
        <w:tc>
          <w:tcPr>
            <w:tcW w:w="682" w:type="pct"/>
            <w:noWrap w:val="0"/>
            <w:vAlign w:val="center"/>
          </w:tcPr>
          <w:p w14:paraId="23AC01FF">
            <w:pPr>
              <w:spacing w:line="360" w:lineRule="auto"/>
              <w:ind w:firstLine="480" w:firstLineChars="200"/>
              <w:rPr>
                <w:rFonts w:hint="eastAsia" w:ascii="宋体" w:hAnsi="宋体" w:eastAsia="宋体" w:cs="宋体"/>
                <w:color w:val="000000"/>
                <w:sz w:val="24"/>
                <w:szCs w:val="24"/>
              </w:rPr>
            </w:pPr>
          </w:p>
        </w:tc>
        <w:tc>
          <w:tcPr>
            <w:tcW w:w="606" w:type="pct"/>
            <w:noWrap w:val="0"/>
            <w:vAlign w:val="center"/>
          </w:tcPr>
          <w:p w14:paraId="6B995124">
            <w:pPr>
              <w:spacing w:line="360" w:lineRule="auto"/>
              <w:ind w:firstLine="480" w:firstLineChars="200"/>
              <w:rPr>
                <w:rFonts w:hint="eastAsia" w:ascii="宋体" w:hAnsi="宋体" w:eastAsia="宋体" w:cs="宋体"/>
                <w:color w:val="000000"/>
                <w:sz w:val="24"/>
                <w:szCs w:val="24"/>
              </w:rPr>
            </w:pPr>
          </w:p>
        </w:tc>
        <w:tc>
          <w:tcPr>
            <w:tcW w:w="833" w:type="pct"/>
            <w:noWrap w:val="0"/>
            <w:vAlign w:val="center"/>
          </w:tcPr>
          <w:p w14:paraId="5D57EBF3">
            <w:pPr>
              <w:spacing w:line="360" w:lineRule="auto"/>
              <w:ind w:firstLine="480" w:firstLineChars="200"/>
              <w:rPr>
                <w:rFonts w:hint="eastAsia" w:ascii="宋体" w:hAnsi="宋体" w:eastAsia="宋体" w:cs="宋体"/>
                <w:color w:val="000000"/>
                <w:sz w:val="24"/>
                <w:szCs w:val="24"/>
              </w:rPr>
            </w:pPr>
          </w:p>
        </w:tc>
      </w:tr>
      <w:tr w14:paraId="7D6C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noWrap w:val="0"/>
            <w:vAlign w:val="center"/>
          </w:tcPr>
          <w:p w14:paraId="779E59AB">
            <w:pPr>
              <w:spacing w:line="360" w:lineRule="auto"/>
              <w:ind w:firstLine="480" w:firstLineChars="200"/>
              <w:rPr>
                <w:rFonts w:hint="eastAsia" w:ascii="宋体" w:hAnsi="宋体" w:eastAsia="宋体" w:cs="宋体"/>
                <w:color w:val="000000"/>
                <w:sz w:val="24"/>
                <w:szCs w:val="24"/>
              </w:rPr>
            </w:pPr>
          </w:p>
        </w:tc>
        <w:tc>
          <w:tcPr>
            <w:tcW w:w="655" w:type="pct"/>
            <w:noWrap w:val="0"/>
            <w:vAlign w:val="center"/>
          </w:tcPr>
          <w:p w14:paraId="12AC2831">
            <w:pPr>
              <w:spacing w:line="360" w:lineRule="auto"/>
              <w:ind w:firstLine="480" w:firstLineChars="200"/>
              <w:rPr>
                <w:rFonts w:hint="eastAsia" w:ascii="宋体" w:hAnsi="宋体" w:eastAsia="宋体" w:cs="宋体"/>
                <w:color w:val="000000"/>
                <w:sz w:val="24"/>
                <w:szCs w:val="24"/>
              </w:rPr>
            </w:pPr>
          </w:p>
        </w:tc>
        <w:tc>
          <w:tcPr>
            <w:tcW w:w="454" w:type="pct"/>
            <w:noWrap w:val="0"/>
            <w:vAlign w:val="center"/>
          </w:tcPr>
          <w:p w14:paraId="4196D825">
            <w:pPr>
              <w:spacing w:line="360" w:lineRule="auto"/>
              <w:ind w:firstLine="480" w:firstLineChars="200"/>
              <w:rPr>
                <w:rFonts w:hint="eastAsia" w:ascii="宋体" w:hAnsi="宋体" w:eastAsia="宋体" w:cs="宋体"/>
                <w:color w:val="000000"/>
                <w:sz w:val="24"/>
                <w:szCs w:val="24"/>
              </w:rPr>
            </w:pPr>
          </w:p>
        </w:tc>
        <w:tc>
          <w:tcPr>
            <w:tcW w:w="378" w:type="pct"/>
            <w:noWrap w:val="0"/>
            <w:vAlign w:val="center"/>
          </w:tcPr>
          <w:p w14:paraId="2D8AC24B">
            <w:pPr>
              <w:spacing w:line="360" w:lineRule="auto"/>
              <w:ind w:firstLine="480" w:firstLineChars="200"/>
              <w:rPr>
                <w:rFonts w:hint="eastAsia" w:ascii="宋体" w:hAnsi="宋体" w:eastAsia="宋体" w:cs="宋体"/>
                <w:color w:val="000000"/>
                <w:sz w:val="24"/>
                <w:szCs w:val="24"/>
              </w:rPr>
            </w:pPr>
          </w:p>
        </w:tc>
        <w:tc>
          <w:tcPr>
            <w:tcW w:w="378" w:type="pct"/>
            <w:noWrap w:val="0"/>
            <w:vAlign w:val="center"/>
          </w:tcPr>
          <w:p w14:paraId="02BA373A">
            <w:pPr>
              <w:spacing w:line="360" w:lineRule="auto"/>
              <w:ind w:firstLine="480" w:firstLineChars="200"/>
              <w:rPr>
                <w:rFonts w:hint="eastAsia" w:ascii="宋体" w:hAnsi="宋体" w:eastAsia="宋体" w:cs="宋体"/>
                <w:color w:val="000000"/>
                <w:sz w:val="24"/>
                <w:szCs w:val="24"/>
              </w:rPr>
            </w:pPr>
          </w:p>
        </w:tc>
        <w:tc>
          <w:tcPr>
            <w:tcW w:w="606" w:type="pct"/>
            <w:noWrap w:val="0"/>
            <w:vAlign w:val="center"/>
          </w:tcPr>
          <w:p w14:paraId="44B2B8B2">
            <w:pPr>
              <w:spacing w:line="360" w:lineRule="auto"/>
              <w:ind w:firstLine="480" w:firstLineChars="200"/>
              <w:rPr>
                <w:rFonts w:hint="eastAsia" w:ascii="宋体" w:hAnsi="宋体" w:eastAsia="宋体" w:cs="宋体"/>
                <w:color w:val="000000"/>
                <w:sz w:val="24"/>
                <w:szCs w:val="24"/>
              </w:rPr>
            </w:pPr>
          </w:p>
        </w:tc>
        <w:tc>
          <w:tcPr>
            <w:tcW w:w="682" w:type="pct"/>
            <w:noWrap w:val="0"/>
            <w:vAlign w:val="center"/>
          </w:tcPr>
          <w:p w14:paraId="21C7D701">
            <w:pPr>
              <w:spacing w:line="360" w:lineRule="auto"/>
              <w:ind w:firstLine="480" w:firstLineChars="200"/>
              <w:rPr>
                <w:rFonts w:hint="eastAsia" w:ascii="宋体" w:hAnsi="宋体" w:eastAsia="宋体" w:cs="宋体"/>
                <w:color w:val="000000"/>
                <w:sz w:val="24"/>
                <w:szCs w:val="24"/>
              </w:rPr>
            </w:pPr>
          </w:p>
        </w:tc>
        <w:tc>
          <w:tcPr>
            <w:tcW w:w="606" w:type="pct"/>
            <w:noWrap w:val="0"/>
            <w:vAlign w:val="center"/>
          </w:tcPr>
          <w:p w14:paraId="37B97DF3">
            <w:pPr>
              <w:spacing w:line="360" w:lineRule="auto"/>
              <w:ind w:firstLine="480" w:firstLineChars="200"/>
              <w:rPr>
                <w:rFonts w:hint="eastAsia" w:ascii="宋体" w:hAnsi="宋体" w:eastAsia="宋体" w:cs="宋体"/>
                <w:color w:val="000000"/>
                <w:sz w:val="24"/>
                <w:szCs w:val="24"/>
              </w:rPr>
            </w:pPr>
          </w:p>
        </w:tc>
        <w:tc>
          <w:tcPr>
            <w:tcW w:w="833" w:type="pct"/>
            <w:noWrap w:val="0"/>
            <w:vAlign w:val="center"/>
          </w:tcPr>
          <w:p w14:paraId="568042AB">
            <w:pPr>
              <w:spacing w:line="360" w:lineRule="auto"/>
              <w:ind w:firstLine="480" w:firstLineChars="200"/>
              <w:rPr>
                <w:rFonts w:hint="eastAsia" w:ascii="宋体" w:hAnsi="宋体" w:eastAsia="宋体" w:cs="宋体"/>
                <w:color w:val="000000"/>
                <w:sz w:val="24"/>
                <w:szCs w:val="24"/>
              </w:rPr>
            </w:pPr>
          </w:p>
        </w:tc>
      </w:tr>
      <w:tr w14:paraId="31E0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noWrap w:val="0"/>
            <w:vAlign w:val="center"/>
          </w:tcPr>
          <w:p w14:paraId="0935F19D">
            <w:pPr>
              <w:spacing w:line="360" w:lineRule="auto"/>
              <w:ind w:firstLine="480" w:firstLineChars="200"/>
              <w:rPr>
                <w:rFonts w:hint="eastAsia" w:ascii="宋体" w:hAnsi="宋体" w:eastAsia="宋体" w:cs="宋体"/>
                <w:color w:val="000000"/>
                <w:sz w:val="24"/>
                <w:szCs w:val="24"/>
              </w:rPr>
            </w:pPr>
          </w:p>
        </w:tc>
        <w:tc>
          <w:tcPr>
            <w:tcW w:w="655" w:type="pct"/>
            <w:noWrap w:val="0"/>
            <w:vAlign w:val="center"/>
          </w:tcPr>
          <w:p w14:paraId="35C9BA7A">
            <w:pPr>
              <w:spacing w:line="360" w:lineRule="auto"/>
              <w:ind w:firstLine="480" w:firstLineChars="200"/>
              <w:rPr>
                <w:rFonts w:hint="eastAsia" w:ascii="宋体" w:hAnsi="宋体" w:eastAsia="宋体" w:cs="宋体"/>
                <w:color w:val="000000"/>
                <w:sz w:val="24"/>
                <w:szCs w:val="24"/>
              </w:rPr>
            </w:pPr>
          </w:p>
        </w:tc>
        <w:tc>
          <w:tcPr>
            <w:tcW w:w="454" w:type="pct"/>
            <w:noWrap w:val="0"/>
            <w:vAlign w:val="center"/>
          </w:tcPr>
          <w:p w14:paraId="09ECB190">
            <w:pPr>
              <w:spacing w:line="360" w:lineRule="auto"/>
              <w:ind w:firstLine="480" w:firstLineChars="200"/>
              <w:rPr>
                <w:rFonts w:hint="eastAsia" w:ascii="宋体" w:hAnsi="宋体" w:eastAsia="宋体" w:cs="宋体"/>
                <w:color w:val="000000"/>
                <w:sz w:val="24"/>
                <w:szCs w:val="24"/>
              </w:rPr>
            </w:pPr>
          </w:p>
        </w:tc>
        <w:tc>
          <w:tcPr>
            <w:tcW w:w="378" w:type="pct"/>
            <w:noWrap w:val="0"/>
            <w:vAlign w:val="center"/>
          </w:tcPr>
          <w:p w14:paraId="0E0BC840">
            <w:pPr>
              <w:spacing w:line="360" w:lineRule="auto"/>
              <w:ind w:firstLine="480" w:firstLineChars="200"/>
              <w:rPr>
                <w:rFonts w:hint="eastAsia" w:ascii="宋体" w:hAnsi="宋体" w:eastAsia="宋体" w:cs="宋体"/>
                <w:color w:val="000000"/>
                <w:sz w:val="24"/>
                <w:szCs w:val="24"/>
              </w:rPr>
            </w:pPr>
          </w:p>
        </w:tc>
        <w:tc>
          <w:tcPr>
            <w:tcW w:w="378" w:type="pct"/>
            <w:noWrap w:val="0"/>
            <w:vAlign w:val="center"/>
          </w:tcPr>
          <w:p w14:paraId="1109DF9B">
            <w:pPr>
              <w:spacing w:line="360" w:lineRule="auto"/>
              <w:ind w:firstLine="480" w:firstLineChars="200"/>
              <w:rPr>
                <w:rFonts w:hint="eastAsia" w:ascii="宋体" w:hAnsi="宋体" w:eastAsia="宋体" w:cs="宋体"/>
                <w:color w:val="000000"/>
                <w:sz w:val="24"/>
                <w:szCs w:val="24"/>
              </w:rPr>
            </w:pPr>
          </w:p>
        </w:tc>
        <w:tc>
          <w:tcPr>
            <w:tcW w:w="606" w:type="pct"/>
            <w:noWrap w:val="0"/>
            <w:vAlign w:val="center"/>
          </w:tcPr>
          <w:p w14:paraId="34737946">
            <w:pPr>
              <w:spacing w:line="360" w:lineRule="auto"/>
              <w:ind w:firstLine="480" w:firstLineChars="200"/>
              <w:rPr>
                <w:rFonts w:hint="eastAsia" w:ascii="宋体" w:hAnsi="宋体" w:eastAsia="宋体" w:cs="宋体"/>
                <w:color w:val="000000"/>
                <w:sz w:val="24"/>
                <w:szCs w:val="24"/>
              </w:rPr>
            </w:pPr>
          </w:p>
        </w:tc>
        <w:tc>
          <w:tcPr>
            <w:tcW w:w="682" w:type="pct"/>
            <w:noWrap w:val="0"/>
            <w:vAlign w:val="center"/>
          </w:tcPr>
          <w:p w14:paraId="36AB1844">
            <w:pPr>
              <w:spacing w:line="360" w:lineRule="auto"/>
              <w:ind w:firstLine="480" w:firstLineChars="200"/>
              <w:rPr>
                <w:rFonts w:hint="eastAsia" w:ascii="宋体" w:hAnsi="宋体" w:eastAsia="宋体" w:cs="宋体"/>
                <w:color w:val="000000"/>
                <w:sz w:val="24"/>
                <w:szCs w:val="24"/>
              </w:rPr>
            </w:pPr>
          </w:p>
        </w:tc>
        <w:tc>
          <w:tcPr>
            <w:tcW w:w="606" w:type="pct"/>
            <w:noWrap w:val="0"/>
            <w:vAlign w:val="center"/>
          </w:tcPr>
          <w:p w14:paraId="0FD34E36">
            <w:pPr>
              <w:spacing w:line="360" w:lineRule="auto"/>
              <w:ind w:firstLine="480" w:firstLineChars="200"/>
              <w:rPr>
                <w:rFonts w:hint="eastAsia" w:ascii="宋体" w:hAnsi="宋体" w:eastAsia="宋体" w:cs="宋体"/>
                <w:color w:val="000000"/>
                <w:sz w:val="24"/>
                <w:szCs w:val="24"/>
              </w:rPr>
            </w:pPr>
          </w:p>
        </w:tc>
        <w:tc>
          <w:tcPr>
            <w:tcW w:w="833" w:type="pct"/>
            <w:noWrap w:val="0"/>
            <w:vAlign w:val="center"/>
          </w:tcPr>
          <w:p w14:paraId="238D23FF">
            <w:pPr>
              <w:spacing w:line="360" w:lineRule="auto"/>
              <w:ind w:firstLine="480" w:firstLineChars="200"/>
              <w:rPr>
                <w:rFonts w:hint="eastAsia" w:ascii="宋体" w:hAnsi="宋体" w:eastAsia="宋体" w:cs="宋体"/>
                <w:color w:val="000000"/>
                <w:sz w:val="24"/>
                <w:szCs w:val="24"/>
              </w:rPr>
            </w:pPr>
          </w:p>
        </w:tc>
      </w:tr>
      <w:tr w14:paraId="7A05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noWrap w:val="0"/>
            <w:vAlign w:val="center"/>
          </w:tcPr>
          <w:p w14:paraId="7CD44236">
            <w:pPr>
              <w:spacing w:line="360" w:lineRule="auto"/>
              <w:ind w:firstLine="480" w:firstLineChars="200"/>
              <w:rPr>
                <w:rFonts w:hint="eastAsia" w:ascii="宋体" w:hAnsi="宋体" w:eastAsia="宋体" w:cs="宋体"/>
                <w:color w:val="000000"/>
                <w:sz w:val="24"/>
                <w:szCs w:val="24"/>
              </w:rPr>
            </w:pPr>
          </w:p>
        </w:tc>
        <w:tc>
          <w:tcPr>
            <w:tcW w:w="655" w:type="pct"/>
            <w:noWrap w:val="0"/>
            <w:vAlign w:val="center"/>
          </w:tcPr>
          <w:p w14:paraId="450A8155">
            <w:pPr>
              <w:spacing w:line="360" w:lineRule="auto"/>
              <w:ind w:firstLine="480" w:firstLineChars="200"/>
              <w:rPr>
                <w:rFonts w:hint="eastAsia" w:ascii="宋体" w:hAnsi="宋体" w:eastAsia="宋体" w:cs="宋体"/>
                <w:color w:val="000000"/>
                <w:sz w:val="24"/>
                <w:szCs w:val="24"/>
              </w:rPr>
            </w:pPr>
          </w:p>
        </w:tc>
        <w:tc>
          <w:tcPr>
            <w:tcW w:w="454" w:type="pct"/>
            <w:noWrap w:val="0"/>
            <w:vAlign w:val="center"/>
          </w:tcPr>
          <w:p w14:paraId="5B95C1F1">
            <w:pPr>
              <w:spacing w:line="360" w:lineRule="auto"/>
              <w:ind w:firstLine="480" w:firstLineChars="200"/>
              <w:rPr>
                <w:rFonts w:hint="eastAsia" w:ascii="宋体" w:hAnsi="宋体" w:eastAsia="宋体" w:cs="宋体"/>
                <w:color w:val="000000"/>
                <w:sz w:val="24"/>
                <w:szCs w:val="24"/>
              </w:rPr>
            </w:pPr>
          </w:p>
        </w:tc>
        <w:tc>
          <w:tcPr>
            <w:tcW w:w="378" w:type="pct"/>
            <w:noWrap w:val="0"/>
            <w:vAlign w:val="center"/>
          </w:tcPr>
          <w:p w14:paraId="2DBE004F">
            <w:pPr>
              <w:spacing w:line="360" w:lineRule="auto"/>
              <w:ind w:firstLine="480" w:firstLineChars="200"/>
              <w:rPr>
                <w:rFonts w:hint="eastAsia" w:ascii="宋体" w:hAnsi="宋体" w:eastAsia="宋体" w:cs="宋体"/>
                <w:color w:val="000000"/>
                <w:sz w:val="24"/>
                <w:szCs w:val="24"/>
              </w:rPr>
            </w:pPr>
          </w:p>
        </w:tc>
        <w:tc>
          <w:tcPr>
            <w:tcW w:w="378" w:type="pct"/>
            <w:noWrap w:val="0"/>
            <w:vAlign w:val="center"/>
          </w:tcPr>
          <w:p w14:paraId="723122C4">
            <w:pPr>
              <w:spacing w:line="360" w:lineRule="auto"/>
              <w:ind w:firstLine="480" w:firstLineChars="200"/>
              <w:rPr>
                <w:rFonts w:hint="eastAsia" w:ascii="宋体" w:hAnsi="宋体" w:eastAsia="宋体" w:cs="宋体"/>
                <w:color w:val="000000"/>
                <w:sz w:val="24"/>
                <w:szCs w:val="24"/>
              </w:rPr>
            </w:pPr>
          </w:p>
        </w:tc>
        <w:tc>
          <w:tcPr>
            <w:tcW w:w="606" w:type="pct"/>
            <w:noWrap w:val="0"/>
            <w:vAlign w:val="center"/>
          </w:tcPr>
          <w:p w14:paraId="3ED96A47">
            <w:pPr>
              <w:spacing w:line="360" w:lineRule="auto"/>
              <w:ind w:firstLine="480" w:firstLineChars="200"/>
              <w:rPr>
                <w:rFonts w:hint="eastAsia" w:ascii="宋体" w:hAnsi="宋体" w:eastAsia="宋体" w:cs="宋体"/>
                <w:color w:val="000000"/>
                <w:sz w:val="24"/>
                <w:szCs w:val="24"/>
              </w:rPr>
            </w:pPr>
          </w:p>
        </w:tc>
        <w:tc>
          <w:tcPr>
            <w:tcW w:w="682" w:type="pct"/>
            <w:noWrap w:val="0"/>
            <w:vAlign w:val="center"/>
          </w:tcPr>
          <w:p w14:paraId="2E760E11">
            <w:pPr>
              <w:spacing w:line="360" w:lineRule="auto"/>
              <w:ind w:firstLine="480" w:firstLineChars="200"/>
              <w:rPr>
                <w:rFonts w:hint="eastAsia" w:ascii="宋体" w:hAnsi="宋体" w:eastAsia="宋体" w:cs="宋体"/>
                <w:color w:val="000000"/>
                <w:sz w:val="24"/>
                <w:szCs w:val="24"/>
              </w:rPr>
            </w:pPr>
          </w:p>
        </w:tc>
        <w:tc>
          <w:tcPr>
            <w:tcW w:w="606" w:type="pct"/>
            <w:noWrap w:val="0"/>
            <w:vAlign w:val="center"/>
          </w:tcPr>
          <w:p w14:paraId="1584CD6F">
            <w:pPr>
              <w:spacing w:line="360" w:lineRule="auto"/>
              <w:ind w:firstLine="480" w:firstLineChars="200"/>
              <w:rPr>
                <w:rFonts w:hint="eastAsia" w:ascii="宋体" w:hAnsi="宋体" w:eastAsia="宋体" w:cs="宋体"/>
                <w:color w:val="000000"/>
                <w:sz w:val="24"/>
                <w:szCs w:val="24"/>
              </w:rPr>
            </w:pPr>
          </w:p>
        </w:tc>
        <w:tc>
          <w:tcPr>
            <w:tcW w:w="833" w:type="pct"/>
            <w:noWrap w:val="0"/>
            <w:vAlign w:val="center"/>
          </w:tcPr>
          <w:p w14:paraId="6750771C">
            <w:pPr>
              <w:spacing w:line="360" w:lineRule="auto"/>
              <w:ind w:firstLine="480" w:firstLineChars="200"/>
              <w:rPr>
                <w:rFonts w:hint="eastAsia" w:ascii="宋体" w:hAnsi="宋体" w:eastAsia="宋体" w:cs="宋体"/>
                <w:color w:val="000000"/>
                <w:sz w:val="24"/>
                <w:szCs w:val="24"/>
              </w:rPr>
            </w:pPr>
          </w:p>
        </w:tc>
      </w:tr>
      <w:tr w14:paraId="55555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noWrap w:val="0"/>
            <w:vAlign w:val="center"/>
          </w:tcPr>
          <w:p w14:paraId="3534936E">
            <w:pPr>
              <w:spacing w:line="360" w:lineRule="auto"/>
              <w:ind w:firstLine="480" w:firstLineChars="200"/>
              <w:rPr>
                <w:rFonts w:hint="eastAsia" w:ascii="宋体" w:hAnsi="宋体" w:eastAsia="宋体" w:cs="宋体"/>
                <w:color w:val="000000"/>
                <w:sz w:val="24"/>
                <w:szCs w:val="24"/>
              </w:rPr>
            </w:pPr>
          </w:p>
        </w:tc>
        <w:tc>
          <w:tcPr>
            <w:tcW w:w="655" w:type="pct"/>
            <w:noWrap w:val="0"/>
            <w:vAlign w:val="center"/>
          </w:tcPr>
          <w:p w14:paraId="65397BBB">
            <w:pPr>
              <w:spacing w:line="360" w:lineRule="auto"/>
              <w:ind w:firstLine="480" w:firstLineChars="200"/>
              <w:rPr>
                <w:rFonts w:hint="eastAsia" w:ascii="宋体" w:hAnsi="宋体" w:eastAsia="宋体" w:cs="宋体"/>
                <w:color w:val="000000"/>
                <w:sz w:val="24"/>
                <w:szCs w:val="24"/>
              </w:rPr>
            </w:pPr>
          </w:p>
        </w:tc>
        <w:tc>
          <w:tcPr>
            <w:tcW w:w="454" w:type="pct"/>
            <w:noWrap w:val="0"/>
            <w:vAlign w:val="center"/>
          </w:tcPr>
          <w:p w14:paraId="314F2AD2">
            <w:pPr>
              <w:spacing w:line="360" w:lineRule="auto"/>
              <w:ind w:firstLine="480" w:firstLineChars="200"/>
              <w:rPr>
                <w:rFonts w:hint="eastAsia" w:ascii="宋体" w:hAnsi="宋体" w:eastAsia="宋体" w:cs="宋体"/>
                <w:color w:val="000000"/>
                <w:sz w:val="24"/>
                <w:szCs w:val="24"/>
              </w:rPr>
            </w:pPr>
          </w:p>
        </w:tc>
        <w:tc>
          <w:tcPr>
            <w:tcW w:w="378" w:type="pct"/>
            <w:noWrap w:val="0"/>
            <w:vAlign w:val="center"/>
          </w:tcPr>
          <w:p w14:paraId="110AF309">
            <w:pPr>
              <w:spacing w:line="360" w:lineRule="auto"/>
              <w:ind w:firstLine="480" w:firstLineChars="200"/>
              <w:rPr>
                <w:rFonts w:hint="eastAsia" w:ascii="宋体" w:hAnsi="宋体" w:eastAsia="宋体" w:cs="宋体"/>
                <w:color w:val="000000"/>
                <w:sz w:val="24"/>
                <w:szCs w:val="24"/>
              </w:rPr>
            </w:pPr>
          </w:p>
        </w:tc>
        <w:tc>
          <w:tcPr>
            <w:tcW w:w="378" w:type="pct"/>
            <w:noWrap w:val="0"/>
            <w:vAlign w:val="center"/>
          </w:tcPr>
          <w:p w14:paraId="11F67B55">
            <w:pPr>
              <w:spacing w:line="360" w:lineRule="auto"/>
              <w:ind w:firstLine="480" w:firstLineChars="200"/>
              <w:rPr>
                <w:rFonts w:hint="eastAsia" w:ascii="宋体" w:hAnsi="宋体" w:eastAsia="宋体" w:cs="宋体"/>
                <w:color w:val="000000"/>
                <w:sz w:val="24"/>
                <w:szCs w:val="24"/>
              </w:rPr>
            </w:pPr>
          </w:p>
        </w:tc>
        <w:tc>
          <w:tcPr>
            <w:tcW w:w="606" w:type="pct"/>
            <w:noWrap w:val="0"/>
            <w:vAlign w:val="center"/>
          </w:tcPr>
          <w:p w14:paraId="0E7BCC89">
            <w:pPr>
              <w:spacing w:line="360" w:lineRule="auto"/>
              <w:ind w:firstLine="480" w:firstLineChars="200"/>
              <w:rPr>
                <w:rFonts w:hint="eastAsia" w:ascii="宋体" w:hAnsi="宋体" w:eastAsia="宋体" w:cs="宋体"/>
                <w:color w:val="000000"/>
                <w:sz w:val="24"/>
                <w:szCs w:val="24"/>
              </w:rPr>
            </w:pPr>
          </w:p>
        </w:tc>
        <w:tc>
          <w:tcPr>
            <w:tcW w:w="682" w:type="pct"/>
            <w:noWrap w:val="0"/>
            <w:vAlign w:val="center"/>
          </w:tcPr>
          <w:p w14:paraId="6EE2FD68">
            <w:pPr>
              <w:spacing w:line="360" w:lineRule="auto"/>
              <w:ind w:firstLine="480" w:firstLineChars="200"/>
              <w:rPr>
                <w:rFonts w:hint="eastAsia" w:ascii="宋体" w:hAnsi="宋体" w:eastAsia="宋体" w:cs="宋体"/>
                <w:color w:val="000000"/>
                <w:sz w:val="24"/>
                <w:szCs w:val="24"/>
              </w:rPr>
            </w:pPr>
          </w:p>
        </w:tc>
        <w:tc>
          <w:tcPr>
            <w:tcW w:w="606" w:type="pct"/>
            <w:noWrap w:val="0"/>
            <w:vAlign w:val="center"/>
          </w:tcPr>
          <w:p w14:paraId="4ADD25F0">
            <w:pPr>
              <w:spacing w:line="360" w:lineRule="auto"/>
              <w:ind w:firstLine="480" w:firstLineChars="200"/>
              <w:rPr>
                <w:rFonts w:hint="eastAsia" w:ascii="宋体" w:hAnsi="宋体" w:eastAsia="宋体" w:cs="宋体"/>
                <w:color w:val="000000"/>
                <w:sz w:val="24"/>
                <w:szCs w:val="24"/>
              </w:rPr>
            </w:pPr>
          </w:p>
        </w:tc>
        <w:tc>
          <w:tcPr>
            <w:tcW w:w="833" w:type="pct"/>
            <w:noWrap w:val="0"/>
            <w:vAlign w:val="center"/>
          </w:tcPr>
          <w:p w14:paraId="02C42BB0">
            <w:pPr>
              <w:spacing w:line="360" w:lineRule="auto"/>
              <w:ind w:firstLine="480" w:firstLineChars="200"/>
              <w:rPr>
                <w:rFonts w:hint="eastAsia" w:ascii="宋体" w:hAnsi="宋体" w:eastAsia="宋体" w:cs="宋体"/>
                <w:color w:val="000000"/>
                <w:sz w:val="24"/>
                <w:szCs w:val="24"/>
              </w:rPr>
            </w:pPr>
          </w:p>
        </w:tc>
      </w:tr>
    </w:tbl>
    <w:p w14:paraId="50F2C946">
      <w:pPr>
        <w:rPr>
          <w:rFonts w:hint="eastAsia" w:ascii="宋体" w:hAnsi="宋体" w:eastAsia="宋体" w:cs="宋体"/>
          <w:sz w:val="24"/>
          <w:szCs w:val="24"/>
        </w:rPr>
      </w:pPr>
      <w:r>
        <w:rPr>
          <w:rFonts w:hint="eastAsia" w:ascii="宋体" w:hAnsi="宋体" w:eastAsia="宋体" w:cs="宋体"/>
          <w:sz w:val="24"/>
          <w:szCs w:val="24"/>
        </w:rPr>
        <w:br w:type="page"/>
      </w:r>
    </w:p>
    <w:p w14:paraId="0686FC30">
      <w:pPr>
        <w:pStyle w:val="42"/>
        <w:outlineLvl w:val="0"/>
        <w:rPr>
          <w:rFonts w:hint="eastAsia" w:ascii="宋体" w:hAnsi="宋体" w:eastAsia="宋体" w:cs="宋体"/>
          <w:sz w:val="24"/>
          <w:szCs w:val="24"/>
        </w:rPr>
      </w:pPr>
      <w:r>
        <w:rPr>
          <w:rFonts w:hint="eastAsia" w:ascii="宋体" w:hAnsi="宋体" w:eastAsia="宋体" w:cs="宋体"/>
          <w:sz w:val="24"/>
          <w:szCs w:val="24"/>
        </w:rPr>
        <w:t>附表三：劳动力计划表</w:t>
      </w:r>
    </w:p>
    <w:p w14:paraId="19427535">
      <w:pPr>
        <w:spacing w:line="360" w:lineRule="auto"/>
        <w:ind w:firstLine="8280" w:firstLineChars="34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单位：人</w:t>
      </w: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911"/>
        <w:gridCol w:w="1192"/>
        <w:gridCol w:w="1193"/>
        <w:gridCol w:w="1193"/>
        <w:gridCol w:w="1193"/>
        <w:gridCol w:w="1193"/>
        <w:gridCol w:w="1201"/>
      </w:tblGrid>
      <w:tr w14:paraId="75520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323278F3">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工种</w:t>
            </w:r>
          </w:p>
        </w:tc>
        <w:tc>
          <w:tcPr>
            <w:tcW w:w="4544" w:type="pct"/>
            <w:gridSpan w:val="7"/>
            <w:noWrap w:val="0"/>
            <w:vAlign w:val="center"/>
          </w:tcPr>
          <w:p w14:paraId="2EB89580">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按工程施工阶段投入劳动力情况</w:t>
            </w:r>
          </w:p>
        </w:tc>
      </w:tr>
      <w:tr w14:paraId="654A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589BFF2C">
            <w:pPr>
              <w:spacing w:line="360" w:lineRule="auto"/>
              <w:jc w:val="center"/>
              <w:rPr>
                <w:rFonts w:hint="eastAsia" w:ascii="宋体" w:hAnsi="宋体" w:eastAsia="宋体" w:cs="宋体"/>
                <w:color w:val="000000"/>
                <w:sz w:val="24"/>
                <w:szCs w:val="24"/>
              </w:rPr>
            </w:pPr>
          </w:p>
        </w:tc>
        <w:tc>
          <w:tcPr>
            <w:tcW w:w="513" w:type="pct"/>
            <w:noWrap w:val="0"/>
            <w:vAlign w:val="center"/>
          </w:tcPr>
          <w:p w14:paraId="0FBBEF18">
            <w:pPr>
              <w:spacing w:line="360" w:lineRule="auto"/>
              <w:jc w:val="center"/>
              <w:rPr>
                <w:rFonts w:hint="eastAsia" w:ascii="宋体" w:hAnsi="宋体" w:eastAsia="宋体" w:cs="宋体"/>
                <w:color w:val="000000"/>
                <w:sz w:val="24"/>
                <w:szCs w:val="24"/>
              </w:rPr>
            </w:pPr>
          </w:p>
        </w:tc>
        <w:tc>
          <w:tcPr>
            <w:tcW w:w="671" w:type="pct"/>
            <w:noWrap w:val="0"/>
            <w:vAlign w:val="center"/>
          </w:tcPr>
          <w:p w14:paraId="59CDE3D2">
            <w:pPr>
              <w:spacing w:line="360" w:lineRule="auto"/>
              <w:jc w:val="center"/>
              <w:rPr>
                <w:rFonts w:hint="eastAsia" w:ascii="宋体" w:hAnsi="宋体" w:eastAsia="宋体" w:cs="宋体"/>
                <w:color w:val="000000"/>
                <w:sz w:val="24"/>
                <w:szCs w:val="24"/>
              </w:rPr>
            </w:pPr>
          </w:p>
        </w:tc>
        <w:tc>
          <w:tcPr>
            <w:tcW w:w="671" w:type="pct"/>
            <w:noWrap w:val="0"/>
            <w:vAlign w:val="center"/>
          </w:tcPr>
          <w:p w14:paraId="0D752535">
            <w:pPr>
              <w:spacing w:line="360" w:lineRule="auto"/>
              <w:jc w:val="center"/>
              <w:rPr>
                <w:rFonts w:hint="eastAsia" w:ascii="宋体" w:hAnsi="宋体" w:eastAsia="宋体" w:cs="宋体"/>
                <w:color w:val="000000"/>
                <w:sz w:val="24"/>
                <w:szCs w:val="24"/>
              </w:rPr>
            </w:pPr>
          </w:p>
        </w:tc>
        <w:tc>
          <w:tcPr>
            <w:tcW w:w="671" w:type="pct"/>
            <w:noWrap w:val="0"/>
            <w:vAlign w:val="center"/>
          </w:tcPr>
          <w:p w14:paraId="01D7888C">
            <w:pPr>
              <w:spacing w:line="360" w:lineRule="auto"/>
              <w:jc w:val="center"/>
              <w:rPr>
                <w:rFonts w:hint="eastAsia" w:ascii="宋体" w:hAnsi="宋体" w:eastAsia="宋体" w:cs="宋体"/>
                <w:color w:val="000000"/>
                <w:sz w:val="24"/>
                <w:szCs w:val="24"/>
              </w:rPr>
            </w:pPr>
          </w:p>
        </w:tc>
        <w:tc>
          <w:tcPr>
            <w:tcW w:w="671" w:type="pct"/>
            <w:noWrap w:val="0"/>
            <w:vAlign w:val="center"/>
          </w:tcPr>
          <w:p w14:paraId="18796548">
            <w:pPr>
              <w:spacing w:line="360" w:lineRule="auto"/>
              <w:jc w:val="center"/>
              <w:rPr>
                <w:rFonts w:hint="eastAsia" w:ascii="宋体" w:hAnsi="宋体" w:eastAsia="宋体" w:cs="宋体"/>
                <w:color w:val="000000"/>
                <w:sz w:val="24"/>
                <w:szCs w:val="24"/>
              </w:rPr>
            </w:pPr>
          </w:p>
        </w:tc>
        <w:tc>
          <w:tcPr>
            <w:tcW w:w="671" w:type="pct"/>
            <w:noWrap w:val="0"/>
            <w:vAlign w:val="center"/>
          </w:tcPr>
          <w:p w14:paraId="6148DAF7">
            <w:pPr>
              <w:spacing w:line="360" w:lineRule="auto"/>
              <w:jc w:val="center"/>
              <w:rPr>
                <w:rFonts w:hint="eastAsia" w:ascii="宋体" w:hAnsi="宋体" w:eastAsia="宋体" w:cs="宋体"/>
                <w:color w:val="000000"/>
                <w:sz w:val="24"/>
                <w:szCs w:val="24"/>
              </w:rPr>
            </w:pPr>
          </w:p>
        </w:tc>
        <w:tc>
          <w:tcPr>
            <w:tcW w:w="673" w:type="pct"/>
            <w:noWrap w:val="0"/>
            <w:vAlign w:val="center"/>
          </w:tcPr>
          <w:p w14:paraId="59FA4112">
            <w:pPr>
              <w:spacing w:line="360" w:lineRule="auto"/>
              <w:jc w:val="center"/>
              <w:rPr>
                <w:rFonts w:hint="eastAsia" w:ascii="宋体" w:hAnsi="宋体" w:eastAsia="宋体" w:cs="宋体"/>
                <w:color w:val="000000"/>
                <w:sz w:val="24"/>
                <w:szCs w:val="24"/>
              </w:rPr>
            </w:pPr>
          </w:p>
        </w:tc>
      </w:tr>
      <w:tr w14:paraId="56B1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2CCF5915">
            <w:pPr>
              <w:spacing w:line="360" w:lineRule="auto"/>
              <w:jc w:val="center"/>
              <w:rPr>
                <w:rFonts w:hint="eastAsia" w:ascii="宋体" w:hAnsi="宋体" w:eastAsia="宋体" w:cs="宋体"/>
                <w:color w:val="000000"/>
                <w:sz w:val="24"/>
                <w:szCs w:val="24"/>
              </w:rPr>
            </w:pPr>
          </w:p>
        </w:tc>
        <w:tc>
          <w:tcPr>
            <w:tcW w:w="513" w:type="pct"/>
            <w:noWrap w:val="0"/>
            <w:vAlign w:val="center"/>
          </w:tcPr>
          <w:p w14:paraId="2D99E92B">
            <w:pPr>
              <w:spacing w:line="360" w:lineRule="auto"/>
              <w:jc w:val="center"/>
              <w:rPr>
                <w:rFonts w:hint="eastAsia" w:ascii="宋体" w:hAnsi="宋体" w:eastAsia="宋体" w:cs="宋体"/>
                <w:color w:val="000000"/>
                <w:sz w:val="24"/>
                <w:szCs w:val="24"/>
              </w:rPr>
            </w:pPr>
          </w:p>
        </w:tc>
        <w:tc>
          <w:tcPr>
            <w:tcW w:w="671" w:type="pct"/>
            <w:noWrap w:val="0"/>
            <w:vAlign w:val="center"/>
          </w:tcPr>
          <w:p w14:paraId="7BDBC289">
            <w:pPr>
              <w:spacing w:line="360" w:lineRule="auto"/>
              <w:jc w:val="center"/>
              <w:rPr>
                <w:rFonts w:hint="eastAsia" w:ascii="宋体" w:hAnsi="宋体" w:eastAsia="宋体" w:cs="宋体"/>
                <w:color w:val="000000"/>
                <w:sz w:val="24"/>
                <w:szCs w:val="24"/>
              </w:rPr>
            </w:pPr>
          </w:p>
        </w:tc>
        <w:tc>
          <w:tcPr>
            <w:tcW w:w="671" w:type="pct"/>
            <w:noWrap w:val="0"/>
            <w:vAlign w:val="center"/>
          </w:tcPr>
          <w:p w14:paraId="1302BAB2">
            <w:pPr>
              <w:spacing w:line="360" w:lineRule="auto"/>
              <w:jc w:val="center"/>
              <w:rPr>
                <w:rFonts w:hint="eastAsia" w:ascii="宋体" w:hAnsi="宋体" w:eastAsia="宋体" w:cs="宋体"/>
                <w:color w:val="000000"/>
                <w:sz w:val="24"/>
                <w:szCs w:val="24"/>
              </w:rPr>
            </w:pPr>
          </w:p>
        </w:tc>
        <w:tc>
          <w:tcPr>
            <w:tcW w:w="671" w:type="pct"/>
            <w:noWrap w:val="0"/>
            <w:vAlign w:val="center"/>
          </w:tcPr>
          <w:p w14:paraId="6318E38B">
            <w:pPr>
              <w:spacing w:line="360" w:lineRule="auto"/>
              <w:jc w:val="center"/>
              <w:rPr>
                <w:rFonts w:hint="eastAsia" w:ascii="宋体" w:hAnsi="宋体" w:eastAsia="宋体" w:cs="宋体"/>
                <w:color w:val="000000"/>
                <w:sz w:val="24"/>
                <w:szCs w:val="24"/>
              </w:rPr>
            </w:pPr>
          </w:p>
        </w:tc>
        <w:tc>
          <w:tcPr>
            <w:tcW w:w="671" w:type="pct"/>
            <w:noWrap w:val="0"/>
            <w:vAlign w:val="center"/>
          </w:tcPr>
          <w:p w14:paraId="61E07D4B">
            <w:pPr>
              <w:spacing w:line="360" w:lineRule="auto"/>
              <w:jc w:val="center"/>
              <w:rPr>
                <w:rFonts w:hint="eastAsia" w:ascii="宋体" w:hAnsi="宋体" w:eastAsia="宋体" w:cs="宋体"/>
                <w:color w:val="000000"/>
                <w:sz w:val="24"/>
                <w:szCs w:val="24"/>
              </w:rPr>
            </w:pPr>
          </w:p>
        </w:tc>
        <w:tc>
          <w:tcPr>
            <w:tcW w:w="671" w:type="pct"/>
            <w:noWrap w:val="0"/>
            <w:vAlign w:val="center"/>
          </w:tcPr>
          <w:p w14:paraId="5B983184">
            <w:pPr>
              <w:spacing w:line="360" w:lineRule="auto"/>
              <w:jc w:val="center"/>
              <w:rPr>
                <w:rFonts w:hint="eastAsia" w:ascii="宋体" w:hAnsi="宋体" w:eastAsia="宋体" w:cs="宋体"/>
                <w:color w:val="000000"/>
                <w:sz w:val="24"/>
                <w:szCs w:val="24"/>
              </w:rPr>
            </w:pPr>
          </w:p>
        </w:tc>
        <w:tc>
          <w:tcPr>
            <w:tcW w:w="673" w:type="pct"/>
            <w:noWrap w:val="0"/>
            <w:vAlign w:val="center"/>
          </w:tcPr>
          <w:p w14:paraId="63FB4A64">
            <w:pPr>
              <w:spacing w:line="360" w:lineRule="auto"/>
              <w:jc w:val="center"/>
              <w:rPr>
                <w:rFonts w:hint="eastAsia" w:ascii="宋体" w:hAnsi="宋体" w:eastAsia="宋体" w:cs="宋体"/>
                <w:color w:val="000000"/>
                <w:sz w:val="24"/>
                <w:szCs w:val="24"/>
              </w:rPr>
            </w:pPr>
          </w:p>
        </w:tc>
      </w:tr>
      <w:tr w14:paraId="2756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6C7B15EA">
            <w:pPr>
              <w:spacing w:line="360" w:lineRule="auto"/>
              <w:jc w:val="center"/>
              <w:rPr>
                <w:rFonts w:hint="eastAsia" w:ascii="宋体" w:hAnsi="宋体" w:eastAsia="宋体" w:cs="宋体"/>
                <w:color w:val="000000"/>
                <w:sz w:val="24"/>
                <w:szCs w:val="24"/>
              </w:rPr>
            </w:pPr>
          </w:p>
        </w:tc>
        <w:tc>
          <w:tcPr>
            <w:tcW w:w="513" w:type="pct"/>
            <w:noWrap w:val="0"/>
            <w:vAlign w:val="center"/>
          </w:tcPr>
          <w:p w14:paraId="0F6235D6">
            <w:pPr>
              <w:spacing w:line="360" w:lineRule="auto"/>
              <w:jc w:val="center"/>
              <w:rPr>
                <w:rFonts w:hint="eastAsia" w:ascii="宋体" w:hAnsi="宋体" w:eastAsia="宋体" w:cs="宋体"/>
                <w:color w:val="000000"/>
                <w:sz w:val="24"/>
                <w:szCs w:val="24"/>
              </w:rPr>
            </w:pPr>
          </w:p>
        </w:tc>
        <w:tc>
          <w:tcPr>
            <w:tcW w:w="671" w:type="pct"/>
            <w:noWrap w:val="0"/>
            <w:vAlign w:val="center"/>
          </w:tcPr>
          <w:p w14:paraId="2D0808E0">
            <w:pPr>
              <w:spacing w:line="360" w:lineRule="auto"/>
              <w:jc w:val="center"/>
              <w:rPr>
                <w:rFonts w:hint="eastAsia" w:ascii="宋体" w:hAnsi="宋体" w:eastAsia="宋体" w:cs="宋体"/>
                <w:color w:val="000000"/>
                <w:sz w:val="24"/>
                <w:szCs w:val="24"/>
              </w:rPr>
            </w:pPr>
          </w:p>
        </w:tc>
        <w:tc>
          <w:tcPr>
            <w:tcW w:w="671" w:type="pct"/>
            <w:noWrap w:val="0"/>
            <w:vAlign w:val="center"/>
          </w:tcPr>
          <w:p w14:paraId="59C16A78">
            <w:pPr>
              <w:spacing w:line="360" w:lineRule="auto"/>
              <w:jc w:val="center"/>
              <w:rPr>
                <w:rFonts w:hint="eastAsia" w:ascii="宋体" w:hAnsi="宋体" w:eastAsia="宋体" w:cs="宋体"/>
                <w:color w:val="000000"/>
                <w:sz w:val="24"/>
                <w:szCs w:val="24"/>
              </w:rPr>
            </w:pPr>
          </w:p>
        </w:tc>
        <w:tc>
          <w:tcPr>
            <w:tcW w:w="671" w:type="pct"/>
            <w:noWrap w:val="0"/>
            <w:vAlign w:val="center"/>
          </w:tcPr>
          <w:p w14:paraId="0A98F961">
            <w:pPr>
              <w:spacing w:line="360" w:lineRule="auto"/>
              <w:jc w:val="center"/>
              <w:rPr>
                <w:rFonts w:hint="eastAsia" w:ascii="宋体" w:hAnsi="宋体" w:eastAsia="宋体" w:cs="宋体"/>
                <w:color w:val="000000"/>
                <w:sz w:val="24"/>
                <w:szCs w:val="24"/>
              </w:rPr>
            </w:pPr>
          </w:p>
        </w:tc>
        <w:tc>
          <w:tcPr>
            <w:tcW w:w="671" w:type="pct"/>
            <w:noWrap w:val="0"/>
            <w:vAlign w:val="center"/>
          </w:tcPr>
          <w:p w14:paraId="5495361A">
            <w:pPr>
              <w:spacing w:line="360" w:lineRule="auto"/>
              <w:jc w:val="center"/>
              <w:rPr>
                <w:rFonts w:hint="eastAsia" w:ascii="宋体" w:hAnsi="宋体" w:eastAsia="宋体" w:cs="宋体"/>
                <w:color w:val="000000"/>
                <w:sz w:val="24"/>
                <w:szCs w:val="24"/>
              </w:rPr>
            </w:pPr>
          </w:p>
        </w:tc>
        <w:tc>
          <w:tcPr>
            <w:tcW w:w="671" w:type="pct"/>
            <w:noWrap w:val="0"/>
            <w:vAlign w:val="center"/>
          </w:tcPr>
          <w:p w14:paraId="6C93BB49">
            <w:pPr>
              <w:spacing w:line="360" w:lineRule="auto"/>
              <w:jc w:val="center"/>
              <w:rPr>
                <w:rFonts w:hint="eastAsia" w:ascii="宋体" w:hAnsi="宋体" w:eastAsia="宋体" w:cs="宋体"/>
                <w:color w:val="000000"/>
                <w:sz w:val="24"/>
                <w:szCs w:val="24"/>
              </w:rPr>
            </w:pPr>
          </w:p>
        </w:tc>
        <w:tc>
          <w:tcPr>
            <w:tcW w:w="673" w:type="pct"/>
            <w:noWrap w:val="0"/>
            <w:vAlign w:val="center"/>
          </w:tcPr>
          <w:p w14:paraId="7C50078B">
            <w:pPr>
              <w:spacing w:line="360" w:lineRule="auto"/>
              <w:jc w:val="center"/>
              <w:rPr>
                <w:rFonts w:hint="eastAsia" w:ascii="宋体" w:hAnsi="宋体" w:eastAsia="宋体" w:cs="宋体"/>
                <w:color w:val="000000"/>
                <w:sz w:val="24"/>
                <w:szCs w:val="24"/>
              </w:rPr>
            </w:pPr>
          </w:p>
        </w:tc>
      </w:tr>
      <w:tr w14:paraId="19A24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3E3828A4">
            <w:pPr>
              <w:spacing w:line="360" w:lineRule="auto"/>
              <w:jc w:val="center"/>
              <w:rPr>
                <w:rFonts w:hint="eastAsia" w:ascii="宋体" w:hAnsi="宋体" w:eastAsia="宋体" w:cs="宋体"/>
                <w:color w:val="000000"/>
                <w:sz w:val="24"/>
                <w:szCs w:val="24"/>
              </w:rPr>
            </w:pPr>
          </w:p>
        </w:tc>
        <w:tc>
          <w:tcPr>
            <w:tcW w:w="513" w:type="pct"/>
            <w:noWrap w:val="0"/>
            <w:vAlign w:val="center"/>
          </w:tcPr>
          <w:p w14:paraId="5D536FA9">
            <w:pPr>
              <w:spacing w:line="360" w:lineRule="auto"/>
              <w:jc w:val="center"/>
              <w:rPr>
                <w:rFonts w:hint="eastAsia" w:ascii="宋体" w:hAnsi="宋体" w:eastAsia="宋体" w:cs="宋体"/>
                <w:color w:val="000000"/>
                <w:sz w:val="24"/>
                <w:szCs w:val="24"/>
              </w:rPr>
            </w:pPr>
          </w:p>
        </w:tc>
        <w:tc>
          <w:tcPr>
            <w:tcW w:w="671" w:type="pct"/>
            <w:noWrap w:val="0"/>
            <w:vAlign w:val="center"/>
          </w:tcPr>
          <w:p w14:paraId="2561BAC2">
            <w:pPr>
              <w:spacing w:line="360" w:lineRule="auto"/>
              <w:jc w:val="center"/>
              <w:rPr>
                <w:rFonts w:hint="eastAsia" w:ascii="宋体" w:hAnsi="宋体" w:eastAsia="宋体" w:cs="宋体"/>
                <w:color w:val="000000"/>
                <w:sz w:val="24"/>
                <w:szCs w:val="24"/>
              </w:rPr>
            </w:pPr>
          </w:p>
        </w:tc>
        <w:tc>
          <w:tcPr>
            <w:tcW w:w="671" w:type="pct"/>
            <w:noWrap w:val="0"/>
            <w:vAlign w:val="center"/>
          </w:tcPr>
          <w:p w14:paraId="705102A4">
            <w:pPr>
              <w:spacing w:line="360" w:lineRule="auto"/>
              <w:jc w:val="center"/>
              <w:rPr>
                <w:rFonts w:hint="eastAsia" w:ascii="宋体" w:hAnsi="宋体" w:eastAsia="宋体" w:cs="宋体"/>
                <w:color w:val="000000"/>
                <w:sz w:val="24"/>
                <w:szCs w:val="24"/>
              </w:rPr>
            </w:pPr>
          </w:p>
        </w:tc>
        <w:tc>
          <w:tcPr>
            <w:tcW w:w="671" w:type="pct"/>
            <w:noWrap w:val="0"/>
            <w:vAlign w:val="center"/>
          </w:tcPr>
          <w:p w14:paraId="2B2318A6">
            <w:pPr>
              <w:spacing w:line="360" w:lineRule="auto"/>
              <w:jc w:val="center"/>
              <w:rPr>
                <w:rFonts w:hint="eastAsia" w:ascii="宋体" w:hAnsi="宋体" w:eastAsia="宋体" w:cs="宋体"/>
                <w:color w:val="000000"/>
                <w:sz w:val="24"/>
                <w:szCs w:val="24"/>
              </w:rPr>
            </w:pPr>
          </w:p>
        </w:tc>
        <w:tc>
          <w:tcPr>
            <w:tcW w:w="671" w:type="pct"/>
            <w:noWrap w:val="0"/>
            <w:vAlign w:val="center"/>
          </w:tcPr>
          <w:p w14:paraId="4E3E6F4A">
            <w:pPr>
              <w:spacing w:line="360" w:lineRule="auto"/>
              <w:jc w:val="center"/>
              <w:rPr>
                <w:rFonts w:hint="eastAsia" w:ascii="宋体" w:hAnsi="宋体" w:eastAsia="宋体" w:cs="宋体"/>
                <w:color w:val="000000"/>
                <w:sz w:val="24"/>
                <w:szCs w:val="24"/>
              </w:rPr>
            </w:pPr>
          </w:p>
        </w:tc>
        <w:tc>
          <w:tcPr>
            <w:tcW w:w="671" w:type="pct"/>
            <w:noWrap w:val="0"/>
            <w:vAlign w:val="center"/>
          </w:tcPr>
          <w:p w14:paraId="7A5F607F">
            <w:pPr>
              <w:spacing w:line="360" w:lineRule="auto"/>
              <w:jc w:val="center"/>
              <w:rPr>
                <w:rFonts w:hint="eastAsia" w:ascii="宋体" w:hAnsi="宋体" w:eastAsia="宋体" w:cs="宋体"/>
                <w:color w:val="000000"/>
                <w:sz w:val="24"/>
                <w:szCs w:val="24"/>
              </w:rPr>
            </w:pPr>
          </w:p>
        </w:tc>
        <w:tc>
          <w:tcPr>
            <w:tcW w:w="673" w:type="pct"/>
            <w:noWrap w:val="0"/>
            <w:vAlign w:val="center"/>
          </w:tcPr>
          <w:p w14:paraId="4005FBF6">
            <w:pPr>
              <w:spacing w:line="360" w:lineRule="auto"/>
              <w:jc w:val="center"/>
              <w:rPr>
                <w:rFonts w:hint="eastAsia" w:ascii="宋体" w:hAnsi="宋体" w:eastAsia="宋体" w:cs="宋体"/>
                <w:color w:val="000000"/>
                <w:sz w:val="24"/>
                <w:szCs w:val="24"/>
              </w:rPr>
            </w:pPr>
          </w:p>
        </w:tc>
      </w:tr>
      <w:tr w14:paraId="301D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39E70BCF">
            <w:pPr>
              <w:spacing w:line="360" w:lineRule="auto"/>
              <w:jc w:val="center"/>
              <w:rPr>
                <w:rFonts w:hint="eastAsia" w:ascii="宋体" w:hAnsi="宋体" w:eastAsia="宋体" w:cs="宋体"/>
                <w:color w:val="000000"/>
                <w:sz w:val="24"/>
                <w:szCs w:val="24"/>
              </w:rPr>
            </w:pPr>
          </w:p>
        </w:tc>
        <w:tc>
          <w:tcPr>
            <w:tcW w:w="513" w:type="pct"/>
            <w:noWrap w:val="0"/>
            <w:vAlign w:val="center"/>
          </w:tcPr>
          <w:p w14:paraId="1743BA3E">
            <w:pPr>
              <w:spacing w:line="360" w:lineRule="auto"/>
              <w:jc w:val="center"/>
              <w:rPr>
                <w:rFonts w:hint="eastAsia" w:ascii="宋体" w:hAnsi="宋体" w:eastAsia="宋体" w:cs="宋体"/>
                <w:color w:val="000000"/>
                <w:sz w:val="24"/>
                <w:szCs w:val="24"/>
              </w:rPr>
            </w:pPr>
          </w:p>
        </w:tc>
        <w:tc>
          <w:tcPr>
            <w:tcW w:w="671" w:type="pct"/>
            <w:noWrap w:val="0"/>
            <w:vAlign w:val="center"/>
          </w:tcPr>
          <w:p w14:paraId="186607DF">
            <w:pPr>
              <w:spacing w:line="360" w:lineRule="auto"/>
              <w:jc w:val="center"/>
              <w:rPr>
                <w:rFonts w:hint="eastAsia" w:ascii="宋体" w:hAnsi="宋体" w:eastAsia="宋体" w:cs="宋体"/>
                <w:color w:val="000000"/>
                <w:sz w:val="24"/>
                <w:szCs w:val="24"/>
              </w:rPr>
            </w:pPr>
          </w:p>
        </w:tc>
        <w:tc>
          <w:tcPr>
            <w:tcW w:w="671" w:type="pct"/>
            <w:noWrap w:val="0"/>
            <w:vAlign w:val="center"/>
          </w:tcPr>
          <w:p w14:paraId="37671198">
            <w:pPr>
              <w:spacing w:line="360" w:lineRule="auto"/>
              <w:jc w:val="center"/>
              <w:rPr>
                <w:rFonts w:hint="eastAsia" w:ascii="宋体" w:hAnsi="宋体" w:eastAsia="宋体" w:cs="宋体"/>
                <w:color w:val="000000"/>
                <w:sz w:val="24"/>
                <w:szCs w:val="24"/>
              </w:rPr>
            </w:pPr>
          </w:p>
        </w:tc>
        <w:tc>
          <w:tcPr>
            <w:tcW w:w="671" w:type="pct"/>
            <w:noWrap w:val="0"/>
            <w:vAlign w:val="center"/>
          </w:tcPr>
          <w:p w14:paraId="797898CF">
            <w:pPr>
              <w:spacing w:line="360" w:lineRule="auto"/>
              <w:jc w:val="center"/>
              <w:rPr>
                <w:rFonts w:hint="eastAsia" w:ascii="宋体" w:hAnsi="宋体" w:eastAsia="宋体" w:cs="宋体"/>
                <w:color w:val="000000"/>
                <w:sz w:val="24"/>
                <w:szCs w:val="24"/>
              </w:rPr>
            </w:pPr>
          </w:p>
        </w:tc>
        <w:tc>
          <w:tcPr>
            <w:tcW w:w="671" w:type="pct"/>
            <w:noWrap w:val="0"/>
            <w:vAlign w:val="center"/>
          </w:tcPr>
          <w:p w14:paraId="42B9066D">
            <w:pPr>
              <w:spacing w:line="360" w:lineRule="auto"/>
              <w:jc w:val="center"/>
              <w:rPr>
                <w:rFonts w:hint="eastAsia" w:ascii="宋体" w:hAnsi="宋体" w:eastAsia="宋体" w:cs="宋体"/>
                <w:color w:val="000000"/>
                <w:sz w:val="24"/>
                <w:szCs w:val="24"/>
              </w:rPr>
            </w:pPr>
          </w:p>
        </w:tc>
        <w:tc>
          <w:tcPr>
            <w:tcW w:w="671" w:type="pct"/>
            <w:noWrap w:val="0"/>
            <w:vAlign w:val="center"/>
          </w:tcPr>
          <w:p w14:paraId="75719EF5">
            <w:pPr>
              <w:spacing w:line="360" w:lineRule="auto"/>
              <w:jc w:val="center"/>
              <w:rPr>
                <w:rFonts w:hint="eastAsia" w:ascii="宋体" w:hAnsi="宋体" w:eastAsia="宋体" w:cs="宋体"/>
                <w:color w:val="000000"/>
                <w:sz w:val="24"/>
                <w:szCs w:val="24"/>
              </w:rPr>
            </w:pPr>
          </w:p>
        </w:tc>
        <w:tc>
          <w:tcPr>
            <w:tcW w:w="673" w:type="pct"/>
            <w:noWrap w:val="0"/>
            <w:vAlign w:val="center"/>
          </w:tcPr>
          <w:p w14:paraId="12E901C0">
            <w:pPr>
              <w:spacing w:line="360" w:lineRule="auto"/>
              <w:jc w:val="center"/>
              <w:rPr>
                <w:rFonts w:hint="eastAsia" w:ascii="宋体" w:hAnsi="宋体" w:eastAsia="宋体" w:cs="宋体"/>
                <w:color w:val="000000"/>
                <w:sz w:val="24"/>
                <w:szCs w:val="24"/>
              </w:rPr>
            </w:pPr>
          </w:p>
        </w:tc>
      </w:tr>
      <w:tr w14:paraId="3628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4DF5D01B">
            <w:pPr>
              <w:spacing w:line="360" w:lineRule="auto"/>
              <w:jc w:val="center"/>
              <w:rPr>
                <w:rFonts w:hint="eastAsia" w:ascii="宋体" w:hAnsi="宋体" w:eastAsia="宋体" w:cs="宋体"/>
                <w:color w:val="000000"/>
                <w:sz w:val="24"/>
                <w:szCs w:val="24"/>
              </w:rPr>
            </w:pPr>
          </w:p>
        </w:tc>
        <w:tc>
          <w:tcPr>
            <w:tcW w:w="513" w:type="pct"/>
            <w:noWrap w:val="0"/>
            <w:vAlign w:val="center"/>
          </w:tcPr>
          <w:p w14:paraId="755CA7A2">
            <w:pPr>
              <w:spacing w:line="360" w:lineRule="auto"/>
              <w:jc w:val="center"/>
              <w:rPr>
                <w:rFonts w:hint="eastAsia" w:ascii="宋体" w:hAnsi="宋体" w:eastAsia="宋体" w:cs="宋体"/>
                <w:color w:val="000000"/>
                <w:sz w:val="24"/>
                <w:szCs w:val="24"/>
              </w:rPr>
            </w:pPr>
          </w:p>
        </w:tc>
        <w:tc>
          <w:tcPr>
            <w:tcW w:w="671" w:type="pct"/>
            <w:noWrap w:val="0"/>
            <w:vAlign w:val="center"/>
          </w:tcPr>
          <w:p w14:paraId="0B652256">
            <w:pPr>
              <w:spacing w:line="360" w:lineRule="auto"/>
              <w:jc w:val="center"/>
              <w:rPr>
                <w:rFonts w:hint="eastAsia" w:ascii="宋体" w:hAnsi="宋体" w:eastAsia="宋体" w:cs="宋体"/>
                <w:color w:val="000000"/>
                <w:sz w:val="24"/>
                <w:szCs w:val="24"/>
              </w:rPr>
            </w:pPr>
          </w:p>
        </w:tc>
        <w:tc>
          <w:tcPr>
            <w:tcW w:w="671" w:type="pct"/>
            <w:noWrap w:val="0"/>
            <w:vAlign w:val="center"/>
          </w:tcPr>
          <w:p w14:paraId="71EA063E">
            <w:pPr>
              <w:spacing w:line="360" w:lineRule="auto"/>
              <w:jc w:val="center"/>
              <w:rPr>
                <w:rFonts w:hint="eastAsia" w:ascii="宋体" w:hAnsi="宋体" w:eastAsia="宋体" w:cs="宋体"/>
                <w:color w:val="000000"/>
                <w:sz w:val="24"/>
                <w:szCs w:val="24"/>
              </w:rPr>
            </w:pPr>
          </w:p>
        </w:tc>
        <w:tc>
          <w:tcPr>
            <w:tcW w:w="671" w:type="pct"/>
            <w:noWrap w:val="0"/>
            <w:vAlign w:val="center"/>
          </w:tcPr>
          <w:p w14:paraId="7E15B3A3">
            <w:pPr>
              <w:spacing w:line="360" w:lineRule="auto"/>
              <w:jc w:val="center"/>
              <w:rPr>
                <w:rFonts w:hint="eastAsia" w:ascii="宋体" w:hAnsi="宋体" w:eastAsia="宋体" w:cs="宋体"/>
                <w:color w:val="000000"/>
                <w:sz w:val="24"/>
                <w:szCs w:val="24"/>
              </w:rPr>
            </w:pPr>
          </w:p>
        </w:tc>
        <w:tc>
          <w:tcPr>
            <w:tcW w:w="671" w:type="pct"/>
            <w:noWrap w:val="0"/>
            <w:vAlign w:val="center"/>
          </w:tcPr>
          <w:p w14:paraId="3A7571B3">
            <w:pPr>
              <w:spacing w:line="360" w:lineRule="auto"/>
              <w:jc w:val="center"/>
              <w:rPr>
                <w:rFonts w:hint="eastAsia" w:ascii="宋体" w:hAnsi="宋体" w:eastAsia="宋体" w:cs="宋体"/>
                <w:color w:val="000000"/>
                <w:sz w:val="24"/>
                <w:szCs w:val="24"/>
              </w:rPr>
            </w:pPr>
          </w:p>
        </w:tc>
        <w:tc>
          <w:tcPr>
            <w:tcW w:w="671" w:type="pct"/>
            <w:noWrap w:val="0"/>
            <w:vAlign w:val="center"/>
          </w:tcPr>
          <w:p w14:paraId="4186FE5B">
            <w:pPr>
              <w:spacing w:line="360" w:lineRule="auto"/>
              <w:jc w:val="center"/>
              <w:rPr>
                <w:rFonts w:hint="eastAsia" w:ascii="宋体" w:hAnsi="宋体" w:eastAsia="宋体" w:cs="宋体"/>
                <w:color w:val="000000"/>
                <w:sz w:val="24"/>
                <w:szCs w:val="24"/>
              </w:rPr>
            </w:pPr>
          </w:p>
        </w:tc>
        <w:tc>
          <w:tcPr>
            <w:tcW w:w="673" w:type="pct"/>
            <w:noWrap w:val="0"/>
            <w:vAlign w:val="center"/>
          </w:tcPr>
          <w:p w14:paraId="0FF0A524">
            <w:pPr>
              <w:spacing w:line="360" w:lineRule="auto"/>
              <w:jc w:val="center"/>
              <w:rPr>
                <w:rFonts w:hint="eastAsia" w:ascii="宋体" w:hAnsi="宋体" w:eastAsia="宋体" w:cs="宋体"/>
                <w:color w:val="000000"/>
                <w:sz w:val="24"/>
                <w:szCs w:val="24"/>
              </w:rPr>
            </w:pPr>
          </w:p>
        </w:tc>
      </w:tr>
      <w:tr w14:paraId="4D24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3B97D191">
            <w:pPr>
              <w:spacing w:line="360" w:lineRule="auto"/>
              <w:jc w:val="center"/>
              <w:rPr>
                <w:rFonts w:hint="eastAsia" w:ascii="宋体" w:hAnsi="宋体" w:eastAsia="宋体" w:cs="宋体"/>
                <w:color w:val="000000"/>
                <w:sz w:val="24"/>
                <w:szCs w:val="24"/>
              </w:rPr>
            </w:pPr>
          </w:p>
        </w:tc>
        <w:tc>
          <w:tcPr>
            <w:tcW w:w="513" w:type="pct"/>
            <w:noWrap w:val="0"/>
            <w:vAlign w:val="center"/>
          </w:tcPr>
          <w:p w14:paraId="3C957A8F">
            <w:pPr>
              <w:spacing w:line="360" w:lineRule="auto"/>
              <w:jc w:val="center"/>
              <w:rPr>
                <w:rFonts w:hint="eastAsia" w:ascii="宋体" w:hAnsi="宋体" w:eastAsia="宋体" w:cs="宋体"/>
                <w:color w:val="000000"/>
                <w:sz w:val="24"/>
                <w:szCs w:val="24"/>
              </w:rPr>
            </w:pPr>
          </w:p>
        </w:tc>
        <w:tc>
          <w:tcPr>
            <w:tcW w:w="671" w:type="pct"/>
            <w:noWrap w:val="0"/>
            <w:vAlign w:val="center"/>
          </w:tcPr>
          <w:p w14:paraId="6488326D">
            <w:pPr>
              <w:spacing w:line="360" w:lineRule="auto"/>
              <w:jc w:val="center"/>
              <w:rPr>
                <w:rFonts w:hint="eastAsia" w:ascii="宋体" w:hAnsi="宋体" w:eastAsia="宋体" w:cs="宋体"/>
                <w:color w:val="000000"/>
                <w:sz w:val="24"/>
                <w:szCs w:val="24"/>
              </w:rPr>
            </w:pPr>
          </w:p>
        </w:tc>
        <w:tc>
          <w:tcPr>
            <w:tcW w:w="671" w:type="pct"/>
            <w:noWrap w:val="0"/>
            <w:vAlign w:val="center"/>
          </w:tcPr>
          <w:p w14:paraId="6D982DAC">
            <w:pPr>
              <w:spacing w:line="360" w:lineRule="auto"/>
              <w:jc w:val="center"/>
              <w:rPr>
                <w:rFonts w:hint="eastAsia" w:ascii="宋体" w:hAnsi="宋体" w:eastAsia="宋体" w:cs="宋体"/>
                <w:color w:val="000000"/>
                <w:sz w:val="24"/>
                <w:szCs w:val="24"/>
              </w:rPr>
            </w:pPr>
          </w:p>
        </w:tc>
        <w:tc>
          <w:tcPr>
            <w:tcW w:w="671" w:type="pct"/>
            <w:noWrap w:val="0"/>
            <w:vAlign w:val="center"/>
          </w:tcPr>
          <w:p w14:paraId="41084F2F">
            <w:pPr>
              <w:spacing w:line="360" w:lineRule="auto"/>
              <w:jc w:val="center"/>
              <w:rPr>
                <w:rFonts w:hint="eastAsia" w:ascii="宋体" w:hAnsi="宋体" w:eastAsia="宋体" w:cs="宋体"/>
                <w:color w:val="000000"/>
                <w:sz w:val="24"/>
                <w:szCs w:val="24"/>
              </w:rPr>
            </w:pPr>
          </w:p>
        </w:tc>
        <w:tc>
          <w:tcPr>
            <w:tcW w:w="671" w:type="pct"/>
            <w:noWrap w:val="0"/>
            <w:vAlign w:val="center"/>
          </w:tcPr>
          <w:p w14:paraId="729242BC">
            <w:pPr>
              <w:spacing w:line="360" w:lineRule="auto"/>
              <w:jc w:val="center"/>
              <w:rPr>
                <w:rFonts w:hint="eastAsia" w:ascii="宋体" w:hAnsi="宋体" w:eastAsia="宋体" w:cs="宋体"/>
                <w:color w:val="000000"/>
                <w:sz w:val="24"/>
                <w:szCs w:val="24"/>
              </w:rPr>
            </w:pPr>
          </w:p>
        </w:tc>
        <w:tc>
          <w:tcPr>
            <w:tcW w:w="671" w:type="pct"/>
            <w:noWrap w:val="0"/>
            <w:vAlign w:val="center"/>
          </w:tcPr>
          <w:p w14:paraId="43765B23">
            <w:pPr>
              <w:spacing w:line="360" w:lineRule="auto"/>
              <w:jc w:val="center"/>
              <w:rPr>
                <w:rFonts w:hint="eastAsia" w:ascii="宋体" w:hAnsi="宋体" w:eastAsia="宋体" w:cs="宋体"/>
                <w:color w:val="000000"/>
                <w:sz w:val="24"/>
                <w:szCs w:val="24"/>
              </w:rPr>
            </w:pPr>
          </w:p>
        </w:tc>
        <w:tc>
          <w:tcPr>
            <w:tcW w:w="673" w:type="pct"/>
            <w:noWrap w:val="0"/>
            <w:vAlign w:val="center"/>
          </w:tcPr>
          <w:p w14:paraId="47E7B8A5">
            <w:pPr>
              <w:spacing w:line="360" w:lineRule="auto"/>
              <w:jc w:val="center"/>
              <w:rPr>
                <w:rFonts w:hint="eastAsia" w:ascii="宋体" w:hAnsi="宋体" w:eastAsia="宋体" w:cs="宋体"/>
                <w:color w:val="000000"/>
                <w:sz w:val="24"/>
                <w:szCs w:val="24"/>
              </w:rPr>
            </w:pPr>
          </w:p>
        </w:tc>
      </w:tr>
    </w:tbl>
    <w:p w14:paraId="41131B7F">
      <w:pPr>
        <w:spacing w:line="360" w:lineRule="auto"/>
        <w:rPr>
          <w:rFonts w:hint="eastAsia" w:ascii="宋体" w:hAnsi="宋体" w:eastAsia="宋体" w:cs="宋体"/>
          <w:color w:val="000000"/>
          <w:sz w:val="24"/>
          <w:szCs w:val="24"/>
        </w:rPr>
      </w:pPr>
    </w:p>
    <w:p w14:paraId="685F3C50">
      <w:pPr>
        <w:spacing w:line="360" w:lineRule="auto"/>
        <w:rPr>
          <w:rFonts w:hint="eastAsia" w:ascii="宋体" w:hAnsi="宋体" w:eastAsia="宋体" w:cs="宋体"/>
          <w:b/>
          <w:color w:val="000000"/>
          <w:sz w:val="24"/>
          <w:szCs w:val="24"/>
        </w:rPr>
      </w:pPr>
    </w:p>
    <w:p w14:paraId="4681018A">
      <w:pPr>
        <w:pStyle w:val="42"/>
        <w:outlineLvl w:val="0"/>
        <w:rPr>
          <w:rFonts w:hint="eastAsia" w:ascii="宋体" w:hAnsi="宋体" w:eastAsia="宋体" w:cs="宋体"/>
          <w:sz w:val="24"/>
          <w:szCs w:val="24"/>
        </w:rPr>
      </w:pPr>
      <w:r>
        <w:rPr>
          <w:rFonts w:hint="eastAsia" w:ascii="宋体" w:hAnsi="宋体" w:eastAsia="宋体" w:cs="宋体"/>
          <w:sz w:val="24"/>
          <w:szCs w:val="24"/>
        </w:rPr>
        <w:t>附表四：计划开、竣工日期和施工进度计划（网络图或横道图）</w:t>
      </w:r>
    </w:p>
    <w:p w14:paraId="5CE47DD0">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1. 供应商应提交施工进度计划，说明按竞争性磋商文件要求的工期进行施工的各个关键日期。中标的供应商还应按合同条件有关条款的要求提交详细的施工进度计划。</w:t>
      </w:r>
    </w:p>
    <w:p w14:paraId="4088EABE">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2. 施工进度计划可采用网络图（或横道图）表示，说明计划开工日期和各分项工程各阶段的完工日期和分包合同签订的日期。</w:t>
      </w:r>
    </w:p>
    <w:p w14:paraId="1E358D9C">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3. 施工进度计划应与施工组织设计相适应。</w:t>
      </w:r>
    </w:p>
    <w:p w14:paraId="537D338F">
      <w:pPr>
        <w:spacing w:line="360" w:lineRule="auto"/>
        <w:rPr>
          <w:rFonts w:hint="eastAsia" w:ascii="宋体" w:hAnsi="宋体" w:eastAsia="宋体" w:cs="宋体"/>
          <w:color w:val="000000"/>
          <w:sz w:val="24"/>
          <w:szCs w:val="24"/>
        </w:rPr>
      </w:pPr>
    </w:p>
    <w:p w14:paraId="71D28803">
      <w:pPr>
        <w:pStyle w:val="42"/>
        <w:outlineLvl w:val="1"/>
        <w:rPr>
          <w:rFonts w:hint="eastAsia" w:ascii="宋体" w:hAnsi="宋体" w:eastAsia="宋体" w:cs="宋体"/>
          <w:sz w:val="24"/>
          <w:szCs w:val="24"/>
        </w:rPr>
      </w:pPr>
      <w:r>
        <w:rPr>
          <w:rFonts w:hint="eastAsia" w:ascii="宋体" w:hAnsi="宋体" w:eastAsia="宋体" w:cs="宋体"/>
          <w:sz w:val="24"/>
          <w:szCs w:val="24"/>
        </w:rPr>
        <w:t>附表五：临时用地表</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0"/>
        <w:gridCol w:w="2220"/>
        <w:gridCol w:w="2221"/>
        <w:gridCol w:w="2221"/>
      </w:tblGrid>
      <w:tr w14:paraId="35042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50" w:type="pct"/>
            <w:noWrap w:val="0"/>
            <w:vAlign w:val="center"/>
          </w:tcPr>
          <w:p w14:paraId="6AF7CC21">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用途</w:t>
            </w:r>
          </w:p>
        </w:tc>
        <w:tc>
          <w:tcPr>
            <w:tcW w:w="1250" w:type="pct"/>
            <w:noWrap w:val="0"/>
            <w:vAlign w:val="center"/>
          </w:tcPr>
          <w:p w14:paraId="5F23741E">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面积（平方米）</w:t>
            </w:r>
          </w:p>
        </w:tc>
        <w:tc>
          <w:tcPr>
            <w:tcW w:w="1250" w:type="pct"/>
            <w:noWrap w:val="0"/>
            <w:vAlign w:val="center"/>
          </w:tcPr>
          <w:p w14:paraId="15E042AA">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位置</w:t>
            </w:r>
          </w:p>
        </w:tc>
        <w:tc>
          <w:tcPr>
            <w:tcW w:w="1250" w:type="pct"/>
            <w:noWrap w:val="0"/>
            <w:vAlign w:val="center"/>
          </w:tcPr>
          <w:p w14:paraId="6F81E8DB">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需用时间</w:t>
            </w:r>
          </w:p>
        </w:tc>
      </w:tr>
      <w:tr w14:paraId="4A74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50" w:type="pct"/>
            <w:noWrap w:val="0"/>
            <w:vAlign w:val="top"/>
          </w:tcPr>
          <w:p w14:paraId="31F88FFE">
            <w:pPr>
              <w:spacing w:line="360" w:lineRule="auto"/>
              <w:rPr>
                <w:rFonts w:hint="eastAsia" w:ascii="宋体" w:hAnsi="宋体" w:eastAsia="宋体" w:cs="宋体"/>
                <w:color w:val="000000"/>
                <w:sz w:val="24"/>
                <w:szCs w:val="24"/>
              </w:rPr>
            </w:pPr>
          </w:p>
        </w:tc>
        <w:tc>
          <w:tcPr>
            <w:tcW w:w="1250" w:type="pct"/>
            <w:noWrap w:val="0"/>
            <w:vAlign w:val="top"/>
          </w:tcPr>
          <w:p w14:paraId="063F3C7A">
            <w:pPr>
              <w:spacing w:line="360" w:lineRule="auto"/>
              <w:rPr>
                <w:rFonts w:hint="eastAsia" w:ascii="宋体" w:hAnsi="宋体" w:eastAsia="宋体" w:cs="宋体"/>
                <w:color w:val="000000"/>
                <w:sz w:val="24"/>
                <w:szCs w:val="24"/>
              </w:rPr>
            </w:pPr>
          </w:p>
        </w:tc>
        <w:tc>
          <w:tcPr>
            <w:tcW w:w="1250" w:type="pct"/>
            <w:noWrap w:val="0"/>
            <w:vAlign w:val="top"/>
          </w:tcPr>
          <w:p w14:paraId="7A04E8D4">
            <w:pPr>
              <w:spacing w:line="360" w:lineRule="auto"/>
              <w:rPr>
                <w:rFonts w:hint="eastAsia" w:ascii="宋体" w:hAnsi="宋体" w:eastAsia="宋体" w:cs="宋体"/>
                <w:color w:val="000000"/>
                <w:sz w:val="24"/>
                <w:szCs w:val="24"/>
              </w:rPr>
            </w:pPr>
          </w:p>
        </w:tc>
        <w:tc>
          <w:tcPr>
            <w:tcW w:w="1250" w:type="pct"/>
            <w:noWrap w:val="0"/>
            <w:vAlign w:val="top"/>
          </w:tcPr>
          <w:p w14:paraId="39F984F0">
            <w:pPr>
              <w:spacing w:line="360" w:lineRule="auto"/>
              <w:rPr>
                <w:rFonts w:hint="eastAsia" w:ascii="宋体" w:hAnsi="宋体" w:eastAsia="宋体" w:cs="宋体"/>
                <w:color w:val="000000"/>
                <w:sz w:val="24"/>
                <w:szCs w:val="24"/>
              </w:rPr>
            </w:pPr>
          </w:p>
        </w:tc>
      </w:tr>
      <w:tr w14:paraId="5ED6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50" w:type="pct"/>
            <w:noWrap w:val="0"/>
            <w:vAlign w:val="top"/>
          </w:tcPr>
          <w:p w14:paraId="0B8ADD6F">
            <w:pPr>
              <w:spacing w:line="360" w:lineRule="auto"/>
              <w:rPr>
                <w:rFonts w:hint="eastAsia" w:ascii="宋体" w:hAnsi="宋体" w:eastAsia="宋体" w:cs="宋体"/>
                <w:color w:val="000000"/>
                <w:sz w:val="24"/>
                <w:szCs w:val="24"/>
              </w:rPr>
            </w:pPr>
          </w:p>
        </w:tc>
        <w:tc>
          <w:tcPr>
            <w:tcW w:w="1250" w:type="pct"/>
            <w:noWrap w:val="0"/>
            <w:vAlign w:val="top"/>
          </w:tcPr>
          <w:p w14:paraId="283A653C">
            <w:pPr>
              <w:spacing w:line="360" w:lineRule="auto"/>
              <w:rPr>
                <w:rFonts w:hint="eastAsia" w:ascii="宋体" w:hAnsi="宋体" w:eastAsia="宋体" w:cs="宋体"/>
                <w:color w:val="000000"/>
                <w:sz w:val="24"/>
                <w:szCs w:val="24"/>
              </w:rPr>
            </w:pPr>
          </w:p>
        </w:tc>
        <w:tc>
          <w:tcPr>
            <w:tcW w:w="1250" w:type="pct"/>
            <w:noWrap w:val="0"/>
            <w:vAlign w:val="top"/>
          </w:tcPr>
          <w:p w14:paraId="294BD223">
            <w:pPr>
              <w:spacing w:line="360" w:lineRule="auto"/>
              <w:rPr>
                <w:rFonts w:hint="eastAsia" w:ascii="宋体" w:hAnsi="宋体" w:eastAsia="宋体" w:cs="宋体"/>
                <w:color w:val="000000"/>
                <w:sz w:val="24"/>
                <w:szCs w:val="24"/>
              </w:rPr>
            </w:pPr>
          </w:p>
        </w:tc>
        <w:tc>
          <w:tcPr>
            <w:tcW w:w="1250" w:type="pct"/>
            <w:noWrap w:val="0"/>
            <w:vAlign w:val="top"/>
          </w:tcPr>
          <w:p w14:paraId="33ED2681">
            <w:pPr>
              <w:spacing w:line="360" w:lineRule="auto"/>
              <w:rPr>
                <w:rFonts w:hint="eastAsia" w:ascii="宋体" w:hAnsi="宋体" w:eastAsia="宋体" w:cs="宋体"/>
                <w:color w:val="000000"/>
                <w:sz w:val="24"/>
                <w:szCs w:val="24"/>
              </w:rPr>
            </w:pPr>
          </w:p>
        </w:tc>
      </w:tr>
      <w:tr w14:paraId="690D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50" w:type="pct"/>
            <w:noWrap w:val="0"/>
            <w:vAlign w:val="top"/>
          </w:tcPr>
          <w:p w14:paraId="7DF6EE99">
            <w:pPr>
              <w:spacing w:line="360" w:lineRule="auto"/>
              <w:rPr>
                <w:rFonts w:hint="eastAsia" w:ascii="宋体" w:hAnsi="宋体" w:eastAsia="宋体" w:cs="宋体"/>
                <w:color w:val="000000"/>
                <w:sz w:val="24"/>
                <w:szCs w:val="24"/>
              </w:rPr>
            </w:pPr>
          </w:p>
        </w:tc>
        <w:tc>
          <w:tcPr>
            <w:tcW w:w="1250" w:type="pct"/>
            <w:noWrap w:val="0"/>
            <w:vAlign w:val="top"/>
          </w:tcPr>
          <w:p w14:paraId="7E8C7AA8">
            <w:pPr>
              <w:spacing w:line="360" w:lineRule="auto"/>
              <w:rPr>
                <w:rFonts w:hint="eastAsia" w:ascii="宋体" w:hAnsi="宋体" w:eastAsia="宋体" w:cs="宋体"/>
                <w:color w:val="000000"/>
                <w:sz w:val="24"/>
                <w:szCs w:val="24"/>
              </w:rPr>
            </w:pPr>
          </w:p>
        </w:tc>
        <w:tc>
          <w:tcPr>
            <w:tcW w:w="1250" w:type="pct"/>
            <w:noWrap w:val="0"/>
            <w:vAlign w:val="top"/>
          </w:tcPr>
          <w:p w14:paraId="55232EB6">
            <w:pPr>
              <w:spacing w:line="360" w:lineRule="auto"/>
              <w:rPr>
                <w:rFonts w:hint="eastAsia" w:ascii="宋体" w:hAnsi="宋体" w:eastAsia="宋体" w:cs="宋体"/>
                <w:color w:val="000000"/>
                <w:sz w:val="24"/>
                <w:szCs w:val="24"/>
              </w:rPr>
            </w:pPr>
          </w:p>
        </w:tc>
        <w:tc>
          <w:tcPr>
            <w:tcW w:w="1250" w:type="pct"/>
            <w:noWrap w:val="0"/>
            <w:vAlign w:val="top"/>
          </w:tcPr>
          <w:p w14:paraId="60E965DD">
            <w:pPr>
              <w:spacing w:line="360" w:lineRule="auto"/>
              <w:rPr>
                <w:rFonts w:hint="eastAsia" w:ascii="宋体" w:hAnsi="宋体" w:eastAsia="宋体" w:cs="宋体"/>
                <w:color w:val="000000"/>
                <w:sz w:val="24"/>
                <w:szCs w:val="24"/>
              </w:rPr>
            </w:pPr>
          </w:p>
        </w:tc>
      </w:tr>
      <w:tr w14:paraId="7403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50" w:type="pct"/>
            <w:noWrap w:val="0"/>
            <w:vAlign w:val="top"/>
          </w:tcPr>
          <w:p w14:paraId="5662AF5A">
            <w:pPr>
              <w:spacing w:line="360" w:lineRule="auto"/>
              <w:rPr>
                <w:rFonts w:hint="eastAsia" w:ascii="宋体" w:hAnsi="宋体" w:eastAsia="宋体" w:cs="宋体"/>
                <w:color w:val="000000"/>
                <w:sz w:val="24"/>
                <w:szCs w:val="24"/>
              </w:rPr>
            </w:pPr>
          </w:p>
        </w:tc>
        <w:tc>
          <w:tcPr>
            <w:tcW w:w="1250" w:type="pct"/>
            <w:noWrap w:val="0"/>
            <w:vAlign w:val="top"/>
          </w:tcPr>
          <w:p w14:paraId="6EACDAB0">
            <w:pPr>
              <w:spacing w:line="360" w:lineRule="auto"/>
              <w:rPr>
                <w:rFonts w:hint="eastAsia" w:ascii="宋体" w:hAnsi="宋体" w:eastAsia="宋体" w:cs="宋体"/>
                <w:color w:val="000000"/>
                <w:sz w:val="24"/>
                <w:szCs w:val="24"/>
              </w:rPr>
            </w:pPr>
          </w:p>
        </w:tc>
        <w:tc>
          <w:tcPr>
            <w:tcW w:w="1250" w:type="pct"/>
            <w:noWrap w:val="0"/>
            <w:vAlign w:val="top"/>
          </w:tcPr>
          <w:p w14:paraId="3E3F817D">
            <w:pPr>
              <w:spacing w:line="360" w:lineRule="auto"/>
              <w:rPr>
                <w:rFonts w:hint="eastAsia" w:ascii="宋体" w:hAnsi="宋体" w:eastAsia="宋体" w:cs="宋体"/>
                <w:color w:val="000000"/>
                <w:sz w:val="24"/>
                <w:szCs w:val="24"/>
              </w:rPr>
            </w:pPr>
          </w:p>
        </w:tc>
        <w:tc>
          <w:tcPr>
            <w:tcW w:w="1250" w:type="pct"/>
            <w:noWrap w:val="0"/>
            <w:vAlign w:val="top"/>
          </w:tcPr>
          <w:p w14:paraId="0F7D3103">
            <w:pPr>
              <w:spacing w:line="360" w:lineRule="auto"/>
              <w:rPr>
                <w:rFonts w:hint="eastAsia" w:ascii="宋体" w:hAnsi="宋体" w:eastAsia="宋体" w:cs="宋体"/>
                <w:color w:val="000000"/>
                <w:sz w:val="24"/>
                <w:szCs w:val="24"/>
              </w:rPr>
            </w:pPr>
          </w:p>
        </w:tc>
      </w:tr>
    </w:tbl>
    <w:p w14:paraId="1252DFE2">
      <w:pPr>
        <w:spacing w:line="360" w:lineRule="auto"/>
        <w:rPr>
          <w:rFonts w:hint="eastAsia" w:ascii="宋体" w:hAnsi="宋体" w:eastAsia="宋体" w:cs="宋体"/>
          <w:b/>
          <w:color w:val="000000"/>
          <w:sz w:val="24"/>
          <w:szCs w:val="24"/>
        </w:rPr>
      </w:pPr>
    </w:p>
    <w:p w14:paraId="0F3AF3DF">
      <w:pPr>
        <w:pStyle w:val="6"/>
        <w:numPr>
          <w:ilvl w:val="0"/>
          <w:numId w:val="62"/>
        </w:numPr>
        <w:tabs>
          <w:tab w:val="clear" w:pos="482"/>
        </w:tabs>
        <w:ind w:left="0" w:leftChars="0" w:firstLine="480" w:firstLineChars="0"/>
        <w:rPr>
          <w:rFonts w:hint="eastAsia" w:ascii="宋体" w:hAnsi="宋体" w:eastAsia="宋体" w:cs="宋体"/>
          <w:sz w:val="24"/>
          <w:szCs w:val="24"/>
        </w:rPr>
      </w:pPr>
      <w:r>
        <w:rPr>
          <w:rFonts w:hint="eastAsia" w:ascii="宋体" w:hAnsi="宋体" w:eastAsia="宋体" w:cs="宋体"/>
          <w:sz w:val="24"/>
          <w:szCs w:val="24"/>
        </w:rPr>
        <w:t>项目管理机构配备情况表</w:t>
      </w:r>
    </w:p>
    <w:p w14:paraId="48F2E836">
      <w:pPr>
        <w:pStyle w:val="7"/>
        <w:numPr>
          <w:ilvl w:val="0"/>
          <w:numId w:val="64"/>
        </w:numPr>
        <w:topLinePunct w:val="0"/>
        <w:ind w:left="0" w:leftChars="0" w:firstLine="482" w:firstLineChars="0"/>
        <w:rPr>
          <w:rFonts w:hint="eastAsia" w:ascii="宋体" w:hAnsi="宋体" w:eastAsia="宋体" w:cs="宋体"/>
          <w:b/>
          <w:sz w:val="24"/>
          <w:szCs w:val="24"/>
        </w:rPr>
      </w:pPr>
      <w:r>
        <w:rPr>
          <w:rFonts w:hint="eastAsia" w:ascii="宋体" w:hAnsi="宋体" w:eastAsia="宋体" w:cs="宋体"/>
          <w:sz w:val="24"/>
          <w:szCs w:val="24"/>
        </w:rPr>
        <w:t>项目管理机构配备情况表</w:t>
      </w:r>
    </w:p>
    <w:p w14:paraId="373575AF">
      <w:pPr>
        <w:pStyle w:val="35"/>
        <w:spacing w:line="360" w:lineRule="auto"/>
        <w:rPr>
          <w:rFonts w:hint="eastAsia" w:ascii="宋体" w:hAnsi="宋体" w:eastAsia="宋体" w:cs="宋体"/>
          <w:color w:val="000000"/>
          <w:sz w:val="24"/>
          <w:szCs w:val="24"/>
          <w:u w:val="single"/>
        </w:rPr>
      </w:pP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785"/>
        <w:gridCol w:w="775"/>
        <w:gridCol w:w="1089"/>
        <w:gridCol w:w="1089"/>
        <w:gridCol w:w="1089"/>
        <w:gridCol w:w="1093"/>
        <w:gridCol w:w="807"/>
        <w:gridCol w:w="1215"/>
      </w:tblGrid>
      <w:tr w14:paraId="5A01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530" w:type="pct"/>
            <w:vMerge w:val="restart"/>
            <w:noWrap w:val="0"/>
            <w:vAlign w:val="center"/>
          </w:tcPr>
          <w:p w14:paraId="6AB045C9">
            <w:pPr>
              <w:spacing w:line="360" w:lineRule="auto"/>
              <w:ind w:left="223" w:hanging="254" w:hangingChars="106"/>
              <w:jc w:val="center"/>
              <w:rPr>
                <w:rFonts w:hint="eastAsia" w:ascii="宋体" w:hAnsi="宋体" w:eastAsia="宋体" w:cs="宋体"/>
                <w:color w:val="000000"/>
                <w:sz w:val="24"/>
                <w:szCs w:val="24"/>
              </w:rPr>
            </w:pPr>
            <w:r>
              <w:rPr>
                <w:rFonts w:hint="eastAsia" w:ascii="宋体" w:hAnsi="宋体" w:eastAsia="宋体" w:cs="宋体"/>
                <w:color w:val="000000"/>
                <w:sz w:val="24"/>
                <w:szCs w:val="24"/>
              </w:rPr>
              <w:t>岗位</w:t>
            </w:r>
          </w:p>
        </w:tc>
        <w:tc>
          <w:tcPr>
            <w:tcW w:w="442" w:type="pct"/>
            <w:vMerge w:val="restart"/>
            <w:noWrap w:val="0"/>
            <w:vAlign w:val="center"/>
          </w:tcPr>
          <w:p w14:paraId="3B45301A">
            <w:pPr>
              <w:spacing w:line="360" w:lineRule="auto"/>
              <w:ind w:left="223" w:hanging="254" w:hangingChars="106"/>
              <w:jc w:val="center"/>
              <w:rPr>
                <w:rFonts w:hint="eastAsia" w:ascii="宋体" w:hAnsi="宋体" w:eastAsia="宋体" w:cs="宋体"/>
                <w:color w:val="000000"/>
                <w:sz w:val="24"/>
                <w:szCs w:val="24"/>
              </w:rPr>
            </w:pPr>
            <w:bookmarkStart w:id="63" w:name="_Toc251052187"/>
            <w:r>
              <w:rPr>
                <w:rFonts w:hint="eastAsia" w:ascii="宋体" w:hAnsi="宋体" w:eastAsia="宋体" w:cs="宋体"/>
                <w:color w:val="000000"/>
                <w:sz w:val="24"/>
                <w:szCs w:val="24"/>
              </w:rPr>
              <w:t>姓名</w:t>
            </w:r>
            <w:bookmarkEnd w:id="63"/>
          </w:p>
        </w:tc>
        <w:tc>
          <w:tcPr>
            <w:tcW w:w="436" w:type="pct"/>
            <w:vMerge w:val="restart"/>
            <w:noWrap w:val="0"/>
            <w:vAlign w:val="center"/>
          </w:tcPr>
          <w:p w14:paraId="162D6062">
            <w:pPr>
              <w:spacing w:line="360" w:lineRule="auto"/>
              <w:ind w:left="223" w:hanging="254" w:hangingChars="106"/>
              <w:jc w:val="center"/>
              <w:rPr>
                <w:rFonts w:hint="eastAsia" w:ascii="宋体" w:hAnsi="宋体" w:eastAsia="宋体" w:cs="宋体"/>
                <w:color w:val="000000"/>
                <w:sz w:val="24"/>
                <w:szCs w:val="24"/>
              </w:rPr>
            </w:pPr>
            <w:bookmarkStart w:id="64" w:name="_Toc251052188"/>
            <w:r>
              <w:rPr>
                <w:rFonts w:hint="eastAsia" w:ascii="宋体" w:hAnsi="宋体" w:eastAsia="宋体" w:cs="宋体"/>
                <w:color w:val="000000"/>
                <w:sz w:val="24"/>
                <w:szCs w:val="24"/>
              </w:rPr>
              <w:t>职称</w:t>
            </w:r>
            <w:bookmarkEnd w:id="64"/>
          </w:p>
        </w:tc>
        <w:tc>
          <w:tcPr>
            <w:tcW w:w="2454" w:type="pct"/>
            <w:gridSpan w:val="4"/>
            <w:noWrap w:val="0"/>
            <w:vAlign w:val="center"/>
          </w:tcPr>
          <w:p w14:paraId="43626930">
            <w:pPr>
              <w:spacing w:line="360" w:lineRule="auto"/>
              <w:ind w:left="223" w:hanging="254" w:hangingChars="106"/>
              <w:jc w:val="center"/>
              <w:rPr>
                <w:rFonts w:hint="eastAsia" w:ascii="宋体" w:hAnsi="宋体" w:eastAsia="宋体" w:cs="宋体"/>
                <w:color w:val="000000"/>
                <w:sz w:val="24"/>
                <w:szCs w:val="24"/>
              </w:rPr>
            </w:pPr>
            <w:bookmarkStart w:id="65" w:name="_Toc251052189"/>
            <w:r>
              <w:rPr>
                <w:rFonts w:hint="eastAsia" w:ascii="宋体" w:hAnsi="宋体" w:eastAsia="宋体" w:cs="宋体"/>
                <w:color w:val="000000"/>
                <w:sz w:val="24"/>
                <w:szCs w:val="24"/>
              </w:rPr>
              <w:t>执业或职业资格证明</w:t>
            </w:r>
            <w:bookmarkEnd w:id="65"/>
          </w:p>
        </w:tc>
        <w:tc>
          <w:tcPr>
            <w:tcW w:w="1136" w:type="pct"/>
            <w:gridSpan w:val="2"/>
            <w:noWrap w:val="0"/>
            <w:vAlign w:val="center"/>
          </w:tcPr>
          <w:p w14:paraId="294D6876">
            <w:pPr>
              <w:spacing w:line="360" w:lineRule="auto"/>
              <w:ind w:left="223" w:hanging="254" w:hangingChars="106"/>
              <w:jc w:val="center"/>
              <w:rPr>
                <w:rFonts w:hint="eastAsia" w:ascii="宋体" w:hAnsi="宋体" w:eastAsia="宋体" w:cs="宋体"/>
                <w:color w:val="000000"/>
                <w:sz w:val="24"/>
                <w:szCs w:val="24"/>
              </w:rPr>
            </w:pPr>
            <w:bookmarkStart w:id="66" w:name="_Toc251052190"/>
            <w:r>
              <w:rPr>
                <w:rFonts w:hint="eastAsia" w:ascii="宋体" w:hAnsi="宋体" w:eastAsia="宋体" w:cs="宋体"/>
                <w:color w:val="000000"/>
                <w:sz w:val="24"/>
                <w:szCs w:val="24"/>
              </w:rPr>
              <w:t>承担完工</w:t>
            </w:r>
            <w:bookmarkEnd w:id="66"/>
            <w:bookmarkStart w:id="67" w:name="_Toc251052191"/>
            <w:r>
              <w:rPr>
                <w:rFonts w:hint="eastAsia" w:ascii="宋体" w:hAnsi="宋体" w:eastAsia="宋体" w:cs="宋体"/>
                <w:color w:val="000000"/>
                <w:sz w:val="24"/>
                <w:szCs w:val="24"/>
              </w:rPr>
              <w:t>工程情况</w:t>
            </w:r>
            <w:bookmarkEnd w:id="67"/>
          </w:p>
        </w:tc>
      </w:tr>
      <w:tr w14:paraId="0E5C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530" w:type="pct"/>
            <w:vMerge w:val="continue"/>
            <w:noWrap w:val="0"/>
            <w:vAlign w:val="center"/>
          </w:tcPr>
          <w:p w14:paraId="7C5858F0">
            <w:pPr>
              <w:spacing w:line="360" w:lineRule="auto"/>
              <w:ind w:left="223" w:hanging="254" w:hangingChars="106"/>
              <w:jc w:val="center"/>
              <w:rPr>
                <w:rFonts w:hint="eastAsia" w:ascii="宋体" w:hAnsi="宋体" w:eastAsia="宋体" w:cs="宋体"/>
                <w:color w:val="000000"/>
                <w:sz w:val="24"/>
                <w:szCs w:val="24"/>
              </w:rPr>
            </w:pPr>
          </w:p>
        </w:tc>
        <w:tc>
          <w:tcPr>
            <w:tcW w:w="442" w:type="pct"/>
            <w:vMerge w:val="continue"/>
            <w:noWrap w:val="0"/>
            <w:vAlign w:val="center"/>
          </w:tcPr>
          <w:p w14:paraId="028791E1">
            <w:pPr>
              <w:spacing w:line="360" w:lineRule="auto"/>
              <w:ind w:left="223" w:hanging="254" w:hangingChars="106"/>
              <w:jc w:val="center"/>
              <w:rPr>
                <w:rFonts w:hint="eastAsia" w:ascii="宋体" w:hAnsi="宋体" w:eastAsia="宋体" w:cs="宋体"/>
                <w:color w:val="000000"/>
                <w:sz w:val="24"/>
                <w:szCs w:val="24"/>
              </w:rPr>
            </w:pPr>
          </w:p>
        </w:tc>
        <w:tc>
          <w:tcPr>
            <w:tcW w:w="436" w:type="pct"/>
            <w:vMerge w:val="continue"/>
            <w:noWrap w:val="0"/>
            <w:vAlign w:val="center"/>
          </w:tcPr>
          <w:p w14:paraId="0DC8E1EB">
            <w:pPr>
              <w:spacing w:line="360" w:lineRule="auto"/>
              <w:ind w:left="223" w:hanging="254" w:hangingChars="106"/>
              <w:jc w:val="center"/>
              <w:rPr>
                <w:rFonts w:hint="eastAsia" w:ascii="宋体" w:hAnsi="宋体" w:eastAsia="宋体" w:cs="宋体"/>
                <w:color w:val="000000"/>
                <w:sz w:val="24"/>
                <w:szCs w:val="24"/>
              </w:rPr>
            </w:pPr>
          </w:p>
        </w:tc>
        <w:tc>
          <w:tcPr>
            <w:tcW w:w="613" w:type="pct"/>
            <w:noWrap w:val="0"/>
            <w:vAlign w:val="center"/>
          </w:tcPr>
          <w:p w14:paraId="3A3C0EF4">
            <w:pPr>
              <w:spacing w:line="360" w:lineRule="auto"/>
              <w:ind w:left="223" w:hanging="254" w:hangingChars="106"/>
              <w:jc w:val="center"/>
              <w:rPr>
                <w:rFonts w:hint="eastAsia" w:ascii="宋体" w:hAnsi="宋体" w:eastAsia="宋体" w:cs="宋体"/>
                <w:color w:val="000000"/>
                <w:sz w:val="24"/>
                <w:szCs w:val="24"/>
              </w:rPr>
            </w:pPr>
            <w:bookmarkStart w:id="68" w:name="_Toc251052192"/>
            <w:r>
              <w:rPr>
                <w:rFonts w:hint="eastAsia" w:ascii="宋体" w:hAnsi="宋体" w:eastAsia="宋体" w:cs="宋体"/>
                <w:color w:val="000000"/>
                <w:sz w:val="24"/>
                <w:szCs w:val="24"/>
              </w:rPr>
              <w:t>证书名称</w:t>
            </w:r>
            <w:bookmarkEnd w:id="68"/>
          </w:p>
        </w:tc>
        <w:tc>
          <w:tcPr>
            <w:tcW w:w="613" w:type="pct"/>
            <w:noWrap w:val="0"/>
            <w:vAlign w:val="center"/>
          </w:tcPr>
          <w:p w14:paraId="785A610E">
            <w:pPr>
              <w:spacing w:line="360" w:lineRule="auto"/>
              <w:ind w:left="223" w:hanging="254" w:hangingChars="106"/>
              <w:jc w:val="center"/>
              <w:rPr>
                <w:rFonts w:hint="eastAsia" w:ascii="宋体" w:hAnsi="宋体" w:eastAsia="宋体" w:cs="宋体"/>
                <w:color w:val="000000"/>
                <w:sz w:val="24"/>
                <w:szCs w:val="24"/>
              </w:rPr>
            </w:pPr>
            <w:bookmarkStart w:id="69" w:name="_Toc251052193"/>
            <w:r>
              <w:rPr>
                <w:rFonts w:hint="eastAsia" w:ascii="宋体" w:hAnsi="宋体" w:eastAsia="宋体" w:cs="宋体"/>
                <w:color w:val="000000"/>
                <w:sz w:val="24"/>
                <w:szCs w:val="24"/>
              </w:rPr>
              <w:t>级别</w:t>
            </w:r>
            <w:bookmarkEnd w:id="69"/>
          </w:p>
        </w:tc>
        <w:tc>
          <w:tcPr>
            <w:tcW w:w="613" w:type="pct"/>
            <w:noWrap w:val="0"/>
            <w:vAlign w:val="center"/>
          </w:tcPr>
          <w:p w14:paraId="1D195C47">
            <w:pPr>
              <w:spacing w:line="360" w:lineRule="auto"/>
              <w:ind w:left="223" w:hanging="254" w:hangingChars="106"/>
              <w:jc w:val="center"/>
              <w:rPr>
                <w:rFonts w:hint="eastAsia" w:ascii="宋体" w:hAnsi="宋体" w:eastAsia="宋体" w:cs="宋体"/>
                <w:color w:val="000000"/>
                <w:sz w:val="24"/>
                <w:szCs w:val="24"/>
              </w:rPr>
            </w:pPr>
            <w:bookmarkStart w:id="70" w:name="_Toc251052194"/>
            <w:r>
              <w:rPr>
                <w:rFonts w:hint="eastAsia" w:ascii="宋体" w:hAnsi="宋体" w:eastAsia="宋体" w:cs="宋体"/>
                <w:color w:val="000000"/>
                <w:sz w:val="24"/>
                <w:szCs w:val="24"/>
              </w:rPr>
              <w:t>证号</w:t>
            </w:r>
            <w:bookmarkEnd w:id="70"/>
          </w:p>
        </w:tc>
        <w:tc>
          <w:tcPr>
            <w:tcW w:w="613" w:type="pct"/>
            <w:noWrap w:val="0"/>
            <w:vAlign w:val="center"/>
          </w:tcPr>
          <w:p w14:paraId="7F0C5488">
            <w:pPr>
              <w:spacing w:line="360" w:lineRule="auto"/>
              <w:ind w:left="223" w:hanging="254" w:hangingChars="106"/>
              <w:jc w:val="center"/>
              <w:rPr>
                <w:rFonts w:hint="eastAsia" w:ascii="宋体" w:hAnsi="宋体" w:eastAsia="宋体" w:cs="宋体"/>
                <w:color w:val="000000"/>
                <w:sz w:val="24"/>
                <w:szCs w:val="24"/>
              </w:rPr>
            </w:pPr>
            <w:bookmarkStart w:id="71" w:name="_Toc251052195"/>
            <w:r>
              <w:rPr>
                <w:rFonts w:hint="eastAsia" w:ascii="宋体" w:hAnsi="宋体" w:eastAsia="宋体" w:cs="宋体"/>
                <w:color w:val="000000"/>
                <w:sz w:val="24"/>
                <w:szCs w:val="24"/>
              </w:rPr>
              <w:t>专业</w:t>
            </w:r>
            <w:bookmarkEnd w:id="71"/>
          </w:p>
        </w:tc>
        <w:tc>
          <w:tcPr>
            <w:tcW w:w="454" w:type="pct"/>
            <w:noWrap w:val="0"/>
            <w:vAlign w:val="center"/>
          </w:tcPr>
          <w:p w14:paraId="1BC30808">
            <w:pPr>
              <w:spacing w:line="360" w:lineRule="auto"/>
              <w:ind w:left="223" w:hanging="254" w:hangingChars="106"/>
              <w:jc w:val="center"/>
              <w:rPr>
                <w:rFonts w:hint="eastAsia" w:ascii="宋体" w:hAnsi="宋体" w:eastAsia="宋体" w:cs="宋体"/>
                <w:color w:val="000000"/>
                <w:sz w:val="24"/>
                <w:szCs w:val="24"/>
              </w:rPr>
            </w:pPr>
            <w:bookmarkStart w:id="72" w:name="_Toc251052197"/>
            <w:r>
              <w:rPr>
                <w:rFonts w:hint="eastAsia" w:ascii="宋体" w:hAnsi="宋体" w:eastAsia="宋体" w:cs="宋体"/>
                <w:color w:val="000000"/>
                <w:sz w:val="24"/>
                <w:szCs w:val="24"/>
              </w:rPr>
              <w:t>项目数</w:t>
            </w:r>
            <w:bookmarkEnd w:id="72"/>
          </w:p>
        </w:tc>
        <w:tc>
          <w:tcPr>
            <w:tcW w:w="682" w:type="pct"/>
            <w:noWrap w:val="0"/>
            <w:vAlign w:val="center"/>
          </w:tcPr>
          <w:p w14:paraId="7883A139">
            <w:pPr>
              <w:spacing w:line="360" w:lineRule="auto"/>
              <w:ind w:left="223" w:hanging="254" w:hangingChars="106"/>
              <w:jc w:val="center"/>
              <w:rPr>
                <w:rFonts w:hint="eastAsia" w:ascii="宋体" w:hAnsi="宋体" w:eastAsia="宋体" w:cs="宋体"/>
                <w:color w:val="000000"/>
                <w:sz w:val="24"/>
                <w:szCs w:val="24"/>
              </w:rPr>
            </w:pPr>
            <w:bookmarkStart w:id="73" w:name="_Toc251052198"/>
            <w:r>
              <w:rPr>
                <w:rFonts w:hint="eastAsia" w:ascii="宋体" w:hAnsi="宋体" w:eastAsia="宋体" w:cs="宋体"/>
                <w:color w:val="000000"/>
                <w:sz w:val="24"/>
                <w:szCs w:val="24"/>
              </w:rPr>
              <w:t>主要项目</w:t>
            </w:r>
          </w:p>
          <w:p w14:paraId="0DE50C0C">
            <w:pPr>
              <w:spacing w:line="360" w:lineRule="auto"/>
              <w:ind w:left="223" w:hanging="254" w:hangingChars="106"/>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名称</w:t>
            </w:r>
            <w:bookmarkEnd w:id="73"/>
          </w:p>
        </w:tc>
      </w:tr>
      <w:tr w14:paraId="141D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noWrap w:val="0"/>
            <w:vAlign w:val="center"/>
          </w:tcPr>
          <w:p w14:paraId="5C6410BB">
            <w:pPr>
              <w:spacing w:line="360" w:lineRule="auto"/>
              <w:ind w:left="223" w:hanging="254" w:hangingChars="106"/>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施工员</w:t>
            </w:r>
          </w:p>
        </w:tc>
        <w:tc>
          <w:tcPr>
            <w:tcW w:w="442" w:type="pct"/>
            <w:noWrap w:val="0"/>
            <w:vAlign w:val="center"/>
          </w:tcPr>
          <w:p w14:paraId="438AF20D">
            <w:pPr>
              <w:spacing w:line="360" w:lineRule="auto"/>
              <w:ind w:left="223" w:hanging="254" w:hangingChars="106"/>
              <w:jc w:val="center"/>
              <w:rPr>
                <w:rFonts w:hint="eastAsia" w:ascii="宋体" w:hAnsi="宋体" w:eastAsia="宋体" w:cs="宋体"/>
                <w:color w:val="000000"/>
                <w:sz w:val="24"/>
                <w:szCs w:val="24"/>
              </w:rPr>
            </w:pPr>
          </w:p>
        </w:tc>
        <w:tc>
          <w:tcPr>
            <w:tcW w:w="436" w:type="pct"/>
            <w:noWrap w:val="0"/>
            <w:vAlign w:val="center"/>
          </w:tcPr>
          <w:p w14:paraId="1EE7B02F">
            <w:pPr>
              <w:spacing w:line="360" w:lineRule="auto"/>
              <w:ind w:left="223" w:hanging="254" w:hangingChars="106"/>
              <w:jc w:val="center"/>
              <w:rPr>
                <w:rFonts w:hint="eastAsia" w:ascii="宋体" w:hAnsi="宋体" w:eastAsia="宋体" w:cs="宋体"/>
                <w:color w:val="000000"/>
                <w:sz w:val="24"/>
                <w:szCs w:val="24"/>
              </w:rPr>
            </w:pPr>
          </w:p>
        </w:tc>
        <w:tc>
          <w:tcPr>
            <w:tcW w:w="613" w:type="pct"/>
            <w:noWrap w:val="0"/>
            <w:vAlign w:val="center"/>
          </w:tcPr>
          <w:p w14:paraId="7618EB22">
            <w:pPr>
              <w:spacing w:line="360" w:lineRule="auto"/>
              <w:ind w:left="223" w:hanging="254" w:hangingChars="106"/>
              <w:jc w:val="center"/>
              <w:rPr>
                <w:rFonts w:hint="eastAsia" w:ascii="宋体" w:hAnsi="宋体" w:eastAsia="宋体" w:cs="宋体"/>
                <w:color w:val="000000"/>
                <w:sz w:val="24"/>
                <w:szCs w:val="24"/>
              </w:rPr>
            </w:pPr>
          </w:p>
        </w:tc>
        <w:tc>
          <w:tcPr>
            <w:tcW w:w="613" w:type="pct"/>
            <w:noWrap w:val="0"/>
            <w:vAlign w:val="center"/>
          </w:tcPr>
          <w:p w14:paraId="4716060C">
            <w:pPr>
              <w:spacing w:line="360" w:lineRule="auto"/>
              <w:ind w:left="223" w:hanging="254" w:hangingChars="106"/>
              <w:jc w:val="center"/>
              <w:rPr>
                <w:rFonts w:hint="eastAsia" w:ascii="宋体" w:hAnsi="宋体" w:eastAsia="宋体" w:cs="宋体"/>
                <w:color w:val="000000"/>
                <w:sz w:val="24"/>
                <w:szCs w:val="24"/>
              </w:rPr>
            </w:pPr>
          </w:p>
        </w:tc>
        <w:tc>
          <w:tcPr>
            <w:tcW w:w="613" w:type="pct"/>
            <w:noWrap w:val="0"/>
            <w:vAlign w:val="center"/>
          </w:tcPr>
          <w:p w14:paraId="4D7C2743">
            <w:pPr>
              <w:spacing w:line="360" w:lineRule="auto"/>
              <w:ind w:left="223" w:hanging="254" w:hangingChars="106"/>
              <w:jc w:val="center"/>
              <w:rPr>
                <w:rFonts w:hint="eastAsia" w:ascii="宋体" w:hAnsi="宋体" w:eastAsia="宋体" w:cs="宋体"/>
                <w:color w:val="000000"/>
                <w:sz w:val="24"/>
                <w:szCs w:val="24"/>
              </w:rPr>
            </w:pPr>
          </w:p>
        </w:tc>
        <w:tc>
          <w:tcPr>
            <w:tcW w:w="613" w:type="pct"/>
            <w:noWrap w:val="0"/>
            <w:vAlign w:val="center"/>
          </w:tcPr>
          <w:p w14:paraId="666972B6">
            <w:pPr>
              <w:spacing w:line="360" w:lineRule="auto"/>
              <w:ind w:left="223" w:hanging="254" w:hangingChars="106"/>
              <w:jc w:val="center"/>
              <w:rPr>
                <w:rFonts w:hint="eastAsia" w:ascii="宋体" w:hAnsi="宋体" w:eastAsia="宋体" w:cs="宋体"/>
                <w:color w:val="000000"/>
                <w:sz w:val="24"/>
                <w:szCs w:val="24"/>
              </w:rPr>
            </w:pPr>
          </w:p>
        </w:tc>
        <w:tc>
          <w:tcPr>
            <w:tcW w:w="454" w:type="pct"/>
            <w:noWrap w:val="0"/>
            <w:vAlign w:val="center"/>
          </w:tcPr>
          <w:p w14:paraId="087BABFC">
            <w:pPr>
              <w:spacing w:line="360" w:lineRule="auto"/>
              <w:ind w:left="223" w:hanging="254" w:hangingChars="106"/>
              <w:jc w:val="center"/>
              <w:rPr>
                <w:rFonts w:hint="eastAsia" w:ascii="宋体" w:hAnsi="宋体" w:eastAsia="宋体" w:cs="宋体"/>
                <w:color w:val="000000"/>
                <w:sz w:val="24"/>
                <w:szCs w:val="24"/>
              </w:rPr>
            </w:pPr>
          </w:p>
        </w:tc>
        <w:tc>
          <w:tcPr>
            <w:tcW w:w="682" w:type="pct"/>
            <w:noWrap w:val="0"/>
            <w:vAlign w:val="center"/>
          </w:tcPr>
          <w:p w14:paraId="52BDAE0C">
            <w:pPr>
              <w:spacing w:line="360" w:lineRule="auto"/>
              <w:ind w:left="223" w:hanging="254" w:hangingChars="106"/>
              <w:jc w:val="center"/>
              <w:rPr>
                <w:rFonts w:hint="eastAsia" w:ascii="宋体" w:hAnsi="宋体" w:eastAsia="宋体" w:cs="宋体"/>
                <w:color w:val="000000"/>
                <w:sz w:val="24"/>
                <w:szCs w:val="24"/>
              </w:rPr>
            </w:pPr>
          </w:p>
        </w:tc>
      </w:tr>
      <w:tr w14:paraId="1656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noWrap w:val="0"/>
            <w:vAlign w:val="center"/>
          </w:tcPr>
          <w:p w14:paraId="3855C18E">
            <w:pPr>
              <w:spacing w:line="360" w:lineRule="auto"/>
              <w:ind w:left="223" w:hanging="254" w:hangingChars="106"/>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质量员</w:t>
            </w:r>
          </w:p>
        </w:tc>
        <w:tc>
          <w:tcPr>
            <w:tcW w:w="442" w:type="pct"/>
            <w:noWrap w:val="0"/>
            <w:vAlign w:val="center"/>
          </w:tcPr>
          <w:p w14:paraId="74A98F7D">
            <w:pPr>
              <w:spacing w:line="360" w:lineRule="auto"/>
              <w:ind w:left="223" w:hanging="254" w:hangingChars="106"/>
              <w:jc w:val="center"/>
              <w:rPr>
                <w:rFonts w:hint="eastAsia" w:ascii="宋体" w:hAnsi="宋体" w:eastAsia="宋体" w:cs="宋体"/>
                <w:color w:val="000000"/>
                <w:sz w:val="24"/>
                <w:szCs w:val="24"/>
              </w:rPr>
            </w:pPr>
          </w:p>
        </w:tc>
        <w:tc>
          <w:tcPr>
            <w:tcW w:w="436" w:type="pct"/>
            <w:noWrap w:val="0"/>
            <w:vAlign w:val="center"/>
          </w:tcPr>
          <w:p w14:paraId="2628E84C">
            <w:pPr>
              <w:spacing w:line="360" w:lineRule="auto"/>
              <w:ind w:left="223" w:hanging="254" w:hangingChars="106"/>
              <w:jc w:val="center"/>
              <w:rPr>
                <w:rFonts w:hint="eastAsia" w:ascii="宋体" w:hAnsi="宋体" w:eastAsia="宋体" w:cs="宋体"/>
                <w:color w:val="000000"/>
                <w:sz w:val="24"/>
                <w:szCs w:val="24"/>
              </w:rPr>
            </w:pPr>
          </w:p>
        </w:tc>
        <w:tc>
          <w:tcPr>
            <w:tcW w:w="613" w:type="pct"/>
            <w:noWrap w:val="0"/>
            <w:vAlign w:val="center"/>
          </w:tcPr>
          <w:p w14:paraId="0692353B">
            <w:pPr>
              <w:spacing w:line="360" w:lineRule="auto"/>
              <w:ind w:left="223" w:hanging="254" w:hangingChars="106"/>
              <w:jc w:val="center"/>
              <w:rPr>
                <w:rFonts w:hint="eastAsia" w:ascii="宋体" w:hAnsi="宋体" w:eastAsia="宋体" w:cs="宋体"/>
                <w:color w:val="000000"/>
                <w:sz w:val="24"/>
                <w:szCs w:val="24"/>
              </w:rPr>
            </w:pPr>
          </w:p>
        </w:tc>
        <w:tc>
          <w:tcPr>
            <w:tcW w:w="613" w:type="pct"/>
            <w:noWrap w:val="0"/>
            <w:vAlign w:val="center"/>
          </w:tcPr>
          <w:p w14:paraId="3355473B">
            <w:pPr>
              <w:spacing w:line="360" w:lineRule="auto"/>
              <w:ind w:left="223" w:hanging="254" w:hangingChars="106"/>
              <w:jc w:val="center"/>
              <w:rPr>
                <w:rFonts w:hint="eastAsia" w:ascii="宋体" w:hAnsi="宋体" w:eastAsia="宋体" w:cs="宋体"/>
                <w:color w:val="000000"/>
                <w:sz w:val="24"/>
                <w:szCs w:val="24"/>
              </w:rPr>
            </w:pPr>
          </w:p>
        </w:tc>
        <w:tc>
          <w:tcPr>
            <w:tcW w:w="613" w:type="pct"/>
            <w:noWrap w:val="0"/>
            <w:vAlign w:val="center"/>
          </w:tcPr>
          <w:p w14:paraId="7B43A63F">
            <w:pPr>
              <w:spacing w:line="360" w:lineRule="auto"/>
              <w:ind w:left="223" w:hanging="254" w:hangingChars="106"/>
              <w:jc w:val="center"/>
              <w:rPr>
                <w:rFonts w:hint="eastAsia" w:ascii="宋体" w:hAnsi="宋体" w:eastAsia="宋体" w:cs="宋体"/>
                <w:color w:val="000000"/>
                <w:sz w:val="24"/>
                <w:szCs w:val="24"/>
              </w:rPr>
            </w:pPr>
          </w:p>
        </w:tc>
        <w:tc>
          <w:tcPr>
            <w:tcW w:w="613" w:type="pct"/>
            <w:noWrap w:val="0"/>
            <w:vAlign w:val="center"/>
          </w:tcPr>
          <w:p w14:paraId="1291D614">
            <w:pPr>
              <w:spacing w:line="360" w:lineRule="auto"/>
              <w:ind w:left="223" w:hanging="254" w:hangingChars="106"/>
              <w:jc w:val="center"/>
              <w:rPr>
                <w:rFonts w:hint="eastAsia" w:ascii="宋体" w:hAnsi="宋体" w:eastAsia="宋体" w:cs="宋体"/>
                <w:color w:val="000000"/>
                <w:sz w:val="24"/>
                <w:szCs w:val="24"/>
              </w:rPr>
            </w:pPr>
          </w:p>
        </w:tc>
        <w:tc>
          <w:tcPr>
            <w:tcW w:w="454" w:type="pct"/>
            <w:noWrap w:val="0"/>
            <w:vAlign w:val="center"/>
          </w:tcPr>
          <w:p w14:paraId="574B1890">
            <w:pPr>
              <w:spacing w:line="360" w:lineRule="auto"/>
              <w:ind w:left="223" w:hanging="254" w:hangingChars="106"/>
              <w:jc w:val="center"/>
              <w:rPr>
                <w:rFonts w:hint="eastAsia" w:ascii="宋体" w:hAnsi="宋体" w:eastAsia="宋体" w:cs="宋体"/>
                <w:color w:val="000000"/>
                <w:sz w:val="24"/>
                <w:szCs w:val="24"/>
              </w:rPr>
            </w:pPr>
          </w:p>
        </w:tc>
        <w:tc>
          <w:tcPr>
            <w:tcW w:w="682" w:type="pct"/>
            <w:noWrap w:val="0"/>
            <w:vAlign w:val="center"/>
          </w:tcPr>
          <w:p w14:paraId="6D407F1F">
            <w:pPr>
              <w:spacing w:line="360" w:lineRule="auto"/>
              <w:ind w:left="223" w:hanging="254" w:hangingChars="106"/>
              <w:jc w:val="center"/>
              <w:rPr>
                <w:rFonts w:hint="eastAsia" w:ascii="宋体" w:hAnsi="宋体" w:eastAsia="宋体" w:cs="宋体"/>
                <w:color w:val="000000"/>
                <w:sz w:val="24"/>
                <w:szCs w:val="24"/>
              </w:rPr>
            </w:pPr>
          </w:p>
        </w:tc>
      </w:tr>
      <w:tr w14:paraId="2157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vMerge w:val="restart"/>
            <w:noWrap w:val="0"/>
            <w:vAlign w:val="center"/>
          </w:tcPr>
          <w:p w14:paraId="3E4307FF">
            <w:pPr>
              <w:spacing w:line="360" w:lineRule="auto"/>
              <w:ind w:left="223" w:hanging="254" w:hangingChars="106"/>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安全员</w:t>
            </w:r>
          </w:p>
        </w:tc>
        <w:tc>
          <w:tcPr>
            <w:tcW w:w="442" w:type="pct"/>
            <w:noWrap w:val="0"/>
            <w:vAlign w:val="center"/>
          </w:tcPr>
          <w:p w14:paraId="77B1C58B">
            <w:pPr>
              <w:spacing w:line="360" w:lineRule="auto"/>
              <w:ind w:left="223" w:hanging="254" w:hangingChars="106"/>
              <w:jc w:val="center"/>
              <w:rPr>
                <w:rFonts w:hint="eastAsia" w:ascii="宋体" w:hAnsi="宋体" w:eastAsia="宋体" w:cs="宋体"/>
                <w:color w:val="000000"/>
                <w:sz w:val="24"/>
                <w:szCs w:val="24"/>
              </w:rPr>
            </w:pPr>
          </w:p>
        </w:tc>
        <w:tc>
          <w:tcPr>
            <w:tcW w:w="436" w:type="pct"/>
            <w:noWrap w:val="0"/>
            <w:vAlign w:val="center"/>
          </w:tcPr>
          <w:p w14:paraId="1935E5A3">
            <w:pPr>
              <w:spacing w:line="360" w:lineRule="auto"/>
              <w:ind w:left="223" w:hanging="254" w:hangingChars="106"/>
              <w:jc w:val="center"/>
              <w:rPr>
                <w:rFonts w:hint="eastAsia" w:ascii="宋体" w:hAnsi="宋体" w:eastAsia="宋体" w:cs="宋体"/>
                <w:color w:val="000000"/>
                <w:sz w:val="24"/>
                <w:szCs w:val="24"/>
              </w:rPr>
            </w:pPr>
          </w:p>
        </w:tc>
        <w:tc>
          <w:tcPr>
            <w:tcW w:w="613" w:type="pct"/>
            <w:noWrap w:val="0"/>
            <w:vAlign w:val="center"/>
          </w:tcPr>
          <w:p w14:paraId="668F69D7">
            <w:pPr>
              <w:spacing w:line="360" w:lineRule="auto"/>
              <w:ind w:left="223" w:hanging="254" w:hangingChars="106"/>
              <w:jc w:val="center"/>
              <w:rPr>
                <w:rFonts w:hint="eastAsia" w:ascii="宋体" w:hAnsi="宋体" w:eastAsia="宋体" w:cs="宋体"/>
                <w:color w:val="000000"/>
                <w:sz w:val="24"/>
                <w:szCs w:val="24"/>
              </w:rPr>
            </w:pPr>
          </w:p>
        </w:tc>
        <w:tc>
          <w:tcPr>
            <w:tcW w:w="613" w:type="pct"/>
            <w:noWrap w:val="0"/>
            <w:vAlign w:val="center"/>
          </w:tcPr>
          <w:p w14:paraId="3CD0CD00">
            <w:pPr>
              <w:spacing w:line="360" w:lineRule="auto"/>
              <w:ind w:left="223" w:hanging="254" w:hangingChars="106"/>
              <w:jc w:val="center"/>
              <w:rPr>
                <w:rFonts w:hint="eastAsia" w:ascii="宋体" w:hAnsi="宋体" w:eastAsia="宋体" w:cs="宋体"/>
                <w:color w:val="000000"/>
                <w:sz w:val="24"/>
                <w:szCs w:val="24"/>
              </w:rPr>
            </w:pPr>
          </w:p>
        </w:tc>
        <w:tc>
          <w:tcPr>
            <w:tcW w:w="613" w:type="pct"/>
            <w:noWrap w:val="0"/>
            <w:vAlign w:val="center"/>
          </w:tcPr>
          <w:p w14:paraId="2720ECE2">
            <w:pPr>
              <w:spacing w:line="360" w:lineRule="auto"/>
              <w:ind w:left="223" w:hanging="254" w:hangingChars="106"/>
              <w:jc w:val="center"/>
              <w:rPr>
                <w:rFonts w:hint="eastAsia" w:ascii="宋体" w:hAnsi="宋体" w:eastAsia="宋体" w:cs="宋体"/>
                <w:color w:val="000000"/>
                <w:sz w:val="24"/>
                <w:szCs w:val="24"/>
              </w:rPr>
            </w:pPr>
          </w:p>
        </w:tc>
        <w:tc>
          <w:tcPr>
            <w:tcW w:w="613" w:type="pct"/>
            <w:noWrap w:val="0"/>
            <w:vAlign w:val="center"/>
          </w:tcPr>
          <w:p w14:paraId="6CDB0C91">
            <w:pPr>
              <w:spacing w:line="360" w:lineRule="auto"/>
              <w:ind w:left="223" w:hanging="254" w:hangingChars="106"/>
              <w:jc w:val="center"/>
              <w:rPr>
                <w:rFonts w:hint="eastAsia" w:ascii="宋体" w:hAnsi="宋体" w:eastAsia="宋体" w:cs="宋体"/>
                <w:color w:val="000000"/>
                <w:sz w:val="24"/>
                <w:szCs w:val="24"/>
              </w:rPr>
            </w:pPr>
          </w:p>
        </w:tc>
        <w:tc>
          <w:tcPr>
            <w:tcW w:w="454" w:type="pct"/>
            <w:noWrap w:val="0"/>
            <w:vAlign w:val="center"/>
          </w:tcPr>
          <w:p w14:paraId="7D13D200">
            <w:pPr>
              <w:spacing w:line="360" w:lineRule="auto"/>
              <w:ind w:left="223" w:hanging="254" w:hangingChars="106"/>
              <w:jc w:val="center"/>
              <w:rPr>
                <w:rFonts w:hint="eastAsia" w:ascii="宋体" w:hAnsi="宋体" w:eastAsia="宋体" w:cs="宋体"/>
                <w:color w:val="000000"/>
                <w:sz w:val="24"/>
                <w:szCs w:val="24"/>
              </w:rPr>
            </w:pPr>
          </w:p>
        </w:tc>
        <w:tc>
          <w:tcPr>
            <w:tcW w:w="682" w:type="pct"/>
            <w:noWrap w:val="0"/>
            <w:vAlign w:val="center"/>
          </w:tcPr>
          <w:p w14:paraId="0E949CE0">
            <w:pPr>
              <w:spacing w:line="360" w:lineRule="auto"/>
              <w:ind w:left="223" w:hanging="254" w:hangingChars="106"/>
              <w:jc w:val="center"/>
              <w:rPr>
                <w:rFonts w:hint="eastAsia" w:ascii="宋体" w:hAnsi="宋体" w:eastAsia="宋体" w:cs="宋体"/>
                <w:color w:val="000000"/>
                <w:sz w:val="24"/>
                <w:szCs w:val="24"/>
              </w:rPr>
            </w:pPr>
          </w:p>
        </w:tc>
      </w:tr>
      <w:tr w14:paraId="75EA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vMerge w:val="continue"/>
            <w:noWrap w:val="0"/>
            <w:vAlign w:val="center"/>
          </w:tcPr>
          <w:p w14:paraId="73E1FA93">
            <w:pPr>
              <w:spacing w:line="360" w:lineRule="auto"/>
              <w:ind w:left="223" w:hanging="254" w:hangingChars="106"/>
              <w:jc w:val="center"/>
              <w:rPr>
                <w:rFonts w:hint="eastAsia" w:ascii="宋体" w:hAnsi="宋体" w:eastAsia="宋体" w:cs="宋体"/>
                <w:color w:val="000000"/>
                <w:sz w:val="24"/>
                <w:szCs w:val="24"/>
              </w:rPr>
            </w:pPr>
          </w:p>
        </w:tc>
        <w:tc>
          <w:tcPr>
            <w:tcW w:w="442" w:type="pct"/>
            <w:noWrap w:val="0"/>
            <w:vAlign w:val="center"/>
          </w:tcPr>
          <w:p w14:paraId="52A4FC65">
            <w:pPr>
              <w:spacing w:line="360" w:lineRule="auto"/>
              <w:ind w:left="223" w:hanging="254" w:hangingChars="106"/>
              <w:jc w:val="center"/>
              <w:rPr>
                <w:rFonts w:hint="eastAsia" w:ascii="宋体" w:hAnsi="宋体" w:eastAsia="宋体" w:cs="宋体"/>
                <w:color w:val="000000"/>
                <w:sz w:val="24"/>
                <w:szCs w:val="24"/>
              </w:rPr>
            </w:pPr>
          </w:p>
        </w:tc>
        <w:tc>
          <w:tcPr>
            <w:tcW w:w="436" w:type="pct"/>
            <w:noWrap w:val="0"/>
            <w:vAlign w:val="center"/>
          </w:tcPr>
          <w:p w14:paraId="047B1F5A">
            <w:pPr>
              <w:spacing w:line="360" w:lineRule="auto"/>
              <w:ind w:left="223" w:hanging="254" w:hangingChars="106"/>
              <w:jc w:val="center"/>
              <w:rPr>
                <w:rFonts w:hint="eastAsia" w:ascii="宋体" w:hAnsi="宋体" w:eastAsia="宋体" w:cs="宋体"/>
                <w:color w:val="000000"/>
                <w:sz w:val="24"/>
                <w:szCs w:val="24"/>
              </w:rPr>
            </w:pPr>
          </w:p>
        </w:tc>
        <w:tc>
          <w:tcPr>
            <w:tcW w:w="613" w:type="pct"/>
            <w:noWrap w:val="0"/>
            <w:vAlign w:val="center"/>
          </w:tcPr>
          <w:p w14:paraId="451B6C03">
            <w:pPr>
              <w:spacing w:line="360" w:lineRule="auto"/>
              <w:ind w:left="223" w:hanging="254" w:hangingChars="106"/>
              <w:jc w:val="center"/>
              <w:rPr>
                <w:rFonts w:hint="eastAsia" w:ascii="宋体" w:hAnsi="宋体" w:eastAsia="宋体" w:cs="宋体"/>
                <w:color w:val="000000"/>
                <w:sz w:val="24"/>
                <w:szCs w:val="24"/>
              </w:rPr>
            </w:pPr>
          </w:p>
        </w:tc>
        <w:tc>
          <w:tcPr>
            <w:tcW w:w="613" w:type="pct"/>
            <w:noWrap w:val="0"/>
            <w:vAlign w:val="center"/>
          </w:tcPr>
          <w:p w14:paraId="0A68D039">
            <w:pPr>
              <w:spacing w:line="360" w:lineRule="auto"/>
              <w:ind w:left="223" w:hanging="254" w:hangingChars="106"/>
              <w:jc w:val="center"/>
              <w:rPr>
                <w:rFonts w:hint="eastAsia" w:ascii="宋体" w:hAnsi="宋体" w:eastAsia="宋体" w:cs="宋体"/>
                <w:color w:val="000000"/>
                <w:sz w:val="24"/>
                <w:szCs w:val="24"/>
              </w:rPr>
            </w:pPr>
          </w:p>
        </w:tc>
        <w:tc>
          <w:tcPr>
            <w:tcW w:w="613" w:type="pct"/>
            <w:noWrap w:val="0"/>
            <w:vAlign w:val="center"/>
          </w:tcPr>
          <w:p w14:paraId="02FEE238">
            <w:pPr>
              <w:spacing w:line="360" w:lineRule="auto"/>
              <w:ind w:left="223" w:hanging="254" w:hangingChars="106"/>
              <w:jc w:val="center"/>
              <w:rPr>
                <w:rFonts w:hint="eastAsia" w:ascii="宋体" w:hAnsi="宋体" w:eastAsia="宋体" w:cs="宋体"/>
                <w:color w:val="000000"/>
                <w:sz w:val="24"/>
                <w:szCs w:val="24"/>
              </w:rPr>
            </w:pPr>
          </w:p>
        </w:tc>
        <w:tc>
          <w:tcPr>
            <w:tcW w:w="613" w:type="pct"/>
            <w:noWrap w:val="0"/>
            <w:vAlign w:val="center"/>
          </w:tcPr>
          <w:p w14:paraId="23BD30EA">
            <w:pPr>
              <w:spacing w:line="360" w:lineRule="auto"/>
              <w:ind w:left="223" w:hanging="254" w:hangingChars="106"/>
              <w:jc w:val="center"/>
              <w:rPr>
                <w:rFonts w:hint="eastAsia" w:ascii="宋体" w:hAnsi="宋体" w:eastAsia="宋体" w:cs="宋体"/>
                <w:color w:val="000000"/>
                <w:sz w:val="24"/>
                <w:szCs w:val="24"/>
              </w:rPr>
            </w:pPr>
          </w:p>
        </w:tc>
        <w:tc>
          <w:tcPr>
            <w:tcW w:w="454" w:type="pct"/>
            <w:noWrap w:val="0"/>
            <w:vAlign w:val="center"/>
          </w:tcPr>
          <w:p w14:paraId="5924D5C8">
            <w:pPr>
              <w:spacing w:line="360" w:lineRule="auto"/>
              <w:ind w:left="223" w:hanging="254" w:hangingChars="106"/>
              <w:jc w:val="center"/>
              <w:rPr>
                <w:rFonts w:hint="eastAsia" w:ascii="宋体" w:hAnsi="宋体" w:eastAsia="宋体" w:cs="宋体"/>
                <w:color w:val="000000"/>
                <w:sz w:val="24"/>
                <w:szCs w:val="24"/>
              </w:rPr>
            </w:pPr>
          </w:p>
        </w:tc>
        <w:tc>
          <w:tcPr>
            <w:tcW w:w="682" w:type="pct"/>
            <w:noWrap w:val="0"/>
            <w:vAlign w:val="center"/>
          </w:tcPr>
          <w:p w14:paraId="33D30A76">
            <w:pPr>
              <w:spacing w:line="360" w:lineRule="auto"/>
              <w:ind w:left="223" w:hanging="254" w:hangingChars="106"/>
              <w:jc w:val="center"/>
              <w:rPr>
                <w:rFonts w:hint="eastAsia" w:ascii="宋体" w:hAnsi="宋体" w:eastAsia="宋体" w:cs="宋体"/>
                <w:color w:val="000000"/>
                <w:sz w:val="24"/>
                <w:szCs w:val="24"/>
              </w:rPr>
            </w:pPr>
          </w:p>
        </w:tc>
      </w:tr>
      <w:tr w14:paraId="098A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vMerge w:val="continue"/>
            <w:noWrap w:val="0"/>
            <w:vAlign w:val="center"/>
          </w:tcPr>
          <w:p w14:paraId="5BD42F08">
            <w:pPr>
              <w:spacing w:line="360" w:lineRule="auto"/>
              <w:ind w:left="223" w:hanging="254" w:hangingChars="106"/>
              <w:jc w:val="center"/>
              <w:rPr>
                <w:rFonts w:hint="eastAsia" w:ascii="宋体" w:hAnsi="宋体" w:eastAsia="宋体" w:cs="宋体"/>
                <w:color w:val="000000"/>
                <w:sz w:val="24"/>
                <w:szCs w:val="24"/>
              </w:rPr>
            </w:pPr>
          </w:p>
        </w:tc>
        <w:tc>
          <w:tcPr>
            <w:tcW w:w="442" w:type="pct"/>
            <w:noWrap w:val="0"/>
            <w:vAlign w:val="center"/>
          </w:tcPr>
          <w:p w14:paraId="4BC01100">
            <w:pPr>
              <w:spacing w:line="360" w:lineRule="auto"/>
              <w:ind w:left="223" w:hanging="254" w:hangingChars="106"/>
              <w:jc w:val="center"/>
              <w:rPr>
                <w:rFonts w:hint="eastAsia" w:ascii="宋体" w:hAnsi="宋体" w:eastAsia="宋体" w:cs="宋体"/>
                <w:color w:val="000000"/>
                <w:sz w:val="24"/>
                <w:szCs w:val="24"/>
              </w:rPr>
            </w:pPr>
          </w:p>
        </w:tc>
        <w:tc>
          <w:tcPr>
            <w:tcW w:w="436" w:type="pct"/>
            <w:noWrap w:val="0"/>
            <w:vAlign w:val="center"/>
          </w:tcPr>
          <w:p w14:paraId="6CA353A4">
            <w:pPr>
              <w:spacing w:line="360" w:lineRule="auto"/>
              <w:ind w:left="223" w:hanging="254" w:hangingChars="106"/>
              <w:jc w:val="center"/>
              <w:rPr>
                <w:rFonts w:hint="eastAsia" w:ascii="宋体" w:hAnsi="宋体" w:eastAsia="宋体" w:cs="宋体"/>
                <w:color w:val="000000"/>
                <w:sz w:val="24"/>
                <w:szCs w:val="24"/>
              </w:rPr>
            </w:pPr>
          </w:p>
        </w:tc>
        <w:tc>
          <w:tcPr>
            <w:tcW w:w="613" w:type="pct"/>
            <w:noWrap w:val="0"/>
            <w:vAlign w:val="center"/>
          </w:tcPr>
          <w:p w14:paraId="7F0EF7EA">
            <w:pPr>
              <w:spacing w:line="360" w:lineRule="auto"/>
              <w:ind w:left="223" w:hanging="254" w:hangingChars="106"/>
              <w:jc w:val="center"/>
              <w:rPr>
                <w:rFonts w:hint="eastAsia" w:ascii="宋体" w:hAnsi="宋体" w:eastAsia="宋体" w:cs="宋体"/>
                <w:color w:val="000000"/>
                <w:sz w:val="24"/>
                <w:szCs w:val="24"/>
              </w:rPr>
            </w:pPr>
          </w:p>
        </w:tc>
        <w:tc>
          <w:tcPr>
            <w:tcW w:w="613" w:type="pct"/>
            <w:noWrap w:val="0"/>
            <w:vAlign w:val="center"/>
          </w:tcPr>
          <w:p w14:paraId="5562FD3E">
            <w:pPr>
              <w:spacing w:line="360" w:lineRule="auto"/>
              <w:ind w:left="223" w:hanging="254" w:hangingChars="106"/>
              <w:jc w:val="center"/>
              <w:rPr>
                <w:rFonts w:hint="eastAsia" w:ascii="宋体" w:hAnsi="宋体" w:eastAsia="宋体" w:cs="宋体"/>
                <w:color w:val="000000"/>
                <w:sz w:val="24"/>
                <w:szCs w:val="24"/>
              </w:rPr>
            </w:pPr>
          </w:p>
        </w:tc>
        <w:tc>
          <w:tcPr>
            <w:tcW w:w="613" w:type="pct"/>
            <w:noWrap w:val="0"/>
            <w:vAlign w:val="center"/>
          </w:tcPr>
          <w:p w14:paraId="7215EEFF">
            <w:pPr>
              <w:spacing w:line="360" w:lineRule="auto"/>
              <w:ind w:left="223" w:hanging="254" w:hangingChars="106"/>
              <w:jc w:val="center"/>
              <w:rPr>
                <w:rFonts w:hint="eastAsia" w:ascii="宋体" w:hAnsi="宋体" w:eastAsia="宋体" w:cs="宋体"/>
                <w:color w:val="000000"/>
                <w:sz w:val="24"/>
                <w:szCs w:val="24"/>
              </w:rPr>
            </w:pPr>
          </w:p>
        </w:tc>
        <w:tc>
          <w:tcPr>
            <w:tcW w:w="613" w:type="pct"/>
            <w:noWrap w:val="0"/>
            <w:vAlign w:val="center"/>
          </w:tcPr>
          <w:p w14:paraId="041F5B48">
            <w:pPr>
              <w:spacing w:line="360" w:lineRule="auto"/>
              <w:ind w:left="223" w:hanging="254" w:hangingChars="106"/>
              <w:jc w:val="center"/>
              <w:rPr>
                <w:rFonts w:hint="eastAsia" w:ascii="宋体" w:hAnsi="宋体" w:eastAsia="宋体" w:cs="宋体"/>
                <w:color w:val="000000"/>
                <w:sz w:val="24"/>
                <w:szCs w:val="24"/>
              </w:rPr>
            </w:pPr>
          </w:p>
        </w:tc>
        <w:tc>
          <w:tcPr>
            <w:tcW w:w="454" w:type="pct"/>
            <w:noWrap w:val="0"/>
            <w:vAlign w:val="center"/>
          </w:tcPr>
          <w:p w14:paraId="0E42F325">
            <w:pPr>
              <w:spacing w:line="360" w:lineRule="auto"/>
              <w:ind w:left="223" w:hanging="254" w:hangingChars="106"/>
              <w:jc w:val="center"/>
              <w:rPr>
                <w:rFonts w:hint="eastAsia" w:ascii="宋体" w:hAnsi="宋体" w:eastAsia="宋体" w:cs="宋体"/>
                <w:color w:val="000000"/>
                <w:sz w:val="24"/>
                <w:szCs w:val="24"/>
              </w:rPr>
            </w:pPr>
          </w:p>
        </w:tc>
        <w:tc>
          <w:tcPr>
            <w:tcW w:w="682" w:type="pct"/>
            <w:noWrap w:val="0"/>
            <w:vAlign w:val="center"/>
          </w:tcPr>
          <w:p w14:paraId="2193BA0C">
            <w:pPr>
              <w:spacing w:line="360" w:lineRule="auto"/>
              <w:ind w:left="223" w:hanging="254" w:hangingChars="106"/>
              <w:jc w:val="center"/>
              <w:rPr>
                <w:rFonts w:hint="eastAsia" w:ascii="宋体" w:hAnsi="宋体" w:eastAsia="宋体" w:cs="宋体"/>
                <w:color w:val="000000"/>
                <w:sz w:val="24"/>
                <w:szCs w:val="24"/>
              </w:rPr>
            </w:pPr>
          </w:p>
        </w:tc>
      </w:tr>
      <w:tr w14:paraId="2F59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noWrap w:val="0"/>
            <w:vAlign w:val="center"/>
          </w:tcPr>
          <w:p w14:paraId="2CBD75BF">
            <w:pPr>
              <w:spacing w:line="360" w:lineRule="auto"/>
              <w:ind w:left="223" w:hanging="254" w:hangingChars="106"/>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材料员</w:t>
            </w:r>
          </w:p>
        </w:tc>
        <w:tc>
          <w:tcPr>
            <w:tcW w:w="442" w:type="pct"/>
            <w:noWrap w:val="0"/>
            <w:vAlign w:val="center"/>
          </w:tcPr>
          <w:p w14:paraId="4C21B2CA">
            <w:pPr>
              <w:spacing w:line="360" w:lineRule="auto"/>
              <w:ind w:left="223" w:hanging="254" w:hangingChars="106"/>
              <w:jc w:val="center"/>
              <w:rPr>
                <w:rFonts w:hint="eastAsia" w:ascii="宋体" w:hAnsi="宋体" w:eastAsia="宋体" w:cs="宋体"/>
                <w:color w:val="000000"/>
                <w:sz w:val="24"/>
                <w:szCs w:val="24"/>
              </w:rPr>
            </w:pPr>
          </w:p>
        </w:tc>
        <w:tc>
          <w:tcPr>
            <w:tcW w:w="436" w:type="pct"/>
            <w:noWrap w:val="0"/>
            <w:vAlign w:val="center"/>
          </w:tcPr>
          <w:p w14:paraId="0F73B1F9">
            <w:pPr>
              <w:spacing w:line="360" w:lineRule="auto"/>
              <w:ind w:left="223" w:hanging="254" w:hangingChars="106"/>
              <w:jc w:val="center"/>
              <w:rPr>
                <w:rFonts w:hint="eastAsia" w:ascii="宋体" w:hAnsi="宋体" w:eastAsia="宋体" w:cs="宋体"/>
                <w:color w:val="000000"/>
                <w:sz w:val="24"/>
                <w:szCs w:val="24"/>
              </w:rPr>
            </w:pPr>
          </w:p>
        </w:tc>
        <w:tc>
          <w:tcPr>
            <w:tcW w:w="613" w:type="pct"/>
            <w:noWrap w:val="0"/>
            <w:vAlign w:val="center"/>
          </w:tcPr>
          <w:p w14:paraId="014949EF">
            <w:pPr>
              <w:spacing w:line="360" w:lineRule="auto"/>
              <w:ind w:left="223" w:hanging="254" w:hangingChars="106"/>
              <w:jc w:val="center"/>
              <w:rPr>
                <w:rFonts w:hint="eastAsia" w:ascii="宋体" w:hAnsi="宋体" w:eastAsia="宋体" w:cs="宋体"/>
                <w:color w:val="000000"/>
                <w:sz w:val="24"/>
                <w:szCs w:val="24"/>
              </w:rPr>
            </w:pPr>
          </w:p>
        </w:tc>
        <w:tc>
          <w:tcPr>
            <w:tcW w:w="613" w:type="pct"/>
            <w:noWrap w:val="0"/>
            <w:vAlign w:val="center"/>
          </w:tcPr>
          <w:p w14:paraId="72C1E5B7">
            <w:pPr>
              <w:spacing w:line="360" w:lineRule="auto"/>
              <w:ind w:left="223" w:hanging="254" w:hangingChars="106"/>
              <w:jc w:val="center"/>
              <w:rPr>
                <w:rFonts w:hint="eastAsia" w:ascii="宋体" w:hAnsi="宋体" w:eastAsia="宋体" w:cs="宋体"/>
                <w:color w:val="000000"/>
                <w:sz w:val="24"/>
                <w:szCs w:val="24"/>
              </w:rPr>
            </w:pPr>
          </w:p>
        </w:tc>
        <w:tc>
          <w:tcPr>
            <w:tcW w:w="613" w:type="pct"/>
            <w:noWrap w:val="0"/>
            <w:vAlign w:val="center"/>
          </w:tcPr>
          <w:p w14:paraId="447D92BC">
            <w:pPr>
              <w:spacing w:line="360" w:lineRule="auto"/>
              <w:ind w:left="223" w:hanging="254" w:hangingChars="106"/>
              <w:jc w:val="center"/>
              <w:rPr>
                <w:rFonts w:hint="eastAsia" w:ascii="宋体" w:hAnsi="宋体" w:eastAsia="宋体" w:cs="宋体"/>
                <w:color w:val="000000"/>
                <w:sz w:val="24"/>
                <w:szCs w:val="24"/>
              </w:rPr>
            </w:pPr>
          </w:p>
        </w:tc>
        <w:tc>
          <w:tcPr>
            <w:tcW w:w="613" w:type="pct"/>
            <w:noWrap w:val="0"/>
            <w:vAlign w:val="center"/>
          </w:tcPr>
          <w:p w14:paraId="5BC8DBA6">
            <w:pPr>
              <w:spacing w:line="360" w:lineRule="auto"/>
              <w:ind w:left="223" w:hanging="254" w:hangingChars="106"/>
              <w:jc w:val="center"/>
              <w:rPr>
                <w:rFonts w:hint="eastAsia" w:ascii="宋体" w:hAnsi="宋体" w:eastAsia="宋体" w:cs="宋体"/>
                <w:color w:val="000000"/>
                <w:sz w:val="24"/>
                <w:szCs w:val="24"/>
              </w:rPr>
            </w:pPr>
          </w:p>
        </w:tc>
        <w:tc>
          <w:tcPr>
            <w:tcW w:w="454" w:type="pct"/>
            <w:noWrap w:val="0"/>
            <w:vAlign w:val="center"/>
          </w:tcPr>
          <w:p w14:paraId="25F85C17">
            <w:pPr>
              <w:spacing w:line="360" w:lineRule="auto"/>
              <w:ind w:left="223" w:hanging="254" w:hangingChars="106"/>
              <w:jc w:val="center"/>
              <w:rPr>
                <w:rFonts w:hint="eastAsia" w:ascii="宋体" w:hAnsi="宋体" w:eastAsia="宋体" w:cs="宋体"/>
                <w:color w:val="000000"/>
                <w:sz w:val="24"/>
                <w:szCs w:val="24"/>
              </w:rPr>
            </w:pPr>
          </w:p>
        </w:tc>
        <w:tc>
          <w:tcPr>
            <w:tcW w:w="682" w:type="pct"/>
            <w:noWrap w:val="0"/>
            <w:vAlign w:val="center"/>
          </w:tcPr>
          <w:p w14:paraId="27F6C878">
            <w:pPr>
              <w:spacing w:line="360" w:lineRule="auto"/>
              <w:ind w:left="223" w:hanging="254" w:hangingChars="106"/>
              <w:jc w:val="center"/>
              <w:rPr>
                <w:rFonts w:hint="eastAsia" w:ascii="宋体" w:hAnsi="宋体" w:eastAsia="宋体" w:cs="宋体"/>
                <w:color w:val="000000"/>
                <w:sz w:val="24"/>
                <w:szCs w:val="24"/>
              </w:rPr>
            </w:pPr>
          </w:p>
        </w:tc>
      </w:tr>
      <w:tr w14:paraId="35A4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noWrap w:val="0"/>
            <w:vAlign w:val="center"/>
          </w:tcPr>
          <w:p w14:paraId="604FA870">
            <w:pPr>
              <w:spacing w:line="360" w:lineRule="auto"/>
              <w:ind w:left="223" w:hanging="254" w:hangingChars="106"/>
              <w:jc w:val="center"/>
              <w:rPr>
                <w:rFonts w:hint="eastAsia" w:ascii="宋体" w:hAnsi="宋体" w:eastAsia="宋体" w:cs="宋体"/>
                <w:color w:val="000000"/>
                <w:sz w:val="24"/>
                <w:szCs w:val="24"/>
              </w:rPr>
            </w:pPr>
            <w:r>
              <w:rPr>
                <w:rFonts w:hint="eastAsia" w:ascii="宋体" w:hAnsi="宋体" w:eastAsia="宋体" w:cs="宋体"/>
                <w:color w:val="000000"/>
                <w:sz w:val="24"/>
                <w:szCs w:val="24"/>
              </w:rPr>
              <w:t>预算员</w:t>
            </w:r>
          </w:p>
        </w:tc>
        <w:tc>
          <w:tcPr>
            <w:tcW w:w="442" w:type="pct"/>
            <w:noWrap w:val="0"/>
            <w:vAlign w:val="center"/>
          </w:tcPr>
          <w:p w14:paraId="05FFC930">
            <w:pPr>
              <w:spacing w:line="360" w:lineRule="auto"/>
              <w:ind w:left="223" w:hanging="254" w:hangingChars="106"/>
              <w:jc w:val="center"/>
              <w:rPr>
                <w:rFonts w:hint="eastAsia" w:ascii="宋体" w:hAnsi="宋体" w:eastAsia="宋体" w:cs="宋体"/>
                <w:color w:val="000000"/>
                <w:sz w:val="24"/>
                <w:szCs w:val="24"/>
              </w:rPr>
            </w:pPr>
          </w:p>
        </w:tc>
        <w:tc>
          <w:tcPr>
            <w:tcW w:w="436" w:type="pct"/>
            <w:noWrap w:val="0"/>
            <w:vAlign w:val="center"/>
          </w:tcPr>
          <w:p w14:paraId="2B1D3323">
            <w:pPr>
              <w:spacing w:line="360" w:lineRule="auto"/>
              <w:ind w:left="223" w:hanging="254" w:hangingChars="106"/>
              <w:jc w:val="center"/>
              <w:rPr>
                <w:rFonts w:hint="eastAsia" w:ascii="宋体" w:hAnsi="宋体" w:eastAsia="宋体" w:cs="宋体"/>
                <w:color w:val="000000"/>
                <w:sz w:val="24"/>
                <w:szCs w:val="24"/>
              </w:rPr>
            </w:pPr>
          </w:p>
        </w:tc>
        <w:tc>
          <w:tcPr>
            <w:tcW w:w="613" w:type="pct"/>
            <w:noWrap w:val="0"/>
            <w:vAlign w:val="center"/>
          </w:tcPr>
          <w:p w14:paraId="1911912E">
            <w:pPr>
              <w:spacing w:line="360" w:lineRule="auto"/>
              <w:ind w:left="223" w:hanging="254" w:hangingChars="106"/>
              <w:jc w:val="center"/>
              <w:rPr>
                <w:rFonts w:hint="eastAsia" w:ascii="宋体" w:hAnsi="宋体" w:eastAsia="宋体" w:cs="宋体"/>
                <w:color w:val="000000"/>
                <w:sz w:val="24"/>
                <w:szCs w:val="24"/>
              </w:rPr>
            </w:pPr>
          </w:p>
        </w:tc>
        <w:tc>
          <w:tcPr>
            <w:tcW w:w="613" w:type="pct"/>
            <w:noWrap w:val="0"/>
            <w:vAlign w:val="center"/>
          </w:tcPr>
          <w:p w14:paraId="20FF3FE3">
            <w:pPr>
              <w:spacing w:line="360" w:lineRule="auto"/>
              <w:ind w:left="223" w:hanging="254" w:hangingChars="106"/>
              <w:jc w:val="center"/>
              <w:rPr>
                <w:rFonts w:hint="eastAsia" w:ascii="宋体" w:hAnsi="宋体" w:eastAsia="宋体" w:cs="宋体"/>
                <w:color w:val="000000"/>
                <w:sz w:val="24"/>
                <w:szCs w:val="24"/>
              </w:rPr>
            </w:pPr>
          </w:p>
        </w:tc>
        <w:tc>
          <w:tcPr>
            <w:tcW w:w="613" w:type="pct"/>
            <w:noWrap w:val="0"/>
            <w:vAlign w:val="center"/>
          </w:tcPr>
          <w:p w14:paraId="3148A3FA">
            <w:pPr>
              <w:spacing w:line="360" w:lineRule="auto"/>
              <w:ind w:left="223" w:hanging="254" w:hangingChars="106"/>
              <w:jc w:val="center"/>
              <w:rPr>
                <w:rFonts w:hint="eastAsia" w:ascii="宋体" w:hAnsi="宋体" w:eastAsia="宋体" w:cs="宋体"/>
                <w:color w:val="000000"/>
                <w:sz w:val="24"/>
                <w:szCs w:val="24"/>
              </w:rPr>
            </w:pPr>
          </w:p>
        </w:tc>
        <w:tc>
          <w:tcPr>
            <w:tcW w:w="613" w:type="pct"/>
            <w:noWrap w:val="0"/>
            <w:vAlign w:val="center"/>
          </w:tcPr>
          <w:p w14:paraId="41F2E947">
            <w:pPr>
              <w:spacing w:line="360" w:lineRule="auto"/>
              <w:ind w:left="223" w:hanging="254" w:hangingChars="106"/>
              <w:jc w:val="center"/>
              <w:rPr>
                <w:rFonts w:hint="eastAsia" w:ascii="宋体" w:hAnsi="宋体" w:eastAsia="宋体" w:cs="宋体"/>
                <w:color w:val="000000"/>
                <w:sz w:val="24"/>
                <w:szCs w:val="24"/>
              </w:rPr>
            </w:pPr>
          </w:p>
        </w:tc>
        <w:tc>
          <w:tcPr>
            <w:tcW w:w="454" w:type="pct"/>
            <w:noWrap w:val="0"/>
            <w:vAlign w:val="center"/>
          </w:tcPr>
          <w:p w14:paraId="0AC4783E">
            <w:pPr>
              <w:spacing w:line="360" w:lineRule="auto"/>
              <w:ind w:left="223" w:hanging="254" w:hangingChars="106"/>
              <w:jc w:val="center"/>
              <w:rPr>
                <w:rFonts w:hint="eastAsia" w:ascii="宋体" w:hAnsi="宋体" w:eastAsia="宋体" w:cs="宋体"/>
                <w:color w:val="000000"/>
                <w:sz w:val="24"/>
                <w:szCs w:val="24"/>
              </w:rPr>
            </w:pPr>
          </w:p>
        </w:tc>
        <w:tc>
          <w:tcPr>
            <w:tcW w:w="682" w:type="pct"/>
            <w:noWrap w:val="0"/>
            <w:vAlign w:val="center"/>
          </w:tcPr>
          <w:p w14:paraId="6891EC6B">
            <w:pPr>
              <w:spacing w:line="360" w:lineRule="auto"/>
              <w:ind w:left="223" w:hanging="254" w:hangingChars="106"/>
              <w:jc w:val="center"/>
              <w:rPr>
                <w:rFonts w:hint="eastAsia" w:ascii="宋体" w:hAnsi="宋体" w:eastAsia="宋体" w:cs="宋体"/>
                <w:color w:val="000000"/>
                <w:sz w:val="24"/>
                <w:szCs w:val="24"/>
              </w:rPr>
            </w:pPr>
          </w:p>
        </w:tc>
      </w:tr>
      <w:tr w14:paraId="13502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noWrap w:val="0"/>
            <w:vAlign w:val="center"/>
          </w:tcPr>
          <w:p w14:paraId="0E883238">
            <w:pPr>
              <w:spacing w:line="360" w:lineRule="auto"/>
              <w:ind w:left="223" w:hanging="254" w:hangingChars="106"/>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442" w:type="pct"/>
            <w:noWrap w:val="0"/>
            <w:vAlign w:val="center"/>
          </w:tcPr>
          <w:p w14:paraId="0238E3E1">
            <w:pPr>
              <w:spacing w:line="360" w:lineRule="auto"/>
              <w:ind w:left="223" w:hanging="254" w:hangingChars="106"/>
              <w:jc w:val="center"/>
              <w:rPr>
                <w:rFonts w:hint="eastAsia" w:ascii="宋体" w:hAnsi="宋体" w:eastAsia="宋体" w:cs="宋体"/>
                <w:color w:val="000000"/>
                <w:sz w:val="24"/>
                <w:szCs w:val="24"/>
              </w:rPr>
            </w:pPr>
          </w:p>
        </w:tc>
        <w:tc>
          <w:tcPr>
            <w:tcW w:w="436" w:type="pct"/>
            <w:noWrap w:val="0"/>
            <w:vAlign w:val="center"/>
          </w:tcPr>
          <w:p w14:paraId="45550CF5">
            <w:pPr>
              <w:spacing w:line="360" w:lineRule="auto"/>
              <w:ind w:left="223" w:hanging="254" w:hangingChars="106"/>
              <w:jc w:val="center"/>
              <w:rPr>
                <w:rFonts w:hint="eastAsia" w:ascii="宋体" w:hAnsi="宋体" w:eastAsia="宋体" w:cs="宋体"/>
                <w:color w:val="000000"/>
                <w:sz w:val="24"/>
                <w:szCs w:val="24"/>
              </w:rPr>
            </w:pPr>
          </w:p>
        </w:tc>
        <w:tc>
          <w:tcPr>
            <w:tcW w:w="613" w:type="pct"/>
            <w:noWrap w:val="0"/>
            <w:vAlign w:val="center"/>
          </w:tcPr>
          <w:p w14:paraId="4B041359">
            <w:pPr>
              <w:spacing w:line="360" w:lineRule="auto"/>
              <w:ind w:left="223" w:hanging="254" w:hangingChars="106"/>
              <w:jc w:val="center"/>
              <w:rPr>
                <w:rFonts w:hint="eastAsia" w:ascii="宋体" w:hAnsi="宋体" w:eastAsia="宋体" w:cs="宋体"/>
                <w:color w:val="000000"/>
                <w:sz w:val="24"/>
                <w:szCs w:val="24"/>
              </w:rPr>
            </w:pPr>
          </w:p>
        </w:tc>
        <w:tc>
          <w:tcPr>
            <w:tcW w:w="613" w:type="pct"/>
            <w:noWrap w:val="0"/>
            <w:vAlign w:val="center"/>
          </w:tcPr>
          <w:p w14:paraId="50C7A382">
            <w:pPr>
              <w:spacing w:line="360" w:lineRule="auto"/>
              <w:ind w:left="223" w:hanging="254" w:hangingChars="106"/>
              <w:jc w:val="center"/>
              <w:rPr>
                <w:rFonts w:hint="eastAsia" w:ascii="宋体" w:hAnsi="宋体" w:eastAsia="宋体" w:cs="宋体"/>
                <w:color w:val="000000"/>
                <w:sz w:val="24"/>
                <w:szCs w:val="24"/>
              </w:rPr>
            </w:pPr>
          </w:p>
        </w:tc>
        <w:tc>
          <w:tcPr>
            <w:tcW w:w="613" w:type="pct"/>
            <w:noWrap w:val="0"/>
            <w:vAlign w:val="center"/>
          </w:tcPr>
          <w:p w14:paraId="3E0DCDDF">
            <w:pPr>
              <w:spacing w:line="360" w:lineRule="auto"/>
              <w:ind w:left="223" w:hanging="254" w:hangingChars="106"/>
              <w:jc w:val="center"/>
              <w:rPr>
                <w:rFonts w:hint="eastAsia" w:ascii="宋体" w:hAnsi="宋体" w:eastAsia="宋体" w:cs="宋体"/>
                <w:color w:val="000000"/>
                <w:sz w:val="24"/>
                <w:szCs w:val="24"/>
              </w:rPr>
            </w:pPr>
          </w:p>
        </w:tc>
        <w:tc>
          <w:tcPr>
            <w:tcW w:w="613" w:type="pct"/>
            <w:noWrap w:val="0"/>
            <w:vAlign w:val="center"/>
          </w:tcPr>
          <w:p w14:paraId="03AFC2B2">
            <w:pPr>
              <w:spacing w:line="360" w:lineRule="auto"/>
              <w:ind w:left="223" w:hanging="254" w:hangingChars="106"/>
              <w:jc w:val="center"/>
              <w:rPr>
                <w:rFonts w:hint="eastAsia" w:ascii="宋体" w:hAnsi="宋体" w:eastAsia="宋体" w:cs="宋体"/>
                <w:color w:val="000000"/>
                <w:sz w:val="24"/>
                <w:szCs w:val="24"/>
              </w:rPr>
            </w:pPr>
          </w:p>
        </w:tc>
        <w:tc>
          <w:tcPr>
            <w:tcW w:w="454" w:type="pct"/>
            <w:noWrap w:val="0"/>
            <w:vAlign w:val="center"/>
          </w:tcPr>
          <w:p w14:paraId="5A9914C3">
            <w:pPr>
              <w:spacing w:line="360" w:lineRule="auto"/>
              <w:ind w:left="223" w:hanging="254" w:hangingChars="106"/>
              <w:jc w:val="center"/>
              <w:rPr>
                <w:rFonts w:hint="eastAsia" w:ascii="宋体" w:hAnsi="宋体" w:eastAsia="宋体" w:cs="宋体"/>
                <w:color w:val="000000"/>
                <w:sz w:val="24"/>
                <w:szCs w:val="24"/>
              </w:rPr>
            </w:pPr>
          </w:p>
        </w:tc>
        <w:tc>
          <w:tcPr>
            <w:tcW w:w="682" w:type="pct"/>
            <w:noWrap w:val="0"/>
            <w:vAlign w:val="center"/>
          </w:tcPr>
          <w:p w14:paraId="426DB576">
            <w:pPr>
              <w:spacing w:line="360" w:lineRule="auto"/>
              <w:ind w:left="223" w:hanging="254" w:hangingChars="106"/>
              <w:jc w:val="center"/>
              <w:rPr>
                <w:rFonts w:hint="eastAsia" w:ascii="宋体" w:hAnsi="宋体" w:eastAsia="宋体" w:cs="宋体"/>
                <w:color w:val="000000"/>
                <w:sz w:val="24"/>
                <w:szCs w:val="24"/>
              </w:rPr>
            </w:pPr>
          </w:p>
        </w:tc>
      </w:tr>
      <w:tr w14:paraId="37CB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5000" w:type="pct"/>
            <w:gridSpan w:val="9"/>
            <w:noWrap w:val="0"/>
            <w:vAlign w:val="center"/>
          </w:tcPr>
          <w:p w14:paraId="3AF2AEB9">
            <w:pPr>
              <w:spacing w:line="360" w:lineRule="auto"/>
              <w:rPr>
                <w:rFonts w:hint="eastAsia" w:ascii="宋体" w:hAnsi="宋体" w:eastAsia="宋体" w:cs="宋体"/>
                <w:color w:val="000000"/>
                <w:sz w:val="24"/>
                <w:szCs w:val="24"/>
              </w:rPr>
            </w:pPr>
            <w:bookmarkStart w:id="74" w:name="_Toc251052199"/>
            <w:r>
              <w:rPr>
                <w:rFonts w:hint="eastAsia" w:ascii="宋体" w:hAnsi="宋体" w:eastAsia="宋体" w:cs="宋体"/>
                <w:color w:val="000000"/>
                <w:sz w:val="24"/>
                <w:szCs w:val="24"/>
              </w:rPr>
              <w:t>一旦我单位成交，将实行项目经理负责制，我方保证并配备上述项目管理机构。上述填报内容真实，若不真实，愿按有关规定接受处理。项目管理班子机构设置、职责分工等情况另附资料说明。</w:t>
            </w:r>
            <w:bookmarkEnd w:id="74"/>
          </w:p>
        </w:tc>
      </w:tr>
    </w:tbl>
    <w:p w14:paraId="6A2F1075">
      <w:pPr>
        <w:tabs>
          <w:tab w:val="left" w:pos="0"/>
        </w:tabs>
        <w:spacing w:line="360" w:lineRule="auto"/>
        <w:ind w:right="-210"/>
        <w:rPr>
          <w:rFonts w:hint="eastAsia" w:ascii="宋体" w:hAnsi="宋体" w:eastAsia="宋体" w:cs="宋体"/>
          <w:color w:val="000000"/>
          <w:sz w:val="24"/>
          <w:szCs w:val="24"/>
        </w:rPr>
      </w:pPr>
    </w:p>
    <w:p w14:paraId="14B8B51C">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【备注：附以上各岗位人员资格证件等相关证明材料复印件，以及供应商认为需要增加的其他证明材料复印件，以上复印件均须加盖供应商单位公章。】</w:t>
      </w:r>
    </w:p>
    <w:p w14:paraId="3D780757">
      <w:pPr>
        <w:spacing w:line="360" w:lineRule="auto"/>
        <w:rPr>
          <w:rFonts w:hint="eastAsia" w:ascii="宋体" w:hAnsi="宋体" w:eastAsia="宋体" w:cs="宋体"/>
          <w:color w:val="000000"/>
          <w:sz w:val="24"/>
          <w:szCs w:val="24"/>
        </w:rPr>
      </w:pPr>
    </w:p>
    <w:p w14:paraId="62A7889B">
      <w:pPr>
        <w:tabs>
          <w:tab w:val="left" w:pos="0"/>
        </w:tabs>
        <w:spacing w:line="360" w:lineRule="auto"/>
        <w:ind w:right="-210"/>
        <w:rPr>
          <w:rFonts w:hint="eastAsia" w:ascii="宋体" w:hAnsi="宋体" w:eastAsia="宋体" w:cs="宋体"/>
          <w:color w:val="000000"/>
          <w:sz w:val="24"/>
          <w:szCs w:val="24"/>
        </w:rPr>
      </w:pPr>
    </w:p>
    <w:p w14:paraId="78DEBCCF">
      <w:pPr>
        <w:tabs>
          <w:tab w:val="left" w:pos="0"/>
        </w:tabs>
        <w:spacing w:line="360" w:lineRule="auto"/>
        <w:ind w:right="-210"/>
        <w:rPr>
          <w:rFonts w:hint="eastAsia" w:ascii="宋体" w:hAnsi="宋体" w:eastAsia="宋体" w:cs="宋体"/>
          <w:color w:val="000000"/>
          <w:sz w:val="24"/>
          <w:szCs w:val="24"/>
        </w:rPr>
      </w:pPr>
    </w:p>
    <w:p w14:paraId="77B7D40B">
      <w:pPr>
        <w:tabs>
          <w:tab w:val="left" w:pos="0"/>
        </w:tabs>
        <w:spacing w:line="360" w:lineRule="auto"/>
        <w:ind w:right="-210"/>
        <w:rPr>
          <w:rFonts w:hint="eastAsia" w:ascii="宋体" w:hAnsi="宋体" w:eastAsia="宋体" w:cs="宋体"/>
          <w:color w:val="000000"/>
          <w:sz w:val="24"/>
          <w:szCs w:val="24"/>
        </w:rPr>
        <w:sectPr>
          <w:pgSz w:w="11907" w:h="16840"/>
          <w:pgMar w:top="1440" w:right="1440" w:bottom="1440" w:left="1797" w:header="851" w:footer="851" w:gutter="0"/>
          <w:cols w:space="720" w:num="1"/>
          <w:docGrid w:linePitch="312" w:charSpace="0"/>
        </w:sectPr>
      </w:pPr>
    </w:p>
    <w:p w14:paraId="7A38CB53">
      <w:pPr>
        <w:pStyle w:val="7"/>
        <w:numPr>
          <w:ilvl w:val="0"/>
          <w:numId w:val="64"/>
        </w:numPr>
        <w:topLinePunct w:val="0"/>
        <w:ind w:left="0" w:leftChars="0" w:firstLine="482" w:firstLineChars="0"/>
        <w:rPr>
          <w:rFonts w:hint="eastAsia" w:ascii="宋体" w:hAnsi="宋体" w:eastAsia="宋体" w:cs="宋体"/>
          <w:b/>
          <w:sz w:val="24"/>
          <w:szCs w:val="24"/>
          <w:u w:val="single"/>
        </w:rPr>
      </w:pPr>
      <w:bookmarkStart w:id="75" w:name="_Toc153274948"/>
      <w:bookmarkStart w:id="76" w:name="_Toc251052200"/>
      <w:bookmarkStart w:id="77" w:name="_Toc6413137"/>
      <w:bookmarkStart w:id="78" w:name="_Toc6848"/>
      <w:bookmarkStart w:id="79" w:name="_Toc172364026"/>
      <w:bookmarkStart w:id="80" w:name="_Toc173579006"/>
      <w:bookmarkStart w:id="81" w:name="_Toc389065364"/>
      <w:r>
        <w:rPr>
          <w:rFonts w:hint="eastAsia" w:ascii="宋体" w:hAnsi="宋体" w:eastAsia="宋体" w:cs="宋体"/>
          <w:sz w:val="24"/>
          <w:szCs w:val="24"/>
        </w:rPr>
        <w:t>项目经理（注册建造师）简历表</w:t>
      </w:r>
      <w:bookmarkEnd w:id="75"/>
      <w:bookmarkEnd w:id="76"/>
      <w:bookmarkEnd w:id="77"/>
      <w:bookmarkEnd w:id="78"/>
      <w:bookmarkEnd w:id="79"/>
      <w:bookmarkEnd w:id="80"/>
      <w:bookmarkEnd w:id="81"/>
    </w:p>
    <w:p w14:paraId="0598229A">
      <w:pPr>
        <w:pStyle w:val="35"/>
        <w:spacing w:line="360" w:lineRule="auto"/>
        <w:rPr>
          <w:rFonts w:hint="eastAsia" w:ascii="宋体" w:hAnsi="宋体" w:eastAsia="宋体" w:cs="宋体"/>
          <w:color w:val="000000"/>
          <w:sz w:val="24"/>
          <w:szCs w:val="24"/>
          <w:u w:val="single"/>
        </w:rPr>
      </w:pP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462"/>
        <w:gridCol w:w="1539"/>
        <w:gridCol w:w="327"/>
        <w:gridCol w:w="1212"/>
        <w:gridCol w:w="671"/>
        <w:gridCol w:w="868"/>
        <w:gridCol w:w="708"/>
        <w:gridCol w:w="832"/>
        <w:gridCol w:w="270"/>
        <w:gridCol w:w="1273"/>
      </w:tblGrid>
      <w:tr w14:paraId="338D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83" w:type="pct"/>
            <w:noWrap w:val="0"/>
            <w:vAlign w:val="center"/>
          </w:tcPr>
          <w:p w14:paraId="7B886801">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1260" w:type="pct"/>
            <w:gridSpan w:val="3"/>
            <w:noWrap w:val="0"/>
            <w:vAlign w:val="center"/>
          </w:tcPr>
          <w:p w14:paraId="539DF73D">
            <w:pPr>
              <w:spacing w:line="360" w:lineRule="auto"/>
              <w:jc w:val="center"/>
              <w:rPr>
                <w:rFonts w:hint="eastAsia" w:ascii="宋体" w:hAnsi="宋体" w:eastAsia="宋体" w:cs="宋体"/>
                <w:color w:val="000000"/>
                <w:sz w:val="24"/>
                <w:szCs w:val="24"/>
              </w:rPr>
            </w:pPr>
          </w:p>
        </w:tc>
        <w:tc>
          <w:tcPr>
            <w:tcW w:w="1019" w:type="pct"/>
            <w:gridSpan w:val="2"/>
            <w:noWrap w:val="0"/>
            <w:vAlign w:val="center"/>
          </w:tcPr>
          <w:p w14:paraId="4AC6E2C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性别</w:t>
            </w:r>
          </w:p>
        </w:tc>
        <w:tc>
          <w:tcPr>
            <w:tcW w:w="853" w:type="pct"/>
            <w:gridSpan w:val="2"/>
            <w:noWrap w:val="0"/>
            <w:vAlign w:val="center"/>
          </w:tcPr>
          <w:p w14:paraId="2D7C95C6">
            <w:pPr>
              <w:spacing w:line="360" w:lineRule="auto"/>
              <w:jc w:val="center"/>
              <w:rPr>
                <w:rFonts w:hint="eastAsia" w:ascii="宋体" w:hAnsi="宋体" w:eastAsia="宋体" w:cs="宋体"/>
                <w:color w:val="000000"/>
                <w:sz w:val="24"/>
                <w:szCs w:val="24"/>
              </w:rPr>
            </w:pPr>
          </w:p>
        </w:tc>
        <w:tc>
          <w:tcPr>
            <w:tcW w:w="596" w:type="pct"/>
            <w:gridSpan w:val="2"/>
            <w:noWrap w:val="0"/>
            <w:vAlign w:val="center"/>
          </w:tcPr>
          <w:p w14:paraId="1C540BF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年龄</w:t>
            </w:r>
          </w:p>
        </w:tc>
        <w:tc>
          <w:tcPr>
            <w:tcW w:w="687" w:type="pct"/>
            <w:noWrap w:val="0"/>
            <w:vAlign w:val="center"/>
          </w:tcPr>
          <w:p w14:paraId="1B494299">
            <w:pPr>
              <w:spacing w:line="360" w:lineRule="auto"/>
              <w:jc w:val="center"/>
              <w:rPr>
                <w:rFonts w:hint="eastAsia" w:ascii="宋体" w:hAnsi="宋体" w:eastAsia="宋体" w:cs="宋体"/>
                <w:color w:val="000000"/>
                <w:sz w:val="24"/>
                <w:szCs w:val="24"/>
              </w:rPr>
            </w:pPr>
          </w:p>
        </w:tc>
      </w:tr>
      <w:tr w14:paraId="7156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83" w:type="pct"/>
            <w:noWrap w:val="0"/>
            <w:vAlign w:val="center"/>
          </w:tcPr>
          <w:p w14:paraId="5A76601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职务</w:t>
            </w:r>
          </w:p>
        </w:tc>
        <w:tc>
          <w:tcPr>
            <w:tcW w:w="1260" w:type="pct"/>
            <w:gridSpan w:val="3"/>
            <w:noWrap w:val="0"/>
            <w:vAlign w:val="center"/>
          </w:tcPr>
          <w:p w14:paraId="7E051E66">
            <w:pPr>
              <w:spacing w:line="360" w:lineRule="auto"/>
              <w:jc w:val="center"/>
              <w:rPr>
                <w:rFonts w:hint="eastAsia" w:ascii="宋体" w:hAnsi="宋体" w:eastAsia="宋体" w:cs="宋体"/>
                <w:color w:val="000000"/>
                <w:sz w:val="24"/>
                <w:szCs w:val="24"/>
              </w:rPr>
            </w:pPr>
          </w:p>
        </w:tc>
        <w:tc>
          <w:tcPr>
            <w:tcW w:w="1019" w:type="pct"/>
            <w:gridSpan w:val="2"/>
            <w:noWrap w:val="0"/>
            <w:vAlign w:val="center"/>
          </w:tcPr>
          <w:p w14:paraId="461E6F6A">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职称</w:t>
            </w:r>
          </w:p>
        </w:tc>
        <w:tc>
          <w:tcPr>
            <w:tcW w:w="853" w:type="pct"/>
            <w:gridSpan w:val="2"/>
            <w:noWrap w:val="0"/>
            <w:vAlign w:val="center"/>
          </w:tcPr>
          <w:p w14:paraId="4F4F9FD2">
            <w:pPr>
              <w:spacing w:line="360" w:lineRule="auto"/>
              <w:jc w:val="center"/>
              <w:rPr>
                <w:rFonts w:hint="eastAsia" w:ascii="宋体" w:hAnsi="宋体" w:eastAsia="宋体" w:cs="宋体"/>
                <w:color w:val="000000"/>
                <w:sz w:val="24"/>
                <w:szCs w:val="24"/>
              </w:rPr>
            </w:pPr>
          </w:p>
        </w:tc>
        <w:tc>
          <w:tcPr>
            <w:tcW w:w="596" w:type="pct"/>
            <w:gridSpan w:val="2"/>
            <w:noWrap w:val="0"/>
            <w:vAlign w:val="center"/>
          </w:tcPr>
          <w:p w14:paraId="31A9B4F0">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学历</w:t>
            </w:r>
          </w:p>
        </w:tc>
        <w:tc>
          <w:tcPr>
            <w:tcW w:w="687" w:type="pct"/>
            <w:noWrap w:val="0"/>
            <w:vAlign w:val="center"/>
          </w:tcPr>
          <w:p w14:paraId="275510E6">
            <w:pPr>
              <w:spacing w:line="360" w:lineRule="auto"/>
              <w:jc w:val="center"/>
              <w:rPr>
                <w:rFonts w:hint="eastAsia" w:ascii="宋体" w:hAnsi="宋体" w:eastAsia="宋体" w:cs="宋体"/>
                <w:color w:val="000000"/>
                <w:sz w:val="24"/>
                <w:szCs w:val="24"/>
              </w:rPr>
            </w:pPr>
          </w:p>
        </w:tc>
      </w:tr>
      <w:tr w14:paraId="698A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43" w:type="pct"/>
            <w:gridSpan w:val="4"/>
            <w:noWrap w:val="0"/>
            <w:vAlign w:val="center"/>
          </w:tcPr>
          <w:p w14:paraId="5AC9D9E2">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参加工作时间</w:t>
            </w:r>
          </w:p>
        </w:tc>
        <w:tc>
          <w:tcPr>
            <w:tcW w:w="1019" w:type="pct"/>
            <w:gridSpan w:val="2"/>
            <w:noWrap w:val="0"/>
            <w:vAlign w:val="center"/>
          </w:tcPr>
          <w:p w14:paraId="32705CAA">
            <w:pPr>
              <w:spacing w:line="360" w:lineRule="auto"/>
              <w:jc w:val="center"/>
              <w:rPr>
                <w:rFonts w:hint="eastAsia" w:ascii="宋体" w:hAnsi="宋体" w:eastAsia="宋体" w:cs="宋体"/>
                <w:color w:val="000000"/>
                <w:sz w:val="24"/>
                <w:szCs w:val="24"/>
              </w:rPr>
            </w:pPr>
          </w:p>
        </w:tc>
        <w:tc>
          <w:tcPr>
            <w:tcW w:w="1449" w:type="pct"/>
            <w:gridSpan w:val="4"/>
            <w:noWrap w:val="0"/>
            <w:vAlign w:val="center"/>
          </w:tcPr>
          <w:p w14:paraId="6467D7BE">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担任项目经理年限</w:t>
            </w:r>
          </w:p>
        </w:tc>
        <w:tc>
          <w:tcPr>
            <w:tcW w:w="687" w:type="pct"/>
            <w:noWrap w:val="0"/>
            <w:vAlign w:val="center"/>
          </w:tcPr>
          <w:p w14:paraId="13C590DC">
            <w:pPr>
              <w:spacing w:line="360" w:lineRule="auto"/>
              <w:jc w:val="center"/>
              <w:rPr>
                <w:rFonts w:hint="eastAsia" w:ascii="宋体" w:hAnsi="宋体" w:eastAsia="宋体" w:cs="宋体"/>
                <w:color w:val="000000"/>
                <w:sz w:val="24"/>
                <w:szCs w:val="24"/>
              </w:rPr>
            </w:pPr>
          </w:p>
        </w:tc>
      </w:tr>
      <w:tr w14:paraId="6C48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843" w:type="pct"/>
            <w:gridSpan w:val="4"/>
            <w:noWrap w:val="0"/>
            <w:vAlign w:val="center"/>
          </w:tcPr>
          <w:p w14:paraId="096664F8">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建造师注册编号</w:t>
            </w:r>
          </w:p>
        </w:tc>
        <w:tc>
          <w:tcPr>
            <w:tcW w:w="3156" w:type="pct"/>
            <w:gridSpan w:val="7"/>
            <w:noWrap w:val="0"/>
            <w:vAlign w:val="center"/>
          </w:tcPr>
          <w:p w14:paraId="26495E9D">
            <w:pPr>
              <w:spacing w:line="360" w:lineRule="auto"/>
              <w:jc w:val="center"/>
              <w:rPr>
                <w:rFonts w:hint="eastAsia" w:ascii="宋体" w:hAnsi="宋体" w:eastAsia="宋体" w:cs="宋体"/>
                <w:color w:val="000000"/>
                <w:sz w:val="24"/>
                <w:szCs w:val="24"/>
              </w:rPr>
            </w:pPr>
          </w:p>
        </w:tc>
      </w:tr>
      <w:tr w14:paraId="60C7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11"/>
            <w:noWrap w:val="0"/>
            <w:vAlign w:val="center"/>
          </w:tcPr>
          <w:p w14:paraId="16D1FFA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在建和已完工程项目情况</w:t>
            </w:r>
          </w:p>
        </w:tc>
      </w:tr>
      <w:tr w14:paraId="60FB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33" w:type="pct"/>
            <w:gridSpan w:val="2"/>
            <w:noWrap w:val="0"/>
            <w:vAlign w:val="center"/>
          </w:tcPr>
          <w:p w14:paraId="023CC02A">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建设单位</w:t>
            </w:r>
          </w:p>
        </w:tc>
        <w:tc>
          <w:tcPr>
            <w:tcW w:w="833" w:type="pct"/>
            <w:noWrap w:val="0"/>
            <w:vAlign w:val="center"/>
          </w:tcPr>
          <w:p w14:paraId="7EF8D3B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833" w:type="pct"/>
            <w:gridSpan w:val="2"/>
            <w:noWrap w:val="0"/>
            <w:vAlign w:val="center"/>
          </w:tcPr>
          <w:p w14:paraId="2E5301E7">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建设规模</w:t>
            </w:r>
          </w:p>
        </w:tc>
        <w:tc>
          <w:tcPr>
            <w:tcW w:w="833" w:type="pct"/>
            <w:gridSpan w:val="2"/>
            <w:noWrap w:val="0"/>
            <w:vAlign w:val="center"/>
          </w:tcPr>
          <w:p w14:paraId="4735E970">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开、竣工日期</w:t>
            </w:r>
          </w:p>
        </w:tc>
        <w:tc>
          <w:tcPr>
            <w:tcW w:w="833" w:type="pct"/>
            <w:gridSpan w:val="2"/>
            <w:noWrap w:val="0"/>
            <w:vAlign w:val="center"/>
          </w:tcPr>
          <w:p w14:paraId="2C10053B">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在建或已完</w:t>
            </w:r>
          </w:p>
        </w:tc>
        <w:tc>
          <w:tcPr>
            <w:tcW w:w="833" w:type="pct"/>
            <w:gridSpan w:val="2"/>
            <w:noWrap w:val="0"/>
            <w:vAlign w:val="center"/>
          </w:tcPr>
          <w:p w14:paraId="1DDAE66B">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工程质量</w:t>
            </w:r>
          </w:p>
        </w:tc>
      </w:tr>
      <w:tr w14:paraId="0B12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33" w:type="pct"/>
            <w:gridSpan w:val="2"/>
            <w:noWrap w:val="0"/>
            <w:vAlign w:val="center"/>
          </w:tcPr>
          <w:p w14:paraId="1E3A6C75">
            <w:pPr>
              <w:spacing w:line="360" w:lineRule="auto"/>
              <w:jc w:val="center"/>
              <w:rPr>
                <w:rFonts w:hint="eastAsia" w:ascii="宋体" w:hAnsi="宋体" w:eastAsia="宋体" w:cs="宋体"/>
                <w:color w:val="000000"/>
                <w:sz w:val="24"/>
                <w:szCs w:val="24"/>
              </w:rPr>
            </w:pPr>
          </w:p>
        </w:tc>
        <w:tc>
          <w:tcPr>
            <w:tcW w:w="833" w:type="pct"/>
            <w:noWrap w:val="0"/>
            <w:vAlign w:val="center"/>
          </w:tcPr>
          <w:p w14:paraId="3C3EFA64">
            <w:pPr>
              <w:spacing w:line="360" w:lineRule="auto"/>
              <w:jc w:val="center"/>
              <w:rPr>
                <w:rFonts w:hint="eastAsia" w:ascii="宋体" w:hAnsi="宋体" w:eastAsia="宋体" w:cs="宋体"/>
                <w:color w:val="000000"/>
                <w:sz w:val="24"/>
                <w:szCs w:val="24"/>
              </w:rPr>
            </w:pPr>
          </w:p>
        </w:tc>
        <w:tc>
          <w:tcPr>
            <w:tcW w:w="833" w:type="pct"/>
            <w:gridSpan w:val="2"/>
            <w:noWrap w:val="0"/>
            <w:vAlign w:val="center"/>
          </w:tcPr>
          <w:p w14:paraId="5EB4C0D5">
            <w:pPr>
              <w:spacing w:line="360" w:lineRule="auto"/>
              <w:jc w:val="center"/>
              <w:rPr>
                <w:rFonts w:hint="eastAsia" w:ascii="宋体" w:hAnsi="宋体" w:eastAsia="宋体" w:cs="宋体"/>
                <w:color w:val="000000"/>
                <w:sz w:val="24"/>
                <w:szCs w:val="24"/>
              </w:rPr>
            </w:pPr>
          </w:p>
        </w:tc>
        <w:tc>
          <w:tcPr>
            <w:tcW w:w="833" w:type="pct"/>
            <w:gridSpan w:val="2"/>
            <w:noWrap w:val="0"/>
            <w:vAlign w:val="center"/>
          </w:tcPr>
          <w:p w14:paraId="39A08E37">
            <w:pPr>
              <w:spacing w:line="360" w:lineRule="auto"/>
              <w:jc w:val="center"/>
              <w:rPr>
                <w:rFonts w:hint="eastAsia" w:ascii="宋体" w:hAnsi="宋体" w:eastAsia="宋体" w:cs="宋体"/>
                <w:color w:val="000000"/>
                <w:sz w:val="24"/>
                <w:szCs w:val="24"/>
              </w:rPr>
            </w:pPr>
          </w:p>
        </w:tc>
        <w:tc>
          <w:tcPr>
            <w:tcW w:w="833" w:type="pct"/>
            <w:gridSpan w:val="2"/>
            <w:noWrap w:val="0"/>
            <w:vAlign w:val="center"/>
          </w:tcPr>
          <w:p w14:paraId="2A0002D0">
            <w:pPr>
              <w:spacing w:line="360" w:lineRule="auto"/>
              <w:jc w:val="center"/>
              <w:rPr>
                <w:rFonts w:hint="eastAsia" w:ascii="宋体" w:hAnsi="宋体" w:eastAsia="宋体" w:cs="宋体"/>
                <w:color w:val="000000"/>
                <w:sz w:val="24"/>
                <w:szCs w:val="24"/>
              </w:rPr>
            </w:pPr>
          </w:p>
        </w:tc>
        <w:tc>
          <w:tcPr>
            <w:tcW w:w="833" w:type="pct"/>
            <w:gridSpan w:val="2"/>
            <w:noWrap w:val="0"/>
            <w:vAlign w:val="center"/>
          </w:tcPr>
          <w:p w14:paraId="29739E39">
            <w:pPr>
              <w:spacing w:line="360" w:lineRule="auto"/>
              <w:jc w:val="center"/>
              <w:rPr>
                <w:rFonts w:hint="eastAsia" w:ascii="宋体" w:hAnsi="宋体" w:eastAsia="宋体" w:cs="宋体"/>
                <w:color w:val="000000"/>
                <w:sz w:val="24"/>
                <w:szCs w:val="24"/>
              </w:rPr>
            </w:pPr>
          </w:p>
        </w:tc>
      </w:tr>
      <w:tr w14:paraId="3578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33" w:type="pct"/>
            <w:gridSpan w:val="2"/>
            <w:noWrap w:val="0"/>
            <w:vAlign w:val="center"/>
          </w:tcPr>
          <w:p w14:paraId="59803A48">
            <w:pPr>
              <w:spacing w:line="360" w:lineRule="auto"/>
              <w:jc w:val="center"/>
              <w:rPr>
                <w:rFonts w:hint="eastAsia" w:ascii="宋体" w:hAnsi="宋体" w:eastAsia="宋体" w:cs="宋体"/>
                <w:color w:val="000000"/>
                <w:sz w:val="24"/>
                <w:szCs w:val="24"/>
              </w:rPr>
            </w:pPr>
          </w:p>
        </w:tc>
        <w:tc>
          <w:tcPr>
            <w:tcW w:w="833" w:type="pct"/>
            <w:noWrap w:val="0"/>
            <w:vAlign w:val="center"/>
          </w:tcPr>
          <w:p w14:paraId="4C260D1D">
            <w:pPr>
              <w:spacing w:line="360" w:lineRule="auto"/>
              <w:jc w:val="center"/>
              <w:rPr>
                <w:rFonts w:hint="eastAsia" w:ascii="宋体" w:hAnsi="宋体" w:eastAsia="宋体" w:cs="宋体"/>
                <w:color w:val="000000"/>
                <w:sz w:val="24"/>
                <w:szCs w:val="24"/>
              </w:rPr>
            </w:pPr>
          </w:p>
        </w:tc>
        <w:tc>
          <w:tcPr>
            <w:tcW w:w="833" w:type="pct"/>
            <w:gridSpan w:val="2"/>
            <w:noWrap w:val="0"/>
            <w:vAlign w:val="center"/>
          </w:tcPr>
          <w:p w14:paraId="4653DBAA">
            <w:pPr>
              <w:spacing w:line="360" w:lineRule="auto"/>
              <w:jc w:val="center"/>
              <w:rPr>
                <w:rFonts w:hint="eastAsia" w:ascii="宋体" w:hAnsi="宋体" w:eastAsia="宋体" w:cs="宋体"/>
                <w:color w:val="000000"/>
                <w:sz w:val="24"/>
                <w:szCs w:val="24"/>
              </w:rPr>
            </w:pPr>
          </w:p>
        </w:tc>
        <w:tc>
          <w:tcPr>
            <w:tcW w:w="833" w:type="pct"/>
            <w:gridSpan w:val="2"/>
            <w:noWrap w:val="0"/>
            <w:vAlign w:val="center"/>
          </w:tcPr>
          <w:p w14:paraId="22DD7A89">
            <w:pPr>
              <w:spacing w:line="360" w:lineRule="auto"/>
              <w:jc w:val="center"/>
              <w:rPr>
                <w:rFonts w:hint="eastAsia" w:ascii="宋体" w:hAnsi="宋体" w:eastAsia="宋体" w:cs="宋体"/>
                <w:color w:val="000000"/>
                <w:sz w:val="24"/>
                <w:szCs w:val="24"/>
              </w:rPr>
            </w:pPr>
          </w:p>
        </w:tc>
        <w:tc>
          <w:tcPr>
            <w:tcW w:w="833" w:type="pct"/>
            <w:gridSpan w:val="2"/>
            <w:noWrap w:val="0"/>
            <w:vAlign w:val="center"/>
          </w:tcPr>
          <w:p w14:paraId="4D5EFCE5">
            <w:pPr>
              <w:spacing w:line="360" w:lineRule="auto"/>
              <w:jc w:val="center"/>
              <w:rPr>
                <w:rFonts w:hint="eastAsia" w:ascii="宋体" w:hAnsi="宋体" w:eastAsia="宋体" w:cs="宋体"/>
                <w:color w:val="000000"/>
                <w:sz w:val="24"/>
                <w:szCs w:val="24"/>
              </w:rPr>
            </w:pPr>
          </w:p>
        </w:tc>
        <w:tc>
          <w:tcPr>
            <w:tcW w:w="833" w:type="pct"/>
            <w:gridSpan w:val="2"/>
            <w:noWrap w:val="0"/>
            <w:vAlign w:val="center"/>
          </w:tcPr>
          <w:p w14:paraId="0EB18698">
            <w:pPr>
              <w:spacing w:line="360" w:lineRule="auto"/>
              <w:jc w:val="center"/>
              <w:rPr>
                <w:rFonts w:hint="eastAsia" w:ascii="宋体" w:hAnsi="宋体" w:eastAsia="宋体" w:cs="宋体"/>
                <w:color w:val="000000"/>
                <w:sz w:val="24"/>
                <w:szCs w:val="24"/>
              </w:rPr>
            </w:pPr>
          </w:p>
        </w:tc>
      </w:tr>
      <w:tr w14:paraId="1000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33" w:type="pct"/>
            <w:gridSpan w:val="2"/>
            <w:noWrap w:val="0"/>
            <w:vAlign w:val="center"/>
          </w:tcPr>
          <w:p w14:paraId="66BA3C1D">
            <w:pPr>
              <w:spacing w:line="360" w:lineRule="auto"/>
              <w:jc w:val="center"/>
              <w:rPr>
                <w:rFonts w:hint="eastAsia" w:ascii="宋体" w:hAnsi="宋体" w:eastAsia="宋体" w:cs="宋体"/>
                <w:color w:val="000000"/>
                <w:sz w:val="24"/>
                <w:szCs w:val="24"/>
              </w:rPr>
            </w:pPr>
          </w:p>
        </w:tc>
        <w:tc>
          <w:tcPr>
            <w:tcW w:w="833" w:type="pct"/>
            <w:noWrap w:val="0"/>
            <w:vAlign w:val="center"/>
          </w:tcPr>
          <w:p w14:paraId="45E3F4D7">
            <w:pPr>
              <w:spacing w:line="360" w:lineRule="auto"/>
              <w:jc w:val="center"/>
              <w:rPr>
                <w:rFonts w:hint="eastAsia" w:ascii="宋体" w:hAnsi="宋体" w:eastAsia="宋体" w:cs="宋体"/>
                <w:color w:val="000000"/>
                <w:sz w:val="24"/>
                <w:szCs w:val="24"/>
              </w:rPr>
            </w:pPr>
          </w:p>
        </w:tc>
        <w:tc>
          <w:tcPr>
            <w:tcW w:w="833" w:type="pct"/>
            <w:gridSpan w:val="2"/>
            <w:noWrap w:val="0"/>
            <w:vAlign w:val="center"/>
          </w:tcPr>
          <w:p w14:paraId="6237DA80">
            <w:pPr>
              <w:spacing w:line="360" w:lineRule="auto"/>
              <w:jc w:val="center"/>
              <w:rPr>
                <w:rFonts w:hint="eastAsia" w:ascii="宋体" w:hAnsi="宋体" w:eastAsia="宋体" w:cs="宋体"/>
                <w:color w:val="000000"/>
                <w:sz w:val="24"/>
                <w:szCs w:val="24"/>
              </w:rPr>
            </w:pPr>
          </w:p>
        </w:tc>
        <w:tc>
          <w:tcPr>
            <w:tcW w:w="833" w:type="pct"/>
            <w:gridSpan w:val="2"/>
            <w:noWrap w:val="0"/>
            <w:vAlign w:val="center"/>
          </w:tcPr>
          <w:p w14:paraId="28F57F41">
            <w:pPr>
              <w:spacing w:line="360" w:lineRule="auto"/>
              <w:jc w:val="center"/>
              <w:rPr>
                <w:rFonts w:hint="eastAsia" w:ascii="宋体" w:hAnsi="宋体" w:eastAsia="宋体" w:cs="宋体"/>
                <w:color w:val="000000"/>
                <w:sz w:val="24"/>
                <w:szCs w:val="24"/>
              </w:rPr>
            </w:pPr>
          </w:p>
        </w:tc>
        <w:tc>
          <w:tcPr>
            <w:tcW w:w="833" w:type="pct"/>
            <w:gridSpan w:val="2"/>
            <w:noWrap w:val="0"/>
            <w:vAlign w:val="center"/>
          </w:tcPr>
          <w:p w14:paraId="4104A396">
            <w:pPr>
              <w:spacing w:line="360" w:lineRule="auto"/>
              <w:jc w:val="center"/>
              <w:rPr>
                <w:rFonts w:hint="eastAsia" w:ascii="宋体" w:hAnsi="宋体" w:eastAsia="宋体" w:cs="宋体"/>
                <w:color w:val="000000"/>
                <w:sz w:val="24"/>
                <w:szCs w:val="24"/>
              </w:rPr>
            </w:pPr>
          </w:p>
        </w:tc>
        <w:tc>
          <w:tcPr>
            <w:tcW w:w="833" w:type="pct"/>
            <w:gridSpan w:val="2"/>
            <w:noWrap w:val="0"/>
            <w:vAlign w:val="center"/>
          </w:tcPr>
          <w:p w14:paraId="51FD0D3B">
            <w:pPr>
              <w:spacing w:line="360" w:lineRule="auto"/>
              <w:jc w:val="center"/>
              <w:rPr>
                <w:rFonts w:hint="eastAsia" w:ascii="宋体" w:hAnsi="宋体" w:eastAsia="宋体" w:cs="宋体"/>
                <w:color w:val="000000"/>
                <w:sz w:val="24"/>
                <w:szCs w:val="24"/>
              </w:rPr>
            </w:pPr>
          </w:p>
        </w:tc>
      </w:tr>
      <w:tr w14:paraId="3325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33" w:type="pct"/>
            <w:gridSpan w:val="2"/>
            <w:noWrap w:val="0"/>
            <w:vAlign w:val="center"/>
          </w:tcPr>
          <w:p w14:paraId="315B02CD">
            <w:pPr>
              <w:spacing w:line="360" w:lineRule="auto"/>
              <w:jc w:val="center"/>
              <w:rPr>
                <w:rFonts w:hint="eastAsia" w:ascii="宋体" w:hAnsi="宋体" w:eastAsia="宋体" w:cs="宋体"/>
                <w:color w:val="000000"/>
                <w:sz w:val="24"/>
                <w:szCs w:val="24"/>
              </w:rPr>
            </w:pPr>
          </w:p>
        </w:tc>
        <w:tc>
          <w:tcPr>
            <w:tcW w:w="833" w:type="pct"/>
            <w:noWrap w:val="0"/>
            <w:vAlign w:val="center"/>
          </w:tcPr>
          <w:p w14:paraId="71BC2DC7">
            <w:pPr>
              <w:spacing w:line="360" w:lineRule="auto"/>
              <w:jc w:val="center"/>
              <w:rPr>
                <w:rFonts w:hint="eastAsia" w:ascii="宋体" w:hAnsi="宋体" w:eastAsia="宋体" w:cs="宋体"/>
                <w:color w:val="000000"/>
                <w:sz w:val="24"/>
                <w:szCs w:val="24"/>
              </w:rPr>
            </w:pPr>
          </w:p>
        </w:tc>
        <w:tc>
          <w:tcPr>
            <w:tcW w:w="833" w:type="pct"/>
            <w:gridSpan w:val="2"/>
            <w:noWrap w:val="0"/>
            <w:vAlign w:val="center"/>
          </w:tcPr>
          <w:p w14:paraId="2D49AC1B">
            <w:pPr>
              <w:spacing w:line="360" w:lineRule="auto"/>
              <w:jc w:val="center"/>
              <w:rPr>
                <w:rFonts w:hint="eastAsia" w:ascii="宋体" w:hAnsi="宋体" w:eastAsia="宋体" w:cs="宋体"/>
                <w:color w:val="000000"/>
                <w:sz w:val="24"/>
                <w:szCs w:val="24"/>
              </w:rPr>
            </w:pPr>
          </w:p>
        </w:tc>
        <w:tc>
          <w:tcPr>
            <w:tcW w:w="833" w:type="pct"/>
            <w:gridSpan w:val="2"/>
            <w:noWrap w:val="0"/>
            <w:vAlign w:val="center"/>
          </w:tcPr>
          <w:p w14:paraId="07E7162A">
            <w:pPr>
              <w:spacing w:line="360" w:lineRule="auto"/>
              <w:jc w:val="center"/>
              <w:rPr>
                <w:rFonts w:hint="eastAsia" w:ascii="宋体" w:hAnsi="宋体" w:eastAsia="宋体" w:cs="宋体"/>
                <w:color w:val="000000"/>
                <w:sz w:val="24"/>
                <w:szCs w:val="24"/>
              </w:rPr>
            </w:pPr>
          </w:p>
        </w:tc>
        <w:tc>
          <w:tcPr>
            <w:tcW w:w="833" w:type="pct"/>
            <w:gridSpan w:val="2"/>
            <w:noWrap w:val="0"/>
            <w:vAlign w:val="center"/>
          </w:tcPr>
          <w:p w14:paraId="14C3A430">
            <w:pPr>
              <w:spacing w:line="360" w:lineRule="auto"/>
              <w:jc w:val="center"/>
              <w:rPr>
                <w:rFonts w:hint="eastAsia" w:ascii="宋体" w:hAnsi="宋体" w:eastAsia="宋体" w:cs="宋体"/>
                <w:color w:val="000000"/>
                <w:sz w:val="24"/>
                <w:szCs w:val="24"/>
              </w:rPr>
            </w:pPr>
          </w:p>
        </w:tc>
        <w:tc>
          <w:tcPr>
            <w:tcW w:w="833" w:type="pct"/>
            <w:gridSpan w:val="2"/>
            <w:noWrap w:val="0"/>
            <w:vAlign w:val="center"/>
          </w:tcPr>
          <w:p w14:paraId="5A5F666A">
            <w:pPr>
              <w:spacing w:line="360" w:lineRule="auto"/>
              <w:jc w:val="center"/>
              <w:rPr>
                <w:rFonts w:hint="eastAsia" w:ascii="宋体" w:hAnsi="宋体" w:eastAsia="宋体" w:cs="宋体"/>
                <w:color w:val="000000"/>
                <w:sz w:val="24"/>
                <w:szCs w:val="24"/>
              </w:rPr>
            </w:pPr>
          </w:p>
        </w:tc>
      </w:tr>
    </w:tbl>
    <w:p w14:paraId="70F20FCB">
      <w:pPr>
        <w:spacing w:line="360" w:lineRule="auto"/>
        <w:rPr>
          <w:rFonts w:hint="eastAsia" w:ascii="宋体" w:hAnsi="宋体" w:eastAsia="宋体" w:cs="宋体"/>
          <w:color w:val="000000"/>
          <w:sz w:val="24"/>
          <w:szCs w:val="24"/>
        </w:rPr>
      </w:pPr>
    </w:p>
    <w:p w14:paraId="094E45B4">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附项目经理注册建造师注册证书、职称证书、安全生产考核合格证书（B证）、中华人民共和国注册安全工程师执业证书（如有）和已完工程中标通知书（如有）、工程合同协议书（如有）、工程竣工验收（如有）证明材料复印件，以及供应商认为需要增加的其他证明材料复印件，以上复印件均须加盖供应商单位公章。</w:t>
      </w:r>
    </w:p>
    <w:p w14:paraId="5168A046">
      <w:pPr>
        <w:spacing w:line="360" w:lineRule="auto"/>
        <w:rPr>
          <w:rFonts w:hint="eastAsia" w:ascii="宋体" w:hAnsi="宋体" w:eastAsia="宋体" w:cs="宋体"/>
          <w:b/>
          <w:color w:val="auto"/>
          <w:sz w:val="24"/>
          <w:szCs w:val="24"/>
          <w:highlight w:val="none"/>
        </w:rPr>
        <w:sectPr>
          <w:footerReference r:id="rId7" w:type="default"/>
          <w:footerReference r:id="rId8" w:type="even"/>
          <w:pgSz w:w="11907" w:h="16840"/>
          <w:pgMar w:top="1797" w:right="1440" w:bottom="1440" w:left="1440" w:header="851" w:footer="851" w:gutter="0"/>
          <w:cols w:space="720" w:num="1"/>
        </w:sectPr>
      </w:pPr>
    </w:p>
    <w:p w14:paraId="616890BF">
      <w:pPr>
        <w:pStyle w:val="4"/>
        <w:kinsoku w:val="0"/>
        <w:overflowPunct w:val="0"/>
        <w:spacing w:line="360" w:lineRule="auto"/>
        <w:ind w:right="102"/>
        <w:rPr>
          <w:rFonts w:hint="eastAsia" w:ascii="宋体" w:hAnsi="宋体" w:eastAsia="宋体" w:cs="宋体"/>
          <w:b/>
          <w:color w:val="000000"/>
          <w:sz w:val="24"/>
          <w:szCs w:val="24"/>
        </w:rPr>
      </w:pPr>
    </w:p>
    <w:p w14:paraId="68BAD51B">
      <w:pPr>
        <w:pStyle w:val="6"/>
        <w:numPr>
          <w:ilvl w:val="0"/>
          <w:numId w:val="62"/>
        </w:numPr>
        <w:ind w:left="0" w:leftChars="0" w:firstLine="480" w:firstLineChars="0"/>
        <w:rPr>
          <w:rFonts w:hint="eastAsia" w:ascii="宋体" w:hAnsi="宋体" w:eastAsia="宋体" w:cs="宋体"/>
          <w:sz w:val="24"/>
          <w:szCs w:val="24"/>
        </w:rPr>
      </w:pPr>
      <w:r>
        <w:rPr>
          <w:rFonts w:hint="eastAsia" w:ascii="宋体" w:hAnsi="宋体" w:eastAsia="宋体" w:cs="宋体"/>
          <w:sz w:val="24"/>
          <w:szCs w:val="24"/>
        </w:rPr>
        <w:t>按本竞争性磋商文件规定提交的其它资料</w:t>
      </w:r>
    </w:p>
    <w:p w14:paraId="166B5ABE">
      <w:pPr>
        <w:pStyle w:val="4"/>
        <w:numPr>
          <w:ilvl w:val="4"/>
          <w:numId w:val="65"/>
        </w:numPr>
        <w:ind w:left="110"/>
        <w:rPr>
          <w:rFonts w:hint="eastAsia" w:ascii="宋体" w:hAnsi="宋体" w:eastAsia="宋体" w:cs="宋体"/>
          <w:color w:val="000000"/>
          <w:sz w:val="24"/>
          <w:szCs w:val="24"/>
        </w:rPr>
      </w:pPr>
      <w:r>
        <w:rPr>
          <w:rFonts w:hint="eastAsia" w:ascii="宋体" w:hAnsi="宋体" w:eastAsia="宋体" w:cs="宋体"/>
          <w:color w:val="000000"/>
          <w:sz w:val="24"/>
          <w:szCs w:val="24"/>
        </w:rPr>
        <w:br w:type="page"/>
      </w:r>
      <w:bookmarkStart w:id="82" w:name="_Toc19527_WPSOffice_Level1"/>
      <w:r>
        <w:rPr>
          <w:rFonts w:hint="eastAsia" w:ascii="宋体" w:hAnsi="宋体" w:eastAsia="宋体" w:cs="宋体"/>
          <w:b/>
          <w:bCs/>
          <w:color w:val="000000"/>
          <w:sz w:val="24"/>
          <w:szCs w:val="24"/>
        </w:rPr>
        <w:t>（封面）</w:t>
      </w:r>
      <w:bookmarkEnd w:id="82"/>
    </w:p>
    <w:p w14:paraId="17744F5A">
      <w:pPr>
        <w:kinsoku w:val="0"/>
        <w:overflowPunct w:val="0"/>
        <w:spacing w:line="200" w:lineRule="exact"/>
        <w:rPr>
          <w:rFonts w:hint="eastAsia" w:ascii="宋体" w:hAnsi="宋体" w:eastAsia="宋体" w:cs="宋体"/>
          <w:color w:val="000000"/>
          <w:sz w:val="24"/>
          <w:szCs w:val="24"/>
        </w:rPr>
      </w:pPr>
    </w:p>
    <w:p w14:paraId="171CE921">
      <w:pPr>
        <w:kinsoku w:val="0"/>
        <w:overflowPunct w:val="0"/>
        <w:spacing w:line="200" w:lineRule="exact"/>
        <w:rPr>
          <w:rFonts w:hint="eastAsia" w:ascii="宋体" w:hAnsi="宋体" w:eastAsia="宋体" w:cs="宋体"/>
          <w:color w:val="000000"/>
          <w:sz w:val="24"/>
          <w:szCs w:val="24"/>
        </w:rPr>
      </w:pPr>
    </w:p>
    <w:p w14:paraId="56DFF75F">
      <w:pPr>
        <w:kinsoku w:val="0"/>
        <w:overflowPunct w:val="0"/>
        <w:spacing w:line="200" w:lineRule="exact"/>
        <w:rPr>
          <w:rFonts w:hint="eastAsia" w:ascii="宋体" w:hAnsi="宋体" w:eastAsia="宋体" w:cs="宋体"/>
          <w:color w:val="000000"/>
          <w:sz w:val="24"/>
          <w:szCs w:val="24"/>
        </w:rPr>
      </w:pPr>
    </w:p>
    <w:p w14:paraId="7E35F969">
      <w:pPr>
        <w:kinsoku w:val="0"/>
        <w:overflowPunct w:val="0"/>
        <w:spacing w:line="200" w:lineRule="exact"/>
        <w:rPr>
          <w:rFonts w:hint="eastAsia" w:ascii="宋体" w:hAnsi="宋体" w:eastAsia="宋体" w:cs="宋体"/>
          <w:color w:val="000000"/>
          <w:sz w:val="24"/>
          <w:szCs w:val="24"/>
        </w:rPr>
      </w:pPr>
    </w:p>
    <w:p w14:paraId="694DB21A">
      <w:pPr>
        <w:kinsoku w:val="0"/>
        <w:overflowPunct w:val="0"/>
        <w:spacing w:line="200" w:lineRule="exact"/>
        <w:rPr>
          <w:rFonts w:hint="eastAsia" w:ascii="宋体" w:hAnsi="宋体" w:eastAsia="宋体" w:cs="宋体"/>
          <w:color w:val="000000"/>
          <w:sz w:val="24"/>
          <w:szCs w:val="24"/>
        </w:rPr>
      </w:pPr>
    </w:p>
    <w:p w14:paraId="3C5DD10A">
      <w:pPr>
        <w:kinsoku w:val="0"/>
        <w:overflowPunct w:val="0"/>
        <w:spacing w:line="200" w:lineRule="exact"/>
        <w:rPr>
          <w:rFonts w:hint="eastAsia" w:ascii="宋体" w:hAnsi="宋体" w:eastAsia="宋体" w:cs="宋体"/>
          <w:color w:val="000000"/>
          <w:sz w:val="24"/>
          <w:szCs w:val="24"/>
        </w:rPr>
      </w:pPr>
    </w:p>
    <w:p w14:paraId="41E5B675">
      <w:pPr>
        <w:kinsoku w:val="0"/>
        <w:overflowPunct w:val="0"/>
        <w:spacing w:line="200" w:lineRule="exact"/>
        <w:rPr>
          <w:rFonts w:hint="eastAsia" w:ascii="宋体" w:hAnsi="宋体" w:eastAsia="宋体" w:cs="宋体"/>
          <w:color w:val="000000"/>
          <w:sz w:val="24"/>
          <w:szCs w:val="24"/>
        </w:rPr>
      </w:pPr>
    </w:p>
    <w:p w14:paraId="1307888F">
      <w:pPr>
        <w:kinsoku w:val="0"/>
        <w:overflowPunct w:val="0"/>
        <w:spacing w:line="200" w:lineRule="exact"/>
        <w:rPr>
          <w:rFonts w:hint="eastAsia" w:ascii="宋体" w:hAnsi="宋体" w:eastAsia="宋体" w:cs="宋体"/>
          <w:color w:val="000000"/>
          <w:sz w:val="24"/>
          <w:szCs w:val="24"/>
        </w:rPr>
      </w:pPr>
    </w:p>
    <w:p w14:paraId="69D28B64">
      <w:pPr>
        <w:kinsoku w:val="0"/>
        <w:overflowPunct w:val="0"/>
        <w:spacing w:before="10" w:line="280" w:lineRule="exact"/>
        <w:rPr>
          <w:rFonts w:hint="eastAsia" w:ascii="宋体" w:hAnsi="宋体" w:eastAsia="宋体" w:cs="宋体"/>
          <w:color w:val="000000"/>
          <w:sz w:val="24"/>
          <w:szCs w:val="24"/>
        </w:rPr>
      </w:pPr>
    </w:p>
    <w:p w14:paraId="72E39718">
      <w:pPr>
        <w:kinsoku w:val="0"/>
        <w:overflowPunct w:val="0"/>
        <w:spacing w:line="820" w:lineRule="exact"/>
        <w:ind w:left="188"/>
        <w:jc w:val="center"/>
        <w:rPr>
          <w:rFonts w:hint="eastAsia" w:ascii="宋体" w:hAnsi="宋体" w:eastAsia="宋体" w:cs="宋体"/>
          <w:color w:val="000000"/>
          <w:sz w:val="36"/>
          <w:szCs w:val="36"/>
        </w:rPr>
      </w:pPr>
      <w:bookmarkStart w:id="83" w:name="_Toc27563_WPSOffice_Level1"/>
      <w:r>
        <w:rPr>
          <w:rFonts w:hint="eastAsia" w:ascii="宋体" w:hAnsi="宋体" w:eastAsia="宋体" w:cs="宋体"/>
          <w:color w:val="000000"/>
          <w:sz w:val="36"/>
          <w:szCs w:val="36"/>
        </w:rPr>
        <w:t>二</w:t>
      </w:r>
      <w:r>
        <w:rPr>
          <w:rFonts w:hint="eastAsia" w:ascii="宋体" w:hAnsi="宋体" w:eastAsia="宋体" w:cs="宋体"/>
          <w:color w:val="000000"/>
          <w:spacing w:val="4"/>
          <w:sz w:val="36"/>
          <w:szCs w:val="36"/>
        </w:rPr>
        <w:t xml:space="preserve"> </w:t>
      </w:r>
      <w:r>
        <w:rPr>
          <w:rFonts w:hint="eastAsia" w:ascii="宋体" w:hAnsi="宋体" w:eastAsia="宋体" w:cs="宋体"/>
          <w:color w:val="000000"/>
          <w:sz w:val="36"/>
          <w:szCs w:val="36"/>
        </w:rPr>
        <w:t>次</w:t>
      </w:r>
      <w:r>
        <w:rPr>
          <w:rFonts w:hint="eastAsia" w:ascii="宋体" w:hAnsi="宋体" w:eastAsia="宋体" w:cs="宋体"/>
          <w:color w:val="000000"/>
          <w:spacing w:val="2"/>
          <w:sz w:val="36"/>
          <w:szCs w:val="36"/>
        </w:rPr>
        <w:t xml:space="preserve"> </w:t>
      </w:r>
      <w:r>
        <w:rPr>
          <w:rFonts w:hint="eastAsia" w:ascii="宋体" w:hAnsi="宋体" w:eastAsia="宋体" w:cs="宋体"/>
          <w:color w:val="000000"/>
          <w:sz w:val="36"/>
          <w:szCs w:val="36"/>
        </w:rPr>
        <w:t>报</w:t>
      </w:r>
      <w:r>
        <w:rPr>
          <w:rFonts w:hint="eastAsia" w:ascii="宋体" w:hAnsi="宋体" w:eastAsia="宋体" w:cs="宋体"/>
          <w:color w:val="000000"/>
          <w:spacing w:val="4"/>
          <w:sz w:val="36"/>
          <w:szCs w:val="36"/>
        </w:rPr>
        <w:t xml:space="preserve"> </w:t>
      </w:r>
      <w:r>
        <w:rPr>
          <w:rFonts w:hint="eastAsia" w:ascii="宋体" w:hAnsi="宋体" w:eastAsia="宋体" w:cs="宋体"/>
          <w:color w:val="000000"/>
          <w:sz w:val="36"/>
          <w:szCs w:val="36"/>
        </w:rPr>
        <w:t>价</w:t>
      </w:r>
      <w:r>
        <w:rPr>
          <w:rFonts w:hint="eastAsia" w:ascii="宋体" w:hAnsi="宋体" w:eastAsia="宋体" w:cs="宋体"/>
          <w:color w:val="000000"/>
          <w:spacing w:val="4"/>
          <w:sz w:val="36"/>
          <w:szCs w:val="36"/>
        </w:rPr>
        <w:t xml:space="preserve"> </w:t>
      </w:r>
      <w:r>
        <w:rPr>
          <w:rFonts w:hint="eastAsia" w:ascii="宋体" w:hAnsi="宋体" w:eastAsia="宋体" w:cs="宋体"/>
          <w:color w:val="000000"/>
          <w:sz w:val="36"/>
          <w:szCs w:val="36"/>
        </w:rPr>
        <w:t>文</w:t>
      </w:r>
      <w:r>
        <w:rPr>
          <w:rFonts w:hint="eastAsia" w:ascii="宋体" w:hAnsi="宋体" w:eastAsia="宋体" w:cs="宋体"/>
          <w:color w:val="000000"/>
          <w:spacing w:val="4"/>
          <w:sz w:val="36"/>
          <w:szCs w:val="36"/>
        </w:rPr>
        <w:t xml:space="preserve"> </w:t>
      </w:r>
      <w:r>
        <w:rPr>
          <w:rFonts w:hint="eastAsia" w:ascii="宋体" w:hAnsi="宋体" w:eastAsia="宋体" w:cs="宋体"/>
          <w:color w:val="000000"/>
          <w:sz w:val="36"/>
          <w:szCs w:val="36"/>
        </w:rPr>
        <w:t>件</w:t>
      </w:r>
      <w:bookmarkEnd w:id="83"/>
    </w:p>
    <w:p w14:paraId="230E3281">
      <w:pPr>
        <w:kinsoku w:val="0"/>
        <w:overflowPunct w:val="0"/>
        <w:spacing w:before="7" w:line="140" w:lineRule="exact"/>
        <w:rPr>
          <w:rFonts w:hint="eastAsia" w:ascii="宋体" w:hAnsi="宋体" w:eastAsia="宋体" w:cs="宋体"/>
          <w:color w:val="000000"/>
          <w:sz w:val="24"/>
          <w:szCs w:val="24"/>
        </w:rPr>
      </w:pPr>
    </w:p>
    <w:p w14:paraId="4FB82A9C">
      <w:pPr>
        <w:kinsoku w:val="0"/>
        <w:overflowPunct w:val="0"/>
        <w:spacing w:line="200" w:lineRule="exact"/>
        <w:rPr>
          <w:rFonts w:hint="eastAsia" w:ascii="宋体" w:hAnsi="宋体" w:eastAsia="宋体" w:cs="宋体"/>
          <w:color w:val="000000"/>
          <w:sz w:val="24"/>
          <w:szCs w:val="24"/>
        </w:rPr>
      </w:pPr>
    </w:p>
    <w:p w14:paraId="5D00723E">
      <w:pPr>
        <w:kinsoku w:val="0"/>
        <w:overflowPunct w:val="0"/>
        <w:spacing w:line="200" w:lineRule="exact"/>
        <w:rPr>
          <w:rFonts w:hint="eastAsia" w:ascii="宋体" w:hAnsi="宋体" w:eastAsia="宋体" w:cs="宋体"/>
          <w:color w:val="000000"/>
          <w:sz w:val="24"/>
          <w:szCs w:val="24"/>
        </w:rPr>
      </w:pPr>
    </w:p>
    <w:p w14:paraId="173B8A69">
      <w:pPr>
        <w:kinsoku w:val="0"/>
        <w:overflowPunct w:val="0"/>
        <w:spacing w:line="200" w:lineRule="exact"/>
        <w:rPr>
          <w:rFonts w:hint="eastAsia" w:ascii="宋体" w:hAnsi="宋体" w:eastAsia="宋体" w:cs="宋体"/>
          <w:color w:val="000000"/>
          <w:sz w:val="24"/>
          <w:szCs w:val="24"/>
        </w:rPr>
      </w:pPr>
    </w:p>
    <w:p w14:paraId="7E87C7A7">
      <w:pPr>
        <w:kinsoku w:val="0"/>
        <w:overflowPunct w:val="0"/>
        <w:spacing w:line="200" w:lineRule="exact"/>
        <w:rPr>
          <w:rFonts w:hint="eastAsia" w:ascii="宋体" w:hAnsi="宋体" w:eastAsia="宋体" w:cs="宋体"/>
          <w:color w:val="000000"/>
          <w:sz w:val="24"/>
          <w:szCs w:val="24"/>
        </w:rPr>
      </w:pPr>
    </w:p>
    <w:p w14:paraId="56F8B9A0">
      <w:pPr>
        <w:kinsoku w:val="0"/>
        <w:overflowPunct w:val="0"/>
        <w:spacing w:line="200" w:lineRule="exact"/>
        <w:rPr>
          <w:rFonts w:hint="eastAsia" w:ascii="宋体" w:hAnsi="宋体" w:eastAsia="宋体" w:cs="宋体"/>
          <w:color w:val="000000"/>
          <w:sz w:val="24"/>
          <w:szCs w:val="24"/>
        </w:rPr>
      </w:pPr>
    </w:p>
    <w:p w14:paraId="0F66C32C">
      <w:pPr>
        <w:kinsoku w:val="0"/>
        <w:overflowPunct w:val="0"/>
        <w:spacing w:line="200" w:lineRule="exact"/>
        <w:rPr>
          <w:rFonts w:hint="eastAsia" w:ascii="宋体" w:hAnsi="宋体" w:eastAsia="宋体" w:cs="宋体"/>
          <w:color w:val="000000"/>
          <w:sz w:val="24"/>
          <w:szCs w:val="24"/>
        </w:rPr>
      </w:pPr>
    </w:p>
    <w:p w14:paraId="449E6CBF">
      <w:pPr>
        <w:kinsoku w:val="0"/>
        <w:overflowPunct w:val="0"/>
        <w:spacing w:line="200" w:lineRule="exact"/>
        <w:rPr>
          <w:rFonts w:hint="eastAsia" w:ascii="宋体" w:hAnsi="宋体" w:eastAsia="宋体" w:cs="宋体"/>
          <w:color w:val="000000"/>
          <w:sz w:val="24"/>
          <w:szCs w:val="24"/>
        </w:rPr>
      </w:pPr>
    </w:p>
    <w:p w14:paraId="772F5FAE">
      <w:pPr>
        <w:kinsoku w:val="0"/>
        <w:overflowPunct w:val="0"/>
        <w:spacing w:line="200" w:lineRule="exact"/>
        <w:rPr>
          <w:rFonts w:hint="eastAsia" w:ascii="宋体" w:hAnsi="宋体" w:eastAsia="宋体" w:cs="宋体"/>
          <w:color w:val="000000"/>
          <w:sz w:val="24"/>
          <w:szCs w:val="24"/>
        </w:rPr>
      </w:pPr>
    </w:p>
    <w:p w14:paraId="125BE628">
      <w:pPr>
        <w:kinsoku w:val="0"/>
        <w:overflowPunct w:val="0"/>
        <w:spacing w:line="200" w:lineRule="exact"/>
        <w:rPr>
          <w:rFonts w:hint="eastAsia" w:ascii="宋体" w:hAnsi="宋体" w:eastAsia="宋体" w:cs="宋体"/>
          <w:color w:val="000000"/>
          <w:sz w:val="24"/>
          <w:szCs w:val="24"/>
        </w:rPr>
      </w:pPr>
    </w:p>
    <w:p w14:paraId="3DF033B0">
      <w:pPr>
        <w:keepNext w:val="0"/>
        <w:keepLines w:val="0"/>
        <w:widowControl w:val="0"/>
        <w:kinsoku w:val="0"/>
        <w:overflowPunct w:val="0"/>
        <w:spacing w:beforeLines="0" w:beforeAutospacing="0" w:after="120" w:afterLines="0" w:afterAutospacing="0" w:line="499" w:lineRule="auto"/>
        <w:ind w:right="3325"/>
        <w:jc w:val="left"/>
        <w:outlineLvl w:val="9"/>
        <w:rPr>
          <w:rFonts w:hint="eastAsia" w:ascii="宋体" w:hAnsi="宋体" w:eastAsia="宋体" w:cs="宋体"/>
          <w:b/>
          <w:bCs/>
          <w:color w:val="000000"/>
          <w:sz w:val="24"/>
          <w:szCs w:val="24"/>
          <w:u w:val="single"/>
        </w:rPr>
      </w:pPr>
      <w:bookmarkStart w:id="84" w:name="_Toc9810_WPSOffice_Level1"/>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w:t>
      </w:r>
      <w:r>
        <w:rPr>
          <w:rFonts w:hint="eastAsia" w:ascii="宋体" w:hAnsi="宋体" w:eastAsia="宋体" w:cs="宋体"/>
          <w:b/>
          <w:bCs/>
          <w:color w:val="000000"/>
          <w:sz w:val="24"/>
          <w:szCs w:val="24"/>
        </w:rPr>
        <w:t>工</w:t>
      </w:r>
      <w:r>
        <w:rPr>
          <w:rFonts w:hint="eastAsia" w:ascii="宋体" w:hAnsi="宋体" w:eastAsia="宋体" w:cs="宋体"/>
          <w:b/>
          <w:bCs/>
          <w:color w:val="000000"/>
          <w:spacing w:val="2"/>
          <w:sz w:val="24"/>
          <w:szCs w:val="24"/>
        </w:rPr>
        <w:t>程</w:t>
      </w:r>
      <w:r>
        <w:rPr>
          <w:rFonts w:hint="eastAsia" w:ascii="宋体" w:hAnsi="宋体" w:eastAsia="宋体" w:cs="宋体"/>
          <w:b/>
          <w:bCs/>
          <w:color w:val="000000"/>
          <w:sz w:val="24"/>
          <w:szCs w:val="24"/>
        </w:rPr>
        <w:t>名</w:t>
      </w:r>
      <w:r>
        <w:rPr>
          <w:rFonts w:hint="eastAsia" w:ascii="宋体" w:hAnsi="宋体" w:eastAsia="宋体" w:cs="宋体"/>
          <w:b/>
          <w:bCs/>
          <w:color w:val="000000"/>
          <w:spacing w:val="2"/>
          <w:sz w:val="24"/>
          <w:szCs w:val="24"/>
        </w:rPr>
        <w:t>称</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u w:val="single"/>
        </w:rPr>
        <w:t xml:space="preserve">                            </w:t>
      </w:r>
    </w:p>
    <w:p w14:paraId="1038C5C6">
      <w:pPr>
        <w:keepNext w:val="0"/>
        <w:keepLines w:val="0"/>
        <w:widowControl w:val="0"/>
        <w:kinsoku w:val="0"/>
        <w:overflowPunct w:val="0"/>
        <w:spacing w:beforeLines="0" w:beforeAutospacing="0" w:after="120" w:afterLines="0" w:afterAutospacing="0" w:line="499" w:lineRule="auto"/>
        <w:ind w:right="3325"/>
        <w:jc w:val="left"/>
        <w:outlineLvl w:val="9"/>
        <w:rPr>
          <w:rFonts w:hint="eastAsia" w:ascii="宋体" w:hAnsi="宋体" w:eastAsia="宋体" w:cs="宋体"/>
          <w:b/>
          <w:bCs/>
          <w:color w:val="000000"/>
          <w:sz w:val="24"/>
          <w:szCs w:val="24"/>
          <w:u w:val="single"/>
        </w:rPr>
      </w:pPr>
      <w:r>
        <w:rPr>
          <w:rFonts w:hint="eastAsia" w:ascii="宋体" w:hAnsi="宋体" w:eastAsia="宋体" w:cs="宋体"/>
          <w:b/>
          <w:bCs/>
          <w:color w:val="000000"/>
          <w:sz w:val="24"/>
          <w:szCs w:val="24"/>
        </w:rPr>
        <w:t xml:space="preserve">         </w:t>
      </w: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rPr>
        <w:t>项</w:t>
      </w:r>
      <w:r>
        <w:rPr>
          <w:rFonts w:hint="eastAsia" w:ascii="宋体" w:hAnsi="宋体" w:eastAsia="宋体" w:cs="宋体"/>
          <w:b/>
          <w:bCs/>
          <w:color w:val="000000"/>
          <w:spacing w:val="2"/>
          <w:sz w:val="24"/>
          <w:szCs w:val="24"/>
        </w:rPr>
        <w:t>目</w:t>
      </w:r>
      <w:r>
        <w:rPr>
          <w:rFonts w:hint="eastAsia" w:ascii="宋体" w:hAnsi="宋体" w:eastAsia="宋体" w:cs="宋体"/>
          <w:b/>
          <w:bCs/>
          <w:color w:val="000000"/>
          <w:sz w:val="24"/>
          <w:szCs w:val="24"/>
        </w:rPr>
        <w:t>编</w:t>
      </w:r>
      <w:r>
        <w:rPr>
          <w:rFonts w:hint="eastAsia" w:ascii="宋体" w:hAnsi="宋体" w:eastAsia="宋体" w:cs="宋体"/>
          <w:b/>
          <w:bCs/>
          <w:color w:val="000000"/>
          <w:spacing w:val="2"/>
          <w:sz w:val="24"/>
          <w:szCs w:val="24"/>
        </w:rPr>
        <w:t>号</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u w:val="single"/>
        </w:rPr>
        <w:t xml:space="preserve">                            </w:t>
      </w:r>
    </w:p>
    <w:p w14:paraId="43E4F957">
      <w:pPr>
        <w:keepNext w:val="0"/>
        <w:keepLines w:val="0"/>
        <w:widowControl w:val="0"/>
        <w:kinsoku w:val="0"/>
        <w:overflowPunct w:val="0"/>
        <w:spacing w:beforeLines="0" w:beforeAutospacing="0" w:after="120" w:afterLines="0" w:afterAutospacing="0" w:line="499" w:lineRule="auto"/>
        <w:ind w:right="3325"/>
        <w:jc w:val="left"/>
        <w:outlineLvl w:val="9"/>
        <w:rPr>
          <w:rFonts w:hint="eastAsia" w:ascii="宋体" w:hAnsi="宋体" w:eastAsia="宋体" w:cs="宋体"/>
          <w:b/>
          <w:bCs/>
          <w:color w:val="000000"/>
          <w:sz w:val="24"/>
          <w:szCs w:val="24"/>
          <w:u w:val="single"/>
        </w:rPr>
      </w:pPr>
      <w:r>
        <w:rPr>
          <w:rFonts w:hint="eastAsia" w:ascii="宋体" w:hAnsi="宋体" w:eastAsia="宋体" w:cs="宋体"/>
          <w:b/>
          <w:bCs/>
          <w:color w:val="000000"/>
          <w:sz w:val="24"/>
          <w:szCs w:val="24"/>
        </w:rPr>
        <w:t xml:space="preserve">         </w:t>
      </w: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rPr>
        <w:t>供应商</w:t>
      </w:r>
      <w:r>
        <w:rPr>
          <w:rFonts w:hint="eastAsia" w:ascii="宋体" w:hAnsi="宋体" w:eastAsia="宋体" w:cs="宋体"/>
          <w:b/>
          <w:bCs/>
          <w:color w:val="000000"/>
          <w:spacing w:val="2"/>
          <w:sz w:val="24"/>
          <w:szCs w:val="24"/>
        </w:rPr>
        <w:t>名</w:t>
      </w:r>
      <w:r>
        <w:rPr>
          <w:rFonts w:hint="eastAsia" w:ascii="宋体" w:hAnsi="宋体" w:eastAsia="宋体" w:cs="宋体"/>
          <w:b/>
          <w:bCs/>
          <w:color w:val="000000"/>
          <w:sz w:val="24"/>
          <w:szCs w:val="24"/>
        </w:rPr>
        <w:t>称：</w:t>
      </w:r>
      <w:bookmarkEnd w:id="84"/>
      <w:r>
        <w:rPr>
          <w:rFonts w:hint="eastAsia" w:ascii="宋体" w:hAnsi="宋体" w:eastAsia="宋体" w:cs="宋体"/>
          <w:b/>
          <w:bCs/>
          <w:color w:val="000000"/>
          <w:sz w:val="24"/>
          <w:szCs w:val="24"/>
          <w:u w:val="single"/>
        </w:rPr>
        <w:t xml:space="preserve">                           </w:t>
      </w:r>
    </w:p>
    <w:p w14:paraId="4C2C90E1">
      <w:pPr>
        <w:keepNext w:val="0"/>
        <w:keepLines w:val="0"/>
        <w:widowControl w:val="0"/>
        <w:kinsoku w:val="0"/>
        <w:overflowPunct w:val="0"/>
        <w:spacing w:beforeLines="0" w:beforeAutospacing="0" w:after="120" w:afterLines="0" w:afterAutospacing="0" w:line="499" w:lineRule="auto"/>
        <w:ind w:right="3325"/>
        <w:jc w:val="left"/>
        <w:outlineLvl w:val="9"/>
        <w:rPr>
          <w:rFonts w:hint="eastAsia" w:ascii="宋体" w:hAnsi="宋体" w:eastAsia="宋体" w:cs="宋体"/>
          <w:b/>
          <w:bCs/>
          <w:color w:val="000000"/>
          <w:sz w:val="24"/>
          <w:szCs w:val="24"/>
          <w:u w:val="single"/>
          <w:lang w:val="en-US" w:eastAsia="zh-CN"/>
        </w:rPr>
      </w:pPr>
      <w:r>
        <w:rPr>
          <w:rFonts w:hint="eastAsia" w:ascii="宋体" w:hAnsi="宋体" w:eastAsia="宋体" w:cs="宋体"/>
          <w:b/>
          <w:bCs/>
          <w:color w:val="000000"/>
          <w:sz w:val="24"/>
          <w:szCs w:val="24"/>
          <w:u w:val="none"/>
          <w:lang w:val="en-US" w:eastAsia="zh-CN"/>
        </w:rPr>
        <w:t xml:space="preserve">           分    标：</w:t>
      </w:r>
      <w:r>
        <w:rPr>
          <w:rFonts w:hint="eastAsia" w:ascii="宋体" w:hAnsi="宋体" w:eastAsia="宋体" w:cs="宋体"/>
          <w:b/>
          <w:bCs/>
          <w:color w:val="000000"/>
          <w:sz w:val="24"/>
          <w:szCs w:val="24"/>
          <w:u w:val="single"/>
          <w:lang w:val="en-US" w:eastAsia="zh-CN"/>
        </w:rPr>
        <w:t xml:space="preserve">              </w:t>
      </w:r>
    </w:p>
    <w:p w14:paraId="5F57A0AD">
      <w:pPr>
        <w:kinsoku w:val="0"/>
        <w:overflowPunct w:val="0"/>
        <w:spacing w:before="3" w:line="150" w:lineRule="exact"/>
        <w:rPr>
          <w:rFonts w:hint="eastAsia" w:ascii="宋体" w:hAnsi="宋体" w:eastAsia="宋体" w:cs="宋体"/>
          <w:b/>
          <w:bCs/>
          <w:color w:val="000000"/>
          <w:sz w:val="24"/>
          <w:szCs w:val="24"/>
        </w:rPr>
      </w:pPr>
    </w:p>
    <w:p w14:paraId="6ED2C7D4">
      <w:pPr>
        <w:kinsoku w:val="0"/>
        <w:overflowPunct w:val="0"/>
        <w:spacing w:line="499" w:lineRule="auto"/>
        <w:ind w:left="1276" w:right="3325"/>
        <w:rPr>
          <w:rFonts w:hint="eastAsia" w:ascii="宋体" w:hAnsi="宋体" w:eastAsia="宋体" w:cs="宋体"/>
          <w:b/>
          <w:bCs/>
          <w:color w:val="000000"/>
          <w:sz w:val="24"/>
          <w:szCs w:val="24"/>
          <w:u w:val="single"/>
        </w:rPr>
      </w:pPr>
      <w:bookmarkStart w:id="85" w:name="_Toc26327_WPSOffice_Level1"/>
      <w:r>
        <w:rPr>
          <w:rFonts w:hint="eastAsia" w:ascii="宋体" w:hAnsi="宋体" w:eastAsia="宋体" w:cs="宋体"/>
          <w:b/>
          <w:bCs/>
          <w:color w:val="000000"/>
          <w:sz w:val="24"/>
          <w:szCs w:val="24"/>
        </w:rPr>
        <w:t>法</w:t>
      </w:r>
      <w:r>
        <w:rPr>
          <w:rFonts w:hint="eastAsia" w:ascii="宋体" w:hAnsi="宋体" w:eastAsia="宋体" w:cs="宋体"/>
          <w:b/>
          <w:bCs/>
          <w:color w:val="000000"/>
          <w:spacing w:val="2"/>
          <w:sz w:val="24"/>
          <w:szCs w:val="24"/>
        </w:rPr>
        <w:t>定</w:t>
      </w:r>
      <w:r>
        <w:rPr>
          <w:rFonts w:hint="eastAsia" w:ascii="宋体" w:hAnsi="宋体" w:eastAsia="宋体" w:cs="宋体"/>
          <w:b/>
          <w:bCs/>
          <w:color w:val="000000"/>
          <w:sz w:val="24"/>
          <w:szCs w:val="24"/>
        </w:rPr>
        <w:t>代</w:t>
      </w:r>
      <w:r>
        <w:rPr>
          <w:rFonts w:hint="eastAsia" w:ascii="宋体" w:hAnsi="宋体" w:eastAsia="宋体" w:cs="宋体"/>
          <w:b/>
          <w:bCs/>
          <w:color w:val="000000"/>
          <w:spacing w:val="2"/>
          <w:sz w:val="24"/>
          <w:szCs w:val="24"/>
        </w:rPr>
        <w:t>表</w:t>
      </w:r>
      <w:r>
        <w:rPr>
          <w:rFonts w:hint="eastAsia" w:ascii="宋体" w:hAnsi="宋体" w:eastAsia="宋体" w:cs="宋体"/>
          <w:b/>
          <w:bCs/>
          <w:color w:val="000000"/>
          <w:sz w:val="24"/>
          <w:szCs w:val="24"/>
        </w:rPr>
        <w:t>人</w:t>
      </w:r>
      <w:r>
        <w:rPr>
          <w:rFonts w:hint="eastAsia" w:ascii="宋体" w:hAnsi="宋体" w:eastAsia="宋体" w:cs="宋体"/>
          <w:b/>
          <w:bCs/>
          <w:color w:val="000000"/>
          <w:spacing w:val="2"/>
          <w:sz w:val="24"/>
          <w:szCs w:val="24"/>
        </w:rPr>
        <w:t>或</w:t>
      </w:r>
      <w:r>
        <w:rPr>
          <w:rFonts w:hint="eastAsia" w:ascii="宋体" w:hAnsi="宋体" w:eastAsia="宋体" w:cs="宋体"/>
          <w:b/>
          <w:bCs/>
          <w:color w:val="000000"/>
          <w:sz w:val="24"/>
          <w:szCs w:val="24"/>
        </w:rPr>
        <w:t>授</w:t>
      </w:r>
      <w:r>
        <w:rPr>
          <w:rFonts w:hint="eastAsia" w:ascii="宋体" w:hAnsi="宋体" w:eastAsia="宋体" w:cs="宋体"/>
          <w:b/>
          <w:bCs/>
          <w:color w:val="000000"/>
          <w:spacing w:val="2"/>
          <w:sz w:val="24"/>
          <w:szCs w:val="24"/>
        </w:rPr>
        <w:t>权</w:t>
      </w:r>
      <w:r>
        <w:rPr>
          <w:rFonts w:hint="eastAsia" w:ascii="宋体" w:hAnsi="宋体" w:eastAsia="宋体" w:cs="宋体"/>
          <w:b/>
          <w:bCs/>
          <w:color w:val="000000"/>
          <w:sz w:val="24"/>
          <w:szCs w:val="24"/>
        </w:rPr>
        <w:t>委</w:t>
      </w:r>
      <w:r>
        <w:rPr>
          <w:rFonts w:hint="eastAsia" w:ascii="宋体" w:hAnsi="宋体" w:eastAsia="宋体" w:cs="宋体"/>
          <w:b/>
          <w:bCs/>
          <w:color w:val="000000"/>
          <w:spacing w:val="2"/>
          <w:sz w:val="24"/>
          <w:szCs w:val="24"/>
        </w:rPr>
        <w:t>托</w:t>
      </w:r>
      <w:r>
        <w:rPr>
          <w:rFonts w:hint="eastAsia" w:ascii="宋体" w:hAnsi="宋体" w:eastAsia="宋体" w:cs="宋体"/>
          <w:b/>
          <w:bCs/>
          <w:color w:val="000000"/>
          <w:sz w:val="24"/>
          <w:szCs w:val="24"/>
        </w:rPr>
        <w:t>代</w:t>
      </w:r>
      <w:r>
        <w:rPr>
          <w:rFonts w:hint="eastAsia" w:ascii="宋体" w:hAnsi="宋体" w:eastAsia="宋体" w:cs="宋体"/>
          <w:b/>
          <w:bCs/>
          <w:color w:val="000000"/>
          <w:spacing w:val="2"/>
          <w:sz w:val="24"/>
          <w:szCs w:val="24"/>
        </w:rPr>
        <w:t>理</w:t>
      </w:r>
      <w:r>
        <w:rPr>
          <w:rFonts w:hint="eastAsia" w:ascii="宋体" w:hAnsi="宋体" w:eastAsia="宋体" w:cs="宋体"/>
          <w:b/>
          <w:bCs/>
          <w:color w:val="000000"/>
          <w:sz w:val="24"/>
          <w:szCs w:val="24"/>
        </w:rPr>
        <w:t xml:space="preserve">人： </w:t>
      </w:r>
      <w:r>
        <w:rPr>
          <w:rFonts w:hint="eastAsia" w:ascii="宋体" w:hAnsi="宋体" w:eastAsia="宋体" w:cs="宋体"/>
          <w:b/>
          <w:bCs/>
          <w:color w:val="000000"/>
          <w:sz w:val="24"/>
          <w:szCs w:val="24"/>
          <w:u w:val="single"/>
        </w:rPr>
        <w:t xml:space="preserve">             </w:t>
      </w:r>
    </w:p>
    <w:p w14:paraId="4FFA2AC4">
      <w:pPr>
        <w:kinsoku w:val="0"/>
        <w:overflowPunct w:val="0"/>
        <w:spacing w:line="499" w:lineRule="auto"/>
        <w:ind w:left="1276" w:right="3325"/>
        <w:rPr>
          <w:rFonts w:hint="eastAsia" w:ascii="宋体" w:hAnsi="宋体" w:eastAsia="宋体" w:cs="宋体"/>
          <w:b/>
          <w:bCs/>
          <w:color w:val="000000"/>
          <w:sz w:val="24"/>
          <w:szCs w:val="24"/>
          <w:u w:val="single"/>
        </w:rPr>
      </w:pPr>
      <w:r>
        <w:rPr>
          <w:rFonts w:hint="eastAsia" w:ascii="宋体" w:hAnsi="宋体" w:eastAsia="宋体" w:cs="宋体"/>
          <w:b/>
          <w:bCs/>
          <w:color w:val="000000"/>
          <w:sz w:val="24"/>
          <w:szCs w:val="24"/>
        </w:rPr>
        <w:t>供应商</w:t>
      </w:r>
      <w:r>
        <w:rPr>
          <w:rFonts w:hint="eastAsia" w:ascii="宋体" w:hAnsi="宋体" w:eastAsia="宋体" w:cs="宋体"/>
          <w:b/>
          <w:bCs/>
          <w:color w:val="000000"/>
          <w:spacing w:val="2"/>
          <w:sz w:val="24"/>
          <w:szCs w:val="24"/>
        </w:rPr>
        <w:t>地</w:t>
      </w:r>
      <w:r>
        <w:rPr>
          <w:rFonts w:hint="eastAsia" w:ascii="宋体" w:hAnsi="宋体" w:eastAsia="宋体" w:cs="宋体"/>
          <w:b/>
          <w:bCs/>
          <w:color w:val="000000"/>
          <w:sz w:val="24"/>
          <w:szCs w:val="24"/>
        </w:rPr>
        <w:t>址：</w:t>
      </w:r>
      <w:bookmarkEnd w:id="85"/>
      <w:r>
        <w:rPr>
          <w:rFonts w:hint="eastAsia" w:ascii="宋体" w:hAnsi="宋体" w:eastAsia="宋体" w:cs="宋体"/>
          <w:b/>
          <w:bCs/>
          <w:color w:val="000000"/>
          <w:sz w:val="24"/>
          <w:szCs w:val="24"/>
          <w:u w:val="single"/>
        </w:rPr>
        <w:t xml:space="preserve">                            </w:t>
      </w:r>
    </w:p>
    <w:p w14:paraId="08D579B0">
      <w:pPr>
        <w:kinsoku w:val="0"/>
        <w:overflowPunct w:val="0"/>
        <w:spacing w:before="16" w:line="280" w:lineRule="exact"/>
        <w:rPr>
          <w:rFonts w:hint="eastAsia" w:ascii="宋体" w:hAnsi="宋体" w:eastAsia="宋体" w:cs="宋体"/>
          <w:color w:val="000000"/>
          <w:sz w:val="24"/>
          <w:szCs w:val="24"/>
        </w:rPr>
      </w:pPr>
    </w:p>
    <w:p w14:paraId="2680643E">
      <w:pPr>
        <w:tabs>
          <w:tab w:val="left" w:pos="1234"/>
          <w:tab w:val="left" w:pos="2737"/>
          <w:tab w:val="left" w:pos="3488"/>
          <w:tab w:val="left" w:pos="4239"/>
        </w:tabs>
        <w:kinsoku w:val="0"/>
        <w:overflowPunct w:val="0"/>
        <w:ind w:left="183"/>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日</w:t>
      </w:r>
      <w:r>
        <w:rPr>
          <w:rFonts w:hint="eastAsia" w:ascii="宋体" w:hAnsi="宋体" w:eastAsia="宋体" w:cs="宋体"/>
          <w:color w:val="000000"/>
          <w:sz w:val="24"/>
          <w:szCs w:val="24"/>
        </w:rPr>
        <w:tab/>
      </w:r>
      <w:r>
        <w:rPr>
          <w:rFonts w:hint="eastAsia" w:ascii="宋体" w:hAnsi="宋体" w:eastAsia="宋体" w:cs="宋体"/>
          <w:color w:val="000000"/>
          <w:sz w:val="24"/>
          <w:szCs w:val="24"/>
        </w:rPr>
        <w:t>期：</w:t>
      </w:r>
      <w:r>
        <w:rPr>
          <w:rFonts w:hint="eastAsia" w:ascii="宋体" w:hAnsi="宋体" w:eastAsia="宋体" w:cs="宋体"/>
          <w:color w:val="000000"/>
          <w:sz w:val="24"/>
          <w:szCs w:val="24"/>
        </w:rPr>
        <w:tab/>
      </w:r>
      <w:r>
        <w:rPr>
          <w:rFonts w:hint="eastAsia" w:ascii="宋体" w:hAnsi="宋体" w:eastAsia="宋体" w:cs="宋体"/>
          <w:color w:val="000000"/>
          <w:sz w:val="24"/>
          <w:szCs w:val="24"/>
        </w:rPr>
        <w:t>年</w:t>
      </w:r>
      <w:r>
        <w:rPr>
          <w:rFonts w:hint="eastAsia" w:ascii="宋体" w:hAnsi="宋体" w:eastAsia="宋体" w:cs="宋体"/>
          <w:color w:val="000000"/>
          <w:sz w:val="24"/>
          <w:szCs w:val="24"/>
        </w:rPr>
        <w:tab/>
      </w:r>
      <w:r>
        <w:rPr>
          <w:rFonts w:hint="eastAsia" w:ascii="宋体" w:hAnsi="宋体" w:eastAsia="宋体" w:cs="宋体"/>
          <w:color w:val="000000"/>
          <w:sz w:val="24"/>
          <w:szCs w:val="24"/>
        </w:rPr>
        <w:t>月</w:t>
      </w:r>
      <w:r>
        <w:rPr>
          <w:rFonts w:hint="eastAsia" w:ascii="宋体" w:hAnsi="宋体" w:eastAsia="宋体" w:cs="宋体"/>
          <w:color w:val="000000"/>
          <w:sz w:val="24"/>
          <w:szCs w:val="24"/>
        </w:rPr>
        <w:tab/>
      </w:r>
      <w:r>
        <w:rPr>
          <w:rFonts w:hint="eastAsia" w:ascii="宋体" w:hAnsi="宋体" w:eastAsia="宋体" w:cs="宋体"/>
          <w:color w:val="000000"/>
          <w:sz w:val="24"/>
          <w:szCs w:val="24"/>
        </w:rPr>
        <w:t>日</w:t>
      </w:r>
    </w:p>
    <w:p w14:paraId="6C84E3DF">
      <w:pPr>
        <w:tabs>
          <w:tab w:val="left" w:pos="1234"/>
          <w:tab w:val="left" w:pos="2737"/>
          <w:tab w:val="left" w:pos="3488"/>
          <w:tab w:val="left" w:pos="4239"/>
        </w:tabs>
        <w:kinsoku w:val="0"/>
        <w:overflowPunct w:val="0"/>
        <w:ind w:left="183"/>
        <w:jc w:val="center"/>
        <w:rPr>
          <w:rFonts w:hint="eastAsia" w:ascii="宋体" w:hAnsi="宋体" w:eastAsia="宋体" w:cs="宋体"/>
          <w:color w:val="000000"/>
          <w:sz w:val="24"/>
          <w:szCs w:val="24"/>
        </w:rPr>
        <w:sectPr>
          <w:pgSz w:w="11906" w:h="16840"/>
          <w:pgMar w:top="1040" w:right="980" w:bottom="980" w:left="1080" w:header="858" w:footer="791" w:gutter="0"/>
          <w:lnNumType w:countBy="0" w:distance="360"/>
          <w:cols w:space="720" w:num="1"/>
        </w:sectPr>
      </w:pPr>
    </w:p>
    <w:p w14:paraId="5414B183">
      <w:pPr>
        <w:pStyle w:val="43"/>
        <w:rPr>
          <w:rFonts w:hint="eastAsia" w:ascii="宋体" w:hAnsi="宋体" w:eastAsia="宋体" w:cs="宋体"/>
          <w:sz w:val="36"/>
          <w:szCs w:val="36"/>
        </w:rPr>
      </w:pPr>
      <w:r>
        <w:rPr>
          <w:rFonts w:hint="eastAsia" w:ascii="宋体" w:hAnsi="宋体" w:eastAsia="宋体" w:cs="宋体"/>
          <w:sz w:val="36"/>
          <w:szCs w:val="36"/>
        </w:rPr>
        <w:t>目</w:t>
      </w:r>
      <w:r>
        <w:rPr>
          <w:rFonts w:hint="eastAsia" w:ascii="宋体" w:hAnsi="宋体" w:eastAsia="宋体" w:cs="宋体"/>
          <w:sz w:val="36"/>
          <w:szCs w:val="36"/>
        </w:rPr>
        <w:tab/>
      </w:r>
      <w:r>
        <w:rPr>
          <w:rFonts w:hint="eastAsia" w:ascii="宋体" w:hAnsi="宋体" w:eastAsia="宋体" w:cs="宋体"/>
          <w:sz w:val="36"/>
          <w:szCs w:val="36"/>
        </w:rPr>
        <w:t>录</w:t>
      </w:r>
    </w:p>
    <w:p w14:paraId="0FDB73E7">
      <w:pPr>
        <w:kinsoku w:val="0"/>
        <w:overflowPunct w:val="0"/>
        <w:spacing w:before="4" w:line="130" w:lineRule="exact"/>
        <w:rPr>
          <w:rFonts w:hint="eastAsia" w:ascii="宋体" w:hAnsi="宋体" w:eastAsia="宋体" w:cs="宋体"/>
          <w:color w:val="000000"/>
          <w:sz w:val="24"/>
          <w:szCs w:val="24"/>
        </w:rPr>
      </w:pPr>
    </w:p>
    <w:p w14:paraId="16F60738">
      <w:pPr>
        <w:kinsoku w:val="0"/>
        <w:overflowPunct w:val="0"/>
        <w:spacing w:line="200" w:lineRule="exact"/>
        <w:rPr>
          <w:rFonts w:hint="eastAsia" w:ascii="宋体" w:hAnsi="宋体" w:eastAsia="宋体" w:cs="宋体"/>
          <w:color w:val="000000"/>
          <w:sz w:val="24"/>
          <w:szCs w:val="24"/>
        </w:rPr>
      </w:pPr>
    </w:p>
    <w:p w14:paraId="74369347">
      <w:pPr>
        <w:kinsoku w:val="0"/>
        <w:overflowPunct w:val="0"/>
        <w:spacing w:line="200" w:lineRule="exact"/>
        <w:rPr>
          <w:rFonts w:hint="eastAsia" w:ascii="宋体" w:hAnsi="宋体" w:eastAsia="宋体" w:cs="宋体"/>
          <w:color w:val="000000"/>
          <w:sz w:val="24"/>
          <w:szCs w:val="24"/>
        </w:rPr>
      </w:pPr>
    </w:p>
    <w:p w14:paraId="42297024">
      <w:pPr>
        <w:kinsoku w:val="0"/>
        <w:overflowPunct w:val="0"/>
        <w:spacing w:line="200" w:lineRule="exact"/>
        <w:rPr>
          <w:rFonts w:hint="eastAsia" w:ascii="宋体" w:hAnsi="宋体" w:eastAsia="宋体" w:cs="宋体"/>
          <w:color w:val="000000"/>
          <w:sz w:val="24"/>
          <w:szCs w:val="24"/>
        </w:rPr>
      </w:pPr>
    </w:p>
    <w:p w14:paraId="744A0266">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二次性报价期间递交：（以下材料，必须提供，复印件加盖公章，否则磋商无效）（如投标人在二次报价时，总报价不做改变，则无需再次提供二次报价已标价工程量清单）</w:t>
      </w:r>
    </w:p>
    <w:p w14:paraId="286F8762">
      <w:pPr>
        <w:pStyle w:val="4"/>
        <w:numPr>
          <w:ilvl w:val="0"/>
          <w:numId w:val="66"/>
        </w:numPr>
        <w:ind w:left="0" w:leftChars="0" w:firstLine="480" w:firstLineChars="0"/>
        <w:rPr>
          <w:rFonts w:hint="eastAsia" w:ascii="宋体" w:hAnsi="宋体" w:eastAsia="宋体" w:cs="宋体"/>
          <w:b w:val="0"/>
          <w:color w:val="000000"/>
          <w:sz w:val="24"/>
          <w:szCs w:val="24"/>
        </w:rPr>
      </w:pPr>
      <w:bookmarkStart w:id="86" w:name="_Toc25353_WPSOffice_Level1"/>
      <w:r>
        <w:rPr>
          <w:rFonts w:hint="eastAsia" w:ascii="宋体" w:hAnsi="宋体" w:eastAsia="宋体" w:cs="宋体"/>
          <w:color w:val="000000"/>
          <w:sz w:val="24"/>
          <w:szCs w:val="24"/>
        </w:rPr>
        <w:t>二次报价磋商报价函；</w:t>
      </w:r>
      <w:bookmarkEnd w:id="86"/>
    </w:p>
    <w:p w14:paraId="17BDD0B5">
      <w:pPr>
        <w:pStyle w:val="4"/>
        <w:numPr>
          <w:ilvl w:val="0"/>
          <w:numId w:val="66"/>
        </w:numPr>
        <w:ind w:left="0" w:leftChars="0" w:firstLine="480" w:firstLineChars="0"/>
        <w:rPr>
          <w:rFonts w:hint="eastAsia" w:ascii="宋体" w:hAnsi="宋体" w:eastAsia="宋体" w:cs="宋体"/>
          <w:b w:val="0"/>
          <w:color w:val="000000"/>
          <w:sz w:val="24"/>
          <w:szCs w:val="24"/>
        </w:rPr>
      </w:pPr>
      <w:bookmarkStart w:id="87" w:name="_Toc18335_WPSOffice_Level1"/>
      <w:r>
        <w:rPr>
          <w:rFonts w:hint="eastAsia" w:ascii="宋体" w:hAnsi="宋体" w:eastAsia="宋体" w:cs="宋体"/>
          <w:color w:val="000000"/>
          <w:sz w:val="24"/>
          <w:szCs w:val="24"/>
        </w:rPr>
        <w:t>二次报价已标价的工程量清单。</w:t>
      </w:r>
      <w:bookmarkEnd w:id="87"/>
    </w:p>
    <w:p w14:paraId="6A84459D">
      <w:pPr>
        <w:pStyle w:val="4"/>
        <w:kinsoku w:val="0"/>
        <w:overflowPunct w:val="0"/>
        <w:spacing w:line="310" w:lineRule="auto"/>
        <w:ind w:firstLine="420"/>
        <w:rPr>
          <w:rFonts w:hint="eastAsia" w:ascii="宋体" w:hAnsi="宋体" w:eastAsia="宋体" w:cs="宋体"/>
          <w:color w:val="000000"/>
          <w:spacing w:val="-1"/>
          <w:sz w:val="24"/>
          <w:szCs w:val="24"/>
        </w:rPr>
        <w:sectPr>
          <w:pgSz w:w="11906" w:h="16840"/>
          <w:pgMar w:top="1040" w:right="780" w:bottom="980" w:left="1080" w:header="858" w:footer="791" w:gutter="0"/>
          <w:lnNumType w:countBy="0" w:distance="360"/>
          <w:cols w:space="720" w:num="1"/>
        </w:sectPr>
      </w:pPr>
    </w:p>
    <w:p w14:paraId="1BA1BBAB">
      <w:pPr>
        <w:pStyle w:val="44"/>
        <w:numPr>
          <w:ilvl w:val="0"/>
          <w:numId w:val="67"/>
        </w:numPr>
        <w:topLinePunct w:val="0"/>
        <w:ind w:left="0" w:leftChars="0" w:firstLine="0" w:firstLineChars="0"/>
        <w:outlineLvl w:val="0"/>
        <w:rPr>
          <w:rFonts w:hint="eastAsia" w:ascii="宋体" w:hAnsi="宋体" w:eastAsia="宋体" w:cs="宋体"/>
          <w:b w:val="0"/>
          <w:sz w:val="24"/>
          <w:szCs w:val="24"/>
        </w:rPr>
      </w:pPr>
      <w:bookmarkStart w:id="88" w:name="_Toc1573"/>
      <w:bookmarkStart w:id="89" w:name="_Toc3397"/>
      <w:r>
        <w:rPr>
          <w:rFonts w:hint="eastAsia" w:ascii="宋体" w:hAnsi="宋体" w:eastAsia="宋体" w:cs="宋体"/>
          <w:sz w:val="24"/>
          <w:szCs w:val="24"/>
        </w:rPr>
        <w:t>二次报价竞争性磋商报价函</w:t>
      </w:r>
      <w:bookmarkEnd w:id="88"/>
      <w:bookmarkEnd w:id="89"/>
    </w:p>
    <w:p w14:paraId="76FBA2D6">
      <w:pPr>
        <w:kinsoku w:val="0"/>
        <w:overflowPunct w:val="0"/>
        <w:spacing w:before="8" w:line="170" w:lineRule="exact"/>
        <w:rPr>
          <w:rFonts w:hint="eastAsia" w:ascii="宋体" w:hAnsi="宋体" w:eastAsia="宋体" w:cs="宋体"/>
          <w:color w:val="000000"/>
          <w:sz w:val="24"/>
          <w:szCs w:val="24"/>
        </w:rPr>
      </w:pPr>
    </w:p>
    <w:p w14:paraId="7D643A1E">
      <w:pPr>
        <w:pStyle w:val="4"/>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致 </w:t>
      </w:r>
      <w:r>
        <w:rPr>
          <w:rFonts w:hint="eastAsia" w:ascii="宋体" w:hAnsi="宋体" w:eastAsia="宋体" w:cs="宋体"/>
          <w:color w:val="000000"/>
          <w:sz w:val="24"/>
          <w:szCs w:val="24"/>
          <w:u w:val="single"/>
        </w:rPr>
        <w:t>（采购人）</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1BF9A998">
      <w:pPr>
        <w:kinsoku w:val="0"/>
        <w:overflowPunct w:val="0"/>
        <w:spacing w:before="9" w:line="120" w:lineRule="exact"/>
        <w:rPr>
          <w:rFonts w:hint="eastAsia" w:ascii="宋体" w:hAnsi="宋体" w:eastAsia="宋体" w:cs="宋体"/>
          <w:color w:val="000000"/>
          <w:sz w:val="24"/>
          <w:szCs w:val="24"/>
        </w:rPr>
      </w:pPr>
    </w:p>
    <w:p w14:paraId="0A601422">
      <w:pPr>
        <w:pStyle w:val="4"/>
        <w:numPr>
          <w:ilvl w:val="0"/>
          <w:numId w:val="68"/>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我公司根据收到并研究了</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工程（项目编号：</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）的竞争性磋商文件，愿意按竞争性磋商文件规定的内容承担该工程的施工任务，严格执行供应商所承诺的责任和义务。</w:t>
      </w:r>
    </w:p>
    <w:p w14:paraId="61B63760">
      <w:pPr>
        <w:pStyle w:val="4"/>
        <w:numPr>
          <w:ilvl w:val="0"/>
          <w:numId w:val="68"/>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我单位经考察现场和研究上述工程竞争性磋商文件的供应商须知、合同条件、工程建设标准、图纸及其他有关文件后，我方愿以人民币</w:t>
      </w:r>
      <w:r>
        <w:rPr>
          <w:rFonts w:hint="eastAsia" w:ascii="宋体" w:hAnsi="宋体" w:eastAsia="宋体" w:cs="宋体"/>
          <w:color w:val="000000"/>
          <w:sz w:val="24"/>
          <w:szCs w:val="24"/>
          <w:u w:val="single"/>
        </w:rPr>
        <w:t>（大写）</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（小写）</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的总价作为最终报价，按施工图的设 计要求承包本招标范围内全部工程的施工、竣工和保修。</w:t>
      </w:r>
    </w:p>
    <w:p w14:paraId="264A907C">
      <w:pPr>
        <w:pStyle w:val="4"/>
        <w:numPr>
          <w:ilvl w:val="0"/>
          <w:numId w:val="68"/>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 xml:space="preserve">一旦我方成交，我方保证按合同书中规定的工期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日历天内完成并移交全部工程，并保证工程质量</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47EEE0C">
      <w:pPr>
        <w:pStyle w:val="4"/>
        <w:numPr>
          <w:ilvl w:val="0"/>
          <w:numId w:val="68"/>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我方同意所递交的响应文件在“磋商供应商须知”第 13 条规定的响应有效期内有效，在此期间内我方的磋商有可能成交，我方将受此约束。</w:t>
      </w:r>
    </w:p>
    <w:p w14:paraId="60B95A3E">
      <w:pPr>
        <w:pStyle w:val="4"/>
        <w:numPr>
          <w:ilvl w:val="0"/>
          <w:numId w:val="68"/>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一旦成交，我公司保证按照竞争性磋商文件的要求和与采购人签订的工程施工合同，成立本工程的 项目部，按响应文件拟订的建造师和专业技术人员进驻施工现场实施施工合同。</w:t>
      </w:r>
    </w:p>
    <w:p w14:paraId="0F7CD0E4">
      <w:pPr>
        <w:pStyle w:val="4"/>
        <w:numPr>
          <w:ilvl w:val="0"/>
          <w:numId w:val="68"/>
        </w:numPr>
        <w:ind w:left="0" w:leftChars="0" w:firstLine="480" w:firstLineChars="0"/>
        <w:rPr>
          <w:rFonts w:hint="eastAsia" w:ascii="宋体" w:hAnsi="宋体" w:eastAsia="宋体" w:cs="宋体"/>
          <w:b w:val="0"/>
          <w:color w:val="000000"/>
          <w:sz w:val="24"/>
          <w:szCs w:val="24"/>
        </w:rPr>
      </w:pPr>
      <w:r>
        <w:rPr>
          <w:rFonts w:hint="eastAsia" w:ascii="宋体" w:hAnsi="宋体" w:eastAsia="宋体" w:cs="宋体"/>
          <w:color w:val="000000"/>
          <w:sz w:val="24"/>
          <w:szCs w:val="24"/>
        </w:rPr>
        <w:t>我公司同意从响应之日起至施工合同终止之日止，遵守本响应文件，在此期间，本响应文件一直对我公司具有约束力。同时，在制定和执行正式合同之前，除非另外达成协议并生效，本响应文件连同采购代理机构发出的成交通知书，应构成我们之间有约束力的合同。</w:t>
      </w:r>
    </w:p>
    <w:p w14:paraId="73E9E062">
      <w:pPr>
        <w:kinsoku w:val="0"/>
        <w:overflowPunct w:val="0"/>
        <w:spacing w:before="2" w:line="120" w:lineRule="exact"/>
        <w:rPr>
          <w:rFonts w:hint="eastAsia" w:ascii="宋体" w:hAnsi="宋体" w:eastAsia="宋体" w:cs="宋体"/>
          <w:color w:val="000000"/>
          <w:sz w:val="24"/>
          <w:szCs w:val="24"/>
        </w:rPr>
      </w:pPr>
    </w:p>
    <w:p w14:paraId="19493B92">
      <w:pPr>
        <w:kinsoku w:val="0"/>
        <w:overflowPunct w:val="0"/>
        <w:spacing w:line="200" w:lineRule="exact"/>
        <w:rPr>
          <w:rFonts w:hint="eastAsia" w:ascii="宋体" w:hAnsi="宋体" w:eastAsia="宋体" w:cs="宋体"/>
          <w:color w:val="000000"/>
          <w:sz w:val="24"/>
          <w:szCs w:val="24"/>
        </w:rPr>
      </w:pPr>
    </w:p>
    <w:p w14:paraId="54D0FC65">
      <w:pPr>
        <w:kinsoku w:val="0"/>
        <w:overflowPunct w:val="0"/>
        <w:spacing w:line="200" w:lineRule="exact"/>
        <w:rPr>
          <w:rFonts w:hint="eastAsia" w:ascii="宋体" w:hAnsi="宋体" w:eastAsia="宋体" w:cs="宋体"/>
          <w:color w:val="000000"/>
          <w:sz w:val="24"/>
          <w:szCs w:val="24"/>
        </w:rPr>
      </w:pPr>
    </w:p>
    <w:p w14:paraId="4FA0D02A">
      <w:pPr>
        <w:kinsoku w:val="0"/>
        <w:overflowPunct w:val="0"/>
        <w:spacing w:line="360" w:lineRule="auto"/>
        <w:rPr>
          <w:rFonts w:hint="eastAsia" w:ascii="宋体" w:hAnsi="宋体" w:eastAsia="宋体" w:cs="宋体"/>
          <w:color w:val="000000"/>
          <w:sz w:val="24"/>
          <w:szCs w:val="24"/>
        </w:rPr>
      </w:pPr>
    </w:p>
    <w:p w14:paraId="310EEFCA">
      <w:pPr>
        <w:pStyle w:val="4"/>
        <w:tabs>
          <w:tab w:val="left" w:pos="3470"/>
        </w:tabs>
        <w:kinsoku w:val="0"/>
        <w:overflowPunct w:val="0"/>
        <w:spacing w:line="360" w:lineRule="auto"/>
        <w:rPr>
          <w:rFonts w:hint="eastAsia" w:ascii="宋体" w:hAnsi="宋体" w:eastAsia="宋体" w:cs="宋体"/>
          <w:color w:val="000000"/>
          <w:sz w:val="24"/>
          <w:szCs w:val="24"/>
        </w:rPr>
      </w:pPr>
      <w:r>
        <w:rPr>
          <w:rFonts w:hint="eastAsia" w:ascii="宋体" w:hAnsi="宋体" w:eastAsia="宋体" w:cs="宋体"/>
          <w:color w:val="000000"/>
          <w:spacing w:val="-1"/>
          <w:sz w:val="24"/>
          <w:szCs w:val="24"/>
        </w:rPr>
        <w:t>供应商</w:t>
      </w:r>
      <w:r>
        <w:rPr>
          <w:rFonts w:hint="eastAsia" w:ascii="宋体" w:hAnsi="宋体" w:eastAsia="宋体" w:cs="宋体"/>
          <w:color w:val="000000"/>
          <w:spacing w:val="2"/>
          <w:sz w:val="24"/>
          <w:szCs w:val="24"/>
        </w:rPr>
        <w:t>：</w:t>
      </w:r>
      <w:r>
        <w:rPr>
          <w:rFonts w:hint="eastAsia" w:ascii="宋体" w:hAnsi="宋体" w:eastAsia="宋体" w:cs="宋体"/>
          <w:color w:val="000000"/>
          <w:spacing w:val="-1"/>
          <w:sz w:val="24"/>
          <w:szCs w:val="24"/>
        </w:rPr>
        <w:t>（</w:t>
      </w:r>
      <w:r>
        <w:rPr>
          <w:rFonts w:hint="eastAsia" w:ascii="宋体" w:hAnsi="宋体" w:eastAsia="宋体" w:cs="宋体"/>
          <w:color w:val="000000"/>
          <w:spacing w:val="2"/>
          <w:sz w:val="24"/>
          <w:szCs w:val="24"/>
        </w:rPr>
        <w:t>盖</w:t>
      </w:r>
      <w:r>
        <w:rPr>
          <w:rFonts w:hint="eastAsia" w:ascii="宋体" w:hAnsi="宋体" w:eastAsia="宋体" w:cs="宋体"/>
          <w:color w:val="000000"/>
          <w:spacing w:val="-1"/>
          <w:sz w:val="24"/>
          <w:szCs w:val="24"/>
        </w:rPr>
        <w:t>章</w:t>
      </w:r>
      <w:r>
        <w:rPr>
          <w:rFonts w:hint="eastAsia" w:ascii="宋体" w:hAnsi="宋体" w:eastAsia="宋体" w:cs="宋体"/>
          <w:color w:val="000000"/>
          <w:sz w:val="24"/>
          <w:szCs w:val="24"/>
        </w:rPr>
        <w:t>）</w:t>
      </w:r>
      <w:r>
        <w:rPr>
          <w:rFonts w:hint="eastAsia" w:ascii="宋体" w:hAnsi="宋体" w:eastAsia="宋体" w:cs="宋体"/>
          <w:color w:val="000000"/>
          <w:sz w:val="24"/>
          <w:szCs w:val="24"/>
        </w:rPr>
        <w:tab/>
      </w:r>
    </w:p>
    <w:p w14:paraId="587AE24E">
      <w:pPr>
        <w:pStyle w:val="4"/>
        <w:tabs>
          <w:tab w:val="left" w:pos="3470"/>
        </w:tabs>
        <w:kinsoku w:val="0"/>
        <w:overflowPunct w:val="0"/>
        <w:spacing w:line="360" w:lineRule="auto"/>
        <w:rPr>
          <w:rFonts w:hint="eastAsia" w:ascii="宋体" w:hAnsi="宋体" w:eastAsia="宋体" w:cs="宋体"/>
          <w:color w:val="000000"/>
          <w:sz w:val="24"/>
          <w:szCs w:val="24"/>
        </w:rPr>
      </w:pPr>
      <w:r>
        <w:rPr>
          <w:rFonts w:hint="eastAsia" w:ascii="宋体" w:hAnsi="宋体" w:eastAsia="宋体" w:cs="宋体"/>
          <w:color w:val="000000"/>
          <w:spacing w:val="-1"/>
          <w:sz w:val="24"/>
          <w:szCs w:val="24"/>
        </w:rPr>
        <w:t>法</w:t>
      </w:r>
      <w:r>
        <w:rPr>
          <w:rFonts w:hint="eastAsia" w:ascii="宋体" w:hAnsi="宋体" w:eastAsia="宋体" w:cs="宋体"/>
          <w:color w:val="000000"/>
          <w:spacing w:val="2"/>
          <w:sz w:val="24"/>
          <w:szCs w:val="24"/>
        </w:rPr>
        <w:t>定</w:t>
      </w:r>
      <w:r>
        <w:rPr>
          <w:rFonts w:hint="eastAsia" w:ascii="宋体" w:hAnsi="宋体" w:eastAsia="宋体" w:cs="宋体"/>
          <w:color w:val="000000"/>
          <w:spacing w:val="-1"/>
          <w:sz w:val="24"/>
          <w:szCs w:val="24"/>
        </w:rPr>
        <w:t>代</w:t>
      </w:r>
      <w:r>
        <w:rPr>
          <w:rFonts w:hint="eastAsia" w:ascii="宋体" w:hAnsi="宋体" w:eastAsia="宋体" w:cs="宋体"/>
          <w:color w:val="000000"/>
          <w:spacing w:val="2"/>
          <w:sz w:val="24"/>
          <w:szCs w:val="24"/>
        </w:rPr>
        <w:t>表</w:t>
      </w:r>
      <w:r>
        <w:rPr>
          <w:rFonts w:hint="eastAsia" w:ascii="宋体" w:hAnsi="宋体" w:eastAsia="宋体" w:cs="宋体"/>
          <w:color w:val="000000"/>
          <w:spacing w:val="-1"/>
          <w:sz w:val="24"/>
          <w:szCs w:val="24"/>
        </w:rPr>
        <w:t>人</w:t>
      </w:r>
      <w:r>
        <w:rPr>
          <w:rFonts w:hint="eastAsia" w:ascii="宋体" w:hAnsi="宋体" w:eastAsia="宋体" w:cs="宋体"/>
          <w:color w:val="000000"/>
          <w:spacing w:val="2"/>
          <w:sz w:val="24"/>
          <w:szCs w:val="24"/>
        </w:rPr>
        <w:t>或</w:t>
      </w:r>
      <w:r>
        <w:rPr>
          <w:rFonts w:hint="eastAsia" w:ascii="宋体" w:hAnsi="宋体" w:eastAsia="宋体" w:cs="宋体"/>
          <w:color w:val="000000"/>
          <w:spacing w:val="-1"/>
          <w:sz w:val="24"/>
          <w:szCs w:val="24"/>
        </w:rPr>
        <w:t>其</w:t>
      </w:r>
      <w:r>
        <w:rPr>
          <w:rFonts w:hint="eastAsia" w:ascii="宋体" w:hAnsi="宋体" w:eastAsia="宋体" w:cs="宋体"/>
          <w:color w:val="000000"/>
          <w:spacing w:val="2"/>
          <w:sz w:val="24"/>
          <w:szCs w:val="24"/>
        </w:rPr>
        <w:t>委</w:t>
      </w:r>
      <w:r>
        <w:rPr>
          <w:rFonts w:hint="eastAsia" w:ascii="宋体" w:hAnsi="宋体" w:eastAsia="宋体" w:cs="宋体"/>
          <w:color w:val="000000"/>
          <w:spacing w:val="-1"/>
          <w:sz w:val="24"/>
          <w:szCs w:val="24"/>
        </w:rPr>
        <w:t>托</w:t>
      </w:r>
      <w:r>
        <w:rPr>
          <w:rFonts w:hint="eastAsia" w:ascii="宋体" w:hAnsi="宋体" w:eastAsia="宋体" w:cs="宋体"/>
          <w:color w:val="000000"/>
          <w:spacing w:val="2"/>
          <w:sz w:val="24"/>
          <w:szCs w:val="24"/>
        </w:rPr>
        <w:t>代</w:t>
      </w:r>
      <w:r>
        <w:rPr>
          <w:rFonts w:hint="eastAsia" w:ascii="宋体" w:hAnsi="宋体" w:eastAsia="宋体" w:cs="宋体"/>
          <w:color w:val="000000"/>
          <w:spacing w:val="-1"/>
          <w:sz w:val="24"/>
          <w:szCs w:val="24"/>
        </w:rPr>
        <w:t>理</w:t>
      </w:r>
      <w:r>
        <w:rPr>
          <w:rFonts w:hint="eastAsia" w:ascii="宋体" w:hAnsi="宋体" w:eastAsia="宋体" w:cs="宋体"/>
          <w:color w:val="000000"/>
          <w:spacing w:val="2"/>
          <w:sz w:val="24"/>
          <w:szCs w:val="24"/>
        </w:rPr>
        <w:t>人</w:t>
      </w:r>
      <w:r>
        <w:rPr>
          <w:rFonts w:hint="eastAsia" w:ascii="宋体" w:hAnsi="宋体" w:eastAsia="宋体" w:cs="宋体"/>
          <w:color w:val="000000"/>
          <w:spacing w:val="-1"/>
          <w:sz w:val="24"/>
          <w:szCs w:val="24"/>
        </w:rPr>
        <w:t>：</w:t>
      </w:r>
      <w:r>
        <w:rPr>
          <w:rFonts w:hint="eastAsia" w:ascii="宋体" w:hAnsi="宋体" w:eastAsia="宋体" w:cs="宋体"/>
          <w:color w:val="000000"/>
          <w:spacing w:val="2"/>
          <w:sz w:val="24"/>
          <w:szCs w:val="24"/>
        </w:rPr>
        <w:t>（</w:t>
      </w:r>
      <w:r>
        <w:rPr>
          <w:rFonts w:hint="eastAsia" w:ascii="宋体" w:hAnsi="宋体" w:eastAsia="宋体" w:cs="宋体"/>
          <w:color w:val="000000"/>
          <w:spacing w:val="-1"/>
          <w:sz w:val="24"/>
          <w:szCs w:val="24"/>
        </w:rPr>
        <w:t>签</w:t>
      </w:r>
      <w:r>
        <w:rPr>
          <w:rFonts w:hint="eastAsia" w:ascii="宋体" w:hAnsi="宋体" w:eastAsia="宋体" w:cs="宋体"/>
          <w:color w:val="000000"/>
          <w:spacing w:val="2"/>
          <w:sz w:val="24"/>
          <w:szCs w:val="24"/>
        </w:rPr>
        <w:t>字</w:t>
      </w:r>
      <w:r>
        <w:rPr>
          <w:rFonts w:hint="eastAsia" w:ascii="宋体" w:hAnsi="宋体" w:eastAsia="宋体" w:cs="宋体"/>
          <w:color w:val="000000"/>
          <w:spacing w:val="-1"/>
          <w:sz w:val="24"/>
          <w:szCs w:val="24"/>
        </w:rPr>
        <w:t>、</w:t>
      </w:r>
      <w:r>
        <w:rPr>
          <w:rFonts w:hint="eastAsia" w:ascii="宋体" w:hAnsi="宋体" w:eastAsia="宋体" w:cs="宋体"/>
          <w:color w:val="000000"/>
          <w:spacing w:val="2"/>
          <w:sz w:val="24"/>
          <w:szCs w:val="24"/>
        </w:rPr>
        <w:t>盖</w:t>
      </w:r>
      <w:r>
        <w:rPr>
          <w:rFonts w:hint="eastAsia" w:ascii="宋体" w:hAnsi="宋体" w:eastAsia="宋体" w:cs="宋体"/>
          <w:color w:val="000000"/>
          <w:spacing w:val="-1"/>
          <w:sz w:val="24"/>
          <w:szCs w:val="24"/>
        </w:rPr>
        <w:t>章</w:t>
      </w:r>
      <w:r>
        <w:rPr>
          <w:rFonts w:hint="eastAsia" w:ascii="宋体" w:hAnsi="宋体" w:eastAsia="宋体" w:cs="宋体"/>
          <w:color w:val="000000"/>
          <w:sz w:val="24"/>
          <w:szCs w:val="24"/>
        </w:rPr>
        <w:t>）</w:t>
      </w:r>
    </w:p>
    <w:p w14:paraId="7D3591E1">
      <w:pPr>
        <w:pStyle w:val="4"/>
        <w:tabs>
          <w:tab w:val="left" w:pos="3470"/>
        </w:tabs>
        <w:kinsoku w:val="0"/>
        <w:overflowPunct w:val="0"/>
        <w:spacing w:line="360" w:lineRule="auto"/>
        <w:rPr>
          <w:rFonts w:hint="eastAsia" w:ascii="宋体" w:hAnsi="宋体" w:eastAsia="宋体" w:cs="宋体"/>
          <w:color w:val="000000"/>
          <w:sz w:val="24"/>
          <w:szCs w:val="24"/>
        </w:rPr>
      </w:pPr>
      <w:r>
        <w:rPr>
          <w:rFonts w:hint="eastAsia" w:ascii="宋体" w:hAnsi="宋体" w:eastAsia="宋体" w:cs="宋体"/>
          <w:color w:val="000000"/>
          <w:spacing w:val="-1"/>
          <w:sz w:val="24"/>
          <w:szCs w:val="24"/>
        </w:rPr>
        <w:t>地</w:t>
      </w:r>
      <w:r>
        <w:rPr>
          <w:rFonts w:hint="eastAsia" w:ascii="宋体" w:hAnsi="宋体" w:eastAsia="宋体" w:cs="宋体"/>
          <w:color w:val="000000"/>
          <w:spacing w:val="2"/>
          <w:sz w:val="24"/>
          <w:szCs w:val="24"/>
        </w:rPr>
        <w:t>址</w:t>
      </w:r>
      <w:r>
        <w:rPr>
          <w:rFonts w:hint="eastAsia" w:ascii="宋体" w:hAnsi="宋体" w:eastAsia="宋体" w:cs="宋体"/>
          <w:color w:val="000000"/>
          <w:sz w:val="24"/>
          <w:szCs w:val="24"/>
        </w:rPr>
        <w:t>：</w:t>
      </w:r>
      <w:r>
        <w:rPr>
          <w:rFonts w:hint="eastAsia" w:ascii="宋体" w:hAnsi="宋体" w:eastAsia="宋体" w:cs="宋体"/>
          <w:color w:val="000000"/>
          <w:sz w:val="24"/>
          <w:szCs w:val="24"/>
        </w:rPr>
        <w:tab/>
      </w:r>
    </w:p>
    <w:p w14:paraId="75223B3E">
      <w:pPr>
        <w:pStyle w:val="4"/>
        <w:tabs>
          <w:tab w:val="left" w:pos="3470"/>
        </w:tabs>
        <w:kinsoku w:val="0"/>
        <w:overflowPunct w:val="0"/>
        <w:spacing w:line="360" w:lineRule="auto"/>
        <w:rPr>
          <w:rFonts w:hint="eastAsia" w:ascii="宋体" w:hAnsi="宋体" w:eastAsia="宋体" w:cs="宋体"/>
          <w:color w:val="000000"/>
          <w:sz w:val="24"/>
          <w:szCs w:val="24"/>
        </w:rPr>
      </w:pPr>
      <w:r>
        <w:rPr>
          <w:rFonts w:hint="eastAsia" w:ascii="宋体" w:hAnsi="宋体" w:eastAsia="宋体" w:cs="宋体"/>
          <w:color w:val="000000"/>
          <w:spacing w:val="-1"/>
          <w:sz w:val="24"/>
          <w:szCs w:val="24"/>
        </w:rPr>
        <w:t>邮</w:t>
      </w:r>
      <w:r>
        <w:rPr>
          <w:rFonts w:hint="eastAsia" w:ascii="宋体" w:hAnsi="宋体" w:eastAsia="宋体" w:cs="宋体"/>
          <w:color w:val="000000"/>
          <w:spacing w:val="2"/>
          <w:sz w:val="24"/>
          <w:szCs w:val="24"/>
        </w:rPr>
        <w:t>政</w:t>
      </w:r>
      <w:r>
        <w:rPr>
          <w:rFonts w:hint="eastAsia" w:ascii="宋体" w:hAnsi="宋体" w:eastAsia="宋体" w:cs="宋体"/>
          <w:color w:val="000000"/>
          <w:spacing w:val="-1"/>
          <w:sz w:val="24"/>
          <w:szCs w:val="24"/>
        </w:rPr>
        <w:t>编</w:t>
      </w:r>
      <w:r>
        <w:rPr>
          <w:rFonts w:hint="eastAsia" w:ascii="宋体" w:hAnsi="宋体" w:eastAsia="宋体" w:cs="宋体"/>
          <w:color w:val="000000"/>
          <w:spacing w:val="2"/>
          <w:sz w:val="24"/>
          <w:szCs w:val="24"/>
        </w:rPr>
        <w:t>码</w:t>
      </w:r>
      <w:r>
        <w:rPr>
          <w:rFonts w:hint="eastAsia" w:ascii="宋体" w:hAnsi="宋体" w:eastAsia="宋体" w:cs="宋体"/>
          <w:color w:val="000000"/>
          <w:sz w:val="24"/>
          <w:szCs w:val="24"/>
        </w:rPr>
        <w:t>：</w:t>
      </w:r>
    </w:p>
    <w:p w14:paraId="6E9C37EE">
      <w:pPr>
        <w:pStyle w:val="4"/>
        <w:kinsoku w:val="0"/>
        <w:overflowPunct w:val="0"/>
        <w:spacing w:line="360" w:lineRule="auto"/>
        <w:rPr>
          <w:rFonts w:hint="eastAsia" w:ascii="宋体" w:hAnsi="宋体" w:eastAsia="宋体" w:cs="宋体"/>
          <w:color w:val="000000"/>
          <w:sz w:val="24"/>
          <w:szCs w:val="24"/>
        </w:rPr>
      </w:pPr>
      <w:r>
        <w:rPr>
          <w:rFonts w:hint="eastAsia" w:ascii="宋体" w:hAnsi="宋体" w:eastAsia="宋体" w:cs="宋体"/>
          <w:color w:val="000000"/>
          <w:spacing w:val="-1"/>
          <w:sz w:val="24"/>
          <w:szCs w:val="24"/>
        </w:rPr>
        <w:t>电</w:t>
      </w:r>
      <w:r>
        <w:rPr>
          <w:rFonts w:hint="eastAsia" w:ascii="宋体" w:hAnsi="宋体" w:eastAsia="宋体" w:cs="宋体"/>
          <w:color w:val="000000"/>
          <w:spacing w:val="2"/>
          <w:sz w:val="24"/>
          <w:szCs w:val="24"/>
        </w:rPr>
        <w:t>话</w:t>
      </w:r>
      <w:r>
        <w:rPr>
          <w:rFonts w:hint="eastAsia" w:ascii="宋体" w:hAnsi="宋体" w:eastAsia="宋体" w:cs="宋体"/>
          <w:color w:val="000000"/>
          <w:sz w:val="24"/>
          <w:szCs w:val="24"/>
        </w:rPr>
        <w:t>：</w:t>
      </w:r>
    </w:p>
    <w:p w14:paraId="189F8C22">
      <w:pPr>
        <w:pStyle w:val="4"/>
        <w:tabs>
          <w:tab w:val="left" w:pos="3470"/>
        </w:tabs>
        <w:kinsoku w:val="0"/>
        <w:overflowPunct w:val="0"/>
        <w:spacing w:line="360" w:lineRule="auto"/>
        <w:ind w:right="5506"/>
        <w:rPr>
          <w:rFonts w:hint="eastAsia" w:ascii="宋体" w:hAnsi="宋体" w:eastAsia="宋体" w:cs="宋体"/>
          <w:color w:val="000000"/>
          <w:sz w:val="24"/>
          <w:szCs w:val="24"/>
        </w:rPr>
      </w:pPr>
      <w:r>
        <w:rPr>
          <w:rFonts w:hint="eastAsia" w:ascii="宋体" w:hAnsi="宋体" w:eastAsia="宋体" w:cs="宋体"/>
          <w:color w:val="000000"/>
          <w:spacing w:val="-1"/>
          <w:sz w:val="24"/>
          <w:szCs w:val="24"/>
        </w:rPr>
        <w:t>开</w:t>
      </w:r>
      <w:r>
        <w:rPr>
          <w:rFonts w:hint="eastAsia" w:ascii="宋体" w:hAnsi="宋体" w:eastAsia="宋体" w:cs="宋体"/>
          <w:color w:val="000000"/>
          <w:spacing w:val="2"/>
          <w:sz w:val="24"/>
          <w:szCs w:val="24"/>
        </w:rPr>
        <w:t>户</w:t>
      </w:r>
      <w:r>
        <w:rPr>
          <w:rFonts w:hint="eastAsia" w:ascii="宋体" w:hAnsi="宋体" w:eastAsia="宋体" w:cs="宋体"/>
          <w:color w:val="000000"/>
          <w:spacing w:val="-1"/>
          <w:sz w:val="24"/>
          <w:szCs w:val="24"/>
        </w:rPr>
        <w:t>银</w:t>
      </w:r>
      <w:r>
        <w:rPr>
          <w:rFonts w:hint="eastAsia" w:ascii="宋体" w:hAnsi="宋体" w:eastAsia="宋体" w:cs="宋体"/>
          <w:color w:val="000000"/>
          <w:spacing w:val="2"/>
          <w:sz w:val="24"/>
          <w:szCs w:val="24"/>
        </w:rPr>
        <w:t>行</w:t>
      </w:r>
      <w:r>
        <w:rPr>
          <w:rFonts w:hint="eastAsia" w:ascii="宋体" w:hAnsi="宋体" w:eastAsia="宋体" w:cs="宋体"/>
          <w:color w:val="000000"/>
          <w:spacing w:val="-1"/>
          <w:sz w:val="24"/>
          <w:szCs w:val="24"/>
        </w:rPr>
        <w:t>名</w:t>
      </w:r>
      <w:r>
        <w:rPr>
          <w:rFonts w:hint="eastAsia" w:ascii="宋体" w:hAnsi="宋体" w:eastAsia="宋体" w:cs="宋体"/>
          <w:color w:val="000000"/>
          <w:spacing w:val="2"/>
          <w:sz w:val="24"/>
          <w:szCs w:val="24"/>
        </w:rPr>
        <w:t>称</w:t>
      </w:r>
      <w:r>
        <w:rPr>
          <w:rFonts w:hint="eastAsia" w:ascii="宋体" w:hAnsi="宋体" w:eastAsia="宋体" w:cs="宋体"/>
          <w:color w:val="000000"/>
          <w:sz w:val="24"/>
          <w:szCs w:val="24"/>
        </w:rPr>
        <w:t>：</w:t>
      </w:r>
      <w:r>
        <w:rPr>
          <w:rFonts w:hint="eastAsia" w:ascii="宋体" w:hAnsi="宋体" w:eastAsia="宋体" w:cs="宋体"/>
          <w:color w:val="000000"/>
          <w:sz w:val="24"/>
          <w:szCs w:val="24"/>
        </w:rPr>
        <w:tab/>
      </w:r>
    </w:p>
    <w:p w14:paraId="7A237D1E">
      <w:pPr>
        <w:pStyle w:val="4"/>
        <w:tabs>
          <w:tab w:val="left" w:pos="3470"/>
        </w:tabs>
        <w:kinsoku w:val="0"/>
        <w:overflowPunct w:val="0"/>
        <w:spacing w:line="360" w:lineRule="auto"/>
        <w:ind w:right="5506"/>
        <w:rPr>
          <w:rFonts w:hint="eastAsia" w:ascii="宋体" w:hAnsi="宋体" w:eastAsia="宋体" w:cs="宋体"/>
          <w:color w:val="000000"/>
          <w:spacing w:val="-1"/>
          <w:sz w:val="24"/>
          <w:szCs w:val="24"/>
        </w:rPr>
      </w:pPr>
      <w:r>
        <w:rPr>
          <w:rFonts w:hint="eastAsia" w:ascii="宋体" w:hAnsi="宋体" w:eastAsia="宋体" w:cs="宋体"/>
          <w:color w:val="000000"/>
          <w:spacing w:val="-1"/>
          <w:sz w:val="24"/>
          <w:szCs w:val="24"/>
        </w:rPr>
        <w:t>银行帐号：</w:t>
      </w:r>
    </w:p>
    <w:p w14:paraId="2A3F36D6">
      <w:pPr>
        <w:pStyle w:val="4"/>
        <w:tabs>
          <w:tab w:val="left" w:pos="3470"/>
        </w:tabs>
        <w:kinsoku w:val="0"/>
        <w:overflowPunct w:val="0"/>
        <w:spacing w:line="360" w:lineRule="auto"/>
        <w:ind w:right="5506"/>
        <w:rPr>
          <w:rFonts w:hint="eastAsia" w:ascii="宋体" w:hAnsi="宋体" w:eastAsia="宋体" w:cs="宋体"/>
          <w:color w:val="000000"/>
          <w:sz w:val="24"/>
          <w:szCs w:val="24"/>
        </w:rPr>
      </w:pPr>
      <w:r>
        <w:rPr>
          <w:rFonts w:hint="eastAsia" w:ascii="宋体" w:hAnsi="宋体" w:eastAsia="宋体" w:cs="宋体"/>
          <w:color w:val="000000"/>
          <w:spacing w:val="-1"/>
          <w:sz w:val="24"/>
          <w:szCs w:val="24"/>
        </w:rPr>
        <w:t>开</w:t>
      </w:r>
      <w:r>
        <w:rPr>
          <w:rFonts w:hint="eastAsia" w:ascii="宋体" w:hAnsi="宋体" w:eastAsia="宋体" w:cs="宋体"/>
          <w:color w:val="000000"/>
          <w:spacing w:val="2"/>
          <w:sz w:val="24"/>
          <w:szCs w:val="24"/>
        </w:rPr>
        <w:t>户</w:t>
      </w:r>
      <w:r>
        <w:rPr>
          <w:rFonts w:hint="eastAsia" w:ascii="宋体" w:hAnsi="宋体" w:eastAsia="宋体" w:cs="宋体"/>
          <w:color w:val="000000"/>
          <w:spacing w:val="-1"/>
          <w:sz w:val="24"/>
          <w:szCs w:val="24"/>
        </w:rPr>
        <w:t>行</w:t>
      </w:r>
      <w:r>
        <w:rPr>
          <w:rFonts w:hint="eastAsia" w:ascii="宋体" w:hAnsi="宋体" w:eastAsia="宋体" w:cs="宋体"/>
          <w:color w:val="000000"/>
          <w:spacing w:val="2"/>
          <w:sz w:val="24"/>
          <w:szCs w:val="24"/>
        </w:rPr>
        <w:t>地</w:t>
      </w:r>
      <w:r>
        <w:rPr>
          <w:rFonts w:hint="eastAsia" w:ascii="宋体" w:hAnsi="宋体" w:eastAsia="宋体" w:cs="宋体"/>
          <w:color w:val="000000"/>
          <w:spacing w:val="-1"/>
          <w:sz w:val="24"/>
          <w:szCs w:val="24"/>
        </w:rPr>
        <w:t>址</w:t>
      </w:r>
      <w:r>
        <w:rPr>
          <w:rFonts w:hint="eastAsia" w:ascii="宋体" w:hAnsi="宋体" w:eastAsia="宋体" w:cs="宋体"/>
          <w:color w:val="000000"/>
          <w:sz w:val="24"/>
          <w:szCs w:val="24"/>
        </w:rPr>
        <w:t>：</w:t>
      </w:r>
    </w:p>
    <w:p w14:paraId="64119D37">
      <w:pPr>
        <w:kinsoku w:val="0"/>
        <w:overflowPunct w:val="0"/>
        <w:spacing w:before="3" w:line="120" w:lineRule="exact"/>
        <w:rPr>
          <w:rFonts w:hint="eastAsia" w:ascii="宋体" w:hAnsi="宋体" w:eastAsia="宋体" w:cs="宋体"/>
          <w:color w:val="000000"/>
          <w:sz w:val="24"/>
          <w:szCs w:val="24"/>
        </w:rPr>
      </w:pPr>
    </w:p>
    <w:p w14:paraId="4240A4C1">
      <w:pPr>
        <w:kinsoku w:val="0"/>
        <w:overflowPunct w:val="0"/>
        <w:spacing w:line="200" w:lineRule="exact"/>
        <w:rPr>
          <w:rFonts w:hint="eastAsia" w:ascii="宋体" w:hAnsi="宋体" w:eastAsia="宋体" w:cs="宋体"/>
          <w:color w:val="000000"/>
          <w:sz w:val="24"/>
          <w:szCs w:val="24"/>
        </w:rPr>
      </w:pPr>
    </w:p>
    <w:p w14:paraId="3CB8A866">
      <w:pPr>
        <w:pStyle w:val="4"/>
        <w:tabs>
          <w:tab w:val="left" w:pos="1370"/>
          <w:tab w:val="left" w:pos="2001"/>
          <w:tab w:val="left" w:pos="2630"/>
        </w:tabs>
        <w:kinsoku w:val="0"/>
        <w:overflowPunct w:val="0"/>
        <w:rPr>
          <w:rFonts w:hint="eastAsia" w:ascii="宋体" w:hAnsi="宋体" w:eastAsia="宋体" w:cs="宋体"/>
          <w:color w:val="000000"/>
          <w:sz w:val="24"/>
          <w:szCs w:val="24"/>
        </w:rPr>
      </w:pPr>
      <w:r>
        <w:rPr>
          <w:rFonts w:hint="eastAsia" w:ascii="宋体" w:hAnsi="宋体" w:eastAsia="宋体" w:cs="宋体"/>
          <w:color w:val="000000"/>
          <w:spacing w:val="-1"/>
          <w:sz w:val="24"/>
          <w:szCs w:val="24"/>
        </w:rPr>
        <w:t>日</w:t>
      </w:r>
      <w:r>
        <w:rPr>
          <w:rFonts w:hint="eastAsia" w:ascii="宋体" w:hAnsi="宋体" w:eastAsia="宋体" w:cs="宋体"/>
          <w:color w:val="000000"/>
          <w:spacing w:val="2"/>
          <w:sz w:val="24"/>
          <w:szCs w:val="24"/>
        </w:rPr>
        <w:t>期</w:t>
      </w:r>
      <w:r>
        <w:rPr>
          <w:rFonts w:hint="eastAsia" w:ascii="宋体" w:hAnsi="宋体" w:eastAsia="宋体" w:cs="宋体"/>
          <w:color w:val="000000"/>
          <w:sz w:val="24"/>
          <w:szCs w:val="24"/>
        </w:rPr>
        <w:t>：</w:t>
      </w:r>
      <w:r>
        <w:rPr>
          <w:rFonts w:hint="eastAsia" w:ascii="宋体" w:hAnsi="宋体" w:eastAsia="宋体" w:cs="宋体"/>
          <w:color w:val="000000"/>
          <w:sz w:val="24"/>
          <w:szCs w:val="24"/>
        </w:rPr>
        <w:tab/>
      </w:r>
      <w:r>
        <w:rPr>
          <w:rFonts w:hint="eastAsia" w:ascii="宋体" w:hAnsi="宋体" w:eastAsia="宋体" w:cs="宋体"/>
          <w:color w:val="000000"/>
          <w:sz w:val="24"/>
          <w:szCs w:val="24"/>
        </w:rPr>
        <w:t>年</w:t>
      </w:r>
      <w:r>
        <w:rPr>
          <w:rFonts w:hint="eastAsia" w:ascii="宋体" w:hAnsi="宋体" w:eastAsia="宋体" w:cs="宋体"/>
          <w:color w:val="000000"/>
          <w:sz w:val="24"/>
          <w:szCs w:val="24"/>
        </w:rPr>
        <w:tab/>
      </w:r>
      <w:r>
        <w:rPr>
          <w:rFonts w:hint="eastAsia" w:ascii="宋体" w:hAnsi="宋体" w:eastAsia="宋体" w:cs="宋体"/>
          <w:color w:val="000000"/>
          <w:sz w:val="24"/>
          <w:szCs w:val="24"/>
        </w:rPr>
        <w:t>月</w:t>
      </w:r>
      <w:r>
        <w:rPr>
          <w:rFonts w:hint="eastAsia" w:ascii="宋体" w:hAnsi="宋体" w:eastAsia="宋体" w:cs="宋体"/>
          <w:color w:val="000000"/>
          <w:sz w:val="24"/>
          <w:szCs w:val="24"/>
        </w:rPr>
        <w:tab/>
      </w:r>
      <w:r>
        <w:rPr>
          <w:rFonts w:hint="eastAsia" w:ascii="宋体" w:hAnsi="宋体" w:eastAsia="宋体" w:cs="宋体"/>
          <w:color w:val="000000"/>
          <w:sz w:val="24"/>
          <w:szCs w:val="24"/>
        </w:rPr>
        <w:t>日</w:t>
      </w:r>
    </w:p>
    <w:p w14:paraId="67CC20E9">
      <w:pPr>
        <w:pStyle w:val="4"/>
        <w:tabs>
          <w:tab w:val="left" w:pos="1370"/>
          <w:tab w:val="left" w:pos="2001"/>
          <w:tab w:val="left" w:pos="2630"/>
        </w:tabs>
        <w:kinsoku w:val="0"/>
        <w:overflowPunct w:val="0"/>
        <w:rPr>
          <w:rFonts w:hint="eastAsia" w:ascii="宋体" w:hAnsi="宋体" w:eastAsia="宋体" w:cs="宋体"/>
          <w:color w:val="000000"/>
          <w:sz w:val="24"/>
          <w:szCs w:val="24"/>
        </w:rPr>
        <w:sectPr>
          <w:pgSz w:w="11906" w:h="16840"/>
          <w:pgMar w:top="1040" w:right="800" w:bottom="980" w:left="1080" w:header="858" w:footer="791" w:gutter="0"/>
          <w:lnNumType w:countBy="0" w:distance="360"/>
          <w:cols w:space="720" w:num="1"/>
        </w:sectPr>
      </w:pPr>
    </w:p>
    <w:p w14:paraId="3C50B2A0">
      <w:pPr>
        <w:pStyle w:val="44"/>
        <w:numPr>
          <w:ilvl w:val="0"/>
          <w:numId w:val="67"/>
        </w:numPr>
        <w:topLinePunct w:val="0"/>
        <w:ind w:left="0" w:leftChars="0" w:firstLine="0" w:firstLineChars="0"/>
        <w:outlineLvl w:val="0"/>
        <w:rPr>
          <w:rFonts w:hint="eastAsia" w:ascii="宋体" w:hAnsi="宋体" w:eastAsia="宋体" w:cs="宋体"/>
          <w:b w:val="0"/>
          <w:sz w:val="24"/>
          <w:szCs w:val="24"/>
        </w:rPr>
      </w:pPr>
      <w:bookmarkStart w:id="90" w:name="_Toc19875"/>
      <w:bookmarkStart w:id="91" w:name="_Toc27135"/>
      <w:r>
        <w:rPr>
          <w:rFonts w:hint="eastAsia" w:ascii="宋体" w:hAnsi="宋体" w:eastAsia="宋体" w:cs="宋体"/>
          <w:sz w:val="24"/>
          <w:szCs w:val="24"/>
        </w:rPr>
        <w:t>已标价工程量清单</w:t>
      </w:r>
      <w:bookmarkEnd w:id="90"/>
      <w:bookmarkEnd w:id="91"/>
    </w:p>
    <w:p w14:paraId="3CA05AA8">
      <w:pPr>
        <w:kinsoku w:val="0"/>
        <w:overflowPunct w:val="0"/>
        <w:spacing w:before="5" w:line="180" w:lineRule="exact"/>
        <w:rPr>
          <w:rFonts w:hint="eastAsia" w:ascii="宋体" w:hAnsi="宋体" w:eastAsia="宋体" w:cs="宋体"/>
          <w:color w:val="000000"/>
          <w:sz w:val="24"/>
          <w:szCs w:val="24"/>
        </w:rPr>
      </w:pPr>
    </w:p>
    <w:p w14:paraId="06155942">
      <w:pPr>
        <w:kinsoku w:val="0"/>
        <w:overflowPunct w:val="0"/>
        <w:spacing w:line="200" w:lineRule="exact"/>
        <w:rPr>
          <w:rFonts w:hint="eastAsia" w:ascii="宋体" w:hAnsi="宋体" w:eastAsia="宋体" w:cs="宋体"/>
          <w:color w:val="000000"/>
          <w:sz w:val="24"/>
          <w:szCs w:val="24"/>
        </w:rPr>
      </w:pPr>
    </w:p>
    <w:p w14:paraId="7DE55445">
      <w:pPr>
        <w:kinsoku w:val="0"/>
        <w:overflowPunct w:val="0"/>
        <w:spacing w:line="200" w:lineRule="exact"/>
        <w:rPr>
          <w:rFonts w:hint="eastAsia" w:ascii="宋体" w:hAnsi="宋体" w:eastAsia="宋体" w:cs="宋体"/>
          <w:color w:val="000000"/>
          <w:sz w:val="24"/>
          <w:szCs w:val="24"/>
        </w:rPr>
      </w:pPr>
    </w:p>
    <w:p w14:paraId="14118E40">
      <w:pPr>
        <w:pStyle w:val="4"/>
        <w:rPr>
          <w:rFonts w:hint="eastAsia" w:ascii="宋体" w:hAnsi="宋体" w:eastAsia="宋体" w:cs="宋体"/>
          <w:color w:val="000000"/>
          <w:sz w:val="24"/>
          <w:szCs w:val="24"/>
        </w:rPr>
      </w:pPr>
      <w:r>
        <w:rPr>
          <w:rFonts w:hint="eastAsia" w:ascii="宋体" w:hAnsi="宋体" w:eastAsia="宋体" w:cs="宋体"/>
          <w:color w:val="000000"/>
          <w:sz w:val="24"/>
          <w:szCs w:val="24"/>
          <w:u w:val="single"/>
        </w:rPr>
        <w:t>（如投标人在二次报价时，总报价不做改变，则无需再次提供二次报价已标价工程量清单）</w:t>
      </w:r>
    </w:p>
    <w:p w14:paraId="507BBB45">
      <w:pPr>
        <w:pStyle w:val="4"/>
        <w:kinsoku w:val="0"/>
        <w:overflowPunct w:val="0"/>
        <w:ind w:left="217"/>
        <w:jc w:val="center"/>
        <w:rPr>
          <w:rFonts w:hint="eastAsia" w:ascii="宋体" w:hAnsi="宋体" w:eastAsia="宋体" w:cs="宋体"/>
          <w:color w:val="000000"/>
          <w:sz w:val="24"/>
          <w:szCs w:val="24"/>
        </w:rPr>
        <w:sectPr>
          <w:footerReference r:id="rId9" w:type="default"/>
          <w:pgSz w:w="11906" w:h="16840"/>
          <w:pgMar w:top="1040" w:right="980" w:bottom="980" w:left="1080" w:header="858" w:footer="791" w:gutter="0"/>
          <w:lnNumType w:countBy="0" w:distance="360"/>
          <w:cols w:space="720" w:num="1"/>
        </w:sectPr>
      </w:pPr>
    </w:p>
    <w:p w14:paraId="3335E82B">
      <w:pPr>
        <w:pStyle w:val="42"/>
        <w:outlineLvl w:val="0"/>
        <w:rPr>
          <w:rFonts w:hint="eastAsia" w:ascii="宋体" w:hAnsi="宋体" w:eastAsia="宋体" w:cs="宋体"/>
          <w:sz w:val="24"/>
          <w:szCs w:val="24"/>
        </w:rPr>
      </w:pPr>
      <w:r>
        <w:rPr>
          <w:rFonts w:hint="eastAsia" w:ascii="宋体" w:hAnsi="宋体" w:eastAsia="宋体" w:cs="宋体"/>
          <w:sz w:val="24"/>
          <w:szCs w:val="24"/>
        </w:rPr>
        <w:t>附件：中小企业声明函</w:t>
      </w:r>
    </w:p>
    <w:p w14:paraId="5A0AF996">
      <w:pPr>
        <w:spacing w:line="360" w:lineRule="auto"/>
        <w:rPr>
          <w:rFonts w:hint="eastAsia" w:ascii="宋体" w:hAnsi="宋体" w:eastAsia="宋体" w:cs="宋体"/>
          <w:color w:val="000000"/>
          <w:sz w:val="24"/>
          <w:szCs w:val="24"/>
        </w:rPr>
      </w:pPr>
    </w:p>
    <w:p w14:paraId="0AED1C8E">
      <w:pPr>
        <w:pStyle w:val="44"/>
        <w:widowControl/>
        <w:numPr>
          <w:ilvl w:val="0"/>
          <w:numId w:val="69"/>
        </w:numPr>
        <w:ind w:left="0" w:leftChars="0" w:firstLine="480" w:firstLineChars="0"/>
        <w:outlineLvl w:val="0"/>
        <w:rPr>
          <w:rFonts w:hint="eastAsia" w:ascii="宋体" w:hAnsi="宋体" w:eastAsia="宋体" w:cs="宋体"/>
          <w:sz w:val="24"/>
          <w:szCs w:val="24"/>
        </w:rPr>
      </w:pPr>
      <w:r>
        <w:rPr>
          <w:rFonts w:hint="eastAsia" w:ascii="宋体" w:hAnsi="宋体" w:eastAsia="宋体" w:cs="宋体"/>
          <w:sz w:val="24"/>
          <w:szCs w:val="24"/>
        </w:rPr>
        <w:t>中小企业声明函（工程格式）</w:t>
      </w:r>
    </w:p>
    <w:p w14:paraId="48F9C9E8">
      <w:pPr>
        <w:widowControl/>
        <w:spacing w:line="360" w:lineRule="auto"/>
        <w:ind w:firstLine="480" w:firstLineChars="200"/>
        <w:jc w:val="left"/>
        <w:rPr>
          <w:rFonts w:hint="eastAsia" w:ascii="宋体" w:hAnsi="宋体" w:eastAsia="宋体" w:cs="宋体"/>
          <w:color w:val="000000"/>
          <w:kern w:val="0"/>
          <w:sz w:val="24"/>
          <w:szCs w:val="24"/>
          <w:lang w:bidi="ar"/>
        </w:rPr>
      </w:pPr>
    </w:p>
    <w:p w14:paraId="501202D3">
      <w:pPr>
        <w:pStyle w:val="4"/>
        <w:widowControl/>
        <w:rPr>
          <w:rFonts w:hint="eastAsia" w:ascii="宋体" w:hAnsi="宋体" w:eastAsia="宋体" w:cs="宋体"/>
          <w:color w:val="000000"/>
          <w:sz w:val="24"/>
          <w:szCs w:val="24"/>
        </w:rPr>
      </w:pPr>
      <w:r>
        <w:rPr>
          <w:rFonts w:hint="eastAsia" w:ascii="宋体" w:hAnsi="宋体" w:eastAsia="宋体" w:cs="宋体"/>
          <w:color w:val="000000"/>
          <w:sz w:val="24"/>
          <w:szCs w:val="24"/>
        </w:rPr>
        <w:t>本公司（联合体）郑重声明，根据《政府采购促进中小企业发展管理办法》（财库﹝2020﹞46 号）的规定，本公司参加</w:t>
      </w:r>
      <w:r>
        <w:rPr>
          <w:rFonts w:hint="eastAsia" w:ascii="宋体" w:hAnsi="宋体" w:eastAsia="宋体" w:cs="宋体"/>
          <w:color w:val="000000"/>
          <w:sz w:val="24"/>
          <w:szCs w:val="24"/>
          <w:u w:val="single"/>
        </w:rPr>
        <w:t>（单位名称）</w:t>
      </w:r>
      <w:r>
        <w:rPr>
          <w:rFonts w:hint="eastAsia" w:ascii="宋体" w:hAnsi="宋体" w:eastAsia="宋体" w:cs="宋体"/>
          <w:color w:val="000000"/>
          <w:sz w:val="24"/>
          <w:szCs w:val="24"/>
        </w:rPr>
        <w:t>的</w:t>
      </w:r>
      <w:r>
        <w:rPr>
          <w:rFonts w:hint="eastAsia" w:ascii="宋体" w:hAnsi="宋体" w:eastAsia="宋体" w:cs="宋体"/>
          <w:color w:val="000000"/>
          <w:sz w:val="24"/>
          <w:szCs w:val="24"/>
          <w:u w:val="single"/>
        </w:rPr>
        <w:t>（项目名称）</w:t>
      </w:r>
      <w:r>
        <w:rPr>
          <w:rFonts w:hint="eastAsia" w:ascii="宋体" w:hAnsi="宋体" w:eastAsia="宋体" w:cs="宋体"/>
          <w:color w:val="00000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4AFE3ED4">
      <w:pPr>
        <w:pStyle w:val="4"/>
        <w:widowControl/>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 </w:t>
      </w:r>
      <w:r>
        <w:rPr>
          <w:rFonts w:hint="eastAsia" w:ascii="宋体" w:hAnsi="宋体" w:eastAsia="宋体" w:cs="宋体"/>
          <w:color w:val="000000"/>
          <w:sz w:val="24"/>
          <w:szCs w:val="24"/>
          <w:u w:val="single"/>
        </w:rPr>
        <w:t>（标的名称）</w:t>
      </w:r>
      <w:r>
        <w:rPr>
          <w:rFonts w:hint="eastAsia" w:ascii="宋体" w:hAnsi="宋体" w:eastAsia="宋体" w:cs="宋体"/>
          <w:i/>
          <w:color w:val="000000"/>
          <w:sz w:val="24"/>
          <w:szCs w:val="24"/>
        </w:rPr>
        <w:t xml:space="preserve"> </w:t>
      </w:r>
      <w:r>
        <w:rPr>
          <w:rFonts w:hint="eastAsia" w:ascii="宋体" w:hAnsi="宋体" w:eastAsia="宋体" w:cs="宋体"/>
          <w:color w:val="000000"/>
          <w:sz w:val="24"/>
          <w:szCs w:val="24"/>
        </w:rPr>
        <w:t>，属于（</w:t>
      </w:r>
      <w:r>
        <w:rPr>
          <w:rFonts w:hint="eastAsia" w:ascii="宋体" w:hAnsi="宋体" w:eastAsia="宋体" w:cs="宋体"/>
          <w:color w:val="000000"/>
          <w:sz w:val="24"/>
          <w:szCs w:val="24"/>
          <w:u w:val="single"/>
        </w:rPr>
        <w:t>土木工程建筑所属行业）</w:t>
      </w:r>
      <w:r>
        <w:rPr>
          <w:rFonts w:hint="eastAsia" w:ascii="宋体" w:hAnsi="宋体" w:eastAsia="宋体" w:cs="宋体"/>
          <w:color w:val="000000"/>
          <w:sz w:val="24"/>
          <w:szCs w:val="24"/>
        </w:rPr>
        <w:t>； 承建（承接）企业为</w:t>
      </w:r>
      <w:r>
        <w:rPr>
          <w:rFonts w:hint="eastAsia" w:ascii="宋体" w:hAnsi="宋体" w:eastAsia="宋体" w:cs="宋体"/>
          <w:color w:val="000000"/>
          <w:sz w:val="24"/>
          <w:szCs w:val="24"/>
          <w:u w:val="single"/>
        </w:rPr>
        <w:t>（企业名称）</w:t>
      </w:r>
      <w:r>
        <w:rPr>
          <w:rFonts w:hint="eastAsia" w:ascii="宋体" w:hAnsi="宋体" w:eastAsia="宋体" w:cs="宋体"/>
          <w:color w:val="000000"/>
          <w:sz w:val="24"/>
          <w:szCs w:val="24"/>
        </w:rPr>
        <w:t>，从业人员</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人，营业收入为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万元，资产总额为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万元，属于</w:t>
      </w:r>
      <w:r>
        <w:rPr>
          <w:rFonts w:hint="eastAsia" w:ascii="宋体" w:hAnsi="宋体" w:eastAsia="宋体" w:cs="宋体"/>
          <w:color w:val="000000"/>
          <w:sz w:val="24"/>
          <w:szCs w:val="24"/>
          <w:u w:val="single"/>
        </w:rPr>
        <w:t>（中型企业、 小型企业、微型企业）</w:t>
      </w:r>
      <w:r>
        <w:rPr>
          <w:rFonts w:hint="eastAsia" w:ascii="宋体" w:hAnsi="宋体" w:eastAsia="宋体" w:cs="宋体"/>
          <w:color w:val="000000"/>
          <w:sz w:val="24"/>
          <w:szCs w:val="24"/>
        </w:rPr>
        <w:t xml:space="preserve">； </w:t>
      </w:r>
    </w:p>
    <w:p w14:paraId="7C2DAD12">
      <w:pPr>
        <w:pStyle w:val="4"/>
        <w:widowControl/>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r>
        <w:rPr>
          <w:rFonts w:hint="eastAsia" w:ascii="宋体" w:hAnsi="宋体" w:eastAsia="宋体" w:cs="宋体"/>
          <w:color w:val="000000"/>
          <w:sz w:val="24"/>
          <w:szCs w:val="24"/>
          <w:u w:val="single"/>
        </w:rPr>
        <w:t xml:space="preserve">（标的名称） </w:t>
      </w:r>
      <w:r>
        <w:rPr>
          <w:rFonts w:hint="eastAsia" w:ascii="宋体" w:hAnsi="宋体" w:eastAsia="宋体" w:cs="宋体"/>
          <w:color w:val="000000"/>
          <w:sz w:val="24"/>
          <w:szCs w:val="24"/>
        </w:rPr>
        <w:t>，属于</w:t>
      </w:r>
      <w:r>
        <w:rPr>
          <w:rFonts w:hint="eastAsia" w:ascii="宋体" w:hAnsi="宋体" w:eastAsia="宋体" w:cs="宋体"/>
          <w:sz w:val="24"/>
          <w:szCs w:val="24"/>
          <w:u w:val="single"/>
        </w:rPr>
        <w:t>（</w:t>
      </w:r>
      <w:r>
        <w:rPr>
          <w:rFonts w:hint="eastAsia" w:ascii="宋体" w:hAnsi="宋体" w:eastAsia="宋体" w:cs="宋体"/>
          <w:color w:val="000000"/>
          <w:sz w:val="24"/>
          <w:szCs w:val="24"/>
          <w:u w:val="single"/>
        </w:rPr>
        <w:t>土木工程建筑所属行业）</w:t>
      </w:r>
      <w:r>
        <w:rPr>
          <w:rFonts w:hint="eastAsia" w:ascii="宋体" w:hAnsi="宋体" w:eastAsia="宋体" w:cs="宋体"/>
          <w:color w:val="000000"/>
          <w:sz w:val="24"/>
          <w:szCs w:val="24"/>
        </w:rPr>
        <w:t>； 承建（承接）企业为</w:t>
      </w:r>
      <w:r>
        <w:rPr>
          <w:rFonts w:hint="eastAsia" w:ascii="宋体" w:hAnsi="宋体" w:eastAsia="宋体" w:cs="宋体"/>
          <w:color w:val="000000"/>
          <w:sz w:val="24"/>
          <w:szCs w:val="24"/>
          <w:u w:val="single"/>
        </w:rPr>
        <w:t>（企业名称）</w:t>
      </w:r>
      <w:r>
        <w:rPr>
          <w:rFonts w:hint="eastAsia" w:ascii="宋体" w:hAnsi="宋体" w:eastAsia="宋体" w:cs="宋体"/>
          <w:color w:val="000000"/>
          <w:sz w:val="24"/>
          <w:szCs w:val="24"/>
        </w:rPr>
        <w:t>，从业人员</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人，营业收入为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万元，资产总额为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万元，属于</w:t>
      </w:r>
      <w:r>
        <w:rPr>
          <w:rFonts w:hint="eastAsia" w:ascii="宋体" w:hAnsi="宋体" w:eastAsia="宋体" w:cs="宋体"/>
          <w:color w:val="000000"/>
          <w:sz w:val="24"/>
          <w:szCs w:val="24"/>
          <w:u w:val="single"/>
        </w:rPr>
        <w:t>（中型企业、 小型企业、微型企业）</w:t>
      </w:r>
      <w:r>
        <w:rPr>
          <w:rFonts w:hint="eastAsia" w:ascii="宋体" w:hAnsi="宋体" w:eastAsia="宋体" w:cs="宋体"/>
          <w:color w:val="000000"/>
          <w:sz w:val="24"/>
          <w:szCs w:val="24"/>
        </w:rPr>
        <w:t xml:space="preserve">； </w:t>
      </w:r>
    </w:p>
    <w:p w14:paraId="3FD7C22C">
      <w:pPr>
        <w:pStyle w:val="4"/>
        <w:widowControl/>
        <w:rPr>
          <w:rFonts w:hint="eastAsia" w:ascii="宋体" w:hAnsi="宋体" w:eastAsia="宋体" w:cs="宋体"/>
          <w:color w:val="000000"/>
          <w:sz w:val="24"/>
          <w:szCs w:val="24"/>
        </w:rPr>
      </w:pPr>
      <w:r>
        <w:rPr>
          <w:rFonts w:hint="eastAsia" w:ascii="宋体" w:hAnsi="宋体" w:eastAsia="宋体" w:cs="宋体"/>
          <w:color w:val="000000"/>
          <w:sz w:val="24"/>
          <w:szCs w:val="24"/>
        </w:rPr>
        <w:t>……</w:t>
      </w:r>
    </w:p>
    <w:p w14:paraId="6CFABEB9">
      <w:pPr>
        <w:pStyle w:val="4"/>
        <w:widowControl/>
        <w:rPr>
          <w:rFonts w:hint="eastAsia" w:ascii="宋体" w:hAnsi="宋体" w:eastAsia="宋体" w:cs="宋体"/>
          <w:color w:val="000000"/>
          <w:sz w:val="24"/>
          <w:szCs w:val="24"/>
        </w:rPr>
      </w:pPr>
      <w:r>
        <w:rPr>
          <w:rFonts w:hint="eastAsia" w:ascii="宋体" w:hAnsi="宋体" w:eastAsia="宋体" w:cs="宋体"/>
          <w:color w:val="000000"/>
          <w:sz w:val="24"/>
          <w:szCs w:val="24"/>
        </w:rPr>
        <w:t>以上企业，不属于大企业的分支机构，不存在控股股东为大企业的情形，也不存在与大企业的负责人为同一人的情 形。</w:t>
      </w:r>
    </w:p>
    <w:p w14:paraId="34C4D90B">
      <w:pPr>
        <w:pStyle w:val="4"/>
        <w:widowControl/>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本企业对上述声明内容的真实性负责。如有虚假，将依 法承担相应责任。 </w:t>
      </w:r>
    </w:p>
    <w:p w14:paraId="0235655F">
      <w:pPr>
        <w:widowControl/>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       </w:t>
      </w:r>
    </w:p>
    <w:p w14:paraId="2BC71042">
      <w:pPr>
        <w:widowControl/>
        <w:jc w:val="center"/>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lang w:bidi="ar"/>
        </w:rPr>
        <w:t xml:space="preserve">           企业名称（盖章）：</w:t>
      </w:r>
      <w:r>
        <w:rPr>
          <w:rFonts w:hint="eastAsia" w:ascii="宋体" w:hAnsi="宋体" w:eastAsia="宋体" w:cs="宋体"/>
          <w:color w:val="000000"/>
          <w:kern w:val="0"/>
          <w:sz w:val="24"/>
          <w:szCs w:val="24"/>
          <w:u w:val="single"/>
          <w:lang w:bidi="ar"/>
        </w:rPr>
        <w:t xml:space="preserve">                  </w:t>
      </w:r>
    </w:p>
    <w:p w14:paraId="7604B179">
      <w:pPr>
        <w:widowControl/>
        <w:ind w:firstLine="5520" w:firstLineChars="2300"/>
        <w:jc w:val="left"/>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lang w:bidi="ar"/>
        </w:rPr>
        <w:t>日 期：</w:t>
      </w:r>
      <w:r>
        <w:rPr>
          <w:rFonts w:hint="eastAsia" w:ascii="宋体" w:hAnsi="宋体" w:eastAsia="宋体" w:cs="宋体"/>
          <w:color w:val="000000"/>
          <w:kern w:val="0"/>
          <w:sz w:val="24"/>
          <w:szCs w:val="24"/>
          <w:u w:val="single"/>
          <w:lang w:bidi="ar"/>
        </w:rPr>
        <w:t xml:space="preserve">                  </w:t>
      </w:r>
    </w:p>
    <w:p w14:paraId="2B9B7138">
      <w:pPr>
        <w:pStyle w:val="36"/>
        <w:rPr>
          <w:rFonts w:hint="eastAsia" w:ascii="宋体" w:hAnsi="宋体" w:eastAsia="宋体" w:cs="宋体"/>
          <w:color w:val="000000"/>
          <w:sz w:val="24"/>
          <w:szCs w:val="24"/>
        </w:rPr>
      </w:pPr>
    </w:p>
    <w:p w14:paraId="622204F9">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注：请根据自己的真实情况出具《中小企业声明函》。依法享受中小企业优惠政策的，采购人或采购代理机构在公告成交结果时，同时公告其《中小企业声明函》，接受社会监督。</w:t>
      </w:r>
    </w:p>
    <w:p w14:paraId="4E33D060">
      <w:pPr>
        <w:spacing w:line="360" w:lineRule="auto"/>
        <w:rPr>
          <w:rFonts w:hint="eastAsia" w:ascii="宋体" w:hAnsi="宋体" w:eastAsia="宋体" w:cs="宋体"/>
          <w:b/>
          <w:color w:val="000000"/>
          <w:sz w:val="24"/>
          <w:szCs w:val="24"/>
        </w:rPr>
      </w:pPr>
    </w:p>
    <w:p w14:paraId="6AAB6580">
      <w:pPr>
        <w:spacing w:line="360" w:lineRule="auto"/>
        <w:rPr>
          <w:rFonts w:hint="eastAsia" w:ascii="宋体" w:hAnsi="宋体" w:eastAsia="宋体" w:cs="宋体"/>
          <w:b/>
          <w:color w:val="000000"/>
          <w:sz w:val="24"/>
          <w:szCs w:val="24"/>
        </w:rPr>
      </w:pPr>
    </w:p>
    <w:p w14:paraId="6A7BEAAA">
      <w:pPr>
        <w:spacing w:line="360" w:lineRule="auto"/>
        <w:rPr>
          <w:rFonts w:hint="eastAsia" w:ascii="宋体" w:hAnsi="宋体" w:eastAsia="宋体" w:cs="宋体"/>
          <w:b/>
          <w:color w:val="000000"/>
          <w:sz w:val="24"/>
          <w:szCs w:val="24"/>
        </w:rPr>
      </w:pPr>
    </w:p>
    <w:p w14:paraId="6FC88AF1">
      <w:pPr>
        <w:spacing w:line="360" w:lineRule="auto"/>
        <w:rPr>
          <w:rFonts w:hint="eastAsia" w:ascii="宋体" w:hAnsi="宋体" w:eastAsia="宋体" w:cs="宋体"/>
          <w:b/>
          <w:color w:val="000000"/>
          <w:sz w:val="24"/>
          <w:szCs w:val="24"/>
        </w:rPr>
      </w:pPr>
    </w:p>
    <w:p w14:paraId="5D4C86FC">
      <w:pPr>
        <w:spacing w:line="360" w:lineRule="auto"/>
        <w:rPr>
          <w:rFonts w:hint="eastAsia" w:ascii="宋体" w:hAnsi="宋体" w:eastAsia="宋体" w:cs="宋体"/>
          <w:b/>
          <w:color w:val="000000"/>
          <w:sz w:val="24"/>
          <w:szCs w:val="24"/>
        </w:rPr>
      </w:pPr>
    </w:p>
    <w:p w14:paraId="30657548">
      <w:pPr>
        <w:spacing w:line="360" w:lineRule="auto"/>
        <w:rPr>
          <w:rFonts w:hint="eastAsia" w:ascii="宋体" w:hAnsi="宋体" w:eastAsia="宋体" w:cs="宋体"/>
          <w:b/>
          <w:color w:val="000000"/>
          <w:sz w:val="24"/>
          <w:szCs w:val="24"/>
        </w:rPr>
      </w:pPr>
    </w:p>
    <w:p w14:paraId="53F8B61D">
      <w:pPr>
        <w:pStyle w:val="42"/>
        <w:outlineLvl w:val="0"/>
        <w:rPr>
          <w:rFonts w:hint="eastAsia" w:ascii="宋体" w:hAnsi="宋体" w:eastAsia="宋体" w:cs="宋体"/>
          <w:sz w:val="24"/>
          <w:szCs w:val="24"/>
        </w:rPr>
      </w:pPr>
      <w:r>
        <w:rPr>
          <w:rFonts w:hint="eastAsia" w:ascii="宋体" w:hAnsi="宋体" w:eastAsia="宋体" w:cs="宋体"/>
          <w:sz w:val="24"/>
          <w:szCs w:val="24"/>
        </w:rPr>
        <w:t>附件：残疾人福利性单位声明函</w:t>
      </w:r>
    </w:p>
    <w:p w14:paraId="7F7266FF">
      <w:pPr>
        <w:spacing w:line="360" w:lineRule="auto"/>
        <w:jc w:val="center"/>
        <w:rPr>
          <w:rFonts w:hint="eastAsia" w:ascii="宋体" w:hAnsi="宋体" w:eastAsia="宋体" w:cs="宋体"/>
          <w:b/>
          <w:color w:val="000000"/>
          <w:spacing w:val="6"/>
          <w:sz w:val="24"/>
          <w:szCs w:val="24"/>
        </w:rPr>
      </w:pPr>
    </w:p>
    <w:p w14:paraId="3A83C689">
      <w:pPr>
        <w:spacing w:line="360" w:lineRule="auto"/>
        <w:rPr>
          <w:rFonts w:hint="eastAsia" w:ascii="宋体" w:hAnsi="宋体" w:eastAsia="宋体" w:cs="宋体"/>
          <w:b/>
          <w:color w:val="000000"/>
          <w:spacing w:val="6"/>
          <w:sz w:val="24"/>
          <w:szCs w:val="24"/>
        </w:rPr>
      </w:pPr>
    </w:p>
    <w:p w14:paraId="53ED73C6">
      <w:pPr>
        <w:spacing w:line="360" w:lineRule="auto"/>
        <w:jc w:val="center"/>
        <w:rPr>
          <w:rFonts w:hint="eastAsia" w:ascii="宋体" w:hAnsi="宋体" w:eastAsia="宋体" w:cs="宋体"/>
          <w:b/>
          <w:color w:val="000000"/>
          <w:spacing w:val="6"/>
          <w:sz w:val="24"/>
          <w:szCs w:val="24"/>
        </w:rPr>
      </w:pPr>
    </w:p>
    <w:p w14:paraId="1433CF47">
      <w:pPr>
        <w:spacing w:line="360" w:lineRule="auto"/>
        <w:jc w:val="center"/>
        <w:rPr>
          <w:rFonts w:hint="eastAsia" w:ascii="宋体" w:hAnsi="宋体" w:eastAsia="宋体" w:cs="宋体"/>
          <w:b/>
          <w:color w:val="000000"/>
          <w:spacing w:val="6"/>
          <w:sz w:val="24"/>
          <w:szCs w:val="24"/>
        </w:rPr>
      </w:pPr>
    </w:p>
    <w:p w14:paraId="60370C23">
      <w:pPr>
        <w:pStyle w:val="46"/>
        <w:rPr>
          <w:rFonts w:hint="eastAsia" w:ascii="宋体" w:hAnsi="宋体" w:eastAsia="宋体" w:cs="宋体"/>
          <w:sz w:val="24"/>
          <w:szCs w:val="24"/>
        </w:rPr>
      </w:pPr>
      <w:r>
        <w:rPr>
          <w:rFonts w:hint="eastAsia" w:ascii="宋体" w:hAnsi="宋体" w:eastAsia="宋体" w:cs="宋体"/>
          <w:sz w:val="24"/>
          <w:szCs w:val="24"/>
        </w:rPr>
        <w:t>残疾人福利性单位声明函</w:t>
      </w:r>
    </w:p>
    <w:p w14:paraId="06BB63DB">
      <w:pPr>
        <w:spacing w:line="360" w:lineRule="auto"/>
        <w:rPr>
          <w:rFonts w:hint="eastAsia" w:ascii="宋体" w:hAnsi="宋体" w:eastAsia="宋体" w:cs="宋体"/>
          <w:b/>
          <w:color w:val="000000"/>
          <w:spacing w:val="6"/>
          <w:sz w:val="24"/>
          <w:szCs w:val="24"/>
        </w:rPr>
      </w:pPr>
    </w:p>
    <w:p w14:paraId="2DBD8C32">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520817">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本单位对上述声明的真实性负责。如有虚假，将依法承担相应责任。</w:t>
      </w:r>
    </w:p>
    <w:p w14:paraId="69A69CBC">
      <w:pPr>
        <w:spacing w:line="360" w:lineRule="auto"/>
        <w:ind w:firstLine="504" w:firstLineChars="200"/>
        <w:rPr>
          <w:rFonts w:hint="eastAsia" w:ascii="宋体" w:hAnsi="宋体" w:eastAsia="宋体" w:cs="宋体"/>
          <w:color w:val="000000"/>
          <w:spacing w:val="6"/>
          <w:sz w:val="24"/>
          <w:szCs w:val="24"/>
        </w:rPr>
      </w:pPr>
    </w:p>
    <w:p w14:paraId="036C8C7F">
      <w:pPr>
        <w:spacing w:line="360" w:lineRule="auto"/>
        <w:ind w:firstLine="504" w:firstLineChars="200"/>
        <w:rPr>
          <w:rFonts w:hint="eastAsia" w:ascii="宋体" w:hAnsi="宋体" w:eastAsia="宋体" w:cs="宋体"/>
          <w:color w:val="000000"/>
          <w:spacing w:val="6"/>
          <w:sz w:val="24"/>
          <w:szCs w:val="24"/>
        </w:rPr>
      </w:pPr>
    </w:p>
    <w:p w14:paraId="1B50C87C">
      <w:pPr>
        <w:tabs>
          <w:tab w:val="left" w:pos="4860"/>
        </w:tabs>
        <w:spacing w:line="360" w:lineRule="auto"/>
        <w:ind w:right="1560" w:firstLine="504" w:firstLineChars="200"/>
        <w:jc w:val="center"/>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单位名称（盖章）：</w:t>
      </w:r>
    </w:p>
    <w:p w14:paraId="3C7C97FB">
      <w:pPr>
        <w:tabs>
          <w:tab w:val="left" w:pos="4860"/>
        </w:tabs>
        <w:spacing w:line="360" w:lineRule="auto"/>
        <w:ind w:right="1560" w:firstLine="504" w:firstLineChars="200"/>
        <w:jc w:val="center"/>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日  期：</w:t>
      </w:r>
    </w:p>
    <w:p w14:paraId="4F65958E">
      <w:pPr>
        <w:spacing w:line="360" w:lineRule="auto"/>
        <w:rPr>
          <w:rFonts w:hint="eastAsia" w:ascii="宋体" w:hAnsi="宋体" w:eastAsia="宋体" w:cs="宋体"/>
          <w:color w:val="000000"/>
          <w:sz w:val="24"/>
          <w:szCs w:val="24"/>
        </w:rPr>
      </w:pPr>
    </w:p>
    <w:p w14:paraId="359C95AD">
      <w:pPr>
        <w:spacing w:line="360" w:lineRule="auto"/>
        <w:rPr>
          <w:rFonts w:hint="eastAsia" w:ascii="宋体" w:hAnsi="宋体" w:eastAsia="宋体" w:cs="宋体"/>
          <w:b/>
          <w:color w:val="000000"/>
          <w:sz w:val="24"/>
          <w:szCs w:val="24"/>
        </w:rPr>
      </w:pPr>
    </w:p>
    <w:p w14:paraId="1408E20B">
      <w:pPr>
        <w:autoSpaceDE w:val="0"/>
        <w:autoSpaceDN w:val="0"/>
        <w:spacing w:line="360" w:lineRule="auto"/>
        <w:ind w:left="480" w:hanging="480"/>
        <w:rPr>
          <w:rFonts w:hint="eastAsia" w:ascii="宋体" w:hAnsi="宋体" w:eastAsia="宋体" w:cs="宋体"/>
          <w:color w:val="000000"/>
          <w:sz w:val="24"/>
          <w:szCs w:val="24"/>
        </w:rPr>
      </w:pPr>
    </w:p>
    <w:p w14:paraId="143356E9">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注：请根据自己的真实情况出具《残疾人福利性单位声明函》。依法享受中小企业优惠政策的，采购人或采购代理机构在公告中标结果时，同时公告其《残疾人福利性单位声明函》，接受社会监督。</w:t>
      </w:r>
    </w:p>
    <w:p w14:paraId="53DA2CCC">
      <w:pPr>
        <w:autoSpaceDE w:val="0"/>
        <w:autoSpaceDN w:val="0"/>
        <w:spacing w:line="360" w:lineRule="auto"/>
        <w:ind w:left="480" w:hanging="480"/>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p w14:paraId="77CD5359">
      <w:pPr>
        <w:autoSpaceDE w:val="0"/>
        <w:autoSpaceDN w:val="0"/>
        <w:spacing w:line="360" w:lineRule="auto"/>
        <w:ind w:left="480" w:hanging="480"/>
        <w:rPr>
          <w:rFonts w:hint="eastAsia" w:ascii="宋体" w:hAnsi="宋体" w:eastAsia="宋体" w:cs="宋体"/>
          <w:color w:val="000000"/>
          <w:sz w:val="24"/>
          <w:szCs w:val="24"/>
        </w:rPr>
      </w:pPr>
    </w:p>
    <w:p w14:paraId="029E36CB">
      <w:pPr>
        <w:autoSpaceDE w:val="0"/>
        <w:autoSpaceDN w:val="0"/>
        <w:spacing w:line="360" w:lineRule="auto"/>
        <w:ind w:left="480" w:hanging="480"/>
        <w:rPr>
          <w:rFonts w:hint="eastAsia" w:ascii="宋体" w:hAnsi="宋体" w:eastAsia="宋体" w:cs="宋体"/>
          <w:color w:val="000000"/>
          <w:sz w:val="24"/>
          <w:szCs w:val="24"/>
        </w:rPr>
      </w:pPr>
    </w:p>
    <w:p w14:paraId="196EFFCF">
      <w:pPr>
        <w:autoSpaceDE w:val="0"/>
        <w:autoSpaceDN w:val="0"/>
        <w:spacing w:line="360" w:lineRule="auto"/>
        <w:ind w:left="480" w:hanging="480"/>
        <w:rPr>
          <w:rFonts w:hint="eastAsia" w:ascii="宋体" w:hAnsi="宋体" w:eastAsia="宋体" w:cs="宋体"/>
          <w:color w:val="000000"/>
          <w:sz w:val="24"/>
          <w:szCs w:val="24"/>
        </w:rPr>
      </w:pPr>
    </w:p>
    <w:p w14:paraId="6258FACE">
      <w:pPr>
        <w:autoSpaceDE w:val="0"/>
        <w:autoSpaceDN w:val="0"/>
        <w:spacing w:line="360" w:lineRule="auto"/>
        <w:ind w:left="480" w:hanging="480"/>
        <w:rPr>
          <w:rFonts w:hint="eastAsia" w:ascii="宋体" w:hAnsi="宋体" w:eastAsia="宋体" w:cs="宋体"/>
          <w:color w:val="000000"/>
          <w:sz w:val="24"/>
          <w:szCs w:val="24"/>
        </w:rPr>
      </w:pPr>
    </w:p>
    <w:p w14:paraId="425AE9FD">
      <w:pPr>
        <w:autoSpaceDE w:val="0"/>
        <w:autoSpaceDN w:val="0"/>
        <w:spacing w:line="360" w:lineRule="auto"/>
        <w:ind w:left="480" w:hanging="480"/>
        <w:rPr>
          <w:rFonts w:hint="eastAsia" w:ascii="宋体" w:hAnsi="宋体" w:eastAsia="宋体" w:cs="宋体"/>
          <w:color w:val="000000"/>
          <w:sz w:val="24"/>
          <w:szCs w:val="24"/>
        </w:rPr>
      </w:pPr>
    </w:p>
    <w:p w14:paraId="2A539D30">
      <w:pPr>
        <w:autoSpaceDE w:val="0"/>
        <w:autoSpaceDN w:val="0"/>
        <w:spacing w:line="360" w:lineRule="auto"/>
        <w:ind w:left="480" w:hanging="480"/>
        <w:rPr>
          <w:rFonts w:hint="eastAsia" w:ascii="宋体" w:hAnsi="宋体" w:eastAsia="宋体" w:cs="宋体"/>
          <w:color w:val="000000"/>
          <w:sz w:val="24"/>
          <w:szCs w:val="24"/>
        </w:rPr>
      </w:pPr>
    </w:p>
    <w:p w14:paraId="0ABE12BC">
      <w:pPr>
        <w:pStyle w:val="44"/>
        <w:outlineLvl w:val="0"/>
        <w:rPr>
          <w:rFonts w:hint="eastAsia" w:ascii="宋体" w:hAnsi="宋体" w:eastAsia="宋体" w:cs="宋体"/>
          <w:sz w:val="36"/>
          <w:szCs w:val="36"/>
        </w:rPr>
      </w:pPr>
      <w:bookmarkStart w:id="92" w:name="_Toc6413138"/>
      <w:bookmarkStart w:id="93" w:name="_Toc29765"/>
      <w:r>
        <w:rPr>
          <w:rFonts w:hint="eastAsia" w:ascii="宋体" w:hAnsi="宋体" w:eastAsia="宋体" w:cs="宋体"/>
          <w:sz w:val="36"/>
          <w:szCs w:val="36"/>
        </w:rPr>
        <w:t>第八章  合同条款及格式</w:t>
      </w:r>
      <w:bookmarkEnd w:id="92"/>
      <w:bookmarkEnd w:id="93"/>
    </w:p>
    <w:p w14:paraId="000233B8">
      <w:pPr>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br w:type="page"/>
      </w:r>
    </w:p>
    <w:p w14:paraId="5A726F76">
      <w:pPr>
        <w:ind w:left="1400" w:hanging="1200" w:hangingChars="500"/>
        <w:jc w:val="right"/>
        <w:rPr>
          <w:rFonts w:hint="eastAsia" w:ascii="宋体" w:hAnsi="宋体" w:eastAsia="宋体" w:cs="宋体"/>
          <w:b/>
          <w:sz w:val="24"/>
          <w:szCs w:val="24"/>
        </w:rPr>
      </w:pPr>
      <w:r>
        <w:rPr>
          <w:rFonts w:hint="eastAsia" w:ascii="宋体" w:hAnsi="宋体" w:eastAsia="宋体" w:cs="宋体"/>
          <w:bCs/>
          <w:sz w:val="24"/>
          <w:szCs w:val="24"/>
        </w:rPr>
        <w:t>合同编号：</w:t>
      </w:r>
      <w:r>
        <w:rPr>
          <w:rFonts w:hint="eastAsia" w:ascii="宋体" w:hAnsi="宋体" w:eastAsia="宋体" w:cs="宋体"/>
          <w:b/>
          <w:sz w:val="24"/>
          <w:szCs w:val="24"/>
        </w:rPr>
        <w:t xml:space="preserve"> </w:t>
      </w:r>
    </w:p>
    <w:p w14:paraId="61865B9E">
      <w:pPr>
        <w:ind w:left="3112" w:hanging="1205" w:hangingChars="500"/>
        <w:jc w:val="center"/>
        <w:rPr>
          <w:rFonts w:hint="eastAsia" w:ascii="宋体" w:hAnsi="宋体" w:eastAsia="宋体" w:cs="宋体"/>
          <w:b/>
          <w:bCs/>
          <w:sz w:val="24"/>
          <w:szCs w:val="24"/>
        </w:rPr>
      </w:pPr>
    </w:p>
    <w:p w14:paraId="67C37DF1">
      <w:pPr>
        <w:ind w:left="2"/>
        <w:jc w:val="center"/>
        <w:rPr>
          <w:rFonts w:hint="eastAsia" w:ascii="宋体" w:hAnsi="宋体" w:eastAsia="宋体" w:cs="宋体"/>
          <w:b/>
          <w:bCs/>
          <w:sz w:val="24"/>
          <w:szCs w:val="24"/>
        </w:rPr>
      </w:pPr>
      <w:r>
        <w:rPr>
          <w:rFonts w:hint="eastAsia" w:ascii="宋体" w:hAnsi="宋体" w:eastAsia="宋体" w:cs="宋体"/>
          <w:b/>
          <w:bCs/>
          <w:sz w:val="24"/>
          <w:szCs w:val="24"/>
        </w:rPr>
        <w:t xml:space="preserve">     </w:t>
      </w:r>
    </w:p>
    <w:p w14:paraId="181EAE1F">
      <w:pPr>
        <w:ind w:left="2"/>
        <w:jc w:val="center"/>
        <w:rPr>
          <w:rFonts w:hint="eastAsia" w:ascii="宋体" w:hAnsi="宋体" w:eastAsia="宋体" w:cs="宋体"/>
          <w:b/>
          <w:bCs/>
          <w:spacing w:val="40"/>
          <w:sz w:val="40"/>
          <w:szCs w:val="40"/>
        </w:rPr>
      </w:pPr>
    </w:p>
    <w:p w14:paraId="3153ECBF">
      <w:pPr>
        <w:ind w:left="2"/>
        <w:jc w:val="center"/>
        <w:rPr>
          <w:rFonts w:hint="eastAsia" w:ascii="宋体" w:hAnsi="宋体" w:eastAsia="宋体" w:cs="宋体"/>
          <w:b/>
          <w:bCs/>
          <w:spacing w:val="40"/>
          <w:sz w:val="40"/>
          <w:szCs w:val="40"/>
        </w:rPr>
      </w:pPr>
      <w:r>
        <w:rPr>
          <w:rFonts w:hint="eastAsia" w:ascii="宋体" w:hAnsi="宋体" w:eastAsia="宋体" w:cs="宋体"/>
          <w:b/>
          <w:bCs/>
          <w:spacing w:val="40"/>
          <w:sz w:val="40"/>
          <w:szCs w:val="40"/>
        </w:rPr>
        <w:t>施工承包合同</w:t>
      </w:r>
    </w:p>
    <w:p w14:paraId="1E49C07D">
      <w:pPr>
        <w:ind w:left="1400" w:hanging="1200" w:hangingChars="500"/>
        <w:rPr>
          <w:rFonts w:hint="eastAsia" w:ascii="宋体" w:hAnsi="宋体" w:eastAsia="宋体" w:cs="宋体"/>
          <w:sz w:val="24"/>
          <w:szCs w:val="24"/>
        </w:rPr>
      </w:pPr>
    </w:p>
    <w:p w14:paraId="2820FDE6">
      <w:pPr>
        <w:spacing w:line="720" w:lineRule="auto"/>
        <w:rPr>
          <w:rFonts w:hint="eastAsia" w:ascii="宋体" w:hAnsi="宋体" w:eastAsia="宋体" w:cs="宋体"/>
          <w:sz w:val="24"/>
          <w:szCs w:val="24"/>
        </w:rPr>
      </w:pPr>
    </w:p>
    <w:p w14:paraId="12DF240B">
      <w:pPr>
        <w:spacing w:line="720" w:lineRule="auto"/>
        <w:rPr>
          <w:rFonts w:hint="eastAsia" w:ascii="宋体" w:hAnsi="宋体" w:eastAsia="宋体" w:cs="宋体"/>
          <w:sz w:val="24"/>
          <w:szCs w:val="24"/>
        </w:rPr>
      </w:pPr>
    </w:p>
    <w:p w14:paraId="300CB142">
      <w:pPr>
        <w:spacing w:line="720" w:lineRule="auto"/>
        <w:rPr>
          <w:rFonts w:hint="eastAsia" w:ascii="宋体" w:hAnsi="宋体" w:eastAsia="宋体" w:cs="宋体"/>
          <w:sz w:val="24"/>
          <w:szCs w:val="24"/>
        </w:rPr>
      </w:pPr>
    </w:p>
    <w:p w14:paraId="19BCC2CF">
      <w:pPr>
        <w:spacing w:line="720" w:lineRule="auto"/>
        <w:ind w:firstLine="477" w:firstLineChars="198"/>
        <w:rPr>
          <w:rFonts w:hint="eastAsia" w:ascii="宋体" w:hAnsi="宋体" w:eastAsia="宋体" w:cs="宋体"/>
          <w:b/>
          <w:sz w:val="24"/>
          <w:szCs w:val="24"/>
        </w:rPr>
      </w:pPr>
      <w:r>
        <w:rPr>
          <w:rFonts w:hint="eastAsia" w:ascii="宋体" w:hAnsi="宋体" w:eastAsia="宋体" w:cs="宋体"/>
          <w:b/>
          <w:sz w:val="24"/>
          <w:szCs w:val="24"/>
        </w:rPr>
        <w:t>发包人（甲方）：</w:t>
      </w:r>
      <w:r>
        <w:rPr>
          <w:rFonts w:hint="eastAsia" w:ascii="宋体" w:hAnsi="宋体" w:eastAsia="宋体" w:cs="宋体"/>
          <w:b/>
          <w:bCs/>
          <w:snapToGrid w:val="0"/>
          <w:kern w:val="0"/>
          <w:sz w:val="24"/>
          <w:szCs w:val="24"/>
        </w:rPr>
        <w:t xml:space="preserve"> </w:t>
      </w:r>
    </w:p>
    <w:p w14:paraId="416591CD">
      <w:pPr>
        <w:spacing w:line="720" w:lineRule="auto"/>
        <w:ind w:firstLine="477" w:firstLineChars="198"/>
        <w:rPr>
          <w:rFonts w:hint="eastAsia" w:ascii="宋体" w:hAnsi="宋体" w:eastAsia="宋体" w:cs="宋体"/>
          <w:b/>
          <w:kern w:val="0"/>
          <w:sz w:val="24"/>
          <w:szCs w:val="24"/>
        </w:rPr>
      </w:pPr>
      <w:r>
        <w:rPr>
          <w:rFonts w:hint="eastAsia" w:ascii="宋体" w:hAnsi="宋体" w:eastAsia="宋体" w:cs="宋体"/>
          <w:b/>
          <w:sz w:val="24"/>
          <w:szCs w:val="24"/>
        </w:rPr>
        <w:t>承包人（乙方）：</w:t>
      </w:r>
      <w:r>
        <w:rPr>
          <w:rFonts w:hint="eastAsia" w:ascii="宋体" w:hAnsi="宋体" w:eastAsia="宋体" w:cs="宋体"/>
          <w:b/>
          <w:kern w:val="0"/>
          <w:sz w:val="24"/>
          <w:szCs w:val="24"/>
        </w:rPr>
        <w:t xml:space="preserve">  </w:t>
      </w:r>
    </w:p>
    <w:p w14:paraId="14CBD901">
      <w:pPr>
        <w:spacing w:line="720" w:lineRule="auto"/>
        <w:rPr>
          <w:rFonts w:hint="eastAsia" w:ascii="宋体" w:hAnsi="宋体" w:eastAsia="宋体" w:cs="宋体"/>
          <w:b/>
          <w:sz w:val="24"/>
          <w:szCs w:val="24"/>
        </w:rPr>
      </w:pPr>
    </w:p>
    <w:p w14:paraId="3D4C276E">
      <w:pPr>
        <w:spacing w:line="720" w:lineRule="auto"/>
        <w:ind w:firstLine="1446" w:firstLineChars="600"/>
        <w:rPr>
          <w:rFonts w:hint="eastAsia" w:ascii="宋体" w:hAnsi="宋体" w:eastAsia="宋体" w:cs="宋体"/>
          <w:b/>
          <w:sz w:val="24"/>
          <w:szCs w:val="24"/>
        </w:rPr>
      </w:pPr>
      <w:r>
        <w:rPr>
          <w:rFonts w:hint="eastAsia" w:ascii="宋体" w:hAnsi="宋体" w:eastAsia="宋体" w:cs="宋体"/>
          <w:b/>
          <w:sz w:val="24"/>
          <w:szCs w:val="24"/>
        </w:rPr>
        <w:t>签订日期：    年  月   日</w:t>
      </w:r>
    </w:p>
    <w:p w14:paraId="67105BE5">
      <w:pPr>
        <w:rPr>
          <w:rFonts w:hint="eastAsia" w:ascii="宋体" w:hAnsi="宋体" w:eastAsia="宋体" w:cs="宋体"/>
          <w:b/>
          <w:sz w:val="24"/>
          <w:szCs w:val="24"/>
        </w:rPr>
      </w:pPr>
    </w:p>
    <w:p w14:paraId="3576AC93">
      <w:pPr>
        <w:rPr>
          <w:rFonts w:hint="eastAsia" w:ascii="宋体" w:hAnsi="宋体" w:eastAsia="宋体" w:cs="宋体"/>
          <w:sz w:val="24"/>
          <w:szCs w:val="24"/>
        </w:rPr>
      </w:pPr>
    </w:p>
    <w:p w14:paraId="4EEAFC9A">
      <w:pPr>
        <w:rPr>
          <w:rFonts w:hint="eastAsia" w:ascii="宋体" w:hAnsi="宋体" w:eastAsia="宋体" w:cs="宋体"/>
          <w:sz w:val="24"/>
          <w:szCs w:val="24"/>
        </w:rPr>
      </w:pPr>
    </w:p>
    <w:p w14:paraId="4F670DEC">
      <w:pPr>
        <w:pStyle w:val="43"/>
        <w:rPr>
          <w:rFonts w:hint="eastAsia" w:ascii="宋体" w:hAnsi="宋体" w:eastAsia="宋体" w:cs="宋体"/>
          <w:sz w:val="44"/>
          <w:szCs w:val="44"/>
        </w:rPr>
        <w:sectPr>
          <w:footerReference r:id="rId10" w:type="default"/>
          <w:pgSz w:w="11906" w:h="16838"/>
          <w:pgMar w:top="1440" w:right="1080" w:bottom="1440" w:left="1080" w:header="851" w:footer="992" w:gutter="0"/>
          <w:cols w:space="720" w:num="1"/>
          <w:docGrid w:type="lines" w:linePitch="312" w:charSpace="0"/>
        </w:sectPr>
      </w:pPr>
    </w:p>
    <w:p w14:paraId="3D6A47D8">
      <w:pPr>
        <w:pStyle w:val="43"/>
        <w:rPr>
          <w:rFonts w:hint="eastAsia" w:ascii="宋体" w:hAnsi="宋体" w:eastAsia="宋体" w:cs="宋体"/>
          <w:sz w:val="44"/>
          <w:szCs w:val="44"/>
        </w:rPr>
      </w:pPr>
      <w:r>
        <w:rPr>
          <w:rFonts w:hint="eastAsia" w:ascii="宋体" w:hAnsi="宋体" w:eastAsia="宋体" w:cs="宋体"/>
          <w:sz w:val="44"/>
          <w:szCs w:val="44"/>
        </w:rPr>
        <w:t>目  录</w:t>
      </w:r>
    </w:p>
    <w:p w14:paraId="526B6206">
      <w:pPr>
        <w:jc w:val="center"/>
        <w:rPr>
          <w:rFonts w:hint="eastAsia" w:ascii="宋体" w:hAnsi="宋体" w:eastAsia="宋体" w:cs="宋体"/>
          <w:sz w:val="24"/>
          <w:szCs w:val="24"/>
        </w:rPr>
      </w:pPr>
    </w:p>
    <w:p w14:paraId="413F5FC9">
      <w:pPr>
        <w:pStyle w:val="19"/>
        <w:tabs>
          <w:tab w:val="right" w:leader="dot" w:pos="9922"/>
        </w:tabs>
        <w:spacing w:line="48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"1-1" \h \z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"_Toc13865" </w:instrText>
      </w:r>
      <w:r>
        <w:rPr>
          <w:rFonts w:hint="eastAsia" w:ascii="宋体" w:hAnsi="宋体" w:eastAsia="宋体" w:cs="宋体"/>
          <w:sz w:val="24"/>
          <w:szCs w:val="24"/>
        </w:rPr>
        <w:fldChar w:fldCharType="separate"/>
      </w:r>
      <w:r>
        <w:rPr>
          <w:rFonts w:hint="eastAsia" w:ascii="宋体" w:hAnsi="宋体" w:eastAsia="宋体" w:cs="宋体"/>
          <w:bCs/>
          <w:kern w:val="44"/>
          <w:sz w:val="24"/>
          <w:szCs w:val="24"/>
        </w:rPr>
        <w:t>一</w:t>
      </w:r>
      <w:r>
        <w:rPr>
          <w:rFonts w:hint="eastAsia" w:ascii="宋体" w:hAnsi="宋体" w:eastAsia="宋体" w:cs="宋体"/>
          <w:bCs/>
          <w:kern w:val="44"/>
          <w:sz w:val="24"/>
          <w:szCs w:val="24"/>
          <w:lang w:val="en-US" w:eastAsia="zh-CN"/>
        </w:rPr>
        <w:t>.</w:t>
      </w:r>
      <w:r>
        <w:rPr>
          <w:rFonts w:hint="eastAsia" w:ascii="宋体" w:hAnsi="宋体" w:eastAsia="宋体" w:cs="宋体"/>
          <w:bCs/>
          <w:kern w:val="44"/>
          <w:sz w:val="24"/>
          <w:szCs w:val="24"/>
        </w:rPr>
        <w:t xml:space="preserve"> 合同协议书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_Toc13865 \h </w:instrText>
      </w:r>
      <w:r>
        <w:rPr>
          <w:rFonts w:hint="eastAsia" w:ascii="宋体" w:hAnsi="宋体" w:eastAsia="宋体" w:cs="宋体"/>
          <w:sz w:val="24"/>
          <w:szCs w:val="24"/>
        </w:rPr>
        <w:fldChar w:fldCharType="separate"/>
      </w:r>
      <w:r>
        <w:rPr>
          <w:rFonts w:hint="eastAsia" w:ascii="宋体" w:hAnsi="宋体" w:eastAsia="宋体" w:cs="宋体"/>
          <w:sz w:val="24"/>
          <w:szCs w:val="24"/>
        </w:rPr>
        <w:t>68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35CCE99">
      <w:pPr>
        <w:pStyle w:val="19"/>
        <w:tabs>
          <w:tab w:val="right" w:leader="dot" w:pos="9922"/>
        </w:tabs>
        <w:spacing w:line="48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"_Toc18473" </w:instrText>
      </w:r>
      <w:r>
        <w:rPr>
          <w:rFonts w:hint="eastAsia" w:ascii="宋体" w:hAnsi="宋体" w:eastAsia="宋体" w:cs="宋体"/>
          <w:sz w:val="24"/>
          <w:szCs w:val="24"/>
        </w:rPr>
        <w:fldChar w:fldCharType="separate"/>
      </w:r>
      <w:r>
        <w:rPr>
          <w:rFonts w:hint="eastAsia" w:ascii="宋体" w:hAnsi="宋体" w:eastAsia="宋体" w:cs="宋体"/>
          <w:bCs/>
          <w:kern w:val="44"/>
          <w:sz w:val="24"/>
          <w:szCs w:val="24"/>
        </w:rPr>
        <w:t>二</w:t>
      </w:r>
      <w:r>
        <w:rPr>
          <w:rFonts w:hint="eastAsia" w:ascii="宋体" w:hAnsi="宋体" w:eastAsia="宋体" w:cs="宋体"/>
          <w:bCs/>
          <w:kern w:val="44"/>
          <w:sz w:val="24"/>
          <w:szCs w:val="24"/>
          <w:lang w:val="en-US" w:eastAsia="zh-CN"/>
        </w:rPr>
        <w:t>.</w:t>
      </w:r>
      <w:r>
        <w:rPr>
          <w:rFonts w:hint="eastAsia" w:ascii="宋体" w:hAnsi="宋体" w:eastAsia="宋体" w:cs="宋体"/>
          <w:bCs/>
          <w:kern w:val="44"/>
          <w:sz w:val="24"/>
          <w:szCs w:val="24"/>
        </w:rPr>
        <w:t xml:space="preserve"> 成交通知书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_Toc18473 \h </w:instrText>
      </w:r>
      <w:r>
        <w:rPr>
          <w:rFonts w:hint="eastAsia" w:ascii="宋体" w:hAnsi="宋体" w:eastAsia="宋体" w:cs="宋体"/>
          <w:sz w:val="24"/>
          <w:szCs w:val="24"/>
        </w:rPr>
        <w:fldChar w:fldCharType="separate"/>
      </w:r>
      <w:r>
        <w:rPr>
          <w:rFonts w:hint="eastAsia" w:ascii="宋体" w:hAnsi="宋体" w:eastAsia="宋体" w:cs="宋体"/>
          <w:sz w:val="24"/>
          <w:szCs w:val="24"/>
        </w:rPr>
        <w:t>69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248206D">
      <w:pPr>
        <w:pStyle w:val="19"/>
        <w:tabs>
          <w:tab w:val="right" w:leader="dot" w:pos="9922"/>
        </w:tabs>
        <w:spacing w:line="48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"_Toc3268" </w:instrText>
      </w:r>
      <w:r>
        <w:rPr>
          <w:rFonts w:hint="eastAsia" w:ascii="宋体" w:hAnsi="宋体" w:eastAsia="宋体" w:cs="宋体"/>
          <w:sz w:val="24"/>
          <w:szCs w:val="24"/>
        </w:rPr>
        <w:fldChar w:fldCharType="separate"/>
      </w:r>
      <w:r>
        <w:rPr>
          <w:rFonts w:hint="eastAsia" w:ascii="宋体" w:hAnsi="宋体" w:eastAsia="宋体" w:cs="宋体"/>
          <w:sz w:val="24"/>
          <w:szCs w:val="24"/>
        </w:rPr>
        <w:t>三</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专用合同条款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_Toc3268 \h </w:instrText>
      </w:r>
      <w:r>
        <w:rPr>
          <w:rFonts w:hint="eastAsia" w:ascii="宋体" w:hAnsi="宋体" w:eastAsia="宋体" w:cs="宋体"/>
          <w:sz w:val="24"/>
          <w:szCs w:val="24"/>
        </w:rPr>
        <w:fldChar w:fldCharType="separate"/>
      </w:r>
      <w:r>
        <w:rPr>
          <w:rFonts w:hint="eastAsia" w:ascii="宋体" w:hAnsi="宋体" w:eastAsia="宋体" w:cs="宋体"/>
          <w:sz w:val="24"/>
          <w:szCs w:val="24"/>
        </w:rPr>
        <w:t>71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AE84A01">
      <w:pPr>
        <w:pStyle w:val="19"/>
        <w:tabs>
          <w:tab w:val="right" w:leader="dot" w:pos="9922"/>
        </w:tabs>
        <w:spacing w:line="48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"_Toc622" </w:instrText>
      </w:r>
      <w:r>
        <w:rPr>
          <w:rFonts w:hint="eastAsia" w:ascii="宋体" w:hAnsi="宋体" w:eastAsia="宋体" w:cs="宋体"/>
          <w:sz w:val="24"/>
          <w:szCs w:val="24"/>
        </w:rPr>
        <w:fldChar w:fldCharType="separate"/>
      </w:r>
      <w:r>
        <w:rPr>
          <w:rFonts w:hint="eastAsia" w:ascii="宋体" w:hAnsi="宋体" w:eastAsia="宋体" w:cs="宋体"/>
          <w:sz w:val="24"/>
          <w:szCs w:val="24"/>
        </w:rPr>
        <w:t>四</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通用合同条款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_Toc622 \h </w:instrText>
      </w:r>
      <w:r>
        <w:rPr>
          <w:rFonts w:hint="eastAsia" w:ascii="宋体" w:hAnsi="宋体" w:eastAsia="宋体" w:cs="宋体"/>
          <w:sz w:val="24"/>
          <w:szCs w:val="24"/>
        </w:rPr>
        <w:fldChar w:fldCharType="separate"/>
      </w:r>
      <w:r>
        <w:rPr>
          <w:rFonts w:hint="eastAsia" w:ascii="宋体" w:hAnsi="宋体" w:eastAsia="宋体" w:cs="宋体"/>
          <w:sz w:val="24"/>
          <w:szCs w:val="24"/>
        </w:rPr>
        <w:t>85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193CEE0">
      <w:pPr>
        <w:pStyle w:val="19"/>
        <w:tabs>
          <w:tab w:val="right" w:leader="dot" w:pos="9922"/>
        </w:tabs>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"_Toc4053" </w:instrText>
      </w:r>
      <w:r>
        <w:rPr>
          <w:rFonts w:hint="eastAsia" w:ascii="宋体" w:hAnsi="宋体" w:eastAsia="宋体" w:cs="宋体"/>
          <w:sz w:val="24"/>
          <w:szCs w:val="24"/>
        </w:rPr>
        <w:fldChar w:fldCharType="separate"/>
      </w:r>
      <w:r>
        <w:rPr>
          <w:rFonts w:hint="eastAsia" w:ascii="宋体" w:hAnsi="宋体" w:eastAsia="宋体" w:cs="宋体"/>
          <w:sz w:val="24"/>
          <w:szCs w:val="24"/>
        </w:rPr>
        <w:t>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安全生产合同</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38</w:t>
      </w:r>
    </w:p>
    <w:p w14:paraId="4698C1C9">
      <w:pPr>
        <w:pStyle w:val="19"/>
        <w:tabs>
          <w:tab w:val="right" w:leader="dot" w:pos="9922"/>
        </w:tabs>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"_Toc8568" </w:instrText>
      </w:r>
      <w:r>
        <w:rPr>
          <w:rFonts w:hint="eastAsia" w:ascii="宋体" w:hAnsi="宋体" w:eastAsia="宋体" w:cs="宋体"/>
          <w:sz w:val="24"/>
          <w:szCs w:val="24"/>
        </w:rPr>
        <w:fldChar w:fldCharType="separate"/>
      </w:r>
      <w:r>
        <w:rPr>
          <w:rFonts w:hint="eastAsia" w:ascii="宋体" w:hAnsi="宋体" w:eastAsia="宋体" w:cs="宋体"/>
          <w:sz w:val="24"/>
          <w:szCs w:val="24"/>
        </w:rPr>
        <w:t>六</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廉政合同</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eastAsia="宋体" w:cs="宋体"/>
          <w:sz w:val="24"/>
          <w:szCs w:val="24"/>
        </w:rPr>
        <w:t>4</w:t>
      </w:r>
      <w:r>
        <w:rPr>
          <w:rFonts w:hint="eastAsia" w:ascii="宋体" w:hAnsi="宋体" w:eastAsia="宋体" w:cs="宋体"/>
          <w:sz w:val="24"/>
          <w:szCs w:val="24"/>
          <w:lang w:val="en-US" w:eastAsia="zh-CN"/>
        </w:rPr>
        <w:t>0</w:t>
      </w:r>
    </w:p>
    <w:p w14:paraId="6F6230D4">
      <w:pPr>
        <w:pStyle w:val="19"/>
        <w:tabs>
          <w:tab w:val="right" w:leader="dot" w:pos="9922"/>
        </w:tabs>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rPr>
        <w:t>七</w:t>
      </w:r>
      <w:r>
        <w:rPr>
          <w:rFonts w:hint="eastAsia" w:ascii="宋体" w:hAnsi="宋体" w:eastAsia="宋体" w:cs="宋体"/>
          <w:sz w:val="24"/>
          <w:szCs w:val="24"/>
          <w:lang w:val="en-US" w:eastAsia="zh-CN"/>
        </w:rPr>
        <w:t>. 预付款担保</w:t>
      </w:r>
      <w:r>
        <w:rPr>
          <w:rFonts w:hint="eastAsia" w:ascii="宋体" w:hAnsi="宋体" w:eastAsia="宋体" w:cs="宋体"/>
          <w:sz w:val="24"/>
          <w:szCs w:val="24"/>
        </w:rPr>
        <w:tab/>
      </w:r>
      <w:r>
        <w:rPr>
          <w:rFonts w:hint="eastAsia" w:ascii="宋体" w:hAnsi="宋体" w:eastAsia="宋体" w:cs="宋体"/>
          <w:sz w:val="24"/>
          <w:szCs w:val="24"/>
          <w:lang w:val="en-US" w:eastAsia="zh-CN"/>
        </w:rPr>
        <w:t>143</w:t>
      </w:r>
    </w:p>
    <w:p w14:paraId="10B29D5D">
      <w:pPr>
        <w:pStyle w:val="19"/>
        <w:tabs>
          <w:tab w:val="right" w:leader="dot" w:pos="9922"/>
        </w:tabs>
        <w:spacing w:line="480" w:lineRule="exact"/>
        <w:rPr>
          <w:rFonts w:hint="eastAsia" w:ascii="宋体" w:hAnsi="宋体" w:eastAsia="宋体" w:cs="宋体"/>
          <w:sz w:val="24"/>
          <w:szCs w:val="24"/>
          <w:lang w:val="en-US"/>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"_Toc22747"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 xml:space="preserve">八. </w:t>
      </w:r>
      <w:r>
        <w:rPr>
          <w:rFonts w:hint="eastAsia" w:ascii="宋体" w:hAnsi="宋体" w:eastAsia="宋体" w:cs="宋体"/>
          <w:sz w:val="24"/>
          <w:szCs w:val="24"/>
        </w:rPr>
        <w:t>工程质量保修书</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42</w:t>
      </w:r>
    </w:p>
    <w:p w14:paraId="625BF86B">
      <w:pPr>
        <w:spacing w:line="480" w:lineRule="exact"/>
        <w:rPr>
          <w:rFonts w:hint="eastAsia" w:ascii="宋体" w:hAnsi="宋体" w:eastAsia="宋体" w:cs="宋体"/>
          <w:sz w:val="24"/>
          <w:szCs w:val="24"/>
        </w:rPr>
      </w:pPr>
      <w:r>
        <w:rPr>
          <w:rFonts w:hint="eastAsia" w:ascii="宋体" w:hAnsi="宋体" w:eastAsia="宋体" w:cs="宋体"/>
          <w:sz w:val="24"/>
          <w:szCs w:val="24"/>
        </w:rPr>
        <w:fldChar w:fldCharType="end"/>
      </w:r>
    </w:p>
    <w:p w14:paraId="374FA7DD">
      <w:pPr>
        <w:rPr>
          <w:rFonts w:hint="eastAsia" w:ascii="宋体" w:hAnsi="宋体" w:eastAsia="宋体" w:cs="宋体"/>
          <w:sz w:val="24"/>
          <w:szCs w:val="24"/>
        </w:rPr>
      </w:pPr>
    </w:p>
    <w:p w14:paraId="36A5CE80">
      <w:pPr>
        <w:rPr>
          <w:rFonts w:hint="eastAsia" w:ascii="宋体" w:hAnsi="宋体" w:eastAsia="宋体" w:cs="宋体"/>
          <w:sz w:val="24"/>
          <w:szCs w:val="24"/>
        </w:rPr>
      </w:pPr>
    </w:p>
    <w:p w14:paraId="5BE409EE">
      <w:pPr>
        <w:rPr>
          <w:rFonts w:hint="eastAsia" w:ascii="宋体" w:hAnsi="宋体" w:eastAsia="宋体" w:cs="宋体"/>
          <w:sz w:val="24"/>
          <w:szCs w:val="24"/>
        </w:rPr>
      </w:pPr>
    </w:p>
    <w:p w14:paraId="181B4AD2">
      <w:pPr>
        <w:rPr>
          <w:rFonts w:hint="eastAsia" w:ascii="宋体" w:hAnsi="宋体" w:eastAsia="宋体" w:cs="宋体"/>
          <w:sz w:val="24"/>
          <w:szCs w:val="24"/>
        </w:rPr>
      </w:pPr>
    </w:p>
    <w:p w14:paraId="775D516C">
      <w:pPr>
        <w:rPr>
          <w:rFonts w:hint="eastAsia" w:ascii="宋体" w:hAnsi="宋体" w:eastAsia="宋体" w:cs="宋体"/>
          <w:sz w:val="24"/>
          <w:szCs w:val="24"/>
        </w:rPr>
      </w:pPr>
    </w:p>
    <w:p w14:paraId="107BA803">
      <w:pPr>
        <w:rPr>
          <w:rFonts w:hint="eastAsia" w:ascii="宋体" w:hAnsi="宋体" w:eastAsia="宋体" w:cs="宋体"/>
          <w:sz w:val="24"/>
          <w:szCs w:val="24"/>
        </w:rPr>
      </w:pPr>
    </w:p>
    <w:p w14:paraId="5ACF838F">
      <w:pPr>
        <w:rPr>
          <w:rFonts w:hint="eastAsia" w:ascii="宋体" w:hAnsi="宋体" w:eastAsia="宋体" w:cs="宋体"/>
          <w:sz w:val="24"/>
          <w:szCs w:val="24"/>
        </w:rPr>
      </w:pPr>
    </w:p>
    <w:p w14:paraId="03066ABF">
      <w:pPr>
        <w:rPr>
          <w:rFonts w:hint="eastAsia" w:ascii="宋体" w:hAnsi="宋体" w:eastAsia="宋体" w:cs="宋体"/>
          <w:sz w:val="24"/>
          <w:szCs w:val="24"/>
        </w:rPr>
      </w:pPr>
    </w:p>
    <w:p w14:paraId="74D3EBA4">
      <w:pPr>
        <w:pStyle w:val="4"/>
        <w:rPr>
          <w:rFonts w:hint="eastAsia" w:ascii="宋体" w:hAnsi="宋体" w:eastAsia="宋体" w:cs="宋体"/>
          <w:sz w:val="24"/>
          <w:szCs w:val="24"/>
        </w:rPr>
      </w:pPr>
    </w:p>
    <w:p w14:paraId="44A3078F">
      <w:pPr>
        <w:pStyle w:val="4"/>
        <w:rPr>
          <w:rFonts w:hint="eastAsia" w:ascii="宋体" w:hAnsi="宋体" w:eastAsia="宋体" w:cs="宋体"/>
          <w:sz w:val="24"/>
          <w:szCs w:val="24"/>
        </w:rPr>
      </w:pPr>
    </w:p>
    <w:p w14:paraId="5DFA6DBD">
      <w:pPr>
        <w:rPr>
          <w:rFonts w:hint="eastAsia" w:ascii="宋体" w:hAnsi="宋体" w:eastAsia="宋体" w:cs="宋体"/>
          <w:sz w:val="24"/>
          <w:szCs w:val="24"/>
        </w:rPr>
      </w:pPr>
    </w:p>
    <w:p w14:paraId="073DA1CE">
      <w:pPr>
        <w:rPr>
          <w:rFonts w:hint="eastAsia" w:ascii="宋体" w:hAnsi="宋体" w:eastAsia="宋体" w:cs="宋体"/>
          <w:sz w:val="24"/>
          <w:szCs w:val="24"/>
        </w:rPr>
      </w:pPr>
    </w:p>
    <w:p w14:paraId="43617F0E">
      <w:pPr>
        <w:rPr>
          <w:rFonts w:hint="eastAsia" w:ascii="宋体" w:hAnsi="宋体" w:eastAsia="宋体" w:cs="宋体"/>
          <w:sz w:val="24"/>
          <w:szCs w:val="24"/>
        </w:rPr>
      </w:pPr>
      <w:bookmarkStart w:id="94" w:name="_Toc13865"/>
    </w:p>
    <w:p w14:paraId="47B36DC3">
      <w:pPr>
        <w:pStyle w:val="44"/>
        <w:numPr>
          <w:ilvl w:val="0"/>
          <w:numId w:val="70"/>
        </w:numPr>
        <w:ind w:left="0" w:leftChars="0" w:firstLine="480" w:firstLineChars="0"/>
        <w:outlineLvl w:val="0"/>
        <w:rPr>
          <w:rFonts w:hint="eastAsia" w:ascii="宋体" w:hAnsi="宋体" w:eastAsia="宋体" w:cs="宋体"/>
          <w:sz w:val="24"/>
          <w:szCs w:val="24"/>
        </w:rPr>
        <w:sectPr>
          <w:pgSz w:w="11906" w:h="16838"/>
          <w:pgMar w:top="1440" w:right="1080" w:bottom="1440" w:left="1080" w:header="851" w:footer="992" w:gutter="0"/>
          <w:cols w:space="720" w:num="1"/>
          <w:docGrid w:type="lines" w:linePitch="312" w:charSpace="0"/>
        </w:sectPr>
      </w:pPr>
    </w:p>
    <w:p w14:paraId="7133D526">
      <w:pPr>
        <w:pStyle w:val="44"/>
        <w:numPr>
          <w:ilvl w:val="0"/>
          <w:numId w:val="70"/>
        </w:numPr>
        <w:ind w:left="0" w:leftChars="0" w:firstLine="480" w:firstLineChars="0"/>
        <w:outlineLvl w:val="0"/>
        <w:rPr>
          <w:rFonts w:hint="eastAsia" w:ascii="宋体" w:hAnsi="宋体" w:eastAsia="宋体" w:cs="宋体"/>
          <w:sz w:val="24"/>
          <w:szCs w:val="24"/>
        </w:rPr>
      </w:pPr>
      <w:r>
        <w:rPr>
          <w:rFonts w:hint="eastAsia" w:ascii="宋体" w:hAnsi="宋体" w:eastAsia="宋体" w:cs="宋体"/>
          <w:sz w:val="24"/>
          <w:szCs w:val="24"/>
        </w:rPr>
        <w:t>合同协议书</w:t>
      </w:r>
      <w:bookmarkEnd w:id="94"/>
    </w:p>
    <w:p w14:paraId="64E6AE06">
      <w:pPr>
        <w:pStyle w:val="4"/>
        <w:rPr>
          <w:rFonts w:hint="default" w:ascii="宋体" w:hAnsi="宋体" w:eastAsia="宋体" w:cs="宋体"/>
          <w:color w:val="000000"/>
          <w:sz w:val="24"/>
          <w:szCs w:val="24"/>
          <w:u w:val="single"/>
          <w:lang w:val="en-US" w:eastAsia="zh-CN"/>
        </w:rPr>
      </w:pPr>
      <w:r>
        <w:rPr>
          <w:rFonts w:hint="eastAsia" w:ascii="宋体" w:hAnsi="宋体" w:eastAsia="宋体" w:cs="宋体"/>
          <w:color w:val="000000"/>
          <w:sz w:val="24"/>
          <w:szCs w:val="24"/>
        </w:rPr>
        <w:t>发包人（全称）：</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p>
    <w:p w14:paraId="6FFF8160">
      <w:pPr>
        <w:spacing w:line="400" w:lineRule="exact"/>
        <w:jc w:val="left"/>
        <w:rPr>
          <w:rFonts w:hint="eastAsia" w:ascii="宋体" w:hAnsi="宋体" w:eastAsia="宋体" w:cs="宋体"/>
          <w:color w:val="000000"/>
          <w:sz w:val="24"/>
          <w:szCs w:val="24"/>
        </w:rPr>
      </w:pPr>
    </w:p>
    <w:p w14:paraId="1B32E088">
      <w:pPr>
        <w:pStyle w:val="4"/>
        <w:rPr>
          <w:rFonts w:hint="eastAsia" w:ascii="宋体" w:hAnsi="宋体" w:eastAsia="宋体" w:cs="宋体"/>
          <w:color w:val="000000"/>
          <w:sz w:val="24"/>
          <w:szCs w:val="24"/>
          <w:u w:val="single"/>
        </w:rPr>
      </w:pPr>
      <w:r>
        <w:rPr>
          <w:rFonts w:hint="eastAsia" w:ascii="宋体" w:hAnsi="宋体" w:eastAsia="宋体" w:cs="宋体"/>
          <w:color w:val="000000"/>
          <w:sz w:val="24"/>
          <w:szCs w:val="24"/>
        </w:rPr>
        <w:t>承包人（全称）：</w:t>
      </w:r>
      <w:r>
        <w:rPr>
          <w:rFonts w:hint="eastAsia" w:ascii="宋体" w:hAnsi="宋体" w:eastAsia="宋体" w:cs="宋体"/>
          <w:color w:val="000000"/>
          <w:sz w:val="24"/>
          <w:szCs w:val="24"/>
          <w:u w:val="single"/>
        </w:rPr>
        <w:t xml:space="preserve">                          </w:t>
      </w:r>
    </w:p>
    <w:p w14:paraId="5E1C03F4">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根据《中华人民共和国民法典》、《中华人民共和国建筑法》及有关法律规定，遵循平等、自愿、公平和诚实信用的原则，双方就</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施工及有关事项协商一致，共同达成如下协议：</w:t>
      </w:r>
    </w:p>
    <w:p w14:paraId="2821FAA8">
      <w:pPr>
        <w:pStyle w:val="4"/>
        <w:rPr>
          <w:rFonts w:hint="eastAsia" w:ascii="宋体" w:hAnsi="宋体" w:eastAsia="宋体" w:cs="宋体"/>
          <w:sz w:val="24"/>
          <w:szCs w:val="24"/>
        </w:rPr>
      </w:pPr>
      <w:r>
        <w:rPr>
          <w:rFonts w:hint="eastAsia" w:ascii="宋体" w:hAnsi="宋体" w:eastAsia="宋体" w:cs="宋体"/>
          <w:sz w:val="24"/>
          <w:szCs w:val="24"/>
        </w:rPr>
        <w:t>1. 本协议书与下列文件一起构成合同文件：</w:t>
      </w:r>
    </w:p>
    <w:p w14:paraId="188745A4">
      <w:pPr>
        <w:pStyle w:val="4"/>
        <w:rPr>
          <w:rFonts w:hint="eastAsia" w:ascii="宋体" w:hAnsi="宋体" w:eastAsia="宋体" w:cs="宋体"/>
          <w:sz w:val="24"/>
          <w:szCs w:val="24"/>
        </w:rPr>
      </w:pPr>
      <w:bookmarkStart w:id="95" w:name="_Toc17971"/>
      <w:r>
        <w:rPr>
          <w:rFonts w:hint="eastAsia" w:ascii="宋体" w:hAnsi="宋体" w:eastAsia="宋体" w:cs="宋体"/>
          <w:sz w:val="24"/>
          <w:szCs w:val="24"/>
        </w:rPr>
        <w:t>（1）</w:t>
      </w:r>
      <w:bookmarkEnd w:id="95"/>
      <w:r>
        <w:rPr>
          <w:rFonts w:hint="eastAsia" w:ascii="宋体" w:hAnsi="宋体" w:eastAsia="宋体" w:cs="宋体"/>
          <w:sz w:val="24"/>
          <w:szCs w:val="24"/>
        </w:rPr>
        <w:t>成交通知书；</w:t>
      </w:r>
    </w:p>
    <w:p w14:paraId="26C4D7C2">
      <w:pPr>
        <w:pStyle w:val="4"/>
        <w:rPr>
          <w:rFonts w:hint="eastAsia" w:ascii="宋体" w:hAnsi="宋体" w:eastAsia="宋体" w:cs="宋体"/>
          <w:sz w:val="24"/>
          <w:szCs w:val="24"/>
        </w:rPr>
      </w:pPr>
      <w:bookmarkStart w:id="96" w:name="_Toc1944"/>
      <w:r>
        <w:rPr>
          <w:rFonts w:hint="eastAsia" w:ascii="宋体" w:hAnsi="宋体" w:eastAsia="宋体" w:cs="宋体"/>
          <w:sz w:val="24"/>
          <w:szCs w:val="24"/>
        </w:rPr>
        <w:t>（2）</w:t>
      </w:r>
      <w:bookmarkEnd w:id="96"/>
      <w:r>
        <w:rPr>
          <w:rFonts w:hint="eastAsia" w:ascii="宋体" w:hAnsi="宋体" w:eastAsia="宋体" w:cs="宋体"/>
          <w:sz w:val="24"/>
          <w:szCs w:val="24"/>
        </w:rPr>
        <w:t>投标函及投标函附录；</w:t>
      </w:r>
    </w:p>
    <w:p w14:paraId="107DE395">
      <w:pPr>
        <w:pStyle w:val="4"/>
        <w:rPr>
          <w:rFonts w:hint="eastAsia" w:ascii="宋体" w:hAnsi="宋体" w:eastAsia="宋体" w:cs="宋体"/>
          <w:sz w:val="24"/>
          <w:szCs w:val="24"/>
        </w:rPr>
      </w:pPr>
      <w:bookmarkStart w:id="97" w:name="_Toc21374"/>
      <w:r>
        <w:rPr>
          <w:rFonts w:hint="eastAsia" w:ascii="宋体" w:hAnsi="宋体" w:eastAsia="宋体" w:cs="宋体"/>
          <w:sz w:val="24"/>
          <w:szCs w:val="24"/>
        </w:rPr>
        <w:t>（3）</w:t>
      </w:r>
      <w:bookmarkEnd w:id="97"/>
      <w:r>
        <w:rPr>
          <w:rFonts w:hint="eastAsia" w:ascii="宋体" w:hAnsi="宋体" w:eastAsia="宋体" w:cs="宋体"/>
          <w:sz w:val="24"/>
          <w:szCs w:val="24"/>
        </w:rPr>
        <w:t>专用合同条款（含附加条款）；</w:t>
      </w:r>
    </w:p>
    <w:p w14:paraId="763B3142">
      <w:pPr>
        <w:pStyle w:val="4"/>
        <w:rPr>
          <w:rFonts w:hint="eastAsia" w:ascii="宋体" w:hAnsi="宋体" w:eastAsia="宋体" w:cs="宋体"/>
          <w:sz w:val="24"/>
          <w:szCs w:val="24"/>
        </w:rPr>
      </w:pPr>
      <w:bookmarkStart w:id="98" w:name="_Toc639"/>
      <w:r>
        <w:rPr>
          <w:rFonts w:hint="eastAsia" w:ascii="宋体" w:hAnsi="宋体" w:eastAsia="宋体" w:cs="宋体"/>
          <w:sz w:val="24"/>
          <w:szCs w:val="24"/>
        </w:rPr>
        <w:t>（4）</w:t>
      </w:r>
      <w:bookmarkEnd w:id="98"/>
      <w:r>
        <w:rPr>
          <w:rFonts w:hint="eastAsia" w:ascii="宋体" w:hAnsi="宋体" w:eastAsia="宋体" w:cs="宋体"/>
          <w:sz w:val="24"/>
          <w:szCs w:val="24"/>
        </w:rPr>
        <w:t>通用合同条款；</w:t>
      </w:r>
    </w:p>
    <w:p w14:paraId="7179A078">
      <w:pPr>
        <w:pStyle w:val="4"/>
        <w:rPr>
          <w:rFonts w:hint="eastAsia" w:ascii="宋体" w:hAnsi="宋体" w:eastAsia="宋体" w:cs="宋体"/>
          <w:sz w:val="24"/>
          <w:szCs w:val="24"/>
        </w:rPr>
      </w:pPr>
      <w:r>
        <w:rPr>
          <w:rFonts w:hint="eastAsia" w:ascii="宋体" w:hAnsi="宋体" w:eastAsia="宋体" w:cs="宋体"/>
          <w:sz w:val="24"/>
          <w:szCs w:val="24"/>
        </w:rPr>
        <w:t>（5）技术标准和要求（合同技术条款）；</w:t>
      </w:r>
    </w:p>
    <w:p w14:paraId="698DEE28">
      <w:pPr>
        <w:pStyle w:val="4"/>
        <w:rPr>
          <w:rFonts w:hint="eastAsia" w:ascii="宋体" w:hAnsi="宋体" w:eastAsia="宋体" w:cs="宋体"/>
          <w:sz w:val="24"/>
          <w:szCs w:val="24"/>
        </w:rPr>
      </w:pPr>
      <w:r>
        <w:rPr>
          <w:rFonts w:hint="eastAsia" w:ascii="宋体" w:hAnsi="宋体" w:eastAsia="宋体" w:cs="宋体"/>
          <w:sz w:val="24"/>
          <w:szCs w:val="24"/>
        </w:rPr>
        <w:t>（6）图纸；</w:t>
      </w:r>
    </w:p>
    <w:p w14:paraId="6E4AB42F">
      <w:pPr>
        <w:pStyle w:val="4"/>
        <w:rPr>
          <w:rFonts w:hint="eastAsia" w:ascii="宋体" w:hAnsi="宋体" w:eastAsia="宋体" w:cs="宋体"/>
          <w:sz w:val="24"/>
          <w:szCs w:val="24"/>
        </w:rPr>
      </w:pPr>
      <w:r>
        <w:rPr>
          <w:rFonts w:hint="eastAsia" w:ascii="宋体" w:hAnsi="宋体" w:eastAsia="宋体" w:cs="宋体"/>
          <w:sz w:val="24"/>
          <w:szCs w:val="24"/>
        </w:rPr>
        <w:t>（7）已标价的工程量清单；</w:t>
      </w:r>
    </w:p>
    <w:p w14:paraId="4FDF0680">
      <w:pPr>
        <w:pStyle w:val="4"/>
        <w:rPr>
          <w:rFonts w:hint="eastAsia" w:ascii="宋体" w:hAnsi="宋体" w:eastAsia="宋体" w:cs="宋体"/>
          <w:sz w:val="24"/>
          <w:szCs w:val="24"/>
        </w:rPr>
      </w:pPr>
      <w:bookmarkStart w:id="99" w:name="_Toc13454"/>
      <w:r>
        <w:rPr>
          <w:rFonts w:hint="eastAsia" w:ascii="宋体" w:hAnsi="宋体" w:eastAsia="宋体" w:cs="宋体"/>
          <w:sz w:val="24"/>
          <w:szCs w:val="24"/>
        </w:rPr>
        <w:t>（8）</w:t>
      </w:r>
      <w:bookmarkEnd w:id="99"/>
      <w:r>
        <w:rPr>
          <w:rFonts w:hint="eastAsia" w:ascii="宋体" w:hAnsi="宋体" w:eastAsia="宋体" w:cs="宋体"/>
          <w:sz w:val="24"/>
          <w:szCs w:val="24"/>
        </w:rPr>
        <w:t>安全生产合同；</w:t>
      </w:r>
    </w:p>
    <w:p w14:paraId="479F593E">
      <w:pPr>
        <w:pStyle w:val="4"/>
        <w:rPr>
          <w:rFonts w:hint="eastAsia" w:ascii="宋体" w:hAnsi="宋体" w:eastAsia="宋体" w:cs="宋体"/>
          <w:sz w:val="24"/>
          <w:szCs w:val="24"/>
        </w:rPr>
      </w:pPr>
      <w:bookmarkStart w:id="100" w:name="_Toc15254"/>
      <w:r>
        <w:rPr>
          <w:rFonts w:hint="eastAsia" w:ascii="宋体" w:hAnsi="宋体" w:eastAsia="宋体" w:cs="宋体"/>
          <w:sz w:val="24"/>
          <w:szCs w:val="24"/>
        </w:rPr>
        <w:t>（9）</w:t>
      </w:r>
      <w:bookmarkEnd w:id="100"/>
      <w:r>
        <w:rPr>
          <w:rFonts w:hint="eastAsia" w:ascii="宋体" w:hAnsi="宋体" w:eastAsia="宋体" w:cs="宋体"/>
          <w:sz w:val="24"/>
          <w:szCs w:val="24"/>
        </w:rPr>
        <w:t>廉政合同；</w:t>
      </w:r>
    </w:p>
    <w:p w14:paraId="7A6D4980">
      <w:pPr>
        <w:pStyle w:val="4"/>
        <w:rPr>
          <w:rFonts w:hint="eastAsia" w:ascii="宋体" w:hAnsi="宋体" w:eastAsia="宋体" w:cs="宋体"/>
          <w:sz w:val="24"/>
          <w:szCs w:val="24"/>
        </w:rPr>
      </w:pPr>
      <w:bookmarkStart w:id="101" w:name="_Toc32659"/>
      <w:r>
        <w:rPr>
          <w:rFonts w:hint="eastAsia" w:ascii="宋体" w:hAnsi="宋体" w:eastAsia="宋体" w:cs="宋体"/>
          <w:sz w:val="24"/>
          <w:szCs w:val="24"/>
        </w:rPr>
        <w:t>（10）</w:t>
      </w:r>
      <w:bookmarkEnd w:id="101"/>
      <w:bookmarkStart w:id="102" w:name="_Toc8217"/>
      <w:r>
        <w:rPr>
          <w:rFonts w:hint="eastAsia" w:ascii="宋体" w:hAnsi="宋体" w:eastAsia="宋体" w:cs="宋体"/>
          <w:sz w:val="24"/>
          <w:szCs w:val="24"/>
        </w:rPr>
        <w:t>工程质量保修书；</w:t>
      </w:r>
    </w:p>
    <w:p w14:paraId="6028054E">
      <w:pPr>
        <w:pStyle w:val="4"/>
        <w:rPr>
          <w:rFonts w:hint="eastAsia" w:ascii="宋体" w:hAnsi="宋体" w:eastAsia="宋体" w:cs="宋体"/>
          <w:sz w:val="24"/>
          <w:szCs w:val="24"/>
        </w:rPr>
      </w:pPr>
      <w:r>
        <w:rPr>
          <w:rFonts w:hint="eastAsia" w:ascii="宋体" w:hAnsi="宋体" w:eastAsia="宋体" w:cs="宋体"/>
          <w:sz w:val="24"/>
          <w:szCs w:val="24"/>
        </w:rPr>
        <w:t>（11）</w:t>
      </w:r>
      <w:bookmarkEnd w:id="102"/>
      <w:r>
        <w:rPr>
          <w:rFonts w:hint="eastAsia" w:ascii="宋体" w:hAnsi="宋体" w:eastAsia="宋体" w:cs="宋体"/>
          <w:sz w:val="24"/>
          <w:szCs w:val="24"/>
        </w:rPr>
        <w:t>其他合同文件。</w:t>
      </w:r>
    </w:p>
    <w:p w14:paraId="68AC1165">
      <w:pPr>
        <w:pStyle w:val="4"/>
        <w:rPr>
          <w:rFonts w:hint="eastAsia" w:ascii="宋体" w:hAnsi="宋体" w:eastAsia="宋体" w:cs="宋体"/>
          <w:sz w:val="24"/>
          <w:szCs w:val="24"/>
        </w:rPr>
      </w:pPr>
      <w:r>
        <w:rPr>
          <w:rFonts w:hint="eastAsia" w:ascii="宋体" w:hAnsi="宋体" w:eastAsia="宋体" w:cs="宋体"/>
          <w:sz w:val="24"/>
          <w:szCs w:val="24"/>
        </w:rPr>
        <w:t>2.上述文件互相补充和解释，如有不明确或不一致之处，以合同约定次序在先者为准。另外双方有关工程的洽商、变更等书面协议或文件视为本合同的组成部分，若有不明确或不一致处以时间顺序在后者为准。</w:t>
      </w:r>
    </w:p>
    <w:p w14:paraId="788DA3BE">
      <w:pPr>
        <w:pStyle w:val="4"/>
        <w:rPr>
          <w:rFonts w:hint="eastAsia" w:ascii="宋体" w:hAnsi="宋体" w:eastAsia="宋体" w:cs="宋体"/>
          <w:color w:val="000000"/>
          <w:sz w:val="24"/>
          <w:szCs w:val="24"/>
          <w:u w:val="single"/>
        </w:rPr>
      </w:pPr>
      <w:r>
        <w:rPr>
          <w:rFonts w:hint="eastAsia" w:ascii="宋体" w:hAnsi="宋体" w:eastAsia="宋体" w:cs="宋体"/>
          <w:color w:val="000000"/>
          <w:sz w:val="24"/>
          <w:szCs w:val="24"/>
        </w:rPr>
        <w:t>3. 工程名称：</w:t>
      </w:r>
      <w:r>
        <w:rPr>
          <w:rFonts w:hint="eastAsia" w:ascii="宋体" w:hAnsi="宋体" w:eastAsia="宋体" w:cs="宋体"/>
          <w:b/>
          <w:color w:val="5F497A"/>
          <w:sz w:val="24"/>
          <w:szCs w:val="24"/>
          <w:u w:val="single"/>
        </w:rPr>
        <w:t xml:space="preserve">                            </w:t>
      </w:r>
      <w:r>
        <w:rPr>
          <w:rFonts w:hint="eastAsia" w:ascii="宋体" w:hAnsi="宋体" w:eastAsia="宋体" w:cs="宋体"/>
          <w:color w:val="000000"/>
          <w:sz w:val="24"/>
          <w:szCs w:val="24"/>
          <w:u w:val="single"/>
        </w:rPr>
        <w:t xml:space="preserve"> </w:t>
      </w:r>
    </w:p>
    <w:p w14:paraId="6FF42271">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4. 工程地点：</w:t>
      </w:r>
      <w:r>
        <w:rPr>
          <w:rFonts w:hint="eastAsia" w:ascii="宋体" w:hAnsi="宋体" w:eastAsia="宋体" w:cs="宋体"/>
          <w:color w:val="000000"/>
          <w:sz w:val="24"/>
          <w:szCs w:val="24"/>
          <w:u w:val="single"/>
        </w:rPr>
        <w:t xml:space="preserve">                             </w:t>
      </w:r>
    </w:p>
    <w:p w14:paraId="01DBCAEC">
      <w:pPr>
        <w:spacing w:line="360" w:lineRule="auto"/>
        <w:ind w:firstLine="470" w:firstLineChars="196"/>
        <w:rPr>
          <w:rFonts w:hint="eastAsia" w:ascii="宋体" w:hAnsi="宋体" w:eastAsia="宋体" w:cs="宋体"/>
          <w:sz w:val="24"/>
          <w:szCs w:val="24"/>
          <w:u w:val="single"/>
        </w:rPr>
      </w:pPr>
      <w:r>
        <w:rPr>
          <w:rFonts w:hint="eastAsia" w:ascii="宋体" w:hAnsi="宋体" w:eastAsia="宋体" w:cs="宋体"/>
          <w:color w:val="000000"/>
          <w:kern w:val="0"/>
          <w:sz w:val="24"/>
          <w:szCs w:val="24"/>
        </w:rPr>
        <w:t xml:space="preserve">5. </w:t>
      </w:r>
      <w:r>
        <w:rPr>
          <w:rFonts w:hint="eastAsia" w:ascii="宋体" w:hAnsi="宋体" w:eastAsia="宋体" w:cs="宋体"/>
          <w:bCs/>
          <w:sz w:val="24"/>
          <w:szCs w:val="24"/>
        </w:rPr>
        <w:t>工程立项批准文号：</w:t>
      </w:r>
      <w:r>
        <w:rPr>
          <w:rFonts w:hint="eastAsia" w:ascii="宋体" w:hAnsi="宋体" w:eastAsia="宋体" w:cs="宋体"/>
          <w:sz w:val="24"/>
          <w:szCs w:val="24"/>
          <w:u w:val="single"/>
        </w:rPr>
        <w:t xml:space="preserve">                             。</w:t>
      </w:r>
    </w:p>
    <w:p w14:paraId="30A7B23B">
      <w:pPr>
        <w:pStyle w:val="4"/>
        <w:rPr>
          <w:rFonts w:hint="eastAsia" w:ascii="宋体" w:hAnsi="宋体" w:eastAsia="宋体" w:cs="宋体"/>
          <w:sz w:val="24"/>
          <w:szCs w:val="24"/>
        </w:rPr>
      </w:pPr>
      <w:r>
        <w:rPr>
          <w:rFonts w:hint="eastAsia" w:ascii="宋体" w:hAnsi="宋体" w:eastAsia="宋体" w:cs="宋体"/>
          <w:sz w:val="24"/>
          <w:szCs w:val="24"/>
        </w:rPr>
        <w:t>6. 资金来源：</w:t>
      </w:r>
      <w:r>
        <w:rPr>
          <w:rFonts w:hint="eastAsia" w:ascii="宋体" w:hAnsi="宋体" w:eastAsia="宋体" w:cs="宋体"/>
          <w:sz w:val="24"/>
          <w:szCs w:val="24"/>
          <w:u w:val="single"/>
        </w:rPr>
        <w:t xml:space="preserve">    上级资金                 。</w:t>
      </w:r>
    </w:p>
    <w:p w14:paraId="79678175">
      <w:pPr>
        <w:spacing w:line="400" w:lineRule="exact"/>
        <w:ind w:firstLine="480" w:firstLineChars="200"/>
        <w:rPr>
          <w:rFonts w:hint="eastAsia" w:ascii="宋体" w:hAnsi="宋体" w:eastAsia="宋体" w:cs="宋体"/>
          <w:sz w:val="24"/>
          <w:szCs w:val="24"/>
        </w:rPr>
      </w:pPr>
      <w:r>
        <w:rPr>
          <w:rFonts w:hint="eastAsia" w:ascii="宋体" w:hAnsi="宋体" w:eastAsia="宋体" w:cs="宋体"/>
          <w:color w:val="000000"/>
          <w:kern w:val="0"/>
          <w:sz w:val="24"/>
          <w:szCs w:val="24"/>
        </w:rPr>
        <w:t>7.</w:t>
      </w:r>
      <w:r>
        <w:rPr>
          <w:rFonts w:hint="eastAsia" w:ascii="宋体" w:hAnsi="宋体" w:eastAsia="宋体" w:cs="宋体"/>
          <w:sz w:val="24"/>
          <w:szCs w:val="24"/>
        </w:rPr>
        <w:t xml:space="preserve"> 签约合同价：人民币（大写）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4C13D05F">
      <w:pPr>
        <w:pStyle w:val="4"/>
        <w:rPr>
          <w:rFonts w:hint="eastAsia" w:ascii="宋体" w:hAnsi="宋体" w:eastAsia="宋体" w:cs="宋体"/>
          <w:sz w:val="24"/>
          <w:szCs w:val="24"/>
        </w:rPr>
      </w:pPr>
      <w:r>
        <w:rPr>
          <w:rFonts w:hint="eastAsia" w:ascii="宋体" w:hAnsi="宋体" w:eastAsia="宋体" w:cs="宋体"/>
          <w:sz w:val="24"/>
          <w:szCs w:val="24"/>
        </w:rPr>
        <w:t>8.本工程的农民工工资保证金按合同总价的2％计算，即为人民币大写：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元），承包人需在开工前向发包人提供农民工工资缴纳凭证。。</w:t>
      </w:r>
    </w:p>
    <w:p w14:paraId="7328D723">
      <w:pPr>
        <w:pStyle w:val="4"/>
        <w:rPr>
          <w:rFonts w:hint="eastAsia" w:ascii="宋体" w:hAnsi="宋体" w:eastAsia="宋体" w:cs="宋体"/>
          <w:sz w:val="24"/>
          <w:szCs w:val="24"/>
        </w:rPr>
      </w:pPr>
      <w:r>
        <w:rPr>
          <w:rFonts w:hint="eastAsia" w:ascii="宋体" w:hAnsi="宋体" w:eastAsia="宋体" w:cs="宋体"/>
          <w:sz w:val="24"/>
          <w:szCs w:val="24"/>
        </w:rPr>
        <w:t>9. 承包方式：</w:t>
      </w:r>
      <w:r>
        <w:rPr>
          <w:rFonts w:hint="eastAsia" w:ascii="宋体" w:hAnsi="宋体" w:eastAsia="宋体" w:cs="宋体"/>
          <w:sz w:val="24"/>
          <w:szCs w:val="24"/>
          <w:highlight w:val="none"/>
          <w:u w:val="single"/>
        </w:rPr>
        <w:t xml:space="preserve"> 固定单价承包 </w:t>
      </w:r>
      <w:r>
        <w:rPr>
          <w:rFonts w:hint="eastAsia" w:ascii="宋体" w:hAnsi="宋体" w:eastAsia="宋体" w:cs="宋体"/>
          <w:sz w:val="24"/>
          <w:szCs w:val="24"/>
          <w:u w:val="single"/>
        </w:rPr>
        <w:t xml:space="preserve"> </w:t>
      </w:r>
      <w:r>
        <w:rPr>
          <w:rFonts w:hint="eastAsia" w:ascii="宋体" w:hAnsi="宋体" w:eastAsia="宋体" w:cs="宋体"/>
          <w:sz w:val="24"/>
          <w:szCs w:val="24"/>
        </w:rPr>
        <w:t>。甲方负责施工期间的水、电。</w:t>
      </w:r>
    </w:p>
    <w:p w14:paraId="2CE861D5">
      <w:pPr>
        <w:pStyle w:val="4"/>
        <w:rPr>
          <w:rFonts w:hint="eastAsia" w:ascii="宋体" w:hAnsi="宋体" w:eastAsia="宋体" w:cs="宋体"/>
          <w:sz w:val="24"/>
          <w:szCs w:val="24"/>
          <w:u w:val="single"/>
        </w:rPr>
      </w:pPr>
      <w:r>
        <w:rPr>
          <w:rFonts w:hint="eastAsia" w:ascii="宋体" w:hAnsi="宋体" w:eastAsia="宋体" w:cs="宋体"/>
          <w:sz w:val="24"/>
          <w:szCs w:val="24"/>
        </w:rPr>
        <w:t>10.承包人项目经理姓名：</w:t>
      </w:r>
      <w:r>
        <w:rPr>
          <w:rFonts w:hint="eastAsia" w:ascii="宋体" w:hAnsi="宋体" w:eastAsia="宋体" w:cs="宋体"/>
          <w:sz w:val="24"/>
          <w:szCs w:val="24"/>
          <w:u w:val="single"/>
        </w:rPr>
        <w:t xml:space="preserve">      </w:t>
      </w:r>
      <w:r>
        <w:rPr>
          <w:rFonts w:hint="eastAsia" w:ascii="宋体" w:hAnsi="宋体" w:eastAsia="宋体" w:cs="宋体"/>
          <w:sz w:val="24"/>
          <w:szCs w:val="24"/>
        </w:rPr>
        <w:t>，证书号：</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DE65B20">
      <w:pPr>
        <w:pStyle w:val="4"/>
        <w:rPr>
          <w:rFonts w:hint="eastAsia" w:ascii="宋体" w:hAnsi="宋体" w:eastAsia="宋体" w:cs="宋体"/>
          <w:sz w:val="24"/>
          <w:szCs w:val="24"/>
        </w:rPr>
      </w:pPr>
      <w:r>
        <w:rPr>
          <w:rFonts w:hint="eastAsia" w:ascii="宋体" w:hAnsi="宋体" w:eastAsia="宋体" w:cs="宋体"/>
          <w:sz w:val="24"/>
          <w:szCs w:val="24"/>
        </w:rPr>
        <w:t>11.工程建设内容及规模：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等，具体内容详见图纸及工程量清单。  </w:t>
      </w:r>
    </w:p>
    <w:p w14:paraId="51C76241">
      <w:pPr>
        <w:pStyle w:val="4"/>
        <w:rPr>
          <w:rFonts w:hint="eastAsia" w:ascii="宋体" w:hAnsi="宋体" w:eastAsia="宋体" w:cs="宋体"/>
          <w:sz w:val="24"/>
          <w:szCs w:val="24"/>
        </w:rPr>
      </w:pPr>
      <w:r>
        <w:rPr>
          <w:rFonts w:hint="eastAsia" w:ascii="宋体" w:hAnsi="宋体" w:eastAsia="宋体" w:cs="宋体"/>
          <w:sz w:val="24"/>
          <w:szCs w:val="24"/>
        </w:rPr>
        <w:t>12. 工程质量达到设计要求和符合</w:t>
      </w:r>
      <w:r>
        <w:rPr>
          <w:rFonts w:hint="eastAsia" w:ascii="宋体" w:hAnsi="宋体" w:eastAsia="宋体" w:cs="宋体"/>
          <w:color w:val="000000"/>
          <w:sz w:val="24"/>
          <w:szCs w:val="24"/>
        </w:rPr>
        <w:t>工程质量</w:t>
      </w:r>
      <w:r>
        <w:rPr>
          <w:rFonts w:hint="eastAsia" w:ascii="宋体" w:hAnsi="宋体" w:eastAsia="宋体" w:cs="宋体"/>
          <w:color w:val="000000"/>
          <w:sz w:val="24"/>
          <w:szCs w:val="24"/>
          <w:u w:val="single"/>
        </w:rPr>
        <w:t xml:space="preserve"> 合格  </w:t>
      </w:r>
      <w:r>
        <w:rPr>
          <w:rFonts w:hint="eastAsia" w:ascii="宋体" w:hAnsi="宋体" w:eastAsia="宋体" w:cs="宋体"/>
          <w:color w:val="000000"/>
          <w:sz w:val="24"/>
          <w:szCs w:val="24"/>
        </w:rPr>
        <w:t>标准</w:t>
      </w:r>
      <w:r>
        <w:rPr>
          <w:rFonts w:hint="eastAsia" w:ascii="宋体" w:hAnsi="宋体" w:eastAsia="宋体" w:cs="宋体"/>
          <w:sz w:val="24"/>
          <w:szCs w:val="24"/>
        </w:rPr>
        <w:t>。</w:t>
      </w:r>
    </w:p>
    <w:p w14:paraId="1ABBC9BB">
      <w:pPr>
        <w:pStyle w:val="4"/>
        <w:rPr>
          <w:rFonts w:hint="eastAsia" w:ascii="宋体" w:hAnsi="宋体" w:eastAsia="宋体" w:cs="宋体"/>
          <w:sz w:val="24"/>
          <w:szCs w:val="24"/>
        </w:rPr>
      </w:pPr>
      <w:r>
        <w:rPr>
          <w:rFonts w:hint="eastAsia" w:ascii="宋体" w:hAnsi="宋体" w:eastAsia="宋体" w:cs="宋体"/>
          <w:sz w:val="24"/>
          <w:szCs w:val="24"/>
        </w:rPr>
        <w:t>13. 承包人承诺执行监理人开工通知，计划开工日期：</w:t>
      </w:r>
      <w:r>
        <w:rPr>
          <w:rFonts w:hint="eastAsia" w:ascii="宋体" w:hAnsi="宋体" w:eastAsia="宋体" w:cs="宋体"/>
          <w:sz w:val="24"/>
          <w:szCs w:val="24"/>
          <w:u w:val="single"/>
        </w:rPr>
        <w:t>2025</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日，计划完工日期：</w:t>
      </w:r>
      <w:r>
        <w:rPr>
          <w:rFonts w:hint="eastAsia" w:ascii="宋体" w:hAnsi="宋体" w:eastAsia="宋体" w:cs="宋体"/>
          <w:sz w:val="24"/>
          <w:szCs w:val="24"/>
          <w:u w:val="single"/>
        </w:rPr>
        <w:t xml:space="preserve"> 2025</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日，计划工期为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150</w:t>
      </w:r>
      <w:r>
        <w:rPr>
          <w:rFonts w:hint="eastAsia" w:ascii="宋体" w:hAnsi="宋体" w:eastAsia="宋体" w:cs="宋体"/>
          <w:sz w:val="24"/>
          <w:szCs w:val="24"/>
        </w:rPr>
        <w:t xml:space="preserve">日历天, 具体开工日期以开工通知为准。 </w:t>
      </w:r>
    </w:p>
    <w:p w14:paraId="3AD8A1B0">
      <w:pPr>
        <w:pStyle w:val="4"/>
        <w:rPr>
          <w:rFonts w:hint="eastAsia" w:ascii="宋体" w:hAnsi="宋体" w:eastAsia="宋体" w:cs="宋体"/>
          <w:sz w:val="24"/>
          <w:szCs w:val="24"/>
        </w:rPr>
      </w:pPr>
      <w:r>
        <w:rPr>
          <w:rFonts w:hint="eastAsia" w:ascii="宋体" w:hAnsi="宋体" w:eastAsia="宋体" w:cs="宋体"/>
          <w:sz w:val="24"/>
          <w:szCs w:val="24"/>
        </w:rPr>
        <w:t>14.承包人承诺按合同约定承担工程的实施、完成及缺陷修复。</w:t>
      </w:r>
    </w:p>
    <w:p w14:paraId="1D32F47C">
      <w:pPr>
        <w:pStyle w:val="4"/>
        <w:rPr>
          <w:rFonts w:hint="eastAsia" w:ascii="宋体" w:hAnsi="宋体" w:eastAsia="宋体" w:cs="宋体"/>
          <w:sz w:val="24"/>
          <w:szCs w:val="24"/>
        </w:rPr>
      </w:pPr>
      <w:r>
        <w:rPr>
          <w:rFonts w:hint="eastAsia" w:ascii="宋体" w:hAnsi="宋体" w:eastAsia="宋体" w:cs="宋体"/>
          <w:sz w:val="24"/>
          <w:szCs w:val="24"/>
        </w:rPr>
        <w:t>15.发包人承诺按合同约定的条件、时间和方式向承包人支付合同价款。</w:t>
      </w:r>
    </w:p>
    <w:p w14:paraId="053824B9">
      <w:pPr>
        <w:pStyle w:val="4"/>
        <w:rPr>
          <w:rFonts w:hint="eastAsia" w:ascii="宋体" w:hAnsi="宋体" w:eastAsia="宋体" w:cs="宋体"/>
          <w:sz w:val="24"/>
          <w:szCs w:val="24"/>
        </w:rPr>
      </w:pPr>
      <w:r>
        <w:rPr>
          <w:rFonts w:hint="eastAsia" w:ascii="宋体" w:hAnsi="宋体" w:eastAsia="宋体" w:cs="宋体"/>
          <w:sz w:val="24"/>
          <w:szCs w:val="24"/>
        </w:rPr>
        <w:t>16.合同未尽事宜，双方另行签订补充协议。补充协议是合同的组成部分。</w:t>
      </w:r>
    </w:p>
    <w:p w14:paraId="692F002B">
      <w:pPr>
        <w:pStyle w:val="4"/>
        <w:rPr>
          <w:rFonts w:hint="eastAsia" w:ascii="宋体" w:hAnsi="宋体" w:eastAsia="宋体" w:cs="宋体"/>
          <w:sz w:val="24"/>
          <w:szCs w:val="24"/>
        </w:rPr>
      </w:pPr>
      <w:bookmarkStart w:id="103" w:name="_Toc168475887"/>
      <w:bookmarkStart w:id="104" w:name="_Toc168476290"/>
      <w:bookmarkStart w:id="105" w:name="_Toc144974830"/>
      <w:r>
        <w:rPr>
          <w:rFonts w:hint="eastAsia" w:ascii="宋体" w:hAnsi="宋体" w:eastAsia="宋体" w:cs="宋体"/>
          <w:sz w:val="24"/>
          <w:szCs w:val="24"/>
        </w:rPr>
        <w:t>17.</w:t>
      </w:r>
      <w:bookmarkEnd w:id="103"/>
      <w:bookmarkEnd w:id="104"/>
      <w:bookmarkEnd w:id="105"/>
      <w:r>
        <w:rPr>
          <w:rFonts w:hint="eastAsia" w:ascii="宋体" w:hAnsi="宋体" w:eastAsia="宋体" w:cs="宋体"/>
          <w:sz w:val="24"/>
          <w:szCs w:val="24"/>
        </w:rPr>
        <w:t>本协议书一式</w:t>
      </w:r>
      <w:r>
        <w:rPr>
          <w:rFonts w:hint="eastAsia" w:ascii="宋体" w:hAnsi="宋体" w:eastAsia="宋体" w:cs="宋体"/>
          <w:sz w:val="24"/>
          <w:szCs w:val="24"/>
          <w:u w:val="single"/>
        </w:rPr>
        <w:t xml:space="preserve"> 陆</w:t>
      </w:r>
      <w:r>
        <w:rPr>
          <w:rFonts w:hint="eastAsia" w:ascii="宋体" w:hAnsi="宋体" w:eastAsia="宋体" w:cs="宋体"/>
          <w:sz w:val="24"/>
          <w:szCs w:val="24"/>
        </w:rPr>
        <w:t>份，甲乙双方各执</w:t>
      </w:r>
      <w:r>
        <w:rPr>
          <w:rFonts w:hint="eastAsia" w:ascii="宋体" w:hAnsi="宋体" w:eastAsia="宋体" w:cs="宋体"/>
          <w:sz w:val="24"/>
          <w:szCs w:val="24"/>
          <w:u w:val="single"/>
        </w:rPr>
        <w:t xml:space="preserve"> 叁</w:t>
      </w:r>
      <w:r>
        <w:rPr>
          <w:rFonts w:hint="eastAsia" w:ascii="宋体" w:hAnsi="宋体" w:eastAsia="宋体" w:cs="宋体"/>
          <w:sz w:val="24"/>
          <w:szCs w:val="24"/>
        </w:rPr>
        <w:t>份。</w:t>
      </w:r>
    </w:p>
    <w:p w14:paraId="005E92D8">
      <w:pPr>
        <w:spacing w:line="400" w:lineRule="exact"/>
        <w:ind w:firstLine="410" w:firstLineChars="171"/>
        <w:rPr>
          <w:rFonts w:hint="eastAsia" w:ascii="宋体" w:hAnsi="宋体" w:eastAsia="宋体" w:cs="宋体"/>
          <w:sz w:val="24"/>
          <w:szCs w:val="24"/>
        </w:rPr>
      </w:pPr>
    </w:p>
    <w:p w14:paraId="1EF70F6D">
      <w:pPr>
        <w:spacing w:line="380" w:lineRule="exact"/>
        <w:rPr>
          <w:rFonts w:hint="eastAsia" w:ascii="宋体" w:hAnsi="宋体" w:eastAsia="宋体" w:cs="宋体"/>
          <w:sz w:val="24"/>
          <w:szCs w:val="24"/>
        </w:rPr>
      </w:pPr>
      <w:bookmarkStart w:id="106" w:name="_Toc16822"/>
      <w:bookmarkStart w:id="107" w:name="_Toc14578"/>
      <w:r>
        <w:rPr>
          <w:rFonts w:hint="eastAsia" w:ascii="宋体" w:hAnsi="宋体" w:eastAsia="宋体" w:cs="宋体"/>
          <w:sz w:val="24"/>
          <w:szCs w:val="24"/>
        </w:rPr>
        <w:t>发包人：</w:t>
      </w:r>
      <w:r>
        <w:rPr>
          <w:rFonts w:hint="eastAsia" w:ascii="宋体" w:hAnsi="宋体" w:eastAsia="宋体" w:cs="宋体"/>
          <w:snapToGrid w:val="0"/>
          <w:kern w:val="0"/>
          <w:sz w:val="24"/>
          <w:szCs w:val="24"/>
          <w:u w:val="single"/>
        </w:rPr>
        <w:t xml:space="preserve">                                </w:t>
      </w:r>
      <w:r>
        <w:rPr>
          <w:rFonts w:hint="eastAsia" w:ascii="宋体" w:hAnsi="宋体" w:eastAsia="宋体" w:cs="宋体"/>
          <w:sz w:val="24"/>
          <w:szCs w:val="24"/>
        </w:rPr>
        <w:t xml:space="preserve">          承包人：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B58A5E2">
      <w:pPr>
        <w:spacing w:line="380" w:lineRule="exact"/>
        <w:ind w:firstLine="1320" w:firstLineChars="550"/>
        <w:rPr>
          <w:rFonts w:hint="eastAsia" w:ascii="宋体" w:hAnsi="宋体" w:eastAsia="宋体" w:cs="宋体"/>
          <w:sz w:val="24"/>
          <w:szCs w:val="24"/>
        </w:rPr>
      </w:pPr>
      <w:r>
        <w:rPr>
          <w:rFonts w:hint="eastAsia" w:ascii="宋体" w:hAnsi="宋体" w:eastAsia="宋体" w:cs="宋体"/>
          <w:sz w:val="24"/>
          <w:szCs w:val="24"/>
        </w:rPr>
        <w:t>（盖单位公章）                              （盖单位公章）</w:t>
      </w:r>
    </w:p>
    <w:p w14:paraId="07FE8353">
      <w:pPr>
        <w:pStyle w:val="4"/>
        <w:rPr>
          <w:rFonts w:hint="eastAsia" w:ascii="宋体" w:hAnsi="宋体" w:eastAsia="宋体" w:cs="宋体"/>
          <w:sz w:val="24"/>
          <w:szCs w:val="24"/>
        </w:rPr>
      </w:pPr>
    </w:p>
    <w:p w14:paraId="49F90F04">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法定代表人:                                    法定代表人:            </w:t>
      </w:r>
    </w:p>
    <w:p w14:paraId="1189470E">
      <w:pPr>
        <w:spacing w:line="500" w:lineRule="exact"/>
        <w:ind w:left="4110" w:leftChars="300" w:hanging="3480" w:hangingChars="1450"/>
        <w:rPr>
          <w:rFonts w:hint="eastAsia" w:ascii="宋体" w:hAnsi="宋体" w:eastAsia="宋体" w:cs="宋体"/>
          <w:sz w:val="24"/>
          <w:szCs w:val="24"/>
        </w:rPr>
      </w:pPr>
      <w:r>
        <w:rPr>
          <w:rFonts w:hint="eastAsia" w:ascii="宋体" w:hAnsi="宋体" w:eastAsia="宋体" w:cs="宋体"/>
          <w:sz w:val="24"/>
          <w:szCs w:val="24"/>
        </w:rPr>
        <w:t>(签字或盖章)                               (签字或盖章)</w:t>
      </w:r>
    </w:p>
    <w:bookmarkEnd w:id="106"/>
    <w:bookmarkEnd w:id="107"/>
    <w:p w14:paraId="7F8DA8AB">
      <w:pPr>
        <w:tabs>
          <w:tab w:val="left" w:pos="4410"/>
        </w:tabs>
        <w:spacing w:line="400" w:lineRule="exact"/>
        <w:ind w:firstLine="480" w:firstLineChars="200"/>
        <w:jc w:val="left"/>
        <w:rPr>
          <w:rFonts w:hint="eastAsia" w:ascii="宋体" w:hAnsi="宋体" w:eastAsia="宋体" w:cs="宋体"/>
          <w:color w:val="000000"/>
          <w:sz w:val="24"/>
          <w:szCs w:val="24"/>
        </w:rPr>
      </w:pPr>
      <w:bookmarkStart w:id="108" w:name="_Toc18473"/>
    </w:p>
    <w:p w14:paraId="28172C7C">
      <w:pPr>
        <w:tabs>
          <w:tab w:val="left" w:pos="4410"/>
        </w:tabs>
        <w:spacing w:line="40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统一社会信用代码：</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统一社会信用代码：</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7761CB2D">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地  址：</w:t>
      </w:r>
      <w:r>
        <w:rPr>
          <w:rFonts w:hint="eastAsia" w:ascii="宋体" w:hAnsi="宋体" w:eastAsia="宋体" w:cs="宋体"/>
          <w:color w:val="000000"/>
          <w:sz w:val="24"/>
          <w:szCs w:val="24"/>
          <w:u w:val="single"/>
        </w:rPr>
        <w:t xml:space="preserve">                            </w:t>
      </w:r>
    </w:p>
    <w:p w14:paraId="1535608D">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邮政编码：</w:t>
      </w:r>
      <w:r>
        <w:rPr>
          <w:rFonts w:hint="eastAsia" w:ascii="宋体" w:hAnsi="宋体" w:eastAsia="宋体" w:cs="宋体"/>
          <w:color w:val="000000"/>
          <w:sz w:val="24"/>
          <w:szCs w:val="24"/>
          <w:u w:val="single"/>
        </w:rPr>
        <w:t xml:space="preserve">                          </w:t>
      </w:r>
    </w:p>
    <w:p w14:paraId="6D25A6AF">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法定代表人：</w:t>
      </w:r>
      <w:r>
        <w:rPr>
          <w:rFonts w:hint="eastAsia" w:ascii="宋体" w:hAnsi="宋体" w:eastAsia="宋体" w:cs="宋体"/>
          <w:color w:val="000000"/>
          <w:sz w:val="24"/>
          <w:szCs w:val="24"/>
          <w:u w:val="single"/>
        </w:rPr>
        <w:t xml:space="preserve">                        </w:t>
      </w:r>
    </w:p>
    <w:p w14:paraId="063ACC91">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委托代理人：</w:t>
      </w:r>
      <w:r>
        <w:rPr>
          <w:rFonts w:hint="eastAsia" w:ascii="宋体" w:hAnsi="宋体" w:eastAsia="宋体" w:cs="宋体"/>
          <w:color w:val="000000"/>
          <w:sz w:val="24"/>
          <w:szCs w:val="24"/>
          <w:u w:val="single"/>
        </w:rPr>
        <w:t xml:space="preserve">                         </w:t>
      </w:r>
    </w:p>
    <w:p w14:paraId="065DC572">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电  话：</w:t>
      </w:r>
      <w:r>
        <w:rPr>
          <w:rFonts w:hint="eastAsia" w:ascii="宋体" w:hAnsi="宋体" w:eastAsia="宋体" w:cs="宋体"/>
          <w:color w:val="000000"/>
          <w:sz w:val="24"/>
          <w:szCs w:val="24"/>
          <w:u w:val="single"/>
        </w:rPr>
        <w:t xml:space="preserve">                            </w:t>
      </w:r>
    </w:p>
    <w:p w14:paraId="549B9807">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传  真：</w:t>
      </w:r>
      <w:r>
        <w:rPr>
          <w:rFonts w:hint="eastAsia" w:ascii="宋体" w:hAnsi="宋体" w:eastAsia="宋体" w:cs="宋体"/>
          <w:color w:val="000000"/>
          <w:sz w:val="24"/>
          <w:szCs w:val="24"/>
          <w:u w:val="single"/>
        </w:rPr>
        <w:t xml:space="preserve">                             </w:t>
      </w:r>
    </w:p>
    <w:p w14:paraId="754021CA">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电子信箱：</w:t>
      </w:r>
      <w:r>
        <w:rPr>
          <w:rFonts w:hint="eastAsia" w:ascii="宋体" w:hAnsi="宋体" w:eastAsia="宋体" w:cs="宋体"/>
          <w:color w:val="000000"/>
          <w:sz w:val="24"/>
          <w:szCs w:val="24"/>
          <w:u w:val="single"/>
        </w:rPr>
        <w:t xml:space="preserve">                         </w:t>
      </w:r>
    </w:p>
    <w:p w14:paraId="4AF21976">
      <w:pPr>
        <w:pStyle w:val="4"/>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开户银行：</w:t>
      </w:r>
      <w:r>
        <w:rPr>
          <w:rFonts w:hint="eastAsia" w:ascii="宋体" w:hAnsi="宋体" w:eastAsia="宋体" w:cs="宋体"/>
          <w:color w:val="000000"/>
          <w:sz w:val="24"/>
          <w:szCs w:val="24"/>
          <w:u w:val="single"/>
        </w:rPr>
        <w:t xml:space="preserve">                         </w:t>
      </w:r>
    </w:p>
    <w:p w14:paraId="2618F8B6">
      <w:pPr>
        <w:pStyle w:val="4"/>
        <w:rPr>
          <w:rFonts w:hint="eastAsia" w:ascii="宋体" w:hAnsi="宋体" w:eastAsia="宋体" w:cs="宋体"/>
          <w:color w:val="000000"/>
          <w:sz w:val="24"/>
          <w:szCs w:val="24"/>
          <w:u w:val="single"/>
        </w:rPr>
      </w:pPr>
      <w:r>
        <w:rPr>
          <w:rFonts w:hint="eastAsia" w:ascii="宋体" w:hAnsi="宋体" w:eastAsia="宋体" w:cs="宋体"/>
          <w:color w:val="000000"/>
          <w:sz w:val="24"/>
          <w:szCs w:val="24"/>
        </w:rPr>
        <w:t>账  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账  号：</w:t>
      </w:r>
      <w:r>
        <w:rPr>
          <w:rFonts w:hint="eastAsia" w:ascii="宋体" w:hAnsi="宋体" w:eastAsia="宋体" w:cs="宋体"/>
          <w:color w:val="000000"/>
          <w:sz w:val="24"/>
          <w:szCs w:val="24"/>
          <w:u w:val="single"/>
        </w:rPr>
        <w:t xml:space="preserve">                           </w:t>
      </w:r>
    </w:p>
    <w:p w14:paraId="162AF676">
      <w:pPr>
        <w:pStyle w:val="4"/>
        <w:rPr>
          <w:rFonts w:hint="eastAsia" w:ascii="宋体" w:hAnsi="宋体" w:eastAsia="宋体" w:cs="宋体"/>
          <w:b/>
          <w:sz w:val="24"/>
          <w:szCs w:val="24"/>
        </w:rPr>
      </w:pPr>
      <w:r>
        <w:rPr>
          <w:rFonts w:hint="eastAsia" w:ascii="宋体" w:hAnsi="宋体" w:eastAsia="宋体" w:cs="宋体"/>
          <w:b/>
          <w:sz w:val="24"/>
          <w:szCs w:val="24"/>
        </w:rPr>
        <w:t xml:space="preserve">附上                     </w:t>
      </w:r>
    </w:p>
    <w:p w14:paraId="25BAAD22">
      <w:pPr>
        <w:pStyle w:val="44"/>
        <w:numPr>
          <w:ilvl w:val="0"/>
          <w:numId w:val="70"/>
        </w:numPr>
        <w:ind w:left="0" w:leftChars="0" w:firstLine="480" w:firstLineChars="0"/>
        <w:outlineLvl w:val="0"/>
        <w:rPr>
          <w:rFonts w:hint="eastAsia" w:ascii="宋体" w:hAnsi="宋体" w:eastAsia="宋体" w:cs="宋体"/>
          <w:b/>
          <w:sz w:val="24"/>
          <w:szCs w:val="24"/>
        </w:rPr>
      </w:pPr>
      <w:r>
        <w:rPr>
          <w:rFonts w:hint="eastAsia" w:ascii="宋体" w:hAnsi="宋体" w:eastAsia="宋体" w:cs="宋体"/>
          <w:b/>
          <w:sz w:val="24"/>
          <w:szCs w:val="24"/>
        </w:rPr>
        <w:t>成交通知书</w:t>
      </w:r>
      <w:bookmarkEnd w:id="108"/>
    </w:p>
    <w:p w14:paraId="20A27497">
      <w:pPr>
        <w:pStyle w:val="19"/>
        <w:rPr>
          <w:rFonts w:hint="eastAsia" w:ascii="宋体" w:hAnsi="宋体" w:eastAsia="宋体" w:cs="宋体"/>
          <w:sz w:val="24"/>
          <w:szCs w:val="24"/>
        </w:rPr>
      </w:pPr>
    </w:p>
    <w:p w14:paraId="14063729">
      <w:pPr>
        <w:rPr>
          <w:rFonts w:hint="eastAsia" w:ascii="宋体" w:hAnsi="宋体" w:eastAsia="宋体" w:cs="宋体"/>
          <w:sz w:val="24"/>
          <w:szCs w:val="24"/>
        </w:rPr>
      </w:pPr>
    </w:p>
    <w:p w14:paraId="7E689B6F">
      <w:pPr>
        <w:pStyle w:val="19"/>
        <w:rPr>
          <w:rFonts w:hint="eastAsia" w:ascii="宋体" w:hAnsi="宋体" w:eastAsia="宋体" w:cs="宋体"/>
          <w:sz w:val="24"/>
          <w:szCs w:val="24"/>
        </w:rPr>
      </w:pPr>
    </w:p>
    <w:p w14:paraId="65C6F084">
      <w:pPr>
        <w:rPr>
          <w:rFonts w:hint="eastAsia" w:ascii="宋体" w:hAnsi="宋体" w:eastAsia="宋体" w:cs="宋体"/>
          <w:sz w:val="24"/>
          <w:szCs w:val="24"/>
        </w:rPr>
      </w:pPr>
    </w:p>
    <w:p w14:paraId="2A262C09">
      <w:pPr>
        <w:rPr>
          <w:rFonts w:hint="eastAsia" w:ascii="宋体" w:hAnsi="宋体" w:eastAsia="宋体" w:cs="宋体"/>
          <w:sz w:val="24"/>
          <w:szCs w:val="24"/>
        </w:rPr>
      </w:pPr>
      <w:bookmarkStart w:id="109" w:name="_Toc3268"/>
      <w:r>
        <w:rPr>
          <w:rFonts w:hint="eastAsia" w:ascii="宋体" w:hAnsi="宋体" w:eastAsia="宋体" w:cs="宋体"/>
          <w:sz w:val="24"/>
          <w:szCs w:val="24"/>
        </w:rPr>
        <w:br w:type="page"/>
      </w:r>
    </w:p>
    <w:p w14:paraId="5B8A7042">
      <w:pPr>
        <w:pStyle w:val="44"/>
        <w:numPr>
          <w:ilvl w:val="0"/>
          <w:numId w:val="70"/>
        </w:numPr>
        <w:ind w:left="0" w:leftChars="0" w:firstLine="480" w:firstLineChars="0"/>
        <w:outlineLvl w:val="0"/>
        <w:rPr>
          <w:rFonts w:hint="eastAsia" w:ascii="宋体" w:hAnsi="宋体" w:eastAsia="宋体" w:cs="宋体"/>
          <w:sz w:val="32"/>
          <w:szCs w:val="32"/>
        </w:rPr>
      </w:pPr>
      <w:r>
        <w:rPr>
          <w:rFonts w:hint="eastAsia" w:ascii="宋体" w:hAnsi="宋体" w:eastAsia="宋体" w:cs="宋体"/>
          <w:sz w:val="32"/>
          <w:szCs w:val="32"/>
        </w:rPr>
        <w:t>专用合同条款</w:t>
      </w:r>
      <w:bookmarkEnd w:id="109"/>
    </w:p>
    <w:p w14:paraId="4A8DB0FB">
      <w:pPr>
        <w:pStyle w:val="6"/>
        <w:bidi w:val="0"/>
        <w:ind w:left="0" w:leftChars="0" w:firstLine="482" w:firstLineChars="0"/>
        <w:rPr>
          <w:rFonts w:hint="eastAsia" w:ascii="宋体" w:hAnsi="宋体" w:eastAsia="宋体" w:cs="宋体"/>
          <w:sz w:val="24"/>
          <w:szCs w:val="24"/>
        </w:rPr>
      </w:pPr>
      <w:r>
        <w:rPr>
          <w:rFonts w:hint="eastAsia" w:ascii="宋体" w:hAnsi="宋体" w:eastAsia="宋体" w:cs="宋体"/>
          <w:sz w:val="24"/>
          <w:szCs w:val="24"/>
        </w:rPr>
        <w:t>一般约定</w:t>
      </w:r>
    </w:p>
    <w:p w14:paraId="27AC22FD">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1.1 词语定义</w:t>
      </w:r>
    </w:p>
    <w:p w14:paraId="269B097F">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1.1.2  合同当事人和人员</w:t>
      </w:r>
    </w:p>
    <w:p w14:paraId="229F0041">
      <w:pPr>
        <w:pStyle w:val="4"/>
        <w:rPr>
          <w:rFonts w:hint="eastAsia" w:ascii="宋体" w:hAnsi="宋体" w:eastAsia="宋体" w:cs="宋体"/>
          <w:sz w:val="24"/>
          <w:szCs w:val="24"/>
        </w:rPr>
      </w:pPr>
      <w:r>
        <w:rPr>
          <w:rFonts w:hint="eastAsia" w:ascii="宋体" w:hAnsi="宋体" w:eastAsia="宋体" w:cs="宋体"/>
          <w:sz w:val="24"/>
          <w:szCs w:val="24"/>
        </w:rPr>
        <w:t>1.1.2.2  发包人：</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B983CBE">
      <w:pPr>
        <w:pStyle w:val="4"/>
        <w:rPr>
          <w:rFonts w:hint="eastAsia" w:ascii="宋体" w:hAnsi="宋体" w:eastAsia="宋体" w:cs="宋体"/>
          <w:sz w:val="24"/>
          <w:szCs w:val="24"/>
        </w:rPr>
      </w:pPr>
      <w:r>
        <w:rPr>
          <w:rFonts w:hint="eastAsia" w:ascii="宋体" w:hAnsi="宋体" w:eastAsia="宋体" w:cs="宋体"/>
          <w:sz w:val="24"/>
          <w:szCs w:val="24"/>
        </w:rPr>
        <w:t>1.1.2.3  承包人：</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90A4FA2">
      <w:pPr>
        <w:pStyle w:val="4"/>
        <w:rPr>
          <w:rFonts w:hint="eastAsia" w:ascii="宋体" w:hAnsi="宋体" w:eastAsia="宋体" w:cs="宋体"/>
          <w:sz w:val="24"/>
          <w:szCs w:val="24"/>
        </w:rPr>
      </w:pPr>
      <w:r>
        <w:rPr>
          <w:rFonts w:hint="eastAsia" w:ascii="宋体" w:hAnsi="宋体" w:eastAsia="宋体" w:cs="宋体"/>
          <w:sz w:val="24"/>
          <w:szCs w:val="24"/>
        </w:rPr>
        <w:t>1.1.2.5  分包人：</w:t>
      </w:r>
      <w:r>
        <w:rPr>
          <w:rFonts w:hint="eastAsia" w:ascii="宋体" w:hAnsi="宋体" w:eastAsia="宋体" w:cs="宋体"/>
          <w:sz w:val="24"/>
          <w:szCs w:val="24"/>
          <w:u w:val="single"/>
        </w:rPr>
        <w:t xml:space="preserve">  本工程不实行分包、转包          </w:t>
      </w:r>
      <w:r>
        <w:rPr>
          <w:rFonts w:hint="eastAsia" w:ascii="宋体" w:hAnsi="宋体" w:eastAsia="宋体" w:cs="宋体"/>
          <w:sz w:val="24"/>
          <w:szCs w:val="24"/>
        </w:rPr>
        <w:t xml:space="preserve"> 。</w:t>
      </w:r>
    </w:p>
    <w:p w14:paraId="6A1341E6">
      <w:pPr>
        <w:pStyle w:val="4"/>
        <w:rPr>
          <w:rFonts w:hint="eastAsia" w:ascii="宋体" w:hAnsi="宋体" w:eastAsia="宋体" w:cs="宋体"/>
          <w:sz w:val="24"/>
          <w:szCs w:val="24"/>
        </w:rPr>
      </w:pPr>
      <w:r>
        <w:rPr>
          <w:rFonts w:hint="eastAsia" w:ascii="宋体" w:hAnsi="宋体" w:eastAsia="宋体" w:cs="宋体"/>
          <w:sz w:val="24"/>
          <w:szCs w:val="24"/>
        </w:rPr>
        <w:t>1.1.2.6  监理人：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31E2BB08">
      <w:pPr>
        <w:pStyle w:val="4"/>
        <w:rPr>
          <w:rFonts w:hint="eastAsia" w:ascii="宋体" w:hAnsi="宋体" w:eastAsia="宋体" w:cs="宋体"/>
          <w:sz w:val="24"/>
          <w:szCs w:val="24"/>
        </w:rPr>
      </w:pPr>
      <w:r>
        <w:rPr>
          <w:rFonts w:hint="eastAsia" w:ascii="宋体" w:hAnsi="宋体" w:eastAsia="宋体" w:cs="宋体"/>
          <w:b w:val="0"/>
          <w:bCs w:val="0"/>
          <w:sz w:val="24"/>
          <w:szCs w:val="24"/>
        </w:rPr>
        <w:t xml:space="preserve">1.1.4  日期： 2025年 月  日        </w:t>
      </w:r>
      <w:r>
        <w:rPr>
          <w:rFonts w:hint="eastAsia" w:ascii="宋体" w:hAnsi="宋体" w:eastAsia="宋体" w:cs="宋体"/>
          <w:sz w:val="24"/>
          <w:szCs w:val="24"/>
        </w:rPr>
        <w:t xml:space="preserve"> 。</w:t>
      </w:r>
    </w:p>
    <w:p w14:paraId="4758ABC5">
      <w:pPr>
        <w:pStyle w:val="4"/>
        <w:rPr>
          <w:rFonts w:hint="eastAsia" w:ascii="宋体" w:hAnsi="宋体" w:eastAsia="宋体" w:cs="宋体"/>
          <w:sz w:val="24"/>
          <w:szCs w:val="24"/>
        </w:rPr>
      </w:pPr>
      <w:r>
        <w:rPr>
          <w:rFonts w:hint="eastAsia" w:ascii="宋体" w:hAnsi="宋体" w:eastAsia="宋体" w:cs="宋体"/>
          <w:sz w:val="24"/>
          <w:szCs w:val="24"/>
        </w:rPr>
        <w:t>1.1.4.5  缺陷责任期（工程质量保修期）：双方约定本项目的质量保修期为保修期的起算日至通过竣工验收后一年。</w:t>
      </w:r>
    </w:p>
    <w:p w14:paraId="08CB410A">
      <w:pPr>
        <w:pStyle w:val="6"/>
        <w:numPr>
          <w:ilvl w:val="0"/>
          <w:numId w:val="0"/>
        </w:numPr>
        <w:bidi w:val="0"/>
        <w:ind w:left="482" w:leftChars="0"/>
        <w:rPr>
          <w:rFonts w:hint="eastAsia" w:ascii="宋体" w:hAnsi="宋体" w:eastAsia="宋体" w:cs="宋体"/>
          <w:b w:val="0"/>
          <w:bCs w:val="0"/>
          <w:sz w:val="24"/>
          <w:szCs w:val="24"/>
        </w:rPr>
      </w:pPr>
      <w:r>
        <w:rPr>
          <w:rFonts w:hint="eastAsia" w:ascii="宋体" w:hAnsi="宋体" w:eastAsia="宋体" w:cs="宋体"/>
          <w:b w:val="0"/>
          <w:bCs w:val="0"/>
          <w:sz w:val="24"/>
          <w:szCs w:val="24"/>
        </w:rPr>
        <w:t>1.4 合同文件的优先顺序</w:t>
      </w:r>
    </w:p>
    <w:p w14:paraId="75517540">
      <w:pPr>
        <w:pStyle w:val="4"/>
        <w:rPr>
          <w:rFonts w:hint="eastAsia" w:ascii="宋体" w:hAnsi="宋体" w:eastAsia="宋体" w:cs="宋体"/>
          <w:sz w:val="24"/>
          <w:szCs w:val="24"/>
        </w:rPr>
      </w:pPr>
      <w:r>
        <w:rPr>
          <w:rFonts w:hint="eastAsia" w:ascii="宋体" w:hAnsi="宋体" w:eastAsia="宋体" w:cs="宋体"/>
          <w:sz w:val="24"/>
          <w:szCs w:val="24"/>
        </w:rPr>
        <w:t>进入合同的各项文件及其优先顺序如下：</w:t>
      </w:r>
    </w:p>
    <w:p w14:paraId="6A1DB03B">
      <w:pPr>
        <w:pStyle w:val="4"/>
        <w:rPr>
          <w:rFonts w:hint="eastAsia" w:ascii="宋体" w:hAnsi="宋体" w:eastAsia="宋体" w:cs="宋体"/>
          <w:sz w:val="24"/>
          <w:szCs w:val="24"/>
        </w:rPr>
      </w:pPr>
      <w:r>
        <w:rPr>
          <w:rFonts w:hint="eastAsia" w:ascii="宋体" w:hAnsi="宋体" w:eastAsia="宋体" w:cs="宋体"/>
          <w:sz w:val="24"/>
          <w:szCs w:val="24"/>
        </w:rPr>
        <w:t>（1）成交通知书；</w:t>
      </w:r>
    </w:p>
    <w:p w14:paraId="5445C020">
      <w:pPr>
        <w:pStyle w:val="4"/>
        <w:rPr>
          <w:rFonts w:hint="eastAsia" w:ascii="宋体" w:hAnsi="宋体" w:eastAsia="宋体" w:cs="宋体"/>
          <w:sz w:val="24"/>
          <w:szCs w:val="24"/>
        </w:rPr>
      </w:pPr>
      <w:r>
        <w:rPr>
          <w:rFonts w:hint="eastAsia" w:ascii="宋体" w:hAnsi="宋体" w:eastAsia="宋体" w:cs="宋体"/>
          <w:sz w:val="24"/>
          <w:szCs w:val="24"/>
        </w:rPr>
        <w:t>（2）投标函及投标函附录；</w:t>
      </w:r>
    </w:p>
    <w:p w14:paraId="249A34C4">
      <w:pPr>
        <w:pStyle w:val="4"/>
        <w:rPr>
          <w:rFonts w:hint="eastAsia" w:ascii="宋体" w:hAnsi="宋体" w:eastAsia="宋体" w:cs="宋体"/>
          <w:sz w:val="24"/>
          <w:szCs w:val="24"/>
        </w:rPr>
      </w:pPr>
      <w:r>
        <w:rPr>
          <w:rFonts w:hint="eastAsia" w:ascii="宋体" w:hAnsi="宋体" w:eastAsia="宋体" w:cs="宋体"/>
          <w:sz w:val="24"/>
          <w:szCs w:val="24"/>
        </w:rPr>
        <w:t>（3）专用合同条款（含附加条款）；</w:t>
      </w:r>
    </w:p>
    <w:p w14:paraId="25FF4D73">
      <w:pPr>
        <w:pStyle w:val="4"/>
        <w:rPr>
          <w:rFonts w:hint="eastAsia" w:ascii="宋体" w:hAnsi="宋体" w:eastAsia="宋体" w:cs="宋体"/>
          <w:sz w:val="24"/>
          <w:szCs w:val="24"/>
        </w:rPr>
      </w:pPr>
      <w:r>
        <w:rPr>
          <w:rFonts w:hint="eastAsia" w:ascii="宋体" w:hAnsi="宋体" w:eastAsia="宋体" w:cs="宋体"/>
          <w:sz w:val="24"/>
          <w:szCs w:val="24"/>
        </w:rPr>
        <w:t>（4）通用合同条款；</w:t>
      </w:r>
    </w:p>
    <w:p w14:paraId="1825EF7F">
      <w:pPr>
        <w:pStyle w:val="4"/>
        <w:rPr>
          <w:rFonts w:hint="eastAsia" w:ascii="宋体" w:hAnsi="宋体" w:eastAsia="宋体" w:cs="宋体"/>
          <w:sz w:val="24"/>
          <w:szCs w:val="24"/>
        </w:rPr>
      </w:pPr>
      <w:r>
        <w:rPr>
          <w:rFonts w:hint="eastAsia" w:ascii="宋体" w:hAnsi="宋体" w:eastAsia="宋体" w:cs="宋体"/>
          <w:sz w:val="24"/>
          <w:szCs w:val="24"/>
        </w:rPr>
        <w:t>（5）技术标准和要求（合同技术条款）；</w:t>
      </w:r>
    </w:p>
    <w:p w14:paraId="11EC8579">
      <w:pPr>
        <w:pStyle w:val="4"/>
        <w:rPr>
          <w:rFonts w:hint="eastAsia" w:ascii="宋体" w:hAnsi="宋体" w:eastAsia="宋体" w:cs="宋体"/>
          <w:sz w:val="24"/>
          <w:szCs w:val="24"/>
        </w:rPr>
      </w:pPr>
      <w:r>
        <w:rPr>
          <w:rFonts w:hint="eastAsia" w:ascii="宋体" w:hAnsi="宋体" w:eastAsia="宋体" w:cs="宋体"/>
          <w:sz w:val="24"/>
          <w:szCs w:val="24"/>
        </w:rPr>
        <w:t>（6）图纸；</w:t>
      </w:r>
    </w:p>
    <w:p w14:paraId="5EA7623D">
      <w:pPr>
        <w:pStyle w:val="4"/>
        <w:rPr>
          <w:rFonts w:hint="eastAsia" w:ascii="宋体" w:hAnsi="宋体" w:eastAsia="宋体" w:cs="宋体"/>
          <w:sz w:val="24"/>
          <w:szCs w:val="24"/>
        </w:rPr>
      </w:pPr>
      <w:r>
        <w:rPr>
          <w:rFonts w:hint="eastAsia" w:ascii="宋体" w:hAnsi="宋体" w:eastAsia="宋体" w:cs="宋体"/>
          <w:sz w:val="24"/>
          <w:szCs w:val="24"/>
        </w:rPr>
        <w:t>（7）已标价的工程量清单；</w:t>
      </w:r>
    </w:p>
    <w:p w14:paraId="48A4C426">
      <w:pPr>
        <w:pStyle w:val="4"/>
        <w:rPr>
          <w:rFonts w:hint="eastAsia" w:ascii="宋体" w:hAnsi="宋体" w:eastAsia="宋体" w:cs="宋体"/>
          <w:sz w:val="24"/>
          <w:szCs w:val="24"/>
        </w:rPr>
      </w:pPr>
      <w:r>
        <w:rPr>
          <w:rFonts w:hint="eastAsia" w:ascii="宋体" w:hAnsi="宋体" w:eastAsia="宋体" w:cs="宋体"/>
          <w:sz w:val="24"/>
          <w:szCs w:val="24"/>
        </w:rPr>
        <w:t>（8）安全生产合同；</w:t>
      </w:r>
    </w:p>
    <w:p w14:paraId="55C442F9">
      <w:pPr>
        <w:pStyle w:val="4"/>
        <w:rPr>
          <w:rFonts w:hint="eastAsia" w:ascii="宋体" w:hAnsi="宋体" w:eastAsia="宋体" w:cs="宋体"/>
          <w:sz w:val="24"/>
          <w:szCs w:val="24"/>
        </w:rPr>
      </w:pPr>
      <w:r>
        <w:rPr>
          <w:rFonts w:hint="eastAsia" w:ascii="宋体" w:hAnsi="宋体" w:eastAsia="宋体" w:cs="宋体"/>
          <w:sz w:val="24"/>
          <w:szCs w:val="24"/>
        </w:rPr>
        <w:t>（9）廉政合同；</w:t>
      </w:r>
    </w:p>
    <w:p w14:paraId="5980B0A0">
      <w:pPr>
        <w:pStyle w:val="4"/>
        <w:rPr>
          <w:rFonts w:hint="eastAsia" w:ascii="宋体" w:hAnsi="宋体" w:eastAsia="宋体" w:cs="宋体"/>
          <w:sz w:val="24"/>
          <w:szCs w:val="24"/>
        </w:rPr>
      </w:pPr>
      <w:r>
        <w:rPr>
          <w:rFonts w:hint="eastAsia" w:ascii="宋体" w:hAnsi="宋体" w:eastAsia="宋体" w:cs="宋体"/>
          <w:sz w:val="24"/>
          <w:szCs w:val="24"/>
        </w:rPr>
        <w:t>（10）工程质量保修书；</w:t>
      </w:r>
    </w:p>
    <w:p w14:paraId="19E50FEB">
      <w:pPr>
        <w:pStyle w:val="4"/>
        <w:rPr>
          <w:rFonts w:hint="eastAsia" w:ascii="宋体" w:hAnsi="宋体" w:eastAsia="宋体" w:cs="宋体"/>
          <w:sz w:val="24"/>
          <w:szCs w:val="24"/>
        </w:rPr>
      </w:pPr>
      <w:r>
        <w:rPr>
          <w:rFonts w:hint="eastAsia" w:ascii="宋体" w:hAnsi="宋体" w:eastAsia="宋体" w:cs="宋体"/>
          <w:sz w:val="24"/>
          <w:szCs w:val="24"/>
        </w:rPr>
        <w:t>（11）其他合同文件。</w:t>
      </w:r>
    </w:p>
    <w:p w14:paraId="7267CF3E">
      <w:pPr>
        <w:pStyle w:val="4"/>
        <w:rPr>
          <w:rFonts w:hint="eastAsia" w:ascii="宋体" w:hAnsi="宋体" w:eastAsia="宋体" w:cs="宋体"/>
          <w:sz w:val="24"/>
          <w:szCs w:val="24"/>
        </w:rPr>
      </w:pPr>
      <w:r>
        <w:rPr>
          <w:rFonts w:hint="eastAsia" w:ascii="宋体" w:hAnsi="宋体" w:eastAsia="宋体" w:cs="宋体"/>
          <w:sz w:val="24"/>
          <w:szCs w:val="24"/>
        </w:rPr>
        <w:t>上述文件将互相补充，若有不明确或不一致处，以上列次序在先者为准。另外双方有关工程的洽商、变更等书面协议或文件视为本合同的组成部分，若有不明确或不一致处以时间顺序在后者为准。</w:t>
      </w:r>
    </w:p>
    <w:p w14:paraId="21CEFF9C">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1.7 联络</w:t>
      </w:r>
    </w:p>
    <w:p w14:paraId="7C5D87A8">
      <w:pPr>
        <w:pStyle w:val="4"/>
        <w:rPr>
          <w:rFonts w:hint="eastAsia" w:ascii="宋体" w:hAnsi="宋体" w:eastAsia="宋体" w:cs="宋体"/>
          <w:sz w:val="24"/>
          <w:szCs w:val="24"/>
        </w:rPr>
      </w:pPr>
      <w:r>
        <w:rPr>
          <w:rFonts w:hint="eastAsia" w:ascii="宋体" w:hAnsi="宋体" w:eastAsia="宋体" w:cs="宋体"/>
          <w:sz w:val="24"/>
          <w:szCs w:val="24"/>
        </w:rPr>
        <w:t>1.7.2  来往函件均应按技术标准和要求（合同技术条款）约定的期限送达发包人和承包人工作所在地。</w:t>
      </w:r>
    </w:p>
    <w:p w14:paraId="676EE83A">
      <w:pPr>
        <w:pStyle w:val="6"/>
        <w:tabs>
          <w:tab w:val="left" w:pos="802"/>
        </w:tabs>
        <w:bidi w:val="0"/>
        <w:ind w:left="0" w:leftChars="0" w:firstLine="482" w:firstLineChars="0"/>
        <w:rPr>
          <w:rFonts w:hint="eastAsia" w:ascii="宋体" w:hAnsi="宋体" w:eastAsia="宋体" w:cs="宋体"/>
          <w:sz w:val="24"/>
          <w:szCs w:val="24"/>
        </w:rPr>
      </w:pPr>
      <w:bookmarkStart w:id="110" w:name="_Toc8981"/>
      <w:r>
        <w:rPr>
          <w:rFonts w:hint="eastAsia" w:ascii="宋体" w:hAnsi="宋体" w:eastAsia="宋体" w:cs="宋体"/>
          <w:sz w:val="24"/>
          <w:szCs w:val="24"/>
          <w:lang w:eastAsia="zh-CN"/>
        </w:rPr>
        <w:tab/>
      </w:r>
      <w:r>
        <w:rPr>
          <w:rFonts w:hint="eastAsia" w:ascii="宋体" w:hAnsi="宋体" w:eastAsia="宋体" w:cs="宋体"/>
          <w:sz w:val="24"/>
          <w:szCs w:val="24"/>
        </w:rPr>
        <w:t>发包人义务</w:t>
      </w:r>
      <w:bookmarkEnd w:id="110"/>
    </w:p>
    <w:p w14:paraId="213CE933">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2.3 提供施工场地</w:t>
      </w:r>
    </w:p>
    <w:p w14:paraId="7085FEF9">
      <w:pPr>
        <w:pStyle w:val="4"/>
        <w:rPr>
          <w:rFonts w:hint="eastAsia" w:ascii="宋体" w:hAnsi="宋体" w:eastAsia="宋体" w:cs="宋体"/>
          <w:sz w:val="24"/>
          <w:szCs w:val="24"/>
        </w:rPr>
      </w:pPr>
      <w:r>
        <w:rPr>
          <w:rFonts w:hint="eastAsia" w:ascii="宋体" w:hAnsi="宋体" w:eastAsia="宋体" w:cs="宋体"/>
          <w:sz w:val="24"/>
          <w:szCs w:val="24"/>
        </w:rPr>
        <w:t>2.3.2</w:t>
      </w:r>
      <w:r>
        <w:rPr>
          <w:rFonts w:hint="eastAsia" w:ascii="宋体" w:hAnsi="宋体" w:eastAsia="宋体" w:cs="宋体"/>
          <w:b w:val="0"/>
          <w:sz w:val="24"/>
          <w:szCs w:val="24"/>
        </w:rPr>
        <w:t>发包人提供的施工场地范围为：发包人负责办理工地范围内的征地、拆迁和移民等有关手续，向承包人提供施工用地；发包人提供永久征地和施工临时用地红线图及坐标，承包人自行测量边界并标示，按文明施工要求对施工场地进行围挡；承包人应无条件接受现场条件并对施工场地进行维护；以上费用由承包人承担，发包人不另行支付。如果承包人出于任何正当的理由，要求使用任何额外的施工用地，应至少提前30天向监理人提出报告，请求发包人协助以获得其所需之用地，报告应阐明所需额外用地的理由。发包人将协助承包商获得其所需的任何用地，但所有有关的费用都应由承包商负担。发包人不承诺保证获得或提供承包人要求的任何用地。</w:t>
      </w:r>
      <w:r>
        <w:rPr>
          <w:rFonts w:hint="eastAsia" w:ascii="宋体" w:hAnsi="宋体" w:eastAsia="宋体" w:cs="宋体"/>
          <w:sz w:val="24"/>
          <w:szCs w:val="24"/>
        </w:rPr>
        <w:t xml:space="preserve"> </w:t>
      </w:r>
    </w:p>
    <w:p w14:paraId="037DE010">
      <w:pPr>
        <w:pStyle w:val="4"/>
        <w:rPr>
          <w:rFonts w:hint="eastAsia" w:ascii="宋体" w:hAnsi="宋体" w:eastAsia="宋体" w:cs="宋体"/>
          <w:b/>
          <w:bCs/>
          <w:sz w:val="24"/>
          <w:szCs w:val="24"/>
        </w:rPr>
      </w:pPr>
      <w:r>
        <w:rPr>
          <w:rFonts w:hint="eastAsia" w:ascii="宋体" w:hAnsi="宋体" w:eastAsia="宋体" w:cs="宋体"/>
          <w:b/>
          <w:bCs/>
          <w:sz w:val="24"/>
          <w:szCs w:val="24"/>
        </w:rPr>
        <w:t>2.3.3承包人自行勘察的施工场地范围为：完成合同工程施工建设任务所涉及的所有范围。</w:t>
      </w:r>
    </w:p>
    <w:p w14:paraId="2E211DB9">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 xml:space="preserve">2.8 其它义务  </w:t>
      </w:r>
    </w:p>
    <w:p w14:paraId="02ACF8CD">
      <w:pPr>
        <w:pStyle w:val="6"/>
        <w:bidi w:val="0"/>
        <w:ind w:left="0" w:leftChars="0" w:firstLine="482" w:firstLineChars="0"/>
        <w:rPr>
          <w:rFonts w:hint="eastAsia" w:ascii="宋体" w:hAnsi="宋体" w:eastAsia="宋体" w:cs="宋体"/>
          <w:sz w:val="24"/>
          <w:szCs w:val="24"/>
        </w:rPr>
      </w:pPr>
      <w:bookmarkStart w:id="111" w:name="_Toc12821"/>
      <w:r>
        <w:rPr>
          <w:rFonts w:hint="eastAsia" w:ascii="宋体" w:hAnsi="宋体" w:eastAsia="宋体" w:cs="宋体"/>
          <w:sz w:val="24"/>
          <w:szCs w:val="24"/>
        </w:rPr>
        <w:t>监理人</w:t>
      </w:r>
      <w:bookmarkEnd w:id="111"/>
    </w:p>
    <w:p w14:paraId="3D57AEFF">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3.1 监理人的职责和权力</w:t>
      </w:r>
    </w:p>
    <w:p w14:paraId="5C5F3536">
      <w:pPr>
        <w:pStyle w:val="4"/>
        <w:rPr>
          <w:rFonts w:hint="eastAsia" w:ascii="宋体" w:hAnsi="宋体" w:eastAsia="宋体" w:cs="宋体"/>
          <w:sz w:val="24"/>
          <w:szCs w:val="24"/>
        </w:rPr>
      </w:pPr>
      <w:r>
        <w:rPr>
          <w:rFonts w:hint="eastAsia" w:ascii="宋体" w:hAnsi="宋体" w:eastAsia="宋体" w:cs="宋体"/>
          <w:sz w:val="24"/>
          <w:szCs w:val="24"/>
        </w:rPr>
        <w:t>3.1.1　监理人须根据发包人事先批准的权力范围行使权力，发包人批准的权力范围：按本工程委托监理合同。</w:t>
      </w:r>
    </w:p>
    <w:p w14:paraId="0E6E0ADF">
      <w:pPr>
        <w:pStyle w:val="6"/>
        <w:bidi w:val="0"/>
        <w:ind w:left="0" w:leftChars="0" w:firstLine="482" w:firstLineChars="0"/>
        <w:rPr>
          <w:rFonts w:hint="eastAsia" w:ascii="宋体" w:hAnsi="宋体" w:eastAsia="宋体" w:cs="宋体"/>
          <w:sz w:val="24"/>
          <w:szCs w:val="24"/>
        </w:rPr>
      </w:pPr>
      <w:bookmarkStart w:id="112" w:name="_Toc22378"/>
      <w:r>
        <w:rPr>
          <w:rFonts w:hint="eastAsia" w:ascii="宋体" w:hAnsi="宋体" w:eastAsia="宋体" w:cs="宋体"/>
          <w:sz w:val="24"/>
          <w:szCs w:val="24"/>
        </w:rPr>
        <w:t>承包人</w:t>
      </w:r>
      <w:bookmarkEnd w:id="112"/>
    </w:p>
    <w:p w14:paraId="1AFBCE41">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4.1 承包人的一般义务</w:t>
      </w:r>
    </w:p>
    <w:p w14:paraId="13D6D6EA">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4.1.10 其他义务</w:t>
      </w:r>
    </w:p>
    <w:p w14:paraId="0103E4AA">
      <w:pPr>
        <w:pStyle w:val="4"/>
        <w:rPr>
          <w:rFonts w:hint="eastAsia" w:ascii="宋体" w:hAnsi="宋体" w:eastAsia="宋体" w:cs="宋体"/>
          <w:sz w:val="24"/>
          <w:szCs w:val="24"/>
        </w:rPr>
      </w:pPr>
      <w:r>
        <w:rPr>
          <w:rFonts w:hint="eastAsia" w:ascii="宋体" w:hAnsi="宋体" w:eastAsia="宋体" w:cs="宋体"/>
          <w:sz w:val="24"/>
          <w:szCs w:val="24"/>
        </w:rPr>
        <w:t>（一）办理有关保险。</w:t>
      </w:r>
    </w:p>
    <w:p w14:paraId="3DC0A5B4">
      <w:pPr>
        <w:pStyle w:val="4"/>
        <w:rPr>
          <w:rFonts w:hint="eastAsia" w:ascii="宋体" w:hAnsi="宋体" w:eastAsia="宋体" w:cs="宋体"/>
          <w:sz w:val="24"/>
          <w:szCs w:val="24"/>
        </w:rPr>
      </w:pPr>
      <w:r>
        <w:rPr>
          <w:rFonts w:hint="eastAsia" w:ascii="宋体" w:hAnsi="宋体" w:eastAsia="宋体" w:cs="宋体"/>
          <w:sz w:val="24"/>
          <w:szCs w:val="24"/>
        </w:rPr>
        <w:t>按照《建筑法》规定，必须在工程开工前，为参加本合同工程现场施工的所有作业人员及管理人员，包括参加工程建设的管理人员、监理人员、施工人员(含民工)办理工伤保险，并缴纳工伤保险费。保险期限自投保之日(工程开工之日)起至工程竣工验收时止, 时间上涵盖施工全过程的任一时段。</w:t>
      </w:r>
    </w:p>
    <w:p w14:paraId="0AC38DDB">
      <w:pPr>
        <w:pStyle w:val="4"/>
        <w:rPr>
          <w:rFonts w:hint="eastAsia" w:ascii="宋体" w:hAnsi="宋体" w:eastAsia="宋体" w:cs="宋体"/>
          <w:sz w:val="24"/>
          <w:szCs w:val="24"/>
        </w:rPr>
      </w:pPr>
      <w:r>
        <w:rPr>
          <w:rFonts w:hint="eastAsia" w:ascii="宋体" w:hAnsi="宋体" w:eastAsia="宋体" w:cs="宋体"/>
          <w:sz w:val="24"/>
          <w:szCs w:val="24"/>
        </w:rPr>
        <w:t>按照《建筑法》规定，鼓励为从事危险作业的职工办理意外伤害保险。</w:t>
      </w:r>
    </w:p>
    <w:p w14:paraId="702E721E">
      <w:pPr>
        <w:pStyle w:val="4"/>
        <w:rPr>
          <w:rFonts w:hint="eastAsia" w:ascii="宋体" w:hAnsi="宋体" w:eastAsia="宋体" w:cs="宋体"/>
          <w:sz w:val="24"/>
          <w:szCs w:val="24"/>
        </w:rPr>
      </w:pPr>
      <w:bookmarkStart w:id="113" w:name="bookmark1624"/>
      <w:bookmarkEnd w:id="113"/>
      <w:r>
        <w:rPr>
          <w:rFonts w:hint="eastAsia" w:ascii="宋体" w:hAnsi="宋体" w:eastAsia="宋体" w:cs="宋体"/>
          <w:sz w:val="24"/>
          <w:szCs w:val="24"/>
        </w:rPr>
        <w:t>（二）执行广西壮族自治区解决企业拖欠工资问题联席会议关于保障农民工工资支付的有关规定，确保农民工工资无拖欠。</w:t>
      </w:r>
    </w:p>
    <w:p w14:paraId="115E6D15">
      <w:pPr>
        <w:pStyle w:val="4"/>
        <w:rPr>
          <w:rFonts w:hint="eastAsia" w:ascii="宋体" w:hAnsi="宋体" w:eastAsia="宋体" w:cs="宋体"/>
          <w:sz w:val="24"/>
          <w:szCs w:val="24"/>
        </w:rPr>
      </w:pPr>
      <w:r>
        <w:rPr>
          <w:rFonts w:hint="eastAsia" w:ascii="宋体" w:hAnsi="宋体" w:eastAsia="宋体" w:cs="宋体"/>
          <w:sz w:val="24"/>
          <w:szCs w:val="24"/>
        </w:rPr>
        <w:t>依法与招用的农民工签订并履行劳动合同，建立职工名册，及时办理劳动用工备案。实行农民工工资专用账户管理、银行代发农民工工资制度和农民工工资保证金制度。</w:t>
      </w:r>
    </w:p>
    <w:p w14:paraId="73FC6EC6">
      <w:pPr>
        <w:pStyle w:val="4"/>
        <w:rPr>
          <w:rFonts w:hint="eastAsia" w:ascii="宋体" w:hAnsi="宋体" w:eastAsia="宋体" w:cs="宋体"/>
          <w:sz w:val="24"/>
          <w:szCs w:val="24"/>
        </w:rPr>
      </w:pPr>
      <w:bookmarkStart w:id="114" w:name="bookmark1625"/>
      <w:bookmarkEnd w:id="114"/>
      <w:r>
        <w:rPr>
          <w:rFonts w:hint="eastAsia" w:ascii="宋体" w:hAnsi="宋体" w:eastAsia="宋体" w:cs="宋体"/>
          <w:sz w:val="24"/>
          <w:szCs w:val="24"/>
        </w:rPr>
        <w:t>（三）工程施工的义务和责任</w:t>
      </w:r>
    </w:p>
    <w:p w14:paraId="2585232A">
      <w:pPr>
        <w:pStyle w:val="4"/>
        <w:rPr>
          <w:rFonts w:hint="eastAsia" w:ascii="宋体" w:hAnsi="宋体" w:eastAsia="宋体" w:cs="宋体"/>
          <w:sz w:val="24"/>
          <w:szCs w:val="24"/>
        </w:rPr>
      </w:pPr>
      <w:bookmarkStart w:id="115" w:name="bookmark1626"/>
      <w:bookmarkEnd w:id="115"/>
      <w:r>
        <w:rPr>
          <w:rFonts w:hint="eastAsia" w:ascii="宋体" w:hAnsi="宋体" w:eastAsia="宋体" w:cs="宋体"/>
          <w:sz w:val="24"/>
          <w:szCs w:val="24"/>
        </w:rPr>
        <w:t>（1）承包人应负责施工场地内部的水、电等施工管、线路的铺、架设及其费用，并按供电部门规定向供电部门(或发包人)交纳水、电费。另外，施工通讯及设施由承包人负责并承担费用。</w:t>
      </w:r>
    </w:p>
    <w:p w14:paraId="6CD681FF">
      <w:pPr>
        <w:pStyle w:val="4"/>
        <w:rPr>
          <w:rFonts w:hint="eastAsia" w:ascii="宋体" w:hAnsi="宋体" w:eastAsia="宋体" w:cs="宋体"/>
          <w:sz w:val="24"/>
          <w:szCs w:val="24"/>
        </w:rPr>
      </w:pPr>
      <w:bookmarkStart w:id="116" w:name="bookmark1627"/>
      <w:bookmarkEnd w:id="116"/>
      <w:r>
        <w:rPr>
          <w:rFonts w:hint="eastAsia" w:ascii="宋体" w:hAnsi="宋体" w:eastAsia="宋体" w:cs="宋体"/>
          <w:sz w:val="24"/>
          <w:szCs w:val="24"/>
        </w:rPr>
        <w:t>（2）除民房外，承包人应按监理人的指示负责拆除、清理已征用土地上的杂物、灌木、 树木、树根、杂草等。</w:t>
      </w:r>
    </w:p>
    <w:p w14:paraId="737F8F1C">
      <w:pPr>
        <w:pStyle w:val="4"/>
        <w:rPr>
          <w:rFonts w:hint="eastAsia" w:ascii="宋体" w:hAnsi="宋体" w:eastAsia="宋体" w:cs="宋体"/>
          <w:sz w:val="24"/>
          <w:szCs w:val="24"/>
        </w:rPr>
      </w:pPr>
      <w:bookmarkStart w:id="117" w:name="bookmark1628"/>
      <w:bookmarkEnd w:id="117"/>
      <w:r>
        <w:rPr>
          <w:rFonts w:hint="eastAsia" w:ascii="宋体" w:hAnsi="宋体" w:eastAsia="宋体" w:cs="宋体"/>
          <w:sz w:val="24"/>
          <w:szCs w:val="24"/>
        </w:rPr>
        <w:t>（3）承包人应充分理解有一些设施(如施工道路、桥梁)可能会有其它人和单位使用通行，在使用过程中发生干扰时，应立即通知监理人并服从监理人的决定。</w:t>
      </w:r>
    </w:p>
    <w:p w14:paraId="0FDD7620">
      <w:pPr>
        <w:pStyle w:val="4"/>
        <w:rPr>
          <w:rFonts w:hint="eastAsia" w:ascii="宋体" w:hAnsi="宋体" w:eastAsia="宋体" w:cs="宋体"/>
          <w:sz w:val="24"/>
          <w:szCs w:val="24"/>
        </w:rPr>
      </w:pPr>
      <w:bookmarkStart w:id="118" w:name="bookmark1629"/>
      <w:bookmarkEnd w:id="118"/>
      <w:r>
        <w:rPr>
          <w:rFonts w:hint="eastAsia" w:ascii="宋体" w:hAnsi="宋体" w:eastAsia="宋体" w:cs="宋体"/>
          <w:sz w:val="24"/>
          <w:szCs w:val="24"/>
        </w:rPr>
        <w:t>（4）承包人应为监理人、发包人现场代表对施工现场的检查监督提供必要的配合，并对这种配合对施工的影响应有充分的考虑。</w:t>
      </w:r>
    </w:p>
    <w:p w14:paraId="2A38635D">
      <w:pPr>
        <w:pStyle w:val="4"/>
        <w:rPr>
          <w:rFonts w:hint="eastAsia" w:ascii="宋体" w:hAnsi="宋体" w:eastAsia="宋体" w:cs="宋体"/>
          <w:sz w:val="24"/>
          <w:szCs w:val="24"/>
        </w:rPr>
      </w:pPr>
      <w:bookmarkStart w:id="119" w:name="bookmark1630"/>
      <w:bookmarkEnd w:id="119"/>
      <w:r>
        <w:rPr>
          <w:rFonts w:hint="eastAsia" w:ascii="宋体" w:hAnsi="宋体" w:eastAsia="宋体" w:cs="宋体"/>
          <w:sz w:val="24"/>
          <w:szCs w:val="24"/>
        </w:rPr>
        <w:t>（5）工程竣工后，承包人应按监理人的指示清理施工现场直至监理人、发包人满意 为止。</w:t>
      </w:r>
    </w:p>
    <w:p w14:paraId="79678F5D">
      <w:pPr>
        <w:pStyle w:val="4"/>
        <w:rPr>
          <w:rFonts w:hint="eastAsia" w:ascii="宋体" w:hAnsi="宋体" w:eastAsia="宋体" w:cs="宋体"/>
          <w:sz w:val="24"/>
          <w:szCs w:val="24"/>
        </w:rPr>
      </w:pPr>
      <w:bookmarkStart w:id="120" w:name="bookmark1631"/>
      <w:bookmarkEnd w:id="120"/>
      <w:r>
        <w:rPr>
          <w:rFonts w:hint="eastAsia" w:ascii="宋体" w:hAnsi="宋体" w:eastAsia="宋体" w:cs="宋体"/>
          <w:sz w:val="24"/>
          <w:szCs w:val="24"/>
        </w:rPr>
        <w:t>（6）对上述(1)～ (5)项工作，费用已包括在有关单价和总价中，发包人不再另行支付由此所发生的一切费用。</w:t>
      </w:r>
    </w:p>
    <w:p w14:paraId="463BBC4A">
      <w:pPr>
        <w:pStyle w:val="4"/>
        <w:rPr>
          <w:rFonts w:hint="eastAsia" w:ascii="宋体" w:hAnsi="宋体" w:eastAsia="宋体" w:cs="宋体"/>
          <w:sz w:val="24"/>
          <w:szCs w:val="24"/>
        </w:rPr>
      </w:pPr>
      <w:bookmarkStart w:id="121" w:name="bookmark1632"/>
      <w:bookmarkEnd w:id="121"/>
      <w:r>
        <w:rPr>
          <w:rFonts w:hint="eastAsia" w:ascii="宋体" w:hAnsi="宋体" w:eastAsia="宋体" w:cs="宋体"/>
          <w:sz w:val="24"/>
          <w:szCs w:val="24"/>
        </w:rPr>
        <w:t>（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45C303B7">
      <w:pPr>
        <w:pStyle w:val="4"/>
        <w:rPr>
          <w:rFonts w:hint="eastAsia" w:ascii="宋体" w:hAnsi="宋体" w:eastAsia="宋体" w:cs="宋体"/>
          <w:sz w:val="24"/>
          <w:szCs w:val="24"/>
        </w:rPr>
      </w:pPr>
      <w:bookmarkStart w:id="122" w:name="bookmark1633"/>
      <w:bookmarkEnd w:id="122"/>
      <w:r>
        <w:rPr>
          <w:rFonts w:hint="eastAsia" w:ascii="宋体" w:hAnsi="宋体" w:eastAsia="宋体" w:cs="宋体"/>
          <w:sz w:val="24"/>
          <w:szCs w:val="24"/>
        </w:rPr>
        <w:t>（8）承包人必须文明、安全施工，在施工期间发生的一切人员伤亡和财产损失等责任事故和所发生的一切费用概由承包人承担。</w:t>
      </w:r>
    </w:p>
    <w:p w14:paraId="13D9EC11">
      <w:pPr>
        <w:pStyle w:val="4"/>
        <w:rPr>
          <w:rFonts w:hint="eastAsia" w:ascii="宋体" w:hAnsi="宋体" w:eastAsia="宋体" w:cs="宋体"/>
          <w:sz w:val="24"/>
          <w:szCs w:val="24"/>
        </w:rPr>
      </w:pPr>
      <w:bookmarkStart w:id="123" w:name="bookmark1634"/>
      <w:bookmarkEnd w:id="123"/>
      <w:r>
        <w:rPr>
          <w:rFonts w:hint="eastAsia" w:ascii="宋体" w:hAnsi="宋体" w:eastAsia="宋体" w:cs="宋体"/>
          <w:sz w:val="24"/>
          <w:szCs w:val="24"/>
        </w:rPr>
        <w:t>（1）按照发包人的要求做好安全文明宣传、监督检查宣传等工作，相关费用由承包人承担。</w:t>
      </w:r>
    </w:p>
    <w:p w14:paraId="73AC17D0">
      <w:pPr>
        <w:pStyle w:val="4"/>
        <w:rPr>
          <w:rFonts w:hint="eastAsia" w:ascii="宋体" w:hAnsi="宋体" w:eastAsia="宋体" w:cs="宋体"/>
          <w:sz w:val="24"/>
          <w:szCs w:val="24"/>
        </w:rPr>
      </w:pPr>
      <w:bookmarkStart w:id="124" w:name="bookmark1635"/>
      <w:bookmarkEnd w:id="124"/>
      <w:r>
        <w:rPr>
          <w:rFonts w:hint="eastAsia" w:ascii="宋体" w:hAnsi="宋体" w:eastAsia="宋体" w:cs="宋体"/>
          <w:sz w:val="24"/>
          <w:szCs w:val="24"/>
        </w:rPr>
        <w:t>（3）承包人应按约定时间和要求，完成以下工作：</w:t>
      </w:r>
    </w:p>
    <w:p w14:paraId="19789F5E">
      <w:pPr>
        <w:pStyle w:val="4"/>
        <w:rPr>
          <w:rFonts w:hint="eastAsia" w:ascii="宋体" w:hAnsi="宋体" w:eastAsia="宋体" w:cs="宋体"/>
          <w:sz w:val="24"/>
          <w:szCs w:val="24"/>
        </w:rPr>
      </w:pPr>
      <w:bookmarkStart w:id="125" w:name="bookmark1636"/>
      <w:bookmarkEnd w:id="125"/>
      <w:r>
        <w:rPr>
          <w:rFonts w:hint="eastAsia" w:ascii="宋体" w:hAnsi="宋体" w:eastAsia="宋体" w:cs="宋体"/>
          <w:sz w:val="24"/>
          <w:szCs w:val="24"/>
        </w:rPr>
        <w:t>①按时提交施工组织设计、单位工程的施工方案。</w:t>
      </w:r>
    </w:p>
    <w:p w14:paraId="0813F4F2">
      <w:pPr>
        <w:pStyle w:val="4"/>
        <w:rPr>
          <w:rFonts w:hint="eastAsia" w:ascii="宋体" w:hAnsi="宋体" w:eastAsia="宋体" w:cs="宋体"/>
          <w:sz w:val="24"/>
          <w:szCs w:val="24"/>
        </w:rPr>
      </w:pPr>
      <w:bookmarkStart w:id="126" w:name="bookmark1637"/>
      <w:bookmarkEnd w:id="126"/>
      <w:r>
        <w:rPr>
          <w:rFonts w:hint="eastAsia" w:ascii="宋体" w:hAnsi="宋体" w:eastAsia="宋体" w:cs="宋体"/>
          <w:sz w:val="24"/>
          <w:szCs w:val="24"/>
        </w:rPr>
        <w:t>②每月25日向监理人提交当月工程进度报表及下月进度计划。</w:t>
      </w:r>
    </w:p>
    <w:p w14:paraId="2EC37322">
      <w:pPr>
        <w:pStyle w:val="4"/>
        <w:rPr>
          <w:rFonts w:hint="eastAsia" w:ascii="宋体" w:hAnsi="宋体" w:eastAsia="宋体" w:cs="宋体"/>
          <w:sz w:val="24"/>
          <w:szCs w:val="24"/>
        </w:rPr>
      </w:pPr>
      <w:bookmarkStart w:id="127" w:name="bookmark1638"/>
      <w:bookmarkEnd w:id="127"/>
      <w:r>
        <w:rPr>
          <w:rFonts w:hint="eastAsia" w:ascii="宋体" w:hAnsi="宋体" w:eastAsia="宋体" w:cs="宋体"/>
          <w:sz w:val="24"/>
          <w:szCs w:val="24"/>
        </w:rPr>
        <w:t>③承包人自行负责施工安全保卫工作及夜间施工照明。</w:t>
      </w:r>
    </w:p>
    <w:p w14:paraId="1781A39A">
      <w:pPr>
        <w:pStyle w:val="4"/>
        <w:rPr>
          <w:rFonts w:hint="eastAsia" w:ascii="宋体" w:hAnsi="宋体" w:eastAsia="宋体" w:cs="宋体"/>
          <w:sz w:val="24"/>
          <w:szCs w:val="24"/>
        </w:rPr>
      </w:pPr>
      <w:bookmarkStart w:id="128" w:name="bookmark1639"/>
      <w:bookmarkEnd w:id="128"/>
      <w:r>
        <w:rPr>
          <w:rFonts w:hint="eastAsia" w:ascii="宋体" w:hAnsi="宋体" w:eastAsia="宋体" w:cs="宋体"/>
          <w:sz w:val="24"/>
          <w:szCs w:val="24"/>
        </w:rPr>
        <w:t>④需承包人办理的有关施工场地交通、环卫和施工噪音降尘管理等手续：遵守有关部门对施工现场交通、环卫和施工噪音降尘管理规定，如有发生，费用由承包人承担。</w:t>
      </w:r>
    </w:p>
    <w:p w14:paraId="292509E4">
      <w:pPr>
        <w:pStyle w:val="4"/>
        <w:rPr>
          <w:rFonts w:hint="eastAsia" w:ascii="宋体" w:hAnsi="宋体" w:eastAsia="宋体" w:cs="宋体"/>
          <w:sz w:val="24"/>
          <w:szCs w:val="24"/>
        </w:rPr>
      </w:pPr>
      <w:bookmarkStart w:id="129" w:name="bookmark1640"/>
      <w:bookmarkEnd w:id="129"/>
      <w:r>
        <w:rPr>
          <w:rFonts w:hint="eastAsia" w:ascii="宋体" w:hAnsi="宋体" w:eastAsia="宋体" w:cs="宋体"/>
          <w:sz w:val="24"/>
          <w:szCs w:val="24"/>
        </w:rPr>
        <w:t>⑤已完工程成品保护的特殊要求及费用承担：已完工工程未交付发包人之前，承包人按协议条款约定负责已完成工程的成品保护工作，保护期间发生损坏，承包人自费予以修复。</w:t>
      </w:r>
    </w:p>
    <w:p w14:paraId="78665897">
      <w:pPr>
        <w:pStyle w:val="4"/>
        <w:rPr>
          <w:rFonts w:hint="eastAsia" w:ascii="宋体" w:hAnsi="宋体" w:eastAsia="宋体" w:cs="宋体"/>
          <w:sz w:val="24"/>
          <w:szCs w:val="24"/>
        </w:rPr>
      </w:pPr>
      <w:bookmarkStart w:id="130" w:name="bookmark1641"/>
      <w:bookmarkEnd w:id="130"/>
      <w:r>
        <w:rPr>
          <w:rFonts w:hint="eastAsia" w:ascii="宋体" w:hAnsi="宋体" w:eastAsia="宋体" w:cs="宋体"/>
          <w:sz w:val="24"/>
          <w:szCs w:val="24"/>
        </w:rPr>
        <w:t>⑥承包人有义务对施工场地周围管线(含地上及地下)和邻近建筑物、构筑物(含文物保护建筑)、古树名木等进行探明并负责保护。</w:t>
      </w:r>
    </w:p>
    <w:p w14:paraId="62D123F7">
      <w:pPr>
        <w:pStyle w:val="4"/>
        <w:rPr>
          <w:rFonts w:hint="eastAsia" w:ascii="宋体" w:hAnsi="宋体" w:eastAsia="宋体" w:cs="宋体"/>
          <w:sz w:val="24"/>
          <w:szCs w:val="24"/>
        </w:rPr>
      </w:pPr>
      <w:bookmarkStart w:id="131" w:name="bookmark1642"/>
      <w:bookmarkEnd w:id="131"/>
      <w:r>
        <w:rPr>
          <w:rFonts w:hint="eastAsia" w:ascii="宋体" w:hAnsi="宋体" w:eastAsia="宋体" w:cs="宋体"/>
          <w:sz w:val="24"/>
          <w:szCs w:val="24"/>
        </w:rPr>
        <w:t>⑦施工场地清洁卫生的要求：按城建卫生有关规定执行，由承包人负责，费用由承包人承担。</w:t>
      </w:r>
    </w:p>
    <w:p w14:paraId="5E90A633">
      <w:pPr>
        <w:pStyle w:val="4"/>
        <w:rPr>
          <w:rFonts w:hint="eastAsia" w:ascii="宋体" w:hAnsi="宋体" w:eastAsia="宋体" w:cs="宋体"/>
          <w:sz w:val="24"/>
          <w:szCs w:val="24"/>
        </w:rPr>
      </w:pPr>
      <w:bookmarkStart w:id="132" w:name="bookmark1643"/>
      <w:bookmarkEnd w:id="132"/>
      <w:r>
        <w:rPr>
          <w:rFonts w:hint="eastAsia" w:ascii="宋体" w:hAnsi="宋体" w:eastAsia="宋体" w:cs="宋体"/>
          <w:sz w:val="24"/>
          <w:szCs w:val="24"/>
        </w:rPr>
        <w:t>⑧承包人承担施工场地、水电及运输通道的修建和维护、清场等费用。</w:t>
      </w:r>
    </w:p>
    <w:p w14:paraId="1D410E1C">
      <w:pPr>
        <w:pStyle w:val="4"/>
        <w:rPr>
          <w:rFonts w:hint="eastAsia" w:ascii="宋体" w:hAnsi="宋体" w:eastAsia="宋体" w:cs="宋体"/>
          <w:sz w:val="24"/>
          <w:szCs w:val="24"/>
        </w:rPr>
      </w:pPr>
      <w:bookmarkStart w:id="133" w:name="bookmark1644"/>
      <w:bookmarkEnd w:id="133"/>
      <w:r>
        <w:rPr>
          <w:rFonts w:hint="eastAsia" w:ascii="宋体" w:hAnsi="宋体" w:eastAsia="宋体" w:cs="宋体"/>
          <w:sz w:val="24"/>
          <w:szCs w:val="24"/>
        </w:rPr>
        <w:t>（3）双方约定承包人应做的其他工作：</w:t>
      </w:r>
    </w:p>
    <w:p w14:paraId="7D33AD82">
      <w:pPr>
        <w:pStyle w:val="4"/>
        <w:rPr>
          <w:rFonts w:hint="eastAsia" w:ascii="宋体" w:hAnsi="宋体" w:eastAsia="宋体" w:cs="宋体"/>
          <w:sz w:val="24"/>
          <w:szCs w:val="24"/>
        </w:rPr>
      </w:pPr>
      <w:bookmarkStart w:id="134" w:name="bookmark1645"/>
      <w:bookmarkEnd w:id="134"/>
      <w:r>
        <w:rPr>
          <w:rFonts w:hint="eastAsia" w:ascii="宋体" w:hAnsi="宋体" w:eastAsia="宋体" w:cs="宋体"/>
          <w:sz w:val="24"/>
          <w:szCs w:val="24"/>
        </w:rPr>
        <w:t>①凡属于需要承包人交付给其他承包人的工作面以及与其他承包人交叉作业的工作面, 承包人必须服从监理人的决定，按规定的完工日期完成并将清理好的工作面移交给发包人, 并取得监理人的同意。</w:t>
      </w:r>
    </w:p>
    <w:p w14:paraId="585DECA7">
      <w:pPr>
        <w:pStyle w:val="4"/>
        <w:rPr>
          <w:rFonts w:hint="eastAsia" w:ascii="宋体" w:hAnsi="宋体" w:eastAsia="宋体" w:cs="宋体"/>
          <w:sz w:val="24"/>
          <w:szCs w:val="24"/>
        </w:rPr>
      </w:pPr>
      <w:bookmarkStart w:id="135" w:name="bookmark1646"/>
      <w:bookmarkEnd w:id="135"/>
      <w:r>
        <w:rPr>
          <w:rFonts w:hint="eastAsia" w:ascii="宋体" w:hAnsi="宋体" w:eastAsia="宋体" w:cs="宋体"/>
          <w:sz w:val="24"/>
          <w:szCs w:val="24"/>
        </w:rPr>
        <w:t>②工程完工后，承包人应按监理人的指示清理施工现场。并在工程完工后6个月内完成并提交工程竣工资料和工程结算资料。承包人逾期提交，发包人将对承包人的拖延行为视为违约，并按1000元/天计算违约金，违约金从承包人应得的工程款中扣除，但其最终的累计总金额与各项逾期完工违约金合计不超过合同价格的5%。</w:t>
      </w:r>
    </w:p>
    <w:p w14:paraId="6FB49857">
      <w:pPr>
        <w:pStyle w:val="4"/>
        <w:rPr>
          <w:rFonts w:hint="eastAsia" w:ascii="宋体" w:hAnsi="宋体" w:eastAsia="宋体" w:cs="宋体"/>
          <w:sz w:val="24"/>
          <w:szCs w:val="24"/>
        </w:rPr>
      </w:pPr>
      <w:bookmarkStart w:id="136" w:name="bookmark1647"/>
      <w:bookmarkEnd w:id="136"/>
      <w:r>
        <w:rPr>
          <w:rFonts w:hint="eastAsia" w:ascii="宋体" w:hAnsi="宋体" w:eastAsia="宋体" w:cs="宋体"/>
          <w:sz w:val="24"/>
          <w:szCs w:val="24"/>
        </w:rPr>
        <w:t>（4）其他未尽事宜待签订施工合同时双方再协商。</w:t>
      </w:r>
    </w:p>
    <w:p w14:paraId="6C8C4D02">
      <w:pPr>
        <w:pStyle w:val="4"/>
        <w:rPr>
          <w:rFonts w:hint="eastAsia" w:ascii="宋体" w:hAnsi="宋体" w:eastAsia="宋体" w:cs="宋体"/>
          <w:sz w:val="24"/>
          <w:szCs w:val="24"/>
        </w:rPr>
      </w:pPr>
      <w:bookmarkStart w:id="137" w:name="bookmark1648"/>
      <w:bookmarkEnd w:id="137"/>
      <w:r>
        <w:rPr>
          <w:rFonts w:hint="eastAsia" w:ascii="宋体" w:hAnsi="宋体" w:eastAsia="宋体" w:cs="宋体"/>
          <w:sz w:val="24"/>
          <w:szCs w:val="24"/>
        </w:rPr>
        <w:t>（一）鼓励承包人根据工程建设实际，吸纳建档立卡贫困劳动力参加工程建设。</w:t>
      </w:r>
    </w:p>
    <w:p w14:paraId="7C72CEE1">
      <w:pPr>
        <w:pStyle w:val="4"/>
        <w:rPr>
          <w:rFonts w:hint="eastAsia" w:ascii="宋体" w:hAnsi="宋体" w:eastAsia="宋体" w:cs="宋体"/>
          <w:sz w:val="24"/>
          <w:szCs w:val="24"/>
        </w:rPr>
      </w:pPr>
      <w:bookmarkStart w:id="138" w:name="bookmark1649"/>
      <w:bookmarkEnd w:id="138"/>
      <w:r>
        <w:rPr>
          <w:rFonts w:hint="eastAsia" w:ascii="宋体" w:hAnsi="宋体" w:eastAsia="宋体" w:cs="宋体"/>
          <w:sz w:val="24"/>
          <w:szCs w:val="24"/>
        </w:rPr>
        <w:t>（二）执行自治区关于松材线虫病防控工作的有关规定，工程建设采用的模板、支撑及脚手架以钢模板、钢支撑为主，木质模板及仿材尽量就地采购，避免长途转运。</w:t>
      </w:r>
    </w:p>
    <w:p w14:paraId="0546A794">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4.3 分包</w:t>
      </w:r>
    </w:p>
    <w:p w14:paraId="1AC4F308">
      <w:pPr>
        <w:pStyle w:val="4"/>
        <w:rPr>
          <w:rFonts w:hint="eastAsia" w:ascii="宋体" w:hAnsi="宋体" w:eastAsia="宋体" w:cs="宋体"/>
          <w:sz w:val="24"/>
          <w:szCs w:val="24"/>
        </w:rPr>
      </w:pPr>
      <w:r>
        <w:rPr>
          <w:rFonts w:hint="eastAsia" w:ascii="宋体" w:hAnsi="宋体" w:eastAsia="宋体" w:cs="宋体"/>
          <w:sz w:val="24"/>
          <w:szCs w:val="24"/>
        </w:rPr>
        <w:t>本工程不允许分包。</w:t>
      </w:r>
    </w:p>
    <w:p w14:paraId="0A1315A4">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4.7撤换承包人项目经理和其他人员</w:t>
      </w:r>
    </w:p>
    <w:p w14:paraId="6651D345">
      <w:pPr>
        <w:pStyle w:val="4"/>
        <w:rPr>
          <w:rFonts w:hint="eastAsia" w:ascii="宋体" w:hAnsi="宋体" w:eastAsia="宋体" w:cs="宋体"/>
          <w:sz w:val="24"/>
          <w:szCs w:val="24"/>
        </w:rPr>
      </w:pPr>
      <w:r>
        <w:rPr>
          <w:rFonts w:hint="eastAsia" w:ascii="宋体" w:hAnsi="宋体" w:eastAsia="宋体" w:cs="宋体"/>
          <w:sz w:val="24"/>
          <w:szCs w:val="24"/>
        </w:rPr>
        <w:t>□4.7.1成交人根据投标文件的承诺，投入本项目的项目经理、技术负责人、质量管理员、安全管理员等主要管理人员成交后不得更换(除因故去世、调离本单位外)。</w:t>
      </w:r>
    </w:p>
    <w:p w14:paraId="63F49D10">
      <w:pPr>
        <w:pStyle w:val="4"/>
        <w:rPr>
          <w:rFonts w:hint="eastAsia" w:ascii="宋体" w:hAnsi="宋体" w:eastAsia="宋体" w:cs="宋体"/>
          <w:sz w:val="24"/>
          <w:szCs w:val="24"/>
        </w:rPr>
      </w:pPr>
      <w:r>
        <w:rPr>
          <w:rFonts w:hint="eastAsia" w:ascii="宋体" w:hAnsi="宋体" w:eastAsia="宋体" w:cs="宋体"/>
          <w:sz w:val="24"/>
          <w:szCs w:val="24"/>
        </w:rPr>
        <w:t>■4.7.1投入本项目的项目经理、技术负责人、质量管理员、专全管理员等主要管理人员成交后，经成交人申请、监理机构审核允许、招标人同意后方可变更为不低于同等条件的人员。</w:t>
      </w:r>
    </w:p>
    <w:p w14:paraId="638D048D">
      <w:pPr>
        <w:pStyle w:val="4"/>
        <w:rPr>
          <w:rFonts w:hint="eastAsia" w:ascii="宋体" w:hAnsi="宋体" w:eastAsia="宋体" w:cs="宋体"/>
          <w:sz w:val="24"/>
          <w:szCs w:val="24"/>
        </w:rPr>
      </w:pPr>
      <w:r>
        <w:rPr>
          <w:rFonts w:hint="eastAsia" w:ascii="宋体" w:hAnsi="宋体" w:eastAsia="宋体" w:cs="宋体"/>
          <w:sz w:val="24"/>
          <w:szCs w:val="24"/>
        </w:rPr>
        <w:t>4.7.2项目经理每月在工地时间少于</w:t>
      </w:r>
      <w:r>
        <w:rPr>
          <w:rFonts w:hint="eastAsia" w:ascii="宋体" w:hAnsi="宋体" w:eastAsia="宋体" w:cs="宋体"/>
          <w:sz w:val="24"/>
          <w:szCs w:val="24"/>
          <w:u w:val="single"/>
        </w:rPr>
        <w:t xml:space="preserve"> 21 </w:t>
      </w:r>
      <w:r>
        <w:rPr>
          <w:rFonts w:hint="eastAsia" w:ascii="宋体" w:hAnsi="宋体" w:eastAsia="宋体" w:cs="宋体"/>
          <w:sz w:val="24"/>
          <w:szCs w:val="24"/>
        </w:rPr>
        <w:t>日（春节除外），且未经招标人同意的，按未履职处理，由有关行政监督部门处理后报请自治区有关行政监督部门将结果记入市场主体信用档案，公布不良行为记录。</w:t>
      </w:r>
    </w:p>
    <w:p w14:paraId="3E3C1CB7">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4.11 不利物质条件</w:t>
      </w:r>
    </w:p>
    <w:p w14:paraId="6A515A45">
      <w:pPr>
        <w:pStyle w:val="4"/>
        <w:rPr>
          <w:rFonts w:hint="eastAsia" w:ascii="宋体" w:hAnsi="宋体" w:eastAsia="宋体" w:cs="宋体"/>
          <w:sz w:val="24"/>
          <w:szCs w:val="24"/>
        </w:rPr>
      </w:pPr>
      <w:bookmarkStart w:id="139" w:name="_Toc221951159"/>
      <w:bookmarkStart w:id="140" w:name="_Toc22553"/>
      <w:r>
        <w:rPr>
          <w:rFonts w:hint="eastAsia" w:ascii="宋体" w:hAnsi="宋体" w:eastAsia="宋体" w:cs="宋体"/>
          <w:b/>
          <w:sz w:val="24"/>
          <w:szCs w:val="24"/>
        </w:rPr>
        <w:t>4.11.1</w:t>
      </w:r>
      <w:r>
        <w:rPr>
          <w:rFonts w:hint="eastAsia" w:ascii="宋体" w:hAnsi="宋体" w:eastAsia="宋体" w:cs="宋体"/>
          <w:sz w:val="24"/>
          <w:szCs w:val="24"/>
        </w:rPr>
        <w:t>不利物质条件的范围：</w:t>
      </w:r>
      <w:bookmarkStart w:id="141" w:name="OLE_LINK2"/>
      <w:r>
        <w:rPr>
          <w:rFonts w:hint="eastAsia" w:ascii="宋体" w:hAnsi="宋体" w:eastAsia="宋体" w:cs="宋体"/>
          <w:sz w:val="24"/>
          <w:szCs w:val="24"/>
          <w:u w:val="single"/>
        </w:rPr>
        <w:t>不可预见的自然物质条件、非自然的物质障碍和污染物，包括地下和水文条件</w:t>
      </w:r>
      <w:bookmarkEnd w:id="141"/>
      <w:r>
        <w:rPr>
          <w:rFonts w:hint="eastAsia" w:ascii="宋体" w:hAnsi="宋体" w:eastAsia="宋体" w:cs="宋体"/>
          <w:sz w:val="24"/>
          <w:szCs w:val="24"/>
          <w:u w:val="single"/>
        </w:rPr>
        <w:t>等，但不包括气候条件</w:t>
      </w:r>
      <w:r>
        <w:rPr>
          <w:rFonts w:hint="eastAsia" w:ascii="宋体" w:hAnsi="宋体" w:eastAsia="宋体" w:cs="宋体"/>
          <w:sz w:val="24"/>
          <w:szCs w:val="24"/>
        </w:rPr>
        <w:t>。</w:t>
      </w:r>
      <w:bookmarkEnd w:id="139"/>
    </w:p>
    <w:p w14:paraId="5D309BFE">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5. 材料和工程设备</w:t>
      </w:r>
      <w:bookmarkEnd w:id="140"/>
    </w:p>
    <w:p w14:paraId="30EC1DF0">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5.2 发包人提供的材料和工程设备</w:t>
      </w:r>
    </w:p>
    <w:p w14:paraId="566D8056">
      <w:pPr>
        <w:pStyle w:val="4"/>
        <w:rPr>
          <w:rFonts w:hint="eastAsia" w:ascii="宋体" w:hAnsi="宋体" w:eastAsia="宋体" w:cs="宋体"/>
          <w:sz w:val="24"/>
          <w:szCs w:val="24"/>
        </w:rPr>
      </w:pPr>
      <w:bookmarkStart w:id="142" w:name="_Toc28379"/>
      <w:r>
        <w:rPr>
          <w:rFonts w:hint="eastAsia" w:ascii="宋体" w:hAnsi="宋体" w:eastAsia="宋体" w:cs="宋体"/>
          <w:sz w:val="24"/>
          <w:szCs w:val="24"/>
        </w:rPr>
        <w:t>5.2.1本工程发包人不提供材料和工程设备。</w:t>
      </w:r>
    </w:p>
    <w:p w14:paraId="65602B64">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6. 施工设备和临时设施</w:t>
      </w:r>
      <w:bookmarkEnd w:id="142"/>
    </w:p>
    <w:p w14:paraId="4E984C48">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6.1 承包人提供的施工设备和临时设施</w:t>
      </w:r>
    </w:p>
    <w:p w14:paraId="1042A998">
      <w:pPr>
        <w:pStyle w:val="4"/>
        <w:rPr>
          <w:rFonts w:hint="eastAsia" w:ascii="宋体" w:hAnsi="宋体" w:eastAsia="宋体" w:cs="宋体"/>
          <w:sz w:val="24"/>
          <w:szCs w:val="24"/>
        </w:rPr>
      </w:pPr>
      <w:r>
        <w:rPr>
          <w:rFonts w:hint="eastAsia" w:ascii="宋体" w:hAnsi="宋体" w:eastAsia="宋体" w:cs="宋体"/>
          <w:sz w:val="24"/>
          <w:szCs w:val="24"/>
        </w:rPr>
        <w:t>6.1.2承包人自行承担修建临时设施的费用，需要临时占地的，由承包人办理相关申请手续，发包人予以协助，发生的相关费用由承包人承担。</w:t>
      </w:r>
    </w:p>
    <w:p w14:paraId="2FC22DF3">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6.2发包人提供的施工设备和临时设施</w:t>
      </w:r>
    </w:p>
    <w:p w14:paraId="05AD8E9F">
      <w:pPr>
        <w:pStyle w:val="4"/>
        <w:rPr>
          <w:rFonts w:hint="eastAsia" w:ascii="宋体" w:hAnsi="宋体" w:eastAsia="宋体" w:cs="宋体"/>
          <w:sz w:val="24"/>
          <w:szCs w:val="24"/>
        </w:rPr>
      </w:pPr>
      <w:r>
        <w:rPr>
          <w:rFonts w:hint="eastAsia" w:ascii="宋体" w:hAnsi="宋体" w:eastAsia="宋体" w:cs="宋体"/>
          <w:sz w:val="24"/>
          <w:szCs w:val="24"/>
        </w:rPr>
        <w:t>发包人不提供施工设备和临时设施。</w:t>
      </w:r>
    </w:p>
    <w:p w14:paraId="41F62F48">
      <w:pPr>
        <w:pStyle w:val="6"/>
        <w:numPr>
          <w:ilvl w:val="0"/>
          <w:numId w:val="0"/>
        </w:numPr>
        <w:bidi w:val="0"/>
        <w:ind w:left="482" w:leftChars="0"/>
        <w:rPr>
          <w:rFonts w:hint="eastAsia" w:ascii="宋体" w:hAnsi="宋体" w:eastAsia="宋体" w:cs="宋体"/>
          <w:sz w:val="24"/>
          <w:szCs w:val="24"/>
        </w:rPr>
      </w:pPr>
      <w:bookmarkStart w:id="143" w:name="_Toc6188"/>
      <w:r>
        <w:rPr>
          <w:rFonts w:hint="eastAsia" w:ascii="宋体" w:hAnsi="宋体" w:eastAsia="宋体" w:cs="宋体"/>
          <w:sz w:val="24"/>
          <w:szCs w:val="24"/>
        </w:rPr>
        <w:t>7. 交通运输</w:t>
      </w:r>
      <w:bookmarkEnd w:id="143"/>
    </w:p>
    <w:p w14:paraId="74173BA5">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7.1道路通行权和场外设施</w:t>
      </w:r>
    </w:p>
    <w:p w14:paraId="7B6FE0EA">
      <w:pPr>
        <w:pStyle w:val="4"/>
        <w:rPr>
          <w:rFonts w:hint="eastAsia" w:ascii="宋体" w:hAnsi="宋体" w:eastAsia="宋体" w:cs="宋体"/>
          <w:sz w:val="24"/>
          <w:szCs w:val="24"/>
        </w:rPr>
      </w:pPr>
      <w:r>
        <w:rPr>
          <w:rFonts w:hint="eastAsia" w:ascii="宋体" w:hAnsi="宋体" w:eastAsia="宋体" w:cs="宋体"/>
          <w:sz w:val="24"/>
          <w:szCs w:val="24"/>
        </w:rPr>
        <w:t>道路通行权和场外设施的约定：</w:t>
      </w:r>
      <w:r>
        <w:rPr>
          <w:rFonts w:hint="eastAsia" w:ascii="宋体" w:hAnsi="宋体" w:eastAsia="宋体" w:cs="宋体"/>
          <w:sz w:val="24"/>
          <w:szCs w:val="24"/>
          <w:u w:val="single"/>
        </w:rPr>
        <w:t xml:space="preserve">  承包人应根据合同工程的施工需要，负责办理取得出入施工场地的专用和临时道路的通行权，以及取得为工程建设所需修建场外设施的权利，并承担相关费用 </w:t>
      </w:r>
      <w:r>
        <w:rPr>
          <w:rFonts w:hint="eastAsia" w:ascii="宋体" w:hAnsi="宋体" w:eastAsia="宋体" w:cs="宋体"/>
          <w:sz w:val="24"/>
          <w:szCs w:val="24"/>
        </w:rPr>
        <w:t>。</w:t>
      </w:r>
    </w:p>
    <w:p w14:paraId="764FFD4D">
      <w:pPr>
        <w:pStyle w:val="6"/>
        <w:numPr>
          <w:ilvl w:val="0"/>
          <w:numId w:val="0"/>
        </w:numPr>
        <w:bidi w:val="0"/>
        <w:ind w:left="482" w:leftChars="0"/>
        <w:rPr>
          <w:rFonts w:hint="eastAsia" w:ascii="宋体" w:hAnsi="宋体" w:eastAsia="宋体" w:cs="宋体"/>
          <w:sz w:val="24"/>
          <w:szCs w:val="24"/>
        </w:rPr>
      </w:pPr>
      <w:bookmarkStart w:id="144" w:name="_Toc32221"/>
      <w:r>
        <w:rPr>
          <w:rFonts w:hint="eastAsia" w:ascii="宋体" w:hAnsi="宋体" w:eastAsia="宋体" w:cs="宋体"/>
          <w:sz w:val="24"/>
          <w:szCs w:val="24"/>
        </w:rPr>
        <w:t>8. 测量放线</w:t>
      </w:r>
      <w:bookmarkEnd w:id="144"/>
    </w:p>
    <w:p w14:paraId="0620AE47">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8.1 施工控制网</w:t>
      </w:r>
    </w:p>
    <w:p w14:paraId="36067FCC">
      <w:pPr>
        <w:pStyle w:val="4"/>
        <w:rPr>
          <w:rFonts w:hint="eastAsia" w:ascii="宋体" w:hAnsi="宋体" w:eastAsia="宋体" w:cs="宋体"/>
          <w:sz w:val="24"/>
          <w:szCs w:val="24"/>
        </w:rPr>
      </w:pPr>
      <w:r>
        <w:rPr>
          <w:rFonts w:hint="eastAsia" w:ascii="宋体" w:hAnsi="宋体" w:eastAsia="宋体" w:cs="宋体"/>
          <w:sz w:val="24"/>
          <w:szCs w:val="24"/>
        </w:rPr>
        <w:t>8.1.1施工控制网的约定：</w:t>
      </w:r>
      <w:r>
        <w:rPr>
          <w:rFonts w:hint="eastAsia" w:ascii="宋体" w:hAnsi="宋体" w:eastAsia="宋体" w:cs="宋体"/>
          <w:sz w:val="24"/>
          <w:szCs w:val="24"/>
          <w:u w:val="single"/>
        </w:rPr>
        <w:t>由承包人负责测设，并报监理人审批，相关费用由承包人承担</w:t>
      </w:r>
      <w:r>
        <w:rPr>
          <w:rFonts w:hint="eastAsia" w:ascii="宋体" w:hAnsi="宋体" w:eastAsia="宋体" w:cs="宋体"/>
          <w:sz w:val="24"/>
          <w:szCs w:val="24"/>
        </w:rPr>
        <w:t>。</w:t>
      </w:r>
    </w:p>
    <w:p w14:paraId="093306F7">
      <w:pPr>
        <w:pStyle w:val="6"/>
        <w:numPr>
          <w:ilvl w:val="0"/>
          <w:numId w:val="0"/>
        </w:numPr>
        <w:bidi w:val="0"/>
        <w:ind w:left="482" w:leftChars="0"/>
        <w:rPr>
          <w:rFonts w:hint="eastAsia" w:ascii="宋体" w:hAnsi="宋体" w:eastAsia="宋体" w:cs="宋体"/>
          <w:sz w:val="24"/>
          <w:szCs w:val="24"/>
        </w:rPr>
      </w:pPr>
      <w:bookmarkStart w:id="145" w:name="_Toc31695"/>
      <w:r>
        <w:rPr>
          <w:rFonts w:hint="eastAsia" w:ascii="宋体" w:hAnsi="宋体" w:eastAsia="宋体" w:cs="宋体"/>
          <w:sz w:val="24"/>
          <w:szCs w:val="24"/>
        </w:rPr>
        <w:t>9. 施工安全、治安保卫和环境保护</w:t>
      </w:r>
      <w:bookmarkEnd w:id="145"/>
    </w:p>
    <w:p w14:paraId="15B7725E">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9.2 承包人的施工安全责任</w:t>
      </w:r>
    </w:p>
    <w:p w14:paraId="393651AE">
      <w:pPr>
        <w:pStyle w:val="4"/>
        <w:rPr>
          <w:rFonts w:hint="eastAsia" w:ascii="宋体" w:hAnsi="宋体" w:eastAsia="宋体" w:cs="宋体"/>
          <w:sz w:val="24"/>
          <w:szCs w:val="24"/>
        </w:rPr>
      </w:pPr>
      <w:r>
        <w:rPr>
          <w:rFonts w:hint="eastAsia" w:ascii="宋体" w:hAnsi="宋体" w:eastAsia="宋体" w:cs="宋体"/>
          <w:sz w:val="24"/>
          <w:szCs w:val="24"/>
        </w:rPr>
        <w:t>9.2.8安全施工措施所需费用在投标时不得做竞争调整。</w:t>
      </w:r>
    </w:p>
    <w:p w14:paraId="4E8314D4">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9.7 文明工地</w:t>
      </w:r>
    </w:p>
    <w:p w14:paraId="54BDFD39">
      <w:pPr>
        <w:pStyle w:val="4"/>
        <w:rPr>
          <w:rFonts w:hint="eastAsia" w:ascii="宋体" w:hAnsi="宋体" w:eastAsia="宋体" w:cs="宋体"/>
          <w:sz w:val="24"/>
          <w:szCs w:val="24"/>
        </w:rPr>
      </w:pPr>
      <w:r>
        <w:rPr>
          <w:rFonts w:hint="eastAsia" w:ascii="宋体" w:hAnsi="宋体" w:eastAsia="宋体" w:cs="宋体"/>
          <w:sz w:val="24"/>
          <w:szCs w:val="24"/>
        </w:rPr>
        <w:t>9.7.1 本合同文明工地的约定：</w:t>
      </w:r>
      <w:r>
        <w:rPr>
          <w:rFonts w:hint="eastAsia" w:ascii="宋体" w:hAnsi="宋体" w:eastAsia="宋体" w:cs="宋体"/>
          <w:color w:val="000000"/>
          <w:sz w:val="24"/>
          <w:szCs w:val="24"/>
          <w:u w:val="single"/>
        </w:rPr>
        <w:t>要求达到《建筑施工安全检查标准》（JGJ59-2011）的标准和符合《广西壮族自治区建筑工程安全文明施工费使用管理细则》（桂建质安【2015】16号文）的要求</w:t>
      </w:r>
      <w:r>
        <w:rPr>
          <w:rFonts w:hint="eastAsia" w:ascii="宋体" w:hAnsi="宋体" w:eastAsia="宋体" w:cs="宋体"/>
          <w:sz w:val="24"/>
          <w:szCs w:val="24"/>
        </w:rPr>
        <w:t>。</w:t>
      </w:r>
    </w:p>
    <w:p w14:paraId="689FD7F5">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11. 开工和竣工（完工）</w:t>
      </w:r>
    </w:p>
    <w:p w14:paraId="68454334">
      <w:pPr>
        <w:pStyle w:val="4"/>
        <w:rPr>
          <w:rFonts w:hint="eastAsia" w:ascii="宋体" w:hAnsi="宋体" w:eastAsia="宋体" w:cs="宋体"/>
          <w:b/>
          <w:sz w:val="24"/>
          <w:szCs w:val="24"/>
        </w:rPr>
      </w:pPr>
      <w:bookmarkStart w:id="146" w:name="bookmark1713"/>
      <w:bookmarkStart w:id="147" w:name="bookmark1711"/>
      <w:bookmarkStart w:id="148" w:name="bookmark1712"/>
      <w:r>
        <w:rPr>
          <w:rFonts w:hint="eastAsia" w:ascii="宋体" w:hAnsi="宋体" w:eastAsia="宋体" w:cs="宋体"/>
          <w:b/>
          <w:sz w:val="24"/>
          <w:szCs w:val="24"/>
        </w:rPr>
        <w:t>11.2本工程主体工程完工时间为：</w:t>
      </w:r>
      <w:r>
        <w:rPr>
          <w:rFonts w:hint="eastAsia" w:ascii="宋体" w:hAnsi="宋体" w:eastAsia="宋体" w:cs="宋体"/>
          <w:b/>
          <w:sz w:val="24"/>
          <w:szCs w:val="24"/>
          <w:u w:val="single"/>
        </w:rPr>
        <w:tab/>
      </w:r>
      <w:r>
        <w:rPr>
          <w:rFonts w:hint="eastAsia" w:ascii="宋体" w:hAnsi="宋体" w:eastAsia="宋体" w:cs="宋体"/>
          <w:b/>
          <w:sz w:val="24"/>
          <w:szCs w:val="24"/>
          <w:u w:val="single"/>
        </w:rPr>
        <w:t xml:space="preserve">     </w:t>
      </w:r>
      <w:r>
        <w:rPr>
          <w:rFonts w:hint="eastAsia" w:ascii="宋体" w:hAnsi="宋体" w:eastAsia="宋体" w:cs="宋体"/>
          <w:b/>
          <w:sz w:val="24"/>
          <w:szCs w:val="24"/>
        </w:rPr>
        <w:t>年</w:t>
      </w:r>
      <w:r>
        <w:rPr>
          <w:rFonts w:hint="eastAsia" w:ascii="宋体" w:hAnsi="宋体" w:eastAsia="宋体" w:cs="宋体"/>
          <w:b/>
          <w:sz w:val="24"/>
          <w:szCs w:val="24"/>
          <w:u w:val="single"/>
        </w:rPr>
        <w:t xml:space="preserve">     </w:t>
      </w:r>
      <w:r>
        <w:rPr>
          <w:rFonts w:hint="eastAsia" w:ascii="宋体" w:hAnsi="宋体" w:eastAsia="宋体" w:cs="宋体"/>
          <w:b/>
          <w:sz w:val="24"/>
          <w:szCs w:val="24"/>
        </w:rPr>
        <w:t xml:space="preserve">月 </w:t>
      </w:r>
      <w:r>
        <w:rPr>
          <w:rFonts w:hint="eastAsia" w:ascii="宋体" w:hAnsi="宋体" w:eastAsia="宋体" w:cs="宋体"/>
          <w:b/>
          <w:sz w:val="24"/>
          <w:szCs w:val="24"/>
          <w:u w:val="single"/>
        </w:rPr>
        <w:t xml:space="preserve">    </w:t>
      </w:r>
      <w:r>
        <w:rPr>
          <w:rFonts w:hint="eastAsia" w:ascii="宋体" w:hAnsi="宋体" w:eastAsia="宋体" w:cs="宋体"/>
          <w:b/>
          <w:sz w:val="24"/>
          <w:szCs w:val="24"/>
        </w:rPr>
        <w:t>日。</w:t>
      </w:r>
      <w:bookmarkEnd w:id="146"/>
      <w:bookmarkEnd w:id="147"/>
      <w:bookmarkEnd w:id="148"/>
    </w:p>
    <w:p w14:paraId="2250C63A">
      <w:pPr>
        <w:pStyle w:val="4"/>
        <w:rPr>
          <w:rFonts w:hint="eastAsia" w:ascii="宋体" w:hAnsi="宋体" w:eastAsia="宋体" w:cs="宋体"/>
          <w:b/>
          <w:sz w:val="24"/>
          <w:szCs w:val="24"/>
        </w:rPr>
      </w:pPr>
      <w:bookmarkStart w:id="149" w:name="bookmark1716"/>
      <w:bookmarkStart w:id="150" w:name="bookmark1715"/>
      <w:bookmarkStart w:id="151" w:name="bookmark1714"/>
      <w:r>
        <w:rPr>
          <w:rFonts w:hint="eastAsia" w:ascii="宋体" w:hAnsi="宋体" w:eastAsia="宋体" w:cs="宋体"/>
          <w:b/>
          <w:sz w:val="24"/>
          <w:szCs w:val="24"/>
        </w:rPr>
        <w:t>11.3发包人的工期延误</w:t>
      </w:r>
      <w:bookmarkEnd w:id="149"/>
      <w:bookmarkEnd w:id="150"/>
      <w:bookmarkEnd w:id="151"/>
    </w:p>
    <w:p w14:paraId="4844CEA1">
      <w:pPr>
        <w:pStyle w:val="4"/>
        <w:rPr>
          <w:rFonts w:hint="eastAsia" w:ascii="宋体" w:hAnsi="宋体" w:eastAsia="宋体" w:cs="宋体"/>
          <w:sz w:val="24"/>
          <w:szCs w:val="24"/>
        </w:rPr>
      </w:pPr>
      <w:r>
        <w:rPr>
          <w:rFonts w:hint="eastAsia" w:ascii="宋体" w:hAnsi="宋体" w:eastAsia="宋体" w:cs="宋体"/>
          <w:sz w:val="24"/>
          <w:szCs w:val="24"/>
        </w:rPr>
        <w:t>在履行合同过程中，由于发包人的下列原因造成工期延误的，承包人有权要求发包人延长工期，并支付合理利润。需要修订合同进度计划的，按照第10. 2款的约定办理。</w:t>
      </w:r>
    </w:p>
    <w:p w14:paraId="413A1558">
      <w:pPr>
        <w:pStyle w:val="4"/>
        <w:rPr>
          <w:rFonts w:hint="eastAsia" w:ascii="宋体" w:hAnsi="宋体" w:eastAsia="宋体" w:cs="宋体"/>
          <w:sz w:val="24"/>
          <w:szCs w:val="24"/>
        </w:rPr>
      </w:pPr>
      <w:bookmarkStart w:id="152" w:name="bookmark1177"/>
      <w:bookmarkEnd w:id="152"/>
      <w:r>
        <w:rPr>
          <w:rFonts w:hint="eastAsia" w:ascii="宋体" w:hAnsi="宋体" w:eastAsia="宋体" w:cs="宋体"/>
          <w:sz w:val="24"/>
          <w:szCs w:val="24"/>
        </w:rPr>
        <w:t>（1）增加合同工作内容；</w:t>
      </w:r>
    </w:p>
    <w:p w14:paraId="60ABD71B">
      <w:pPr>
        <w:pStyle w:val="4"/>
        <w:rPr>
          <w:rFonts w:hint="eastAsia" w:ascii="宋体" w:hAnsi="宋体" w:eastAsia="宋体" w:cs="宋体"/>
          <w:sz w:val="24"/>
          <w:szCs w:val="24"/>
        </w:rPr>
      </w:pPr>
      <w:bookmarkStart w:id="153" w:name="bookmark1178"/>
      <w:bookmarkEnd w:id="153"/>
      <w:r>
        <w:rPr>
          <w:rFonts w:hint="eastAsia" w:ascii="宋体" w:hAnsi="宋体" w:eastAsia="宋体" w:cs="宋体"/>
          <w:sz w:val="24"/>
          <w:szCs w:val="24"/>
        </w:rPr>
        <w:t>（2）改变合同中任何一项工作的质量要求或其他特性；</w:t>
      </w:r>
    </w:p>
    <w:p w14:paraId="63118B81">
      <w:pPr>
        <w:pStyle w:val="4"/>
        <w:rPr>
          <w:rFonts w:hint="eastAsia" w:ascii="宋体" w:hAnsi="宋体" w:eastAsia="宋体" w:cs="宋体"/>
          <w:sz w:val="24"/>
          <w:szCs w:val="24"/>
        </w:rPr>
      </w:pPr>
      <w:bookmarkStart w:id="154" w:name="bookmark1179"/>
      <w:bookmarkEnd w:id="154"/>
      <w:r>
        <w:rPr>
          <w:rFonts w:hint="eastAsia" w:ascii="宋体" w:hAnsi="宋体" w:eastAsia="宋体" w:cs="宋体"/>
          <w:sz w:val="24"/>
          <w:szCs w:val="24"/>
        </w:rPr>
        <w:t>（3）发包人迟延提供材料、工程设备或变更交货地点的；</w:t>
      </w:r>
    </w:p>
    <w:p w14:paraId="7BF91875">
      <w:pPr>
        <w:pStyle w:val="4"/>
        <w:rPr>
          <w:rFonts w:hint="eastAsia" w:ascii="宋体" w:hAnsi="宋体" w:eastAsia="宋体" w:cs="宋体"/>
          <w:sz w:val="24"/>
          <w:szCs w:val="24"/>
        </w:rPr>
      </w:pPr>
      <w:bookmarkStart w:id="155" w:name="bookmark1180"/>
      <w:bookmarkEnd w:id="155"/>
      <w:r>
        <w:rPr>
          <w:rFonts w:hint="eastAsia" w:ascii="宋体" w:hAnsi="宋体" w:eastAsia="宋体" w:cs="宋体"/>
          <w:sz w:val="24"/>
          <w:szCs w:val="24"/>
        </w:rPr>
        <w:t>（4）因发包人原因导致的暂停施工；</w:t>
      </w:r>
    </w:p>
    <w:p w14:paraId="0556A2E0">
      <w:pPr>
        <w:pStyle w:val="4"/>
        <w:rPr>
          <w:rFonts w:hint="eastAsia" w:ascii="宋体" w:hAnsi="宋体" w:eastAsia="宋体" w:cs="宋体"/>
          <w:sz w:val="24"/>
          <w:szCs w:val="24"/>
        </w:rPr>
      </w:pPr>
      <w:bookmarkStart w:id="156" w:name="bookmark1181"/>
      <w:bookmarkEnd w:id="156"/>
      <w:r>
        <w:rPr>
          <w:rFonts w:hint="eastAsia" w:ascii="宋体" w:hAnsi="宋体" w:eastAsia="宋体" w:cs="宋体"/>
          <w:sz w:val="24"/>
          <w:szCs w:val="24"/>
        </w:rPr>
        <w:t>（5）提供图纸延误；</w:t>
      </w:r>
    </w:p>
    <w:p w14:paraId="320A1F1B">
      <w:pPr>
        <w:pStyle w:val="4"/>
        <w:rPr>
          <w:rFonts w:hint="eastAsia" w:ascii="宋体" w:hAnsi="宋体" w:eastAsia="宋体" w:cs="宋体"/>
          <w:sz w:val="24"/>
          <w:szCs w:val="24"/>
        </w:rPr>
      </w:pPr>
      <w:bookmarkStart w:id="157" w:name="bookmark1182"/>
      <w:bookmarkEnd w:id="157"/>
      <w:r>
        <w:rPr>
          <w:rFonts w:hint="eastAsia" w:ascii="宋体" w:hAnsi="宋体" w:eastAsia="宋体" w:cs="宋体"/>
          <w:sz w:val="24"/>
          <w:szCs w:val="24"/>
        </w:rPr>
        <w:t>（6）未按合同约定及时支付预付款、进度款；</w:t>
      </w:r>
    </w:p>
    <w:p w14:paraId="78C66146">
      <w:pPr>
        <w:pStyle w:val="4"/>
        <w:rPr>
          <w:rFonts w:hint="eastAsia" w:ascii="宋体" w:hAnsi="宋体" w:eastAsia="宋体" w:cs="宋体"/>
          <w:sz w:val="24"/>
          <w:szCs w:val="24"/>
        </w:rPr>
      </w:pPr>
      <w:bookmarkStart w:id="158" w:name="bookmark1183"/>
      <w:bookmarkEnd w:id="158"/>
      <w:r>
        <w:rPr>
          <w:rFonts w:hint="eastAsia" w:ascii="宋体" w:hAnsi="宋体" w:eastAsia="宋体" w:cs="宋体"/>
          <w:sz w:val="24"/>
          <w:szCs w:val="24"/>
        </w:rPr>
        <w:t>（7）发包人造成工期延误的其他原因。</w:t>
      </w:r>
    </w:p>
    <w:p w14:paraId="19A367B9">
      <w:pPr>
        <w:pStyle w:val="4"/>
        <w:rPr>
          <w:rFonts w:hint="eastAsia" w:ascii="宋体" w:hAnsi="宋体" w:eastAsia="宋体" w:cs="宋体"/>
          <w:b/>
          <w:sz w:val="24"/>
          <w:szCs w:val="24"/>
        </w:rPr>
      </w:pPr>
      <w:r>
        <w:rPr>
          <w:rFonts w:hint="eastAsia" w:ascii="宋体" w:hAnsi="宋体" w:eastAsia="宋体" w:cs="宋体"/>
          <w:b/>
          <w:sz w:val="24"/>
          <w:szCs w:val="24"/>
        </w:rPr>
        <w:t xml:space="preserve">11.4 异常恶劣的气候条件 </w:t>
      </w:r>
    </w:p>
    <w:p w14:paraId="3977D949">
      <w:pPr>
        <w:pStyle w:val="4"/>
        <w:rPr>
          <w:rFonts w:hint="eastAsia" w:ascii="宋体" w:hAnsi="宋体" w:eastAsia="宋体" w:cs="宋体"/>
          <w:sz w:val="24"/>
          <w:szCs w:val="24"/>
        </w:rPr>
      </w:pPr>
      <w:r>
        <w:rPr>
          <w:rFonts w:hint="eastAsia" w:ascii="宋体" w:hAnsi="宋体" w:eastAsia="宋体" w:cs="宋体"/>
          <w:sz w:val="24"/>
          <w:szCs w:val="24"/>
        </w:rPr>
        <w:t>11.4.3 本合同工程界定异常恶劣气候条件的范围为：</w:t>
      </w:r>
    </w:p>
    <w:p w14:paraId="7CF76AD2">
      <w:pPr>
        <w:pStyle w:val="4"/>
        <w:rPr>
          <w:rFonts w:hint="eastAsia" w:ascii="宋体" w:hAnsi="宋体" w:eastAsia="宋体" w:cs="宋体"/>
          <w:sz w:val="24"/>
          <w:szCs w:val="24"/>
        </w:rPr>
      </w:pPr>
      <w:r>
        <w:rPr>
          <w:rFonts w:hint="eastAsia" w:ascii="宋体" w:hAnsi="宋体" w:eastAsia="宋体" w:cs="宋体"/>
          <w:sz w:val="24"/>
          <w:szCs w:val="24"/>
        </w:rPr>
        <w:t>（1）日降雨量大于</w:t>
      </w:r>
      <w:r>
        <w:rPr>
          <w:rFonts w:hint="eastAsia" w:ascii="宋体" w:hAnsi="宋体" w:eastAsia="宋体" w:cs="宋体"/>
          <w:sz w:val="24"/>
          <w:szCs w:val="24"/>
          <w:u w:val="single"/>
        </w:rPr>
        <w:t>200</w:t>
      </w:r>
      <w:r>
        <w:rPr>
          <w:rFonts w:hint="eastAsia" w:ascii="宋体" w:hAnsi="宋体" w:eastAsia="宋体" w:cs="宋体"/>
          <w:sz w:val="24"/>
          <w:szCs w:val="24"/>
        </w:rPr>
        <w:t>㎜的雨日超过</w:t>
      </w:r>
      <w:r>
        <w:rPr>
          <w:rFonts w:hint="eastAsia" w:ascii="宋体" w:hAnsi="宋体" w:eastAsia="宋体" w:cs="宋体"/>
          <w:sz w:val="24"/>
          <w:szCs w:val="24"/>
          <w:u w:val="single"/>
        </w:rPr>
        <w:t xml:space="preserve"> 10</w:t>
      </w:r>
      <w:r>
        <w:rPr>
          <w:rFonts w:hint="eastAsia" w:ascii="宋体" w:hAnsi="宋体" w:eastAsia="宋体" w:cs="宋体"/>
          <w:sz w:val="24"/>
          <w:szCs w:val="24"/>
        </w:rPr>
        <w:t>天；</w:t>
      </w:r>
    </w:p>
    <w:p w14:paraId="1F2CF4B4">
      <w:pPr>
        <w:pStyle w:val="4"/>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10</w:t>
      </w:r>
      <w:r>
        <w:rPr>
          <w:rFonts w:hint="eastAsia" w:ascii="宋体" w:hAnsi="宋体" w:eastAsia="宋体" w:cs="宋体"/>
          <w:sz w:val="24"/>
          <w:szCs w:val="24"/>
        </w:rPr>
        <w:t>级以上的持续</w:t>
      </w:r>
      <w:r>
        <w:rPr>
          <w:rFonts w:hint="eastAsia" w:ascii="宋体" w:hAnsi="宋体" w:eastAsia="宋体" w:cs="宋体"/>
          <w:sz w:val="24"/>
          <w:szCs w:val="24"/>
          <w:u w:val="single"/>
        </w:rPr>
        <w:t xml:space="preserve"> 2</w:t>
      </w:r>
      <w:r>
        <w:rPr>
          <w:rFonts w:hint="eastAsia" w:ascii="宋体" w:hAnsi="宋体" w:eastAsia="宋体" w:cs="宋体"/>
          <w:sz w:val="24"/>
          <w:szCs w:val="24"/>
        </w:rPr>
        <w:t>日的大风（以气象部门鉴定为准））</w:t>
      </w:r>
    </w:p>
    <w:p w14:paraId="2764DCFA">
      <w:pPr>
        <w:pStyle w:val="4"/>
        <w:rPr>
          <w:rFonts w:hint="eastAsia" w:ascii="宋体" w:hAnsi="宋体" w:eastAsia="宋体" w:cs="宋体"/>
          <w:sz w:val="24"/>
          <w:szCs w:val="24"/>
        </w:rPr>
      </w:pPr>
      <w:r>
        <w:rPr>
          <w:rFonts w:hint="eastAsia" w:ascii="宋体" w:hAnsi="宋体" w:eastAsia="宋体" w:cs="宋体"/>
          <w:sz w:val="24"/>
          <w:szCs w:val="24"/>
        </w:rPr>
        <w:t>（3）日气温超过</w:t>
      </w:r>
      <w:r>
        <w:rPr>
          <w:rFonts w:hint="eastAsia" w:ascii="宋体" w:hAnsi="宋体" w:eastAsia="宋体" w:cs="宋体"/>
          <w:sz w:val="24"/>
          <w:szCs w:val="24"/>
          <w:u w:val="single"/>
        </w:rPr>
        <w:t xml:space="preserve">40 </w:t>
      </w:r>
      <w:r>
        <w:rPr>
          <w:rFonts w:hint="eastAsia" w:ascii="宋体" w:hAnsi="宋体" w:eastAsia="宋体" w:cs="宋体"/>
          <w:sz w:val="24"/>
          <w:szCs w:val="24"/>
        </w:rPr>
        <w:t>℃的高温大于</w:t>
      </w:r>
      <w:r>
        <w:rPr>
          <w:rFonts w:hint="eastAsia" w:ascii="宋体" w:hAnsi="宋体" w:eastAsia="宋体" w:cs="宋体"/>
          <w:sz w:val="24"/>
          <w:szCs w:val="24"/>
          <w:u w:val="single"/>
        </w:rPr>
        <w:t>2</w:t>
      </w:r>
      <w:r>
        <w:rPr>
          <w:rFonts w:hint="eastAsia" w:ascii="宋体" w:hAnsi="宋体" w:eastAsia="宋体" w:cs="宋体"/>
          <w:sz w:val="24"/>
          <w:szCs w:val="24"/>
        </w:rPr>
        <w:t>天；</w:t>
      </w:r>
    </w:p>
    <w:p w14:paraId="7BC9EAC4">
      <w:pPr>
        <w:pStyle w:val="4"/>
        <w:rPr>
          <w:rFonts w:hint="eastAsia" w:ascii="宋体" w:hAnsi="宋体" w:eastAsia="宋体" w:cs="宋体"/>
          <w:sz w:val="24"/>
          <w:szCs w:val="24"/>
        </w:rPr>
      </w:pPr>
      <w:r>
        <w:rPr>
          <w:rFonts w:hint="eastAsia" w:ascii="宋体" w:hAnsi="宋体" w:eastAsia="宋体" w:cs="宋体"/>
          <w:sz w:val="24"/>
          <w:szCs w:val="24"/>
        </w:rPr>
        <w:t>（4）日气温低于</w:t>
      </w:r>
      <w:r>
        <w:rPr>
          <w:rFonts w:hint="eastAsia" w:ascii="宋体" w:hAnsi="宋体" w:eastAsia="宋体" w:cs="宋体"/>
          <w:sz w:val="24"/>
          <w:szCs w:val="24"/>
          <w:u w:val="single"/>
        </w:rPr>
        <w:t xml:space="preserve"> -10 </w:t>
      </w:r>
      <w:r>
        <w:rPr>
          <w:rFonts w:hint="eastAsia" w:ascii="宋体" w:hAnsi="宋体" w:eastAsia="宋体" w:cs="宋体"/>
          <w:sz w:val="24"/>
          <w:szCs w:val="24"/>
        </w:rPr>
        <w:t>℃的严寒大于</w:t>
      </w:r>
      <w:r>
        <w:rPr>
          <w:rFonts w:hint="eastAsia" w:ascii="宋体" w:hAnsi="宋体" w:eastAsia="宋体" w:cs="宋体"/>
          <w:sz w:val="24"/>
          <w:szCs w:val="24"/>
          <w:u w:val="single"/>
        </w:rPr>
        <w:t>2</w:t>
      </w:r>
      <w:r>
        <w:rPr>
          <w:rFonts w:hint="eastAsia" w:ascii="宋体" w:hAnsi="宋体" w:eastAsia="宋体" w:cs="宋体"/>
          <w:sz w:val="24"/>
          <w:szCs w:val="24"/>
        </w:rPr>
        <w:t>天。</w:t>
      </w:r>
    </w:p>
    <w:p w14:paraId="04745C02">
      <w:pPr>
        <w:pStyle w:val="4"/>
        <w:rPr>
          <w:rFonts w:hint="eastAsia" w:ascii="宋体" w:hAnsi="宋体" w:eastAsia="宋体" w:cs="宋体"/>
          <w:sz w:val="24"/>
          <w:szCs w:val="24"/>
        </w:rPr>
      </w:pPr>
      <w:r>
        <w:rPr>
          <w:rFonts w:hint="eastAsia" w:ascii="宋体" w:hAnsi="宋体" w:eastAsia="宋体" w:cs="宋体"/>
          <w:sz w:val="24"/>
          <w:szCs w:val="24"/>
        </w:rPr>
        <w:t>（5）造成工程损坏的冰雹和大雪灾害；</w:t>
      </w:r>
    </w:p>
    <w:p w14:paraId="265DBC16">
      <w:pPr>
        <w:pStyle w:val="4"/>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u w:val="single"/>
        </w:rPr>
        <w:t>6</w:t>
      </w:r>
      <w:r>
        <w:rPr>
          <w:rFonts w:hint="eastAsia" w:ascii="宋体" w:hAnsi="宋体" w:eastAsia="宋体" w:cs="宋体"/>
          <w:sz w:val="24"/>
          <w:szCs w:val="24"/>
        </w:rPr>
        <w:t>级以上的地震；</w:t>
      </w:r>
    </w:p>
    <w:p w14:paraId="1243B95C">
      <w:pPr>
        <w:pStyle w:val="4"/>
        <w:rPr>
          <w:rFonts w:hint="eastAsia" w:ascii="宋体" w:hAnsi="宋体" w:eastAsia="宋体" w:cs="宋体"/>
          <w:sz w:val="24"/>
          <w:szCs w:val="24"/>
          <w:u w:val="single"/>
        </w:rPr>
      </w:pPr>
      <w:r>
        <w:rPr>
          <w:rFonts w:hint="eastAsia" w:ascii="宋体" w:hAnsi="宋体" w:eastAsia="宋体" w:cs="宋体"/>
          <w:sz w:val="24"/>
          <w:szCs w:val="24"/>
        </w:rPr>
        <w:t>（7）</w:t>
      </w:r>
      <w:r>
        <w:rPr>
          <w:rFonts w:hint="eastAsia" w:ascii="宋体" w:hAnsi="宋体" w:eastAsia="宋体" w:cs="宋体"/>
          <w:sz w:val="24"/>
          <w:szCs w:val="24"/>
          <w:u w:val="single"/>
        </w:rPr>
        <w:t>50</w:t>
      </w:r>
      <w:r>
        <w:rPr>
          <w:rFonts w:hint="eastAsia" w:ascii="宋体" w:hAnsi="宋体" w:eastAsia="宋体" w:cs="宋体"/>
          <w:sz w:val="24"/>
          <w:szCs w:val="24"/>
        </w:rPr>
        <w:t>年一遇及以上的洪水；</w:t>
      </w:r>
    </w:p>
    <w:p w14:paraId="78B528DF">
      <w:pPr>
        <w:pStyle w:val="4"/>
        <w:rPr>
          <w:rFonts w:hint="eastAsia" w:ascii="宋体" w:hAnsi="宋体" w:eastAsia="宋体" w:cs="宋体"/>
          <w:sz w:val="24"/>
          <w:szCs w:val="24"/>
        </w:rPr>
      </w:pPr>
      <w:r>
        <w:rPr>
          <w:rFonts w:hint="eastAsia" w:ascii="宋体" w:hAnsi="宋体" w:eastAsia="宋体" w:cs="宋体"/>
          <w:sz w:val="24"/>
          <w:szCs w:val="24"/>
        </w:rPr>
        <w:t>（8）其他异常恶劣气候灾害。</w:t>
      </w:r>
    </w:p>
    <w:p w14:paraId="5D2F7734">
      <w:pPr>
        <w:pStyle w:val="4"/>
        <w:rPr>
          <w:rFonts w:hint="eastAsia" w:ascii="宋体" w:hAnsi="宋体" w:eastAsia="宋体" w:cs="宋体"/>
          <w:sz w:val="24"/>
          <w:szCs w:val="24"/>
        </w:rPr>
      </w:pPr>
      <w:r>
        <w:rPr>
          <w:rFonts w:hint="eastAsia" w:ascii="宋体" w:hAnsi="宋体" w:eastAsia="宋体" w:cs="宋体"/>
          <w:sz w:val="24"/>
          <w:szCs w:val="24"/>
        </w:rPr>
        <w:t xml:space="preserve">11.5 承包人工期延误 </w:t>
      </w:r>
    </w:p>
    <w:p w14:paraId="6EEDA42E">
      <w:pPr>
        <w:pStyle w:val="4"/>
        <w:rPr>
          <w:rFonts w:hint="eastAsia" w:ascii="宋体" w:hAnsi="宋体" w:eastAsia="宋体" w:cs="宋体"/>
          <w:sz w:val="24"/>
          <w:szCs w:val="24"/>
        </w:rPr>
      </w:pPr>
      <w:r>
        <w:rPr>
          <w:rFonts w:hint="eastAsia" w:ascii="宋体" w:hAnsi="宋体" w:eastAsia="宋体" w:cs="宋体"/>
          <w:sz w:val="24"/>
          <w:szCs w:val="24"/>
        </w:rPr>
        <w:t>（1）逾期完工违约金表(参考格式)</w:t>
      </w:r>
    </w:p>
    <w:tbl>
      <w:tblPr>
        <w:tblStyle w:val="25"/>
        <w:tblW w:w="857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50"/>
        <w:gridCol w:w="3704"/>
        <w:gridCol w:w="2011"/>
        <w:gridCol w:w="2011"/>
      </w:tblGrid>
      <w:tr w14:paraId="783976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5" w:hRule="atLeast"/>
        </w:trPr>
        <w:tc>
          <w:tcPr>
            <w:tcW w:w="850" w:type="dxa"/>
            <w:noWrap w:val="0"/>
            <w:vAlign w:val="center"/>
          </w:tcPr>
          <w:p w14:paraId="3884BBAE">
            <w:pPr>
              <w:adjustRightInd w:val="0"/>
              <w:snapToGrid w:val="0"/>
              <w:spacing w:line="360" w:lineRule="auto"/>
              <w:ind w:right="-3"/>
              <w:jc w:val="center"/>
              <w:rPr>
                <w:rFonts w:hint="eastAsia" w:ascii="宋体" w:hAnsi="宋体" w:eastAsia="宋体" w:cs="宋体"/>
                <w:sz w:val="24"/>
                <w:szCs w:val="24"/>
              </w:rPr>
            </w:pPr>
            <w:r>
              <w:rPr>
                <w:rFonts w:hint="eastAsia" w:ascii="宋体" w:hAnsi="宋体" w:eastAsia="宋体" w:cs="宋体"/>
                <w:sz w:val="24"/>
                <w:szCs w:val="24"/>
              </w:rPr>
              <w:t>序号</w:t>
            </w:r>
          </w:p>
        </w:tc>
        <w:tc>
          <w:tcPr>
            <w:tcW w:w="3704" w:type="dxa"/>
            <w:noWrap w:val="0"/>
            <w:vAlign w:val="center"/>
          </w:tcPr>
          <w:p w14:paraId="1B56A7BF">
            <w:pPr>
              <w:adjustRightInd w:val="0"/>
              <w:snapToGrid w:val="0"/>
              <w:spacing w:line="360" w:lineRule="auto"/>
              <w:ind w:right="3"/>
              <w:jc w:val="center"/>
              <w:rPr>
                <w:rFonts w:hint="eastAsia" w:ascii="宋体" w:hAnsi="宋体" w:eastAsia="宋体" w:cs="宋体"/>
                <w:sz w:val="24"/>
                <w:szCs w:val="24"/>
              </w:rPr>
            </w:pPr>
            <w:r>
              <w:rPr>
                <w:rFonts w:hint="eastAsia" w:ascii="宋体" w:hAnsi="宋体" w:eastAsia="宋体" w:cs="宋体"/>
                <w:sz w:val="24"/>
                <w:szCs w:val="24"/>
              </w:rPr>
              <w:t>项目及其说明</w:t>
            </w:r>
          </w:p>
        </w:tc>
        <w:tc>
          <w:tcPr>
            <w:tcW w:w="2011" w:type="dxa"/>
            <w:noWrap w:val="0"/>
            <w:vAlign w:val="center"/>
          </w:tcPr>
          <w:p w14:paraId="4213E76B">
            <w:pPr>
              <w:adjustRightInd w:val="0"/>
              <w:snapToGrid w:val="0"/>
              <w:spacing w:line="360" w:lineRule="auto"/>
              <w:ind w:right="9"/>
              <w:jc w:val="center"/>
              <w:rPr>
                <w:rFonts w:hint="eastAsia" w:ascii="宋体" w:hAnsi="宋体" w:eastAsia="宋体" w:cs="宋体"/>
                <w:sz w:val="24"/>
                <w:szCs w:val="24"/>
              </w:rPr>
            </w:pPr>
            <w:r>
              <w:rPr>
                <w:rFonts w:hint="eastAsia" w:ascii="宋体" w:hAnsi="宋体" w:eastAsia="宋体" w:cs="宋体"/>
                <w:sz w:val="24"/>
                <w:szCs w:val="24"/>
              </w:rPr>
              <w:t>要求完工日期</w:t>
            </w:r>
          </w:p>
        </w:tc>
        <w:tc>
          <w:tcPr>
            <w:tcW w:w="2011" w:type="dxa"/>
            <w:noWrap w:val="0"/>
            <w:vAlign w:val="top"/>
          </w:tcPr>
          <w:p w14:paraId="646E77F9">
            <w:pPr>
              <w:adjustRightInd w:val="0"/>
              <w:snapToGrid w:val="0"/>
              <w:spacing w:line="360" w:lineRule="auto"/>
              <w:ind w:right="9"/>
              <w:jc w:val="center"/>
              <w:rPr>
                <w:rFonts w:hint="eastAsia" w:ascii="宋体" w:hAnsi="宋体" w:eastAsia="宋体" w:cs="宋体"/>
                <w:sz w:val="24"/>
                <w:szCs w:val="24"/>
              </w:rPr>
            </w:pPr>
            <w:r>
              <w:rPr>
                <w:rFonts w:hint="eastAsia" w:ascii="宋体" w:hAnsi="宋体" w:eastAsia="宋体" w:cs="宋体"/>
                <w:sz w:val="24"/>
                <w:szCs w:val="24"/>
              </w:rPr>
              <w:t>违约金(元/天)</w:t>
            </w:r>
          </w:p>
        </w:tc>
      </w:tr>
      <w:tr w14:paraId="7386BB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850" w:type="dxa"/>
            <w:noWrap w:val="0"/>
            <w:vAlign w:val="center"/>
          </w:tcPr>
          <w:p w14:paraId="097B2F12">
            <w:pPr>
              <w:adjustRightInd w:val="0"/>
              <w:snapToGrid w:val="0"/>
              <w:spacing w:line="360" w:lineRule="auto"/>
              <w:ind w:right="248"/>
              <w:jc w:val="center"/>
              <w:rPr>
                <w:rFonts w:hint="eastAsia" w:ascii="宋体" w:hAnsi="宋体" w:eastAsia="宋体" w:cs="宋体"/>
                <w:sz w:val="24"/>
                <w:szCs w:val="24"/>
              </w:rPr>
            </w:pPr>
          </w:p>
        </w:tc>
        <w:tc>
          <w:tcPr>
            <w:tcW w:w="3704" w:type="dxa"/>
            <w:noWrap w:val="0"/>
            <w:vAlign w:val="center"/>
          </w:tcPr>
          <w:p w14:paraId="78A710B2">
            <w:pPr>
              <w:adjustRightInd w:val="0"/>
              <w:snapToGrid w:val="0"/>
              <w:spacing w:line="360" w:lineRule="auto"/>
              <w:ind w:right="248"/>
              <w:jc w:val="center"/>
              <w:rPr>
                <w:rFonts w:hint="eastAsia" w:ascii="宋体" w:hAnsi="宋体" w:eastAsia="宋体" w:cs="宋体"/>
                <w:sz w:val="24"/>
                <w:szCs w:val="24"/>
              </w:rPr>
            </w:pPr>
            <w:r>
              <w:rPr>
                <w:rFonts w:hint="eastAsia" w:ascii="宋体" w:hAnsi="宋体" w:eastAsia="宋体" w:cs="宋体"/>
                <w:bCs/>
                <w:kern w:val="0"/>
                <w:sz w:val="24"/>
                <w:szCs w:val="24"/>
              </w:rPr>
              <w:t>合同工程完工</w:t>
            </w:r>
          </w:p>
        </w:tc>
        <w:tc>
          <w:tcPr>
            <w:tcW w:w="2011" w:type="dxa"/>
            <w:noWrap w:val="0"/>
            <w:vAlign w:val="center"/>
          </w:tcPr>
          <w:p w14:paraId="70E814FD">
            <w:pPr>
              <w:adjustRightInd w:val="0"/>
              <w:snapToGrid w:val="0"/>
              <w:spacing w:line="360" w:lineRule="auto"/>
              <w:ind w:right="248"/>
              <w:jc w:val="center"/>
              <w:rPr>
                <w:rFonts w:hint="eastAsia" w:ascii="宋体" w:hAnsi="宋体" w:eastAsia="宋体" w:cs="宋体"/>
                <w:sz w:val="24"/>
                <w:szCs w:val="24"/>
              </w:rPr>
            </w:pPr>
            <w:r>
              <w:rPr>
                <w:rFonts w:hint="eastAsia" w:ascii="宋体" w:hAnsi="宋体" w:eastAsia="宋体" w:cs="宋体"/>
                <w:sz w:val="24"/>
                <w:szCs w:val="24"/>
              </w:rPr>
              <w:t xml:space="preserve">  年  月  日</w:t>
            </w:r>
          </w:p>
        </w:tc>
        <w:tc>
          <w:tcPr>
            <w:tcW w:w="2011" w:type="dxa"/>
            <w:noWrap w:val="0"/>
            <w:vAlign w:val="top"/>
          </w:tcPr>
          <w:p w14:paraId="0A839740">
            <w:pPr>
              <w:adjustRightInd w:val="0"/>
              <w:snapToGrid w:val="0"/>
              <w:spacing w:line="360" w:lineRule="auto"/>
              <w:ind w:right="248"/>
              <w:jc w:val="center"/>
              <w:rPr>
                <w:rFonts w:hint="eastAsia" w:ascii="宋体" w:hAnsi="宋体" w:eastAsia="宋体" w:cs="宋体"/>
                <w:sz w:val="24"/>
                <w:szCs w:val="24"/>
              </w:rPr>
            </w:pPr>
            <w:r>
              <w:rPr>
                <w:rFonts w:hint="eastAsia" w:ascii="宋体" w:hAnsi="宋体" w:eastAsia="宋体" w:cs="宋体"/>
                <w:sz w:val="24"/>
                <w:szCs w:val="24"/>
              </w:rPr>
              <w:t>1000</w:t>
            </w:r>
          </w:p>
        </w:tc>
      </w:tr>
    </w:tbl>
    <w:p w14:paraId="789EA6DA">
      <w:pPr>
        <w:pStyle w:val="4"/>
        <w:rPr>
          <w:rFonts w:hint="eastAsia" w:ascii="宋体" w:hAnsi="宋体" w:eastAsia="宋体" w:cs="宋体"/>
          <w:sz w:val="24"/>
          <w:szCs w:val="24"/>
        </w:rPr>
      </w:pPr>
      <w:r>
        <w:rPr>
          <w:rFonts w:hint="eastAsia" w:ascii="宋体" w:hAnsi="宋体" w:eastAsia="宋体" w:cs="宋体"/>
          <w:sz w:val="24"/>
          <w:szCs w:val="24"/>
        </w:rPr>
        <w:t>承包人如未能按上表各节点要求的完工日期前完工，逾期完工违约金按</w:t>
      </w:r>
      <w:r>
        <w:rPr>
          <w:rFonts w:hint="eastAsia" w:ascii="宋体" w:hAnsi="宋体" w:eastAsia="宋体" w:cs="宋体"/>
          <w:sz w:val="24"/>
          <w:szCs w:val="24"/>
          <w:u w:val="single"/>
        </w:rPr>
        <w:t>1000</w:t>
      </w:r>
      <w:r>
        <w:rPr>
          <w:rFonts w:hint="eastAsia" w:ascii="宋体" w:hAnsi="宋体" w:eastAsia="宋体" w:cs="宋体"/>
          <w:sz w:val="24"/>
          <w:szCs w:val="24"/>
        </w:rPr>
        <w:t>元/天”计算。</w:t>
      </w:r>
    </w:p>
    <w:p w14:paraId="07DDB944">
      <w:pPr>
        <w:pStyle w:val="4"/>
        <w:rPr>
          <w:rFonts w:hint="eastAsia" w:ascii="宋体" w:hAnsi="宋体" w:eastAsia="宋体" w:cs="宋体"/>
          <w:sz w:val="24"/>
          <w:szCs w:val="24"/>
        </w:rPr>
      </w:pPr>
      <w:r>
        <w:rPr>
          <w:rFonts w:hint="eastAsia" w:ascii="宋体" w:hAnsi="宋体" w:eastAsia="宋体" w:cs="宋体"/>
          <w:sz w:val="24"/>
          <w:szCs w:val="24"/>
        </w:rPr>
        <w:t>（2）全部逾期完工违约金的总限额不超过合同总价的</w:t>
      </w:r>
      <w:r>
        <w:rPr>
          <w:rFonts w:hint="eastAsia" w:ascii="宋体" w:hAnsi="宋体" w:eastAsia="宋体" w:cs="宋体"/>
          <w:sz w:val="24"/>
          <w:szCs w:val="24"/>
          <w:u w:val="single"/>
        </w:rPr>
        <w:t xml:space="preserve">5 </w:t>
      </w:r>
      <w:r>
        <w:rPr>
          <w:rFonts w:hint="eastAsia" w:ascii="宋体" w:hAnsi="宋体" w:eastAsia="宋体" w:cs="宋体"/>
          <w:sz w:val="24"/>
          <w:szCs w:val="24"/>
        </w:rPr>
        <w:t>%，发包人可从应向承包人支付的任何金额中扣除此项违约金或以其他方式收回此款，此违约金的支付并不能解除承包人应完成工程的责任或合同规定的其他责任 。</w:t>
      </w:r>
    </w:p>
    <w:p w14:paraId="35F80B62">
      <w:pPr>
        <w:pStyle w:val="4"/>
        <w:rPr>
          <w:rFonts w:hint="eastAsia" w:ascii="宋体" w:hAnsi="宋体" w:eastAsia="宋体" w:cs="宋体"/>
          <w:sz w:val="24"/>
          <w:szCs w:val="24"/>
        </w:rPr>
      </w:pPr>
      <w:r>
        <w:rPr>
          <w:rFonts w:hint="eastAsia" w:ascii="宋体" w:hAnsi="宋体" w:eastAsia="宋体" w:cs="宋体"/>
          <w:sz w:val="24"/>
          <w:szCs w:val="24"/>
        </w:rPr>
        <w:t>11.6 工期提前</w:t>
      </w:r>
    </w:p>
    <w:p w14:paraId="311FBBCD">
      <w:pPr>
        <w:pStyle w:val="4"/>
        <w:rPr>
          <w:rFonts w:hint="eastAsia" w:ascii="宋体" w:hAnsi="宋体" w:eastAsia="宋体" w:cs="宋体"/>
          <w:sz w:val="24"/>
          <w:szCs w:val="24"/>
        </w:rPr>
      </w:pPr>
      <w:r>
        <w:rPr>
          <w:rFonts w:hint="eastAsia" w:ascii="宋体" w:hAnsi="宋体" w:eastAsia="宋体" w:cs="宋体"/>
          <w:sz w:val="24"/>
          <w:szCs w:val="24"/>
        </w:rPr>
        <w:t>工期提前的资金约定：</w:t>
      </w:r>
      <w:r>
        <w:rPr>
          <w:rFonts w:hint="eastAsia" w:ascii="宋体" w:hAnsi="宋体" w:eastAsia="宋体" w:cs="宋体"/>
          <w:sz w:val="24"/>
          <w:szCs w:val="24"/>
          <w:u w:val="single"/>
        </w:rPr>
        <w:t>在保证工程质量的前提下，发包人鼓励承包人提前完工，但本合同工程无提前工期奖金</w:t>
      </w:r>
      <w:r>
        <w:rPr>
          <w:rFonts w:hint="eastAsia" w:ascii="宋体" w:hAnsi="宋体" w:eastAsia="宋体" w:cs="宋体"/>
          <w:sz w:val="24"/>
          <w:szCs w:val="24"/>
        </w:rPr>
        <w:t>。</w:t>
      </w:r>
    </w:p>
    <w:p w14:paraId="66B77706">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12. 暂停施工</w:t>
      </w:r>
    </w:p>
    <w:p w14:paraId="7D6CD9B5">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12.1 承包人暂停施工的责任</w:t>
      </w:r>
    </w:p>
    <w:p w14:paraId="37BE40CE">
      <w:pPr>
        <w:pStyle w:val="4"/>
        <w:rPr>
          <w:rFonts w:hint="eastAsia" w:ascii="宋体" w:hAnsi="宋体" w:eastAsia="宋体" w:cs="宋体"/>
          <w:sz w:val="24"/>
          <w:szCs w:val="24"/>
        </w:rPr>
      </w:pPr>
      <w:r>
        <w:rPr>
          <w:rFonts w:hint="eastAsia" w:ascii="宋体" w:hAnsi="宋体" w:eastAsia="宋体" w:cs="宋体"/>
          <w:sz w:val="24"/>
          <w:szCs w:val="24"/>
        </w:rPr>
        <w:t>(5) 承包人承担暂停施工责任的其它情形：</w:t>
      </w:r>
      <w:r>
        <w:rPr>
          <w:rFonts w:hint="eastAsia" w:ascii="宋体" w:hAnsi="宋体" w:eastAsia="宋体" w:cs="宋体"/>
          <w:sz w:val="24"/>
          <w:szCs w:val="24"/>
          <w:u w:val="single"/>
        </w:rPr>
        <w:t xml:space="preserve">由于承包人资金、人员、材料、设备不能按时到位的由承包人承担停工责任，或由于承包人原因造成的质量事故及安全事故引起的暂停施工，发包人不再补偿停工所造成的工程费用增加和工期延误 </w:t>
      </w:r>
      <w:r>
        <w:rPr>
          <w:rFonts w:hint="eastAsia" w:ascii="宋体" w:hAnsi="宋体" w:eastAsia="宋体" w:cs="宋体"/>
          <w:sz w:val="24"/>
          <w:szCs w:val="24"/>
        </w:rPr>
        <w:t>。</w:t>
      </w:r>
    </w:p>
    <w:p w14:paraId="6A3E599B">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12.2 发包人暂停施工的责任</w:t>
      </w:r>
    </w:p>
    <w:p w14:paraId="6277BA41">
      <w:pPr>
        <w:pStyle w:val="4"/>
        <w:rPr>
          <w:rFonts w:hint="eastAsia" w:ascii="宋体" w:hAnsi="宋体" w:eastAsia="宋体" w:cs="宋体"/>
          <w:sz w:val="24"/>
          <w:szCs w:val="24"/>
        </w:rPr>
      </w:pPr>
      <w:r>
        <w:rPr>
          <w:rFonts w:hint="eastAsia" w:ascii="宋体" w:hAnsi="宋体" w:eastAsia="宋体" w:cs="宋体"/>
          <w:sz w:val="24"/>
          <w:szCs w:val="24"/>
        </w:rPr>
        <w:t>（3）因发包人原因造成的暂停施工，发包人对承包人给予工期补偿，不另行支付其它费用。</w:t>
      </w:r>
    </w:p>
    <w:p w14:paraId="375F2A33">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13. 工程质量</w:t>
      </w:r>
    </w:p>
    <w:p w14:paraId="4AC06104">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13.7 质量评定</w:t>
      </w:r>
    </w:p>
    <w:p w14:paraId="78E0F2B1">
      <w:pPr>
        <w:pStyle w:val="4"/>
        <w:rPr>
          <w:rFonts w:hint="eastAsia" w:ascii="宋体" w:hAnsi="宋体" w:eastAsia="宋体" w:cs="宋体"/>
          <w:sz w:val="24"/>
          <w:szCs w:val="24"/>
        </w:rPr>
      </w:pPr>
      <w:r>
        <w:rPr>
          <w:rFonts w:hint="eastAsia" w:ascii="宋体" w:hAnsi="宋体" w:eastAsia="宋体" w:cs="宋体"/>
          <w:sz w:val="24"/>
          <w:szCs w:val="24"/>
        </w:rPr>
        <w:t>13.7.4重要隐蔽单元工程和关键部位单元工程质量评定的约定：</w:t>
      </w:r>
      <w:r>
        <w:rPr>
          <w:rFonts w:hint="eastAsia" w:ascii="宋体" w:hAnsi="宋体" w:eastAsia="宋体" w:cs="宋体"/>
          <w:sz w:val="24"/>
          <w:szCs w:val="24"/>
          <w:u w:val="single"/>
        </w:rPr>
        <w:t>达到合格标准</w:t>
      </w:r>
      <w:r>
        <w:rPr>
          <w:rFonts w:hint="eastAsia" w:ascii="宋体" w:hAnsi="宋体" w:eastAsia="宋体" w:cs="宋体"/>
          <w:sz w:val="24"/>
          <w:szCs w:val="24"/>
        </w:rPr>
        <w:t>。</w:t>
      </w:r>
    </w:p>
    <w:p w14:paraId="580CC054">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13.8 质量事故处理</w:t>
      </w:r>
    </w:p>
    <w:p w14:paraId="1E721D26">
      <w:pPr>
        <w:pStyle w:val="4"/>
        <w:rPr>
          <w:rFonts w:hint="eastAsia" w:ascii="宋体" w:hAnsi="宋体" w:eastAsia="宋体" w:cs="宋体"/>
          <w:sz w:val="24"/>
          <w:szCs w:val="24"/>
        </w:rPr>
      </w:pPr>
      <w:r>
        <w:rPr>
          <w:rFonts w:hint="eastAsia" w:ascii="宋体" w:hAnsi="宋体" w:eastAsia="宋体" w:cs="宋体"/>
          <w:sz w:val="24"/>
          <w:szCs w:val="24"/>
        </w:rPr>
        <w:t>13.8.4工程竣工验收时，发包人负责向竣工验收委员会汇报并提交历次质量缺陷处理的备案资料。</w:t>
      </w:r>
    </w:p>
    <w:p w14:paraId="1B15E3AA">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14. 试验和检验</w:t>
      </w:r>
    </w:p>
    <w:p w14:paraId="75A2D2CE">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14.1 材料、工程设备和工程的试验和检验</w:t>
      </w:r>
    </w:p>
    <w:p w14:paraId="16184532">
      <w:pPr>
        <w:pStyle w:val="4"/>
        <w:rPr>
          <w:rFonts w:hint="eastAsia" w:ascii="宋体" w:hAnsi="宋体" w:eastAsia="宋体" w:cs="宋体"/>
          <w:sz w:val="24"/>
          <w:szCs w:val="24"/>
        </w:rPr>
      </w:pPr>
      <w:r>
        <w:rPr>
          <w:rFonts w:hint="eastAsia" w:ascii="宋体" w:hAnsi="宋体" w:eastAsia="宋体" w:cs="宋体"/>
          <w:sz w:val="24"/>
          <w:szCs w:val="24"/>
        </w:rPr>
        <w:t xml:space="preserve">14.1.5水工金属结构、启闭机及机电产品进场后的交货检查和验收中，承包人负责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D09107E">
      <w:pPr>
        <w:pStyle w:val="4"/>
        <w:rPr>
          <w:rFonts w:hint="eastAsia" w:ascii="宋体" w:hAnsi="宋体" w:eastAsia="宋体" w:cs="宋体"/>
          <w:sz w:val="24"/>
          <w:szCs w:val="24"/>
        </w:rPr>
      </w:pPr>
      <w:r>
        <w:rPr>
          <w:rFonts w:hint="eastAsia" w:ascii="宋体" w:hAnsi="宋体" w:eastAsia="宋体" w:cs="宋体"/>
          <w:sz w:val="24"/>
          <w:szCs w:val="24"/>
        </w:rPr>
        <w:t>14.1.6 本工程实行见证取样的试块、试件及有关材料：</w:t>
      </w:r>
      <w:r>
        <w:rPr>
          <w:rFonts w:hint="eastAsia" w:ascii="宋体" w:hAnsi="宋体" w:eastAsia="宋体" w:cs="宋体"/>
          <w:sz w:val="24"/>
          <w:szCs w:val="24"/>
          <w:u w:val="single"/>
        </w:rPr>
        <w:t>土料压实、砼试件、砂浆试件、钢筋、水泥、砂、碎石、土工合成材料、外加剂等</w:t>
      </w:r>
      <w:r>
        <w:rPr>
          <w:rFonts w:hint="eastAsia" w:ascii="宋体" w:hAnsi="宋体" w:eastAsia="宋体" w:cs="宋体"/>
          <w:sz w:val="24"/>
          <w:szCs w:val="24"/>
        </w:rPr>
        <w:t>。</w:t>
      </w:r>
    </w:p>
    <w:p w14:paraId="240EE2C2">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15. 变更</w:t>
      </w:r>
    </w:p>
    <w:p w14:paraId="4E207F4C">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15.1 变更的范围和内容</w:t>
      </w:r>
    </w:p>
    <w:p w14:paraId="77EE1D5B">
      <w:pPr>
        <w:pStyle w:val="4"/>
        <w:rPr>
          <w:rFonts w:hint="eastAsia" w:ascii="宋体" w:hAnsi="宋体" w:eastAsia="宋体" w:cs="宋体"/>
          <w:sz w:val="24"/>
          <w:szCs w:val="24"/>
          <w:u w:val="single"/>
        </w:rPr>
      </w:pPr>
      <w:r>
        <w:rPr>
          <w:rFonts w:hint="eastAsia" w:ascii="宋体" w:hAnsi="宋体" w:eastAsia="宋体" w:cs="宋体"/>
          <w:sz w:val="24"/>
          <w:szCs w:val="24"/>
        </w:rPr>
        <w:t>（6）增加或减少合同中关键项目的工程量超过其项目工程总量的</w:t>
      </w:r>
      <w:r>
        <w:rPr>
          <w:rFonts w:hint="eastAsia" w:ascii="宋体" w:hAnsi="宋体" w:eastAsia="宋体" w:cs="宋体"/>
          <w:sz w:val="24"/>
          <w:szCs w:val="24"/>
          <w:u w:val="single"/>
        </w:rPr>
        <w:t>25 %</w:t>
      </w:r>
      <w:r>
        <w:rPr>
          <w:rFonts w:hint="eastAsia" w:ascii="宋体" w:hAnsi="宋体" w:eastAsia="宋体" w:cs="宋体"/>
          <w:sz w:val="24"/>
          <w:szCs w:val="24"/>
        </w:rPr>
        <w:t>,关键项 目：</w:t>
      </w:r>
      <w:r>
        <w:rPr>
          <w:rFonts w:hint="eastAsia" w:ascii="宋体" w:hAnsi="宋体" w:eastAsia="宋体" w:cs="宋体"/>
          <w:sz w:val="24"/>
          <w:szCs w:val="24"/>
          <w:u w:val="single"/>
        </w:rPr>
        <w:tab/>
      </w:r>
      <w:r>
        <w:rPr>
          <w:rFonts w:hint="eastAsia" w:ascii="宋体" w:hAnsi="宋体" w:eastAsia="宋体" w:cs="宋体"/>
          <w:sz w:val="24"/>
          <w:szCs w:val="24"/>
        </w:rPr>
        <w:t>,单价调整方式：</w:t>
      </w:r>
      <w:r>
        <w:rPr>
          <w:rFonts w:hint="eastAsia" w:ascii="宋体" w:hAnsi="宋体" w:eastAsia="宋体" w:cs="宋体"/>
          <w:sz w:val="24"/>
          <w:szCs w:val="24"/>
          <w:u w:val="single"/>
        </w:rPr>
        <w:t>增加超过其项目工程量的25%以上部分，按相应项目成交单价下浮10%结算；减少超过其项目工程量的25%以下时，按相应项目成交单价不变结算。</w:t>
      </w:r>
    </w:p>
    <w:p w14:paraId="17AC0039">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15.4 变更的估价原则</w:t>
      </w:r>
    </w:p>
    <w:p w14:paraId="389865EC">
      <w:pPr>
        <w:pStyle w:val="4"/>
        <w:rPr>
          <w:rFonts w:hint="eastAsia" w:ascii="宋体" w:hAnsi="宋体" w:eastAsia="宋体" w:cs="宋体"/>
          <w:sz w:val="24"/>
          <w:szCs w:val="24"/>
        </w:rPr>
      </w:pPr>
      <w:r>
        <w:rPr>
          <w:rFonts w:hint="eastAsia" w:ascii="宋体" w:hAnsi="宋体" w:eastAsia="宋体" w:cs="宋体"/>
          <w:sz w:val="24"/>
          <w:szCs w:val="24"/>
        </w:rPr>
        <w:t>15.4.3已标价工程量清单中无适用或类似子目的单价，按照以下原则确定:①有定额可套的，套用编制控制价所选定额计算，并乘以成交价下浮系数（成交价下浮系数为成交价与控制价的比值），其中材料价格有信息价的按当地同期信息价，无信息的由发包人、承包人、监理人市场询价确定。②无定额可套的，由发包人、承包人、监理人市场询价确定。</w:t>
      </w:r>
    </w:p>
    <w:p w14:paraId="68B5B0D7">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15.5 承包人的合理化建议</w:t>
      </w:r>
    </w:p>
    <w:p w14:paraId="2991FE52">
      <w:pPr>
        <w:pStyle w:val="4"/>
        <w:rPr>
          <w:rFonts w:hint="eastAsia" w:ascii="宋体" w:hAnsi="宋体" w:eastAsia="宋体" w:cs="宋体"/>
          <w:sz w:val="24"/>
          <w:szCs w:val="24"/>
        </w:rPr>
      </w:pPr>
      <w:r>
        <w:rPr>
          <w:rFonts w:hint="eastAsia" w:ascii="宋体" w:hAnsi="宋体" w:eastAsia="宋体" w:cs="宋体"/>
          <w:sz w:val="24"/>
          <w:szCs w:val="24"/>
        </w:rPr>
        <w:t>15.5.2 承包人实现合理化建议的奖励金额为：</w:t>
      </w:r>
      <w:r>
        <w:rPr>
          <w:rFonts w:hint="eastAsia" w:ascii="宋体" w:hAnsi="宋体" w:eastAsia="宋体" w:cs="宋体"/>
          <w:sz w:val="24"/>
          <w:szCs w:val="24"/>
          <w:u w:val="single"/>
        </w:rPr>
        <w:t>无</w:t>
      </w:r>
      <w:r>
        <w:rPr>
          <w:rFonts w:hint="eastAsia" w:ascii="宋体" w:hAnsi="宋体" w:eastAsia="宋体" w:cs="宋体"/>
          <w:sz w:val="24"/>
          <w:szCs w:val="24"/>
        </w:rPr>
        <w:t>。</w:t>
      </w:r>
    </w:p>
    <w:p w14:paraId="1EF9F470">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16 价格调整</w:t>
      </w:r>
    </w:p>
    <w:p w14:paraId="0FD754F0">
      <w:pPr>
        <w:pStyle w:val="4"/>
        <w:rPr>
          <w:rFonts w:hint="eastAsia" w:ascii="宋体" w:hAnsi="宋体" w:eastAsia="宋体" w:cs="宋体"/>
          <w:sz w:val="24"/>
          <w:szCs w:val="24"/>
        </w:rPr>
      </w:pPr>
      <w:r>
        <w:rPr>
          <w:rFonts w:hint="eastAsia" w:ascii="宋体" w:hAnsi="宋体" w:eastAsia="宋体" w:cs="宋体"/>
          <w:sz w:val="24"/>
          <w:szCs w:val="24"/>
        </w:rPr>
        <w:t>①法律变化引起的调整；</w:t>
      </w:r>
    </w:p>
    <w:p w14:paraId="7DBB95CB">
      <w:pPr>
        <w:pStyle w:val="4"/>
        <w:rPr>
          <w:rFonts w:hint="eastAsia" w:ascii="宋体" w:hAnsi="宋体" w:eastAsia="宋体" w:cs="宋体"/>
          <w:sz w:val="24"/>
          <w:szCs w:val="24"/>
        </w:rPr>
      </w:pPr>
      <w:r>
        <w:rPr>
          <w:rFonts w:hint="eastAsia" w:ascii="宋体" w:hAnsi="宋体" w:eastAsia="宋体" w:cs="宋体"/>
          <w:sz w:val="24"/>
          <w:szCs w:val="24"/>
        </w:rPr>
        <w:t>②工程变更、项目特征不符、工程量清单缺项、工程量偏差引起的调整；</w:t>
      </w:r>
    </w:p>
    <w:p w14:paraId="58E91CC4">
      <w:pPr>
        <w:pStyle w:val="4"/>
        <w:rPr>
          <w:rFonts w:hint="eastAsia" w:ascii="宋体" w:hAnsi="宋体" w:eastAsia="宋体" w:cs="宋体"/>
          <w:sz w:val="24"/>
          <w:szCs w:val="24"/>
        </w:rPr>
      </w:pPr>
      <w:r>
        <w:rPr>
          <w:rFonts w:hint="eastAsia" w:ascii="宋体" w:hAnsi="宋体" w:eastAsia="宋体" w:cs="宋体"/>
          <w:sz w:val="24"/>
          <w:szCs w:val="24"/>
        </w:rPr>
        <w:t>③计日工引起的调整。</w:t>
      </w:r>
    </w:p>
    <w:p w14:paraId="0BA03591">
      <w:pPr>
        <w:pStyle w:val="6"/>
        <w:numPr>
          <w:ilvl w:val="0"/>
          <w:numId w:val="0"/>
        </w:numPr>
        <w:bidi w:val="0"/>
        <w:ind w:left="482" w:leftChars="0"/>
        <w:rPr>
          <w:rFonts w:hint="eastAsia" w:ascii="宋体" w:hAnsi="宋体" w:eastAsia="宋体" w:cs="宋体"/>
          <w:sz w:val="24"/>
          <w:szCs w:val="24"/>
        </w:rPr>
      </w:pPr>
      <w:bookmarkStart w:id="159" w:name="_Toc373478394"/>
      <w:bookmarkStart w:id="160" w:name="_Toc13425"/>
      <w:bookmarkStart w:id="161" w:name="_Toc373227747"/>
      <w:bookmarkStart w:id="162" w:name="_Toc389065313"/>
      <w:bookmarkStart w:id="163" w:name="_Toc296503201"/>
      <w:bookmarkStart w:id="164" w:name="_Toc296944540"/>
      <w:bookmarkStart w:id="165" w:name="_Toc296347200"/>
      <w:bookmarkStart w:id="166" w:name="_Toc297123550"/>
      <w:bookmarkStart w:id="167" w:name="_Toc297120501"/>
      <w:bookmarkStart w:id="168" w:name="_Toc304295577"/>
      <w:bookmarkStart w:id="169" w:name="_Toc296891241"/>
      <w:bookmarkStart w:id="170" w:name="_Toc296891029"/>
      <w:bookmarkStart w:id="171" w:name="_Toc296346702"/>
      <w:bookmarkStart w:id="172" w:name="_Toc303539157"/>
      <w:bookmarkStart w:id="173" w:name="_Toc292559911"/>
      <w:bookmarkStart w:id="174" w:name="_Toc297048387"/>
      <w:bookmarkStart w:id="175" w:name="_Toc292559406"/>
      <w:bookmarkStart w:id="176" w:name="_Toc312678039"/>
      <w:bookmarkStart w:id="177" w:name="_Toc297216209"/>
      <w:bookmarkStart w:id="178" w:name="_Toc300935000"/>
      <w:r>
        <w:rPr>
          <w:rFonts w:hint="eastAsia" w:ascii="宋体" w:hAnsi="宋体" w:eastAsia="宋体" w:cs="宋体"/>
          <w:sz w:val="24"/>
          <w:szCs w:val="24"/>
        </w:rPr>
        <w:t>16.1 市场价格波动引起的调整</w:t>
      </w:r>
      <w:bookmarkEnd w:id="159"/>
      <w:bookmarkEnd w:id="160"/>
      <w:bookmarkEnd w:id="161"/>
      <w:bookmarkEnd w:id="162"/>
    </w:p>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14:paraId="410C1DCF">
      <w:pPr>
        <w:pStyle w:val="4"/>
        <w:rPr>
          <w:rFonts w:hint="eastAsia" w:ascii="宋体" w:hAnsi="宋体" w:eastAsia="宋体" w:cs="宋体"/>
          <w:sz w:val="24"/>
          <w:szCs w:val="24"/>
        </w:rPr>
      </w:pPr>
      <w:r>
        <w:rPr>
          <w:rFonts w:hint="eastAsia" w:ascii="宋体" w:hAnsi="宋体" w:eastAsia="宋体" w:cs="宋体"/>
          <w:sz w:val="24"/>
          <w:szCs w:val="24"/>
        </w:rPr>
        <w:t>市场价格波动是否调整合同价格的约定：</w:t>
      </w:r>
      <w:r>
        <w:rPr>
          <w:rFonts w:hint="eastAsia" w:ascii="宋体" w:hAnsi="宋体" w:eastAsia="宋体" w:cs="宋体"/>
          <w:sz w:val="24"/>
          <w:szCs w:val="24"/>
          <w:u w:val="single"/>
        </w:rPr>
        <w:t>如市场价格波动超过双方约定的范围，调整合同价格</w:t>
      </w:r>
      <w:r>
        <w:rPr>
          <w:rFonts w:hint="eastAsia" w:ascii="宋体" w:hAnsi="宋体" w:eastAsia="宋体" w:cs="宋体"/>
          <w:sz w:val="24"/>
          <w:szCs w:val="24"/>
        </w:rPr>
        <w:t>。</w:t>
      </w:r>
    </w:p>
    <w:p w14:paraId="10DEC3A9">
      <w:pPr>
        <w:pStyle w:val="4"/>
        <w:rPr>
          <w:rFonts w:hint="eastAsia" w:ascii="宋体" w:hAnsi="宋体" w:eastAsia="宋体" w:cs="宋体"/>
          <w:sz w:val="24"/>
          <w:szCs w:val="24"/>
        </w:rPr>
      </w:pPr>
      <w:r>
        <w:rPr>
          <w:rFonts w:hint="eastAsia" w:ascii="宋体" w:hAnsi="宋体" w:eastAsia="宋体" w:cs="宋体"/>
          <w:sz w:val="24"/>
          <w:szCs w:val="24"/>
        </w:rPr>
        <w:t>因市场价格波动调整合同价格，采用以下第</w:t>
      </w:r>
      <w:r>
        <w:rPr>
          <w:rFonts w:hint="eastAsia" w:ascii="宋体" w:hAnsi="宋体" w:eastAsia="宋体" w:cs="宋体"/>
          <w:sz w:val="24"/>
          <w:szCs w:val="24"/>
          <w:u w:val="single"/>
        </w:rPr>
        <w:t xml:space="preserve"> 2 </w:t>
      </w:r>
      <w:r>
        <w:rPr>
          <w:rFonts w:hint="eastAsia" w:ascii="宋体" w:hAnsi="宋体" w:eastAsia="宋体" w:cs="宋体"/>
          <w:sz w:val="24"/>
          <w:szCs w:val="24"/>
        </w:rPr>
        <w:t>种方式对合同价格进行调整：</w:t>
      </w:r>
    </w:p>
    <w:p w14:paraId="3FE83424">
      <w:pPr>
        <w:pStyle w:val="4"/>
        <w:rPr>
          <w:rFonts w:hint="eastAsia" w:ascii="宋体" w:hAnsi="宋体" w:eastAsia="宋体" w:cs="宋体"/>
          <w:sz w:val="24"/>
          <w:szCs w:val="24"/>
        </w:rPr>
      </w:pPr>
      <w:r>
        <w:rPr>
          <w:rFonts w:hint="eastAsia" w:ascii="宋体" w:hAnsi="宋体" w:eastAsia="宋体" w:cs="宋体"/>
          <w:sz w:val="24"/>
          <w:szCs w:val="24"/>
        </w:rPr>
        <w:t>第1种方式：采用价格指数进行价格调整。</w:t>
      </w:r>
    </w:p>
    <w:p w14:paraId="1FEF6014">
      <w:pPr>
        <w:pStyle w:val="4"/>
        <w:rPr>
          <w:rFonts w:hint="eastAsia" w:ascii="宋体" w:hAnsi="宋体" w:eastAsia="宋体" w:cs="宋体"/>
          <w:sz w:val="24"/>
          <w:szCs w:val="24"/>
          <w:u w:val="single"/>
        </w:rPr>
      </w:pPr>
      <w:r>
        <w:rPr>
          <w:rFonts w:hint="eastAsia" w:ascii="宋体" w:hAnsi="宋体" w:eastAsia="宋体" w:cs="宋体"/>
          <w:sz w:val="24"/>
          <w:szCs w:val="24"/>
        </w:rPr>
        <w:t>关于各可调因子、定值和变值权重，以及基本价格指数及其来源的约定：</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623A3985">
      <w:pPr>
        <w:pStyle w:val="4"/>
        <w:rPr>
          <w:rFonts w:hint="eastAsia" w:ascii="宋体" w:hAnsi="宋体" w:eastAsia="宋体" w:cs="宋体"/>
          <w:sz w:val="24"/>
          <w:szCs w:val="24"/>
        </w:rPr>
      </w:pPr>
      <w:r>
        <w:rPr>
          <w:rFonts w:hint="eastAsia" w:ascii="宋体" w:hAnsi="宋体" w:eastAsia="宋体" w:cs="宋体"/>
          <w:sz w:val="24"/>
          <w:szCs w:val="24"/>
        </w:rPr>
        <w:t>第2种方式：采用造价信息进行价格调整。</w:t>
      </w:r>
    </w:p>
    <w:p w14:paraId="0C692A8E">
      <w:pPr>
        <w:pStyle w:val="4"/>
        <w:rPr>
          <w:rFonts w:hint="eastAsia" w:ascii="宋体" w:hAnsi="宋体" w:eastAsia="宋体" w:cs="宋体"/>
          <w:sz w:val="24"/>
          <w:szCs w:val="24"/>
        </w:rPr>
      </w:pPr>
      <w:r>
        <w:rPr>
          <w:rFonts w:hint="eastAsia" w:ascii="宋体" w:hAnsi="宋体" w:eastAsia="宋体" w:cs="宋体"/>
          <w:sz w:val="24"/>
          <w:szCs w:val="24"/>
        </w:rPr>
        <w:t>（1）允许调整的主要材料和设备、基期价格、风险系数、投标报价：详见《承包人提供主要材料和设备一览表》,价差调整部分仅计算税金，除此表列明的材料、设备外，其余材料设备价差原则上不予调整。</w:t>
      </w:r>
    </w:p>
    <w:p w14:paraId="7913754E">
      <w:pPr>
        <w:pStyle w:val="4"/>
        <w:rPr>
          <w:rFonts w:hint="eastAsia" w:ascii="宋体" w:hAnsi="宋体" w:eastAsia="宋体" w:cs="宋体"/>
          <w:sz w:val="24"/>
          <w:szCs w:val="24"/>
        </w:rPr>
      </w:pPr>
      <w:r>
        <w:rPr>
          <w:rFonts w:hint="eastAsia" w:ascii="宋体" w:hAnsi="宋体" w:eastAsia="宋体" w:cs="宋体"/>
          <w:sz w:val="24"/>
          <w:szCs w:val="24"/>
        </w:rPr>
        <w:t>（2）主要材料和设备确认价：</w:t>
      </w:r>
    </w:p>
    <w:p w14:paraId="6D216146">
      <w:pPr>
        <w:pStyle w:val="4"/>
        <w:rPr>
          <w:rFonts w:hint="eastAsia" w:ascii="宋体" w:hAnsi="宋体" w:eastAsia="宋体" w:cs="宋体"/>
          <w:sz w:val="24"/>
          <w:szCs w:val="24"/>
        </w:rPr>
      </w:pPr>
      <w:r>
        <w:rPr>
          <w:rFonts w:hint="eastAsia" w:ascii="宋体" w:hAnsi="宋体" w:eastAsia="宋体" w:cs="宋体"/>
          <w:sz w:val="24"/>
          <w:szCs w:val="24"/>
        </w:rPr>
        <w:t>按施工期间《</w:t>
      </w:r>
      <w:r>
        <w:rPr>
          <w:rFonts w:hint="eastAsia" w:ascii="宋体" w:hAnsi="宋体" w:eastAsia="宋体" w:cs="宋体"/>
          <w:sz w:val="24"/>
          <w:szCs w:val="24"/>
          <w:u w:val="single"/>
        </w:rPr>
        <w:t>防城港市</w:t>
      </w:r>
      <w:r>
        <w:rPr>
          <w:rFonts w:hint="eastAsia" w:ascii="宋体" w:hAnsi="宋体" w:eastAsia="宋体" w:cs="宋体"/>
          <w:sz w:val="24"/>
          <w:szCs w:val="24"/>
        </w:rPr>
        <w:t>建设工程造价信息》加权平均计算，信息价没有的按通用条款规定确定。</w:t>
      </w:r>
    </w:p>
    <w:p w14:paraId="680F92EB">
      <w:pPr>
        <w:pStyle w:val="4"/>
        <w:rPr>
          <w:rFonts w:hint="eastAsia" w:ascii="宋体" w:hAnsi="宋体" w:eastAsia="宋体" w:cs="宋体"/>
          <w:sz w:val="24"/>
          <w:szCs w:val="24"/>
        </w:rPr>
      </w:pPr>
      <w:r>
        <w:rPr>
          <w:rFonts w:hint="eastAsia" w:ascii="宋体" w:hAnsi="宋体" w:eastAsia="宋体" w:cs="宋体"/>
          <w:sz w:val="24"/>
          <w:szCs w:val="24"/>
        </w:rPr>
        <w:t>（3）价差计算方法：</w:t>
      </w:r>
    </w:p>
    <w:p w14:paraId="46AAA1C3">
      <w:pPr>
        <w:pStyle w:val="4"/>
        <w:rPr>
          <w:rFonts w:hint="eastAsia" w:ascii="宋体" w:hAnsi="宋体" w:eastAsia="宋体" w:cs="宋体"/>
          <w:sz w:val="24"/>
          <w:szCs w:val="24"/>
        </w:rPr>
      </w:pPr>
      <w:r>
        <w:rPr>
          <w:rFonts w:hint="eastAsia" w:ascii="宋体" w:hAnsi="宋体" w:eastAsia="宋体" w:cs="宋体"/>
          <w:sz w:val="24"/>
          <w:szCs w:val="24"/>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单价*（1+风险系数），价格下跌价差=确认价-投标报价*（1+风险系数）。</w:t>
      </w:r>
    </w:p>
    <w:p w14:paraId="6A334DC4">
      <w:pPr>
        <w:pStyle w:val="4"/>
        <w:rPr>
          <w:rFonts w:hint="eastAsia" w:ascii="宋体" w:hAnsi="宋体" w:eastAsia="宋体" w:cs="宋体"/>
          <w:sz w:val="24"/>
          <w:szCs w:val="24"/>
        </w:rPr>
      </w:pPr>
      <w:r>
        <w:rPr>
          <w:rFonts w:hint="eastAsia" w:ascii="宋体" w:hAnsi="宋体" w:eastAsia="宋体" w:cs="宋体"/>
          <w:sz w:val="24"/>
          <w:szCs w:val="24"/>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0F9F73B9">
      <w:pPr>
        <w:pStyle w:val="4"/>
        <w:rPr>
          <w:rFonts w:hint="eastAsia" w:ascii="宋体" w:hAnsi="宋体" w:eastAsia="宋体" w:cs="宋体"/>
          <w:sz w:val="24"/>
          <w:szCs w:val="24"/>
        </w:rPr>
      </w:pPr>
      <w:r>
        <w:rPr>
          <w:rFonts w:hint="eastAsia" w:ascii="宋体" w:hAnsi="宋体" w:eastAsia="宋体" w:cs="宋体"/>
          <w:sz w:val="24"/>
          <w:szCs w:val="24"/>
        </w:rPr>
        <w:t>③承包人在《承包人提供主要材料和设备一览表》中载明的材料和设备单价等于基准单价的：合同履行期间材料和设备单价涨跌幅以基准单价为基础超过约定的风险范围时，其超过部分据实调整。价差计算公式：上涨或下跌价差=确认价-基准单价*（1+风险系数）</w:t>
      </w:r>
    </w:p>
    <w:p w14:paraId="444D7C13">
      <w:pPr>
        <w:pStyle w:val="4"/>
        <w:rPr>
          <w:rFonts w:hint="eastAsia" w:ascii="宋体" w:hAnsi="宋体" w:eastAsia="宋体" w:cs="宋体"/>
          <w:sz w:val="24"/>
          <w:szCs w:val="24"/>
        </w:rPr>
      </w:pPr>
      <w:r>
        <w:rPr>
          <w:rFonts w:hint="eastAsia" w:ascii="宋体" w:hAnsi="宋体" w:eastAsia="宋体" w:cs="宋体"/>
          <w:sz w:val="24"/>
          <w:szCs w:val="24"/>
        </w:rPr>
        <w:t>第3种方式：</w:t>
      </w:r>
      <w:r>
        <w:rPr>
          <w:rFonts w:hint="eastAsia" w:ascii="宋体" w:hAnsi="宋体" w:eastAsia="宋体" w:cs="宋体"/>
          <w:sz w:val="24"/>
          <w:szCs w:val="24"/>
          <w:u w:val="single"/>
        </w:rPr>
        <w:t>除合同约定可以调整的主要材料外，材料单价在合同实施期间不因市场价格变化因素而变动，因征地拆迁影响及重大设计变更等发包人的原因，在招标后延迟开工或中途停建重新复工的施工工期内，主要材料涨跌的调整幅度按南重点办【2014】29 号文执行（政府投资工程适用）</w:t>
      </w:r>
    </w:p>
    <w:p w14:paraId="28DB590A">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17. 计量与支付</w:t>
      </w:r>
    </w:p>
    <w:p w14:paraId="1DA3BE61">
      <w:pPr>
        <w:pStyle w:val="4"/>
        <w:rPr>
          <w:rFonts w:hint="eastAsia" w:ascii="宋体" w:hAnsi="宋体" w:eastAsia="宋体" w:cs="宋体"/>
          <w:sz w:val="24"/>
          <w:szCs w:val="24"/>
        </w:rPr>
      </w:pPr>
      <w:r>
        <w:rPr>
          <w:rFonts w:hint="eastAsia" w:ascii="宋体" w:hAnsi="宋体" w:eastAsia="宋体" w:cs="宋体"/>
          <w:sz w:val="24"/>
          <w:szCs w:val="24"/>
        </w:rPr>
        <w:t>17.2 预付款</w:t>
      </w:r>
    </w:p>
    <w:p w14:paraId="07851C0C">
      <w:pPr>
        <w:pStyle w:val="4"/>
        <w:rPr>
          <w:rFonts w:hint="eastAsia" w:ascii="宋体" w:hAnsi="宋体" w:eastAsia="宋体" w:cs="宋体"/>
          <w:color w:val="000000"/>
          <w:sz w:val="24"/>
          <w:szCs w:val="24"/>
        </w:rPr>
      </w:pPr>
      <w:bookmarkStart w:id="179" w:name="_Toc30680"/>
      <w:bookmarkStart w:id="180" w:name="_Toc12227"/>
      <w:r>
        <w:rPr>
          <w:rFonts w:hint="eastAsia" w:ascii="宋体" w:hAnsi="宋体" w:eastAsia="宋体" w:cs="宋体"/>
          <w:color w:val="000000"/>
          <w:sz w:val="24"/>
          <w:szCs w:val="24"/>
        </w:rPr>
        <w:t>预付款支付比例或金额：</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31D14CF1">
      <w:pPr>
        <w:pStyle w:val="4"/>
        <w:rPr>
          <w:rFonts w:hint="eastAsia" w:ascii="宋体" w:hAnsi="宋体" w:eastAsia="宋体" w:cs="宋体"/>
          <w:color w:val="auto"/>
          <w:sz w:val="24"/>
          <w:szCs w:val="24"/>
        </w:rPr>
      </w:pPr>
      <w:r>
        <w:rPr>
          <w:rFonts w:hint="eastAsia" w:ascii="宋体" w:hAnsi="宋体" w:eastAsia="宋体" w:cs="宋体"/>
          <w:color w:val="000000"/>
          <w:sz w:val="24"/>
          <w:szCs w:val="24"/>
        </w:rPr>
        <w:t>预付款支付期限：</w:t>
      </w:r>
      <w:r>
        <w:rPr>
          <w:rFonts w:hint="eastAsia" w:ascii="宋体" w:hAnsi="宋体" w:eastAsia="宋体" w:cs="宋体"/>
          <w:color w:val="000000"/>
          <w:sz w:val="24"/>
          <w:szCs w:val="24"/>
          <w:u w:val="single"/>
        </w:rPr>
        <w:t xml:space="preserve">   签订合同时协商而定    </w:t>
      </w:r>
      <w:r>
        <w:rPr>
          <w:rFonts w:hint="eastAsia" w:ascii="宋体" w:hAnsi="宋体" w:eastAsia="宋体" w:cs="宋体"/>
          <w:color w:val="000000"/>
          <w:sz w:val="24"/>
          <w:szCs w:val="24"/>
        </w:rPr>
        <w:t>。</w:t>
      </w:r>
    </w:p>
    <w:p w14:paraId="5E9A9B76">
      <w:pPr>
        <w:pStyle w:val="4"/>
        <w:rPr>
          <w:rFonts w:hint="eastAsia" w:ascii="宋体" w:hAnsi="宋体" w:eastAsia="宋体" w:cs="宋体"/>
          <w:color w:val="auto"/>
          <w:sz w:val="24"/>
          <w:szCs w:val="24"/>
        </w:rPr>
      </w:pPr>
      <w:r>
        <w:rPr>
          <w:rFonts w:hint="eastAsia" w:ascii="宋体" w:hAnsi="宋体" w:eastAsia="宋体" w:cs="宋体"/>
          <w:color w:val="auto"/>
          <w:sz w:val="24"/>
          <w:szCs w:val="24"/>
        </w:rPr>
        <w:t>预付款扣回的方式：</w:t>
      </w:r>
      <w:r>
        <w:rPr>
          <w:rFonts w:hint="eastAsia" w:ascii="宋体" w:hAnsi="宋体" w:eastAsia="宋体" w:cs="宋体"/>
          <w:color w:val="auto"/>
          <w:sz w:val="24"/>
          <w:szCs w:val="24"/>
          <w:u w:val="single"/>
        </w:rPr>
        <w:t xml:space="preserve">   签订合同时协商而定  </w:t>
      </w:r>
      <w:r>
        <w:rPr>
          <w:rFonts w:hint="eastAsia" w:ascii="宋体" w:hAnsi="宋体" w:eastAsia="宋体" w:cs="宋体"/>
          <w:color w:val="auto"/>
          <w:sz w:val="24"/>
          <w:szCs w:val="24"/>
        </w:rPr>
        <w:t>。</w:t>
      </w:r>
    </w:p>
    <w:p w14:paraId="420FE1A6">
      <w:pPr>
        <w:pStyle w:val="4"/>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17.3工程付款</w:t>
      </w:r>
      <w:r>
        <w:rPr>
          <w:rFonts w:hint="eastAsia" w:ascii="宋体" w:hAnsi="宋体" w:cs="宋体"/>
          <w:color w:val="auto"/>
          <w:sz w:val="24"/>
          <w:szCs w:val="24"/>
          <w:lang w:eastAsia="zh-CN"/>
        </w:rPr>
        <w:t>：</w:t>
      </w:r>
    </w:p>
    <w:p w14:paraId="5A74303F">
      <w:pPr>
        <w:pStyle w:val="4"/>
        <w:rPr>
          <w:rFonts w:hint="eastAsia" w:ascii="宋体" w:hAnsi="宋体" w:eastAsia="宋体" w:cs="宋体"/>
          <w:color w:val="auto"/>
          <w:spacing w:val="1"/>
          <w:sz w:val="24"/>
          <w:szCs w:val="24"/>
          <w:lang w:val="en-US" w:eastAsia="zh-CN"/>
        </w:rPr>
      </w:pPr>
      <w:r>
        <w:rPr>
          <w:rFonts w:hint="eastAsia" w:ascii="宋体" w:hAnsi="宋体" w:cs="宋体"/>
          <w:color w:val="auto"/>
          <w:spacing w:val="1"/>
          <w:sz w:val="24"/>
          <w:szCs w:val="24"/>
          <w:lang w:eastAsia="zh-CN"/>
        </w:rPr>
        <w:t>施工完成后</w:t>
      </w:r>
      <w:r>
        <w:rPr>
          <w:rFonts w:hint="eastAsia" w:ascii="宋体" w:hAnsi="宋体" w:cs="宋体"/>
          <w:color w:val="auto"/>
          <w:spacing w:val="1"/>
          <w:sz w:val="24"/>
          <w:szCs w:val="24"/>
          <w:lang w:val="en-US" w:eastAsia="zh-CN"/>
        </w:rPr>
        <w:t>30天内</w:t>
      </w:r>
      <w:r>
        <w:rPr>
          <w:rFonts w:hint="eastAsia" w:ascii="宋体" w:hAnsi="宋体" w:cs="宋体"/>
          <w:color w:val="auto"/>
          <w:spacing w:val="1"/>
          <w:sz w:val="24"/>
          <w:szCs w:val="24"/>
          <w:lang w:eastAsia="zh-CN"/>
        </w:rPr>
        <w:t>付</w:t>
      </w:r>
      <w:r>
        <w:rPr>
          <w:rFonts w:hint="eastAsia" w:ascii="宋体" w:hAnsi="宋体" w:eastAsia="宋体" w:cs="宋体"/>
          <w:color w:val="auto"/>
          <w:spacing w:val="1"/>
          <w:sz w:val="24"/>
          <w:szCs w:val="24"/>
        </w:rPr>
        <w:t>合同款的80%，工程</w:t>
      </w:r>
      <w:r>
        <w:rPr>
          <w:rFonts w:hint="eastAsia" w:ascii="宋体" w:hAnsi="宋体" w:cs="宋体"/>
          <w:color w:val="auto"/>
          <w:spacing w:val="1"/>
          <w:sz w:val="24"/>
          <w:szCs w:val="24"/>
          <w:lang w:eastAsia="zh-CN"/>
        </w:rPr>
        <w:t>施工</w:t>
      </w:r>
      <w:r>
        <w:rPr>
          <w:rFonts w:hint="eastAsia" w:ascii="宋体" w:hAnsi="宋体" w:eastAsia="宋体" w:cs="宋体"/>
          <w:color w:val="auto"/>
          <w:spacing w:val="1"/>
          <w:sz w:val="24"/>
          <w:szCs w:val="24"/>
        </w:rPr>
        <w:t>完</w:t>
      </w:r>
      <w:r>
        <w:rPr>
          <w:rFonts w:hint="eastAsia" w:ascii="宋体" w:hAnsi="宋体" w:cs="宋体"/>
          <w:color w:val="auto"/>
          <w:spacing w:val="1"/>
          <w:sz w:val="24"/>
          <w:szCs w:val="24"/>
          <w:lang w:eastAsia="zh-CN"/>
        </w:rPr>
        <w:t>至</w:t>
      </w:r>
      <w:r>
        <w:rPr>
          <w:rFonts w:hint="eastAsia" w:ascii="宋体" w:hAnsi="宋体" w:eastAsia="宋体" w:cs="宋体"/>
          <w:color w:val="auto"/>
          <w:spacing w:val="1"/>
          <w:sz w:val="24"/>
          <w:szCs w:val="24"/>
        </w:rPr>
        <w:t>验收质量</w:t>
      </w:r>
      <w:r>
        <w:rPr>
          <w:rFonts w:hint="eastAsia" w:ascii="宋体" w:hAnsi="宋体" w:cs="宋体"/>
          <w:color w:val="auto"/>
          <w:spacing w:val="1"/>
          <w:sz w:val="24"/>
          <w:szCs w:val="24"/>
          <w:lang w:eastAsia="zh-CN"/>
        </w:rPr>
        <w:t>达到合格标准</w:t>
      </w:r>
      <w:r>
        <w:rPr>
          <w:rFonts w:hint="eastAsia" w:ascii="宋体" w:hAnsi="宋体" w:eastAsia="宋体" w:cs="宋体"/>
          <w:color w:val="auto"/>
          <w:spacing w:val="1"/>
          <w:sz w:val="24"/>
          <w:szCs w:val="24"/>
        </w:rPr>
        <w:t>，经</w:t>
      </w:r>
      <w:r>
        <w:rPr>
          <w:rFonts w:hint="eastAsia" w:ascii="宋体" w:hAnsi="宋体" w:eastAsia="宋体" w:cs="宋体"/>
          <w:color w:val="auto"/>
          <w:spacing w:val="1"/>
          <w:sz w:val="24"/>
          <w:szCs w:val="24"/>
          <w:lang w:eastAsia="zh-CN"/>
        </w:rPr>
        <w:t>结算</w:t>
      </w:r>
      <w:r>
        <w:rPr>
          <w:rFonts w:hint="eastAsia" w:ascii="宋体" w:hAnsi="宋体" w:eastAsia="宋体" w:cs="宋体"/>
          <w:color w:val="auto"/>
          <w:spacing w:val="1"/>
          <w:sz w:val="24"/>
          <w:szCs w:val="24"/>
        </w:rPr>
        <w:t>审定</w:t>
      </w:r>
      <w:r>
        <w:rPr>
          <w:rFonts w:hint="eastAsia" w:ascii="宋体" w:hAnsi="宋体" w:cs="宋体"/>
          <w:color w:val="auto"/>
          <w:spacing w:val="1"/>
          <w:sz w:val="24"/>
          <w:szCs w:val="24"/>
          <w:lang w:val="en-US" w:eastAsia="zh-CN"/>
        </w:rPr>
        <w:t>30天内</w:t>
      </w:r>
      <w:r>
        <w:rPr>
          <w:rFonts w:hint="eastAsia" w:ascii="宋体" w:hAnsi="宋体" w:eastAsia="宋体" w:cs="宋体"/>
          <w:color w:val="auto"/>
          <w:spacing w:val="1"/>
          <w:sz w:val="24"/>
          <w:szCs w:val="24"/>
        </w:rPr>
        <w:t>支付</w:t>
      </w:r>
      <w:r>
        <w:rPr>
          <w:rFonts w:hint="eastAsia" w:ascii="宋体" w:hAnsi="宋体" w:cs="宋体"/>
          <w:color w:val="auto"/>
          <w:spacing w:val="1"/>
          <w:sz w:val="24"/>
          <w:szCs w:val="24"/>
          <w:lang w:eastAsia="zh-CN"/>
        </w:rPr>
        <w:t>合同款</w:t>
      </w:r>
      <w:r>
        <w:rPr>
          <w:rFonts w:hint="eastAsia" w:ascii="宋体" w:hAnsi="宋体" w:eastAsia="宋体" w:cs="宋体"/>
          <w:color w:val="auto"/>
          <w:spacing w:val="1"/>
          <w:sz w:val="24"/>
          <w:szCs w:val="24"/>
        </w:rPr>
        <w:t>总价的</w:t>
      </w:r>
      <w:r>
        <w:rPr>
          <w:rFonts w:hint="eastAsia" w:ascii="宋体" w:hAnsi="宋体" w:cs="宋体"/>
          <w:color w:val="auto"/>
          <w:spacing w:val="1"/>
          <w:sz w:val="24"/>
          <w:szCs w:val="24"/>
          <w:lang w:val="en-US" w:eastAsia="zh-CN"/>
        </w:rPr>
        <w:t>20</w:t>
      </w:r>
      <w:r>
        <w:rPr>
          <w:rFonts w:hint="eastAsia" w:ascii="宋体" w:hAnsi="宋体" w:eastAsia="宋体" w:cs="宋体"/>
          <w:color w:val="auto"/>
          <w:spacing w:val="1"/>
          <w:sz w:val="24"/>
          <w:szCs w:val="24"/>
        </w:rPr>
        <w:t>%；</w:t>
      </w:r>
      <w:r>
        <w:rPr>
          <w:rFonts w:hint="eastAsia" w:ascii="宋体" w:hAnsi="宋体" w:eastAsia="宋体" w:cs="宋体"/>
          <w:color w:val="auto"/>
          <w:spacing w:val="1"/>
          <w:sz w:val="24"/>
          <w:szCs w:val="24"/>
          <w:lang w:eastAsia="zh-CN"/>
        </w:rPr>
        <w:t>本工程的</w:t>
      </w:r>
      <w:r>
        <w:rPr>
          <w:rFonts w:hint="eastAsia" w:ascii="宋体" w:hAnsi="宋体" w:eastAsia="宋体" w:cs="宋体"/>
          <w:color w:val="auto"/>
          <w:spacing w:val="1"/>
          <w:sz w:val="24"/>
          <w:szCs w:val="24"/>
        </w:rPr>
        <w:t>质量缺陷责任期</w:t>
      </w:r>
      <w:r>
        <w:rPr>
          <w:rFonts w:hint="eastAsia" w:ascii="宋体" w:hAnsi="宋体" w:eastAsia="宋体" w:cs="宋体"/>
          <w:color w:val="auto"/>
          <w:spacing w:val="1"/>
          <w:sz w:val="24"/>
          <w:szCs w:val="24"/>
          <w:lang w:eastAsia="zh-CN"/>
        </w:rPr>
        <w:t>为</w:t>
      </w:r>
      <w:r>
        <w:rPr>
          <w:rFonts w:hint="eastAsia" w:ascii="宋体" w:hAnsi="宋体" w:eastAsia="宋体" w:cs="宋体"/>
          <w:color w:val="auto"/>
          <w:spacing w:val="1"/>
          <w:sz w:val="24"/>
          <w:szCs w:val="24"/>
          <w:lang w:val="en-US" w:eastAsia="zh-CN"/>
        </w:rPr>
        <w:t>12个月。</w:t>
      </w:r>
    </w:p>
    <w:p w14:paraId="58352D00">
      <w:pPr>
        <w:pStyle w:val="4"/>
        <w:rPr>
          <w:rFonts w:hint="eastAsia" w:ascii="宋体" w:hAnsi="宋体" w:eastAsia="宋体" w:cs="宋体"/>
          <w:color w:val="auto"/>
          <w:sz w:val="24"/>
          <w:szCs w:val="24"/>
        </w:rPr>
      </w:pPr>
      <w:r>
        <w:rPr>
          <w:rFonts w:hint="eastAsia" w:ascii="宋体" w:hAnsi="宋体" w:eastAsia="宋体" w:cs="宋体"/>
          <w:color w:val="auto"/>
          <w:sz w:val="24"/>
          <w:szCs w:val="24"/>
        </w:rPr>
        <w:t>17.3.2进度付款申请单</w:t>
      </w:r>
      <w:bookmarkEnd w:id="179"/>
      <w:bookmarkEnd w:id="180"/>
    </w:p>
    <w:p w14:paraId="2B4F2C27">
      <w:pPr>
        <w:pStyle w:val="4"/>
        <w:rPr>
          <w:rFonts w:hint="eastAsia" w:ascii="宋体" w:hAnsi="宋体" w:eastAsia="宋体" w:cs="宋体"/>
          <w:color w:val="auto"/>
          <w:sz w:val="24"/>
          <w:szCs w:val="24"/>
        </w:rPr>
      </w:pPr>
      <w:r>
        <w:rPr>
          <w:rFonts w:hint="eastAsia" w:ascii="宋体" w:hAnsi="宋体" w:eastAsia="宋体" w:cs="宋体"/>
          <w:color w:val="auto"/>
          <w:sz w:val="24"/>
          <w:szCs w:val="24"/>
        </w:rPr>
        <w:t>承包人提交进度付款申请单的份数：</w:t>
      </w:r>
      <w:r>
        <w:rPr>
          <w:rFonts w:hint="eastAsia" w:ascii="宋体" w:hAnsi="宋体" w:eastAsia="宋体" w:cs="宋体"/>
          <w:color w:val="auto"/>
          <w:sz w:val="24"/>
          <w:szCs w:val="24"/>
          <w:u w:val="single"/>
        </w:rPr>
        <w:t>一式肆份</w:t>
      </w:r>
      <w:r>
        <w:rPr>
          <w:rFonts w:hint="eastAsia" w:ascii="宋体" w:hAnsi="宋体" w:eastAsia="宋体" w:cs="宋体"/>
          <w:color w:val="auto"/>
          <w:sz w:val="24"/>
          <w:szCs w:val="24"/>
        </w:rPr>
        <w:t>。</w:t>
      </w:r>
    </w:p>
    <w:p w14:paraId="0B248FE1">
      <w:pPr>
        <w:pStyle w:val="4"/>
        <w:rPr>
          <w:rFonts w:hint="eastAsia" w:ascii="宋体" w:hAnsi="宋体" w:eastAsia="宋体" w:cs="宋体"/>
          <w:color w:val="auto"/>
          <w:sz w:val="24"/>
          <w:szCs w:val="24"/>
        </w:rPr>
      </w:pPr>
      <w:bookmarkStart w:id="181" w:name="_Toc4367"/>
      <w:r>
        <w:rPr>
          <w:rFonts w:hint="eastAsia" w:ascii="宋体" w:hAnsi="宋体" w:eastAsia="宋体" w:cs="宋体"/>
          <w:color w:val="auto"/>
          <w:sz w:val="24"/>
          <w:szCs w:val="24"/>
        </w:rPr>
        <w:t>17.4 质量保证金</w:t>
      </w:r>
      <w:bookmarkEnd w:id="181"/>
      <w:r>
        <w:rPr>
          <w:rFonts w:hint="eastAsia" w:ascii="宋体" w:hAnsi="宋体" w:eastAsia="宋体" w:cs="宋体"/>
          <w:color w:val="auto"/>
          <w:sz w:val="24"/>
          <w:szCs w:val="24"/>
        </w:rPr>
        <w:t>、</w:t>
      </w:r>
    </w:p>
    <w:p w14:paraId="71D32C15">
      <w:pPr>
        <w:pStyle w:val="4"/>
        <w:rPr>
          <w:rFonts w:hint="eastAsia" w:ascii="宋体" w:hAnsi="宋体" w:cs="宋体"/>
          <w:color w:val="auto"/>
          <w:sz w:val="24"/>
          <w:szCs w:val="24"/>
          <w:lang w:eastAsia="zh-CN"/>
        </w:rPr>
      </w:pPr>
      <w:bookmarkStart w:id="182" w:name="_Toc11900"/>
      <w:r>
        <w:rPr>
          <w:rFonts w:hint="eastAsia" w:ascii="宋体" w:hAnsi="宋体" w:cs="宋体"/>
          <w:color w:val="auto"/>
          <w:sz w:val="24"/>
          <w:szCs w:val="24"/>
          <w:lang w:eastAsia="zh-CN"/>
        </w:rPr>
        <w:t>无</w:t>
      </w:r>
    </w:p>
    <w:p w14:paraId="1B567CC9">
      <w:pPr>
        <w:pStyle w:val="4"/>
        <w:rPr>
          <w:rFonts w:hint="eastAsia" w:ascii="宋体" w:hAnsi="宋体" w:eastAsia="宋体" w:cs="宋体"/>
          <w:sz w:val="24"/>
          <w:szCs w:val="24"/>
        </w:rPr>
      </w:pPr>
      <w:bookmarkStart w:id="1233" w:name="_GoBack"/>
      <w:bookmarkEnd w:id="1233"/>
      <w:r>
        <w:rPr>
          <w:rFonts w:hint="eastAsia" w:ascii="宋体" w:hAnsi="宋体" w:eastAsia="宋体" w:cs="宋体"/>
          <w:sz w:val="24"/>
          <w:szCs w:val="24"/>
        </w:rPr>
        <w:t>17.5 竣工（完工）结算</w:t>
      </w:r>
      <w:bookmarkEnd w:id="182"/>
    </w:p>
    <w:p w14:paraId="4E7D2727">
      <w:pPr>
        <w:pStyle w:val="4"/>
        <w:rPr>
          <w:rFonts w:hint="eastAsia" w:ascii="宋体" w:hAnsi="宋体" w:eastAsia="宋体" w:cs="宋体"/>
          <w:sz w:val="24"/>
          <w:szCs w:val="24"/>
        </w:rPr>
      </w:pPr>
      <w:r>
        <w:rPr>
          <w:rFonts w:hint="eastAsia" w:ascii="宋体" w:hAnsi="宋体" w:eastAsia="宋体" w:cs="宋体"/>
          <w:sz w:val="24"/>
          <w:szCs w:val="24"/>
        </w:rPr>
        <w:t xml:space="preserve">17.5.1  竣工（完工）付款申请单 </w:t>
      </w:r>
    </w:p>
    <w:p w14:paraId="199F5F82">
      <w:pPr>
        <w:pStyle w:val="4"/>
        <w:rPr>
          <w:rFonts w:hint="eastAsia" w:ascii="宋体" w:hAnsi="宋体" w:eastAsia="宋体" w:cs="宋体"/>
          <w:sz w:val="24"/>
          <w:szCs w:val="24"/>
        </w:rPr>
      </w:pPr>
      <w:bookmarkStart w:id="183" w:name="_Toc221951267"/>
      <w:r>
        <w:rPr>
          <w:rFonts w:hint="eastAsia" w:ascii="宋体" w:hAnsi="宋体" w:eastAsia="宋体" w:cs="宋体"/>
          <w:sz w:val="24"/>
          <w:szCs w:val="24"/>
        </w:rPr>
        <w:t>（1）</w:t>
      </w:r>
      <w:bookmarkEnd w:id="183"/>
      <w:r>
        <w:rPr>
          <w:rFonts w:hint="eastAsia" w:ascii="宋体" w:hAnsi="宋体" w:eastAsia="宋体" w:cs="宋体"/>
          <w:sz w:val="24"/>
          <w:szCs w:val="24"/>
        </w:rPr>
        <w:t>承包人应在合同工程完工证书颁发后28天内，向监理人提交</w:t>
      </w:r>
      <w:r>
        <w:rPr>
          <w:rFonts w:hint="eastAsia" w:ascii="宋体" w:hAnsi="宋体" w:eastAsia="宋体" w:cs="宋体"/>
          <w:sz w:val="24"/>
          <w:szCs w:val="24"/>
          <w:u w:val="single"/>
        </w:rPr>
        <w:t>一式肆份</w:t>
      </w:r>
      <w:r>
        <w:rPr>
          <w:rFonts w:hint="eastAsia" w:ascii="宋体" w:hAnsi="宋体" w:eastAsia="宋体" w:cs="宋体"/>
          <w:sz w:val="24"/>
          <w:szCs w:val="24"/>
        </w:rPr>
        <w:t>竣工（完工）付款申请单及相关证明材料。</w:t>
      </w:r>
    </w:p>
    <w:p w14:paraId="00ECDCF7">
      <w:pPr>
        <w:pStyle w:val="4"/>
        <w:rPr>
          <w:rFonts w:hint="eastAsia" w:ascii="宋体" w:hAnsi="宋体" w:eastAsia="宋体" w:cs="宋体"/>
          <w:sz w:val="24"/>
          <w:szCs w:val="24"/>
        </w:rPr>
      </w:pPr>
      <w:r>
        <w:rPr>
          <w:rFonts w:hint="eastAsia" w:ascii="宋体" w:hAnsi="宋体" w:eastAsia="宋体" w:cs="宋体"/>
          <w:sz w:val="24"/>
          <w:szCs w:val="24"/>
        </w:rPr>
        <w:t>17.5.3除按通用合同条款所说的内容外，增加以下内容：最终结算以财政评审结果或审计结果为准。</w:t>
      </w:r>
    </w:p>
    <w:p w14:paraId="2BE3926C">
      <w:pPr>
        <w:pStyle w:val="4"/>
        <w:rPr>
          <w:rFonts w:hint="eastAsia" w:ascii="宋体" w:hAnsi="宋体" w:eastAsia="宋体" w:cs="宋体"/>
          <w:sz w:val="24"/>
          <w:szCs w:val="24"/>
        </w:rPr>
      </w:pPr>
      <w:bookmarkStart w:id="184" w:name="_Toc31751"/>
      <w:r>
        <w:rPr>
          <w:rFonts w:hint="eastAsia" w:ascii="宋体" w:hAnsi="宋体" w:eastAsia="宋体" w:cs="宋体"/>
          <w:sz w:val="24"/>
          <w:szCs w:val="24"/>
        </w:rPr>
        <w:t>17.6 最终结清</w:t>
      </w:r>
      <w:bookmarkEnd w:id="184"/>
    </w:p>
    <w:p w14:paraId="54B5D872">
      <w:pPr>
        <w:pStyle w:val="4"/>
        <w:rPr>
          <w:rFonts w:hint="eastAsia" w:ascii="宋体" w:hAnsi="宋体" w:eastAsia="宋体" w:cs="宋体"/>
          <w:sz w:val="24"/>
          <w:szCs w:val="24"/>
        </w:rPr>
      </w:pPr>
      <w:bookmarkStart w:id="185" w:name="_Toc16188"/>
      <w:r>
        <w:rPr>
          <w:rFonts w:hint="eastAsia" w:ascii="宋体" w:hAnsi="宋体" w:eastAsia="宋体" w:cs="宋体"/>
          <w:sz w:val="24"/>
          <w:szCs w:val="24"/>
        </w:rPr>
        <w:t>17.6 1 最终结清申请单</w:t>
      </w:r>
      <w:bookmarkEnd w:id="185"/>
    </w:p>
    <w:p w14:paraId="24FF2DFB">
      <w:pPr>
        <w:pStyle w:val="4"/>
        <w:rPr>
          <w:rFonts w:hint="eastAsia" w:ascii="宋体" w:hAnsi="宋体" w:eastAsia="宋体" w:cs="宋体"/>
          <w:sz w:val="24"/>
          <w:szCs w:val="24"/>
        </w:rPr>
      </w:pPr>
      <w:bookmarkStart w:id="186" w:name="_Toc29891"/>
      <w:r>
        <w:rPr>
          <w:rFonts w:hint="eastAsia" w:ascii="宋体" w:hAnsi="宋体" w:eastAsia="宋体" w:cs="宋体"/>
          <w:sz w:val="24"/>
          <w:szCs w:val="24"/>
        </w:rPr>
        <w:t>（1）承包人应提交最终结清申请单份数：</w:t>
      </w:r>
      <w:r>
        <w:rPr>
          <w:rFonts w:hint="eastAsia" w:ascii="宋体" w:hAnsi="宋体" w:eastAsia="宋体" w:cs="宋体"/>
          <w:sz w:val="24"/>
          <w:szCs w:val="24"/>
          <w:u w:val="single"/>
        </w:rPr>
        <w:t>一式肆份</w:t>
      </w:r>
      <w:r>
        <w:rPr>
          <w:rFonts w:hint="eastAsia" w:ascii="宋体" w:hAnsi="宋体" w:eastAsia="宋体" w:cs="宋体"/>
          <w:sz w:val="24"/>
          <w:szCs w:val="24"/>
        </w:rPr>
        <w:t>。</w:t>
      </w:r>
      <w:bookmarkEnd w:id="186"/>
    </w:p>
    <w:p w14:paraId="4262295E">
      <w:pPr>
        <w:pStyle w:val="4"/>
        <w:rPr>
          <w:rFonts w:hint="eastAsia" w:ascii="宋体" w:hAnsi="宋体" w:eastAsia="宋体" w:cs="宋体"/>
          <w:sz w:val="24"/>
          <w:szCs w:val="24"/>
        </w:rPr>
      </w:pPr>
      <w:bookmarkStart w:id="187" w:name="_Toc2926"/>
      <w:r>
        <w:rPr>
          <w:rFonts w:hint="eastAsia" w:ascii="宋体" w:hAnsi="宋体" w:eastAsia="宋体" w:cs="宋体"/>
          <w:sz w:val="24"/>
          <w:szCs w:val="24"/>
        </w:rPr>
        <w:t>17.7 竣工财务决算</w:t>
      </w:r>
      <w:bookmarkEnd w:id="187"/>
    </w:p>
    <w:p w14:paraId="1E2143A8">
      <w:pPr>
        <w:pStyle w:val="4"/>
        <w:rPr>
          <w:rFonts w:hint="eastAsia" w:ascii="宋体" w:hAnsi="宋体" w:eastAsia="宋体" w:cs="宋体"/>
          <w:sz w:val="24"/>
          <w:szCs w:val="24"/>
        </w:rPr>
      </w:pPr>
      <w:r>
        <w:rPr>
          <w:rFonts w:hint="eastAsia" w:ascii="宋体" w:hAnsi="宋体" w:eastAsia="宋体" w:cs="宋体"/>
          <w:sz w:val="24"/>
          <w:szCs w:val="24"/>
        </w:rPr>
        <w:t>承包人应为竣工财务决算编制提供的资料：</w:t>
      </w:r>
      <w:r>
        <w:rPr>
          <w:rFonts w:hint="eastAsia" w:ascii="宋体" w:hAnsi="宋体" w:eastAsia="宋体" w:cs="宋体"/>
          <w:sz w:val="24"/>
          <w:szCs w:val="24"/>
          <w:u w:val="single"/>
        </w:rPr>
        <w:t>财务决算所需的一切资料</w:t>
      </w:r>
      <w:r>
        <w:rPr>
          <w:rFonts w:hint="eastAsia" w:ascii="宋体" w:hAnsi="宋体" w:eastAsia="宋体" w:cs="宋体"/>
          <w:sz w:val="24"/>
          <w:szCs w:val="24"/>
        </w:rPr>
        <w:t>。</w:t>
      </w:r>
    </w:p>
    <w:p w14:paraId="2395476F">
      <w:pPr>
        <w:pStyle w:val="6"/>
        <w:numPr>
          <w:ilvl w:val="0"/>
          <w:numId w:val="0"/>
        </w:numPr>
        <w:bidi w:val="0"/>
        <w:ind w:left="482" w:leftChars="0"/>
        <w:rPr>
          <w:rFonts w:hint="eastAsia" w:ascii="宋体" w:hAnsi="宋体" w:eastAsia="宋体" w:cs="宋体"/>
          <w:sz w:val="24"/>
          <w:szCs w:val="24"/>
        </w:rPr>
      </w:pPr>
      <w:bookmarkStart w:id="188" w:name="_Toc17310"/>
      <w:r>
        <w:rPr>
          <w:rFonts w:hint="eastAsia" w:ascii="宋体" w:hAnsi="宋体" w:eastAsia="宋体" w:cs="宋体"/>
          <w:sz w:val="24"/>
          <w:szCs w:val="24"/>
        </w:rPr>
        <w:t>18. 竣工验收（验收）</w:t>
      </w:r>
      <w:bookmarkEnd w:id="188"/>
    </w:p>
    <w:p w14:paraId="64F79E4E">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18.1 验收工作分类</w:t>
      </w:r>
    </w:p>
    <w:p w14:paraId="5DB1D23D">
      <w:pPr>
        <w:pStyle w:val="4"/>
        <w:rPr>
          <w:rFonts w:hint="eastAsia" w:ascii="宋体" w:hAnsi="宋体" w:eastAsia="宋体" w:cs="宋体"/>
          <w:sz w:val="24"/>
          <w:szCs w:val="24"/>
        </w:rPr>
      </w:pPr>
      <w:r>
        <w:rPr>
          <w:rFonts w:hint="eastAsia" w:ascii="宋体" w:hAnsi="宋体" w:eastAsia="宋体" w:cs="宋体"/>
          <w:sz w:val="24"/>
          <w:szCs w:val="24"/>
        </w:rPr>
        <w:t>按建设行政主管部门和（或）城市建设档案管理机构的要求 相关规定执行。</w:t>
      </w:r>
    </w:p>
    <w:p w14:paraId="6B5CB833">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18.2 分部工程验收</w:t>
      </w:r>
    </w:p>
    <w:p w14:paraId="31223A5C">
      <w:pPr>
        <w:pStyle w:val="4"/>
        <w:rPr>
          <w:rFonts w:hint="eastAsia" w:ascii="宋体" w:hAnsi="宋体" w:eastAsia="宋体" w:cs="宋体"/>
          <w:sz w:val="24"/>
          <w:szCs w:val="24"/>
        </w:rPr>
      </w:pPr>
      <w:r>
        <w:rPr>
          <w:rFonts w:hint="eastAsia" w:ascii="宋体" w:hAnsi="宋体" w:eastAsia="宋体" w:cs="宋体"/>
          <w:sz w:val="24"/>
          <w:szCs w:val="24"/>
        </w:rPr>
        <w:t>18.2.2本工程由发包人主持的分部工程验收为：</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,其余由监理主持。</w:t>
      </w:r>
    </w:p>
    <w:p w14:paraId="50E1D019">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18.3 单位工程验收</w:t>
      </w:r>
    </w:p>
    <w:p w14:paraId="67F0E8C1">
      <w:pPr>
        <w:pStyle w:val="4"/>
        <w:rPr>
          <w:rFonts w:hint="eastAsia" w:ascii="宋体" w:hAnsi="宋体" w:eastAsia="宋体" w:cs="宋体"/>
          <w:sz w:val="24"/>
          <w:szCs w:val="24"/>
        </w:rPr>
      </w:pPr>
      <w:r>
        <w:rPr>
          <w:rFonts w:hint="eastAsia" w:ascii="宋体" w:hAnsi="宋体" w:eastAsia="宋体" w:cs="宋体"/>
          <w:sz w:val="24"/>
          <w:szCs w:val="24"/>
        </w:rPr>
        <w:t>18.3.4  提前投入使用的单位工程包括：</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025173D0">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18.5 阶段验收</w:t>
      </w:r>
    </w:p>
    <w:p w14:paraId="622DF656">
      <w:pPr>
        <w:adjustRightInd w:val="0"/>
        <w:snapToGrid w:val="0"/>
        <w:spacing w:line="360" w:lineRule="auto"/>
        <w:ind w:firstLine="480" w:firstLineChars="200"/>
        <w:rPr>
          <w:rFonts w:hint="eastAsia" w:ascii="宋体" w:hAnsi="宋体" w:eastAsia="宋体" w:cs="宋体"/>
          <w:sz w:val="24"/>
          <w:szCs w:val="24"/>
        </w:rPr>
      </w:pPr>
      <w:bookmarkStart w:id="189" w:name="_Toc221951283"/>
      <w:r>
        <w:rPr>
          <w:rFonts w:hint="eastAsia" w:ascii="宋体" w:hAnsi="宋体" w:eastAsia="宋体" w:cs="宋体"/>
          <w:kern w:val="0"/>
          <w:sz w:val="24"/>
          <w:szCs w:val="24"/>
        </w:rPr>
        <w:t>18.5.1</w:t>
      </w:r>
      <w:r>
        <w:rPr>
          <w:rFonts w:hint="eastAsia" w:ascii="宋体" w:hAnsi="宋体" w:eastAsia="宋体" w:cs="宋体"/>
          <w:sz w:val="24"/>
          <w:szCs w:val="24"/>
        </w:rPr>
        <w:t xml:space="preserve"> 本合同工程阶段验收类别包括：</w:t>
      </w:r>
      <w:bookmarkEnd w:id="189"/>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45D0B7C4">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 xml:space="preserve">18.6 专项验收   </w:t>
      </w:r>
    </w:p>
    <w:p w14:paraId="4DB5C914">
      <w:pPr>
        <w:pStyle w:val="4"/>
        <w:rPr>
          <w:rFonts w:hint="eastAsia" w:ascii="宋体" w:hAnsi="宋体" w:eastAsia="宋体" w:cs="宋体"/>
          <w:sz w:val="24"/>
          <w:szCs w:val="24"/>
        </w:rPr>
      </w:pPr>
      <w:r>
        <w:rPr>
          <w:rFonts w:hint="eastAsia" w:ascii="宋体" w:hAnsi="宋体" w:eastAsia="宋体" w:cs="宋体"/>
          <w:sz w:val="24"/>
          <w:szCs w:val="24"/>
        </w:rPr>
        <w:t>18.6.2 本合同工程专项验收类别包括：</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139856F5">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18.8 施工期运行</w:t>
      </w:r>
    </w:p>
    <w:p w14:paraId="5D6AD0B2">
      <w:pPr>
        <w:pStyle w:val="4"/>
        <w:rPr>
          <w:rFonts w:hint="eastAsia" w:ascii="宋体" w:hAnsi="宋体" w:eastAsia="宋体" w:cs="宋体"/>
          <w:sz w:val="24"/>
          <w:szCs w:val="24"/>
        </w:rPr>
      </w:pPr>
      <w:r>
        <w:rPr>
          <w:rFonts w:hint="eastAsia" w:ascii="宋体" w:hAnsi="宋体" w:eastAsia="宋体" w:cs="宋体"/>
          <w:sz w:val="24"/>
          <w:szCs w:val="24"/>
        </w:rPr>
        <w:t>18.8.1需要在施工期运行的单位工程或工程设备为：</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02A62D69">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18.9试运行</w:t>
      </w:r>
    </w:p>
    <w:p w14:paraId="4EEBE9F0">
      <w:pPr>
        <w:pStyle w:val="4"/>
        <w:rPr>
          <w:rFonts w:hint="eastAsia" w:ascii="宋体" w:hAnsi="宋体" w:eastAsia="宋体" w:cs="宋体"/>
          <w:sz w:val="24"/>
          <w:szCs w:val="24"/>
        </w:rPr>
      </w:pPr>
      <w:r>
        <w:rPr>
          <w:rFonts w:hint="eastAsia" w:ascii="宋体" w:hAnsi="宋体" w:eastAsia="宋体" w:cs="宋体"/>
          <w:sz w:val="24"/>
          <w:szCs w:val="24"/>
        </w:rPr>
        <w:t>18.9.1试运行的组织：</w:t>
      </w:r>
      <w:r>
        <w:rPr>
          <w:rFonts w:hint="eastAsia" w:ascii="宋体" w:hAnsi="宋体" w:eastAsia="宋体" w:cs="宋体"/>
          <w:sz w:val="24"/>
          <w:szCs w:val="24"/>
          <w:u w:val="single"/>
        </w:rPr>
        <w:t xml:space="preserve">       无   </w:t>
      </w:r>
      <w:r>
        <w:rPr>
          <w:rFonts w:hint="eastAsia" w:ascii="宋体" w:hAnsi="宋体" w:eastAsia="宋体" w:cs="宋体"/>
          <w:sz w:val="24"/>
          <w:szCs w:val="24"/>
        </w:rPr>
        <w:t>；费用承担：</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78D93CD3">
      <w:pPr>
        <w:pStyle w:val="6"/>
        <w:numPr>
          <w:ilvl w:val="0"/>
          <w:numId w:val="0"/>
        </w:numPr>
        <w:bidi w:val="0"/>
        <w:ind w:left="482" w:leftChars="0"/>
        <w:rPr>
          <w:rFonts w:hint="eastAsia" w:ascii="宋体" w:hAnsi="宋体" w:eastAsia="宋体" w:cs="宋体"/>
          <w:sz w:val="24"/>
          <w:szCs w:val="24"/>
        </w:rPr>
      </w:pPr>
      <w:bookmarkStart w:id="190" w:name="_Toc171"/>
      <w:r>
        <w:rPr>
          <w:rFonts w:hint="eastAsia" w:ascii="宋体" w:hAnsi="宋体" w:eastAsia="宋体" w:cs="宋体"/>
          <w:sz w:val="24"/>
          <w:szCs w:val="24"/>
        </w:rPr>
        <w:t>19. 缺陷责任与保修责任</w:t>
      </w:r>
      <w:bookmarkEnd w:id="190"/>
    </w:p>
    <w:p w14:paraId="4BA881EC">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19.1 缺陷责任期（工程质量保修期）的起算时间</w:t>
      </w:r>
    </w:p>
    <w:p w14:paraId="59FFE13B">
      <w:pPr>
        <w:pStyle w:val="4"/>
        <w:rPr>
          <w:rFonts w:hint="eastAsia" w:ascii="宋体" w:hAnsi="宋体" w:eastAsia="宋体" w:cs="宋体"/>
          <w:sz w:val="24"/>
          <w:szCs w:val="24"/>
        </w:rPr>
      </w:pPr>
      <w:bookmarkStart w:id="191" w:name="_Toc18971"/>
      <w:r>
        <w:rPr>
          <w:rFonts w:hint="eastAsia" w:ascii="宋体" w:hAnsi="宋体" w:eastAsia="宋体" w:cs="宋体"/>
          <w:sz w:val="24"/>
          <w:szCs w:val="24"/>
        </w:rPr>
        <w:t>本工程缺陷责任期（工程质量保修）计算如下：本工程缺陷责任期（工程质量保修）计算如下：起算日按通用条款19.1和19. 7的约定，终止日按专用条款1. 1.4.5约定。</w:t>
      </w:r>
    </w:p>
    <w:p w14:paraId="4607B1F6">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20. 保险</w:t>
      </w:r>
      <w:bookmarkEnd w:id="191"/>
    </w:p>
    <w:p w14:paraId="31311B61">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20.1 工程保险</w:t>
      </w:r>
    </w:p>
    <w:p w14:paraId="2E3D5735">
      <w:pPr>
        <w:pStyle w:val="4"/>
        <w:rPr>
          <w:rFonts w:hint="eastAsia" w:ascii="宋体" w:hAnsi="宋体" w:eastAsia="宋体" w:cs="宋体"/>
          <w:sz w:val="24"/>
          <w:szCs w:val="24"/>
        </w:rPr>
      </w:pPr>
      <w:r>
        <w:rPr>
          <w:rFonts w:hint="eastAsia" w:ascii="宋体" w:hAnsi="宋体" w:eastAsia="宋体" w:cs="宋体"/>
          <w:sz w:val="24"/>
          <w:szCs w:val="24"/>
        </w:rPr>
        <w:t>建筑工程一切险和（或）安装工程一切险投保人：</w:t>
      </w:r>
      <w:r>
        <w:rPr>
          <w:rFonts w:hint="eastAsia" w:ascii="宋体" w:hAnsi="宋体" w:eastAsia="宋体" w:cs="宋体"/>
          <w:sz w:val="24"/>
          <w:szCs w:val="24"/>
          <w:u w:val="single"/>
        </w:rPr>
        <w:t xml:space="preserve">      /       </w:t>
      </w:r>
      <w:r>
        <w:rPr>
          <w:rFonts w:hint="eastAsia" w:ascii="宋体" w:hAnsi="宋体" w:eastAsia="宋体" w:cs="宋体"/>
          <w:sz w:val="24"/>
          <w:szCs w:val="24"/>
        </w:rPr>
        <w:t xml:space="preserve">；                        </w:t>
      </w:r>
    </w:p>
    <w:p w14:paraId="5A65765E">
      <w:pPr>
        <w:pStyle w:val="4"/>
        <w:rPr>
          <w:rFonts w:hint="eastAsia" w:ascii="宋体" w:hAnsi="宋体" w:eastAsia="宋体" w:cs="宋体"/>
          <w:sz w:val="24"/>
          <w:szCs w:val="24"/>
        </w:rPr>
      </w:pPr>
      <w:r>
        <w:rPr>
          <w:rFonts w:hint="eastAsia" w:ascii="宋体" w:hAnsi="宋体" w:eastAsia="宋体" w:cs="宋体"/>
          <w:sz w:val="24"/>
          <w:szCs w:val="24"/>
        </w:rPr>
        <w:t>投保内容：</w:t>
      </w:r>
      <w:r>
        <w:rPr>
          <w:rFonts w:hint="eastAsia" w:ascii="宋体" w:hAnsi="宋体" w:eastAsia="宋体" w:cs="宋体"/>
          <w:sz w:val="24"/>
          <w:szCs w:val="24"/>
          <w:u w:val="single"/>
        </w:rPr>
        <w:t xml:space="preserve">        /           </w:t>
      </w:r>
      <w:r>
        <w:rPr>
          <w:rFonts w:hint="eastAsia" w:ascii="宋体" w:hAnsi="宋体" w:eastAsia="宋体" w:cs="宋体"/>
          <w:sz w:val="24"/>
          <w:szCs w:val="24"/>
        </w:rPr>
        <w:t xml:space="preserve">；                                                      </w:t>
      </w:r>
    </w:p>
    <w:p w14:paraId="613DCD84">
      <w:pPr>
        <w:pStyle w:val="4"/>
        <w:rPr>
          <w:rFonts w:hint="eastAsia" w:ascii="宋体" w:hAnsi="宋体" w:eastAsia="宋体" w:cs="宋体"/>
          <w:sz w:val="24"/>
          <w:szCs w:val="24"/>
        </w:rPr>
      </w:pPr>
      <w:r>
        <w:rPr>
          <w:rFonts w:hint="eastAsia" w:ascii="宋体" w:hAnsi="宋体" w:eastAsia="宋体" w:cs="宋体"/>
          <w:sz w:val="24"/>
          <w:szCs w:val="24"/>
        </w:rPr>
        <w:t>保险金额、保险费率和保险期限：</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24A87321">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20.4 第三者责任险</w:t>
      </w:r>
    </w:p>
    <w:p w14:paraId="4EEEC0DA">
      <w:pPr>
        <w:pStyle w:val="4"/>
        <w:rPr>
          <w:rFonts w:hint="eastAsia" w:ascii="宋体" w:hAnsi="宋体" w:eastAsia="宋体" w:cs="宋体"/>
          <w:sz w:val="24"/>
          <w:szCs w:val="24"/>
        </w:rPr>
      </w:pPr>
      <w:bookmarkStart w:id="192" w:name="_Toc28183"/>
      <w:r>
        <w:rPr>
          <w:rFonts w:hint="eastAsia" w:ascii="宋体" w:hAnsi="宋体" w:eastAsia="宋体" w:cs="宋体"/>
          <w:sz w:val="24"/>
          <w:szCs w:val="24"/>
        </w:rPr>
        <w:t>20.4.2  第三者责任险保险费率：</w:t>
      </w:r>
      <w:r>
        <w:rPr>
          <w:rFonts w:hint="eastAsia" w:ascii="宋体" w:hAnsi="宋体" w:eastAsia="宋体" w:cs="宋体"/>
          <w:sz w:val="24"/>
          <w:szCs w:val="24"/>
          <w:u w:val="single"/>
        </w:rPr>
        <w:t xml:space="preserve">     /       </w:t>
      </w:r>
      <w:r>
        <w:rPr>
          <w:rFonts w:hint="eastAsia" w:ascii="宋体" w:hAnsi="宋体" w:eastAsia="宋体" w:cs="宋体"/>
          <w:sz w:val="24"/>
          <w:szCs w:val="24"/>
        </w:rPr>
        <w:t xml:space="preserve">；                                       </w:t>
      </w:r>
    </w:p>
    <w:p w14:paraId="60093BE9">
      <w:pPr>
        <w:pStyle w:val="4"/>
        <w:rPr>
          <w:rFonts w:hint="eastAsia" w:ascii="宋体" w:hAnsi="宋体" w:eastAsia="宋体" w:cs="宋体"/>
          <w:sz w:val="24"/>
          <w:szCs w:val="24"/>
        </w:rPr>
      </w:pPr>
      <w:r>
        <w:rPr>
          <w:rFonts w:hint="eastAsia" w:ascii="宋体" w:hAnsi="宋体" w:eastAsia="宋体" w:cs="宋体"/>
          <w:sz w:val="24"/>
          <w:szCs w:val="24"/>
        </w:rPr>
        <w:t>第三者责任险保险金额：</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1301F457">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20.5 其他保险</w:t>
      </w:r>
      <w:bookmarkEnd w:id="192"/>
    </w:p>
    <w:p w14:paraId="02360479">
      <w:pPr>
        <w:pStyle w:val="4"/>
        <w:rPr>
          <w:rFonts w:hint="eastAsia" w:ascii="宋体" w:hAnsi="宋体" w:eastAsia="宋体" w:cs="宋体"/>
          <w:sz w:val="24"/>
          <w:szCs w:val="24"/>
        </w:rPr>
      </w:pPr>
      <w:bookmarkStart w:id="193" w:name="_Toc13967"/>
      <w:r>
        <w:rPr>
          <w:rFonts w:hint="eastAsia" w:ascii="宋体" w:hAnsi="宋体" w:eastAsia="宋体" w:cs="宋体"/>
          <w:sz w:val="24"/>
          <w:szCs w:val="24"/>
        </w:rPr>
        <w:t>需要投保的其他内容：</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633DDF65">
      <w:pPr>
        <w:pStyle w:val="4"/>
        <w:rPr>
          <w:rFonts w:hint="eastAsia" w:ascii="宋体" w:hAnsi="宋体" w:eastAsia="宋体" w:cs="宋体"/>
          <w:sz w:val="24"/>
          <w:szCs w:val="24"/>
        </w:rPr>
      </w:pPr>
      <w:r>
        <w:rPr>
          <w:rFonts w:hint="eastAsia" w:ascii="宋体" w:hAnsi="宋体" w:eastAsia="宋体" w:cs="宋体"/>
          <w:sz w:val="24"/>
          <w:szCs w:val="24"/>
        </w:rPr>
        <w:t>保险金额、保险费率和保险期限：</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355C8504">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20.6 对各项保险的一般要求</w:t>
      </w:r>
      <w:bookmarkEnd w:id="193"/>
    </w:p>
    <w:p w14:paraId="6CED0E65">
      <w:pPr>
        <w:pStyle w:val="6"/>
        <w:numPr>
          <w:ilvl w:val="0"/>
          <w:numId w:val="0"/>
        </w:numPr>
        <w:bidi w:val="0"/>
        <w:ind w:left="482" w:leftChars="0"/>
        <w:rPr>
          <w:rFonts w:hint="eastAsia" w:ascii="宋体" w:hAnsi="宋体" w:eastAsia="宋体" w:cs="宋体"/>
          <w:sz w:val="24"/>
          <w:szCs w:val="24"/>
        </w:rPr>
      </w:pPr>
      <w:bookmarkStart w:id="194" w:name="_Toc221951328"/>
      <w:r>
        <w:rPr>
          <w:rFonts w:hint="eastAsia" w:ascii="宋体" w:hAnsi="宋体" w:eastAsia="宋体" w:cs="宋体"/>
          <w:sz w:val="24"/>
          <w:szCs w:val="24"/>
        </w:rPr>
        <w:t>20.6.1 保险凭证</w:t>
      </w:r>
      <w:bookmarkEnd w:id="194"/>
    </w:p>
    <w:p w14:paraId="74DF356D">
      <w:pPr>
        <w:pStyle w:val="4"/>
        <w:rPr>
          <w:rFonts w:hint="eastAsia" w:ascii="宋体" w:hAnsi="宋体" w:eastAsia="宋体" w:cs="宋体"/>
          <w:sz w:val="24"/>
          <w:szCs w:val="24"/>
        </w:rPr>
      </w:pPr>
      <w:bookmarkStart w:id="195" w:name="_Toc221951329"/>
      <w:r>
        <w:rPr>
          <w:rFonts w:hint="eastAsia" w:ascii="宋体" w:hAnsi="宋体" w:eastAsia="宋体" w:cs="宋体"/>
          <w:sz w:val="24"/>
          <w:szCs w:val="24"/>
        </w:rPr>
        <w:t>承包人提交保险凭证的期限：</w:t>
      </w:r>
      <w:r>
        <w:rPr>
          <w:rFonts w:hint="eastAsia" w:ascii="宋体" w:hAnsi="宋体" w:eastAsia="宋体" w:cs="宋体"/>
          <w:sz w:val="24"/>
          <w:szCs w:val="24"/>
          <w:u w:val="single"/>
        </w:rPr>
        <w:t xml:space="preserve">  /      </w:t>
      </w:r>
      <w:bookmarkEnd w:id="195"/>
      <w:r>
        <w:rPr>
          <w:rFonts w:hint="eastAsia" w:ascii="宋体" w:hAnsi="宋体" w:eastAsia="宋体" w:cs="宋体"/>
          <w:sz w:val="24"/>
          <w:szCs w:val="24"/>
        </w:rPr>
        <w:t>；</w:t>
      </w:r>
    </w:p>
    <w:p w14:paraId="31902321">
      <w:pPr>
        <w:pStyle w:val="4"/>
        <w:rPr>
          <w:rFonts w:hint="eastAsia" w:ascii="宋体" w:hAnsi="宋体" w:eastAsia="宋体" w:cs="宋体"/>
          <w:sz w:val="24"/>
          <w:szCs w:val="24"/>
        </w:rPr>
      </w:pPr>
      <w:bookmarkStart w:id="196" w:name="_Toc221951330"/>
      <w:r>
        <w:rPr>
          <w:rFonts w:hint="eastAsia" w:ascii="宋体" w:hAnsi="宋体" w:eastAsia="宋体" w:cs="宋体"/>
          <w:sz w:val="24"/>
          <w:szCs w:val="24"/>
        </w:rPr>
        <w:t>保险条件：</w:t>
      </w:r>
      <w:r>
        <w:rPr>
          <w:rFonts w:hint="eastAsia" w:ascii="宋体" w:hAnsi="宋体" w:eastAsia="宋体" w:cs="宋体"/>
          <w:sz w:val="24"/>
          <w:szCs w:val="24"/>
          <w:u w:val="single"/>
        </w:rPr>
        <w:t xml:space="preserve">     /         </w:t>
      </w:r>
      <w:r>
        <w:rPr>
          <w:rFonts w:hint="eastAsia" w:ascii="宋体" w:hAnsi="宋体" w:eastAsia="宋体" w:cs="宋体"/>
          <w:sz w:val="24"/>
          <w:szCs w:val="24"/>
        </w:rPr>
        <w:t>。</w:t>
      </w:r>
      <w:bookmarkEnd w:id="196"/>
    </w:p>
    <w:p w14:paraId="3876BCB3">
      <w:pPr>
        <w:pStyle w:val="6"/>
        <w:numPr>
          <w:ilvl w:val="0"/>
          <w:numId w:val="0"/>
        </w:numPr>
        <w:bidi w:val="0"/>
        <w:ind w:left="482" w:leftChars="0"/>
        <w:rPr>
          <w:rFonts w:hint="eastAsia" w:ascii="宋体" w:hAnsi="宋体" w:eastAsia="宋体" w:cs="宋体"/>
          <w:sz w:val="24"/>
          <w:szCs w:val="24"/>
        </w:rPr>
      </w:pPr>
      <w:bookmarkStart w:id="197" w:name="_Toc221951331"/>
      <w:r>
        <w:rPr>
          <w:rFonts w:hint="eastAsia" w:ascii="宋体" w:hAnsi="宋体" w:eastAsia="宋体" w:cs="宋体"/>
          <w:sz w:val="24"/>
          <w:szCs w:val="24"/>
        </w:rPr>
        <w:t>20.6.4 保险金不足的补偿</w:t>
      </w:r>
      <w:bookmarkEnd w:id="197"/>
    </w:p>
    <w:p w14:paraId="16EA9739">
      <w:pPr>
        <w:pStyle w:val="4"/>
        <w:rPr>
          <w:rFonts w:hint="eastAsia" w:ascii="宋体" w:hAnsi="宋体" w:eastAsia="宋体" w:cs="宋体"/>
          <w:sz w:val="24"/>
          <w:szCs w:val="24"/>
        </w:rPr>
      </w:pPr>
      <w:bookmarkStart w:id="198" w:name="_Toc221951332"/>
      <w:r>
        <w:rPr>
          <w:rFonts w:hint="eastAsia" w:ascii="宋体" w:hAnsi="宋体" w:eastAsia="宋体" w:cs="宋体"/>
          <w:sz w:val="24"/>
          <w:szCs w:val="24"/>
        </w:rPr>
        <w:t>承包人负责补偿的范围与金额：</w:t>
      </w:r>
      <w:bookmarkEnd w:id="198"/>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72F4B9B7">
      <w:pPr>
        <w:pStyle w:val="4"/>
        <w:rPr>
          <w:rFonts w:hint="eastAsia" w:ascii="宋体" w:hAnsi="宋体" w:eastAsia="宋体" w:cs="宋体"/>
          <w:sz w:val="24"/>
          <w:szCs w:val="24"/>
        </w:rPr>
      </w:pPr>
      <w:r>
        <w:rPr>
          <w:rFonts w:hint="eastAsia" w:ascii="宋体" w:hAnsi="宋体" w:eastAsia="宋体" w:cs="宋体"/>
          <w:sz w:val="24"/>
          <w:szCs w:val="24"/>
        </w:rPr>
        <w:t>发包人负责补偿的范围与金额：</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59CD1945">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21. 不可抗力</w:t>
      </w:r>
    </w:p>
    <w:p w14:paraId="4E385B78">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21.1 不可抗力的确认</w:t>
      </w:r>
    </w:p>
    <w:p w14:paraId="0FA48346">
      <w:pPr>
        <w:pStyle w:val="4"/>
        <w:rPr>
          <w:rFonts w:hint="eastAsia" w:ascii="宋体" w:hAnsi="宋体" w:eastAsia="宋体" w:cs="宋体"/>
          <w:sz w:val="24"/>
          <w:szCs w:val="24"/>
        </w:rPr>
      </w:pPr>
      <w:r>
        <w:rPr>
          <w:rFonts w:hint="eastAsia" w:ascii="宋体" w:hAnsi="宋体" w:eastAsia="宋体" w:cs="宋体"/>
          <w:sz w:val="24"/>
          <w:szCs w:val="24"/>
        </w:rPr>
        <w:t>21.1.1 不可抗力是指承包人和发包人在订立合同时不可预见，在工程施工过程中不可避免发生并不能克服的自然灾害和社会性突发事件，如地震、海啸、瘟疫、水灾、骚乱、暴动、战争和本合同专用合同条款第11.4款的约定。</w:t>
      </w:r>
    </w:p>
    <w:p w14:paraId="65D7560A">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 xml:space="preserve"> </w:t>
      </w:r>
      <w:r>
        <w:rPr>
          <w:rFonts w:hint="eastAsia" w:ascii="宋体" w:hAnsi="宋体" w:eastAsia="宋体" w:cs="宋体"/>
          <w:sz w:val="24"/>
          <w:szCs w:val="24"/>
        </w:rPr>
        <w:t xml:space="preserve">                                                                                                                                                                                                                                                                                                                                                                                                                                                                                                                                                                                                                                                                                                                                                                                                                                                                                                                                                                                                                                                                                                                                                                                                                                                                                                                                                                                                                                                                                                                                                                                                                                                                                                                                                                                                                                                                                                                                                                                                                                      </w:t>
      </w:r>
      <w:r>
        <w:rPr>
          <w:rFonts w:hint="eastAsia" w:ascii="宋体" w:hAnsi="宋体" w:eastAsia="宋体" w:cs="宋体"/>
          <w:b/>
          <w:sz w:val="24"/>
          <w:szCs w:val="24"/>
        </w:rPr>
        <w:t xml:space="preserve"> </w:t>
      </w:r>
    </w:p>
    <w:p w14:paraId="0AFFED94">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24. 争议的解决</w:t>
      </w:r>
    </w:p>
    <w:p w14:paraId="793C3657">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24.1 争议的解决方式</w:t>
      </w:r>
    </w:p>
    <w:p w14:paraId="32575E6E">
      <w:pPr>
        <w:pStyle w:val="4"/>
        <w:rPr>
          <w:rFonts w:hint="eastAsia" w:ascii="宋体" w:hAnsi="宋体" w:eastAsia="宋体" w:cs="宋体"/>
          <w:sz w:val="24"/>
          <w:szCs w:val="24"/>
        </w:rPr>
      </w:pPr>
      <w:r>
        <w:rPr>
          <w:rFonts w:hint="eastAsia" w:ascii="宋体" w:hAnsi="宋体" w:eastAsia="宋体" w:cs="宋体"/>
          <w:sz w:val="24"/>
          <w:szCs w:val="24"/>
        </w:rPr>
        <w:t>合同当事人友好协商解决不成、不愿提请争议评审或不接受争议评审组意见的，约定的合同争议解决方式：</w:t>
      </w:r>
      <w:r>
        <w:rPr>
          <w:rFonts w:hint="eastAsia" w:ascii="宋体" w:hAnsi="宋体" w:eastAsia="宋体" w:cs="宋体"/>
          <w:sz w:val="24"/>
          <w:szCs w:val="24"/>
          <w:u w:val="single"/>
        </w:rPr>
        <w:t>向有管辖权的人民法院提起诉讼。</w:t>
      </w:r>
    </w:p>
    <w:p w14:paraId="31E9B007">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25.附加条款</w:t>
      </w:r>
    </w:p>
    <w:p w14:paraId="57B962E8">
      <w:pPr>
        <w:pStyle w:val="4"/>
        <w:rPr>
          <w:rFonts w:hint="eastAsia" w:ascii="宋体" w:hAnsi="宋体" w:eastAsia="宋体" w:cs="宋体"/>
          <w:sz w:val="24"/>
          <w:szCs w:val="24"/>
        </w:rPr>
      </w:pPr>
      <w:r>
        <w:rPr>
          <w:rFonts w:hint="eastAsia" w:ascii="宋体" w:hAnsi="宋体" w:eastAsia="宋体" w:cs="宋体"/>
          <w:sz w:val="24"/>
          <w:szCs w:val="24"/>
        </w:rPr>
        <w:t>25.1对承包人的要求</w:t>
      </w:r>
    </w:p>
    <w:p w14:paraId="020624E4">
      <w:pPr>
        <w:pStyle w:val="4"/>
        <w:rPr>
          <w:rFonts w:hint="eastAsia" w:ascii="宋体" w:hAnsi="宋体" w:eastAsia="宋体" w:cs="宋体"/>
          <w:sz w:val="24"/>
          <w:szCs w:val="24"/>
        </w:rPr>
      </w:pPr>
      <w:r>
        <w:rPr>
          <w:rFonts w:hint="eastAsia" w:ascii="宋体" w:hAnsi="宋体" w:eastAsia="宋体" w:cs="宋体"/>
          <w:sz w:val="24"/>
          <w:szCs w:val="24"/>
        </w:rPr>
        <w:t>1.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14:paraId="4738DCB3">
      <w:pPr>
        <w:pStyle w:val="4"/>
        <w:rPr>
          <w:rFonts w:hint="eastAsia" w:ascii="宋体" w:hAnsi="宋体" w:eastAsia="宋体" w:cs="宋体"/>
          <w:sz w:val="24"/>
          <w:szCs w:val="24"/>
        </w:rPr>
      </w:pPr>
      <w:r>
        <w:rPr>
          <w:rFonts w:hint="eastAsia" w:ascii="宋体" w:hAnsi="宋体" w:eastAsia="宋体" w:cs="宋体"/>
          <w:sz w:val="24"/>
          <w:szCs w:val="24"/>
        </w:rPr>
        <w:t>2.遵守国务院《建设工程质量管理条例》，根据有关质量管理规定，建立健全质量管理机构，结合工程实际制定完善的可操作性强的质量管理制度，施工质量等级达到合同约定等级。</w:t>
      </w:r>
    </w:p>
    <w:p w14:paraId="3EB4E147">
      <w:pPr>
        <w:pStyle w:val="4"/>
        <w:rPr>
          <w:rFonts w:hint="eastAsia" w:ascii="宋体" w:hAnsi="宋体" w:eastAsia="宋体" w:cs="宋体"/>
          <w:sz w:val="24"/>
          <w:szCs w:val="24"/>
        </w:rPr>
      </w:pPr>
      <w:r>
        <w:rPr>
          <w:rFonts w:hint="eastAsia" w:ascii="宋体" w:hAnsi="宋体" w:eastAsia="宋体" w:cs="宋体"/>
          <w:sz w:val="24"/>
          <w:szCs w:val="24"/>
        </w:rPr>
        <w:t>3.按国家《中华人民共和国生产安全法》、《建设工程安全生产管理条例》、自治区安全生产法规和施工安全操作规程的规定建立健全安全管理机构和安全管理制度，采取安全施工保障措施保障工程施工安全。</w:t>
      </w:r>
    </w:p>
    <w:p w14:paraId="532EFB7E">
      <w:pPr>
        <w:pStyle w:val="4"/>
        <w:rPr>
          <w:rFonts w:hint="eastAsia" w:ascii="宋体" w:hAnsi="宋体" w:eastAsia="宋体" w:cs="宋体"/>
          <w:sz w:val="24"/>
          <w:szCs w:val="24"/>
        </w:rPr>
      </w:pPr>
      <w:r>
        <w:rPr>
          <w:rFonts w:hint="eastAsia" w:ascii="宋体" w:hAnsi="宋体" w:eastAsia="宋体" w:cs="宋体"/>
          <w:sz w:val="24"/>
          <w:szCs w:val="24"/>
        </w:rPr>
        <w:t>4.按有关施工规程规范及本招标文件技术条款进行组织施工并实施施工过程和移交前工程保护措施。</w:t>
      </w:r>
    </w:p>
    <w:p w14:paraId="5E9BF063">
      <w:pPr>
        <w:pStyle w:val="4"/>
        <w:rPr>
          <w:rFonts w:hint="eastAsia" w:ascii="宋体" w:hAnsi="宋体" w:eastAsia="宋体" w:cs="宋体"/>
          <w:sz w:val="24"/>
          <w:szCs w:val="24"/>
        </w:rPr>
      </w:pPr>
      <w:r>
        <w:rPr>
          <w:rFonts w:hint="eastAsia" w:ascii="宋体" w:hAnsi="宋体" w:eastAsia="宋体" w:cs="宋体"/>
          <w:sz w:val="24"/>
          <w:szCs w:val="24"/>
        </w:rPr>
        <w:t>5.承包人违约有以下情况之一者，发包人有权采取合同规定的以下措施处理，并视情节轻重处予违约金，违约金额为合同总价的0.25%-1%（视情节严重而定）。</w:t>
      </w:r>
    </w:p>
    <w:p w14:paraId="06DE4FE8">
      <w:pPr>
        <w:pStyle w:val="4"/>
        <w:rPr>
          <w:rFonts w:hint="eastAsia" w:ascii="宋体" w:hAnsi="宋体" w:eastAsia="宋体" w:cs="宋体"/>
          <w:sz w:val="24"/>
          <w:szCs w:val="24"/>
        </w:rPr>
      </w:pPr>
      <w:r>
        <w:rPr>
          <w:rFonts w:hint="eastAsia" w:ascii="宋体" w:hAnsi="宋体" w:eastAsia="宋体" w:cs="宋体"/>
          <w:sz w:val="24"/>
          <w:szCs w:val="24"/>
        </w:rPr>
        <w:t>（1）未经发包人批准，施工期内承包人调走主要施工技术人员（包括建造师、专业工程师），经发现不及时调回的，违约金额为合同总价的0.25%-1%（视情节严重而定）。</w:t>
      </w:r>
    </w:p>
    <w:p w14:paraId="67FF5565">
      <w:pPr>
        <w:pStyle w:val="4"/>
        <w:rPr>
          <w:rFonts w:hint="eastAsia" w:ascii="宋体" w:hAnsi="宋体" w:eastAsia="宋体" w:cs="宋体"/>
          <w:sz w:val="24"/>
          <w:szCs w:val="24"/>
        </w:rPr>
      </w:pPr>
      <w:r>
        <w:rPr>
          <w:rFonts w:hint="eastAsia" w:ascii="宋体" w:hAnsi="宋体" w:eastAsia="宋体" w:cs="宋体"/>
          <w:sz w:val="24"/>
          <w:szCs w:val="24"/>
        </w:rPr>
        <w:t>（2）未经发包人批准，施工期内自行调走主要施工机械，经发现不及时调回的，违约金额为合同总价的0.25%-1%（视情节严重而定）。</w:t>
      </w:r>
    </w:p>
    <w:p w14:paraId="01BB418A">
      <w:pPr>
        <w:pStyle w:val="4"/>
        <w:rPr>
          <w:rFonts w:hint="eastAsia" w:ascii="宋体" w:hAnsi="宋体" w:eastAsia="宋体" w:cs="宋体"/>
          <w:sz w:val="24"/>
          <w:szCs w:val="24"/>
        </w:rPr>
      </w:pPr>
      <w:r>
        <w:rPr>
          <w:rFonts w:hint="eastAsia" w:ascii="宋体" w:hAnsi="宋体" w:eastAsia="宋体" w:cs="宋体"/>
          <w:sz w:val="24"/>
          <w:szCs w:val="24"/>
        </w:rPr>
        <w:t>（3）所有以上违约金均在承包人的进度款中扣除。</w:t>
      </w:r>
    </w:p>
    <w:p w14:paraId="1E803874">
      <w:pPr>
        <w:pStyle w:val="4"/>
        <w:rPr>
          <w:rFonts w:hint="eastAsia" w:ascii="宋体" w:hAnsi="宋体" w:eastAsia="宋体" w:cs="宋体"/>
          <w:sz w:val="24"/>
          <w:szCs w:val="24"/>
        </w:rPr>
      </w:pPr>
      <w:r>
        <w:rPr>
          <w:rFonts w:hint="eastAsia" w:ascii="宋体" w:hAnsi="宋体" w:eastAsia="宋体" w:cs="宋体"/>
          <w:sz w:val="24"/>
          <w:szCs w:val="24"/>
        </w:rP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14:paraId="5D4E3304">
      <w:pPr>
        <w:pStyle w:val="4"/>
        <w:rPr>
          <w:rFonts w:hint="eastAsia" w:ascii="宋体" w:hAnsi="宋体" w:eastAsia="宋体" w:cs="宋体"/>
          <w:sz w:val="24"/>
          <w:szCs w:val="24"/>
        </w:rPr>
      </w:pPr>
      <w:r>
        <w:rPr>
          <w:rFonts w:hint="eastAsia" w:ascii="宋体" w:hAnsi="宋体" w:eastAsia="宋体" w:cs="宋体"/>
          <w:sz w:val="24"/>
          <w:szCs w:val="24"/>
        </w:rPr>
        <w:t>（5）合同签订之日起15日内，承包人无法按合同规定进场全部人员和机械时，作为承包人违约，发包人可解除合同，没收其全部履约保证金，另行发包工程。</w:t>
      </w:r>
    </w:p>
    <w:p w14:paraId="49A3C578">
      <w:pPr>
        <w:pStyle w:val="4"/>
        <w:rPr>
          <w:rFonts w:hint="eastAsia" w:ascii="宋体" w:hAnsi="宋体" w:eastAsia="宋体" w:cs="宋体"/>
          <w:sz w:val="24"/>
          <w:szCs w:val="24"/>
        </w:rPr>
      </w:pPr>
      <w:bookmarkStart w:id="199" w:name="bookmark1879"/>
      <w:bookmarkEnd w:id="199"/>
      <w:r>
        <w:rPr>
          <w:rFonts w:hint="eastAsia" w:ascii="宋体" w:hAnsi="宋体" w:eastAsia="宋体" w:cs="宋体"/>
          <w:sz w:val="24"/>
          <w:szCs w:val="24"/>
        </w:rPr>
        <w:t>（6）合同履行过程中，承包人未按规定要求落实安全生产措施费用专款专用，挪用、 扣减安全生产措施费用，且不服从发包人或监理人的安全生产管理，发包人有权对违反安 全生产相关规定的行为处以罚款直至终止合同。</w:t>
      </w:r>
    </w:p>
    <w:p w14:paraId="6E0AAE8C">
      <w:pPr>
        <w:pStyle w:val="4"/>
        <w:rPr>
          <w:rFonts w:hint="eastAsia" w:ascii="宋体" w:hAnsi="宋体" w:eastAsia="宋体" w:cs="宋体"/>
          <w:sz w:val="24"/>
          <w:szCs w:val="24"/>
        </w:rPr>
      </w:pPr>
      <w:r>
        <w:rPr>
          <w:rFonts w:hint="eastAsia" w:ascii="宋体" w:hAnsi="宋体" w:eastAsia="宋体" w:cs="宋体"/>
          <w:sz w:val="24"/>
          <w:szCs w:val="24"/>
        </w:rPr>
        <w:t>6.承包人生活设施及施工场地，应自费配备消防设备，防止火灾发生。</w:t>
      </w:r>
    </w:p>
    <w:p w14:paraId="4E873112">
      <w:pPr>
        <w:pStyle w:val="4"/>
        <w:rPr>
          <w:rFonts w:hint="eastAsia" w:ascii="宋体" w:hAnsi="宋体" w:eastAsia="宋体" w:cs="宋体"/>
          <w:sz w:val="24"/>
          <w:szCs w:val="24"/>
        </w:rPr>
      </w:pPr>
      <w:r>
        <w:rPr>
          <w:rFonts w:hint="eastAsia" w:ascii="宋体" w:hAnsi="宋体" w:eastAsia="宋体" w:cs="宋体"/>
          <w:sz w:val="24"/>
          <w:szCs w:val="24"/>
        </w:rPr>
        <w:t>7.承包人使用的劳动力均应进行保险，否则不准安排工作，禁止使用童工。</w:t>
      </w:r>
    </w:p>
    <w:p w14:paraId="46BB343F">
      <w:pPr>
        <w:pStyle w:val="4"/>
        <w:rPr>
          <w:rFonts w:hint="eastAsia" w:ascii="宋体" w:hAnsi="宋体" w:eastAsia="宋体" w:cs="宋体"/>
          <w:sz w:val="24"/>
          <w:szCs w:val="24"/>
        </w:rPr>
      </w:pPr>
      <w:r>
        <w:rPr>
          <w:rFonts w:hint="eastAsia" w:ascii="宋体" w:hAnsi="宋体" w:eastAsia="宋体" w:cs="宋体"/>
          <w:sz w:val="24"/>
          <w:szCs w:val="24"/>
        </w:rPr>
        <w:t>8.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60D0DF62">
      <w:pPr>
        <w:pStyle w:val="4"/>
        <w:rPr>
          <w:rFonts w:hint="eastAsia" w:ascii="宋体" w:hAnsi="宋体" w:eastAsia="宋体" w:cs="宋体"/>
          <w:sz w:val="24"/>
          <w:szCs w:val="24"/>
        </w:rPr>
      </w:pPr>
      <w:r>
        <w:rPr>
          <w:rFonts w:hint="eastAsia" w:ascii="宋体" w:hAnsi="宋体" w:eastAsia="宋体" w:cs="宋体"/>
          <w:sz w:val="24"/>
          <w:szCs w:val="24"/>
        </w:rPr>
        <w:t>9.承包人未能按时完成当月合同进度计划70%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14:paraId="036936DE">
      <w:pPr>
        <w:pStyle w:val="4"/>
        <w:rPr>
          <w:rFonts w:hint="eastAsia" w:ascii="宋体" w:hAnsi="宋体" w:eastAsia="宋体" w:cs="宋体"/>
          <w:sz w:val="24"/>
          <w:szCs w:val="24"/>
        </w:rPr>
      </w:pPr>
      <w:r>
        <w:rPr>
          <w:rFonts w:hint="eastAsia" w:ascii="宋体" w:hAnsi="宋体" w:eastAsia="宋体" w:cs="宋体"/>
          <w:sz w:val="24"/>
          <w:szCs w:val="24"/>
        </w:rPr>
        <w:t>10.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14:paraId="65B78DE6">
      <w:pPr>
        <w:pStyle w:val="4"/>
        <w:rPr>
          <w:rFonts w:hint="eastAsia" w:ascii="宋体" w:hAnsi="宋体" w:eastAsia="宋体" w:cs="宋体"/>
          <w:sz w:val="24"/>
          <w:szCs w:val="24"/>
        </w:rPr>
      </w:pPr>
      <w:r>
        <w:rPr>
          <w:rFonts w:hint="eastAsia" w:ascii="宋体" w:hAnsi="宋体" w:eastAsia="宋体" w:cs="宋体"/>
          <w:b w:val="0"/>
          <w:bCs/>
          <w:sz w:val="24"/>
          <w:szCs w:val="24"/>
        </w:rPr>
        <w:t>25.2</w:t>
      </w:r>
      <w:r>
        <w:rPr>
          <w:rFonts w:hint="eastAsia" w:ascii="宋体" w:hAnsi="宋体" w:eastAsia="宋体" w:cs="宋体"/>
          <w:sz w:val="24"/>
          <w:szCs w:val="24"/>
        </w:rPr>
        <w:t xml:space="preserve"> 发包人所有付款(含预付款)均转入如下承包人单位基本账户:开户银行：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，开户名：</w:t>
      </w:r>
      <w:r>
        <w:rPr>
          <w:rFonts w:hint="eastAsia" w:ascii="宋体" w:hAnsi="宋体" w:eastAsia="宋体" w:cs="宋体"/>
          <w:sz w:val="24"/>
          <w:szCs w:val="24"/>
          <w:u w:val="single"/>
        </w:rPr>
        <w:t xml:space="preserve">                      </w:t>
      </w:r>
      <w:r>
        <w:rPr>
          <w:rFonts w:hint="eastAsia" w:ascii="宋体" w:hAnsi="宋体" w:eastAsia="宋体" w:cs="宋体"/>
          <w:sz w:val="24"/>
          <w:szCs w:val="24"/>
        </w:rPr>
        <w:t>，账号：</w:t>
      </w:r>
      <w:r>
        <w:rPr>
          <w:rFonts w:hint="eastAsia" w:ascii="宋体" w:hAnsi="宋体" w:eastAsia="宋体" w:cs="宋体"/>
          <w:sz w:val="24"/>
          <w:szCs w:val="24"/>
          <w:u w:val="single"/>
        </w:rPr>
        <w:t xml:space="preserve">                     </w:t>
      </w:r>
      <w:r>
        <w:rPr>
          <w:rFonts w:hint="eastAsia" w:ascii="宋体" w:hAnsi="宋体" w:eastAsia="宋体" w:cs="宋体"/>
          <w:sz w:val="24"/>
          <w:szCs w:val="24"/>
        </w:rPr>
        <w:t>，承包人单位基本账户发生改变时, 承包人应书面通知（法定代表人签名并加盖单位公章）发包人。</w:t>
      </w:r>
    </w:p>
    <w:p w14:paraId="14A0CFFE">
      <w:pPr>
        <w:pStyle w:val="4"/>
        <w:rPr>
          <w:rFonts w:hint="eastAsia" w:ascii="宋体" w:hAnsi="宋体" w:eastAsia="宋体" w:cs="宋体"/>
          <w:sz w:val="24"/>
          <w:szCs w:val="24"/>
        </w:rPr>
      </w:pPr>
      <w:r>
        <w:rPr>
          <w:rFonts w:hint="eastAsia" w:ascii="宋体" w:hAnsi="宋体" w:eastAsia="宋体" w:cs="宋体"/>
          <w:b w:val="0"/>
          <w:bCs/>
          <w:sz w:val="24"/>
          <w:szCs w:val="24"/>
        </w:rPr>
        <w:t>25.3</w:t>
      </w:r>
      <w:r>
        <w:rPr>
          <w:rFonts w:hint="eastAsia" w:ascii="宋体" w:hAnsi="宋体" w:eastAsia="宋体" w:cs="宋体"/>
          <w:sz w:val="24"/>
          <w:szCs w:val="24"/>
        </w:rPr>
        <w:t>承包方应在施工合同签订后14天内提交所有工程报建报监资料，并按要求办理开工前相应手续，且所有施工签证等相关手续符合主管部门、地方的规定；工程过程中涉及的办证由承包方负责并承担相关费用，发包人协助承包人办理。</w:t>
      </w:r>
    </w:p>
    <w:p w14:paraId="6E484DB8">
      <w:pPr>
        <w:pStyle w:val="4"/>
        <w:rPr>
          <w:rFonts w:hint="eastAsia" w:ascii="宋体" w:hAnsi="宋体" w:eastAsia="宋体" w:cs="宋体"/>
          <w:sz w:val="24"/>
          <w:szCs w:val="24"/>
        </w:rPr>
      </w:pPr>
      <w:r>
        <w:rPr>
          <w:rFonts w:hint="eastAsia" w:ascii="宋体" w:hAnsi="宋体" w:eastAsia="宋体" w:cs="宋体"/>
          <w:b w:val="0"/>
          <w:bCs/>
          <w:sz w:val="24"/>
          <w:szCs w:val="24"/>
        </w:rPr>
        <w:t>25.4</w:t>
      </w:r>
      <w:r>
        <w:rPr>
          <w:rFonts w:hint="eastAsia" w:ascii="宋体" w:hAnsi="宋体" w:eastAsia="宋体" w:cs="宋体"/>
          <w:sz w:val="24"/>
          <w:szCs w:val="24"/>
        </w:rPr>
        <w:t xml:space="preserve"> 专用合同条款中未尽事宜，在签订施工合同时双方再商定。</w:t>
      </w:r>
    </w:p>
    <w:p w14:paraId="52A5238B">
      <w:pPr>
        <w:rPr>
          <w:rFonts w:hint="eastAsia" w:ascii="宋体" w:hAnsi="宋体" w:eastAsia="宋体" w:cs="宋体"/>
          <w:sz w:val="24"/>
          <w:szCs w:val="24"/>
        </w:rPr>
      </w:pPr>
    </w:p>
    <w:p w14:paraId="4CAAFF1F">
      <w:pPr>
        <w:rPr>
          <w:rFonts w:hint="eastAsia" w:ascii="宋体" w:hAnsi="宋体" w:eastAsia="宋体" w:cs="宋体"/>
          <w:sz w:val="24"/>
          <w:szCs w:val="24"/>
        </w:rPr>
      </w:pPr>
    </w:p>
    <w:p w14:paraId="0762DF2B">
      <w:pPr>
        <w:rPr>
          <w:rFonts w:hint="eastAsia" w:ascii="宋体" w:hAnsi="宋体" w:eastAsia="宋体" w:cs="宋体"/>
          <w:sz w:val="24"/>
          <w:szCs w:val="24"/>
        </w:rPr>
      </w:pPr>
    </w:p>
    <w:p w14:paraId="112B6754">
      <w:pPr>
        <w:rPr>
          <w:rFonts w:hint="eastAsia" w:ascii="宋体" w:hAnsi="宋体" w:eastAsia="宋体" w:cs="宋体"/>
          <w:sz w:val="24"/>
          <w:szCs w:val="24"/>
        </w:rPr>
      </w:pPr>
    </w:p>
    <w:p w14:paraId="451B76B5">
      <w:pPr>
        <w:rPr>
          <w:rFonts w:hint="eastAsia" w:ascii="宋体" w:hAnsi="宋体" w:eastAsia="宋体" w:cs="宋体"/>
          <w:sz w:val="24"/>
          <w:szCs w:val="24"/>
        </w:rPr>
      </w:pPr>
    </w:p>
    <w:p w14:paraId="3205A9BB">
      <w:pPr>
        <w:rPr>
          <w:rFonts w:hint="eastAsia" w:ascii="宋体" w:hAnsi="宋体" w:eastAsia="宋体" w:cs="宋体"/>
          <w:sz w:val="24"/>
          <w:szCs w:val="24"/>
        </w:rPr>
      </w:pPr>
    </w:p>
    <w:p w14:paraId="0BD2DFC8">
      <w:pPr>
        <w:rPr>
          <w:rFonts w:hint="eastAsia" w:ascii="宋体" w:hAnsi="宋体" w:eastAsia="宋体" w:cs="宋体"/>
          <w:sz w:val="24"/>
          <w:szCs w:val="24"/>
        </w:rPr>
      </w:pPr>
    </w:p>
    <w:p w14:paraId="0D4C2852">
      <w:pPr>
        <w:rPr>
          <w:rFonts w:hint="eastAsia" w:ascii="宋体" w:hAnsi="宋体" w:eastAsia="宋体" w:cs="宋体"/>
          <w:sz w:val="24"/>
          <w:szCs w:val="24"/>
        </w:rPr>
      </w:pPr>
    </w:p>
    <w:p w14:paraId="7BDA1354">
      <w:pPr>
        <w:rPr>
          <w:rFonts w:hint="eastAsia" w:ascii="宋体" w:hAnsi="宋体" w:eastAsia="宋体" w:cs="宋体"/>
          <w:sz w:val="24"/>
          <w:szCs w:val="24"/>
        </w:rPr>
      </w:pPr>
    </w:p>
    <w:p w14:paraId="7DBAEADE">
      <w:pPr>
        <w:rPr>
          <w:rFonts w:hint="eastAsia" w:ascii="宋体" w:hAnsi="宋体" w:eastAsia="宋体" w:cs="宋体"/>
          <w:sz w:val="24"/>
          <w:szCs w:val="24"/>
        </w:rPr>
      </w:pPr>
    </w:p>
    <w:p w14:paraId="432E34DC">
      <w:pPr>
        <w:rPr>
          <w:rFonts w:hint="eastAsia" w:ascii="宋体" w:hAnsi="宋体" w:eastAsia="宋体" w:cs="宋体"/>
          <w:sz w:val="24"/>
          <w:szCs w:val="24"/>
        </w:rPr>
      </w:pPr>
    </w:p>
    <w:p w14:paraId="32EEB835">
      <w:pPr>
        <w:rPr>
          <w:rFonts w:hint="eastAsia" w:ascii="宋体" w:hAnsi="宋体" w:eastAsia="宋体" w:cs="宋体"/>
          <w:sz w:val="24"/>
          <w:szCs w:val="24"/>
        </w:rPr>
      </w:pPr>
    </w:p>
    <w:p w14:paraId="28FEB01B">
      <w:pPr>
        <w:rPr>
          <w:rFonts w:hint="eastAsia" w:ascii="宋体" w:hAnsi="宋体" w:eastAsia="宋体" w:cs="宋体"/>
          <w:sz w:val="24"/>
          <w:szCs w:val="24"/>
        </w:rPr>
      </w:pPr>
    </w:p>
    <w:p w14:paraId="3E91170A">
      <w:pPr>
        <w:rPr>
          <w:rFonts w:hint="eastAsia" w:ascii="宋体" w:hAnsi="宋体" w:eastAsia="宋体" w:cs="宋体"/>
          <w:sz w:val="24"/>
          <w:szCs w:val="24"/>
        </w:rPr>
      </w:pPr>
    </w:p>
    <w:p w14:paraId="435B5224">
      <w:pPr>
        <w:rPr>
          <w:rFonts w:hint="eastAsia" w:ascii="宋体" w:hAnsi="宋体" w:eastAsia="宋体" w:cs="宋体"/>
          <w:sz w:val="24"/>
          <w:szCs w:val="24"/>
        </w:rPr>
      </w:pPr>
    </w:p>
    <w:p w14:paraId="27CE49E3">
      <w:pPr>
        <w:rPr>
          <w:rFonts w:hint="eastAsia" w:ascii="宋体" w:hAnsi="宋体" w:eastAsia="宋体" w:cs="宋体"/>
          <w:sz w:val="24"/>
          <w:szCs w:val="24"/>
        </w:rPr>
      </w:pPr>
      <w:bookmarkStart w:id="200" w:name="_Toc622"/>
      <w:r>
        <w:rPr>
          <w:rFonts w:hint="eastAsia" w:ascii="宋体" w:hAnsi="宋体" w:eastAsia="宋体" w:cs="宋体"/>
          <w:sz w:val="24"/>
          <w:szCs w:val="24"/>
        </w:rPr>
        <w:br w:type="page"/>
      </w:r>
    </w:p>
    <w:p w14:paraId="581754EA">
      <w:pPr>
        <w:pStyle w:val="44"/>
        <w:numPr>
          <w:ilvl w:val="0"/>
          <w:numId w:val="70"/>
        </w:numPr>
        <w:ind w:left="0" w:leftChars="0" w:firstLine="480" w:firstLineChars="0"/>
        <w:outlineLvl w:val="0"/>
        <w:rPr>
          <w:rFonts w:hint="eastAsia" w:ascii="宋体" w:hAnsi="宋体" w:eastAsia="宋体" w:cs="宋体"/>
          <w:sz w:val="32"/>
          <w:szCs w:val="32"/>
        </w:rPr>
      </w:pPr>
      <w:r>
        <w:rPr>
          <w:rFonts w:hint="eastAsia" w:ascii="宋体" w:hAnsi="宋体" w:eastAsia="宋体" w:cs="宋体"/>
          <w:sz w:val="32"/>
          <w:szCs w:val="32"/>
        </w:rPr>
        <w:t>通用合同条款</w:t>
      </w:r>
      <w:bookmarkEnd w:id="200"/>
    </w:p>
    <w:p w14:paraId="7AA69B57">
      <w:pPr>
        <w:pStyle w:val="6"/>
        <w:numPr>
          <w:ilvl w:val="0"/>
          <w:numId w:val="0"/>
        </w:numPr>
        <w:bidi w:val="0"/>
        <w:ind w:left="482" w:leftChars="0"/>
        <w:rPr>
          <w:rFonts w:hint="eastAsia" w:ascii="宋体" w:hAnsi="宋体" w:eastAsia="宋体" w:cs="宋体"/>
          <w:sz w:val="24"/>
          <w:szCs w:val="24"/>
        </w:rPr>
      </w:pPr>
      <w:bookmarkStart w:id="201" w:name="bookmark883"/>
      <w:bookmarkStart w:id="202" w:name="bookmark881"/>
      <w:bookmarkStart w:id="203" w:name="bookmark882"/>
      <w:bookmarkStart w:id="204" w:name="_Toc19504"/>
      <w:bookmarkStart w:id="205" w:name="_Toc14710268"/>
      <w:r>
        <w:rPr>
          <w:rFonts w:hint="eastAsia" w:ascii="宋体" w:hAnsi="宋体" w:eastAsia="宋体" w:cs="宋体"/>
          <w:sz w:val="24"/>
          <w:szCs w:val="24"/>
        </w:rPr>
        <w:t>1. 一般约定</w:t>
      </w:r>
      <w:bookmarkEnd w:id="201"/>
      <w:bookmarkEnd w:id="202"/>
      <w:bookmarkEnd w:id="203"/>
      <w:bookmarkEnd w:id="204"/>
      <w:bookmarkEnd w:id="205"/>
    </w:p>
    <w:p w14:paraId="34DA9166">
      <w:pPr>
        <w:pStyle w:val="6"/>
        <w:numPr>
          <w:ilvl w:val="0"/>
          <w:numId w:val="0"/>
        </w:numPr>
        <w:bidi w:val="0"/>
        <w:ind w:left="482" w:leftChars="0"/>
        <w:rPr>
          <w:rFonts w:hint="eastAsia" w:ascii="宋体" w:hAnsi="宋体" w:eastAsia="宋体" w:cs="宋体"/>
          <w:sz w:val="24"/>
          <w:szCs w:val="24"/>
        </w:rPr>
      </w:pPr>
      <w:bookmarkStart w:id="206" w:name="bookmark884"/>
      <w:bookmarkStart w:id="207" w:name="bookmark885"/>
      <w:bookmarkStart w:id="208" w:name="_Toc14710269"/>
      <w:bookmarkStart w:id="209" w:name="bookmark886"/>
      <w:bookmarkStart w:id="210" w:name="_Toc5974"/>
      <w:r>
        <w:rPr>
          <w:rFonts w:hint="eastAsia" w:ascii="宋体" w:hAnsi="宋体" w:eastAsia="宋体" w:cs="宋体"/>
          <w:sz w:val="24"/>
          <w:szCs w:val="24"/>
        </w:rPr>
        <w:t>1.1词语定义</w:t>
      </w:r>
      <w:bookmarkEnd w:id="206"/>
      <w:bookmarkEnd w:id="207"/>
      <w:bookmarkEnd w:id="208"/>
      <w:bookmarkEnd w:id="209"/>
      <w:bookmarkEnd w:id="210"/>
    </w:p>
    <w:p w14:paraId="6926D6A9">
      <w:pPr>
        <w:pStyle w:val="4"/>
        <w:rPr>
          <w:rFonts w:hint="eastAsia" w:ascii="宋体" w:hAnsi="宋体" w:eastAsia="宋体" w:cs="宋体"/>
          <w:sz w:val="24"/>
          <w:szCs w:val="24"/>
        </w:rPr>
      </w:pPr>
      <w:r>
        <w:rPr>
          <w:rFonts w:hint="eastAsia" w:ascii="宋体" w:hAnsi="宋体" w:eastAsia="宋体" w:cs="宋体"/>
          <w:sz w:val="24"/>
          <w:szCs w:val="24"/>
        </w:rPr>
        <w:t>通用合同条款、专用合同条款中的下列词语应具有本款所赋予的含义。</w:t>
      </w:r>
    </w:p>
    <w:p w14:paraId="2B92F31F">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1.1.1合同</w:t>
      </w:r>
    </w:p>
    <w:p w14:paraId="03F6D5F3">
      <w:pPr>
        <w:pStyle w:val="4"/>
        <w:rPr>
          <w:rFonts w:hint="eastAsia" w:ascii="宋体" w:hAnsi="宋体" w:eastAsia="宋体" w:cs="宋体"/>
          <w:sz w:val="24"/>
          <w:szCs w:val="24"/>
        </w:rPr>
      </w:pPr>
      <w:r>
        <w:rPr>
          <w:rFonts w:hint="eastAsia" w:ascii="宋体" w:hAnsi="宋体" w:eastAsia="宋体" w:cs="宋体"/>
          <w:sz w:val="24"/>
          <w:szCs w:val="24"/>
        </w:rPr>
        <w:t>1.1.1.1合同文件（或称合同）：指合同协议书、成交通知书、投标函及投标函附录、专用合同条款、通用合同条款、技术标准和要求、图纸、已标价工程量清单，以及其他合同文件。</w:t>
      </w:r>
    </w:p>
    <w:p w14:paraId="28E93319">
      <w:pPr>
        <w:pStyle w:val="4"/>
        <w:rPr>
          <w:rFonts w:hint="eastAsia" w:ascii="宋体" w:hAnsi="宋体" w:eastAsia="宋体" w:cs="宋体"/>
          <w:sz w:val="24"/>
          <w:szCs w:val="24"/>
        </w:rPr>
      </w:pPr>
      <w:bookmarkStart w:id="211" w:name="bookmark887"/>
      <w:bookmarkEnd w:id="211"/>
      <w:r>
        <w:rPr>
          <w:rFonts w:hint="eastAsia" w:ascii="宋体" w:hAnsi="宋体" w:eastAsia="宋体" w:cs="宋体"/>
          <w:sz w:val="24"/>
          <w:szCs w:val="24"/>
        </w:rPr>
        <w:t>1. 1. 1. 2合同协议书：指第1.5款所指的合同协议书。</w:t>
      </w:r>
    </w:p>
    <w:p w14:paraId="70B31853">
      <w:pPr>
        <w:pStyle w:val="4"/>
        <w:rPr>
          <w:rFonts w:hint="eastAsia" w:ascii="宋体" w:hAnsi="宋体" w:eastAsia="宋体" w:cs="宋体"/>
          <w:sz w:val="24"/>
          <w:szCs w:val="24"/>
        </w:rPr>
      </w:pPr>
      <w:r>
        <w:rPr>
          <w:rFonts w:hint="eastAsia" w:ascii="宋体" w:hAnsi="宋体" w:eastAsia="宋体" w:cs="宋体"/>
          <w:sz w:val="24"/>
          <w:szCs w:val="24"/>
        </w:rPr>
        <w:t>1. 1. 1. 3成交通知书：指发包人通知承包人成交的函件。</w:t>
      </w:r>
    </w:p>
    <w:p w14:paraId="6A8CE6A4">
      <w:pPr>
        <w:pStyle w:val="4"/>
        <w:rPr>
          <w:rFonts w:hint="eastAsia" w:ascii="宋体" w:hAnsi="宋体" w:eastAsia="宋体" w:cs="宋体"/>
          <w:sz w:val="24"/>
          <w:szCs w:val="24"/>
        </w:rPr>
      </w:pPr>
      <w:bookmarkStart w:id="212" w:name="bookmark888"/>
      <w:bookmarkEnd w:id="212"/>
      <w:r>
        <w:rPr>
          <w:rFonts w:hint="eastAsia" w:ascii="宋体" w:hAnsi="宋体" w:eastAsia="宋体" w:cs="宋体"/>
          <w:sz w:val="24"/>
          <w:szCs w:val="24"/>
        </w:rPr>
        <w:t>1. 1. 1. 4投标函：指构成合同文件组成部分的由承包人填写并签署的投标函。</w:t>
      </w:r>
    </w:p>
    <w:p w14:paraId="363935BB">
      <w:pPr>
        <w:pStyle w:val="4"/>
        <w:rPr>
          <w:rFonts w:hint="eastAsia" w:ascii="宋体" w:hAnsi="宋体" w:eastAsia="宋体" w:cs="宋体"/>
          <w:sz w:val="24"/>
          <w:szCs w:val="24"/>
        </w:rPr>
      </w:pPr>
      <w:r>
        <w:rPr>
          <w:rFonts w:hint="eastAsia" w:ascii="宋体" w:hAnsi="宋体" w:eastAsia="宋体" w:cs="宋体"/>
          <w:sz w:val="24"/>
          <w:szCs w:val="24"/>
        </w:rPr>
        <w:t>1. 1. 1. 5投标函附录：指附在投标函后构成合同文件的投标函附录。</w:t>
      </w:r>
    </w:p>
    <w:p w14:paraId="4521F154">
      <w:pPr>
        <w:pStyle w:val="4"/>
        <w:rPr>
          <w:rFonts w:hint="eastAsia" w:ascii="宋体" w:hAnsi="宋体" w:eastAsia="宋体" w:cs="宋体"/>
          <w:sz w:val="24"/>
          <w:szCs w:val="24"/>
        </w:rPr>
      </w:pPr>
      <w:bookmarkStart w:id="213" w:name="bookmark889"/>
      <w:bookmarkEnd w:id="213"/>
      <w:r>
        <w:rPr>
          <w:rFonts w:hint="eastAsia" w:ascii="宋体" w:hAnsi="宋体" w:eastAsia="宋体" w:cs="宋体"/>
          <w:sz w:val="24"/>
          <w:szCs w:val="24"/>
        </w:rPr>
        <w:t>1. 1. 1. 6技术标准和要求：指构成合同文件组成部分的名为技术标准和要求（合同技术条款）的文件，包括合同双方当事人约定对其所做的修改或补充。</w:t>
      </w:r>
    </w:p>
    <w:p w14:paraId="752A9C04">
      <w:pPr>
        <w:pStyle w:val="4"/>
        <w:rPr>
          <w:rFonts w:hint="eastAsia" w:ascii="宋体" w:hAnsi="宋体" w:eastAsia="宋体" w:cs="宋体"/>
          <w:sz w:val="24"/>
          <w:szCs w:val="24"/>
        </w:rPr>
      </w:pPr>
      <w:bookmarkStart w:id="214" w:name="bookmark890"/>
      <w:bookmarkEnd w:id="214"/>
      <w:r>
        <w:rPr>
          <w:rFonts w:hint="eastAsia" w:ascii="宋体" w:hAnsi="宋体" w:eastAsia="宋体" w:cs="宋体"/>
          <w:sz w:val="24"/>
          <w:szCs w:val="24"/>
        </w:rPr>
        <w:t>1. 1. 1. 7图纸：指列入合同的招标图纸、投标图纸和发包人按合同约定向承包人提供 的施工图纸和其他图纸（包括配套说明和有关资料）。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14:paraId="2B012065">
      <w:pPr>
        <w:pStyle w:val="4"/>
        <w:rPr>
          <w:rFonts w:hint="eastAsia" w:ascii="宋体" w:hAnsi="宋体" w:eastAsia="宋体" w:cs="宋体"/>
          <w:sz w:val="24"/>
          <w:szCs w:val="24"/>
        </w:rPr>
      </w:pPr>
      <w:r>
        <w:rPr>
          <w:rFonts w:hint="eastAsia" w:ascii="宋体" w:hAnsi="宋体" w:eastAsia="宋体" w:cs="宋体"/>
          <w:sz w:val="24"/>
          <w:szCs w:val="24"/>
        </w:rPr>
        <w:t>1. 1. 1. 8已标价工程量清单：指构成合同文件组成部分的由承包人按照规定的格式和要求填写并标明价格的工程量清单。</w:t>
      </w:r>
    </w:p>
    <w:p w14:paraId="427156BF">
      <w:pPr>
        <w:pStyle w:val="4"/>
        <w:rPr>
          <w:rFonts w:hint="eastAsia" w:ascii="宋体" w:hAnsi="宋体" w:eastAsia="宋体" w:cs="宋体"/>
          <w:sz w:val="24"/>
          <w:szCs w:val="24"/>
        </w:rPr>
      </w:pPr>
      <w:r>
        <w:rPr>
          <w:rFonts w:hint="eastAsia" w:ascii="宋体" w:hAnsi="宋体" w:eastAsia="宋体" w:cs="宋体"/>
          <w:sz w:val="24"/>
          <w:szCs w:val="24"/>
        </w:rPr>
        <w:t>1. 1. 1. 9其他合同文件：指经合同双方当事人确认构成合同文件的其他文件。</w:t>
      </w:r>
    </w:p>
    <w:p w14:paraId="53821C45">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1.1.2合同当事人和人员。</w:t>
      </w:r>
    </w:p>
    <w:p w14:paraId="14F03757">
      <w:pPr>
        <w:pStyle w:val="4"/>
        <w:rPr>
          <w:rFonts w:hint="eastAsia" w:ascii="宋体" w:hAnsi="宋体" w:eastAsia="宋体" w:cs="宋体"/>
          <w:sz w:val="24"/>
          <w:szCs w:val="24"/>
        </w:rPr>
      </w:pPr>
      <w:r>
        <w:rPr>
          <w:rFonts w:hint="eastAsia" w:ascii="宋体" w:hAnsi="宋体" w:eastAsia="宋体" w:cs="宋体"/>
          <w:sz w:val="24"/>
          <w:szCs w:val="24"/>
        </w:rPr>
        <w:t>1. 1.2.1合同当事人：指发包人和（或）承包人。</w:t>
      </w:r>
    </w:p>
    <w:p w14:paraId="522F8FD8">
      <w:pPr>
        <w:pStyle w:val="4"/>
        <w:rPr>
          <w:rFonts w:hint="eastAsia" w:ascii="宋体" w:hAnsi="宋体" w:eastAsia="宋体" w:cs="宋体"/>
          <w:sz w:val="24"/>
          <w:szCs w:val="24"/>
        </w:rPr>
      </w:pPr>
      <w:bookmarkStart w:id="215" w:name="bookmark891"/>
      <w:bookmarkEnd w:id="215"/>
      <w:r>
        <w:rPr>
          <w:rFonts w:hint="eastAsia" w:ascii="宋体" w:hAnsi="宋体" w:eastAsia="宋体" w:cs="宋体"/>
          <w:sz w:val="24"/>
          <w:szCs w:val="24"/>
        </w:rPr>
        <w:t>1. 1.2.2发包人：指专用合同条款中指明并与承包人在合同协议书中签字的当事人。</w:t>
      </w:r>
    </w:p>
    <w:p w14:paraId="77F20B08">
      <w:pPr>
        <w:pStyle w:val="4"/>
        <w:rPr>
          <w:rFonts w:hint="eastAsia" w:ascii="宋体" w:hAnsi="宋体" w:eastAsia="宋体" w:cs="宋体"/>
          <w:sz w:val="24"/>
          <w:szCs w:val="24"/>
        </w:rPr>
      </w:pPr>
      <w:bookmarkStart w:id="216" w:name="bookmark892"/>
      <w:bookmarkEnd w:id="216"/>
      <w:r>
        <w:rPr>
          <w:rFonts w:hint="eastAsia" w:ascii="宋体" w:hAnsi="宋体" w:eastAsia="宋体" w:cs="宋体"/>
          <w:sz w:val="24"/>
          <w:szCs w:val="24"/>
        </w:rPr>
        <w:t>1. 1.2.3承包人：指专用合同条款中指明并与发包人在合同协议书中签字的当事人。</w:t>
      </w:r>
    </w:p>
    <w:p w14:paraId="176E4B5F">
      <w:pPr>
        <w:pStyle w:val="4"/>
        <w:rPr>
          <w:rFonts w:hint="eastAsia" w:ascii="宋体" w:hAnsi="宋体" w:eastAsia="宋体" w:cs="宋体"/>
          <w:sz w:val="24"/>
          <w:szCs w:val="24"/>
        </w:rPr>
      </w:pPr>
      <w:r>
        <w:rPr>
          <w:rFonts w:hint="eastAsia" w:ascii="宋体" w:hAnsi="宋体" w:eastAsia="宋体" w:cs="宋体"/>
          <w:sz w:val="24"/>
          <w:szCs w:val="24"/>
        </w:rPr>
        <w:t>1. 1.2.4承包人项目经理：指承包人派驻施工场地的全权负责人。</w:t>
      </w:r>
    </w:p>
    <w:p w14:paraId="139C18D0">
      <w:pPr>
        <w:pStyle w:val="4"/>
        <w:rPr>
          <w:rFonts w:hint="eastAsia" w:ascii="宋体" w:hAnsi="宋体" w:eastAsia="宋体" w:cs="宋体"/>
          <w:sz w:val="24"/>
          <w:szCs w:val="24"/>
        </w:rPr>
      </w:pPr>
      <w:r>
        <w:rPr>
          <w:rFonts w:hint="eastAsia" w:ascii="宋体" w:hAnsi="宋体" w:eastAsia="宋体" w:cs="宋体"/>
          <w:sz w:val="24"/>
          <w:szCs w:val="24"/>
        </w:rPr>
        <w:t>1. 1.2.5分包人：指专用合同条款中指明的，从承包人处分包合同中某一部分工程, 并与其签订分包合同的分包人。</w:t>
      </w:r>
    </w:p>
    <w:p w14:paraId="044B0CF7">
      <w:pPr>
        <w:pStyle w:val="4"/>
        <w:rPr>
          <w:rFonts w:hint="eastAsia" w:ascii="宋体" w:hAnsi="宋体" w:eastAsia="宋体" w:cs="宋体"/>
          <w:sz w:val="24"/>
          <w:szCs w:val="24"/>
        </w:rPr>
      </w:pPr>
      <w:bookmarkStart w:id="217" w:name="bookmark893"/>
      <w:bookmarkEnd w:id="217"/>
      <w:r>
        <w:rPr>
          <w:rFonts w:hint="eastAsia" w:ascii="宋体" w:hAnsi="宋体" w:eastAsia="宋体" w:cs="宋体"/>
          <w:sz w:val="24"/>
          <w:szCs w:val="24"/>
        </w:rPr>
        <w:t>1. 1.2.6  监理人：指在专用合同条款中指明的，受发包人委托对合同履行实施管理的 法人或其他组织。</w:t>
      </w:r>
    </w:p>
    <w:p w14:paraId="343BD1DE">
      <w:pPr>
        <w:pStyle w:val="4"/>
        <w:rPr>
          <w:rFonts w:hint="eastAsia" w:ascii="宋体" w:hAnsi="宋体" w:eastAsia="宋体" w:cs="宋体"/>
          <w:sz w:val="24"/>
          <w:szCs w:val="24"/>
        </w:rPr>
      </w:pPr>
      <w:r>
        <w:rPr>
          <w:rFonts w:hint="eastAsia" w:ascii="宋体" w:hAnsi="宋体" w:eastAsia="宋体" w:cs="宋体"/>
          <w:sz w:val="24"/>
          <w:szCs w:val="24"/>
        </w:rPr>
        <w:t>1. 1.2.7总监理工程师（总监）:指由监理人委派常驻施工场地对合同履行实施管理的全权负责人。</w:t>
      </w:r>
    </w:p>
    <w:p w14:paraId="37C4F645">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 1.3工程和设备</w:t>
      </w:r>
    </w:p>
    <w:p w14:paraId="15626E75">
      <w:pPr>
        <w:pStyle w:val="4"/>
        <w:rPr>
          <w:rFonts w:hint="eastAsia" w:ascii="宋体" w:hAnsi="宋体" w:eastAsia="宋体" w:cs="宋体"/>
          <w:sz w:val="24"/>
          <w:szCs w:val="24"/>
        </w:rPr>
      </w:pPr>
      <w:r>
        <w:rPr>
          <w:rFonts w:hint="eastAsia" w:ascii="宋体" w:hAnsi="宋体" w:eastAsia="宋体" w:cs="宋体"/>
          <w:sz w:val="24"/>
          <w:szCs w:val="24"/>
        </w:rPr>
        <w:t>1. 1.3. 1工程：指永久工程和（或）临时工程。</w:t>
      </w:r>
    </w:p>
    <w:p w14:paraId="556DF54E">
      <w:pPr>
        <w:pStyle w:val="4"/>
        <w:rPr>
          <w:rFonts w:hint="eastAsia" w:ascii="宋体" w:hAnsi="宋体" w:eastAsia="宋体" w:cs="宋体"/>
          <w:sz w:val="24"/>
          <w:szCs w:val="24"/>
        </w:rPr>
      </w:pPr>
      <w:bookmarkStart w:id="218" w:name="bookmark894"/>
      <w:bookmarkEnd w:id="218"/>
      <w:r>
        <w:rPr>
          <w:rFonts w:hint="eastAsia" w:ascii="宋体" w:hAnsi="宋体" w:eastAsia="宋体" w:cs="宋体"/>
          <w:sz w:val="24"/>
          <w:szCs w:val="24"/>
        </w:rPr>
        <w:t>1. 1.3. 2永久工程：指按合同约定建造并移交给发包人的工程，包括工程设备。</w:t>
      </w:r>
    </w:p>
    <w:p w14:paraId="30AAF8FC">
      <w:pPr>
        <w:pStyle w:val="4"/>
        <w:rPr>
          <w:rFonts w:hint="eastAsia" w:ascii="宋体" w:hAnsi="宋体" w:eastAsia="宋体" w:cs="宋体"/>
          <w:sz w:val="24"/>
          <w:szCs w:val="24"/>
        </w:rPr>
      </w:pPr>
      <w:bookmarkStart w:id="219" w:name="bookmark895"/>
      <w:bookmarkEnd w:id="219"/>
      <w:r>
        <w:rPr>
          <w:rFonts w:hint="eastAsia" w:ascii="宋体" w:hAnsi="宋体" w:eastAsia="宋体" w:cs="宋体"/>
          <w:sz w:val="24"/>
          <w:szCs w:val="24"/>
        </w:rPr>
        <w:t>1. 1.3. 3临时工程：指为完成合同约定的永久工程所修建的各类临时性工程，不包括施工设备。</w:t>
      </w:r>
    </w:p>
    <w:p w14:paraId="40139260">
      <w:pPr>
        <w:pStyle w:val="4"/>
        <w:rPr>
          <w:rFonts w:hint="eastAsia" w:ascii="宋体" w:hAnsi="宋体" w:eastAsia="宋体" w:cs="宋体"/>
          <w:sz w:val="24"/>
          <w:szCs w:val="24"/>
        </w:rPr>
      </w:pPr>
      <w:r>
        <w:rPr>
          <w:rFonts w:hint="eastAsia" w:ascii="宋体" w:hAnsi="宋体" w:eastAsia="宋体" w:cs="宋体"/>
          <w:sz w:val="24"/>
          <w:szCs w:val="24"/>
        </w:rPr>
        <w:t>1.1.3. 4单位工程：指专用合同条款中指明特定范围的永久工程。</w:t>
      </w:r>
    </w:p>
    <w:p w14:paraId="748E2B50">
      <w:pPr>
        <w:pStyle w:val="4"/>
        <w:rPr>
          <w:rFonts w:hint="eastAsia" w:ascii="宋体" w:hAnsi="宋体" w:eastAsia="宋体" w:cs="宋体"/>
          <w:sz w:val="24"/>
          <w:szCs w:val="24"/>
        </w:rPr>
      </w:pPr>
      <w:bookmarkStart w:id="220" w:name="bookmark896"/>
      <w:bookmarkEnd w:id="220"/>
      <w:r>
        <w:rPr>
          <w:rFonts w:hint="eastAsia" w:ascii="宋体" w:hAnsi="宋体" w:eastAsia="宋体" w:cs="宋体"/>
          <w:sz w:val="24"/>
          <w:szCs w:val="24"/>
        </w:rPr>
        <w:t>1. 1.3. 5工程设备：指构成或计划构成永久工程一部分的机电设备、金属结构设备、仪器装置及其他类似的设备和装置。</w:t>
      </w:r>
    </w:p>
    <w:p w14:paraId="0942EE19">
      <w:pPr>
        <w:pStyle w:val="4"/>
        <w:rPr>
          <w:rFonts w:hint="eastAsia" w:ascii="宋体" w:hAnsi="宋体" w:eastAsia="宋体" w:cs="宋体"/>
          <w:sz w:val="24"/>
          <w:szCs w:val="24"/>
        </w:rPr>
      </w:pPr>
      <w:bookmarkStart w:id="221" w:name="bookmark897"/>
      <w:bookmarkEnd w:id="221"/>
      <w:r>
        <w:rPr>
          <w:rFonts w:hint="eastAsia" w:ascii="宋体" w:hAnsi="宋体" w:eastAsia="宋体" w:cs="宋体"/>
          <w:sz w:val="24"/>
          <w:szCs w:val="24"/>
        </w:rPr>
        <w:t>1. 1.3. 6施工设备：指为完成合同约定的各项工作所需的设备、器具和其他物品，不包括临时工程和材料。</w:t>
      </w:r>
    </w:p>
    <w:p w14:paraId="44106307">
      <w:pPr>
        <w:pStyle w:val="4"/>
        <w:rPr>
          <w:rFonts w:hint="eastAsia" w:ascii="宋体" w:hAnsi="宋体" w:eastAsia="宋体" w:cs="宋体"/>
          <w:sz w:val="24"/>
          <w:szCs w:val="24"/>
        </w:rPr>
      </w:pPr>
      <w:bookmarkStart w:id="222" w:name="bookmark898"/>
      <w:bookmarkEnd w:id="222"/>
      <w:r>
        <w:rPr>
          <w:rFonts w:hint="eastAsia" w:ascii="宋体" w:hAnsi="宋体" w:eastAsia="宋体" w:cs="宋体"/>
          <w:sz w:val="24"/>
          <w:szCs w:val="24"/>
        </w:rPr>
        <w:t>1. 1.3. 7临时设施：指为完成合同约定的各项工作所服务的临时性生产和生活设施。</w:t>
      </w:r>
    </w:p>
    <w:p w14:paraId="7CB5770E">
      <w:pPr>
        <w:pStyle w:val="4"/>
        <w:rPr>
          <w:rFonts w:hint="eastAsia" w:ascii="宋体" w:hAnsi="宋体" w:eastAsia="宋体" w:cs="宋体"/>
          <w:sz w:val="24"/>
          <w:szCs w:val="24"/>
        </w:rPr>
      </w:pPr>
      <w:r>
        <w:rPr>
          <w:rFonts w:hint="eastAsia" w:ascii="宋体" w:hAnsi="宋体" w:eastAsia="宋体" w:cs="宋体"/>
          <w:sz w:val="24"/>
          <w:szCs w:val="24"/>
        </w:rPr>
        <w:t>1. 1. 3. 8承包人设备：指承包人自带的施工设备。</w:t>
      </w:r>
    </w:p>
    <w:p w14:paraId="230B2609">
      <w:pPr>
        <w:pStyle w:val="4"/>
        <w:rPr>
          <w:rFonts w:hint="eastAsia" w:ascii="宋体" w:hAnsi="宋体" w:eastAsia="宋体" w:cs="宋体"/>
          <w:sz w:val="24"/>
          <w:szCs w:val="24"/>
        </w:rPr>
      </w:pPr>
      <w:r>
        <w:rPr>
          <w:rFonts w:hint="eastAsia" w:ascii="宋体" w:hAnsi="宋体" w:eastAsia="宋体" w:cs="宋体"/>
          <w:sz w:val="24"/>
          <w:szCs w:val="24"/>
        </w:rPr>
        <w:t>1. 1. 3. 9施工场地（或称工地、现场）：指用于合同工程施工的场所，以及在合同中指定作为施工场地组成部分的其他场所，包括永久占地和临时占地。</w:t>
      </w:r>
    </w:p>
    <w:p w14:paraId="0D84C53C">
      <w:pPr>
        <w:pStyle w:val="4"/>
        <w:rPr>
          <w:rFonts w:hint="eastAsia" w:ascii="宋体" w:hAnsi="宋体" w:eastAsia="宋体" w:cs="宋体"/>
          <w:sz w:val="24"/>
          <w:szCs w:val="24"/>
        </w:rPr>
      </w:pPr>
      <w:r>
        <w:rPr>
          <w:rFonts w:hint="eastAsia" w:ascii="宋体" w:hAnsi="宋体" w:eastAsia="宋体" w:cs="宋体"/>
          <w:sz w:val="24"/>
          <w:szCs w:val="24"/>
        </w:rPr>
        <w:t>1. 1. 3. 10永久占地：指发包人为建设本合同工程永久征用的场地。</w:t>
      </w:r>
    </w:p>
    <w:p w14:paraId="68D1ACD7">
      <w:pPr>
        <w:pStyle w:val="4"/>
        <w:rPr>
          <w:rFonts w:hint="eastAsia" w:ascii="宋体" w:hAnsi="宋体" w:eastAsia="宋体" w:cs="宋体"/>
          <w:sz w:val="24"/>
          <w:szCs w:val="24"/>
        </w:rPr>
      </w:pPr>
      <w:r>
        <w:rPr>
          <w:rFonts w:hint="eastAsia" w:ascii="宋体" w:hAnsi="宋体" w:eastAsia="宋体" w:cs="宋体"/>
          <w:sz w:val="24"/>
          <w:szCs w:val="24"/>
        </w:rPr>
        <w:t>1.1.3.11临时占地：指发包人为建设本合同工程临时征用，并应在完工后须按合同 要求退还的场地。</w:t>
      </w:r>
    </w:p>
    <w:p w14:paraId="410C3B58">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1.1.4日期</w:t>
      </w:r>
    </w:p>
    <w:p w14:paraId="4D0C1E8D">
      <w:pPr>
        <w:pStyle w:val="4"/>
        <w:rPr>
          <w:rFonts w:hint="eastAsia" w:ascii="宋体" w:hAnsi="宋体" w:eastAsia="宋体" w:cs="宋体"/>
          <w:sz w:val="24"/>
          <w:szCs w:val="24"/>
        </w:rPr>
      </w:pPr>
      <w:r>
        <w:rPr>
          <w:rFonts w:hint="eastAsia" w:ascii="宋体" w:hAnsi="宋体" w:eastAsia="宋体" w:cs="宋体"/>
          <w:sz w:val="24"/>
          <w:szCs w:val="24"/>
        </w:rPr>
        <w:t>1. 1.4. 1开工通知：指监理人按第11. 1款通知承包人开工的函件。</w:t>
      </w:r>
    </w:p>
    <w:p w14:paraId="06FD4F47">
      <w:pPr>
        <w:pStyle w:val="4"/>
        <w:rPr>
          <w:rFonts w:hint="eastAsia" w:ascii="宋体" w:hAnsi="宋体" w:eastAsia="宋体" w:cs="宋体"/>
          <w:sz w:val="24"/>
          <w:szCs w:val="24"/>
        </w:rPr>
      </w:pPr>
      <w:r>
        <w:rPr>
          <w:rFonts w:hint="eastAsia" w:ascii="宋体" w:hAnsi="宋体" w:eastAsia="宋体" w:cs="宋体"/>
          <w:sz w:val="24"/>
          <w:szCs w:val="24"/>
        </w:rPr>
        <w:t>1. 1.4.2开工日期：指监理人按第11. 1款发出的开工通知中写明的开工日期。</w:t>
      </w:r>
    </w:p>
    <w:p w14:paraId="136AC7A0">
      <w:pPr>
        <w:pStyle w:val="4"/>
        <w:rPr>
          <w:rFonts w:hint="eastAsia" w:ascii="宋体" w:hAnsi="宋体" w:eastAsia="宋体" w:cs="宋体"/>
          <w:sz w:val="24"/>
          <w:szCs w:val="24"/>
        </w:rPr>
      </w:pPr>
      <w:r>
        <w:rPr>
          <w:rFonts w:hint="eastAsia" w:ascii="宋体" w:hAnsi="宋体" w:eastAsia="宋体" w:cs="宋体"/>
          <w:sz w:val="24"/>
          <w:szCs w:val="24"/>
        </w:rPr>
        <w:t>1. 1.4.3工期：指承包人在投标函中承诺的完成合同工程所需的期限，包括按第11.3 款、第11. 4款和第11. 6款约定所作的变更。</w:t>
      </w:r>
    </w:p>
    <w:p w14:paraId="109FD01C">
      <w:pPr>
        <w:pStyle w:val="4"/>
        <w:rPr>
          <w:rFonts w:hint="eastAsia" w:ascii="宋体" w:hAnsi="宋体" w:eastAsia="宋体" w:cs="宋体"/>
          <w:sz w:val="24"/>
          <w:szCs w:val="24"/>
        </w:rPr>
      </w:pPr>
      <w:bookmarkStart w:id="223" w:name="bookmark899"/>
      <w:bookmarkEnd w:id="223"/>
      <w:r>
        <w:rPr>
          <w:rFonts w:hint="eastAsia" w:ascii="宋体" w:hAnsi="宋体" w:eastAsia="宋体" w:cs="宋体"/>
          <w:sz w:val="24"/>
          <w:szCs w:val="24"/>
        </w:rPr>
        <w:t>1. 1.4.4  竣工日期：即合同工程完工日期，指第1.1. 4. 3目约定工期届满时的日期。 实际完工时间以合同工程完工证书中写明的日期为准。</w:t>
      </w:r>
    </w:p>
    <w:p w14:paraId="65317A96">
      <w:pPr>
        <w:pStyle w:val="4"/>
        <w:rPr>
          <w:rFonts w:hint="eastAsia" w:ascii="宋体" w:hAnsi="宋体" w:eastAsia="宋体" w:cs="宋体"/>
          <w:sz w:val="24"/>
          <w:szCs w:val="24"/>
        </w:rPr>
      </w:pPr>
      <w:bookmarkStart w:id="224" w:name="bookmark900"/>
      <w:bookmarkEnd w:id="224"/>
      <w:r>
        <w:rPr>
          <w:rFonts w:hint="eastAsia" w:ascii="宋体" w:hAnsi="宋体" w:eastAsia="宋体" w:cs="宋体"/>
          <w:sz w:val="24"/>
          <w:szCs w:val="24"/>
        </w:rPr>
        <w:t>1. 1.4.6  缺陷责任期：即工程质量保修期，指履行第19. 2款约定的缺陷责任的期限, 包括根据第19. 3款约定所作的延长，具体期限由专用合同条款约定。</w:t>
      </w:r>
    </w:p>
    <w:p w14:paraId="50DBC679">
      <w:pPr>
        <w:pStyle w:val="4"/>
        <w:rPr>
          <w:rFonts w:hint="eastAsia" w:ascii="宋体" w:hAnsi="宋体" w:eastAsia="宋体" w:cs="宋体"/>
          <w:sz w:val="24"/>
          <w:szCs w:val="24"/>
        </w:rPr>
      </w:pPr>
      <w:r>
        <w:rPr>
          <w:rFonts w:hint="eastAsia" w:ascii="宋体" w:hAnsi="宋体" w:eastAsia="宋体" w:cs="宋体"/>
          <w:sz w:val="24"/>
          <w:szCs w:val="24"/>
        </w:rPr>
        <w:t>1. 1.4.6基准日期：指投标截止时间前28天的日期。</w:t>
      </w:r>
    </w:p>
    <w:p w14:paraId="71839240">
      <w:pPr>
        <w:pStyle w:val="4"/>
        <w:rPr>
          <w:rFonts w:hint="eastAsia" w:ascii="宋体" w:hAnsi="宋体" w:eastAsia="宋体" w:cs="宋体"/>
          <w:sz w:val="24"/>
          <w:szCs w:val="24"/>
        </w:rPr>
      </w:pPr>
      <w:r>
        <w:rPr>
          <w:rFonts w:hint="eastAsia" w:ascii="宋体" w:hAnsi="宋体" w:eastAsia="宋体" w:cs="宋体"/>
          <w:sz w:val="24"/>
          <w:szCs w:val="24"/>
        </w:rPr>
        <w:t>1. 1.4.7天：除特别指明外，指日历天。合同中按天计算时间的，开始当天不计入, 从次日开始计算。期限最后一天的截止时间为当天24：00</w:t>
      </w:r>
      <w:r>
        <w:rPr>
          <w:rFonts w:hint="eastAsia" w:ascii="宋体" w:hAnsi="宋体" w:eastAsia="宋体" w:cs="宋体"/>
          <w:sz w:val="24"/>
          <w:szCs w:val="24"/>
          <w:vertAlign w:val="subscript"/>
        </w:rPr>
        <w:t>o</w:t>
      </w:r>
    </w:p>
    <w:p w14:paraId="40647FB2">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1.1.5合同价格和费用</w:t>
      </w:r>
    </w:p>
    <w:p w14:paraId="626F5460">
      <w:pPr>
        <w:pStyle w:val="4"/>
        <w:rPr>
          <w:rFonts w:hint="eastAsia" w:ascii="宋体" w:hAnsi="宋体" w:eastAsia="宋体" w:cs="宋体"/>
          <w:sz w:val="24"/>
          <w:szCs w:val="24"/>
        </w:rPr>
      </w:pPr>
      <w:bookmarkStart w:id="225" w:name="bookmark901"/>
      <w:bookmarkEnd w:id="225"/>
      <w:r>
        <w:rPr>
          <w:rFonts w:hint="eastAsia" w:ascii="宋体" w:hAnsi="宋体" w:eastAsia="宋体" w:cs="宋体"/>
          <w:sz w:val="24"/>
          <w:szCs w:val="24"/>
        </w:rPr>
        <w:t>1.1.5.1签约合同价：指签定合同时合同协议书中写明的，包括了暂列金额、暂估价的合同总金额。</w:t>
      </w:r>
    </w:p>
    <w:p w14:paraId="5818668E">
      <w:pPr>
        <w:pStyle w:val="4"/>
        <w:rPr>
          <w:rFonts w:hint="eastAsia" w:ascii="宋体" w:hAnsi="宋体" w:eastAsia="宋体" w:cs="宋体"/>
          <w:sz w:val="24"/>
          <w:szCs w:val="24"/>
        </w:rPr>
      </w:pPr>
      <w:bookmarkStart w:id="226" w:name="bookmark902"/>
      <w:bookmarkEnd w:id="226"/>
      <w:r>
        <w:rPr>
          <w:rFonts w:hint="eastAsia" w:ascii="宋体" w:hAnsi="宋体" w:eastAsia="宋体" w:cs="宋体"/>
          <w:sz w:val="24"/>
          <w:szCs w:val="24"/>
        </w:rPr>
        <w:t>1.1.5. 2合同价格：指承包人按合同约定完成了包括缺陷责任期内的全部承包工作后，发包人应付给承包人的金额，包括在履行合同过程中按合同约定进行的变更和调整。</w:t>
      </w:r>
    </w:p>
    <w:p w14:paraId="2A499B4E">
      <w:pPr>
        <w:pStyle w:val="4"/>
        <w:rPr>
          <w:rFonts w:hint="eastAsia" w:ascii="宋体" w:hAnsi="宋体" w:eastAsia="宋体" w:cs="宋体"/>
          <w:sz w:val="24"/>
          <w:szCs w:val="24"/>
        </w:rPr>
      </w:pPr>
      <w:bookmarkStart w:id="227" w:name="bookmark903"/>
      <w:bookmarkEnd w:id="227"/>
      <w:r>
        <w:rPr>
          <w:rFonts w:hint="eastAsia" w:ascii="宋体" w:hAnsi="宋体" w:eastAsia="宋体" w:cs="宋体"/>
          <w:sz w:val="24"/>
          <w:szCs w:val="24"/>
        </w:rPr>
        <w:t>1.1.5. 3费用：指为履行合同所发生的或将要发生的所有合理开支，包括管理费和应分摊的其他费用，但不包括利润。</w:t>
      </w:r>
    </w:p>
    <w:p w14:paraId="4380DC6E">
      <w:pPr>
        <w:pStyle w:val="4"/>
        <w:rPr>
          <w:rFonts w:hint="eastAsia" w:ascii="宋体" w:hAnsi="宋体" w:eastAsia="宋体" w:cs="宋体"/>
          <w:sz w:val="24"/>
          <w:szCs w:val="24"/>
        </w:rPr>
      </w:pPr>
      <w:r>
        <w:rPr>
          <w:rFonts w:hint="eastAsia" w:ascii="宋体" w:hAnsi="宋体" w:eastAsia="宋体" w:cs="宋体"/>
          <w:sz w:val="24"/>
          <w:szCs w:val="24"/>
        </w:rPr>
        <w:t>1. 1.5.4暂列金额：指已标价工程量清单中所列的暂列金额，用于在签订协议书时尚 未确定或不可预见变更的施工及其所需材料、工程设备、服务等的金额，包括以计日工方式支付的金额。</w:t>
      </w:r>
    </w:p>
    <w:p w14:paraId="71BE39C9">
      <w:pPr>
        <w:pStyle w:val="4"/>
        <w:rPr>
          <w:rFonts w:hint="eastAsia" w:ascii="宋体" w:hAnsi="宋体" w:eastAsia="宋体" w:cs="宋体"/>
          <w:sz w:val="24"/>
          <w:szCs w:val="24"/>
        </w:rPr>
      </w:pPr>
      <w:r>
        <w:rPr>
          <w:rFonts w:hint="eastAsia" w:ascii="宋体" w:hAnsi="宋体" w:eastAsia="宋体" w:cs="宋体"/>
          <w:sz w:val="24"/>
          <w:szCs w:val="24"/>
        </w:rPr>
        <w:t>1. 1.5.5暂估价：指发包人在工程量清单中给定的用于支付必然发生但暂时不能确定价格的材料、设备以及专业工程的金额。</w:t>
      </w:r>
    </w:p>
    <w:p w14:paraId="2A61EAAA">
      <w:pPr>
        <w:pStyle w:val="4"/>
        <w:rPr>
          <w:rFonts w:hint="eastAsia" w:ascii="宋体" w:hAnsi="宋体" w:eastAsia="宋体" w:cs="宋体"/>
          <w:sz w:val="24"/>
          <w:szCs w:val="24"/>
        </w:rPr>
      </w:pPr>
      <w:bookmarkStart w:id="228" w:name="bookmark904"/>
      <w:bookmarkEnd w:id="228"/>
      <w:r>
        <w:rPr>
          <w:rFonts w:hint="eastAsia" w:ascii="宋体" w:hAnsi="宋体" w:eastAsia="宋体" w:cs="宋体"/>
          <w:sz w:val="24"/>
          <w:szCs w:val="24"/>
        </w:rPr>
        <w:t>1.1.5. 6计日工：指对零星工作采取的一种计价方式，按合同中的计日工子目及其单 价计价付款。</w:t>
      </w:r>
    </w:p>
    <w:p w14:paraId="2A7D5D81">
      <w:pPr>
        <w:pStyle w:val="4"/>
        <w:rPr>
          <w:rFonts w:hint="eastAsia" w:ascii="宋体" w:hAnsi="宋体" w:eastAsia="宋体" w:cs="宋体"/>
          <w:sz w:val="24"/>
          <w:szCs w:val="24"/>
        </w:rPr>
      </w:pPr>
      <w:r>
        <w:rPr>
          <w:rFonts w:hint="eastAsia" w:ascii="宋体" w:hAnsi="宋体" w:eastAsia="宋体" w:cs="宋体"/>
          <w:sz w:val="24"/>
          <w:szCs w:val="24"/>
        </w:rPr>
        <w:t>1. 1.5.7质量保证金(或称保留金)：指按第17.4.1项约定用于保证在缺陷责任期内履行缺陷修复义务的金额。</w:t>
      </w:r>
    </w:p>
    <w:p w14:paraId="7B1FCD38">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1.1.6其他</w:t>
      </w:r>
    </w:p>
    <w:p w14:paraId="1368748F">
      <w:pPr>
        <w:pStyle w:val="4"/>
        <w:rPr>
          <w:rFonts w:hint="eastAsia" w:ascii="宋体" w:hAnsi="宋体" w:eastAsia="宋体" w:cs="宋体"/>
          <w:sz w:val="24"/>
          <w:szCs w:val="24"/>
        </w:rPr>
      </w:pPr>
      <w:bookmarkStart w:id="229" w:name="bookmark905"/>
      <w:bookmarkEnd w:id="229"/>
      <w:r>
        <w:rPr>
          <w:rFonts w:hint="eastAsia" w:ascii="宋体" w:hAnsi="宋体" w:eastAsia="宋体" w:cs="宋体"/>
          <w:sz w:val="24"/>
          <w:szCs w:val="24"/>
        </w:rPr>
        <w:t>1.1.6.1书面形式：指合同文件、信函、电报、传真等可以有形地表现所载内容的形式。</w:t>
      </w:r>
    </w:p>
    <w:p w14:paraId="667F35A2">
      <w:pPr>
        <w:pStyle w:val="6"/>
        <w:numPr>
          <w:ilvl w:val="0"/>
          <w:numId w:val="0"/>
        </w:numPr>
        <w:bidi w:val="0"/>
        <w:ind w:left="482" w:leftChars="0"/>
        <w:rPr>
          <w:rFonts w:hint="eastAsia" w:ascii="宋体" w:hAnsi="宋体" w:eastAsia="宋体" w:cs="宋体"/>
          <w:sz w:val="24"/>
          <w:szCs w:val="24"/>
        </w:rPr>
      </w:pPr>
      <w:bookmarkStart w:id="230" w:name="bookmark906"/>
      <w:bookmarkStart w:id="231" w:name="_Toc14710270"/>
      <w:bookmarkStart w:id="232" w:name="_Toc16626"/>
      <w:bookmarkStart w:id="233" w:name="bookmark907"/>
      <w:bookmarkStart w:id="234" w:name="bookmark908"/>
      <w:r>
        <w:rPr>
          <w:rFonts w:hint="eastAsia" w:ascii="宋体" w:hAnsi="宋体" w:eastAsia="宋体" w:cs="宋体"/>
          <w:sz w:val="24"/>
          <w:szCs w:val="24"/>
        </w:rPr>
        <w:t>1.2语言文字</w:t>
      </w:r>
      <w:bookmarkEnd w:id="230"/>
      <w:bookmarkEnd w:id="231"/>
      <w:bookmarkEnd w:id="232"/>
      <w:bookmarkEnd w:id="233"/>
      <w:bookmarkEnd w:id="234"/>
    </w:p>
    <w:p w14:paraId="626409B9">
      <w:pPr>
        <w:pStyle w:val="4"/>
        <w:rPr>
          <w:rFonts w:hint="eastAsia" w:ascii="宋体" w:hAnsi="宋体" w:eastAsia="宋体" w:cs="宋体"/>
          <w:sz w:val="24"/>
          <w:szCs w:val="24"/>
        </w:rPr>
      </w:pPr>
      <w:r>
        <w:rPr>
          <w:rFonts w:hint="eastAsia" w:ascii="宋体" w:hAnsi="宋体" w:eastAsia="宋体" w:cs="宋体"/>
          <w:sz w:val="24"/>
          <w:szCs w:val="24"/>
        </w:rPr>
        <w:t>除专用术语外，合同使用的语言文字为中文。必要时专用术语应附有中文注释。</w:t>
      </w:r>
    </w:p>
    <w:p w14:paraId="3795BE68">
      <w:pPr>
        <w:pStyle w:val="6"/>
        <w:numPr>
          <w:ilvl w:val="0"/>
          <w:numId w:val="0"/>
        </w:numPr>
        <w:bidi w:val="0"/>
        <w:ind w:left="482" w:leftChars="0"/>
        <w:rPr>
          <w:rFonts w:hint="eastAsia" w:ascii="宋体" w:hAnsi="宋体" w:eastAsia="宋体" w:cs="宋体"/>
          <w:sz w:val="24"/>
          <w:szCs w:val="24"/>
        </w:rPr>
      </w:pPr>
      <w:bookmarkStart w:id="235" w:name="_Toc14710271"/>
      <w:bookmarkStart w:id="236" w:name="_Toc7852"/>
      <w:bookmarkStart w:id="237" w:name="bookmark909"/>
      <w:bookmarkStart w:id="238" w:name="bookmark910"/>
      <w:bookmarkStart w:id="239" w:name="bookmark911"/>
      <w:r>
        <w:rPr>
          <w:rFonts w:hint="eastAsia" w:ascii="宋体" w:hAnsi="宋体" w:eastAsia="宋体" w:cs="宋体"/>
          <w:sz w:val="24"/>
          <w:szCs w:val="24"/>
        </w:rPr>
        <w:t>1.3法律</w:t>
      </w:r>
      <w:bookmarkEnd w:id="235"/>
      <w:bookmarkEnd w:id="236"/>
      <w:bookmarkEnd w:id="237"/>
      <w:bookmarkEnd w:id="238"/>
      <w:bookmarkEnd w:id="239"/>
    </w:p>
    <w:p w14:paraId="707E0DF1">
      <w:pPr>
        <w:pStyle w:val="4"/>
        <w:rPr>
          <w:rFonts w:hint="eastAsia" w:ascii="宋体" w:hAnsi="宋体" w:eastAsia="宋体" w:cs="宋体"/>
          <w:sz w:val="24"/>
          <w:szCs w:val="24"/>
        </w:rPr>
      </w:pPr>
      <w:r>
        <w:rPr>
          <w:rFonts w:hint="eastAsia" w:ascii="宋体" w:hAnsi="宋体" w:eastAsia="宋体" w:cs="宋体"/>
          <w:sz w:val="24"/>
          <w:szCs w:val="24"/>
        </w:rPr>
        <w:t>适用于合同的法律包括中华人民共和国法律、行政法规、部门规章，以及工程所在地的地方法规、自治条例、单行条例和地方政府规章。</w:t>
      </w:r>
    </w:p>
    <w:p w14:paraId="745BB90C">
      <w:pPr>
        <w:pStyle w:val="6"/>
        <w:numPr>
          <w:ilvl w:val="0"/>
          <w:numId w:val="0"/>
        </w:numPr>
        <w:bidi w:val="0"/>
        <w:ind w:left="482" w:leftChars="0"/>
        <w:rPr>
          <w:rFonts w:hint="eastAsia" w:ascii="宋体" w:hAnsi="宋体" w:eastAsia="宋体" w:cs="宋体"/>
          <w:sz w:val="24"/>
          <w:szCs w:val="24"/>
        </w:rPr>
      </w:pPr>
      <w:bookmarkStart w:id="240" w:name="bookmark912"/>
      <w:bookmarkStart w:id="241" w:name="bookmark913"/>
      <w:bookmarkStart w:id="242" w:name="bookmark914"/>
      <w:bookmarkStart w:id="243" w:name="_Toc14710272"/>
      <w:bookmarkStart w:id="244" w:name="_Toc17089"/>
      <w:r>
        <w:rPr>
          <w:rFonts w:hint="eastAsia" w:ascii="宋体" w:hAnsi="宋体" w:eastAsia="宋体" w:cs="宋体"/>
          <w:sz w:val="24"/>
          <w:szCs w:val="24"/>
        </w:rPr>
        <w:t>1.4合同文件的优先顺序</w:t>
      </w:r>
      <w:bookmarkEnd w:id="240"/>
      <w:bookmarkEnd w:id="241"/>
      <w:bookmarkEnd w:id="242"/>
      <w:bookmarkEnd w:id="243"/>
      <w:bookmarkEnd w:id="244"/>
    </w:p>
    <w:p w14:paraId="33072414">
      <w:pPr>
        <w:pStyle w:val="4"/>
        <w:rPr>
          <w:rFonts w:hint="eastAsia" w:ascii="宋体" w:hAnsi="宋体" w:eastAsia="宋体" w:cs="宋体"/>
          <w:sz w:val="24"/>
          <w:szCs w:val="24"/>
        </w:rPr>
      </w:pPr>
      <w:r>
        <w:rPr>
          <w:rFonts w:hint="eastAsia" w:ascii="宋体" w:hAnsi="宋体" w:eastAsia="宋体" w:cs="宋体"/>
          <w:sz w:val="24"/>
          <w:szCs w:val="24"/>
        </w:rPr>
        <w:t>组成合同的各项文件应互相解释，互为说明。除专用合同条款另有约定外，解释合同文件的优先顺序如下：</w:t>
      </w:r>
    </w:p>
    <w:p w14:paraId="619DB92C">
      <w:pPr>
        <w:pStyle w:val="4"/>
        <w:rPr>
          <w:rFonts w:hint="eastAsia" w:ascii="宋体" w:hAnsi="宋体" w:eastAsia="宋体" w:cs="宋体"/>
          <w:sz w:val="24"/>
          <w:szCs w:val="24"/>
        </w:rPr>
      </w:pPr>
      <w:bookmarkStart w:id="245" w:name="bookmark915"/>
      <w:bookmarkEnd w:id="245"/>
      <w:r>
        <w:rPr>
          <w:rFonts w:hint="eastAsia" w:ascii="宋体" w:hAnsi="宋体" w:eastAsia="宋体" w:cs="宋体"/>
          <w:b w:val="0"/>
          <w:i w:val="0"/>
          <w:strike w:val="0"/>
          <w:color w:val="000000"/>
          <w:sz w:val="24"/>
          <w:szCs w:val="24"/>
          <w:u w:val="none"/>
        </w:rPr>
        <w:t>(1)</w:t>
      </w:r>
      <w:r>
        <w:rPr>
          <w:rFonts w:hint="eastAsia" w:ascii="宋体" w:hAnsi="宋体" w:eastAsia="宋体" w:cs="宋体"/>
          <w:sz w:val="24"/>
          <w:szCs w:val="24"/>
        </w:rPr>
        <w:t>合同协议书；</w:t>
      </w:r>
    </w:p>
    <w:p w14:paraId="70AB832B">
      <w:pPr>
        <w:pStyle w:val="4"/>
        <w:rPr>
          <w:rFonts w:hint="eastAsia" w:ascii="宋体" w:hAnsi="宋体" w:eastAsia="宋体" w:cs="宋体"/>
          <w:sz w:val="24"/>
          <w:szCs w:val="24"/>
        </w:rPr>
      </w:pPr>
      <w:bookmarkStart w:id="246" w:name="bookmark916"/>
      <w:bookmarkEnd w:id="246"/>
      <w:r>
        <w:rPr>
          <w:rFonts w:hint="eastAsia" w:ascii="宋体" w:hAnsi="宋体" w:eastAsia="宋体" w:cs="宋体"/>
          <w:b w:val="0"/>
          <w:i w:val="0"/>
          <w:strike w:val="0"/>
          <w:color w:val="000000"/>
          <w:sz w:val="24"/>
          <w:szCs w:val="24"/>
          <w:u w:val="none"/>
        </w:rPr>
        <w:t>(2)</w:t>
      </w:r>
      <w:r>
        <w:rPr>
          <w:rFonts w:hint="eastAsia" w:ascii="宋体" w:hAnsi="宋体" w:eastAsia="宋体" w:cs="宋体"/>
          <w:sz w:val="24"/>
          <w:szCs w:val="24"/>
        </w:rPr>
        <w:t>成交通知书；</w:t>
      </w:r>
    </w:p>
    <w:p w14:paraId="3F04B1AE">
      <w:pPr>
        <w:pStyle w:val="4"/>
        <w:rPr>
          <w:rFonts w:hint="eastAsia" w:ascii="宋体" w:hAnsi="宋体" w:eastAsia="宋体" w:cs="宋体"/>
          <w:sz w:val="24"/>
          <w:szCs w:val="24"/>
        </w:rPr>
      </w:pPr>
      <w:bookmarkStart w:id="247" w:name="bookmark917"/>
      <w:bookmarkEnd w:id="247"/>
      <w:r>
        <w:rPr>
          <w:rFonts w:hint="eastAsia" w:ascii="宋体" w:hAnsi="宋体" w:eastAsia="宋体" w:cs="宋体"/>
          <w:b w:val="0"/>
          <w:i w:val="0"/>
          <w:strike w:val="0"/>
          <w:color w:val="000000"/>
          <w:sz w:val="24"/>
          <w:szCs w:val="24"/>
          <w:u w:val="none"/>
        </w:rPr>
        <w:t>(3)</w:t>
      </w:r>
      <w:r>
        <w:rPr>
          <w:rFonts w:hint="eastAsia" w:ascii="宋体" w:hAnsi="宋体" w:eastAsia="宋体" w:cs="宋体"/>
          <w:sz w:val="24"/>
          <w:szCs w:val="24"/>
        </w:rPr>
        <w:t>投标函及投标函附录；</w:t>
      </w:r>
    </w:p>
    <w:p w14:paraId="11149698">
      <w:pPr>
        <w:pStyle w:val="4"/>
        <w:rPr>
          <w:rFonts w:hint="eastAsia" w:ascii="宋体" w:hAnsi="宋体" w:eastAsia="宋体" w:cs="宋体"/>
          <w:sz w:val="24"/>
          <w:szCs w:val="24"/>
        </w:rPr>
      </w:pPr>
      <w:bookmarkStart w:id="248" w:name="bookmark918"/>
      <w:bookmarkEnd w:id="248"/>
      <w:r>
        <w:rPr>
          <w:rFonts w:hint="eastAsia" w:ascii="宋体" w:hAnsi="宋体" w:eastAsia="宋体" w:cs="宋体"/>
          <w:b w:val="0"/>
          <w:i w:val="0"/>
          <w:strike w:val="0"/>
          <w:color w:val="000000"/>
          <w:sz w:val="24"/>
          <w:szCs w:val="24"/>
          <w:u w:val="none"/>
        </w:rPr>
        <w:t>(4)</w:t>
      </w:r>
      <w:r>
        <w:rPr>
          <w:rFonts w:hint="eastAsia" w:ascii="宋体" w:hAnsi="宋体" w:eastAsia="宋体" w:cs="宋体"/>
          <w:sz w:val="24"/>
          <w:szCs w:val="24"/>
        </w:rPr>
        <w:t>专用合同条款；</w:t>
      </w:r>
    </w:p>
    <w:p w14:paraId="3FCCB84D">
      <w:pPr>
        <w:pStyle w:val="4"/>
        <w:rPr>
          <w:rFonts w:hint="eastAsia" w:ascii="宋体" w:hAnsi="宋体" w:eastAsia="宋体" w:cs="宋体"/>
          <w:sz w:val="24"/>
          <w:szCs w:val="24"/>
        </w:rPr>
      </w:pPr>
      <w:bookmarkStart w:id="249" w:name="bookmark919"/>
      <w:bookmarkEnd w:id="249"/>
      <w:r>
        <w:rPr>
          <w:rFonts w:hint="eastAsia" w:ascii="宋体" w:hAnsi="宋体" w:eastAsia="宋体" w:cs="宋体"/>
          <w:b w:val="0"/>
          <w:i w:val="0"/>
          <w:strike w:val="0"/>
          <w:color w:val="000000"/>
          <w:sz w:val="24"/>
          <w:szCs w:val="24"/>
          <w:u w:val="none"/>
        </w:rPr>
        <w:t>(5)</w:t>
      </w:r>
      <w:r>
        <w:rPr>
          <w:rFonts w:hint="eastAsia" w:ascii="宋体" w:hAnsi="宋体" w:eastAsia="宋体" w:cs="宋体"/>
          <w:sz w:val="24"/>
          <w:szCs w:val="24"/>
        </w:rPr>
        <w:t>通用合同条款；</w:t>
      </w:r>
    </w:p>
    <w:p w14:paraId="3ED5D203">
      <w:pPr>
        <w:pStyle w:val="4"/>
        <w:rPr>
          <w:rFonts w:hint="eastAsia" w:ascii="宋体" w:hAnsi="宋体" w:eastAsia="宋体" w:cs="宋体"/>
          <w:sz w:val="24"/>
          <w:szCs w:val="24"/>
        </w:rPr>
      </w:pPr>
      <w:bookmarkStart w:id="250" w:name="bookmark920"/>
      <w:bookmarkEnd w:id="250"/>
      <w:r>
        <w:rPr>
          <w:rFonts w:hint="eastAsia" w:ascii="宋体" w:hAnsi="宋体" w:eastAsia="宋体" w:cs="宋体"/>
          <w:b w:val="0"/>
          <w:i w:val="0"/>
          <w:strike w:val="0"/>
          <w:color w:val="000000"/>
          <w:sz w:val="24"/>
          <w:szCs w:val="24"/>
          <w:u w:val="none"/>
        </w:rPr>
        <w:t>(6)</w:t>
      </w:r>
      <w:r>
        <w:rPr>
          <w:rFonts w:hint="eastAsia" w:ascii="宋体" w:hAnsi="宋体" w:eastAsia="宋体" w:cs="宋体"/>
          <w:sz w:val="24"/>
          <w:szCs w:val="24"/>
        </w:rPr>
        <w:t>技术标准和要求；</w:t>
      </w:r>
    </w:p>
    <w:p w14:paraId="72207979">
      <w:pPr>
        <w:pStyle w:val="4"/>
        <w:rPr>
          <w:rFonts w:hint="eastAsia" w:ascii="宋体" w:hAnsi="宋体" w:eastAsia="宋体" w:cs="宋体"/>
          <w:sz w:val="24"/>
          <w:szCs w:val="24"/>
        </w:rPr>
      </w:pPr>
      <w:bookmarkStart w:id="251" w:name="bookmark921"/>
      <w:bookmarkEnd w:id="251"/>
      <w:r>
        <w:rPr>
          <w:rFonts w:hint="eastAsia" w:ascii="宋体" w:hAnsi="宋体" w:eastAsia="宋体" w:cs="宋体"/>
          <w:b w:val="0"/>
          <w:i w:val="0"/>
          <w:strike w:val="0"/>
          <w:color w:val="000000"/>
          <w:sz w:val="24"/>
          <w:szCs w:val="24"/>
          <w:u w:val="none"/>
        </w:rPr>
        <w:t>(7)</w:t>
      </w:r>
      <w:r>
        <w:rPr>
          <w:rFonts w:hint="eastAsia" w:ascii="宋体" w:hAnsi="宋体" w:eastAsia="宋体" w:cs="宋体"/>
          <w:sz w:val="24"/>
          <w:szCs w:val="24"/>
        </w:rPr>
        <w:t>图纸；</w:t>
      </w:r>
    </w:p>
    <w:p w14:paraId="6702FD2A">
      <w:pPr>
        <w:pStyle w:val="4"/>
        <w:rPr>
          <w:rFonts w:hint="eastAsia" w:ascii="宋体" w:hAnsi="宋体" w:eastAsia="宋体" w:cs="宋体"/>
          <w:sz w:val="24"/>
          <w:szCs w:val="24"/>
        </w:rPr>
      </w:pPr>
      <w:bookmarkStart w:id="252" w:name="bookmark922"/>
      <w:bookmarkEnd w:id="252"/>
      <w:r>
        <w:rPr>
          <w:rFonts w:hint="eastAsia" w:ascii="宋体" w:hAnsi="宋体" w:eastAsia="宋体" w:cs="宋体"/>
          <w:b w:val="0"/>
          <w:i w:val="0"/>
          <w:strike w:val="0"/>
          <w:color w:val="000000"/>
          <w:sz w:val="24"/>
          <w:szCs w:val="24"/>
          <w:u w:val="none"/>
        </w:rPr>
        <w:t>(8)</w:t>
      </w:r>
      <w:r>
        <w:rPr>
          <w:rFonts w:hint="eastAsia" w:ascii="宋体" w:hAnsi="宋体" w:eastAsia="宋体" w:cs="宋体"/>
          <w:sz w:val="24"/>
          <w:szCs w:val="24"/>
        </w:rPr>
        <w:t>已标价工程量清单；</w:t>
      </w:r>
    </w:p>
    <w:p w14:paraId="2C09F399">
      <w:pPr>
        <w:pStyle w:val="4"/>
        <w:rPr>
          <w:rFonts w:hint="eastAsia" w:ascii="宋体" w:hAnsi="宋体" w:eastAsia="宋体" w:cs="宋体"/>
          <w:sz w:val="24"/>
          <w:szCs w:val="24"/>
        </w:rPr>
      </w:pPr>
      <w:bookmarkStart w:id="253" w:name="bookmark923"/>
      <w:bookmarkEnd w:id="253"/>
      <w:r>
        <w:rPr>
          <w:rFonts w:hint="eastAsia" w:ascii="宋体" w:hAnsi="宋体" w:eastAsia="宋体" w:cs="宋体"/>
          <w:b w:val="0"/>
          <w:i w:val="0"/>
          <w:strike w:val="0"/>
          <w:color w:val="000000"/>
          <w:sz w:val="24"/>
          <w:szCs w:val="24"/>
          <w:u w:val="none"/>
        </w:rPr>
        <w:t>(9)</w:t>
      </w:r>
      <w:r>
        <w:rPr>
          <w:rFonts w:hint="eastAsia" w:ascii="宋体" w:hAnsi="宋体" w:eastAsia="宋体" w:cs="宋体"/>
          <w:sz w:val="24"/>
          <w:szCs w:val="24"/>
        </w:rPr>
        <w:t>其他合同文件。</w:t>
      </w:r>
    </w:p>
    <w:p w14:paraId="287A4A92">
      <w:pPr>
        <w:pStyle w:val="6"/>
        <w:numPr>
          <w:ilvl w:val="0"/>
          <w:numId w:val="0"/>
        </w:numPr>
        <w:bidi w:val="0"/>
        <w:ind w:left="482" w:leftChars="0"/>
        <w:rPr>
          <w:rFonts w:hint="eastAsia" w:ascii="宋体" w:hAnsi="宋体" w:eastAsia="宋体" w:cs="宋体"/>
          <w:sz w:val="24"/>
          <w:szCs w:val="24"/>
        </w:rPr>
      </w:pPr>
      <w:bookmarkStart w:id="254" w:name="bookmark926"/>
      <w:bookmarkStart w:id="255" w:name="bookmark924"/>
      <w:bookmarkStart w:id="256" w:name="_Toc14710273"/>
      <w:bookmarkStart w:id="257" w:name="bookmark925"/>
      <w:bookmarkStart w:id="258" w:name="_Toc30693"/>
      <w:r>
        <w:rPr>
          <w:rFonts w:hint="eastAsia" w:ascii="宋体" w:hAnsi="宋体" w:eastAsia="宋体" w:cs="宋体"/>
          <w:sz w:val="24"/>
          <w:szCs w:val="24"/>
        </w:rPr>
        <w:t>1.5合同协议书</w:t>
      </w:r>
      <w:bookmarkEnd w:id="254"/>
      <w:bookmarkEnd w:id="255"/>
      <w:bookmarkEnd w:id="256"/>
      <w:bookmarkEnd w:id="257"/>
      <w:bookmarkEnd w:id="258"/>
    </w:p>
    <w:p w14:paraId="02F60B59">
      <w:pPr>
        <w:pStyle w:val="4"/>
        <w:rPr>
          <w:rFonts w:hint="eastAsia" w:ascii="宋体" w:hAnsi="宋体" w:eastAsia="宋体" w:cs="宋体"/>
          <w:sz w:val="24"/>
          <w:szCs w:val="24"/>
        </w:rPr>
      </w:pPr>
      <w:r>
        <w:rPr>
          <w:rFonts w:hint="eastAsia" w:ascii="宋体" w:hAnsi="宋体" w:eastAsia="宋体" w:cs="宋体"/>
          <w:sz w:val="24"/>
          <w:szCs w:val="24"/>
        </w:rPr>
        <w:t>承包人按成交通知书规定的时间与发包人签订合同协议书。除法律另有规定或合同另有约定外，发包人和承包人的法定代表人或其委托代理人在合同协议书上签字并盖单位公章后，合同生效。</w:t>
      </w:r>
    </w:p>
    <w:p w14:paraId="2DF8A109">
      <w:pPr>
        <w:pStyle w:val="6"/>
        <w:numPr>
          <w:ilvl w:val="0"/>
          <w:numId w:val="0"/>
        </w:numPr>
        <w:bidi w:val="0"/>
        <w:ind w:left="482" w:leftChars="0"/>
        <w:rPr>
          <w:rFonts w:hint="eastAsia" w:ascii="宋体" w:hAnsi="宋体" w:eastAsia="宋体" w:cs="宋体"/>
          <w:sz w:val="24"/>
          <w:szCs w:val="24"/>
        </w:rPr>
      </w:pPr>
      <w:bookmarkStart w:id="259" w:name="bookmark929"/>
      <w:bookmarkStart w:id="260" w:name="_Toc14710274"/>
      <w:bookmarkStart w:id="261" w:name="_Toc10434"/>
      <w:bookmarkStart w:id="262" w:name="bookmark927"/>
      <w:bookmarkStart w:id="263" w:name="bookmark928"/>
      <w:r>
        <w:rPr>
          <w:rFonts w:hint="eastAsia" w:ascii="宋体" w:hAnsi="宋体" w:eastAsia="宋体" w:cs="宋体"/>
          <w:sz w:val="24"/>
          <w:szCs w:val="24"/>
        </w:rPr>
        <w:t>1.6图纸和承包人文件</w:t>
      </w:r>
      <w:bookmarkEnd w:id="259"/>
      <w:bookmarkEnd w:id="260"/>
      <w:bookmarkEnd w:id="261"/>
      <w:bookmarkEnd w:id="262"/>
      <w:bookmarkEnd w:id="263"/>
    </w:p>
    <w:p w14:paraId="41A752C0">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1.6.1图纸的提供</w:t>
      </w:r>
    </w:p>
    <w:p w14:paraId="253650DF">
      <w:pPr>
        <w:pStyle w:val="4"/>
        <w:rPr>
          <w:rFonts w:hint="eastAsia" w:ascii="宋体" w:hAnsi="宋体" w:eastAsia="宋体" w:cs="宋体"/>
          <w:sz w:val="24"/>
          <w:szCs w:val="24"/>
        </w:rPr>
      </w:pPr>
      <w:r>
        <w:rPr>
          <w:rFonts w:hint="eastAsia" w:ascii="宋体" w:hAnsi="宋体" w:eastAsia="宋体" w:cs="宋体"/>
          <w:sz w:val="24"/>
          <w:szCs w:val="24"/>
        </w:rPr>
        <w:t>发包人应按技术标准和要求(合同技术条款)约定的期限和数量将施工图纸以及其它图纸（包括配套说明和有关资料）提供给承包人。由于发包人未按时提供图纸造成工期延误的，按第11. 3款的约定办理。</w:t>
      </w:r>
    </w:p>
    <w:p w14:paraId="0662F95D">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1.6.2承包人提供的文件</w:t>
      </w:r>
    </w:p>
    <w:p w14:paraId="2E3874B8">
      <w:pPr>
        <w:pStyle w:val="4"/>
        <w:rPr>
          <w:rFonts w:hint="eastAsia" w:ascii="宋体" w:hAnsi="宋体" w:eastAsia="宋体" w:cs="宋体"/>
          <w:sz w:val="24"/>
          <w:szCs w:val="24"/>
        </w:rPr>
      </w:pPr>
      <w:r>
        <w:rPr>
          <w:rFonts w:hint="eastAsia" w:ascii="宋体" w:hAnsi="宋体" w:eastAsia="宋体" w:cs="宋体"/>
          <w:sz w:val="24"/>
          <w:szCs w:val="24"/>
        </w:rPr>
        <w:t>承包人提供的文件应按技术标准和要求（合同技术条款）约定的期限和数量提供给监理人。监理人应按技术标准和要求（合同技术条款）约定的期限批复承包人。</w:t>
      </w:r>
    </w:p>
    <w:p w14:paraId="718D6C46">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1.6.3图纸的修改</w:t>
      </w:r>
    </w:p>
    <w:p w14:paraId="7143FCC0">
      <w:pPr>
        <w:pStyle w:val="4"/>
        <w:rPr>
          <w:rFonts w:hint="eastAsia" w:ascii="宋体" w:hAnsi="宋体" w:eastAsia="宋体" w:cs="宋体"/>
          <w:sz w:val="24"/>
          <w:szCs w:val="24"/>
        </w:rPr>
      </w:pPr>
      <w:r>
        <w:rPr>
          <w:rFonts w:hint="eastAsia" w:ascii="宋体" w:hAnsi="宋体" w:eastAsia="宋体" w:cs="宋体"/>
          <w:sz w:val="24"/>
          <w:szCs w:val="24"/>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44CE78B4">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1.6.4图纸的错误</w:t>
      </w:r>
    </w:p>
    <w:p w14:paraId="170BDDBE">
      <w:pPr>
        <w:pStyle w:val="4"/>
        <w:rPr>
          <w:rFonts w:hint="eastAsia" w:ascii="宋体" w:hAnsi="宋体" w:eastAsia="宋体" w:cs="宋体"/>
          <w:sz w:val="24"/>
          <w:szCs w:val="24"/>
        </w:rPr>
      </w:pPr>
      <w:r>
        <w:rPr>
          <w:rFonts w:hint="eastAsia" w:ascii="宋体" w:hAnsi="宋体" w:eastAsia="宋体" w:cs="宋体"/>
          <w:sz w:val="24"/>
          <w:szCs w:val="24"/>
        </w:rPr>
        <w:t>承包人发现发包人提供的图纸存在明显错误或疏忽，应及时通知监理人。</w:t>
      </w:r>
    </w:p>
    <w:p w14:paraId="5C413431">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1.6.5图纸和承包人文件的保管</w:t>
      </w:r>
    </w:p>
    <w:p w14:paraId="1C36244A">
      <w:pPr>
        <w:pStyle w:val="4"/>
        <w:rPr>
          <w:rFonts w:hint="eastAsia" w:ascii="宋体" w:hAnsi="宋体" w:eastAsia="宋体" w:cs="宋体"/>
          <w:sz w:val="24"/>
          <w:szCs w:val="24"/>
        </w:rPr>
      </w:pPr>
      <w:r>
        <w:rPr>
          <w:rFonts w:hint="eastAsia" w:ascii="宋体" w:hAnsi="宋体" w:eastAsia="宋体" w:cs="宋体"/>
          <w:sz w:val="24"/>
          <w:szCs w:val="24"/>
        </w:rPr>
        <w:t>监理人和承包人均应在施工场地各保存一套完整的包含第1. 6. 1项、第1.6.2项、第 1.6. 3项约定内容的图纸和承包人文件。</w:t>
      </w:r>
    </w:p>
    <w:p w14:paraId="25BA9752">
      <w:pPr>
        <w:pStyle w:val="6"/>
        <w:numPr>
          <w:ilvl w:val="0"/>
          <w:numId w:val="0"/>
        </w:numPr>
        <w:bidi w:val="0"/>
        <w:ind w:left="482" w:leftChars="0"/>
        <w:rPr>
          <w:rFonts w:hint="eastAsia" w:ascii="宋体" w:hAnsi="宋体" w:eastAsia="宋体" w:cs="宋体"/>
          <w:sz w:val="24"/>
          <w:szCs w:val="24"/>
        </w:rPr>
      </w:pPr>
      <w:bookmarkStart w:id="264" w:name="bookmark930"/>
      <w:bookmarkStart w:id="265" w:name="bookmark932"/>
      <w:bookmarkStart w:id="266" w:name="_Toc18431"/>
      <w:bookmarkStart w:id="267" w:name="_Toc14710275"/>
      <w:bookmarkStart w:id="268" w:name="bookmark931"/>
      <w:r>
        <w:rPr>
          <w:rFonts w:hint="eastAsia" w:ascii="宋体" w:hAnsi="宋体" w:eastAsia="宋体" w:cs="宋体"/>
          <w:sz w:val="24"/>
          <w:szCs w:val="24"/>
        </w:rPr>
        <w:t>1.7联络</w:t>
      </w:r>
      <w:bookmarkEnd w:id="264"/>
      <w:bookmarkEnd w:id="265"/>
      <w:bookmarkEnd w:id="266"/>
      <w:bookmarkEnd w:id="267"/>
      <w:bookmarkEnd w:id="268"/>
    </w:p>
    <w:p w14:paraId="05E08A7B">
      <w:pPr>
        <w:pStyle w:val="4"/>
        <w:rPr>
          <w:rFonts w:hint="eastAsia" w:ascii="宋体" w:hAnsi="宋体" w:eastAsia="宋体" w:cs="宋体"/>
          <w:sz w:val="24"/>
          <w:szCs w:val="24"/>
        </w:rPr>
      </w:pPr>
      <w:r>
        <w:rPr>
          <w:rFonts w:hint="eastAsia" w:ascii="宋体" w:hAnsi="宋体" w:eastAsia="宋体" w:cs="宋体"/>
          <w:sz w:val="24"/>
          <w:szCs w:val="24"/>
        </w:rPr>
        <w:t>1.7.1与合同有关的通知、批准、证明、证书、指示、要求、请求、同意、意见、确 定和决定等，均应采用书面形式。</w:t>
      </w:r>
    </w:p>
    <w:p w14:paraId="12F1AEC7">
      <w:pPr>
        <w:pStyle w:val="4"/>
        <w:rPr>
          <w:rFonts w:hint="eastAsia" w:ascii="宋体" w:hAnsi="宋体" w:eastAsia="宋体" w:cs="宋体"/>
          <w:sz w:val="24"/>
          <w:szCs w:val="24"/>
        </w:rPr>
      </w:pPr>
      <w:r>
        <w:rPr>
          <w:rFonts w:hint="eastAsia" w:ascii="宋体" w:hAnsi="宋体" w:eastAsia="宋体" w:cs="宋体"/>
          <w:sz w:val="24"/>
          <w:szCs w:val="24"/>
        </w:rPr>
        <w:t>1.7.2第1.7.1项中的通知、批准、证明、证书、指示、要求、请求、同意、意见、 确定和决定等来往函件，均应在合同约定的期限内送达指定地点和接收人，并办理签收手续。来往函件的送达期限在技术标准和要求（合同技术条款）中约定，送达地点在专用合同条款中约定。</w:t>
      </w:r>
    </w:p>
    <w:p w14:paraId="7AC6E764">
      <w:pPr>
        <w:pStyle w:val="4"/>
        <w:rPr>
          <w:rFonts w:hint="eastAsia" w:ascii="宋体" w:hAnsi="宋体" w:eastAsia="宋体" w:cs="宋体"/>
          <w:sz w:val="24"/>
          <w:szCs w:val="24"/>
        </w:rPr>
      </w:pPr>
      <w:r>
        <w:rPr>
          <w:rFonts w:hint="eastAsia" w:ascii="宋体" w:hAnsi="宋体" w:eastAsia="宋体" w:cs="宋体"/>
          <w:sz w:val="24"/>
          <w:szCs w:val="24"/>
        </w:rPr>
        <w:t>1.7.3来往函件均应按合同约定的期限及时发出和答复，不得无故扣压和拖延，亦不得拒收。否则，由此造成的后果由责任方负责。</w:t>
      </w:r>
    </w:p>
    <w:p w14:paraId="20BAA953">
      <w:pPr>
        <w:pStyle w:val="6"/>
        <w:numPr>
          <w:ilvl w:val="0"/>
          <w:numId w:val="0"/>
        </w:numPr>
        <w:bidi w:val="0"/>
        <w:ind w:left="482" w:leftChars="0"/>
        <w:rPr>
          <w:rFonts w:hint="eastAsia" w:ascii="宋体" w:hAnsi="宋体" w:eastAsia="宋体" w:cs="宋体"/>
          <w:sz w:val="24"/>
          <w:szCs w:val="24"/>
        </w:rPr>
      </w:pPr>
      <w:bookmarkStart w:id="269" w:name="_Toc11450"/>
      <w:bookmarkStart w:id="270" w:name="bookmark934"/>
      <w:bookmarkStart w:id="271" w:name="_Toc14710276"/>
      <w:bookmarkStart w:id="272" w:name="bookmark935"/>
      <w:bookmarkStart w:id="273" w:name="bookmark933"/>
      <w:r>
        <w:rPr>
          <w:rFonts w:hint="eastAsia" w:ascii="宋体" w:hAnsi="宋体" w:eastAsia="宋体" w:cs="宋体"/>
          <w:sz w:val="24"/>
          <w:szCs w:val="24"/>
        </w:rPr>
        <w:t>1.8转让</w:t>
      </w:r>
      <w:bookmarkEnd w:id="269"/>
      <w:bookmarkEnd w:id="270"/>
      <w:bookmarkEnd w:id="271"/>
      <w:bookmarkEnd w:id="272"/>
      <w:bookmarkEnd w:id="273"/>
    </w:p>
    <w:p w14:paraId="21E3F5CF">
      <w:pPr>
        <w:pStyle w:val="4"/>
        <w:rPr>
          <w:rFonts w:hint="eastAsia" w:ascii="宋体" w:hAnsi="宋体" w:eastAsia="宋体" w:cs="宋体"/>
          <w:sz w:val="24"/>
          <w:szCs w:val="24"/>
        </w:rPr>
      </w:pPr>
      <w:r>
        <w:rPr>
          <w:rFonts w:hint="eastAsia" w:ascii="宋体" w:hAnsi="宋体" w:eastAsia="宋体" w:cs="宋体"/>
          <w:sz w:val="24"/>
          <w:szCs w:val="24"/>
        </w:rPr>
        <w:t>除合同另有约定外，未经对方当事人同意，一方当事人不得将合同权利全部或部分转让给第三人，也不得全部或部分转移合同义务。</w:t>
      </w:r>
    </w:p>
    <w:p w14:paraId="29631564">
      <w:pPr>
        <w:pStyle w:val="6"/>
        <w:numPr>
          <w:ilvl w:val="0"/>
          <w:numId w:val="0"/>
        </w:numPr>
        <w:bidi w:val="0"/>
        <w:ind w:left="482" w:leftChars="0"/>
        <w:rPr>
          <w:rFonts w:hint="eastAsia" w:ascii="宋体" w:hAnsi="宋体" w:eastAsia="宋体" w:cs="宋体"/>
          <w:sz w:val="24"/>
          <w:szCs w:val="24"/>
        </w:rPr>
      </w:pPr>
      <w:bookmarkStart w:id="274" w:name="bookmark936"/>
      <w:bookmarkStart w:id="275" w:name="_Toc14710277"/>
      <w:bookmarkStart w:id="276" w:name="bookmark937"/>
      <w:bookmarkStart w:id="277" w:name="bookmark938"/>
      <w:bookmarkStart w:id="278" w:name="_Toc28520"/>
      <w:r>
        <w:rPr>
          <w:rFonts w:hint="eastAsia" w:ascii="宋体" w:hAnsi="宋体" w:eastAsia="宋体" w:cs="宋体"/>
          <w:sz w:val="24"/>
          <w:szCs w:val="24"/>
        </w:rPr>
        <w:t>1.9严禁贿赂</w:t>
      </w:r>
      <w:bookmarkEnd w:id="274"/>
      <w:bookmarkEnd w:id="275"/>
      <w:bookmarkEnd w:id="276"/>
      <w:bookmarkEnd w:id="277"/>
      <w:bookmarkEnd w:id="278"/>
    </w:p>
    <w:p w14:paraId="431D1E64">
      <w:pPr>
        <w:pStyle w:val="4"/>
        <w:rPr>
          <w:rFonts w:hint="eastAsia" w:ascii="宋体" w:hAnsi="宋体" w:eastAsia="宋体" w:cs="宋体"/>
          <w:sz w:val="24"/>
          <w:szCs w:val="24"/>
        </w:rPr>
      </w:pPr>
      <w:r>
        <w:rPr>
          <w:rFonts w:hint="eastAsia" w:ascii="宋体" w:hAnsi="宋体" w:eastAsia="宋体" w:cs="宋体"/>
          <w:sz w:val="24"/>
          <w:szCs w:val="24"/>
        </w:rPr>
        <w:t>合同双方当事人不得以贿赂或变相贿赂的方式，谋取不当利益或损害对方权益。因贿赂造成对方损失的，行为人应赔偿损失，并承担相应的法律责任。</w:t>
      </w:r>
    </w:p>
    <w:p w14:paraId="6F37C039">
      <w:pPr>
        <w:pStyle w:val="6"/>
        <w:numPr>
          <w:ilvl w:val="0"/>
          <w:numId w:val="0"/>
        </w:numPr>
        <w:bidi w:val="0"/>
        <w:ind w:left="482" w:leftChars="0"/>
        <w:rPr>
          <w:rFonts w:hint="eastAsia" w:ascii="宋体" w:hAnsi="宋体" w:eastAsia="宋体" w:cs="宋体"/>
          <w:sz w:val="24"/>
          <w:szCs w:val="24"/>
        </w:rPr>
      </w:pPr>
      <w:bookmarkStart w:id="279" w:name="bookmark940"/>
      <w:bookmarkStart w:id="280" w:name="bookmark941"/>
      <w:bookmarkStart w:id="281" w:name="_Toc27697"/>
      <w:bookmarkStart w:id="282" w:name="_Toc14710278"/>
      <w:bookmarkStart w:id="283" w:name="bookmark939"/>
      <w:r>
        <w:rPr>
          <w:rFonts w:hint="eastAsia" w:ascii="宋体" w:hAnsi="宋体" w:eastAsia="宋体" w:cs="宋体"/>
          <w:sz w:val="24"/>
          <w:szCs w:val="24"/>
        </w:rPr>
        <w:t>1.10化石、文物</w:t>
      </w:r>
      <w:bookmarkEnd w:id="279"/>
      <w:bookmarkEnd w:id="280"/>
      <w:bookmarkEnd w:id="281"/>
      <w:bookmarkEnd w:id="282"/>
      <w:bookmarkEnd w:id="283"/>
    </w:p>
    <w:p w14:paraId="36C2F076">
      <w:pPr>
        <w:pStyle w:val="4"/>
        <w:rPr>
          <w:rFonts w:hint="eastAsia" w:ascii="宋体" w:hAnsi="宋体" w:eastAsia="宋体" w:cs="宋体"/>
          <w:sz w:val="24"/>
          <w:szCs w:val="24"/>
        </w:rPr>
      </w:pPr>
      <w:r>
        <w:rPr>
          <w:rFonts w:hint="eastAsia" w:ascii="宋体" w:hAnsi="宋体" w:eastAsia="宋体" w:cs="宋体"/>
          <w:sz w:val="24"/>
          <w:szCs w:val="24"/>
        </w:rPr>
        <w:t>1.10. 1在施工场地发掘的所有文物、古迹以及具有地质研究或考古价值的其他遗迹、 化石、钱币或物品属于国家所有。一旦发现上述文物，承包人应采取有效合理的保护措施, 防止任何人员移动或损坏上述物品，并立即报告当地文物行政部门，同时通知监理人。发包人、监理人和承包人应按文物行政部门要求采取妥善保护措施，由此导致费用增加和（或）工期延误由发包人承担。</w:t>
      </w:r>
    </w:p>
    <w:p w14:paraId="5923F077">
      <w:pPr>
        <w:pStyle w:val="4"/>
        <w:rPr>
          <w:rFonts w:hint="eastAsia" w:ascii="宋体" w:hAnsi="宋体" w:eastAsia="宋体" w:cs="宋体"/>
          <w:sz w:val="24"/>
          <w:szCs w:val="24"/>
        </w:rPr>
      </w:pPr>
      <w:r>
        <w:rPr>
          <w:rFonts w:hint="eastAsia" w:ascii="宋体" w:hAnsi="宋体" w:eastAsia="宋体" w:cs="宋体"/>
          <w:sz w:val="24"/>
          <w:szCs w:val="24"/>
        </w:rPr>
        <w:t>1. 10. 2承包人发现文物后不及时报告或隐瞒不报，致使文物丢失或损坏的，应赔偿损失，并承担相应的法律责任。</w:t>
      </w:r>
    </w:p>
    <w:p w14:paraId="03120EF7">
      <w:pPr>
        <w:pStyle w:val="6"/>
        <w:numPr>
          <w:ilvl w:val="0"/>
          <w:numId w:val="0"/>
        </w:numPr>
        <w:bidi w:val="0"/>
        <w:ind w:left="482" w:leftChars="0"/>
        <w:rPr>
          <w:rFonts w:hint="eastAsia" w:ascii="宋体" w:hAnsi="宋体" w:eastAsia="宋体" w:cs="宋体"/>
          <w:sz w:val="24"/>
          <w:szCs w:val="24"/>
        </w:rPr>
      </w:pPr>
      <w:bookmarkStart w:id="284" w:name="_Toc14710279"/>
      <w:bookmarkStart w:id="285" w:name="bookmark944"/>
      <w:bookmarkStart w:id="286" w:name="bookmark943"/>
      <w:bookmarkStart w:id="287" w:name="bookmark942"/>
      <w:bookmarkStart w:id="288" w:name="_Toc8461"/>
      <w:r>
        <w:rPr>
          <w:rFonts w:hint="eastAsia" w:ascii="宋体" w:hAnsi="宋体" w:eastAsia="宋体" w:cs="宋体"/>
          <w:sz w:val="24"/>
          <w:szCs w:val="24"/>
        </w:rPr>
        <w:t>1.11专利技术</w:t>
      </w:r>
      <w:bookmarkEnd w:id="284"/>
      <w:bookmarkEnd w:id="285"/>
      <w:bookmarkEnd w:id="286"/>
      <w:bookmarkEnd w:id="287"/>
      <w:bookmarkEnd w:id="288"/>
    </w:p>
    <w:p w14:paraId="29D049E8">
      <w:pPr>
        <w:pStyle w:val="4"/>
        <w:rPr>
          <w:rFonts w:hint="eastAsia" w:ascii="宋体" w:hAnsi="宋体" w:eastAsia="宋体" w:cs="宋体"/>
          <w:sz w:val="24"/>
          <w:szCs w:val="24"/>
        </w:rPr>
      </w:pPr>
      <w:r>
        <w:rPr>
          <w:rFonts w:hint="eastAsia" w:ascii="宋体" w:hAnsi="宋体" w:eastAsia="宋体" w:cs="宋体"/>
          <w:sz w:val="24"/>
          <w:szCs w:val="24"/>
        </w:rPr>
        <w:t>1.11.1承包人在使用任何材料、承包人设备、工程设备或采用施工工艺时，因侵犯专利权或其他知识产权所引起的责任，由承包人承担，但由于遵照发包人提供的设计或技术标准和要求引起的除外。</w:t>
      </w:r>
    </w:p>
    <w:p w14:paraId="7ED21536">
      <w:pPr>
        <w:pStyle w:val="4"/>
        <w:rPr>
          <w:rFonts w:hint="eastAsia" w:ascii="宋体" w:hAnsi="宋体" w:eastAsia="宋体" w:cs="宋体"/>
          <w:sz w:val="24"/>
          <w:szCs w:val="24"/>
        </w:rPr>
      </w:pPr>
      <w:r>
        <w:rPr>
          <w:rFonts w:hint="eastAsia" w:ascii="宋体" w:hAnsi="宋体" w:eastAsia="宋体" w:cs="宋体"/>
          <w:sz w:val="24"/>
          <w:szCs w:val="24"/>
        </w:rPr>
        <w:t>1.11.2承包人在投标文件中采用专利技术的，专利技术的使用费包含在投标报价内。</w:t>
      </w:r>
    </w:p>
    <w:p w14:paraId="74D0DD38">
      <w:pPr>
        <w:pStyle w:val="4"/>
        <w:rPr>
          <w:rFonts w:hint="eastAsia" w:ascii="宋体" w:hAnsi="宋体" w:eastAsia="宋体" w:cs="宋体"/>
          <w:sz w:val="24"/>
          <w:szCs w:val="24"/>
        </w:rPr>
      </w:pPr>
      <w:r>
        <w:rPr>
          <w:rFonts w:hint="eastAsia" w:ascii="宋体" w:hAnsi="宋体" w:eastAsia="宋体" w:cs="宋体"/>
          <w:sz w:val="24"/>
          <w:szCs w:val="24"/>
        </w:rPr>
        <w:t>1.11.3承包人的技术秘密和声明需要保密的资料和信息，发包人和监理人不得为合同以外的目的泄露给他人。</w:t>
      </w:r>
    </w:p>
    <w:p w14:paraId="7B9A7A8B">
      <w:pPr>
        <w:pStyle w:val="4"/>
        <w:rPr>
          <w:rFonts w:hint="eastAsia" w:ascii="宋体" w:hAnsi="宋体" w:eastAsia="宋体" w:cs="宋体"/>
          <w:sz w:val="24"/>
          <w:szCs w:val="24"/>
        </w:rPr>
      </w:pPr>
      <w:r>
        <w:rPr>
          <w:rFonts w:hint="eastAsia" w:ascii="宋体" w:hAnsi="宋体" w:eastAsia="宋体" w:cs="宋体"/>
          <w:sz w:val="24"/>
          <w:szCs w:val="24"/>
        </w:rPr>
        <w:t>1.11.4合同实施过程中，发包人要求承包人采用专利技术的，发包人应办理相应的使用手续，承包人应按发包人约定的条件使用，并承担使用专利技术的相关试验工作。所需的费用由发包人承担。</w:t>
      </w:r>
    </w:p>
    <w:p w14:paraId="2C5CEC9B">
      <w:pPr>
        <w:pStyle w:val="6"/>
        <w:numPr>
          <w:ilvl w:val="0"/>
          <w:numId w:val="0"/>
        </w:numPr>
        <w:bidi w:val="0"/>
        <w:ind w:left="482" w:leftChars="0"/>
        <w:rPr>
          <w:rFonts w:hint="eastAsia" w:ascii="宋体" w:hAnsi="宋体" w:eastAsia="宋体" w:cs="宋体"/>
          <w:sz w:val="24"/>
          <w:szCs w:val="24"/>
        </w:rPr>
      </w:pPr>
      <w:bookmarkStart w:id="289" w:name="bookmark946"/>
      <w:bookmarkStart w:id="290" w:name="_Toc14710280"/>
      <w:bookmarkStart w:id="291" w:name="bookmark945"/>
      <w:bookmarkStart w:id="292" w:name="bookmark947"/>
      <w:bookmarkStart w:id="293" w:name="_Toc21439"/>
      <w:r>
        <w:rPr>
          <w:rFonts w:hint="eastAsia" w:ascii="宋体" w:hAnsi="宋体" w:eastAsia="宋体" w:cs="宋体"/>
          <w:sz w:val="24"/>
          <w:szCs w:val="24"/>
        </w:rPr>
        <w:t>1.12图纸和文件的保密</w:t>
      </w:r>
      <w:bookmarkEnd w:id="289"/>
      <w:bookmarkEnd w:id="290"/>
      <w:bookmarkEnd w:id="291"/>
      <w:bookmarkEnd w:id="292"/>
      <w:bookmarkEnd w:id="293"/>
    </w:p>
    <w:p w14:paraId="3634BDE6">
      <w:pPr>
        <w:pStyle w:val="4"/>
        <w:rPr>
          <w:rFonts w:hint="eastAsia" w:ascii="宋体" w:hAnsi="宋体" w:eastAsia="宋体" w:cs="宋体"/>
          <w:sz w:val="24"/>
          <w:szCs w:val="24"/>
        </w:rPr>
      </w:pPr>
      <w:r>
        <w:rPr>
          <w:rFonts w:hint="eastAsia" w:ascii="宋体" w:hAnsi="宋体" w:eastAsia="宋体" w:cs="宋体"/>
          <w:sz w:val="24"/>
          <w:szCs w:val="24"/>
        </w:rPr>
        <w:t>1.12.1发包人提供的图纸和文件，未经发包人同意，承包人不得为合同以外的目的泄露给他人或公开发表与引用。</w:t>
      </w:r>
    </w:p>
    <w:p w14:paraId="0ECF6187">
      <w:pPr>
        <w:pStyle w:val="4"/>
        <w:rPr>
          <w:rFonts w:hint="eastAsia" w:ascii="宋体" w:hAnsi="宋体" w:eastAsia="宋体" w:cs="宋体"/>
          <w:sz w:val="24"/>
          <w:szCs w:val="24"/>
        </w:rPr>
      </w:pPr>
      <w:r>
        <w:rPr>
          <w:rFonts w:hint="eastAsia" w:ascii="宋体" w:hAnsi="宋体" w:eastAsia="宋体" w:cs="宋体"/>
          <w:sz w:val="24"/>
          <w:szCs w:val="24"/>
        </w:rPr>
        <w:t>1.12.2承包人提供的文件，未经承包人同意，发包人和监理人不得为合同以外的目的泄露给他人或公开发表与引用。</w:t>
      </w:r>
    </w:p>
    <w:p w14:paraId="00CE7BA1">
      <w:pPr>
        <w:pStyle w:val="6"/>
        <w:numPr>
          <w:ilvl w:val="0"/>
          <w:numId w:val="0"/>
        </w:numPr>
        <w:bidi w:val="0"/>
        <w:ind w:left="482" w:leftChars="0"/>
        <w:rPr>
          <w:rFonts w:hint="eastAsia" w:ascii="宋体" w:hAnsi="宋体" w:eastAsia="宋体" w:cs="宋体"/>
          <w:sz w:val="24"/>
          <w:szCs w:val="24"/>
        </w:rPr>
      </w:pPr>
      <w:bookmarkStart w:id="294" w:name="bookmark950"/>
      <w:bookmarkEnd w:id="294"/>
      <w:bookmarkStart w:id="295" w:name="_Toc14710281"/>
      <w:bookmarkStart w:id="296" w:name="bookmark951"/>
      <w:bookmarkStart w:id="297" w:name="bookmark949"/>
      <w:bookmarkStart w:id="298" w:name="bookmark948"/>
      <w:bookmarkStart w:id="299" w:name="_Toc3842"/>
      <w:r>
        <w:rPr>
          <w:rFonts w:hint="eastAsia" w:ascii="宋体" w:hAnsi="宋体" w:eastAsia="宋体" w:cs="宋体"/>
          <w:sz w:val="24"/>
          <w:szCs w:val="24"/>
        </w:rPr>
        <w:t>2.发包人义务</w:t>
      </w:r>
      <w:bookmarkEnd w:id="295"/>
      <w:bookmarkEnd w:id="296"/>
      <w:bookmarkEnd w:id="297"/>
      <w:bookmarkEnd w:id="298"/>
      <w:bookmarkEnd w:id="299"/>
    </w:p>
    <w:p w14:paraId="29BC6D5F">
      <w:pPr>
        <w:pStyle w:val="6"/>
        <w:numPr>
          <w:ilvl w:val="0"/>
          <w:numId w:val="0"/>
        </w:numPr>
        <w:bidi w:val="0"/>
        <w:ind w:left="482" w:leftChars="0"/>
        <w:rPr>
          <w:rFonts w:hint="eastAsia" w:ascii="宋体" w:hAnsi="宋体" w:eastAsia="宋体" w:cs="宋体"/>
          <w:sz w:val="24"/>
          <w:szCs w:val="24"/>
        </w:rPr>
      </w:pPr>
      <w:bookmarkStart w:id="300" w:name="bookmark954"/>
      <w:bookmarkStart w:id="301" w:name="_Toc14710282"/>
      <w:bookmarkStart w:id="302" w:name="bookmark953"/>
      <w:bookmarkStart w:id="303" w:name="bookmark952"/>
      <w:r>
        <w:rPr>
          <w:rFonts w:hint="eastAsia" w:ascii="宋体" w:hAnsi="宋体" w:eastAsia="宋体" w:cs="宋体"/>
          <w:sz w:val="24"/>
          <w:szCs w:val="24"/>
        </w:rPr>
        <w:t>2.1遵守法律</w:t>
      </w:r>
      <w:bookmarkEnd w:id="300"/>
      <w:bookmarkEnd w:id="301"/>
      <w:bookmarkEnd w:id="302"/>
      <w:bookmarkEnd w:id="303"/>
    </w:p>
    <w:p w14:paraId="087B4CFD">
      <w:pPr>
        <w:pStyle w:val="4"/>
        <w:rPr>
          <w:rFonts w:hint="eastAsia" w:ascii="宋体" w:hAnsi="宋体" w:eastAsia="宋体" w:cs="宋体"/>
          <w:sz w:val="24"/>
          <w:szCs w:val="24"/>
        </w:rPr>
      </w:pPr>
      <w:r>
        <w:rPr>
          <w:rFonts w:hint="eastAsia" w:ascii="宋体" w:hAnsi="宋体" w:eastAsia="宋体" w:cs="宋体"/>
          <w:sz w:val="24"/>
          <w:szCs w:val="24"/>
        </w:rPr>
        <w:t>发包人在履行合同过程中应遵守法律，并保证承包人免于承担因发包人违反法律而引 起的任何责任。</w:t>
      </w:r>
    </w:p>
    <w:p w14:paraId="5AD95722">
      <w:pPr>
        <w:pStyle w:val="6"/>
        <w:numPr>
          <w:ilvl w:val="0"/>
          <w:numId w:val="0"/>
        </w:numPr>
        <w:bidi w:val="0"/>
        <w:ind w:left="482" w:leftChars="0"/>
        <w:rPr>
          <w:rFonts w:hint="eastAsia" w:ascii="宋体" w:hAnsi="宋体" w:eastAsia="宋体" w:cs="宋体"/>
          <w:sz w:val="24"/>
          <w:szCs w:val="24"/>
        </w:rPr>
      </w:pPr>
      <w:bookmarkStart w:id="304" w:name="bookmark957"/>
      <w:bookmarkStart w:id="305" w:name="bookmark955"/>
      <w:bookmarkStart w:id="306" w:name="_Toc14710283"/>
      <w:bookmarkStart w:id="307" w:name="bookmark956"/>
      <w:bookmarkStart w:id="308" w:name="_Toc16693"/>
      <w:r>
        <w:rPr>
          <w:rFonts w:hint="eastAsia" w:ascii="宋体" w:hAnsi="宋体" w:eastAsia="宋体" w:cs="宋体"/>
          <w:sz w:val="24"/>
          <w:szCs w:val="24"/>
        </w:rPr>
        <w:t>2.2发出开工通知</w:t>
      </w:r>
      <w:bookmarkEnd w:id="304"/>
      <w:bookmarkEnd w:id="305"/>
      <w:bookmarkEnd w:id="306"/>
      <w:bookmarkEnd w:id="307"/>
      <w:bookmarkEnd w:id="308"/>
    </w:p>
    <w:p w14:paraId="59FEE023">
      <w:pPr>
        <w:pStyle w:val="4"/>
        <w:rPr>
          <w:rFonts w:hint="eastAsia" w:ascii="宋体" w:hAnsi="宋体" w:eastAsia="宋体" w:cs="宋体"/>
          <w:sz w:val="24"/>
          <w:szCs w:val="24"/>
        </w:rPr>
      </w:pPr>
      <w:r>
        <w:rPr>
          <w:rFonts w:hint="eastAsia" w:ascii="宋体" w:hAnsi="宋体" w:eastAsia="宋体" w:cs="宋体"/>
          <w:sz w:val="24"/>
          <w:szCs w:val="24"/>
        </w:rPr>
        <w:t>发包人应委托监理人按第H. 1款的约定向承包人发出开工通知。</w:t>
      </w:r>
    </w:p>
    <w:p w14:paraId="132EA346">
      <w:pPr>
        <w:pStyle w:val="6"/>
        <w:numPr>
          <w:ilvl w:val="0"/>
          <w:numId w:val="0"/>
        </w:numPr>
        <w:bidi w:val="0"/>
        <w:ind w:left="482" w:leftChars="0"/>
        <w:rPr>
          <w:rFonts w:hint="eastAsia" w:ascii="宋体" w:hAnsi="宋体" w:eastAsia="宋体" w:cs="宋体"/>
          <w:sz w:val="24"/>
          <w:szCs w:val="24"/>
        </w:rPr>
      </w:pPr>
      <w:bookmarkStart w:id="309" w:name="bookmark959"/>
      <w:bookmarkStart w:id="310" w:name="bookmark958"/>
      <w:bookmarkStart w:id="311" w:name="bookmark960"/>
      <w:bookmarkStart w:id="312" w:name="_Toc5643"/>
      <w:bookmarkStart w:id="313" w:name="_Toc14710284"/>
      <w:r>
        <w:rPr>
          <w:rFonts w:hint="eastAsia" w:ascii="宋体" w:hAnsi="宋体" w:eastAsia="宋体" w:cs="宋体"/>
          <w:sz w:val="24"/>
          <w:szCs w:val="24"/>
        </w:rPr>
        <w:t>2.3提供施工场地</w:t>
      </w:r>
      <w:bookmarkEnd w:id="309"/>
      <w:bookmarkEnd w:id="310"/>
      <w:bookmarkEnd w:id="311"/>
      <w:bookmarkEnd w:id="312"/>
      <w:bookmarkEnd w:id="313"/>
    </w:p>
    <w:p w14:paraId="023F613F">
      <w:pPr>
        <w:pStyle w:val="4"/>
        <w:rPr>
          <w:rFonts w:hint="eastAsia" w:ascii="宋体" w:hAnsi="宋体" w:eastAsia="宋体" w:cs="宋体"/>
          <w:sz w:val="24"/>
          <w:szCs w:val="24"/>
        </w:rPr>
      </w:pPr>
      <w:r>
        <w:rPr>
          <w:rFonts w:hint="eastAsia" w:ascii="宋体" w:hAnsi="宋体" w:eastAsia="宋体" w:cs="宋体"/>
          <w:sz w:val="24"/>
          <w:szCs w:val="24"/>
        </w:rPr>
        <w:t>2.3.1发包人应在合同双方签定合同协议书后的14天内，将本合同工程的施工场地范围图提交给承包人。发包人提供的施工用地范围图应标明用地范围内永久占地与临时占地的范围和界限，以及指明提供给承包人用于施工场地布置的范围和界限及其有关资料。</w:t>
      </w:r>
    </w:p>
    <w:p w14:paraId="44B7F53E">
      <w:pPr>
        <w:pStyle w:val="4"/>
        <w:rPr>
          <w:rFonts w:hint="eastAsia" w:ascii="宋体" w:hAnsi="宋体" w:eastAsia="宋体" w:cs="宋体"/>
          <w:sz w:val="24"/>
          <w:szCs w:val="24"/>
        </w:rPr>
      </w:pPr>
      <w:r>
        <w:rPr>
          <w:rFonts w:hint="eastAsia" w:ascii="宋体" w:hAnsi="宋体" w:eastAsia="宋体" w:cs="宋体"/>
          <w:sz w:val="24"/>
          <w:szCs w:val="24"/>
        </w:rPr>
        <w:t>2.3.2发包人提供的施工用地范围在专用合同条款中约定。</w:t>
      </w:r>
    </w:p>
    <w:p w14:paraId="2A21689F">
      <w:pPr>
        <w:pStyle w:val="4"/>
        <w:rPr>
          <w:rFonts w:hint="eastAsia" w:ascii="宋体" w:hAnsi="宋体" w:eastAsia="宋体" w:cs="宋体"/>
          <w:sz w:val="24"/>
          <w:szCs w:val="24"/>
        </w:rPr>
      </w:pPr>
      <w:r>
        <w:rPr>
          <w:rFonts w:hint="eastAsia" w:ascii="宋体" w:hAnsi="宋体" w:eastAsia="宋体" w:cs="宋体"/>
          <w:sz w:val="24"/>
          <w:szCs w:val="24"/>
        </w:rPr>
        <w:t>2.3.3除专用合同条款另有约定外，发包人应按技术标准和要求（合同技术条款）的约定，向承包人提供施工场地内的工程地质图纸和报告，以及地下障碍物图纸等施工场地有关资料，并保证资料的真实、准确、完整。</w:t>
      </w:r>
    </w:p>
    <w:p w14:paraId="2EEA58FC">
      <w:pPr>
        <w:pStyle w:val="6"/>
        <w:numPr>
          <w:ilvl w:val="0"/>
          <w:numId w:val="0"/>
        </w:numPr>
        <w:bidi w:val="0"/>
        <w:ind w:left="482" w:leftChars="0"/>
        <w:rPr>
          <w:rFonts w:hint="eastAsia" w:ascii="宋体" w:hAnsi="宋体" w:eastAsia="宋体" w:cs="宋体"/>
          <w:sz w:val="24"/>
          <w:szCs w:val="24"/>
        </w:rPr>
      </w:pPr>
      <w:bookmarkStart w:id="314" w:name="bookmark961"/>
      <w:bookmarkStart w:id="315" w:name="_Toc3862"/>
      <w:bookmarkStart w:id="316" w:name="_Toc14710285"/>
      <w:bookmarkStart w:id="317" w:name="bookmark963"/>
      <w:bookmarkStart w:id="318" w:name="bookmark962"/>
      <w:r>
        <w:rPr>
          <w:rFonts w:hint="eastAsia" w:ascii="宋体" w:hAnsi="宋体" w:eastAsia="宋体" w:cs="宋体"/>
          <w:sz w:val="24"/>
          <w:szCs w:val="24"/>
        </w:rPr>
        <w:t>2.4协助承包人办理证件和批件</w:t>
      </w:r>
      <w:bookmarkEnd w:id="314"/>
      <w:bookmarkEnd w:id="315"/>
      <w:bookmarkEnd w:id="316"/>
      <w:bookmarkEnd w:id="317"/>
      <w:bookmarkEnd w:id="318"/>
    </w:p>
    <w:p w14:paraId="0924EA52">
      <w:pPr>
        <w:pStyle w:val="4"/>
        <w:rPr>
          <w:rFonts w:hint="eastAsia" w:ascii="宋体" w:hAnsi="宋体" w:eastAsia="宋体" w:cs="宋体"/>
          <w:sz w:val="24"/>
          <w:szCs w:val="24"/>
        </w:rPr>
      </w:pPr>
      <w:r>
        <w:rPr>
          <w:rFonts w:hint="eastAsia" w:ascii="宋体" w:hAnsi="宋体" w:eastAsia="宋体" w:cs="宋体"/>
          <w:sz w:val="24"/>
          <w:szCs w:val="24"/>
        </w:rPr>
        <w:t>发包人应协助承包人办理法律规定的有关施工证件和批件。</w:t>
      </w:r>
    </w:p>
    <w:p w14:paraId="7C973BBC">
      <w:pPr>
        <w:pStyle w:val="6"/>
        <w:numPr>
          <w:ilvl w:val="0"/>
          <w:numId w:val="0"/>
        </w:numPr>
        <w:bidi w:val="0"/>
        <w:ind w:left="482" w:leftChars="0"/>
        <w:rPr>
          <w:rFonts w:hint="eastAsia" w:ascii="宋体" w:hAnsi="宋体" w:eastAsia="宋体" w:cs="宋体"/>
          <w:sz w:val="24"/>
          <w:szCs w:val="24"/>
        </w:rPr>
      </w:pPr>
      <w:bookmarkStart w:id="319" w:name="bookmark965"/>
      <w:bookmarkStart w:id="320" w:name="bookmark966"/>
      <w:bookmarkStart w:id="321" w:name="_Toc27327"/>
      <w:bookmarkStart w:id="322" w:name="bookmark964"/>
      <w:bookmarkStart w:id="323" w:name="_Toc14710286"/>
      <w:r>
        <w:rPr>
          <w:rFonts w:hint="eastAsia" w:ascii="宋体" w:hAnsi="宋体" w:eastAsia="宋体" w:cs="宋体"/>
          <w:sz w:val="24"/>
          <w:szCs w:val="24"/>
        </w:rPr>
        <w:t>2.5组织设计交底</w:t>
      </w:r>
      <w:bookmarkEnd w:id="319"/>
      <w:bookmarkEnd w:id="320"/>
      <w:bookmarkEnd w:id="321"/>
      <w:bookmarkEnd w:id="322"/>
      <w:bookmarkEnd w:id="323"/>
    </w:p>
    <w:p w14:paraId="5B83F728">
      <w:pPr>
        <w:pStyle w:val="4"/>
        <w:rPr>
          <w:rFonts w:hint="eastAsia" w:ascii="宋体" w:hAnsi="宋体" w:eastAsia="宋体" w:cs="宋体"/>
          <w:sz w:val="24"/>
          <w:szCs w:val="24"/>
        </w:rPr>
      </w:pPr>
      <w:r>
        <w:rPr>
          <w:rFonts w:hint="eastAsia" w:ascii="宋体" w:hAnsi="宋体" w:eastAsia="宋体" w:cs="宋体"/>
          <w:sz w:val="24"/>
          <w:szCs w:val="24"/>
        </w:rPr>
        <w:t>发包人应根据合同进度计划，组织设计单位向承包人进行设计交底。</w:t>
      </w:r>
    </w:p>
    <w:p w14:paraId="5D400B3C">
      <w:pPr>
        <w:pStyle w:val="6"/>
        <w:numPr>
          <w:ilvl w:val="0"/>
          <w:numId w:val="0"/>
        </w:numPr>
        <w:bidi w:val="0"/>
        <w:ind w:left="482" w:leftChars="0"/>
        <w:rPr>
          <w:rFonts w:hint="eastAsia" w:ascii="宋体" w:hAnsi="宋体" w:eastAsia="宋体" w:cs="宋体"/>
          <w:sz w:val="24"/>
          <w:szCs w:val="24"/>
        </w:rPr>
      </w:pPr>
      <w:bookmarkStart w:id="324" w:name="_Toc15125"/>
      <w:bookmarkStart w:id="325" w:name="bookmark967"/>
      <w:bookmarkStart w:id="326" w:name="bookmark968"/>
      <w:bookmarkStart w:id="327" w:name="bookmark969"/>
      <w:bookmarkStart w:id="328" w:name="_Toc14710287"/>
      <w:r>
        <w:rPr>
          <w:rFonts w:hint="eastAsia" w:ascii="宋体" w:hAnsi="宋体" w:eastAsia="宋体" w:cs="宋体"/>
          <w:sz w:val="24"/>
          <w:szCs w:val="24"/>
        </w:rPr>
        <w:t>2.6支付合同价款</w:t>
      </w:r>
      <w:bookmarkEnd w:id="324"/>
      <w:bookmarkEnd w:id="325"/>
      <w:bookmarkEnd w:id="326"/>
      <w:bookmarkEnd w:id="327"/>
      <w:bookmarkEnd w:id="328"/>
    </w:p>
    <w:p w14:paraId="4CEC75C2">
      <w:pPr>
        <w:pStyle w:val="4"/>
        <w:rPr>
          <w:rFonts w:hint="eastAsia" w:ascii="宋体" w:hAnsi="宋体" w:eastAsia="宋体" w:cs="宋体"/>
          <w:sz w:val="24"/>
          <w:szCs w:val="24"/>
        </w:rPr>
      </w:pPr>
      <w:r>
        <w:rPr>
          <w:rFonts w:hint="eastAsia" w:ascii="宋体" w:hAnsi="宋体" w:eastAsia="宋体" w:cs="宋体"/>
          <w:sz w:val="24"/>
          <w:szCs w:val="24"/>
        </w:rPr>
        <w:t>发包人应按合同约定向承包人及时支付合同价款。</w:t>
      </w:r>
    </w:p>
    <w:p w14:paraId="4AF37748">
      <w:pPr>
        <w:pStyle w:val="6"/>
        <w:numPr>
          <w:ilvl w:val="0"/>
          <w:numId w:val="0"/>
        </w:numPr>
        <w:bidi w:val="0"/>
        <w:ind w:left="482" w:leftChars="0"/>
        <w:rPr>
          <w:rFonts w:hint="eastAsia" w:ascii="宋体" w:hAnsi="宋体" w:eastAsia="宋体" w:cs="宋体"/>
          <w:sz w:val="24"/>
          <w:szCs w:val="24"/>
        </w:rPr>
      </w:pPr>
      <w:bookmarkStart w:id="329" w:name="_Toc14710288"/>
      <w:bookmarkStart w:id="330" w:name="bookmark972"/>
      <w:bookmarkStart w:id="331" w:name="bookmark971"/>
      <w:bookmarkStart w:id="332" w:name="bookmark970"/>
      <w:bookmarkStart w:id="333" w:name="_Toc14608"/>
      <w:r>
        <w:rPr>
          <w:rFonts w:hint="eastAsia" w:ascii="宋体" w:hAnsi="宋体" w:eastAsia="宋体" w:cs="宋体"/>
          <w:sz w:val="24"/>
          <w:szCs w:val="24"/>
        </w:rPr>
        <w:t>2.7组织竣工验收（组织法人验收）</w:t>
      </w:r>
      <w:bookmarkEnd w:id="329"/>
      <w:bookmarkEnd w:id="330"/>
      <w:bookmarkEnd w:id="331"/>
      <w:bookmarkEnd w:id="332"/>
      <w:bookmarkEnd w:id="333"/>
    </w:p>
    <w:p w14:paraId="1F1E2841">
      <w:pPr>
        <w:pStyle w:val="4"/>
        <w:rPr>
          <w:rFonts w:hint="eastAsia" w:ascii="宋体" w:hAnsi="宋体" w:eastAsia="宋体" w:cs="宋体"/>
          <w:sz w:val="24"/>
          <w:szCs w:val="24"/>
        </w:rPr>
      </w:pPr>
      <w:r>
        <w:rPr>
          <w:rFonts w:hint="eastAsia" w:ascii="宋体" w:hAnsi="宋体" w:eastAsia="宋体" w:cs="宋体"/>
          <w:sz w:val="24"/>
          <w:szCs w:val="24"/>
        </w:rPr>
        <w:t>发包人应按合同约定及时组织法人验收。</w:t>
      </w:r>
    </w:p>
    <w:p w14:paraId="3ACC8789">
      <w:pPr>
        <w:pStyle w:val="6"/>
        <w:numPr>
          <w:ilvl w:val="0"/>
          <w:numId w:val="0"/>
        </w:numPr>
        <w:bidi w:val="0"/>
        <w:ind w:left="482" w:leftChars="0"/>
        <w:rPr>
          <w:rFonts w:hint="eastAsia" w:ascii="宋体" w:hAnsi="宋体" w:eastAsia="宋体" w:cs="宋体"/>
          <w:sz w:val="24"/>
          <w:szCs w:val="24"/>
        </w:rPr>
      </w:pPr>
      <w:bookmarkStart w:id="334" w:name="_Toc26461"/>
      <w:bookmarkStart w:id="335" w:name="_Toc14710289"/>
      <w:bookmarkStart w:id="336" w:name="bookmark974"/>
      <w:bookmarkStart w:id="337" w:name="bookmark973"/>
      <w:bookmarkStart w:id="338" w:name="bookmark975"/>
      <w:r>
        <w:rPr>
          <w:rFonts w:hint="eastAsia" w:ascii="宋体" w:hAnsi="宋体" w:eastAsia="宋体" w:cs="宋体"/>
          <w:sz w:val="24"/>
          <w:szCs w:val="24"/>
        </w:rPr>
        <w:t>2.8其它义务</w:t>
      </w:r>
      <w:bookmarkEnd w:id="334"/>
      <w:bookmarkEnd w:id="335"/>
      <w:bookmarkEnd w:id="336"/>
      <w:bookmarkEnd w:id="337"/>
      <w:bookmarkEnd w:id="338"/>
    </w:p>
    <w:p w14:paraId="5E035F2D">
      <w:pPr>
        <w:pStyle w:val="4"/>
        <w:rPr>
          <w:rFonts w:hint="eastAsia" w:ascii="宋体" w:hAnsi="宋体" w:eastAsia="宋体" w:cs="宋体"/>
          <w:sz w:val="24"/>
          <w:szCs w:val="24"/>
        </w:rPr>
      </w:pPr>
      <w:r>
        <w:rPr>
          <w:rFonts w:hint="eastAsia" w:ascii="宋体" w:hAnsi="宋体" w:eastAsia="宋体" w:cs="宋体"/>
          <w:sz w:val="24"/>
          <w:szCs w:val="24"/>
        </w:rPr>
        <w:t>其它义务在专用合同条款中补充约定。</w:t>
      </w:r>
    </w:p>
    <w:p w14:paraId="0EF48812">
      <w:pPr>
        <w:pStyle w:val="6"/>
        <w:numPr>
          <w:ilvl w:val="0"/>
          <w:numId w:val="0"/>
        </w:numPr>
        <w:bidi w:val="0"/>
        <w:ind w:left="482" w:leftChars="0"/>
        <w:rPr>
          <w:rFonts w:hint="eastAsia" w:ascii="宋体" w:hAnsi="宋体" w:eastAsia="宋体" w:cs="宋体"/>
          <w:sz w:val="24"/>
          <w:szCs w:val="24"/>
        </w:rPr>
      </w:pPr>
      <w:bookmarkStart w:id="339" w:name="_Toc14710290"/>
      <w:bookmarkStart w:id="340" w:name="bookmark976"/>
      <w:bookmarkStart w:id="341" w:name="bookmark977"/>
      <w:bookmarkStart w:id="342" w:name="_Toc17454"/>
      <w:bookmarkStart w:id="343" w:name="bookmark978"/>
      <w:r>
        <w:rPr>
          <w:rFonts w:hint="eastAsia" w:ascii="宋体" w:hAnsi="宋体" w:eastAsia="宋体" w:cs="宋体"/>
          <w:sz w:val="24"/>
          <w:szCs w:val="24"/>
        </w:rPr>
        <w:t>3.监理人</w:t>
      </w:r>
      <w:bookmarkEnd w:id="339"/>
      <w:bookmarkEnd w:id="340"/>
      <w:bookmarkEnd w:id="341"/>
      <w:bookmarkEnd w:id="342"/>
      <w:bookmarkEnd w:id="343"/>
    </w:p>
    <w:p w14:paraId="5E790147">
      <w:pPr>
        <w:pStyle w:val="6"/>
        <w:numPr>
          <w:ilvl w:val="0"/>
          <w:numId w:val="0"/>
        </w:numPr>
        <w:bidi w:val="0"/>
        <w:ind w:left="482" w:leftChars="0"/>
        <w:rPr>
          <w:rFonts w:hint="eastAsia" w:ascii="宋体" w:hAnsi="宋体" w:eastAsia="宋体" w:cs="宋体"/>
          <w:sz w:val="24"/>
          <w:szCs w:val="24"/>
        </w:rPr>
      </w:pPr>
      <w:bookmarkStart w:id="344" w:name="_Toc5442"/>
      <w:bookmarkStart w:id="345" w:name="bookmark979"/>
      <w:bookmarkStart w:id="346" w:name="bookmark981"/>
      <w:bookmarkStart w:id="347" w:name="_Toc14710291"/>
      <w:bookmarkStart w:id="348" w:name="bookmark980"/>
      <w:r>
        <w:rPr>
          <w:rFonts w:hint="eastAsia" w:ascii="宋体" w:hAnsi="宋体" w:eastAsia="宋体" w:cs="宋体"/>
          <w:sz w:val="24"/>
          <w:szCs w:val="24"/>
        </w:rPr>
        <w:t>3.1监理人的职责和权利</w:t>
      </w:r>
      <w:bookmarkEnd w:id="344"/>
      <w:bookmarkEnd w:id="345"/>
      <w:bookmarkEnd w:id="346"/>
      <w:bookmarkEnd w:id="347"/>
      <w:bookmarkEnd w:id="348"/>
    </w:p>
    <w:p w14:paraId="1E5F547A">
      <w:pPr>
        <w:pStyle w:val="4"/>
        <w:rPr>
          <w:rFonts w:hint="eastAsia" w:ascii="宋体" w:hAnsi="宋体" w:eastAsia="宋体" w:cs="宋体"/>
          <w:sz w:val="24"/>
          <w:szCs w:val="24"/>
        </w:rPr>
      </w:pPr>
      <w:r>
        <w:rPr>
          <w:rFonts w:hint="eastAsia" w:ascii="宋体" w:hAnsi="宋体" w:eastAsia="宋体" w:cs="宋体"/>
          <w:sz w:val="24"/>
          <w:szCs w:val="24"/>
        </w:rPr>
        <w:t>3.1.1监理人受发包人的委托，享有合同约定的权力。监理人的权力范围在专用合同条款中约定。当监理人认为出现了危及生命、工程或毗邻财产等安全的紧急事件时，在不免除合同约定的承包人责任的情况下，监理人可以指示承包人实施为消除或减少这种危险 所必须进行的工作，即使没有发包人的事先批准，承包人也应立即遵照执行。监理人应按 第15条的约定增加相应的费用，并通知承包人。</w:t>
      </w:r>
    </w:p>
    <w:p w14:paraId="62557396">
      <w:pPr>
        <w:pStyle w:val="4"/>
        <w:rPr>
          <w:rFonts w:hint="eastAsia" w:ascii="宋体" w:hAnsi="宋体" w:eastAsia="宋体" w:cs="宋体"/>
          <w:sz w:val="24"/>
          <w:szCs w:val="24"/>
        </w:rPr>
      </w:pPr>
      <w:r>
        <w:rPr>
          <w:rFonts w:hint="eastAsia" w:ascii="宋体" w:hAnsi="宋体" w:eastAsia="宋体" w:cs="宋体"/>
          <w:sz w:val="24"/>
          <w:szCs w:val="24"/>
        </w:rPr>
        <w:t>3.1.2监理人发出的任何指示应视为已得到发包人的批准，但监理人无权免除或变更合同约定的发包人和承包人的权利、义务和责任。</w:t>
      </w:r>
    </w:p>
    <w:p w14:paraId="2AA8673F">
      <w:pPr>
        <w:pStyle w:val="4"/>
        <w:rPr>
          <w:rFonts w:hint="eastAsia" w:ascii="宋体" w:hAnsi="宋体" w:eastAsia="宋体" w:cs="宋体"/>
          <w:sz w:val="24"/>
          <w:szCs w:val="24"/>
        </w:rPr>
      </w:pPr>
      <w:r>
        <w:rPr>
          <w:rFonts w:hint="eastAsia" w:ascii="宋体" w:hAnsi="宋体" w:eastAsia="宋体" w:cs="宋体"/>
          <w:sz w:val="24"/>
          <w:szCs w:val="24"/>
        </w:rPr>
        <w:t>3.1.3合同约定应由承包人承担的义务和责任，不因监理人对承包人提交文件的审查或批准，对工程、材料和设备的检查和检验，以及为实施监理作出的指示等职务行为而减轻或解除。</w:t>
      </w:r>
    </w:p>
    <w:p w14:paraId="38E8C793">
      <w:pPr>
        <w:pStyle w:val="6"/>
        <w:numPr>
          <w:ilvl w:val="0"/>
          <w:numId w:val="0"/>
        </w:numPr>
        <w:bidi w:val="0"/>
        <w:ind w:left="482" w:leftChars="0"/>
        <w:rPr>
          <w:rFonts w:hint="eastAsia" w:ascii="宋体" w:hAnsi="宋体" w:eastAsia="宋体" w:cs="宋体"/>
          <w:sz w:val="24"/>
          <w:szCs w:val="24"/>
        </w:rPr>
      </w:pPr>
      <w:bookmarkStart w:id="349" w:name="_Toc20317"/>
      <w:bookmarkStart w:id="350" w:name="bookmark982"/>
      <w:bookmarkStart w:id="351" w:name="bookmark984"/>
      <w:bookmarkStart w:id="352" w:name="bookmark983"/>
      <w:bookmarkStart w:id="353" w:name="_Toc14710292"/>
      <w:r>
        <w:rPr>
          <w:rFonts w:hint="eastAsia" w:ascii="宋体" w:hAnsi="宋体" w:eastAsia="宋体" w:cs="宋体"/>
          <w:sz w:val="24"/>
          <w:szCs w:val="24"/>
        </w:rPr>
        <w:t>3. 2总监理工程师</w:t>
      </w:r>
      <w:bookmarkEnd w:id="349"/>
      <w:bookmarkEnd w:id="350"/>
      <w:bookmarkEnd w:id="351"/>
      <w:bookmarkEnd w:id="352"/>
      <w:bookmarkEnd w:id="353"/>
    </w:p>
    <w:p w14:paraId="3210B135">
      <w:pPr>
        <w:pStyle w:val="4"/>
        <w:rPr>
          <w:rFonts w:hint="eastAsia" w:ascii="宋体" w:hAnsi="宋体" w:eastAsia="宋体" w:cs="宋体"/>
          <w:sz w:val="24"/>
          <w:szCs w:val="24"/>
        </w:rPr>
      </w:pPr>
      <w:r>
        <w:rPr>
          <w:rFonts w:hint="eastAsia" w:ascii="宋体" w:hAnsi="宋体" w:eastAsia="宋体" w:cs="宋体"/>
          <w:sz w:val="24"/>
          <w:szCs w:val="24"/>
        </w:rPr>
        <w:t>发包人应在发出开工通知前将总监理工程师的任命通知承包人。总监理工程师更换时, 应在调离14天前通知承包人。总监理工程师短期离开施工场地的，应委派代表代行其职 责，并通知承包人。</w:t>
      </w:r>
    </w:p>
    <w:p w14:paraId="7F5822D4">
      <w:pPr>
        <w:pStyle w:val="6"/>
        <w:numPr>
          <w:ilvl w:val="0"/>
          <w:numId w:val="0"/>
        </w:numPr>
        <w:bidi w:val="0"/>
        <w:ind w:left="482" w:leftChars="0"/>
        <w:rPr>
          <w:rFonts w:hint="eastAsia" w:ascii="宋体" w:hAnsi="宋体" w:eastAsia="宋体" w:cs="宋体"/>
          <w:sz w:val="24"/>
          <w:szCs w:val="24"/>
        </w:rPr>
      </w:pPr>
      <w:bookmarkStart w:id="354" w:name="_Toc11573"/>
      <w:bookmarkStart w:id="355" w:name="bookmark986"/>
      <w:bookmarkStart w:id="356" w:name="_Toc14710293"/>
      <w:bookmarkStart w:id="357" w:name="bookmark987"/>
      <w:bookmarkStart w:id="358" w:name="bookmark985"/>
      <w:r>
        <w:rPr>
          <w:rFonts w:hint="eastAsia" w:ascii="宋体" w:hAnsi="宋体" w:eastAsia="宋体" w:cs="宋体"/>
          <w:sz w:val="24"/>
          <w:szCs w:val="24"/>
        </w:rPr>
        <w:t>3.3监理人员</w:t>
      </w:r>
      <w:bookmarkEnd w:id="354"/>
      <w:bookmarkEnd w:id="355"/>
      <w:bookmarkEnd w:id="356"/>
      <w:bookmarkEnd w:id="357"/>
      <w:bookmarkEnd w:id="358"/>
    </w:p>
    <w:p w14:paraId="5FD9F556">
      <w:pPr>
        <w:pStyle w:val="4"/>
        <w:rPr>
          <w:rFonts w:hint="eastAsia" w:ascii="宋体" w:hAnsi="宋体" w:eastAsia="宋体" w:cs="宋体"/>
          <w:sz w:val="24"/>
          <w:szCs w:val="24"/>
        </w:rPr>
      </w:pPr>
      <w:bookmarkStart w:id="359" w:name="bookmark988"/>
      <w:bookmarkEnd w:id="359"/>
      <w:r>
        <w:rPr>
          <w:rFonts w:hint="eastAsia" w:ascii="宋体" w:hAnsi="宋体" w:eastAsia="宋体" w:cs="宋体"/>
          <w:sz w:val="24"/>
          <w:szCs w:val="24"/>
        </w:rPr>
        <w:t>3.3. 1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0CB7F8A8">
      <w:pPr>
        <w:pStyle w:val="4"/>
        <w:rPr>
          <w:rFonts w:hint="eastAsia" w:ascii="宋体" w:hAnsi="宋体" w:eastAsia="宋体" w:cs="宋体"/>
          <w:sz w:val="24"/>
          <w:szCs w:val="24"/>
        </w:rPr>
      </w:pPr>
      <w:r>
        <w:rPr>
          <w:rFonts w:hint="eastAsia" w:ascii="宋体" w:hAnsi="宋体" w:eastAsia="宋体" w:cs="宋体"/>
          <w:sz w:val="24"/>
          <w:szCs w:val="24"/>
        </w:rPr>
        <w:t>3.3.2监理人员对承包人的任何工作、工程或其采用的材料和工程设备未在约定的或合理的期限内提出否定意见的，视为已获批准，但不影响监理人在以后拒绝该项工作、工程、材料或工程设备的权利。</w:t>
      </w:r>
    </w:p>
    <w:p w14:paraId="68FC7C44">
      <w:pPr>
        <w:pStyle w:val="4"/>
        <w:rPr>
          <w:rFonts w:hint="eastAsia" w:ascii="宋体" w:hAnsi="宋体" w:eastAsia="宋体" w:cs="宋体"/>
          <w:sz w:val="24"/>
          <w:szCs w:val="24"/>
        </w:rPr>
      </w:pPr>
      <w:r>
        <w:rPr>
          <w:rFonts w:hint="eastAsia" w:ascii="宋体" w:hAnsi="宋体" w:eastAsia="宋体" w:cs="宋体"/>
          <w:sz w:val="24"/>
          <w:szCs w:val="24"/>
        </w:rPr>
        <w:t>3.3.3承包人对总监理工程师授权的监理人员发出的指示有疑问的，可向总监理工程师提出书面异议，总监理工程师应在48小时内对该指示予以确认、更改或撤销。</w:t>
      </w:r>
    </w:p>
    <w:p w14:paraId="57855F89">
      <w:pPr>
        <w:pStyle w:val="4"/>
        <w:rPr>
          <w:rFonts w:hint="eastAsia" w:ascii="宋体" w:hAnsi="宋体" w:eastAsia="宋体" w:cs="宋体"/>
          <w:sz w:val="24"/>
          <w:szCs w:val="24"/>
        </w:rPr>
      </w:pPr>
      <w:bookmarkStart w:id="360" w:name="bookmark989"/>
      <w:bookmarkEnd w:id="360"/>
      <w:r>
        <w:rPr>
          <w:rFonts w:hint="eastAsia" w:ascii="宋体" w:hAnsi="宋体" w:eastAsia="宋体" w:cs="宋体"/>
          <w:sz w:val="24"/>
          <w:szCs w:val="24"/>
        </w:rPr>
        <w:t>3.3.4除专用合同条款另有约定外，总监理工程师不应将第3. 5款约定应由总监理工程师作出确定的权力授权或委托给其他监理人员。</w:t>
      </w:r>
    </w:p>
    <w:p w14:paraId="786D1423">
      <w:pPr>
        <w:pStyle w:val="6"/>
        <w:numPr>
          <w:ilvl w:val="0"/>
          <w:numId w:val="0"/>
        </w:numPr>
        <w:bidi w:val="0"/>
        <w:ind w:left="482" w:leftChars="0"/>
        <w:rPr>
          <w:rFonts w:hint="eastAsia" w:ascii="宋体" w:hAnsi="宋体" w:eastAsia="宋体" w:cs="宋体"/>
          <w:sz w:val="24"/>
          <w:szCs w:val="24"/>
        </w:rPr>
      </w:pPr>
      <w:bookmarkStart w:id="361" w:name="bookmark991"/>
      <w:bookmarkStart w:id="362" w:name="_Toc14710294"/>
      <w:bookmarkStart w:id="363" w:name="bookmark992"/>
      <w:bookmarkStart w:id="364" w:name="bookmark990"/>
      <w:bookmarkStart w:id="365" w:name="_Toc29343"/>
      <w:r>
        <w:rPr>
          <w:rFonts w:hint="eastAsia" w:ascii="宋体" w:hAnsi="宋体" w:eastAsia="宋体" w:cs="宋体"/>
          <w:sz w:val="24"/>
          <w:szCs w:val="24"/>
        </w:rPr>
        <w:t>3.4监理人的指示</w:t>
      </w:r>
      <w:bookmarkEnd w:id="361"/>
      <w:bookmarkEnd w:id="362"/>
      <w:bookmarkEnd w:id="363"/>
      <w:bookmarkEnd w:id="364"/>
      <w:bookmarkEnd w:id="365"/>
    </w:p>
    <w:p w14:paraId="3993CD44">
      <w:pPr>
        <w:pStyle w:val="4"/>
        <w:rPr>
          <w:rFonts w:hint="eastAsia" w:ascii="宋体" w:hAnsi="宋体" w:eastAsia="宋体" w:cs="宋体"/>
          <w:sz w:val="24"/>
          <w:szCs w:val="24"/>
        </w:rPr>
      </w:pPr>
      <w:r>
        <w:rPr>
          <w:rFonts w:hint="eastAsia" w:ascii="宋体" w:hAnsi="宋体" w:eastAsia="宋体" w:cs="宋体"/>
          <w:sz w:val="24"/>
          <w:szCs w:val="24"/>
        </w:rPr>
        <w:t>3.4. 1监理人应按第3. 1款的约定向承包人发出指示，监理人的指示应盖有监理人授权的施工场地机构章，并由总监理工程师或总监理工程师按第3. 3. 1项约定授权的监理人员签字。</w:t>
      </w:r>
    </w:p>
    <w:p w14:paraId="592F4156">
      <w:pPr>
        <w:pStyle w:val="4"/>
        <w:rPr>
          <w:rFonts w:hint="eastAsia" w:ascii="宋体" w:hAnsi="宋体" w:eastAsia="宋体" w:cs="宋体"/>
          <w:sz w:val="24"/>
          <w:szCs w:val="24"/>
        </w:rPr>
      </w:pPr>
      <w:r>
        <w:rPr>
          <w:rFonts w:hint="eastAsia" w:ascii="宋体" w:hAnsi="宋体" w:eastAsia="宋体" w:cs="宋体"/>
          <w:sz w:val="24"/>
          <w:szCs w:val="24"/>
        </w:rPr>
        <w:t>3.4.2承包人收到监理人按第3. 4.1项作出的指示后应遵照执行。指示构成变更的，应按第15条处理。</w:t>
      </w:r>
    </w:p>
    <w:p w14:paraId="10E96D02">
      <w:pPr>
        <w:pStyle w:val="4"/>
        <w:rPr>
          <w:rFonts w:hint="eastAsia" w:ascii="宋体" w:hAnsi="宋体" w:eastAsia="宋体" w:cs="宋体"/>
          <w:sz w:val="24"/>
          <w:szCs w:val="24"/>
        </w:rPr>
      </w:pPr>
      <w:r>
        <w:rPr>
          <w:rFonts w:hint="eastAsia" w:ascii="宋体" w:hAnsi="宋体" w:eastAsia="宋体" w:cs="宋体"/>
          <w:sz w:val="24"/>
          <w:szCs w:val="24"/>
        </w:rPr>
        <w:t>3.4.3在紧急情况下，总监理工程师或被授权的监理人员可以当场签发临时书面指示，承包人应遵照执行。承包人应在收到上述临时书面指示后24小时内，向监理人发出书 面确认函。监理人在收到书面确认函后24小时内未予答复的，该书面确认函应被视为监理人的正式指示。</w:t>
      </w:r>
    </w:p>
    <w:p w14:paraId="2193E792">
      <w:pPr>
        <w:pStyle w:val="4"/>
        <w:rPr>
          <w:rFonts w:hint="eastAsia" w:ascii="宋体" w:hAnsi="宋体" w:eastAsia="宋体" w:cs="宋体"/>
          <w:sz w:val="24"/>
          <w:szCs w:val="24"/>
        </w:rPr>
      </w:pPr>
      <w:r>
        <w:rPr>
          <w:rFonts w:hint="eastAsia" w:ascii="宋体" w:hAnsi="宋体" w:eastAsia="宋体" w:cs="宋体"/>
          <w:sz w:val="24"/>
          <w:szCs w:val="24"/>
        </w:rPr>
        <w:t>3.4.4除合同另有约定外，承包人只从总监理工程师或按第3. 3. 1项被授权的监理人员处取得指示。</w:t>
      </w:r>
    </w:p>
    <w:p w14:paraId="12BF7EEC">
      <w:pPr>
        <w:pStyle w:val="4"/>
        <w:rPr>
          <w:rFonts w:hint="eastAsia" w:ascii="宋体" w:hAnsi="宋体" w:eastAsia="宋体" w:cs="宋体"/>
          <w:sz w:val="24"/>
          <w:szCs w:val="24"/>
        </w:rPr>
      </w:pPr>
      <w:r>
        <w:rPr>
          <w:rFonts w:hint="eastAsia" w:ascii="宋体" w:hAnsi="宋体" w:eastAsia="宋体" w:cs="宋体"/>
          <w:sz w:val="24"/>
          <w:szCs w:val="24"/>
        </w:rPr>
        <w:t>3.4.5由于监理人未能按合同约定发出指示、指示延误或指示错误而导致承包人费用增加和（或）工期延误的，由发包人承担赔偿责任。</w:t>
      </w:r>
    </w:p>
    <w:p w14:paraId="67329D61">
      <w:pPr>
        <w:pStyle w:val="6"/>
        <w:numPr>
          <w:ilvl w:val="0"/>
          <w:numId w:val="0"/>
        </w:numPr>
        <w:bidi w:val="0"/>
        <w:ind w:left="482" w:leftChars="0"/>
        <w:rPr>
          <w:rFonts w:hint="eastAsia" w:ascii="宋体" w:hAnsi="宋体" w:eastAsia="宋体" w:cs="宋体"/>
          <w:sz w:val="24"/>
          <w:szCs w:val="24"/>
        </w:rPr>
      </w:pPr>
      <w:bookmarkStart w:id="366" w:name="bookmark994"/>
      <w:bookmarkStart w:id="367" w:name="bookmark995"/>
      <w:bookmarkStart w:id="368" w:name="bookmark993"/>
      <w:bookmarkStart w:id="369" w:name="_Toc15164"/>
      <w:bookmarkStart w:id="370" w:name="_Toc14710295"/>
      <w:r>
        <w:rPr>
          <w:rFonts w:hint="eastAsia" w:ascii="宋体" w:hAnsi="宋体" w:eastAsia="宋体" w:cs="宋体"/>
          <w:sz w:val="24"/>
          <w:szCs w:val="24"/>
        </w:rPr>
        <w:t>3.5商定或确定</w:t>
      </w:r>
      <w:bookmarkEnd w:id="366"/>
      <w:bookmarkEnd w:id="367"/>
      <w:bookmarkEnd w:id="368"/>
      <w:bookmarkEnd w:id="369"/>
      <w:bookmarkEnd w:id="370"/>
    </w:p>
    <w:p w14:paraId="3D35DB33">
      <w:pPr>
        <w:pStyle w:val="4"/>
        <w:rPr>
          <w:rFonts w:hint="eastAsia" w:ascii="宋体" w:hAnsi="宋体" w:eastAsia="宋体" w:cs="宋体"/>
          <w:sz w:val="24"/>
          <w:szCs w:val="24"/>
        </w:rPr>
      </w:pPr>
      <w:r>
        <w:rPr>
          <w:rFonts w:hint="eastAsia" w:ascii="宋体" w:hAnsi="宋体" w:eastAsia="宋体" w:cs="宋体"/>
          <w:sz w:val="24"/>
          <w:szCs w:val="24"/>
        </w:rPr>
        <w:t>3.5.1合同约定总监理工程师应按照本款对任何事项进行商定或确定时，总监理工程师应与合同当事人协商，尽量达成一致。不能达成一致的，总监理工程师应认真研究后审慎确定。</w:t>
      </w:r>
    </w:p>
    <w:p w14:paraId="132EFAC1">
      <w:pPr>
        <w:pStyle w:val="4"/>
        <w:rPr>
          <w:rFonts w:hint="eastAsia" w:ascii="宋体" w:hAnsi="宋体" w:eastAsia="宋体" w:cs="宋体"/>
          <w:sz w:val="24"/>
          <w:szCs w:val="24"/>
        </w:rPr>
      </w:pPr>
      <w:r>
        <w:rPr>
          <w:rFonts w:hint="eastAsia" w:ascii="宋体" w:hAnsi="宋体" w:eastAsia="宋体" w:cs="宋体"/>
          <w:sz w:val="24"/>
          <w:szCs w:val="24"/>
        </w:rPr>
        <w:t>3.5.2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 改后的结果执行。</w:t>
      </w:r>
    </w:p>
    <w:p w14:paraId="595A9846">
      <w:pPr>
        <w:pStyle w:val="6"/>
        <w:numPr>
          <w:ilvl w:val="0"/>
          <w:numId w:val="0"/>
        </w:numPr>
        <w:bidi w:val="0"/>
        <w:ind w:left="482" w:leftChars="0"/>
        <w:rPr>
          <w:rFonts w:hint="eastAsia" w:ascii="宋体" w:hAnsi="宋体" w:eastAsia="宋体" w:cs="宋体"/>
          <w:sz w:val="24"/>
          <w:szCs w:val="24"/>
        </w:rPr>
      </w:pPr>
      <w:bookmarkStart w:id="371" w:name="bookmark997"/>
      <w:bookmarkStart w:id="372" w:name="_Toc13765"/>
      <w:bookmarkStart w:id="373" w:name="bookmark998"/>
      <w:bookmarkStart w:id="374" w:name="bookmark996"/>
      <w:bookmarkStart w:id="375" w:name="_Toc14710296"/>
      <w:r>
        <w:rPr>
          <w:rFonts w:hint="eastAsia" w:ascii="宋体" w:hAnsi="宋体" w:eastAsia="宋体" w:cs="宋体"/>
          <w:sz w:val="24"/>
          <w:szCs w:val="24"/>
        </w:rPr>
        <w:t>4.承包人</w:t>
      </w:r>
      <w:bookmarkEnd w:id="371"/>
      <w:bookmarkEnd w:id="372"/>
      <w:bookmarkEnd w:id="373"/>
      <w:bookmarkEnd w:id="374"/>
      <w:bookmarkEnd w:id="375"/>
    </w:p>
    <w:p w14:paraId="196CCFAF">
      <w:pPr>
        <w:pStyle w:val="6"/>
        <w:numPr>
          <w:ilvl w:val="0"/>
          <w:numId w:val="0"/>
        </w:numPr>
        <w:bidi w:val="0"/>
        <w:ind w:left="482" w:leftChars="0"/>
        <w:rPr>
          <w:rFonts w:hint="eastAsia" w:ascii="宋体" w:hAnsi="宋体" w:eastAsia="宋体" w:cs="宋体"/>
          <w:sz w:val="24"/>
          <w:szCs w:val="24"/>
        </w:rPr>
      </w:pPr>
      <w:bookmarkStart w:id="376" w:name="bookmark1001"/>
      <w:bookmarkStart w:id="377" w:name="_Toc11324"/>
      <w:bookmarkStart w:id="378" w:name="bookmark1000"/>
      <w:bookmarkStart w:id="379" w:name="_Toc14710297"/>
      <w:bookmarkStart w:id="380" w:name="bookmark999"/>
      <w:r>
        <w:rPr>
          <w:rFonts w:hint="eastAsia" w:ascii="宋体" w:hAnsi="宋体" w:eastAsia="宋体" w:cs="宋体"/>
          <w:sz w:val="24"/>
          <w:szCs w:val="24"/>
        </w:rPr>
        <w:t>4.1承包人的一般义务</w:t>
      </w:r>
      <w:bookmarkEnd w:id="376"/>
      <w:bookmarkEnd w:id="377"/>
      <w:bookmarkEnd w:id="378"/>
      <w:bookmarkEnd w:id="379"/>
      <w:bookmarkEnd w:id="380"/>
    </w:p>
    <w:p w14:paraId="599B166E">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4.1.1遵守法律</w:t>
      </w:r>
    </w:p>
    <w:p w14:paraId="62B43B65">
      <w:pPr>
        <w:pStyle w:val="4"/>
        <w:rPr>
          <w:rFonts w:hint="eastAsia" w:ascii="宋体" w:hAnsi="宋体" w:eastAsia="宋体" w:cs="宋体"/>
          <w:sz w:val="24"/>
          <w:szCs w:val="24"/>
        </w:rPr>
      </w:pPr>
      <w:r>
        <w:rPr>
          <w:rFonts w:hint="eastAsia" w:ascii="宋体" w:hAnsi="宋体" w:eastAsia="宋体" w:cs="宋体"/>
          <w:sz w:val="24"/>
          <w:szCs w:val="24"/>
        </w:rPr>
        <w:t>承包人在履行合同过程中应遵守法律，并保证发包人免于承担因承包人违反法律而引起的任何责任。</w:t>
      </w:r>
    </w:p>
    <w:p w14:paraId="17038348">
      <w:pPr>
        <w:pStyle w:val="6"/>
        <w:numPr>
          <w:ilvl w:val="0"/>
          <w:numId w:val="0"/>
        </w:numPr>
        <w:bidi w:val="0"/>
        <w:ind w:left="482" w:leftChars="0"/>
        <w:rPr>
          <w:rFonts w:hint="eastAsia" w:ascii="宋体" w:hAnsi="宋体" w:eastAsia="宋体" w:cs="宋体"/>
          <w:sz w:val="24"/>
          <w:szCs w:val="24"/>
        </w:rPr>
      </w:pPr>
      <w:bookmarkStart w:id="381" w:name="bookmark1002"/>
      <w:bookmarkEnd w:id="381"/>
      <w:r>
        <w:rPr>
          <w:rFonts w:hint="eastAsia" w:ascii="宋体" w:hAnsi="宋体" w:eastAsia="宋体" w:cs="宋体"/>
          <w:sz w:val="24"/>
          <w:szCs w:val="24"/>
        </w:rPr>
        <w:t>4.1.2依法纳税</w:t>
      </w:r>
    </w:p>
    <w:p w14:paraId="65632A18">
      <w:pPr>
        <w:pStyle w:val="4"/>
        <w:rPr>
          <w:rFonts w:hint="eastAsia" w:ascii="宋体" w:hAnsi="宋体" w:eastAsia="宋体" w:cs="宋体"/>
          <w:sz w:val="24"/>
          <w:szCs w:val="24"/>
        </w:rPr>
      </w:pPr>
      <w:r>
        <w:rPr>
          <w:rFonts w:hint="eastAsia" w:ascii="宋体" w:hAnsi="宋体" w:eastAsia="宋体" w:cs="宋体"/>
          <w:sz w:val="24"/>
          <w:szCs w:val="24"/>
        </w:rPr>
        <w:t>承包人应按有关法律规定纳税，应缴纳的税金包括在合同价格内。</w:t>
      </w:r>
    </w:p>
    <w:p w14:paraId="0626ACAE">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4.1.3完成各项承包工作</w:t>
      </w:r>
    </w:p>
    <w:p w14:paraId="0084A6DB">
      <w:pPr>
        <w:pStyle w:val="4"/>
        <w:rPr>
          <w:rFonts w:hint="eastAsia" w:ascii="宋体" w:hAnsi="宋体" w:eastAsia="宋体" w:cs="宋体"/>
          <w:sz w:val="24"/>
          <w:szCs w:val="24"/>
        </w:rPr>
      </w:pPr>
      <w:r>
        <w:rPr>
          <w:rFonts w:hint="eastAsia" w:ascii="宋体" w:hAnsi="宋体" w:eastAsia="宋体" w:cs="宋体"/>
          <w:sz w:val="24"/>
          <w:szCs w:val="24"/>
        </w:rPr>
        <w:t>承包人应按合同约定以及监理人根据第3.4款作出的指示，实施、完成全部工程，并修补工程中的任何缺陷。除第5. 2款、第6. 2款另有约定外，承包人应提供为完成合同工作所需的劳务、材料、施工设备、工程设备和其它物品，并按合同约定负责临时设施的设计、建造、运行、维护、管理和拆除。</w:t>
      </w:r>
    </w:p>
    <w:p w14:paraId="71F92DB2">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4.1.4对施工作业和施工方法的完备性负责</w:t>
      </w:r>
    </w:p>
    <w:p w14:paraId="565D2D87">
      <w:pPr>
        <w:pStyle w:val="4"/>
        <w:rPr>
          <w:rFonts w:hint="eastAsia" w:ascii="宋体" w:hAnsi="宋体" w:eastAsia="宋体" w:cs="宋体"/>
          <w:sz w:val="24"/>
          <w:szCs w:val="24"/>
        </w:rPr>
      </w:pPr>
      <w:r>
        <w:rPr>
          <w:rFonts w:hint="eastAsia" w:ascii="宋体" w:hAnsi="宋体" w:eastAsia="宋体" w:cs="宋体"/>
          <w:sz w:val="24"/>
          <w:szCs w:val="24"/>
        </w:rPr>
        <w:t>承包人应按合同约定的工作内容和施工进度要求，编制施工组织设计和施工措施计划，并对所有施工作业和施工方法的完备性和安全可靠性负责。</w:t>
      </w:r>
    </w:p>
    <w:p w14:paraId="311F1ECC">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4.1.5保证工程施工和人员的安全</w:t>
      </w:r>
    </w:p>
    <w:p w14:paraId="72FCD894">
      <w:pPr>
        <w:pStyle w:val="4"/>
        <w:rPr>
          <w:rFonts w:hint="eastAsia" w:ascii="宋体" w:hAnsi="宋体" w:eastAsia="宋体" w:cs="宋体"/>
          <w:sz w:val="24"/>
          <w:szCs w:val="24"/>
        </w:rPr>
      </w:pPr>
      <w:r>
        <w:rPr>
          <w:rFonts w:hint="eastAsia" w:ascii="宋体" w:hAnsi="宋体" w:eastAsia="宋体" w:cs="宋体"/>
          <w:sz w:val="24"/>
          <w:szCs w:val="24"/>
        </w:rPr>
        <w:t>承包人应按第9. 2款约定采取施工安全措施，确保工程及其人员、材料、设备和设施的安全，防止因工程施工造成的人身伤害和财产损失。</w:t>
      </w:r>
    </w:p>
    <w:p w14:paraId="24912FDC">
      <w:pPr>
        <w:pStyle w:val="6"/>
        <w:numPr>
          <w:ilvl w:val="0"/>
          <w:numId w:val="0"/>
        </w:numPr>
        <w:bidi w:val="0"/>
        <w:ind w:left="482" w:leftChars="0"/>
        <w:rPr>
          <w:rFonts w:hint="eastAsia" w:ascii="宋体" w:hAnsi="宋体" w:eastAsia="宋体" w:cs="宋体"/>
          <w:sz w:val="24"/>
          <w:szCs w:val="24"/>
        </w:rPr>
      </w:pPr>
      <w:bookmarkStart w:id="382" w:name="bookmark1003"/>
      <w:bookmarkEnd w:id="382"/>
      <w:r>
        <w:rPr>
          <w:rFonts w:hint="eastAsia" w:ascii="宋体" w:hAnsi="宋体" w:eastAsia="宋体" w:cs="宋体"/>
          <w:sz w:val="24"/>
          <w:szCs w:val="24"/>
        </w:rPr>
        <w:t>4.1.6负责施工场地及其周边环境与生态的保护工作</w:t>
      </w:r>
    </w:p>
    <w:p w14:paraId="350FC7DA">
      <w:pPr>
        <w:pStyle w:val="4"/>
        <w:rPr>
          <w:rFonts w:hint="eastAsia" w:ascii="宋体" w:hAnsi="宋体" w:eastAsia="宋体" w:cs="宋体"/>
          <w:sz w:val="24"/>
          <w:szCs w:val="24"/>
        </w:rPr>
      </w:pPr>
      <w:r>
        <w:rPr>
          <w:rFonts w:hint="eastAsia" w:ascii="宋体" w:hAnsi="宋体" w:eastAsia="宋体" w:cs="宋体"/>
          <w:sz w:val="24"/>
          <w:szCs w:val="24"/>
        </w:rPr>
        <w:t>承包人应按照第9.4款约定负责施工场地及其周边环境与生态的保护工作。</w:t>
      </w:r>
    </w:p>
    <w:p w14:paraId="2580032B">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4.1.7避免施工对公众与他人的利益造成损害</w:t>
      </w:r>
    </w:p>
    <w:p w14:paraId="14786004">
      <w:pPr>
        <w:pStyle w:val="4"/>
        <w:rPr>
          <w:rFonts w:hint="eastAsia" w:ascii="宋体" w:hAnsi="宋体" w:eastAsia="宋体" w:cs="宋体"/>
          <w:sz w:val="24"/>
          <w:szCs w:val="24"/>
        </w:rPr>
      </w:pPr>
      <w:r>
        <w:rPr>
          <w:rFonts w:hint="eastAsia" w:ascii="宋体" w:hAnsi="宋体" w:eastAsia="宋体" w:cs="宋体"/>
          <w:sz w:val="24"/>
          <w:szCs w:val="24"/>
        </w:rPr>
        <w:t>承包人在进行合同约定的各项工作时，不得侵害发包人与他人使用公用道路、水源、 市政管网等公共设施的权利，避免对邻近的公共设施产生干扰。承包人占用或使用他人的施工场地，影响他人作业或生活的，应承担相应责任。</w:t>
      </w:r>
    </w:p>
    <w:p w14:paraId="3A9D168B">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4.1.8为他人提供方便</w:t>
      </w:r>
    </w:p>
    <w:p w14:paraId="6CDC6EAC">
      <w:pPr>
        <w:pStyle w:val="4"/>
        <w:rPr>
          <w:rFonts w:hint="eastAsia" w:ascii="宋体" w:hAnsi="宋体" w:eastAsia="宋体" w:cs="宋体"/>
          <w:sz w:val="24"/>
          <w:szCs w:val="24"/>
        </w:rPr>
      </w:pPr>
      <w:r>
        <w:rPr>
          <w:rFonts w:hint="eastAsia" w:ascii="宋体" w:hAnsi="宋体" w:eastAsia="宋体" w:cs="宋体"/>
          <w:sz w:val="24"/>
          <w:szCs w:val="24"/>
        </w:rPr>
        <w:t>承包人应按监理人的指示为他人在施工场地或附近实施与工程有关的其他各项工作提供可能的条件。除合同另有约定外，提供有关条件的内容和可能发生的费用，由监理人按 第3. 5款商定或确定。</w:t>
      </w:r>
    </w:p>
    <w:p w14:paraId="34418658">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4.1.9工程的维护和照管</w:t>
      </w:r>
    </w:p>
    <w:p w14:paraId="139BC37A">
      <w:pPr>
        <w:pStyle w:val="4"/>
        <w:rPr>
          <w:rFonts w:hint="eastAsia" w:ascii="宋体" w:hAnsi="宋体" w:eastAsia="宋体" w:cs="宋体"/>
          <w:sz w:val="24"/>
          <w:szCs w:val="24"/>
        </w:rPr>
      </w:pPr>
      <w:r>
        <w:rPr>
          <w:rFonts w:hint="eastAsia" w:ascii="宋体" w:hAnsi="宋体" w:eastAsia="宋体" w:cs="宋体"/>
          <w:sz w:val="24"/>
          <w:szCs w:val="24"/>
        </w:rPr>
        <w:t>除合同另有约定外，合同工程完工证书颁发前，承包人应负责照管和维护工程。合同工程完工证书颁发时尚有部分未完工程的，承包人还应负责该未完工程的照管和维护工作，直至完工后移交给发包人为止。</w:t>
      </w:r>
    </w:p>
    <w:p w14:paraId="471F4D84">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4.1.10其它义务</w:t>
      </w:r>
    </w:p>
    <w:p w14:paraId="4517C276">
      <w:pPr>
        <w:pStyle w:val="4"/>
        <w:rPr>
          <w:rFonts w:hint="eastAsia" w:ascii="宋体" w:hAnsi="宋体" w:eastAsia="宋体" w:cs="宋体"/>
          <w:sz w:val="24"/>
          <w:szCs w:val="24"/>
        </w:rPr>
      </w:pPr>
      <w:r>
        <w:rPr>
          <w:rFonts w:hint="eastAsia" w:ascii="宋体" w:hAnsi="宋体" w:eastAsia="宋体" w:cs="宋体"/>
          <w:sz w:val="24"/>
          <w:szCs w:val="24"/>
        </w:rPr>
        <w:t>其它义务在专用合同条款中补充约定。</w:t>
      </w:r>
    </w:p>
    <w:p w14:paraId="411F86AF">
      <w:pPr>
        <w:pStyle w:val="6"/>
        <w:numPr>
          <w:ilvl w:val="0"/>
          <w:numId w:val="0"/>
        </w:numPr>
        <w:bidi w:val="0"/>
        <w:ind w:left="482" w:leftChars="0"/>
        <w:rPr>
          <w:rFonts w:hint="eastAsia" w:ascii="宋体" w:hAnsi="宋体" w:eastAsia="宋体" w:cs="宋体"/>
          <w:sz w:val="24"/>
          <w:szCs w:val="24"/>
        </w:rPr>
      </w:pPr>
      <w:bookmarkStart w:id="383" w:name="_Toc11535"/>
      <w:bookmarkStart w:id="384" w:name="bookmark1004"/>
      <w:bookmarkStart w:id="385" w:name="_Toc14710298"/>
      <w:bookmarkStart w:id="386" w:name="bookmark1005"/>
      <w:bookmarkStart w:id="387" w:name="bookmark1006"/>
      <w:r>
        <w:rPr>
          <w:rFonts w:hint="eastAsia" w:ascii="宋体" w:hAnsi="宋体" w:eastAsia="宋体" w:cs="宋体"/>
          <w:sz w:val="24"/>
          <w:szCs w:val="24"/>
        </w:rPr>
        <w:t>4.2履约担保</w:t>
      </w:r>
      <w:bookmarkEnd w:id="383"/>
      <w:bookmarkEnd w:id="384"/>
      <w:bookmarkEnd w:id="385"/>
      <w:bookmarkEnd w:id="386"/>
      <w:bookmarkEnd w:id="387"/>
    </w:p>
    <w:p w14:paraId="38796292">
      <w:pPr>
        <w:pStyle w:val="4"/>
        <w:rPr>
          <w:rFonts w:hint="eastAsia" w:ascii="宋体" w:hAnsi="宋体" w:eastAsia="宋体" w:cs="宋体"/>
          <w:sz w:val="24"/>
          <w:szCs w:val="24"/>
        </w:rPr>
      </w:pPr>
      <w:r>
        <w:rPr>
          <w:rFonts w:hint="eastAsia" w:ascii="宋体" w:hAnsi="宋体" w:eastAsia="宋体" w:cs="宋体"/>
          <w:sz w:val="24"/>
          <w:szCs w:val="24"/>
        </w:rPr>
        <w:t>承包人应保证其履约担保在发包人颁发合同工程完工证书前一直有效。发包人应在合同工程完工证书颁发后28天内将履约担保退还给承包人。</w:t>
      </w:r>
    </w:p>
    <w:p w14:paraId="34D535DA">
      <w:pPr>
        <w:pStyle w:val="6"/>
        <w:numPr>
          <w:ilvl w:val="0"/>
          <w:numId w:val="0"/>
        </w:numPr>
        <w:bidi w:val="0"/>
        <w:ind w:left="482" w:leftChars="0"/>
        <w:rPr>
          <w:rFonts w:hint="eastAsia" w:ascii="宋体" w:hAnsi="宋体" w:eastAsia="宋体" w:cs="宋体"/>
          <w:sz w:val="24"/>
          <w:szCs w:val="24"/>
        </w:rPr>
      </w:pPr>
      <w:bookmarkStart w:id="388" w:name="bookmark1008"/>
      <w:bookmarkStart w:id="389" w:name="bookmark1007"/>
      <w:bookmarkStart w:id="390" w:name="bookmark1009"/>
      <w:bookmarkStart w:id="391" w:name="_Toc31393"/>
      <w:bookmarkStart w:id="392" w:name="_Toc14710299"/>
      <w:r>
        <w:rPr>
          <w:rFonts w:hint="eastAsia" w:ascii="宋体" w:hAnsi="宋体" w:eastAsia="宋体" w:cs="宋体"/>
          <w:sz w:val="24"/>
          <w:szCs w:val="24"/>
        </w:rPr>
        <w:t>4.3分包</w:t>
      </w:r>
      <w:bookmarkEnd w:id="388"/>
      <w:bookmarkEnd w:id="389"/>
      <w:bookmarkEnd w:id="390"/>
      <w:bookmarkEnd w:id="391"/>
      <w:bookmarkEnd w:id="392"/>
    </w:p>
    <w:p w14:paraId="4D24DBAF">
      <w:pPr>
        <w:pStyle w:val="4"/>
        <w:rPr>
          <w:rFonts w:hint="eastAsia" w:ascii="宋体" w:hAnsi="宋体" w:eastAsia="宋体" w:cs="宋体"/>
          <w:sz w:val="24"/>
          <w:szCs w:val="24"/>
        </w:rPr>
      </w:pPr>
      <w:r>
        <w:rPr>
          <w:rFonts w:hint="eastAsia" w:ascii="宋体" w:hAnsi="宋体" w:eastAsia="宋体" w:cs="宋体"/>
          <w:sz w:val="24"/>
          <w:szCs w:val="24"/>
        </w:rPr>
        <w:t>4.3.1承包人不得将其承包的全部工程转包给第三人，或将其承包的全部工程肢解后以分包的名义转包给第三人。</w:t>
      </w:r>
    </w:p>
    <w:p w14:paraId="74017A71">
      <w:pPr>
        <w:pStyle w:val="4"/>
        <w:rPr>
          <w:rFonts w:hint="eastAsia" w:ascii="宋体" w:hAnsi="宋体" w:eastAsia="宋体" w:cs="宋体"/>
          <w:sz w:val="24"/>
          <w:szCs w:val="24"/>
        </w:rPr>
      </w:pPr>
      <w:r>
        <w:rPr>
          <w:rFonts w:hint="eastAsia" w:ascii="宋体" w:hAnsi="宋体" w:eastAsia="宋体" w:cs="宋体"/>
          <w:sz w:val="24"/>
          <w:szCs w:val="24"/>
        </w:rPr>
        <w:t>4.3.2承包人不得将工程主体、关键性工作分包给第三人。除专用合同条款另有约定外，未经发包人同意，承包人不得将工程的其他部分或工作分包给第三人。</w:t>
      </w:r>
    </w:p>
    <w:p w14:paraId="7E7FF656">
      <w:pPr>
        <w:pStyle w:val="4"/>
        <w:rPr>
          <w:rFonts w:hint="eastAsia" w:ascii="宋体" w:hAnsi="宋体" w:eastAsia="宋体" w:cs="宋体"/>
          <w:sz w:val="24"/>
          <w:szCs w:val="24"/>
        </w:rPr>
      </w:pPr>
      <w:r>
        <w:rPr>
          <w:rFonts w:hint="eastAsia" w:ascii="宋体" w:hAnsi="宋体" w:eastAsia="宋体" w:cs="宋体"/>
          <w:sz w:val="24"/>
          <w:szCs w:val="24"/>
        </w:rPr>
        <w:t>4.3.3分包人的资格能力应与其分包工程的标准和规模相适应。</w:t>
      </w:r>
    </w:p>
    <w:p w14:paraId="573991FC">
      <w:pPr>
        <w:pStyle w:val="4"/>
        <w:rPr>
          <w:rFonts w:hint="eastAsia" w:ascii="宋体" w:hAnsi="宋体" w:eastAsia="宋体" w:cs="宋体"/>
          <w:sz w:val="24"/>
          <w:szCs w:val="24"/>
        </w:rPr>
      </w:pPr>
      <w:r>
        <w:rPr>
          <w:rFonts w:hint="eastAsia" w:ascii="宋体" w:hAnsi="宋体" w:eastAsia="宋体" w:cs="宋体"/>
          <w:sz w:val="24"/>
          <w:szCs w:val="24"/>
        </w:rPr>
        <w:t>4.3.4按投标函附录约定分包工程的，承包人应向发包人和监理人提交分包合同 副本。</w:t>
      </w:r>
    </w:p>
    <w:p w14:paraId="576EF487">
      <w:pPr>
        <w:pStyle w:val="4"/>
        <w:rPr>
          <w:rFonts w:hint="eastAsia" w:ascii="宋体" w:hAnsi="宋体" w:eastAsia="宋体" w:cs="宋体"/>
          <w:sz w:val="24"/>
          <w:szCs w:val="24"/>
        </w:rPr>
      </w:pPr>
      <w:r>
        <w:rPr>
          <w:rFonts w:hint="eastAsia" w:ascii="宋体" w:hAnsi="宋体" w:eastAsia="宋体" w:cs="宋体"/>
          <w:sz w:val="24"/>
          <w:szCs w:val="24"/>
        </w:rPr>
        <w:t>4.3.5承包人应与分包人就分包工程向发包人承担连带责任。</w:t>
      </w:r>
    </w:p>
    <w:p w14:paraId="190B3AE1">
      <w:pPr>
        <w:pStyle w:val="4"/>
        <w:rPr>
          <w:rFonts w:hint="eastAsia" w:ascii="宋体" w:hAnsi="宋体" w:eastAsia="宋体" w:cs="宋体"/>
          <w:sz w:val="24"/>
          <w:szCs w:val="24"/>
        </w:rPr>
      </w:pPr>
      <w:r>
        <w:rPr>
          <w:rFonts w:hint="eastAsia" w:ascii="宋体" w:hAnsi="宋体" w:eastAsia="宋体" w:cs="宋体"/>
          <w:sz w:val="24"/>
          <w:szCs w:val="24"/>
        </w:rPr>
        <w:t>4.3.6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14:paraId="25E32165">
      <w:pPr>
        <w:pStyle w:val="4"/>
        <w:rPr>
          <w:rFonts w:hint="eastAsia" w:ascii="宋体" w:hAnsi="宋体" w:eastAsia="宋体" w:cs="宋体"/>
          <w:sz w:val="24"/>
          <w:szCs w:val="24"/>
        </w:rPr>
      </w:pPr>
      <w:r>
        <w:rPr>
          <w:rFonts w:hint="eastAsia" w:ascii="宋体" w:hAnsi="宋体" w:eastAsia="宋体" w:cs="宋体"/>
          <w:sz w:val="24"/>
          <w:szCs w:val="24"/>
        </w:rPr>
        <w:t>4.3.7在合同实施过程中，如承包人无力在合同规定的期限内完成合同中的应急防 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承担指定分包所增加的费用。由指定分包人造成的与其分包工作有关的一切索赔、诉讼和损失赔偿由指定分包人直接对发包人负责，承包人不对此承担责任。</w:t>
      </w:r>
    </w:p>
    <w:p w14:paraId="5425C817">
      <w:pPr>
        <w:pStyle w:val="4"/>
        <w:rPr>
          <w:rFonts w:hint="eastAsia" w:ascii="宋体" w:hAnsi="宋体" w:eastAsia="宋体" w:cs="宋体"/>
          <w:sz w:val="24"/>
          <w:szCs w:val="24"/>
        </w:rPr>
      </w:pPr>
      <w:r>
        <w:rPr>
          <w:rFonts w:hint="eastAsia" w:ascii="宋体" w:hAnsi="宋体" w:eastAsia="宋体" w:cs="宋体"/>
          <w:sz w:val="24"/>
          <w:szCs w:val="24"/>
        </w:rPr>
        <w:t>4.3.8承包人和发包人应当签订分包合同，并履行合同约定的义务。分包合同必须遵循承包合同的各项原则，满足相应条款的要求。发包人可以对分包合同实施情况进行监督检查。承包人应将分包合同副本提交发包人和监理人。</w:t>
      </w:r>
    </w:p>
    <w:p w14:paraId="32952DC3">
      <w:pPr>
        <w:pStyle w:val="4"/>
        <w:rPr>
          <w:rFonts w:hint="eastAsia" w:ascii="宋体" w:hAnsi="宋体" w:eastAsia="宋体" w:cs="宋体"/>
          <w:sz w:val="24"/>
          <w:szCs w:val="24"/>
        </w:rPr>
      </w:pPr>
      <w:r>
        <w:rPr>
          <w:rFonts w:hint="eastAsia" w:ascii="宋体" w:hAnsi="宋体" w:eastAsia="宋体" w:cs="宋体"/>
          <w:sz w:val="24"/>
          <w:szCs w:val="24"/>
        </w:rPr>
        <w:t>4.3.9除第4. 3. 7项规定的指定分包外，承包人对其分包项目的实施以及分包人的行为向发包人负全部责任。承包人应对分包项目的工程进度、质量、安全、计量和验收等实施监督和管理。</w:t>
      </w:r>
    </w:p>
    <w:p w14:paraId="3025E768">
      <w:pPr>
        <w:pStyle w:val="4"/>
        <w:rPr>
          <w:rFonts w:hint="eastAsia" w:ascii="宋体" w:hAnsi="宋体" w:eastAsia="宋体" w:cs="宋体"/>
          <w:sz w:val="24"/>
          <w:szCs w:val="24"/>
        </w:rPr>
      </w:pPr>
      <w:bookmarkStart w:id="393" w:name="bookmark1010"/>
      <w:bookmarkEnd w:id="393"/>
      <w:r>
        <w:rPr>
          <w:rFonts w:hint="eastAsia" w:ascii="宋体" w:hAnsi="宋体" w:eastAsia="宋体" w:cs="宋体"/>
          <w:sz w:val="24"/>
          <w:szCs w:val="24"/>
        </w:rPr>
        <w:t>4.3.10分包人应按专用合同条款的约定设立项目管理机构组织管理分包工程的施工 活动。</w:t>
      </w:r>
    </w:p>
    <w:p w14:paraId="36988DC9">
      <w:pPr>
        <w:pStyle w:val="6"/>
        <w:numPr>
          <w:ilvl w:val="0"/>
          <w:numId w:val="0"/>
        </w:numPr>
        <w:bidi w:val="0"/>
        <w:ind w:left="482" w:leftChars="0"/>
        <w:rPr>
          <w:rFonts w:hint="eastAsia" w:ascii="宋体" w:hAnsi="宋体" w:eastAsia="宋体" w:cs="宋体"/>
          <w:sz w:val="24"/>
          <w:szCs w:val="24"/>
        </w:rPr>
      </w:pPr>
      <w:bookmarkStart w:id="394" w:name="_Toc14710300"/>
      <w:bookmarkStart w:id="395" w:name="_Toc27582"/>
      <w:bookmarkStart w:id="396" w:name="bookmark1012"/>
      <w:bookmarkStart w:id="397" w:name="bookmark1011"/>
      <w:bookmarkStart w:id="398" w:name="bookmark1013"/>
      <w:r>
        <w:rPr>
          <w:rFonts w:hint="eastAsia" w:ascii="宋体" w:hAnsi="宋体" w:eastAsia="宋体" w:cs="宋体"/>
          <w:sz w:val="24"/>
          <w:szCs w:val="24"/>
        </w:rPr>
        <w:t>4.4联合体</w:t>
      </w:r>
      <w:bookmarkEnd w:id="394"/>
      <w:bookmarkEnd w:id="395"/>
      <w:bookmarkEnd w:id="396"/>
      <w:bookmarkEnd w:id="397"/>
      <w:bookmarkEnd w:id="398"/>
    </w:p>
    <w:p w14:paraId="1A35C2A3">
      <w:pPr>
        <w:pStyle w:val="4"/>
        <w:rPr>
          <w:rFonts w:hint="eastAsia" w:ascii="宋体" w:hAnsi="宋体" w:eastAsia="宋体" w:cs="宋体"/>
          <w:sz w:val="24"/>
          <w:szCs w:val="24"/>
        </w:rPr>
      </w:pPr>
      <w:bookmarkStart w:id="399" w:name="bookmark1014"/>
      <w:bookmarkEnd w:id="399"/>
      <w:r>
        <w:rPr>
          <w:rFonts w:hint="eastAsia" w:ascii="宋体" w:hAnsi="宋体" w:eastAsia="宋体" w:cs="宋体"/>
          <w:b w:val="0"/>
          <w:i w:val="0"/>
          <w:strike w:val="0"/>
          <w:color w:val="000000"/>
          <w:sz w:val="24"/>
          <w:szCs w:val="24"/>
          <w:u w:val="none"/>
          <w:lang w:val="en-US" w:eastAsia="zh-CN"/>
        </w:rPr>
        <w:t>4</w:t>
      </w:r>
      <w:r>
        <w:rPr>
          <w:rFonts w:hint="eastAsia" w:ascii="宋体" w:hAnsi="宋体" w:eastAsia="宋体" w:cs="宋体"/>
          <w:b w:val="0"/>
          <w:i w:val="0"/>
          <w:strike w:val="0"/>
          <w:color w:val="000000"/>
          <w:sz w:val="24"/>
          <w:szCs w:val="24"/>
          <w:u w:val="none"/>
        </w:rPr>
        <w:t>.</w:t>
      </w:r>
      <w:r>
        <w:rPr>
          <w:rFonts w:hint="eastAsia" w:ascii="宋体" w:hAnsi="宋体" w:eastAsia="宋体" w:cs="宋体"/>
          <w:sz w:val="24"/>
          <w:szCs w:val="24"/>
        </w:rPr>
        <w:t>4.1联合体各方应共同与发包人签订合同协议书。联合体各方应为履行合同承担连带责任。</w:t>
      </w:r>
    </w:p>
    <w:p w14:paraId="5F0B0523">
      <w:pPr>
        <w:pStyle w:val="4"/>
        <w:rPr>
          <w:rFonts w:hint="eastAsia" w:ascii="宋体" w:hAnsi="宋体" w:eastAsia="宋体" w:cs="宋体"/>
          <w:sz w:val="24"/>
          <w:szCs w:val="24"/>
        </w:rPr>
      </w:pPr>
      <w:r>
        <w:rPr>
          <w:rFonts w:hint="eastAsia" w:ascii="宋体" w:hAnsi="宋体" w:eastAsia="宋体" w:cs="宋体"/>
          <w:sz w:val="24"/>
          <w:szCs w:val="24"/>
        </w:rPr>
        <w:t>4. 4.2联合体协议经发包人确认后作为合同附件。在履行合同过程中，未经发包人同意，不得修改联合体协议。</w:t>
      </w:r>
    </w:p>
    <w:p w14:paraId="7747D9B3">
      <w:pPr>
        <w:pStyle w:val="4"/>
        <w:rPr>
          <w:rFonts w:hint="eastAsia" w:ascii="宋体" w:hAnsi="宋体" w:eastAsia="宋体" w:cs="宋体"/>
          <w:sz w:val="24"/>
          <w:szCs w:val="24"/>
        </w:rPr>
      </w:pPr>
      <w:r>
        <w:rPr>
          <w:rFonts w:hint="eastAsia" w:ascii="宋体" w:hAnsi="宋体" w:eastAsia="宋体" w:cs="宋体"/>
          <w:sz w:val="24"/>
          <w:szCs w:val="24"/>
        </w:rPr>
        <w:t>4.4.3联合体牵头人负责与发包人和监理人联系，并接受指示，负责组织联合体各成员全面履行合同。</w:t>
      </w:r>
    </w:p>
    <w:p w14:paraId="6E4C9198">
      <w:pPr>
        <w:pStyle w:val="6"/>
        <w:numPr>
          <w:ilvl w:val="0"/>
          <w:numId w:val="0"/>
        </w:numPr>
        <w:bidi w:val="0"/>
        <w:ind w:left="482" w:leftChars="0"/>
        <w:rPr>
          <w:rFonts w:hint="eastAsia" w:ascii="宋体" w:hAnsi="宋体" w:eastAsia="宋体" w:cs="宋体"/>
          <w:sz w:val="24"/>
          <w:szCs w:val="24"/>
        </w:rPr>
      </w:pPr>
      <w:bookmarkStart w:id="400" w:name="bookmark1017"/>
      <w:bookmarkStart w:id="401" w:name="_Toc27934"/>
      <w:bookmarkStart w:id="402" w:name="bookmark1015"/>
      <w:bookmarkStart w:id="403" w:name="_Toc14710301"/>
      <w:bookmarkStart w:id="404" w:name="bookmark1016"/>
      <w:r>
        <w:rPr>
          <w:rFonts w:hint="eastAsia" w:ascii="宋体" w:hAnsi="宋体" w:eastAsia="宋体" w:cs="宋体"/>
          <w:sz w:val="24"/>
          <w:szCs w:val="24"/>
        </w:rPr>
        <w:t>4.5承包人项目经理</w:t>
      </w:r>
      <w:bookmarkEnd w:id="400"/>
      <w:bookmarkEnd w:id="401"/>
      <w:bookmarkEnd w:id="402"/>
      <w:bookmarkEnd w:id="403"/>
      <w:bookmarkEnd w:id="404"/>
    </w:p>
    <w:p w14:paraId="0CCA4A66">
      <w:pPr>
        <w:pStyle w:val="4"/>
        <w:rPr>
          <w:rFonts w:hint="eastAsia" w:ascii="宋体" w:hAnsi="宋体" w:eastAsia="宋体" w:cs="宋体"/>
          <w:sz w:val="24"/>
          <w:szCs w:val="24"/>
        </w:rPr>
      </w:pPr>
      <w:r>
        <w:rPr>
          <w:rFonts w:hint="eastAsia" w:ascii="宋体" w:hAnsi="宋体" w:eastAsia="宋体" w:cs="宋体"/>
          <w:sz w:val="24"/>
          <w:szCs w:val="24"/>
        </w:rPr>
        <w:t>4. 5.1承包人应按合同约定指派项目经理，并在约定的期限内到职。承包人更换项目经理应事先征得发包人同意，并应在更换14天前通知发包人和监理人。承包人项目经理短 期离开施工场地，应事先征得监理人同意，并委派代表代行其职责。</w:t>
      </w:r>
    </w:p>
    <w:p w14:paraId="0477FEC8">
      <w:pPr>
        <w:pStyle w:val="4"/>
        <w:rPr>
          <w:rFonts w:hint="eastAsia" w:ascii="宋体" w:hAnsi="宋体" w:eastAsia="宋体" w:cs="宋体"/>
          <w:sz w:val="24"/>
          <w:szCs w:val="24"/>
        </w:rPr>
      </w:pPr>
      <w:r>
        <w:rPr>
          <w:rFonts w:hint="eastAsia" w:ascii="宋体" w:hAnsi="宋体" w:eastAsia="宋体" w:cs="宋体"/>
          <w:sz w:val="24"/>
          <w:szCs w:val="24"/>
        </w:rPr>
        <w:t>4. 5.2承包人项目经理应按合同约定以及监理人按第3. 4款作出的指示，负责组织合同工程的实施。在情况紧急且无法与监理人取得联系时，可采取保证工程和人员生命财产 安全的紧急措施，并在采取措施后24小时内向监理人提交书面报告。</w:t>
      </w:r>
    </w:p>
    <w:p w14:paraId="7CA06E8D">
      <w:pPr>
        <w:pStyle w:val="4"/>
        <w:rPr>
          <w:rFonts w:hint="eastAsia" w:ascii="宋体" w:hAnsi="宋体" w:eastAsia="宋体" w:cs="宋体"/>
          <w:sz w:val="24"/>
          <w:szCs w:val="24"/>
        </w:rPr>
      </w:pPr>
      <w:r>
        <w:rPr>
          <w:rFonts w:hint="eastAsia" w:ascii="宋体" w:hAnsi="宋体" w:eastAsia="宋体" w:cs="宋体"/>
          <w:sz w:val="24"/>
          <w:szCs w:val="24"/>
        </w:rPr>
        <w:t>4. 5. 3承包人为履行合同发出的一切函件均应盖有承包人授权的施工场地管理机构章，并由承包人项目经理或其授权代表签字。</w:t>
      </w:r>
    </w:p>
    <w:p w14:paraId="2EFEC903">
      <w:pPr>
        <w:pStyle w:val="4"/>
        <w:rPr>
          <w:rFonts w:hint="eastAsia" w:ascii="宋体" w:hAnsi="宋体" w:eastAsia="宋体" w:cs="宋体"/>
          <w:sz w:val="24"/>
          <w:szCs w:val="24"/>
        </w:rPr>
      </w:pPr>
      <w:r>
        <w:rPr>
          <w:rFonts w:hint="eastAsia" w:ascii="宋体" w:hAnsi="宋体" w:eastAsia="宋体" w:cs="宋体"/>
          <w:sz w:val="24"/>
          <w:szCs w:val="24"/>
        </w:rPr>
        <w:t>4. 5.4承包人项目经理可以授权其下属人员履行其某项职责，但事先应将这些人员的姓名和授权范围通知监理人。</w:t>
      </w:r>
    </w:p>
    <w:p w14:paraId="131FDC57">
      <w:pPr>
        <w:pStyle w:val="6"/>
        <w:numPr>
          <w:ilvl w:val="0"/>
          <w:numId w:val="0"/>
        </w:numPr>
        <w:bidi w:val="0"/>
        <w:ind w:left="482" w:leftChars="0"/>
        <w:rPr>
          <w:rFonts w:hint="eastAsia" w:ascii="宋体" w:hAnsi="宋体" w:eastAsia="宋体" w:cs="宋体"/>
          <w:sz w:val="24"/>
          <w:szCs w:val="24"/>
        </w:rPr>
      </w:pPr>
      <w:bookmarkStart w:id="405" w:name="bookmark1020"/>
      <w:bookmarkStart w:id="406" w:name="bookmark1019"/>
      <w:bookmarkStart w:id="407" w:name="_Toc14710302"/>
      <w:bookmarkStart w:id="408" w:name="bookmark1018"/>
      <w:bookmarkStart w:id="409" w:name="_Toc1095"/>
      <w:r>
        <w:rPr>
          <w:rFonts w:hint="eastAsia" w:ascii="宋体" w:hAnsi="宋体" w:eastAsia="宋体" w:cs="宋体"/>
          <w:sz w:val="24"/>
          <w:szCs w:val="24"/>
        </w:rPr>
        <w:t>4.6承包人人员的管理</w:t>
      </w:r>
      <w:bookmarkEnd w:id="405"/>
      <w:bookmarkEnd w:id="406"/>
      <w:bookmarkEnd w:id="407"/>
      <w:bookmarkEnd w:id="408"/>
      <w:bookmarkEnd w:id="409"/>
    </w:p>
    <w:p w14:paraId="0781B298">
      <w:pPr>
        <w:pStyle w:val="4"/>
        <w:rPr>
          <w:rFonts w:hint="eastAsia" w:ascii="宋体" w:hAnsi="宋体" w:eastAsia="宋体" w:cs="宋体"/>
          <w:sz w:val="24"/>
          <w:szCs w:val="24"/>
        </w:rPr>
      </w:pPr>
      <w:r>
        <w:rPr>
          <w:rFonts w:hint="eastAsia" w:ascii="宋体" w:hAnsi="宋体" w:eastAsia="宋体" w:cs="宋体"/>
          <w:sz w:val="24"/>
          <w:szCs w:val="24"/>
        </w:rPr>
        <w:t>4. 6.1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4256A96F">
      <w:pPr>
        <w:pStyle w:val="4"/>
        <w:rPr>
          <w:rFonts w:hint="eastAsia" w:ascii="宋体" w:hAnsi="宋体" w:eastAsia="宋体" w:cs="宋体"/>
          <w:sz w:val="24"/>
          <w:szCs w:val="24"/>
        </w:rPr>
      </w:pPr>
      <w:r>
        <w:rPr>
          <w:rFonts w:hint="eastAsia" w:ascii="宋体" w:hAnsi="宋体" w:eastAsia="宋体" w:cs="宋体"/>
          <w:sz w:val="24"/>
          <w:szCs w:val="24"/>
        </w:rPr>
        <w:t>4. 6.2为完成合同约定的各项工作，承包人应向施工场地派遣或雇佣足够数量的下列 人员：</w:t>
      </w:r>
    </w:p>
    <w:p w14:paraId="3F663D56">
      <w:pPr>
        <w:pStyle w:val="4"/>
        <w:rPr>
          <w:rFonts w:hint="eastAsia" w:ascii="宋体" w:hAnsi="宋体" w:eastAsia="宋体" w:cs="宋体"/>
          <w:sz w:val="24"/>
          <w:szCs w:val="24"/>
        </w:rPr>
      </w:pPr>
      <w:bookmarkStart w:id="410" w:name="bookmark1021"/>
      <w:bookmarkEnd w:id="410"/>
      <w:r>
        <w:rPr>
          <w:rFonts w:hint="eastAsia" w:ascii="宋体" w:hAnsi="宋体" w:eastAsia="宋体" w:cs="宋体"/>
          <w:b w:val="0"/>
          <w:i w:val="0"/>
          <w:strike w:val="0"/>
          <w:color w:val="000000"/>
          <w:sz w:val="24"/>
          <w:szCs w:val="24"/>
          <w:u w:val="none"/>
        </w:rPr>
        <w:t>(1)</w:t>
      </w:r>
      <w:r>
        <w:rPr>
          <w:rFonts w:hint="eastAsia" w:ascii="宋体" w:hAnsi="宋体" w:eastAsia="宋体" w:cs="宋体"/>
          <w:sz w:val="24"/>
          <w:szCs w:val="24"/>
        </w:rPr>
        <w:t>具有相应资格的专业技工和合格的普工；</w:t>
      </w:r>
    </w:p>
    <w:p w14:paraId="5D41583C">
      <w:pPr>
        <w:pStyle w:val="4"/>
        <w:rPr>
          <w:rFonts w:hint="eastAsia" w:ascii="宋体" w:hAnsi="宋体" w:eastAsia="宋体" w:cs="宋体"/>
          <w:sz w:val="24"/>
          <w:szCs w:val="24"/>
        </w:rPr>
      </w:pPr>
      <w:bookmarkStart w:id="411" w:name="bookmark1022"/>
      <w:bookmarkEnd w:id="411"/>
      <w:r>
        <w:rPr>
          <w:rFonts w:hint="eastAsia" w:ascii="宋体" w:hAnsi="宋体" w:eastAsia="宋体" w:cs="宋体"/>
          <w:b w:val="0"/>
          <w:i w:val="0"/>
          <w:strike w:val="0"/>
          <w:color w:val="000000"/>
          <w:sz w:val="24"/>
          <w:szCs w:val="24"/>
          <w:u w:val="none"/>
        </w:rPr>
        <w:t>(2)</w:t>
      </w:r>
      <w:r>
        <w:rPr>
          <w:rFonts w:hint="eastAsia" w:ascii="宋体" w:hAnsi="宋体" w:eastAsia="宋体" w:cs="宋体"/>
          <w:sz w:val="24"/>
          <w:szCs w:val="24"/>
        </w:rPr>
        <w:t>具有相应施工经验的技术人员；</w:t>
      </w:r>
    </w:p>
    <w:p w14:paraId="1E12AEA1">
      <w:pPr>
        <w:pStyle w:val="4"/>
        <w:rPr>
          <w:rFonts w:hint="eastAsia" w:ascii="宋体" w:hAnsi="宋体" w:eastAsia="宋体" w:cs="宋体"/>
          <w:sz w:val="24"/>
          <w:szCs w:val="24"/>
        </w:rPr>
      </w:pPr>
      <w:bookmarkStart w:id="412" w:name="bookmark1023"/>
      <w:bookmarkEnd w:id="412"/>
      <w:r>
        <w:rPr>
          <w:rFonts w:hint="eastAsia" w:ascii="宋体" w:hAnsi="宋体" w:eastAsia="宋体" w:cs="宋体"/>
          <w:b w:val="0"/>
          <w:i w:val="0"/>
          <w:strike w:val="0"/>
          <w:color w:val="000000"/>
          <w:sz w:val="24"/>
          <w:szCs w:val="24"/>
          <w:u w:val="none"/>
        </w:rPr>
        <w:t>(3)</w:t>
      </w:r>
      <w:r>
        <w:rPr>
          <w:rFonts w:hint="eastAsia" w:ascii="宋体" w:hAnsi="宋体" w:eastAsia="宋体" w:cs="宋体"/>
          <w:sz w:val="24"/>
          <w:szCs w:val="24"/>
        </w:rPr>
        <w:t>具有相应岗位资格的各级管理人员。</w:t>
      </w:r>
    </w:p>
    <w:p w14:paraId="16E35949">
      <w:pPr>
        <w:pStyle w:val="4"/>
        <w:rPr>
          <w:rFonts w:hint="eastAsia" w:ascii="宋体" w:hAnsi="宋体" w:eastAsia="宋体" w:cs="宋体"/>
          <w:sz w:val="24"/>
          <w:szCs w:val="24"/>
        </w:rPr>
      </w:pPr>
      <w:r>
        <w:rPr>
          <w:rFonts w:hint="eastAsia" w:ascii="宋体" w:hAnsi="宋体" w:eastAsia="宋体" w:cs="宋体"/>
          <w:sz w:val="24"/>
          <w:szCs w:val="24"/>
        </w:rPr>
        <w:t>4.6.3承包人安排在施工场地的主要管理人员和技术骨干应相对稳定。承包人更换主要管理人员和技术骨干时，应取得监理人的同意。</w:t>
      </w:r>
    </w:p>
    <w:p w14:paraId="1E51B660">
      <w:pPr>
        <w:pStyle w:val="4"/>
        <w:rPr>
          <w:rFonts w:hint="eastAsia" w:ascii="宋体" w:hAnsi="宋体" w:eastAsia="宋体" w:cs="宋体"/>
          <w:sz w:val="24"/>
          <w:szCs w:val="24"/>
        </w:rPr>
      </w:pPr>
      <w:r>
        <w:rPr>
          <w:rFonts w:hint="eastAsia" w:ascii="宋体" w:hAnsi="宋体" w:eastAsia="宋体" w:cs="宋体"/>
          <w:sz w:val="24"/>
          <w:szCs w:val="24"/>
        </w:rPr>
        <w:t>4. 6.4特殊岗位的工作人员均应持有相应的资格证明，监理人有权随时检查。监理人认为有必要时，可进行现场考核。</w:t>
      </w:r>
    </w:p>
    <w:p w14:paraId="61D3A166">
      <w:pPr>
        <w:pStyle w:val="6"/>
        <w:numPr>
          <w:ilvl w:val="0"/>
          <w:numId w:val="0"/>
        </w:numPr>
        <w:bidi w:val="0"/>
        <w:ind w:left="482" w:leftChars="0"/>
        <w:rPr>
          <w:rFonts w:hint="eastAsia" w:ascii="宋体" w:hAnsi="宋体" w:eastAsia="宋体" w:cs="宋体"/>
          <w:sz w:val="24"/>
          <w:szCs w:val="24"/>
        </w:rPr>
      </w:pPr>
      <w:bookmarkStart w:id="413" w:name="_Toc24736"/>
      <w:bookmarkStart w:id="414" w:name="bookmark1026"/>
      <w:bookmarkStart w:id="415" w:name="bookmark1024"/>
      <w:bookmarkStart w:id="416" w:name="_Toc14710303"/>
      <w:bookmarkStart w:id="417" w:name="bookmark1025"/>
      <w:r>
        <w:rPr>
          <w:rFonts w:hint="eastAsia" w:ascii="宋体" w:hAnsi="宋体" w:eastAsia="宋体" w:cs="宋体"/>
          <w:sz w:val="24"/>
          <w:szCs w:val="24"/>
        </w:rPr>
        <w:t>4.7撤换承包人项目经理和其他人员</w:t>
      </w:r>
      <w:bookmarkEnd w:id="413"/>
      <w:bookmarkEnd w:id="414"/>
      <w:bookmarkEnd w:id="415"/>
      <w:bookmarkEnd w:id="416"/>
      <w:bookmarkEnd w:id="417"/>
    </w:p>
    <w:p w14:paraId="58EE6E21">
      <w:pPr>
        <w:pStyle w:val="4"/>
        <w:rPr>
          <w:rFonts w:hint="eastAsia" w:ascii="宋体" w:hAnsi="宋体" w:eastAsia="宋体" w:cs="宋体"/>
          <w:sz w:val="24"/>
          <w:szCs w:val="24"/>
        </w:rPr>
      </w:pPr>
      <w:r>
        <w:rPr>
          <w:rFonts w:hint="eastAsia" w:ascii="宋体" w:hAnsi="宋体" w:eastAsia="宋体" w:cs="宋体"/>
          <w:sz w:val="24"/>
          <w:szCs w:val="24"/>
        </w:rPr>
        <w:t>承包人应对其项目经理和其他人员进行有效管理。监理人要求撤换不能胜任本职工作、 行为不端或玩忽职守的承包人项目经理和其他人员的，承包人应予以撤换。</w:t>
      </w:r>
    </w:p>
    <w:p w14:paraId="299EDCAE">
      <w:pPr>
        <w:pStyle w:val="6"/>
        <w:numPr>
          <w:ilvl w:val="0"/>
          <w:numId w:val="0"/>
        </w:numPr>
        <w:bidi w:val="0"/>
        <w:ind w:left="482" w:leftChars="0"/>
        <w:rPr>
          <w:rFonts w:hint="eastAsia" w:ascii="宋体" w:hAnsi="宋体" w:eastAsia="宋体" w:cs="宋体"/>
          <w:sz w:val="24"/>
          <w:szCs w:val="24"/>
        </w:rPr>
      </w:pPr>
      <w:bookmarkStart w:id="418" w:name="_Toc14710304"/>
      <w:bookmarkStart w:id="419" w:name="bookmark1029"/>
      <w:bookmarkStart w:id="420" w:name="_Toc19207"/>
      <w:bookmarkStart w:id="421" w:name="bookmark1028"/>
      <w:bookmarkStart w:id="422" w:name="bookmark1027"/>
      <w:r>
        <w:rPr>
          <w:rFonts w:hint="eastAsia" w:ascii="宋体" w:hAnsi="宋体" w:eastAsia="宋体" w:cs="宋体"/>
          <w:sz w:val="24"/>
          <w:szCs w:val="24"/>
        </w:rPr>
        <w:t>4.8保障承包人人员的合法权益</w:t>
      </w:r>
      <w:bookmarkEnd w:id="418"/>
      <w:bookmarkEnd w:id="419"/>
      <w:bookmarkEnd w:id="420"/>
      <w:bookmarkEnd w:id="421"/>
      <w:bookmarkEnd w:id="422"/>
    </w:p>
    <w:p w14:paraId="23905326">
      <w:pPr>
        <w:pStyle w:val="4"/>
        <w:rPr>
          <w:rFonts w:hint="eastAsia" w:ascii="宋体" w:hAnsi="宋体" w:eastAsia="宋体" w:cs="宋体"/>
          <w:sz w:val="24"/>
          <w:szCs w:val="24"/>
        </w:rPr>
      </w:pPr>
      <w:r>
        <w:rPr>
          <w:rFonts w:hint="eastAsia" w:ascii="宋体" w:hAnsi="宋体" w:eastAsia="宋体" w:cs="宋体"/>
          <w:sz w:val="24"/>
          <w:szCs w:val="24"/>
        </w:rPr>
        <w:t>4. 8. 1承包人应与其雇佣的人员签订劳动合同，并按时发放工资。</w:t>
      </w:r>
    </w:p>
    <w:p w14:paraId="3E7111D3">
      <w:pPr>
        <w:pStyle w:val="4"/>
        <w:rPr>
          <w:rFonts w:hint="eastAsia" w:ascii="宋体" w:hAnsi="宋体" w:eastAsia="宋体" w:cs="宋体"/>
          <w:sz w:val="24"/>
          <w:szCs w:val="24"/>
        </w:rPr>
      </w:pPr>
      <w:r>
        <w:rPr>
          <w:rFonts w:hint="eastAsia" w:ascii="宋体" w:hAnsi="宋体" w:eastAsia="宋体" w:cs="宋体"/>
          <w:sz w:val="24"/>
          <w:szCs w:val="24"/>
        </w:rPr>
        <w:t>4. 8. 2承包人应按劳动法的规定安排工作时间，保证其雇佣人员享有休息和休假的权利。因工程施工的特殊需要占用休假日或延长工作时间的，应不超过法律规定的限度，并按法律规定给予补休或付酬。</w:t>
      </w:r>
    </w:p>
    <w:p w14:paraId="64D52417">
      <w:pPr>
        <w:pStyle w:val="4"/>
        <w:rPr>
          <w:rFonts w:hint="eastAsia" w:ascii="宋体" w:hAnsi="宋体" w:eastAsia="宋体" w:cs="宋体"/>
          <w:sz w:val="24"/>
          <w:szCs w:val="24"/>
        </w:rPr>
      </w:pPr>
      <w:r>
        <w:rPr>
          <w:rFonts w:hint="eastAsia" w:ascii="宋体" w:hAnsi="宋体" w:eastAsia="宋体" w:cs="宋体"/>
          <w:sz w:val="24"/>
          <w:szCs w:val="24"/>
        </w:rPr>
        <w:t>4.8.3承包人应为其雇佣人员提供必要的食宿条件，以及符合环境保护和卫生要求的生活环境，在远离城镇的施工场地，还应配备必要的伤病防治和急救的医务人员与医疗设施。</w:t>
      </w:r>
    </w:p>
    <w:p w14:paraId="663EFC8F">
      <w:pPr>
        <w:pStyle w:val="4"/>
        <w:rPr>
          <w:rFonts w:hint="eastAsia" w:ascii="宋体" w:hAnsi="宋体" w:eastAsia="宋体" w:cs="宋体"/>
          <w:sz w:val="24"/>
          <w:szCs w:val="24"/>
        </w:rPr>
      </w:pPr>
      <w:r>
        <w:rPr>
          <w:rFonts w:hint="eastAsia" w:ascii="宋体" w:hAnsi="宋体" w:eastAsia="宋体" w:cs="宋体"/>
          <w:sz w:val="24"/>
          <w:szCs w:val="24"/>
        </w:rPr>
        <w:t>4. 8.4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1AD5EE51">
      <w:pPr>
        <w:pStyle w:val="4"/>
        <w:rPr>
          <w:rFonts w:hint="eastAsia" w:ascii="宋体" w:hAnsi="宋体" w:eastAsia="宋体" w:cs="宋体"/>
          <w:sz w:val="24"/>
          <w:szCs w:val="24"/>
        </w:rPr>
      </w:pPr>
      <w:r>
        <w:rPr>
          <w:rFonts w:hint="eastAsia" w:ascii="宋体" w:hAnsi="宋体" w:eastAsia="宋体" w:cs="宋体"/>
          <w:sz w:val="24"/>
          <w:szCs w:val="24"/>
        </w:rPr>
        <w:t>4. 8.5承包人应按有关法律规定和合同约定，为其雇佣人员办理保险。</w:t>
      </w:r>
    </w:p>
    <w:p w14:paraId="75B29C30">
      <w:pPr>
        <w:pStyle w:val="4"/>
        <w:rPr>
          <w:rFonts w:hint="eastAsia" w:ascii="宋体" w:hAnsi="宋体" w:eastAsia="宋体" w:cs="宋体"/>
          <w:sz w:val="24"/>
          <w:szCs w:val="24"/>
        </w:rPr>
      </w:pPr>
      <w:r>
        <w:rPr>
          <w:rFonts w:hint="eastAsia" w:ascii="宋体" w:hAnsi="宋体" w:eastAsia="宋体" w:cs="宋体"/>
          <w:sz w:val="24"/>
          <w:szCs w:val="24"/>
        </w:rPr>
        <w:t>4. 8.6承包人应负责处理其雇佣人员因工伤亡事故的善后事宜。</w:t>
      </w:r>
    </w:p>
    <w:p w14:paraId="1C1490D1">
      <w:pPr>
        <w:pStyle w:val="6"/>
        <w:numPr>
          <w:ilvl w:val="0"/>
          <w:numId w:val="0"/>
        </w:numPr>
        <w:bidi w:val="0"/>
        <w:ind w:left="482" w:leftChars="0"/>
        <w:rPr>
          <w:rFonts w:hint="eastAsia" w:ascii="宋体" w:hAnsi="宋体" w:eastAsia="宋体" w:cs="宋体"/>
          <w:sz w:val="24"/>
          <w:szCs w:val="24"/>
        </w:rPr>
      </w:pPr>
      <w:bookmarkStart w:id="423" w:name="_Toc14710305"/>
      <w:bookmarkStart w:id="424" w:name="bookmark1031"/>
      <w:bookmarkStart w:id="425" w:name="bookmark1030"/>
      <w:bookmarkStart w:id="426" w:name="_Toc7851"/>
      <w:bookmarkStart w:id="427" w:name="bookmark1032"/>
      <w:r>
        <w:rPr>
          <w:rFonts w:hint="eastAsia" w:ascii="宋体" w:hAnsi="宋体" w:eastAsia="宋体" w:cs="宋体"/>
          <w:sz w:val="24"/>
          <w:szCs w:val="24"/>
        </w:rPr>
        <w:t>4.9工程价款应专款专用</w:t>
      </w:r>
      <w:bookmarkEnd w:id="423"/>
      <w:bookmarkEnd w:id="424"/>
      <w:bookmarkEnd w:id="425"/>
      <w:bookmarkEnd w:id="426"/>
      <w:bookmarkEnd w:id="427"/>
    </w:p>
    <w:p w14:paraId="0363FBF9">
      <w:pPr>
        <w:pStyle w:val="4"/>
        <w:rPr>
          <w:rFonts w:hint="eastAsia" w:ascii="宋体" w:hAnsi="宋体" w:eastAsia="宋体" w:cs="宋体"/>
          <w:sz w:val="24"/>
          <w:szCs w:val="24"/>
        </w:rPr>
      </w:pPr>
      <w:r>
        <w:rPr>
          <w:rFonts w:hint="eastAsia" w:ascii="宋体" w:hAnsi="宋体" w:eastAsia="宋体" w:cs="宋体"/>
          <w:sz w:val="24"/>
          <w:szCs w:val="24"/>
        </w:rPr>
        <w:t>发包人按合同约定支付给承包人的各项价款应专用于合同工程。</w:t>
      </w:r>
    </w:p>
    <w:p w14:paraId="593E9903">
      <w:pPr>
        <w:pStyle w:val="6"/>
        <w:numPr>
          <w:ilvl w:val="0"/>
          <w:numId w:val="0"/>
        </w:numPr>
        <w:bidi w:val="0"/>
        <w:ind w:left="482" w:leftChars="0"/>
        <w:rPr>
          <w:rFonts w:hint="eastAsia" w:ascii="宋体" w:hAnsi="宋体" w:eastAsia="宋体" w:cs="宋体"/>
          <w:sz w:val="24"/>
          <w:szCs w:val="24"/>
        </w:rPr>
      </w:pPr>
      <w:bookmarkStart w:id="428" w:name="bookmark1035"/>
      <w:bookmarkStart w:id="429" w:name="bookmark1033"/>
      <w:bookmarkStart w:id="430" w:name="_Toc30630"/>
      <w:bookmarkStart w:id="431" w:name="bookmark1034"/>
      <w:bookmarkStart w:id="432" w:name="_Toc14710306"/>
      <w:r>
        <w:rPr>
          <w:rFonts w:hint="eastAsia" w:ascii="宋体" w:hAnsi="宋体" w:eastAsia="宋体" w:cs="宋体"/>
          <w:sz w:val="24"/>
          <w:szCs w:val="24"/>
        </w:rPr>
        <w:t>4.10承包人现场查勘</w:t>
      </w:r>
      <w:bookmarkEnd w:id="428"/>
      <w:bookmarkEnd w:id="429"/>
      <w:bookmarkEnd w:id="430"/>
      <w:bookmarkEnd w:id="431"/>
      <w:bookmarkEnd w:id="432"/>
    </w:p>
    <w:p w14:paraId="22152D13">
      <w:pPr>
        <w:pStyle w:val="4"/>
        <w:rPr>
          <w:rFonts w:hint="eastAsia" w:ascii="宋体" w:hAnsi="宋体" w:eastAsia="宋体" w:cs="宋体"/>
          <w:sz w:val="24"/>
          <w:szCs w:val="24"/>
        </w:rPr>
      </w:pPr>
      <w:r>
        <w:rPr>
          <w:rFonts w:hint="eastAsia" w:ascii="宋体" w:hAnsi="宋体" w:eastAsia="宋体" w:cs="宋体"/>
          <w:sz w:val="24"/>
          <w:szCs w:val="24"/>
        </w:rPr>
        <w:t>4. 10. 1发包人应将其持有的现场地质勘探资料、水文气象资料提供给承包人，并对其准确性负责。但承包人应对其阅读上述有关资料后所作出的解释和推断负责。</w:t>
      </w:r>
    </w:p>
    <w:p w14:paraId="22433289">
      <w:pPr>
        <w:pStyle w:val="4"/>
        <w:rPr>
          <w:rFonts w:hint="eastAsia" w:ascii="宋体" w:hAnsi="宋体" w:eastAsia="宋体" w:cs="宋体"/>
          <w:sz w:val="24"/>
          <w:szCs w:val="24"/>
        </w:rPr>
      </w:pPr>
      <w:bookmarkStart w:id="433" w:name="bookmark1036"/>
      <w:bookmarkEnd w:id="433"/>
      <w:r>
        <w:rPr>
          <w:rFonts w:hint="eastAsia" w:ascii="宋体" w:hAnsi="宋体" w:eastAsia="宋体" w:cs="宋体"/>
          <w:sz w:val="24"/>
          <w:szCs w:val="24"/>
        </w:rPr>
        <w:t>4. 10. 2承包人应对施工场地和周围环境进行查勘，并收集有关地质、水文、气象条件、交通条件、风俗习惯以及其他为完成合同工作有关的当地资料。在全部合同工作中，应视为承包人已充分估计了应承担的责任和风险。</w:t>
      </w:r>
    </w:p>
    <w:p w14:paraId="62803F0A">
      <w:pPr>
        <w:pStyle w:val="6"/>
        <w:numPr>
          <w:ilvl w:val="0"/>
          <w:numId w:val="0"/>
        </w:numPr>
        <w:bidi w:val="0"/>
        <w:ind w:left="482" w:leftChars="0"/>
        <w:rPr>
          <w:rFonts w:hint="eastAsia" w:ascii="宋体" w:hAnsi="宋体" w:eastAsia="宋体" w:cs="宋体"/>
          <w:sz w:val="24"/>
          <w:szCs w:val="24"/>
        </w:rPr>
      </w:pPr>
      <w:bookmarkStart w:id="434" w:name="_Toc2993"/>
      <w:bookmarkStart w:id="435" w:name="bookmark1038"/>
      <w:bookmarkStart w:id="436" w:name="bookmark1037"/>
      <w:bookmarkStart w:id="437" w:name="bookmark1039"/>
      <w:bookmarkStart w:id="438" w:name="_Toc14710307"/>
      <w:r>
        <w:rPr>
          <w:rFonts w:hint="eastAsia" w:ascii="宋体" w:hAnsi="宋体" w:eastAsia="宋体" w:cs="宋体"/>
          <w:sz w:val="24"/>
          <w:szCs w:val="24"/>
        </w:rPr>
        <w:t>4.11不利物质条件</w:t>
      </w:r>
      <w:bookmarkEnd w:id="434"/>
      <w:bookmarkEnd w:id="435"/>
      <w:bookmarkEnd w:id="436"/>
      <w:bookmarkEnd w:id="437"/>
      <w:bookmarkEnd w:id="438"/>
    </w:p>
    <w:p w14:paraId="345F21ED">
      <w:pPr>
        <w:pStyle w:val="4"/>
        <w:rPr>
          <w:rFonts w:hint="eastAsia" w:ascii="宋体" w:hAnsi="宋体" w:eastAsia="宋体" w:cs="宋体"/>
          <w:sz w:val="24"/>
          <w:szCs w:val="24"/>
        </w:rPr>
      </w:pPr>
      <w:r>
        <w:rPr>
          <w:rFonts w:hint="eastAsia" w:ascii="宋体" w:hAnsi="宋体" w:eastAsia="宋体" w:cs="宋体"/>
          <w:sz w:val="24"/>
          <w:szCs w:val="24"/>
        </w:rPr>
        <w:t>4.11.1除专用合同条款另有约定外，不利的物质条件是指在施工中遭遇不可预见的外界障碍或自然条件造成施工受阻。</w:t>
      </w:r>
    </w:p>
    <w:p w14:paraId="73D6221A">
      <w:pPr>
        <w:pStyle w:val="4"/>
        <w:rPr>
          <w:rFonts w:hint="eastAsia" w:ascii="宋体" w:hAnsi="宋体" w:eastAsia="宋体" w:cs="宋体"/>
          <w:sz w:val="24"/>
          <w:szCs w:val="24"/>
        </w:rPr>
      </w:pPr>
      <w:r>
        <w:rPr>
          <w:rFonts w:hint="eastAsia" w:ascii="宋体" w:hAnsi="宋体" w:eastAsia="宋体" w:cs="宋体"/>
          <w:sz w:val="24"/>
          <w:szCs w:val="24"/>
        </w:rPr>
        <w:t>4.11.2承包人遇到不利物质条件时，应采取适应不利物质条件的合理措施继续施工, 并及时通知监理人。承包人应有权根据第23.1款的约定，要求延长工期及增加费用。监理人收到此类要求后，应在分析上述外界障碍或自然条件是否不可预见及不可预见程度的基础上，按照通用合同条款第15条的约定办理。</w:t>
      </w:r>
    </w:p>
    <w:p w14:paraId="55D0AD9B">
      <w:pPr>
        <w:pStyle w:val="6"/>
        <w:numPr>
          <w:ilvl w:val="0"/>
          <w:numId w:val="0"/>
        </w:numPr>
        <w:bidi w:val="0"/>
        <w:ind w:left="482" w:leftChars="0"/>
        <w:rPr>
          <w:rFonts w:hint="eastAsia" w:ascii="宋体" w:hAnsi="宋体" w:eastAsia="宋体" w:cs="宋体"/>
          <w:sz w:val="24"/>
          <w:szCs w:val="24"/>
        </w:rPr>
      </w:pPr>
      <w:bookmarkStart w:id="439" w:name="bookmark1042"/>
      <w:bookmarkEnd w:id="439"/>
      <w:bookmarkStart w:id="440" w:name="bookmark1041"/>
      <w:bookmarkStart w:id="441" w:name="_Toc14710308"/>
      <w:bookmarkStart w:id="442" w:name="bookmark1043"/>
      <w:bookmarkStart w:id="443" w:name="_Toc25230"/>
      <w:bookmarkStart w:id="444" w:name="bookmark1040"/>
      <w:r>
        <w:rPr>
          <w:rFonts w:hint="eastAsia" w:ascii="宋体" w:hAnsi="宋体" w:eastAsia="宋体" w:cs="宋体"/>
          <w:sz w:val="24"/>
          <w:szCs w:val="24"/>
        </w:rPr>
        <w:t>5.材料和工程设备</w:t>
      </w:r>
      <w:bookmarkEnd w:id="440"/>
      <w:bookmarkEnd w:id="441"/>
      <w:bookmarkEnd w:id="442"/>
      <w:bookmarkEnd w:id="443"/>
      <w:bookmarkEnd w:id="444"/>
    </w:p>
    <w:p w14:paraId="597E2A80">
      <w:pPr>
        <w:pStyle w:val="6"/>
        <w:numPr>
          <w:ilvl w:val="0"/>
          <w:numId w:val="0"/>
        </w:numPr>
        <w:bidi w:val="0"/>
        <w:ind w:left="482" w:leftChars="0"/>
        <w:rPr>
          <w:rFonts w:hint="eastAsia" w:ascii="宋体" w:hAnsi="宋体" w:eastAsia="宋体" w:cs="宋体"/>
          <w:sz w:val="24"/>
          <w:szCs w:val="24"/>
        </w:rPr>
      </w:pPr>
      <w:bookmarkStart w:id="445" w:name="_Toc5421"/>
      <w:bookmarkStart w:id="446" w:name="bookmark1045"/>
      <w:bookmarkStart w:id="447" w:name="_Toc14710309"/>
      <w:bookmarkStart w:id="448" w:name="bookmark1044"/>
      <w:bookmarkStart w:id="449" w:name="bookmark1046"/>
      <w:r>
        <w:rPr>
          <w:rFonts w:hint="eastAsia" w:ascii="宋体" w:hAnsi="宋体" w:eastAsia="宋体" w:cs="宋体"/>
          <w:sz w:val="24"/>
          <w:szCs w:val="24"/>
        </w:rPr>
        <w:t>5.1承包人提供的材料和工程设备</w:t>
      </w:r>
      <w:bookmarkEnd w:id="445"/>
      <w:bookmarkEnd w:id="446"/>
      <w:bookmarkEnd w:id="447"/>
      <w:bookmarkEnd w:id="448"/>
      <w:bookmarkEnd w:id="449"/>
    </w:p>
    <w:p w14:paraId="1FD79D1B">
      <w:pPr>
        <w:pStyle w:val="4"/>
        <w:rPr>
          <w:rFonts w:hint="eastAsia" w:ascii="宋体" w:hAnsi="宋体" w:eastAsia="宋体" w:cs="宋体"/>
          <w:sz w:val="24"/>
          <w:szCs w:val="24"/>
        </w:rPr>
      </w:pPr>
      <w:bookmarkStart w:id="450" w:name="bookmark1047"/>
      <w:bookmarkEnd w:id="450"/>
      <w:r>
        <w:rPr>
          <w:rFonts w:hint="eastAsia" w:ascii="宋体" w:hAnsi="宋体" w:eastAsia="宋体" w:cs="宋体"/>
          <w:sz w:val="24"/>
          <w:szCs w:val="24"/>
        </w:rPr>
        <w:t>5.1. 1除第5. 2款约定由发包人提供的材料和工程设备外，承包人负责采购、运输和 保管完成本合同工作所需的材料和工程设备。承包人应对其采购的材料和工程设备负责。</w:t>
      </w:r>
    </w:p>
    <w:p w14:paraId="0AC15348">
      <w:pPr>
        <w:pStyle w:val="4"/>
        <w:rPr>
          <w:rFonts w:hint="eastAsia" w:ascii="宋体" w:hAnsi="宋体" w:eastAsia="宋体" w:cs="宋体"/>
          <w:sz w:val="24"/>
          <w:szCs w:val="24"/>
        </w:rPr>
      </w:pPr>
      <w:r>
        <w:rPr>
          <w:rFonts w:hint="eastAsia" w:ascii="宋体" w:hAnsi="宋体" w:eastAsia="宋体" w:cs="宋体"/>
          <w:sz w:val="24"/>
          <w:szCs w:val="24"/>
        </w:rPr>
        <w:t>5.1.2承包人应按专用合同条款的约定，将各项材料和工程设备的供货人及品种、规 格、数量和供货时间等报送监理人审批。承包人应向监理人提交其负责提供的材料和工程 设备的质量证明文件，并满足合同约定的质量标准。</w:t>
      </w:r>
    </w:p>
    <w:p w14:paraId="703F8D98">
      <w:pPr>
        <w:pStyle w:val="4"/>
        <w:rPr>
          <w:rFonts w:hint="eastAsia" w:ascii="宋体" w:hAnsi="宋体" w:eastAsia="宋体" w:cs="宋体"/>
          <w:sz w:val="24"/>
          <w:szCs w:val="24"/>
        </w:rPr>
      </w:pPr>
      <w:r>
        <w:rPr>
          <w:rFonts w:hint="eastAsia" w:ascii="宋体" w:hAnsi="宋体" w:eastAsia="宋体" w:cs="宋体"/>
          <w:sz w:val="24"/>
          <w:szCs w:val="24"/>
        </w:rPr>
        <w:t>5.1.3对承包人提供的材料和工程设备，承包人应会同监理人进行检验和交货验收, 查验材料合格证明和产品合格证书，并按合同约定和监理人指示，进行材料的抽样检验和工程设备的检验测试，检验和测试结果应提交监理人，所需费用由承包人承担。</w:t>
      </w:r>
    </w:p>
    <w:p w14:paraId="3730CF10">
      <w:pPr>
        <w:pStyle w:val="6"/>
        <w:numPr>
          <w:ilvl w:val="0"/>
          <w:numId w:val="0"/>
        </w:numPr>
        <w:bidi w:val="0"/>
        <w:ind w:left="482" w:leftChars="0"/>
        <w:rPr>
          <w:rFonts w:hint="eastAsia" w:ascii="宋体" w:hAnsi="宋体" w:eastAsia="宋体" w:cs="宋体"/>
          <w:sz w:val="24"/>
          <w:szCs w:val="24"/>
        </w:rPr>
      </w:pPr>
      <w:bookmarkStart w:id="451" w:name="bookmark1048"/>
      <w:bookmarkStart w:id="452" w:name="bookmark1049"/>
      <w:bookmarkStart w:id="453" w:name="_Toc14710310"/>
      <w:bookmarkStart w:id="454" w:name="bookmark1050"/>
      <w:bookmarkStart w:id="455" w:name="_Toc18208"/>
      <w:r>
        <w:rPr>
          <w:rFonts w:hint="eastAsia" w:ascii="宋体" w:hAnsi="宋体" w:eastAsia="宋体" w:cs="宋体"/>
          <w:sz w:val="24"/>
          <w:szCs w:val="24"/>
        </w:rPr>
        <w:t>5.2发包人提供的材料和工程设备</w:t>
      </w:r>
      <w:bookmarkEnd w:id="451"/>
      <w:bookmarkEnd w:id="452"/>
      <w:bookmarkEnd w:id="453"/>
      <w:bookmarkEnd w:id="454"/>
      <w:bookmarkEnd w:id="455"/>
    </w:p>
    <w:p w14:paraId="3767B53A">
      <w:pPr>
        <w:pStyle w:val="4"/>
        <w:rPr>
          <w:rFonts w:hint="eastAsia" w:ascii="宋体" w:hAnsi="宋体" w:eastAsia="宋体" w:cs="宋体"/>
          <w:sz w:val="24"/>
          <w:szCs w:val="24"/>
        </w:rPr>
      </w:pPr>
      <w:bookmarkStart w:id="456" w:name="bookmark1051"/>
      <w:bookmarkEnd w:id="456"/>
      <w:r>
        <w:rPr>
          <w:rFonts w:hint="eastAsia" w:ascii="宋体" w:hAnsi="宋体" w:eastAsia="宋体" w:cs="宋体"/>
          <w:sz w:val="24"/>
          <w:szCs w:val="24"/>
        </w:rPr>
        <w:t>5. 2.1发包人提供的材料和工程设备，应在专用合同条款中写明材料和工程设备的名称、规格、数量、价格、交货方式、交货地点和计划交货日期等。</w:t>
      </w:r>
    </w:p>
    <w:p w14:paraId="1D1E054E">
      <w:pPr>
        <w:pStyle w:val="4"/>
        <w:rPr>
          <w:rFonts w:hint="eastAsia" w:ascii="宋体" w:hAnsi="宋体" w:eastAsia="宋体" w:cs="宋体"/>
          <w:sz w:val="24"/>
          <w:szCs w:val="24"/>
        </w:rPr>
      </w:pPr>
      <w:r>
        <w:rPr>
          <w:rFonts w:hint="eastAsia" w:ascii="宋体" w:hAnsi="宋体" w:eastAsia="宋体" w:cs="宋体"/>
          <w:sz w:val="24"/>
          <w:szCs w:val="24"/>
        </w:rPr>
        <w:t>5. 2.2承包人应根据合同进度计划的安排，向监理人报送要求发包人交货的日期计划。发包人应按照监理人与合同双方当事人商定的交货日期，向承包人提交材料和工程设备。</w:t>
      </w:r>
    </w:p>
    <w:p w14:paraId="4EF5FE32">
      <w:pPr>
        <w:pStyle w:val="4"/>
        <w:rPr>
          <w:rFonts w:hint="eastAsia" w:ascii="宋体" w:hAnsi="宋体" w:eastAsia="宋体" w:cs="宋体"/>
          <w:sz w:val="24"/>
          <w:szCs w:val="24"/>
        </w:rPr>
      </w:pPr>
      <w:r>
        <w:rPr>
          <w:rFonts w:hint="eastAsia" w:ascii="宋体" w:hAnsi="宋体" w:eastAsia="宋体" w:cs="宋体"/>
          <w:sz w:val="24"/>
          <w:szCs w:val="24"/>
        </w:rPr>
        <w:t>5.2.3发包人应在材料和工程设备到货7天前通知承包人，承包人应会同监理人在约定的时间内，赴交货地点共同进行验收。发包人提供的材料和工程设备运至交货地点验收后，由承包人负责接收、卸货、运输和保管。</w:t>
      </w:r>
    </w:p>
    <w:p w14:paraId="7B21CDD4">
      <w:pPr>
        <w:pStyle w:val="4"/>
        <w:rPr>
          <w:rFonts w:hint="eastAsia" w:ascii="宋体" w:hAnsi="宋体" w:eastAsia="宋体" w:cs="宋体"/>
          <w:sz w:val="24"/>
          <w:szCs w:val="24"/>
        </w:rPr>
      </w:pPr>
      <w:r>
        <w:rPr>
          <w:rFonts w:hint="eastAsia" w:ascii="宋体" w:hAnsi="宋体" w:eastAsia="宋体" w:cs="宋体"/>
          <w:sz w:val="24"/>
          <w:szCs w:val="24"/>
        </w:rPr>
        <w:t>5. 2.4发包人要求向承包人提前交货的，承包人不得拒绝，但发包人应承担承包人由此增加的费用。</w:t>
      </w:r>
    </w:p>
    <w:p w14:paraId="12CF748D">
      <w:pPr>
        <w:pStyle w:val="4"/>
        <w:rPr>
          <w:rFonts w:hint="eastAsia" w:ascii="宋体" w:hAnsi="宋体" w:eastAsia="宋体" w:cs="宋体"/>
          <w:sz w:val="24"/>
          <w:szCs w:val="24"/>
        </w:rPr>
      </w:pPr>
      <w:r>
        <w:rPr>
          <w:rFonts w:hint="eastAsia" w:ascii="宋体" w:hAnsi="宋体" w:eastAsia="宋体" w:cs="宋体"/>
          <w:sz w:val="24"/>
          <w:szCs w:val="24"/>
        </w:rPr>
        <w:t>5. 2.5承包人要求更改交货日期或地点的，应事先报请监理人批准。由于承包人要求更改交货时间或地点所增加的费用和（或）工期延误由承包人承担。</w:t>
      </w:r>
    </w:p>
    <w:p w14:paraId="07E7AD96">
      <w:pPr>
        <w:pStyle w:val="4"/>
        <w:rPr>
          <w:rFonts w:hint="eastAsia" w:ascii="宋体" w:hAnsi="宋体" w:eastAsia="宋体" w:cs="宋体"/>
          <w:sz w:val="24"/>
          <w:szCs w:val="24"/>
        </w:rPr>
      </w:pPr>
      <w:r>
        <w:rPr>
          <w:rFonts w:hint="eastAsia" w:ascii="宋体" w:hAnsi="宋体" w:eastAsia="宋体" w:cs="宋体"/>
          <w:sz w:val="24"/>
          <w:szCs w:val="24"/>
        </w:rPr>
        <w:t>5. 2.6发包人提供的材料和工程设备的规格、数量或质量不符合合同要求，或由于发包人原因发生交货日期延误及交货地点变更等情况的，发包人应承担由此增加的费用和（或）工期延误，并向承包人支付合理利润。</w:t>
      </w:r>
    </w:p>
    <w:p w14:paraId="199B0DA8">
      <w:pPr>
        <w:pStyle w:val="6"/>
        <w:numPr>
          <w:ilvl w:val="0"/>
          <w:numId w:val="0"/>
        </w:numPr>
        <w:bidi w:val="0"/>
        <w:ind w:left="482" w:leftChars="0"/>
        <w:rPr>
          <w:rFonts w:hint="eastAsia" w:ascii="宋体" w:hAnsi="宋体" w:eastAsia="宋体" w:cs="宋体"/>
          <w:sz w:val="24"/>
          <w:szCs w:val="24"/>
        </w:rPr>
      </w:pPr>
      <w:bookmarkStart w:id="457" w:name="_Toc14710311"/>
      <w:bookmarkStart w:id="458" w:name="bookmark1054"/>
      <w:bookmarkStart w:id="459" w:name="bookmark1053"/>
      <w:bookmarkStart w:id="460" w:name="bookmark1052"/>
      <w:bookmarkStart w:id="461" w:name="_Toc17795"/>
      <w:r>
        <w:rPr>
          <w:rFonts w:hint="eastAsia" w:ascii="宋体" w:hAnsi="宋体" w:eastAsia="宋体" w:cs="宋体"/>
          <w:sz w:val="24"/>
          <w:szCs w:val="24"/>
        </w:rPr>
        <w:t>5.3材料和工程设备专用于合同工程</w:t>
      </w:r>
      <w:bookmarkEnd w:id="457"/>
      <w:bookmarkEnd w:id="458"/>
      <w:bookmarkEnd w:id="459"/>
      <w:bookmarkEnd w:id="460"/>
      <w:bookmarkEnd w:id="461"/>
    </w:p>
    <w:p w14:paraId="70D05981">
      <w:pPr>
        <w:pStyle w:val="4"/>
        <w:rPr>
          <w:rFonts w:hint="eastAsia" w:ascii="宋体" w:hAnsi="宋体" w:eastAsia="宋体" w:cs="宋体"/>
          <w:sz w:val="24"/>
          <w:szCs w:val="24"/>
        </w:rPr>
      </w:pPr>
      <w:r>
        <w:rPr>
          <w:rFonts w:hint="eastAsia" w:ascii="宋体" w:hAnsi="宋体" w:eastAsia="宋体" w:cs="宋体"/>
          <w:sz w:val="24"/>
          <w:szCs w:val="24"/>
        </w:rPr>
        <w:t>5.3.1运入施工场地的材料、工程设备，包括备品备件、安装专用工器具与随机资料，必须专用于合同工程，未经监理人同意，承包人不得运出施工场地或挪作他用。</w:t>
      </w:r>
    </w:p>
    <w:p w14:paraId="1BB82A81">
      <w:pPr>
        <w:pStyle w:val="4"/>
        <w:rPr>
          <w:rFonts w:hint="eastAsia" w:ascii="宋体" w:hAnsi="宋体" w:eastAsia="宋体" w:cs="宋体"/>
          <w:sz w:val="24"/>
          <w:szCs w:val="24"/>
        </w:rPr>
      </w:pPr>
      <w:r>
        <w:rPr>
          <w:rFonts w:hint="eastAsia" w:ascii="宋体" w:hAnsi="宋体" w:eastAsia="宋体" w:cs="宋体"/>
          <w:sz w:val="24"/>
          <w:szCs w:val="24"/>
        </w:rPr>
        <w:t>5.3.2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29369789">
      <w:pPr>
        <w:pStyle w:val="6"/>
        <w:numPr>
          <w:ilvl w:val="0"/>
          <w:numId w:val="0"/>
        </w:numPr>
        <w:bidi w:val="0"/>
        <w:ind w:left="482" w:leftChars="0"/>
        <w:rPr>
          <w:rFonts w:hint="eastAsia" w:ascii="宋体" w:hAnsi="宋体" w:eastAsia="宋体" w:cs="宋体"/>
          <w:sz w:val="24"/>
          <w:szCs w:val="24"/>
        </w:rPr>
      </w:pPr>
      <w:bookmarkStart w:id="462" w:name="bookmark1055"/>
      <w:bookmarkStart w:id="463" w:name="_Toc30864"/>
      <w:bookmarkStart w:id="464" w:name="bookmark1057"/>
      <w:bookmarkStart w:id="465" w:name="bookmark1056"/>
      <w:bookmarkStart w:id="466" w:name="_Toc14710312"/>
      <w:r>
        <w:rPr>
          <w:rFonts w:hint="eastAsia" w:ascii="宋体" w:hAnsi="宋体" w:eastAsia="宋体" w:cs="宋体"/>
          <w:sz w:val="24"/>
          <w:szCs w:val="24"/>
        </w:rPr>
        <w:t>5.4禁止使用不合格的材料和工程设备</w:t>
      </w:r>
      <w:bookmarkEnd w:id="462"/>
      <w:bookmarkEnd w:id="463"/>
      <w:bookmarkEnd w:id="464"/>
      <w:bookmarkEnd w:id="465"/>
      <w:bookmarkEnd w:id="466"/>
    </w:p>
    <w:p w14:paraId="0B590C40">
      <w:pPr>
        <w:pStyle w:val="4"/>
        <w:rPr>
          <w:rFonts w:hint="eastAsia" w:ascii="宋体" w:hAnsi="宋体" w:eastAsia="宋体" w:cs="宋体"/>
          <w:sz w:val="24"/>
          <w:szCs w:val="24"/>
        </w:rPr>
      </w:pPr>
      <w:bookmarkStart w:id="467" w:name="bookmark1058"/>
      <w:bookmarkEnd w:id="467"/>
      <w:r>
        <w:rPr>
          <w:rFonts w:hint="eastAsia" w:ascii="宋体" w:hAnsi="宋体" w:eastAsia="宋体" w:cs="宋体"/>
          <w:sz w:val="24"/>
          <w:szCs w:val="24"/>
        </w:rPr>
        <w:t>5.4.1监理人有权拒绝承包人提供的不合格材料或工程设备，并要求承包人立即进行更换。监理人应在更换后再次进行检查和检验，由此增加的费用和（或）工期延误由承包 人承担。</w:t>
      </w:r>
    </w:p>
    <w:p w14:paraId="174FFB91">
      <w:pPr>
        <w:pStyle w:val="4"/>
        <w:rPr>
          <w:rFonts w:hint="eastAsia" w:ascii="宋体" w:hAnsi="宋体" w:eastAsia="宋体" w:cs="宋体"/>
          <w:sz w:val="24"/>
          <w:szCs w:val="24"/>
        </w:rPr>
      </w:pPr>
      <w:bookmarkStart w:id="468" w:name="bookmark1059"/>
      <w:bookmarkEnd w:id="468"/>
      <w:r>
        <w:rPr>
          <w:rFonts w:hint="eastAsia" w:ascii="宋体" w:hAnsi="宋体" w:eastAsia="宋体" w:cs="宋体"/>
          <w:sz w:val="24"/>
          <w:szCs w:val="24"/>
        </w:rPr>
        <w:t>5.4.2监理人发现承包人使用了不合格的材料和工程设备，应即时发出指示要求承包人立即改正，并禁止在工程中继续使用不合格的材料和工程设备。</w:t>
      </w:r>
    </w:p>
    <w:p w14:paraId="527CC3B2">
      <w:pPr>
        <w:pStyle w:val="4"/>
        <w:rPr>
          <w:rFonts w:hint="eastAsia" w:ascii="宋体" w:hAnsi="宋体" w:eastAsia="宋体" w:cs="宋体"/>
          <w:sz w:val="24"/>
          <w:szCs w:val="24"/>
        </w:rPr>
      </w:pPr>
      <w:r>
        <w:rPr>
          <w:rFonts w:hint="eastAsia" w:ascii="宋体" w:hAnsi="宋体" w:eastAsia="宋体" w:cs="宋体"/>
          <w:sz w:val="24"/>
          <w:szCs w:val="24"/>
        </w:rPr>
        <w:t>5.4.3发包人提供的材料或工程设备不符合合同要求的，承包人有权拒绝，并可要求发包人更换，由此增加的费用和（或）工期延误由发包人承担。</w:t>
      </w:r>
    </w:p>
    <w:p w14:paraId="691F463B">
      <w:pPr>
        <w:pStyle w:val="6"/>
        <w:numPr>
          <w:ilvl w:val="0"/>
          <w:numId w:val="0"/>
        </w:numPr>
        <w:bidi w:val="0"/>
        <w:ind w:left="482" w:leftChars="0"/>
        <w:rPr>
          <w:rFonts w:hint="eastAsia" w:ascii="宋体" w:hAnsi="宋体" w:eastAsia="宋体" w:cs="宋体"/>
          <w:sz w:val="24"/>
          <w:szCs w:val="24"/>
        </w:rPr>
      </w:pPr>
      <w:bookmarkStart w:id="469" w:name="bookmark1062"/>
      <w:bookmarkEnd w:id="469"/>
      <w:bookmarkStart w:id="470" w:name="bookmark1063"/>
      <w:bookmarkStart w:id="471" w:name="bookmark1060"/>
      <w:bookmarkStart w:id="472" w:name="_Toc21496"/>
      <w:bookmarkStart w:id="473" w:name="_Toc14710313"/>
      <w:bookmarkStart w:id="474" w:name="bookmark1061"/>
      <w:r>
        <w:rPr>
          <w:rFonts w:hint="eastAsia" w:ascii="宋体" w:hAnsi="宋体" w:eastAsia="宋体" w:cs="宋体"/>
          <w:sz w:val="24"/>
          <w:szCs w:val="24"/>
        </w:rPr>
        <w:t>6.施工设备和临时设施</w:t>
      </w:r>
      <w:bookmarkEnd w:id="470"/>
      <w:bookmarkEnd w:id="471"/>
      <w:bookmarkEnd w:id="472"/>
      <w:bookmarkEnd w:id="473"/>
      <w:bookmarkEnd w:id="474"/>
    </w:p>
    <w:p w14:paraId="108D4D7B">
      <w:pPr>
        <w:pStyle w:val="6"/>
        <w:numPr>
          <w:ilvl w:val="0"/>
          <w:numId w:val="0"/>
        </w:numPr>
        <w:bidi w:val="0"/>
        <w:ind w:left="482" w:leftChars="0"/>
        <w:rPr>
          <w:rFonts w:hint="eastAsia" w:ascii="宋体" w:hAnsi="宋体" w:eastAsia="宋体" w:cs="宋体"/>
          <w:sz w:val="24"/>
          <w:szCs w:val="24"/>
        </w:rPr>
      </w:pPr>
      <w:bookmarkStart w:id="475" w:name="bookmark1066"/>
      <w:bookmarkStart w:id="476" w:name="_Toc9863"/>
      <w:bookmarkStart w:id="477" w:name="bookmark1065"/>
      <w:bookmarkStart w:id="478" w:name="_Toc14710314"/>
      <w:bookmarkStart w:id="479" w:name="bookmark1064"/>
      <w:r>
        <w:rPr>
          <w:rFonts w:hint="eastAsia" w:ascii="宋体" w:hAnsi="宋体" w:eastAsia="宋体" w:cs="宋体"/>
          <w:sz w:val="24"/>
          <w:szCs w:val="24"/>
        </w:rPr>
        <w:t>6.1承包人提供的施工设备和临时设施</w:t>
      </w:r>
      <w:bookmarkEnd w:id="475"/>
      <w:bookmarkEnd w:id="476"/>
      <w:bookmarkEnd w:id="477"/>
      <w:bookmarkEnd w:id="478"/>
      <w:bookmarkEnd w:id="479"/>
    </w:p>
    <w:p w14:paraId="00315C05">
      <w:pPr>
        <w:pStyle w:val="4"/>
        <w:rPr>
          <w:rFonts w:hint="eastAsia" w:ascii="宋体" w:hAnsi="宋体" w:eastAsia="宋体" w:cs="宋体"/>
          <w:sz w:val="24"/>
          <w:szCs w:val="24"/>
        </w:rPr>
      </w:pPr>
      <w:r>
        <w:rPr>
          <w:rFonts w:hint="eastAsia" w:ascii="宋体" w:hAnsi="宋体" w:eastAsia="宋体" w:cs="宋体"/>
          <w:sz w:val="24"/>
          <w:szCs w:val="24"/>
        </w:rPr>
        <w:t>6.1.1承包人应按合同进度计划的要求，及时配置施工设备和修建临时设施。进入施工场地的承包人设备需经监理人核查后才能投入使用。承包人更换合同约定的承包人设备的，应报监理人批准。</w:t>
      </w:r>
    </w:p>
    <w:p w14:paraId="4C3A7083">
      <w:pPr>
        <w:pStyle w:val="4"/>
        <w:rPr>
          <w:rFonts w:hint="eastAsia" w:ascii="宋体" w:hAnsi="宋体" w:eastAsia="宋体" w:cs="宋体"/>
          <w:sz w:val="24"/>
          <w:szCs w:val="24"/>
        </w:rPr>
      </w:pPr>
      <w:r>
        <w:rPr>
          <w:rFonts w:hint="eastAsia" w:ascii="宋体" w:hAnsi="宋体" w:eastAsia="宋体" w:cs="宋体"/>
          <w:sz w:val="24"/>
          <w:szCs w:val="24"/>
        </w:rPr>
        <w:t>6.1.2除专用合同条款另有约定外，承包人应自行承担修建临时设施的费用，需要临时占地的，应由发包人办理申请手续并承担相应费用。</w:t>
      </w:r>
    </w:p>
    <w:p w14:paraId="735C26E7">
      <w:pPr>
        <w:pStyle w:val="6"/>
        <w:numPr>
          <w:ilvl w:val="0"/>
          <w:numId w:val="0"/>
        </w:numPr>
        <w:bidi w:val="0"/>
        <w:ind w:left="482" w:leftChars="0"/>
        <w:rPr>
          <w:rFonts w:hint="eastAsia" w:ascii="宋体" w:hAnsi="宋体" w:eastAsia="宋体" w:cs="宋体"/>
          <w:sz w:val="24"/>
          <w:szCs w:val="24"/>
        </w:rPr>
      </w:pPr>
      <w:bookmarkStart w:id="480" w:name="bookmark1067"/>
      <w:bookmarkStart w:id="481" w:name="bookmark1069"/>
      <w:bookmarkStart w:id="482" w:name="bookmark1068"/>
      <w:bookmarkStart w:id="483" w:name="_Toc31030"/>
      <w:bookmarkStart w:id="484" w:name="_Toc14710315"/>
      <w:r>
        <w:rPr>
          <w:rFonts w:hint="eastAsia" w:ascii="宋体" w:hAnsi="宋体" w:eastAsia="宋体" w:cs="宋体"/>
          <w:sz w:val="24"/>
          <w:szCs w:val="24"/>
        </w:rPr>
        <w:t>6.2发包人提供的施工设备和临时设施</w:t>
      </w:r>
      <w:bookmarkEnd w:id="480"/>
      <w:bookmarkEnd w:id="481"/>
      <w:bookmarkEnd w:id="482"/>
      <w:bookmarkEnd w:id="483"/>
      <w:bookmarkEnd w:id="484"/>
    </w:p>
    <w:p w14:paraId="2BA458A9">
      <w:pPr>
        <w:pStyle w:val="4"/>
        <w:rPr>
          <w:rFonts w:hint="eastAsia" w:ascii="宋体" w:hAnsi="宋体" w:eastAsia="宋体" w:cs="宋体"/>
          <w:sz w:val="24"/>
          <w:szCs w:val="24"/>
        </w:rPr>
      </w:pPr>
      <w:r>
        <w:rPr>
          <w:rFonts w:hint="eastAsia" w:ascii="宋体" w:hAnsi="宋体" w:eastAsia="宋体" w:cs="宋体"/>
          <w:sz w:val="24"/>
          <w:szCs w:val="24"/>
        </w:rPr>
        <w:t>发包人提供的施工设备或临时设施在专用合同条款中约定。</w:t>
      </w:r>
    </w:p>
    <w:p w14:paraId="6EFA9811">
      <w:pPr>
        <w:pStyle w:val="6"/>
        <w:numPr>
          <w:ilvl w:val="0"/>
          <w:numId w:val="0"/>
        </w:numPr>
        <w:bidi w:val="0"/>
        <w:ind w:left="482" w:leftChars="0"/>
        <w:rPr>
          <w:rFonts w:hint="eastAsia" w:ascii="宋体" w:hAnsi="宋体" w:eastAsia="宋体" w:cs="宋体"/>
          <w:sz w:val="24"/>
          <w:szCs w:val="24"/>
        </w:rPr>
      </w:pPr>
      <w:bookmarkStart w:id="485" w:name="bookmark1072"/>
      <w:bookmarkStart w:id="486" w:name="bookmark1071"/>
      <w:bookmarkStart w:id="487" w:name="bookmark1070"/>
      <w:bookmarkStart w:id="488" w:name="_Toc14710316"/>
      <w:bookmarkStart w:id="489" w:name="_Toc30722"/>
      <w:r>
        <w:rPr>
          <w:rFonts w:hint="eastAsia" w:ascii="宋体" w:hAnsi="宋体" w:eastAsia="宋体" w:cs="宋体"/>
          <w:sz w:val="24"/>
          <w:szCs w:val="24"/>
        </w:rPr>
        <w:t>6.3要求承包人增加或更换施工设备</w:t>
      </w:r>
      <w:bookmarkEnd w:id="485"/>
      <w:bookmarkEnd w:id="486"/>
      <w:bookmarkEnd w:id="487"/>
      <w:bookmarkEnd w:id="488"/>
      <w:bookmarkEnd w:id="489"/>
    </w:p>
    <w:p w14:paraId="569724C8">
      <w:pPr>
        <w:pStyle w:val="4"/>
        <w:rPr>
          <w:rFonts w:hint="eastAsia" w:ascii="宋体" w:hAnsi="宋体" w:eastAsia="宋体" w:cs="宋体"/>
          <w:sz w:val="24"/>
          <w:szCs w:val="24"/>
        </w:rPr>
      </w:pPr>
      <w:r>
        <w:rPr>
          <w:rFonts w:hint="eastAsia" w:ascii="宋体" w:hAnsi="宋体" w:eastAsia="宋体" w:cs="宋体"/>
          <w:sz w:val="24"/>
          <w:szCs w:val="24"/>
        </w:rPr>
        <w:t>承包人使用的施工设备不能满足合同进度计划和（或）质量要求时，监理人有权要求承包人增加或更换施工设备，承包人应及时增加或更换，由此增加的费用和（或）工期延误由承包人承担。</w:t>
      </w:r>
    </w:p>
    <w:p w14:paraId="17948E95">
      <w:pPr>
        <w:pStyle w:val="6"/>
        <w:numPr>
          <w:ilvl w:val="0"/>
          <w:numId w:val="0"/>
        </w:numPr>
        <w:bidi w:val="0"/>
        <w:ind w:left="482" w:leftChars="0"/>
        <w:rPr>
          <w:rFonts w:hint="eastAsia" w:ascii="宋体" w:hAnsi="宋体" w:eastAsia="宋体" w:cs="宋体"/>
          <w:sz w:val="24"/>
          <w:szCs w:val="24"/>
        </w:rPr>
      </w:pPr>
      <w:bookmarkStart w:id="490" w:name="bookmark1074"/>
      <w:bookmarkStart w:id="491" w:name="_Toc14710317"/>
      <w:bookmarkStart w:id="492" w:name="_Toc21826"/>
      <w:bookmarkStart w:id="493" w:name="bookmark1075"/>
      <w:bookmarkStart w:id="494" w:name="bookmark1073"/>
      <w:r>
        <w:rPr>
          <w:rFonts w:hint="eastAsia" w:ascii="宋体" w:hAnsi="宋体" w:eastAsia="宋体" w:cs="宋体"/>
          <w:sz w:val="24"/>
          <w:szCs w:val="24"/>
        </w:rPr>
        <w:t>6.4施工设备和临时设施专用于合同工程</w:t>
      </w:r>
      <w:bookmarkEnd w:id="490"/>
      <w:bookmarkEnd w:id="491"/>
      <w:bookmarkEnd w:id="492"/>
      <w:bookmarkEnd w:id="493"/>
      <w:bookmarkEnd w:id="494"/>
    </w:p>
    <w:p w14:paraId="49FCDECA">
      <w:pPr>
        <w:pStyle w:val="4"/>
        <w:rPr>
          <w:rFonts w:hint="eastAsia" w:ascii="宋体" w:hAnsi="宋体" w:eastAsia="宋体" w:cs="宋体"/>
          <w:sz w:val="24"/>
          <w:szCs w:val="24"/>
        </w:rPr>
      </w:pPr>
      <w:bookmarkStart w:id="495" w:name="bookmark1076"/>
      <w:bookmarkEnd w:id="495"/>
      <w:r>
        <w:rPr>
          <w:rFonts w:hint="eastAsia" w:ascii="宋体" w:hAnsi="宋体" w:eastAsia="宋体" w:cs="宋体"/>
          <w:sz w:val="24"/>
          <w:szCs w:val="24"/>
        </w:rPr>
        <w:t>6.4.1除合同另有约定外，运入施工场地的所有施工设备以及在施工场地建设的临时设施应专用于合同工程。未经监理人同意，不得将上述施工设备和临时设施中的任何部分运出施工场地或挪作他用。</w:t>
      </w:r>
    </w:p>
    <w:p w14:paraId="4AF88BC5">
      <w:pPr>
        <w:pStyle w:val="4"/>
        <w:rPr>
          <w:rFonts w:hint="eastAsia" w:ascii="宋体" w:hAnsi="宋体" w:eastAsia="宋体" w:cs="宋体"/>
          <w:sz w:val="24"/>
          <w:szCs w:val="24"/>
        </w:rPr>
      </w:pPr>
      <w:bookmarkStart w:id="496" w:name="bookmark1077"/>
      <w:bookmarkEnd w:id="496"/>
      <w:r>
        <w:rPr>
          <w:rFonts w:hint="eastAsia" w:ascii="宋体" w:hAnsi="宋体" w:eastAsia="宋体" w:cs="宋体"/>
          <w:sz w:val="24"/>
          <w:szCs w:val="24"/>
        </w:rPr>
        <w:t>6.4.2经监理人同意，承包人可根据合同进度计划撤走闲置的施工设备。</w:t>
      </w:r>
    </w:p>
    <w:p w14:paraId="58FEF656">
      <w:pPr>
        <w:pStyle w:val="6"/>
        <w:numPr>
          <w:ilvl w:val="0"/>
          <w:numId w:val="0"/>
        </w:numPr>
        <w:bidi w:val="0"/>
        <w:ind w:left="482" w:leftChars="0"/>
        <w:rPr>
          <w:rFonts w:hint="eastAsia" w:ascii="宋体" w:hAnsi="宋体" w:eastAsia="宋体" w:cs="宋体"/>
          <w:sz w:val="24"/>
          <w:szCs w:val="24"/>
        </w:rPr>
      </w:pPr>
      <w:bookmarkStart w:id="497" w:name="bookmark1080"/>
      <w:bookmarkEnd w:id="497"/>
      <w:bookmarkStart w:id="498" w:name="bookmark1079"/>
      <w:bookmarkStart w:id="499" w:name="bookmark1081"/>
      <w:bookmarkStart w:id="500" w:name="_Toc13833"/>
      <w:bookmarkStart w:id="501" w:name="bookmark1078"/>
      <w:bookmarkStart w:id="502" w:name="_Toc14710318"/>
      <w:r>
        <w:rPr>
          <w:rFonts w:hint="eastAsia" w:ascii="宋体" w:hAnsi="宋体" w:eastAsia="宋体" w:cs="宋体"/>
          <w:sz w:val="24"/>
          <w:szCs w:val="24"/>
        </w:rPr>
        <w:t>7.交通运输</w:t>
      </w:r>
      <w:bookmarkEnd w:id="498"/>
      <w:bookmarkEnd w:id="499"/>
      <w:bookmarkEnd w:id="500"/>
      <w:bookmarkEnd w:id="501"/>
      <w:bookmarkEnd w:id="502"/>
    </w:p>
    <w:p w14:paraId="1B588F8D">
      <w:pPr>
        <w:pStyle w:val="6"/>
        <w:numPr>
          <w:ilvl w:val="0"/>
          <w:numId w:val="0"/>
        </w:numPr>
        <w:bidi w:val="0"/>
        <w:ind w:left="482" w:leftChars="0"/>
        <w:rPr>
          <w:rFonts w:hint="eastAsia" w:ascii="宋体" w:hAnsi="宋体" w:eastAsia="宋体" w:cs="宋体"/>
          <w:sz w:val="24"/>
          <w:szCs w:val="24"/>
        </w:rPr>
      </w:pPr>
      <w:bookmarkStart w:id="503" w:name="bookmark1083"/>
      <w:bookmarkStart w:id="504" w:name="_Toc14710319"/>
      <w:bookmarkStart w:id="505" w:name="_Toc22987"/>
      <w:bookmarkStart w:id="506" w:name="bookmark1082"/>
      <w:bookmarkStart w:id="507" w:name="bookmark1084"/>
      <w:r>
        <w:rPr>
          <w:rFonts w:hint="eastAsia" w:ascii="宋体" w:hAnsi="宋体" w:eastAsia="宋体" w:cs="宋体"/>
          <w:sz w:val="24"/>
          <w:szCs w:val="24"/>
        </w:rPr>
        <w:t>7.1道路通行权和场外设施</w:t>
      </w:r>
      <w:bookmarkEnd w:id="503"/>
      <w:bookmarkEnd w:id="504"/>
      <w:bookmarkEnd w:id="505"/>
      <w:bookmarkEnd w:id="506"/>
      <w:bookmarkEnd w:id="507"/>
    </w:p>
    <w:p w14:paraId="3721D1B4">
      <w:pPr>
        <w:pStyle w:val="4"/>
        <w:rPr>
          <w:rFonts w:hint="eastAsia" w:ascii="宋体" w:hAnsi="宋体" w:eastAsia="宋体" w:cs="宋体"/>
          <w:sz w:val="24"/>
          <w:szCs w:val="24"/>
        </w:rPr>
      </w:pPr>
      <w:r>
        <w:rPr>
          <w:rFonts w:hint="eastAsia" w:ascii="宋体" w:hAnsi="宋体" w:eastAsia="宋体" w:cs="宋体"/>
          <w:sz w:val="24"/>
          <w:szCs w:val="24"/>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14:paraId="5C199EE0">
      <w:pPr>
        <w:pStyle w:val="6"/>
        <w:numPr>
          <w:ilvl w:val="0"/>
          <w:numId w:val="0"/>
        </w:numPr>
        <w:bidi w:val="0"/>
        <w:ind w:left="482" w:leftChars="0"/>
        <w:rPr>
          <w:rFonts w:hint="eastAsia" w:ascii="宋体" w:hAnsi="宋体" w:eastAsia="宋体" w:cs="宋体"/>
          <w:sz w:val="24"/>
          <w:szCs w:val="24"/>
        </w:rPr>
      </w:pPr>
      <w:bookmarkStart w:id="508" w:name="bookmark1085"/>
      <w:bookmarkStart w:id="509" w:name="_Toc19760"/>
      <w:bookmarkStart w:id="510" w:name="_Toc14710320"/>
      <w:bookmarkStart w:id="511" w:name="bookmark1086"/>
      <w:bookmarkStart w:id="512" w:name="bookmark1087"/>
      <w:r>
        <w:rPr>
          <w:rFonts w:hint="eastAsia" w:ascii="宋体" w:hAnsi="宋体" w:eastAsia="宋体" w:cs="宋体"/>
          <w:sz w:val="24"/>
          <w:szCs w:val="24"/>
        </w:rPr>
        <w:t>7.2场内施工道路</w:t>
      </w:r>
      <w:bookmarkEnd w:id="508"/>
      <w:bookmarkEnd w:id="509"/>
      <w:bookmarkEnd w:id="510"/>
      <w:bookmarkEnd w:id="511"/>
      <w:bookmarkEnd w:id="512"/>
    </w:p>
    <w:p w14:paraId="1F9AAC09">
      <w:pPr>
        <w:pStyle w:val="4"/>
        <w:rPr>
          <w:rFonts w:hint="eastAsia" w:ascii="宋体" w:hAnsi="宋体" w:eastAsia="宋体" w:cs="宋体"/>
          <w:sz w:val="24"/>
          <w:szCs w:val="24"/>
        </w:rPr>
      </w:pPr>
      <w:r>
        <w:rPr>
          <w:rFonts w:hint="eastAsia" w:ascii="宋体" w:hAnsi="宋体" w:eastAsia="宋体" w:cs="宋体"/>
          <w:sz w:val="24"/>
          <w:szCs w:val="24"/>
        </w:rPr>
        <w:t>7.2.1除本合同约定由发包人提供的部分道路和交通设施外，承包人应负责修建、维 修、养护和管理其施工所需的全部临时道路和交通设施（包括合同约定由发包人提供的部 分道路和交通设施维修、养护和管理），并承担相应费用。</w:t>
      </w:r>
    </w:p>
    <w:p w14:paraId="4C2243EA">
      <w:pPr>
        <w:pStyle w:val="4"/>
        <w:rPr>
          <w:rFonts w:hint="eastAsia" w:ascii="宋体" w:hAnsi="宋体" w:eastAsia="宋体" w:cs="宋体"/>
          <w:sz w:val="24"/>
          <w:szCs w:val="24"/>
        </w:rPr>
      </w:pPr>
      <w:r>
        <w:rPr>
          <w:rFonts w:hint="eastAsia" w:ascii="宋体" w:hAnsi="宋体" w:eastAsia="宋体" w:cs="宋体"/>
          <w:sz w:val="24"/>
          <w:szCs w:val="24"/>
        </w:rPr>
        <w:t>7.2.2承包人修建的临时道路和交通设施，应免费提供发包人、监理人，以及与本合 同有关的其他承包人使用。</w:t>
      </w:r>
    </w:p>
    <w:p w14:paraId="1D46B69A">
      <w:pPr>
        <w:pStyle w:val="6"/>
        <w:numPr>
          <w:ilvl w:val="0"/>
          <w:numId w:val="0"/>
        </w:numPr>
        <w:bidi w:val="0"/>
        <w:ind w:left="482" w:leftChars="0"/>
        <w:rPr>
          <w:rFonts w:hint="eastAsia" w:ascii="宋体" w:hAnsi="宋体" w:eastAsia="宋体" w:cs="宋体"/>
          <w:sz w:val="24"/>
          <w:szCs w:val="24"/>
        </w:rPr>
      </w:pPr>
      <w:bookmarkStart w:id="513" w:name="_Toc1077"/>
      <w:bookmarkStart w:id="514" w:name="bookmark1089"/>
      <w:bookmarkStart w:id="515" w:name="_Toc14710321"/>
      <w:bookmarkStart w:id="516" w:name="bookmark1088"/>
      <w:bookmarkStart w:id="517" w:name="bookmark1090"/>
      <w:r>
        <w:rPr>
          <w:rFonts w:hint="eastAsia" w:ascii="宋体" w:hAnsi="宋体" w:eastAsia="宋体" w:cs="宋体"/>
          <w:sz w:val="24"/>
          <w:szCs w:val="24"/>
        </w:rPr>
        <w:t>7.3场外交通</w:t>
      </w:r>
      <w:bookmarkEnd w:id="513"/>
      <w:bookmarkEnd w:id="514"/>
      <w:bookmarkEnd w:id="515"/>
      <w:bookmarkEnd w:id="516"/>
      <w:bookmarkEnd w:id="517"/>
    </w:p>
    <w:p w14:paraId="46A9AAF3">
      <w:pPr>
        <w:pStyle w:val="4"/>
        <w:rPr>
          <w:rFonts w:hint="eastAsia" w:ascii="宋体" w:hAnsi="宋体" w:eastAsia="宋体" w:cs="宋体"/>
          <w:sz w:val="24"/>
          <w:szCs w:val="24"/>
        </w:rPr>
      </w:pPr>
      <w:r>
        <w:rPr>
          <w:rFonts w:hint="eastAsia" w:ascii="宋体" w:hAnsi="宋体" w:eastAsia="宋体" w:cs="宋体"/>
          <w:sz w:val="24"/>
          <w:szCs w:val="24"/>
        </w:rPr>
        <w:t>7.3.1承包人车辆外出行驶所需的场外公共道路的通行费、养路费和税款等由承包人承担。</w:t>
      </w:r>
    </w:p>
    <w:p w14:paraId="2F383358">
      <w:pPr>
        <w:pStyle w:val="4"/>
        <w:rPr>
          <w:rFonts w:hint="eastAsia" w:ascii="宋体" w:hAnsi="宋体" w:eastAsia="宋体" w:cs="宋体"/>
          <w:sz w:val="24"/>
          <w:szCs w:val="24"/>
        </w:rPr>
      </w:pPr>
      <w:r>
        <w:rPr>
          <w:rFonts w:hint="eastAsia" w:ascii="宋体" w:hAnsi="宋体" w:eastAsia="宋体" w:cs="宋体"/>
          <w:sz w:val="24"/>
          <w:szCs w:val="24"/>
        </w:rPr>
        <w:t>7.3.2承包人应遵守有关交通法规，严格按照道路和桥梁的限制荷重安全行驶，并服从交通管理部门的检查和监督。</w:t>
      </w:r>
    </w:p>
    <w:p w14:paraId="29A99252">
      <w:pPr>
        <w:pStyle w:val="6"/>
        <w:numPr>
          <w:ilvl w:val="0"/>
          <w:numId w:val="0"/>
        </w:numPr>
        <w:bidi w:val="0"/>
        <w:ind w:left="482" w:leftChars="0"/>
        <w:rPr>
          <w:rFonts w:hint="eastAsia" w:ascii="宋体" w:hAnsi="宋体" w:eastAsia="宋体" w:cs="宋体"/>
          <w:sz w:val="24"/>
          <w:szCs w:val="24"/>
        </w:rPr>
      </w:pPr>
      <w:bookmarkStart w:id="518" w:name="bookmark1091"/>
      <w:bookmarkStart w:id="519" w:name="_Toc14710322"/>
      <w:bookmarkStart w:id="520" w:name="_Toc25595"/>
      <w:bookmarkStart w:id="521" w:name="bookmark1093"/>
      <w:bookmarkStart w:id="522" w:name="bookmark1092"/>
      <w:r>
        <w:rPr>
          <w:rFonts w:hint="eastAsia" w:ascii="宋体" w:hAnsi="宋体" w:eastAsia="宋体" w:cs="宋体"/>
          <w:sz w:val="24"/>
          <w:szCs w:val="24"/>
        </w:rPr>
        <w:t>7.4超大件和超重件的运输</w:t>
      </w:r>
      <w:bookmarkEnd w:id="518"/>
      <w:bookmarkEnd w:id="519"/>
      <w:bookmarkEnd w:id="520"/>
      <w:bookmarkEnd w:id="521"/>
      <w:bookmarkEnd w:id="522"/>
    </w:p>
    <w:p w14:paraId="234A1C68">
      <w:pPr>
        <w:pStyle w:val="4"/>
        <w:rPr>
          <w:rFonts w:hint="eastAsia" w:ascii="宋体" w:hAnsi="宋体" w:eastAsia="宋体" w:cs="宋体"/>
          <w:sz w:val="24"/>
          <w:szCs w:val="24"/>
        </w:rPr>
      </w:pPr>
      <w:r>
        <w:rPr>
          <w:rFonts w:hint="eastAsia" w:ascii="宋体" w:hAnsi="宋体" w:eastAsia="宋体" w:cs="宋体"/>
          <w:sz w:val="24"/>
          <w:szCs w:val="24"/>
        </w:rPr>
        <w:t>由承包人负责运输的超大件或超重件，应由承包人负责向交通管理部门办理申请手续, 发包人给予协助。运输超大件或超重件所需的道路和桥梁临时加固改造费用和其他有关费用，由承包人承担，但专用合同条款另有约定除外。</w:t>
      </w:r>
    </w:p>
    <w:p w14:paraId="077A1C6E">
      <w:pPr>
        <w:pStyle w:val="6"/>
        <w:numPr>
          <w:ilvl w:val="0"/>
          <w:numId w:val="0"/>
        </w:numPr>
        <w:bidi w:val="0"/>
        <w:ind w:left="482" w:leftChars="0"/>
        <w:rPr>
          <w:rFonts w:hint="eastAsia" w:ascii="宋体" w:hAnsi="宋体" w:eastAsia="宋体" w:cs="宋体"/>
          <w:sz w:val="24"/>
          <w:szCs w:val="24"/>
        </w:rPr>
      </w:pPr>
      <w:bookmarkStart w:id="523" w:name="_Toc14710323"/>
      <w:bookmarkStart w:id="524" w:name="_Toc19673"/>
      <w:bookmarkStart w:id="525" w:name="bookmark1095"/>
      <w:bookmarkStart w:id="526" w:name="bookmark1096"/>
      <w:bookmarkStart w:id="527" w:name="bookmark1094"/>
      <w:r>
        <w:rPr>
          <w:rFonts w:hint="eastAsia" w:ascii="宋体" w:hAnsi="宋体" w:eastAsia="宋体" w:cs="宋体"/>
          <w:sz w:val="24"/>
          <w:szCs w:val="24"/>
        </w:rPr>
        <w:t>7.5道路和桥梁的损坏责任</w:t>
      </w:r>
      <w:bookmarkEnd w:id="523"/>
      <w:bookmarkEnd w:id="524"/>
      <w:bookmarkEnd w:id="525"/>
      <w:bookmarkEnd w:id="526"/>
      <w:bookmarkEnd w:id="527"/>
    </w:p>
    <w:p w14:paraId="0437666B">
      <w:pPr>
        <w:pStyle w:val="4"/>
        <w:rPr>
          <w:rFonts w:hint="eastAsia" w:ascii="宋体" w:hAnsi="宋体" w:eastAsia="宋体" w:cs="宋体"/>
          <w:sz w:val="24"/>
          <w:szCs w:val="24"/>
        </w:rPr>
      </w:pPr>
      <w:r>
        <w:rPr>
          <w:rFonts w:hint="eastAsia" w:ascii="宋体" w:hAnsi="宋体" w:eastAsia="宋体" w:cs="宋体"/>
          <w:sz w:val="24"/>
          <w:szCs w:val="24"/>
        </w:rPr>
        <w:t>因承包人运输造成施工场地内外公共道路和桥梁损坏的，由承包人承担修复损坏的全部费用和可能引起的赔偿。</w:t>
      </w:r>
    </w:p>
    <w:p w14:paraId="3244E984">
      <w:pPr>
        <w:pStyle w:val="6"/>
        <w:numPr>
          <w:ilvl w:val="0"/>
          <w:numId w:val="0"/>
        </w:numPr>
        <w:bidi w:val="0"/>
        <w:ind w:left="482" w:leftChars="0"/>
        <w:rPr>
          <w:rFonts w:hint="eastAsia" w:ascii="宋体" w:hAnsi="宋体" w:eastAsia="宋体" w:cs="宋体"/>
          <w:sz w:val="24"/>
          <w:szCs w:val="24"/>
        </w:rPr>
      </w:pPr>
      <w:bookmarkStart w:id="528" w:name="bookmark1098"/>
      <w:bookmarkStart w:id="529" w:name="_Toc14710324"/>
      <w:bookmarkStart w:id="530" w:name="bookmark1097"/>
      <w:bookmarkStart w:id="531" w:name="_Toc30116"/>
      <w:bookmarkStart w:id="532" w:name="bookmark1099"/>
      <w:r>
        <w:rPr>
          <w:rFonts w:hint="eastAsia" w:ascii="宋体" w:hAnsi="宋体" w:eastAsia="宋体" w:cs="宋体"/>
          <w:sz w:val="24"/>
          <w:szCs w:val="24"/>
        </w:rPr>
        <w:t>7.6水路和航空运输</w:t>
      </w:r>
      <w:bookmarkEnd w:id="528"/>
      <w:bookmarkEnd w:id="529"/>
      <w:bookmarkEnd w:id="530"/>
      <w:bookmarkEnd w:id="531"/>
      <w:bookmarkEnd w:id="532"/>
    </w:p>
    <w:p w14:paraId="14D43EB7">
      <w:pPr>
        <w:pStyle w:val="4"/>
        <w:rPr>
          <w:rFonts w:hint="eastAsia" w:ascii="宋体" w:hAnsi="宋体" w:eastAsia="宋体" w:cs="宋体"/>
          <w:sz w:val="24"/>
          <w:szCs w:val="24"/>
        </w:rPr>
      </w:pPr>
      <w:r>
        <w:rPr>
          <w:rFonts w:hint="eastAsia" w:ascii="宋体" w:hAnsi="宋体" w:eastAsia="宋体" w:cs="宋体"/>
          <w:sz w:val="24"/>
          <w:szCs w:val="24"/>
        </w:rPr>
        <w:t>本条上述各款的内容适用于水路运输和航空运输，其中“道路” 一词的涵义包括河道、 航线、船闸、机场、码头、堤防以及水路或航空运输中其他相似结构物；“车辆” 一词的涵义包括船舶和飞机等。</w:t>
      </w:r>
    </w:p>
    <w:p w14:paraId="61B8C815">
      <w:pPr>
        <w:pStyle w:val="6"/>
        <w:numPr>
          <w:ilvl w:val="0"/>
          <w:numId w:val="0"/>
        </w:numPr>
        <w:bidi w:val="0"/>
        <w:ind w:left="482" w:leftChars="0"/>
        <w:rPr>
          <w:rFonts w:hint="eastAsia" w:ascii="宋体" w:hAnsi="宋体" w:eastAsia="宋体" w:cs="宋体"/>
          <w:sz w:val="24"/>
          <w:szCs w:val="24"/>
        </w:rPr>
      </w:pPr>
      <w:bookmarkStart w:id="533" w:name="bookmark1102"/>
      <w:bookmarkEnd w:id="533"/>
      <w:bookmarkStart w:id="534" w:name="bookmark1103"/>
      <w:bookmarkStart w:id="535" w:name="_Toc7491"/>
      <w:bookmarkStart w:id="536" w:name="bookmark1101"/>
      <w:bookmarkStart w:id="537" w:name="bookmark1100"/>
      <w:bookmarkStart w:id="538" w:name="_Toc14710325"/>
      <w:r>
        <w:rPr>
          <w:rFonts w:hint="eastAsia" w:ascii="宋体" w:hAnsi="宋体" w:eastAsia="宋体" w:cs="宋体"/>
          <w:sz w:val="24"/>
          <w:szCs w:val="24"/>
        </w:rPr>
        <w:t>8.测量放线</w:t>
      </w:r>
      <w:bookmarkEnd w:id="534"/>
      <w:bookmarkEnd w:id="535"/>
      <w:bookmarkEnd w:id="536"/>
      <w:bookmarkEnd w:id="537"/>
      <w:bookmarkEnd w:id="538"/>
    </w:p>
    <w:p w14:paraId="0091E85F">
      <w:pPr>
        <w:pStyle w:val="6"/>
        <w:numPr>
          <w:ilvl w:val="0"/>
          <w:numId w:val="0"/>
        </w:numPr>
        <w:bidi w:val="0"/>
        <w:ind w:left="482" w:leftChars="0"/>
        <w:rPr>
          <w:rFonts w:hint="eastAsia" w:ascii="宋体" w:hAnsi="宋体" w:eastAsia="宋体" w:cs="宋体"/>
          <w:sz w:val="24"/>
          <w:szCs w:val="24"/>
        </w:rPr>
      </w:pPr>
      <w:bookmarkStart w:id="539" w:name="bookmark1106"/>
      <w:bookmarkStart w:id="540" w:name="_Toc7125"/>
      <w:bookmarkStart w:id="541" w:name="bookmark1105"/>
      <w:bookmarkStart w:id="542" w:name="bookmark1104"/>
      <w:bookmarkStart w:id="543" w:name="_Toc14710326"/>
      <w:r>
        <w:rPr>
          <w:rFonts w:hint="eastAsia" w:ascii="宋体" w:hAnsi="宋体" w:eastAsia="宋体" w:cs="宋体"/>
          <w:sz w:val="24"/>
          <w:szCs w:val="24"/>
        </w:rPr>
        <w:t>8.1施工控制网</w:t>
      </w:r>
      <w:bookmarkEnd w:id="539"/>
      <w:bookmarkEnd w:id="540"/>
      <w:bookmarkEnd w:id="541"/>
      <w:bookmarkEnd w:id="542"/>
      <w:bookmarkEnd w:id="543"/>
    </w:p>
    <w:p w14:paraId="67AE68D0">
      <w:pPr>
        <w:pStyle w:val="4"/>
        <w:rPr>
          <w:rFonts w:hint="eastAsia" w:ascii="宋体" w:hAnsi="宋体" w:eastAsia="宋体" w:cs="宋体"/>
          <w:sz w:val="24"/>
          <w:szCs w:val="24"/>
        </w:rPr>
      </w:pPr>
      <w:r>
        <w:rPr>
          <w:rFonts w:hint="eastAsia" w:ascii="宋体" w:hAnsi="宋体" w:eastAsia="宋体" w:cs="宋体"/>
          <w:sz w:val="24"/>
          <w:szCs w:val="24"/>
        </w:rPr>
        <w:t>8.1.1除专用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14:paraId="5A564101">
      <w:pPr>
        <w:pStyle w:val="4"/>
        <w:rPr>
          <w:rFonts w:hint="eastAsia" w:ascii="宋体" w:hAnsi="宋体" w:eastAsia="宋体" w:cs="宋体"/>
          <w:sz w:val="24"/>
          <w:szCs w:val="24"/>
        </w:rPr>
      </w:pPr>
      <w:r>
        <w:rPr>
          <w:rFonts w:hint="eastAsia" w:ascii="宋体" w:hAnsi="宋体" w:eastAsia="宋体" w:cs="宋体"/>
          <w:sz w:val="24"/>
          <w:szCs w:val="24"/>
        </w:rPr>
        <w:t>8.1.2承包人应负责管理施工控制网点。施工控制网点丢失或损坏的，承包人应及时修复。承包人应承担施工控制网点的管理与修复费用，并在工程竣工后将施工控制网点移交发包人。</w:t>
      </w:r>
    </w:p>
    <w:p w14:paraId="39FF6458">
      <w:pPr>
        <w:pStyle w:val="6"/>
        <w:numPr>
          <w:ilvl w:val="0"/>
          <w:numId w:val="0"/>
        </w:numPr>
        <w:bidi w:val="0"/>
        <w:ind w:left="482" w:leftChars="0"/>
        <w:rPr>
          <w:rFonts w:hint="eastAsia" w:ascii="宋体" w:hAnsi="宋体" w:eastAsia="宋体" w:cs="宋体"/>
          <w:sz w:val="24"/>
          <w:szCs w:val="24"/>
        </w:rPr>
      </w:pPr>
      <w:bookmarkStart w:id="544" w:name="bookmark1108"/>
      <w:bookmarkStart w:id="545" w:name="bookmark1109"/>
      <w:bookmarkStart w:id="546" w:name="_Toc28033"/>
      <w:bookmarkStart w:id="547" w:name="_Toc14710327"/>
      <w:bookmarkStart w:id="548" w:name="bookmark1107"/>
      <w:r>
        <w:rPr>
          <w:rFonts w:hint="eastAsia" w:ascii="宋体" w:hAnsi="宋体" w:eastAsia="宋体" w:cs="宋体"/>
          <w:sz w:val="24"/>
          <w:szCs w:val="24"/>
        </w:rPr>
        <w:t>8.2施工测量</w:t>
      </w:r>
      <w:bookmarkEnd w:id="544"/>
      <w:bookmarkEnd w:id="545"/>
      <w:bookmarkEnd w:id="546"/>
      <w:bookmarkEnd w:id="547"/>
      <w:bookmarkEnd w:id="548"/>
    </w:p>
    <w:p w14:paraId="57F97606">
      <w:pPr>
        <w:pStyle w:val="4"/>
        <w:rPr>
          <w:rFonts w:hint="eastAsia" w:ascii="宋体" w:hAnsi="宋体" w:eastAsia="宋体" w:cs="宋体"/>
          <w:sz w:val="24"/>
          <w:szCs w:val="24"/>
        </w:rPr>
      </w:pPr>
      <w:r>
        <w:rPr>
          <w:rFonts w:hint="eastAsia" w:ascii="宋体" w:hAnsi="宋体" w:eastAsia="宋体" w:cs="宋体"/>
          <w:sz w:val="24"/>
          <w:szCs w:val="24"/>
        </w:rPr>
        <w:t>8.2.1承包人应负责施工过程中的全部施工测量放线工作，并配置合格的人员、仪 器、设备和其他物品。</w:t>
      </w:r>
    </w:p>
    <w:p w14:paraId="51041E5C">
      <w:pPr>
        <w:pStyle w:val="4"/>
        <w:rPr>
          <w:rFonts w:hint="eastAsia" w:ascii="宋体" w:hAnsi="宋体" w:eastAsia="宋体" w:cs="宋体"/>
          <w:sz w:val="24"/>
          <w:szCs w:val="24"/>
        </w:rPr>
      </w:pPr>
      <w:r>
        <w:rPr>
          <w:rFonts w:hint="eastAsia" w:ascii="宋体" w:hAnsi="宋体" w:eastAsia="宋体" w:cs="宋体"/>
          <w:sz w:val="24"/>
          <w:szCs w:val="24"/>
        </w:rPr>
        <w:t>8.2.2监理人可以指示承包人进行抽样复测，当复测中发现错误或出现超过合同约定的误差时，承包人应按监理人指示进行修正或补测，并承担相应的复测费用。</w:t>
      </w:r>
    </w:p>
    <w:p w14:paraId="049FE73E">
      <w:pPr>
        <w:pStyle w:val="6"/>
        <w:numPr>
          <w:ilvl w:val="0"/>
          <w:numId w:val="0"/>
        </w:numPr>
        <w:bidi w:val="0"/>
        <w:ind w:left="482" w:leftChars="0"/>
        <w:rPr>
          <w:rFonts w:hint="eastAsia" w:ascii="宋体" w:hAnsi="宋体" w:eastAsia="宋体" w:cs="宋体"/>
          <w:sz w:val="24"/>
          <w:szCs w:val="24"/>
        </w:rPr>
      </w:pPr>
      <w:bookmarkStart w:id="549" w:name="bookmark1111"/>
      <w:bookmarkStart w:id="550" w:name="_Toc14710328"/>
      <w:bookmarkStart w:id="551" w:name="bookmark1110"/>
      <w:bookmarkStart w:id="552" w:name="_Toc18249"/>
      <w:bookmarkStart w:id="553" w:name="bookmark1112"/>
      <w:r>
        <w:rPr>
          <w:rFonts w:hint="eastAsia" w:ascii="宋体" w:hAnsi="宋体" w:eastAsia="宋体" w:cs="宋体"/>
          <w:sz w:val="24"/>
          <w:szCs w:val="24"/>
        </w:rPr>
        <w:t>8.3基准资料错误的责任</w:t>
      </w:r>
      <w:bookmarkEnd w:id="549"/>
      <w:bookmarkEnd w:id="550"/>
      <w:bookmarkEnd w:id="551"/>
      <w:bookmarkEnd w:id="552"/>
      <w:bookmarkEnd w:id="553"/>
    </w:p>
    <w:p w14:paraId="01BE2AC9">
      <w:pPr>
        <w:pStyle w:val="4"/>
        <w:rPr>
          <w:rFonts w:hint="eastAsia" w:ascii="宋体" w:hAnsi="宋体" w:eastAsia="宋体" w:cs="宋体"/>
          <w:sz w:val="24"/>
          <w:szCs w:val="24"/>
        </w:rPr>
      </w:pPr>
      <w:r>
        <w:rPr>
          <w:rFonts w:hint="eastAsia" w:ascii="宋体" w:hAnsi="宋体" w:eastAsia="宋体" w:cs="宋体"/>
          <w:sz w:val="24"/>
          <w:szCs w:val="24"/>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790D437B">
      <w:pPr>
        <w:pStyle w:val="6"/>
        <w:numPr>
          <w:ilvl w:val="0"/>
          <w:numId w:val="0"/>
        </w:numPr>
        <w:bidi w:val="0"/>
        <w:ind w:left="482" w:leftChars="0"/>
        <w:rPr>
          <w:rFonts w:hint="eastAsia" w:ascii="宋体" w:hAnsi="宋体" w:eastAsia="宋体" w:cs="宋体"/>
          <w:sz w:val="24"/>
          <w:szCs w:val="24"/>
        </w:rPr>
      </w:pPr>
      <w:bookmarkStart w:id="554" w:name="bookmark1115"/>
      <w:bookmarkStart w:id="555" w:name="_Toc14710329"/>
      <w:bookmarkStart w:id="556" w:name="_Toc26810"/>
      <w:bookmarkStart w:id="557" w:name="bookmark1113"/>
      <w:bookmarkStart w:id="558" w:name="bookmark1114"/>
      <w:r>
        <w:rPr>
          <w:rFonts w:hint="eastAsia" w:ascii="宋体" w:hAnsi="宋体" w:eastAsia="宋体" w:cs="宋体"/>
          <w:sz w:val="24"/>
          <w:szCs w:val="24"/>
        </w:rPr>
        <w:t>8.4监理人使用施工控制网</w:t>
      </w:r>
      <w:bookmarkEnd w:id="554"/>
      <w:bookmarkEnd w:id="555"/>
      <w:bookmarkEnd w:id="556"/>
      <w:bookmarkEnd w:id="557"/>
      <w:bookmarkEnd w:id="558"/>
    </w:p>
    <w:p w14:paraId="43F1C44E">
      <w:pPr>
        <w:pStyle w:val="4"/>
        <w:rPr>
          <w:rFonts w:hint="eastAsia" w:ascii="宋体" w:hAnsi="宋体" w:eastAsia="宋体" w:cs="宋体"/>
          <w:sz w:val="24"/>
          <w:szCs w:val="24"/>
        </w:rPr>
      </w:pPr>
      <w:r>
        <w:rPr>
          <w:rFonts w:hint="eastAsia" w:ascii="宋体" w:hAnsi="宋体" w:eastAsia="宋体" w:cs="宋体"/>
          <w:sz w:val="24"/>
          <w:szCs w:val="24"/>
        </w:rPr>
        <w:t>监理人需要使用施工控制网的，承包人应提供必要的协助，发包人不再为此支付费用。</w:t>
      </w:r>
    </w:p>
    <w:p w14:paraId="2773CA17">
      <w:pPr>
        <w:pStyle w:val="6"/>
        <w:numPr>
          <w:ilvl w:val="0"/>
          <w:numId w:val="0"/>
        </w:numPr>
        <w:bidi w:val="0"/>
        <w:ind w:left="482" w:leftChars="0"/>
        <w:rPr>
          <w:rFonts w:hint="eastAsia" w:ascii="宋体" w:hAnsi="宋体" w:eastAsia="宋体" w:cs="宋体"/>
          <w:sz w:val="24"/>
          <w:szCs w:val="24"/>
        </w:rPr>
      </w:pPr>
      <w:bookmarkStart w:id="559" w:name="bookmark1116"/>
      <w:bookmarkStart w:id="560" w:name="_Toc14710330"/>
      <w:bookmarkStart w:id="561" w:name="bookmark1118"/>
      <w:bookmarkStart w:id="562" w:name="_Toc26237"/>
      <w:bookmarkStart w:id="563" w:name="bookmark1117"/>
      <w:r>
        <w:rPr>
          <w:rFonts w:hint="eastAsia" w:ascii="宋体" w:hAnsi="宋体" w:eastAsia="宋体" w:cs="宋体"/>
          <w:sz w:val="24"/>
          <w:szCs w:val="24"/>
        </w:rPr>
        <w:t>8.5补充地质勘探</w:t>
      </w:r>
      <w:bookmarkEnd w:id="559"/>
      <w:bookmarkEnd w:id="560"/>
      <w:bookmarkEnd w:id="561"/>
      <w:bookmarkEnd w:id="562"/>
      <w:bookmarkEnd w:id="563"/>
    </w:p>
    <w:p w14:paraId="2D2D4387">
      <w:pPr>
        <w:pStyle w:val="4"/>
        <w:rPr>
          <w:rFonts w:hint="eastAsia" w:ascii="宋体" w:hAnsi="宋体" w:eastAsia="宋体" w:cs="宋体"/>
          <w:sz w:val="24"/>
          <w:szCs w:val="24"/>
        </w:rPr>
      </w:pPr>
      <w:r>
        <w:rPr>
          <w:rFonts w:hint="eastAsia" w:ascii="宋体" w:hAnsi="宋体" w:eastAsia="宋体" w:cs="宋体"/>
          <w:sz w:val="24"/>
          <w:szCs w:val="24"/>
        </w:rPr>
        <w:t>在合同实施期间，监理人可以指示承包人进行必要的补充地质勘探和提供有关资料; 承包人为本合同永久工程施工的需要进行补充地质勘探时，须经监理人批准，并应向监理人提交有关资料，上述补充勘探的费用由发包人承担。承包人为其临时工程所需进行的补 充地质勘探，其费用由承包人承担。</w:t>
      </w:r>
    </w:p>
    <w:p w14:paraId="04218E32">
      <w:pPr>
        <w:pStyle w:val="6"/>
        <w:numPr>
          <w:ilvl w:val="0"/>
          <w:numId w:val="0"/>
        </w:numPr>
        <w:bidi w:val="0"/>
        <w:ind w:left="482" w:leftChars="0"/>
        <w:rPr>
          <w:rFonts w:hint="eastAsia" w:ascii="宋体" w:hAnsi="宋体" w:eastAsia="宋体" w:cs="宋体"/>
          <w:sz w:val="24"/>
          <w:szCs w:val="24"/>
        </w:rPr>
      </w:pPr>
      <w:bookmarkStart w:id="564" w:name="bookmark1121"/>
      <w:bookmarkEnd w:id="564"/>
      <w:bookmarkStart w:id="565" w:name="bookmark1120"/>
      <w:bookmarkStart w:id="566" w:name="bookmark1122"/>
      <w:bookmarkStart w:id="567" w:name="_Toc15267"/>
      <w:bookmarkStart w:id="568" w:name="_Toc14710331"/>
      <w:bookmarkStart w:id="569" w:name="bookmark1119"/>
      <w:r>
        <w:rPr>
          <w:rFonts w:hint="eastAsia" w:ascii="宋体" w:hAnsi="宋体" w:eastAsia="宋体" w:cs="宋体"/>
          <w:sz w:val="24"/>
          <w:szCs w:val="24"/>
        </w:rPr>
        <w:t>9.施工安全、治安保卫和环境保护</w:t>
      </w:r>
      <w:bookmarkEnd w:id="565"/>
      <w:bookmarkEnd w:id="566"/>
      <w:bookmarkEnd w:id="567"/>
      <w:bookmarkEnd w:id="568"/>
      <w:bookmarkEnd w:id="569"/>
    </w:p>
    <w:p w14:paraId="07B039DE">
      <w:pPr>
        <w:pStyle w:val="6"/>
        <w:numPr>
          <w:ilvl w:val="0"/>
          <w:numId w:val="0"/>
        </w:numPr>
        <w:bidi w:val="0"/>
        <w:ind w:left="482" w:leftChars="0"/>
        <w:rPr>
          <w:rFonts w:hint="eastAsia" w:ascii="宋体" w:hAnsi="宋体" w:eastAsia="宋体" w:cs="宋体"/>
          <w:sz w:val="24"/>
          <w:szCs w:val="24"/>
        </w:rPr>
      </w:pPr>
      <w:bookmarkStart w:id="570" w:name="_Toc13008"/>
      <w:bookmarkStart w:id="571" w:name="_Toc14710332"/>
      <w:bookmarkStart w:id="572" w:name="bookmark1123"/>
      <w:bookmarkStart w:id="573" w:name="bookmark1125"/>
      <w:bookmarkStart w:id="574" w:name="bookmark1124"/>
      <w:r>
        <w:rPr>
          <w:rFonts w:hint="eastAsia" w:ascii="宋体" w:hAnsi="宋体" w:eastAsia="宋体" w:cs="宋体"/>
          <w:sz w:val="24"/>
          <w:szCs w:val="24"/>
        </w:rPr>
        <w:t>9.1发包人的施工安全责任</w:t>
      </w:r>
      <w:bookmarkEnd w:id="570"/>
      <w:bookmarkEnd w:id="571"/>
      <w:bookmarkEnd w:id="572"/>
      <w:bookmarkEnd w:id="573"/>
      <w:bookmarkEnd w:id="574"/>
    </w:p>
    <w:p w14:paraId="489FACAC">
      <w:pPr>
        <w:pStyle w:val="4"/>
        <w:rPr>
          <w:rFonts w:hint="eastAsia" w:ascii="宋体" w:hAnsi="宋体" w:eastAsia="宋体" w:cs="宋体"/>
          <w:sz w:val="24"/>
          <w:szCs w:val="24"/>
        </w:rPr>
      </w:pPr>
      <w:r>
        <w:rPr>
          <w:rFonts w:hint="eastAsia" w:ascii="宋体" w:hAnsi="宋体" w:eastAsia="宋体" w:cs="宋体"/>
          <w:sz w:val="24"/>
          <w:szCs w:val="24"/>
        </w:rPr>
        <w:t>9.1.1发包人应按合同约定履行安全职责，发包人委托监理人根据国家有关安全的法律、法规、强制性标准以及部门规章，对承包人的安全责任履行情况进行监督和检查。监理人的监督检查不减轻承包人应负的安全责任。</w:t>
      </w:r>
    </w:p>
    <w:p w14:paraId="14590D7A">
      <w:pPr>
        <w:pStyle w:val="4"/>
        <w:rPr>
          <w:rFonts w:hint="eastAsia" w:ascii="宋体" w:hAnsi="宋体" w:eastAsia="宋体" w:cs="宋体"/>
          <w:sz w:val="24"/>
          <w:szCs w:val="24"/>
        </w:rPr>
      </w:pPr>
      <w:r>
        <w:rPr>
          <w:rFonts w:hint="eastAsia" w:ascii="宋体" w:hAnsi="宋体" w:eastAsia="宋体" w:cs="宋体"/>
          <w:sz w:val="24"/>
          <w:szCs w:val="24"/>
        </w:rPr>
        <w:t>9.1.2发包人应对其现场机构雇佣的全部人员的工伤事故承担责任，但由于承包人原因造成发包人人员工伤的，应由承包人承担责任。</w:t>
      </w:r>
    </w:p>
    <w:p w14:paraId="0EDA6923">
      <w:pPr>
        <w:pStyle w:val="4"/>
        <w:rPr>
          <w:rFonts w:hint="eastAsia" w:ascii="宋体" w:hAnsi="宋体" w:eastAsia="宋体" w:cs="宋体"/>
          <w:sz w:val="24"/>
          <w:szCs w:val="24"/>
        </w:rPr>
      </w:pPr>
      <w:r>
        <w:rPr>
          <w:rFonts w:hint="eastAsia" w:ascii="宋体" w:hAnsi="宋体" w:eastAsia="宋体" w:cs="宋体"/>
          <w:sz w:val="24"/>
          <w:szCs w:val="24"/>
        </w:rPr>
        <w:t>9. 1. 3发包人应负责赔偿以下各种情况造成的第三者人身伤亡和财产损失：</w:t>
      </w:r>
    </w:p>
    <w:p w14:paraId="4C5E48ED">
      <w:pPr>
        <w:pStyle w:val="4"/>
        <w:rPr>
          <w:rFonts w:hint="eastAsia" w:ascii="宋体" w:hAnsi="宋体" w:eastAsia="宋体" w:cs="宋体"/>
          <w:sz w:val="24"/>
          <w:szCs w:val="24"/>
        </w:rPr>
      </w:pPr>
      <w:bookmarkStart w:id="575" w:name="bookmark1126"/>
      <w:bookmarkEnd w:id="575"/>
      <w:r>
        <w:rPr>
          <w:rFonts w:hint="eastAsia" w:ascii="宋体" w:hAnsi="宋体" w:eastAsia="宋体" w:cs="宋体"/>
          <w:b w:val="0"/>
          <w:i w:val="0"/>
          <w:strike w:val="0"/>
          <w:color w:val="000000"/>
          <w:sz w:val="24"/>
          <w:szCs w:val="24"/>
          <w:u w:val="none"/>
        </w:rPr>
        <w:t>(1)</w:t>
      </w:r>
      <w:r>
        <w:rPr>
          <w:rFonts w:hint="eastAsia" w:ascii="宋体" w:hAnsi="宋体" w:eastAsia="宋体" w:cs="宋体"/>
          <w:sz w:val="24"/>
          <w:szCs w:val="24"/>
        </w:rPr>
        <w:t>工程或工程的任何部分对土地的占用所造成的第三者财产损失；</w:t>
      </w:r>
    </w:p>
    <w:p w14:paraId="667C18FC">
      <w:pPr>
        <w:pStyle w:val="4"/>
        <w:rPr>
          <w:rFonts w:hint="eastAsia" w:ascii="宋体" w:hAnsi="宋体" w:eastAsia="宋体" w:cs="宋体"/>
          <w:sz w:val="24"/>
          <w:szCs w:val="24"/>
        </w:rPr>
      </w:pPr>
      <w:bookmarkStart w:id="576" w:name="bookmark1127"/>
      <w:bookmarkEnd w:id="576"/>
      <w:r>
        <w:rPr>
          <w:rFonts w:hint="eastAsia" w:ascii="宋体" w:hAnsi="宋体" w:eastAsia="宋体" w:cs="宋体"/>
          <w:b w:val="0"/>
          <w:i w:val="0"/>
          <w:strike w:val="0"/>
          <w:color w:val="000000"/>
          <w:sz w:val="24"/>
          <w:szCs w:val="24"/>
          <w:u w:val="none"/>
        </w:rPr>
        <w:t>(2)</w:t>
      </w:r>
      <w:r>
        <w:rPr>
          <w:rFonts w:hint="eastAsia" w:ascii="宋体" w:hAnsi="宋体" w:eastAsia="宋体" w:cs="宋体"/>
          <w:sz w:val="24"/>
          <w:szCs w:val="24"/>
        </w:rPr>
        <w:t>由于发包人原因在施工场地及其毗邻地带造成的第三者人身伤亡和财产损失。</w:t>
      </w:r>
    </w:p>
    <w:p w14:paraId="09CE112A">
      <w:pPr>
        <w:pStyle w:val="4"/>
        <w:rPr>
          <w:rFonts w:hint="eastAsia" w:ascii="宋体" w:hAnsi="宋体" w:eastAsia="宋体" w:cs="宋体"/>
          <w:sz w:val="24"/>
          <w:szCs w:val="24"/>
        </w:rPr>
      </w:pPr>
      <w:r>
        <w:rPr>
          <w:rFonts w:hint="eastAsia" w:ascii="宋体" w:hAnsi="宋体" w:eastAsia="宋体" w:cs="宋体"/>
          <w:sz w:val="24"/>
          <w:szCs w:val="24"/>
        </w:rPr>
        <w:t>9.1.4除专用合同条款另有约定外，发包人负责向承包人提供施工现场及施工可能影响的毗邻区域内供水、排水、供电、供气、供热、通信、广播电视等地下管线资料，气象 和水文观测资料，拟建工程可能影响的相邻建筑物地下工程的有关资料，并保证有关资料的真实、准确、完整，满足有关技术规程的要求。</w:t>
      </w:r>
    </w:p>
    <w:p w14:paraId="6D0AFCFC">
      <w:pPr>
        <w:pStyle w:val="4"/>
        <w:rPr>
          <w:rFonts w:hint="eastAsia" w:ascii="宋体" w:hAnsi="宋体" w:eastAsia="宋体" w:cs="宋体"/>
          <w:sz w:val="24"/>
          <w:szCs w:val="24"/>
        </w:rPr>
      </w:pPr>
      <w:r>
        <w:rPr>
          <w:rFonts w:hint="eastAsia" w:ascii="宋体" w:hAnsi="宋体" w:eastAsia="宋体" w:cs="宋体"/>
          <w:sz w:val="24"/>
          <w:szCs w:val="24"/>
        </w:rPr>
        <w:t>9.1.5发包人按照已标价工程量清单所列金额和合同约定的计量支付规定，支付安全作业环境及安全施工措施所需费用。</w:t>
      </w:r>
    </w:p>
    <w:p w14:paraId="1D8BCCA8">
      <w:pPr>
        <w:pStyle w:val="4"/>
        <w:rPr>
          <w:rFonts w:hint="eastAsia" w:ascii="宋体" w:hAnsi="宋体" w:eastAsia="宋体" w:cs="宋体"/>
          <w:sz w:val="24"/>
          <w:szCs w:val="24"/>
        </w:rPr>
      </w:pPr>
      <w:r>
        <w:rPr>
          <w:rFonts w:hint="eastAsia" w:ascii="宋体" w:hAnsi="宋体" w:eastAsia="宋体" w:cs="宋体"/>
          <w:sz w:val="24"/>
          <w:szCs w:val="24"/>
        </w:rPr>
        <w:t>9.1.6发包人负责组织工程参建单位编制保证安全生产的措施方案。工程开工前，就 落实安全生产的措施进行全面系统的布置，进一步明确承包人的安全生产责任。</w:t>
      </w:r>
    </w:p>
    <w:p w14:paraId="69D9DD72">
      <w:pPr>
        <w:pStyle w:val="4"/>
        <w:rPr>
          <w:rFonts w:hint="eastAsia" w:ascii="宋体" w:hAnsi="宋体" w:eastAsia="宋体" w:cs="宋体"/>
          <w:sz w:val="24"/>
          <w:szCs w:val="24"/>
        </w:rPr>
      </w:pPr>
      <w:r>
        <w:rPr>
          <w:rFonts w:hint="eastAsia" w:ascii="宋体" w:hAnsi="宋体" w:eastAsia="宋体" w:cs="宋体"/>
          <w:sz w:val="24"/>
          <w:szCs w:val="24"/>
        </w:rPr>
        <w:t>9. 1. 7发包人负责在拆除工程和爆破工程施工14天前向有关部门或机构报送相关备案资料。</w:t>
      </w:r>
    </w:p>
    <w:p w14:paraId="268FBB94">
      <w:pPr>
        <w:pStyle w:val="6"/>
        <w:numPr>
          <w:ilvl w:val="0"/>
          <w:numId w:val="0"/>
        </w:numPr>
        <w:bidi w:val="0"/>
        <w:ind w:left="482" w:leftChars="0"/>
        <w:rPr>
          <w:rFonts w:hint="eastAsia" w:ascii="宋体" w:hAnsi="宋体" w:eastAsia="宋体" w:cs="宋体"/>
          <w:sz w:val="24"/>
          <w:szCs w:val="24"/>
        </w:rPr>
      </w:pPr>
      <w:bookmarkStart w:id="577" w:name="_Toc14710333"/>
      <w:bookmarkStart w:id="578" w:name="bookmark1130"/>
      <w:bookmarkStart w:id="579" w:name="_Toc920"/>
      <w:bookmarkStart w:id="580" w:name="bookmark1129"/>
      <w:bookmarkStart w:id="581" w:name="bookmark1128"/>
      <w:r>
        <w:rPr>
          <w:rFonts w:hint="eastAsia" w:ascii="宋体" w:hAnsi="宋体" w:eastAsia="宋体" w:cs="宋体"/>
          <w:sz w:val="24"/>
          <w:szCs w:val="24"/>
        </w:rPr>
        <w:t>9.2承包人的施工安全责任</w:t>
      </w:r>
      <w:bookmarkEnd w:id="577"/>
      <w:bookmarkEnd w:id="578"/>
      <w:bookmarkEnd w:id="579"/>
      <w:bookmarkEnd w:id="580"/>
      <w:bookmarkEnd w:id="581"/>
    </w:p>
    <w:p w14:paraId="5BD863C8">
      <w:pPr>
        <w:pStyle w:val="4"/>
        <w:rPr>
          <w:rFonts w:hint="eastAsia" w:ascii="宋体" w:hAnsi="宋体" w:eastAsia="宋体" w:cs="宋体"/>
          <w:sz w:val="24"/>
          <w:szCs w:val="24"/>
        </w:rPr>
      </w:pPr>
      <w:r>
        <w:rPr>
          <w:rFonts w:hint="eastAsia" w:ascii="宋体" w:hAnsi="宋体" w:eastAsia="宋体" w:cs="宋体"/>
          <w:sz w:val="24"/>
          <w:szCs w:val="24"/>
        </w:rPr>
        <w:t>9. 2.1承包人应按合同约定履行安全职责，执行监理人有关安全工作的指示。承包人应按技术标准和要求(合同技术条款)约定的内容和期限，以及监理人的指示，编制施工安全技术措施提交监理人审批。监理人应技术标准和要求(合同技术条款)约定的期限内 批复承包人。</w:t>
      </w:r>
    </w:p>
    <w:p w14:paraId="59CAF1A3">
      <w:pPr>
        <w:pStyle w:val="4"/>
        <w:rPr>
          <w:rFonts w:hint="eastAsia" w:ascii="宋体" w:hAnsi="宋体" w:eastAsia="宋体" w:cs="宋体"/>
          <w:sz w:val="24"/>
          <w:szCs w:val="24"/>
        </w:rPr>
      </w:pPr>
      <w:r>
        <w:rPr>
          <w:rFonts w:hint="eastAsia" w:ascii="宋体" w:hAnsi="宋体" w:eastAsia="宋体" w:cs="宋体"/>
          <w:sz w:val="24"/>
          <w:szCs w:val="24"/>
        </w:rPr>
        <w:t>9. 2.2承包人应加强施工作业安全管理，特别应加强易燃、易爆材料、火工器材、有毒与腐蚀性材料和其他危险品的管理，以及对爆破作业和地下工程施工等危险作业的管理。</w:t>
      </w:r>
    </w:p>
    <w:p w14:paraId="5F976FD5">
      <w:pPr>
        <w:pStyle w:val="4"/>
        <w:rPr>
          <w:rFonts w:hint="eastAsia" w:ascii="宋体" w:hAnsi="宋体" w:eastAsia="宋体" w:cs="宋体"/>
          <w:sz w:val="24"/>
          <w:szCs w:val="24"/>
        </w:rPr>
      </w:pPr>
      <w:r>
        <w:rPr>
          <w:rFonts w:hint="eastAsia" w:ascii="宋体" w:hAnsi="宋体" w:eastAsia="宋体" w:cs="宋体"/>
          <w:sz w:val="24"/>
          <w:szCs w:val="24"/>
        </w:rPr>
        <w:t>9.2.3承包人应严格按照国家安全标准制定施工安全操作规程，配备必要的安全生产 和劳动保护设施，加强对承包人人员的安全教育，并发放安全工作手册和劳动保护用具。</w:t>
      </w:r>
    </w:p>
    <w:p w14:paraId="48E3443E">
      <w:pPr>
        <w:pStyle w:val="4"/>
        <w:rPr>
          <w:rFonts w:hint="eastAsia" w:ascii="宋体" w:hAnsi="宋体" w:eastAsia="宋体" w:cs="宋体"/>
          <w:sz w:val="24"/>
          <w:szCs w:val="24"/>
        </w:rPr>
      </w:pPr>
      <w:r>
        <w:rPr>
          <w:rFonts w:hint="eastAsia" w:ascii="宋体" w:hAnsi="宋体" w:eastAsia="宋体" w:cs="宋体"/>
          <w:sz w:val="24"/>
          <w:szCs w:val="24"/>
        </w:rPr>
        <w:t>9.2.4承包人应按监理人的指示制定应对灾害的紧急预案，报送监理人审批。承包人还应按预案做好安全检查，配置必要的救助物资和器材，切实保护好有关人员的人身和财产安全。</w:t>
      </w:r>
    </w:p>
    <w:p w14:paraId="66826C12">
      <w:pPr>
        <w:pStyle w:val="4"/>
        <w:rPr>
          <w:rFonts w:hint="eastAsia" w:ascii="宋体" w:hAnsi="宋体" w:eastAsia="宋体" w:cs="宋体"/>
          <w:sz w:val="24"/>
          <w:szCs w:val="24"/>
        </w:rPr>
      </w:pPr>
      <w:r>
        <w:rPr>
          <w:rFonts w:hint="eastAsia" w:ascii="宋体" w:hAnsi="宋体" w:eastAsia="宋体" w:cs="宋体"/>
          <w:sz w:val="24"/>
          <w:szCs w:val="24"/>
        </w:rPr>
        <w:t>9. 2.5合同约定的安全作业环境及安全施工措施所需费用应遵守有关规定，并包括在相关工作的合同价格中。因采取合同未约定的安全作业环境及安全施工措施增加的费用，由监理人按第3. 5款商定或确定。</w:t>
      </w:r>
    </w:p>
    <w:p w14:paraId="5814FD30">
      <w:pPr>
        <w:pStyle w:val="4"/>
        <w:rPr>
          <w:rFonts w:hint="eastAsia" w:ascii="宋体" w:hAnsi="宋体" w:eastAsia="宋体" w:cs="宋体"/>
          <w:sz w:val="24"/>
          <w:szCs w:val="24"/>
        </w:rPr>
      </w:pPr>
      <w:r>
        <w:rPr>
          <w:rFonts w:hint="eastAsia" w:ascii="宋体" w:hAnsi="宋体" w:eastAsia="宋体" w:cs="宋体"/>
          <w:sz w:val="24"/>
          <w:szCs w:val="24"/>
        </w:rPr>
        <w:t>9.2.6承包人应对其履行合同所雇佣的全部人员，包括分包人人员的工伤事故承担责任，但由于发包人原因造成承包人人员工伤事故的，应由发包人承担责任。</w:t>
      </w:r>
    </w:p>
    <w:p w14:paraId="08DFCE30">
      <w:pPr>
        <w:pStyle w:val="4"/>
        <w:rPr>
          <w:rFonts w:hint="eastAsia" w:ascii="宋体" w:hAnsi="宋体" w:eastAsia="宋体" w:cs="宋体"/>
          <w:sz w:val="24"/>
          <w:szCs w:val="24"/>
        </w:rPr>
      </w:pPr>
      <w:r>
        <w:rPr>
          <w:rFonts w:hint="eastAsia" w:ascii="宋体" w:hAnsi="宋体" w:eastAsia="宋体" w:cs="宋体"/>
          <w:sz w:val="24"/>
          <w:szCs w:val="24"/>
        </w:rPr>
        <w:t>9.2.7由于承包人原因在施工场地内及其毗邻地带造成的第三者人员伤亡和财产损失，由承包人负责赔偿。</w:t>
      </w:r>
    </w:p>
    <w:p w14:paraId="72E1F0ED">
      <w:pPr>
        <w:pStyle w:val="4"/>
        <w:rPr>
          <w:rFonts w:hint="eastAsia" w:ascii="宋体" w:hAnsi="宋体" w:eastAsia="宋体" w:cs="宋体"/>
          <w:sz w:val="24"/>
          <w:szCs w:val="24"/>
        </w:rPr>
      </w:pPr>
      <w:r>
        <w:rPr>
          <w:rFonts w:hint="eastAsia" w:ascii="宋体" w:hAnsi="宋体" w:eastAsia="宋体" w:cs="宋体"/>
          <w:sz w:val="24"/>
          <w:szCs w:val="24"/>
        </w:rPr>
        <w:t>9.2.8承包人已标价工程量清单应包含工程安全作业环境及安全施工措施所需费用。</w:t>
      </w:r>
    </w:p>
    <w:p w14:paraId="2FC86174">
      <w:pPr>
        <w:pStyle w:val="4"/>
        <w:rPr>
          <w:rFonts w:hint="eastAsia" w:ascii="宋体" w:hAnsi="宋体" w:eastAsia="宋体" w:cs="宋体"/>
          <w:sz w:val="24"/>
          <w:szCs w:val="24"/>
        </w:rPr>
      </w:pPr>
      <w:r>
        <w:rPr>
          <w:rFonts w:hint="eastAsia" w:ascii="宋体" w:hAnsi="宋体" w:eastAsia="宋体" w:cs="宋体"/>
          <w:sz w:val="24"/>
          <w:szCs w:val="24"/>
        </w:rPr>
        <w:t>9.2.9承包人应建立健全安全生产责任制度和安全生产教育培训制度，制定安全生产 规章制度和操作规程，保证本单位建立和完善安全生产条件所需资金的投入，对本工程进行定期和专项安全检查，并做好安全检查记录。</w:t>
      </w:r>
    </w:p>
    <w:p w14:paraId="4A1A2261">
      <w:pPr>
        <w:pStyle w:val="4"/>
        <w:rPr>
          <w:rFonts w:hint="eastAsia" w:ascii="宋体" w:hAnsi="宋体" w:eastAsia="宋体" w:cs="宋体"/>
          <w:sz w:val="24"/>
          <w:szCs w:val="24"/>
        </w:rPr>
      </w:pPr>
      <w:r>
        <w:rPr>
          <w:rFonts w:hint="eastAsia" w:ascii="宋体" w:hAnsi="宋体" w:eastAsia="宋体" w:cs="宋体"/>
          <w:sz w:val="24"/>
          <w:szCs w:val="24"/>
        </w:rPr>
        <w:t>9.2.10承包人应设立安全生产管理机构，施工现场应有专职安全生产管理人员。</w:t>
      </w:r>
    </w:p>
    <w:p w14:paraId="384F6472">
      <w:pPr>
        <w:pStyle w:val="4"/>
        <w:rPr>
          <w:rFonts w:hint="eastAsia" w:ascii="宋体" w:hAnsi="宋体" w:eastAsia="宋体" w:cs="宋体"/>
          <w:sz w:val="24"/>
          <w:szCs w:val="24"/>
        </w:rPr>
      </w:pPr>
      <w:r>
        <w:rPr>
          <w:rFonts w:hint="eastAsia" w:ascii="宋体" w:hAnsi="宋体" w:eastAsia="宋体" w:cs="宋体"/>
          <w:sz w:val="24"/>
          <w:szCs w:val="24"/>
        </w:rPr>
        <w:t>9.2.11承包人应负责对特种作业人员进行专门的安全作业培训，并保证特种作业人员持证上岗。</w:t>
      </w:r>
    </w:p>
    <w:p w14:paraId="7A3AB818">
      <w:pPr>
        <w:pStyle w:val="4"/>
        <w:rPr>
          <w:rFonts w:hint="eastAsia" w:ascii="宋体" w:hAnsi="宋体" w:eastAsia="宋体" w:cs="宋体"/>
          <w:sz w:val="24"/>
          <w:szCs w:val="24"/>
        </w:rPr>
      </w:pPr>
      <w:r>
        <w:rPr>
          <w:rFonts w:hint="eastAsia" w:ascii="宋体" w:hAnsi="宋体" w:eastAsia="宋体" w:cs="宋体"/>
          <w:sz w:val="24"/>
          <w:szCs w:val="24"/>
        </w:rPr>
        <w:t>9.2.12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14:paraId="6DD38FCD">
      <w:pPr>
        <w:pStyle w:val="4"/>
        <w:rPr>
          <w:rFonts w:hint="eastAsia" w:ascii="宋体" w:hAnsi="宋体" w:eastAsia="宋体" w:cs="宋体"/>
          <w:sz w:val="24"/>
          <w:szCs w:val="24"/>
        </w:rPr>
      </w:pPr>
      <w:r>
        <w:rPr>
          <w:rFonts w:hint="eastAsia" w:ascii="宋体" w:hAnsi="宋体" w:eastAsia="宋体" w:cs="宋体"/>
          <w:sz w:val="24"/>
          <w:szCs w:val="24"/>
        </w:rPr>
        <w:t>9.2.13承包人在使用施工起重机构和整体提升脚手架、模板等自升式架设设施前, 应组织有关单位进行验收。</w:t>
      </w:r>
    </w:p>
    <w:p w14:paraId="0634049D">
      <w:pPr>
        <w:pStyle w:val="6"/>
        <w:numPr>
          <w:ilvl w:val="0"/>
          <w:numId w:val="0"/>
        </w:numPr>
        <w:bidi w:val="0"/>
        <w:ind w:left="482" w:leftChars="0"/>
        <w:rPr>
          <w:rFonts w:hint="eastAsia" w:ascii="宋体" w:hAnsi="宋体" w:eastAsia="宋体" w:cs="宋体"/>
          <w:sz w:val="24"/>
          <w:szCs w:val="24"/>
        </w:rPr>
      </w:pPr>
      <w:bookmarkStart w:id="582" w:name="bookmark1131"/>
      <w:bookmarkStart w:id="583" w:name="_Toc14710334"/>
      <w:bookmarkStart w:id="584" w:name="bookmark1133"/>
      <w:bookmarkStart w:id="585" w:name="_Toc24520"/>
      <w:bookmarkStart w:id="586" w:name="bookmark1132"/>
      <w:r>
        <w:rPr>
          <w:rFonts w:hint="eastAsia" w:ascii="宋体" w:hAnsi="宋体" w:eastAsia="宋体" w:cs="宋体"/>
          <w:sz w:val="24"/>
          <w:szCs w:val="24"/>
        </w:rPr>
        <w:t>9.3治安保卫</w:t>
      </w:r>
      <w:bookmarkEnd w:id="582"/>
      <w:bookmarkEnd w:id="583"/>
      <w:bookmarkEnd w:id="584"/>
      <w:bookmarkEnd w:id="585"/>
      <w:bookmarkEnd w:id="586"/>
    </w:p>
    <w:p w14:paraId="114F398B">
      <w:pPr>
        <w:pStyle w:val="4"/>
        <w:rPr>
          <w:rFonts w:hint="eastAsia" w:ascii="宋体" w:hAnsi="宋体" w:eastAsia="宋体" w:cs="宋体"/>
          <w:sz w:val="24"/>
          <w:szCs w:val="24"/>
        </w:rPr>
      </w:pPr>
      <w:r>
        <w:rPr>
          <w:rFonts w:hint="eastAsia" w:ascii="宋体" w:hAnsi="宋体" w:eastAsia="宋体" w:cs="宋体"/>
          <w:sz w:val="24"/>
          <w:szCs w:val="24"/>
        </w:rPr>
        <w:t>9.3.1除合同另有约定外，发包人应与当地公安部门协商，在现场建立治安管理机构或联防组织，统一管理施工场地的治安保卫事项，履行合同工程的治安保卫职责。</w:t>
      </w:r>
    </w:p>
    <w:p w14:paraId="233BFB79">
      <w:pPr>
        <w:pStyle w:val="4"/>
        <w:rPr>
          <w:rFonts w:hint="eastAsia" w:ascii="宋体" w:hAnsi="宋体" w:eastAsia="宋体" w:cs="宋体"/>
          <w:sz w:val="24"/>
          <w:szCs w:val="24"/>
        </w:rPr>
      </w:pPr>
      <w:r>
        <w:rPr>
          <w:rFonts w:hint="eastAsia" w:ascii="宋体" w:hAnsi="宋体" w:eastAsia="宋体" w:cs="宋体"/>
          <w:sz w:val="24"/>
          <w:szCs w:val="24"/>
        </w:rPr>
        <w:t>9.3.2发包人和承包人除应协助现场治安管理机构或联防组织维护施工场地的社会治安外，还应做好包括生活区在内的各自管辖区的治安保卫工作。</w:t>
      </w:r>
    </w:p>
    <w:p w14:paraId="6D4512FC">
      <w:pPr>
        <w:pStyle w:val="4"/>
        <w:rPr>
          <w:rFonts w:hint="eastAsia" w:ascii="宋体" w:hAnsi="宋体" w:eastAsia="宋体" w:cs="宋体"/>
          <w:sz w:val="24"/>
          <w:szCs w:val="24"/>
        </w:rPr>
      </w:pPr>
      <w:r>
        <w:rPr>
          <w:rFonts w:hint="eastAsia" w:ascii="宋体" w:hAnsi="宋体" w:eastAsia="宋体" w:cs="宋体"/>
          <w:sz w:val="24"/>
          <w:szCs w:val="24"/>
        </w:rPr>
        <w:t>9.3.3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7598F40C">
      <w:pPr>
        <w:pStyle w:val="6"/>
        <w:numPr>
          <w:ilvl w:val="0"/>
          <w:numId w:val="0"/>
        </w:numPr>
        <w:bidi w:val="0"/>
        <w:ind w:left="482" w:leftChars="0"/>
        <w:rPr>
          <w:rFonts w:hint="eastAsia" w:ascii="宋体" w:hAnsi="宋体" w:eastAsia="宋体" w:cs="宋体"/>
          <w:sz w:val="24"/>
          <w:szCs w:val="24"/>
        </w:rPr>
      </w:pPr>
      <w:bookmarkStart w:id="587" w:name="bookmark1134"/>
      <w:bookmarkStart w:id="588" w:name="bookmark1136"/>
      <w:bookmarkStart w:id="589" w:name="bookmark1135"/>
      <w:bookmarkStart w:id="590" w:name="_Toc14710335"/>
      <w:bookmarkStart w:id="591" w:name="_Toc19282"/>
      <w:r>
        <w:rPr>
          <w:rFonts w:hint="eastAsia" w:ascii="宋体" w:hAnsi="宋体" w:eastAsia="宋体" w:cs="宋体"/>
          <w:sz w:val="24"/>
          <w:szCs w:val="24"/>
        </w:rPr>
        <w:t>9.4环境保护</w:t>
      </w:r>
      <w:bookmarkEnd w:id="587"/>
      <w:bookmarkEnd w:id="588"/>
      <w:bookmarkEnd w:id="589"/>
      <w:bookmarkEnd w:id="590"/>
      <w:bookmarkEnd w:id="591"/>
    </w:p>
    <w:p w14:paraId="00A735C8">
      <w:pPr>
        <w:pStyle w:val="4"/>
        <w:rPr>
          <w:rFonts w:hint="eastAsia" w:ascii="宋体" w:hAnsi="宋体" w:eastAsia="宋体" w:cs="宋体"/>
          <w:sz w:val="24"/>
          <w:szCs w:val="24"/>
        </w:rPr>
      </w:pPr>
      <w:r>
        <w:rPr>
          <w:rFonts w:hint="eastAsia" w:ascii="宋体" w:hAnsi="宋体" w:eastAsia="宋体" w:cs="宋体"/>
          <w:sz w:val="24"/>
          <w:szCs w:val="24"/>
        </w:rPr>
        <w:t>9.4.1承包人在施工过程中，应遵守有关环境保护的法律，履行合同约定的环境保护义务，并对违反法律和合同约定义务所造成的环境破坏、人身伤害和财产损失负责。</w:t>
      </w:r>
    </w:p>
    <w:p w14:paraId="78B81907">
      <w:pPr>
        <w:pStyle w:val="4"/>
        <w:rPr>
          <w:rFonts w:hint="eastAsia" w:ascii="宋体" w:hAnsi="宋体" w:eastAsia="宋体" w:cs="宋体"/>
          <w:sz w:val="24"/>
          <w:szCs w:val="24"/>
        </w:rPr>
      </w:pPr>
      <w:r>
        <w:rPr>
          <w:rFonts w:hint="eastAsia" w:ascii="宋体" w:hAnsi="宋体" w:eastAsia="宋体" w:cs="宋体"/>
          <w:sz w:val="24"/>
          <w:szCs w:val="24"/>
        </w:rPr>
        <w:t>9.4.2承包人应按合同约定的环保工作内容，编制施工环保措施计划，报送监理人审批。</w:t>
      </w:r>
    </w:p>
    <w:p w14:paraId="771FC6B8">
      <w:pPr>
        <w:pStyle w:val="4"/>
        <w:rPr>
          <w:rFonts w:hint="eastAsia" w:ascii="宋体" w:hAnsi="宋体" w:eastAsia="宋体" w:cs="宋体"/>
          <w:sz w:val="24"/>
          <w:szCs w:val="24"/>
        </w:rPr>
      </w:pPr>
      <w:r>
        <w:rPr>
          <w:rFonts w:hint="eastAsia" w:ascii="宋体" w:hAnsi="宋体" w:eastAsia="宋体" w:cs="宋体"/>
          <w:sz w:val="24"/>
          <w:szCs w:val="24"/>
        </w:rPr>
        <w:t>9.4.3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4002C977">
      <w:pPr>
        <w:pStyle w:val="4"/>
        <w:rPr>
          <w:rFonts w:hint="eastAsia" w:ascii="宋体" w:hAnsi="宋体" w:eastAsia="宋体" w:cs="宋体"/>
          <w:sz w:val="24"/>
          <w:szCs w:val="24"/>
        </w:rPr>
      </w:pPr>
      <w:r>
        <w:rPr>
          <w:rFonts w:hint="eastAsia" w:ascii="宋体" w:hAnsi="宋体" w:eastAsia="宋体" w:cs="宋体"/>
          <w:sz w:val="24"/>
          <w:szCs w:val="24"/>
        </w:rPr>
        <w:t>9.4.4承包人应按合同约定采取有效措施，对施工开挖的边坡及时进行支护，维护排 水设施，并进行水土保护，避免因施工造成的地质灾害。</w:t>
      </w:r>
    </w:p>
    <w:p w14:paraId="09FE0879">
      <w:pPr>
        <w:pStyle w:val="4"/>
        <w:rPr>
          <w:rFonts w:hint="eastAsia" w:ascii="宋体" w:hAnsi="宋体" w:eastAsia="宋体" w:cs="宋体"/>
          <w:sz w:val="24"/>
          <w:szCs w:val="24"/>
        </w:rPr>
      </w:pPr>
      <w:r>
        <w:rPr>
          <w:rFonts w:hint="eastAsia" w:ascii="宋体" w:hAnsi="宋体" w:eastAsia="宋体" w:cs="宋体"/>
          <w:sz w:val="24"/>
          <w:szCs w:val="24"/>
        </w:rPr>
        <w:t>9.4.5承包人应按国家饮用水管理标准定期对饮用水源进行监测，防止施工活动污染</w:t>
      </w:r>
    </w:p>
    <w:p w14:paraId="5B2DD301">
      <w:pPr>
        <w:pStyle w:val="4"/>
        <w:rPr>
          <w:rFonts w:hint="eastAsia" w:ascii="宋体" w:hAnsi="宋体" w:eastAsia="宋体" w:cs="宋体"/>
          <w:sz w:val="24"/>
          <w:szCs w:val="24"/>
        </w:rPr>
      </w:pPr>
      <w:r>
        <w:rPr>
          <w:rFonts w:hint="eastAsia" w:ascii="宋体" w:hAnsi="宋体" w:eastAsia="宋体" w:cs="宋体"/>
          <w:sz w:val="24"/>
          <w:szCs w:val="24"/>
        </w:rPr>
        <w:t>饮用水源。</w:t>
      </w:r>
    </w:p>
    <w:p w14:paraId="52EEFE48">
      <w:pPr>
        <w:pStyle w:val="4"/>
        <w:rPr>
          <w:rFonts w:hint="eastAsia" w:ascii="宋体" w:hAnsi="宋体" w:eastAsia="宋体" w:cs="宋体"/>
          <w:sz w:val="24"/>
          <w:szCs w:val="24"/>
        </w:rPr>
      </w:pPr>
      <w:r>
        <w:rPr>
          <w:rFonts w:hint="eastAsia" w:ascii="宋体" w:hAnsi="宋体" w:eastAsia="宋体" w:cs="宋体"/>
          <w:sz w:val="24"/>
          <w:szCs w:val="24"/>
        </w:rPr>
        <w:t>9.4.6承包人应按合同约定，加强对噪声、粉尘、废气、废水和废油的控制，努力降低噪声，控制粉尘和废气浓度，做好废水和废油的治理和排放。</w:t>
      </w:r>
    </w:p>
    <w:p w14:paraId="20042010">
      <w:pPr>
        <w:pStyle w:val="6"/>
        <w:numPr>
          <w:ilvl w:val="0"/>
          <w:numId w:val="0"/>
        </w:numPr>
        <w:bidi w:val="0"/>
        <w:ind w:left="482" w:leftChars="0"/>
        <w:rPr>
          <w:rFonts w:hint="eastAsia" w:ascii="宋体" w:hAnsi="宋体" w:eastAsia="宋体" w:cs="宋体"/>
          <w:sz w:val="24"/>
          <w:szCs w:val="24"/>
        </w:rPr>
      </w:pPr>
      <w:bookmarkStart w:id="592" w:name="_Toc1363"/>
      <w:bookmarkStart w:id="593" w:name="_Toc14710336"/>
      <w:bookmarkStart w:id="594" w:name="bookmark1137"/>
      <w:bookmarkStart w:id="595" w:name="bookmark1139"/>
      <w:bookmarkStart w:id="596" w:name="bookmark1138"/>
      <w:r>
        <w:rPr>
          <w:rFonts w:hint="eastAsia" w:ascii="宋体" w:hAnsi="宋体" w:eastAsia="宋体" w:cs="宋体"/>
          <w:sz w:val="24"/>
          <w:szCs w:val="24"/>
        </w:rPr>
        <w:t>9.5事故处理</w:t>
      </w:r>
      <w:bookmarkEnd w:id="592"/>
      <w:bookmarkEnd w:id="593"/>
      <w:bookmarkEnd w:id="594"/>
      <w:bookmarkEnd w:id="595"/>
      <w:bookmarkEnd w:id="596"/>
    </w:p>
    <w:p w14:paraId="285A55A0">
      <w:pPr>
        <w:pStyle w:val="4"/>
        <w:rPr>
          <w:rFonts w:hint="eastAsia" w:ascii="宋体" w:hAnsi="宋体" w:eastAsia="宋体" w:cs="宋体"/>
          <w:sz w:val="24"/>
          <w:szCs w:val="24"/>
        </w:rPr>
      </w:pPr>
      <w:r>
        <w:rPr>
          <w:rFonts w:hint="eastAsia" w:ascii="宋体" w:hAnsi="宋体" w:eastAsia="宋体" w:cs="宋体"/>
          <w:sz w:val="24"/>
          <w:szCs w:val="24"/>
        </w:rPr>
        <w:t>9.5.1发包人负责组织参建单位制定本工程的质量与安全事故应急预案，建立质量与安全事故应急处置指挥部。</w:t>
      </w:r>
    </w:p>
    <w:p w14:paraId="5DE87CAB">
      <w:pPr>
        <w:pStyle w:val="4"/>
        <w:rPr>
          <w:rFonts w:hint="eastAsia" w:ascii="宋体" w:hAnsi="宋体" w:eastAsia="宋体" w:cs="宋体"/>
          <w:sz w:val="24"/>
          <w:szCs w:val="24"/>
        </w:rPr>
      </w:pPr>
      <w:r>
        <w:rPr>
          <w:rFonts w:hint="eastAsia" w:ascii="宋体" w:hAnsi="宋体" w:eastAsia="宋体" w:cs="宋体"/>
          <w:sz w:val="24"/>
          <w:szCs w:val="24"/>
        </w:rPr>
        <w:t>9.5.2承包人应对施工现场易发生重大事故的部位、环节的进行监控，配备救援器材、设备，并定期组织演练。</w:t>
      </w:r>
    </w:p>
    <w:p w14:paraId="29960009">
      <w:pPr>
        <w:pStyle w:val="4"/>
        <w:rPr>
          <w:rFonts w:hint="eastAsia" w:ascii="宋体" w:hAnsi="宋体" w:eastAsia="宋体" w:cs="宋体"/>
          <w:sz w:val="24"/>
          <w:szCs w:val="24"/>
        </w:rPr>
      </w:pPr>
      <w:r>
        <w:rPr>
          <w:rFonts w:hint="eastAsia" w:ascii="宋体" w:hAnsi="宋体" w:eastAsia="宋体" w:cs="宋体"/>
          <w:sz w:val="24"/>
          <w:szCs w:val="24"/>
        </w:rPr>
        <w:t>9.5.3工程开工前，承包人应根据本工程特点制定施工现场施工质量与安全事故应急预案，并报发包人备案。</w:t>
      </w:r>
    </w:p>
    <w:p w14:paraId="74DC2D7B">
      <w:pPr>
        <w:pStyle w:val="4"/>
        <w:rPr>
          <w:rFonts w:hint="eastAsia" w:ascii="宋体" w:hAnsi="宋体" w:eastAsia="宋体" w:cs="宋体"/>
          <w:sz w:val="24"/>
          <w:szCs w:val="24"/>
        </w:rPr>
      </w:pPr>
      <w:r>
        <w:rPr>
          <w:rFonts w:hint="eastAsia" w:ascii="宋体" w:hAnsi="宋体" w:eastAsia="宋体" w:cs="宋体"/>
          <w:sz w:val="24"/>
          <w:szCs w:val="24"/>
        </w:rPr>
        <w:t>9.5.4施工过程中发生事故时，发包人、承包人应立即启动应急预案。</w:t>
      </w:r>
    </w:p>
    <w:p w14:paraId="1B5C8079">
      <w:pPr>
        <w:pStyle w:val="4"/>
        <w:rPr>
          <w:rFonts w:hint="eastAsia" w:ascii="宋体" w:hAnsi="宋体" w:eastAsia="宋体" w:cs="宋体"/>
          <w:sz w:val="24"/>
          <w:szCs w:val="24"/>
        </w:rPr>
      </w:pPr>
      <w:r>
        <w:rPr>
          <w:rFonts w:hint="eastAsia" w:ascii="宋体" w:hAnsi="宋体" w:eastAsia="宋体" w:cs="宋体"/>
          <w:sz w:val="24"/>
          <w:szCs w:val="24"/>
        </w:rPr>
        <w:t>9.5.5事故调查处理由发包人按相关规定履行手续，承包人应配合。</w:t>
      </w:r>
    </w:p>
    <w:p w14:paraId="4C5D3D20">
      <w:pPr>
        <w:pStyle w:val="6"/>
        <w:numPr>
          <w:ilvl w:val="0"/>
          <w:numId w:val="0"/>
        </w:numPr>
        <w:bidi w:val="0"/>
        <w:ind w:left="482" w:leftChars="0"/>
        <w:rPr>
          <w:rFonts w:hint="eastAsia" w:ascii="宋体" w:hAnsi="宋体" w:eastAsia="宋体" w:cs="宋体"/>
          <w:sz w:val="24"/>
          <w:szCs w:val="24"/>
        </w:rPr>
      </w:pPr>
      <w:bookmarkStart w:id="597" w:name="bookmark1142"/>
      <w:bookmarkStart w:id="598" w:name="bookmark1140"/>
      <w:bookmarkStart w:id="599" w:name="bookmark1141"/>
      <w:bookmarkStart w:id="600" w:name="_Toc10912"/>
      <w:bookmarkStart w:id="601" w:name="_Toc14710337"/>
      <w:r>
        <w:rPr>
          <w:rFonts w:hint="eastAsia" w:ascii="宋体" w:hAnsi="宋体" w:eastAsia="宋体" w:cs="宋体"/>
          <w:sz w:val="24"/>
          <w:szCs w:val="24"/>
        </w:rPr>
        <w:t>9.6水土保持</w:t>
      </w:r>
      <w:bookmarkEnd w:id="597"/>
      <w:bookmarkEnd w:id="598"/>
      <w:bookmarkEnd w:id="599"/>
      <w:bookmarkEnd w:id="600"/>
      <w:bookmarkEnd w:id="601"/>
    </w:p>
    <w:p w14:paraId="05C40AC5">
      <w:pPr>
        <w:pStyle w:val="4"/>
        <w:rPr>
          <w:rFonts w:hint="eastAsia" w:ascii="宋体" w:hAnsi="宋体" w:eastAsia="宋体" w:cs="宋体"/>
          <w:sz w:val="24"/>
          <w:szCs w:val="24"/>
        </w:rPr>
      </w:pPr>
      <w:r>
        <w:rPr>
          <w:rFonts w:hint="eastAsia" w:ascii="宋体" w:hAnsi="宋体" w:eastAsia="宋体" w:cs="宋体"/>
          <w:sz w:val="24"/>
          <w:szCs w:val="24"/>
        </w:rPr>
        <w:t>9.6.1发包人应及时向承包人提供水土保持方案。</w:t>
      </w:r>
    </w:p>
    <w:p w14:paraId="22E4AA95">
      <w:pPr>
        <w:pStyle w:val="4"/>
        <w:rPr>
          <w:rFonts w:hint="eastAsia" w:ascii="宋体" w:hAnsi="宋体" w:eastAsia="宋体" w:cs="宋体"/>
          <w:sz w:val="24"/>
          <w:szCs w:val="24"/>
        </w:rPr>
      </w:pPr>
      <w:r>
        <w:rPr>
          <w:rFonts w:hint="eastAsia" w:ascii="宋体" w:hAnsi="宋体" w:eastAsia="宋体" w:cs="宋体"/>
          <w:sz w:val="24"/>
          <w:szCs w:val="24"/>
        </w:rPr>
        <w:t>9.6.2承包人在施工过程中，应遵守有关水土保持的法律法规和规章，履行合同约定的水土保持义务，并对其违反法律和合同约定义务所造成的水土流失灾害、人身伤害和财 产损失负责。</w:t>
      </w:r>
    </w:p>
    <w:p w14:paraId="3F93447E">
      <w:pPr>
        <w:pStyle w:val="4"/>
        <w:rPr>
          <w:rFonts w:hint="eastAsia" w:ascii="宋体" w:hAnsi="宋体" w:eastAsia="宋体" w:cs="宋体"/>
          <w:sz w:val="24"/>
          <w:szCs w:val="24"/>
        </w:rPr>
      </w:pPr>
      <w:r>
        <w:rPr>
          <w:rFonts w:hint="eastAsia" w:ascii="宋体" w:hAnsi="宋体" w:eastAsia="宋体" w:cs="宋体"/>
          <w:sz w:val="24"/>
          <w:szCs w:val="24"/>
        </w:rPr>
        <w:t>9.6.3承包人的水土保持措施计划，应满足技术标准和要求（合同技术条款）约定的要求。</w:t>
      </w:r>
    </w:p>
    <w:p w14:paraId="55E33454">
      <w:pPr>
        <w:pStyle w:val="6"/>
        <w:numPr>
          <w:ilvl w:val="0"/>
          <w:numId w:val="0"/>
        </w:numPr>
        <w:bidi w:val="0"/>
        <w:ind w:left="482" w:leftChars="0"/>
        <w:rPr>
          <w:rFonts w:hint="eastAsia" w:ascii="宋体" w:hAnsi="宋体" w:eastAsia="宋体" w:cs="宋体"/>
          <w:sz w:val="24"/>
          <w:szCs w:val="24"/>
        </w:rPr>
      </w:pPr>
      <w:bookmarkStart w:id="602" w:name="bookmark1145"/>
      <w:bookmarkStart w:id="603" w:name="_Toc9534"/>
      <w:bookmarkStart w:id="604" w:name="bookmark1143"/>
      <w:bookmarkStart w:id="605" w:name="bookmark1144"/>
      <w:bookmarkStart w:id="606" w:name="_Toc14710338"/>
      <w:r>
        <w:rPr>
          <w:rFonts w:hint="eastAsia" w:ascii="宋体" w:hAnsi="宋体" w:eastAsia="宋体" w:cs="宋体"/>
          <w:sz w:val="24"/>
          <w:szCs w:val="24"/>
        </w:rPr>
        <w:t>9.7文明工地</w:t>
      </w:r>
      <w:bookmarkEnd w:id="602"/>
      <w:bookmarkEnd w:id="603"/>
      <w:bookmarkEnd w:id="604"/>
      <w:bookmarkEnd w:id="605"/>
      <w:bookmarkEnd w:id="606"/>
    </w:p>
    <w:p w14:paraId="17AE9936">
      <w:pPr>
        <w:pStyle w:val="4"/>
        <w:rPr>
          <w:rFonts w:hint="eastAsia" w:ascii="宋体" w:hAnsi="宋体" w:eastAsia="宋体" w:cs="宋体"/>
          <w:sz w:val="24"/>
          <w:szCs w:val="24"/>
        </w:rPr>
      </w:pPr>
      <w:r>
        <w:rPr>
          <w:rFonts w:hint="eastAsia" w:ascii="宋体" w:hAnsi="宋体" w:eastAsia="宋体" w:cs="宋体"/>
          <w:sz w:val="24"/>
          <w:szCs w:val="24"/>
        </w:rPr>
        <w:t>9.7.1发包人应按专用合同条款的约定，负责建立创建文明建设工地的组织机构，制定创建文明建设工地的规划和办法。</w:t>
      </w:r>
    </w:p>
    <w:p w14:paraId="4604DF7E">
      <w:pPr>
        <w:pStyle w:val="4"/>
        <w:rPr>
          <w:rFonts w:hint="eastAsia" w:ascii="宋体" w:hAnsi="宋体" w:eastAsia="宋体" w:cs="宋体"/>
          <w:sz w:val="24"/>
          <w:szCs w:val="24"/>
        </w:rPr>
      </w:pPr>
      <w:r>
        <w:rPr>
          <w:rFonts w:hint="eastAsia" w:ascii="宋体" w:hAnsi="宋体" w:eastAsia="宋体" w:cs="宋体"/>
          <w:sz w:val="24"/>
          <w:szCs w:val="24"/>
        </w:rPr>
        <w:t>9.7.2承包人应按创建文明建设工地的规划和办法，履行职责，承担相应责任。所需费用应含在已标价工程量清单中。</w:t>
      </w:r>
    </w:p>
    <w:p w14:paraId="33F714C7">
      <w:pPr>
        <w:pStyle w:val="6"/>
        <w:numPr>
          <w:ilvl w:val="0"/>
          <w:numId w:val="0"/>
        </w:numPr>
        <w:bidi w:val="0"/>
        <w:ind w:left="482" w:leftChars="0"/>
        <w:rPr>
          <w:rFonts w:hint="eastAsia" w:ascii="宋体" w:hAnsi="宋体" w:eastAsia="宋体" w:cs="宋体"/>
          <w:sz w:val="24"/>
          <w:szCs w:val="24"/>
        </w:rPr>
      </w:pPr>
      <w:bookmarkStart w:id="607" w:name="bookmark1147"/>
      <w:bookmarkStart w:id="608" w:name="bookmark1148"/>
      <w:bookmarkStart w:id="609" w:name="_Toc14710339"/>
      <w:bookmarkStart w:id="610" w:name="_Toc2182"/>
      <w:bookmarkStart w:id="611" w:name="bookmark1146"/>
      <w:r>
        <w:rPr>
          <w:rFonts w:hint="eastAsia" w:ascii="宋体" w:hAnsi="宋体" w:eastAsia="宋体" w:cs="宋体"/>
          <w:sz w:val="24"/>
          <w:szCs w:val="24"/>
        </w:rPr>
        <w:t>9.8防汛度汛</w:t>
      </w:r>
      <w:bookmarkEnd w:id="607"/>
      <w:bookmarkEnd w:id="608"/>
      <w:bookmarkEnd w:id="609"/>
      <w:bookmarkEnd w:id="610"/>
      <w:bookmarkEnd w:id="611"/>
    </w:p>
    <w:p w14:paraId="76668615">
      <w:pPr>
        <w:pStyle w:val="4"/>
        <w:rPr>
          <w:rFonts w:hint="eastAsia" w:ascii="宋体" w:hAnsi="宋体" w:eastAsia="宋体" w:cs="宋体"/>
          <w:sz w:val="24"/>
          <w:szCs w:val="24"/>
        </w:rPr>
      </w:pPr>
      <w:r>
        <w:rPr>
          <w:rFonts w:hint="eastAsia" w:ascii="宋体" w:hAnsi="宋体" w:eastAsia="宋体" w:cs="宋体"/>
          <w:sz w:val="24"/>
          <w:szCs w:val="24"/>
        </w:rPr>
        <w:t>9.8.1发包人负责组织工程参建单位编制本工程的度汛方案和措施。</w:t>
      </w:r>
    </w:p>
    <w:p w14:paraId="74118158">
      <w:pPr>
        <w:pStyle w:val="4"/>
        <w:rPr>
          <w:rFonts w:hint="eastAsia" w:ascii="宋体" w:hAnsi="宋体" w:eastAsia="宋体" w:cs="宋体"/>
          <w:sz w:val="24"/>
          <w:szCs w:val="24"/>
        </w:rPr>
      </w:pPr>
      <w:r>
        <w:rPr>
          <w:rFonts w:hint="eastAsia" w:ascii="宋体" w:hAnsi="宋体" w:eastAsia="宋体" w:cs="宋体"/>
          <w:sz w:val="24"/>
          <w:szCs w:val="24"/>
        </w:rPr>
        <w:t>9.8.2承包人应根据发包人编制的本工程度汛方案和措施，制定相应的度汛方案，报发包人批准后实施。</w:t>
      </w:r>
    </w:p>
    <w:p w14:paraId="1CBC41DB">
      <w:pPr>
        <w:pStyle w:val="6"/>
        <w:numPr>
          <w:ilvl w:val="0"/>
          <w:numId w:val="0"/>
        </w:numPr>
        <w:bidi w:val="0"/>
        <w:ind w:left="482" w:leftChars="0"/>
        <w:rPr>
          <w:rFonts w:hint="eastAsia" w:ascii="宋体" w:hAnsi="宋体" w:eastAsia="宋体" w:cs="宋体"/>
          <w:sz w:val="24"/>
          <w:szCs w:val="24"/>
        </w:rPr>
      </w:pPr>
      <w:bookmarkStart w:id="612" w:name="_Toc14710340"/>
      <w:bookmarkStart w:id="613" w:name="bookmark1149"/>
      <w:bookmarkStart w:id="614" w:name="bookmark1150"/>
      <w:bookmarkStart w:id="615" w:name="bookmark1151"/>
      <w:bookmarkStart w:id="616" w:name="_Toc27960"/>
      <w:r>
        <w:rPr>
          <w:rFonts w:hint="eastAsia" w:ascii="宋体" w:hAnsi="宋体" w:eastAsia="宋体" w:cs="宋体"/>
          <w:sz w:val="24"/>
          <w:szCs w:val="24"/>
        </w:rPr>
        <w:t>10.进度计划</w:t>
      </w:r>
      <w:bookmarkEnd w:id="612"/>
      <w:bookmarkEnd w:id="613"/>
      <w:bookmarkEnd w:id="614"/>
      <w:bookmarkEnd w:id="615"/>
      <w:bookmarkEnd w:id="616"/>
    </w:p>
    <w:p w14:paraId="7B643FB8">
      <w:pPr>
        <w:pStyle w:val="6"/>
        <w:numPr>
          <w:ilvl w:val="0"/>
          <w:numId w:val="0"/>
        </w:numPr>
        <w:bidi w:val="0"/>
        <w:ind w:left="482" w:leftChars="0"/>
        <w:rPr>
          <w:rFonts w:hint="eastAsia" w:ascii="宋体" w:hAnsi="宋体" w:eastAsia="宋体" w:cs="宋体"/>
          <w:sz w:val="24"/>
          <w:szCs w:val="24"/>
        </w:rPr>
      </w:pPr>
      <w:bookmarkStart w:id="617" w:name="_Toc14710341"/>
      <w:bookmarkStart w:id="618" w:name="bookmark1154"/>
      <w:bookmarkStart w:id="619" w:name="bookmark1153"/>
      <w:bookmarkStart w:id="620" w:name="_Toc15277"/>
      <w:bookmarkStart w:id="621" w:name="bookmark1152"/>
      <w:r>
        <w:rPr>
          <w:rFonts w:hint="eastAsia" w:ascii="宋体" w:hAnsi="宋体" w:eastAsia="宋体" w:cs="宋体"/>
          <w:sz w:val="24"/>
          <w:szCs w:val="24"/>
        </w:rPr>
        <w:t>10.1合同进度计划</w:t>
      </w:r>
      <w:bookmarkEnd w:id="617"/>
      <w:bookmarkEnd w:id="618"/>
      <w:bookmarkEnd w:id="619"/>
      <w:bookmarkEnd w:id="620"/>
      <w:bookmarkEnd w:id="621"/>
    </w:p>
    <w:p w14:paraId="35C9AB4C">
      <w:pPr>
        <w:pStyle w:val="4"/>
        <w:rPr>
          <w:rFonts w:hint="eastAsia" w:ascii="宋体" w:hAnsi="宋体" w:eastAsia="宋体" w:cs="宋体"/>
          <w:sz w:val="24"/>
          <w:szCs w:val="24"/>
        </w:rPr>
      </w:pPr>
      <w:r>
        <w:rPr>
          <w:rFonts w:hint="eastAsia" w:ascii="宋体" w:hAnsi="宋体" w:eastAsia="宋体" w:cs="宋体"/>
          <w:sz w:val="24"/>
          <w:szCs w:val="24"/>
        </w:rPr>
        <w:t>承包人应按技术标准和要求（合同技术条款）约定的内容和期限以及监理人的指示, 编制详细的施工总进度计划及其说明提交监理人审批。监理人应在技术标准和要求（合同 技术条款）约定的期限内批复承包人，否则该进度计划视为已得到批准。经监理人批准的 施工进度计划称为合同进度计划，是控制合同工程进度的依据。承包人还应根据合同进度 计划，编制更为详细的分阶段或单位工程或分部工程进度计划，报监理人审批。</w:t>
      </w:r>
    </w:p>
    <w:p w14:paraId="52008FD7">
      <w:pPr>
        <w:pStyle w:val="6"/>
        <w:numPr>
          <w:ilvl w:val="0"/>
          <w:numId w:val="0"/>
        </w:numPr>
        <w:bidi w:val="0"/>
        <w:ind w:left="482" w:leftChars="0"/>
        <w:rPr>
          <w:rFonts w:hint="eastAsia" w:ascii="宋体" w:hAnsi="宋体" w:eastAsia="宋体" w:cs="宋体"/>
          <w:sz w:val="24"/>
          <w:szCs w:val="24"/>
        </w:rPr>
      </w:pPr>
      <w:bookmarkStart w:id="622" w:name="_Toc14710342"/>
      <w:bookmarkStart w:id="623" w:name="bookmark1156"/>
      <w:bookmarkStart w:id="624" w:name="bookmark1155"/>
      <w:bookmarkStart w:id="625" w:name="_Toc8733"/>
      <w:bookmarkStart w:id="626" w:name="bookmark1157"/>
      <w:r>
        <w:rPr>
          <w:rFonts w:hint="eastAsia" w:ascii="宋体" w:hAnsi="宋体" w:eastAsia="宋体" w:cs="宋体"/>
          <w:sz w:val="24"/>
          <w:szCs w:val="24"/>
        </w:rPr>
        <w:t>10.2合同进度计划的修订</w:t>
      </w:r>
      <w:bookmarkEnd w:id="622"/>
      <w:bookmarkEnd w:id="623"/>
      <w:bookmarkEnd w:id="624"/>
      <w:bookmarkEnd w:id="625"/>
      <w:bookmarkEnd w:id="626"/>
    </w:p>
    <w:p w14:paraId="39EE0752">
      <w:pPr>
        <w:pStyle w:val="4"/>
        <w:rPr>
          <w:rFonts w:hint="eastAsia" w:ascii="宋体" w:hAnsi="宋体" w:eastAsia="宋体" w:cs="宋体"/>
          <w:sz w:val="24"/>
          <w:szCs w:val="24"/>
        </w:rPr>
      </w:pPr>
      <w:r>
        <w:rPr>
          <w:rFonts w:hint="eastAsia" w:ascii="宋体" w:hAnsi="宋体" w:eastAsia="宋体" w:cs="宋体"/>
          <w:sz w:val="24"/>
          <w:szCs w:val="24"/>
        </w:rPr>
        <w:t>不论何种原因造成工程的实际进度与第10. 1款的合同进度计划不符时，承包人均应在 14天内向监理人提交修订合同进度计划的申请报告，并附有关措施和相关资料，报监理人审批；监理人应在收到申请报告后的14天内批复。当监理人认为需要修订合同进度计划 时，承包人应按监理人的指示，在14天内向监理人提交修订的合同进度计划，并附调整计 划的相关资料，提交监理人审批。监理人应在收到进度计划后的14天内批复。</w:t>
      </w:r>
    </w:p>
    <w:p w14:paraId="248045D1">
      <w:pPr>
        <w:pStyle w:val="4"/>
        <w:rPr>
          <w:rFonts w:hint="eastAsia" w:ascii="宋体" w:hAnsi="宋体" w:eastAsia="宋体" w:cs="宋体"/>
          <w:sz w:val="24"/>
          <w:szCs w:val="24"/>
        </w:rPr>
      </w:pPr>
      <w:r>
        <w:rPr>
          <w:rFonts w:hint="eastAsia" w:ascii="宋体" w:hAnsi="宋体" w:eastAsia="宋体" w:cs="宋体"/>
          <w:sz w:val="24"/>
          <w:szCs w:val="24"/>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 3款的约定办理；由于承包人原因造成施工进度延迟，应按第11. 5款的约定办理。</w:t>
      </w:r>
    </w:p>
    <w:p w14:paraId="55C7DEC2">
      <w:pPr>
        <w:pStyle w:val="6"/>
        <w:numPr>
          <w:ilvl w:val="0"/>
          <w:numId w:val="0"/>
        </w:numPr>
        <w:bidi w:val="0"/>
        <w:ind w:left="482" w:leftChars="0"/>
        <w:rPr>
          <w:rFonts w:hint="eastAsia" w:ascii="宋体" w:hAnsi="宋体" w:eastAsia="宋体" w:cs="宋体"/>
          <w:sz w:val="24"/>
          <w:szCs w:val="24"/>
        </w:rPr>
      </w:pPr>
      <w:bookmarkStart w:id="627" w:name="bookmark1159"/>
      <w:bookmarkStart w:id="628" w:name="bookmark1160"/>
      <w:bookmarkStart w:id="629" w:name="_Toc14710343"/>
      <w:bookmarkStart w:id="630" w:name="_Toc25361"/>
      <w:bookmarkStart w:id="631" w:name="bookmark1158"/>
      <w:r>
        <w:rPr>
          <w:rFonts w:hint="eastAsia" w:ascii="宋体" w:hAnsi="宋体" w:eastAsia="宋体" w:cs="宋体"/>
          <w:sz w:val="24"/>
          <w:szCs w:val="24"/>
        </w:rPr>
        <w:t>10.3单位工程进度计划</w:t>
      </w:r>
      <w:bookmarkEnd w:id="627"/>
      <w:bookmarkEnd w:id="628"/>
      <w:bookmarkEnd w:id="629"/>
      <w:bookmarkEnd w:id="630"/>
      <w:bookmarkEnd w:id="631"/>
    </w:p>
    <w:p w14:paraId="0CEBA4E3">
      <w:pPr>
        <w:pStyle w:val="4"/>
        <w:rPr>
          <w:rFonts w:hint="eastAsia" w:ascii="宋体" w:hAnsi="宋体" w:eastAsia="宋体" w:cs="宋体"/>
          <w:sz w:val="24"/>
          <w:szCs w:val="24"/>
        </w:rPr>
      </w:pPr>
      <w:r>
        <w:rPr>
          <w:rFonts w:hint="eastAsia" w:ascii="宋体" w:hAnsi="宋体" w:eastAsia="宋体" w:cs="宋体"/>
          <w:sz w:val="24"/>
          <w:szCs w:val="24"/>
        </w:rPr>
        <w:t>监理人认为有必要时，承包人应按监理人指示的内容和期限，并根据合同进度计划的进度控制要求，编制单位工程进度计划，提交监理人审批。</w:t>
      </w:r>
    </w:p>
    <w:p w14:paraId="14BDA667">
      <w:pPr>
        <w:pStyle w:val="6"/>
        <w:numPr>
          <w:ilvl w:val="0"/>
          <w:numId w:val="0"/>
        </w:numPr>
        <w:bidi w:val="0"/>
        <w:ind w:left="482" w:leftChars="0"/>
        <w:rPr>
          <w:rFonts w:hint="eastAsia" w:ascii="宋体" w:hAnsi="宋体" w:eastAsia="宋体" w:cs="宋体"/>
          <w:sz w:val="24"/>
          <w:szCs w:val="24"/>
        </w:rPr>
      </w:pPr>
      <w:bookmarkStart w:id="632" w:name="_Toc14710344"/>
      <w:bookmarkStart w:id="633" w:name="bookmark1162"/>
      <w:bookmarkStart w:id="634" w:name="bookmark1161"/>
      <w:bookmarkStart w:id="635" w:name="bookmark1163"/>
      <w:bookmarkStart w:id="636" w:name="_Toc18009"/>
      <w:r>
        <w:rPr>
          <w:rFonts w:hint="eastAsia" w:ascii="宋体" w:hAnsi="宋体" w:eastAsia="宋体" w:cs="宋体"/>
          <w:sz w:val="24"/>
          <w:szCs w:val="24"/>
        </w:rPr>
        <w:t>10.4提交资金流估算表</w:t>
      </w:r>
      <w:bookmarkEnd w:id="632"/>
      <w:bookmarkEnd w:id="633"/>
      <w:bookmarkEnd w:id="634"/>
      <w:bookmarkEnd w:id="635"/>
      <w:bookmarkEnd w:id="636"/>
    </w:p>
    <w:p w14:paraId="62E196C7">
      <w:pPr>
        <w:pStyle w:val="4"/>
        <w:rPr>
          <w:rFonts w:hint="eastAsia" w:ascii="宋体" w:hAnsi="宋体" w:eastAsia="宋体" w:cs="宋体"/>
          <w:sz w:val="24"/>
          <w:szCs w:val="24"/>
        </w:rPr>
      </w:pPr>
      <w:r>
        <w:rPr>
          <w:rFonts w:hint="eastAsia" w:ascii="宋体" w:hAnsi="宋体" w:eastAsia="宋体" w:cs="宋体"/>
          <w:sz w:val="24"/>
          <w:szCs w:val="24"/>
        </w:rPr>
        <w:t>承包人应在按第10. 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3F0ABD1B">
      <w:pPr>
        <w:pStyle w:val="4"/>
        <w:rPr>
          <w:rFonts w:hint="eastAsia" w:ascii="宋体" w:hAnsi="宋体" w:eastAsia="宋体" w:cs="宋体"/>
          <w:sz w:val="24"/>
          <w:szCs w:val="24"/>
        </w:rPr>
      </w:pPr>
      <w:r>
        <w:rPr>
          <w:rFonts w:hint="eastAsia" w:ascii="宋体" w:hAnsi="宋体" w:eastAsia="宋体" w:cs="宋体"/>
          <w:sz w:val="24"/>
          <w:szCs w:val="24"/>
        </w:rPr>
        <w:t>资金流估算表（参考格式）</w:t>
      </w:r>
      <w:r>
        <w:rPr>
          <w:rFonts w:hint="eastAsia" w:ascii="宋体" w:hAnsi="宋体" w:eastAsia="宋体" w:cs="宋体"/>
          <w:sz w:val="24"/>
          <w:szCs w:val="24"/>
        </w:rPr>
        <w:tab/>
      </w:r>
      <w:r>
        <w:rPr>
          <w:rFonts w:hint="eastAsia" w:ascii="宋体" w:hAnsi="宋体" w:eastAsia="宋体" w:cs="宋体"/>
          <w:sz w:val="24"/>
          <w:szCs w:val="24"/>
        </w:rPr>
        <w:t>金额单位</w:t>
      </w:r>
    </w:p>
    <w:tbl>
      <w:tblPr>
        <w:tblStyle w:val="25"/>
        <w:tblW w:w="0" w:type="auto"/>
        <w:jc w:val="center"/>
        <w:tblLayout w:type="fixed"/>
        <w:tblCellMar>
          <w:top w:w="0" w:type="dxa"/>
          <w:left w:w="10" w:type="dxa"/>
          <w:bottom w:w="0" w:type="dxa"/>
          <w:right w:w="10" w:type="dxa"/>
        </w:tblCellMar>
      </w:tblPr>
      <w:tblGrid>
        <w:gridCol w:w="458"/>
        <w:gridCol w:w="336"/>
        <w:gridCol w:w="1022"/>
        <w:gridCol w:w="1416"/>
        <w:gridCol w:w="1022"/>
        <w:gridCol w:w="1018"/>
        <w:gridCol w:w="1022"/>
        <w:gridCol w:w="451"/>
        <w:gridCol w:w="682"/>
        <w:gridCol w:w="1142"/>
      </w:tblGrid>
      <w:tr w14:paraId="1005AFBA">
        <w:tblPrEx>
          <w:tblCellMar>
            <w:top w:w="0" w:type="dxa"/>
            <w:left w:w="10" w:type="dxa"/>
            <w:bottom w:w="0" w:type="dxa"/>
            <w:right w:w="10" w:type="dxa"/>
          </w:tblCellMar>
        </w:tblPrEx>
        <w:trPr>
          <w:trHeight w:val="1003" w:hRule="exact"/>
          <w:jc w:val="center"/>
        </w:trPr>
        <w:tc>
          <w:tcPr>
            <w:tcW w:w="458" w:type="dxa"/>
            <w:tcBorders>
              <w:top w:val="single" w:color="auto" w:sz="4" w:space="0"/>
              <w:left w:val="single" w:color="auto" w:sz="4" w:space="0"/>
            </w:tcBorders>
            <w:shd w:val="clear" w:color="auto" w:fill="FFFFFF"/>
            <w:noWrap w:val="0"/>
            <w:vAlign w:val="center"/>
          </w:tcPr>
          <w:p w14:paraId="2533CF18">
            <w:pPr>
              <w:pStyle w:val="40"/>
              <w:spacing w:line="440" w:lineRule="exact"/>
              <w:ind w:firstLine="0"/>
              <w:rPr>
                <w:rFonts w:hint="eastAsia" w:ascii="宋体" w:hAnsi="宋体" w:eastAsia="宋体" w:cs="宋体"/>
                <w:sz w:val="24"/>
                <w:szCs w:val="24"/>
              </w:rPr>
            </w:pPr>
            <w:r>
              <w:rPr>
                <w:rFonts w:hint="eastAsia" w:ascii="宋体" w:hAnsi="宋体" w:eastAsia="宋体" w:cs="宋体"/>
                <w:sz w:val="24"/>
                <w:szCs w:val="24"/>
              </w:rPr>
              <w:t>年</w:t>
            </w:r>
          </w:p>
        </w:tc>
        <w:tc>
          <w:tcPr>
            <w:tcW w:w="336" w:type="dxa"/>
            <w:tcBorders>
              <w:top w:val="single" w:color="auto" w:sz="4" w:space="0"/>
              <w:left w:val="single" w:color="auto" w:sz="4" w:space="0"/>
            </w:tcBorders>
            <w:shd w:val="clear" w:color="auto" w:fill="FFFFFF"/>
            <w:noWrap w:val="0"/>
            <w:vAlign w:val="center"/>
          </w:tcPr>
          <w:p w14:paraId="429E1D4B">
            <w:pPr>
              <w:pStyle w:val="40"/>
              <w:spacing w:line="440" w:lineRule="exact"/>
              <w:ind w:firstLine="0"/>
              <w:rPr>
                <w:rFonts w:hint="eastAsia" w:ascii="宋体" w:hAnsi="宋体" w:eastAsia="宋体" w:cs="宋体"/>
                <w:sz w:val="24"/>
                <w:szCs w:val="24"/>
              </w:rPr>
            </w:pPr>
            <w:r>
              <w:rPr>
                <w:rFonts w:hint="eastAsia" w:ascii="宋体" w:hAnsi="宋体" w:eastAsia="宋体" w:cs="宋体"/>
                <w:sz w:val="24"/>
                <w:szCs w:val="24"/>
              </w:rPr>
              <w:t>月</w:t>
            </w:r>
          </w:p>
        </w:tc>
        <w:tc>
          <w:tcPr>
            <w:tcW w:w="1022" w:type="dxa"/>
            <w:tcBorders>
              <w:top w:val="single" w:color="auto" w:sz="4" w:space="0"/>
              <w:left w:val="single" w:color="auto" w:sz="4" w:space="0"/>
            </w:tcBorders>
            <w:shd w:val="clear" w:color="auto" w:fill="FFFFFF"/>
            <w:noWrap w:val="0"/>
            <w:vAlign w:val="center"/>
          </w:tcPr>
          <w:p w14:paraId="4836DA78">
            <w:pPr>
              <w:pStyle w:val="40"/>
              <w:spacing w:line="440" w:lineRule="exact"/>
              <w:ind w:firstLine="0"/>
              <w:rPr>
                <w:rFonts w:hint="eastAsia" w:ascii="宋体" w:hAnsi="宋体" w:eastAsia="宋体" w:cs="宋体"/>
                <w:sz w:val="24"/>
                <w:szCs w:val="24"/>
              </w:rPr>
            </w:pPr>
            <w:r>
              <w:rPr>
                <w:rFonts w:hint="eastAsia" w:ascii="宋体" w:hAnsi="宋体" w:eastAsia="宋体" w:cs="宋体"/>
                <w:sz w:val="24"/>
                <w:szCs w:val="24"/>
              </w:rPr>
              <w:t>工程预付款</w:t>
            </w:r>
          </w:p>
        </w:tc>
        <w:tc>
          <w:tcPr>
            <w:tcW w:w="1416" w:type="dxa"/>
            <w:tcBorders>
              <w:top w:val="single" w:color="auto" w:sz="4" w:space="0"/>
              <w:left w:val="single" w:color="auto" w:sz="4" w:space="0"/>
            </w:tcBorders>
            <w:shd w:val="clear" w:color="auto" w:fill="FFFFFF"/>
            <w:noWrap w:val="0"/>
            <w:vAlign w:val="center"/>
          </w:tcPr>
          <w:p w14:paraId="1BBE03CE">
            <w:pPr>
              <w:pStyle w:val="40"/>
              <w:spacing w:line="440" w:lineRule="exact"/>
              <w:ind w:firstLine="0"/>
              <w:rPr>
                <w:rFonts w:hint="eastAsia" w:ascii="宋体" w:hAnsi="宋体" w:eastAsia="宋体" w:cs="宋体"/>
                <w:sz w:val="24"/>
                <w:szCs w:val="24"/>
              </w:rPr>
            </w:pPr>
            <w:r>
              <w:rPr>
                <w:rFonts w:hint="eastAsia" w:ascii="宋体" w:hAnsi="宋体" w:eastAsia="宋体" w:cs="宋体"/>
                <w:sz w:val="24"/>
                <w:szCs w:val="24"/>
              </w:rPr>
              <w:t>完成工作量付款</w:t>
            </w:r>
          </w:p>
        </w:tc>
        <w:tc>
          <w:tcPr>
            <w:tcW w:w="1022" w:type="dxa"/>
            <w:tcBorders>
              <w:top w:val="single" w:color="auto" w:sz="4" w:space="0"/>
              <w:left w:val="single" w:color="auto" w:sz="4" w:space="0"/>
            </w:tcBorders>
            <w:shd w:val="clear" w:color="auto" w:fill="FFFFFF"/>
            <w:noWrap w:val="0"/>
            <w:vAlign w:val="center"/>
          </w:tcPr>
          <w:p w14:paraId="2C783DDD">
            <w:pPr>
              <w:pStyle w:val="40"/>
              <w:spacing w:line="440" w:lineRule="exact"/>
              <w:ind w:firstLine="0"/>
              <w:rPr>
                <w:rFonts w:hint="eastAsia" w:ascii="宋体" w:hAnsi="宋体" w:eastAsia="宋体" w:cs="宋体"/>
                <w:sz w:val="24"/>
                <w:szCs w:val="24"/>
              </w:rPr>
            </w:pPr>
            <w:r>
              <w:rPr>
                <w:rFonts w:hint="eastAsia" w:ascii="宋体" w:hAnsi="宋体" w:eastAsia="宋体" w:cs="宋体"/>
                <w:sz w:val="24"/>
                <w:szCs w:val="24"/>
              </w:rPr>
              <w:t>保留金扣留</w:t>
            </w:r>
          </w:p>
        </w:tc>
        <w:tc>
          <w:tcPr>
            <w:tcW w:w="1018" w:type="dxa"/>
            <w:tcBorders>
              <w:top w:val="single" w:color="auto" w:sz="4" w:space="0"/>
              <w:left w:val="single" w:color="auto" w:sz="4" w:space="0"/>
            </w:tcBorders>
            <w:shd w:val="clear" w:color="auto" w:fill="FFFFFF"/>
            <w:noWrap w:val="0"/>
            <w:vAlign w:val="center"/>
          </w:tcPr>
          <w:p w14:paraId="09DCC61B">
            <w:pPr>
              <w:pStyle w:val="40"/>
              <w:spacing w:line="440" w:lineRule="exact"/>
              <w:ind w:firstLine="0"/>
              <w:rPr>
                <w:rFonts w:hint="eastAsia" w:ascii="宋体" w:hAnsi="宋体" w:eastAsia="宋体" w:cs="宋体"/>
                <w:sz w:val="24"/>
                <w:szCs w:val="24"/>
              </w:rPr>
            </w:pPr>
            <w:r>
              <w:rPr>
                <w:rFonts w:hint="eastAsia" w:ascii="宋体" w:hAnsi="宋体" w:eastAsia="宋体" w:cs="宋体"/>
                <w:sz w:val="24"/>
                <w:szCs w:val="24"/>
              </w:rPr>
              <w:t>材料款扣除</w:t>
            </w:r>
          </w:p>
        </w:tc>
        <w:tc>
          <w:tcPr>
            <w:tcW w:w="1022" w:type="dxa"/>
            <w:tcBorders>
              <w:top w:val="single" w:color="auto" w:sz="4" w:space="0"/>
              <w:left w:val="single" w:color="auto" w:sz="4" w:space="0"/>
            </w:tcBorders>
            <w:shd w:val="clear" w:color="auto" w:fill="FFFFFF"/>
            <w:noWrap w:val="0"/>
            <w:vAlign w:val="center"/>
          </w:tcPr>
          <w:p w14:paraId="70D210F8">
            <w:pPr>
              <w:pStyle w:val="40"/>
              <w:spacing w:line="440" w:lineRule="exact"/>
              <w:ind w:firstLine="0"/>
              <w:rPr>
                <w:rFonts w:hint="eastAsia" w:ascii="宋体" w:hAnsi="宋体" w:eastAsia="宋体" w:cs="宋体"/>
                <w:sz w:val="24"/>
                <w:szCs w:val="24"/>
              </w:rPr>
            </w:pPr>
            <w:r>
              <w:rPr>
                <w:rFonts w:hint="eastAsia" w:ascii="宋体" w:hAnsi="宋体" w:eastAsia="宋体" w:cs="宋体"/>
                <w:sz w:val="24"/>
                <w:szCs w:val="24"/>
              </w:rPr>
              <w:t>预付款扣还</w:t>
            </w:r>
          </w:p>
        </w:tc>
        <w:tc>
          <w:tcPr>
            <w:tcW w:w="451" w:type="dxa"/>
            <w:tcBorders>
              <w:top w:val="single" w:color="auto" w:sz="4" w:space="0"/>
              <w:left w:val="single" w:color="auto" w:sz="4" w:space="0"/>
            </w:tcBorders>
            <w:shd w:val="clear" w:color="auto" w:fill="FFFFFF"/>
            <w:noWrap w:val="0"/>
            <w:vAlign w:val="center"/>
          </w:tcPr>
          <w:p w14:paraId="1657DA51">
            <w:pPr>
              <w:pStyle w:val="40"/>
              <w:spacing w:line="440" w:lineRule="exact"/>
              <w:ind w:firstLine="0"/>
              <w:rPr>
                <w:rFonts w:hint="eastAsia" w:ascii="宋体" w:hAnsi="宋体" w:eastAsia="宋体" w:cs="宋体"/>
                <w:sz w:val="24"/>
                <w:szCs w:val="24"/>
              </w:rPr>
            </w:pPr>
            <w:r>
              <w:rPr>
                <w:rFonts w:hint="eastAsia" w:ascii="宋体" w:hAnsi="宋体" w:eastAsia="宋体" w:cs="宋体"/>
                <w:sz w:val="24"/>
                <w:szCs w:val="24"/>
              </w:rPr>
              <w:t>其他</w:t>
            </w:r>
          </w:p>
        </w:tc>
        <w:tc>
          <w:tcPr>
            <w:tcW w:w="682" w:type="dxa"/>
            <w:tcBorders>
              <w:top w:val="single" w:color="auto" w:sz="4" w:space="0"/>
              <w:left w:val="single" w:color="auto" w:sz="4" w:space="0"/>
            </w:tcBorders>
            <w:shd w:val="clear" w:color="auto" w:fill="FFFFFF"/>
            <w:noWrap w:val="0"/>
            <w:vAlign w:val="center"/>
          </w:tcPr>
          <w:p w14:paraId="327F71C0">
            <w:pPr>
              <w:pStyle w:val="40"/>
              <w:spacing w:line="440" w:lineRule="exact"/>
              <w:ind w:firstLine="0"/>
              <w:rPr>
                <w:rFonts w:hint="eastAsia" w:ascii="宋体" w:hAnsi="宋体" w:eastAsia="宋体" w:cs="宋体"/>
                <w:sz w:val="24"/>
                <w:szCs w:val="24"/>
              </w:rPr>
            </w:pPr>
            <w:r>
              <w:rPr>
                <w:rFonts w:hint="eastAsia" w:ascii="宋体" w:hAnsi="宋体" w:eastAsia="宋体" w:cs="宋体"/>
                <w:sz w:val="24"/>
                <w:szCs w:val="24"/>
              </w:rPr>
              <w:t>应收款</w:t>
            </w:r>
          </w:p>
        </w:tc>
        <w:tc>
          <w:tcPr>
            <w:tcW w:w="1142" w:type="dxa"/>
            <w:tcBorders>
              <w:top w:val="single" w:color="auto" w:sz="4" w:space="0"/>
              <w:left w:val="single" w:color="auto" w:sz="4" w:space="0"/>
              <w:right w:val="single" w:color="auto" w:sz="4" w:space="0"/>
            </w:tcBorders>
            <w:shd w:val="clear" w:color="auto" w:fill="FFFFFF"/>
            <w:noWrap w:val="0"/>
            <w:vAlign w:val="center"/>
          </w:tcPr>
          <w:p w14:paraId="25A31FAD">
            <w:pPr>
              <w:pStyle w:val="40"/>
              <w:spacing w:line="440" w:lineRule="exact"/>
              <w:ind w:firstLine="0"/>
              <w:rPr>
                <w:rFonts w:hint="eastAsia" w:ascii="宋体" w:hAnsi="宋体" w:eastAsia="宋体" w:cs="宋体"/>
                <w:sz w:val="24"/>
                <w:szCs w:val="24"/>
              </w:rPr>
            </w:pPr>
            <w:r>
              <w:rPr>
                <w:rFonts w:hint="eastAsia" w:ascii="宋体" w:hAnsi="宋体" w:eastAsia="宋体" w:cs="宋体"/>
                <w:sz w:val="24"/>
                <w:szCs w:val="24"/>
              </w:rPr>
              <w:t>累计应收款</w:t>
            </w:r>
          </w:p>
        </w:tc>
      </w:tr>
      <w:tr w14:paraId="47E8EDBE">
        <w:tblPrEx>
          <w:tblCellMar>
            <w:top w:w="0" w:type="dxa"/>
            <w:left w:w="10" w:type="dxa"/>
            <w:bottom w:w="0" w:type="dxa"/>
            <w:right w:w="10" w:type="dxa"/>
          </w:tblCellMar>
        </w:tblPrEx>
        <w:trPr>
          <w:trHeight w:val="456" w:hRule="exact"/>
          <w:jc w:val="center"/>
        </w:trPr>
        <w:tc>
          <w:tcPr>
            <w:tcW w:w="458" w:type="dxa"/>
            <w:tcBorders>
              <w:top w:val="single" w:color="auto" w:sz="4" w:space="0"/>
              <w:left w:val="single" w:color="auto" w:sz="4" w:space="0"/>
            </w:tcBorders>
            <w:shd w:val="clear" w:color="auto" w:fill="FFFFFF"/>
            <w:noWrap w:val="0"/>
            <w:vAlign w:val="top"/>
          </w:tcPr>
          <w:p w14:paraId="69E24CB6">
            <w:pPr>
              <w:spacing w:line="440" w:lineRule="exact"/>
              <w:jc w:val="left"/>
              <w:rPr>
                <w:rFonts w:hint="eastAsia" w:ascii="宋体" w:hAnsi="宋体" w:eastAsia="宋体" w:cs="宋体"/>
                <w:sz w:val="24"/>
                <w:szCs w:val="24"/>
              </w:rPr>
            </w:pPr>
          </w:p>
        </w:tc>
        <w:tc>
          <w:tcPr>
            <w:tcW w:w="336" w:type="dxa"/>
            <w:tcBorders>
              <w:top w:val="single" w:color="auto" w:sz="4" w:space="0"/>
              <w:left w:val="single" w:color="auto" w:sz="4" w:space="0"/>
            </w:tcBorders>
            <w:shd w:val="clear" w:color="auto" w:fill="FFFFFF"/>
            <w:noWrap w:val="0"/>
            <w:vAlign w:val="top"/>
          </w:tcPr>
          <w:p w14:paraId="5A456B4B">
            <w:pPr>
              <w:spacing w:line="440" w:lineRule="exact"/>
              <w:jc w:val="left"/>
              <w:rPr>
                <w:rFonts w:hint="eastAsia" w:ascii="宋体" w:hAnsi="宋体" w:eastAsia="宋体" w:cs="宋体"/>
                <w:sz w:val="24"/>
                <w:szCs w:val="24"/>
              </w:rPr>
            </w:pPr>
          </w:p>
        </w:tc>
        <w:tc>
          <w:tcPr>
            <w:tcW w:w="1022" w:type="dxa"/>
            <w:tcBorders>
              <w:top w:val="single" w:color="auto" w:sz="4" w:space="0"/>
              <w:left w:val="single" w:color="auto" w:sz="4" w:space="0"/>
            </w:tcBorders>
            <w:shd w:val="clear" w:color="auto" w:fill="FFFFFF"/>
            <w:noWrap w:val="0"/>
            <w:vAlign w:val="top"/>
          </w:tcPr>
          <w:p w14:paraId="3C29F485">
            <w:pPr>
              <w:spacing w:line="440" w:lineRule="exact"/>
              <w:jc w:val="left"/>
              <w:rPr>
                <w:rFonts w:hint="eastAsia" w:ascii="宋体" w:hAnsi="宋体" w:eastAsia="宋体" w:cs="宋体"/>
                <w:sz w:val="24"/>
                <w:szCs w:val="24"/>
              </w:rPr>
            </w:pPr>
          </w:p>
        </w:tc>
        <w:tc>
          <w:tcPr>
            <w:tcW w:w="1416" w:type="dxa"/>
            <w:tcBorders>
              <w:top w:val="single" w:color="auto" w:sz="4" w:space="0"/>
              <w:left w:val="single" w:color="auto" w:sz="4" w:space="0"/>
            </w:tcBorders>
            <w:shd w:val="clear" w:color="auto" w:fill="FFFFFF"/>
            <w:noWrap w:val="0"/>
            <w:vAlign w:val="top"/>
          </w:tcPr>
          <w:p w14:paraId="171989F2">
            <w:pPr>
              <w:spacing w:line="440" w:lineRule="exact"/>
              <w:jc w:val="left"/>
              <w:rPr>
                <w:rFonts w:hint="eastAsia" w:ascii="宋体" w:hAnsi="宋体" w:eastAsia="宋体" w:cs="宋体"/>
                <w:sz w:val="24"/>
                <w:szCs w:val="24"/>
              </w:rPr>
            </w:pPr>
          </w:p>
        </w:tc>
        <w:tc>
          <w:tcPr>
            <w:tcW w:w="1022" w:type="dxa"/>
            <w:tcBorders>
              <w:top w:val="single" w:color="auto" w:sz="4" w:space="0"/>
              <w:left w:val="single" w:color="auto" w:sz="4" w:space="0"/>
            </w:tcBorders>
            <w:shd w:val="clear" w:color="auto" w:fill="FFFFFF"/>
            <w:noWrap w:val="0"/>
            <w:vAlign w:val="top"/>
          </w:tcPr>
          <w:p w14:paraId="539C6D3C">
            <w:pPr>
              <w:spacing w:line="440" w:lineRule="exact"/>
              <w:jc w:val="left"/>
              <w:rPr>
                <w:rFonts w:hint="eastAsia" w:ascii="宋体" w:hAnsi="宋体" w:eastAsia="宋体" w:cs="宋体"/>
                <w:sz w:val="24"/>
                <w:szCs w:val="24"/>
              </w:rPr>
            </w:pPr>
          </w:p>
        </w:tc>
        <w:tc>
          <w:tcPr>
            <w:tcW w:w="1018" w:type="dxa"/>
            <w:tcBorders>
              <w:top w:val="single" w:color="auto" w:sz="4" w:space="0"/>
              <w:left w:val="single" w:color="auto" w:sz="4" w:space="0"/>
            </w:tcBorders>
            <w:shd w:val="clear" w:color="auto" w:fill="FFFFFF"/>
            <w:noWrap w:val="0"/>
            <w:vAlign w:val="top"/>
          </w:tcPr>
          <w:p w14:paraId="0D1465E1">
            <w:pPr>
              <w:spacing w:line="440" w:lineRule="exact"/>
              <w:jc w:val="left"/>
              <w:rPr>
                <w:rFonts w:hint="eastAsia" w:ascii="宋体" w:hAnsi="宋体" w:eastAsia="宋体" w:cs="宋体"/>
                <w:sz w:val="24"/>
                <w:szCs w:val="24"/>
              </w:rPr>
            </w:pPr>
          </w:p>
        </w:tc>
        <w:tc>
          <w:tcPr>
            <w:tcW w:w="1022" w:type="dxa"/>
            <w:tcBorders>
              <w:top w:val="single" w:color="auto" w:sz="4" w:space="0"/>
              <w:left w:val="single" w:color="auto" w:sz="4" w:space="0"/>
            </w:tcBorders>
            <w:shd w:val="clear" w:color="auto" w:fill="FFFFFF"/>
            <w:noWrap w:val="0"/>
            <w:vAlign w:val="top"/>
          </w:tcPr>
          <w:p w14:paraId="42DA2512">
            <w:pPr>
              <w:spacing w:line="440" w:lineRule="exact"/>
              <w:jc w:val="left"/>
              <w:rPr>
                <w:rFonts w:hint="eastAsia" w:ascii="宋体" w:hAnsi="宋体" w:eastAsia="宋体" w:cs="宋体"/>
                <w:sz w:val="24"/>
                <w:szCs w:val="24"/>
              </w:rPr>
            </w:pPr>
          </w:p>
        </w:tc>
        <w:tc>
          <w:tcPr>
            <w:tcW w:w="451" w:type="dxa"/>
            <w:tcBorders>
              <w:top w:val="single" w:color="auto" w:sz="4" w:space="0"/>
              <w:left w:val="single" w:color="auto" w:sz="4" w:space="0"/>
            </w:tcBorders>
            <w:shd w:val="clear" w:color="auto" w:fill="FFFFFF"/>
            <w:noWrap w:val="0"/>
            <w:vAlign w:val="top"/>
          </w:tcPr>
          <w:p w14:paraId="59F61627">
            <w:pPr>
              <w:spacing w:line="440" w:lineRule="exact"/>
              <w:jc w:val="left"/>
              <w:rPr>
                <w:rFonts w:hint="eastAsia" w:ascii="宋体" w:hAnsi="宋体" w:eastAsia="宋体" w:cs="宋体"/>
                <w:sz w:val="24"/>
                <w:szCs w:val="24"/>
              </w:rPr>
            </w:pPr>
          </w:p>
        </w:tc>
        <w:tc>
          <w:tcPr>
            <w:tcW w:w="682" w:type="dxa"/>
            <w:tcBorders>
              <w:top w:val="single" w:color="auto" w:sz="4" w:space="0"/>
              <w:left w:val="single" w:color="auto" w:sz="4" w:space="0"/>
            </w:tcBorders>
            <w:shd w:val="clear" w:color="auto" w:fill="FFFFFF"/>
            <w:noWrap w:val="0"/>
            <w:vAlign w:val="top"/>
          </w:tcPr>
          <w:p w14:paraId="4B6C85F3">
            <w:pPr>
              <w:spacing w:line="440" w:lineRule="exact"/>
              <w:jc w:val="left"/>
              <w:rPr>
                <w:rFonts w:hint="eastAsia" w:ascii="宋体" w:hAnsi="宋体" w:eastAsia="宋体" w:cs="宋体"/>
                <w:sz w:val="24"/>
                <w:szCs w:val="24"/>
              </w:rPr>
            </w:pPr>
          </w:p>
        </w:tc>
        <w:tc>
          <w:tcPr>
            <w:tcW w:w="1142" w:type="dxa"/>
            <w:tcBorders>
              <w:top w:val="single" w:color="auto" w:sz="4" w:space="0"/>
              <w:left w:val="single" w:color="auto" w:sz="4" w:space="0"/>
              <w:right w:val="single" w:color="auto" w:sz="4" w:space="0"/>
            </w:tcBorders>
            <w:shd w:val="clear" w:color="auto" w:fill="FFFFFF"/>
            <w:noWrap w:val="0"/>
            <w:vAlign w:val="top"/>
          </w:tcPr>
          <w:p w14:paraId="791A82A3">
            <w:pPr>
              <w:spacing w:line="440" w:lineRule="exact"/>
              <w:jc w:val="left"/>
              <w:rPr>
                <w:rFonts w:hint="eastAsia" w:ascii="宋体" w:hAnsi="宋体" w:eastAsia="宋体" w:cs="宋体"/>
                <w:sz w:val="24"/>
                <w:szCs w:val="24"/>
              </w:rPr>
            </w:pPr>
          </w:p>
        </w:tc>
      </w:tr>
      <w:tr w14:paraId="7EF77919">
        <w:tblPrEx>
          <w:tblCellMar>
            <w:top w:w="0" w:type="dxa"/>
            <w:left w:w="10" w:type="dxa"/>
            <w:bottom w:w="0" w:type="dxa"/>
            <w:right w:w="10" w:type="dxa"/>
          </w:tblCellMar>
        </w:tblPrEx>
        <w:trPr>
          <w:trHeight w:val="456" w:hRule="exact"/>
          <w:jc w:val="center"/>
        </w:trPr>
        <w:tc>
          <w:tcPr>
            <w:tcW w:w="458" w:type="dxa"/>
            <w:tcBorders>
              <w:top w:val="single" w:color="auto" w:sz="4" w:space="0"/>
              <w:left w:val="single" w:color="auto" w:sz="4" w:space="0"/>
            </w:tcBorders>
            <w:shd w:val="clear" w:color="auto" w:fill="FFFFFF"/>
            <w:noWrap w:val="0"/>
            <w:vAlign w:val="top"/>
          </w:tcPr>
          <w:p w14:paraId="2582BCB8">
            <w:pPr>
              <w:spacing w:line="440" w:lineRule="exact"/>
              <w:jc w:val="left"/>
              <w:rPr>
                <w:rFonts w:hint="eastAsia" w:ascii="宋体" w:hAnsi="宋体" w:eastAsia="宋体" w:cs="宋体"/>
                <w:sz w:val="24"/>
                <w:szCs w:val="24"/>
              </w:rPr>
            </w:pPr>
          </w:p>
        </w:tc>
        <w:tc>
          <w:tcPr>
            <w:tcW w:w="336" w:type="dxa"/>
            <w:tcBorders>
              <w:top w:val="single" w:color="auto" w:sz="4" w:space="0"/>
              <w:left w:val="single" w:color="auto" w:sz="4" w:space="0"/>
            </w:tcBorders>
            <w:shd w:val="clear" w:color="auto" w:fill="FFFFFF"/>
            <w:noWrap w:val="0"/>
            <w:vAlign w:val="top"/>
          </w:tcPr>
          <w:p w14:paraId="38E92FD8">
            <w:pPr>
              <w:spacing w:line="440" w:lineRule="exact"/>
              <w:jc w:val="left"/>
              <w:rPr>
                <w:rFonts w:hint="eastAsia" w:ascii="宋体" w:hAnsi="宋体" w:eastAsia="宋体" w:cs="宋体"/>
                <w:sz w:val="24"/>
                <w:szCs w:val="24"/>
              </w:rPr>
            </w:pPr>
          </w:p>
        </w:tc>
        <w:tc>
          <w:tcPr>
            <w:tcW w:w="1022" w:type="dxa"/>
            <w:tcBorders>
              <w:top w:val="single" w:color="auto" w:sz="4" w:space="0"/>
              <w:left w:val="single" w:color="auto" w:sz="4" w:space="0"/>
            </w:tcBorders>
            <w:shd w:val="clear" w:color="auto" w:fill="FFFFFF"/>
            <w:noWrap w:val="0"/>
            <w:vAlign w:val="top"/>
          </w:tcPr>
          <w:p w14:paraId="24A702B9">
            <w:pPr>
              <w:spacing w:line="440" w:lineRule="exact"/>
              <w:jc w:val="left"/>
              <w:rPr>
                <w:rFonts w:hint="eastAsia" w:ascii="宋体" w:hAnsi="宋体" w:eastAsia="宋体" w:cs="宋体"/>
                <w:sz w:val="24"/>
                <w:szCs w:val="24"/>
              </w:rPr>
            </w:pPr>
          </w:p>
        </w:tc>
        <w:tc>
          <w:tcPr>
            <w:tcW w:w="1416" w:type="dxa"/>
            <w:tcBorders>
              <w:top w:val="single" w:color="auto" w:sz="4" w:space="0"/>
              <w:left w:val="single" w:color="auto" w:sz="4" w:space="0"/>
            </w:tcBorders>
            <w:shd w:val="clear" w:color="auto" w:fill="FFFFFF"/>
            <w:noWrap w:val="0"/>
            <w:vAlign w:val="top"/>
          </w:tcPr>
          <w:p w14:paraId="25168B5A">
            <w:pPr>
              <w:spacing w:line="440" w:lineRule="exact"/>
              <w:jc w:val="left"/>
              <w:rPr>
                <w:rFonts w:hint="eastAsia" w:ascii="宋体" w:hAnsi="宋体" w:eastAsia="宋体" w:cs="宋体"/>
                <w:sz w:val="24"/>
                <w:szCs w:val="24"/>
              </w:rPr>
            </w:pPr>
          </w:p>
        </w:tc>
        <w:tc>
          <w:tcPr>
            <w:tcW w:w="1022" w:type="dxa"/>
            <w:tcBorders>
              <w:top w:val="single" w:color="auto" w:sz="4" w:space="0"/>
              <w:left w:val="single" w:color="auto" w:sz="4" w:space="0"/>
            </w:tcBorders>
            <w:shd w:val="clear" w:color="auto" w:fill="FFFFFF"/>
            <w:noWrap w:val="0"/>
            <w:vAlign w:val="top"/>
          </w:tcPr>
          <w:p w14:paraId="2593B581">
            <w:pPr>
              <w:spacing w:line="440" w:lineRule="exact"/>
              <w:jc w:val="left"/>
              <w:rPr>
                <w:rFonts w:hint="eastAsia" w:ascii="宋体" w:hAnsi="宋体" w:eastAsia="宋体" w:cs="宋体"/>
                <w:sz w:val="24"/>
                <w:szCs w:val="24"/>
              </w:rPr>
            </w:pPr>
          </w:p>
        </w:tc>
        <w:tc>
          <w:tcPr>
            <w:tcW w:w="1018" w:type="dxa"/>
            <w:tcBorders>
              <w:top w:val="single" w:color="auto" w:sz="4" w:space="0"/>
              <w:left w:val="single" w:color="auto" w:sz="4" w:space="0"/>
            </w:tcBorders>
            <w:shd w:val="clear" w:color="auto" w:fill="FFFFFF"/>
            <w:noWrap w:val="0"/>
            <w:vAlign w:val="top"/>
          </w:tcPr>
          <w:p w14:paraId="44977321">
            <w:pPr>
              <w:spacing w:line="440" w:lineRule="exact"/>
              <w:jc w:val="left"/>
              <w:rPr>
                <w:rFonts w:hint="eastAsia" w:ascii="宋体" w:hAnsi="宋体" w:eastAsia="宋体" w:cs="宋体"/>
                <w:sz w:val="24"/>
                <w:szCs w:val="24"/>
              </w:rPr>
            </w:pPr>
          </w:p>
        </w:tc>
        <w:tc>
          <w:tcPr>
            <w:tcW w:w="1022" w:type="dxa"/>
            <w:tcBorders>
              <w:top w:val="single" w:color="auto" w:sz="4" w:space="0"/>
              <w:left w:val="single" w:color="auto" w:sz="4" w:space="0"/>
            </w:tcBorders>
            <w:shd w:val="clear" w:color="auto" w:fill="FFFFFF"/>
            <w:noWrap w:val="0"/>
            <w:vAlign w:val="top"/>
          </w:tcPr>
          <w:p w14:paraId="6AF4ECCB">
            <w:pPr>
              <w:spacing w:line="440" w:lineRule="exact"/>
              <w:jc w:val="left"/>
              <w:rPr>
                <w:rFonts w:hint="eastAsia" w:ascii="宋体" w:hAnsi="宋体" w:eastAsia="宋体" w:cs="宋体"/>
                <w:sz w:val="24"/>
                <w:szCs w:val="24"/>
              </w:rPr>
            </w:pPr>
          </w:p>
        </w:tc>
        <w:tc>
          <w:tcPr>
            <w:tcW w:w="451" w:type="dxa"/>
            <w:tcBorders>
              <w:top w:val="single" w:color="auto" w:sz="4" w:space="0"/>
              <w:left w:val="single" w:color="auto" w:sz="4" w:space="0"/>
            </w:tcBorders>
            <w:shd w:val="clear" w:color="auto" w:fill="FFFFFF"/>
            <w:noWrap w:val="0"/>
            <w:vAlign w:val="top"/>
          </w:tcPr>
          <w:p w14:paraId="2A2CAAB1">
            <w:pPr>
              <w:spacing w:line="440" w:lineRule="exact"/>
              <w:jc w:val="left"/>
              <w:rPr>
                <w:rFonts w:hint="eastAsia" w:ascii="宋体" w:hAnsi="宋体" w:eastAsia="宋体" w:cs="宋体"/>
                <w:sz w:val="24"/>
                <w:szCs w:val="24"/>
              </w:rPr>
            </w:pPr>
          </w:p>
        </w:tc>
        <w:tc>
          <w:tcPr>
            <w:tcW w:w="682" w:type="dxa"/>
            <w:tcBorders>
              <w:top w:val="single" w:color="auto" w:sz="4" w:space="0"/>
              <w:left w:val="single" w:color="auto" w:sz="4" w:space="0"/>
            </w:tcBorders>
            <w:shd w:val="clear" w:color="auto" w:fill="FFFFFF"/>
            <w:noWrap w:val="0"/>
            <w:vAlign w:val="top"/>
          </w:tcPr>
          <w:p w14:paraId="03EC06B1">
            <w:pPr>
              <w:spacing w:line="440" w:lineRule="exact"/>
              <w:jc w:val="left"/>
              <w:rPr>
                <w:rFonts w:hint="eastAsia" w:ascii="宋体" w:hAnsi="宋体" w:eastAsia="宋体" w:cs="宋体"/>
                <w:sz w:val="24"/>
                <w:szCs w:val="24"/>
              </w:rPr>
            </w:pPr>
          </w:p>
        </w:tc>
        <w:tc>
          <w:tcPr>
            <w:tcW w:w="1142" w:type="dxa"/>
            <w:tcBorders>
              <w:top w:val="single" w:color="auto" w:sz="4" w:space="0"/>
              <w:left w:val="single" w:color="auto" w:sz="4" w:space="0"/>
              <w:right w:val="single" w:color="auto" w:sz="4" w:space="0"/>
            </w:tcBorders>
            <w:shd w:val="clear" w:color="auto" w:fill="FFFFFF"/>
            <w:noWrap w:val="0"/>
            <w:vAlign w:val="top"/>
          </w:tcPr>
          <w:p w14:paraId="6CC1C297">
            <w:pPr>
              <w:spacing w:line="440" w:lineRule="exact"/>
              <w:jc w:val="left"/>
              <w:rPr>
                <w:rFonts w:hint="eastAsia" w:ascii="宋体" w:hAnsi="宋体" w:eastAsia="宋体" w:cs="宋体"/>
                <w:sz w:val="24"/>
                <w:szCs w:val="24"/>
              </w:rPr>
            </w:pPr>
          </w:p>
        </w:tc>
      </w:tr>
      <w:tr w14:paraId="37B9BE52">
        <w:tblPrEx>
          <w:tblCellMar>
            <w:top w:w="0" w:type="dxa"/>
            <w:left w:w="10" w:type="dxa"/>
            <w:bottom w:w="0" w:type="dxa"/>
            <w:right w:w="10" w:type="dxa"/>
          </w:tblCellMar>
        </w:tblPrEx>
        <w:trPr>
          <w:trHeight w:val="461" w:hRule="exact"/>
          <w:jc w:val="center"/>
        </w:trPr>
        <w:tc>
          <w:tcPr>
            <w:tcW w:w="458" w:type="dxa"/>
            <w:tcBorders>
              <w:top w:val="single" w:color="auto" w:sz="4" w:space="0"/>
              <w:left w:val="single" w:color="auto" w:sz="4" w:space="0"/>
              <w:bottom w:val="single" w:color="auto" w:sz="4" w:space="0"/>
            </w:tcBorders>
            <w:shd w:val="clear" w:color="auto" w:fill="FFFFFF"/>
            <w:noWrap w:val="0"/>
            <w:vAlign w:val="top"/>
          </w:tcPr>
          <w:p w14:paraId="5BB32F2A">
            <w:pPr>
              <w:spacing w:line="440" w:lineRule="exact"/>
              <w:jc w:val="left"/>
              <w:rPr>
                <w:rFonts w:hint="eastAsia" w:ascii="宋体" w:hAnsi="宋体" w:eastAsia="宋体" w:cs="宋体"/>
                <w:sz w:val="24"/>
                <w:szCs w:val="24"/>
              </w:rPr>
            </w:pPr>
          </w:p>
        </w:tc>
        <w:tc>
          <w:tcPr>
            <w:tcW w:w="336" w:type="dxa"/>
            <w:tcBorders>
              <w:top w:val="single" w:color="auto" w:sz="4" w:space="0"/>
              <w:left w:val="single" w:color="auto" w:sz="4" w:space="0"/>
              <w:bottom w:val="single" w:color="auto" w:sz="4" w:space="0"/>
            </w:tcBorders>
            <w:shd w:val="clear" w:color="auto" w:fill="FFFFFF"/>
            <w:noWrap w:val="0"/>
            <w:vAlign w:val="top"/>
          </w:tcPr>
          <w:p w14:paraId="22C20A4F">
            <w:pPr>
              <w:spacing w:line="440" w:lineRule="exact"/>
              <w:jc w:val="left"/>
              <w:rPr>
                <w:rFonts w:hint="eastAsia" w:ascii="宋体" w:hAnsi="宋体" w:eastAsia="宋体" w:cs="宋体"/>
                <w:sz w:val="24"/>
                <w:szCs w:val="24"/>
              </w:rPr>
            </w:pPr>
          </w:p>
        </w:tc>
        <w:tc>
          <w:tcPr>
            <w:tcW w:w="1022" w:type="dxa"/>
            <w:tcBorders>
              <w:top w:val="single" w:color="auto" w:sz="4" w:space="0"/>
              <w:left w:val="single" w:color="auto" w:sz="4" w:space="0"/>
              <w:bottom w:val="single" w:color="auto" w:sz="4" w:space="0"/>
            </w:tcBorders>
            <w:shd w:val="clear" w:color="auto" w:fill="FFFFFF"/>
            <w:noWrap w:val="0"/>
            <w:vAlign w:val="top"/>
          </w:tcPr>
          <w:p w14:paraId="58DBE2ED">
            <w:pPr>
              <w:spacing w:line="440" w:lineRule="exact"/>
              <w:jc w:val="left"/>
              <w:rPr>
                <w:rFonts w:hint="eastAsia" w:ascii="宋体" w:hAnsi="宋体" w:eastAsia="宋体" w:cs="宋体"/>
                <w:sz w:val="24"/>
                <w:szCs w:val="24"/>
              </w:rPr>
            </w:pPr>
          </w:p>
        </w:tc>
        <w:tc>
          <w:tcPr>
            <w:tcW w:w="1416" w:type="dxa"/>
            <w:tcBorders>
              <w:top w:val="single" w:color="auto" w:sz="4" w:space="0"/>
              <w:left w:val="single" w:color="auto" w:sz="4" w:space="0"/>
              <w:bottom w:val="single" w:color="auto" w:sz="4" w:space="0"/>
            </w:tcBorders>
            <w:shd w:val="clear" w:color="auto" w:fill="FFFFFF"/>
            <w:noWrap w:val="0"/>
            <w:vAlign w:val="top"/>
          </w:tcPr>
          <w:p w14:paraId="252AEC0D">
            <w:pPr>
              <w:spacing w:line="440" w:lineRule="exact"/>
              <w:jc w:val="left"/>
              <w:rPr>
                <w:rFonts w:hint="eastAsia" w:ascii="宋体" w:hAnsi="宋体" w:eastAsia="宋体" w:cs="宋体"/>
                <w:sz w:val="24"/>
                <w:szCs w:val="24"/>
              </w:rPr>
            </w:pPr>
          </w:p>
        </w:tc>
        <w:tc>
          <w:tcPr>
            <w:tcW w:w="1022" w:type="dxa"/>
            <w:tcBorders>
              <w:top w:val="single" w:color="auto" w:sz="4" w:space="0"/>
              <w:left w:val="single" w:color="auto" w:sz="4" w:space="0"/>
              <w:bottom w:val="single" w:color="auto" w:sz="4" w:space="0"/>
            </w:tcBorders>
            <w:shd w:val="clear" w:color="auto" w:fill="FFFFFF"/>
            <w:noWrap w:val="0"/>
            <w:vAlign w:val="top"/>
          </w:tcPr>
          <w:p w14:paraId="0F3433CB">
            <w:pPr>
              <w:spacing w:line="440" w:lineRule="exact"/>
              <w:jc w:val="left"/>
              <w:rPr>
                <w:rFonts w:hint="eastAsia" w:ascii="宋体" w:hAnsi="宋体" w:eastAsia="宋体" w:cs="宋体"/>
                <w:sz w:val="24"/>
                <w:szCs w:val="24"/>
              </w:rPr>
            </w:pPr>
          </w:p>
        </w:tc>
        <w:tc>
          <w:tcPr>
            <w:tcW w:w="1018" w:type="dxa"/>
            <w:tcBorders>
              <w:top w:val="single" w:color="auto" w:sz="4" w:space="0"/>
              <w:left w:val="single" w:color="auto" w:sz="4" w:space="0"/>
              <w:bottom w:val="single" w:color="auto" w:sz="4" w:space="0"/>
            </w:tcBorders>
            <w:shd w:val="clear" w:color="auto" w:fill="FFFFFF"/>
            <w:noWrap w:val="0"/>
            <w:vAlign w:val="top"/>
          </w:tcPr>
          <w:p w14:paraId="349875C8">
            <w:pPr>
              <w:spacing w:line="440" w:lineRule="exact"/>
              <w:jc w:val="left"/>
              <w:rPr>
                <w:rFonts w:hint="eastAsia" w:ascii="宋体" w:hAnsi="宋体" w:eastAsia="宋体" w:cs="宋体"/>
                <w:sz w:val="24"/>
                <w:szCs w:val="24"/>
              </w:rPr>
            </w:pPr>
          </w:p>
        </w:tc>
        <w:tc>
          <w:tcPr>
            <w:tcW w:w="1022" w:type="dxa"/>
            <w:tcBorders>
              <w:top w:val="single" w:color="auto" w:sz="4" w:space="0"/>
              <w:left w:val="single" w:color="auto" w:sz="4" w:space="0"/>
              <w:bottom w:val="single" w:color="auto" w:sz="4" w:space="0"/>
            </w:tcBorders>
            <w:shd w:val="clear" w:color="auto" w:fill="FFFFFF"/>
            <w:noWrap w:val="0"/>
            <w:vAlign w:val="top"/>
          </w:tcPr>
          <w:p w14:paraId="5B2C95E5">
            <w:pPr>
              <w:spacing w:line="440" w:lineRule="exact"/>
              <w:jc w:val="left"/>
              <w:rPr>
                <w:rFonts w:hint="eastAsia" w:ascii="宋体" w:hAnsi="宋体" w:eastAsia="宋体" w:cs="宋体"/>
                <w:sz w:val="24"/>
                <w:szCs w:val="24"/>
              </w:rPr>
            </w:pPr>
          </w:p>
        </w:tc>
        <w:tc>
          <w:tcPr>
            <w:tcW w:w="451" w:type="dxa"/>
            <w:tcBorders>
              <w:top w:val="single" w:color="auto" w:sz="4" w:space="0"/>
              <w:left w:val="single" w:color="auto" w:sz="4" w:space="0"/>
              <w:bottom w:val="single" w:color="auto" w:sz="4" w:space="0"/>
            </w:tcBorders>
            <w:shd w:val="clear" w:color="auto" w:fill="FFFFFF"/>
            <w:noWrap w:val="0"/>
            <w:vAlign w:val="top"/>
          </w:tcPr>
          <w:p w14:paraId="206C9424">
            <w:pPr>
              <w:spacing w:line="440" w:lineRule="exact"/>
              <w:jc w:val="left"/>
              <w:rPr>
                <w:rFonts w:hint="eastAsia" w:ascii="宋体" w:hAnsi="宋体" w:eastAsia="宋体" w:cs="宋体"/>
                <w:sz w:val="24"/>
                <w:szCs w:val="24"/>
              </w:rPr>
            </w:pPr>
          </w:p>
        </w:tc>
        <w:tc>
          <w:tcPr>
            <w:tcW w:w="682" w:type="dxa"/>
            <w:tcBorders>
              <w:top w:val="single" w:color="auto" w:sz="4" w:space="0"/>
              <w:left w:val="single" w:color="auto" w:sz="4" w:space="0"/>
              <w:bottom w:val="single" w:color="auto" w:sz="4" w:space="0"/>
            </w:tcBorders>
            <w:shd w:val="clear" w:color="auto" w:fill="FFFFFF"/>
            <w:noWrap w:val="0"/>
            <w:vAlign w:val="top"/>
          </w:tcPr>
          <w:p w14:paraId="2E622CB6">
            <w:pPr>
              <w:spacing w:line="440" w:lineRule="exact"/>
              <w:jc w:val="left"/>
              <w:rPr>
                <w:rFonts w:hint="eastAsia" w:ascii="宋体" w:hAnsi="宋体" w:eastAsia="宋体" w:cs="宋体"/>
                <w:sz w:val="24"/>
                <w:szCs w:val="24"/>
              </w:rPr>
            </w:pPr>
          </w:p>
        </w:tc>
        <w:tc>
          <w:tcPr>
            <w:tcW w:w="114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DCB4B49">
            <w:pPr>
              <w:spacing w:line="440" w:lineRule="exact"/>
              <w:jc w:val="left"/>
              <w:rPr>
                <w:rFonts w:hint="eastAsia" w:ascii="宋体" w:hAnsi="宋体" w:eastAsia="宋体" w:cs="宋体"/>
                <w:sz w:val="24"/>
                <w:szCs w:val="24"/>
              </w:rPr>
            </w:pPr>
          </w:p>
        </w:tc>
      </w:tr>
    </w:tbl>
    <w:p w14:paraId="440888B9">
      <w:pPr>
        <w:pStyle w:val="6"/>
        <w:numPr>
          <w:ilvl w:val="0"/>
          <w:numId w:val="0"/>
        </w:numPr>
        <w:bidi w:val="0"/>
        <w:ind w:left="482" w:leftChars="0"/>
        <w:rPr>
          <w:rFonts w:hint="eastAsia" w:ascii="宋体" w:hAnsi="宋体" w:eastAsia="宋体" w:cs="宋体"/>
          <w:sz w:val="24"/>
          <w:szCs w:val="24"/>
        </w:rPr>
      </w:pPr>
      <w:bookmarkStart w:id="637" w:name="bookmark1166"/>
      <w:bookmarkEnd w:id="637"/>
      <w:bookmarkStart w:id="638" w:name="_Toc24903"/>
      <w:bookmarkStart w:id="639" w:name="bookmark1167"/>
      <w:bookmarkStart w:id="640" w:name="bookmark1165"/>
      <w:bookmarkStart w:id="641" w:name="_Toc14710345"/>
      <w:bookmarkStart w:id="642" w:name="bookmark1164"/>
      <w:r>
        <w:rPr>
          <w:rFonts w:hint="eastAsia" w:ascii="宋体" w:hAnsi="宋体" w:eastAsia="宋体" w:cs="宋体"/>
          <w:sz w:val="24"/>
          <w:szCs w:val="24"/>
        </w:rPr>
        <w:t>11. 开工和竣工（完工）</w:t>
      </w:r>
      <w:bookmarkEnd w:id="638"/>
      <w:bookmarkEnd w:id="639"/>
      <w:bookmarkEnd w:id="640"/>
      <w:bookmarkEnd w:id="641"/>
      <w:bookmarkEnd w:id="642"/>
    </w:p>
    <w:p w14:paraId="6C4CAD1F">
      <w:pPr>
        <w:pStyle w:val="6"/>
        <w:numPr>
          <w:ilvl w:val="0"/>
          <w:numId w:val="0"/>
        </w:numPr>
        <w:bidi w:val="0"/>
        <w:ind w:left="482" w:leftChars="0"/>
        <w:rPr>
          <w:rFonts w:hint="eastAsia" w:ascii="宋体" w:hAnsi="宋体" w:eastAsia="宋体" w:cs="宋体"/>
          <w:sz w:val="24"/>
          <w:szCs w:val="24"/>
        </w:rPr>
      </w:pPr>
      <w:bookmarkStart w:id="643" w:name="bookmark1169"/>
      <w:bookmarkStart w:id="644" w:name="_Toc14710346"/>
      <w:bookmarkStart w:id="645" w:name="bookmark1170"/>
      <w:bookmarkStart w:id="646" w:name="bookmark1168"/>
      <w:bookmarkStart w:id="647" w:name="_Toc23713"/>
      <w:r>
        <w:rPr>
          <w:rFonts w:hint="eastAsia" w:ascii="宋体" w:hAnsi="宋体" w:eastAsia="宋体" w:cs="宋体"/>
          <w:sz w:val="24"/>
          <w:szCs w:val="24"/>
        </w:rPr>
        <w:t>11.1 开工</w:t>
      </w:r>
      <w:bookmarkEnd w:id="643"/>
      <w:bookmarkEnd w:id="644"/>
      <w:bookmarkEnd w:id="645"/>
      <w:bookmarkEnd w:id="646"/>
      <w:bookmarkEnd w:id="647"/>
    </w:p>
    <w:p w14:paraId="78B87EF0">
      <w:pPr>
        <w:pStyle w:val="4"/>
        <w:rPr>
          <w:rFonts w:hint="eastAsia" w:ascii="宋体" w:hAnsi="宋体" w:eastAsia="宋体" w:cs="宋体"/>
          <w:sz w:val="24"/>
          <w:szCs w:val="24"/>
        </w:rPr>
      </w:pPr>
      <w:r>
        <w:rPr>
          <w:rFonts w:hint="eastAsia" w:ascii="宋体" w:hAnsi="宋体" w:eastAsia="宋体" w:cs="宋体"/>
          <w:sz w:val="24"/>
          <w:szCs w:val="24"/>
        </w:rPr>
        <w:t>11.1.1监理人应在开工日期7天前向承包人发出开工通知。监理人在发出开工通知前应获得发包人同意。工期自监理人发出的开工通知中载明的开工日期起计算。承包人应 在开工日期后尽快施工。</w:t>
      </w:r>
    </w:p>
    <w:p w14:paraId="7859395D">
      <w:pPr>
        <w:pStyle w:val="4"/>
        <w:rPr>
          <w:rFonts w:hint="eastAsia" w:ascii="宋体" w:hAnsi="宋体" w:eastAsia="宋体" w:cs="宋体"/>
          <w:sz w:val="24"/>
          <w:szCs w:val="24"/>
        </w:rPr>
      </w:pPr>
      <w:r>
        <w:rPr>
          <w:rFonts w:hint="eastAsia" w:ascii="宋体" w:hAnsi="宋体" w:eastAsia="宋体" w:cs="宋体"/>
          <w:sz w:val="24"/>
          <w:szCs w:val="24"/>
        </w:rPr>
        <w:t>11.1.2承包人应按第10. 1款约定的合同进度计划，向监理人提交工程开工报审表, 经监理人审批后执行。开工报审表应详细说明按合同进度计划正常施工所需的施工道路、临时设施、材料设备、施工人员等施工组织措施的落实情况以及工程的进度安排。</w:t>
      </w:r>
    </w:p>
    <w:p w14:paraId="0F04A25F">
      <w:pPr>
        <w:pStyle w:val="4"/>
        <w:rPr>
          <w:rFonts w:hint="eastAsia" w:ascii="宋体" w:hAnsi="宋体" w:eastAsia="宋体" w:cs="宋体"/>
          <w:sz w:val="24"/>
          <w:szCs w:val="24"/>
        </w:rPr>
      </w:pPr>
      <w:r>
        <w:rPr>
          <w:rFonts w:hint="eastAsia" w:ascii="宋体" w:hAnsi="宋体" w:eastAsia="宋体" w:cs="宋体"/>
          <w:sz w:val="24"/>
          <w:szCs w:val="24"/>
        </w:rPr>
        <w:t>11.1.3若发包人未能按合同约定向承包人提供开工的必要条件，承包人有权要求延 长工期。监理人应在收到承包人的书面要求后，按第3. 5款的约定，与合同双方商定或确定增加的费用和延长的工期。</w:t>
      </w:r>
    </w:p>
    <w:p w14:paraId="303A8D8B">
      <w:pPr>
        <w:pStyle w:val="4"/>
        <w:rPr>
          <w:rFonts w:hint="eastAsia" w:ascii="宋体" w:hAnsi="宋体" w:eastAsia="宋体" w:cs="宋体"/>
          <w:sz w:val="24"/>
          <w:szCs w:val="24"/>
        </w:rPr>
      </w:pPr>
      <w:r>
        <w:rPr>
          <w:rFonts w:hint="eastAsia" w:ascii="宋体" w:hAnsi="宋体" w:eastAsia="宋体" w:cs="宋体"/>
          <w:sz w:val="24"/>
          <w:szCs w:val="24"/>
        </w:rPr>
        <w:t>11.1.4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14:paraId="621A8D6B">
      <w:pPr>
        <w:pStyle w:val="6"/>
        <w:numPr>
          <w:ilvl w:val="0"/>
          <w:numId w:val="0"/>
        </w:numPr>
        <w:bidi w:val="0"/>
        <w:ind w:left="482" w:leftChars="0"/>
        <w:rPr>
          <w:rFonts w:hint="eastAsia" w:ascii="宋体" w:hAnsi="宋体" w:eastAsia="宋体" w:cs="宋体"/>
          <w:sz w:val="24"/>
          <w:szCs w:val="24"/>
        </w:rPr>
      </w:pPr>
      <w:bookmarkStart w:id="648" w:name="bookmark1171"/>
      <w:bookmarkStart w:id="649" w:name="bookmark1172"/>
      <w:bookmarkStart w:id="650" w:name="_Toc14710347"/>
      <w:bookmarkStart w:id="651" w:name="_Toc29025"/>
      <w:bookmarkStart w:id="652" w:name="bookmark1173"/>
      <w:r>
        <w:rPr>
          <w:rFonts w:hint="eastAsia" w:ascii="宋体" w:hAnsi="宋体" w:eastAsia="宋体" w:cs="宋体"/>
          <w:sz w:val="24"/>
          <w:szCs w:val="24"/>
        </w:rPr>
        <w:t>11.2竣工(完工)</w:t>
      </w:r>
      <w:bookmarkEnd w:id="648"/>
      <w:bookmarkEnd w:id="649"/>
      <w:bookmarkEnd w:id="650"/>
      <w:bookmarkEnd w:id="651"/>
      <w:bookmarkEnd w:id="652"/>
    </w:p>
    <w:p w14:paraId="51BC016A">
      <w:pPr>
        <w:pStyle w:val="4"/>
        <w:rPr>
          <w:rFonts w:hint="eastAsia" w:ascii="宋体" w:hAnsi="宋体" w:eastAsia="宋体" w:cs="宋体"/>
          <w:sz w:val="24"/>
          <w:szCs w:val="24"/>
        </w:rPr>
      </w:pPr>
      <w:r>
        <w:rPr>
          <w:rFonts w:hint="eastAsia" w:ascii="宋体" w:hAnsi="宋体" w:eastAsia="宋体" w:cs="宋体"/>
          <w:sz w:val="24"/>
          <w:szCs w:val="24"/>
        </w:rPr>
        <w:t>承包人应在第1.1. 4. 3目约定的期限内完成合同工程。合同工程实际完工时间在合同工程完工证书中明确（以完工验收鉴定书或竣工验收鉴定书标明的验收日期为准，没有标明验收日期的则以印发鉴定书的日期为准）。</w:t>
      </w:r>
    </w:p>
    <w:p w14:paraId="41884CCD">
      <w:pPr>
        <w:pStyle w:val="6"/>
        <w:numPr>
          <w:ilvl w:val="0"/>
          <w:numId w:val="0"/>
        </w:numPr>
        <w:bidi w:val="0"/>
        <w:ind w:left="482" w:leftChars="0"/>
        <w:rPr>
          <w:rFonts w:hint="eastAsia" w:ascii="宋体" w:hAnsi="宋体" w:eastAsia="宋体" w:cs="宋体"/>
          <w:sz w:val="24"/>
          <w:szCs w:val="24"/>
        </w:rPr>
      </w:pPr>
      <w:bookmarkStart w:id="653" w:name="bookmark1176"/>
      <w:bookmarkStart w:id="654" w:name="bookmark1174"/>
      <w:bookmarkStart w:id="655" w:name="bookmark1175"/>
      <w:bookmarkStart w:id="656" w:name="_Toc7284"/>
      <w:bookmarkStart w:id="657" w:name="_Toc14710348"/>
      <w:r>
        <w:rPr>
          <w:rFonts w:hint="eastAsia" w:ascii="宋体" w:hAnsi="宋体" w:eastAsia="宋体" w:cs="宋体"/>
          <w:sz w:val="24"/>
          <w:szCs w:val="24"/>
        </w:rPr>
        <w:t>11.3发包人的工期延误</w:t>
      </w:r>
      <w:bookmarkEnd w:id="653"/>
      <w:bookmarkEnd w:id="654"/>
      <w:bookmarkEnd w:id="655"/>
      <w:bookmarkEnd w:id="656"/>
      <w:bookmarkEnd w:id="657"/>
    </w:p>
    <w:p w14:paraId="22A43591">
      <w:pPr>
        <w:pStyle w:val="4"/>
        <w:rPr>
          <w:rFonts w:hint="eastAsia" w:ascii="宋体" w:hAnsi="宋体" w:eastAsia="宋体" w:cs="宋体"/>
          <w:sz w:val="24"/>
          <w:szCs w:val="24"/>
        </w:rPr>
      </w:pPr>
      <w:r>
        <w:rPr>
          <w:rFonts w:hint="eastAsia" w:ascii="宋体" w:hAnsi="宋体" w:eastAsia="宋体" w:cs="宋体"/>
          <w:sz w:val="24"/>
          <w:szCs w:val="24"/>
        </w:rPr>
        <w:t>在履行合同过程中，由于发包人的下列原因造成工期延误的，承包人有权要求发包人延长工期和(或)增加费用，并支付合理利润。需要修订合同进度计划的，按照第10. 2款的约定办理。</w:t>
      </w:r>
    </w:p>
    <w:p w14:paraId="0409C38C">
      <w:pPr>
        <w:pStyle w:val="4"/>
        <w:rPr>
          <w:rFonts w:hint="eastAsia" w:ascii="宋体" w:hAnsi="宋体" w:eastAsia="宋体" w:cs="宋体"/>
          <w:sz w:val="24"/>
          <w:szCs w:val="24"/>
        </w:rPr>
      </w:pPr>
      <w:r>
        <w:rPr>
          <w:rFonts w:hint="eastAsia" w:ascii="宋体" w:hAnsi="宋体" w:eastAsia="宋体" w:cs="宋体"/>
          <w:b w:val="0"/>
          <w:i w:val="0"/>
          <w:strike w:val="0"/>
          <w:color w:val="000000"/>
          <w:sz w:val="24"/>
          <w:szCs w:val="24"/>
          <w:u w:val="none"/>
        </w:rPr>
        <w:t>(1)</w:t>
      </w:r>
      <w:r>
        <w:rPr>
          <w:rFonts w:hint="eastAsia" w:ascii="宋体" w:hAnsi="宋体" w:eastAsia="宋体" w:cs="宋体"/>
          <w:sz w:val="24"/>
          <w:szCs w:val="24"/>
        </w:rPr>
        <w:t>增加合同工作内容；</w:t>
      </w:r>
    </w:p>
    <w:p w14:paraId="047FDD48">
      <w:pPr>
        <w:pStyle w:val="4"/>
        <w:rPr>
          <w:rFonts w:hint="eastAsia" w:ascii="宋体" w:hAnsi="宋体" w:eastAsia="宋体" w:cs="宋体"/>
          <w:sz w:val="24"/>
          <w:szCs w:val="24"/>
        </w:rPr>
      </w:pPr>
      <w:r>
        <w:rPr>
          <w:rFonts w:hint="eastAsia" w:ascii="宋体" w:hAnsi="宋体" w:eastAsia="宋体" w:cs="宋体"/>
          <w:b w:val="0"/>
          <w:i w:val="0"/>
          <w:strike w:val="0"/>
          <w:color w:val="000000"/>
          <w:sz w:val="24"/>
          <w:szCs w:val="24"/>
          <w:u w:val="none"/>
        </w:rPr>
        <w:t>(2)</w:t>
      </w:r>
      <w:r>
        <w:rPr>
          <w:rFonts w:hint="eastAsia" w:ascii="宋体" w:hAnsi="宋体" w:eastAsia="宋体" w:cs="宋体"/>
          <w:sz w:val="24"/>
          <w:szCs w:val="24"/>
        </w:rPr>
        <w:t>改变合同中任何一项工作的质量要求或其他特性；</w:t>
      </w:r>
    </w:p>
    <w:p w14:paraId="53CDA2E7">
      <w:pPr>
        <w:pStyle w:val="4"/>
        <w:rPr>
          <w:rFonts w:hint="eastAsia" w:ascii="宋体" w:hAnsi="宋体" w:eastAsia="宋体" w:cs="宋体"/>
          <w:sz w:val="24"/>
          <w:szCs w:val="24"/>
        </w:rPr>
      </w:pPr>
      <w:r>
        <w:rPr>
          <w:rFonts w:hint="eastAsia" w:ascii="宋体" w:hAnsi="宋体" w:eastAsia="宋体" w:cs="宋体"/>
          <w:b w:val="0"/>
          <w:i w:val="0"/>
          <w:strike w:val="0"/>
          <w:color w:val="000000"/>
          <w:sz w:val="24"/>
          <w:szCs w:val="24"/>
          <w:u w:val="none"/>
        </w:rPr>
        <w:t>(3)</w:t>
      </w:r>
      <w:r>
        <w:rPr>
          <w:rFonts w:hint="eastAsia" w:ascii="宋体" w:hAnsi="宋体" w:eastAsia="宋体" w:cs="宋体"/>
          <w:sz w:val="24"/>
          <w:szCs w:val="24"/>
        </w:rPr>
        <w:t>发包人迟延提供材料、工程设备或变更交货地点的；</w:t>
      </w:r>
    </w:p>
    <w:p w14:paraId="565B7567">
      <w:pPr>
        <w:pStyle w:val="4"/>
        <w:rPr>
          <w:rFonts w:hint="eastAsia" w:ascii="宋体" w:hAnsi="宋体" w:eastAsia="宋体" w:cs="宋体"/>
          <w:sz w:val="24"/>
          <w:szCs w:val="24"/>
        </w:rPr>
      </w:pPr>
      <w:r>
        <w:rPr>
          <w:rFonts w:hint="eastAsia" w:ascii="宋体" w:hAnsi="宋体" w:eastAsia="宋体" w:cs="宋体"/>
          <w:b w:val="0"/>
          <w:i w:val="0"/>
          <w:strike w:val="0"/>
          <w:color w:val="000000"/>
          <w:sz w:val="24"/>
          <w:szCs w:val="24"/>
          <w:u w:val="none"/>
        </w:rPr>
        <w:t>(4)</w:t>
      </w:r>
      <w:r>
        <w:rPr>
          <w:rFonts w:hint="eastAsia" w:ascii="宋体" w:hAnsi="宋体" w:eastAsia="宋体" w:cs="宋体"/>
          <w:sz w:val="24"/>
          <w:szCs w:val="24"/>
        </w:rPr>
        <w:t>因发包人原因导致的暂停施工；</w:t>
      </w:r>
    </w:p>
    <w:p w14:paraId="3DD26290">
      <w:pPr>
        <w:pStyle w:val="4"/>
        <w:rPr>
          <w:rFonts w:hint="eastAsia" w:ascii="宋体" w:hAnsi="宋体" w:eastAsia="宋体" w:cs="宋体"/>
          <w:sz w:val="24"/>
          <w:szCs w:val="24"/>
        </w:rPr>
      </w:pPr>
      <w:r>
        <w:rPr>
          <w:rFonts w:hint="eastAsia" w:ascii="宋体" w:hAnsi="宋体" w:eastAsia="宋体" w:cs="宋体"/>
          <w:b w:val="0"/>
          <w:i w:val="0"/>
          <w:strike w:val="0"/>
          <w:color w:val="000000"/>
          <w:sz w:val="24"/>
          <w:szCs w:val="24"/>
          <w:u w:val="none"/>
        </w:rPr>
        <w:t>(5)</w:t>
      </w:r>
      <w:r>
        <w:rPr>
          <w:rFonts w:hint="eastAsia" w:ascii="宋体" w:hAnsi="宋体" w:eastAsia="宋体" w:cs="宋体"/>
          <w:sz w:val="24"/>
          <w:szCs w:val="24"/>
        </w:rPr>
        <w:t>提供图纸延误；</w:t>
      </w:r>
    </w:p>
    <w:p w14:paraId="09C45C6A">
      <w:pPr>
        <w:pStyle w:val="4"/>
        <w:rPr>
          <w:rFonts w:hint="eastAsia" w:ascii="宋体" w:hAnsi="宋体" w:eastAsia="宋体" w:cs="宋体"/>
          <w:sz w:val="24"/>
          <w:szCs w:val="24"/>
        </w:rPr>
      </w:pPr>
      <w:r>
        <w:rPr>
          <w:rFonts w:hint="eastAsia" w:ascii="宋体" w:hAnsi="宋体" w:eastAsia="宋体" w:cs="宋体"/>
          <w:b w:val="0"/>
          <w:i w:val="0"/>
          <w:strike w:val="0"/>
          <w:color w:val="000000"/>
          <w:sz w:val="24"/>
          <w:szCs w:val="24"/>
          <w:u w:val="none"/>
        </w:rPr>
        <w:t>(6)</w:t>
      </w:r>
      <w:r>
        <w:rPr>
          <w:rFonts w:hint="eastAsia" w:ascii="宋体" w:hAnsi="宋体" w:eastAsia="宋体" w:cs="宋体"/>
          <w:sz w:val="24"/>
          <w:szCs w:val="24"/>
        </w:rPr>
        <w:t>未按合同约定及时支付预付款、进度款；</w:t>
      </w:r>
    </w:p>
    <w:p w14:paraId="0DA7ECE5">
      <w:pPr>
        <w:pStyle w:val="4"/>
        <w:rPr>
          <w:rFonts w:hint="eastAsia" w:ascii="宋体" w:hAnsi="宋体" w:eastAsia="宋体" w:cs="宋体"/>
          <w:sz w:val="24"/>
          <w:szCs w:val="24"/>
        </w:rPr>
      </w:pPr>
      <w:r>
        <w:rPr>
          <w:rFonts w:hint="eastAsia" w:ascii="宋体" w:hAnsi="宋体" w:eastAsia="宋体" w:cs="宋体"/>
          <w:b w:val="0"/>
          <w:i w:val="0"/>
          <w:strike w:val="0"/>
          <w:color w:val="000000"/>
          <w:sz w:val="24"/>
          <w:szCs w:val="24"/>
          <w:u w:val="none"/>
        </w:rPr>
        <w:t>(7)</w:t>
      </w:r>
      <w:r>
        <w:rPr>
          <w:rFonts w:hint="eastAsia" w:ascii="宋体" w:hAnsi="宋体" w:eastAsia="宋体" w:cs="宋体"/>
          <w:sz w:val="24"/>
          <w:szCs w:val="24"/>
        </w:rPr>
        <w:t>发包人造成工期延误的其他原因。</w:t>
      </w:r>
    </w:p>
    <w:p w14:paraId="4D606B58">
      <w:pPr>
        <w:pStyle w:val="6"/>
        <w:numPr>
          <w:ilvl w:val="0"/>
          <w:numId w:val="0"/>
        </w:numPr>
        <w:bidi w:val="0"/>
        <w:ind w:left="482" w:leftChars="0"/>
        <w:rPr>
          <w:rFonts w:hint="eastAsia" w:ascii="宋体" w:hAnsi="宋体" w:eastAsia="宋体" w:cs="宋体"/>
          <w:sz w:val="24"/>
          <w:szCs w:val="24"/>
        </w:rPr>
      </w:pPr>
      <w:bookmarkStart w:id="658" w:name="bookmark1185"/>
      <w:bookmarkStart w:id="659" w:name="_Toc14710349"/>
      <w:bookmarkStart w:id="660" w:name="bookmark1184"/>
      <w:bookmarkStart w:id="661" w:name="bookmark1186"/>
      <w:bookmarkStart w:id="662" w:name="_Toc10371"/>
      <w:r>
        <w:rPr>
          <w:rFonts w:hint="eastAsia" w:ascii="宋体" w:hAnsi="宋体" w:eastAsia="宋体" w:cs="宋体"/>
          <w:sz w:val="24"/>
          <w:szCs w:val="24"/>
        </w:rPr>
        <w:t>11.4异常恶劣的气候条件</w:t>
      </w:r>
      <w:bookmarkEnd w:id="658"/>
      <w:bookmarkEnd w:id="659"/>
      <w:bookmarkEnd w:id="660"/>
      <w:bookmarkEnd w:id="661"/>
      <w:bookmarkEnd w:id="662"/>
    </w:p>
    <w:p w14:paraId="04E8AAC7">
      <w:pPr>
        <w:pStyle w:val="4"/>
        <w:rPr>
          <w:rFonts w:hint="eastAsia" w:ascii="宋体" w:hAnsi="宋体" w:eastAsia="宋体" w:cs="宋体"/>
          <w:sz w:val="24"/>
          <w:szCs w:val="24"/>
        </w:rPr>
      </w:pPr>
      <w:r>
        <w:rPr>
          <w:rFonts w:hint="eastAsia" w:ascii="宋体" w:hAnsi="宋体" w:eastAsia="宋体" w:cs="宋体"/>
          <w:sz w:val="24"/>
          <w:szCs w:val="24"/>
        </w:rPr>
        <w:t>11.4.1当工程所在地发生危及施工安全的异常恶劣气候时，发包人和承包人应按本合同通用合同条款第12条的约定，及时采取暂停施工或部分暂停施工措施。异常恶劣气候条件解除后，承包人应及时安排复工。</w:t>
      </w:r>
    </w:p>
    <w:p w14:paraId="6B95A716">
      <w:pPr>
        <w:pStyle w:val="4"/>
        <w:rPr>
          <w:rFonts w:hint="eastAsia" w:ascii="宋体" w:hAnsi="宋体" w:eastAsia="宋体" w:cs="宋体"/>
          <w:sz w:val="24"/>
          <w:szCs w:val="24"/>
        </w:rPr>
      </w:pPr>
      <w:r>
        <w:rPr>
          <w:rFonts w:hint="eastAsia" w:ascii="宋体" w:hAnsi="宋体" w:eastAsia="宋体" w:cs="宋体"/>
          <w:sz w:val="24"/>
          <w:szCs w:val="24"/>
        </w:rPr>
        <w:t>11.4.2异常恶劣气候条件造成的工期延误和工程损坏，应由发包人与承包人参照本合同通用合同条款第21. 3款的约定共同协商处理。</w:t>
      </w:r>
    </w:p>
    <w:p w14:paraId="749DB8C6">
      <w:pPr>
        <w:pStyle w:val="4"/>
        <w:rPr>
          <w:rFonts w:hint="eastAsia" w:ascii="宋体" w:hAnsi="宋体" w:eastAsia="宋体" w:cs="宋体"/>
          <w:sz w:val="24"/>
          <w:szCs w:val="24"/>
        </w:rPr>
      </w:pPr>
      <w:r>
        <w:rPr>
          <w:rFonts w:hint="eastAsia" w:ascii="宋体" w:hAnsi="宋体" w:eastAsia="宋体" w:cs="宋体"/>
          <w:sz w:val="24"/>
          <w:szCs w:val="24"/>
        </w:rPr>
        <w:t>11.4.3本合同工程界定异常恶劣气候条件的范围在专用合同条款中约定。</w:t>
      </w:r>
    </w:p>
    <w:p w14:paraId="443BE768">
      <w:pPr>
        <w:pStyle w:val="6"/>
        <w:numPr>
          <w:ilvl w:val="0"/>
          <w:numId w:val="0"/>
        </w:numPr>
        <w:bidi w:val="0"/>
        <w:ind w:left="482" w:leftChars="0"/>
        <w:rPr>
          <w:rFonts w:hint="eastAsia" w:ascii="宋体" w:hAnsi="宋体" w:eastAsia="宋体" w:cs="宋体"/>
          <w:sz w:val="24"/>
          <w:szCs w:val="24"/>
        </w:rPr>
      </w:pPr>
      <w:bookmarkStart w:id="663" w:name="bookmark1189"/>
      <w:bookmarkStart w:id="664" w:name="_Toc14710350"/>
      <w:bookmarkStart w:id="665" w:name="bookmark1188"/>
      <w:bookmarkStart w:id="666" w:name="_Toc1075"/>
      <w:bookmarkStart w:id="667" w:name="bookmark1187"/>
      <w:r>
        <w:rPr>
          <w:rFonts w:hint="eastAsia" w:ascii="宋体" w:hAnsi="宋体" w:eastAsia="宋体" w:cs="宋体"/>
          <w:sz w:val="24"/>
          <w:szCs w:val="24"/>
        </w:rPr>
        <w:t>11.5承包人工期延误</w:t>
      </w:r>
      <w:bookmarkEnd w:id="663"/>
      <w:bookmarkEnd w:id="664"/>
      <w:bookmarkEnd w:id="665"/>
      <w:bookmarkEnd w:id="666"/>
      <w:bookmarkEnd w:id="667"/>
    </w:p>
    <w:p w14:paraId="4A693CC6">
      <w:pPr>
        <w:pStyle w:val="4"/>
        <w:rPr>
          <w:rFonts w:hint="eastAsia" w:ascii="宋体" w:hAnsi="宋体" w:eastAsia="宋体" w:cs="宋体"/>
          <w:sz w:val="24"/>
          <w:szCs w:val="24"/>
        </w:rPr>
      </w:pPr>
      <w:r>
        <w:rPr>
          <w:rFonts w:hint="eastAsia" w:ascii="宋体" w:hAnsi="宋体" w:eastAsia="宋体" w:cs="宋体"/>
          <w:sz w:val="24"/>
          <w:szCs w:val="24"/>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7018268C">
      <w:pPr>
        <w:pStyle w:val="6"/>
        <w:numPr>
          <w:ilvl w:val="0"/>
          <w:numId w:val="0"/>
        </w:numPr>
        <w:bidi w:val="0"/>
        <w:ind w:left="482" w:leftChars="0"/>
        <w:rPr>
          <w:rFonts w:hint="eastAsia" w:ascii="宋体" w:hAnsi="宋体" w:eastAsia="宋体" w:cs="宋体"/>
          <w:sz w:val="24"/>
          <w:szCs w:val="24"/>
        </w:rPr>
      </w:pPr>
      <w:bookmarkStart w:id="668" w:name="_Toc14969"/>
      <w:bookmarkStart w:id="669" w:name="bookmark1192"/>
      <w:bookmarkStart w:id="670" w:name="bookmark1190"/>
      <w:bookmarkStart w:id="671" w:name="bookmark1191"/>
      <w:bookmarkStart w:id="672" w:name="_Toc14710351"/>
      <w:r>
        <w:rPr>
          <w:rFonts w:hint="eastAsia" w:ascii="宋体" w:hAnsi="宋体" w:eastAsia="宋体" w:cs="宋体"/>
          <w:sz w:val="24"/>
          <w:szCs w:val="24"/>
        </w:rPr>
        <w:t>11.6工期提前</w:t>
      </w:r>
      <w:bookmarkEnd w:id="668"/>
      <w:bookmarkEnd w:id="669"/>
      <w:bookmarkEnd w:id="670"/>
      <w:bookmarkEnd w:id="671"/>
      <w:bookmarkEnd w:id="672"/>
    </w:p>
    <w:p w14:paraId="59DD8795">
      <w:pPr>
        <w:pStyle w:val="4"/>
        <w:rPr>
          <w:rFonts w:hint="eastAsia" w:ascii="宋体" w:hAnsi="宋体" w:eastAsia="宋体" w:cs="宋体"/>
          <w:sz w:val="24"/>
          <w:szCs w:val="24"/>
        </w:rPr>
      </w:pPr>
      <w:r>
        <w:rPr>
          <w:rFonts w:hint="eastAsia" w:ascii="宋体" w:hAnsi="宋体" w:eastAsia="宋体" w:cs="宋体"/>
          <w:sz w:val="24"/>
          <w:szCs w:val="24"/>
        </w:rPr>
        <w:t>发包人要求承包人提前完工，或承包人提出提前完工的建议能够给发包人带来效益的， 应由监理人与承包人共同协商采取加快工程进度的措施和修订合同进度计划。发包人应承担承包人由此增加的费用，并向承包人支付专用合同条款约定的相应奖金。</w:t>
      </w:r>
    </w:p>
    <w:p w14:paraId="5CC12D5B">
      <w:pPr>
        <w:pStyle w:val="4"/>
        <w:rPr>
          <w:rFonts w:hint="eastAsia" w:ascii="宋体" w:hAnsi="宋体" w:eastAsia="宋体" w:cs="宋体"/>
          <w:sz w:val="24"/>
          <w:szCs w:val="24"/>
        </w:rPr>
      </w:pPr>
      <w:r>
        <w:rPr>
          <w:rFonts w:hint="eastAsia" w:ascii="宋体" w:hAnsi="宋体" w:eastAsia="宋体" w:cs="宋体"/>
          <w:sz w:val="24"/>
          <w:szCs w:val="24"/>
        </w:rPr>
        <w:t>发包人要求提前完工的，双方协商一致后应签订提前完工协议，协议内容包括：</w:t>
      </w:r>
    </w:p>
    <w:p w14:paraId="53104BD6">
      <w:pPr>
        <w:pStyle w:val="4"/>
        <w:rPr>
          <w:rFonts w:hint="eastAsia" w:ascii="宋体" w:hAnsi="宋体" w:eastAsia="宋体" w:cs="宋体"/>
          <w:sz w:val="24"/>
          <w:szCs w:val="24"/>
        </w:rPr>
      </w:pPr>
      <w:bookmarkStart w:id="673" w:name="bookmark1193"/>
      <w:bookmarkEnd w:id="673"/>
      <w:r>
        <w:rPr>
          <w:rFonts w:hint="eastAsia" w:ascii="宋体" w:hAnsi="宋体" w:eastAsia="宋体" w:cs="宋体"/>
          <w:b w:val="0"/>
          <w:i w:val="0"/>
          <w:strike w:val="0"/>
          <w:color w:val="000000"/>
          <w:sz w:val="24"/>
          <w:szCs w:val="24"/>
          <w:u w:val="none"/>
        </w:rPr>
        <w:t>(1)</w:t>
      </w:r>
      <w:r>
        <w:rPr>
          <w:rFonts w:hint="eastAsia" w:ascii="宋体" w:hAnsi="宋体" w:eastAsia="宋体" w:cs="宋体"/>
          <w:sz w:val="24"/>
          <w:szCs w:val="24"/>
        </w:rPr>
        <w:t>提前的时间和修订后的进度计划。</w:t>
      </w:r>
    </w:p>
    <w:p w14:paraId="4A6F604A">
      <w:pPr>
        <w:pStyle w:val="4"/>
        <w:rPr>
          <w:rFonts w:hint="eastAsia" w:ascii="宋体" w:hAnsi="宋体" w:eastAsia="宋体" w:cs="宋体"/>
          <w:sz w:val="24"/>
          <w:szCs w:val="24"/>
        </w:rPr>
      </w:pPr>
      <w:bookmarkStart w:id="674" w:name="bookmark1194"/>
      <w:bookmarkEnd w:id="674"/>
      <w:r>
        <w:rPr>
          <w:rFonts w:hint="eastAsia" w:ascii="宋体" w:hAnsi="宋体" w:eastAsia="宋体" w:cs="宋体"/>
          <w:b w:val="0"/>
          <w:i w:val="0"/>
          <w:strike w:val="0"/>
          <w:color w:val="000000"/>
          <w:sz w:val="24"/>
          <w:szCs w:val="24"/>
          <w:u w:val="none"/>
        </w:rPr>
        <w:t>(2)</w:t>
      </w:r>
      <w:r>
        <w:rPr>
          <w:rFonts w:hint="eastAsia" w:ascii="宋体" w:hAnsi="宋体" w:eastAsia="宋体" w:cs="宋体"/>
          <w:sz w:val="24"/>
          <w:szCs w:val="24"/>
        </w:rPr>
        <w:t>承包人的赶工措施。</w:t>
      </w:r>
    </w:p>
    <w:p w14:paraId="562431C7">
      <w:pPr>
        <w:pStyle w:val="4"/>
        <w:rPr>
          <w:rFonts w:hint="eastAsia" w:ascii="宋体" w:hAnsi="宋体" w:eastAsia="宋体" w:cs="宋体"/>
          <w:sz w:val="24"/>
          <w:szCs w:val="24"/>
        </w:rPr>
      </w:pPr>
      <w:r>
        <w:rPr>
          <w:rFonts w:hint="eastAsia" w:ascii="宋体" w:hAnsi="宋体" w:eastAsia="宋体" w:cs="宋体"/>
          <w:b w:val="0"/>
          <w:i w:val="0"/>
          <w:strike w:val="0"/>
          <w:color w:val="000000"/>
          <w:sz w:val="24"/>
          <w:szCs w:val="24"/>
          <w:u w:val="none"/>
        </w:rPr>
        <w:t>(3)</w:t>
      </w:r>
      <w:r>
        <w:rPr>
          <w:rFonts w:hint="eastAsia" w:ascii="宋体" w:hAnsi="宋体" w:eastAsia="宋体" w:cs="宋体"/>
          <w:sz w:val="24"/>
          <w:szCs w:val="24"/>
        </w:rPr>
        <w:t>发包人为赶工提供的条件。</w:t>
      </w:r>
    </w:p>
    <w:p w14:paraId="25D73B0C">
      <w:pPr>
        <w:pStyle w:val="4"/>
        <w:rPr>
          <w:rFonts w:hint="eastAsia" w:ascii="宋体" w:hAnsi="宋体" w:eastAsia="宋体" w:cs="宋体"/>
          <w:sz w:val="24"/>
          <w:szCs w:val="24"/>
        </w:rPr>
      </w:pPr>
      <w:bookmarkStart w:id="675" w:name="bookmark1196"/>
      <w:bookmarkEnd w:id="675"/>
      <w:r>
        <w:rPr>
          <w:rFonts w:hint="eastAsia" w:ascii="宋体" w:hAnsi="宋体" w:eastAsia="宋体" w:cs="宋体"/>
          <w:b w:val="0"/>
          <w:i w:val="0"/>
          <w:strike w:val="0"/>
          <w:color w:val="000000"/>
          <w:sz w:val="24"/>
          <w:szCs w:val="24"/>
          <w:u w:val="none"/>
        </w:rPr>
        <w:t>(4)</w:t>
      </w:r>
      <w:r>
        <w:rPr>
          <w:rFonts w:hint="eastAsia" w:ascii="宋体" w:hAnsi="宋体" w:eastAsia="宋体" w:cs="宋体"/>
          <w:sz w:val="24"/>
          <w:szCs w:val="24"/>
        </w:rPr>
        <w:t>赶工费用(包括利润和奖金)</w:t>
      </w:r>
    </w:p>
    <w:p w14:paraId="708A5D04">
      <w:pPr>
        <w:pStyle w:val="6"/>
        <w:numPr>
          <w:ilvl w:val="0"/>
          <w:numId w:val="0"/>
        </w:numPr>
        <w:bidi w:val="0"/>
        <w:ind w:left="482" w:leftChars="0"/>
        <w:rPr>
          <w:rFonts w:hint="eastAsia" w:ascii="宋体" w:hAnsi="宋体" w:eastAsia="宋体" w:cs="宋体"/>
          <w:sz w:val="24"/>
          <w:szCs w:val="24"/>
        </w:rPr>
      </w:pPr>
      <w:bookmarkStart w:id="676" w:name="bookmark1198"/>
      <w:bookmarkStart w:id="677" w:name="bookmark1197"/>
      <w:bookmarkStart w:id="678" w:name="_Toc14710352"/>
      <w:bookmarkStart w:id="679" w:name="_Toc8400"/>
      <w:bookmarkStart w:id="680" w:name="bookmark1199"/>
      <w:r>
        <w:rPr>
          <w:rFonts w:hint="eastAsia" w:ascii="宋体" w:hAnsi="宋体" w:eastAsia="宋体" w:cs="宋体"/>
          <w:sz w:val="24"/>
          <w:szCs w:val="24"/>
        </w:rPr>
        <w:t>12.暂停施工</w:t>
      </w:r>
      <w:bookmarkEnd w:id="676"/>
      <w:bookmarkEnd w:id="677"/>
      <w:bookmarkEnd w:id="678"/>
      <w:bookmarkEnd w:id="679"/>
      <w:bookmarkEnd w:id="680"/>
    </w:p>
    <w:p w14:paraId="1CA4D9CC">
      <w:pPr>
        <w:pStyle w:val="6"/>
        <w:numPr>
          <w:ilvl w:val="0"/>
          <w:numId w:val="0"/>
        </w:numPr>
        <w:bidi w:val="0"/>
        <w:ind w:left="482" w:leftChars="0"/>
        <w:rPr>
          <w:rFonts w:hint="eastAsia" w:ascii="宋体" w:hAnsi="宋体" w:eastAsia="宋体" w:cs="宋体"/>
          <w:sz w:val="24"/>
          <w:szCs w:val="24"/>
        </w:rPr>
      </w:pPr>
      <w:bookmarkStart w:id="681" w:name="bookmark1201"/>
      <w:bookmarkStart w:id="682" w:name="bookmark1200"/>
      <w:bookmarkStart w:id="683" w:name="_Toc25279"/>
      <w:bookmarkStart w:id="684" w:name="_Toc14710353"/>
      <w:bookmarkStart w:id="685" w:name="bookmark1202"/>
      <w:r>
        <w:rPr>
          <w:rFonts w:hint="eastAsia" w:ascii="宋体" w:hAnsi="宋体" w:eastAsia="宋体" w:cs="宋体"/>
          <w:sz w:val="24"/>
          <w:szCs w:val="24"/>
        </w:rPr>
        <w:t>12.1承包人暂停施工的责任</w:t>
      </w:r>
      <w:bookmarkEnd w:id="681"/>
      <w:bookmarkEnd w:id="682"/>
      <w:bookmarkEnd w:id="683"/>
      <w:bookmarkEnd w:id="684"/>
      <w:bookmarkEnd w:id="685"/>
    </w:p>
    <w:p w14:paraId="3FBF8A63">
      <w:pPr>
        <w:pStyle w:val="4"/>
        <w:rPr>
          <w:rFonts w:hint="eastAsia" w:ascii="宋体" w:hAnsi="宋体" w:eastAsia="宋体" w:cs="宋体"/>
          <w:sz w:val="24"/>
          <w:szCs w:val="24"/>
        </w:rPr>
      </w:pPr>
      <w:r>
        <w:rPr>
          <w:rFonts w:hint="eastAsia" w:ascii="宋体" w:hAnsi="宋体" w:eastAsia="宋体" w:cs="宋体"/>
          <w:sz w:val="24"/>
          <w:szCs w:val="24"/>
        </w:rPr>
        <w:t>因下列暂停施工增加的费用和(或)工期延误由承包人承担：</w:t>
      </w:r>
    </w:p>
    <w:p w14:paraId="5A596D35">
      <w:pPr>
        <w:pStyle w:val="4"/>
        <w:rPr>
          <w:rFonts w:hint="eastAsia" w:ascii="宋体" w:hAnsi="宋体" w:eastAsia="宋体" w:cs="宋体"/>
          <w:sz w:val="24"/>
          <w:szCs w:val="24"/>
        </w:rPr>
      </w:pPr>
      <w:bookmarkStart w:id="686" w:name="bookmark1203"/>
      <w:bookmarkEnd w:id="686"/>
      <w:r>
        <w:rPr>
          <w:rFonts w:hint="eastAsia" w:ascii="宋体" w:hAnsi="宋体" w:eastAsia="宋体" w:cs="宋体"/>
          <w:b w:val="0"/>
          <w:i w:val="0"/>
          <w:strike w:val="0"/>
          <w:color w:val="000000"/>
          <w:sz w:val="24"/>
          <w:szCs w:val="24"/>
          <w:u w:val="none"/>
        </w:rPr>
        <w:t>(1)</w:t>
      </w:r>
      <w:r>
        <w:rPr>
          <w:rFonts w:hint="eastAsia" w:ascii="宋体" w:hAnsi="宋体" w:eastAsia="宋体" w:cs="宋体"/>
          <w:sz w:val="24"/>
          <w:szCs w:val="24"/>
        </w:rPr>
        <w:t>承包人违约引起的暂停施工；</w:t>
      </w:r>
    </w:p>
    <w:p w14:paraId="70E56D12">
      <w:pPr>
        <w:pStyle w:val="4"/>
        <w:rPr>
          <w:rFonts w:hint="eastAsia" w:ascii="宋体" w:hAnsi="宋体" w:eastAsia="宋体" w:cs="宋体"/>
          <w:sz w:val="24"/>
          <w:szCs w:val="24"/>
        </w:rPr>
      </w:pPr>
      <w:bookmarkStart w:id="687" w:name="bookmark1204"/>
      <w:bookmarkEnd w:id="687"/>
      <w:r>
        <w:rPr>
          <w:rFonts w:hint="eastAsia" w:ascii="宋体" w:hAnsi="宋体" w:eastAsia="宋体" w:cs="宋体"/>
          <w:b w:val="0"/>
          <w:i w:val="0"/>
          <w:strike w:val="0"/>
          <w:color w:val="000000"/>
          <w:sz w:val="24"/>
          <w:szCs w:val="24"/>
          <w:u w:val="none"/>
        </w:rPr>
        <w:t>(2)</w:t>
      </w:r>
      <w:r>
        <w:rPr>
          <w:rFonts w:hint="eastAsia" w:ascii="宋体" w:hAnsi="宋体" w:eastAsia="宋体" w:cs="宋体"/>
          <w:sz w:val="24"/>
          <w:szCs w:val="24"/>
        </w:rPr>
        <w:t>由于承包人原因为工程合理施工和安全保障所必需的暂停施工；</w:t>
      </w:r>
    </w:p>
    <w:p w14:paraId="1FDCE8F4">
      <w:pPr>
        <w:pStyle w:val="4"/>
        <w:rPr>
          <w:rFonts w:hint="eastAsia" w:ascii="宋体" w:hAnsi="宋体" w:eastAsia="宋体" w:cs="宋体"/>
          <w:sz w:val="24"/>
          <w:szCs w:val="24"/>
        </w:rPr>
      </w:pPr>
      <w:bookmarkStart w:id="688" w:name="bookmark1205"/>
      <w:bookmarkEnd w:id="688"/>
      <w:r>
        <w:rPr>
          <w:rFonts w:hint="eastAsia" w:ascii="宋体" w:hAnsi="宋体" w:eastAsia="宋体" w:cs="宋体"/>
          <w:b w:val="0"/>
          <w:i w:val="0"/>
          <w:strike w:val="0"/>
          <w:color w:val="000000"/>
          <w:sz w:val="24"/>
          <w:szCs w:val="24"/>
          <w:u w:val="none"/>
        </w:rPr>
        <w:t>(3)</w:t>
      </w:r>
      <w:r>
        <w:rPr>
          <w:rFonts w:hint="eastAsia" w:ascii="宋体" w:hAnsi="宋体" w:eastAsia="宋体" w:cs="宋体"/>
          <w:sz w:val="24"/>
          <w:szCs w:val="24"/>
        </w:rPr>
        <w:t>承包人擅自暂停施工；</w:t>
      </w:r>
    </w:p>
    <w:p w14:paraId="4379EF37">
      <w:pPr>
        <w:pStyle w:val="4"/>
        <w:rPr>
          <w:rFonts w:hint="eastAsia" w:ascii="宋体" w:hAnsi="宋体" w:eastAsia="宋体" w:cs="宋体"/>
          <w:sz w:val="24"/>
          <w:szCs w:val="24"/>
        </w:rPr>
      </w:pPr>
      <w:bookmarkStart w:id="689" w:name="bookmark1206"/>
      <w:bookmarkEnd w:id="689"/>
      <w:r>
        <w:rPr>
          <w:rFonts w:hint="eastAsia" w:ascii="宋体" w:hAnsi="宋体" w:eastAsia="宋体" w:cs="宋体"/>
          <w:b w:val="0"/>
          <w:i w:val="0"/>
          <w:strike w:val="0"/>
          <w:color w:val="000000"/>
          <w:sz w:val="24"/>
          <w:szCs w:val="24"/>
          <w:u w:val="none"/>
        </w:rPr>
        <w:t>(4)</w:t>
      </w:r>
      <w:r>
        <w:rPr>
          <w:rFonts w:hint="eastAsia" w:ascii="宋体" w:hAnsi="宋体" w:eastAsia="宋体" w:cs="宋体"/>
          <w:sz w:val="24"/>
          <w:szCs w:val="24"/>
        </w:rPr>
        <w:t>承包人其他原因引起的暂停施工；</w:t>
      </w:r>
    </w:p>
    <w:p w14:paraId="7BD2A371">
      <w:pPr>
        <w:pStyle w:val="4"/>
        <w:rPr>
          <w:rFonts w:hint="eastAsia" w:ascii="宋体" w:hAnsi="宋体" w:eastAsia="宋体" w:cs="宋体"/>
          <w:sz w:val="24"/>
          <w:szCs w:val="24"/>
        </w:rPr>
      </w:pPr>
      <w:bookmarkStart w:id="690" w:name="bookmark1207"/>
      <w:bookmarkEnd w:id="690"/>
      <w:r>
        <w:rPr>
          <w:rFonts w:hint="eastAsia" w:ascii="宋体" w:hAnsi="宋体" w:eastAsia="宋体" w:cs="宋体"/>
          <w:b w:val="0"/>
          <w:i w:val="0"/>
          <w:strike w:val="0"/>
          <w:color w:val="000000"/>
          <w:sz w:val="24"/>
          <w:szCs w:val="24"/>
          <w:u w:val="none"/>
        </w:rPr>
        <w:t>(5)</w:t>
      </w:r>
      <w:r>
        <w:rPr>
          <w:rFonts w:hint="eastAsia" w:ascii="宋体" w:hAnsi="宋体" w:eastAsia="宋体" w:cs="宋体"/>
          <w:sz w:val="24"/>
          <w:szCs w:val="24"/>
        </w:rPr>
        <w:t>专用合同条款约定由承包人承担的其他暂停施工。</w:t>
      </w:r>
    </w:p>
    <w:p w14:paraId="189E39A1">
      <w:pPr>
        <w:pStyle w:val="6"/>
        <w:numPr>
          <w:ilvl w:val="0"/>
          <w:numId w:val="0"/>
        </w:numPr>
        <w:bidi w:val="0"/>
        <w:ind w:left="482" w:leftChars="0"/>
        <w:rPr>
          <w:rFonts w:hint="eastAsia" w:ascii="宋体" w:hAnsi="宋体" w:eastAsia="宋体" w:cs="宋体"/>
          <w:sz w:val="24"/>
          <w:szCs w:val="24"/>
        </w:rPr>
      </w:pPr>
      <w:bookmarkStart w:id="691" w:name="bookmark1208"/>
      <w:bookmarkStart w:id="692" w:name="bookmark1209"/>
      <w:bookmarkStart w:id="693" w:name="_Toc14710354"/>
      <w:bookmarkStart w:id="694" w:name="_Toc19655"/>
      <w:bookmarkStart w:id="695" w:name="bookmark1210"/>
      <w:r>
        <w:rPr>
          <w:rFonts w:hint="eastAsia" w:ascii="宋体" w:hAnsi="宋体" w:eastAsia="宋体" w:cs="宋体"/>
          <w:sz w:val="24"/>
          <w:szCs w:val="24"/>
        </w:rPr>
        <w:t>12.2发包人暂停施工的责任</w:t>
      </w:r>
      <w:bookmarkEnd w:id="691"/>
      <w:bookmarkEnd w:id="692"/>
      <w:bookmarkEnd w:id="693"/>
      <w:bookmarkEnd w:id="694"/>
      <w:bookmarkEnd w:id="695"/>
    </w:p>
    <w:p w14:paraId="61664F9E">
      <w:pPr>
        <w:pStyle w:val="4"/>
        <w:rPr>
          <w:rFonts w:hint="eastAsia" w:ascii="宋体" w:hAnsi="宋体" w:eastAsia="宋体" w:cs="宋体"/>
          <w:sz w:val="24"/>
          <w:szCs w:val="24"/>
        </w:rPr>
      </w:pPr>
      <w:r>
        <w:rPr>
          <w:rFonts w:hint="eastAsia" w:ascii="宋体" w:hAnsi="宋体" w:eastAsia="宋体" w:cs="宋体"/>
          <w:sz w:val="24"/>
          <w:szCs w:val="24"/>
        </w:rPr>
        <w:t>由于发包人原因引起的暂停施工造成工期延误的，承包人有权要求发包人延长工期和 (或)增加费用，并支付合理利润。属于下列任何一种情况引起的暂停施工，均为发包人的责任：</w:t>
      </w:r>
    </w:p>
    <w:p w14:paraId="3051C34C">
      <w:pPr>
        <w:pStyle w:val="4"/>
        <w:rPr>
          <w:rFonts w:hint="eastAsia" w:ascii="宋体" w:hAnsi="宋体" w:eastAsia="宋体" w:cs="宋体"/>
          <w:sz w:val="24"/>
          <w:szCs w:val="24"/>
        </w:rPr>
      </w:pPr>
      <w:bookmarkStart w:id="696" w:name="bookmark1211"/>
      <w:bookmarkEnd w:id="696"/>
      <w:r>
        <w:rPr>
          <w:rFonts w:hint="eastAsia" w:ascii="宋体" w:hAnsi="宋体" w:eastAsia="宋体" w:cs="宋体"/>
          <w:b w:val="0"/>
          <w:i w:val="0"/>
          <w:strike w:val="0"/>
          <w:color w:val="000000"/>
          <w:sz w:val="24"/>
          <w:szCs w:val="24"/>
          <w:u w:val="none"/>
        </w:rPr>
        <w:t>(1)</w:t>
      </w:r>
      <w:r>
        <w:rPr>
          <w:rFonts w:hint="eastAsia" w:ascii="宋体" w:hAnsi="宋体" w:eastAsia="宋体" w:cs="宋体"/>
          <w:sz w:val="24"/>
          <w:szCs w:val="24"/>
        </w:rPr>
        <w:t>由于发包人违约引起的暂停施工。</w:t>
      </w:r>
    </w:p>
    <w:p w14:paraId="52A86A46">
      <w:pPr>
        <w:pStyle w:val="4"/>
        <w:rPr>
          <w:rFonts w:hint="eastAsia" w:ascii="宋体" w:hAnsi="宋体" w:eastAsia="宋体" w:cs="宋体"/>
          <w:sz w:val="24"/>
          <w:szCs w:val="24"/>
        </w:rPr>
      </w:pPr>
      <w:bookmarkStart w:id="697" w:name="bookmark1212"/>
      <w:bookmarkEnd w:id="697"/>
      <w:r>
        <w:rPr>
          <w:rFonts w:hint="eastAsia" w:ascii="宋体" w:hAnsi="宋体" w:eastAsia="宋体" w:cs="宋体"/>
          <w:b w:val="0"/>
          <w:i w:val="0"/>
          <w:strike w:val="0"/>
          <w:color w:val="000000"/>
          <w:sz w:val="24"/>
          <w:szCs w:val="24"/>
          <w:u w:val="none"/>
        </w:rPr>
        <w:t>(2)</w:t>
      </w:r>
      <w:r>
        <w:rPr>
          <w:rFonts w:hint="eastAsia" w:ascii="宋体" w:hAnsi="宋体" w:eastAsia="宋体" w:cs="宋体"/>
          <w:sz w:val="24"/>
          <w:szCs w:val="24"/>
        </w:rPr>
        <w:t>由于不可抗力的自然或社会因素引起的暂停施工。</w:t>
      </w:r>
    </w:p>
    <w:p w14:paraId="293D3A4D">
      <w:pPr>
        <w:pStyle w:val="4"/>
        <w:rPr>
          <w:rFonts w:hint="eastAsia" w:ascii="宋体" w:hAnsi="宋体" w:eastAsia="宋体" w:cs="宋体"/>
          <w:sz w:val="24"/>
          <w:szCs w:val="24"/>
        </w:rPr>
      </w:pPr>
      <w:bookmarkStart w:id="698" w:name="bookmark1213"/>
      <w:bookmarkEnd w:id="698"/>
      <w:r>
        <w:rPr>
          <w:rFonts w:hint="eastAsia" w:ascii="宋体" w:hAnsi="宋体" w:eastAsia="宋体" w:cs="宋体"/>
          <w:b w:val="0"/>
          <w:i w:val="0"/>
          <w:strike w:val="0"/>
          <w:color w:val="000000"/>
          <w:sz w:val="24"/>
          <w:szCs w:val="24"/>
          <w:u w:val="none"/>
        </w:rPr>
        <w:t>(3)</w:t>
      </w:r>
      <w:r>
        <w:rPr>
          <w:rFonts w:hint="eastAsia" w:ascii="宋体" w:hAnsi="宋体" w:eastAsia="宋体" w:cs="宋体"/>
          <w:sz w:val="24"/>
          <w:szCs w:val="24"/>
        </w:rPr>
        <w:t>专用合同条款中约定的其它由于发包人原因引起的暂停施工。</w:t>
      </w:r>
    </w:p>
    <w:p w14:paraId="5F38DD83">
      <w:pPr>
        <w:pStyle w:val="6"/>
        <w:numPr>
          <w:ilvl w:val="0"/>
          <w:numId w:val="0"/>
        </w:numPr>
        <w:bidi w:val="0"/>
        <w:ind w:left="482" w:leftChars="0"/>
        <w:rPr>
          <w:rFonts w:hint="eastAsia" w:ascii="宋体" w:hAnsi="宋体" w:eastAsia="宋体" w:cs="宋体"/>
          <w:sz w:val="24"/>
          <w:szCs w:val="24"/>
        </w:rPr>
      </w:pPr>
      <w:bookmarkStart w:id="699" w:name="_Toc4901"/>
      <w:bookmarkStart w:id="700" w:name="bookmark1216"/>
      <w:bookmarkStart w:id="701" w:name="bookmark1215"/>
      <w:bookmarkStart w:id="702" w:name="_Toc14710355"/>
      <w:bookmarkStart w:id="703" w:name="bookmark1214"/>
      <w:r>
        <w:rPr>
          <w:rFonts w:hint="eastAsia" w:ascii="宋体" w:hAnsi="宋体" w:eastAsia="宋体" w:cs="宋体"/>
          <w:sz w:val="24"/>
          <w:szCs w:val="24"/>
        </w:rPr>
        <w:t>12.3监理人暂停施工指示</w:t>
      </w:r>
      <w:bookmarkEnd w:id="699"/>
      <w:bookmarkEnd w:id="700"/>
      <w:bookmarkEnd w:id="701"/>
      <w:bookmarkEnd w:id="702"/>
      <w:bookmarkEnd w:id="703"/>
    </w:p>
    <w:p w14:paraId="34A134B2">
      <w:pPr>
        <w:pStyle w:val="4"/>
        <w:rPr>
          <w:rFonts w:hint="eastAsia" w:ascii="宋体" w:hAnsi="宋体" w:eastAsia="宋体" w:cs="宋体"/>
          <w:sz w:val="24"/>
          <w:szCs w:val="24"/>
        </w:rPr>
      </w:pPr>
      <w:r>
        <w:rPr>
          <w:rFonts w:hint="eastAsia" w:ascii="宋体" w:hAnsi="宋体" w:eastAsia="宋体" w:cs="宋体"/>
          <w:sz w:val="24"/>
          <w:szCs w:val="24"/>
        </w:rPr>
        <w:t>12.3.1监理人认为有必要时，可向承包人作出暂停施工的指示，承包人应按监理人指示暂停施工。不论由于何种原因引起的暂停施工，暂停施工期间承包人应负责妥善保护工程并提供安全保障。</w:t>
      </w:r>
    </w:p>
    <w:p w14:paraId="12FA82FA">
      <w:pPr>
        <w:pStyle w:val="4"/>
        <w:rPr>
          <w:rFonts w:hint="eastAsia" w:ascii="宋体" w:hAnsi="宋体" w:eastAsia="宋体" w:cs="宋体"/>
          <w:sz w:val="24"/>
          <w:szCs w:val="24"/>
        </w:rPr>
      </w:pPr>
      <w:r>
        <w:rPr>
          <w:rFonts w:hint="eastAsia" w:ascii="宋体" w:hAnsi="宋体" w:eastAsia="宋体" w:cs="宋体"/>
          <w:sz w:val="24"/>
          <w:szCs w:val="24"/>
        </w:rPr>
        <w:t>12.3.2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06F6C0D4">
      <w:pPr>
        <w:pStyle w:val="6"/>
        <w:numPr>
          <w:ilvl w:val="0"/>
          <w:numId w:val="0"/>
        </w:numPr>
        <w:bidi w:val="0"/>
        <w:ind w:left="482" w:leftChars="0"/>
        <w:rPr>
          <w:rFonts w:hint="eastAsia" w:ascii="宋体" w:hAnsi="宋体" w:eastAsia="宋体" w:cs="宋体"/>
          <w:sz w:val="24"/>
          <w:szCs w:val="24"/>
        </w:rPr>
      </w:pPr>
      <w:bookmarkStart w:id="704" w:name="bookmark1219"/>
      <w:bookmarkStart w:id="705" w:name="bookmark1217"/>
      <w:bookmarkStart w:id="706" w:name="_Toc14048"/>
      <w:bookmarkStart w:id="707" w:name="bookmark1218"/>
      <w:bookmarkStart w:id="708" w:name="_Toc14710356"/>
      <w:r>
        <w:rPr>
          <w:rFonts w:hint="eastAsia" w:ascii="宋体" w:hAnsi="宋体" w:eastAsia="宋体" w:cs="宋体"/>
          <w:sz w:val="24"/>
          <w:szCs w:val="24"/>
        </w:rPr>
        <w:t>12.4暂停施工后的复工</w:t>
      </w:r>
      <w:bookmarkEnd w:id="704"/>
      <w:bookmarkEnd w:id="705"/>
      <w:bookmarkEnd w:id="706"/>
      <w:bookmarkEnd w:id="707"/>
      <w:bookmarkEnd w:id="708"/>
    </w:p>
    <w:p w14:paraId="558B1E3C">
      <w:pPr>
        <w:pStyle w:val="4"/>
        <w:rPr>
          <w:rFonts w:hint="eastAsia" w:ascii="宋体" w:hAnsi="宋体" w:eastAsia="宋体" w:cs="宋体"/>
          <w:sz w:val="24"/>
          <w:szCs w:val="24"/>
        </w:rPr>
      </w:pPr>
      <w:bookmarkStart w:id="709" w:name="bookmark1220"/>
      <w:bookmarkEnd w:id="709"/>
      <w:r>
        <w:rPr>
          <w:rFonts w:hint="eastAsia" w:ascii="宋体" w:hAnsi="宋体" w:eastAsia="宋体" w:cs="宋体"/>
          <w:sz w:val="24"/>
          <w:szCs w:val="24"/>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14:paraId="45E20162">
      <w:pPr>
        <w:pStyle w:val="4"/>
        <w:rPr>
          <w:rFonts w:hint="eastAsia" w:ascii="宋体" w:hAnsi="宋体" w:eastAsia="宋体" w:cs="宋体"/>
          <w:sz w:val="24"/>
          <w:szCs w:val="24"/>
        </w:rPr>
      </w:pPr>
      <w:bookmarkStart w:id="710" w:name="bookmark1221"/>
      <w:bookmarkEnd w:id="710"/>
      <w:r>
        <w:rPr>
          <w:rFonts w:hint="eastAsia" w:ascii="宋体" w:hAnsi="宋体" w:eastAsia="宋体" w:cs="宋体"/>
          <w:sz w:val="24"/>
          <w:szCs w:val="24"/>
        </w:rPr>
        <w:t>12.4. 2承包人无故拖延和拒绝复工的，由此增加的费用和工期延误由承包人承担；因发包人原因无法按时复工的，承包人有权要求发包人延长工期和(或)增加费用，并支付合理利润。</w:t>
      </w:r>
    </w:p>
    <w:p w14:paraId="5D86FF77">
      <w:pPr>
        <w:pStyle w:val="6"/>
        <w:numPr>
          <w:ilvl w:val="0"/>
          <w:numId w:val="0"/>
        </w:numPr>
        <w:bidi w:val="0"/>
        <w:ind w:left="482" w:leftChars="0"/>
        <w:rPr>
          <w:rFonts w:hint="eastAsia" w:ascii="宋体" w:hAnsi="宋体" w:eastAsia="宋体" w:cs="宋体"/>
          <w:sz w:val="24"/>
          <w:szCs w:val="24"/>
        </w:rPr>
      </w:pPr>
      <w:bookmarkStart w:id="711" w:name="bookmark1195"/>
      <w:bookmarkEnd w:id="711"/>
      <w:bookmarkStart w:id="712" w:name="bookmark1223"/>
      <w:bookmarkStart w:id="713" w:name="bookmark1224"/>
      <w:bookmarkStart w:id="714" w:name="_Toc14710357"/>
      <w:bookmarkStart w:id="715" w:name="_Toc6811"/>
      <w:bookmarkStart w:id="716" w:name="bookmark1222"/>
      <w:r>
        <w:rPr>
          <w:rFonts w:hint="eastAsia" w:ascii="宋体" w:hAnsi="宋体" w:eastAsia="宋体" w:cs="宋体"/>
          <w:sz w:val="24"/>
          <w:szCs w:val="24"/>
        </w:rPr>
        <w:t>12.5暂停施工持续56天以上</w:t>
      </w:r>
      <w:bookmarkEnd w:id="712"/>
      <w:bookmarkEnd w:id="713"/>
      <w:bookmarkEnd w:id="714"/>
      <w:bookmarkEnd w:id="715"/>
      <w:bookmarkEnd w:id="716"/>
    </w:p>
    <w:p w14:paraId="3F60C078">
      <w:pPr>
        <w:pStyle w:val="4"/>
        <w:rPr>
          <w:rFonts w:hint="eastAsia" w:ascii="宋体" w:hAnsi="宋体" w:eastAsia="宋体" w:cs="宋体"/>
          <w:sz w:val="24"/>
          <w:szCs w:val="24"/>
        </w:rPr>
      </w:pPr>
      <w:r>
        <w:rPr>
          <w:rFonts w:hint="eastAsia" w:ascii="宋体" w:hAnsi="宋体" w:eastAsia="宋体" w:cs="宋体"/>
          <w:sz w:val="24"/>
          <w:szCs w:val="24"/>
        </w:rPr>
        <w:t>12.5.1监理人发出暂停施工指示后56天内未向承包人发出复工通知，除了该项停工属于第12.1款的情况外，承包人可向监理人提交书面通知，要求监理人在收到书面通知后 28天内准许已暂停施工的工程或其中一部分工程继续施工。如监理人逾期不予批准，则承包人可以通知监理人，将工程受影响的部分视为按第15.1 (1)项的可取消工作。如暂停 施工影响到整个工程，可视为发包人违约，应按第22. 2款的约定办理。</w:t>
      </w:r>
    </w:p>
    <w:p w14:paraId="69F208FE">
      <w:pPr>
        <w:pStyle w:val="4"/>
        <w:rPr>
          <w:rFonts w:hint="eastAsia" w:ascii="宋体" w:hAnsi="宋体" w:eastAsia="宋体" w:cs="宋体"/>
          <w:sz w:val="24"/>
          <w:szCs w:val="24"/>
        </w:rPr>
      </w:pPr>
      <w:r>
        <w:rPr>
          <w:rFonts w:hint="eastAsia" w:ascii="宋体" w:hAnsi="宋体" w:eastAsia="宋体" w:cs="宋体"/>
          <w:sz w:val="24"/>
          <w:szCs w:val="24"/>
        </w:rPr>
        <w:t>12.5.2由于承包人责任引起的暂停施工，如承包人在收到监理人暂停施工指示后56 天内不认真采取有效的复工措施，造成工期延误，可视为承包人违约，应按第22.1款的约定办理。</w:t>
      </w:r>
    </w:p>
    <w:p w14:paraId="377A7F68">
      <w:pPr>
        <w:pStyle w:val="6"/>
        <w:numPr>
          <w:ilvl w:val="0"/>
          <w:numId w:val="0"/>
        </w:numPr>
        <w:bidi w:val="0"/>
        <w:ind w:left="482" w:leftChars="0"/>
        <w:rPr>
          <w:rFonts w:hint="eastAsia" w:ascii="宋体" w:hAnsi="宋体" w:eastAsia="宋体" w:cs="宋体"/>
          <w:sz w:val="24"/>
          <w:szCs w:val="24"/>
        </w:rPr>
      </w:pPr>
      <w:bookmarkStart w:id="717" w:name="bookmark1226"/>
      <w:bookmarkStart w:id="718" w:name="_Toc10322"/>
      <w:bookmarkStart w:id="719" w:name="_Toc14710358"/>
      <w:bookmarkStart w:id="720" w:name="bookmark1227"/>
      <w:bookmarkStart w:id="721" w:name="bookmark1225"/>
      <w:r>
        <w:rPr>
          <w:rFonts w:hint="eastAsia" w:ascii="宋体" w:hAnsi="宋体" w:eastAsia="宋体" w:cs="宋体"/>
          <w:sz w:val="24"/>
          <w:szCs w:val="24"/>
        </w:rPr>
        <w:t>13.工程质量</w:t>
      </w:r>
      <w:bookmarkEnd w:id="717"/>
      <w:bookmarkEnd w:id="718"/>
      <w:bookmarkEnd w:id="719"/>
      <w:bookmarkEnd w:id="720"/>
      <w:bookmarkEnd w:id="721"/>
    </w:p>
    <w:p w14:paraId="47F5D14E">
      <w:pPr>
        <w:pStyle w:val="6"/>
        <w:numPr>
          <w:ilvl w:val="0"/>
          <w:numId w:val="0"/>
        </w:numPr>
        <w:bidi w:val="0"/>
        <w:ind w:left="482" w:leftChars="0"/>
        <w:rPr>
          <w:rFonts w:hint="eastAsia" w:ascii="宋体" w:hAnsi="宋体" w:eastAsia="宋体" w:cs="宋体"/>
          <w:sz w:val="24"/>
          <w:szCs w:val="24"/>
        </w:rPr>
      </w:pPr>
      <w:bookmarkStart w:id="722" w:name="_Toc14710359"/>
      <w:bookmarkStart w:id="723" w:name="bookmark1228"/>
      <w:bookmarkStart w:id="724" w:name="bookmark1230"/>
      <w:bookmarkStart w:id="725" w:name="_Toc9064"/>
      <w:bookmarkStart w:id="726" w:name="bookmark1229"/>
      <w:r>
        <w:rPr>
          <w:rFonts w:hint="eastAsia" w:ascii="宋体" w:hAnsi="宋体" w:eastAsia="宋体" w:cs="宋体"/>
          <w:sz w:val="24"/>
          <w:szCs w:val="24"/>
        </w:rPr>
        <w:t>13.1工程质量要求</w:t>
      </w:r>
      <w:bookmarkEnd w:id="722"/>
      <w:bookmarkEnd w:id="723"/>
      <w:bookmarkEnd w:id="724"/>
      <w:bookmarkEnd w:id="725"/>
      <w:bookmarkEnd w:id="726"/>
    </w:p>
    <w:p w14:paraId="2F0A9856">
      <w:pPr>
        <w:pStyle w:val="4"/>
        <w:rPr>
          <w:rFonts w:hint="eastAsia" w:ascii="宋体" w:hAnsi="宋体" w:eastAsia="宋体" w:cs="宋体"/>
          <w:sz w:val="24"/>
          <w:szCs w:val="24"/>
        </w:rPr>
      </w:pPr>
      <w:bookmarkStart w:id="727" w:name="bookmark1231"/>
      <w:bookmarkEnd w:id="727"/>
      <w:r>
        <w:rPr>
          <w:rFonts w:hint="eastAsia" w:ascii="宋体" w:hAnsi="宋体" w:eastAsia="宋体" w:cs="宋体"/>
          <w:sz w:val="24"/>
          <w:szCs w:val="24"/>
        </w:rPr>
        <w:t>13.1.1工程质量验收按合同约定验收标准执行。</w:t>
      </w:r>
    </w:p>
    <w:p w14:paraId="779B234D">
      <w:pPr>
        <w:pStyle w:val="4"/>
        <w:rPr>
          <w:rFonts w:hint="eastAsia" w:ascii="宋体" w:hAnsi="宋体" w:eastAsia="宋体" w:cs="宋体"/>
          <w:sz w:val="24"/>
          <w:szCs w:val="24"/>
        </w:rPr>
      </w:pPr>
      <w:r>
        <w:rPr>
          <w:rFonts w:hint="eastAsia" w:ascii="宋体" w:hAnsi="宋体" w:eastAsia="宋体" w:cs="宋体"/>
          <w:sz w:val="24"/>
          <w:szCs w:val="24"/>
        </w:rPr>
        <w:t>13.1.2因承包人原因造成工程质量达不到合同约定验收标准的，监理人有权要求承包人返工直至符合合同要求为止，由此造成的费用增加和（或）工期延误由承包人承担。</w:t>
      </w:r>
    </w:p>
    <w:p w14:paraId="7DC0DDD7">
      <w:pPr>
        <w:pStyle w:val="4"/>
        <w:rPr>
          <w:rFonts w:hint="eastAsia" w:ascii="宋体" w:hAnsi="宋体" w:eastAsia="宋体" w:cs="宋体"/>
          <w:sz w:val="24"/>
          <w:szCs w:val="24"/>
        </w:rPr>
      </w:pPr>
      <w:r>
        <w:rPr>
          <w:rFonts w:hint="eastAsia" w:ascii="宋体" w:hAnsi="宋体" w:eastAsia="宋体" w:cs="宋体"/>
          <w:sz w:val="24"/>
          <w:szCs w:val="24"/>
        </w:rPr>
        <w:t>13.1.3因发包人原因造成工程质量达不到合同约定验收标准的，发包人应承担由于承包人返工造成的费用增加和（或）工期延误，并支付承包人合理利润。</w:t>
      </w:r>
    </w:p>
    <w:p w14:paraId="3601BF7E">
      <w:pPr>
        <w:pStyle w:val="6"/>
        <w:numPr>
          <w:ilvl w:val="0"/>
          <w:numId w:val="0"/>
        </w:numPr>
        <w:bidi w:val="0"/>
        <w:ind w:left="482" w:leftChars="0"/>
        <w:rPr>
          <w:rFonts w:hint="eastAsia" w:ascii="宋体" w:hAnsi="宋体" w:eastAsia="宋体" w:cs="宋体"/>
          <w:sz w:val="24"/>
          <w:szCs w:val="24"/>
        </w:rPr>
      </w:pPr>
      <w:bookmarkStart w:id="728" w:name="_Toc14710360"/>
      <w:bookmarkStart w:id="729" w:name="bookmark1233"/>
      <w:bookmarkStart w:id="730" w:name="bookmark1234"/>
      <w:bookmarkStart w:id="731" w:name="bookmark1232"/>
      <w:bookmarkStart w:id="732" w:name="_Toc6308"/>
      <w:r>
        <w:rPr>
          <w:rFonts w:hint="eastAsia" w:ascii="宋体" w:hAnsi="宋体" w:eastAsia="宋体" w:cs="宋体"/>
          <w:sz w:val="24"/>
          <w:szCs w:val="24"/>
        </w:rPr>
        <w:t>13.2承包人的质量管理</w:t>
      </w:r>
      <w:bookmarkEnd w:id="728"/>
      <w:bookmarkEnd w:id="729"/>
      <w:bookmarkEnd w:id="730"/>
      <w:bookmarkEnd w:id="731"/>
      <w:bookmarkEnd w:id="732"/>
    </w:p>
    <w:p w14:paraId="11840574">
      <w:pPr>
        <w:pStyle w:val="4"/>
        <w:rPr>
          <w:rFonts w:hint="eastAsia" w:ascii="宋体" w:hAnsi="宋体" w:eastAsia="宋体" w:cs="宋体"/>
          <w:sz w:val="24"/>
          <w:szCs w:val="24"/>
        </w:rPr>
      </w:pPr>
      <w:r>
        <w:rPr>
          <w:rFonts w:hint="eastAsia" w:ascii="宋体" w:hAnsi="宋体" w:eastAsia="宋体" w:cs="宋体"/>
          <w:sz w:val="24"/>
          <w:szCs w:val="24"/>
        </w:rPr>
        <w:t>13.2.1承包人应在施工场地设置专门的质量检查机构，配备专职质量检查人员，建立完善的质量检查制度。承包人应按技术标准和要求（合同技术条款）约定的内容和期限, 编制工程质量保证措施文件，包括质量检查机构的组织和岗位责任、质量检查人员的组成、质量检查程序和实施细则等，提交监理人监批。监理人应在技术标准和要求（合同技术条 款）约定期限内批复承包人。</w:t>
      </w:r>
    </w:p>
    <w:p w14:paraId="394E5EA8">
      <w:pPr>
        <w:pStyle w:val="4"/>
        <w:rPr>
          <w:rFonts w:hint="eastAsia" w:ascii="宋体" w:hAnsi="宋体" w:eastAsia="宋体" w:cs="宋体"/>
          <w:sz w:val="24"/>
          <w:szCs w:val="24"/>
        </w:rPr>
      </w:pPr>
      <w:bookmarkStart w:id="733" w:name="bookmark1235"/>
      <w:bookmarkEnd w:id="733"/>
      <w:r>
        <w:rPr>
          <w:rFonts w:hint="eastAsia" w:ascii="宋体" w:hAnsi="宋体" w:eastAsia="宋体" w:cs="宋体"/>
          <w:sz w:val="24"/>
          <w:szCs w:val="24"/>
        </w:rPr>
        <w:t>13.2. 2承包人应加强对施工人员的质量教育和技术培训，定期考核施工人员的劳动 技能，严格执行规范和操作规程。</w:t>
      </w:r>
    </w:p>
    <w:p w14:paraId="35016632">
      <w:pPr>
        <w:pStyle w:val="6"/>
        <w:numPr>
          <w:ilvl w:val="0"/>
          <w:numId w:val="0"/>
        </w:numPr>
        <w:bidi w:val="0"/>
        <w:ind w:left="482" w:leftChars="0"/>
        <w:rPr>
          <w:rFonts w:hint="eastAsia" w:ascii="宋体" w:hAnsi="宋体" w:eastAsia="宋体" w:cs="宋体"/>
          <w:sz w:val="24"/>
          <w:szCs w:val="24"/>
        </w:rPr>
      </w:pPr>
      <w:bookmarkStart w:id="734" w:name="bookmark1237"/>
      <w:bookmarkStart w:id="735" w:name="_Toc14710361"/>
      <w:bookmarkStart w:id="736" w:name="_Toc19429"/>
      <w:bookmarkStart w:id="737" w:name="bookmark1238"/>
      <w:bookmarkStart w:id="738" w:name="bookmark1236"/>
      <w:r>
        <w:rPr>
          <w:rFonts w:hint="eastAsia" w:ascii="宋体" w:hAnsi="宋体" w:eastAsia="宋体" w:cs="宋体"/>
          <w:sz w:val="24"/>
          <w:szCs w:val="24"/>
        </w:rPr>
        <w:t>13.3承包人的质量检查</w:t>
      </w:r>
      <w:bookmarkEnd w:id="734"/>
      <w:bookmarkEnd w:id="735"/>
      <w:bookmarkEnd w:id="736"/>
      <w:bookmarkEnd w:id="737"/>
      <w:bookmarkEnd w:id="738"/>
    </w:p>
    <w:p w14:paraId="3EC6D91C">
      <w:pPr>
        <w:pStyle w:val="4"/>
        <w:rPr>
          <w:rFonts w:hint="eastAsia" w:ascii="宋体" w:hAnsi="宋体" w:eastAsia="宋体" w:cs="宋体"/>
          <w:sz w:val="24"/>
          <w:szCs w:val="24"/>
        </w:rPr>
      </w:pPr>
      <w:r>
        <w:rPr>
          <w:rFonts w:hint="eastAsia" w:ascii="宋体" w:hAnsi="宋体" w:eastAsia="宋体" w:cs="宋体"/>
          <w:sz w:val="24"/>
          <w:szCs w:val="24"/>
        </w:rPr>
        <w:t>承包人应按合同约定对材料、工程设备以及工程的所有部位及其施工工艺进行全过程的质量检查和检验，并作详细记录，编制工程质量报表，报送监理人审查。</w:t>
      </w:r>
    </w:p>
    <w:p w14:paraId="73040FD0">
      <w:pPr>
        <w:pStyle w:val="6"/>
        <w:numPr>
          <w:ilvl w:val="0"/>
          <w:numId w:val="0"/>
        </w:numPr>
        <w:bidi w:val="0"/>
        <w:ind w:left="482" w:leftChars="0"/>
        <w:rPr>
          <w:rFonts w:hint="eastAsia" w:ascii="宋体" w:hAnsi="宋体" w:eastAsia="宋体" w:cs="宋体"/>
          <w:sz w:val="24"/>
          <w:szCs w:val="24"/>
        </w:rPr>
      </w:pPr>
      <w:bookmarkStart w:id="739" w:name="_Toc14710362"/>
      <w:bookmarkStart w:id="740" w:name="bookmark1241"/>
      <w:bookmarkStart w:id="741" w:name="bookmark1239"/>
      <w:bookmarkStart w:id="742" w:name="bookmark1240"/>
      <w:bookmarkStart w:id="743" w:name="_Toc26103"/>
      <w:r>
        <w:rPr>
          <w:rFonts w:hint="eastAsia" w:ascii="宋体" w:hAnsi="宋体" w:eastAsia="宋体" w:cs="宋体"/>
          <w:sz w:val="24"/>
          <w:szCs w:val="24"/>
        </w:rPr>
        <w:t>13.4监理人的质量检查</w:t>
      </w:r>
      <w:bookmarkEnd w:id="739"/>
      <w:bookmarkEnd w:id="740"/>
      <w:bookmarkEnd w:id="741"/>
      <w:bookmarkEnd w:id="742"/>
      <w:bookmarkEnd w:id="743"/>
    </w:p>
    <w:p w14:paraId="625A82EE">
      <w:pPr>
        <w:pStyle w:val="4"/>
        <w:rPr>
          <w:rFonts w:hint="eastAsia" w:ascii="宋体" w:hAnsi="宋体" w:eastAsia="宋体" w:cs="宋体"/>
          <w:sz w:val="24"/>
          <w:szCs w:val="24"/>
        </w:rPr>
      </w:pPr>
      <w:r>
        <w:rPr>
          <w:rFonts w:hint="eastAsia" w:ascii="宋体" w:hAnsi="宋体" w:eastAsia="宋体" w:cs="宋体"/>
          <w:sz w:val="24"/>
          <w:szCs w:val="2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17F0EECF">
      <w:pPr>
        <w:pStyle w:val="6"/>
        <w:numPr>
          <w:ilvl w:val="0"/>
          <w:numId w:val="0"/>
        </w:numPr>
        <w:bidi w:val="0"/>
        <w:ind w:left="482" w:leftChars="0"/>
        <w:rPr>
          <w:rFonts w:hint="eastAsia" w:ascii="宋体" w:hAnsi="宋体" w:eastAsia="宋体" w:cs="宋体"/>
          <w:sz w:val="24"/>
          <w:szCs w:val="24"/>
        </w:rPr>
      </w:pPr>
      <w:bookmarkStart w:id="744" w:name="bookmark1242"/>
      <w:bookmarkStart w:id="745" w:name="bookmark1243"/>
      <w:bookmarkStart w:id="746" w:name="bookmark1244"/>
      <w:bookmarkStart w:id="747" w:name="_Toc14710363"/>
      <w:bookmarkStart w:id="748" w:name="_Toc30255"/>
      <w:r>
        <w:rPr>
          <w:rFonts w:hint="eastAsia" w:ascii="宋体" w:hAnsi="宋体" w:eastAsia="宋体" w:cs="宋体"/>
          <w:sz w:val="24"/>
          <w:szCs w:val="24"/>
        </w:rPr>
        <w:t>13.5工程隐蔽部位覆盖前的检查</w:t>
      </w:r>
      <w:bookmarkEnd w:id="744"/>
      <w:bookmarkEnd w:id="745"/>
      <w:bookmarkEnd w:id="746"/>
      <w:bookmarkEnd w:id="747"/>
      <w:bookmarkEnd w:id="748"/>
    </w:p>
    <w:p w14:paraId="11EE4DD8">
      <w:pPr>
        <w:pStyle w:val="6"/>
        <w:numPr>
          <w:ilvl w:val="0"/>
          <w:numId w:val="0"/>
        </w:numPr>
        <w:bidi w:val="0"/>
        <w:ind w:left="482" w:leftChars="0"/>
        <w:rPr>
          <w:rFonts w:hint="eastAsia" w:ascii="宋体" w:hAnsi="宋体" w:eastAsia="宋体" w:cs="宋体"/>
          <w:sz w:val="24"/>
          <w:szCs w:val="24"/>
        </w:rPr>
      </w:pPr>
      <w:bookmarkStart w:id="749" w:name="bookmark1245"/>
      <w:bookmarkEnd w:id="749"/>
      <w:r>
        <w:rPr>
          <w:rFonts w:hint="eastAsia" w:ascii="宋体" w:hAnsi="宋体" w:eastAsia="宋体" w:cs="宋体"/>
          <w:sz w:val="24"/>
          <w:szCs w:val="24"/>
        </w:rPr>
        <w:t>13.5. 1通知监理人检查</w:t>
      </w:r>
    </w:p>
    <w:p w14:paraId="7853BE5C">
      <w:pPr>
        <w:pStyle w:val="4"/>
        <w:rPr>
          <w:rFonts w:hint="eastAsia" w:ascii="宋体" w:hAnsi="宋体" w:eastAsia="宋体" w:cs="宋体"/>
          <w:sz w:val="24"/>
          <w:szCs w:val="24"/>
        </w:rPr>
      </w:pPr>
      <w:r>
        <w:rPr>
          <w:rFonts w:hint="eastAsia" w:ascii="宋体" w:hAnsi="宋体" w:eastAsia="宋体" w:cs="宋体"/>
          <w:sz w:val="24"/>
          <w:szCs w:val="24"/>
        </w:rPr>
        <w:t>经承包人自检确认的工程隐蔽部位具备覆盖条件后，承包人应通知监理人在约定的期 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5B27F416">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13.5.2监理人未到场检查</w:t>
      </w:r>
    </w:p>
    <w:p w14:paraId="25FD380B">
      <w:pPr>
        <w:pStyle w:val="4"/>
        <w:rPr>
          <w:rFonts w:hint="eastAsia" w:ascii="宋体" w:hAnsi="宋体" w:eastAsia="宋体" w:cs="宋体"/>
          <w:sz w:val="24"/>
          <w:szCs w:val="24"/>
        </w:rPr>
      </w:pPr>
      <w:r>
        <w:rPr>
          <w:rFonts w:hint="eastAsia" w:ascii="宋体" w:hAnsi="宋体" w:eastAsia="宋体" w:cs="宋体"/>
          <w:sz w:val="24"/>
          <w:szCs w:val="24"/>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6148FF1E">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13.5.3监理人重新检查</w:t>
      </w:r>
    </w:p>
    <w:p w14:paraId="76CA7A4E">
      <w:pPr>
        <w:pStyle w:val="4"/>
        <w:rPr>
          <w:rFonts w:hint="eastAsia" w:ascii="宋体" w:hAnsi="宋体" w:eastAsia="宋体" w:cs="宋体"/>
          <w:sz w:val="24"/>
          <w:szCs w:val="24"/>
        </w:rPr>
      </w:pPr>
      <w:r>
        <w:rPr>
          <w:rFonts w:hint="eastAsia" w:ascii="宋体" w:hAnsi="宋体" w:eastAsia="宋体" w:cs="宋体"/>
          <w:sz w:val="24"/>
          <w:szCs w:val="24"/>
        </w:rPr>
        <w:t>承包人按第13. 5. 1项或第13. 5. 2项覆盖工程隐蔽部位后，监理人对质量有疑问的，可要求承包人对已覆盖的部位进行钻孔探测或揭开重新检验，承包人应遵照执行，并在检 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04669669">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13.5.4承包人私自覆盖</w:t>
      </w:r>
    </w:p>
    <w:p w14:paraId="5E542E54">
      <w:pPr>
        <w:pStyle w:val="4"/>
        <w:rPr>
          <w:rFonts w:hint="eastAsia" w:ascii="宋体" w:hAnsi="宋体" w:eastAsia="宋体" w:cs="宋体"/>
          <w:sz w:val="24"/>
          <w:szCs w:val="24"/>
        </w:rPr>
      </w:pPr>
      <w:r>
        <w:rPr>
          <w:rFonts w:hint="eastAsia" w:ascii="宋体" w:hAnsi="宋体" w:eastAsia="宋体" w:cs="宋体"/>
          <w:sz w:val="24"/>
          <w:szCs w:val="24"/>
        </w:rPr>
        <w:t>承包人未通知监理人到场检查，私自将工程隐蔽部位覆盖的，监理人有权指示承包人钻孔探测或揭开检查，由此增加的费用和（或）工期延误由承包人承担。</w:t>
      </w:r>
    </w:p>
    <w:p w14:paraId="28E5C17E">
      <w:pPr>
        <w:pStyle w:val="6"/>
        <w:numPr>
          <w:ilvl w:val="0"/>
          <w:numId w:val="0"/>
        </w:numPr>
        <w:bidi w:val="0"/>
        <w:ind w:left="482" w:leftChars="0"/>
        <w:rPr>
          <w:rFonts w:hint="eastAsia" w:ascii="宋体" w:hAnsi="宋体" w:eastAsia="宋体" w:cs="宋体"/>
          <w:sz w:val="24"/>
          <w:szCs w:val="24"/>
        </w:rPr>
      </w:pPr>
      <w:bookmarkStart w:id="750" w:name="_Toc14710364"/>
      <w:bookmarkStart w:id="751" w:name="bookmark1247"/>
      <w:bookmarkStart w:id="752" w:name="bookmark1248"/>
      <w:bookmarkStart w:id="753" w:name="bookmark1246"/>
      <w:bookmarkStart w:id="754" w:name="_Toc31851"/>
      <w:r>
        <w:rPr>
          <w:rFonts w:hint="eastAsia" w:ascii="宋体" w:hAnsi="宋体" w:eastAsia="宋体" w:cs="宋体"/>
          <w:sz w:val="24"/>
          <w:szCs w:val="24"/>
        </w:rPr>
        <w:t>13.6清除不合格工程</w:t>
      </w:r>
      <w:bookmarkEnd w:id="750"/>
      <w:bookmarkEnd w:id="751"/>
      <w:bookmarkEnd w:id="752"/>
      <w:bookmarkEnd w:id="753"/>
      <w:bookmarkEnd w:id="754"/>
    </w:p>
    <w:p w14:paraId="0D98B65C">
      <w:pPr>
        <w:pStyle w:val="4"/>
        <w:rPr>
          <w:rFonts w:hint="eastAsia" w:ascii="宋体" w:hAnsi="宋体" w:eastAsia="宋体" w:cs="宋体"/>
          <w:sz w:val="24"/>
          <w:szCs w:val="24"/>
        </w:rPr>
      </w:pPr>
      <w:r>
        <w:rPr>
          <w:rFonts w:hint="eastAsia" w:ascii="宋体" w:hAnsi="宋体" w:eastAsia="宋体" w:cs="宋体"/>
          <w:sz w:val="24"/>
          <w:szCs w:val="24"/>
        </w:rPr>
        <w:t>13.6.1承包人使用不合格材料、工程设备，或采用不适当的施工工艺，或施工不当， 造成工程不合格的，监理人可以随时发出指示，要求承包人立即采取措施进行补救，直至达到合同要求的质量标准，由此增加的费用和（或）工期延误由承包人承担。</w:t>
      </w:r>
    </w:p>
    <w:p w14:paraId="4F130047">
      <w:pPr>
        <w:pStyle w:val="4"/>
        <w:rPr>
          <w:rFonts w:hint="eastAsia" w:ascii="宋体" w:hAnsi="宋体" w:eastAsia="宋体" w:cs="宋体"/>
          <w:sz w:val="24"/>
          <w:szCs w:val="24"/>
        </w:rPr>
      </w:pPr>
      <w:r>
        <w:rPr>
          <w:rFonts w:hint="eastAsia" w:ascii="宋体" w:hAnsi="宋体" w:eastAsia="宋体" w:cs="宋体"/>
          <w:sz w:val="24"/>
          <w:szCs w:val="24"/>
        </w:rPr>
        <w:t>13.6.2由于发包人提供的材料或工程设备不合格造成的工程不合格，需要承包人采取措施补救的，发包人应承担由此增加的费用和（或）工期延误，并支付承包人合理利润。</w:t>
      </w:r>
    </w:p>
    <w:p w14:paraId="34B492E0">
      <w:pPr>
        <w:pStyle w:val="6"/>
        <w:numPr>
          <w:ilvl w:val="0"/>
          <w:numId w:val="0"/>
        </w:numPr>
        <w:bidi w:val="0"/>
        <w:ind w:left="482" w:leftChars="0"/>
        <w:rPr>
          <w:rFonts w:hint="eastAsia" w:ascii="宋体" w:hAnsi="宋体" w:eastAsia="宋体" w:cs="宋体"/>
          <w:sz w:val="24"/>
          <w:szCs w:val="24"/>
        </w:rPr>
      </w:pPr>
      <w:bookmarkStart w:id="755" w:name="_Toc3708"/>
      <w:bookmarkStart w:id="756" w:name="_Toc14710365"/>
      <w:r>
        <w:rPr>
          <w:rFonts w:hint="eastAsia" w:ascii="宋体" w:hAnsi="宋体" w:eastAsia="宋体" w:cs="宋体"/>
          <w:sz w:val="24"/>
          <w:szCs w:val="24"/>
        </w:rPr>
        <w:t>13.7质量评定</w:t>
      </w:r>
      <w:bookmarkEnd w:id="755"/>
      <w:bookmarkEnd w:id="756"/>
    </w:p>
    <w:p w14:paraId="036147DB">
      <w:pPr>
        <w:pStyle w:val="4"/>
        <w:rPr>
          <w:rFonts w:hint="eastAsia" w:ascii="宋体" w:hAnsi="宋体" w:eastAsia="宋体" w:cs="宋体"/>
          <w:sz w:val="24"/>
          <w:szCs w:val="24"/>
        </w:rPr>
      </w:pPr>
      <w:r>
        <w:rPr>
          <w:rFonts w:hint="eastAsia" w:ascii="宋体" w:hAnsi="宋体" w:eastAsia="宋体" w:cs="宋体"/>
          <w:sz w:val="24"/>
          <w:szCs w:val="24"/>
        </w:rPr>
        <w:t>13.7.1发包人应组织承包人进行工程项目划分，并确定单位工程、主要分部工程、重要隐蔽单元工程和关键部位单元工程。</w:t>
      </w:r>
    </w:p>
    <w:p w14:paraId="35B2E0B2">
      <w:pPr>
        <w:pStyle w:val="4"/>
        <w:rPr>
          <w:rFonts w:hint="eastAsia" w:ascii="宋体" w:hAnsi="宋体" w:eastAsia="宋体" w:cs="宋体"/>
          <w:sz w:val="24"/>
          <w:szCs w:val="24"/>
        </w:rPr>
      </w:pPr>
      <w:r>
        <w:rPr>
          <w:rFonts w:hint="eastAsia" w:ascii="宋体" w:hAnsi="宋体" w:eastAsia="宋体" w:cs="宋体"/>
          <w:sz w:val="24"/>
          <w:szCs w:val="24"/>
        </w:rPr>
        <w:t>13.7.2工程实施过程中，单位工程、主要分部工程、重要隐蔽单元工程和关键部位单元工程的项目划分需要调整时，承包人应报发包人确认。</w:t>
      </w:r>
    </w:p>
    <w:p w14:paraId="6535BB99">
      <w:pPr>
        <w:pStyle w:val="4"/>
        <w:rPr>
          <w:rFonts w:hint="eastAsia" w:ascii="宋体" w:hAnsi="宋体" w:eastAsia="宋体" w:cs="宋体"/>
          <w:sz w:val="24"/>
          <w:szCs w:val="24"/>
        </w:rPr>
      </w:pPr>
      <w:r>
        <w:rPr>
          <w:rFonts w:hint="eastAsia" w:ascii="宋体" w:hAnsi="宋体" w:eastAsia="宋体" w:cs="宋体"/>
          <w:sz w:val="24"/>
          <w:szCs w:val="24"/>
        </w:rPr>
        <w:t>13.7.3承包人应在单元（工序）工程质量自评合格后，报监理人核定质量等级并签证认可。</w:t>
      </w:r>
    </w:p>
    <w:p w14:paraId="0C334FCF">
      <w:pPr>
        <w:pStyle w:val="4"/>
        <w:rPr>
          <w:rFonts w:hint="eastAsia" w:ascii="宋体" w:hAnsi="宋体" w:eastAsia="宋体" w:cs="宋体"/>
          <w:sz w:val="24"/>
          <w:szCs w:val="24"/>
        </w:rPr>
      </w:pPr>
      <w:r>
        <w:rPr>
          <w:rFonts w:hint="eastAsia" w:ascii="宋体" w:hAnsi="宋体" w:eastAsia="宋体" w:cs="宋体"/>
          <w:sz w:val="24"/>
          <w:szCs w:val="24"/>
        </w:rPr>
        <w:t>13.7.4除专用合同条款另有约定外，承包人应在重要隐蔽单元工程和关键部位单元工程质量自评合格后以及监理人抽检后，由监理人组织承包人等单位组成的联合小组，共同检查核定其质量等级并填写签证表。发包人按有关规定完成质量结论报工程质量监督机构核备手续。</w:t>
      </w:r>
    </w:p>
    <w:p w14:paraId="1C319D39">
      <w:pPr>
        <w:pStyle w:val="4"/>
        <w:rPr>
          <w:rFonts w:hint="eastAsia" w:ascii="宋体" w:hAnsi="宋体" w:eastAsia="宋体" w:cs="宋体"/>
          <w:sz w:val="24"/>
          <w:szCs w:val="24"/>
        </w:rPr>
      </w:pPr>
      <w:r>
        <w:rPr>
          <w:rFonts w:hint="eastAsia" w:ascii="宋体" w:hAnsi="宋体" w:eastAsia="宋体" w:cs="宋体"/>
          <w:sz w:val="24"/>
          <w:szCs w:val="24"/>
        </w:rPr>
        <w:t>13.7.5承包人应在分部工程质量自评合格后，报监理人复核和发包人认定。发包人负责按有关规定完成分部工程质量结论报工程质量监督机构核备（核定）手续。</w:t>
      </w:r>
    </w:p>
    <w:p w14:paraId="6230D233">
      <w:pPr>
        <w:pStyle w:val="4"/>
        <w:rPr>
          <w:rFonts w:hint="eastAsia" w:ascii="宋体" w:hAnsi="宋体" w:eastAsia="宋体" w:cs="宋体"/>
          <w:sz w:val="24"/>
          <w:szCs w:val="24"/>
        </w:rPr>
      </w:pPr>
      <w:r>
        <w:rPr>
          <w:rFonts w:hint="eastAsia" w:ascii="宋体" w:hAnsi="宋体" w:eastAsia="宋体" w:cs="宋体"/>
          <w:sz w:val="24"/>
          <w:szCs w:val="24"/>
        </w:rPr>
        <w:t>13.7.6承包人应在单位工程质量自评合格后，报监理人复核和发包人认定。发包人负责按有关规定完成单位工程质量结论报工程质量监督机构核定手续。</w:t>
      </w:r>
    </w:p>
    <w:p w14:paraId="511697C5">
      <w:pPr>
        <w:pStyle w:val="4"/>
        <w:rPr>
          <w:rFonts w:hint="eastAsia" w:ascii="宋体" w:hAnsi="宋体" w:eastAsia="宋体" w:cs="宋体"/>
          <w:sz w:val="24"/>
          <w:szCs w:val="24"/>
        </w:rPr>
      </w:pPr>
      <w:r>
        <w:rPr>
          <w:rFonts w:hint="eastAsia" w:ascii="宋体" w:hAnsi="宋体" w:eastAsia="宋体" w:cs="宋体"/>
          <w:sz w:val="24"/>
          <w:szCs w:val="24"/>
        </w:rPr>
        <w:t>13.7.7除专用合同条款另有约定外，工程质量等级分为合格和优良，应分别达到约定的标准。</w:t>
      </w:r>
    </w:p>
    <w:p w14:paraId="439C6FF7">
      <w:pPr>
        <w:pStyle w:val="6"/>
        <w:numPr>
          <w:ilvl w:val="0"/>
          <w:numId w:val="0"/>
        </w:numPr>
        <w:bidi w:val="0"/>
        <w:ind w:left="482" w:leftChars="0"/>
        <w:rPr>
          <w:rFonts w:hint="eastAsia" w:ascii="宋体" w:hAnsi="宋体" w:eastAsia="宋体" w:cs="宋体"/>
          <w:sz w:val="24"/>
          <w:szCs w:val="24"/>
        </w:rPr>
      </w:pPr>
      <w:bookmarkStart w:id="757" w:name="bookmark1250"/>
      <w:bookmarkStart w:id="758" w:name="bookmark1249"/>
      <w:bookmarkStart w:id="759" w:name="_Toc19883"/>
      <w:bookmarkStart w:id="760" w:name="_Toc14710366"/>
      <w:bookmarkStart w:id="761" w:name="bookmark1251"/>
      <w:r>
        <w:rPr>
          <w:rFonts w:hint="eastAsia" w:ascii="宋体" w:hAnsi="宋体" w:eastAsia="宋体" w:cs="宋体"/>
          <w:sz w:val="24"/>
          <w:szCs w:val="24"/>
        </w:rPr>
        <w:t>13.8质量事故处理</w:t>
      </w:r>
      <w:bookmarkEnd w:id="757"/>
      <w:bookmarkEnd w:id="758"/>
      <w:bookmarkEnd w:id="759"/>
      <w:bookmarkEnd w:id="760"/>
      <w:bookmarkEnd w:id="761"/>
    </w:p>
    <w:p w14:paraId="4B242631">
      <w:pPr>
        <w:pStyle w:val="4"/>
        <w:rPr>
          <w:rFonts w:hint="eastAsia" w:ascii="宋体" w:hAnsi="宋体" w:eastAsia="宋体" w:cs="宋体"/>
          <w:sz w:val="24"/>
          <w:szCs w:val="24"/>
        </w:rPr>
      </w:pPr>
      <w:r>
        <w:rPr>
          <w:rFonts w:hint="eastAsia" w:ascii="宋体" w:hAnsi="宋体" w:eastAsia="宋体" w:cs="宋体"/>
          <w:sz w:val="24"/>
          <w:szCs w:val="24"/>
        </w:rPr>
        <w:t>13.8.1发生质量事故时，承包人应及时向发包人和监理人报告。</w:t>
      </w:r>
    </w:p>
    <w:p w14:paraId="2042D812">
      <w:pPr>
        <w:pStyle w:val="4"/>
        <w:rPr>
          <w:rFonts w:hint="eastAsia" w:ascii="宋体" w:hAnsi="宋体" w:eastAsia="宋体" w:cs="宋体"/>
          <w:sz w:val="24"/>
          <w:szCs w:val="24"/>
        </w:rPr>
      </w:pPr>
      <w:r>
        <w:rPr>
          <w:rFonts w:hint="eastAsia" w:ascii="宋体" w:hAnsi="宋体" w:eastAsia="宋体" w:cs="宋体"/>
          <w:sz w:val="24"/>
          <w:szCs w:val="24"/>
        </w:rPr>
        <w:t>13.8.2质量事故调查处理由发包人按相关规定履行手续，承包人应配合。</w:t>
      </w:r>
    </w:p>
    <w:p w14:paraId="57E48EFC">
      <w:pPr>
        <w:pStyle w:val="4"/>
        <w:rPr>
          <w:rFonts w:hint="eastAsia" w:ascii="宋体" w:hAnsi="宋体" w:eastAsia="宋体" w:cs="宋体"/>
          <w:sz w:val="24"/>
          <w:szCs w:val="24"/>
        </w:rPr>
      </w:pPr>
      <w:r>
        <w:rPr>
          <w:rFonts w:hint="eastAsia" w:ascii="宋体" w:hAnsi="宋体" w:eastAsia="宋体" w:cs="宋体"/>
          <w:sz w:val="24"/>
          <w:szCs w:val="24"/>
        </w:rPr>
        <w:t>13.8.3承包人应对质量缺陷进行备案。发包人委托监理人对质量缺陷备案情况进行监督检查并履行相关手续。</w:t>
      </w:r>
    </w:p>
    <w:p w14:paraId="4E5D5EAD">
      <w:pPr>
        <w:pStyle w:val="4"/>
        <w:rPr>
          <w:rFonts w:hint="eastAsia" w:ascii="宋体" w:hAnsi="宋体" w:eastAsia="宋体" w:cs="宋体"/>
          <w:sz w:val="24"/>
          <w:szCs w:val="24"/>
        </w:rPr>
      </w:pPr>
      <w:r>
        <w:rPr>
          <w:rFonts w:hint="eastAsia" w:ascii="宋体" w:hAnsi="宋体" w:eastAsia="宋体" w:cs="宋体"/>
          <w:sz w:val="24"/>
          <w:szCs w:val="24"/>
        </w:rPr>
        <w:t>13.8.4除专用合同条款另有约定外，工程竣工验收时，发包人负责向竣工验收委员会汇报并提交历次质量缺陷处理的备案资料。</w:t>
      </w:r>
    </w:p>
    <w:p w14:paraId="062F9C36">
      <w:pPr>
        <w:pStyle w:val="6"/>
        <w:numPr>
          <w:ilvl w:val="0"/>
          <w:numId w:val="0"/>
        </w:numPr>
        <w:bidi w:val="0"/>
        <w:ind w:left="482" w:leftChars="0"/>
        <w:rPr>
          <w:rFonts w:hint="eastAsia" w:ascii="宋体" w:hAnsi="宋体" w:eastAsia="宋体" w:cs="宋体"/>
          <w:sz w:val="24"/>
          <w:szCs w:val="24"/>
        </w:rPr>
      </w:pPr>
      <w:bookmarkStart w:id="762" w:name="_Toc14710367"/>
      <w:bookmarkStart w:id="763" w:name="bookmark1254"/>
      <w:bookmarkStart w:id="764" w:name="bookmark1252"/>
      <w:bookmarkStart w:id="765" w:name="bookmark1253"/>
      <w:bookmarkStart w:id="766" w:name="_Toc17645"/>
      <w:r>
        <w:rPr>
          <w:rFonts w:hint="eastAsia" w:ascii="宋体" w:hAnsi="宋体" w:eastAsia="宋体" w:cs="宋体"/>
          <w:sz w:val="24"/>
          <w:szCs w:val="24"/>
        </w:rPr>
        <w:t>14 .试验和检验</w:t>
      </w:r>
      <w:bookmarkEnd w:id="762"/>
      <w:bookmarkEnd w:id="763"/>
      <w:bookmarkEnd w:id="764"/>
      <w:bookmarkEnd w:id="765"/>
      <w:bookmarkEnd w:id="766"/>
    </w:p>
    <w:p w14:paraId="216D766B">
      <w:pPr>
        <w:pStyle w:val="6"/>
        <w:numPr>
          <w:ilvl w:val="0"/>
          <w:numId w:val="0"/>
        </w:numPr>
        <w:bidi w:val="0"/>
        <w:ind w:left="482" w:leftChars="0"/>
        <w:rPr>
          <w:rFonts w:hint="eastAsia" w:ascii="宋体" w:hAnsi="宋体" w:eastAsia="宋体" w:cs="宋体"/>
          <w:sz w:val="24"/>
          <w:szCs w:val="24"/>
        </w:rPr>
      </w:pPr>
      <w:bookmarkStart w:id="767" w:name="_Toc14710368"/>
      <w:bookmarkStart w:id="768" w:name="bookmark1255"/>
      <w:bookmarkStart w:id="769" w:name="_Toc16875"/>
      <w:bookmarkStart w:id="770" w:name="bookmark1257"/>
      <w:bookmarkStart w:id="771" w:name="bookmark1256"/>
      <w:r>
        <w:rPr>
          <w:rFonts w:hint="eastAsia" w:ascii="宋体" w:hAnsi="宋体" w:eastAsia="宋体" w:cs="宋体"/>
          <w:sz w:val="24"/>
          <w:szCs w:val="24"/>
        </w:rPr>
        <w:t>14.1材料、工程设备和工程的试验和检验</w:t>
      </w:r>
      <w:bookmarkEnd w:id="767"/>
      <w:bookmarkEnd w:id="768"/>
      <w:bookmarkEnd w:id="769"/>
      <w:bookmarkEnd w:id="770"/>
      <w:bookmarkEnd w:id="771"/>
    </w:p>
    <w:p w14:paraId="65371204">
      <w:pPr>
        <w:pStyle w:val="4"/>
        <w:rPr>
          <w:rFonts w:hint="eastAsia" w:ascii="宋体" w:hAnsi="宋体" w:eastAsia="宋体" w:cs="宋体"/>
          <w:sz w:val="24"/>
          <w:szCs w:val="24"/>
        </w:rPr>
      </w:pPr>
      <w:bookmarkStart w:id="772" w:name="bookmark1258"/>
      <w:bookmarkEnd w:id="772"/>
      <w:r>
        <w:rPr>
          <w:rFonts w:hint="eastAsia" w:ascii="宋体" w:hAnsi="宋体" w:eastAsia="宋体" w:cs="宋体"/>
          <w:sz w:val="24"/>
          <w:szCs w:val="24"/>
        </w:rPr>
        <w:t>14.1.1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0FE59DFC">
      <w:pPr>
        <w:pStyle w:val="4"/>
        <w:rPr>
          <w:rFonts w:hint="eastAsia" w:ascii="宋体" w:hAnsi="宋体" w:eastAsia="宋体" w:cs="宋体"/>
          <w:sz w:val="24"/>
          <w:szCs w:val="24"/>
        </w:rPr>
      </w:pPr>
      <w:r>
        <w:rPr>
          <w:rFonts w:hint="eastAsia" w:ascii="宋体" w:hAnsi="宋体" w:eastAsia="宋体" w:cs="宋体"/>
          <w:sz w:val="24"/>
          <w:szCs w:val="24"/>
        </w:rPr>
        <w:t>14.1.2监理人未按合同约定派员参加试验和检验的，除监理人另有指示外，承包人可自行试验和检验，并应立即将试验和检验结果报送监理人，监理人应签字确认。</w:t>
      </w:r>
    </w:p>
    <w:p w14:paraId="108DFA26">
      <w:pPr>
        <w:pStyle w:val="4"/>
        <w:rPr>
          <w:rFonts w:hint="eastAsia" w:ascii="宋体" w:hAnsi="宋体" w:eastAsia="宋体" w:cs="宋体"/>
          <w:sz w:val="24"/>
          <w:szCs w:val="24"/>
        </w:rPr>
      </w:pPr>
      <w:r>
        <w:rPr>
          <w:rFonts w:hint="eastAsia" w:ascii="宋体" w:hAnsi="宋体" w:eastAsia="宋体" w:cs="宋体"/>
          <w:sz w:val="24"/>
          <w:szCs w:val="24"/>
        </w:rPr>
        <w:t>14.1.3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79EE36B3">
      <w:pPr>
        <w:pStyle w:val="4"/>
        <w:rPr>
          <w:rFonts w:hint="eastAsia" w:ascii="宋体" w:hAnsi="宋体" w:eastAsia="宋体" w:cs="宋体"/>
          <w:sz w:val="24"/>
          <w:szCs w:val="24"/>
        </w:rPr>
      </w:pPr>
      <w:r>
        <w:rPr>
          <w:rFonts w:hint="eastAsia" w:ascii="宋体" w:hAnsi="宋体" w:eastAsia="宋体" w:cs="宋体"/>
          <w:sz w:val="24"/>
          <w:szCs w:val="24"/>
        </w:rPr>
        <w:t>14.1.4承包人应按相关规定和标准对水泥、钢材等原材料与中间产品质量进行检验, 并报监理人复核。</w:t>
      </w:r>
    </w:p>
    <w:p w14:paraId="1C52D6BB">
      <w:pPr>
        <w:pStyle w:val="4"/>
        <w:rPr>
          <w:rFonts w:hint="eastAsia" w:ascii="宋体" w:hAnsi="宋体" w:eastAsia="宋体" w:cs="宋体"/>
          <w:sz w:val="24"/>
          <w:szCs w:val="24"/>
        </w:rPr>
      </w:pPr>
      <w:r>
        <w:rPr>
          <w:rFonts w:hint="eastAsia" w:ascii="宋体" w:hAnsi="宋体" w:eastAsia="宋体" w:cs="宋体"/>
          <w:sz w:val="24"/>
          <w:szCs w:val="24"/>
        </w:rPr>
        <w:t>14.1.5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464EA109">
      <w:pPr>
        <w:pStyle w:val="4"/>
        <w:rPr>
          <w:rFonts w:hint="eastAsia" w:ascii="宋体" w:hAnsi="宋体" w:eastAsia="宋体" w:cs="宋体"/>
          <w:sz w:val="24"/>
          <w:szCs w:val="24"/>
        </w:rPr>
      </w:pPr>
      <w:r>
        <w:rPr>
          <w:rFonts w:hint="eastAsia" w:ascii="宋体" w:hAnsi="宋体" w:eastAsia="宋体" w:cs="宋体"/>
          <w:sz w:val="24"/>
          <w:szCs w:val="24"/>
        </w:rPr>
        <w:t>14.1.6对专用合同条款约定的试块、试件及有关材料，监理人实行见证取样。见证取样资料由承包人制备，记录应真实齐全，监理人、承包人等参与见证取样人员均应在相关文件上签字。</w:t>
      </w:r>
    </w:p>
    <w:p w14:paraId="66D9148F">
      <w:pPr>
        <w:pStyle w:val="6"/>
        <w:numPr>
          <w:ilvl w:val="0"/>
          <w:numId w:val="0"/>
        </w:numPr>
        <w:bidi w:val="0"/>
        <w:ind w:left="482" w:leftChars="0"/>
        <w:rPr>
          <w:rFonts w:hint="eastAsia" w:ascii="宋体" w:hAnsi="宋体" w:eastAsia="宋体" w:cs="宋体"/>
          <w:sz w:val="24"/>
          <w:szCs w:val="24"/>
        </w:rPr>
      </w:pPr>
      <w:bookmarkStart w:id="773" w:name="_Toc24338"/>
      <w:bookmarkStart w:id="774" w:name="bookmark1259"/>
      <w:bookmarkStart w:id="775" w:name="bookmark1260"/>
      <w:bookmarkStart w:id="776" w:name="bookmark1261"/>
      <w:bookmarkStart w:id="777" w:name="_Toc14710369"/>
      <w:r>
        <w:rPr>
          <w:rFonts w:hint="eastAsia" w:ascii="宋体" w:hAnsi="宋体" w:eastAsia="宋体" w:cs="宋体"/>
          <w:sz w:val="24"/>
          <w:szCs w:val="24"/>
        </w:rPr>
        <w:t>14.2现场材料试验</w:t>
      </w:r>
      <w:bookmarkEnd w:id="773"/>
      <w:bookmarkEnd w:id="774"/>
      <w:bookmarkEnd w:id="775"/>
      <w:bookmarkEnd w:id="776"/>
      <w:bookmarkEnd w:id="777"/>
    </w:p>
    <w:p w14:paraId="20E64F5B">
      <w:pPr>
        <w:pStyle w:val="4"/>
        <w:rPr>
          <w:rFonts w:hint="eastAsia" w:ascii="宋体" w:hAnsi="宋体" w:eastAsia="宋体" w:cs="宋体"/>
          <w:sz w:val="24"/>
          <w:szCs w:val="24"/>
        </w:rPr>
      </w:pPr>
      <w:bookmarkStart w:id="778" w:name="bookmark1262"/>
      <w:bookmarkEnd w:id="778"/>
      <w:r>
        <w:rPr>
          <w:rFonts w:hint="eastAsia" w:ascii="宋体" w:hAnsi="宋体" w:eastAsia="宋体" w:cs="宋体"/>
          <w:sz w:val="24"/>
          <w:szCs w:val="24"/>
        </w:rPr>
        <w:t>14.2.1承包人根据合同约定或监理人指示进行的现场材料试验，应由承包人提供试 验场所、试验人员、试验设备器材以及其他必要的试验条件。</w:t>
      </w:r>
    </w:p>
    <w:p w14:paraId="40013149">
      <w:pPr>
        <w:pStyle w:val="4"/>
        <w:rPr>
          <w:rFonts w:hint="eastAsia" w:ascii="宋体" w:hAnsi="宋体" w:eastAsia="宋体" w:cs="宋体"/>
          <w:sz w:val="24"/>
          <w:szCs w:val="24"/>
        </w:rPr>
      </w:pPr>
      <w:bookmarkStart w:id="779" w:name="bookmark1263"/>
      <w:bookmarkEnd w:id="779"/>
      <w:r>
        <w:rPr>
          <w:rFonts w:hint="eastAsia" w:ascii="宋体" w:hAnsi="宋体" w:eastAsia="宋体" w:cs="宋体"/>
          <w:sz w:val="24"/>
          <w:szCs w:val="24"/>
        </w:rPr>
        <w:t>14.2.2监理人在必要时可以使用承包人的试验场所、试验设备器材以及其他试验条件，进行以工程质量检查为目的的复核性材料试验，承包人应予以协助。</w:t>
      </w:r>
    </w:p>
    <w:p w14:paraId="0804F31C">
      <w:pPr>
        <w:pStyle w:val="6"/>
        <w:numPr>
          <w:ilvl w:val="0"/>
          <w:numId w:val="0"/>
        </w:numPr>
        <w:bidi w:val="0"/>
        <w:ind w:left="482" w:leftChars="0"/>
        <w:rPr>
          <w:rFonts w:hint="eastAsia" w:ascii="宋体" w:hAnsi="宋体" w:eastAsia="宋体" w:cs="宋体"/>
          <w:sz w:val="24"/>
          <w:szCs w:val="24"/>
        </w:rPr>
      </w:pPr>
      <w:bookmarkStart w:id="780" w:name="bookmark1266"/>
      <w:bookmarkStart w:id="781" w:name="_Toc21991"/>
      <w:bookmarkStart w:id="782" w:name="bookmark1264"/>
      <w:bookmarkStart w:id="783" w:name="_Toc14710370"/>
      <w:bookmarkStart w:id="784" w:name="bookmark1265"/>
      <w:r>
        <w:rPr>
          <w:rFonts w:hint="eastAsia" w:ascii="宋体" w:hAnsi="宋体" w:eastAsia="宋体" w:cs="宋体"/>
          <w:sz w:val="24"/>
          <w:szCs w:val="24"/>
        </w:rPr>
        <w:t>14.3现场工艺试验</w:t>
      </w:r>
      <w:bookmarkEnd w:id="780"/>
      <w:bookmarkEnd w:id="781"/>
      <w:bookmarkEnd w:id="782"/>
      <w:bookmarkEnd w:id="783"/>
      <w:bookmarkEnd w:id="784"/>
    </w:p>
    <w:p w14:paraId="78B3613E">
      <w:pPr>
        <w:pStyle w:val="4"/>
        <w:rPr>
          <w:rFonts w:hint="eastAsia" w:ascii="宋体" w:hAnsi="宋体" w:eastAsia="宋体" w:cs="宋体"/>
          <w:sz w:val="24"/>
          <w:szCs w:val="24"/>
        </w:rPr>
      </w:pPr>
      <w:r>
        <w:rPr>
          <w:rFonts w:hint="eastAsia" w:ascii="宋体" w:hAnsi="宋体" w:eastAsia="宋体" w:cs="宋体"/>
          <w:sz w:val="24"/>
          <w:szCs w:val="24"/>
        </w:rPr>
        <w:t>承包人应按合同约定或监理人指示进行现场工艺试验。对大型的现场工艺试验，监理人认为必要时，应由承包人根据监理人提出的工艺试验要求，编制工艺试验措施计划，报送监理人审批。</w:t>
      </w:r>
    </w:p>
    <w:p w14:paraId="366DC35F">
      <w:pPr>
        <w:pStyle w:val="6"/>
        <w:numPr>
          <w:ilvl w:val="0"/>
          <w:numId w:val="0"/>
        </w:numPr>
        <w:bidi w:val="0"/>
        <w:ind w:left="482" w:leftChars="0"/>
        <w:rPr>
          <w:rFonts w:hint="eastAsia" w:ascii="宋体" w:hAnsi="宋体" w:eastAsia="宋体" w:cs="宋体"/>
          <w:sz w:val="24"/>
          <w:szCs w:val="24"/>
        </w:rPr>
      </w:pPr>
      <w:bookmarkStart w:id="785" w:name="_Toc14710371"/>
      <w:bookmarkStart w:id="786" w:name="_Toc9858"/>
      <w:bookmarkStart w:id="787" w:name="bookmark1269"/>
      <w:bookmarkStart w:id="788" w:name="bookmark1267"/>
      <w:bookmarkStart w:id="789" w:name="bookmark1268"/>
      <w:r>
        <w:rPr>
          <w:rFonts w:hint="eastAsia" w:ascii="宋体" w:hAnsi="宋体" w:eastAsia="宋体" w:cs="宋体"/>
          <w:sz w:val="24"/>
          <w:szCs w:val="24"/>
        </w:rPr>
        <w:t>15.变更</w:t>
      </w:r>
      <w:bookmarkEnd w:id="785"/>
      <w:bookmarkEnd w:id="786"/>
      <w:bookmarkEnd w:id="787"/>
    </w:p>
    <w:p w14:paraId="745D3F75">
      <w:pPr>
        <w:pStyle w:val="6"/>
        <w:numPr>
          <w:ilvl w:val="0"/>
          <w:numId w:val="0"/>
        </w:numPr>
        <w:bidi w:val="0"/>
        <w:ind w:left="482" w:leftChars="0"/>
        <w:rPr>
          <w:rFonts w:hint="eastAsia" w:ascii="宋体" w:hAnsi="宋体" w:eastAsia="宋体" w:cs="宋体"/>
          <w:sz w:val="24"/>
          <w:szCs w:val="24"/>
        </w:rPr>
      </w:pPr>
      <w:bookmarkStart w:id="790" w:name="bookmark1270"/>
      <w:bookmarkStart w:id="791" w:name="_Toc14710372"/>
      <w:bookmarkStart w:id="792" w:name="_Toc30097"/>
      <w:r>
        <w:rPr>
          <w:rFonts w:hint="eastAsia" w:ascii="宋体" w:hAnsi="宋体" w:eastAsia="宋体" w:cs="宋体"/>
          <w:sz w:val="24"/>
          <w:szCs w:val="24"/>
        </w:rPr>
        <w:t>15.1变更的范围和内容</w:t>
      </w:r>
      <w:bookmarkEnd w:id="788"/>
      <w:bookmarkEnd w:id="789"/>
      <w:bookmarkEnd w:id="790"/>
      <w:bookmarkEnd w:id="791"/>
      <w:bookmarkEnd w:id="792"/>
    </w:p>
    <w:p w14:paraId="50F8B8A2">
      <w:pPr>
        <w:pStyle w:val="4"/>
        <w:rPr>
          <w:rFonts w:hint="eastAsia" w:ascii="宋体" w:hAnsi="宋体" w:eastAsia="宋体" w:cs="宋体"/>
          <w:sz w:val="24"/>
          <w:szCs w:val="24"/>
        </w:rPr>
      </w:pPr>
      <w:r>
        <w:rPr>
          <w:rFonts w:hint="eastAsia" w:ascii="宋体" w:hAnsi="宋体" w:eastAsia="宋体" w:cs="宋体"/>
          <w:sz w:val="24"/>
          <w:szCs w:val="24"/>
        </w:rPr>
        <w:t>在履行合同中发生以下情形之一，应按照本条规定进行变更。</w:t>
      </w:r>
    </w:p>
    <w:p w14:paraId="6511C534">
      <w:pPr>
        <w:pStyle w:val="4"/>
        <w:rPr>
          <w:rFonts w:hint="eastAsia" w:ascii="宋体" w:hAnsi="宋体" w:eastAsia="宋体" w:cs="宋体"/>
          <w:sz w:val="24"/>
          <w:szCs w:val="24"/>
        </w:rPr>
      </w:pPr>
      <w:bookmarkStart w:id="793" w:name="bookmark1271"/>
      <w:bookmarkEnd w:id="793"/>
      <w:r>
        <w:rPr>
          <w:rFonts w:hint="eastAsia" w:ascii="宋体" w:hAnsi="宋体" w:eastAsia="宋体" w:cs="宋体"/>
          <w:b w:val="0"/>
          <w:i w:val="0"/>
          <w:strike w:val="0"/>
          <w:color w:val="000000"/>
          <w:sz w:val="24"/>
          <w:szCs w:val="24"/>
          <w:u w:val="none"/>
        </w:rPr>
        <w:t>(1)</w:t>
      </w:r>
      <w:r>
        <w:rPr>
          <w:rFonts w:hint="eastAsia" w:ascii="宋体" w:hAnsi="宋体" w:eastAsia="宋体" w:cs="宋体"/>
          <w:sz w:val="24"/>
          <w:szCs w:val="24"/>
        </w:rPr>
        <w:t>取消合同中任何一项工作，但被取消的工作不能转由发包人或其它人实施；</w:t>
      </w:r>
    </w:p>
    <w:p w14:paraId="039216A5">
      <w:pPr>
        <w:pStyle w:val="4"/>
        <w:rPr>
          <w:rFonts w:hint="eastAsia" w:ascii="宋体" w:hAnsi="宋体" w:eastAsia="宋体" w:cs="宋体"/>
          <w:sz w:val="24"/>
          <w:szCs w:val="24"/>
        </w:rPr>
      </w:pPr>
      <w:bookmarkStart w:id="794" w:name="bookmark1272"/>
      <w:bookmarkEnd w:id="794"/>
      <w:r>
        <w:rPr>
          <w:rFonts w:hint="eastAsia" w:ascii="宋体" w:hAnsi="宋体" w:eastAsia="宋体" w:cs="宋体"/>
          <w:b w:val="0"/>
          <w:i w:val="0"/>
          <w:strike w:val="0"/>
          <w:color w:val="000000"/>
          <w:sz w:val="24"/>
          <w:szCs w:val="24"/>
          <w:u w:val="none"/>
        </w:rPr>
        <w:t>(2)</w:t>
      </w:r>
      <w:r>
        <w:rPr>
          <w:rFonts w:hint="eastAsia" w:ascii="宋体" w:hAnsi="宋体" w:eastAsia="宋体" w:cs="宋体"/>
          <w:sz w:val="24"/>
          <w:szCs w:val="24"/>
        </w:rPr>
        <w:t>改变合同中任何一项工作的质量或其它特性；</w:t>
      </w:r>
    </w:p>
    <w:p w14:paraId="31D3552A">
      <w:pPr>
        <w:pStyle w:val="4"/>
        <w:rPr>
          <w:rFonts w:hint="eastAsia" w:ascii="宋体" w:hAnsi="宋体" w:eastAsia="宋体" w:cs="宋体"/>
          <w:sz w:val="24"/>
          <w:szCs w:val="24"/>
        </w:rPr>
      </w:pPr>
      <w:bookmarkStart w:id="795" w:name="bookmark1273"/>
      <w:bookmarkEnd w:id="795"/>
      <w:r>
        <w:rPr>
          <w:rFonts w:hint="eastAsia" w:ascii="宋体" w:hAnsi="宋体" w:eastAsia="宋体" w:cs="宋体"/>
          <w:b w:val="0"/>
          <w:i w:val="0"/>
          <w:strike w:val="0"/>
          <w:color w:val="000000"/>
          <w:sz w:val="24"/>
          <w:szCs w:val="24"/>
          <w:u w:val="none"/>
        </w:rPr>
        <w:t>(3)</w:t>
      </w:r>
      <w:r>
        <w:rPr>
          <w:rFonts w:hint="eastAsia" w:ascii="宋体" w:hAnsi="宋体" w:eastAsia="宋体" w:cs="宋体"/>
          <w:sz w:val="24"/>
          <w:szCs w:val="24"/>
        </w:rPr>
        <w:t>改变合同工程的基线、标高、位置或尺寸；</w:t>
      </w:r>
    </w:p>
    <w:p w14:paraId="62EB1BFB">
      <w:pPr>
        <w:pStyle w:val="4"/>
        <w:rPr>
          <w:rFonts w:hint="eastAsia" w:ascii="宋体" w:hAnsi="宋体" w:eastAsia="宋体" w:cs="宋体"/>
          <w:sz w:val="24"/>
          <w:szCs w:val="24"/>
        </w:rPr>
      </w:pPr>
      <w:bookmarkStart w:id="796" w:name="bookmark1274"/>
      <w:bookmarkEnd w:id="796"/>
      <w:r>
        <w:rPr>
          <w:rFonts w:hint="eastAsia" w:ascii="宋体" w:hAnsi="宋体" w:eastAsia="宋体" w:cs="宋体"/>
          <w:b w:val="0"/>
          <w:i w:val="0"/>
          <w:strike w:val="0"/>
          <w:color w:val="000000"/>
          <w:sz w:val="24"/>
          <w:szCs w:val="24"/>
          <w:u w:val="none"/>
        </w:rPr>
        <w:t>(4)</w:t>
      </w:r>
      <w:r>
        <w:rPr>
          <w:rFonts w:hint="eastAsia" w:ascii="宋体" w:hAnsi="宋体" w:eastAsia="宋体" w:cs="宋体"/>
          <w:sz w:val="24"/>
          <w:szCs w:val="24"/>
        </w:rPr>
        <w:t>改变合同中任何一项工作的施工时间或改变已批准的施工工艺或顺序；</w:t>
      </w:r>
    </w:p>
    <w:p w14:paraId="3F31F586">
      <w:pPr>
        <w:pStyle w:val="4"/>
        <w:rPr>
          <w:rFonts w:hint="eastAsia" w:ascii="宋体" w:hAnsi="宋体" w:eastAsia="宋体" w:cs="宋体"/>
          <w:sz w:val="24"/>
          <w:szCs w:val="24"/>
        </w:rPr>
      </w:pPr>
      <w:bookmarkStart w:id="797" w:name="bookmark1275"/>
      <w:bookmarkEnd w:id="797"/>
      <w:r>
        <w:rPr>
          <w:rFonts w:hint="eastAsia" w:ascii="宋体" w:hAnsi="宋体" w:eastAsia="宋体" w:cs="宋体"/>
          <w:b w:val="0"/>
          <w:i w:val="0"/>
          <w:strike w:val="0"/>
          <w:color w:val="000000"/>
          <w:sz w:val="24"/>
          <w:szCs w:val="24"/>
          <w:u w:val="none"/>
        </w:rPr>
        <w:t>(5)</w:t>
      </w:r>
      <w:r>
        <w:rPr>
          <w:rFonts w:hint="eastAsia" w:ascii="宋体" w:hAnsi="宋体" w:eastAsia="宋体" w:cs="宋体"/>
          <w:sz w:val="24"/>
          <w:szCs w:val="24"/>
        </w:rPr>
        <w:t>为完成工程需要追加的额外工作；</w:t>
      </w:r>
    </w:p>
    <w:p w14:paraId="4215626C">
      <w:pPr>
        <w:pStyle w:val="4"/>
        <w:rPr>
          <w:rFonts w:hint="eastAsia" w:ascii="宋体" w:hAnsi="宋体" w:eastAsia="宋体" w:cs="宋体"/>
          <w:sz w:val="24"/>
          <w:szCs w:val="24"/>
        </w:rPr>
      </w:pPr>
      <w:bookmarkStart w:id="798" w:name="bookmark1276"/>
      <w:bookmarkEnd w:id="798"/>
      <w:r>
        <w:rPr>
          <w:rFonts w:hint="eastAsia" w:ascii="宋体" w:hAnsi="宋体" w:eastAsia="宋体" w:cs="宋体"/>
          <w:b w:val="0"/>
          <w:i w:val="0"/>
          <w:strike w:val="0"/>
          <w:color w:val="000000"/>
          <w:sz w:val="24"/>
          <w:szCs w:val="24"/>
          <w:u w:val="none"/>
        </w:rPr>
        <w:t>(6)</w:t>
      </w:r>
      <w:r>
        <w:rPr>
          <w:rFonts w:hint="eastAsia" w:ascii="宋体" w:hAnsi="宋体" w:eastAsia="宋体" w:cs="宋体"/>
          <w:sz w:val="24"/>
          <w:szCs w:val="24"/>
        </w:rPr>
        <w:t>增加或减少专用合同条款中约定的关键项目工程量超过其工程总量的一定数量的百分比。</w:t>
      </w:r>
    </w:p>
    <w:p w14:paraId="16114A48">
      <w:pPr>
        <w:pStyle w:val="4"/>
        <w:rPr>
          <w:rFonts w:hint="eastAsia" w:ascii="宋体" w:hAnsi="宋体" w:eastAsia="宋体" w:cs="宋体"/>
          <w:sz w:val="24"/>
          <w:szCs w:val="24"/>
        </w:rPr>
      </w:pPr>
      <w:r>
        <w:rPr>
          <w:rFonts w:hint="eastAsia" w:ascii="宋体" w:hAnsi="宋体" w:eastAsia="宋体" w:cs="宋体"/>
          <w:sz w:val="24"/>
          <w:szCs w:val="24"/>
        </w:rPr>
        <w:t>上述第(1) ~ (6)目的变更内容引起工程施工组织和进度计划发生实质性变动和影响其原定的价格时，才予调整该项目的单价。第(6)目情形下单价调整方式在专用合同条款中约定。</w:t>
      </w:r>
    </w:p>
    <w:p w14:paraId="397EB432">
      <w:pPr>
        <w:pStyle w:val="6"/>
        <w:numPr>
          <w:ilvl w:val="0"/>
          <w:numId w:val="0"/>
        </w:numPr>
        <w:bidi w:val="0"/>
        <w:ind w:left="482" w:leftChars="0"/>
        <w:rPr>
          <w:rFonts w:hint="eastAsia" w:ascii="宋体" w:hAnsi="宋体" w:eastAsia="宋体" w:cs="宋体"/>
          <w:sz w:val="24"/>
          <w:szCs w:val="24"/>
        </w:rPr>
      </w:pPr>
      <w:bookmarkStart w:id="799" w:name="bookmark1277"/>
      <w:bookmarkStart w:id="800" w:name="_Toc14710373"/>
      <w:bookmarkStart w:id="801" w:name="bookmark1278"/>
      <w:bookmarkStart w:id="802" w:name="_Toc25903"/>
      <w:bookmarkStart w:id="803" w:name="bookmark1279"/>
      <w:r>
        <w:rPr>
          <w:rFonts w:hint="eastAsia" w:ascii="宋体" w:hAnsi="宋体" w:eastAsia="宋体" w:cs="宋体"/>
          <w:sz w:val="24"/>
          <w:szCs w:val="24"/>
        </w:rPr>
        <w:t>15.2变更权</w:t>
      </w:r>
      <w:bookmarkEnd w:id="799"/>
      <w:bookmarkEnd w:id="800"/>
      <w:bookmarkEnd w:id="801"/>
      <w:bookmarkEnd w:id="802"/>
      <w:bookmarkEnd w:id="803"/>
    </w:p>
    <w:p w14:paraId="43686455">
      <w:pPr>
        <w:pStyle w:val="4"/>
        <w:rPr>
          <w:rFonts w:hint="eastAsia" w:ascii="宋体" w:hAnsi="宋体" w:eastAsia="宋体" w:cs="宋体"/>
          <w:sz w:val="24"/>
          <w:szCs w:val="24"/>
        </w:rPr>
      </w:pPr>
      <w:r>
        <w:rPr>
          <w:rFonts w:hint="eastAsia" w:ascii="宋体" w:hAnsi="宋体" w:eastAsia="宋体" w:cs="宋体"/>
          <w:sz w:val="24"/>
          <w:szCs w:val="24"/>
        </w:rPr>
        <w:t>在履行合同过程中，经发包人同意，监理人可按第15. 3款约定的变更程序向承包人作出变更指示，承包人应遵照执行。没有监理人的变更指示，承包人不得擅自变更。</w:t>
      </w:r>
    </w:p>
    <w:p w14:paraId="16CDE76F">
      <w:pPr>
        <w:pStyle w:val="6"/>
        <w:numPr>
          <w:ilvl w:val="0"/>
          <w:numId w:val="0"/>
        </w:numPr>
        <w:bidi w:val="0"/>
        <w:ind w:left="482" w:leftChars="0"/>
        <w:rPr>
          <w:rFonts w:hint="eastAsia" w:ascii="宋体" w:hAnsi="宋体" w:eastAsia="宋体" w:cs="宋体"/>
          <w:sz w:val="24"/>
          <w:szCs w:val="24"/>
        </w:rPr>
      </w:pPr>
      <w:bookmarkStart w:id="804" w:name="bookmark1282"/>
      <w:bookmarkStart w:id="805" w:name="bookmark1281"/>
      <w:bookmarkStart w:id="806" w:name="_Toc14710374"/>
      <w:bookmarkStart w:id="807" w:name="bookmark1280"/>
      <w:bookmarkStart w:id="808" w:name="_Toc24991"/>
      <w:r>
        <w:rPr>
          <w:rFonts w:hint="eastAsia" w:ascii="宋体" w:hAnsi="宋体" w:eastAsia="宋体" w:cs="宋体"/>
          <w:sz w:val="24"/>
          <w:szCs w:val="24"/>
        </w:rPr>
        <w:t>15.3变更程序</w:t>
      </w:r>
      <w:bookmarkEnd w:id="804"/>
      <w:bookmarkEnd w:id="805"/>
      <w:bookmarkEnd w:id="806"/>
      <w:bookmarkEnd w:id="807"/>
      <w:bookmarkEnd w:id="808"/>
    </w:p>
    <w:p w14:paraId="2C1B96C0">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15.3.1变更的提出</w:t>
      </w:r>
    </w:p>
    <w:p w14:paraId="227917F2">
      <w:pPr>
        <w:pStyle w:val="4"/>
        <w:rPr>
          <w:rFonts w:hint="eastAsia" w:ascii="宋体" w:hAnsi="宋体" w:eastAsia="宋体" w:cs="宋体"/>
          <w:sz w:val="24"/>
          <w:szCs w:val="24"/>
        </w:rPr>
      </w:pPr>
      <w:bookmarkStart w:id="809" w:name="bookmark1283"/>
      <w:bookmarkEnd w:id="809"/>
      <w:r>
        <w:rPr>
          <w:rFonts w:hint="eastAsia" w:ascii="宋体" w:hAnsi="宋体" w:eastAsia="宋体" w:cs="宋体"/>
          <w:b w:val="0"/>
          <w:i w:val="0"/>
          <w:strike w:val="0"/>
          <w:color w:val="000000"/>
          <w:sz w:val="24"/>
          <w:szCs w:val="24"/>
          <w:u w:val="none"/>
        </w:rPr>
        <w:t>(1)</w:t>
      </w:r>
      <w:r>
        <w:rPr>
          <w:rFonts w:hint="eastAsia" w:ascii="宋体" w:hAnsi="宋体" w:eastAsia="宋体" w:cs="宋体"/>
          <w:sz w:val="24"/>
          <w:szCs w:val="24"/>
        </w:rPr>
        <w:t>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 3. 3项约定发出变更指示。</w:t>
      </w:r>
    </w:p>
    <w:p w14:paraId="54907F38">
      <w:pPr>
        <w:pStyle w:val="4"/>
        <w:rPr>
          <w:rFonts w:hint="eastAsia" w:ascii="宋体" w:hAnsi="宋体" w:eastAsia="宋体" w:cs="宋体"/>
          <w:sz w:val="24"/>
          <w:szCs w:val="24"/>
        </w:rPr>
      </w:pPr>
      <w:bookmarkStart w:id="810" w:name="bookmark1284"/>
      <w:bookmarkEnd w:id="810"/>
      <w:r>
        <w:rPr>
          <w:rFonts w:hint="eastAsia" w:ascii="宋体" w:hAnsi="宋体" w:eastAsia="宋体" w:cs="宋体"/>
          <w:b w:val="0"/>
          <w:i w:val="0"/>
          <w:strike w:val="0"/>
          <w:color w:val="000000"/>
          <w:sz w:val="24"/>
          <w:szCs w:val="24"/>
          <w:u w:val="none"/>
        </w:rPr>
        <w:t>(2)</w:t>
      </w:r>
      <w:r>
        <w:rPr>
          <w:rFonts w:hint="eastAsia" w:ascii="宋体" w:hAnsi="宋体" w:eastAsia="宋体" w:cs="宋体"/>
          <w:sz w:val="24"/>
          <w:szCs w:val="24"/>
        </w:rPr>
        <w:t>在合同履行过程中，发生第15. 1款约定情形的，监理人应按照第15. 3. 3项约定向承包人发出变更指示。</w:t>
      </w:r>
    </w:p>
    <w:p w14:paraId="2045D07A">
      <w:pPr>
        <w:pStyle w:val="4"/>
        <w:rPr>
          <w:rFonts w:hint="eastAsia" w:ascii="宋体" w:hAnsi="宋体" w:eastAsia="宋体" w:cs="宋体"/>
          <w:sz w:val="24"/>
          <w:szCs w:val="24"/>
        </w:rPr>
      </w:pPr>
      <w:bookmarkStart w:id="811" w:name="bookmark1285"/>
      <w:bookmarkEnd w:id="811"/>
      <w:r>
        <w:rPr>
          <w:rFonts w:hint="eastAsia" w:ascii="宋体" w:hAnsi="宋体" w:eastAsia="宋体" w:cs="宋体"/>
          <w:b w:val="0"/>
          <w:i w:val="0"/>
          <w:strike w:val="0"/>
          <w:color w:val="000000"/>
          <w:sz w:val="24"/>
          <w:szCs w:val="24"/>
          <w:u w:val="none"/>
        </w:rPr>
        <w:t>(3)</w:t>
      </w:r>
      <w:r>
        <w:rPr>
          <w:rFonts w:hint="eastAsia" w:ascii="宋体" w:hAnsi="宋体" w:eastAsia="宋体" w:cs="宋体"/>
          <w:sz w:val="24"/>
          <w:szCs w:val="24"/>
        </w:rPr>
        <w:t>承包人收到监理人按合同约定发出的图纸和文件，经检查认为其中存在第15. 1款 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18579951">
      <w:pPr>
        <w:pStyle w:val="4"/>
        <w:rPr>
          <w:rFonts w:hint="eastAsia" w:ascii="宋体" w:hAnsi="宋体" w:eastAsia="宋体" w:cs="宋体"/>
          <w:sz w:val="24"/>
          <w:szCs w:val="24"/>
        </w:rPr>
      </w:pPr>
      <w:bookmarkStart w:id="812" w:name="bookmark1286"/>
      <w:bookmarkEnd w:id="812"/>
      <w:r>
        <w:rPr>
          <w:rFonts w:hint="eastAsia" w:ascii="宋体" w:hAnsi="宋体" w:eastAsia="宋体" w:cs="宋体"/>
          <w:b w:val="0"/>
          <w:i w:val="0"/>
          <w:strike w:val="0"/>
          <w:color w:val="000000"/>
          <w:sz w:val="24"/>
          <w:szCs w:val="24"/>
          <w:u w:val="none"/>
        </w:rPr>
        <w:t>(4)</w:t>
      </w:r>
      <w:r>
        <w:rPr>
          <w:rFonts w:hint="eastAsia" w:ascii="宋体" w:hAnsi="宋体" w:eastAsia="宋体" w:cs="宋体"/>
          <w:sz w:val="24"/>
          <w:szCs w:val="24"/>
        </w:rPr>
        <w:t>若承包人收到监理人的变更意向书后认为难以实施此项变更，应立即通知监理人, 说明原因并附详细依据。监理人与承包人和发包人协商后确定撤销、改变或不改变原变更 意向书。</w:t>
      </w:r>
    </w:p>
    <w:p w14:paraId="2DF09B56">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15.3.2变更估价</w:t>
      </w:r>
    </w:p>
    <w:p w14:paraId="1BE06C4D">
      <w:pPr>
        <w:pStyle w:val="4"/>
        <w:rPr>
          <w:rFonts w:hint="eastAsia" w:ascii="宋体" w:hAnsi="宋体" w:eastAsia="宋体" w:cs="宋体"/>
          <w:sz w:val="24"/>
          <w:szCs w:val="24"/>
        </w:rPr>
      </w:pPr>
      <w:bookmarkStart w:id="813" w:name="bookmark1287"/>
      <w:bookmarkEnd w:id="813"/>
      <w:r>
        <w:rPr>
          <w:rFonts w:hint="eastAsia" w:ascii="宋体" w:hAnsi="宋体" w:eastAsia="宋体" w:cs="宋体"/>
          <w:b w:val="0"/>
          <w:i w:val="0"/>
          <w:strike w:val="0"/>
          <w:color w:val="000000"/>
          <w:sz w:val="24"/>
          <w:szCs w:val="24"/>
          <w:u w:val="none"/>
        </w:rPr>
        <w:t>(1)</w:t>
      </w:r>
      <w:r>
        <w:rPr>
          <w:rFonts w:hint="eastAsia" w:ascii="宋体" w:hAnsi="宋体" w:eastAsia="宋体" w:cs="宋体"/>
          <w:sz w:val="24"/>
          <w:szCs w:val="24"/>
        </w:rPr>
        <w:t>除专用合同条款对期限另有约定外，承包人应在收到变更指示或变更意向书后的14天内，向监理人提交变更报价书，报价内容应根据第15. 4款约定的估价原则，详细开列变更工作的价格组成及其依据，并附必要的施工方法说明和有关图纸。</w:t>
      </w:r>
    </w:p>
    <w:p w14:paraId="620D4A49">
      <w:pPr>
        <w:pStyle w:val="4"/>
        <w:rPr>
          <w:rFonts w:hint="eastAsia" w:ascii="宋体" w:hAnsi="宋体" w:eastAsia="宋体" w:cs="宋体"/>
          <w:sz w:val="24"/>
          <w:szCs w:val="24"/>
        </w:rPr>
      </w:pPr>
      <w:bookmarkStart w:id="814" w:name="bookmark1288"/>
      <w:bookmarkEnd w:id="814"/>
      <w:r>
        <w:rPr>
          <w:rFonts w:hint="eastAsia" w:ascii="宋体" w:hAnsi="宋体" w:eastAsia="宋体" w:cs="宋体"/>
          <w:b w:val="0"/>
          <w:i w:val="0"/>
          <w:strike w:val="0"/>
          <w:color w:val="000000"/>
          <w:sz w:val="24"/>
          <w:szCs w:val="24"/>
          <w:u w:val="none"/>
        </w:rPr>
        <w:t>(2)</w:t>
      </w:r>
      <w:r>
        <w:rPr>
          <w:rFonts w:hint="eastAsia" w:ascii="宋体" w:hAnsi="宋体" w:eastAsia="宋体" w:cs="宋体"/>
          <w:sz w:val="24"/>
          <w:szCs w:val="24"/>
        </w:rPr>
        <w:t>变更工作影响工期的，承包人应提出调整工期的具体细节。监理人认为有必要时, 可要求承包人提交要求提前或延长工期的施工进度计划及相应施工措施等详细资料。</w:t>
      </w:r>
    </w:p>
    <w:p w14:paraId="6D86025D">
      <w:pPr>
        <w:pStyle w:val="4"/>
        <w:rPr>
          <w:rFonts w:hint="eastAsia" w:ascii="宋体" w:hAnsi="宋体" w:eastAsia="宋体" w:cs="宋体"/>
          <w:sz w:val="24"/>
          <w:szCs w:val="24"/>
        </w:rPr>
      </w:pPr>
      <w:bookmarkStart w:id="815" w:name="bookmark1289"/>
      <w:bookmarkEnd w:id="815"/>
      <w:r>
        <w:rPr>
          <w:rFonts w:hint="eastAsia" w:ascii="宋体" w:hAnsi="宋体" w:eastAsia="宋体" w:cs="宋体"/>
          <w:b w:val="0"/>
          <w:i w:val="0"/>
          <w:strike w:val="0"/>
          <w:color w:val="000000"/>
          <w:sz w:val="24"/>
          <w:szCs w:val="24"/>
          <w:u w:val="none"/>
        </w:rPr>
        <w:t>(3)</w:t>
      </w:r>
      <w:r>
        <w:rPr>
          <w:rFonts w:hint="eastAsia" w:ascii="宋体" w:hAnsi="宋体" w:eastAsia="宋体" w:cs="宋体"/>
          <w:sz w:val="24"/>
          <w:szCs w:val="24"/>
        </w:rPr>
        <w:t>除专用合同条款对期限另有约定外，监理人收到承包人变更报价书后的14天内，根据第15. 4款约定的估价原则，按照第3. 5款商定或确定变更价格。</w:t>
      </w:r>
    </w:p>
    <w:p w14:paraId="6291D9E0">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15.3.3变更指示</w:t>
      </w:r>
    </w:p>
    <w:p w14:paraId="62E1638B">
      <w:pPr>
        <w:pStyle w:val="4"/>
        <w:rPr>
          <w:rFonts w:hint="eastAsia" w:ascii="宋体" w:hAnsi="宋体" w:eastAsia="宋体" w:cs="宋体"/>
          <w:sz w:val="24"/>
          <w:szCs w:val="24"/>
        </w:rPr>
      </w:pPr>
      <w:bookmarkStart w:id="816" w:name="bookmark1290"/>
      <w:bookmarkEnd w:id="816"/>
      <w:r>
        <w:rPr>
          <w:rFonts w:hint="eastAsia" w:ascii="宋体" w:hAnsi="宋体" w:eastAsia="宋体" w:cs="宋体"/>
          <w:b w:val="0"/>
          <w:i w:val="0"/>
          <w:strike w:val="0"/>
          <w:color w:val="000000"/>
          <w:sz w:val="24"/>
          <w:szCs w:val="24"/>
          <w:u w:val="none"/>
        </w:rPr>
        <w:t>(1)</w:t>
      </w:r>
      <w:r>
        <w:rPr>
          <w:rFonts w:hint="eastAsia" w:ascii="宋体" w:hAnsi="宋体" w:eastAsia="宋体" w:cs="宋体"/>
          <w:sz w:val="24"/>
          <w:szCs w:val="24"/>
        </w:rPr>
        <w:t>变更指示只能由监理人发出。</w:t>
      </w:r>
    </w:p>
    <w:p w14:paraId="28D1A5A4">
      <w:pPr>
        <w:pStyle w:val="4"/>
        <w:rPr>
          <w:rFonts w:hint="eastAsia" w:ascii="宋体" w:hAnsi="宋体" w:eastAsia="宋体" w:cs="宋体"/>
          <w:sz w:val="24"/>
          <w:szCs w:val="24"/>
        </w:rPr>
      </w:pPr>
      <w:bookmarkStart w:id="817" w:name="bookmark1291"/>
      <w:bookmarkEnd w:id="817"/>
      <w:r>
        <w:rPr>
          <w:rFonts w:hint="eastAsia" w:ascii="宋体" w:hAnsi="宋体" w:eastAsia="宋体" w:cs="宋体"/>
          <w:b w:val="0"/>
          <w:i w:val="0"/>
          <w:strike w:val="0"/>
          <w:color w:val="000000"/>
          <w:sz w:val="24"/>
          <w:szCs w:val="24"/>
          <w:u w:val="none"/>
        </w:rPr>
        <w:t>(2)</w:t>
      </w:r>
      <w:r>
        <w:rPr>
          <w:rFonts w:hint="eastAsia" w:ascii="宋体" w:hAnsi="宋体" w:eastAsia="宋体" w:cs="宋体"/>
          <w:sz w:val="24"/>
          <w:szCs w:val="24"/>
        </w:rPr>
        <w:t>变更指示应说明变更的目的、范围、变更内容以及变更的工程量及其进度和技术要求，并附有关图纸和文件。承包人收到变更指示后，应按变更指示进行变更工作。</w:t>
      </w:r>
    </w:p>
    <w:p w14:paraId="1BB1275E">
      <w:pPr>
        <w:pStyle w:val="6"/>
        <w:numPr>
          <w:ilvl w:val="0"/>
          <w:numId w:val="0"/>
        </w:numPr>
        <w:bidi w:val="0"/>
        <w:ind w:left="482" w:leftChars="0"/>
        <w:rPr>
          <w:rFonts w:hint="eastAsia" w:ascii="宋体" w:hAnsi="宋体" w:eastAsia="宋体" w:cs="宋体"/>
          <w:sz w:val="24"/>
          <w:szCs w:val="24"/>
        </w:rPr>
      </w:pPr>
      <w:bookmarkStart w:id="818" w:name="bookmark1293"/>
      <w:bookmarkStart w:id="819" w:name="_Toc9569"/>
      <w:bookmarkStart w:id="820" w:name="bookmark1294"/>
      <w:bookmarkStart w:id="821" w:name="bookmark1292"/>
      <w:bookmarkStart w:id="822" w:name="_Toc14710375"/>
      <w:r>
        <w:rPr>
          <w:rFonts w:hint="eastAsia" w:ascii="宋体" w:hAnsi="宋体" w:eastAsia="宋体" w:cs="宋体"/>
          <w:sz w:val="24"/>
          <w:szCs w:val="24"/>
        </w:rPr>
        <w:t>15.4变更的估价原则</w:t>
      </w:r>
      <w:bookmarkEnd w:id="818"/>
      <w:bookmarkEnd w:id="819"/>
      <w:bookmarkEnd w:id="820"/>
      <w:bookmarkEnd w:id="821"/>
      <w:bookmarkEnd w:id="822"/>
    </w:p>
    <w:p w14:paraId="2FE7232D">
      <w:pPr>
        <w:pStyle w:val="4"/>
        <w:rPr>
          <w:rFonts w:hint="eastAsia" w:ascii="宋体" w:hAnsi="宋体" w:eastAsia="宋体" w:cs="宋体"/>
          <w:sz w:val="24"/>
          <w:szCs w:val="24"/>
        </w:rPr>
      </w:pPr>
      <w:r>
        <w:rPr>
          <w:rFonts w:hint="eastAsia" w:ascii="宋体" w:hAnsi="宋体" w:eastAsia="宋体" w:cs="宋体"/>
          <w:sz w:val="24"/>
          <w:szCs w:val="24"/>
        </w:rPr>
        <w:t>除专用合同条款另有约定外，因变更引起的价格调整按照本款约定处理。</w:t>
      </w:r>
    </w:p>
    <w:p w14:paraId="0293510F">
      <w:pPr>
        <w:pStyle w:val="4"/>
        <w:rPr>
          <w:rFonts w:hint="eastAsia" w:ascii="宋体" w:hAnsi="宋体" w:eastAsia="宋体" w:cs="宋体"/>
          <w:sz w:val="24"/>
          <w:szCs w:val="24"/>
        </w:rPr>
      </w:pPr>
      <w:r>
        <w:rPr>
          <w:rFonts w:hint="eastAsia" w:ascii="宋体" w:hAnsi="宋体" w:eastAsia="宋体" w:cs="宋体"/>
          <w:sz w:val="24"/>
          <w:szCs w:val="24"/>
        </w:rPr>
        <w:t>15.4.1已标价工程量清单中有适用于变更工作的子目的，采用该子目的单价。</w:t>
      </w:r>
    </w:p>
    <w:p w14:paraId="2BAAA260">
      <w:pPr>
        <w:pStyle w:val="4"/>
        <w:rPr>
          <w:rFonts w:hint="eastAsia" w:ascii="宋体" w:hAnsi="宋体" w:eastAsia="宋体" w:cs="宋体"/>
          <w:sz w:val="24"/>
          <w:szCs w:val="24"/>
        </w:rPr>
      </w:pPr>
      <w:r>
        <w:rPr>
          <w:rFonts w:hint="eastAsia" w:ascii="宋体" w:hAnsi="宋体" w:eastAsia="宋体" w:cs="宋体"/>
          <w:sz w:val="24"/>
          <w:szCs w:val="24"/>
        </w:rPr>
        <w:t>15.4.2已标价工程量清单中无适用于变更工作的子目，但有类似子目的，可在合理范围内参照类似子目的单价，由监理人按第3. 5款商定或确定变更工作的单价。</w:t>
      </w:r>
    </w:p>
    <w:p w14:paraId="42A0A7F4">
      <w:pPr>
        <w:pStyle w:val="4"/>
        <w:rPr>
          <w:rFonts w:hint="eastAsia" w:ascii="宋体" w:hAnsi="宋体" w:eastAsia="宋体" w:cs="宋体"/>
          <w:sz w:val="24"/>
          <w:szCs w:val="24"/>
        </w:rPr>
      </w:pPr>
      <w:r>
        <w:rPr>
          <w:rFonts w:hint="eastAsia" w:ascii="宋体" w:hAnsi="宋体" w:eastAsia="宋体" w:cs="宋体"/>
          <w:sz w:val="24"/>
          <w:szCs w:val="24"/>
        </w:rPr>
        <w:t>15.4.3已标价工程量清单中无适用或类似子目的单价，可按照成本加利润的原则，由监理人按第3. 5款商定或确定变更工作的单价。</w:t>
      </w:r>
    </w:p>
    <w:p w14:paraId="1A1CEC82">
      <w:pPr>
        <w:pStyle w:val="6"/>
        <w:numPr>
          <w:ilvl w:val="0"/>
          <w:numId w:val="0"/>
        </w:numPr>
        <w:bidi w:val="0"/>
        <w:ind w:left="482" w:leftChars="0"/>
        <w:rPr>
          <w:rFonts w:hint="eastAsia" w:ascii="宋体" w:hAnsi="宋体" w:eastAsia="宋体" w:cs="宋体"/>
          <w:sz w:val="24"/>
          <w:szCs w:val="24"/>
        </w:rPr>
      </w:pPr>
      <w:bookmarkStart w:id="823" w:name="bookmark1296"/>
      <w:bookmarkStart w:id="824" w:name="bookmark1295"/>
      <w:bookmarkStart w:id="825" w:name="bookmark1297"/>
      <w:r>
        <w:rPr>
          <w:rFonts w:hint="eastAsia" w:ascii="宋体" w:hAnsi="宋体" w:eastAsia="宋体" w:cs="宋体"/>
          <w:sz w:val="24"/>
          <w:szCs w:val="24"/>
        </w:rPr>
        <w:t>15.5承包人的合理化建议</w:t>
      </w:r>
      <w:bookmarkEnd w:id="823"/>
      <w:bookmarkEnd w:id="824"/>
      <w:bookmarkEnd w:id="825"/>
    </w:p>
    <w:p w14:paraId="3E03533E">
      <w:pPr>
        <w:pStyle w:val="4"/>
        <w:rPr>
          <w:rFonts w:hint="eastAsia" w:ascii="宋体" w:hAnsi="宋体" w:eastAsia="宋体" w:cs="宋体"/>
          <w:sz w:val="24"/>
          <w:szCs w:val="24"/>
        </w:rPr>
      </w:pPr>
      <w:bookmarkStart w:id="826" w:name="bookmark1298"/>
      <w:bookmarkEnd w:id="826"/>
      <w:r>
        <w:rPr>
          <w:rFonts w:hint="eastAsia" w:ascii="宋体" w:hAnsi="宋体" w:eastAsia="宋体" w:cs="宋体"/>
          <w:sz w:val="24"/>
          <w:szCs w:val="24"/>
        </w:rPr>
        <w:t>15.5. 1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 3. 3项约定向承包人发出变更指示。</w:t>
      </w:r>
    </w:p>
    <w:p w14:paraId="1A5C10F9">
      <w:pPr>
        <w:pStyle w:val="4"/>
        <w:rPr>
          <w:rFonts w:hint="eastAsia" w:ascii="宋体" w:hAnsi="宋体" w:eastAsia="宋体" w:cs="宋体"/>
          <w:sz w:val="24"/>
          <w:szCs w:val="24"/>
        </w:rPr>
      </w:pPr>
      <w:r>
        <w:rPr>
          <w:rFonts w:hint="eastAsia" w:ascii="宋体" w:hAnsi="宋体" w:eastAsia="宋体" w:cs="宋体"/>
          <w:sz w:val="24"/>
          <w:szCs w:val="24"/>
        </w:rPr>
        <w:t>15.5.2承包人提出的合理化建议降低了合同价格、缩短了工期或者提高了工程经济效益的，发包人可按国家有关规定在专用合同条款中约定给予奖励。</w:t>
      </w:r>
    </w:p>
    <w:p w14:paraId="033FC89D">
      <w:pPr>
        <w:pStyle w:val="6"/>
        <w:numPr>
          <w:ilvl w:val="0"/>
          <w:numId w:val="0"/>
        </w:numPr>
        <w:bidi w:val="0"/>
        <w:ind w:left="482" w:leftChars="0"/>
        <w:rPr>
          <w:rFonts w:hint="eastAsia" w:ascii="宋体" w:hAnsi="宋体" w:eastAsia="宋体" w:cs="宋体"/>
          <w:sz w:val="24"/>
          <w:szCs w:val="24"/>
        </w:rPr>
      </w:pPr>
      <w:bookmarkStart w:id="827" w:name="bookmark1300"/>
      <w:bookmarkStart w:id="828" w:name="_Toc14710376"/>
      <w:bookmarkStart w:id="829" w:name="_Toc7702"/>
      <w:bookmarkStart w:id="830" w:name="bookmark1301"/>
      <w:bookmarkStart w:id="831" w:name="bookmark1299"/>
      <w:r>
        <w:rPr>
          <w:rFonts w:hint="eastAsia" w:ascii="宋体" w:hAnsi="宋体" w:eastAsia="宋体" w:cs="宋体"/>
          <w:sz w:val="24"/>
          <w:szCs w:val="24"/>
        </w:rPr>
        <w:t>15.6暂列金额</w:t>
      </w:r>
      <w:bookmarkEnd w:id="827"/>
      <w:bookmarkEnd w:id="828"/>
      <w:bookmarkEnd w:id="829"/>
      <w:bookmarkEnd w:id="830"/>
      <w:bookmarkEnd w:id="831"/>
    </w:p>
    <w:p w14:paraId="5B0CC5F0">
      <w:pPr>
        <w:pStyle w:val="4"/>
        <w:rPr>
          <w:rFonts w:hint="eastAsia" w:ascii="宋体" w:hAnsi="宋体" w:eastAsia="宋体" w:cs="宋体"/>
          <w:sz w:val="24"/>
          <w:szCs w:val="24"/>
        </w:rPr>
      </w:pPr>
      <w:r>
        <w:rPr>
          <w:rFonts w:hint="eastAsia" w:ascii="宋体" w:hAnsi="宋体" w:eastAsia="宋体" w:cs="宋体"/>
          <w:sz w:val="24"/>
          <w:szCs w:val="24"/>
        </w:rPr>
        <w:t>暂列金额只能按照监理人的指示使用，并对合同价格进行相应调整。</w:t>
      </w:r>
    </w:p>
    <w:p w14:paraId="595458E7">
      <w:pPr>
        <w:pStyle w:val="6"/>
        <w:numPr>
          <w:ilvl w:val="0"/>
          <w:numId w:val="0"/>
        </w:numPr>
        <w:bidi w:val="0"/>
        <w:ind w:left="482" w:leftChars="0"/>
        <w:rPr>
          <w:rFonts w:hint="eastAsia" w:ascii="宋体" w:hAnsi="宋体" w:eastAsia="宋体" w:cs="宋体"/>
          <w:sz w:val="24"/>
          <w:szCs w:val="24"/>
        </w:rPr>
      </w:pPr>
      <w:bookmarkStart w:id="832" w:name="_Toc23161"/>
      <w:bookmarkStart w:id="833" w:name="_Toc14710377"/>
      <w:bookmarkStart w:id="834" w:name="bookmark1302"/>
      <w:bookmarkStart w:id="835" w:name="bookmark1304"/>
      <w:bookmarkStart w:id="836" w:name="bookmark1303"/>
      <w:r>
        <w:rPr>
          <w:rFonts w:hint="eastAsia" w:ascii="宋体" w:hAnsi="宋体" w:eastAsia="宋体" w:cs="宋体"/>
          <w:sz w:val="24"/>
          <w:szCs w:val="24"/>
        </w:rPr>
        <w:t>15.7计日工</w:t>
      </w:r>
      <w:bookmarkEnd w:id="832"/>
      <w:bookmarkEnd w:id="833"/>
      <w:bookmarkEnd w:id="834"/>
      <w:bookmarkEnd w:id="835"/>
      <w:bookmarkEnd w:id="836"/>
    </w:p>
    <w:p w14:paraId="018E84FC">
      <w:pPr>
        <w:pStyle w:val="4"/>
        <w:rPr>
          <w:rFonts w:hint="eastAsia" w:ascii="宋体" w:hAnsi="宋体" w:eastAsia="宋体" w:cs="宋体"/>
          <w:sz w:val="24"/>
          <w:szCs w:val="24"/>
        </w:rPr>
      </w:pPr>
      <w:r>
        <w:rPr>
          <w:rFonts w:hint="eastAsia" w:ascii="宋体" w:hAnsi="宋体" w:eastAsia="宋体" w:cs="宋体"/>
          <w:sz w:val="24"/>
          <w:szCs w:val="24"/>
        </w:rPr>
        <w:t>15.7.1发包人认为有必要时，由监理人通知承包人以计日工方式实施变更的零星工作。其价款按列入已标价工程量清单中的计日工计价子目及其单价进行计算。</w:t>
      </w:r>
    </w:p>
    <w:p w14:paraId="12ED1108">
      <w:pPr>
        <w:pStyle w:val="4"/>
        <w:rPr>
          <w:rFonts w:hint="eastAsia" w:ascii="宋体" w:hAnsi="宋体" w:eastAsia="宋体" w:cs="宋体"/>
          <w:sz w:val="24"/>
          <w:szCs w:val="24"/>
        </w:rPr>
      </w:pPr>
      <w:r>
        <w:rPr>
          <w:rFonts w:hint="eastAsia" w:ascii="宋体" w:hAnsi="宋体" w:eastAsia="宋体" w:cs="宋体"/>
          <w:sz w:val="24"/>
          <w:szCs w:val="24"/>
        </w:rPr>
        <w:t>15.7.2采用计日工计价的任何一项变更工作，应从暂列金额中支付，承包人应在该项变更的实施过程中，每天提交以下报表和有关凭证报送监理人审批：</w:t>
      </w:r>
    </w:p>
    <w:p w14:paraId="0FE471E6">
      <w:pPr>
        <w:pStyle w:val="4"/>
        <w:rPr>
          <w:rFonts w:hint="eastAsia" w:ascii="宋体" w:hAnsi="宋体" w:eastAsia="宋体" w:cs="宋体"/>
          <w:sz w:val="24"/>
          <w:szCs w:val="24"/>
        </w:rPr>
      </w:pPr>
      <w:bookmarkStart w:id="837" w:name="bookmark1305"/>
      <w:bookmarkEnd w:id="837"/>
      <w:r>
        <w:rPr>
          <w:rFonts w:hint="eastAsia" w:ascii="宋体" w:hAnsi="宋体" w:eastAsia="宋体" w:cs="宋体"/>
          <w:b w:val="0"/>
          <w:i w:val="0"/>
          <w:strike w:val="0"/>
          <w:color w:val="000000"/>
          <w:sz w:val="24"/>
          <w:szCs w:val="24"/>
          <w:u w:val="none"/>
        </w:rPr>
        <w:t>(1)</w:t>
      </w:r>
      <w:r>
        <w:rPr>
          <w:rFonts w:hint="eastAsia" w:ascii="宋体" w:hAnsi="宋体" w:eastAsia="宋体" w:cs="宋体"/>
          <w:sz w:val="24"/>
          <w:szCs w:val="24"/>
        </w:rPr>
        <w:t>工作名称、内容和数量；</w:t>
      </w:r>
    </w:p>
    <w:p w14:paraId="78861C96">
      <w:pPr>
        <w:pStyle w:val="4"/>
        <w:rPr>
          <w:rFonts w:hint="eastAsia" w:ascii="宋体" w:hAnsi="宋体" w:eastAsia="宋体" w:cs="宋体"/>
          <w:sz w:val="24"/>
          <w:szCs w:val="24"/>
        </w:rPr>
      </w:pPr>
      <w:bookmarkStart w:id="838" w:name="bookmark1306"/>
      <w:bookmarkEnd w:id="838"/>
      <w:r>
        <w:rPr>
          <w:rFonts w:hint="eastAsia" w:ascii="宋体" w:hAnsi="宋体" w:eastAsia="宋体" w:cs="宋体"/>
          <w:b w:val="0"/>
          <w:i w:val="0"/>
          <w:strike w:val="0"/>
          <w:color w:val="000000"/>
          <w:sz w:val="24"/>
          <w:szCs w:val="24"/>
          <w:u w:val="none"/>
        </w:rPr>
        <w:t>(2)</w:t>
      </w:r>
      <w:r>
        <w:rPr>
          <w:rFonts w:hint="eastAsia" w:ascii="宋体" w:hAnsi="宋体" w:eastAsia="宋体" w:cs="宋体"/>
          <w:sz w:val="24"/>
          <w:szCs w:val="24"/>
        </w:rPr>
        <w:t>投入该工作所有人员的姓名、工种、级别和耗用工时；</w:t>
      </w:r>
    </w:p>
    <w:p w14:paraId="00F0AD9A">
      <w:pPr>
        <w:pStyle w:val="4"/>
        <w:rPr>
          <w:rFonts w:hint="eastAsia" w:ascii="宋体" w:hAnsi="宋体" w:eastAsia="宋体" w:cs="宋体"/>
          <w:sz w:val="24"/>
          <w:szCs w:val="24"/>
        </w:rPr>
      </w:pPr>
      <w:bookmarkStart w:id="839" w:name="bookmark1307"/>
      <w:bookmarkEnd w:id="839"/>
      <w:r>
        <w:rPr>
          <w:rFonts w:hint="eastAsia" w:ascii="宋体" w:hAnsi="宋体" w:eastAsia="宋体" w:cs="宋体"/>
          <w:b w:val="0"/>
          <w:i w:val="0"/>
          <w:strike w:val="0"/>
          <w:color w:val="000000"/>
          <w:sz w:val="24"/>
          <w:szCs w:val="24"/>
          <w:u w:val="none"/>
        </w:rPr>
        <w:t>(3)</w:t>
      </w:r>
      <w:r>
        <w:rPr>
          <w:rFonts w:hint="eastAsia" w:ascii="宋体" w:hAnsi="宋体" w:eastAsia="宋体" w:cs="宋体"/>
          <w:sz w:val="24"/>
          <w:szCs w:val="24"/>
        </w:rPr>
        <w:t>投入该工作的材料类别和数量；</w:t>
      </w:r>
    </w:p>
    <w:p w14:paraId="5A6169A3">
      <w:pPr>
        <w:pStyle w:val="4"/>
        <w:rPr>
          <w:rFonts w:hint="eastAsia" w:ascii="宋体" w:hAnsi="宋体" w:eastAsia="宋体" w:cs="宋体"/>
          <w:sz w:val="24"/>
          <w:szCs w:val="24"/>
        </w:rPr>
      </w:pPr>
      <w:bookmarkStart w:id="840" w:name="bookmark1308"/>
      <w:bookmarkEnd w:id="840"/>
      <w:r>
        <w:rPr>
          <w:rFonts w:hint="eastAsia" w:ascii="宋体" w:hAnsi="宋体" w:eastAsia="宋体" w:cs="宋体"/>
          <w:b w:val="0"/>
          <w:i w:val="0"/>
          <w:strike w:val="0"/>
          <w:color w:val="000000"/>
          <w:sz w:val="24"/>
          <w:szCs w:val="24"/>
          <w:u w:val="none"/>
        </w:rPr>
        <w:t>(4)</w:t>
      </w:r>
      <w:r>
        <w:rPr>
          <w:rFonts w:hint="eastAsia" w:ascii="宋体" w:hAnsi="宋体" w:eastAsia="宋体" w:cs="宋体"/>
          <w:sz w:val="24"/>
          <w:szCs w:val="24"/>
        </w:rPr>
        <w:t>投入该工作的施工设备型号、台数和耗用台时；</w:t>
      </w:r>
    </w:p>
    <w:p w14:paraId="5D625B8B">
      <w:pPr>
        <w:pStyle w:val="4"/>
        <w:rPr>
          <w:rFonts w:hint="eastAsia" w:ascii="宋体" w:hAnsi="宋体" w:eastAsia="宋体" w:cs="宋体"/>
          <w:sz w:val="24"/>
          <w:szCs w:val="24"/>
        </w:rPr>
      </w:pPr>
      <w:bookmarkStart w:id="841" w:name="bookmark1309"/>
      <w:bookmarkEnd w:id="841"/>
      <w:r>
        <w:rPr>
          <w:rFonts w:hint="eastAsia" w:ascii="宋体" w:hAnsi="宋体" w:eastAsia="宋体" w:cs="宋体"/>
          <w:b w:val="0"/>
          <w:i w:val="0"/>
          <w:strike w:val="0"/>
          <w:color w:val="000000"/>
          <w:sz w:val="24"/>
          <w:szCs w:val="24"/>
          <w:u w:val="none"/>
        </w:rPr>
        <w:t>(5)</w:t>
      </w:r>
      <w:r>
        <w:rPr>
          <w:rFonts w:hint="eastAsia" w:ascii="宋体" w:hAnsi="宋体" w:eastAsia="宋体" w:cs="宋体"/>
          <w:sz w:val="24"/>
          <w:szCs w:val="24"/>
        </w:rPr>
        <w:t>监理人要求提交的其他资料和凭证。</w:t>
      </w:r>
    </w:p>
    <w:p w14:paraId="5C963911">
      <w:pPr>
        <w:pStyle w:val="4"/>
        <w:rPr>
          <w:rFonts w:hint="eastAsia" w:ascii="宋体" w:hAnsi="宋体" w:eastAsia="宋体" w:cs="宋体"/>
          <w:sz w:val="24"/>
          <w:szCs w:val="24"/>
        </w:rPr>
      </w:pPr>
      <w:r>
        <w:rPr>
          <w:rFonts w:hint="eastAsia" w:ascii="宋体" w:hAnsi="宋体" w:eastAsia="宋体" w:cs="宋体"/>
          <w:sz w:val="24"/>
          <w:szCs w:val="24"/>
        </w:rPr>
        <w:t>15.7.3计日工由承包人汇总后，按第17.3.2项的约定列入进度付款申请单，由监理人复核并经发包人同意后列入进度付款。</w:t>
      </w:r>
    </w:p>
    <w:p w14:paraId="57A2F1CF">
      <w:pPr>
        <w:pStyle w:val="6"/>
        <w:numPr>
          <w:ilvl w:val="0"/>
          <w:numId w:val="0"/>
        </w:numPr>
        <w:bidi w:val="0"/>
        <w:ind w:left="482" w:leftChars="0"/>
        <w:rPr>
          <w:rFonts w:hint="eastAsia" w:ascii="宋体" w:hAnsi="宋体" w:eastAsia="宋体" w:cs="宋体"/>
          <w:sz w:val="24"/>
          <w:szCs w:val="24"/>
        </w:rPr>
      </w:pPr>
      <w:bookmarkStart w:id="842" w:name="_Toc6776"/>
      <w:bookmarkStart w:id="843" w:name="bookmark1310"/>
      <w:bookmarkStart w:id="844" w:name="_Toc14710378"/>
      <w:bookmarkStart w:id="845" w:name="bookmark1311"/>
      <w:bookmarkStart w:id="846" w:name="bookmark1312"/>
      <w:r>
        <w:rPr>
          <w:rFonts w:hint="eastAsia" w:ascii="宋体" w:hAnsi="宋体" w:eastAsia="宋体" w:cs="宋体"/>
          <w:sz w:val="24"/>
          <w:szCs w:val="24"/>
        </w:rPr>
        <w:t>15.8暂估价</w:t>
      </w:r>
      <w:bookmarkEnd w:id="842"/>
      <w:bookmarkEnd w:id="843"/>
      <w:bookmarkEnd w:id="844"/>
      <w:bookmarkEnd w:id="845"/>
      <w:bookmarkEnd w:id="846"/>
    </w:p>
    <w:p w14:paraId="4C0BB48E">
      <w:pPr>
        <w:pStyle w:val="4"/>
        <w:rPr>
          <w:rFonts w:hint="eastAsia" w:ascii="宋体" w:hAnsi="宋体" w:eastAsia="宋体" w:cs="宋体"/>
          <w:sz w:val="24"/>
          <w:szCs w:val="24"/>
        </w:rPr>
      </w:pPr>
      <w:bookmarkStart w:id="847" w:name="bookmark1313"/>
      <w:bookmarkEnd w:id="847"/>
      <w:r>
        <w:rPr>
          <w:rFonts w:hint="eastAsia" w:ascii="宋体" w:hAnsi="宋体" w:eastAsia="宋体" w:cs="宋体"/>
          <w:sz w:val="24"/>
          <w:szCs w:val="24"/>
        </w:rPr>
        <w:t>15.8.1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成交金额与工程 量清单中所列金额差以及相应的税金等其他费用列入合同价格。必须招标的暂估价项目招标组织形式、发包人和承包人组织招标时双方的权利义务关系在专用合同条款中约定。</w:t>
      </w:r>
    </w:p>
    <w:p w14:paraId="792893BF">
      <w:pPr>
        <w:pStyle w:val="4"/>
        <w:rPr>
          <w:rFonts w:hint="eastAsia" w:ascii="宋体" w:hAnsi="宋体" w:eastAsia="宋体" w:cs="宋体"/>
          <w:sz w:val="24"/>
          <w:szCs w:val="24"/>
        </w:rPr>
      </w:pPr>
      <w:bookmarkStart w:id="848" w:name="bookmark1314"/>
      <w:bookmarkEnd w:id="848"/>
      <w:r>
        <w:rPr>
          <w:rFonts w:hint="eastAsia" w:ascii="宋体" w:hAnsi="宋体" w:eastAsia="宋体" w:cs="宋体"/>
          <w:sz w:val="24"/>
          <w:szCs w:val="24"/>
        </w:rPr>
        <w:t>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7C78176F">
      <w:pPr>
        <w:pStyle w:val="4"/>
        <w:rPr>
          <w:rFonts w:hint="eastAsia" w:ascii="宋体" w:hAnsi="宋体" w:eastAsia="宋体" w:cs="宋体"/>
          <w:sz w:val="24"/>
          <w:szCs w:val="24"/>
        </w:rPr>
      </w:pPr>
      <w:bookmarkStart w:id="849" w:name="bookmark1315"/>
      <w:bookmarkEnd w:id="849"/>
      <w:r>
        <w:rPr>
          <w:rFonts w:hint="eastAsia" w:ascii="宋体" w:hAnsi="宋体" w:eastAsia="宋体" w:cs="宋体"/>
          <w:sz w:val="24"/>
          <w:szCs w:val="24"/>
        </w:rPr>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290F8C49">
      <w:pPr>
        <w:pStyle w:val="6"/>
        <w:numPr>
          <w:ilvl w:val="0"/>
          <w:numId w:val="0"/>
        </w:numPr>
        <w:bidi w:val="0"/>
        <w:ind w:left="482" w:leftChars="0"/>
        <w:rPr>
          <w:rFonts w:hint="eastAsia" w:ascii="宋体" w:hAnsi="宋体" w:eastAsia="宋体" w:cs="宋体"/>
          <w:sz w:val="24"/>
          <w:szCs w:val="24"/>
        </w:rPr>
      </w:pPr>
      <w:bookmarkStart w:id="850" w:name="bookmark1316"/>
      <w:bookmarkStart w:id="851" w:name="_Toc242"/>
      <w:bookmarkStart w:id="852" w:name="_Toc14710379"/>
      <w:bookmarkStart w:id="853" w:name="bookmark1317"/>
      <w:bookmarkStart w:id="854" w:name="bookmark1318"/>
      <w:r>
        <w:rPr>
          <w:rFonts w:hint="eastAsia" w:ascii="宋体" w:hAnsi="宋体" w:eastAsia="宋体" w:cs="宋体"/>
          <w:sz w:val="24"/>
          <w:szCs w:val="24"/>
        </w:rPr>
        <w:t>16 .价格调整</w:t>
      </w:r>
      <w:bookmarkEnd w:id="850"/>
      <w:bookmarkEnd w:id="851"/>
      <w:bookmarkEnd w:id="852"/>
      <w:bookmarkEnd w:id="853"/>
      <w:bookmarkEnd w:id="854"/>
    </w:p>
    <w:p w14:paraId="22B79E87">
      <w:pPr>
        <w:pStyle w:val="6"/>
        <w:numPr>
          <w:ilvl w:val="0"/>
          <w:numId w:val="0"/>
        </w:numPr>
        <w:bidi w:val="0"/>
        <w:ind w:left="482" w:leftChars="0"/>
        <w:rPr>
          <w:rFonts w:hint="eastAsia" w:ascii="宋体" w:hAnsi="宋体" w:eastAsia="宋体" w:cs="宋体"/>
          <w:sz w:val="24"/>
          <w:szCs w:val="24"/>
        </w:rPr>
      </w:pPr>
      <w:bookmarkStart w:id="855" w:name="_Toc14710380"/>
      <w:bookmarkStart w:id="856" w:name="bookmark1320"/>
      <w:bookmarkStart w:id="857" w:name="bookmark1319"/>
      <w:bookmarkStart w:id="858" w:name="bookmark1321"/>
      <w:bookmarkStart w:id="859" w:name="_Toc2131"/>
      <w:r>
        <w:rPr>
          <w:rFonts w:hint="eastAsia" w:ascii="宋体" w:hAnsi="宋体" w:eastAsia="宋体" w:cs="宋体"/>
          <w:sz w:val="24"/>
          <w:szCs w:val="24"/>
        </w:rPr>
        <w:t>16.1物价波动引起的价格调整</w:t>
      </w:r>
      <w:bookmarkEnd w:id="855"/>
      <w:bookmarkEnd w:id="856"/>
      <w:bookmarkEnd w:id="857"/>
      <w:bookmarkEnd w:id="858"/>
      <w:bookmarkEnd w:id="859"/>
    </w:p>
    <w:p w14:paraId="258E276E">
      <w:pPr>
        <w:pStyle w:val="4"/>
        <w:rPr>
          <w:rFonts w:hint="eastAsia" w:ascii="宋体" w:hAnsi="宋体" w:eastAsia="宋体" w:cs="宋体"/>
          <w:sz w:val="24"/>
          <w:szCs w:val="24"/>
        </w:rPr>
      </w:pPr>
      <w:r>
        <w:rPr>
          <w:rFonts w:hint="eastAsia" w:ascii="宋体" w:hAnsi="宋体" w:eastAsia="宋体" w:cs="宋体"/>
          <w:sz w:val="24"/>
          <w:szCs w:val="24"/>
        </w:rPr>
        <w:t>由于物价波动原因引起合同价格需要调整的，其价格调整方式在专用合同条款中约定；除专用合同条款另有约定外，因物价波动引起的价格调整按照本款约定处理。</w:t>
      </w:r>
    </w:p>
    <w:p w14:paraId="3683745F">
      <w:pPr>
        <w:pStyle w:val="6"/>
        <w:numPr>
          <w:ilvl w:val="0"/>
          <w:numId w:val="0"/>
        </w:numPr>
        <w:bidi w:val="0"/>
        <w:ind w:left="482" w:leftChars="0"/>
        <w:rPr>
          <w:rFonts w:hint="eastAsia" w:ascii="宋体" w:hAnsi="宋体" w:eastAsia="宋体" w:cs="宋体"/>
          <w:sz w:val="24"/>
          <w:szCs w:val="24"/>
        </w:rPr>
      </w:pPr>
      <w:bookmarkStart w:id="860" w:name="bookmark1322"/>
      <w:bookmarkEnd w:id="860"/>
      <w:r>
        <w:rPr>
          <w:rFonts w:hint="eastAsia" w:ascii="宋体" w:hAnsi="宋体" w:eastAsia="宋体" w:cs="宋体"/>
          <w:sz w:val="24"/>
          <w:szCs w:val="24"/>
        </w:rPr>
        <w:t>16.1.1采用价格指数调整价格差额</w:t>
      </w:r>
    </w:p>
    <w:p w14:paraId="6F1CFBD8">
      <w:pPr>
        <w:pStyle w:val="6"/>
        <w:numPr>
          <w:ilvl w:val="0"/>
          <w:numId w:val="0"/>
        </w:numPr>
        <w:bidi w:val="0"/>
        <w:ind w:left="482" w:leftChars="0"/>
        <w:rPr>
          <w:rFonts w:hint="eastAsia" w:ascii="宋体" w:hAnsi="宋体" w:eastAsia="宋体" w:cs="宋体"/>
          <w:sz w:val="24"/>
          <w:szCs w:val="24"/>
        </w:rPr>
      </w:pPr>
      <w:bookmarkStart w:id="861" w:name="bookmark1323"/>
      <w:bookmarkEnd w:id="861"/>
      <w:r>
        <w:rPr>
          <w:rFonts w:hint="eastAsia" w:ascii="宋体" w:hAnsi="宋体" w:eastAsia="宋体" w:cs="宋体"/>
          <w:sz w:val="24"/>
          <w:szCs w:val="24"/>
        </w:rPr>
        <w:t>16.1.1.1价格调整公式</w:t>
      </w:r>
    </w:p>
    <w:p w14:paraId="702EDCE4">
      <w:pPr>
        <w:pStyle w:val="4"/>
        <w:rPr>
          <w:rFonts w:hint="eastAsia" w:ascii="宋体" w:hAnsi="宋体" w:eastAsia="宋体" w:cs="宋体"/>
          <w:sz w:val="24"/>
          <w:szCs w:val="24"/>
        </w:rPr>
      </w:pPr>
      <w:r>
        <w:rPr>
          <w:rFonts w:hint="eastAsia" w:ascii="宋体" w:hAnsi="宋体" w:eastAsia="宋体" w:cs="宋体"/>
          <w:sz w:val="24"/>
          <w:szCs w:val="24"/>
        </w:rPr>
        <w:t>因人工、材料和设备等价格波动影响合同价格时，根据投标函附录中的价格指数和权重表约定的数据，按以下公式计算差额并调整合同价格。</w:t>
      </w:r>
    </w:p>
    <w:p w14:paraId="4A3FFBE9">
      <w:pPr>
        <w:pStyle w:val="38"/>
        <w:spacing w:line="440" w:lineRule="exact"/>
        <w:ind w:firstLine="420"/>
        <w:rPr>
          <w:rFonts w:hint="eastAsia" w:ascii="宋体" w:hAnsi="宋体" w:eastAsia="宋体" w:cs="宋体"/>
          <w:sz w:val="24"/>
          <w:szCs w:val="24"/>
          <w:lang w:val="en-US"/>
        </w:rPr>
      </w:pPr>
      <w:r>
        <w:rPr>
          <w:rFonts w:hint="eastAsia" w:ascii="宋体" w:hAnsi="宋体" w:eastAsia="宋体" w:cs="宋体"/>
          <w:position w:val="-34"/>
          <w:sz w:val="24"/>
          <w:szCs w:val="24"/>
        </w:rPr>
        <w:object>
          <v:shape id="_x0000_i1025" o:spt="75" type="#_x0000_t75" style="height:49.5pt;width:324pt;" o:ole="t" filled="f" o:preferrelative="t" stroked="f" coordsize="21600,21600">
            <v:path/>
            <v:fill on="f" focussize="0,0"/>
            <v:stroke on="f"/>
            <v:imagedata r:id="rId14" o:title=""/>
            <o:lock v:ext="edit" aspectratio="t"/>
            <w10:wrap type="none"/>
            <w10:anchorlock/>
          </v:shape>
          <o:OLEObject Type="Embed" ProgID="Equations" ShapeID="_x0000_i1025" DrawAspect="Content" ObjectID="_1468075725" r:id="rId13">
            <o:LockedField>false</o:LockedField>
          </o:OLEObject>
        </w:object>
      </w:r>
    </w:p>
    <w:p w14:paraId="38D6621F">
      <w:pPr>
        <w:pStyle w:val="4"/>
        <w:rPr>
          <w:rFonts w:hint="eastAsia" w:ascii="宋体" w:hAnsi="宋体" w:eastAsia="宋体" w:cs="宋体"/>
          <w:sz w:val="24"/>
          <w:szCs w:val="24"/>
        </w:rPr>
      </w:pPr>
      <w:r>
        <w:rPr>
          <w:rFonts w:hint="eastAsia" w:ascii="宋体" w:hAnsi="宋体" w:eastAsia="宋体" w:cs="宋体"/>
          <w:sz w:val="24"/>
          <w:szCs w:val="24"/>
        </w:rPr>
        <w:t>式中： △P -- 需调整的价格差额；</w:t>
      </w:r>
    </w:p>
    <w:p w14:paraId="5D72E784">
      <w:pPr>
        <w:pStyle w:val="4"/>
        <w:rPr>
          <w:rFonts w:hint="eastAsia" w:ascii="宋体" w:hAnsi="宋体" w:eastAsia="宋体" w:cs="宋体"/>
          <w:sz w:val="24"/>
          <w:szCs w:val="24"/>
        </w:rPr>
      </w:pPr>
      <w:r>
        <w:rPr>
          <w:rFonts w:hint="eastAsia" w:ascii="宋体" w:hAnsi="宋体" w:eastAsia="宋体" w:cs="宋体"/>
          <w:sz w:val="24"/>
          <w:szCs w:val="24"/>
        </w:rPr>
        <w:t>P0 --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2F232DA3">
      <w:pPr>
        <w:pStyle w:val="4"/>
        <w:rPr>
          <w:rFonts w:hint="eastAsia" w:ascii="宋体" w:hAnsi="宋体" w:eastAsia="宋体" w:cs="宋体"/>
          <w:sz w:val="24"/>
          <w:szCs w:val="24"/>
        </w:rPr>
      </w:pPr>
      <w:bookmarkStart w:id="862" w:name="_Toc144974686"/>
      <w:bookmarkStart w:id="863" w:name="_Toc152042495"/>
      <w:r>
        <w:rPr>
          <w:rFonts w:hint="eastAsia" w:ascii="宋体" w:hAnsi="宋体" w:eastAsia="宋体" w:cs="宋体"/>
          <w:sz w:val="24"/>
          <w:szCs w:val="24"/>
        </w:rPr>
        <w:t>A -- 定值权重(即不调部分的权重)；</w:t>
      </w:r>
      <w:bookmarkEnd w:id="862"/>
      <w:bookmarkEnd w:id="863"/>
    </w:p>
    <w:p w14:paraId="5A05170A">
      <w:pPr>
        <w:pStyle w:val="4"/>
        <w:rPr>
          <w:rFonts w:hint="eastAsia" w:ascii="宋体" w:hAnsi="宋体" w:eastAsia="宋体" w:cs="宋体"/>
          <w:sz w:val="24"/>
          <w:szCs w:val="24"/>
        </w:rPr>
      </w:pPr>
      <w:r>
        <w:rPr>
          <w:rFonts w:hint="eastAsia" w:ascii="宋体" w:hAnsi="宋体" w:eastAsia="宋体" w:cs="宋体"/>
          <w:sz w:val="24"/>
          <w:szCs w:val="24"/>
        </w:rPr>
        <w:t>B1；B2；B3·····Bn -- 各可调因子的变值权重(即可调部分的权重)为各可调因子在投标函投标总报价中所占的比例；</w:t>
      </w:r>
    </w:p>
    <w:p w14:paraId="14E3DB0B">
      <w:pPr>
        <w:pStyle w:val="4"/>
        <w:rPr>
          <w:rFonts w:hint="eastAsia" w:ascii="宋体" w:hAnsi="宋体" w:eastAsia="宋体" w:cs="宋体"/>
          <w:sz w:val="24"/>
          <w:szCs w:val="24"/>
        </w:rPr>
      </w:pPr>
      <w:r>
        <w:rPr>
          <w:rFonts w:hint="eastAsia" w:ascii="宋体" w:hAnsi="宋体" w:eastAsia="宋体" w:cs="宋体"/>
          <w:sz w:val="24"/>
          <w:szCs w:val="24"/>
        </w:rPr>
        <w:t>Ft1；Ft2；Ft3·····Ftn -- 各可调因子的现行价格指数，指第17.3.3项、第17.5.2项和第17.6.2项约定的付款证书相关周期最后一天的前42天的各可调因子的价格指数；</w:t>
      </w:r>
    </w:p>
    <w:p w14:paraId="2590A4B9">
      <w:pPr>
        <w:pStyle w:val="4"/>
        <w:rPr>
          <w:rFonts w:hint="eastAsia" w:ascii="宋体" w:hAnsi="宋体" w:eastAsia="宋体" w:cs="宋体"/>
          <w:sz w:val="24"/>
          <w:szCs w:val="24"/>
        </w:rPr>
      </w:pPr>
      <w:r>
        <w:rPr>
          <w:rFonts w:hint="eastAsia" w:ascii="宋体" w:hAnsi="宋体" w:eastAsia="宋体" w:cs="宋体"/>
          <w:sz w:val="24"/>
          <w:szCs w:val="24"/>
        </w:rPr>
        <w:t>Fo1；Fo2; Fo3·····Fon -- 各可调因子的基本价格指数，指基准日期的各可调因子的价格指数。</w:t>
      </w:r>
    </w:p>
    <w:p w14:paraId="79E14530">
      <w:pPr>
        <w:pStyle w:val="4"/>
        <w:rPr>
          <w:rFonts w:hint="eastAsia" w:ascii="宋体" w:hAnsi="宋体" w:eastAsia="宋体" w:cs="宋体"/>
          <w:sz w:val="24"/>
          <w:szCs w:val="24"/>
        </w:rPr>
      </w:pPr>
      <w:r>
        <w:rPr>
          <w:rFonts w:hint="eastAsia" w:ascii="宋体" w:hAnsi="宋体" w:eastAsia="宋体" w:cs="宋体"/>
          <w:sz w:val="24"/>
          <w:szCs w:val="24"/>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38549B7F">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16.1.1.2暂时确定调整差额</w:t>
      </w:r>
    </w:p>
    <w:p w14:paraId="0FB47273">
      <w:pPr>
        <w:pStyle w:val="4"/>
        <w:rPr>
          <w:rFonts w:hint="eastAsia" w:ascii="宋体" w:hAnsi="宋体" w:eastAsia="宋体" w:cs="宋体"/>
          <w:sz w:val="24"/>
          <w:szCs w:val="24"/>
        </w:rPr>
      </w:pPr>
      <w:r>
        <w:rPr>
          <w:rFonts w:hint="eastAsia" w:ascii="宋体" w:hAnsi="宋体" w:eastAsia="宋体" w:cs="宋体"/>
          <w:sz w:val="24"/>
          <w:szCs w:val="24"/>
        </w:rPr>
        <w:t>在计算调整差额时得不到现行价格指数的，可暂用上一次价格指数计算，并在以后的付款中再按实际价格指数进行调整。</w:t>
      </w:r>
    </w:p>
    <w:p w14:paraId="2898D593">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16.1.1.3权重的调整</w:t>
      </w:r>
    </w:p>
    <w:p w14:paraId="03CE7076">
      <w:pPr>
        <w:pStyle w:val="4"/>
        <w:rPr>
          <w:rFonts w:hint="eastAsia" w:ascii="宋体" w:hAnsi="宋体" w:eastAsia="宋体" w:cs="宋体"/>
          <w:sz w:val="24"/>
          <w:szCs w:val="24"/>
        </w:rPr>
      </w:pPr>
      <w:r>
        <w:rPr>
          <w:rFonts w:hint="eastAsia" w:ascii="宋体" w:hAnsi="宋体" w:eastAsia="宋体" w:cs="宋体"/>
          <w:sz w:val="24"/>
          <w:szCs w:val="24"/>
        </w:rPr>
        <w:t>按第15. 1款约定的变更导致原定合同中的权重不合理时，由监理人与承包人和发包人协商后进行调整。</w:t>
      </w:r>
    </w:p>
    <w:p w14:paraId="45C82067">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16.1.1.4承包人工期延误后的价格调整</w:t>
      </w:r>
    </w:p>
    <w:p w14:paraId="03FD5151">
      <w:pPr>
        <w:pStyle w:val="4"/>
        <w:rPr>
          <w:rFonts w:hint="eastAsia" w:ascii="宋体" w:hAnsi="宋体" w:eastAsia="宋体" w:cs="宋体"/>
          <w:sz w:val="24"/>
          <w:szCs w:val="24"/>
        </w:rPr>
      </w:pPr>
      <w:r>
        <w:rPr>
          <w:rFonts w:hint="eastAsia" w:ascii="宋体" w:hAnsi="宋体" w:eastAsia="宋体" w:cs="宋体"/>
          <w:sz w:val="24"/>
          <w:szCs w:val="24"/>
        </w:rPr>
        <w:t>由于承包人原因未在约定的工期内竣工的，则对原约定竣工日期后继续施工的工程, 在使用第16. 1. 1. 1目价格调整公式时，应采用原约定竣工日期与实际竣工日期的两个价格指数中较低的一个作为现行价格指数。</w:t>
      </w:r>
    </w:p>
    <w:p w14:paraId="18E93DF5">
      <w:pPr>
        <w:pStyle w:val="6"/>
        <w:numPr>
          <w:ilvl w:val="0"/>
          <w:numId w:val="0"/>
        </w:numPr>
        <w:bidi w:val="0"/>
        <w:ind w:left="482" w:leftChars="0"/>
        <w:rPr>
          <w:rFonts w:hint="eastAsia" w:ascii="宋体" w:hAnsi="宋体" w:eastAsia="宋体" w:cs="宋体"/>
          <w:sz w:val="24"/>
          <w:szCs w:val="24"/>
        </w:rPr>
      </w:pPr>
      <w:bookmarkStart w:id="864" w:name="bookmark1325"/>
      <w:bookmarkEnd w:id="864"/>
      <w:r>
        <w:rPr>
          <w:rFonts w:hint="eastAsia" w:ascii="宋体" w:hAnsi="宋体" w:eastAsia="宋体" w:cs="宋体"/>
          <w:sz w:val="24"/>
          <w:szCs w:val="24"/>
        </w:rPr>
        <w:t>16.1.2采用造价信息调整价格差额</w:t>
      </w:r>
    </w:p>
    <w:p w14:paraId="5C38EDB7">
      <w:pPr>
        <w:pStyle w:val="4"/>
        <w:rPr>
          <w:rFonts w:hint="eastAsia" w:ascii="宋体" w:hAnsi="宋体" w:eastAsia="宋体" w:cs="宋体"/>
          <w:sz w:val="24"/>
          <w:szCs w:val="24"/>
        </w:rPr>
      </w:pPr>
      <w:r>
        <w:rPr>
          <w:rFonts w:hint="eastAsia" w:ascii="宋体" w:hAnsi="宋体" w:eastAsia="宋体" w:cs="宋体"/>
          <w:sz w:val="24"/>
          <w:szCs w:val="24"/>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 数量，作为调整工程合同价格差额的依据。</w:t>
      </w:r>
    </w:p>
    <w:p w14:paraId="1988D6C5">
      <w:pPr>
        <w:pStyle w:val="4"/>
        <w:rPr>
          <w:rFonts w:hint="eastAsia" w:ascii="宋体" w:hAnsi="宋体" w:eastAsia="宋体" w:cs="宋体"/>
          <w:sz w:val="24"/>
          <w:szCs w:val="24"/>
        </w:rPr>
      </w:pPr>
      <w:r>
        <w:rPr>
          <w:rFonts w:hint="eastAsia" w:ascii="宋体" w:hAnsi="宋体" w:eastAsia="宋体" w:cs="宋体"/>
          <w:sz w:val="24"/>
          <w:szCs w:val="24"/>
        </w:rPr>
        <w:t>工程造价信息的来源以及价格调整的项目和系数在专用合同条款中约定。</w:t>
      </w:r>
    </w:p>
    <w:p w14:paraId="5E65F9EE">
      <w:pPr>
        <w:pStyle w:val="6"/>
        <w:numPr>
          <w:ilvl w:val="0"/>
          <w:numId w:val="0"/>
        </w:numPr>
        <w:bidi w:val="0"/>
        <w:ind w:left="482" w:leftChars="0"/>
        <w:rPr>
          <w:rFonts w:hint="eastAsia" w:ascii="宋体" w:hAnsi="宋体" w:eastAsia="宋体" w:cs="宋体"/>
          <w:sz w:val="24"/>
          <w:szCs w:val="24"/>
        </w:rPr>
      </w:pPr>
      <w:bookmarkStart w:id="865" w:name="bookmark1328"/>
      <w:bookmarkStart w:id="866" w:name="bookmark1326"/>
      <w:bookmarkStart w:id="867" w:name="bookmark1327"/>
      <w:bookmarkStart w:id="868" w:name="_Toc14710381"/>
      <w:bookmarkStart w:id="869" w:name="_Toc30516"/>
      <w:r>
        <w:rPr>
          <w:rFonts w:hint="eastAsia" w:ascii="宋体" w:hAnsi="宋体" w:eastAsia="宋体" w:cs="宋体"/>
          <w:sz w:val="24"/>
          <w:szCs w:val="24"/>
        </w:rPr>
        <w:t>16.2法律变化引起的价格调整</w:t>
      </w:r>
      <w:bookmarkEnd w:id="865"/>
      <w:bookmarkEnd w:id="866"/>
      <w:bookmarkEnd w:id="867"/>
      <w:bookmarkEnd w:id="868"/>
      <w:bookmarkEnd w:id="869"/>
    </w:p>
    <w:p w14:paraId="39145035">
      <w:pPr>
        <w:pStyle w:val="4"/>
        <w:rPr>
          <w:rFonts w:hint="eastAsia" w:ascii="宋体" w:hAnsi="宋体" w:eastAsia="宋体" w:cs="宋体"/>
          <w:sz w:val="24"/>
          <w:szCs w:val="24"/>
        </w:rPr>
      </w:pPr>
      <w:r>
        <w:rPr>
          <w:rFonts w:hint="eastAsia" w:ascii="宋体" w:hAnsi="宋体" w:eastAsia="宋体" w:cs="宋体"/>
          <w:sz w:val="24"/>
          <w:szCs w:val="24"/>
        </w:rPr>
        <w:t>在基准日后，因法律变化导致承包人在合同履行中所需要的工程费用发生除第16. 1款约定以外的增减时，监理人应根据法律、国家或省、自治区、直辖市有关部门的规定，按第3. 5款商定或确定需调整的合同价款。</w:t>
      </w:r>
    </w:p>
    <w:p w14:paraId="48A12C24">
      <w:pPr>
        <w:pStyle w:val="6"/>
        <w:numPr>
          <w:ilvl w:val="0"/>
          <w:numId w:val="0"/>
        </w:numPr>
        <w:bidi w:val="0"/>
        <w:ind w:left="482" w:leftChars="0"/>
        <w:rPr>
          <w:rFonts w:hint="eastAsia" w:ascii="宋体" w:hAnsi="宋体" w:eastAsia="宋体" w:cs="宋体"/>
          <w:sz w:val="24"/>
          <w:szCs w:val="24"/>
        </w:rPr>
      </w:pPr>
      <w:bookmarkStart w:id="870" w:name="bookmark1330"/>
      <w:bookmarkStart w:id="871" w:name="bookmark1329"/>
      <w:bookmarkStart w:id="872" w:name="bookmark1331"/>
      <w:bookmarkStart w:id="873" w:name="_Toc15158"/>
      <w:bookmarkStart w:id="874" w:name="_Toc14710382"/>
      <w:r>
        <w:rPr>
          <w:rFonts w:hint="eastAsia" w:ascii="宋体" w:hAnsi="宋体" w:eastAsia="宋体" w:cs="宋体"/>
          <w:sz w:val="24"/>
          <w:szCs w:val="24"/>
        </w:rPr>
        <w:t>17.计量与支付</w:t>
      </w:r>
      <w:bookmarkEnd w:id="870"/>
      <w:bookmarkEnd w:id="871"/>
      <w:bookmarkEnd w:id="872"/>
      <w:bookmarkEnd w:id="873"/>
      <w:bookmarkEnd w:id="874"/>
    </w:p>
    <w:p w14:paraId="5725D67E">
      <w:pPr>
        <w:pStyle w:val="6"/>
        <w:numPr>
          <w:ilvl w:val="0"/>
          <w:numId w:val="0"/>
        </w:numPr>
        <w:bidi w:val="0"/>
        <w:ind w:left="482" w:leftChars="0"/>
        <w:rPr>
          <w:rFonts w:hint="eastAsia" w:ascii="宋体" w:hAnsi="宋体" w:eastAsia="宋体" w:cs="宋体"/>
          <w:sz w:val="24"/>
          <w:szCs w:val="24"/>
        </w:rPr>
      </w:pPr>
      <w:bookmarkStart w:id="875" w:name="_Toc7733"/>
      <w:bookmarkStart w:id="876" w:name="bookmark1333"/>
      <w:bookmarkStart w:id="877" w:name="_Toc14710383"/>
      <w:bookmarkStart w:id="878" w:name="bookmark1332"/>
      <w:bookmarkStart w:id="879" w:name="bookmark1334"/>
      <w:r>
        <w:rPr>
          <w:rFonts w:hint="eastAsia" w:ascii="宋体" w:hAnsi="宋体" w:eastAsia="宋体" w:cs="宋体"/>
          <w:sz w:val="24"/>
          <w:szCs w:val="24"/>
        </w:rPr>
        <w:t>17.1计量</w:t>
      </w:r>
      <w:bookmarkEnd w:id="875"/>
      <w:bookmarkEnd w:id="876"/>
      <w:bookmarkEnd w:id="877"/>
      <w:bookmarkEnd w:id="878"/>
      <w:bookmarkEnd w:id="879"/>
    </w:p>
    <w:p w14:paraId="57123A4D">
      <w:pPr>
        <w:pStyle w:val="6"/>
        <w:numPr>
          <w:ilvl w:val="0"/>
          <w:numId w:val="0"/>
        </w:numPr>
        <w:bidi w:val="0"/>
        <w:ind w:left="482" w:leftChars="0"/>
        <w:rPr>
          <w:rFonts w:hint="eastAsia" w:ascii="宋体" w:hAnsi="宋体" w:eastAsia="宋体" w:cs="宋体"/>
          <w:sz w:val="24"/>
          <w:szCs w:val="24"/>
        </w:rPr>
      </w:pPr>
      <w:bookmarkStart w:id="880" w:name="bookmark1335"/>
      <w:bookmarkEnd w:id="880"/>
      <w:r>
        <w:rPr>
          <w:rFonts w:hint="eastAsia" w:ascii="宋体" w:hAnsi="宋体" w:eastAsia="宋体" w:cs="宋体"/>
          <w:sz w:val="24"/>
          <w:szCs w:val="24"/>
        </w:rPr>
        <w:t>17.1.1计量单位</w:t>
      </w:r>
    </w:p>
    <w:p w14:paraId="74E59E3F">
      <w:pPr>
        <w:pStyle w:val="4"/>
        <w:rPr>
          <w:rFonts w:hint="eastAsia" w:ascii="宋体" w:hAnsi="宋体" w:eastAsia="宋体" w:cs="宋体"/>
          <w:sz w:val="24"/>
          <w:szCs w:val="24"/>
        </w:rPr>
      </w:pPr>
      <w:r>
        <w:rPr>
          <w:rFonts w:hint="eastAsia" w:ascii="宋体" w:hAnsi="宋体" w:eastAsia="宋体" w:cs="宋体"/>
          <w:sz w:val="24"/>
          <w:szCs w:val="24"/>
        </w:rPr>
        <w:t>计量采用国家法定的计量单位。</w:t>
      </w:r>
    </w:p>
    <w:p w14:paraId="54EC1554">
      <w:pPr>
        <w:pStyle w:val="6"/>
        <w:numPr>
          <w:ilvl w:val="0"/>
          <w:numId w:val="0"/>
        </w:numPr>
        <w:bidi w:val="0"/>
        <w:ind w:left="482" w:leftChars="0"/>
        <w:rPr>
          <w:rFonts w:hint="eastAsia" w:ascii="宋体" w:hAnsi="宋体" w:eastAsia="宋体" w:cs="宋体"/>
          <w:sz w:val="24"/>
          <w:szCs w:val="24"/>
        </w:rPr>
      </w:pPr>
      <w:bookmarkStart w:id="881" w:name="bookmark1336"/>
      <w:bookmarkEnd w:id="881"/>
      <w:r>
        <w:rPr>
          <w:rFonts w:hint="eastAsia" w:ascii="宋体" w:hAnsi="宋体" w:eastAsia="宋体" w:cs="宋体"/>
          <w:sz w:val="24"/>
          <w:szCs w:val="24"/>
        </w:rPr>
        <w:t>17.1.2计量方法</w:t>
      </w:r>
    </w:p>
    <w:p w14:paraId="669F3D01">
      <w:pPr>
        <w:pStyle w:val="4"/>
        <w:rPr>
          <w:rFonts w:hint="eastAsia" w:ascii="宋体" w:hAnsi="宋体" w:eastAsia="宋体" w:cs="宋体"/>
          <w:sz w:val="24"/>
          <w:szCs w:val="24"/>
        </w:rPr>
      </w:pPr>
      <w:r>
        <w:rPr>
          <w:rFonts w:hint="eastAsia" w:ascii="宋体" w:hAnsi="宋体" w:eastAsia="宋体" w:cs="宋体"/>
          <w:sz w:val="24"/>
          <w:szCs w:val="24"/>
        </w:rPr>
        <w:t>结算工程量应按工程量清单中约定的方法计算。</w:t>
      </w:r>
    </w:p>
    <w:p w14:paraId="0282B7A0">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17.1.3计量周期</w:t>
      </w:r>
    </w:p>
    <w:p w14:paraId="219D7B89">
      <w:pPr>
        <w:pStyle w:val="4"/>
        <w:rPr>
          <w:rFonts w:hint="eastAsia" w:ascii="宋体" w:hAnsi="宋体" w:eastAsia="宋体" w:cs="宋体"/>
          <w:sz w:val="24"/>
          <w:szCs w:val="24"/>
        </w:rPr>
      </w:pPr>
      <w:r>
        <w:rPr>
          <w:rFonts w:hint="eastAsia" w:ascii="宋体" w:hAnsi="宋体" w:eastAsia="宋体" w:cs="宋体"/>
          <w:sz w:val="24"/>
          <w:szCs w:val="24"/>
        </w:rPr>
        <w:t>除专用合同条款另有约定外，单价子目已完成工程量按月计量，总价子目的计量周期 按批准的支付分解报告确定。</w:t>
      </w:r>
    </w:p>
    <w:p w14:paraId="5F95B091">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17.1.4单价子目的计量</w:t>
      </w:r>
    </w:p>
    <w:p w14:paraId="4674272B">
      <w:pPr>
        <w:pStyle w:val="4"/>
        <w:rPr>
          <w:rFonts w:hint="eastAsia" w:ascii="宋体" w:hAnsi="宋体" w:eastAsia="宋体" w:cs="宋体"/>
          <w:sz w:val="24"/>
          <w:szCs w:val="24"/>
        </w:rPr>
      </w:pPr>
      <w:bookmarkStart w:id="882" w:name="bookmark1337"/>
      <w:bookmarkEnd w:id="882"/>
      <w:r>
        <w:rPr>
          <w:rFonts w:hint="eastAsia" w:ascii="宋体" w:hAnsi="宋体" w:eastAsia="宋体" w:cs="宋体"/>
          <w:b w:val="0"/>
          <w:i w:val="0"/>
          <w:strike w:val="0"/>
          <w:color w:val="000000"/>
          <w:sz w:val="24"/>
          <w:szCs w:val="24"/>
          <w:u w:val="none"/>
        </w:rPr>
        <w:t>(1)</w:t>
      </w:r>
      <w:r>
        <w:rPr>
          <w:rFonts w:hint="eastAsia" w:ascii="宋体" w:hAnsi="宋体" w:eastAsia="宋体" w:cs="宋体"/>
          <w:sz w:val="24"/>
          <w:szCs w:val="24"/>
        </w:rPr>
        <w:t>已标价工程量清单中的单价子目工程量为估算工程量。结算工程量是承包人实际完成的，并按合同约定的计量方法进行计量的工程量。</w:t>
      </w:r>
    </w:p>
    <w:p w14:paraId="390F3C36">
      <w:pPr>
        <w:pStyle w:val="4"/>
        <w:rPr>
          <w:rFonts w:hint="eastAsia" w:ascii="宋体" w:hAnsi="宋体" w:eastAsia="宋体" w:cs="宋体"/>
          <w:sz w:val="24"/>
          <w:szCs w:val="24"/>
        </w:rPr>
      </w:pPr>
      <w:bookmarkStart w:id="883" w:name="bookmark1338"/>
      <w:bookmarkEnd w:id="883"/>
      <w:r>
        <w:rPr>
          <w:rFonts w:hint="eastAsia" w:ascii="宋体" w:hAnsi="宋体" w:eastAsia="宋体" w:cs="宋体"/>
          <w:b w:val="0"/>
          <w:i w:val="0"/>
          <w:strike w:val="0"/>
          <w:color w:val="000000"/>
          <w:sz w:val="24"/>
          <w:szCs w:val="24"/>
          <w:u w:val="none"/>
        </w:rPr>
        <w:t>(2)</w:t>
      </w:r>
      <w:r>
        <w:rPr>
          <w:rFonts w:hint="eastAsia" w:ascii="宋体" w:hAnsi="宋体" w:eastAsia="宋体" w:cs="宋体"/>
          <w:sz w:val="24"/>
          <w:szCs w:val="24"/>
        </w:rPr>
        <w:t>承包人对已完成的工程进行计量，向监理人提交进度付款申请单、已完成工程量报表和有关计量资料。</w:t>
      </w:r>
    </w:p>
    <w:p w14:paraId="5F530CC6">
      <w:pPr>
        <w:pStyle w:val="4"/>
        <w:rPr>
          <w:rFonts w:hint="eastAsia" w:ascii="宋体" w:hAnsi="宋体" w:eastAsia="宋体" w:cs="宋体"/>
          <w:sz w:val="24"/>
          <w:szCs w:val="24"/>
        </w:rPr>
      </w:pPr>
      <w:r>
        <w:rPr>
          <w:rFonts w:hint="eastAsia" w:ascii="宋体" w:hAnsi="宋体" w:eastAsia="宋体" w:cs="宋体"/>
          <w:b w:val="0"/>
          <w:i w:val="0"/>
          <w:strike w:val="0"/>
          <w:color w:val="000000"/>
          <w:sz w:val="24"/>
          <w:szCs w:val="24"/>
          <w:u w:val="none"/>
        </w:rPr>
        <w:t>(3)</w:t>
      </w:r>
      <w:r>
        <w:rPr>
          <w:rFonts w:hint="eastAsia" w:ascii="宋体" w:hAnsi="宋体" w:eastAsia="宋体" w:cs="宋体"/>
          <w:sz w:val="24"/>
          <w:szCs w:val="24"/>
        </w:rPr>
        <w:t>监理人对承包人提交的工程量报表进行复核，以确定实际完成的工程量。对数量</w:t>
      </w:r>
      <w:bookmarkStart w:id="884" w:name="bookmark1339"/>
      <w:bookmarkEnd w:id="884"/>
      <w:r>
        <w:rPr>
          <w:rFonts w:hint="eastAsia" w:ascii="宋体" w:hAnsi="宋体" w:eastAsia="宋体" w:cs="宋体"/>
          <w:sz w:val="24"/>
          <w:szCs w:val="24"/>
        </w:rPr>
        <w:t>有异议的，可要求承包人按第8. 2款约定进行共同复核和抽样复测。承包人应协助监理人进行复核并按监理人要求提供补充计量资料。承包人未按监理人要求参加复核，监理人复核或修正的工程量视为承包人实际完成的工程量。</w:t>
      </w:r>
    </w:p>
    <w:p w14:paraId="01C1CA3E">
      <w:pPr>
        <w:pStyle w:val="4"/>
        <w:rPr>
          <w:rFonts w:hint="eastAsia" w:ascii="宋体" w:hAnsi="宋体" w:eastAsia="宋体" w:cs="宋体"/>
          <w:sz w:val="24"/>
          <w:szCs w:val="24"/>
        </w:rPr>
      </w:pPr>
      <w:bookmarkStart w:id="885" w:name="bookmark1340"/>
      <w:bookmarkEnd w:id="885"/>
      <w:r>
        <w:rPr>
          <w:rFonts w:hint="eastAsia" w:ascii="宋体" w:hAnsi="宋体" w:eastAsia="宋体" w:cs="宋体"/>
          <w:b w:val="0"/>
          <w:i w:val="0"/>
          <w:strike w:val="0"/>
          <w:color w:val="000000"/>
          <w:sz w:val="24"/>
          <w:szCs w:val="24"/>
          <w:u w:val="none"/>
        </w:rPr>
        <w:t>(4)</w:t>
      </w:r>
      <w:r>
        <w:rPr>
          <w:rFonts w:hint="eastAsia" w:ascii="宋体" w:hAnsi="宋体" w:eastAsia="宋体" w:cs="宋体"/>
          <w:sz w:val="24"/>
          <w:szCs w:val="24"/>
        </w:rPr>
        <w:t>监理人认为有必要时，可通知承包人共同进行联合测量、计量，承包人应遵照执行。</w:t>
      </w:r>
    </w:p>
    <w:p w14:paraId="34EAF0D5">
      <w:pPr>
        <w:pStyle w:val="4"/>
        <w:rPr>
          <w:rFonts w:hint="eastAsia" w:ascii="宋体" w:hAnsi="宋体" w:eastAsia="宋体" w:cs="宋体"/>
          <w:sz w:val="24"/>
          <w:szCs w:val="24"/>
        </w:rPr>
      </w:pPr>
      <w:bookmarkStart w:id="886" w:name="bookmark1341"/>
      <w:bookmarkEnd w:id="886"/>
      <w:r>
        <w:rPr>
          <w:rFonts w:hint="eastAsia" w:ascii="宋体" w:hAnsi="宋体" w:eastAsia="宋体" w:cs="宋体"/>
          <w:b w:val="0"/>
          <w:i w:val="0"/>
          <w:strike w:val="0"/>
          <w:color w:val="000000"/>
          <w:sz w:val="24"/>
          <w:szCs w:val="24"/>
          <w:u w:val="none"/>
        </w:rPr>
        <w:t>(5)</w:t>
      </w:r>
      <w:r>
        <w:rPr>
          <w:rFonts w:hint="eastAsia" w:ascii="宋体" w:hAnsi="宋体" w:eastAsia="宋体" w:cs="宋体"/>
          <w:sz w:val="24"/>
          <w:szCs w:val="24"/>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425893E7">
      <w:pPr>
        <w:pStyle w:val="4"/>
        <w:rPr>
          <w:rFonts w:hint="eastAsia" w:ascii="宋体" w:hAnsi="宋体" w:eastAsia="宋体" w:cs="宋体"/>
          <w:sz w:val="24"/>
          <w:szCs w:val="24"/>
        </w:rPr>
      </w:pPr>
      <w:bookmarkStart w:id="887" w:name="bookmark1342"/>
      <w:bookmarkEnd w:id="887"/>
      <w:r>
        <w:rPr>
          <w:rFonts w:hint="eastAsia" w:ascii="宋体" w:hAnsi="宋体" w:eastAsia="宋体" w:cs="宋体"/>
          <w:b w:val="0"/>
          <w:i w:val="0"/>
          <w:strike w:val="0"/>
          <w:color w:val="000000"/>
          <w:sz w:val="24"/>
          <w:szCs w:val="24"/>
          <w:u w:val="none"/>
        </w:rPr>
        <w:t>(6)</w:t>
      </w:r>
      <w:r>
        <w:rPr>
          <w:rFonts w:hint="eastAsia" w:ascii="宋体" w:hAnsi="宋体" w:eastAsia="宋体" w:cs="宋体"/>
          <w:sz w:val="24"/>
          <w:szCs w:val="24"/>
        </w:rPr>
        <w:t>监理人应在收到承包人提交的工程量报表后的7天内进行复核，监理人未在约定时间内复核的，承包人提交的工程量报表中的工程量视为承包人实际完成的工程量，据此计算工程价款。</w:t>
      </w:r>
    </w:p>
    <w:p w14:paraId="50487B5D">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17.1.5总价子目的计量</w:t>
      </w:r>
    </w:p>
    <w:p w14:paraId="16982B42">
      <w:pPr>
        <w:pStyle w:val="4"/>
        <w:rPr>
          <w:rFonts w:hint="eastAsia" w:ascii="宋体" w:hAnsi="宋体" w:eastAsia="宋体" w:cs="宋体"/>
          <w:sz w:val="24"/>
          <w:szCs w:val="24"/>
        </w:rPr>
      </w:pPr>
      <w:r>
        <w:rPr>
          <w:rFonts w:hint="eastAsia" w:ascii="宋体" w:hAnsi="宋体" w:eastAsia="宋体" w:cs="宋体"/>
          <w:sz w:val="24"/>
          <w:szCs w:val="24"/>
        </w:rPr>
        <w:t>总价子目的分解和计量按照下述约定进行。</w:t>
      </w:r>
    </w:p>
    <w:p w14:paraId="50328C19">
      <w:pPr>
        <w:pStyle w:val="4"/>
        <w:rPr>
          <w:rFonts w:hint="eastAsia" w:ascii="宋体" w:hAnsi="宋体" w:eastAsia="宋体" w:cs="宋体"/>
          <w:sz w:val="24"/>
          <w:szCs w:val="24"/>
        </w:rPr>
      </w:pPr>
      <w:bookmarkStart w:id="888" w:name="bookmark1343"/>
      <w:bookmarkEnd w:id="888"/>
      <w:r>
        <w:rPr>
          <w:rFonts w:hint="eastAsia" w:ascii="宋体" w:hAnsi="宋体" w:eastAsia="宋体" w:cs="宋体"/>
          <w:b w:val="0"/>
          <w:i w:val="0"/>
          <w:strike w:val="0"/>
          <w:color w:val="000000"/>
          <w:sz w:val="24"/>
          <w:szCs w:val="24"/>
          <w:u w:val="none"/>
        </w:rPr>
        <w:t>(1)</w:t>
      </w:r>
      <w:r>
        <w:rPr>
          <w:rFonts w:hint="eastAsia" w:ascii="宋体" w:hAnsi="宋体" w:eastAsia="宋体" w:cs="宋体"/>
          <w:sz w:val="24"/>
          <w:szCs w:val="24"/>
        </w:rPr>
        <w:t>总价子目的计量和支付应以总价为基础，不因第16.1款中的因素而进行调整。承包人实际完成的工程量，是进行工程目标管理和控制进度支付的依据。</w:t>
      </w:r>
    </w:p>
    <w:p w14:paraId="6072CF27">
      <w:pPr>
        <w:pStyle w:val="4"/>
        <w:rPr>
          <w:rFonts w:hint="eastAsia" w:ascii="宋体" w:hAnsi="宋体" w:eastAsia="宋体" w:cs="宋体"/>
          <w:sz w:val="24"/>
          <w:szCs w:val="24"/>
        </w:rPr>
      </w:pPr>
      <w:bookmarkStart w:id="889" w:name="bookmark1344"/>
      <w:bookmarkEnd w:id="889"/>
      <w:r>
        <w:rPr>
          <w:rFonts w:hint="eastAsia" w:ascii="宋体" w:hAnsi="宋体" w:eastAsia="宋体" w:cs="宋体"/>
          <w:b w:val="0"/>
          <w:i w:val="0"/>
          <w:strike w:val="0"/>
          <w:color w:val="000000"/>
          <w:sz w:val="24"/>
          <w:szCs w:val="24"/>
          <w:u w:val="none"/>
        </w:rPr>
        <w:t>(2)</w:t>
      </w:r>
      <w:r>
        <w:rPr>
          <w:rFonts w:hint="eastAsia" w:ascii="宋体" w:hAnsi="宋体" w:eastAsia="宋体" w:cs="宋体"/>
          <w:sz w:val="24"/>
          <w:szCs w:val="24"/>
        </w:rPr>
        <w:t>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478FAFAF">
      <w:pPr>
        <w:pStyle w:val="4"/>
        <w:rPr>
          <w:rFonts w:hint="eastAsia" w:ascii="宋体" w:hAnsi="宋体" w:eastAsia="宋体" w:cs="宋体"/>
          <w:sz w:val="24"/>
          <w:szCs w:val="24"/>
        </w:rPr>
      </w:pPr>
      <w:bookmarkStart w:id="890" w:name="bookmark1345"/>
      <w:bookmarkEnd w:id="890"/>
      <w:r>
        <w:rPr>
          <w:rFonts w:hint="eastAsia" w:ascii="宋体" w:hAnsi="宋体" w:eastAsia="宋体" w:cs="宋体"/>
          <w:b w:val="0"/>
          <w:i w:val="0"/>
          <w:strike w:val="0"/>
          <w:color w:val="000000"/>
          <w:sz w:val="24"/>
          <w:szCs w:val="24"/>
          <w:u w:val="none"/>
        </w:rPr>
        <w:t>(3)</w:t>
      </w:r>
      <w:r>
        <w:rPr>
          <w:rFonts w:hint="eastAsia" w:ascii="宋体" w:hAnsi="宋体" w:eastAsia="宋体" w:cs="宋体"/>
          <w:sz w:val="24"/>
          <w:szCs w:val="24"/>
        </w:rPr>
        <w:t>监理人对承包人提交的上述资料进行复核，以确定分阶段实际完成的工程量和工程形象目标。对其有异议的，可要求承包人按第8. 2款约定进行共同复核和抽样复测。</w:t>
      </w:r>
    </w:p>
    <w:p w14:paraId="186C9B64">
      <w:pPr>
        <w:pStyle w:val="4"/>
        <w:rPr>
          <w:rFonts w:hint="eastAsia" w:ascii="宋体" w:hAnsi="宋体" w:eastAsia="宋体" w:cs="宋体"/>
          <w:sz w:val="24"/>
          <w:szCs w:val="24"/>
        </w:rPr>
      </w:pPr>
      <w:bookmarkStart w:id="891" w:name="bookmark1346"/>
      <w:bookmarkEnd w:id="891"/>
      <w:r>
        <w:rPr>
          <w:rFonts w:hint="eastAsia" w:ascii="宋体" w:hAnsi="宋体" w:eastAsia="宋体" w:cs="宋体"/>
          <w:b w:val="0"/>
          <w:i w:val="0"/>
          <w:strike w:val="0"/>
          <w:color w:val="000000"/>
          <w:sz w:val="24"/>
          <w:szCs w:val="24"/>
          <w:u w:val="none"/>
        </w:rPr>
        <w:t>(4)</w:t>
      </w:r>
      <w:r>
        <w:rPr>
          <w:rFonts w:hint="eastAsia" w:ascii="宋体" w:hAnsi="宋体" w:eastAsia="宋体" w:cs="宋体"/>
          <w:sz w:val="24"/>
          <w:szCs w:val="24"/>
        </w:rPr>
        <w:t>除按照第15条约定的变更外，总价子目的工程量是承包人用于结算的最终工程量。</w:t>
      </w:r>
    </w:p>
    <w:p w14:paraId="1D3FC3A7">
      <w:pPr>
        <w:pStyle w:val="6"/>
        <w:numPr>
          <w:ilvl w:val="0"/>
          <w:numId w:val="0"/>
        </w:numPr>
        <w:bidi w:val="0"/>
        <w:ind w:left="482" w:leftChars="0"/>
        <w:rPr>
          <w:rFonts w:hint="eastAsia" w:ascii="宋体" w:hAnsi="宋体" w:eastAsia="宋体" w:cs="宋体"/>
          <w:sz w:val="24"/>
          <w:szCs w:val="24"/>
        </w:rPr>
      </w:pPr>
      <w:bookmarkStart w:id="892" w:name="_Toc14710384"/>
      <w:bookmarkStart w:id="893" w:name="bookmark1349"/>
      <w:bookmarkStart w:id="894" w:name="bookmark1347"/>
      <w:bookmarkStart w:id="895" w:name="bookmark1348"/>
      <w:bookmarkStart w:id="896" w:name="_Toc1366"/>
      <w:r>
        <w:rPr>
          <w:rFonts w:hint="eastAsia" w:ascii="宋体" w:hAnsi="宋体" w:eastAsia="宋体" w:cs="宋体"/>
          <w:sz w:val="24"/>
          <w:szCs w:val="24"/>
        </w:rPr>
        <w:t>17.2预付款</w:t>
      </w:r>
      <w:bookmarkEnd w:id="892"/>
      <w:bookmarkEnd w:id="893"/>
      <w:bookmarkEnd w:id="894"/>
      <w:bookmarkEnd w:id="895"/>
      <w:bookmarkEnd w:id="896"/>
    </w:p>
    <w:p w14:paraId="601F8805">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17.2.1预付款</w:t>
      </w:r>
    </w:p>
    <w:p w14:paraId="6FAAA381">
      <w:pPr>
        <w:pStyle w:val="4"/>
        <w:rPr>
          <w:rFonts w:hint="eastAsia" w:ascii="宋体" w:hAnsi="宋体" w:eastAsia="宋体" w:cs="宋体"/>
          <w:sz w:val="24"/>
          <w:szCs w:val="24"/>
        </w:rPr>
      </w:pPr>
      <w:r>
        <w:rPr>
          <w:rFonts w:hint="eastAsia" w:ascii="宋体" w:hAnsi="宋体" w:eastAsia="宋体" w:cs="宋体"/>
          <w:sz w:val="24"/>
          <w:szCs w:val="24"/>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7D058880">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17.2.2预付款保函(担保)</w:t>
      </w:r>
    </w:p>
    <w:p w14:paraId="11F5F8D5">
      <w:pPr>
        <w:pStyle w:val="4"/>
        <w:rPr>
          <w:rFonts w:hint="eastAsia" w:ascii="宋体" w:hAnsi="宋体" w:eastAsia="宋体" w:cs="宋体"/>
          <w:sz w:val="24"/>
          <w:szCs w:val="24"/>
        </w:rPr>
      </w:pPr>
      <w:bookmarkStart w:id="897" w:name="bookmark1350"/>
      <w:bookmarkEnd w:id="897"/>
      <w:r>
        <w:rPr>
          <w:rFonts w:hint="eastAsia" w:ascii="宋体" w:hAnsi="宋体" w:eastAsia="宋体" w:cs="宋体"/>
          <w:b w:val="0"/>
          <w:i w:val="0"/>
          <w:strike w:val="0"/>
          <w:color w:val="000000"/>
          <w:sz w:val="24"/>
          <w:szCs w:val="24"/>
          <w:u w:val="none"/>
        </w:rPr>
        <w:t>(1)</w:t>
      </w:r>
      <w:r>
        <w:rPr>
          <w:rFonts w:hint="eastAsia" w:ascii="宋体" w:hAnsi="宋体" w:eastAsia="宋体" w:cs="宋体"/>
          <w:sz w:val="24"/>
          <w:szCs w:val="24"/>
        </w:rPr>
        <w:t>承包人应在收到第一次工程预付款的同时向发包人提交工程预付款担保，担保金额应与第一次工程预付款金额相同，工程预付款担保在第一次工程预付款被发包人扣回前一直有效。</w:t>
      </w:r>
    </w:p>
    <w:p w14:paraId="70893AA0">
      <w:pPr>
        <w:pStyle w:val="4"/>
        <w:rPr>
          <w:rFonts w:hint="eastAsia" w:ascii="宋体" w:hAnsi="宋体" w:eastAsia="宋体" w:cs="宋体"/>
          <w:sz w:val="24"/>
          <w:szCs w:val="24"/>
        </w:rPr>
      </w:pPr>
      <w:bookmarkStart w:id="898" w:name="bookmark1351"/>
      <w:bookmarkEnd w:id="898"/>
      <w:r>
        <w:rPr>
          <w:rFonts w:hint="eastAsia" w:ascii="宋体" w:hAnsi="宋体" w:eastAsia="宋体" w:cs="宋体"/>
          <w:b w:val="0"/>
          <w:i w:val="0"/>
          <w:strike w:val="0"/>
          <w:color w:val="000000"/>
          <w:sz w:val="24"/>
          <w:szCs w:val="24"/>
          <w:u w:val="none"/>
        </w:rPr>
        <w:t>(2)</w:t>
      </w:r>
      <w:r>
        <w:rPr>
          <w:rFonts w:hint="eastAsia" w:ascii="宋体" w:hAnsi="宋体" w:eastAsia="宋体" w:cs="宋体"/>
          <w:sz w:val="24"/>
          <w:szCs w:val="24"/>
        </w:rPr>
        <w:t>工程材料预付款的担保在专用合同条款中约定。</w:t>
      </w:r>
    </w:p>
    <w:p w14:paraId="3C5F6913">
      <w:pPr>
        <w:pStyle w:val="4"/>
        <w:rPr>
          <w:rFonts w:hint="eastAsia" w:ascii="宋体" w:hAnsi="宋体" w:eastAsia="宋体" w:cs="宋体"/>
          <w:sz w:val="24"/>
          <w:szCs w:val="24"/>
        </w:rPr>
      </w:pPr>
      <w:bookmarkStart w:id="899" w:name="bookmark1352"/>
      <w:bookmarkEnd w:id="899"/>
      <w:r>
        <w:rPr>
          <w:rFonts w:hint="eastAsia" w:ascii="宋体" w:hAnsi="宋体" w:eastAsia="宋体" w:cs="宋体"/>
          <w:b w:val="0"/>
          <w:i w:val="0"/>
          <w:strike w:val="0"/>
          <w:color w:val="000000"/>
          <w:sz w:val="24"/>
          <w:szCs w:val="24"/>
          <w:u w:val="none"/>
        </w:rPr>
        <w:t>(3)</w:t>
      </w:r>
      <w:r>
        <w:rPr>
          <w:rFonts w:hint="eastAsia" w:ascii="宋体" w:hAnsi="宋体" w:eastAsia="宋体" w:cs="宋体"/>
          <w:sz w:val="24"/>
          <w:szCs w:val="24"/>
        </w:rPr>
        <w:t>预付款担保的担保金额可根据预付款扣回的金额相应递减。</w:t>
      </w:r>
    </w:p>
    <w:p w14:paraId="66FB6C52">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17.2.3预付款的扣回与还清</w:t>
      </w:r>
    </w:p>
    <w:p w14:paraId="0AE4DEAB">
      <w:pPr>
        <w:pStyle w:val="4"/>
        <w:rPr>
          <w:rFonts w:hint="eastAsia" w:ascii="宋体" w:hAnsi="宋体" w:eastAsia="宋体" w:cs="宋体"/>
          <w:sz w:val="24"/>
          <w:szCs w:val="24"/>
        </w:rPr>
      </w:pPr>
      <w:r>
        <w:rPr>
          <w:rFonts w:hint="eastAsia" w:ascii="宋体" w:hAnsi="宋体" w:eastAsia="宋体" w:cs="宋体"/>
          <w:sz w:val="24"/>
          <w:szCs w:val="24"/>
        </w:rPr>
        <w:t>预付款在进度付款中扣回，扣回与还清办法在专用合同条款中约定。在颁发合同工程 完工证书前，由于不可抗力或其它原因解除合同时，预付款尚未扣清的，尚未扣清的预付款余额应作为承包人的到期应付款。</w:t>
      </w:r>
    </w:p>
    <w:p w14:paraId="30B0C774">
      <w:pPr>
        <w:pStyle w:val="6"/>
        <w:numPr>
          <w:ilvl w:val="0"/>
          <w:numId w:val="0"/>
        </w:numPr>
        <w:bidi w:val="0"/>
        <w:ind w:left="482" w:leftChars="0"/>
        <w:rPr>
          <w:rFonts w:hint="eastAsia" w:ascii="宋体" w:hAnsi="宋体" w:eastAsia="宋体" w:cs="宋体"/>
          <w:sz w:val="24"/>
          <w:szCs w:val="24"/>
        </w:rPr>
      </w:pPr>
      <w:bookmarkStart w:id="900" w:name="bookmark1355"/>
      <w:bookmarkStart w:id="901" w:name="_Toc2053"/>
      <w:bookmarkStart w:id="902" w:name="bookmark1353"/>
      <w:bookmarkStart w:id="903" w:name="bookmark1354"/>
      <w:bookmarkStart w:id="904" w:name="_Toc14710385"/>
      <w:r>
        <w:rPr>
          <w:rFonts w:hint="eastAsia" w:ascii="宋体" w:hAnsi="宋体" w:eastAsia="宋体" w:cs="宋体"/>
          <w:sz w:val="24"/>
          <w:szCs w:val="24"/>
        </w:rPr>
        <w:t>17.3工程进度付款</w:t>
      </w:r>
      <w:bookmarkEnd w:id="900"/>
      <w:bookmarkEnd w:id="901"/>
      <w:bookmarkEnd w:id="902"/>
      <w:bookmarkEnd w:id="903"/>
      <w:bookmarkEnd w:id="904"/>
    </w:p>
    <w:p w14:paraId="34469F95">
      <w:pPr>
        <w:pStyle w:val="4"/>
        <w:rPr>
          <w:rFonts w:hint="eastAsia" w:ascii="宋体" w:hAnsi="宋体" w:eastAsia="宋体" w:cs="宋体"/>
          <w:b/>
          <w:bCs/>
          <w:sz w:val="24"/>
          <w:szCs w:val="24"/>
        </w:rPr>
      </w:pPr>
      <w:r>
        <w:rPr>
          <w:rFonts w:hint="eastAsia" w:ascii="宋体" w:hAnsi="宋体" w:eastAsia="宋体" w:cs="宋体"/>
          <w:color w:val="000000"/>
          <w:sz w:val="24"/>
          <w:szCs w:val="24"/>
          <w:u w:val="single"/>
        </w:rPr>
        <w:t>①签订合同后，材料进场且开始施工后支付合同总价款的30%为工程预付款；②甲方根据工程需要和工程进度情况，可支付至合同总价款的80%；③工程竣工验收达到合格质量要求后，经造价咨询公司对该项目进行结算评审后21个工作日内工程款支付至结算总价的97%</w:t>
      </w:r>
      <w:r>
        <w:rPr>
          <w:rFonts w:hint="eastAsia" w:ascii="宋体" w:hAnsi="宋体" w:eastAsia="宋体" w:cs="宋体"/>
          <w:color w:val="000000"/>
          <w:sz w:val="24"/>
          <w:szCs w:val="24"/>
          <w:u w:val="single"/>
          <w:lang w:eastAsia="zh-CN"/>
        </w:rPr>
        <w:t>④</w:t>
      </w:r>
      <w:r>
        <w:rPr>
          <w:rFonts w:hint="eastAsia" w:ascii="宋体" w:hAnsi="宋体" w:eastAsia="宋体" w:cs="宋体"/>
          <w:color w:val="000000"/>
          <w:sz w:val="24"/>
          <w:szCs w:val="24"/>
          <w:u w:val="single"/>
        </w:rPr>
        <w:t>3%工程质量保证金，待工程质量保修期满后返还。本工程质量保质期为1年。在工程质量保质期内，若存在质量缺陷的，由乙方负责保修，费用由乙方负责，工程质量保质期从甲方验收合格后开始计算。</w:t>
      </w:r>
    </w:p>
    <w:p w14:paraId="2B20B284">
      <w:pPr>
        <w:rPr>
          <w:rFonts w:hint="eastAsia" w:ascii="宋体" w:hAnsi="宋体" w:eastAsia="宋体" w:cs="宋体"/>
        </w:rPr>
      </w:pPr>
    </w:p>
    <w:p w14:paraId="75F4730A">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17.3.1付款周期</w:t>
      </w:r>
    </w:p>
    <w:p w14:paraId="48D7DA49">
      <w:pPr>
        <w:pStyle w:val="4"/>
        <w:rPr>
          <w:rFonts w:hint="eastAsia" w:ascii="宋体" w:hAnsi="宋体" w:eastAsia="宋体" w:cs="宋体"/>
          <w:sz w:val="24"/>
          <w:szCs w:val="24"/>
        </w:rPr>
      </w:pPr>
      <w:r>
        <w:rPr>
          <w:rFonts w:hint="eastAsia" w:ascii="宋体" w:hAnsi="宋体" w:eastAsia="宋体" w:cs="宋体"/>
          <w:sz w:val="24"/>
          <w:szCs w:val="24"/>
        </w:rPr>
        <w:t>付款周期同计量周期。</w:t>
      </w:r>
    </w:p>
    <w:p w14:paraId="73ED5BAA">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17.3.2进度付款申请单</w:t>
      </w:r>
    </w:p>
    <w:p w14:paraId="4591C117">
      <w:pPr>
        <w:pStyle w:val="4"/>
        <w:rPr>
          <w:rFonts w:hint="eastAsia" w:ascii="宋体" w:hAnsi="宋体" w:eastAsia="宋体" w:cs="宋体"/>
          <w:sz w:val="24"/>
          <w:szCs w:val="24"/>
        </w:rPr>
      </w:pPr>
      <w:r>
        <w:rPr>
          <w:rFonts w:hint="eastAsia" w:ascii="宋体" w:hAnsi="宋体" w:eastAsia="宋体" w:cs="宋体"/>
          <w:sz w:val="24"/>
          <w:szCs w:val="24"/>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024D08E6">
      <w:pPr>
        <w:pStyle w:val="4"/>
        <w:rPr>
          <w:rFonts w:hint="eastAsia" w:ascii="宋体" w:hAnsi="宋体" w:eastAsia="宋体" w:cs="宋体"/>
          <w:sz w:val="24"/>
          <w:szCs w:val="24"/>
        </w:rPr>
      </w:pPr>
      <w:bookmarkStart w:id="905" w:name="bookmark1356"/>
      <w:bookmarkEnd w:id="905"/>
      <w:r>
        <w:rPr>
          <w:rFonts w:hint="eastAsia" w:ascii="宋体" w:hAnsi="宋体" w:eastAsia="宋体" w:cs="宋体"/>
          <w:b w:val="0"/>
          <w:i w:val="0"/>
          <w:strike w:val="0"/>
          <w:color w:val="000000"/>
          <w:sz w:val="24"/>
          <w:szCs w:val="24"/>
          <w:u w:val="none"/>
        </w:rPr>
        <w:t>(1)</w:t>
      </w:r>
      <w:r>
        <w:rPr>
          <w:rFonts w:hint="eastAsia" w:ascii="宋体" w:hAnsi="宋体" w:eastAsia="宋体" w:cs="宋体"/>
          <w:sz w:val="24"/>
          <w:szCs w:val="24"/>
        </w:rPr>
        <w:t>截至本次付款周期末已实施工程的价款；</w:t>
      </w:r>
    </w:p>
    <w:p w14:paraId="5F9E3873">
      <w:pPr>
        <w:pStyle w:val="4"/>
        <w:rPr>
          <w:rFonts w:hint="eastAsia" w:ascii="宋体" w:hAnsi="宋体" w:eastAsia="宋体" w:cs="宋体"/>
          <w:sz w:val="24"/>
          <w:szCs w:val="24"/>
        </w:rPr>
      </w:pPr>
      <w:bookmarkStart w:id="906" w:name="bookmark1357"/>
      <w:bookmarkEnd w:id="906"/>
      <w:r>
        <w:rPr>
          <w:rFonts w:hint="eastAsia" w:ascii="宋体" w:hAnsi="宋体" w:eastAsia="宋体" w:cs="宋体"/>
          <w:b w:val="0"/>
          <w:i w:val="0"/>
          <w:strike w:val="0"/>
          <w:color w:val="000000"/>
          <w:sz w:val="24"/>
          <w:szCs w:val="24"/>
          <w:u w:val="none"/>
        </w:rPr>
        <w:t>(2)</w:t>
      </w:r>
      <w:r>
        <w:rPr>
          <w:rFonts w:hint="eastAsia" w:ascii="宋体" w:hAnsi="宋体" w:eastAsia="宋体" w:cs="宋体"/>
          <w:sz w:val="24"/>
          <w:szCs w:val="24"/>
        </w:rPr>
        <w:t>根据第15条应增加和扣减的变更金额；</w:t>
      </w:r>
    </w:p>
    <w:p w14:paraId="1783E6E0">
      <w:pPr>
        <w:pStyle w:val="4"/>
        <w:rPr>
          <w:rFonts w:hint="eastAsia" w:ascii="宋体" w:hAnsi="宋体" w:eastAsia="宋体" w:cs="宋体"/>
          <w:sz w:val="24"/>
          <w:szCs w:val="24"/>
        </w:rPr>
      </w:pPr>
      <w:bookmarkStart w:id="907" w:name="bookmark1358"/>
      <w:bookmarkEnd w:id="907"/>
      <w:r>
        <w:rPr>
          <w:rFonts w:hint="eastAsia" w:ascii="宋体" w:hAnsi="宋体" w:eastAsia="宋体" w:cs="宋体"/>
          <w:b w:val="0"/>
          <w:i w:val="0"/>
          <w:strike w:val="0"/>
          <w:color w:val="000000"/>
          <w:sz w:val="24"/>
          <w:szCs w:val="24"/>
          <w:u w:val="none"/>
        </w:rPr>
        <w:t>(3)</w:t>
      </w:r>
      <w:r>
        <w:rPr>
          <w:rFonts w:hint="eastAsia" w:ascii="宋体" w:hAnsi="宋体" w:eastAsia="宋体" w:cs="宋体"/>
          <w:sz w:val="24"/>
          <w:szCs w:val="24"/>
        </w:rPr>
        <w:t>根据第23条应增加和扣减的索赔金额；</w:t>
      </w:r>
    </w:p>
    <w:p w14:paraId="6C125F81">
      <w:pPr>
        <w:pStyle w:val="4"/>
        <w:rPr>
          <w:rFonts w:hint="eastAsia" w:ascii="宋体" w:hAnsi="宋体" w:eastAsia="宋体" w:cs="宋体"/>
          <w:sz w:val="24"/>
          <w:szCs w:val="24"/>
        </w:rPr>
      </w:pPr>
      <w:bookmarkStart w:id="908" w:name="bookmark1359"/>
      <w:bookmarkEnd w:id="908"/>
      <w:r>
        <w:rPr>
          <w:rFonts w:hint="eastAsia" w:ascii="宋体" w:hAnsi="宋体" w:eastAsia="宋体" w:cs="宋体"/>
          <w:b w:val="0"/>
          <w:i w:val="0"/>
          <w:strike w:val="0"/>
          <w:color w:val="000000"/>
          <w:sz w:val="24"/>
          <w:szCs w:val="24"/>
          <w:u w:val="none"/>
        </w:rPr>
        <w:t>(4)</w:t>
      </w:r>
      <w:r>
        <w:rPr>
          <w:rFonts w:hint="eastAsia" w:ascii="宋体" w:hAnsi="宋体" w:eastAsia="宋体" w:cs="宋体"/>
          <w:sz w:val="24"/>
          <w:szCs w:val="24"/>
        </w:rPr>
        <w:t>根据第17. 2款约定应支付的预付款和扣减的返还预付款；</w:t>
      </w:r>
    </w:p>
    <w:p w14:paraId="3120F318">
      <w:pPr>
        <w:pStyle w:val="4"/>
        <w:rPr>
          <w:rFonts w:hint="eastAsia" w:ascii="宋体" w:hAnsi="宋体" w:eastAsia="宋体" w:cs="宋体"/>
          <w:sz w:val="24"/>
          <w:szCs w:val="24"/>
        </w:rPr>
      </w:pPr>
      <w:bookmarkStart w:id="909" w:name="bookmark1360"/>
      <w:bookmarkEnd w:id="909"/>
      <w:r>
        <w:rPr>
          <w:rFonts w:hint="eastAsia" w:ascii="宋体" w:hAnsi="宋体" w:eastAsia="宋体" w:cs="宋体"/>
          <w:b w:val="0"/>
          <w:i w:val="0"/>
          <w:strike w:val="0"/>
          <w:color w:val="000000"/>
          <w:sz w:val="24"/>
          <w:szCs w:val="24"/>
          <w:u w:val="none"/>
        </w:rPr>
        <w:t>(5)</w:t>
      </w:r>
      <w:r>
        <w:rPr>
          <w:rFonts w:hint="eastAsia" w:ascii="宋体" w:hAnsi="宋体" w:eastAsia="宋体" w:cs="宋体"/>
          <w:sz w:val="24"/>
          <w:szCs w:val="24"/>
        </w:rPr>
        <w:t>根据第17.4. 1项约定应扣减的质量保证金；</w:t>
      </w:r>
    </w:p>
    <w:p w14:paraId="2B784B22">
      <w:pPr>
        <w:pStyle w:val="4"/>
        <w:rPr>
          <w:rFonts w:hint="eastAsia" w:ascii="宋体" w:hAnsi="宋体" w:eastAsia="宋体" w:cs="宋体"/>
          <w:sz w:val="24"/>
          <w:szCs w:val="24"/>
        </w:rPr>
      </w:pPr>
      <w:bookmarkStart w:id="910" w:name="bookmark1361"/>
      <w:bookmarkEnd w:id="910"/>
      <w:r>
        <w:rPr>
          <w:rFonts w:hint="eastAsia" w:ascii="宋体" w:hAnsi="宋体" w:eastAsia="宋体" w:cs="宋体"/>
          <w:b w:val="0"/>
          <w:i w:val="0"/>
          <w:strike w:val="0"/>
          <w:color w:val="000000"/>
          <w:sz w:val="24"/>
          <w:szCs w:val="24"/>
          <w:u w:val="none"/>
        </w:rPr>
        <w:t>(6)</w:t>
      </w:r>
      <w:r>
        <w:rPr>
          <w:rFonts w:hint="eastAsia" w:ascii="宋体" w:hAnsi="宋体" w:eastAsia="宋体" w:cs="宋体"/>
          <w:sz w:val="24"/>
          <w:szCs w:val="24"/>
        </w:rPr>
        <w:t>根据合同应增加和扣减的其他金额。</w:t>
      </w:r>
    </w:p>
    <w:p w14:paraId="587C12EB">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17.3.3进度付款证书和支付时间</w:t>
      </w:r>
    </w:p>
    <w:p w14:paraId="16C3FD4F">
      <w:pPr>
        <w:pStyle w:val="4"/>
        <w:rPr>
          <w:rFonts w:hint="eastAsia" w:ascii="宋体" w:hAnsi="宋体" w:eastAsia="宋体" w:cs="宋体"/>
          <w:sz w:val="24"/>
          <w:szCs w:val="24"/>
        </w:rPr>
      </w:pPr>
      <w:bookmarkStart w:id="911" w:name="bookmark1362"/>
      <w:bookmarkEnd w:id="911"/>
      <w:r>
        <w:rPr>
          <w:rFonts w:hint="eastAsia" w:ascii="宋体" w:hAnsi="宋体" w:eastAsia="宋体" w:cs="宋体"/>
          <w:b w:val="0"/>
          <w:i w:val="0"/>
          <w:strike w:val="0"/>
          <w:color w:val="000000"/>
          <w:sz w:val="24"/>
          <w:szCs w:val="24"/>
          <w:u w:val="none"/>
        </w:rPr>
        <w:t>(1)</w:t>
      </w:r>
      <w:r>
        <w:rPr>
          <w:rFonts w:hint="eastAsia" w:ascii="宋体" w:hAnsi="宋体" w:eastAsia="宋体" w:cs="宋体"/>
          <w:sz w:val="24"/>
          <w:szCs w:val="24"/>
        </w:rPr>
        <w:t>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0124247A">
      <w:pPr>
        <w:pStyle w:val="4"/>
        <w:rPr>
          <w:rFonts w:hint="eastAsia" w:ascii="宋体" w:hAnsi="宋体" w:eastAsia="宋体" w:cs="宋体"/>
          <w:sz w:val="24"/>
          <w:szCs w:val="24"/>
        </w:rPr>
      </w:pPr>
      <w:bookmarkStart w:id="912" w:name="bookmark1363"/>
      <w:bookmarkEnd w:id="912"/>
      <w:r>
        <w:rPr>
          <w:rFonts w:hint="eastAsia" w:ascii="宋体" w:hAnsi="宋体" w:eastAsia="宋体" w:cs="宋体"/>
          <w:b w:val="0"/>
          <w:i w:val="0"/>
          <w:strike w:val="0"/>
          <w:color w:val="000000"/>
          <w:sz w:val="24"/>
          <w:szCs w:val="24"/>
          <w:u w:val="none"/>
        </w:rPr>
        <w:t>(2)</w:t>
      </w:r>
      <w:r>
        <w:rPr>
          <w:rFonts w:hint="eastAsia" w:ascii="宋体" w:hAnsi="宋体" w:eastAsia="宋体" w:cs="宋体"/>
          <w:sz w:val="24"/>
          <w:szCs w:val="24"/>
        </w:rPr>
        <w:t>发包人应在监理人收到进度付款申请单后的28天内，将进度应付款支付给承包人。发包人不按期支付的，按专用合同条款的约定支付逾期付款违约金。</w:t>
      </w:r>
    </w:p>
    <w:p w14:paraId="71E77590">
      <w:pPr>
        <w:pStyle w:val="4"/>
        <w:rPr>
          <w:rFonts w:hint="eastAsia" w:ascii="宋体" w:hAnsi="宋体" w:eastAsia="宋体" w:cs="宋体"/>
          <w:sz w:val="24"/>
          <w:szCs w:val="24"/>
        </w:rPr>
      </w:pPr>
      <w:bookmarkStart w:id="913" w:name="bookmark1364"/>
      <w:bookmarkEnd w:id="913"/>
      <w:r>
        <w:rPr>
          <w:rFonts w:hint="eastAsia" w:ascii="宋体" w:hAnsi="宋体" w:eastAsia="宋体" w:cs="宋体"/>
          <w:b w:val="0"/>
          <w:i w:val="0"/>
          <w:strike w:val="0"/>
          <w:color w:val="000000"/>
          <w:sz w:val="24"/>
          <w:szCs w:val="24"/>
          <w:u w:val="none"/>
        </w:rPr>
        <w:t>(3)</w:t>
      </w:r>
      <w:r>
        <w:rPr>
          <w:rFonts w:hint="eastAsia" w:ascii="宋体" w:hAnsi="宋体" w:eastAsia="宋体" w:cs="宋体"/>
          <w:sz w:val="24"/>
          <w:szCs w:val="24"/>
        </w:rPr>
        <w:t>监理人出具进度付款证书，不应视为监理人已同意、批准或接受了承包人完成的该部分工作。</w:t>
      </w:r>
    </w:p>
    <w:p w14:paraId="14F9E00B">
      <w:pPr>
        <w:pStyle w:val="4"/>
        <w:rPr>
          <w:rFonts w:hint="eastAsia" w:ascii="宋体" w:hAnsi="宋体" w:eastAsia="宋体" w:cs="宋体"/>
          <w:sz w:val="24"/>
          <w:szCs w:val="24"/>
        </w:rPr>
      </w:pPr>
      <w:bookmarkStart w:id="914" w:name="bookmark1365"/>
      <w:bookmarkEnd w:id="914"/>
      <w:r>
        <w:rPr>
          <w:rFonts w:hint="eastAsia" w:ascii="宋体" w:hAnsi="宋体" w:eastAsia="宋体" w:cs="宋体"/>
          <w:b w:val="0"/>
          <w:i w:val="0"/>
          <w:strike w:val="0"/>
          <w:color w:val="000000"/>
          <w:sz w:val="24"/>
          <w:szCs w:val="24"/>
          <w:u w:val="none"/>
        </w:rPr>
        <w:t>(4)</w:t>
      </w:r>
      <w:r>
        <w:rPr>
          <w:rFonts w:hint="eastAsia" w:ascii="宋体" w:hAnsi="宋体" w:eastAsia="宋体" w:cs="宋体"/>
          <w:sz w:val="24"/>
          <w:szCs w:val="24"/>
        </w:rPr>
        <w:t>进度付款涉及政府投资资金的，按照国库集中支付等国家相关规定和专用合同条款的约定办理。</w:t>
      </w:r>
    </w:p>
    <w:p w14:paraId="4DC88245">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17.3.4工程进度付款的修正</w:t>
      </w:r>
    </w:p>
    <w:p w14:paraId="6A42729B">
      <w:pPr>
        <w:pStyle w:val="4"/>
        <w:rPr>
          <w:rFonts w:hint="eastAsia" w:ascii="宋体" w:hAnsi="宋体" w:eastAsia="宋体" w:cs="宋体"/>
          <w:sz w:val="24"/>
          <w:szCs w:val="24"/>
        </w:rPr>
      </w:pPr>
      <w:r>
        <w:rPr>
          <w:rFonts w:hint="eastAsia" w:ascii="宋体" w:hAnsi="宋体" w:eastAsia="宋体" w:cs="宋体"/>
          <w:sz w:val="24"/>
          <w:szCs w:val="24"/>
        </w:rPr>
        <w:t>在对以往历次已签发的进度付款证书进行汇总和复核中发现错、漏或重复的，监理人有权予以修正，承包人也有权提出修正申请。经双方复核同意的修正，应在本次进度付款中支付或扣除。</w:t>
      </w:r>
    </w:p>
    <w:p w14:paraId="56D163E9">
      <w:pPr>
        <w:pStyle w:val="6"/>
        <w:numPr>
          <w:ilvl w:val="0"/>
          <w:numId w:val="0"/>
        </w:numPr>
        <w:bidi w:val="0"/>
        <w:ind w:left="482" w:leftChars="0"/>
        <w:rPr>
          <w:rFonts w:hint="eastAsia" w:ascii="宋体" w:hAnsi="宋体" w:eastAsia="宋体" w:cs="宋体"/>
          <w:sz w:val="24"/>
          <w:szCs w:val="24"/>
        </w:rPr>
      </w:pPr>
      <w:bookmarkStart w:id="915" w:name="bookmark1368"/>
      <w:bookmarkStart w:id="916" w:name="_Toc14710386"/>
      <w:bookmarkStart w:id="917" w:name="bookmark1366"/>
      <w:bookmarkStart w:id="918" w:name="_Toc24179"/>
      <w:bookmarkStart w:id="919" w:name="bookmark1367"/>
      <w:r>
        <w:rPr>
          <w:rFonts w:hint="eastAsia" w:ascii="宋体" w:hAnsi="宋体" w:eastAsia="宋体" w:cs="宋体"/>
          <w:sz w:val="24"/>
          <w:szCs w:val="24"/>
        </w:rPr>
        <w:t>17.4质量保证金</w:t>
      </w:r>
      <w:bookmarkEnd w:id="915"/>
      <w:bookmarkEnd w:id="916"/>
      <w:bookmarkEnd w:id="917"/>
      <w:bookmarkEnd w:id="918"/>
      <w:bookmarkEnd w:id="919"/>
    </w:p>
    <w:p w14:paraId="7C6BFB59">
      <w:pPr>
        <w:pStyle w:val="4"/>
        <w:rPr>
          <w:rFonts w:hint="eastAsia" w:ascii="宋体" w:hAnsi="宋体" w:eastAsia="宋体" w:cs="宋体"/>
          <w:sz w:val="24"/>
          <w:szCs w:val="24"/>
        </w:rPr>
      </w:pPr>
      <w:r>
        <w:rPr>
          <w:rFonts w:hint="eastAsia" w:ascii="宋体" w:hAnsi="宋体" w:eastAsia="宋体" w:cs="宋体"/>
          <w:sz w:val="24"/>
          <w:szCs w:val="24"/>
        </w:rPr>
        <w:t>17.4.1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金额。</w:t>
      </w:r>
    </w:p>
    <w:p w14:paraId="7C58C3BF">
      <w:pPr>
        <w:pStyle w:val="4"/>
        <w:rPr>
          <w:rFonts w:hint="eastAsia" w:ascii="宋体" w:hAnsi="宋体" w:eastAsia="宋体" w:cs="宋体"/>
          <w:sz w:val="24"/>
          <w:szCs w:val="24"/>
        </w:rPr>
      </w:pPr>
      <w:r>
        <w:rPr>
          <w:rFonts w:hint="eastAsia" w:ascii="宋体" w:hAnsi="宋体" w:eastAsia="宋体" w:cs="宋体"/>
          <w:sz w:val="24"/>
          <w:szCs w:val="24"/>
        </w:rPr>
        <w:t>17.4.2竣工验收鉴定书签署后14天内，发包人将质量保证金总额的一半支付给承包人。在第1.1. 4. 5目约定的缺陷责任期(工程质量保修期)满时，发包人将在30个工作日内会同承包人按照合同约定的内容核实承包人是否完成保修责任。如无异议，发包人应当在核实后将剩余的质量保证金支付给承包人。</w:t>
      </w:r>
    </w:p>
    <w:p w14:paraId="20098B11">
      <w:pPr>
        <w:pStyle w:val="4"/>
        <w:rPr>
          <w:rFonts w:hint="eastAsia" w:ascii="宋体" w:hAnsi="宋体" w:eastAsia="宋体" w:cs="宋体"/>
          <w:sz w:val="24"/>
          <w:szCs w:val="24"/>
        </w:rPr>
      </w:pPr>
      <w:r>
        <w:rPr>
          <w:rFonts w:hint="eastAsia" w:ascii="宋体" w:hAnsi="宋体" w:eastAsia="宋体" w:cs="宋体"/>
          <w:sz w:val="24"/>
          <w:szCs w:val="24"/>
        </w:rPr>
        <w:t>17.4.3在第1.1. 4. 5目约定的缺陷责任期满时，承包人没有完成缺陷责任的，发包人有权扣留与未履行责任剩余工作所需金额相应的质量保证金余额，并有权根据第19. 3款约定要求延长缺陷责任期，直至完成剩余工作为止。</w:t>
      </w:r>
    </w:p>
    <w:p w14:paraId="2C80A102">
      <w:pPr>
        <w:pStyle w:val="6"/>
        <w:numPr>
          <w:ilvl w:val="0"/>
          <w:numId w:val="0"/>
        </w:numPr>
        <w:bidi w:val="0"/>
        <w:ind w:left="482" w:leftChars="0"/>
        <w:rPr>
          <w:rFonts w:hint="eastAsia" w:ascii="宋体" w:hAnsi="宋体" w:eastAsia="宋体" w:cs="宋体"/>
          <w:sz w:val="24"/>
          <w:szCs w:val="24"/>
        </w:rPr>
      </w:pPr>
      <w:bookmarkStart w:id="920" w:name="bookmark1370"/>
      <w:bookmarkStart w:id="921" w:name="_Toc14710387"/>
      <w:bookmarkStart w:id="922" w:name="_Toc27561"/>
      <w:bookmarkStart w:id="923" w:name="bookmark1369"/>
      <w:bookmarkStart w:id="924" w:name="bookmark1371"/>
      <w:r>
        <w:rPr>
          <w:rFonts w:hint="eastAsia" w:ascii="宋体" w:hAnsi="宋体" w:eastAsia="宋体" w:cs="宋体"/>
          <w:sz w:val="24"/>
          <w:szCs w:val="24"/>
        </w:rPr>
        <w:t>17.5竣工结算(完工结算)</w:t>
      </w:r>
      <w:bookmarkEnd w:id="920"/>
      <w:bookmarkEnd w:id="921"/>
      <w:bookmarkEnd w:id="922"/>
      <w:bookmarkEnd w:id="923"/>
      <w:bookmarkEnd w:id="924"/>
    </w:p>
    <w:p w14:paraId="28EF1247">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17.5.1竣工(完工)付款申请单</w:t>
      </w:r>
    </w:p>
    <w:p w14:paraId="4FD3EF6B">
      <w:pPr>
        <w:pStyle w:val="4"/>
        <w:rPr>
          <w:rFonts w:hint="eastAsia" w:ascii="宋体" w:hAnsi="宋体" w:eastAsia="宋体" w:cs="宋体"/>
          <w:sz w:val="24"/>
          <w:szCs w:val="24"/>
        </w:rPr>
      </w:pPr>
      <w:bookmarkStart w:id="925" w:name="bookmark1372"/>
      <w:bookmarkEnd w:id="925"/>
      <w:r>
        <w:rPr>
          <w:rFonts w:hint="eastAsia" w:ascii="宋体" w:hAnsi="宋体" w:eastAsia="宋体" w:cs="宋体"/>
          <w:b w:val="0"/>
          <w:i w:val="0"/>
          <w:strike w:val="0"/>
          <w:color w:val="000000"/>
          <w:sz w:val="24"/>
          <w:szCs w:val="24"/>
          <w:u w:val="none"/>
        </w:rPr>
        <w:t>(1)</w:t>
      </w:r>
      <w:r>
        <w:rPr>
          <w:rFonts w:hint="eastAsia" w:ascii="宋体" w:hAnsi="宋体" w:eastAsia="宋体" w:cs="宋体"/>
          <w:sz w:val="24"/>
          <w:szCs w:val="24"/>
        </w:rPr>
        <w:t>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012A407B">
      <w:pPr>
        <w:pStyle w:val="4"/>
        <w:rPr>
          <w:rFonts w:hint="eastAsia" w:ascii="宋体" w:hAnsi="宋体" w:eastAsia="宋体" w:cs="宋体"/>
          <w:sz w:val="24"/>
          <w:szCs w:val="24"/>
        </w:rPr>
      </w:pPr>
      <w:bookmarkStart w:id="926" w:name="bookmark1373"/>
      <w:bookmarkEnd w:id="926"/>
      <w:r>
        <w:rPr>
          <w:rFonts w:hint="eastAsia" w:ascii="宋体" w:hAnsi="宋体" w:eastAsia="宋体" w:cs="宋体"/>
          <w:b w:val="0"/>
          <w:i w:val="0"/>
          <w:strike w:val="0"/>
          <w:color w:val="000000"/>
          <w:sz w:val="24"/>
          <w:szCs w:val="24"/>
          <w:u w:val="none"/>
        </w:rPr>
        <w:t>(2)</w:t>
      </w:r>
      <w:r>
        <w:rPr>
          <w:rFonts w:hint="eastAsia" w:ascii="宋体" w:hAnsi="宋体" w:eastAsia="宋体" w:cs="宋体"/>
          <w:sz w:val="24"/>
          <w:szCs w:val="24"/>
        </w:rPr>
        <w:t>监理人对完工付款申请单有异议的，有权要求承包人进行修正和提供补充资料。经监理人和承包人协商后，由承包人向监理人提交修正后的完工付款申请单。</w:t>
      </w:r>
    </w:p>
    <w:p w14:paraId="37081678">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17.5.2竣工(完工)付款证书及支付时间</w:t>
      </w:r>
    </w:p>
    <w:p w14:paraId="25FE97F3">
      <w:pPr>
        <w:pStyle w:val="4"/>
        <w:rPr>
          <w:rFonts w:hint="eastAsia" w:ascii="宋体" w:hAnsi="宋体" w:eastAsia="宋体" w:cs="宋体"/>
          <w:sz w:val="24"/>
          <w:szCs w:val="24"/>
        </w:rPr>
      </w:pPr>
      <w:bookmarkStart w:id="927" w:name="bookmark1374"/>
      <w:bookmarkEnd w:id="927"/>
      <w:r>
        <w:rPr>
          <w:rFonts w:hint="eastAsia" w:ascii="宋体" w:hAnsi="宋体" w:eastAsia="宋体" w:cs="宋体"/>
          <w:b w:val="0"/>
          <w:i w:val="0"/>
          <w:strike w:val="0"/>
          <w:color w:val="000000"/>
          <w:sz w:val="24"/>
          <w:szCs w:val="24"/>
          <w:u w:val="none"/>
        </w:rPr>
        <w:t>(1)</w:t>
      </w:r>
      <w:r>
        <w:rPr>
          <w:rFonts w:hint="eastAsia" w:ascii="宋体" w:hAnsi="宋体" w:eastAsia="宋体" w:cs="宋体"/>
          <w:sz w:val="24"/>
          <w:szCs w:val="24"/>
        </w:rPr>
        <w:t>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 又未提出具体意见的，视为承包人提交的完工付款申请单已经监理人核查同意。发包人未 在约定时间内审核又未提出具体意见的，监理人提出发包人到期应支付给承包人的价款视 为已经发包人同意。</w:t>
      </w:r>
    </w:p>
    <w:p w14:paraId="7A065D27">
      <w:pPr>
        <w:pStyle w:val="4"/>
        <w:rPr>
          <w:rFonts w:hint="eastAsia" w:ascii="宋体" w:hAnsi="宋体" w:eastAsia="宋体" w:cs="宋体"/>
          <w:sz w:val="24"/>
          <w:szCs w:val="24"/>
        </w:rPr>
      </w:pPr>
      <w:bookmarkStart w:id="928" w:name="bookmark1375"/>
      <w:bookmarkEnd w:id="928"/>
      <w:r>
        <w:rPr>
          <w:rFonts w:hint="eastAsia" w:ascii="宋体" w:hAnsi="宋体" w:eastAsia="宋体" w:cs="宋体"/>
          <w:b w:val="0"/>
          <w:i w:val="0"/>
          <w:strike w:val="0"/>
          <w:color w:val="000000"/>
          <w:sz w:val="24"/>
          <w:szCs w:val="24"/>
          <w:u w:val="none"/>
        </w:rPr>
        <w:t>(2)</w:t>
      </w:r>
      <w:r>
        <w:rPr>
          <w:rFonts w:hint="eastAsia" w:ascii="宋体" w:hAnsi="宋体" w:eastAsia="宋体" w:cs="宋体"/>
          <w:sz w:val="24"/>
          <w:szCs w:val="24"/>
        </w:rPr>
        <w:t>发包人应在监理人出具完工付款证书后的14天内，将应支付款支付给承包人。发包人不按期支付的，按第17.3.3 (2)目的约定，将逾期付款违约金支付给承包人。</w:t>
      </w:r>
    </w:p>
    <w:p w14:paraId="5348D777">
      <w:pPr>
        <w:pStyle w:val="4"/>
        <w:rPr>
          <w:rFonts w:hint="eastAsia" w:ascii="宋体" w:hAnsi="宋体" w:eastAsia="宋体" w:cs="宋体"/>
          <w:sz w:val="24"/>
          <w:szCs w:val="24"/>
        </w:rPr>
      </w:pPr>
      <w:bookmarkStart w:id="929" w:name="bookmark1376"/>
      <w:bookmarkEnd w:id="929"/>
      <w:r>
        <w:rPr>
          <w:rFonts w:hint="eastAsia" w:ascii="宋体" w:hAnsi="宋体" w:eastAsia="宋体" w:cs="宋体"/>
          <w:b w:val="0"/>
          <w:i w:val="0"/>
          <w:strike w:val="0"/>
          <w:color w:val="000000"/>
          <w:sz w:val="24"/>
          <w:szCs w:val="24"/>
          <w:u w:val="none"/>
        </w:rPr>
        <w:t>(3)</w:t>
      </w:r>
      <w:r>
        <w:rPr>
          <w:rFonts w:hint="eastAsia" w:ascii="宋体" w:hAnsi="宋体" w:eastAsia="宋体" w:cs="宋体"/>
          <w:sz w:val="24"/>
          <w:szCs w:val="24"/>
        </w:rPr>
        <w:t>承包人对发包人签认的完工付款证书有异议的，发包人可出具完工付款申请单中承包人已同意部分的临时付款证书。存在争议的部分，按第24条的约定办理。</w:t>
      </w:r>
    </w:p>
    <w:p w14:paraId="7A4CFD4D">
      <w:pPr>
        <w:pStyle w:val="4"/>
        <w:rPr>
          <w:rFonts w:hint="eastAsia" w:ascii="宋体" w:hAnsi="宋体" w:eastAsia="宋体" w:cs="宋体"/>
          <w:sz w:val="24"/>
          <w:szCs w:val="24"/>
        </w:rPr>
      </w:pPr>
      <w:bookmarkStart w:id="930" w:name="bookmark1377"/>
      <w:bookmarkEnd w:id="930"/>
      <w:r>
        <w:rPr>
          <w:rFonts w:hint="eastAsia" w:ascii="宋体" w:hAnsi="宋体" w:eastAsia="宋体" w:cs="宋体"/>
          <w:b w:val="0"/>
          <w:i w:val="0"/>
          <w:strike w:val="0"/>
          <w:color w:val="000000"/>
          <w:sz w:val="24"/>
          <w:szCs w:val="24"/>
          <w:u w:val="none"/>
        </w:rPr>
        <w:t>(4)</w:t>
      </w:r>
      <w:r>
        <w:rPr>
          <w:rFonts w:hint="eastAsia" w:ascii="宋体" w:hAnsi="宋体" w:eastAsia="宋体" w:cs="宋体"/>
          <w:sz w:val="24"/>
          <w:szCs w:val="24"/>
        </w:rPr>
        <w:t>完工付款涉及政府投资资金的，按第17.3.3 (4)目的约定办理。</w:t>
      </w:r>
    </w:p>
    <w:p w14:paraId="55CE199A">
      <w:pPr>
        <w:pStyle w:val="6"/>
        <w:numPr>
          <w:ilvl w:val="0"/>
          <w:numId w:val="0"/>
        </w:numPr>
        <w:bidi w:val="0"/>
        <w:ind w:left="482" w:leftChars="0"/>
        <w:rPr>
          <w:rFonts w:hint="eastAsia" w:ascii="宋体" w:hAnsi="宋体" w:eastAsia="宋体" w:cs="宋体"/>
          <w:sz w:val="24"/>
          <w:szCs w:val="24"/>
        </w:rPr>
      </w:pPr>
      <w:bookmarkStart w:id="931" w:name="bookmark1380"/>
      <w:bookmarkStart w:id="932" w:name="bookmark1378"/>
      <w:bookmarkStart w:id="933" w:name="_Toc14710388"/>
      <w:bookmarkStart w:id="934" w:name="bookmark1379"/>
      <w:bookmarkStart w:id="935" w:name="_Toc20149"/>
      <w:r>
        <w:rPr>
          <w:rFonts w:hint="eastAsia" w:ascii="宋体" w:hAnsi="宋体" w:eastAsia="宋体" w:cs="宋体"/>
          <w:sz w:val="24"/>
          <w:szCs w:val="24"/>
        </w:rPr>
        <w:t>17.6最终结清</w:t>
      </w:r>
      <w:bookmarkEnd w:id="931"/>
      <w:bookmarkEnd w:id="932"/>
      <w:bookmarkEnd w:id="933"/>
      <w:bookmarkEnd w:id="934"/>
      <w:bookmarkEnd w:id="935"/>
    </w:p>
    <w:p w14:paraId="29B083B7">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17.6.1最终结清申请单</w:t>
      </w:r>
    </w:p>
    <w:p w14:paraId="205FFED9">
      <w:pPr>
        <w:pStyle w:val="4"/>
        <w:rPr>
          <w:rFonts w:hint="eastAsia" w:ascii="宋体" w:hAnsi="宋体" w:eastAsia="宋体" w:cs="宋体"/>
          <w:sz w:val="24"/>
          <w:szCs w:val="24"/>
        </w:rPr>
      </w:pPr>
      <w:bookmarkStart w:id="936" w:name="bookmark1381"/>
      <w:bookmarkEnd w:id="936"/>
      <w:r>
        <w:rPr>
          <w:rFonts w:hint="eastAsia" w:ascii="宋体" w:hAnsi="宋体" w:eastAsia="宋体" w:cs="宋体"/>
          <w:b w:val="0"/>
          <w:i w:val="0"/>
          <w:strike w:val="0"/>
          <w:color w:val="000000"/>
          <w:sz w:val="24"/>
          <w:szCs w:val="24"/>
          <w:u w:val="none"/>
        </w:rPr>
        <w:t>(1)</w:t>
      </w:r>
      <w:r>
        <w:rPr>
          <w:rFonts w:hint="eastAsia" w:ascii="宋体" w:hAnsi="宋体" w:eastAsia="宋体" w:cs="宋体"/>
          <w:sz w:val="24"/>
          <w:szCs w:val="24"/>
        </w:rPr>
        <w:t>工程质量保修责任终止证书签发后，承包人应按监理人批准的格式提交最终结清申请单。提交最终结清申请单的份数在专用合同条款中约定。</w:t>
      </w:r>
    </w:p>
    <w:p w14:paraId="0F3CFB71">
      <w:pPr>
        <w:pStyle w:val="4"/>
        <w:rPr>
          <w:rFonts w:hint="eastAsia" w:ascii="宋体" w:hAnsi="宋体" w:eastAsia="宋体" w:cs="宋体"/>
          <w:sz w:val="24"/>
          <w:szCs w:val="24"/>
        </w:rPr>
      </w:pPr>
      <w:bookmarkStart w:id="937" w:name="bookmark1382"/>
      <w:bookmarkEnd w:id="937"/>
      <w:r>
        <w:rPr>
          <w:rFonts w:hint="eastAsia" w:ascii="宋体" w:hAnsi="宋体" w:eastAsia="宋体" w:cs="宋体"/>
          <w:b w:val="0"/>
          <w:i w:val="0"/>
          <w:strike w:val="0"/>
          <w:color w:val="000000"/>
          <w:sz w:val="24"/>
          <w:szCs w:val="24"/>
          <w:u w:val="none"/>
        </w:rPr>
        <w:t>(2)</w:t>
      </w:r>
      <w:r>
        <w:rPr>
          <w:rFonts w:hint="eastAsia" w:ascii="宋体" w:hAnsi="宋体" w:eastAsia="宋体" w:cs="宋体"/>
          <w:sz w:val="24"/>
          <w:szCs w:val="24"/>
        </w:rPr>
        <w:t>发包人对最终结清申请单内容有异议的，有权要求承包人进行修正和提供补充资料，由承包人向监理人提交修正后的最终结清申请单。</w:t>
      </w:r>
    </w:p>
    <w:p w14:paraId="526D0996">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17.6.2最终结清证书和支付时间</w:t>
      </w:r>
    </w:p>
    <w:p w14:paraId="30F33855">
      <w:pPr>
        <w:pStyle w:val="4"/>
        <w:rPr>
          <w:rFonts w:hint="eastAsia" w:ascii="宋体" w:hAnsi="宋体" w:eastAsia="宋体" w:cs="宋体"/>
          <w:sz w:val="24"/>
          <w:szCs w:val="24"/>
        </w:rPr>
      </w:pPr>
      <w:bookmarkStart w:id="938" w:name="bookmark1383"/>
      <w:bookmarkEnd w:id="938"/>
      <w:r>
        <w:rPr>
          <w:rFonts w:hint="eastAsia" w:ascii="宋体" w:hAnsi="宋体" w:eastAsia="宋体" w:cs="宋体"/>
          <w:b w:val="0"/>
          <w:i w:val="0"/>
          <w:strike w:val="0"/>
          <w:color w:val="000000"/>
          <w:sz w:val="24"/>
          <w:szCs w:val="24"/>
          <w:u w:val="none"/>
        </w:rPr>
        <w:t>(1)</w:t>
      </w:r>
      <w:r>
        <w:rPr>
          <w:rFonts w:hint="eastAsia" w:ascii="宋体" w:hAnsi="宋体" w:eastAsia="宋体" w:cs="宋体"/>
          <w:sz w:val="24"/>
          <w:szCs w:val="24"/>
        </w:rPr>
        <w:t>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7D4D79B6">
      <w:pPr>
        <w:pStyle w:val="4"/>
        <w:rPr>
          <w:rFonts w:hint="eastAsia" w:ascii="宋体" w:hAnsi="宋体" w:eastAsia="宋体" w:cs="宋体"/>
          <w:sz w:val="24"/>
          <w:szCs w:val="24"/>
        </w:rPr>
      </w:pPr>
      <w:bookmarkStart w:id="939" w:name="bookmark1384"/>
      <w:bookmarkEnd w:id="939"/>
      <w:r>
        <w:rPr>
          <w:rFonts w:hint="eastAsia" w:ascii="宋体" w:hAnsi="宋体" w:eastAsia="宋体" w:cs="宋体"/>
          <w:b w:val="0"/>
          <w:i w:val="0"/>
          <w:strike w:val="0"/>
          <w:color w:val="000000"/>
          <w:sz w:val="24"/>
          <w:szCs w:val="24"/>
          <w:u w:val="none"/>
        </w:rPr>
        <w:t>(2)</w:t>
      </w:r>
      <w:r>
        <w:rPr>
          <w:rFonts w:hint="eastAsia" w:ascii="宋体" w:hAnsi="宋体" w:eastAsia="宋体" w:cs="宋体"/>
          <w:sz w:val="24"/>
          <w:szCs w:val="24"/>
        </w:rPr>
        <w:t>发包人应在监理人出具最终结清证书后的14天内，将应支付款支付给承包人。发包人不按期支付的，按第17.3.3 (2)目的约定，将逾期付款违约金支付给承包人。</w:t>
      </w:r>
    </w:p>
    <w:p w14:paraId="38CBA633">
      <w:pPr>
        <w:pStyle w:val="4"/>
        <w:rPr>
          <w:rFonts w:hint="eastAsia" w:ascii="宋体" w:hAnsi="宋体" w:eastAsia="宋体" w:cs="宋体"/>
          <w:sz w:val="24"/>
          <w:szCs w:val="24"/>
        </w:rPr>
      </w:pPr>
      <w:bookmarkStart w:id="940" w:name="bookmark1385"/>
      <w:bookmarkEnd w:id="940"/>
      <w:r>
        <w:rPr>
          <w:rFonts w:hint="eastAsia" w:ascii="宋体" w:hAnsi="宋体" w:eastAsia="宋体" w:cs="宋体"/>
          <w:b w:val="0"/>
          <w:i w:val="0"/>
          <w:strike w:val="0"/>
          <w:color w:val="000000"/>
          <w:sz w:val="24"/>
          <w:szCs w:val="24"/>
          <w:u w:val="none"/>
        </w:rPr>
        <w:t>(3)</w:t>
      </w:r>
      <w:r>
        <w:rPr>
          <w:rFonts w:hint="eastAsia" w:ascii="宋体" w:hAnsi="宋体" w:eastAsia="宋体" w:cs="宋体"/>
          <w:sz w:val="24"/>
          <w:szCs w:val="24"/>
        </w:rPr>
        <w:t>承包人对发包人签认的最终结清证书有异议的，按第24条的约定办理。</w:t>
      </w:r>
    </w:p>
    <w:p w14:paraId="370F31CB">
      <w:pPr>
        <w:pStyle w:val="4"/>
        <w:rPr>
          <w:rFonts w:hint="eastAsia" w:ascii="宋体" w:hAnsi="宋体" w:eastAsia="宋体" w:cs="宋体"/>
          <w:sz w:val="24"/>
          <w:szCs w:val="24"/>
        </w:rPr>
      </w:pPr>
      <w:bookmarkStart w:id="941" w:name="bookmark1386"/>
      <w:bookmarkEnd w:id="941"/>
      <w:r>
        <w:rPr>
          <w:rFonts w:hint="eastAsia" w:ascii="宋体" w:hAnsi="宋体" w:eastAsia="宋体" w:cs="宋体"/>
          <w:b w:val="0"/>
          <w:i w:val="0"/>
          <w:strike w:val="0"/>
          <w:color w:val="000000"/>
          <w:sz w:val="24"/>
          <w:szCs w:val="24"/>
          <w:u w:val="none"/>
        </w:rPr>
        <w:t>(4)</w:t>
      </w:r>
      <w:r>
        <w:rPr>
          <w:rFonts w:hint="eastAsia" w:ascii="宋体" w:hAnsi="宋体" w:eastAsia="宋体" w:cs="宋体"/>
          <w:sz w:val="24"/>
          <w:szCs w:val="24"/>
        </w:rPr>
        <w:t>最终结清付款涉及政府投资资金的，按第17.3.3 (4)目的约定办理。</w:t>
      </w:r>
    </w:p>
    <w:p w14:paraId="60E4EE70">
      <w:pPr>
        <w:pStyle w:val="6"/>
        <w:numPr>
          <w:ilvl w:val="0"/>
          <w:numId w:val="0"/>
        </w:numPr>
        <w:bidi w:val="0"/>
        <w:ind w:left="482" w:leftChars="0"/>
        <w:rPr>
          <w:rFonts w:hint="eastAsia" w:ascii="宋体" w:hAnsi="宋体" w:eastAsia="宋体" w:cs="宋体"/>
          <w:sz w:val="24"/>
          <w:szCs w:val="24"/>
        </w:rPr>
      </w:pPr>
      <w:bookmarkStart w:id="942" w:name="bookmark1388"/>
      <w:bookmarkStart w:id="943" w:name="_Toc14710389"/>
      <w:bookmarkStart w:id="944" w:name="_Toc4347"/>
      <w:bookmarkStart w:id="945" w:name="bookmark1387"/>
      <w:bookmarkStart w:id="946" w:name="bookmark1389"/>
      <w:r>
        <w:rPr>
          <w:rFonts w:hint="eastAsia" w:ascii="宋体" w:hAnsi="宋体" w:eastAsia="宋体" w:cs="宋体"/>
          <w:sz w:val="24"/>
          <w:szCs w:val="24"/>
        </w:rPr>
        <w:t>17.7竣工财务决算</w:t>
      </w:r>
      <w:bookmarkEnd w:id="942"/>
      <w:bookmarkEnd w:id="943"/>
      <w:bookmarkEnd w:id="944"/>
      <w:bookmarkEnd w:id="945"/>
      <w:bookmarkEnd w:id="946"/>
    </w:p>
    <w:p w14:paraId="5BBD097F">
      <w:pPr>
        <w:pStyle w:val="4"/>
        <w:rPr>
          <w:rFonts w:hint="eastAsia" w:ascii="宋体" w:hAnsi="宋体" w:eastAsia="宋体" w:cs="宋体"/>
          <w:sz w:val="24"/>
          <w:szCs w:val="24"/>
        </w:rPr>
      </w:pPr>
      <w:r>
        <w:rPr>
          <w:rFonts w:hint="eastAsia" w:ascii="宋体" w:hAnsi="宋体" w:eastAsia="宋体" w:cs="宋体"/>
          <w:sz w:val="24"/>
          <w:szCs w:val="24"/>
        </w:rPr>
        <w:t>发包人负责编制本工程项目竣工财务决算，承包人应按专用合同条款的约定提供竣工财务决算编制所需的相关材料。</w:t>
      </w:r>
    </w:p>
    <w:p w14:paraId="2738A2DF">
      <w:pPr>
        <w:pStyle w:val="6"/>
        <w:numPr>
          <w:ilvl w:val="0"/>
          <w:numId w:val="0"/>
        </w:numPr>
        <w:bidi w:val="0"/>
        <w:ind w:left="482" w:leftChars="0"/>
        <w:rPr>
          <w:rFonts w:hint="eastAsia" w:ascii="宋体" w:hAnsi="宋体" w:eastAsia="宋体" w:cs="宋体"/>
          <w:sz w:val="24"/>
          <w:szCs w:val="24"/>
        </w:rPr>
      </w:pPr>
      <w:bookmarkStart w:id="947" w:name="_Toc9623"/>
      <w:bookmarkStart w:id="948" w:name="bookmark1391"/>
      <w:bookmarkStart w:id="949" w:name="bookmark1390"/>
      <w:bookmarkStart w:id="950" w:name="_Toc14710390"/>
      <w:bookmarkStart w:id="951" w:name="bookmark1392"/>
      <w:r>
        <w:rPr>
          <w:rFonts w:hint="eastAsia" w:ascii="宋体" w:hAnsi="宋体" w:eastAsia="宋体" w:cs="宋体"/>
          <w:sz w:val="24"/>
          <w:szCs w:val="24"/>
        </w:rPr>
        <w:t>17.8竣工审计</w:t>
      </w:r>
      <w:bookmarkEnd w:id="947"/>
      <w:bookmarkEnd w:id="948"/>
      <w:bookmarkEnd w:id="949"/>
      <w:bookmarkEnd w:id="950"/>
      <w:bookmarkEnd w:id="951"/>
    </w:p>
    <w:p w14:paraId="474DBF2A">
      <w:pPr>
        <w:pStyle w:val="4"/>
        <w:rPr>
          <w:rFonts w:hint="eastAsia" w:ascii="宋体" w:hAnsi="宋体" w:eastAsia="宋体" w:cs="宋体"/>
          <w:sz w:val="24"/>
          <w:szCs w:val="24"/>
        </w:rPr>
      </w:pPr>
      <w:r>
        <w:rPr>
          <w:rFonts w:hint="eastAsia" w:ascii="宋体" w:hAnsi="宋体" w:eastAsia="宋体" w:cs="宋体"/>
          <w:sz w:val="24"/>
          <w:szCs w:val="24"/>
        </w:rPr>
        <w:t>发包人负责完成本工程竣工审计手续，承包人应完成相关配合工作。</w:t>
      </w:r>
    </w:p>
    <w:p w14:paraId="5AB10260">
      <w:pPr>
        <w:pStyle w:val="6"/>
        <w:numPr>
          <w:ilvl w:val="0"/>
          <w:numId w:val="0"/>
        </w:numPr>
        <w:bidi w:val="0"/>
        <w:ind w:left="482" w:leftChars="0"/>
        <w:rPr>
          <w:rFonts w:hint="eastAsia" w:ascii="宋体" w:hAnsi="宋体" w:eastAsia="宋体" w:cs="宋体"/>
          <w:sz w:val="24"/>
          <w:szCs w:val="24"/>
        </w:rPr>
      </w:pPr>
      <w:bookmarkStart w:id="952" w:name="_Toc15468"/>
      <w:bookmarkStart w:id="953" w:name="bookmark1395"/>
      <w:bookmarkStart w:id="954" w:name="bookmark1393"/>
      <w:bookmarkStart w:id="955" w:name="bookmark1394"/>
      <w:bookmarkStart w:id="956" w:name="_Toc14710391"/>
      <w:r>
        <w:rPr>
          <w:rFonts w:hint="eastAsia" w:ascii="宋体" w:hAnsi="宋体" w:eastAsia="宋体" w:cs="宋体"/>
          <w:sz w:val="24"/>
          <w:szCs w:val="24"/>
        </w:rPr>
        <w:t>18.竣工验收（验收）</w:t>
      </w:r>
      <w:bookmarkEnd w:id="952"/>
      <w:bookmarkEnd w:id="953"/>
      <w:bookmarkEnd w:id="954"/>
      <w:bookmarkEnd w:id="955"/>
      <w:bookmarkEnd w:id="956"/>
    </w:p>
    <w:p w14:paraId="4DD17B5A">
      <w:pPr>
        <w:pStyle w:val="6"/>
        <w:numPr>
          <w:ilvl w:val="0"/>
          <w:numId w:val="0"/>
        </w:numPr>
        <w:bidi w:val="0"/>
        <w:ind w:left="482" w:leftChars="0"/>
        <w:rPr>
          <w:rFonts w:hint="eastAsia" w:ascii="宋体" w:hAnsi="宋体" w:eastAsia="宋体" w:cs="宋体"/>
          <w:sz w:val="24"/>
          <w:szCs w:val="24"/>
        </w:rPr>
      </w:pPr>
      <w:bookmarkStart w:id="957" w:name="_Toc14710392"/>
      <w:bookmarkStart w:id="958" w:name="_Toc1314"/>
      <w:bookmarkStart w:id="959" w:name="bookmark1397"/>
      <w:bookmarkStart w:id="960" w:name="bookmark1396"/>
      <w:bookmarkStart w:id="961" w:name="bookmark1398"/>
      <w:r>
        <w:rPr>
          <w:rFonts w:hint="eastAsia" w:ascii="宋体" w:hAnsi="宋体" w:eastAsia="宋体" w:cs="宋体"/>
          <w:sz w:val="24"/>
          <w:szCs w:val="24"/>
        </w:rPr>
        <w:t>18.1验收工作分类</w:t>
      </w:r>
      <w:bookmarkEnd w:id="957"/>
      <w:bookmarkEnd w:id="958"/>
      <w:bookmarkEnd w:id="959"/>
      <w:bookmarkEnd w:id="960"/>
      <w:bookmarkEnd w:id="961"/>
    </w:p>
    <w:p w14:paraId="18B076F8">
      <w:pPr>
        <w:pStyle w:val="4"/>
        <w:rPr>
          <w:rFonts w:hint="eastAsia" w:ascii="宋体" w:hAnsi="宋体" w:eastAsia="宋体" w:cs="宋体"/>
          <w:sz w:val="24"/>
          <w:szCs w:val="24"/>
        </w:rPr>
      </w:pPr>
      <w:r>
        <w:rPr>
          <w:rFonts w:hint="eastAsia" w:ascii="宋体" w:hAnsi="宋体" w:eastAsia="宋体" w:cs="宋体"/>
          <w:sz w:val="24"/>
          <w:szCs w:val="24"/>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7BE22690">
      <w:pPr>
        <w:pStyle w:val="6"/>
        <w:numPr>
          <w:ilvl w:val="0"/>
          <w:numId w:val="0"/>
        </w:numPr>
        <w:bidi w:val="0"/>
        <w:ind w:left="482" w:leftChars="0"/>
        <w:rPr>
          <w:rFonts w:hint="eastAsia" w:ascii="宋体" w:hAnsi="宋体" w:eastAsia="宋体" w:cs="宋体"/>
          <w:sz w:val="24"/>
          <w:szCs w:val="24"/>
        </w:rPr>
      </w:pPr>
      <w:bookmarkStart w:id="962" w:name="_Toc14710393"/>
      <w:bookmarkStart w:id="963" w:name="bookmark1401"/>
      <w:bookmarkStart w:id="964" w:name="_Toc8655"/>
      <w:bookmarkStart w:id="965" w:name="bookmark1400"/>
      <w:bookmarkStart w:id="966" w:name="bookmark1399"/>
      <w:r>
        <w:rPr>
          <w:rFonts w:hint="eastAsia" w:ascii="宋体" w:hAnsi="宋体" w:eastAsia="宋体" w:cs="宋体"/>
          <w:sz w:val="24"/>
          <w:szCs w:val="24"/>
        </w:rPr>
        <w:t>18.2分部工程验收</w:t>
      </w:r>
      <w:bookmarkEnd w:id="962"/>
      <w:bookmarkEnd w:id="963"/>
      <w:bookmarkEnd w:id="964"/>
      <w:bookmarkEnd w:id="965"/>
      <w:bookmarkEnd w:id="966"/>
    </w:p>
    <w:p w14:paraId="715443D0">
      <w:pPr>
        <w:pStyle w:val="4"/>
        <w:rPr>
          <w:rFonts w:hint="eastAsia" w:ascii="宋体" w:hAnsi="宋体" w:eastAsia="宋体" w:cs="宋体"/>
          <w:sz w:val="24"/>
          <w:szCs w:val="24"/>
        </w:rPr>
      </w:pPr>
      <w:r>
        <w:rPr>
          <w:rFonts w:hint="eastAsia" w:ascii="宋体" w:hAnsi="宋体" w:eastAsia="宋体" w:cs="宋体"/>
          <w:sz w:val="24"/>
          <w:szCs w:val="24"/>
        </w:rPr>
        <w:t>18.2.1分部工程具备验收条件时，承包人应向发包人提交验收申请报告，发包人应在收到验收申请报告之日起10个工作日内决定是否同意进行验收。</w:t>
      </w:r>
    </w:p>
    <w:p w14:paraId="5DB08953">
      <w:pPr>
        <w:pStyle w:val="4"/>
        <w:rPr>
          <w:rFonts w:hint="eastAsia" w:ascii="宋体" w:hAnsi="宋体" w:eastAsia="宋体" w:cs="宋体"/>
          <w:sz w:val="24"/>
          <w:szCs w:val="24"/>
        </w:rPr>
      </w:pPr>
      <w:r>
        <w:rPr>
          <w:rFonts w:hint="eastAsia" w:ascii="宋体" w:hAnsi="宋体" w:eastAsia="宋体" w:cs="宋体"/>
          <w:sz w:val="24"/>
          <w:szCs w:val="24"/>
        </w:rPr>
        <w:t>18.2.2除专用合同条款另有约定外，监理人主持分部工程验收，承包人应派符合条件的代表参加验收工作组。</w:t>
      </w:r>
    </w:p>
    <w:p w14:paraId="4A5117D1">
      <w:pPr>
        <w:pStyle w:val="4"/>
        <w:rPr>
          <w:rFonts w:hint="eastAsia" w:ascii="宋体" w:hAnsi="宋体" w:eastAsia="宋体" w:cs="宋体"/>
          <w:sz w:val="24"/>
          <w:szCs w:val="24"/>
        </w:rPr>
      </w:pPr>
      <w:r>
        <w:rPr>
          <w:rFonts w:hint="eastAsia" w:ascii="宋体" w:hAnsi="宋体" w:eastAsia="宋体" w:cs="宋体"/>
          <w:sz w:val="24"/>
          <w:szCs w:val="24"/>
        </w:rPr>
        <w:t>18.2.3分部工程验收通过后，发包人向承包人发送分部工程验收鉴定书。承包人应及时完成分部工程验收鉴定书载明应由承包人处理的遗留问题。</w:t>
      </w:r>
    </w:p>
    <w:p w14:paraId="632B295C">
      <w:pPr>
        <w:pStyle w:val="6"/>
        <w:numPr>
          <w:ilvl w:val="0"/>
          <w:numId w:val="0"/>
        </w:numPr>
        <w:bidi w:val="0"/>
        <w:ind w:left="482" w:leftChars="0"/>
        <w:rPr>
          <w:rFonts w:hint="eastAsia" w:ascii="宋体" w:hAnsi="宋体" w:eastAsia="宋体" w:cs="宋体"/>
          <w:sz w:val="24"/>
          <w:szCs w:val="24"/>
        </w:rPr>
      </w:pPr>
      <w:bookmarkStart w:id="967" w:name="_Toc14710394"/>
      <w:bookmarkStart w:id="968" w:name="bookmark1403"/>
      <w:bookmarkStart w:id="969" w:name="_Toc19460"/>
      <w:bookmarkStart w:id="970" w:name="bookmark1404"/>
      <w:bookmarkStart w:id="971" w:name="bookmark1402"/>
      <w:r>
        <w:rPr>
          <w:rFonts w:hint="eastAsia" w:ascii="宋体" w:hAnsi="宋体" w:eastAsia="宋体" w:cs="宋体"/>
          <w:sz w:val="24"/>
          <w:szCs w:val="24"/>
        </w:rPr>
        <w:t>18.3单位工程验收</w:t>
      </w:r>
      <w:bookmarkEnd w:id="967"/>
      <w:bookmarkEnd w:id="968"/>
      <w:bookmarkEnd w:id="969"/>
      <w:bookmarkEnd w:id="970"/>
      <w:bookmarkEnd w:id="971"/>
    </w:p>
    <w:p w14:paraId="08EB0F68">
      <w:pPr>
        <w:pStyle w:val="4"/>
        <w:rPr>
          <w:rFonts w:hint="eastAsia" w:ascii="宋体" w:hAnsi="宋体" w:eastAsia="宋体" w:cs="宋体"/>
          <w:sz w:val="24"/>
          <w:szCs w:val="24"/>
        </w:rPr>
      </w:pPr>
      <w:r>
        <w:rPr>
          <w:rFonts w:hint="eastAsia" w:ascii="宋体" w:hAnsi="宋体" w:eastAsia="宋体" w:cs="宋体"/>
          <w:sz w:val="24"/>
          <w:szCs w:val="24"/>
        </w:rPr>
        <w:t>18.3.1单位工程具备验收条件时，承包人应向发包人提交验收申请报告，发包人应在收到验收申请报告之日起10个工作日内决定是否同意进行验收。</w:t>
      </w:r>
    </w:p>
    <w:p w14:paraId="42A90D81">
      <w:pPr>
        <w:pStyle w:val="4"/>
        <w:rPr>
          <w:rFonts w:hint="eastAsia" w:ascii="宋体" w:hAnsi="宋体" w:eastAsia="宋体" w:cs="宋体"/>
          <w:sz w:val="24"/>
          <w:szCs w:val="24"/>
        </w:rPr>
      </w:pPr>
      <w:r>
        <w:rPr>
          <w:rFonts w:hint="eastAsia" w:ascii="宋体" w:hAnsi="宋体" w:eastAsia="宋体" w:cs="宋体"/>
          <w:sz w:val="24"/>
          <w:szCs w:val="24"/>
        </w:rPr>
        <w:t>18.3.2发包人主持单位工程验收，承包人应派符合条件的代表参加验收工作组。</w:t>
      </w:r>
    </w:p>
    <w:p w14:paraId="03AAFF47">
      <w:pPr>
        <w:pStyle w:val="4"/>
        <w:rPr>
          <w:rFonts w:hint="eastAsia" w:ascii="宋体" w:hAnsi="宋体" w:eastAsia="宋体" w:cs="宋体"/>
          <w:sz w:val="24"/>
          <w:szCs w:val="24"/>
        </w:rPr>
      </w:pPr>
      <w:r>
        <w:rPr>
          <w:rFonts w:hint="eastAsia" w:ascii="宋体" w:hAnsi="宋体" w:eastAsia="宋体" w:cs="宋体"/>
          <w:sz w:val="24"/>
          <w:szCs w:val="24"/>
        </w:rPr>
        <w:t>18.3.3单位工程验收通过后，发包人向承包人发送单位工程验收鉴定书。承包人应及时完成单位工程验收鉴定书载明应由承包人处理的遗留问题。</w:t>
      </w:r>
    </w:p>
    <w:p w14:paraId="6737577F">
      <w:pPr>
        <w:pStyle w:val="4"/>
        <w:rPr>
          <w:rFonts w:hint="eastAsia" w:ascii="宋体" w:hAnsi="宋体" w:eastAsia="宋体" w:cs="宋体"/>
          <w:sz w:val="24"/>
          <w:szCs w:val="24"/>
        </w:rPr>
      </w:pPr>
      <w:r>
        <w:rPr>
          <w:rFonts w:hint="eastAsia" w:ascii="宋体" w:hAnsi="宋体" w:eastAsia="宋体" w:cs="宋体"/>
          <w:sz w:val="24"/>
          <w:szCs w:val="24"/>
        </w:rPr>
        <w:t>18.3.4需提前投入使用的单位工程在专用合同条款中明确。</w:t>
      </w:r>
    </w:p>
    <w:p w14:paraId="70E95081">
      <w:pPr>
        <w:pStyle w:val="6"/>
        <w:numPr>
          <w:ilvl w:val="0"/>
          <w:numId w:val="0"/>
        </w:numPr>
        <w:bidi w:val="0"/>
        <w:ind w:left="482" w:leftChars="0"/>
        <w:rPr>
          <w:rFonts w:hint="eastAsia" w:ascii="宋体" w:hAnsi="宋体" w:eastAsia="宋体" w:cs="宋体"/>
          <w:sz w:val="24"/>
          <w:szCs w:val="24"/>
        </w:rPr>
      </w:pPr>
      <w:bookmarkStart w:id="972" w:name="bookmark1407"/>
      <w:bookmarkStart w:id="973" w:name="_Toc14710395"/>
      <w:bookmarkStart w:id="974" w:name="bookmark1406"/>
      <w:bookmarkStart w:id="975" w:name="bookmark1405"/>
      <w:bookmarkStart w:id="976" w:name="_Toc24227"/>
      <w:r>
        <w:rPr>
          <w:rFonts w:hint="eastAsia" w:ascii="宋体" w:hAnsi="宋体" w:eastAsia="宋体" w:cs="宋体"/>
          <w:sz w:val="24"/>
          <w:szCs w:val="24"/>
        </w:rPr>
        <w:t>18.4合同工程完工验收</w:t>
      </w:r>
      <w:bookmarkEnd w:id="972"/>
      <w:bookmarkEnd w:id="973"/>
      <w:bookmarkEnd w:id="974"/>
      <w:bookmarkEnd w:id="975"/>
      <w:bookmarkEnd w:id="976"/>
    </w:p>
    <w:p w14:paraId="6C7FA51A">
      <w:pPr>
        <w:pStyle w:val="4"/>
        <w:rPr>
          <w:rFonts w:hint="eastAsia" w:ascii="宋体" w:hAnsi="宋体" w:eastAsia="宋体" w:cs="宋体"/>
          <w:sz w:val="24"/>
          <w:szCs w:val="24"/>
        </w:rPr>
      </w:pPr>
      <w:r>
        <w:rPr>
          <w:rFonts w:hint="eastAsia" w:ascii="宋体" w:hAnsi="宋体" w:eastAsia="宋体" w:cs="宋体"/>
          <w:sz w:val="24"/>
          <w:szCs w:val="24"/>
        </w:rPr>
        <w:t>18.4.1合同工程具备验收条件时，承包人应向发包人提交验收申请报告，发包人应在收到验收申请报告之日起20个工作日内决定是否同意进行验收。</w:t>
      </w:r>
    </w:p>
    <w:p w14:paraId="3658BE6B">
      <w:pPr>
        <w:pStyle w:val="4"/>
        <w:rPr>
          <w:rFonts w:hint="eastAsia" w:ascii="宋体" w:hAnsi="宋体" w:eastAsia="宋体" w:cs="宋体"/>
          <w:sz w:val="24"/>
          <w:szCs w:val="24"/>
        </w:rPr>
      </w:pPr>
      <w:r>
        <w:rPr>
          <w:rFonts w:hint="eastAsia" w:ascii="宋体" w:hAnsi="宋体" w:eastAsia="宋体" w:cs="宋体"/>
          <w:sz w:val="24"/>
          <w:szCs w:val="24"/>
        </w:rPr>
        <w:t>18.4.2发包人主持合同工程完工验收，承包人应派项目经理参加验收工作组。</w:t>
      </w:r>
    </w:p>
    <w:p w14:paraId="37ACCE8F">
      <w:pPr>
        <w:pStyle w:val="4"/>
        <w:rPr>
          <w:rFonts w:hint="eastAsia" w:ascii="宋体" w:hAnsi="宋体" w:eastAsia="宋体" w:cs="宋体"/>
          <w:sz w:val="24"/>
          <w:szCs w:val="24"/>
        </w:rPr>
      </w:pPr>
      <w:r>
        <w:rPr>
          <w:rFonts w:hint="eastAsia" w:ascii="宋体" w:hAnsi="宋体" w:eastAsia="宋体" w:cs="宋体"/>
          <w:sz w:val="24"/>
          <w:szCs w:val="24"/>
        </w:rPr>
        <w:t>18.4.3合同工程完工验收通过后，发包人向承包人发送合同工程完工验收鉴定书。承包人应及时完成合同工程完工验收鉴定书载明应由承包人处理的遗留问题。</w:t>
      </w:r>
    </w:p>
    <w:p w14:paraId="4298128F">
      <w:pPr>
        <w:pStyle w:val="4"/>
        <w:rPr>
          <w:rFonts w:hint="eastAsia" w:ascii="宋体" w:hAnsi="宋体" w:eastAsia="宋体" w:cs="宋体"/>
          <w:sz w:val="24"/>
          <w:szCs w:val="24"/>
        </w:rPr>
      </w:pPr>
      <w:r>
        <w:rPr>
          <w:rFonts w:hint="eastAsia" w:ascii="宋体" w:hAnsi="宋体" w:eastAsia="宋体" w:cs="宋体"/>
          <w:sz w:val="24"/>
          <w:szCs w:val="24"/>
        </w:rPr>
        <w:t>18.4.4合同工程完工验收通过后，发包人与承包人应在30个工作日内组织专人负责工程交接，双方交接负责人应在交接记录上签字。承包人应按验收鉴定书约定的时间及时 移交工程及其档案资料。工程移交时，承包人应向发包人递交工程质量保修书。在承包人 递交了工程质量保修书、完成施工场地清理以及提交有关资料后，发包人应30个工作日内 向承包人颁发合同工程完工证书。</w:t>
      </w:r>
    </w:p>
    <w:p w14:paraId="216968E3">
      <w:pPr>
        <w:pStyle w:val="6"/>
        <w:numPr>
          <w:ilvl w:val="0"/>
          <w:numId w:val="0"/>
        </w:numPr>
        <w:bidi w:val="0"/>
        <w:ind w:left="482" w:leftChars="0"/>
        <w:rPr>
          <w:rFonts w:hint="eastAsia" w:ascii="宋体" w:hAnsi="宋体" w:eastAsia="宋体" w:cs="宋体"/>
          <w:sz w:val="24"/>
          <w:szCs w:val="24"/>
        </w:rPr>
      </w:pPr>
      <w:bookmarkStart w:id="977" w:name="_Toc14710396"/>
      <w:bookmarkStart w:id="978" w:name="_Toc32064"/>
      <w:bookmarkStart w:id="979" w:name="bookmark1410"/>
      <w:bookmarkStart w:id="980" w:name="bookmark1409"/>
      <w:bookmarkStart w:id="981" w:name="bookmark1408"/>
      <w:r>
        <w:rPr>
          <w:rFonts w:hint="eastAsia" w:ascii="宋体" w:hAnsi="宋体" w:eastAsia="宋体" w:cs="宋体"/>
          <w:sz w:val="24"/>
          <w:szCs w:val="24"/>
        </w:rPr>
        <w:t>18.5阶段验收</w:t>
      </w:r>
      <w:bookmarkEnd w:id="977"/>
      <w:bookmarkEnd w:id="978"/>
      <w:bookmarkEnd w:id="979"/>
      <w:bookmarkEnd w:id="980"/>
      <w:bookmarkEnd w:id="981"/>
    </w:p>
    <w:p w14:paraId="1A57FF1D">
      <w:pPr>
        <w:pStyle w:val="4"/>
        <w:rPr>
          <w:rFonts w:hint="eastAsia" w:ascii="宋体" w:hAnsi="宋体" w:eastAsia="宋体" w:cs="宋体"/>
          <w:sz w:val="24"/>
          <w:szCs w:val="24"/>
        </w:rPr>
      </w:pPr>
      <w:r>
        <w:rPr>
          <w:rFonts w:hint="eastAsia" w:ascii="宋体" w:hAnsi="宋体" w:eastAsia="宋体" w:cs="宋体"/>
          <w:sz w:val="24"/>
          <w:szCs w:val="24"/>
        </w:rPr>
        <w:t>18.5.1工程建设具备阶段验收条件时，发包人负责提出阶段验收申请报告。承包人应派代表参加阶段验收，并作为被验收单位在验收鉴定书上签字。阶段验收的具体类别在专用合同条款中约定。</w:t>
      </w:r>
    </w:p>
    <w:p w14:paraId="66B14A2C">
      <w:pPr>
        <w:pStyle w:val="4"/>
        <w:rPr>
          <w:rFonts w:hint="eastAsia" w:ascii="宋体" w:hAnsi="宋体" w:eastAsia="宋体" w:cs="宋体"/>
          <w:sz w:val="24"/>
          <w:szCs w:val="24"/>
        </w:rPr>
      </w:pPr>
      <w:r>
        <w:rPr>
          <w:rFonts w:hint="eastAsia" w:ascii="宋体" w:hAnsi="宋体" w:eastAsia="宋体" w:cs="宋体"/>
          <w:sz w:val="24"/>
          <w:szCs w:val="24"/>
        </w:rPr>
        <w:t>18.5. 2承包人应及时完成阶段验收鉴定书载明应由承包人处理的遗留问题。</w:t>
      </w:r>
    </w:p>
    <w:p w14:paraId="63FE6CBB">
      <w:pPr>
        <w:pStyle w:val="6"/>
        <w:numPr>
          <w:ilvl w:val="0"/>
          <w:numId w:val="0"/>
        </w:numPr>
        <w:bidi w:val="0"/>
        <w:ind w:left="482" w:leftChars="0"/>
        <w:rPr>
          <w:rFonts w:hint="eastAsia" w:ascii="宋体" w:hAnsi="宋体" w:eastAsia="宋体" w:cs="宋体"/>
          <w:sz w:val="24"/>
          <w:szCs w:val="24"/>
        </w:rPr>
      </w:pPr>
      <w:bookmarkStart w:id="982" w:name="bookmark1412"/>
      <w:bookmarkStart w:id="983" w:name="bookmark1413"/>
      <w:bookmarkStart w:id="984" w:name="bookmark1414"/>
      <w:bookmarkStart w:id="985" w:name="_Toc14710397"/>
      <w:bookmarkStart w:id="986" w:name="_Toc16235"/>
      <w:r>
        <w:rPr>
          <w:rFonts w:hint="eastAsia" w:ascii="宋体" w:hAnsi="宋体" w:eastAsia="宋体" w:cs="宋体"/>
          <w:sz w:val="24"/>
          <w:szCs w:val="24"/>
        </w:rPr>
        <w:t>18.6专项验收</w:t>
      </w:r>
      <w:bookmarkEnd w:id="982"/>
      <w:bookmarkEnd w:id="983"/>
      <w:bookmarkEnd w:id="984"/>
      <w:bookmarkEnd w:id="985"/>
      <w:bookmarkEnd w:id="986"/>
    </w:p>
    <w:p w14:paraId="1F11B2C4">
      <w:pPr>
        <w:pStyle w:val="4"/>
        <w:rPr>
          <w:rFonts w:hint="eastAsia" w:ascii="宋体" w:hAnsi="宋体" w:eastAsia="宋体" w:cs="宋体"/>
          <w:sz w:val="24"/>
          <w:szCs w:val="24"/>
        </w:rPr>
      </w:pPr>
      <w:r>
        <w:rPr>
          <w:rFonts w:hint="eastAsia" w:ascii="宋体" w:hAnsi="宋体" w:eastAsia="宋体" w:cs="宋体"/>
          <w:sz w:val="24"/>
          <w:szCs w:val="24"/>
        </w:rPr>
        <w:t>18.6.1发包人负责提出专项验收申请报告。承包人应按专项验收的相关规定参加专项验收。专项验收的具体类别在专用合同条款中约定。</w:t>
      </w:r>
    </w:p>
    <w:p w14:paraId="03A089A3">
      <w:pPr>
        <w:pStyle w:val="4"/>
        <w:rPr>
          <w:rFonts w:hint="eastAsia" w:ascii="宋体" w:hAnsi="宋体" w:eastAsia="宋体" w:cs="宋体"/>
          <w:sz w:val="24"/>
          <w:szCs w:val="24"/>
        </w:rPr>
      </w:pPr>
      <w:r>
        <w:rPr>
          <w:rFonts w:hint="eastAsia" w:ascii="宋体" w:hAnsi="宋体" w:eastAsia="宋体" w:cs="宋体"/>
          <w:sz w:val="24"/>
          <w:szCs w:val="24"/>
        </w:rPr>
        <w:t>18.6.2承包应及时完成专项验收成果性文件载明应由承包人处理的遗留问题。</w:t>
      </w:r>
    </w:p>
    <w:p w14:paraId="2F57B129">
      <w:pPr>
        <w:pStyle w:val="6"/>
        <w:numPr>
          <w:ilvl w:val="0"/>
          <w:numId w:val="0"/>
        </w:numPr>
        <w:bidi w:val="0"/>
        <w:ind w:left="482" w:leftChars="0"/>
        <w:rPr>
          <w:rFonts w:hint="eastAsia" w:ascii="宋体" w:hAnsi="宋体" w:eastAsia="宋体" w:cs="宋体"/>
          <w:sz w:val="24"/>
          <w:szCs w:val="24"/>
        </w:rPr>
      </w:pPr>
      <w:bookmarkStart w:id="987" w:name="bookmark1415"/>
      <w:bookmarkStart w:id="988" w:name="bookmark1417"/>
      <w:bookmarkStart w:id="989" w:name="_Toc31377"/>
      <w:bookmarkStart w:id="990" w:name="_Toc14710398"/>
      <w:bookmarkStart w:id="991" w:name="bookmark1416"/>
      <w:r>
        <w:rPr>
          <w:rFonts w:hint="eastAsia" w:ascii="宋体" w:hAnsi="宋体" w:eastAsia="宋体" w:cs="宋体"/>
          <w:sz w:val="24"/>
          <w:szCs w:val="24"/>
        </w:rPr>
        <w:t>18.7竣工验收</w:t>
      </w:r>
      <w:bookmarkEnd w:id="987"/>
      <w:bookmarkEnd w:id="988"/>
      <w:bookmarkEnd w:id="989"/>
      <w:bookmarkEnd w:id="990"/>
      <w:bookmarkEnd w:id="991"/>
    </w:p>
    <w:p w14:paraId="08C6972D">
      <w:pPr>
        <w:pStyle w:val="4"/>
        <w:rPr>
          <w:rFonts w:hint="eastAsia" w:ascii="宋体" w:hAnsi="宋体" w:eastAsia="宋体" w:cs="宋体"/>
          <w:sz w:val="24"/>
          <w:szCs w:val="24"/>
        </w:rPr>
      </w:pPr>
      <w:r>
        <w:rPr>
          <w:rFonts w:hint="eastAsia" w:ascii="宋体" w:hAnsi="宋体" w:eastAsia="宋体" w:cs="宋体"/>
          <w:sz w:val="24"/>
          <w:szCs w:val="24"/>
        </w:rPr>
        <w:t>18.7.1申请竣工验收前，发包人组织竣工验收自查，承包人应派项目经理或技术负责人参加。</w:t>
      </w:r>
    </w:p>
    <w:p w14:paraId="5244BFE5">
      <w:pPr>
        <w:pStyle w:val="4"/>
        <w:rPr>
          <w:rFonts w:hint="eastAsia" w:ascii="宋体" w:hAnsi="宋体" w:eastAsia="宋体" w:cs="宋体"/>
          <w:sz w:val="24"/>
          <w:szCs w:val="24"/>
        </w:rPr>
      </w:pPr>
      <w:r>
        <w:rPr>
          <w:rFonts w:hint="eastAsia" w:ascii="宋体" w:hAnsi="宋体" w:eastAsia="宋体" w:cs="宋体"/>
          <w:sz w:val="24"/>
          <w:szCs w:val="24"/>
        </w:rPr>
        <w:t>18.7.2竣工验收分为竣工技术预验收和竣工验收两个阶段，发包人应通知承包人派法定代表人或项目经理参加技术预验收和竣工验收。</w:t>
      </w:r>
    </w:p>
    <w:p w14:paraId="480C02FD">
      <w:pPr>
        <w:pStyle w:val="4"/>
        <w:rPr>
          <w:rFonts w:hint="eastAsia" w:ascii="宋体" w:hAnsi="宋体" w:eastAsia="宋体" w:cs="宋体"/>
          <w:sz w:val="24"/>
          <w:szCs w:val="24"/>
        </w:rPr>
      </w:pPr>
      <w:r>
        <w:rPr>
          <w:rFonts w:hint="eastAsia" w:ascii="宋体" w:hAnsi="宋体" w:eastAsia="宋体" w:cs="宋体"/>
          <w:sz w:val="24"/>
          <w:szCs w:val="24"/>
        </w:rPr>
        <w:t>18.7.3专用合同条款约定工程需要进行技术鉴定的，承包人应提交有关资料并完成配合工作。</w:t>
      </w:r>
    </w:p>
    <w:p w14:paraId="530725B3">
      <w:pPr>
        <w:pStyle w:val="4"/>
        <w:rPr>
          <w:rFonts w:hint="eastAsia" w:ascii="宋体" w:hAnsi="宋体" w:eastAsia="宋体" w:cs="宋体"/>
          <w:sz w:val="24"/>
          <w:szCs w:val="24"/>
        </w:rPr>
      </w:pPr>
      <w:r>
        <w:rPr>
          <w:rFonts w:hint="eastAsia" w:ascii="宋体" w:hAnsi="宋体" w:eastAsia="宋体" w:cs="宋体"/>
          <w:sz w:val="24"/>
          <w:szCs w:val="24"/>
        </w:rPr>
        <w:t>18.7.4竣工验收需要进行质量检测的，所需费用由发包人承担，但因承包人原因造成质量不合格的除外。</w:t>
      </w:r>
    </w:p>
    <w:p w14:paraId="655F5B14">
      <w:pPr>
        <w:pStyle w:val="4"/>
        <w:rPr>
          <w:rFonts w:hint="eastAsia" w:ascii="宋体" w:hAnsi="宋体" w:eastAsia="宋体" w:cs="宋体"/>
          <w:sz w:val="24"/>
          <w:szCs w:val="24"/>
        </w:rPr>
      </w:pPr>
      <w:r>
        <w:rPr>
          <w:rFonts w:hint="eastAsia" w:ascii="宋体" w:hAnsi="宋体" w:eastAsia="宋体" w:cs="宋体"/>
          <w:sz w:val="24"/>
          <w:szCs w:val="24"/>
        </w:rPr>
        <w:t>18.7.5工程质量保修期满以及竣工验收遗留问题和尾工处理完成并通过验收后，发包人负责将处理情况和验收成果报送竣工验收主持单位，申请领取工程竣工证书，并发送承包人。</w:t>
      </w:r>
    </w:p>
    <w:p w14:paraId="183D4D3E">
      <w:pPr>
        <w:pStyle w:val="6"/>
        <w:numPr>
          <w:ilvl w:val="0"/>
          <w:numId w:val="0"/>
        </w:numPr>
        <w:bidi w:val="0"/>
        <w:ind w:left="482" w:leftChars="0"/>
        <w:rPr>
          <w:rFonts w:hint="eastAsia" w:ascii="宋体" w:hAnsi="宋体" w:eastAsia="宋体" w:cs="宋体"/>
          <w:sz w:val="24"/>
          <w:szCs w:val="24"/>
        </w:rPr>
      </w:pPr>
      <w:bookmarkStart w:id="992" w:name="_Toc28956"/>
      <w:bookmarkStart w:id="993" w:name="_Toc14710399"/>
      <w:bookmarkStart w:id="994" w:name="bookmark1419"/>
      <w:bookmarkStart w:id="995" w:name="bookmark1418"/>
      <w:bookmarkStart w:id="996" w:name="bookmark1420"/>
      <w:r>
        <w:rPr>
          <w:rFonts w:hint="eastAsia" w:ascii="宋体" w:hAnsi="宋体" w:eastAsia="宋体" w:cs="宋体"/>
          <w:sz w:val="24"/>
          <w:szCs w:val="24"/>
        </w:rPr>
        <w:t>18.8施工期运行</w:t>
      </w:r>
      <w:bookmarkEnd w:id="992"/>
      <w:bookmarkEnd w:id="993"/>
      <w:bookmarkEnd w:id="994"/>
      <w:bookmarkEnd w:id="995"/>
      <w:bookmarkEnd w:id="996"/>
    </w:p>
    <w:p w14:paraId="2E763C69">
      <w:pPr>
        <w:pStyle w:val="4"/>
        <w:rPr>
          <w:rFonts w:hint="eastAsia" w:ascii="宋体" w:hAnsi="宋体" w:eastAsia="宋体" w:cs="宋体"/>
          <w:sz w:val="24"/>
          <w:szCs w:val="24"/>
        </w:rPr>
      </w:pPr>
      <w:r>
        <w:rPr>
          <w:rFonts w:hint="eastAsia" w:ascii="宋体" w:hAnsi="宋体" w:eastAsia="宋体" w:cs="宋体"/>
          <w:sz w:val="24"/>
          <w:szCs w:val="24"/>
        </w:rPr>
        <w:t>18.8.1施工期运行是指合同工程尚未全部完工，其中某单位工程或部分工程已完工, 需要投入施工期运行的，经发包人按第18. 2款或第18. 3款的约定验收合格，证明能确保安全后，才能在施工期投入运行。需要在施工期运行的单位工程或部分工程在专用合同条款中约定。</w:t>
      </w:r>
    </w:p>
    <w:p w14:paraId="6A75549F">
      <w:pPr>
        <w:pStyle w:val="4"/>
        <w:rPr>
          <w:rFonts w:hint="eastAsia" w:ascii="宋体" w:hAnsi="宋体" w:eastAsia="宋体" w:cs="宋体"/>
          <w:sz w:val="24"/>
          <w:szCs w:val="24"/>
        </w:rPr>
      </w:pPr>
      <w:r>
        <w:rPr>
          <w:rFonts w:hint="eastAsia" w:ascii="宋体" w:hAnsi="宋体" w:eastAsia="宋体" w:cs="宋体"/>
          <w:sz w:val="24"/>
          <w:szCs w:val="24"/>
        </w:rPr>
        <w:t>18.8.2在施工期运行中发现工程或工程设备损坏或存在缺陷的，由承包人按第19. 2 款约定进行修复。</w:t>
      </w:r>
    </w:p>
    <w:p w14:paraId="3AE40342">
      <w:pPr>
        <w:pStyle w:val="6"/>
        <w:numPr>
          <w:ilvl w:val="0"/>
          <w:numId w:val="0"/>
        </w:numPr>
        <w:bidi w:val="0"/>
        <w:ind w:left="482" w:leftChars="0"/>
        <w:rPr>
          <w:rFonts w:hint="eastAsia" w:ascii="宋体" w:hAnsi="宋体" w:eastAsia="宋体" w:cs="宋体"/>
          <w:sz w:val="24"/>
          <w:szCs w:val="24"/>
        </w:rPr>
      </w:pPr>
      <w:bookmarkStart w:id="997" w:name="bookmark1423"/>
      <w:bookmarkStart w:id="998" w:name="_Toc20150"/>
      <w:bookmarkStart w:id="999" w:name="bookmark1421"/>
      <w:bookmarkStart w:id="1000" w:name="bookmark1422"/>
      <w:bookmarkStart w:id="1001" w:name="_Toc14710400"/>
      <w:r>
        <w:rPr>
          <w:rFonts w:hint="eastAsia" w:ascii="宋体" w:hAnsi="宋体" w:eastAsia="宋体" w:cs="宋体"/>
          <w:sz w:val="24"/>
          <w:szCs w:val="24"/>
        </w:rPr>
        <w:t>18.9试运行</w:t>
      </w:r>
      <w:bookmarkEnd w:id="997"/>
      <w:bookmarkEnd w:id="998"/>
      <w:bookmarkEnd w:id="999"/>
      <w:bookmarkEnd w:id="1000"/>
      <w:bookmarkEnd w:id="1001"/>
    </w:p>
    <w:p w14:paraId="672AC419">
      <w:pPr>
        <w:pStyle w:val="4"/>
        <w:rPr>
          <w:rFonts w:hint="eastAsia" w:ascii="宋体" w:hAnsi="宋体" w:eastAsia="宋体" w:cs="宋体"/>
          <w:sz w:val="24"/>
          <w:szCs w:val="24"/>
        </w:rPr>
      </w:pPr>
      <w:r>
        <w:rPr>
          <w:rFonts w:hint="eastAsia" w:ascii="宋体" w:hAnsi="宋体" w:eastAsia="宋体" w:cs="宋体"/>
          <w:sz w:val="24"/>
          <w:szCs w:val="24"/>
        </w:rPr>
        <w:t>18.9.1除专用合同条款另有约定外，承包人应按规定进行工程及工程设备试运行, 负责提供试运行所需的人员、器材和必要的条件，并承担全部试运行费用。</w:t>
      </w:r>
    </w:p>
    <w:p w14:paraId="6665E729">
      <w:pPr>
        <w:pStyle w:val="4"/>
        <w:rPr>
          <w:rFonts w:hint="eastAsia" w:ascii="宋体" w:hAnsi="宋体" w:eastAsia="宋体" w:cs="宋体"/>
          <w:sz w:val="24"/>
          <w:szCs w:val="24"/>
        </w:rPr>
      </w:pPr>
      <w:r>
        <w:rPr>
          <w:rFonts w:hint="eastAsia" w:ascii="宋体" w:hAnsi="宋体" w:eastAsia="宋体" w:cs="宋体"/>
          <w:sz w:val="24"/>
          <w:szCs w:val="24"/>
        </w:rPr>
        <w:t>18.9.2由于承包人的原因导致试运行失败的，承包人应采取措施保证试运行合格, 并承担相应费用。由于发包人的原因导致试运行失败的，承包人应当采取措施保证试运行合格，发包人应承担由此产生的费用，并支付承包人合理利润。</w:t>
      </w:r>
      <w:bookmarkStart w:id="1002" w:name="bookmark1411"/>
      <w:bookmarkEnd w:id="1002"/>
    </w:p>
    <w:p w14:paraId="79CC2E8E">
      <w:pPr>
        <w:pStyle w:val="6"/>
        <w:numPr>
          <w:ilvl w:val="0"/>
          <w:numId w:val="0"/>
        </w:numPr>
        <w:bidi w:val="0"/>
        <w:ind w:left="482" w:leftChars="0"/>
        <w:rPr>
          <w:rFonts w:hint="eastAsia" w:ascii="宋体" w:hAnsi="宋体" w:eastAsia="宋体" w:cs="宋体"/>
          <w:sz w:val="24"/>
          <w:szCs w:val="24"/>
        </w:rPr>
      </w:pPr>
      <w:bookmarkStart w:id="1003" w:name="_Toc14710401"/>
      <w:bookmarkStart w:id="1004" w:name="_Toc1706"/>
      <w:bookmarkStart w:id="1005" w:name="bookmark1426"/>
      <w:bookmarkStart w:id="1006" w:name="bookmark1424"/>
      <w:bookmarkStart w:id="1007" w:name="bookmark1425"/>
      <w:r>
        <w:rPr>
          <w:rFonts w:hint="eastAsia" w:ascii="宋体" w:hAnsi="宋体" w:eastAsia="宋体" w:cs="宋体"/>
          <w:sz w:val="24"/>
          <w:szCs w:val="24"/>
        </w:rPr>
        <w:t>18.10竣工（完工）清场</w:t>
      </w:r>
      <w:bookmarkEnd w:id="1003"/>
      <w:bookmarkEnd w:id="1004"/>
      <w:bookmarkEnd w:id="1005"/>
      <w:bookmarkEnd w:id="1006"/>
      <w:bookmarkEnd w:id="1007"/>
    </w:p>
    <w:p w14:paraId="42145979">
      <w:pPr>
        <w:pStyle w:val="4"/>
        <w:rPr>
          <w:rFonts w:hint="eastAsia" w:ascii="宋体" w:hAnsi="宋体" w:eastAsia="宋体" w:cs="宋体"/>
          <w:sz w:val="24"/>
          <w:szCs w:val="24"/>
        </w:rPr>
      </w:pPr>
      <w:r>
        <w:rPr>
          <w:rFonts w:hint="eastAsia" w:ascii="宋体" w:hAnsi="宋体" w:eastAsia="宋体" w:cs="宋体"/>
          <w:sz w:val="24"/>
          <w:szCs w:val="24"/>
        </w:rPr>
        <w:t>18.10.1工程项目竣工（完工）清场的工作范围和内容在技术标准和要求（合同技术条款）中约定。</w:t>
      </w:r>
    </w:p>
    <w:p w14:paraId="6497C469">
      <w:pPr>
        <w:pStyle w:val="4"/>
        <w:rPr>
          <w:rFonts w:hint="eastAsia" w:ascii="宋体" w:hAnsi="宋体" w:eastAsia="宋体" w:cs="宋体"/>
          <w:sz w:val="24"/>
          <w:szCs w:val="24"/>
        </w:rPr>
      </w:pPr>
      <w:r>
        <w:rPr>
          <w:rFonts w:hint="eastAsia" w:ascii="宋体" w:hAnsi="宋体" w:eastAsia="宋体" w:cs="宋体"/>
          <w:sz w:val="24"/>
          <w:szCs w:val="24"/>
        </w:rPr>
        <w:t>18.10.2承包未按监理人的要求恢复临时占地，或者场地清理未达到合同约定的，发包人有权委托其它人恢复或清理，所发生的金额从拟支付给承包人的款项中扣除。</w:t>
      </w:r>
    </w:p>
    <w:p w14:paraId="2A09FF10">
      <w:pPr>
        <w:pStyle w:val="6"/>
        <w:numPr>
          <w:ilvl w:val="0"/>
          <w:numId w:val="0"/>
        </w:numPr>
        <w:bidi w:val="0"/>
        <w:ind w:left="482" w:leftChars="0"/>
        <w:rPr>
          <w:rFonts w:hint="eastAsia" w:ascii="宋体" w:hAnsi="宋体" w:eastAsia="宋体" w:cs="宋体"/>
          <w:sz w:val="24"/>
          <w:szCs w:val="24"/>
        </w:rPr>
      </w:pPr>
      <w:bookmarkStart w:id="1008" w:name="bookmark1427"/>
      <w:bookmarkStart w:id="1009" w:name="_Toc14710402"/>
      <w:bookmarkStart w:id="1010" w:name="_Toc28474"/>
      <w:bookmarkStart w:id="1011" w:name="bookmark1428"/>
      <w:bookmarkStart w:id="1012" w:name="bookmark1429"/>
      <w:r>
        <w:rPr>
          <w:rFonts w:hint="eastAsia" w:ascii="宋体" w:hAnsi="宋体" w:eastAsia="宋体" w:cs="宋体"/>
          <w:sz w:val="24"/>
          <w:szCs w:val="24"/>
        </w:rPr>
        <w:t>18.11施工队伍的撤离</w:t>
      </w:r>
      <w:bookmarkEnd w:id="1008"/>
      <w:bookmarkEnd w:id="1009"/>
      <w:bookmarkEnd w:id="1010"/>
      <w:bookmarkEnd w:id="1011"/>
      <w:bookmarkEnd w:id="1012"/>
    </w:p>
    <w:p w14:paraId="4488D334">
      <w:pPr>
        <w:pStyle w:val="4"/>
        <w:rPr>
          <w:rFonts w:hint="eastAsia" w:ascii="宋体" w:hAnsi="宋体" w:eastAsia="宋体" w:cs="宋体"/>
          <w:sz w:val="24"/>
          <w:szCs w:val="24"/>
        </w:rPr>
      </w:pPr>
      <w:r>
        <w:rPr>
          <w:rFonts w:hint="eastAsia" w:ascii="宋体" w:hAnsi="宋体" w:eastAsia="宋体" w:cs="宋体"/>
          <w:sz w:val="24"/>
          <w:szCs w:val="24"/>
        </w:rPr>
        <w:t>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 承包人的人员和施工设备应全部撤离施工场地。</w:t>
      </w:r>
    </w:p>
    <w:p w14:paraId="2462415D">
      <w:pPr>
        <w:pStyle w:val="6"/>
        <w:numPr>
          <w:ilvl w:val="0"/>
          <w:numId w:val="0"/>
        </w:numPr>
        <w:bidi w:val="0"/>
        <w:ind w:left="482" w:leftChars="0"/>
        <w:rPr>
          <w:rFonts w:hint="eastAsia" w:ascii="宋体" w:hAnsi="宋体" w:eastAsia="宋体" w:cs="宋体"/>
          <w:sz w:val="24"/>
          <w:szCs w:val="24"/>
        </w:rPr>
      </w:pPr>
      <w:bookmarkStart w:id="1013" w:name="_Toc15410"/>
      <w:bookmarkStart w:id="1014" w:name="bookmark1430"/>
      <w:bookmarkStart w:id="1015" w:name="_Toc14710403"/>
      <w:bookmarkStart w:id="1016" w:name="bookmark1432"/>
      <w:bookmarkStart w:id="1017" w:name="bookmark1431"/>
      <w:r>
        <w:rPr>
          <w:rFonts w:hint="eastAsia" w:ascii="宋体" w:hAnsi="宋体" w:eastAsia="宋体" w:cs="宋体"/>
          <w:sz w:val="24"/>
          <w:szCs w:val="24"/>
        </w:rPr>
        <w:t>19.缺陷责任与保修责任</w:t>
      </w:r>
      <w:bookmarkEnd w:id="1013"/>
      <w:bookmarkEnd w:id="1014"/>
      <w:bookmarkEnd w:id="1015"/>
      <w:bookmarkEnd w:id="1016"/>
      <w:bookmarkEnd w:id="1017"/>
    </w:p>
    <w:p w14:paraId="494BEF84">
      <w:pPr>
        <w:pStyle w:val="6"/>
        <w:numPr>
          <w:ilvl w:val="0"/>
          <w:numId w:val="0"/>
        </w:numPr>
        <w:bidi w:val="0"/>
        <w:ind w:left="482" w:leftChars="0"/>
        <w:rPr>
          <w:rFonts w:hint="eastAsia" w:ascii="宋体" w:hAnsi="宋体" w:eastAsia="宋体" w:cs="宋体"/>
          <w:sz w:val="24"/>
          <w:szCs w:val="24"/>
        </w:rPr>
      </w:pPr>
      <w:bookmarkStart w:id="1018" w:name="bookmark1434"/>
      <w:bookmarkStart w:id="1019" w:name="bookmark1433"/>
      <w:bookmarkStart w:id="1020" w:name="bookmark1435"/>
      <w:bookmarkStart w:id="1021" w:name="_Toc22913"/>
      <w:bookmarkStart w:id="1022" w:name="_Toc14710404"/>
      <w:r>
        <w:rPr>
          <w:rFonts w:hint="eastAsia" w:ascii="宋体" w:hAnsi="宋体" w:eastAsia="宋体" w:cs="宋体"/>
          <w:sz w:val="24"/>
          <w:szCs w:val="24"/>
        </w:rPr>
        <w:t>19.1缺陷责任期（工程质量保修期）的起算时间</w:t>
      </w:r>
      <w:bookmarkEnd w:id="1018"/>
      <w:bookmarkEnd w:id="1019"/>
      <w:bookmarkEnd w:id="1020"/>
      <w:bookmarkEnd w:id="1021"/>
      <w:bookmarkEnd w:id="1022"/>
    </w:p>
    <w:p w14:paraId="32E940E2">
      <w:pPr>
        <w:pStyle w:val="4"/>
        <w:rPr>
          <w:rFonts w:hint="eastAsia" w:ascii="宋体" w:hAnsi="宋体" w:eastAsia="宋体" w:cs="宋体"/>
          <w:sz w:val="24"/>
          <w:szCs w:val="24"/>
        </w:rPr>
      </w:pPr>
      <w:r>
        <w:rPr>
          <w:rFonts w:hint="eastAsia" w:ascii="宋体" w:hAnsi="宋体" w:eastAsia="宋体" w:cs="宋体"/>
          <w:sz w:val="24"/>
          <w:szCs w:val="24"/>
        </w:rPr>
        <w:t>除专用合同条款另有约定外，缺陷责任期（工程质量保修期）从工程通过合同工程完 工验收后开始计算。在合同工程完工验收前，已经发包人提前验收的单位工程或部分工程, 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14:paraId="39FCA87C">
      <w:pPr>
        <w:pStyle w:val="6"/>
        <w:numPr>
          <w:ilvl w:val="0"/>
          <w:numId w:val="0"/>
        </w:numPr>
        <w:bidi w:val="0"/>
        <w:ind w:left="482" w:leftChars="0"/>
        <w:rPr>
          <w:rFonts w:hint="eastAsia" w:ascii="宋体" w:hAnsi="宋体" w:eastAsia="宋体" w:cs="宋体"/>
          <w:sz w:val="24"/>
          <w:szCs w:val="24"/>
        </w:rPr>
      </w:pPr>
      <w:bookmarkStart w:id="1023" w:name="_Toc14710405"/>
      <w:bookmarkStart w:id="1024" w:name="bookmark1438"/>
      <w:bookmarkStart w:id="1025" w:name="bookmark1436"/>
      <w:bookmarkStart w:id="1026" w:name="bookmark1437"/>
      <w:bookmarkStart w:id="1027" w:name="_Toc27743"/>
      <w:r>
        <w:rPr>
          <w:rFonts w:hint="eastAsia" w:ascii="宋体" w:hAnsi="宋体" w:eastAsia="宋体" w:cs="宋体"/>
          <w:sz w:val="24"/>
          <w:szCs w:val="24"/>
        </w:rPr>
        <w:t>19.2缺陷责任</w:t>
      </w:r>
      <w:bookmarkEnd w:id="1023"/>
      <w:bookmarkEnd w:id="1024"/>
      <w:bookmarkEnd w:id="1025"/>
      <w:bookmarkEnd w:id="1026"/>
      <w:bookmarkEnd w:id="1027"/>
    </w:p>
    <w:p w14:paraId="68607520">
      <w:pPr>
        <w:pStyle w:val="4"/>
        <w:rPr>
          <w:rFonts w:hint="eastAsia" w:ascii="宋体" w:hAnsi="宋体" w:eastAsia="宋体" w:cs="宋体"/>
          <w:sz w:val="24"/>
          <w:szCs w:val="24"/>
        </w:rPr>
      </w:pPr>
      <w:bookmarkStart w:id="1028" w:name="bookmark1439"/>
      <w:bookmarkEnd w:id="1028"/>
      <w:r>
        <w:rPr>
          <w:rFonts w:hint="eastAsia" w:ascii="宋体" w:hAnsi="宋体" w:eastAsia="宋体" w:cs="宋体"/>
          <w:sz w:val="24"/>
          <w:szCs w:val="24"/>
        </w:rPr>
        <w:t>19.2.1承包人应在缺陷责任期内对已交付使用的工程承担缺陷责任。</w:t>
      </w:r>
    </w:p>
    <w:p w14:paraId="4A88B74E">
      <w:pPr>
        <w:pStyle w:val="4"/>
        <w:rPr>
          <w:rFonts w:hint="eastAsia" w:ascii="宋体" w:hAnsi="宋体" w:eastAsia="宋体" w:cs="宋体"/>
          <w:sz w:val="24"/>
          <w:szCs w:val="24"/>
        </w:rPr>
      </w:pPr>
      <w:r>
        <w:rPr>
          <w:rFonts w:hint="eastAsia" w:ascii="宋体" w:hAnsi="宋体" w:eastAsia="宋体" w:cs="宋体"/>
          <w:sz w:val="24"/>
          <w:szCs w:val="24"/>
        </w:rPr>
        <w:t>19.2.2缺陷责任期内，发包人对已接收使用的工程负责日常维护工作。发包人在使用过程中，发现已接收的工程存在新的缺陷或已修复的缺陷部位或部件又遭损坏的，承包人应负责修复，直至检验合格为止。</w:t>
      </w:r>
    </w:p>
    <w:p w14:paraId="0B296A09">
      <w:pPr>
        <w:pStyle w:val="4"/>
        <w:rPr>
          <w:rFonts w:hint="eastAsia" w:ascii="宋体" w:hAnsi="宋体" w:eastAsia="宋体" w:cs="宋体"/>
          <w:sz w:val="24"/>
          <w:szCs w:val="24"/>
        </w:rPr>
      </w:pPr>
      <w:r>
        <w:rPr>
          <w:rFonts w:hint="eastAsia" w:ascii="宋体" w:hAnsi="宋体" w:eastAsia="宋体" w:cs="宋体"/>
          <w:sz w:val="24"/>
          <w:szCs w:val="24"/>
        </w:rPr>
        <w:t>19.2.3监理人和承包人应共同查清缺陷和（或）损坏的原因。经查明属承包人原因造成的，应由承包人承担修复和查验的费用。经查验属发包人原因造成的，发包人应承担修复和查验的费用，并支付承包人合理利润。</w:t>
      </w:r>
    </w:p>
    <w:p w14:paraId="1AC6A322">
      <w:pPr>
        <w:pStyle w:val="4"/>
        <w:rPr>
          <w:rFonts w:hint="eastAsia" w:ascii="宋体" w:hAnsi="宋体" w:eastAsia="宋体" w:cs="宋体"/>
          <w:sz w:val="24"/>
          <w:szCs w:val="24"/>
        </w:rPr>
      </w:pPr>
      <w:r>
        <w:rPr>
          <w:rFonts w:hint="eastAsia" w:ascii="宋体" w:hAnsi="宋体" w:eastAsia="宋体" w:cs="宋体"/>
          <w:sz w:val="24"/>
          <w:szCs w:val="24"/>
        </w:rPr>
        <w:t>19.2.4承包人不能在合理时间内修复缺陷的，发包人可自行修复或委托其他人修复, 所需费用和利润的承担，按第19. 2. 3项约定办理。</w:t>
      </w:r>
    </w:p>
    <w:p w14:paraId="583E4AB6">
      <w:pPr>
        <w:pStyle w:val="6"/>
        <w:numPr>
          <w:ilvl w:val="0"/>
          <w:numId w:val="0"/>
        </w:numPr>
        <w:bidi w:val="0"/>
        <w:ind w:left="482" w:leftChars="0"/>
        <w:rPr>
          <w:rFonts w:hint="eastAsia" w:ascii="宋体" w:hAnsi="宋体" w:eastAsia="宋体" w:cs="宋体"/>
          <w:sz w:val="24"/>
          <w:szCs w:val="24"/>
        </w:rPr>
      </w:pPr>
      <w:bookmarkStart w:id="1029" w:name="_Toc14710406"/>
      <w:bookmarkStart w:id="1030" w:name="_Toc19734"/>
      <w:bookmarkStart w:id="1031" w:name="bookmark1441"/>
      <w:bookmarkStart w:id="1032" w:name="bookmark1442"/>
      <w:bookmarkStart w:id="1033" w:name="bookmark1440"/>
      <w:r>
        <w:rPr>
          <w:rFonts w:hint="eastAsia" w:ascii="宋体" w:hAnsi="宋体" w:eastAsia="宋体" w:cs="宋体"/>
          <w:sz w:val="24"/>
          <w:szCs w:val="24"/>
        </w:rPr>
        <w:t>19.3缺陷责任期的延长</w:t>
      </w:r>
      <w:bookmarkEnd w:id="1029"/>
      <w:bookmarkEnd w:id="1030"/>
      <w:bookmarkEnd w:id="1031"/>
      <w:bookmarkEnd w:id="1032"/>
      <w:bookmarkEnd w:id="1033"/>
    </w:p>
    <w:p w14:paraId="4D6416C8">
      <w:pPr>
        <w:pStyle w:val="4"/>
        <w:rPr>
          <w:rFonts w:hint="eastAsia" w:ascii="宋体" w:hAnsi="宋体" w:eastAsia="宋体" w:cs="宋体"/>
          <w:sz w:val="24"/>
          <w:szCs w:val="24"/>
        </w:rPr>
      </w:pPr>
      <w:r>
        <w:rPr>
          <w:rFonts w:hint="eastAsia" w:ascii="宋体" w:hAnsi="宋体" w:eastAsia="宋体" w:cs="宋体"/>
          <w:sz w:val="24"/>
          <w:szCs w:val="24"/>
        </w:rPr>
        <w:t>由于承包人原因造成某项缺陷或损坏使某项工程或工程设备不能按原定目标使用而需要再次检查、检验和修复的，发包人有权要求承包人相应延长缺陷责任期，但缺陷责任期最长不超过2年。</w:t>
      </w:r>
    </w:p>
    <w:p w14:paraId="5B437657">
      <w:pPr>
        <w:pStyle w:val="6"/>
        <w:numPr>
          <w:ilvl w:val="0"/>
          <w:numId w:val="0"/>
        </w:numPr>
        <w:bidi w:val="0"/>
        <w:ind w:left="482" w:leftChars="0"/>
        <w:rPr>
          <w:rFonts w:hint="eastAsia" w:ascii="宋体" w:hAnsi="宋体" w:eastAsia="宋体" w:cs="宋体"/>
          <w:sz w:val="24"/>
          <w:szCs w:val="24"/>
        </w:rPr>
      </w:pPr>
      <w:bookmarkStart w:id="1034" w:name="bookmark1444"/>
      <w:bookmarkStart w:id="1035" w:name="bookmark1443"/>
      <w:bookmarkStart w:id="1036" w:name="_Toc4593"/>
      <w:bookmarkStart w:id="1037" w:name="bookmark1445"/>
      <w:bookmarkStart w:id="1038" w:name="_Toc14710407"/>
      <w:r>
        <w:rPr>
          <w:rFonts w:hint="eastAsia" w:ascii="宋体" w:hAnsi="宋体" w:eastAsia="宋体" w:cs="宋体"/>
          <w:sz w:val="24"/>
          <w:szCs w:val="24"/>
        </w:rPr>
        <w:t>19.4进一步试验和试运行</w:t>
      </w:r>
      <w:bookmarkEnd w:id="1034"/>
      <w:bookmarkEnd w:id="1035"/>
      <w:bookmarkEnd w:id="1036"/>
      <w:bookmarkEnd w:id="1037"/>
      <w:bookmarkEnd w:id="1038"/>
    </w:p>
    <w:p w14:paraId="0352FFA3">
      <w:pPr>
        <w:pStyle w:val="4"/>
        <w:rPr>
          <w:rFonts w:hint="eastAsia" w:ascii="宋体" w:hAnsi="宋体" w:eastAsia="宋体" w:cs="宋体"/>
          <w:sz w:val="24"/>
          <w:szCs w:val="24"/>
        </w:rPr>
      </w:pPr>
      <w:r>
        <w:rPr>
          <w:rFonts w:hint="eastAsia" w:ascii="宋体" w:hAnsi="宋体" w:eastAsia="宋体" w:cs="宋体"/>
          <w:sz w:val="24"/>
          <w:szCs w:val="24"/>
        </w:rPr>
        <w:t>任何一项缺陷或损坏修复后，经检查证明其影响了工程或工程设备的使用性能，承包人应重新进行合同约定的试验和试运行，试验和试运行的全部费用应由责任方承担。</w:t>
      </w:r>
    </w:p>
    <w:p w14:paraId="75E94345">
      <w:pPr>
        <w:pStyle w:val="6"/>
        <w:numPr>
          <w:ilvl w:val="0"/>
          <w:numId w:val="0"/>
        </w:numPr>
        <w:bidi w:val="0"/>
        <w:ind w:left="482" w:leftChars="0"/>
        <w:rPr>
          <w:rFonts w:hint="eastAsia" w:ascii="宋体" w:hAnsi="宋体" w:eastAsia="宋体" w:cs="宋体"/>
          <w:sz w:val="24"/>
          <w:szCs w:val="24"/>
        </w:rPr>
      </w:pPr>
      <w:bookmarkStart w:id="1039" w:name="_Toc14710408"/>
      <w:bookmarkStart w:id="1040" w:name="bookmark1446"/>
      <w:bookmarkStart w:id="1041" w:name="bookmark1448"/>
      <w:bookmarkStart w:id="1042" w:name="bookmark1447"/>
      <w:bookmarkStart w:id="1043" w:name="_Toc13710"/>
      <w:r>
        <w:rPr>
          <w:rFonts w:hint="eastAsia" w:ascii="宋体" w:hAnsi="宋体" w:eastAsia="宋体" w:cs="宋体"/>
          <w:sz w:val="24"/>
          <w:szCs w:val="24"/>
        </w:rPr>
        <w:t>19.5承包人的进入权</w:t>
      </w:r>
      <w:bookmarkEnd w:id="1039"/>
      <w:bookmarkEnd w:id="1040"/>
      <w:bookmarkEnd w:id="1041"/>
      <w:bookmarkEnd w:id="1042"/>
      <w:bookmarkEnd w:id="1043"/>
    </w:p>
    <w:p w14:paraId="05C1D2BF">
      <w:pPr>
        <w:pStyle w:val="4"/>
        <w:rPr>
          <w:rFonts w:hint="eastAsia" w:ascii="宋体" w:hAnsi="宋体" w:eastAsia="宋体" w:cs="宋体"/>
          <w:sz w:val="24"/>
          <w:szCs w:val="24"/>
        </w:rPr>
      </w:pPr>
      <w:r>
        <w:rPr>
          <w:rFonts w:hint="eastAsia" w:ascii="宋体" w:hAnsi="宋体" w:eastAsia="宋体" w:cs="宋体"/>
          <w:sz w:val="24"/>
          <w:szCs w:val="24"/>
        </w:rPr>
        <w:t>缺陷责任期内承包人为缺陷修复工作需要，有权进入工程现场，但应遵守发包人的保安和保密规定。</w:t>
      </w:r>
    </w:p>
    <w:p w14:paraId="6D2A9FB0">
      <w:pPr>
        <w:pStyle w:val="6"/>
        <w:numPr>
          <w:ilvl w:val="0"/>
          <w:numId w:val="0"/>
        </w:numPr>
        <w:bidi w:val="0"/>
        <w:ind w:left="482" w:leftChars="0"/>
        <w:rPr>
          <w:rFonts w:hint="eastAsia" w:ascii="宋体" w:hAnsi="宋体" w:eastAsia="宋体" w:cs="宋体"/>
          <w:sz w:val="24"/>
          <w:szCs w:val="24"/>
        </w:rPr>
      </w:pPr>
      <w:bookmarkStart w:id="1044" w:name="bookmark1449"/>
      <w:bookmarkStart w:id="1045" w:name="bookmark1451"/>
      <w:bookmarkStart w:id="1046" w:name="bookmark1450"/>
      <w:bookmarkStart w:id="1047" w:name="_Toc14710409"/>
      <w:bookmarkStart w:id="1048" w:name="_Toc16024"/>
      <w:r>
        <w:rPr>
          <w:rFonts w:hint="eastAsia" w:ascii="宋体" w:hAnsi="宋体" w:eastAsia="宋体" w:cs="宋体"/>
          <w:sz w:val="24"/>
          <w:szCs w:val="24"/>
        </w:rPr>
        <w:t>19.6缺陷责任期终止证书（工程质量保修责任终止证书）</w:t>
      </w:r>
      <w:bookmarkEnd w:id="1044"/>
      <w:bookmarkEnd w:id="1045"/>
      <w:bookmarkEnd w:id="1046"/>
      <w:bookmarkEnd w:id="1047"/>
      <w:bookmarkEnd w:id="1048"/>
    </w:p>
    <w:p w14:paraId="489C0693">
      <w:pPr>
        <w:pStyle w:val="4"/>
        <w:rPr>
          <w:rFonts w:hint="eastAsia" w:ascii="宋体" w:hAnsi="宋体" w:eastAsia="宋体" w:cs="宋体"/>
          <w:sz w:val="24"/>
          <w:szCs w:val="24"/>
        </w:rPr>
      </w:pPr>
      <w:r>
        <w:rPr>
          <w:rFonts w:hint="eastAsia" w:ascii="宋体" w:hAnsi="宋体" w:eastAsia="宋体" w:cs="宋体"/>
          <w:sz w:val="24"/>
          <w:szCs w:val="24"/>
        </w:rPr>
        <w:t>合同工程完工验收后，发包人与承包人应办理工程交接手续，承包人应向发包人递交工程质量保修书。</w:t>
      </w:r>
    </w:p>
    <w:p w14:paraId="4BBCC4E9">
      <w:pPr>
        <w:pStyle w:val="4"/>
        <w:rPr>
          <w:rFonts w:hint="eastAsia" w:ascii="宋体" w:hAnsi="宋体" w:eastAsia="宋体" w:cs="宋体"/>
          <w:sz w:val="24"/>
          <w:szCs w:val="24"/>
        </w:rPr>
      </w:pPr>
      <w:r>
        <w:rPr>
          <w:rFonts w:hint="eastAsia" w:ascii="宋体" w:hAnsi="宋体" w:eastAsia="宋体" w:cs="宋体"/>
          <w:sz w:val="24"/>
          <w:szCs w:val="24"/>
        </w:rPr>
        <w:t>缺陷责任期（工程质量保修期）满后30个工作日内，发包人应向承包人颁发工程质量保修责任终止证书，并退还剩余的质量保证金，但保修责任范围内的质量缺陷未处理完成的应除外。</w:t>
      </w:r>
    </w:p>
    <w:p w14:paraId="2FDFD46B">
      <w:pPr>
        <w:pStyle w:val="6"/>
        <w:numPr>
          <w:ilvl w:val="0"/>
          <w:numId w:val="0"/>
        </w:numPr>
        <w:bidi w:val="0"/>
        <w:ind w:left="482" w:leftChars="0"/>
        <w:rPr>
          <w:rFonts w:hint="eastAsia" w:ascii="宋体" w:hAnsi="宋体" w:eastAsia="宋体" w:cs="宋体"/>
          <w:sz w:val="24"/>
          <w:szCs w:val="24"/>
        </w:rPr>
      </w:pPr>
      <w:bookmarkStart w:id="1049" w:name="_Toc10377"/>
      <w:bookmarkStart w:id="1050" w:name="bookmark1452"/>
      <w:bookmarkStart w:id="1051" w:name="bookmark1453"/>
      <w:bookmarkStart w:id="1052" w:name="_Toc14710410"/>
      <w:bookmarkStart w:id="1053" w:name="bookmark1454"/>
      <w:r>
        <w:rPr>
          <w:rFonts w:hint="eastAsia" w:ascii="宋体" w:hAnsi="宋体" w:eastAsia="宋体" w:cs="宋体"/>
          <w:sz w:val="24"/>
          <w:szCs w:val="24"/>
        </w:rPr>
        <w:t>19.7保修责任</w:t>
      </w:r>
      <w:bookmarkEnd w:id="1049"/>
      <w:bookmarkEnd w:id="1050"/>
      <w:bookmarkEnd w:id="1051"/>
      <w:bookmarkEnd w:id="1052"/>
      <w:bookmarkEnd w:id="1053"/>
    </w:p>
    <w:p w14:paraId="46A6C177">
      <w:pPr>
        <w:pStyle w:val="4"/>
        <w:rPr>
          <w:rFonts w:hint="eastAsia" w:ascii="宋体" w:hAnsi="宋体" w:eastAsia="宋体" w:cs="宋体"/>
          <w:sz w:val="24"/>
          <w:szCs w:val="24"/>
        </w:rPr>
      </w:pPr>
      <w:r>
        <w:rPr>
          <w:rFonts w:hint="eastAsia" w:ascii="宋体" w:hAnsi="宋体" w:eastAsia="宋体" w:cs="宋体"/>
          <w:sz w:val="24"/>
          <w:szCs w:val="24"/>
        </w:rPr>
        <w:t>合同当事人根据有关法律规定，在专用合同条款中约定工程质量保修范围、期限和责任。保修期自实际完工验收日期起计算。在全部工程竣工验收前，已经发包人提前验收的单位工程，其保修期的起算日期相应提前。</w:t>
      </w:r>
    </w:p>
    <w:p w14:paraId="129BD31D">
      <w:pPr>
        <w:pStyle w:val="6"/>
        <w:numPr>
          <w:ilvl w:val="0"/>
          <w:numId w:val="0"/>
        </w:numPr>
        <w:bidi w:val="0"/>
        <w:ind w:left="482" w:leftChars="0"/>
        <w:rPr>
          <w:rFonts w:hint="eastAsia" w:ascii="宋体" w:hAnsi="宋体" w:eastAsia="宋体" w:cs="宋体"/>
          <w:sz w:val="24"/>
          <w:szCs w:val="24"/>
        </w:rPr>
      </w:pPr>
      <w:bookmarkStart w:id="1054" w:name="_Toc31099"/>
      <w:bookmarkStart w:id="1055" w:name="_Toc14710411"/>
      <w:bookmarkStart w:id="1056" w:name="bookmark1457"/>
      <w:bookmarkStart w:id="1057" w:name="bookmark1455"/>
      <w:bookmarkStart w:id="1058" w:name="bookmark1456"/>
      <w:r>
        <w:rPr>
          <w:rFonts w:hint="eastAsia" w:ascii="宋体" w:hAnsi="宋体" w:eastAsia="宋体" w:cs="宋体"/>
          <w:sz w:val="24"/>
          <w:szCs w:val="24"/>
        </w:rPr>
        <w:t>20.保险</w:t>
      </w:r>
      <w:bookmarkEnd w:id="1054"/>
      <w:bookmarkEnd w:id="1055"/>
      <w:bookmarkEnd w:id="1056"/>
    </w:p>
    <w:p w14:paraId="68414968">
      <w:pPr>
        <w:pStyle w:val="6"/>
        <w:numPr>
          <w:ilvl w:val="0"/>
          <w:numId w:val="0"/>
        </w:numPr>
        <w:bidi w:val="0"/>
        <w:ind w:left="482" w:leftChars="0"/>
        <w:rPr>
          <w:rFonts w:hint="eastAsia" w:ascii="宋体" w:hAnsi="宋体" w:eastAsia="宋体" w:cs="宋体"/>
          <w:sz w:val="24"/>
          <w:szCs w:val="24"/>
        </w:rPr>
      </w:pPr>
      <w:bookmarkStart w:id="1059" w:name="_Toc14710412"/>
      <w:bookmarkStart w:id="1060" w:name="bookmark1458"/>
      <w:bookmarkStart w:id="1061" w:name="_Toc16520"/>
      <w:r>
        <w:rPr>
          <w:rFonts w:hint="eastAsia" w:ascii="宋体" w:hAnsi="宋体" w:eastAsia="宋体" w:cs="宋体"/>
          <w:sz w:val="24"/>
          <w:szCs w:val="24"/>
        </w:rPr>
        <w:t>20.1工程保险</w:t>
      </w:r>
      <w:bookmarkEnd w:id="1057"/>
      <w:bookmarkEnd w:id="1058"/>
      <w:bookmarkEnd w:id="1059"/>
      <w:bookmarkEnd w:id="1060"/>
      <w:bookmarkEnd w:id="1061"/>
    </w:p>
    <w:p w14:paraId="65B66C01">
      <w:pPr>
        <w:pStyle w:val="4"/>
        <w:rPr>
          <w:rFonts w:hint="eastAsia" w:ascii="宋体" w:hAnsi="宋体" w:eastAsia="宋体" w:cs="宋体"/>
          <w:sz w:val="24"/>
          <w:szCs w:val="24"/>
        </w:rPr>
      </w:pPr>
      <w:r>
        <w:rPr>
          <w:rFonts w:hint="eastAsia" w:ascii="宋体" w:hAnsi="宋体" w:eastAsia="宋体" w:cs="宋体"/>
          <w:sz w:val="24"/>
          <w:szCs w:val="24"/>
        </w:rPr>
        <w:t>除专用合同条款另有约定外，承包人应以发包人和承包人的共同名义向双方同意的保险人投保建筑工程一切险、安装工程一切险。其具体的投保内容、保险金额、保险费率、 保险期限等有关内容在专用合同条款中约定。</w:t>
      </w:r>
    </w:p>
    <w:p w14:paraId="2A841C57">
      <w:pPr>
        <w:pStyle w:val="6"/>
        <w:numPr>
          <w:ilvl w:val="0"/>
          <w:numId w:val="0"/>
        </w:numPr>
        <w:bidi w:val="0"/>
        <w:ind w:left="482" w:leftChars="0"/>
        <w:rPr>
          <w:rFonts w:hint="eastAsia" w:ascii="宋体" w:hAnsi="宋体" w:eastAsia="宋体" w:cs="宋体"/>
          <w:sz w:val="24"/>
          <w:szCs w:val="24"/>
        </w:rPr>
      </w:pPr>
      <w:bookmarkStart w:id="1062" w:name="bookmark1459"/>
      <w:bookmarkStart w:id="1063" w:name="_Toc14710413"/>
      <w:bookmarkStart w:id="1064" w:name="_Toc19236"/>
      <w:bookmarkStart w:id="1065" w:name="bookmark1460"/>
      <w:bookmarkStart w:id="1066" w:name="bookmark1461"/>
      <w:r>
        <w:rPr>
          <w:rFonts w:hint="eastAsia" w:ascii="宋体" w:hAnsi="宋体" w:eastAsia="宋体" w:cs="宋体"/>
          <w:sz w:val="24"/>
          <w:szCs w:val="24"/>
        </w:rPr>
        <w:t>20.2人员工伤事故的保险</w:t>
      </w:r>
      <w:bookmarkEnd w:id="1062"/>
      <w:bookmarkEnd w:id="1063"/>
      <w:bookmarkEnd w:id="1064"/>
      <w:bookmarkEnd w:id="1065"/>
      <w:bookmarkEnd w:id="1066"/>
    </w:p>
    <w:p w14:paraId="48B57B8B">
      <w:pPr>
        <w:pStyle w:val="6"/>
        <w:numPr>
          <w:ilvl w:val="0"/>
          <w:numId w:val="0"/>
        </w:numPr>
        <w:bidi w:val="0"/>
        <w:ind w:left="482" w:leftChars="0"/>
        <w:rPr>
          <w:rFonts w:hint="eastAsia" w:ascii="宋体" w:hAnsi="宋体" w:eastAsia="宋体" w:cs="宋体"/>
          <w:sz w:val="24"/>
          <w:szCs w:val="24"/>
        </w:rPr>
      </w:pPr>
      <w:bookmarkStart w:id="1067" w:name="bookmark1462"/>
      <w:bookmarkEnd w:id="1067"/>
      <w:r>
        <w:rPr>
          <w:rFonts w:hint="eastAsia" w:ascii="宋体" w:hAnsi="宋体" w:eastAsia="宋体" w:cs="宋体"/>
          <w:sz w:val="24"/>
          <w:szCs w:val="24"/>
        </w:rPr>
        <w:t>20.2.1承包人员工伤事故的保险</w:t>
      </w:r>
    </w:p>
    <w:p w14:paraId="37DFD6D7">
      <w:pPr>
        <w:pStyle w:val="4"/>
        <w:rPr>
          <w:rFonts w:hint="eastAsia" w:ascii="宋体" w:hAnsi="宋体" w:eastAsia="宋体" w:cs="宋体"/>
          <w:sz w:val="24"/>
          <w:szCs w:val="24"/>
        </w:rPr>
      </w:pPr>
      <w:r>
        <w:rPr>
          <w:rFonts w:hint="eastAsia" w:ascii="宋体" w:hAnsi="宋体" w:eastAsia="宋体" w:cs="宋体"/>
          <w:sz w:val="24"/>
          <w:szCs w:val="24"/>
        </w:rPr>
        <w:t>承包人应依照有关法律规定参加工伤保险，为其履行合同所雇佣的全部人员，缴纳工 伤保险费，并要求其分包人也进行此项保险。</w:t>
      </w:r>
    </w:p>
    <w:p w14:paraId="14850002">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20.2.2发包人员工伤事故的保险</w:t>
      </w:r>
    </w:p>
    <w:p w14:paraId="6E7B9FA5">
      <w:pPr>
        <w:pStyle w:val="4"/>
        <w:rPr>
          <w:rFonts w:hint="eastAsia" w:ascii="宋体" w:hAnsi="宋体" w:eastAsia="宋体" w:cs="宋体"/>
          <w:sz w:val="24"/>
          <w:szCs w:val="24"/>
        </w:rPr>
      </w:pPr>
      <w:r>
        <w:rPr>
          <w:rFonts w:hint="eastAsia" w:ascii="宋体" w:hAnsi="宋体" w:eastAsia="宋体" w:cs="宋体"/>
          <w:sz w:val="24"/>
          <w:szCs w:val="24"/>
        </w:rPr>
        <w:t>发包人应依照有关法律规定参加工伤保险，为其现场机构雇佣的全部人员，缴纳工伤保险费，并要求其监理人也进行此项保险。</w:t>
      </w:r>
    </w:p>
    <w:p w14:paraId="39D473A7">
      <w:pPr>
        <w:pStyle w:val="6"/>
        <w:numPr>
          <w:ilvl w:val="0"/>
          <w:numId w:val="0"/>
        </w:numPr>
        <w:bidi w:val="0"/>
        <w:ind w:left="482" w:leftChars="0"/>
        <w:rPr>
          <w:rFonts w:hint="eastAsia" w:ascii="宋体" w:hAnsi="宋体" w:eastAsia="宋体" w:cs="宋体"/>
          <w:sz w:val="24"/>
          <w:szCs w:val="24"/>
        </w:rPr>
      </w:pPr>
      <w:bookmarkStart w:id="1068" w:name="bookmark1464"/>
      <w:bookmarkStart w:id="1069" w:name="_Toc9146"/>
      <w:bookmarkStart w:id="1070" w:name="bookmark1465"/>
      <w:bookmarkStart w:id="1071" w:name="_Toc14710414"/>
      <w:bookmarkStart w:id="1072" w:name="bookmark1463"/>
      <w:r>
        <w:rPr>
          <w:rFonts w:hint="eastAsia" w:ascii="宋体" w:hAnsi="宋体" w:eastAsia="宋体" w:cs="宋体"/>
          <w:sz w:val="24"/>
          <w:szCs w:val="24"/>
        </w:rPr>
        <w:t>20.3人身意外伤害险</w:t>
      </w:r>
      <w:bookmarkEnd w:id="1068"/>
      <w:bookmarkEnd w:id="1069"/>
      <w:bookmarkEnd w:id="1070"/>
      <w:bookmarkEnd w:id="1071"/>
      <w:bookmarkEnd w:id="1072"/>
    </w:p>
    <w:p w14:paraId="3954D12B">
      <w:pPr>
        <w:pStyle w:val="4"/>
        <w:rPr>
          <w:rFonts w:hint="eastAsia" w:ascii="宋体" w:hAnsi="宋体" w:eastAsia="宋体" w:cs="宋体"/>
          <w:sz w:val="24"/>
          <w:szCs w:val="24"/>
        </w:rPr>
      </w:pPr>
      <w:r>
        <w:rPr>
          <w:rFonts w:hint="eastAsia" w:ascii="宋体" w:hAnsi="宋体" w:eastAsia="宋体" w:cs="宋体"/>
          <w:sz w:val="24"/>
          <w:szCs w:val="24"/>
        </w:rPr>
        <w:t>20.3.1发包人应在整个施工期间为其现场机构雇用的全部人员，投保人身意外伤害险，缴纳保险费，并要求其监理人也进行此项保险。</w:t>
      </w:r>
    </w:p>
    <w:p w14:paraId="0F373B39">
      <w:pPr>
        <w:pStyle w:val="4"/>
        <w:rPr>
          <w:rFonts w:hint="eastAsia" w:ascii="宋体" w:hAnsi="宋体" w:eastAsia="宋体" w:cs="宋体"/>
          <w:sz w:val="24"/>
          <w:szCs w:val="24"/>
        </w:rPr>
      </w:pPr>
      <w:r>
        <w:rPr>
          <w:rFonts w:hint="eastAsia" w:ascii="宋体" w:hAnsi="宋体" w:eastAsia="宋体" w:cs="宋体"/>
          <w:sz w:val="24"/>
          <w:szCs w:val="24"/>
        </w:rPr>
        <w:t>20.3.2承包人应在整个施工期间为其现场机构雇用的全部人员，投保人身意外伤害险，缴纳保险费，并要求其分包人也进行此项保险。</w:t>
      </w:r>
    </w:p>
    <w:p w14:paraId="54711A3A">
      <w:pPr>
        <w:pStyle w:val="6"/>
        <w:numPr>
          <w:ilvl w:val="0"/>
          <w:numId w:val="0"/>
        </w:numPr>
        <w:bidi w:val="0"/>
        <w:ind w:left="482" w:leftChars="0"/>
        <w:rPr>
          <w:rFonts w:hint="eastAsia" w:ascii="宋体" w:hAnsi="宋体" w:eastAsia="宋体" w:cs="宋体"/>
          <w:sz w:val="24"/>
          <w:szCs w:val="24"/>
        </w:rPr>
      </w:pPr>
      <w:bookmarkStart w:id="1073" w:name="bookmark1467"/>
      <w:bookmarkStart w:id="1074" w:name="bookmark1466"/>
      <w:bookmarkStart w:id="1075" w:name="_Toc14710415"/>
      <w:bookmarkStart w:id="1076" w:name="bookmark1468"/>
      <w:bookmarkStart w:id="1077" w:name="_Toc10666"/>
      <w:r>
        <w:rPr>
          <w:rFonts w:hint="eastAsia" w:ascii="宋体" w:hAnsi="宋体" w:eastAsia="宋体" w:cs="宋体"/>
          <w:sz w:val="24"/>
          <w:szCs w:val="24"/>
        </w:rPr>
        <w:t>20.4第三者责任险</w:t>
      </w:r>
      <w:bookmarkEnd w:id="1073"/>
      <w:bookmarkEnd w:id="1074"/>
      <w:bookmarkEnd w:id="1075"/>
      <w:bookmarkEnd w:id="1076"/>
      <w:bookmarkEnd w:id="1077"/>
    </w:p>
    <w:p w14:paraId="52E75ACB">
      <w:pPr>
        <w:pStyle w:val="4"/>
        <w:rPr>
          <w:rFonts w:hint="eastAsia" w:ascii="宋体" w:hAnsi="宋体" w:eastAsia="宋体" w:cs="宋体"/>
          <w:sz w:val="24"/>
          <w:szCs w:val="24"/>
        </w:rPr>
      </w:pPr>
      <w:r>
        <w:rPr>
          <w:rFonts w:hint="eastAsia" w:ascii="宋体" w:hAnsi="宋体" w:eastAsia="宋体" w:cs="宋体"/>
          <w:sz w:val="24"/>
          <w:szCs w:val="24"/>
        </w:rPr>
        <w:t>20.4.1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25755ECC">
      <w:pPr>
        <w:pStyle w:val="4"/>
        <w:rPr>
          <w:rFonts w:hint="eastAsia" w:ascii="宋体" w:hAnsi="宋体" w:eastAsia="宋体" w:cs="宋体"/>
          <w:sz w:val="24"/>
          <w:szCs w:val="24"/>
        </w:rPr>
      </w:pPr>
      <w:r>
        <w:rPr>
          <w:rFonts w:hint="eastAsia" w:ascii="宋体" w:hAnsi="宋体" w:eastAsia="宋体" w:cs="宋体"/>
          <w:sz w:val="24"/>
          <w:szCs w:val="24"/>
        </w:rPr>
        <w:t>20.4.2在缺陷责任期终止证书颁发前，承包人应以承包人和发包人的共同名义，投保第20. 4.1项约定的第三者责任险，其保险费率、保险金额等有关内容在专用合同条款中约定。</w:t>
      </w:r>
    </w:p>
    <w:p w14:paraId="66C581C7">
      <w:pPr>
        <w:pStyle w:val="6"/>
        <w:numPr>
          <w:ilvl w:val="0"/>
          <w:numId w:val="0"/>
        </w:numPr>
        <w:bidi w:val="0"/>
        <w:ind w:left="482" w:leftChars="0"/>
        <w:rPr>
          <w:rFonts w:hint="eastAsia" w:ascii="宋体" w:hAnsi="宋体" w:eastAsia="宋体" w:cs="宋体"/>
          <w:sz w:val="24"/>
          <w:szCs w:val="24"/>
        </w:rPr>
      </w:pPr>
      <w:bookmarkStart w:id="1078" w:name="_Toc15855"/>
      <w:bookmarkStart w:id="1079" w:name="bookmark1471"/>
      <w:bookmarkStart w:id="1080" w:name="_Toc14710416"/>
      <w:bookmarkStart w:id="1081" w:name="bookmark1469"/>
      <w:bookmarkStart w:id="1082" w:name="bookmark1470"/>
      <w:r>
        <w:rPr>
          <w:rFonts w:hint="eastAsia" w:ascii="宋体" w:hAnsi="宋体" w:eastAsia="宋体" w:cs="宋体"/>
          <w:sz w:val="24"/>
          <w:szCs w:val="24"/>
        </w:rPr>
        <w:t>20.5其他保险</w:t>
      </w:r>
      <w:bookmarkEnd w:id="1078"/>
      <w:bookmarkEnd w:id="1079"/>
      <w:bookmarkEnd w:id="1080"/>
      <w:bookmarkEnd w:id="1081"/>
      <w:bookmarkEnd w:id="1082"/>
    </w:p>
    <w:p w14:paraId="7E1A1D8C">
      <w:pPr>
        <w:pStyle w:val="4"/>
        <w:rPr>
          <w:rFonts w:hint="eastAsia" w:ascii="宋体" w:hAnsi="宋体" w:eastAsia="宋体" w:cs="宋体"/>
          <w:sz w:val="24"/>
          <w:szCs w:val="24"/>
        </w:rPr>
      </w:pPr>
      <w:r>
        <w:rPr>
          <w:rFonts w:hint="eastAsia" w:ascii="宋体" w:hAnsi="宋体" w:eastAsia="宋体" w:cs="宋体"/>
          <w:sz w:val="24"/>
          <w:szCs w:val="24"/>
        </w:rPr>
        <w:t>除专用合同条款另有约定外，承包人应为其施工设备、进场的材料和工程设备等办理保险。</w:t>
      </w:r>
    </w:p>
    <w:p w14:paraId="3DC7180F">
      <w:pPr>
        <w:pStyle w:val="6"/>
        <w:numPr>
          <w:ilvl w:val="0"/>
          <w:numId w:val="0"/>
        </w:numPr>
        <w:bidi w:val="0"/>
        <w:ind w:left="482" w:leftChars="0"/>
        <w:rPr>
          <w:rFonts w:hint="eastAsia" w:ascii="宋体" w:hAnsi="宋体" w:eastAsia="宋体" w:cs="宋体"/>
          <w:sz w:val="24"/>
          <w:szCs w:val="24"/>
        </w:rPr>
      </w:pPr>
      <w:bookmarkStart w:id="1083" w:name="_Toc14710417"/>
      <w:bookmarkStart w:id="1084" w:name="bookmark1472"/>
      <w:bookmarkStart w:id="1085" w:name="bookmark1474"/>
      <w:bookmarkStart w:id="1086" w:name="_Toc20306"/>
      <w:bookmarkStart w:id="1087" w:name="bookmark1473"/>
      <w:r>
        <w:rPr>
          <w:rFonts w:hint="eastAsia" w:ascii="宋体" w:hAnsi="宋体" w:eastAsia="宋体" w:cs="宋体"/>
          <w:sz w:val="24"/>
          <w:szCs w:val="24"/>
        </w:rPr>
        <w:t>20.6对各项保险的一般要求</w:t>
      </w:r>
      <w:bookmarkEnd w:id="1083"/>
      <w:bookmarkEnd w:id="1084"/>
      <w:bookmarkEnd w:id="1085"/>
      <w:bookmarkEnd w:id="1086"/>
      <w:bookmarkEnd w:id="1087"/>
    </w:p>
    <w:p w14:paraId="1DA8175D">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20.6.1保险凭证</w:t>
      </w:r>
    </w:p>
    <w:p w14:paraId="00037316">
      <w:pPr>
        <w:pStyle w:val="4"/>
        <w:rPr>
          <w:rFonts w:hint="eastAsia" w:ascii="宋体" w:hAnsi="宋体" w:eastAsia="宋体" w:cs="宋体"/>
          <w:sz w:val="24"/>
          <w:szCs w:val="24"/>
        </w:rPr>
      </w:pPr>
      <w:r>
        <w:rPr>
          <w:rFonts w:hint="eastAsia" w:ascii="宋体" w:hAnsi="宋体" w:eastAsia="宋体" w:cs="宋体"/>
          <w:sz w:val="24"/>
          <w:szCs w:val="24"/>
        </w:rPr>
        <w:t>承包人应在专用合同条款约定的期限内向发包人提交各项保险生效的证据和保险单副本，保险单必须与专用合同条款约定的条件保持一致。</w:t>
      </w:r>
    </w:p>
    <w:p w14:paraId="08E87269">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20.6.2保险合同条款的变动</w:t>
      </w:r>
    </w:p>
    <w:p w14:paraId="3E76D994">
      <w:pPr>
        <w:pStyle w:val="4"/>
        <w:rPr>
          <w:rFonts w:hint="eastAsia" w:ascii="宋体" w:hAnsi="宋体" w:eastAsia="宋体" w:cs="宋体"/>
          <w:sz w:val="24"/>
          <w:szCs w:val="24"/>
        </w:rPr>
      </w:pPr>
      <w:r>
        <w:rPr>
          <w:rFonts w:hint="eastAsia" w:ascii="宋体" w:hAnsi="宋体" w:eastAsia="宋体" w:cs="宋体"/>
          <w:sz w:val="24"/>
          <w:szCs w:val="24"/>
        </w:rPr>
        <w:t>承包人需要变动保险合同条款时，应事先征得发包人同意，并通知监理人。保险人作出变动的，承包人应在收到保险人通知后立即通知发包人和监理人。</w:t>
      </w:r>
    </w:p>
    <w:p w14:paraId="78D84CE1">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20.6.3持续保险</w:t>
      </w:r>
    </w:p>
    <w:p w14:paraId="346FCECB">
      <w:pPr>
        <w:pStyle w:val="4"/>
        <w:rPr>
          <w:rFonts w:hint="eastAsia" w:ascii="宋体" w:hAnsi="宋体" w:eastAsia="宋体" w:cs="宋体"/>
          <w:sz w:val="24"/>
          <w:szCs w:val="24"/>
        </w:rPr>
      </w:pPr>
      <w:r>
        <w:rPr>
          <w:rFonts w:hint="eastAsia" w:ascii="宋体" w:hAnsi="宋体" w:eastAsia="宋体" w:cs="宋体"/>
          <w:sz w:val="24"/>
          <w:szCs w:val="24"/>
        </w:rPr>
        <w:t>承包人应与保险人保持联系，使保险人能够随时了解工程实施中的变动，并确保按保险合同条款要求持续保险。</w:t>
      </w:r>
    </w:p>
    <w:p w14:paraId="6E57DE3E">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20.6.4保险金不足的补偿</w:t>
      </w:r>
    </w:p>
    <w:p w14:paraId="39E53E3F">
      <w:pPr>
        <w:pStyle w:val="4"/>
        <w:rPr>
          <w:rFonts w:hint="eastAsia" w:ascii="宋体" w:hAnsi="宋体" w:eastAsia="宋体" w:cs="宋体"/>
          <w:sz w:val="24"/>
          <w:szCs w:val="24"/>
        </w:rPr>
      </w:pPr>
      <w:r>
        <w:rPr>
          <w:rFonts w:hint="eastAsia" w:ascii="宋体" w:hAnsi="宋体" w:eastAsia="宋体" w:cs="宋体"/>
          <w:sz w:val="24"/>
          <w:szCs w:val="24"/>
        </w:rPr>
        <w:t>保险金不足以补偿损失时，应由承包人和发包人各自负责补偿的范围和金额在专用合 同条款中约定。</w:t>
      </w:r>
    </w:p>
    <w:p w14:paraId="49DD8F37">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20.6.5未按约定投保的补救</w:t>
      </w:r>
    </w:p>
    <w:p w14:paraId="78FE8BBF">
      <w:pPr>
        <w:pStyle w:val="4"/>
        <w:rPr>
          <w:rFonts w:hint="eastAsia" w:ascii="宋体" w:hAnsi="宋体" w:eastAsia="宋体" w:cs="宋体"/>
          <w:sz w:val="24"/>
          <w:szCs w:val="24"/>
        </w:rPr>
      </w:pPr>
      <w:bookmarkStart w:id="1088" w:name="bookmark1475"/>
      <w:bookmarkEnd w:id="1088"/>
      <w:r>
        <w:rPr>
          <w:rFonts w:hint="eastAsia" w:ascii="宋体" w:hAnsi="宋体" w:eastAsia="宋体" w:cs="宋体"/>
          <w:b w:val="0"/>
          <w:i w:val="0"/>
          <w:strike w:val="0"/>
          <w:color w:val="000000"/>
          <w:sz w:val="24"/>
          <w:szCs w:val="24"/>
          <w:u w:val="none"/>
        </w:rPr>
        <w:t>(1)</w:t>
      </w:r>
      <w:r>
        <w:rPr>
          <w:rFonts w:hint="eastAsia" w:ascii="宋体" w:hAnsi="宋体" w:eastAsia="宋体" w:cs="宋体"/>
          <w:sz w:val="24"/>
          <w:szCs w:val="24"/>
        </w:rPr>
        <w:t>由于负有投保义务的一方当事人未按合同约定办理保险，或未能使保险持续有效的，另一方当事人可代为办理，所需费用由对方当事人承担。</w:t>
      </w:r>
    </w:p>
    <w:p w14:paraId="740DDDEC">
      <w:pPr>
        <w:pStyle w:val="4"/>
        <w:rPr>
          <w:rFonts w:hint="eastAsia" w:ascii="宋体" w:hAnsi="宋体" w:eastAsia="宋体" w:cs="宋体"/>
          <w:sz w:val="24"/>
          <w:szCs w:val="24"/>
        </w:rPr>
      </w:pPr>
      <w:bookmarkStart w:id="1089" w:name="bookmark1476"/>
      <w:bookmarkEnd w:id="1089"/>
      <w:r>
        <w:rPr>
          <w:rFonts w:hint="eastAsia" w:ascii="宋体" w:hAnsi="宋体" w:eastAsia="宋体" w:cs="宋体"/>
          <w:b w:val="0"/>
          <w:i w:val="0"/>
          <w:strike w:val="0"/>
          <w:color w:val="000000"/>
          <w:sz w:val="24"/>
          <w:szCs w:val="24"/>
          <w:u w:val="none"/>
        </w:rPr>
        <w:t>(2)</w:t>
      </w:r>
      <w:r>
        <w:rPr>
          <w:rFonts w:hint="eastAsia" w:ascii="宋体" w:hAnsi="宋体" w:eastAsia="宋体" w:cs="宋体"/>
          <w:sz w:val="24"/>
          <w:szCs w:val="24"/>
        </w:rPr>
        <w:t>由于负有投保义务的一方当事人未按合同约定办理某项保险，导致受益人未能得到保险人的赔偿，原应从该项保险得到的保险金应由负有投保义务的一方当事人支付。</w:t>
      </w:r>
    </w:p>
    <w:p w14:paraId="121CC2C2">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20.6.6报告义务</w:t>
      </w:r>
    </w:p>
    <w:p w14:paraId="6F57AAE9">
      <w:pPr>
        <w:pStyle w:val="4"/>
        <w:rPr>
          <w:rFonts w:hint="eastAsia" w:ascii="宋体" w:hAnsi="宋体" w:eastAsia="宋体" w:cs="宋体"/>
          <w:sz w:val="24"/>
          <w:szCs w:val="24"/>
        </w:rPr>
      </w:pPr>
      <w:r>
        <w:rPr>
          <w:rFonts w:hint="eastAsia" w:ascii="宋体" w:hAnsi="宋体" w:eastAsia="宋体" w:cs="宋体"/>
          <w:sz w:val="24"/>
          <w:szCs w:val="24"/>
        </w:rPr>
        <w:t>当保险事故发生时，投保人应按照保险单规定的条件和期限及时向保险人报告。</w:t>
      </w:r>
    </w:p>
    <w:p w14:paraId="796CF8C7">
      <w:pPr>
        <w:pStyle w:val="6"/>
        <w:numPr>
          <w:ilvl w:val="0"/>
          <w:numId w:val="0"/>
        </w:numPr>
        <w:bidi w:val="0"/>
        <w:ind w:left="482" w:leftChars="0"/>
        <w:rPr>
          <w:rFonts w:hint="eastAsia" w:ascii="宋体" w:hAnsi="宋体" w:eastAsia="宋体" w:cs="宋体"/>
          <w:sz w:val="24"/>
          <w:szCs w:val="24"/>
        </w:rPr>
      </w:pPr>
      <w:bookmarkStart w:id="1090" w:name="bookmark1477"/>
      <w:bookmarkStart w:id="1091" w:name="bookmark1479"/>
      <w:bookmarkStart w:id="1092" w:name="_Toc12103"/>
      <w:bookmarkStart w:id="1093" w:name="_Toc14710418"/>
      <w:bookmarkStart w:id="1094" w:name="bookmark1478"/>
      <w:r>
        <w:rPr>
          <w:rFonts w:hint="eastAsia" w:ascii="宋体" w:hAnsi="宋体" w:eastAsia="宋体" w:cs="宋体"/>
          <w:sz w:val="24"/>
          <w:szCs w:val="24"/>
        </w:rPr>
        <w:t>20.7风险责任的转移</w:t>
      </w:r>
      <w:bookmarkEnd w:id="1090"/>
      <w:bookmarkEnd w:id="1091"/>
      <w:bookmarkEnd w:id="1092"/>
      <w:bookmarkEnd w:id="1093"/>
      <w:bookmarkEnd w:id="1094"/>
    </w:p>
    <w:p w14:paraId="7389A9F3">
      <w:pPr>
        <w:pStyle w:val="4"/>
        <w:rPr>
          <w:rFonts w:hint="eastAsia" w:ascii="宋体" w:hAnsi="宋体" w:eastAsia="宋体" w:cs="宋体"/>
          <w:sz w:val="24"/>
          <w:szCs w:val="24"/>
        </w:rPr>
      </w:pPr>
      <w:r>
        <w:rPr>
          <w:rFonts w:hint="eastAsia" w:ascii="宋体" w:hAnsi="宋体" w:eastAsia="宋体" w:cs="宋体"/>
          <w:sz w:val="24"/>
          <w:szCs w:val="24"/>
        </w:rPr>
        <w:t>工程通过合同工程完工验收并移交给发包人后，原由承包人应承担的风险责任，以及保险的责任、权利和义务同时转移给发包人，但承包人在缺陷责任期(工程质量保修期) 前造成损失和损坏情形除外。</w:t>
      </w:r>
    </w:p>
    <w:p w14:paraId="51A12A50">
      <w:pPr>
        <w:pStyle w:val="6"/>
        <w:numPr>
          <w:ilvl w:val="0"/>
          <w:numId w:val="0"/>
        </w:numPr>
        <w:bidi w:val="0"/>
        <w:ind w:left="482" w:leftChars="0"/>
        <w:rPr>
          <w:rFonts w:hint="eastAsia" w:ascii="宋体" w:hAnsi="宋体" w:eastAsia="宋体" w:cs="宋体"/>
          <w:sz w:val="24"/>
          <w:szCs w:val="24"/>
        </w:rPr>
      </w:pPr>
      <w:bookmarkStart w:id="1095" w:name="_Toc14710419"/>
      <w:bookmarkStart w:id="1096" w:name="bookmark1482"/>
      <w:bookmarkStart w:id="1097" w:name="bookmark1480"/>
      <w:bookmarkStart w:id="1098" w:name="bookmark1481"/>
      <w:bookmarkStart w:id="1099" w:name="_Toc5879"/>
      <w:r>
        <w:rPr>
          <w:rFonts w:hint="eastAsia" w:ascii="宋体" w:hAnsi="宋体" w:eastAsia="宋体" w:cs="宋体"/>
          <w:sz w:val="24"/>
          <w:szCs w:val="24"/>
        </w:rPr>
        <w:t>21.不可抗力</w:t>
      </w:r>
      <w:bookmarkEnd w:id="1095"/>
      <w:bookmarkEnd w:id="1096"/>
      <w:bookmarkEnd w:id="1097"/>
      <w:bookmarkEnd w:id="1098"/>
      <w:bookmarkEnd w:id="1099"/>
    </w:p>
    <w:p w14:paraId="697732DF">
      <w:pPr>
        <w:pStyle w:val="6"/>
        <w:numPr>
          <w:ilvl w:val="0"/>
          <w:numId w:val="0"/>
        </w:numPr>
        <w:bidi w:val="0"/>
        <w:ind w:left="482" w:leftChars="0"/>
        <w:rPr>
          <w:rFonts w:hint="eastAsia" w:ascii="宋体" w:hAnsi="宋体" w:eastAsia="宋体" w:cs="宋体"/>
          <w:sz w:val="24"/>
          <w:szCs w:val="24"/>
        </w:rPr>
      </w:pPr>
      <w:bookmarkStart w:id="1100" w:name="bookmark1484"/>
      <w:bookmarkStart w:id="1101" w:name="bookmark1485"/>
      <w:bookmarkStart w:id="1102" w:name="_Toc14710420"/>
      <w:bookmarkStart w:id="1103" w:name="_Toc15722"/>
      <w:bookmarkStart w:id="1104" w:name="bookmark1483"/>
      <w:r>
        <w:rPr>
          <w:rFonts w:hint="eastAsia" w:ascii="宋体" w:hAnsi="宋体" w:eastAsia="宋体" w:cs="宋体"/>
          <w:sz w:val="24"/>
          <w:szCs w:val="24"/>
        </w:rPr>
        <w:t>21.1不可抗力的确认</w:t>
      </w:r>
      <w:bookmarkEnd w:id="1100"/>
      <w:bookmarkEnd w:id="1101"/>
      <w:bookmarkEnd w:id="1102"/>
      <w:bookmarkEnd w:id="1103"/>
      <w:bookmarkEnd w:id="1104"/>
    </w:p>
    <w:p w14:paraId="05A34B9A">
      <w:pPr>
        <w:pStyle w:val="4"/>
        <w:rPr>
          <w:rFonts w:hint="eastAsia" w:ascii="宋体" w:hAnsi="宋体" w:eastAsia="宋体" w:cs="宋体"/>
          <w:sz w:val="24"/>
          <w:szCs w:val="24"/>
        </w:rPr>
      </w:pPr>
      <w:r>
        <w:rPr>
          <w:rFonts w:hint="eastAsia" w:ascii="宋体" w:hAnsi="宋体" w:eastAsia="宋体" w:cs="宋体"/>
          <w:sz w:val="24"/>
          <w:szCs w:val="24"/>
        </w:rPr>
        <w:t>21.1.1不可抗力是指承包人和发包人在订立合同时不可预见，在工程施工过程中不可避免发生并不能克服的自然灾害和社会性突发事件，如地震、海啸、瘟疫、水灾、骚乱、 暴动、战争和专用合同条款约定的其他情形。</w:t>
      </w:r>
    </w:p>
    <w:p w14:paraId="28486ECB">
      <w:pPr>
        <w:pStyle w:val="4"/>
        <w:rPr>
          <w:rFonts w:hint="eastAsia" w:ascii="宋体" w:hAnsi="宋体" w:eastAsia="宋体" w:cs="宋体"/>
          <w:sz w:val="24"/>
          <w:szCs w:val="24"/>
        </w:rPr>
      </w:pPr>
      <w:r>
        <w:rPr>
          <w:rFonts w:hint="eastAsia" w:ascii="宋体" w:hAnsi="宋体" w:eastAsia="宋体" w:cs="宋体"/>
          <w:sz w:val="24"/>
          <w:szCs w:val="24"/>
        </w:rPr>
        <w:t>21.1.2不可抗力发生后，发包人和承包人应及时认真统计所造成的损失，收集不可抗力造成损失的证据。合同双方对是否属于不可抗力或其损失的意见不一致的，由监理人按第3. 5款商定或确定。发生争议时，按第24条的约定办理。</w:t>
      </w:r>
    </w:p>
    <w:p w14:paraId="02CC793B">
      <w:pPr>
        <w:pStyle w:val="6"/>
        <w:numPr>
          <w:ilvl w:val="0"/>
          <w:numId w:val="0"/>
        </w:numPr>
        <w:bidi w:val="0"/>
        <w:ind w:left="482" w:leftChars="0"/>
        <w:rPr>
          <w:rFonts w:hint="eastAsia" w:ascii="宋体" w:hAnsi="宋体" w:eastAsia="宋体" w:cs="宋体"/>
          <w:sz w:val="24"/>
          <w:szCs w:val="24"/>
        </w:rPr>
      </w:pPr>
      <w:bookmarkStart w:id="1105" w:name="bookmark1487"/>
      <w:bookmarkStart w:id="1106" w:name="_Toc14710421"/>
      <w:bookmarkStart w:id="1107" w:name="_Toc5372"/>
      <w:bookmarkStart w:id="1108" w:name="bookmark1488"/>
      <w:bookmarkStart w:id="1109" w:name="bookmark1486"/>
      <w:r>
        <w:rPr>
          <w:rFonts w:hint="eastAsia" w:ascii="宋体" w:hAnsi="宋体" w:eastAsia="宋体" w:cs="宋体"/>
          <w:sz w:val="24"/>
          <w:szCs w:val="24"/>
        </w:rPr>
        <w:t>21.2不可抗力的通知</w:t>
      </w:r>
      <w:bookmarkEnd w:id="1105"/>
      <w:bookmarkEnd w:id="1106"/>
      <w:bookmarkEnd w:id="1107"/>
      <w:bookmarkEnd w:id="1108"/>
      <w:bookmarkEnd w:id="1109"/>
    </w:p>
    <w:p w14:paraId="0DF15C30">
      <w:pPr>
        <w:pStyle w:val="4"/>
        <w:rPr>
          <w:rFonts w:hint="eastAsia" w:ascii="宋体" w:hAnsi="宋体" w:eastAsia="宋体" w:cs="宋体"/>
          <w:sz w:val="24"/>
          <w:szCs w:val="24"/>
        </w:rPr>
      </w:pPr>
      <w:r>
        <w:rPr>
          <w:rFonts w:hint="eastAsia" w:ascii="宋体" w:hAnsi="宋体" w:eastAsia="宋体" w:cs="宋体"/>
          <w:sz w:val="24"/>
          <w:szCs w:val="24"/>
        </w:rPr>
        <w:t>21.2.1合同一方当事人遇到不可抗力事件，使其履行合同义务受到阻碍时，应立即通知合同另一方当事人和监理人，书面说明不可抗力和受阻碍的详细情况，并提供必要的证明。</w:t>
      </w:r>
    </w:p>
    <w:p w14:paraId="45F544B3">
      <w:pPr>
        <w:pStyle w:val="4"/>
        <w:rPr>
          <w:rFonts w:hint="eastAsia" w:ascii="宋体" w:hAnsi="宋体" w:eastAsia="宋体" w:cs="宋体"/>
          <w:sz w:val="24"/>
          <w:szCs w:val="24"/>
        </w:rPr>
      </w:pPr>
      <w:r>
        <w:rPr>
          <w:rFonts w:hint="eastAsia" w:ascii="宋体" w:hAnsi="宋体" w:eastAsia="宋体" w:cs="宋体"/>
          <w:sz w:val="24"/>
          <w:szCs w:val="24"/>
        </w:rPr>
        <w:t>21.2.2如不可抗力持续发生，合同一方当事人应及时向合同另一方当事人和监理人提交中间报告，说明不可抗力和履行合同受阻的情况，并于不可抗力事件结束后28天内提交最终报告及有关资料。</w:t>
      </w:r>
    </w:p>
    <w:p w14:paraId="5126CB48">
      <w:pPr>
        <w:pStyle w:val="6"/>
        <w:numPr>
          <w:ilvl w:val="0"/>
          <w:numId w:val="0"/>
        </w:numPr>
        <w:bidi w:val="0"/>
        <w:ind w:left="482" w:leftChars="0"/>
        <w:rPr>
          <w:rFonts w:hint="eastAsia" w:ascii="宋体" w:hAnsi="宋体" w:eastAsia="宋体" w:cs="宋体"/>
          <w:sz w:val="24"/>
          <w:szCs w:val="24"/>
        </w:rPr>
      </w:pPr>
      <w:bookmarkStart w:id="1110" w:name="_Toc14710422"/>
      <w:bookmarkStart w:id="1111" w:name="_Toc17208"/>
      <w:bookmarkStart w:id="1112" w:name="bookmark1491"/>
      <w:bookmarkStart w:id="1113" w:name="bookmark1490"/>
      <w:bookmarkStart w:id="1114" w:name="bookmark1489"/>
      <w:r>
        <w:rPr>
          <w:rFonts w:hint="eastAsia" w:ascii="宋体" w:hAnsi="宋体" w:eastAsia="宋体" w:cs="宋体"/>
          <w:sz w:val="24"/>
          <w:szCs w:val="24"/>
        </w:rPr>
        <w:t>21.3不可抗力后果及其处理</w:t>
      </w:r>
      <w:bookmarkEnd w:id="1110"/>
      <w:bookmarkEnd w:id="1111"/>
      <w:bookmarkEnd w:id="1112"/>
      <w:bookmarkEnd w:id="1113"/>
      <w:bookmarkEnd w:id="1114"/>
    </w:p>
    <w:p w14:paraId="7C6D9A55">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21.3.1不可抗力造成损害的责任</w:t>
      </w:r>
    </w:p>
    <w:p w14:paraId="74518CFD">
      <w:pPr>
        <w:pStyle w:val="4"/>
        <w:rPr>
          <w:rFonts w:hint="eastAsia" w:ascii="宋体" w:hAnsi="宋体" w:eastAsia="宋体" w:cs="宋体"/>
          <w:sz w:val="24"/>
          <w:szCs w:val="24"/>
        </w:rPr>
      </w:pPr>
      <w:r>
        <w:rPr>
          <w:rFonts w:hint="eastAsia" w:ascii="宋体" w:hAnsi="宋体" w:eastAsia="宋体" w:cs="宋体"/>
          <w:sz w:val="24"/>
          <w:szCs w:val="24"/>
        </w:rPr>
        <w:t>除专用合同条款另有约定外，不可抗力导致的人员伤亡、财产损失、费用增加和(或) 工期延误等后果，由合同双方按以下原则承担：</w:t>
      </w:r>
    </w:p>
    <w:p w14:paraId="0570C8E4">
      <w:pPr>
        <w:pStyle w:val="4"/>
        <w:rPr>
          <w:rFonts w:hint="eastAsia" w:ascii="宋体" w:hAnsi="宋体" w:eastAsia="宋体" w:cs="宋体"/>
          <w:sz w:val="24"/>
          <w:szCs w:val="24"/>
        </w:rPr>
      </w:pPr>
      <w:bookmarkStart w:id="1115" w:name="bookmark1492"/>
      <w:bookmarkEnd w:id="1115"/>
      <w:r>
        <w:rPr>
          <w:rFonts w:hint="eastAsia" w:ascii="宋体" w:hAnsi="宋体" w:eastAsia="宋体" w:cs="宋体"/>
          <w:b w:val="0"/>
          <w:i w:val="0"/>
          <w:strike w:val="0"/>
          <w:color w:val="000000"/>
          <w:sz w:val="24"/>
          <w:szCs w:val="24"/>
          <w:u w:val="none"/>
        </w:rPr>
        <w:t>(1)</w:t>
      </w:r>
      <w:r>
        <w:rPr>
          <w:rFonts w:hint="eastAsia" w:ascii="宋体" w:hAnsi="宋体" w:eastAsia="宋体" w:cs="宋体"/>
          <w:sz w:val="24"/>
          <w:szCs w:val="24"/>
        </w:rPr>
        <w:t>永久工程，包括已运至施工场地的材料和工程设备的损害，以及因工程损害造成的第三者人员伤亡和财产损失由发包人承担；</w:t>
      </w:r>
    </w:p>
    <w:p w14:paraId="04F6768D">
      <w:pPr>
        <w:pStyle w:val="4"/>
        <w:rPr>
          <w:rFonts w:hint="eastAsia" w:ascii="宋体" w:hAnsi="宋体" w:eastAsia="宋体" w:cs="宋体"/>
          <w:sz w:val="24"/>
          <w:szCs w:val="24"/>
        </w:rPr>
      </w:pPr>
      <w:bookmarkStart w:id="1116" w:name="bookmark1493"/>
      <w:bookmarkEnd w:id="1116"/>
      <w:r>
        <w:rPr>
          <w:rFonts w:hint="eastAsia" w:ascii="宋体" w:hAnsi="宋体" w:eastAsia="宋体" w:cs="宋体"/>
          <w:b w:val="0"/>
          <w:i w:val="0"/>
          <w:strike w:val="0"/>
          <w:color w:val="000000"/>
          <w:sz w:val="24"/>
          <w:szCs w:val="24"/>
          <w:u w:val="none"/>
        </w:rPr>
        <w:t>(2)</w:t>
      </w:r>
      <w:r>
        <w:rPr>
          <w:rFonts w:hint="eastAsia" w:ascii="宋体" w:hAnsi="宋体" w:eastAsia="宋体" w:cs="宋体"/>
          <w:sz w:val="24"/>
          <w:szCs w:val="24"/>
        </w:rPr>
        <w:t>承包人设备的损坏由承包人承担；</w:t>
      </w:r>
    </w:p>
    <w:p w14:paraId="70E818A0">
      <w:pPr>
        <w:pStyle w:val="4"/>
        <w:rPr>
          <w:rFonts w:hint="eastAsia" w:ascii="宋体" w:hAnsi="宋体" w:eastAsia="宋体" w:cs="宋体"/>
          <w:sz w:val="24"/>
          <w:szCs w:val="24"/>
        </w:rPr>
      </w:pPr>
      <w:bookmarkStart w:id="1117" w:name="bookmark1494"/>
      <w:bookmarkEnd w:id="1117"/>
      <w:r>
        <w:rPr>
          <w:rFonts w:hint="eastAsia" w:ascii="宋体" w:hAnsi="宋体" w:eastAsia="宋体" w:cs="宋体"/>
          <w:b w:val="0"/>
          <w:i w:val="0"/>
          <w:strike w:val="0"/>
          <w:color w:val="000000"/>
          <w:sz w:val="24"/>
          <w:szCs w:val="24"/>
          <w:u w:val="none"/>
        </w:rPr>
        <w:t>(3)</w:t>
      </w:r>
      <w:r>
        <w:rPr>
          <w:rFonts w:hint="eastAsia" w:ascii="宋体" w:hAnsi="宋体" w:eastAsia="宋体" w:cs="宋体"/>
          <w:sz w:val="24"/>
          <w:szCs w:val="24"/>
        </w:rPr>
        <w:t>发包人和承包人各自承担其人员伤亡和其他财产损失及其相关费用；</w:t>
      </w:r>
    </w:p>
    <w:p w14:paraId="1A107565">
      <w:pPr>
        <w:pStyle w:val="4"/>
        <w:rPr>
          <w:rFonts w:hint="eastAsia" w:ascii="宋体" w:hAnsi="宋体" w:eastAsia="宋体" w:cs="宋体"/>
          <w:sz w:val="24"/>
          <w:szCs w:val="24"/>
        </w:rPr>
      </w:pPr>
      <w:bookmarkStart w:id="1118" w:name="bookmark1495"/>
      <w:bookmarkEnd w:id="1118"/>
      <w:r>
        <w:rPr>
          <w:rFonts w:hint="eastAsia" w:ascii="宋体" w:hAnsi="宋体" w:eastAsia="宋体" w:cs="宋体"/>
          <w:b w:val="0"/>
          <w:i w:val="0"/>
          <w:strike w:val="0"/>
          <w:color w:val="000000"/>
          <w:sz w:val="24"/>
          <w:szCs w:val="24"/>
          <w:u w:val="none"/>
        </w:rPr>
        <w:t>(4)</w:t>
      </w:r>
      <w:r>
        <w:rPr>
          <w:rFonts w:hint="eastAsia" w:ascii="宋体" w:hAnsi="宋体" w:eastAsia="宋体" w:cs="宋体"/>
          <w:sz w:val="24"/>
          <w:szCs w:val="24"/>
        </w:rPr>
        <w:t>承包人的停工损失由承包人承担，但停工期间应监理人要求照管工程和清理、修复工程的金额由发包人承担；</w:t>
      </w:r>
    </w:p>
    <w:p w14:paraId="5ECC0108">
      <w:pPr>
        <w:pStyle w:val="4"/>
        <w:rPr>
          <w:rFonts w:hint="eastAsia" w:ascii="宋体" w:hAnsi="宋体" w:eastAsia="宋体" w:cs="宋体"/>
          <w:sz w:val="24"/>
          <w:szCs w:val="24"/>
        </w:rPr>
      </w:pPr>
      <w:bookmarkStart w:id="1119" w:name="bookmark1496"/>
      <w:bookmarkEnd w:id="1119"/>
      <w:r>
        <w:rPr>
          <w:rFonts w:hint="eastAsia" w:ascii="宋体" w:hAnsi="宋体" w:eastAsia="宋体" w:cs="宋体"/>
          <w:b w:val="0"/>
          <w:i w:val="0"/>
          <w:strike w:val="0"/>
          <w:color w:val="000000"/>
          <w:sz w:val="24"/>
          <w:szCs w:val="24"/>
          <w:u w:val="none"/>
        </w:rPr>
        <w:t>(5)</w:t>
      </w:r>
      <w:r>
        <w:rPr>
          <w:rFonts w:hint="eastAsia" w:ascii="宋体" w:hAnsi="宋体" w:eastAsia="宋体" w:cs="宋体"/>
          <w:sz w:val="24"/>
          <w:szCs w:val="24"/>
        </w:rPr>
        <w:t>不能按期竣工的，应合理延长工期，承包人不需支付逾期竣工违约金。发包人要求赶工的，承包人应采取赶工措施，赶工费用由发包人承担。</w:t>
      </w:r>
    </w:p>
    <w:p w14:paraId="3E8D7B83">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21.3.2延迟履行期间发生的不可抗力</w:t>
      </w:r>
    </w:p>
    <w:p w14:paraId="1D8B168E">
      <w:pPr>
        <w:pStyle w:val="4"/>
        <w:rPr>
          <w:rFonts w:hint="eastAsia" w:ascii="宋体" w:hAnsi="宋体" w:eastAsia="宋体" w:cs="宋体"/>
          <w:sz w:val="24"/>
          <w:szCs w:val="24"/>
        </w:rPr>
      </w:pPr>
      <w:r>
        <w:rPr>
          <w:rFonts w:hint="eastAsia" w:ascii="宋体" w:hAnsi="宋体" w:eastAsia="宋体" w:cs="宋体"/>
          <w:sz w:val="24"/>
          <w:szCs w:val="24"/>
        </w:rPr>
        <w:t>合同一方当事人延迟履行，在延迟履行期间发生不可抗力的，不免除其责任。</w:t>
      </w:r>
    </w:p>
    <w:p w14:paraId="4F1584F8">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21.3.3避免和减少不可抗力损失</w:t>
      </w:r>
    </w:p>
    <w:p w14:paraId="70F51EF8">
      <w:pPr>
        <w:pStyle w:val="4"/>
        <w:rPr>
          <w:rFonts w:hint="eastAsia" w:ascii="宋体" w:hAnsi="宋体" w:eastAsia="宋体" w:cs="宋体"/>
          <w:sz w:val="24"/>
          <w:szCs w:val="24"/>
        </w:rPr>
      </w:pPr>
      <w:r>
        <w:rPr>
          <w:rFonts w:hint="eastAsia" w:ascii="宋体" w:hAnsi="宋体" w:eastAsia="宋体" w:cs="宋体"/>
          <w:sz w:val="24"/>
          <w:szCs w:val="24"/>
        </w:rPr>
        <w:t>不可抗力发生后，发包人和承包人均应采取措施尽量避免和减少损失的扩大，任何一 方没有采取有效措施导致损失扩大的，应对扩大的损失承担责任。</w:t>
      </w:r>
    </w:p>
    <w:p w14:paraId="287B9519">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21.3.4因不可抗力解除合同</w:t>
      </w:r>
    </w:p>
    <w:p w14:paraId="2DE3F2F7">
      <w:pPr>
        <w:pStyle w:val="4"/>
        <w:rPr>
          <w:rFonts w:hint="eastAsia" w:ascii="宋体" w:hAnsi="宋体" w:eastAsia="宋体" w:cs="宋体"/>
          <w:sz w:val="24"/>
          <w:szCs w:val="24"/>
        </w:rPr>
      </w:pPr>
      <w:r>
        <w:rPr>
          <w:rFonts w:hint="eastAsia" w:ascii="宋体" w:hAnsi="宋体" w:eastAsia="宋体" w:cs="宋体"/>
          <w:sz w:val="24"/>
          <w:szCs w:val="24"/>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 因未及时退货造成的损失由责任方承担。合同解除后的付款，参照第22. 2.4项约定，由监理人按第3. 5款商定或确定。</w:t>
      </w:r>
    </w:p>
    <w:p w14:paraId="1BD812B6">
      <w:pPr>
        <w:pStyle w:val="6"/>
        <w:numPr>
          <w:ilvl w:val="0"/>
          <w:numId w:val="0"/>
        </w:numPr>
        <w:bidi w:val="0"/>
        <w:ind w:left="482" w:leftChars="0"/>
        <w:rPr>
          <w:rFonts w:hint="eastAsia" w:ascii="宋体" w:hAnsi="宋体" w:eastAsia="宋体" w:cs="宋体"/>
          <w:sz w:val="24"/>
          <w:szCs w:val="24"/>
        </w:rPr>
      </w:pPr>
      <w:bookmarkStart w:id="1120" w:name="_Toc14710423"/>
      <w:bookmarkStart w:id="1121" w:name="_Toc6299"/>
      <w:bookmarkStart w:id="1122" w:name="bookmark1499"/>
      <w:bookmarkStart w:id="1123" w:name="bookmark1497"/>
      <w:bookmarkStart w:id="1124" w:name="bookmark1498"/>
      <w:r>
        <w:rPr>
          <w:rFonts w:hint="eastAsia" w:ascii="宋体" w:hAnsi="宋体" w:eastAsia="宋体" w:cs="宋体"/>
          <w:sz w:val="24"/>
          <w:szCs w:val="24"/>
        </w:rPr>
        <w:t>22.违约</w:t>
      </w:r>
      <w:bookmarkEnd w:id="1120"/>
      <w:bookmarkEnd w:id="1121"/>
      <w:bookmarkEnd w:id="1122"/>
    </w:p>
    <w:p w14:paraId="6C0B096F">
      <w:pPr>
        <w:pStyle w:val="6"/>
        <w:numPr>
          <w:ilvl w:val="0"/>
          <w:numId w:val="0"/>
        </w:numPr>
        <w:bidi w:val="0"/>
        <w:ind w:left="482" w:leftChars="0"/>
        <w:rPr>
          <w:rFonts w:hint="eastAsia" w:ascii="宋体" w:hAnsi="宋体" w:eastAsia="宋体" w:cs="宋体"/>
          <w:sz w:val="24"/>
          <w:szCs w:val="24"/>
        </w:rPr>
      </w:pPr>
      <w:bookmarkStart w:id="1125" w:name="bookmark1500"/>
      <w:bookmarkStart w:id="1126" w:name="_Toc14710424"/>
      <w:bookmarkStart w:id="1127" w:name="_Toc15198"/>
      <w:r>
        <w:rPr>
          <w:rFonts w:hint="eastAsia" w:ascii="宋体" w:hAnsi="宋体" w:eastAsia="宋体" w:cs="宋体"/>
          <w:sz w:val="24"/>
          <w:szCs w:val="24"/>
        </w:rPr>
        <w:t>22.1承包人违约</w:t>
      </w:r>
      <w:bookmarkEnd w:id="1123"/>
      <w:bookmarkEnd w:id="1124"/>
      <w:bookmarkEnd w:id="1125"/>
      <w:bookmarkEnd w:id="1126"/>
      <w:bookmarkEnd w:id="1127"/>
    </w:p>
    <w:p w14:paraId="16C2F668">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22.1.1承包人违约的情形</w:t>
      </w:r>
    </w:p>
    <w:p w14:paraId="7B3BE2FA">
      <w:pPr>
        <w:pStyle w:val="4"/>
        <w:rPr>
          <w:rFonts w:hint="eastAsia" w:ascii="宋体" w:hAnsi="宋体" w:eastAsia="宋体" w:cs="宋体"/>
          <w:sz w:val="24"/>
          <w:szCs w:val="24"/>
        </w:rPr>
      </w:pPr>
      <w:r>
        <w:rPr>
          <w:rFonts w:hint="eastAsia" w:ascii="宋体" w:hAnsi="宋体" w:eastAsia="宋体" w:cs="宋体"/>
          <w:sz w:val="24"/>
          <w:szCs w:val="24"/>
        </w:rPr>
        <w:t>在履行合同过程中发生的下列情况属承包人违约：</w:t>
      </w:r>
    </w:p>
    <w:p w14:paraId="6DE0F155">
      <w:pPr>
        <w:pStyle w:val="4"/>
        <w:rPr>
          <w:rFonts w:hint="eastAsia" w:ascii="宋体" w:hAnsi="宋体" w:eastAsia="宋体" w:cs="宋体"/>
          <w:sz w:val="24"/>
          <w:szCs w:val="24"/>
        </w:rPr>
      </w:pPr>
      <w:bookmarkStart w:id="1128" w:name="bookmark1501"/>
      <w:bookmarkEnd w:id="1128"/>
      <w:r>
        <w:rPr>
          <w:rFonts w:hint="eastAsia" w:ascii="宋体" w:hAnsi="宋体" w:eastAsia="宋体" w:cs="宋体"/>
          <w:b w:val="0"/>
          <w:i w:val="0"/>
          <w:strike w:val="0"/>
          <w:color w:val="000000"/>
          <w:sz w:val="24"/>
          <w:szCs w:val="24"/>
          <w:u w:val="none"/>
        </w:rPr>
        <w:t>(1)</w:t>
      </w:r>
      <w:r>
        <w:rPr>
          <w:rFonts w:hint="eastAsia" w:ascii="宋体" w:hAnsi="宋体" w:eastAsia="宋体" w:cs="宋体"/>
          <w:sz w:val="24"/>
          <w:szCs w:val="24"/>
        </w:rPr>
        <w:t>承包人违反第1.8款或第4. 3款的约定，私自将合同的全部或部分权利转让给其他人，或私自将合同的全部或部分义务转移给其他人；</w:t>
      </w:r>
    </w:p>
    <w:p w14:paraId="1D1FF4E7">
      <w:pPr>
        <w:pStyle w:val="4"/>
        <w:rPr>
          <w:rFonts w:hint="eastAsia" w:ascii="宋体" w:hAnsi="宋体" w:eastAsia="宋体" w:cs="宋体"/>
          <w:sz w:val="24"/>
          <w:szCs w:val="24"/>
        </w:rPr>
      </w:pPr>
      <w:bookmarkStart w:id="1129" w:name="bookmark1502"/>
      <w:bookmarkEnd w:id="1129"/>
      <w:r>
        <w:rPr>
          <w:rFonts w:hint="eastAsia" w:ascii="宋体" w:hAnsi="宋体" w:eastAsia="宋体" w:cs="宋体"/>
          <w:b w:val="0"/>
          <w:i w:val="0"/>
          <w:strike w:val="0"/>
          <w:color w:val="000000"/>
          <w:sz w:val="24"/>
          <w:szCs w:val="24"/>
          <w:u w:val="none"/>
        </w:rPr>
        <w:t>(2)</w:t>
      </w:r>
      <w:r>
        <w:rPr>
          <w:rFonts w:hint="eastAsia" w:ascii="宋体" w:hAnsi="宋体" w:eastAsia="宋体" w:cs="宋体"/>
          <w:sz w:val="24"/>
          <w:szCs w:val="24"/>
        </w:rPr>
        <w:t>承包人违反第5. 3款或第6. 4款的约定，未经监理人批准，私自将已按合同约定进入施工场地的施工设备、临时设施或材料撤离施工场地；</w:t>
      </w:r>
    </w:p>
    <w:p w14:paraId="6C97F42C">
      <w:pPr>
        <w:pStyle w:val="4"/>
        <w:rPr>
          <w:rFonts w:hint="eastAsia" w:ascii="宋体" w:hAnsi="宋体" w:eastAsia="宋体" w:cs="宋体"/>
          <w:sz w:val="24"/>
          <w:szCs w:val="24"/>
        </w:rPr>
      </w:pPr>
      <w:bookmarkStart w:id="1130" w:name="bookmark1503"/>
      <w:bookmarkEnd w:id="1130"/>
      <w:r>
        <w:rPr>
          <w:rFonts w:hint="eastAsia" w:ascii="宋体" w:hAnsi="宋体" w:eastAsia="宋体" w:cs="宋体"/>
          <w:b w:val="0"/>
          <w:i w:val="0"/>
          <w:strike w:val="0"/>
          <w:color w:val="000000"/>
          <w:sz w:val="24"/>
          <w:szCs w:val="24"/>
          <w:u w:val="none"/>
        </w:rPr>
        <w:t>(3)</w:t>
      </w:r>
      <w:r>
        <w:rPr>
          <w:rFonts w:hint="eastAsia" w:ascii="宋体" w:hAnsi="宋体" w:eastAsia="宋体" w:cs="宋体"/>
          <w:sz w:val="24"/>
          <w:szCs w:val="24"/>
        </w:rPr>
        <w:t>承包人违反第5. 4款的约定使用了不合格材料或工程设备，工程质量达不到标准要求，又拒绝清除不合格工程；</w:t>
      </w:r>
    </w:p>
    <w:p w14:paraId="394830A0">
      <w:pPr>
        <w:pStyle w:val="4"/>
        <w:rPr>
          <w:rFonts w:hint="eastAsia" w:ascii="宋体" w:hAnsi="宋体" w:eastAsia="宋体" w:cs="宋体"/>
          <w:sz w:val="24"/>
          <w:szCs w:val="24"/>
        </w:rPr>
      </w:pPr>
      <w:bookmarkStart w:id="1131" w:name="bookmark1504"/>
      <w:bookmarkEnd w:id="1131"/>
      <w:r>
        <w:rPr>
          <w:rFonts w:hint="eastAsia" w:ascii="宋体" w:hAnsi="宋体" w:eastAsia="宋体" w:cs="宋体"/>
          <w:b w:val="0"/>
          <w:i w:val="0"/>
          <w:strike w:val="0"/>
          <w:color w:val="000000"/>
          <w:sz w:val="24"/>
          <w:szCs w:val="24"/>
          <w:u w:val="none"/>
        </w:rPr>
        <w:t>(4)</w:t>
      </w:r>
      <w:r>
        <w:rPr>
          <w:rFonts w:hint="eastAsia" w:ascii="宋体" w:hAnsi="宋体" w:eastAsia="宋体" w:cs="宋体"/>
          <w:sz w:val="24"/>
          <w:szCs w:val="24"/>
        </w:rPr>
        <w:t>承包人未能按合同进度计划及时完成合同约定的工作，已造成或预期造成工期延误；</w:t>
      </w:r>
    </w:p>
    <w:p w14:paraId="41009C5B">
      <w:pPr>
        <w:pStyle w:val="4"/>
        <w:rPr>
          <w:rFonts w:hint="eastAsia" w:ascii="宋体" w:hAnsi="宋体" w:eastAsia="宋体" w:cs="宋体"/>
          <w:sz w:val="24"/>
          <w:szCs w:val="24"/>
        </w:rPr>
      </w:pPr>
      <w:bookmarkStart w:id="1132" w:name="bookmark1505"/>
      <w:bookmarkEnd w:id="1132"/>
      <w:r>
        <w:rPr>
          <w:rFonts w:hint="eastAsia" w:ascii="宋体" w:hAnsi="宋体" w:eastAsia="宋体" w:cs="宋体"/>
          <w:b w:val="0"/>
          <w:i w:val="0"/>
          <w:strike w:val="0"/>
          <w:color w:val="000000"/>
          <w:sz w:val="24"/>
          <w:szCs w:val="24"/>
          <w:u w:val="none"/>
        </w:rPr>
        <w:t>(5)</w:t>
      </w:r>
      <w:r>
        <w:rPr>
          <w:rFonts w:hint="eastAsia" w:ascii="宋体" w:hAnsi="宋体" w:eastAsia="宋体" w:cs="宋体"/>
          <w:sz w:val="24"/>
          <w:szCs w:val="24"/>
        </w:rPr>
        <w:t>承包人在缺陷责任期(工程质量保修期)内，未能对合同工程完工验收鉴定书中所列的缺陷清单的内容或缺陷责任期(工程质量保修期)内发生的缺陷进行修复，而又拒绝按监理人指示再进行修补；</w:t>
      </w:r>
    </w:p>
    <w:p w14:paraId="6484C404">
      <w:pPr>
        <w:pStyle w:val="4"/>
        <w:rPr>
          <w:rFonts w:hint="eastAsia" w:ascii="宋体" w:hAnsi="宋体" w:eastAsia="宋体" w:cs="宋体"/>
          <w:sz w:val="24"/>
          <w:szCs w:val="24"/>
        </w:rPr>
      </w:pPr>
      <w:bookmarkStart w:id="1133" w:name="bookmark1506"/>
      <w:bookmarkEnd w:id="1133"/>
      <w:r>
        <w:rPr>
          <w:rFonts w:hint="eastAsia" w:ascii="宋体" w:hAnsi="宋体" w:eastAsia="宋体" w:cs="宋体"/>
          <w:b w:val="0"/>
          <w:i w:val="0"/>
          <w:strike w:val="0"/>
          <w:color w:val="000000"/>
          <w:sz w:val="24"/>
          <w:szCs w:val="24"/>
          <w:u w:val="none"/>
        </w:rPr>
        <w:t>(6)</w:t>
      </w:r>
      <w:r>
        <w:rPr>
          <w:rFonts w:hint="eastAsia" w:ascii="宋体" w:hAnsi="宋体" w:eastAsia="宋体" w:cs="宋体"/>
          <w:sz w:val="24"/>
          <w:szCs w:val="24"/>
        </w:rPr>
        <w:t>承包人无法继续履行或明确表示不履行或实质上已停止履行合同；</w:t>
      </w:r>
    </w:p>
    <w:p w14:paraId="294FDF69">
      <w:pPr>
        <w:pStyle w:val="4"/>
        <w:rPr>
          <w:rFonts w:hint="eastAsia" w:ascii="宋体" w:hAnsi="宋体" w:eastAsia="宋体" w:cs="宋体"/>
          <w:sz w:val="24"/>
          <w:szCs w:val="24"/>
        </w:rPr>
      </w:pPr>
      <w:bookmarkStart w:id="1134" w:name="bookmark1507"/>
      <w:bookmarkEnd w:id="1134"/>
      <w:r>
        <w:rPr>
          <w:rFonts w:hint="eastAsia" w:ascii="宋体" w:hAnsi="宋体" w:eastAsia="宋体" w:cs="宋体"/>
          <w:b w:val="0"/>
          <w:i w:val="0"/>
          <w:strike w:val="0"/>
          <w:color w:val="000000"/>
          <w:sz w:val="24"/>
          <w:szCs w:val="24"/>
          <w:u w:val="none"/>
        </w:rPr>
        <w:t>(7)</w:t>
      </w:r>
      <w:r>
        <w:rPr>
          <w:rFonts w:hint="eastAsia" w:ascii="宋体" w:hAnsi="宋体" w:eastAsia="宋体" w:cs="宋体"/>
          <w:sz w:val="24"/>
          <w:szCs w:val="24"/>
        </w:rPr>
        <w:t>承包人不按合同约定履行义务的其他情况。</w:t>
      </w:r>
    </w:p>
    <w:p w14:paraId="5B0715C0">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22.1.2对承包人违约的处理</w:t>
      </w:r>
    </w:p>
    <w:p w14:paraId="10F802CD">
      <w:pPr>
        <w:pStyle w:val="4"/>
        <w:rPr>
          <w:rFonts w:hint="eastAsia" w:ascii="宋体" w:hAnsi="宋体" w:eastAsia="宋体" w:cs="宋体"/>
          <w:sz w:val="24"/>
          <w:szCs w:val="24"/>
        </w:rPr>
      </w:pPr>
      <w:bookmarkStart w:id="1135" w:name="bookmark1508"/>
      <w:bookmarkEnd w:id="1135"/>
      <w:r>
        <w:rPr>
          <w:rFonts w:hint="eastAsia" w:ascii="宋体" w:hAnsi="宋体" w:eastAsia="宋体" w:cs="宋体"/>
          <w:b w:val="0"/>
          <w:i w:val="0"/>
          <w:strike w:val="0"/>
          <w:color w:val="000000"/>
          <w:sz w:val="24"/>
          <w:szCs w:val="24"/>
          <w:u w:val="none"/>
        </w:rPr>
        <w:t>(1)</w:t>
      </w:r>
      <w:r>
        <w:rPr>
          <w:rFonts w:hint="eastAsia" w:ascii="宋体" w:hAnsi="宋体" w:eastAsia="宋体" w:cs="宋体"/>
          <w:sz w:val="24"/>
          <w:szCs w:val="24"/>
        </w:rPr>
        <w:t>承包人发生第22.1.1 (6)目约定的违约情况时，发包人可通知承包人立即解除合同，并按有关法律处理。</w:t>
      </w:r>
    </w:p>
    <w:p w14:paraId="343F1937">
      <w:pPr>
        <w:pStyle w:val="4"/>
        <w:rPr>
          <w:rFonts w:hint="eastAsia" w:ascii="宋体" w:hAnsi="宋体" w:eastAsia="宋体" w:cs="宋体"/>
          <w:sz w:val="24"/>
          <w:szCs w:val="24"/>
        </w:rPr>
      </w:pPr>
      <w:bookmarkStart w:id="1136" w:name="bookmark1509"/>
      <w:bookmarkEnd w:id="1136"/>
      <w:r>
        <w:rPr>
          <w:rFonts w:hint="eastAsia" w:ascii="宋体" w:hAnsi="宋体" w:eastAsia="宋体" w:cs="宋体"/>
          <w:b w:val="0"/>
          <w:i w:val="0"/>
          <w:strike w:val="0"/>
          <w:color w:val="000000"/>
          <w:sz w:val="24"/>
          <w:szCs w:val="24"/>
          <w:u w:val="none"/>
        </w:rPr>
        <w:t>(2)</w:t>
      </w:r>
      <w:r>
        <w:rPr>
          <w:rFonts w:hint="eastAsia" w:ascii="宋体" w:hAnsi="宋体" w:eastAsia="宋体" w:cs="宋体"/>
          <w:sz w:val="24"/>
          <w:szCs w:val="24"/>
        </w:rPr>
        <w:t>承包人发生除第22. 1. 1 (6)目约定以外的其他违约情况时，监理人可向承包人发出整改通知，要求其在指定的期限内改正。承包人应承担其违约所引起的费用增加和 (或)工期延误。</w:t>
      </w:r>
    </w:p>
    <w:p w14:paraId="7C8C104B">
      <w:pPr>
        <w:pStyle w:val="4"/>
        <w:rPr>
          <w:rFonts w:hint="eastAsia" w:ascii="宋体" w:hAnsi="宋体" w:eastAsia="宋体" w:cs="宋体"/>
          <w:sz w:val="24"/>
          <w:szCs w:val="24"/>
        </w:rPr>
      </w:pPr>
      <w:bookmarkStart w:id="1137" w:name="bookmark1510"/>
      <w:bookmarkEnd w:id="1137"/>
      <w:r>
        <w:rPr>
          <w:rFonts w:hint="eastAsia" w:ascii="宋体" w:hAnsi="宋体" w:eastAsia="宋体" w:cs="宋体"/>
          <w:b w:val="0"/>
          <w:i w:val="0"/>
          <w:strike w:val="0"/>
          <w:color w:val="000000"/>
          <w:sz w:val="24"/>
          <w:szCs w:val="24"/>
          <w:u w:val="none"/>
        </w:rPr>
        <w:t>(3)</w:t>
      </w:r>
      <w:r>
        <w:rPr>
          <w:rFonts w:hint="eastAsia" w:ascii="宋体" w:hAnsi="宋体" w:eastAsia="宋体" w:cs="宋体"/>
          <w:sz w:val="24"/>
          <w:szCs w:val="24"/>
        </w:rPr>
        <w:t>经检查证明承包人已采取了有效措施纠正违约行为，具备复工条件的，可由监理人签发复工通知复工。</w:t>
      </w:r>
    </w:p>
    <w:p w14:paraId="78F913E0">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22.1.3承包人违约解除合同</w:t>
      </w:r>
    </w:p>
    <w:p w14:paraId="505C7274">
      <w:pPr>
        <w:pStyle w:val="4"/>
        <w:rPr>
          <w:rFonts w:hint="eastAsia" w:ascii="宋体" w:hAnsi="宋体" w:eastAsia="宋体" w:cs="宋体"/>
          <w:sz w:val="24"/>
          <w:szCs w:val="24"/>
        </w:rPr>
      </w:pPr>
      <w:r>
        <w:rPr>
          <w:rFonts w:hint="eastAsia" w:ascii="宋体" w:hAnsi="宋体" w:eastAsia="宋体" w:cs="宋体"/>
          <w:sz w:val="24"/>
          <w:szCs w:val="24"/>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 定享有的索赔权利。</w:t>
      </w:r>
    </w:p>
    <w:p w14:paraId="70F2B754">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22.1.4合同解除后的估价、付款和结清</w:t>
      </w:r>
    </w:p>
    <w:p w14:paraId="44A70E80">
      <w:pPr>
        <w:pStyle w:val="4"/>
        <w:rPr>
          <w:rFonts w:hint="eastAsia" w:ascii="宋体" w:hAnsi="宋体" w:eastAsia="宋体" w:cs="宋体"/>
          <w:sz w:val="24"/>
          <w:szCs w:val="24"/>
        </w:rPr>
      </w:pPr>
      <w:bookmarkStart w:id="1138" w:name="bookmark1511"/>
      <w:bookmarkEnd w:id="1138"/>
      <w:r>
        <w:rPr>
          <w:rFonts w:hint="eastAsia" w:ascii="宋体" w:hAnsi="宋体" w:eastAsia="宋体" w:cs="宋体"/>
          <w:b w:val="0"/>
          <w:i w:val="0"/>
          <w:strike w:val="0"/>
          <w:color w:val="000000"/>
          <w:sz w:val="24"/>
          <w:szCs w:val="24"/>
          <w:u w:val="none"/>
        </w:rPr>
        <w:t>(1)</w:t>
      </w:r>
      <w:r>
        <w:rPr>
          <w:rFonts w:hint="eastAsia" w:ascii="宋体" w:hAnsi="宋体" w:eastAsia="宋体" w:cs="宋体"/>
          <w:sz w:val="24"/>
          <w:szCs w:val="24"/>
        </w:rPr>
        <w:t>合同解除后，监理人按第3. 5款商定或确定承包人实际完成工作的价值，以及承包人已提供的材料、施工设备、工程设备和临时工程等的价值。</w:t>
      </w:r>
    </w:p>
    <w:p w14:paraId="1B2769E8">
      <w:pPr>
        <w:pStyle w:val="4"/>
        <w:rPr>
          <w:rFonts w:hint="eastAsia" w:ascii="宋体" w:hAnsi="宋体" w:eastAsia="宋体" w:cs="宋体"/>
          <w:sz w:val="24"/>
          <w:szCs w:val="24"/>
        </w:rPr>
      </w:pPr>
      <w:bookmarkStart w:id="1139" w:name="bookmark1512"/>
      <w:bookmarkEnd w:id="1139"/>
      <w:r>
        <w:rPr>
          <w:rFonts w:hint="eastAsia" w:ascii="宋体" w:hAnsi="宋体" w:eastAsia="宋体" w:cs="宋体"/>
          <w:b w:val="0"/>
          <w:i w:val="0"/>
          <w:strike w:val="0"/>
          <w:color w:val="000000"/>
          <w:sz w:val="24"/>
          <w:szCs w:val="24"/>
          <w:u w:val="none"/>
        </w:rPr>
        <w:t>(2)</w:t>
      </w:r>
      <w:r>
        <w:rPr>
          <w:rFonts w:hint="eastAsia" w:ascii="宋体" w:hAnsi="宋体" w:eastAsia="宋体" w:cs="宋体"/>
          <w:sz w:val="24"/>
          <w:szCs w:val="24"/>
        </w:rPr>
        <w:t>合同解除后，发包人应暂停对承包人的一切付款，查清各项付款和已扣款金额, 包括承包人应支付的违约金。</w:t>
      </w:r>
    </w:p>
    <w:p w14:paraId="7F4219DF">
      <w:pPr>
        <w:pStyle w:val="4"/>
        <w:rPr>
          <w:rFonts w:hint="eastAsia" w:ascii="宋体" w:hAnsi="宋体" w:eastAsia="宋体" w:cs="宋体"/>
          <w:sz w:val="24"/>
          <w:szCs w:val="24"/>
        </w:rPr>
      </w:pPr>
      <w:bookmarkStart w:id="1140" w:name="bookmark1513"/>
      <w:bookmarkEnd w:id="1140"/>
      <w:r>
        <w:rPr>
          <w:rFonts w:hint="eastAsia" w:ascii="宋体" w:hAnsi="宋体" w:eastAsia="宋体" w:cs="宋体"/>
          <w:b w:val="0"/>
          <w:i w:val="0"/>
          <w:strike w:val="0"/>
          <w:color w:val="000000"/>
          <w:sz w:val="24"/>
          <w:szCs w:val="24"/>
          <w:u w:val="none"/>
        </w:rPr>
        <w:t>(3)</w:t>
      </w:r>
      <w:r>
        <w:rPr>
          <w:rFonts w:hint="eastAsia" w:ascii="宋体" w:hAnsi="宋体" w:eastAsia="宋体" w:cs="宋体"/>
          <w:sz w:val="24"/>
          <w:szCs w:val="24"/>
        </w:rPr>
        <w:t>合同解除后，发包人应按第23. 4款的约定向承包人索赔由于解除合同给发包人造成的损失。</w:t>
      </w:r>
    </w:p>
    <w:p w14:paraId="6D07544B">
      <w:pPr>
        <w:pStyle w:val="4"/>
        <w:rPr>
          <w:rFonts w:hint="eastAsia" w:ascii="宋体" w:hAnsi="宋体" w:eastAsia="宋体" w:cs="宋体"/>
          <w:sz w:val="24"/>
          <w:szCs w:val="24"/>
        </w:rPr>
      </w:pPr>
      <w:bookmarkStart w:id="1141" w:name="bookmark1514"/>
      <w:bookmarkEnd w:id="1141"/>
      <w:r>
        <w:rPr>
          <w:rFonts w:hint="eastAsia" w:ascii="宋体" w:hAnsi="宋体" w:eastAsia="宋体" w:cs="宋体"/>
          <w:b w:val="0"/>
          <w:i w:val="0"/>
          <w:strike w:val="0"/>
          <w:color w:val="000000"/>
          <w:sz w:val="24"/>
          <w:szCs w:val="24"/>
          <w:u w:val="none"/>
        </w:rPr>
        <w:t>(4)</w:t>
      </w:r>
      <w:r>
        <w:rPr>
          <w:rFonts w:hint="eastAsia" w:ascii="宋体" w:hAnsi="宋体" w:eastAsia="宋体" w:cs="宋体"/>
          <w:sz w:val="24"/>
          <w:szCs w:val="24"/>
        </w:rPr>
        <w:t>合同双方确认上述往来款项后，出具最终结清付款证书，结清全部合同款项。</w:t>
      </w:r>
    </w:p>
    <w:p w14:paraId="079CEDEE">
      <w:pPr>
        <w:pStyle w:val="4"/>
        <w:rPr>
          <w:rFonts w:hint="eastAsia" w:ascii="宋体" w:hAnsi="宋体" w:eastAsia="宋体" w:cs="宋体"/>
          <w:sz w:val="24"/>
          <w:szCs w:val="24"/>
        </w:rPr>
      </w:pPr>
      <w:bookmarkStart w:id="1142" w:name="bookmark1515"/>
      <w:bookmarkEnd w:id="1142"/>
      <w:r>
        <w:rPr>
          <w:rFonts w:hint="eastAsia" w:ascii="宋体" w:hAnsi="宋体" w:eastAsia="宋体" w:cs="宋体"/>
          <w:b w:val="0"/>
          <w:i w:val="0"/>
          <w:strike w:val="0"/>
          <w:color w:val="000000"/>
          <w:sz w:val="24"/>
          <w:szCs w:val="24"/>
          <w:u w:val="none"/>
        </w:rPr>
        <w:t>(5)</w:t>
      </w:r>
      <w:r>
        <w:rPr>
          <w:rFonts w:hint="eastAsia" w:ascii="宋体" w:hAnsi="宋体" w:eastAsia="宋体" w:cs="宋体"/>
          <w:sz w:val="24"/>
          <w:szCs w:val="24"/>
        </w:rPr>
        <w:t>发包人和承包人未能就解除合同后的结清达成一致而形成争议的，按第24条的约定办理。</w:t>
      </w:r>
    </w:p>
    <w:p w14:paraId="1001A2B7">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22.1.5协议利益的转让</w:t>
      </w:r>
    </w:p>
    <w:p w14:paraId="3956E681">
      <w:pPr>
        <w:pStyle w:val="4"/>
        <w:rPr>
          <w:rFonts w:hint="eastAsia" w:ascii="宋体" w:hAnsi="宋体" w:eastAsia="宋体" w:cs="宋体"/>
          <w:sz w:val="24"/>
          <w:szCs w:val="24"/>
        </w:rPr>
      </w:pPr>
      <w:r>
        <w:rPr>
          <w:rFonts w:hint="eastAsia" w:ascii="宋体" w:hAnsi="宋体" w:eastAsia="宋体" w:cs="宋体"/>
          <w:sz w:val="24"/>
          <w:szCs w:val="24"/>
        </w:rPr>
        <w:t>因承包人违约解除合同的，发包人有权要求承包人将其为实施合同而签订的材料和设备的订货协议或任何服务协议利益转让给发包人，并在解除合同后的14天内，依法办理转让手续。</w:t>
      </w:r>
    </w:p>
    <w:p w14:paraId="121B84FC">
      <w:pPr>
        <w:pStyle w:val="6"/>
        <w:numPr>
          <w:ilvl w:val="0"/>
          <w:numId w:val="0"/>
        </w:numPr>
        <w:bidi w:val="0"/>
        <w:ind w:left="482" w:leftChars="0"/>
        <w:rPr>
          <w:rFonts w:hint="eastAsia" w:ascii="宋体" w:hAnsi="宋体" w:eastAsia="宋体" w:cs="宋体"/>
          <w:sz w:val="24"/>
          <w:szCs w:val="24"/>
        </w:rPr>
      </w:pPr>
      <w:bookmarkStart w:id="1143" w:name="bookmark1516"/>
      <w:bookmarkEnd w:id="1143"/>
      <w:r>
        <w:rPr>
          <w:rFonts w:hint="eastAsia" w:ascii="宋体" w:hAnsi="宋体" w:eastAsia="宋体" w:cs="宋体"/>
          <w:sz w:val="24"/>
          <w:szCs w:val="24"/>
        </w:rPr>
        <w:t>22.1.6紧急情况下无能力或不愿进行抢救</w:t>
      </w:r>
    </w:p>
    <w:p w14:paraId="2D553EDE">
      <w:pPr>
        <w:pStyle w:val="4"/>
        <w:rPr>
          <w:rFonts w:hint="eastAsia" w:ascii="宋体" w:hAnsi="宋体" w:eastAsia="宋体" w:cs="宋体"/>
          <w:sz w:val="24"/>
          <w:szCs w:val="24"/>
        </w:rPr>
      </w:pPr>
      <w:r>
        <w:rPr>
          <w:rFonts w:hint="eastAsia" w:ascii="宋体" w:hAnsi="宋体" w:eastAsia="宋体" w:cs="宋体"/>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66F09AB0">
      <w:pPr>
        <w:pStyle w:val="6"/>
        <w:numPr>
          <w:ilvl w:val="0"/>
          <w:numId w:val="0"/>
        </w:numPr>
        <w:bidi w:val="0"/>
        <w:ind w:left="482" w:leftChars="0"/>
        <w:rPr>
          <w:rFonts w:hint="eastAsia" w:ascii="宋体" w:hAnsi="宋体" w:eastAsia="宋体" w:cs="宋体"/>
          <w:sz w:val="24"/>
          <w:szCs w:val="24"/>
        </w:rPr>
      </w:pPr>
      <w:bookmarkStart w:id="1144" w:name="_Toc14710425"/>
      <w:bookmarkStart w:id="1145" w:name="bookmark1517"/>
      <w:bookmarkStart w:id="1146" w:name="bookmark1519"/>
      <w:bookmarkStart w:id="1147" w:name="_Toc24772"/>
      <w:bookmarkStart w:id="1148" w:name="bookmark1518"/>
      <w:r>
        <w:rPr>
          <w:rFonts w:hint="eastAsia" w:ascii="宋体" w:hAnsi="宋体" w:eastAsia="宋体" w:cs="宋体"/>
          <w:sz w:val="24"/>
          <w:szCs w:val="24"/>
        </w:rPr>
        <w:t>22.2发包人违约</w:t>
      </w:r>
      <w:bookmarkEnd w:id="1144"/>
      <w:bookmarkEnd w:id="1145"/>
      <w:bookmarkEnd w:id="1146"/>
      <w:bookmarkEnd w:id="1147"/>
      <w:bookmarkEnd w:id="1148"/>
    </w:p>
    <w:p w14:paraId="69DA5DBF">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22.2.1发包人违约的情形</w:t>
      </w:r>
    </w:p>
    <w:p w14:paraId="7EDB5805">
      <w:pPr>
        <w:pStyle w:val="4"/>
        <w:rPr>
          <w:rFonts w:hint="eastAsia" w:ascii="宋体" w:hAnsi="宋体" w:eastAsia="宋体" w:cs="宋体"/>
          <w:sz w:val="24"/>
          <w:szCs w:val="24"/>
        </w:rPr>
      </w:pPr>
      <w:r>
        <w:rPr>
          <w:rFonts w:hint="eastAsia" w:ascii="宋体" w:hAnsi="宋体" w:eastAsia="宋体" w:cs="宋体"/>
          <w:sz w:val="24"/>
          <w:szCs w:val="24"/>
        </w:rPr>
        <w:t>在履行合同过程中发生的下列情形，属发包人违约：</w:t>
      </w:r>
    </w:p>
    <w:p w14:paraId="4E2D7103">
      <w:pPr>
        <w:pStyle w:val="4"/>
        <w:rPr>
          <w:rFonts w:hint="eastAsia" w:ascii="宋体" w:hAnsi="宋体" w:eastAsia="宋体" w:cs="宋体"/>
          <w:sz w:val="24"/>
          <w:szCs w:val="24"/>
        </w:rPr>
      </w:pPr>
      <w:bookmarkStart w:id="1149" w:name="bookmark1520"/>
      <w:bookmarkEnd w:id="1149"/>
      <w:r>
        <w:rPr>
          <w:rFonts w:hint="eastAsia" w:ascii="宋体" w:hAnsi="宋体" w:eastAsia="宋体" w:cs="宋体"/>
          <w:b w:val="0"/>
          <w:i w:val="0"/>
          <w:strike w:val="0"/>
          <w:color w:val="000000"/>
          <w:sz w:val="24"/>
          <w:szCs w:val="24"/>
          <w:u w:val="none"/>
        </w:rPr>
        <w:t>(1)</w:t>
      </w:r>
      <w:r>
        <w:rPr>
          <w:rFonts w:hint="eastAsia" w:ascii="宋体" w:hAnsi="宋体" w:eastAsia="宋体" w:cs="宋体"/>
          <w:sz w:val="24"/>
          <w:szCs w:val="24"/>
        </w:rPr>
        <w:t>发包人未能按合同约定支付预付款或合同价款，或拖延、拒绝批准付款申请和支付凭证，导致付款延误的；</w:t>
      </w:r>
    </w:p>
    <w:p w14:paraId="69B40122">
      <w:pPr>
        <w:pStyle w:val="4"/>
        <w:rPr>
          <w:rFonts w:hint="eastAsia" w:ascii="宋体" w:hAnsi="宋体" w:eastAsia="宋体" w:cs="宋体"/>
          <w:sz w:val="24"/>
          <w:szCs w:val="24"/>
        </w:rPr>
      </w:pPr>
      <w:bookmarkStart w:id="1150" w:name="bookmark1521"/>
      <w:bookmarkEnd w:id="1150"/>
      <w:r>
        <w:rPr>
          <w:rFonts w:hint="eastAsia" w:ascii="宋体" w:hAnsi="宋体" w:eastAsia="宋体" w:cs="宋体"/>
          <w:b w:val="0"/>
          <w:i w:val="0"/>
          <w:strike w:val="0"/>
          <w:color w:val="000000"/>
          <w:sz w:val="24"/>
          <w:szCs w:val="24"/>
          <w:u w:val="none"/>
        </w:rPr>
        <w:t>(2)</w:t>
      </w:r>
      <w:r>
        <w:rPr>
          <w:rFonts w:hint="eastAsia" w:ascii="宋体" w:hAnsi="宋体" w:eastAsia="宋体" w:cs="宋体"/>
          <w:sz w:val="24"/>
          <w:szCs w:val="24"/>
        </w:rPr>
        <w:t>发包人原因造成停工的；</w:t>
      </w:r>
    </w:p>
    <w:p w14:paraId="063F687D">
      <w:pPr>
        <w:pStyle w:val="4"/>
        <w:rPr>
          <w:rFonts w:hint="eastAsia" w:ascii="宋体" w:hAnsi="宋体" w:eastAsia="宋体" w:cs="宋体"/>
          <w:sz w:val="24"/>
          <w:szCs w:val="24"/>
        </w:rPr>
      </w:pPr>
      <w:bookmarkStart w:id="1151" w:name="bookmark1522"/>
      <w:bookmarkEnd w:id="1151"/>
      <w:r>
        <w:rPr>
          <w:rFonts w:hint="eastAsia" w:ascii="宋体" w:hAnsi="宋体" w:eastAsia="宋体" w:cs="宋体"/>
          <w:b w:val="0"/>
          <w:i w:val="0"/>
          <w:strike w:val="0"/>
          <w:color w:val="000000"/>
          <w:sz w:val="24"/>
          <w:szCs w:val="24"/>
          <w:u w:val="none"/>
        </w:rPr>
        <w:t>(3)</w:t>
      </w:r>
      <w:r>
        <w:rPr>
          <w:rFonts w:hint="eastAsia" w:ascii="宋体" w:hAnsi="宋体" w:eastAsia="宋体" w:cs="宋体"/>
          <w:sz w:val="24"/>
          <w:szCs w:val="24"/>
        </w:rPr>
        <w:t>监理人无正当理由没有在约定期限内发出复工指示，导致承包人无法复工的；</w:t>
      </w:r>
    </w:p>
    <w:p w14:paraId="7538270A">
      <w:pPr>
        <w:pStyle w:val="4"/>
        <w:rPr>
          <w:rFonts w:hint="eastAsia" w:ascii="宋体" w:hAnsi="宋体" w:eastAsia="宋体" w:cs="宋体"/>
          <w:sz w:val="24"/>
          <w:szCs w:val="24"/>
        </w:rPr>
      </w:pPr>
      <w:bookmarkStart w:id="1152" w:name="bookmark1523"/>
      <w:bookmarkEnd w:id="1152"/>
      <w:r>
        <w:rPr>
          <w:rFonts w:hint="eastAsia" w:ascii="宋体" w:hAnsi="宋体" w:eastAsia="宋体" w:cs="宋体"/>
          <w:b w:val="0"/>
          <w:i w:val="0"/>
          <w:strike w:val="0"/>
          <w:color w:val="000000"/>
          <w:sz w:val="24"/>
          <w:szCs w:val="24"/>
          <w:u w:val="none"/>
        </w:rPr>
        <w:t>(4)</w:t>
      </w:r>
      <w:r>
        <w:rPr>
          <w:rFonts w:hint="eastAsia" w:ascii="宋体" w:hAnsi="宋体" w:eastAsia="宋体" w:cs="宋体"/>
          <w:sz w:val="24"/>
          <w:szCs w:val="24"/>
        </w:rPr>
        <w:t>发包人无法继续履行或明确表示不履行或实质上已停止履行合同的；</w:t>
      </w:r>
    </w:p>
    <w:p w14:paraId="123F7689">
      <w:pPr>
        <w:pStyle w:val="4"/>
        <w:rPr>
          <w:rFonts w:hint="eastAsia" w:ascii="宋体" w:hAnsi="宋体" w:eastAsia="宋体" w:cs="宋体"/>
          <w:sz w:val="24"/>
          <w:szCs w:val="24"/>
        </w:rPr>
      </w:pPr>
      <w:bookmarkStart w:id="1153" w:name="bookmark1524"/>
      <w:bookmarkEnd w:id="1153"/>
      <w:r>
        <w:rPr>
          <w:rFonts w:hint="eastAsia" w:ascii="宋体" w:hAnsi="宋体" w:eastAsia="宋体" w:cs="宋体"/>
          <w:b w:val="0"/>
          <w:i w:val="0"/>
          <w:strike w:val="0"/>
          <w:color w:val="000000"/>
          <w:sz w:val="24"/>
          <w:szCs w:val="24"/>
          <w:u w:val="none"/>
        </w:rPr>
        <w:t>(5)</w:t>
      </w:r>
      <w:r>
        <w:rPr>
          <w:rFonts w:hint="eastAsia" w:ascii="宋体" w:hAnsi="宋体" w:eastAsia="宋体" w:cs="宋体"/>
          <w:sz w:val="24"/>
          <w:szCs w:val="24"/>
        </w:rPr>
        <w:t>发包人不履行合同约定其他义务的。</w:t>
      </w:r>
    </w:p>
    <w:p w14:paraId="51A66E48">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22.2.2承包人有权暂停施工</w:t>
      </w:r>
    </w:p>
    <w:p w14:paraId="680135D7">
      <w:pPr>
        <w:pStyle w:val="4"/>
        <w:rPr>
          <w:rFonts w:hint="eastAsia" w:ascii="宋体" w:hAnsi="宋体" w:eastAsia="宋体" w:cs="宋体"/>
          <w:sz w:val="24"/>
          <w:szCs w:val="24"/>
        </w:rPr>
      </w:pPr>
      <w:r>
        <w:rPr>
          <w:rFonts w:hint="eastAsia" w:ascii="宋体" w:hAnsi="宋体" w:eastAsia="宋体" w:cs="宋体"/>
          <w:sz w:val="24"/>
          <w:szCs w:val="24"/>
        </w:rPr>
        <w:t>发包人发生除第22.2.1 (4)目以外的违约情况时，承包人可向发包人发出通知，要求发包人采取有效措施纠正违约行为。发包人收到承包人通知后的28天内仍不履行合同义 务，承包人有权暂停施工，并通知监理人，发包人应承担由此增加的费用和(或)工期延误，并支付承包人合理利润。</w:t>
      </w:r>
    </w:p>
    <w:p w14:paraId="550B2D37">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22.2.3发包人违约解除合同</w:t>
      </w:r>
    </w:p>
    <w:p w14:paraId="4E8CB7D0">
      <w:pPr>
        <w:pStyle w:val="4"/>
        <w:rPr>
          <w:rFonts w:hint="eastAsia" w:ascii="宋体" w:hAnsi="宋体" w:eastAsia="宋体" w:cs="宋体"/>
          <w:sz w:val="24"/>
          <w:szCs w:val="24"/>
        </w:rPr>
      </w:pPr>
      <w:bookmarkStart w:id="1154" w:name="bookmark1525"/>
      <w:bookmarkEnd w:id="1154"/>
      <w:r>
        <w:rPr>
          <w:rFonts w:hint="eastAsia" w:ascii="宋体" w:hAnsi="宋体" w:eastAsia="宋体" w:cs="宋体"/>
          <w:b w:val="0"/>
          <w:i w:val="0"/>
          <w:strike w:val="0"/>
          <w:color w:val="000000"/>
          <w:sz w:val="24"/>
          <w:szCs w:val="24"/>
          <w:u w:val="none"/>
        </w:rPr>
        <w:t>(1)</w:t>
      </w:r>
      <w:r>
        <w:rPr>
          <w:rFonts w:hint="eastAsia" w:ascii="宋体" w:hAnsi="宋体" w:eastAsia="宋体" w:cs="宋体"/>
          <w:sz w:val="24"/>
          <w:szCs w:val="24"/>
        </w:rPr>
        <w:t>发生第22.2.1 (4)目的违约情况时，承包人可书面通知发包人解除合同。</w:t>
      </w:r>
    </w:p>
    <w:p w14:paraId="68B8EB79">
      <w:pPr>
        <w:pStyle w:val="4"/>
        <w:rPr>
          <w:rFonts w:hint="eastAsia" w:ascii="宋体" w:hAnsi="宋体" w:eastAsia="宋体" w:cs="宋体"/>
          <w:sz w:val="24"/>
          <w:szCs w:val="24"/>
        </w:rPr>
      </w:pPr>
      <w:bookmarkStart w:id="1155" w:name="bookmark1526"/>
      <w:bookmarkEnd w:id="1155"/>
      <w:r>
        <w:rPr>
          <w:rFonts w:hint="eastAsia" w:ascii="宋体" w:hAnsi="宋体" w:eastAsia="宋体" w:cs="宋体"/>
          <w:b w:val="0"/>
          <w:i w:val="0"/>
          <w:strike w:val="0"/>
          <w:color w:val="000000"/>
          <w:sz w:val="24"/>
          <w:szCs w:val="24"/>
          <w:u w:val="none"/>
        </w:rPr>
        <w:t>(2)</w:t>
      </w:r>
      <w:r>
        <w:rPr>
          <w:rFonts w:hint="eastAsia" w:ascii="宋体" w:hAnsi="宋体" w:eastAsia="宋体" w:cs="宋体"/>
          <w:sz w:val="24"/>
          <w:szCs w:val="24"/>
        </w:rPr>
        <w:t>承包人按22. 2. 2项暂停施工28天后，发包人仍不纠正违约行为的，承包人可向发包人发出解除合同通知。但承包人的这一行动不免除发包人承担的违约责任，也不影响承包人根据合同约定享有的索赔权利。</w:t>
      </w:r>
    </w:p>
    <w:p w14:paraId="555AA19A">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22.2.4解除合同后的付款</w:t>
      </w:r>
    </w:p>
    <w:p w14:paraId="0FF5DE57">
      <w:pPr>
        <w:pStyle w:val="4"/>
        <w:rPr>
          <w:rFonts w:hint="eastAsia" w:ascii="宋体" w:hAnsi="宋体" w:eastAsia="宋体" w:cs="宋体"/>
          <w:sz w:val="24"/>
          <w:szCs w:val="24"/>
        </w:rPr>
      </w:pPr>
      <w:r>
        <w:rPr>
          <w:rFonts w:hint="eastAsia" w:ascii="宋体" w:hAnsi="宋体" w:eastAsia="宋体" w:cs="宋体"/>
          <w:sz w:val="24"/>
          <w:szCs w:val="24"/>
        </w:rPr>
        <w:t>因发包人违约解除合同的，发包人应在解除合同后28天内向承包人支付下列金额，承包人应在此期限内及时向发包人提交要求支付下列金额的有关资料和凭证：</w:t>
      </w:r>
    </w:p>
    <w:p w14:paraId="4758CD8E">
      <w:pPr>
        <w:pStyle w:val="4"/>
        <w:rPr>
          <w:rFonts w:hint="eastAsia" w:ascii="宋体" w:hAnsi="宋体" w:eastAsia="宋体" w:cs="宋体"/>
          <w:sz w:val="24"/>
          <w:szCs w:val="24"/>
        </w:rPr>
      </w:pPr>
      <w:bookmarkStart w:id="1156" w:name="bookmark1527"/>
      <w:bookmarkEnd w:id="1156"/>
      <w:r>
        <w:rPr>
          <w:rFonts w:hint="eastAsia" w:ascii="宋体" w:hAnsi="宋体" w:eastAsia="宋体" w:cs="宋体"/>
          <w:b w:val="0"/>
          <w:i w:val="0"/>
          <w:strike w:val="0"/>
          <w:color w:val="000000"/>
          <w:sz w:val="24"/>
          <w:szCs w:val="24"/>
          <w:u w:val="none"/>
        </w:rPr>
        <w:t>(1)</w:t>
      </w:r>
      <w:r>
        <w:rPr>
          <w:rFonts w:hint="eastAsia" w:ascii="宋体" w:hAnsi="宋体" w:eastAsia="宋体" w:cs="宋体"/>
          <w:sz w:val="24"/>
          <w:szCs w:val="24"/>
        </w:rPr>
        <w:t>合同解除日以前所完成工作的价款；</w:t>
      </w:r>
    </w:p>
    <w:p w14:paraId="502F29A8">
      <w:pPr>
        <w:pStyle w:val="4"/>
        <w:rPr>
          <w:rFonts w:hint="eastAsia" w:ascii="宋体" w:hAnsi="宋体" w:eastAsia="宋体" w:cs="宋体"/>
          <w:sz w:val="24"/>
          <w:szCs w:val="24"/>
        </w:rPr>
      </w:pPr>
      <w:bookmarkStart w:id="1157" w:name="bookmark1528"/>
      <w:bookmarkEnd w:id="1157"/>
      <w:r>
        <w:rPr>
          <w:rFonts w:hint="eastAsia" w:ascii="宋体" w:hAnsi="宋体" w:eastAsia="宋体" w:cs="宋体"/>
          <w:b w:val="0"/>
          <w:i w:val="0"/>
          <w:strike w:val="0"/>
          <w:color w:val="000000"/>
          <w:sz w:val="24"/>
          <w:szCs w:val="24"/>
          <w:u w:val="none"/>
        </w:rPr>
        <w:t>(2)</w:t>
      </w:r>
      <w:r>
        <w:rPr>
          <w:rFonts w:hint="eastAsia" w:ascii="宋体" w:hAnsi="宋体" w:eastAsia="宋体" w:cs="宋体"/>
          <w:sz w:val="24"/>
          <w:szCs w:val="24"/>
        </w:rPr>
        <w:t>承包人为该工程施工订购并已付款的材料、工程设备和其他物品的金额。发包人付还后，该材料、工程设备和其他物品归发包人所有；</w:t>
      </w:r>
    </w:p>
    <w:p w14:paraId="1584445D">
      <w:pPr>
        <w:pStyle w:val="4"/>
        <w:rPr>
          <w:rFonts w:hint="eastAsia" w:ascii="宋体" w:hAnsi="宋体" w:eastAsia="宋体" w:cs="宋体"/>
          <w:sz w:val="24"/>
          <w:szCs w:val="24"/>
        </w:rPr>
      </w:pPr>
      <w:bookmarkStart w:id="1158" w:name="bookmark1529"/>
      <w:bookmarkEnd w:id="1158"/>
      <w:r>
        <w:rPr>
          <w:rFonts w:hint="eastAsia" w:ascii="宋体" w:hAnsi="宋体" w:eastAsia="宋体" w:cs="宋体"/>
          <w:b w:val="0"/>
          <w:i w:val="0"/>
          <w:strike w:val="0"/>
          <w:color w:val="000000"/>
          <w:sz w:val="24"/>
          <w:szCs w:val="24"/>
          <w:u w:val="none"/>
        </w:rPr>
        <w:t>(3)</w:t>
      </w:r>
      <w:r>
        <w:rPr>
          <w:rFonts w:hint="eastAsia" w:ascii="宋体" w:hAnsi="宋体" w:eastAsia="宋体" w:cs="宋体"/>
          <w:sz w:val="24"/>
          <w:szCs w:val="24"/>
        </w:rPr>
        <w:t>承包人为完成工程所发生的，而发包人未支付的金额；</w:t>
      </w:r>
    </w:p>
    <w:p w14:paraId="75BB1EE5">
      <w:pPr>
        <w:pStyle w:val="4"/>
        <w:rPr>
          <w:rFonts w:hint="eastAsia" w:ascii="宋体" w:hAnsi="宋体" w:eastAsia="宋体" w:cs="宋体"/>
          <w:sz w:val="24"/>
          <w:szCs w:val="24"/>
        </w:rPr>
      </w:pPr>
      <w:bookmarkStart w:id="1159" w:name="bookmark1530"/>
      <w:bookmarkEnd w:id="1159"/>
      <w:r>
        <w:rPr>
          <w:rFonts w:hint="eastAsia" w:ascii="宋体" w:hAnsi="宋体" w:eastAsia="宋体" w:cs="宋体"/>
          <w:b w:val="0"/>
          <w:i w:val="0"/>
          <w:strike w:val="0"/>
          <w:color w:val="000000"/>
          <w:sz w:val="24"/>
          <w:szCs w:val="24"/>
          <w:u w:val="none"/>
        </w:rPr>
        <w:t>(4)</w:t>
      </w:r>
      <w:r>
        <w:rPr>
          <w:rFonts w:hint="eastAsia" w:ascii="宋体" w:hAnsi="宋体" w:eastAsia="宋体" w:cs="宋体"/>
          <w:sz w:val="24"/>
          <w:szCs w:val="24"/>
        </w:rPr>
        <w:t>承包人撤离施工场地以及遣散承包人人员的金额；</w:t>
      </w:r>
    </w:p>
    <w:p w14:paraId="3A3DD7D9">
      <w:pPr>
        <w:pStyle w:val="4"/>
        <w:rPr>
          <w:rFonts w:hint="eastAsia" w:ascii="宋体" w:hAnsi="宋体" w:eastAsia="宋体" w:cs="宋体"/>
          <w:sz w:val="24"/>
          <w:szCs w:val="24"/>
        </w:rPr>
      </w:pPr>
      <w:bookmarkStart w:id="1160" w:name="bookmark1531"/>
      <w:bookmarkEnd w:id="1160"/>
      <w:r>
        <w:rPr>
          <w:rFonts w:hint="eastAsia" w:ascii="宋体" w:hAnsi="宋体" w:eastAsia="宋体" w:cs="宋体"/>
          <w:b w:val="0"/>
          <w:i w:val="0"/>
          <w:strike w:val="0"/>
          <w:color w:val="000000"/>
          <w:sz w:val="24"/>
          <w:szCs w:val="24"/>
          <w:u w:val="none"/>
        </w:rPr>
        <w:t>(5)</w:t>
      </w:r>
      <w:r>
        <w:rPr>
          <w:rFonts w:hint="eastAsia" w:ascii="宋体" w:hAnsi="宋体" w:eastAsia="宋体" w:cs="宋体"/>
          <w:sz w:val="24"/>
          <w:szCs w:val="24"/>
        </w:rPr>
        <w:t>由于解除合同应赔偿的承包人损失；</w:t>
      </w:r>
    </w:p>
    <w:p w14:paraId="3360C835">
      <w:pPr>
        <w:pStyle w:val="4"/>
        <w:rPr>
          <w:rFonts w:hint="eastAsia" w:ascii="宋体" w:hAnsi="宋体" w:eastAsia="宋体" w:cs="宋体"/>
          <w:sz w:val="24"/>
          <w:szCs w:val="24"/>
        </w:rPr>
      </w:pPr>
      <w:bookmarkStart w:id="1161" w:name="bookmark1532"/>
      <w:bookmarkEnd w:id="1161"/>
      <w:r>
        <w:rPr>
          <w:rFonts w:hint="eastAsia" w:ascii="宋体" w:hAnsi="宋体" w:eastAsia="宋体" w:cs="宋体"/>
          <w:b w:val="0"/>
          <w:i w:val="0"/>
          <w:strike w:val="0"/>
          <w:color w:val="000000"/>
          <w:sz w:val="24"/>
          <w:szCs w:val="24"/>
          <w:u w:val="none"/>
        </w:rPr>
        <w:t>(6)</w:t>
      </w:r>
      <w:r>
        <w:rPr>
          <w:rFonts w:hint="eastAsia" w:ascii="宋体" w:hAnsi="宋体" w:eastAsia="宋体" w:cs="宋体"/>
          <w:sz w:val="24"/>
          <w:szCs w:val="24"/>
        </w:rPr>
        <w:t>按合同约定在合同解除日前应支付给承包人的其他金额。</w:t>
      </w:r>
    </w:p>
    <w:p w14:paraId="62FD3827">
      <w:pPr>
        <w:pStyle w:val="4"/>
        <w:rPr>
          <w:rFonts w:hint="eastAsia" w:ascii="宋体" w:hAnsi="宋体" w:eastAsia="宋体" w:cs="宋体"/>
          <w:sz w:val="24"/>
          <w:szCs w:val="24"/>
        </w:rPr>
      </w:pPr>
      <w:r>
        <w:rPr>
          <w:rFonts w:hint="eastAsia" w:ascii="宋体" w:hAnsi="宋体" w:eastAsia="宋体" w:cs="宋体"/>
          <w:sz w:val="24"/>
          <w:szCs w:val="24"/>
        </w:rPr>
        <w:t>发包人应按本项约定支付上述金额并退还质量保证金和履约担保，但有权要求承包人支付应偿还给发包人的各项金额。</w:t>
      </w:r>
    </w:p>
    <w:p w14:paraId="367B1DA2">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22.2.5解除合同后的承包人撤离</w:t>
      </w:r>
    </w:p>
    <w:p w14:paraId="049E81AF">
      <w:pPr>
        <w:pStyle w:val="4"/>
        <w:rPr>
          <w:rFonts w:hint="eastAsia" w:ascii="宋体" w:hAnsi="宋体" w:eastAsia="宋体" w:cs="宋体"/>
          <w:sz w:val="24"/>
          <w:szCs w:val="24"/>
        </w:rPr>
      </w:pPr>
      <w:r>
        <w:rPr>
          <w:rFonts w:hint="eastAsia" w:ascii="宋体" w:hAnsi="宋体" w:eastAsia="宋体" w:cs="宋体"/>
          <w:sz w:val="24"/>
          <w:szCs w:val="24"/>
        </w:rPr>
        <w:t>因发包人违约而解除合同后，承包人应妥善做好已竣工工程和已购材料、设备的保护和移交工作，按发包人要求将承包人设备和人员撤出施工场地。承包人撤出施工场地应遵 守第18. 7. 1项的约定，发包人应为承包人撤出提供必要条件。</w:t>
      </w:r>
    </w:p>
    <w:p w14:paraId="304D5AF0">
      <w:pPr>
        <w:pStyle w:val="6"/>
        <w:numPr>
          <w:ilvl w:val="0"/>
          <w:numId w:val="0"/>
        </w:numPr>
        <w:bidi w:val="0"/>
        <w:ind w:left="482" w:leftChars="0"/>
        <w:rPr>
          <w:rFonts w:hint="eastAsia" w:ascii="宋体" w:hAnsi="宋体" w:eastAsia="宋体" w:cs="宋体"/>
          <w:sz w:val="24"/>
          <w:szCs w:val="24"/>
        </w:rPr>
      </w:pPr>
      <w:bookmarkStart w:id="1162" w:name="bookmark1533"/>
      <w:bookmarkStart w:id="1163" w:name="_Toc14710426"/>
      <w:bookmarkStart w:id="1164" w:name="_Toc9266"/>
      <w:bookmarkStart w:id="1165" w:name="bookmark1535"/>
      <w:bookmarkStart w:id="1166" w:name="bookmark1534"/>
      <w:r>
        <w:rPr>
          <w:rFonts w:hint="eastAsia" w:ascii="宋体" w:hAnsi="宋体" w:eastAsia="宋体" w:cs="宋体"/>
          <w:sz w:val="24"/>
          <w:szCs w:val="24"/>
        </w:rPr>
        <w:t>22.3第三人造成的违约</w:t>
      </w:r>
      <w:bookmarkEnd w:id="1162"/>
      <w:bookmarkEnd w:id="1163"/>
      <w:bookmarkEnd w:id="1164"/>
      <w:bookmarkEnd w:id="1165"/>
      <w:bookmarkEnd w:id="1166"/>
    </w:p>
    <w:p w14:paraId="15943285">
      <w:pPr>
        <w:pStyle w:val="4"/>
        <w:rPr>
          <w:rFonts w:hint="eastAsia" w:ascii="宋体" w:hAnsi="宋体" w:eastAsia="宋体" w:cs="宋体"/>
          <w:sz w:val="24"/>
          <w:szCs w:val="24"/>
        </w:rPr>
      </w:pPr>
      <w:r>
        <w:rPr>
          <w:rFonts w:hint="eastAsia" w:ascii="宋体" w:hAnsi="宋体" w:eastAsia="宋体" w:cs="宋体"/>
          <w:sz w:val="24"/>
          <w:szCs w:val="24"/>
        </w:rPr>
        <w:t>在履行合同过程中，一方当事人因第三人的原因造成违约的，应当向对方当事人承担违约责任。一方当事人和第三人之间的纠纷，依照法律规定或者按照约定解决。</w:t>
      </w:r>
    </w:p>
    <w:p w14:paraId="126A9BEA">
      <w:pPr>
        <w:pStyle w:val="6"/>
        <w:numPr>
          <w:ilvl w:val="0"/>
          <w:numId w:val="0"/>
        </w:numPr>
        <w:bidi w:val="0"/>
        <w:ind w:left="482" w:leftChars="0"/>
        <w:rPr>
          <w:rFonts w:hint="eastAsia" w:ascii="宋体" w:hAnsi="宋体" w:eastAsia="宋体" w:cs="宋体"/>
          <w:sz w:val="24"/>
          <w:szCs w:val="24"/>
        </w:rPr>
      </w:pPr>
      <w:bookmarkStart w:id="1167" w:name="_Toc26868"/>
      <w:bookmarkStart w:id="1168" w:name="_Toc14710427"/>
      <w:r>
        <w:rPr>
          <w:rFonts w:hint="eastAsia" w:ascii="宋体" w:hAnsi="宋体" w:eastAsia="宋体" w:cs="宋体"/>
          <w:sz w:val="24"/>
          <w:szCs w:val="24"/>
        </w:rPr>
        <w:t>23.索赔</w:t>
      </w:r>
      <w:bookmarkEnd w:id="1167"/>
      <w:bookmarkEnd w:id="1168"/>
    </w:p>
    <w:p w14:paraId="19A706B7">
      <w:pPr>
        <w:pStyle w:val="6"/>
        <w:numPr>
          <w:ilvl w:val="0"/>
          <w:numId w:val="0"/>
        </w:numPr>
        <w:bidi w:val="0"/>
        <w:ind w:left="482" w:leftChars="0"/>
        <w:rPr>
          <w:rFonts w:hint="eastAsia" w:ascii="宋体" w:hAnsi="宋体" w:eastAsia="宋体" w:cs="宋体"/>
          <w:sz w:val="24"/>
          <w:szCs w:val="24"/>
        </w:rPr>
      </w:pPr>
      <w:bookmarkStart w:id="1169" w:name="_Toc12223"/>
      <w:bookmarkStart w:id="1170" w:name="bookmark1537"/>
      <w:bookmarkStart w:id="1171" w:name="bookmark1536"/>
      <w:bookmarkStart w:id="1172" w:name="bookmark1538"/>
      <w:bookmarkStart w:id="1173" w:name="_Toc14710428"/>
      <w:r>
        <w:rPr>
          <w:rFonts w:hint="eastAsia" w:ascii="宋体" w:hAnsi="宋体" w:eastAsia="宋体" w:cs="宋体"/>
          <w:sz w:val="24"/>
          <w:szCs w:val="24"/>
        </w:rPr>
        <w:t>23.1承包人索赔的提出</w:t>
      </w:r>
      <w:bookmarkEnd w:id="1169"/>
      <w:bookmarkEnd w:id="1170"/>
      <w:bookmarkEnd w:id="1171"/>
      <w:bookmarkEnd w:id="1172"/>
      <w:bookmarkEnd w:id="1173"/>
    </w:p>
    <w:p w14:paraId="76810609">
      <w:pPr>
        <w:pStyle w:val="4"/>
        <w:rPr>
          <w:rFonts w:hint="eastAsia" w:ascii="宋体" w:hAnsi="宋体" w:eastAsia="宋体" w:cs="宋体"/>
          <w:sz w:val="24"/>
          <w:szCs w:val="24"/>
        </w:rPr>
      </w:pPr>
      <w:r>
        <w:rPr>
          <w:rFonts w:hint="eastAsia" w:ascii="宋体" w:hAnsi="宋体" w:eastAsia="宋体" w:cs="宋体"/>
          <w:sz w:val="24"/>
          <w:szCs w:val="24"/>
        </w:rPr>
        <w:t>根据合同约定，承包人认为有权得到追加付款和(或)延长工期的，应按以下程序向发包人提出索赔：</w:t>
      </w:r>
    </w:p>
    <w:p w14:paraId="2FBE9A08">
      <w:pPr>
        <w:pStyle w:val="4"/>
        <w:rPr>
          <w:rFonts w:hint="eastAsia" w:ascii="宋体" w:hAnsi="宋体" w:eastAsia="宋体" w:cs="宋体"/>
          <w:sz w:val="24"/>
          <w:szCs w:val="24"/>
        </w:rPr>
      </w:pPr>
      <w:bookmarkStart w:id="1174" w:name="bookmark1539"/>
      <w:bookmarkEnd w:id="1174"/>
      <w:r>
        <w:rPr>
          <w:rFonts w:hint="eastAsia" w:ascii="宋体" w:hAnsi="宋体" w:eastAsia="宋体" w:cs="宋体"/>
          <w:b w:val="0"/>
          <w:i w:val="0"/>
          <w:strike w:val="0"/>
          <w:color w:val="000000"/>
          <w:sz w:val="24"/>
          <w:szCs w:val="24"/>
          <w:u w:val="none"/>
        </w:rPr>
        <w:t>(1)</w:t>
      </w:r>
      <w:r>
        <w:rPr>
          <w:rFonts w:hint="eastAsia" w:ascii="宋体" w:hAnsi="宋体" w:eastAsia="宋体" w:cs="宋体"/>
          <w:sz w:val="24"/>
          <w:szCs w:val="24"/>
        </w:rPr>
        <w:t>承包人应在知道或应当知道索赔事件发生后28天内，向监理人递交索赔意向通知书，并说明发生索赔事件的事由。承包人未在前述28天内发出索赔意向通知书的，丧失要求追加付款和(或)延长工期的权利；</w:t>
      </w:r>
    </w:p>
    <w:p w14:paraId="3A7597BE">
      <w:pPr>
        <w:pStyle w:val="4"/>
        <w:rPr>
          <w:rFonts w:hint="eastAsia" w:ascii="宋体" w:hAnsi="宋体" w:eastAsia="宋体" w:cs="宋体"/>
          <w:sz w:val="24"/>
          <w:szCs w:val="24"/>
        </w:rPr>
      </w:pPr>
      <w:bookmarkStart w:id="1175" w:name="bookmark1540"/>
      <w:bookmarkEnd w:id="1175"/>
      <w:r>
        <w:rPr>
          <w:rFonts w:hint="eastAsia" w:ascii="宋体" w:hAnsi="宋体" w:eastAsia="宋体" w:cs="宋体"/>
          <w:b w:val="0"/>
          <w:i w:val="0"/>
          <w:strike w:val="0"/>
          <w:color w:val="000000"/>
          <w:sz w:val="24"/>
          <w:szCs w:val="24"/>
          <w:u w:val="none"/>
        </w:rPr>
        <w:t>(2)</w:t>
      </w:r>
      <w:r>
        <w:rPr>
          <w:rFonts w:hint="eastAsia" w:ascii="宋体" w:hAnsi="宋体" w:eastAsia="宋体" w:cs="宋体"/>
          <w:sz w:val="24"/>
          <w:szCs w:val="24"/>
        </w:rPr>
        <w:t>承包人应在发出索赔意向通知书后28天内，向监理人正式递交索赔通知书。索赔通知书应详细说明索赔理由以及要求追加的付款金额和(或)延长的工期，并附必要的记 录和证明材料；</w:t>
      </w:r>
    </w:p>
    <w:p w14:paraId="3759F8D1">
      <w:pPr>
        <w:pStyle w:val="4"/>
        <w:rPr>
          <w:rFonts w:hint="eastAsia" w:ascii="宋体" w:hAnsi="宋体" w:eastAsia="宋体" w:cs="宋体"/>
          <w:sz w:val="24"/>
          <w:szCs w:val="24"/>
        </w:rPr>
      </w:pPr>
      <w:bookmarkStart w:id="1176" w:name="bookmark1541"/>
      <w:bookmarkEnd w:id="1176"/>
      <w:r>
        <w:rPr>
          <w:rFonts w:hint="eastAsia" w:ascii="宋体" w:hAnsi="宋体" w:eastAsia="宋体" w:cs="宋体"/>
          <w:b w:val="0"/>
          <w:i w:val="0"/>
          <w:strike w:val="0"/>
          <w:color w:val="000000"/>
          <w:sz w:val="24"/>
          <w:szCs w:val="24"/>
          <w:u w:val="none"/>
        </w:rPr>
        <w:t>(3)</w:t>
      </w:r>
      <w:r>
        <w:rPr>
          <w:rFonts w:hint="eastAsia" w:ascii="宋体" w:hAnsi="宋体" w:eastAsia="宋体" w:cs="宋体"/>
          <w:sz w:val="24"/>
          <w:szCs w:val="24"/>
        </w:rPr>
        <w:t>索赔事件具有连续影响的，承包人应按合理时间间隔继续递交延续索赔通知，说明连续影响的实际情况和记录，列出累计的追加付款金额和(或)工期延长天数；</w:t>
      </w:r>
    </w:p>
    <w:p w14:paraId="0E0187D6">
      <w:pPr>
        <w:pStyle w:val="4"/>
        <w:rPr>
          <w:rFonts w:hint="eastAsia" w:ascii="宋体" w:hAnsi="宋体" w:eastAsia="宋体" w:cs="宋体"/>
          <w:sz w:val="24"/>
          <w:szCs w:val="24"/>
        </w:rPr>
      </w:pPr>
      <w:bookmarkStart w:id="1177" w:name="bookmark1542"/>
      <w:bookmarkEnd w:id="1177"/>
      <w:r>
        <w:rPr>
          <w:rFonts w:hint="eastAsia" w:ascii="宋体" w:hAnsi="宋体" w:eastAsia="宋体" w:cs="宋体"/>
          <w:b w:val="0"/>
          <w:i w:val="0"/>
          <w:strike w:val="0"/>
          <w:color w:val="000000"/>
          <w:sz w:val="24"/>
          <w:szCs w:val="24"/>
          <w:u w:val="none"/>
        </w:rPr>
        <w:t>(4)</w:t>
      </w:r>
      <w:r>
        <w:rPr>
          <w:rFonts w:hint="eastAsia" w:ascii="宋体" w:hAnsi="宋体" w:eastAsia="宋体" w:cs="宋体"/>
          <w:sz w:val="24"/>
          <w:szCs w:val="24"/>
        </w:rPr>
        <w:t>在索赔事件影响结束后的28天内，承包人应向监理人递交最终索赔通知书，说明最终要求索赔的追加付款金额和延长的工期，并附必要的记录和证明材料。</w:t>
      </w:r>
    </w:p>
    <w:p w14:paraId="78584A92">
      <w:pPr>
        <w:pStyle w:val="6"/>
        <w:numPr>
          <w:ilvl w:val="0"/>
          <w:numId w:val="0"/>
        </w:numPr>
        <w:bidi w:val="0"/>
        <w:ind w:left="482" w:leftChars="0"/>
        <w:rPr>
          <w:rFonts w:hint="eastAsia" w:ascii="宋体" w:hAnsi="宋体" w:eastAsia="宋体" w:cs="宋体"/>
          <w:sz w:val="24"/>
          <w:szCs w:val="24"/>
        </w:rPr>
      </w:pPr>
      <w:bookmarkStart w:id="1178" w:name="_Toc5534"/>
      <w:bookmarkStart w:id="1179" w:name="bookmark1544"/>
      <w:bookmarkStart w:id="1180" w:name="bookmark1543"/>
      <w:bookmarkStart w:id="1181" w:name="_Toc14710429"/>
      <w:bookmarkStart w:id="1182" w:name="bookmark1545"/>
      <w:r>
        <w:rPr>
          <w:rFonts w:hint="eastAsia" w:ascii="宋体" w:hAnsi="宋体" w:eastAsia="宋体" w:cs="宋体"/>
          <w:sz w:val="24"/>
          <w:szCs w:val="24"/>
        </w:rPr>
        <w:t>23.2承包人索赔处理程序</w:t>
      </w:r>
      <w:bookmarkEnd w:id="1178"/>
      <w:bookmarkEnd w:id="1179"/>
      <w:bookmarkEnd w:id="1180"/>
      <w:bookmarkEnd w:id="1181"/>
      <w:bookmarkEnd w:id="1182"/>
    </w:p>
    <w:p w14:paraId="2A79C9ED">
      <w:pPr>
        <w:pStyle w:val="4"/>
        <w:rPr>
          <w:rFonts w:hint="eastAsia" w:ascii="宋体" w:hAnsi="宋体" w:eastAsia="宋体" w:cs="宋体"/>
          <w:sz w:val="24"/>
          <w:szCs w:val="24"/>
        </w:rPr>
      </w:pPr>
      <w:bookmarkStart w:id="1183" w:name="bookmark1546"/>
      <w:bookmarkEnd w:id="1183"/>
      <w:r>
        <w:rPr>
          <w:rFonts w:hint="eastAsia" w:ascii="宋体" w:hAnsi="宋体" w:eastAsia="宋体" w:cs="宋体"/>
          <w:b w:val="0"/>
          <w:i w:val="0"/>
          <w:strike w:val="0"/>
          <w:color w:val="000000"/>
          <w:sz w:val="24"/>
          <w:szCs w:val="24"/>
          <w:u w:val="none"/>
        </w:rPr>
        <w:t>(1)</w:t>
      </w:r>
      <w:r>
        <w:rPr>
          <w:rFonts w:hint="eastAsia" w:ascii="宋体" w:hAnsi="宋体" w:eastAsia="宋体" w:cs="宋体"/>
          <w:sz w:val="24"/>
          <w:szCs w:val="24"/>
        </w:rPr>
        <w:t>监理人收到承包人提交的索赔通知书后，应及时审查索赔通知书的内容、查验承包人的记录和证明材料，必要时监理人可要求承包人提交全部原始记录副本。</w:t>
      </w:r>
    </w:p>
    <w:p w14:paraId="31B84EFD">
      <w:pPr>
        <w:pStyle w:val="4"/>
        <w:rPr>
          <w:rFonts w:hint="eastAsia" w:ascii="宋体" w:hAnsi="宋体" w:eastAsia="宋体" w:cs="宋体"/>
          <w:sz w:val="24"/>
          <w:szCs w:val="24"/>
        </w:rPr>
      </w:pPr>
      <w:bookmarkStart w:id="1184" w:name="bookmark1547"/>
      <w:bookmarkEnd w:id="1184"/>
      <w:r>
        <w:rPr>
          <w:rFonts w:hint="eastAsia" w:ascii="宋体" w:hAnsi="宋体" w:eastAsia="宋体" w:cs="宋体"/>
          <w:b w:val="0"/>
          <w:i w:val="0"/>
          <w:strike w:val="0"/>
          <w:color w:val="000000"/>
          <w:sz w:val="24"/>
          <w:szCs w:val="24"/>
          <w:u w:val="none"/>
        </w:rPr>
        <w:t>(2)</w:t>
      </w:r>
      <w:r>
        <w:rPr>
          <w:rFonts w:hint="eastAsia" w:ascii="宋体" w:hAnsi="宋体" w:eastAsia="宋体" w:cs="宋体"/>
          <w:sz w:val="24"/>
          <w:szCs w:val="24"/>
        </w:rPr>
        <w:t>监理人应按第3. 5款商定或确定追加的付款和(或)延长的工期，并在收到上述索赔通知书或有关索赔的进一步证明材料后的42天内，将索赔处理结果答复承包人。</w:t>
      </w:r>
    </w:p>
    <w:p w14:paraId="3A25AED7">
      <w:pPr>
        <w:pStyle w:val="4"/>
        <w:rPr>
          <w:rFonts w:hint="eastAsia" w:ascii="宋体" w:hAnsi="宋体" w:eastAsia="宋体" w:cs="宋体"/>
          <w:sz w:val="24"/>
          <w:szCs w:val="24"/>
        </w:rPr>
      </w:pPr>
      <w:bookmarkStart w:id="1185" w:name="bookmark1548"/>
      <w:bookmarkEnd w:id="1185"/>
      <w:r>
        <w:rPr>
          <w:rFonts w:hint="eastAsia" w:ascii="宋体" w:hAnsi="宋体" w:eastAsia="宋体" w:cs="宋体"/>
          <w:b w:val="0"/>
          <w:i w:val="0"/>
          <w:strike w:val="0"/>
          <w:color w:val="000000"/>
          <w:sz w:val="24"/>
          <w:szCs w:val="24"/>
          <w:u w:val="none"/>
        </w:rPr>
        <w:t>(3)</w:t>
      </w:r>
      <w:r>
        <w:rPr>
          <w:rFonts w:hint="eastAsia" w:ascii="宋体" w:hAnsi="宋体" w:eastAsia="宋体" w:cs="宋体"/>
          <w:sz w:val="24"/>
          <w:szCs w:val="24"/>
        </w:rPr>
        <w:t>承包人接受索赔处理结果的，发包人应在作出索赔处理结果答复后28天内完成赔付。承包人不接受索赔处理结果的，按第24条的约定办理。</w:t>
      </w:r>
    </w:p>
    <w:p w14:paraId="0C9FA7D2">
      <w:pPr>
        <w:pStyle w:val="6"/>
        <w:numPr>
          <w:ilvl w:val="0"/>
          <w:numId w:val="0"/>
        </w:numPr>
        <w:bidi w:val="0"/>
        <w:ind w:left="482" w:leftChars="0"/>
        <w:rPr>
          <w:rFonts w:hint="eastAsia" w:ascii="宋体" w:hAnsi="宋体" w:eastAsia="宋体" w:cs="宋体"/>
          <w:sz w:val="24"/>
          <w:szCs w:val="24"/>
        </w:rPr>
      </w:pPr>
      <w:bookmarkStart w:id="1186" w:name="bookmark1551"/>
      <w:bookmarkStart w:id="1187" w:name="bookmark1549"/>
      <w:bookmarkStart w:id="1188" w:name="_Toc2285"/>
      <w:bookmarkStart w:id="1189" w:name="bookmark1550"/>
      <w:bookmarkStart w:id="1190" w:name="_Toc14710430"/>
      <w:r>
        <w:rPr>
          <w:rFonts w:hint="eastAsia" w:ascii="宋体" w:hAnsi="宋体" w:eastAsia="宋体" w:cs="宋体"/>
          <w:sz w:val="24"/>
          <w:szCs w:val="24"/>
        </w:rPr>
        <w:t>23.3承包人提出索赔的期限</w:t>
      </w:r>
      <w:bookmarkEnd w:id="1186"/>
      <w:bookmarkEnd w:id="1187"/>
      <w:bookmarkEnd w:id="1188"/>
      <w:bookmarkEnd w:id="1189"/>
      <w:bookmarkEnd w:id="1190"/>
    </w:p>
    <w:p w14:paraId="3CB485A6">
      <w:pPr>
        <w:pStyle w:val="4"/>
        <w:rPr>
          <w:rFonts w:hint="eastAsia" w:ascii="宋体" w:hAnsi="宋体" w:eastAsia="宋体" w:cs="宋体"/>
          <w:sz w:val="24"/>
          <w:szCs w:val="24"/>
        </w:rPr>
      </w:pPr>
      <w:bookmarkStart w:id="1191" w:name="bookmark1552"/>
      <w:bookmarkEnd w:id="1191"/>
      <w:r>
        <w:rPr>
          <w:rFonts w:hint="eastAsia" w:ascii="宋体" w:hAnsi="宋体" w:eastAsia="宋体" w:cs="宋体"/>
          <w:b w:val="0"/>
          <w:i w:val="0"/>
          <w:strike w:val="0"/>
          <w:color w:val="000000"/>
          <w:sz w:val="24"/>
          <w:szCs w:val="24"/>
          <w:u w:val="none"/>
        </w:rPr>
        <w:t>22.</w:t>
      </w:r>
      <w:r>
        <w:rPr>
          <w:rFonts w:hint="eastAsia" w:ascii="宋体" w:hAnsi="宋体" w:eastAsia="宋体" w:cs="宋体"/>
          <w:sz w:val="24"/>
          <w:szCs w:val="24"/>
        </w:rPr>
        <w:t>3.1承包人按第17. 5款的约定接受了完工付款证书后，应被认为已无权再提出在合同工程完工证书颁发前所发生的任何索赔。</w:t>
      </w:r>
    </w:p>
    <w:p w14:paraId="0B4D2974">
      <w:pPr>
        <w:pStyle w:val="4"/>
        <w:rPr>
          <w:rFonts w:hint="eastAsia" w:ascii="宋体" w:hAnsi="宋体" w:eastAsia="宋体" w:cs="宋体"/>
          <w:sz w:val="24"/>
          <w:szCs w:val="24"/>
        </w:rPr>
      </w:pPr>
      <w:r>
        <w:rPr>
          <w:rFonts w:hint="eastAsia" w:ascii="宋体" w:hAnsi="宋体" w:eastAsia="宋体" w:cs="宋体"/>
          <w:sz w:val="24"/>
          <w:szCs w:val="24"/>
        </w:rPr>
        <w:t>23.3.2承包人按第17. 6款的约定提交的最终结清申请单中，只限于提出合同工程完工证书颁发后发生的索赔。提出索赔的期限自接受最终结清证书时终止。</w:t>
      </w:r>
    </w:p>
    <w:p w14:paraId="41624E45">
      <w:pPr>
        <w:pStyle w:val="6"/>
        <w:numPr>
          <w:ilvl w:val="0"/>
          <w:numId w:val="0"/>
        </w:numPr>
        <w:bidi w:val="0"/>
        <w:ind w:left="482" w:leftChars="0"/>
        <w:rPr>
          <w:rFonts w:hint="eastAsia" w:ascii="宋体" w:hAnsi="宋体" w:eastAsia="宋体" w:cs="宋体"/>
          <w:sz w:val="24"/>
          <w:szCs w:val="24"/>
        </w:rPr>
      </w:pPr>
      <w:bookmarkStart w:id="1192" w:name="bookmark1555"/>
      <w:bookmarkStart w:id="1193" w:name="bookmark1554"/>
      <w:bookmarkStart w:id="1194" w:name="_Toc14710431"/>
      <w:bookmarkStart w:id="1195" w:name="bookmark1553"/>
      <w:bookmarkStart w:id="1196" w:name="_Toc1321"/>
      <w:r>
        <w:rPr>
          <w:rFonts w:hint="eastAsia" w:ascii="宋体" w:hAnsi="宋体" w:eastAsia="宋体" w:cs="宋体"/>
          <w:sz w:val="24"/>
          <w:szCs w:val="24"/>
        </w:rPr>
        <w:t>23.4发包人的索赔</w:t>
      </w:r>
      <w:bookmarkEnd w:id="1192"/>
      <w:bookmarkEnd w:id="1193"/>
      <w:bookmarkEnd w:id="1194"/>
      <w:bookmarkEnd w:id="1195"/>
      <w:bookmarkEnd w:id="1196"/>
    </w:p>
    <w:p w14:paraId="1B1DF9E7">
      <w:pPr>
        <w:pStyle w:val="4"/>
        <w:rPr>
          <w:rFonts w:hint="eastAsia" w:ascii="宋体" w:hAnsi="宋体" w:eastAsia="宋体" w:cs="宋体"/>
          <w:sz w:val="24"/>
          <w:szCs w:val="24"/>
        </w:rPr>
      </w:pPr>
      <w:r>
        <w:rPr>
          <w:rFonts w:hint="eastAsia" w:ascii="宋体" w:hAnsi="宋体" w:eastAsia="宋体" w:cs="宋体"/>
          <w:sz w:val="24"/>
          <w:szCs w:val="24"/>
        </w:rPr>
        <w:t>23.4.1发生索赔事件后，监理人应及时书面通知承包人，详细说明发包人有权得到的索赔金额和(或)延长缺陷责任期的细节和依据。发包人提出索赔的期限和要求与第</w:t>
      </w:r>
      <w:bookmarkStart w:id="1197" w:name="bookmark1556"/>
      <w:bookmarkEnd w:id="1197"/>
      <w:r>
        <w:rPr>
          <w:rFonts w:hint="eastAsia" w:ascii="宋体" w:hAnsi="宋体" w:eastAsia="宋体" w:cs="宋体"/>
          <w:sz w:val="24"/>
          <w:szCs w:val="24"/>
        </w:rPr>
        <w:t>23.3款的约定相同，延长缺陷责任期的通知应在缺陷责任期届满前发出。</w:t>
      </w:r>
    </w:p>
    <w:p w14:paraId="644F11B4">
      <w:pPr>
        <w:pStyle w:val="4"/>
        <w:rPr>
          <w:rFonts w:hint="eastAsia" w:ascii="宋体" w:hAnsi="宋体" w:eastAsia="宋体" w:cs="宋体"/>
          <w:sz w:val="24"/>
          <w:szCs w:val="24"/>
        </w:rPr>
      </w:pPr>
      <w:r>
        <w:rPr>
          <w:rFonts w:hint="eastAsia" w:ascii="宋体" w:hAnsi="宋体" w:eastAsia="宋体" w:cs="宋体"/>
          <w:sz w:val="24"/>
          <w:szCs w:val="24"/>
        </w:rPr>
        <w:t>23.4.2监理人按第3. 5款商定或确定发包人从承包人处得到赔付的金额和(或)缺陷责任期的延长期。承包人应付给发包人的金额可从拟支付给承包人的合同价款中扣除, 或由承包人以其他方式支付给发包人。</w:t>
      </w:r>
    </w:p>
    <w:p w14:paraId="7CBF418A">
      <w:pPr>
        <w:pStyle w:val="4"/>
        <w:rPr>
          <w:rFonts w:hint="eastAsia" w:ascii="宋体" w:hAnsi="宋体" w:eastAsia="宋体" w:cs="宋体"/>
          <w:sz w:val="24"/>
          <w:szCs w:val="24"/>
        </w:rPr>
      </w:pPr>
      <w:r>
        <w:rPr>
          <w:rFonts w:hint="eastAsia" w:ascii="宋体" w:hAnsi="宋体" w:eastAsia="宋体" w:cs="宋体"/>
          <w:sz w:val="24"/>
          <w:szCs w:val="24"/>
        </w:rPr>
        <w:t>23.4.3承包人对监理人按第23.4. 1项发出的索赔书面通知内容持异议时，应在收到书面通知后的14天内，将持有异议的书面报告及其证明材料提交监理人。监理人应在收到 承包人书面报告后的14天内，将异议的处理意见通知承包人，并按第23.4.2项的约定执 行赔付。若承包人不接受监理人的索赔处理意见，可按本合同第24条的规定办理。</w:t>
      </w:r>
      <w:bookmarkStart w:id="1198" w:name="bookmark1559"/>
      <w:bookmarkEnd w:id="1198"/>
      <w:bookmarkStart w:id="1199" w:name="_Toc14710432"/>
      <w:bookmarkStart w:id="1200" w:name="bookmark1558"/>
      <w:bookmarkStart w:id="1201" w:name="bookmark1557"/>
      <w:bookmarkStart w:id="1202" w:name="_Toc32550"/>
      <w:bookmarkStart w:id="1203" w:name="bookmark1560"/>
    </w:p>
    <w:p w14:paraId="275AE9E7">
      <w:pPr>
        <w:pStyle w:val="6"/>
        <w:numPr>
          <w:ilvl w:val="0"/>
          <w:numId w:val="0"/>
        </w:numPr>
        <w:bidi w:val="0"/>
        <w:ind w:left="482" w:leftChars="0"/>
        <w:rPr>
          <w:rFonts w:hint="eastAsia" w:ascii="宋体" w:hAnsi="宋体" w:eastAsia="宋体" w:cs="宋体"/>
          <w:sz w:val="24"/>
          <w:szCs w:val="24"/>
        </w:rPr>
      </w:pPr>
      <w:r>
        <w:rPr>
          <w:rFonts w:hint="eastAsia" w:ascii="宋体" w:hAnsi="宋体" w:eastAsia="宋体" w:cs="宋体"/>
          <w:sz w:val="24"/>
          <w:szCs w:val="24"/>
        </w:rPr>
        <w:t>24.争议的解决</w:t>
      </w:r>
      <w:bookmarkEnd w:id="1199"/>
      <w:bookmarkEnd w:id="1200"/>
      <w:bookmarkEnd w:id="1201"/>
      <w:bookmarkEnd w:id="1202"/>
      <w:bookmarkEnd w:id="1203"/>
    </w:p>
    <w:p w14:paraId="0A202E5B">
      <w:pPr>
        <w:pStyle w:val="6"/>
        <w:numPr>
          <w:ilvl w:val="0"/>
          <w:numId w:val="0"/>
        </w:numPr>
        <w:bidi w:val="0"/>
        <w:ind w:left="482" w:leftChars="0"/>
        <w:rPr>
          <w:rFonts w:hint="eastAsia" w:ascii="宋体" w:hAnsi="宋体" w:eastAsia="宋体" w:cs="宋体"/>
          <w:sz w:val="24"/>
          <w:szCs w:val="24"/>
        </w:rPr>
      </w:pPr>
      <w:bookmarkStart w:id="1204" w:name="bookmark1561"/>
      <w:bookmarkStart w:id="1205" w:name="bookmark1562"/>
      <w:bookmarkStart w:id="1206" w:name="_Toc14710433"/>
      <w:bookmarkStart w:id="1207" w:name="bookmark1563"/>
      <w:bookmarkStart w:id="1208" w:name="_Toc12687"/>
      <w:r>
        <w:rPr>
          <w:rFonts w:hint="eastAsia" w:ascii="宋体" w:hAnsi="宋体" w:eastAsia="宋体" w:cs="宋体"/>
          <w:sz w:val="24"/>
          <w:szCs w:val="24"/>
        </w:rPr>
        <w:t>24.1争议的解决方式</w:t>
      </w:r>
      <w:bookmarkEnd w:id="1204"/>
      <w:bookmarkEnd w:id="1205"/>
      <w:bookmarkEnd w:id="1206"/>
      <w:bookmarkEnd w:id="1207"/>
      <w:bookmarkEnd w:id="1208"/>
    </w:p>
    <w:p w14:paraId="2D31476A">
      <w:pPr>
        <w:pStyle w:val="4"/>
        <w:rPr>
          <w:rFonts w:hint="eastAsia" w:ascii="宋体" w:hAnsi="宋体" w:eastAsia="宋体" w:cs="宋体"/>
          <w:sz w:val="24"/>
          <w:szCs w:val="24"/>
        </w:rPr>
      </w:pPr>
      <w:r>
        <w:rPr>
          <w:rFonts w:hint="eastAsia" w:ascii="宋体" w:hAnsi="宋体" w:eastAsia="宋体" w:cs="宋体"/>
          <w:sz w:val="24"/>
          <w:szCs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4D02BF1D">
      <w:pPr>
        <w:pStyle w:val="4"/>
        <w:rPr>
          <w:rFonts w:hint="eastAsia" w:ascii="宋体" w:hAnsi="宋体" w:eastAsia="宋体" w:cs="宋体"/>
          <w:sz w:val="24"/>
          <w:szCs w:val="24"/>
        </w:rPr>
      </w:pPr>
      <w:bookmarkStart w:id="1209" w:name="bookmark1564"/>
      <w:bookmarkEnd w:id="1209"/>
      <w:r>
        <w:rPr>
          <w:rFonts w:hint="eastAsia" w:ascii="宋体" w:hAnsi="宋体" w:eastAsia="宋体" w:cs="宋体"/>
          <w:b w:val="0"/>
          <w:i w:val="0"/>
          <w:strike w:val="0"/>
          <w:color w:val="000000"/>
          <w:sz w:val="24"/>
          <w:szCs w:val="24"/>
          <w:u w:val="none"/>
        </w:rPr>
        <w:t>(1)</w:t>
      </w:r>
      <w:r>
        <w:rPr>
          <w:rFonts w:hint="eastAsia" w:ascii="宋体" w:hAnsi="宋体" w:eastAsia="宋体" w:cs="宋体"/>
          <w:sz w:val="24"/>
          <w:szCs w:val="24"/>
        </w:rPr>
        <w:t>向约定的仲裁委员会申请仲裁；</w:t>
      </w:r>
    </w:p>
    <w:p w14:paraId="1EDEDA7A">
      <w:pPr>
        <w:pStyle w:val="4"/>
        <w:rPr>
          <w:rFonts w:hint="eastAsia" w:ascii="宋体" w:hAnsi="宋体" w:eastAsia="宋体" w:cs="宋体"/>
          <w:sz w:val="24"/>
          <w:szCs w:val="24"/>
        </w:rPr>
      </w:pPr>
      <w:bookmarkStart w:id="1210" w:name="bookmark1565"/>
      <w:bookmarkEnd w:id="1210"/>
      <w:r>
        <w:rPr>
          <w:rFonts w:hint="eastAsia" w:ascii="宋体" w:hAnsi="宋体" w:eastAsia="宋体" w:cs="宋体"/>
          <w:b w:val="0"/>
          <w:i w:val="0"/>
          <w:strike w:val="0"/>
          <w:color w:val="000000"/>
          <w:sz w:val="24"/>
          <w:szCs w:val="24"/>
          <w:u w:val="none"/>
        </w:rPr>
        <w:t>(2)</w:t>
      </w:r>
      <w:r>
        <w:rPr>
          <w:rFonts w:hint="eastAsia" w:ascii="宋体" w:hAnsi="宋体" w:eastAsia="宋体" w:cs="宋体"/>
          <w:sz w:val="24"/>
          <w:szCs w:val="24"/>
        </w:rPr>
        <w:t>向有管辖权的人民法院提起诉讼。</w:t>
      </w:r>
    </w:p>
    <w:p w14:paraId="756FBB51">
      <w:pPr>
        <w:pStyle w:val="6"/>
        <w:keepNext w:val="0"/>
        <w:keepLines w:val="0"/>
        <w:pageBreakBefore w:val="0"/>
        <w:widowControl w:val="0"/>
        <w:numPr>
          <w:ilvl w:val="0"/>
          <w:numId w:val="0"/>
        </w:numPr>
        <w:kinsoku/>
        <w:wordWrap/>
        <w:overflowPunct/>
        <w:topLinePunct w:val="0"/>
        <w:autoSpaceDE/>
        <w:autoSpaceDN/>
        <w:bidi w:val="0"/>
        <w:adjustRightInd/>
        <w:snapToGrid/>
        <w:spacing w:line="288" w:lineRule="auto"/>
        <w:ind w:left="482" w:leftChars="0"/>
        <w:textAlignment w:val="auto"/>
        <w:rPr>
          <w:rFonts w:hint="eastAsia" w:ascii="宋体" w:hAnsi="宋体" w:eastAsia="宋体" w:cs="宋体"/>
          <w:sz w:val="24"/>
          <w:szCs w:val="24"/>
        </w:rPr>
      </w:pPr>
      <w:bookmarkStart w:id="1211" w:name="_Toc13288"/>
      <w:bookmarkStart w:id="1212" w:name="_Toc14710434"/>
      <w:bookmarkStart w:id="1213" w:name="bookmark1567"/>
      <w:bookmarkStart w:id="1214" w:name="bookmark1566"/>
      <w:bookmarkStart w:id="1215" w:name="bookmark1568"/>
      <w:r>
        <w:rPr>
          <w:rFonts w:hint="eastAsia" w:ascii="宋体" w:hAnsi="宋体" w:eastAsia="宋体" w:cs="宋体"/>
          <w:sz w:val="24"/>
          <w:szCs w:val="24"/>
        </w:rPr>
        <w:t>24.2友好解决</w:t>
      </w:r>
      <w:bookmarkEnd w:id="1211"/>
      <w:bookmarkEnd w:id="1212"/>
      <w:bookmarkEnd w:id="1213"/>
      <w:bookmarkEnd w:id="1214"/>
      <w:bookmarkEnd w:id="1215"/>
    </w:p>
    <w:p w14:paraId="3DEE3622">
      <w:pPr>
        <w:pStyle w:val="4"/>
        <w:rPr>
          <w:rFonts w:hint="eastAsia" w:ascii="宋体" w:hAnsi="宋体" w:eastAsia="宋体" w:cs="宋体"/>
          <w:sz w:val="24"/>
          <w:szCs w:val="24"/>
        </w:rPr>
      </w:pPr>
      <w:r>
        <w:rPr>
          <w:rFonts w:hint="eastAsia" w:ascii="宋体" w:hAnsi="宋体" w:eastAsia="宋体" w:cs="宋体"/>
          <w:sz w:val="24"/>
          <w:szCs w:val="24"/>
        </w:rPr>
        <w:t>在提请争议评审、仲裁或者诉讼前，以及在争议评审、仲裁或诉讼过程中，发包人和承包人均可共同努力友好协商解决争议。</w:t>
      </w:r>
    </w:p>
    <w:p w14:paraId="7546A93E">
      <w:pPr>
        <w:pStyle w:val="6"/>
        <w:keepNext w:val="0"/>
        <w:keepLines w:val="0"/>
        <w:pageBreakBefore w:val="0"/>
        <w:widowControl w:val="0"/>
        <w:numPr>
          <w:ilvl w:val="0"/>
          <w:numId w:val="0"/>
        </w:numPr>
        <w:kinsoku/>
        <w:wordWrap/>
        <w:overflowPunct/>
        <w:topLinePunct w:val="0"/>
        <w:autoSpaceDE/>
        <w:autoSpaceDN/>
        <w:bidi w:val="0"/>
        <w:adjustRightInd/>
        <w:snapToGrid/>
        <w:spacing w:line="288" w:lineRule="auto"/>
        <w:ind w:left="482" w:leftChars="0"/>
        <w:textAlignment w:val="auto"/>
        <w:rPr>
          <w:rFonts w:hint="eastAsia" w:ascii="宋体" w:hAnsi="宋体" w:eastAsia="宋体" w:cs="宋体"/>
          <w:sz w:val="24"/>
          <w:szCs w:val="24"/>
        </w:rPr>
      </w:pPr>
      <w:bookmarkStart w:id="1216" w:name="bookmark1570"/>
      <w:bookmarkStart w:id="1217" w:name="bookmark1571"/>
      <w:bookmarkStart w:id="1218" w:name="_Toc14710435"/>
      <w:bookmarkStart w:id="1219" w:name="_Toc12305"/>
      <w:bookmarkStart w:id="1220" w:name="bookmark1569"/>
      <w:r>
        <w:rPr>
          <w:rFonts w:hint="eastAsia" w:ascii="宋体" w:hAnsi="宋体" w:eastAsia="宋体" w:cs="宋体"/>
          <w:sz w:val="24"/>
          <w:szCs w:val="24"/>
        </w:rPr>
        <w:t>24.3争议评审</w:t>
      </w:r>
      <w:bookmarkEnd w:id="1216"/>
      <w:bookmarkEnd w:id="1217"/>
      <w:bookmarkEnd w:id="1218"/>
      <w:bookmarkEnd w:id="1219"/>
      <w:bookmarkEnd w:id="1220"/>
    </w:p>
    <w:p w14:paraId="2F73CC21">
      <w:pPr>
        <w:pStyle w:val="4"/>
        <w:rPr>
          <w:rFonts w:hint="eastAsia" w:ascii="宋体" w:hAnsi="宋体" w:eastAsia="宋体" w:cs="宋体"/>
          <w:sz w:val="24"/>
          <w:szCs w:val="24"/>
        </w:rPr>
      </w:pPr>
      <w:r>
        <w:rPr>
          <w:rFonts w:hint="eastAsia" w:ascii="宋体" w:hAnsi="宋体" w:eastAsia="宋体" w:cs="宋体"/>
          <w:sz w:val="24"/>
          <w:szCs w:val="24"/>
        </w:rPr>
        <w:t>24.3.1采用争议评审的，发包人和承包人应在开工日后的28天内或在争议发生后, 协商成立争议评审组。争议评审组由有合同管理和工程实践经验的专家组成。</w:t>
      </w:r>
    </w:p>
    <w:p w14:paraId="758D62DD">
      <w:pPr>
        <w:pStyle w:val="4"/>
        <w:rPr>
          <w:rFonts w:hint="eastAsia" w:ascii="宋体" w:hAnsi="宋体" w:eastAsia="宋体" w:cs="宋体"/>
          <w:sz w:val="24"/>
          <w:szCs w:val="24"/>
        </w:rPr>
      </w:pPr>
      <w:r>
        <w:rPr>
          <w:rFonts w:hint="eastAsia" w:ascii="宋体" w:hAnsi="宋体" w:eastAsia="宋体" w:cs="宋体"/>
          <w:sz w:val="24"/>
          <w:szCs w:val="24"/>
        </w:rPr>
        <w:t>24.3.2合同双方的争议，应首先由申请人向争议评审组提交一份详细的评审申请报告，并附必要的文件、图纸和证明材料，申请人还应将上述报告的副本同时提交给被申请人和监理人。</w:t>
      </w:r>
    </w:p>
    <w:p w14:paraId="1750A8FC">
      <w:pPr>
        <w:pStyle w:val="4"/>
        <w:rPr>
          <w:rFonts w:hint="eastAsia" w:ascii="宋体" w:hAnsi="宋体" w:eastAsia="宋体" w:cs="宋体"/>
          <w:sz w:val="24"/>
          <w:szCs w:val="24"/>
        </w:rPr>
      </w:pPr>
      <w:r>
        <w:rPr>
          <w:rFonts w:hint="eastAsia" w:ascii="宋体" w:hAnsi="宋体" w:eastAsia="宋体" w:cs="宋体"/>
          <w:sz w:val="24"/>
          <w:szCs w:val="24"/>
        </w:rPr>
        <w:t>24.3.3被申请人在收到申请人评审申请报告副本后的28天内，向争议评审组提交一份答辩报告，并附证明材料。被申请人应将答辩报告的副本同时提交给申请人和监理人。</w:t>
      </w:r>
    </w:p>
    <w:p w14:paraId="61A3143F">
      <w:pPr>
        <w:pStyle w:val="4"/>
        <w:rPr>
          <w:rFonts w:hint="eastAsia" w:ascii="宋体" w:hAnsi="宋体" w:eastAsia="宋体" w:cs="宋体"/>
          <w:sz w:val="24"/>
          <w:szCs w:val="24"/>
        </w:rPr>
      </w:pPr>
      <w:r>
        <w:rPr>
          <w:rFonts w:hint="eastAsia" w:ascii="宋体" w:hAnsi="宋体" w:eastAsia="宋体" w:cs="宋体"/>
          <w:sz w:val="24"/>
          <w:szCs w:val="24"/>
        </w:rPr>
        <w:t>24.3.4除专用合同条款另有约定外，争议评审组在收到合同双方报告后的14天内， 邀请双方代表和有关人员举行调查会，向双方调查争议细节；必要时争议评审组可要求双方进一步提供补充材料。</w:t>
      </w:r>
    </w:p>
    <w:p w14:paraId="1769B29F">
      <w:pPr>
        <w:pStyle w:val="4"/>
        <w:rPr>
          <w:rFonts w:hint="eastAsia" w:ascii="宋体" w:hAnsi="宋体" w:eastAsia="宋体" w:cs="宋体"/>
          <w:sz w:val="24"/>
          <w:szCs w:val="24"/>
        </w:rPr>
      </w:pPr>
      <w:bookmarkStart w:id="1221" w:name="bookmark1572"/>
      <w:bookmarkEnd w:id="1221"/>
      <w:r>
        <w:rPr>
          <w:rFonts w:hint="eastAsia" w:ascii="宋体" w:hAnsi="宋体" w:eastAsia="宋体" w:cs="宋体"/>
          <w:sz w:val="24"/>
          <w:szCs w:val="24"/>
        </w:rPr>
        <w:t>24.3.5除专用合同条款另有约定外，在调查会结束后的14天内，争议评审组应在不受任何干扰的情况下进行独立、公正的评审，作出书面评审意见，并说明理由。在争议评审期间，争议双方暂按总监理工程师的确定执行。</w:t>
      </w:r>
    </w:p>
    <w:p w14:paraId="336FD1F6">
      <w:pPr>
        <w:pStyle w:val="4"/>
        <w:rPr>
          <w:rFonts w:hint="eastAsia" w:ascii="宋体" w:hAnsi="宋体" w:eastAsia="宋体" w:cs="宋体"/>
          <w:sz w:val="24"/>
          <w:szCs w:val="24"/>
        </w:rPr>
      </w:pPr>
      <w:r>
        <w:rPr>
          <w:rFonts w:hint="eastAsia" w:ascii="宋体" w:hAnsi="宋体" w:eastAsia="宋体" w:cs="宋体"/>
          <w:sz w:val="24"/>
          <w:szCs w:val="24"/>
        </w:rPr>
        <w:t>24.3.6发包人和承包人接受评审意见的，由监理人根据评审意见拟定执行协议，经争议双方签字后作为合同的补充文件，并遵照执行。</w:t>
      </w:r>
    </w:p>
    <w:p w14:paraId="086FD8C3">
      <w:pPr>
        <w:pStyle w:val="4"/>
        <w:rPr>
          <w:rFonts w:hint="eastAsia" w:ascii="宋体" w:hAnsi="宋体" w:eastAsia="宋体" w:cs="宋体"/>
          <w:sz w:val="24"/>
          <w:szCs w:val="24"/>
        </w:rPr>
      </w:pPr>
      <w:r>
        <w:rPr>
          <w:rFonts w:hint="eastAsia" w:ascii="宋体" w:hAnsi="宋体" w:eastAsia="宋体" w:cs="宋体"/>
          <w:sz w:val="24"/>
          <w:szCs w:val="24"/>
        </w:rPr>
        <w:t>24.3.7发包人或承包人不接受评审意见，并要求提交仲裁或提起诉讼的，应在收到评审意见后的14天内将仲裁或起诉意向书面通知另一方，并抄送监理人，但在仲裁或诉讼结束前应暂按总监理工程师的确定执行。</w:t>
      </w:r>
    </w:p>
    <w:p w14:paraId="1D8C5079">
      <w:pPr>
        <w:pStyle w:val="6"/>
        <w:keepNext w:val="0"/>
        <w:keepLines w:val="0"/>
        <w:pageBreakBefore w:val="0"/>
        <w:widowControl w:val="0"/>
        <w:numPr>
          <w:ilvl w:val="0"/>
          <w:numId w:val="0"/>
        </w:numPr>
        <w:kinsoku/>
        <w:wordWrap/>
        <w:overflowPunct/>
        <w:topLinePunct w:val="0"/>
        <w:autoSpaceDE/>
        <w:autoSpaceDN/>
        <w:bidi w:val="0"/>
        <w:adjustRightInd/>
        <w:snapToGrid/>
        <w:spacing w:line="288" w:lineRule="auto"/>
        <w:ind w:left="482" w:leftChars="0"/>
        <w:textAlignment w:val="auto"/>
        <w:rPr>
          <w:rFonts w:hint="eastAsia" w:ascii="宋体" w:hAnsi="宋体" w:eastAsia="宋体" w:cs="宋体"/>
          <w:sz w:val="24"/>
          <w:szCs w:val="24"/>
        </w:rPr>
      </w:pPr>
      <w:bookmarkStart w:id="1222" w:name="_Toc548"/>
      <w:bookmarkStart w:id="1223" w:name="bookmark1574"/>
      <w:bookmarkStart w:id="1224" w:name="_Toc14710436"/>
      <w:bookmarkStart w:id="1225" w:name="bookmark1575"/>
      <w:bookmarkStart w:id="1226" w:name="bookmark1573"/>
      <w:r>
        <w:rPr>
          <w:rFonts w:hint="eastAsia" w:ascii="宋体" w:hAnsi="宋体" w:eastAsia="宋体" w:cs="宋体"/>
          <w:sz w:val="24"/>
          <w:szCs w:val="24"/>
        </w:rPr>
        <w:t>24.4仲裁</w:t>
      </w:r>
      <w:bookmarkEnd w:id="1222"/>
      <w:bookmarkEnd w:id="1223"/>
      <w:bookmarkEnd w:id="1224"/>
      <w:bookmarkEnd w:id="1225"/>
      <w:bookmarkEnd w:id="1226"/>
    </w:p>
    <w:p w14:paraId="4DF322D3">
      <w:pPr>
        <w:pStyle w:val="4"/>
        <w:rPr>
          <w:rFonts w:hint="eastAsia" w:ascii="宋体" w:hAnsi="宋体" w:eastAsia="宋体" w:cs="宋体"/>
          <w:sz w:val="24"/>
          <w:szCs w:val="24"/>
        </w:rPr>
      </w:pPr>
      <w:r>
        <w:rPr>
          <w:rFonts w:hint="eastAsia" w:ascii="宋体" w:hAnsi="宋体" w:eastAsia="宋体" w:cs="宋体"/>
          <w:sz w:val="24"/>
          <w:szCs w:val="24"/>
        </w:rPr>
        <w:t>24.4.1若合同双方商定直接向仲裁机构申请仲裁，应签订仲裁协议并约定仲裁机构。</w:t>
      </w:r>
    </w:p>
    <w:p w14:paraId="01A5ABEE">
      <w:pPr>
        <w:pStyle w:val="4"/>
        <w:rPr>
          <w:rFonts w:hint="eastAsia" w:ascii="宋体" w:hAnsi="宋体" w:eastAsia="宋体" w:cs="宋体"/>
          <w:b w:val="0"/>
          <w:bCs/>
          <w:kern w:val="44"/>
          <w:sz w:val="24"/>
          <w:szCs w:val="24"/>
          <w:lang w:val="en-US" w:eastAsia="zh-CN" w:bidi="ar-SA"/>
        </w:rPr>
      </w:pPr>
      <w:r>
        <w:rPr>
          <w:rFonts w:hint="eastAsia" w:ascii="宋体" w:hAnsi="宋体" w:eastAsia="宋体" w:cs="宋体"/>
          <w:sz w:val="24"/>
          <w:szCs w:val="24"/>
        </w:rPr>
        <w:t>24.4.2若合同双方未能达成仲裁协议，则本合同的仲裁条款无效，任一方均有权向人民法院提起诉讼。</w:t>
      </w:r>
      <w:bookmarkStart w:id="1227" w:name="_Toc508272186"/>
    </w:p>
    <w:p w14:paraId="578580F5">
      <w:pPr>
        <w:pStyle w:val="44"/>
        <w:numPr>
          <w:ilvl w:val="0"/>
          <w:numId w:val="70"/>
        </w:numPr>
        <w:ind w:left="0" w:leftChars="0" w:firstLine="480" w:firstLineChars="0"/>
        <w:outlineLvl w:val="0"/>
        <w:rPr>
          <w:rFonts w:hint="eastAsia" w:ascii="宋体" w:hAnsi="宋体" w:eastAsia="宋体" w:cs="宋体"/>
          <w:sz w:val="32"/>
          <w:szCs w:val="32"/>
        </w:rPr>
      </w:pPr>
      <w:bookmarkStart w:id="1228" w:name="_Toc4053"/>
      <w:r>
        <w:rPr>
          <w:rFonts w:hint="eastAsia" w:ascii="宋体" w:hAnsi="宋体" w:eastAsia="宋体" w:cs="宋体"/>
          <w:sz w:val="32"/>
          <w:szCs w:val="32"/>
        </w:rPr>
        <w:t>安全生产合同</w:t>
      </w:r>
      <w:bookmarkEnd w:id="1227"/>
      <w:bookmarkEnd w:id="1228"/>
    </w:p>
    <w:p w14:paraId="22894B28">
      <w:pPr>
        <w:pStyle w:val="4"/>
        <w:rPr>
          <w:rFonts w:hint="eastAsia" w:ascii="宋体" w:hAnsi="宋体" w:eastAsia="宋体" w:cs="宋体"/>
          <w:sz w:val="24"/>
          <w:szCs w:val="24"/>
        </w:rPr>
      </w:pPr>
      <w:r>
        <w:rPr>
          <w:rFonts w:hint="eastAsia" w:ascii="宋体" w:hAnsi="宋体" w:eastAsia="宋体" w:cs="宋体"/>
          <w:sz w:val="24"/>
          <w:szCs w:val="24"/>
        </w:rPr>
        <w:t>为在</w:t>
      </w:r>
      <w:r>
        <w:rPr>
          <w:rFonts w:hint="eastAsia" w:ascii="宋体" w:hAnsi="宋体" w:eastAsia="宋体" w:cs="宋体"/>
          <w:b/>
          <w:sz w:val="24"/>
          <w:szCs w:val="24"/>
          <w:u w:val="single"/>
        </w:rPr>
        <w:t xml:space="preserve">                     </w:t>
      </w:r>
      <w:r>
        <w:rPr>
          <w:rFonts w:hint="eastAsia" w:ascii="宋体" w:hAnsi="宋体" w:eastAsia="宋体" w:cs="宋体"/>
          <w:sz w:val="24"/>
          <w:szCs w:val="24"/>
        </w:rPr>
        <w:t>施工合同的实施过程中创造安全、高效的施工环境，切实搞好本项目的安全管理工作，本项目发包人</w:t>
      </w:r>
      <w:r>
        <w:rPr>
          <w:rFonts w:hint="eastAsia" w:ascii="宋体" w:hAnsi="宋体" w:eastAsia="宋体" w:cs="宋体"/>
          <w:b/>
          <w:sz w:val="24"/>
          <w:szCs w:val="24"/>
          <w:u w:val="single"/>
        </w:rPr>
        <w:t xml:space="preserve">                    </w:t>
      </w:r>
      <w:r>
        <w:rPr>
          <w:rFonts w:hint="eastAsia" w:ascii="宋体" w:hAnsi="宋体" w:eastAsia="宋体" w:cs="宋体"/>
          <w:sz w:val="24"/>
          <w:szCs w:val="24"/>
        </w:rPr>
        <w:t>与承包人</w:t>
      </w:r>
      <w:r>
        <w:rPr>
          <w:rFonts w:hint="eastAsia" w:ascii="宋体" w:hAnsi="宋体" w:eastAsia="宋体" w:cs="宋体"/>
          <w:b/>
          <w:sz w:val="24"/>
          <w:szCs w:val="24"/>
          <w:u w:val="single"/>
        </w:rPr>
        <w:t xml:space="preserve">                     </w:t>
      </w:r>
      <w:r>
        <w:rPr>
          <w:rFonts w:hint="eastAsia" w:ascii="宋体" w:hAnsi="宋体" w:eastAsia="宋体" w:cs="宋体"/>
          <w:sz w:val="24"/>
          <w:szCs w:val="24"/>
        </w:rPr>
        <w:t>特此签订安全生产合同：</w:t>
      </w:r>
    </w:p>
    <w:p w14:paraId="619C59C8">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1.发包人职责</w:t>
      </w:r>
    </w:p>
    <w:p w14:paraId="0CA0757C">
      <w:pPr>
        <w:pStyle w:val="4"/>
        <w:rPr>
          <w:rFonts w:hint="eastAsia" w:ascii="宋体" w:hAnsi="宋体" w:eastAsia="宋体" w:cs="宋体"/>
          <w:sz w:val="24"/>
          <w:szCs w:val="24"/>
        </w:rPr>
      </w:pPr>
      <w:r>
        <w:rPr>
          <w:rFonts w:hint="eastAsia" w:ascii="宋体" w:hAnsi="宋体" w:eastAsia="宋体" w:cs="宋体"/>
          <w:sz w:val="24"/>
          <w:szCs w:val="24"/>
        </w:rPr>
        <w:t>（1）严格遵守国家有关安全生产的法律法规，认真执行工程承包合同中的有关安全要求。</w:t>
      </w:r>
    </w:p>
    <w:p w14:paraId="780F2D4C">
      <w:pPr>
        <w:pStyle w:val="4"/>
        <w:rPr>
          <w:rFonts w:hint="eastAsia" w:ascii="宋体" w:hAnsi="宋体" w:eastAsia="宋体" w:cs="宋体"/>
          <w:sz w:val="24"/>
          <w:szCs w:val="24"/>
        </w:rPr>
      </w:pPr>
      <w:r>
        <w:rPr>
          <w:rFonts w:hint="eastAsia" w:ascii="宋体" w:hAnsi="宋体" w:eastAsia="宋体" w:cs="宋体"/>
          <w:sz w:val="24"/>
          <w:szCs w:val="24"/>
        </w:rPr>
        <w:t>（2）按照“安全第一、预防为主”和坚持“管生产必须管安全”的原则进行安全生产管理，做到生产与安全工作同时计划、布置、检查、总结和评比。</w:t>
      </w:r>
    </w:p>
    <w:p w14:paraId="3DA801C1">
      <w:pPr>
        <w:pStyle w:val="4"/>
        <w:rPr>
          <w:rFonts w:hint="eastAsia" w:ascii="宋体" w:hAnsi="宋体" w:eastAsia="宋体" w:cs="宋体"/>
          <w:sz w:val="24"/>
          <w:szCs w:val="24"/>
        </w:rPr>
      </w:pPr>
      <w:r>
        <w:rPr>
          <w:rFonts w:hint="eastAsia" w:ascii="宋体" w:hAnsi="宋体" w:eastAsia="宋体" w:cs="宋体"/>
          <w:sz w:val="24"/>
          <w:szCs w:val="24"/>
        </w:rPr>
        <w:t>（3）重要的安全设施必须坚持与主体工程“三同时”的原则，即：同时设计、审批，同时施工，同时验收，投入使用。</w:t>
      </w:r>
    </w:p>
    <w:p w14:paraId="5F3C0DCE">
      <w:pPr>
        <w:pStyle w:val="4"/>
        <w:rPr>
          <w:rFonts w:hint="eastAsia" w:ascii="宋体" w:hAnsi="宋体" w:eastAsia="宋体" w:cs="宋体"/>
          <w:sz w:val="24"/>
          <w:szCs w:val="24"/>
        </w:rPr>
      </w:pPr>
      <w:r>
        <w:rPr>
          <w:rFonts w:hint="eastAsia" w:ascii="宋体" w:hAnsi="宋体" w:eastAsia="宋体" w:cs="宋体"/>
          <w:sz w:val="24"/>
          <w:szCs w:val="24"/>
        </w:rPr>
        <w:t>（4）定期召开安全生产调度会，及时传达中央及地方有关安全生产的精神。</w:t>
      </w:r>
    </w:p>
    <w:p w14:paraId="4A846971">
      <w:pPr>
        <w:pStyle w:val="4"/>
        <w:rPr>
          <w:rFonts w:hint="eastAsia" w:ascii="宋体" w:hAnsi="宋体" w:eastAsia="宋体" w:cs="宋体"/>
          <w:sz w:val="24"/>
          <w:szCs w:val="24"/>
        </w:rPr>
      </w:pPr>
      <w:r>
        <w:rPr>
          <w:rFonts w:hint="eastAsia" w:ascii="宋体" w:hAnsi="宋体" w:eastAsia="宋体" w:cs="宋体"/>
          <w:sz w:val="24"/>
          <w:szCs w:val="24"/>
        </w:rPr>
        <w:t>（5）组织对承包人施工现场安全生产检查，监督承包人及时处理发现的各种安全隐患。</w:t>
      </w:r>
    </w:p>
    <w:p w14:paraId="1F648164">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2.承包人职责</w:t>
      </w:r>
    </w:p>
    <w:p w14:paraId="1F92D686">
      <w:pPr>
        <w:pStyle w:val="4"/>
        <w:rPr>
          <w:rFonts w:hint="eastAsia" w:ascii="宋体" w:hAnsi="宋体" w:eastAsia="宋体" w:cs="宋体"/>
          <w:sz w:val="24"/>
          <w:szCs w:val="24"/>
        </w:rPr>
      </w:pPr>
      <w:r>
        <w:rPr>
          <w:rFonts w:hint="eastAsia" w:ascii="宋体" w:hAnsi="宋体" w:eastAsia="宋体" w:cs="宋体"/>
          <w:sz w:val="24"/>
          <w:szCs w:val="24"/>
        </w:rPr>
        <w:t>（1）严格遵守《中华人民共和国安全生产法》、《建设工程安全生产管理条例》等国家有关安全生产的法律法规及自治区安全生产法规和水利水电工程施工安全操作规范等规定。认真执行工程承包合同中的有关安全要求。</w:t>
      </w:r>
    </w:p>
    <w:p w14:paraId="5ADE5CFD">
      <w:pPr>
        <w:pStyle w:val="4"/>
        <w:rPr>
          <w:rFonts w:hint="eastAsia" w:ascii="宋体" w:hAnsi="宋体" w:eastAsia="宋体" w:cs="宋体"/>
          <w:sz w:val="24"/>
          <w:szCs w:val="24"/>
        </w:rPr>
      </w:pPr>
      <w:r>
        <w:rPr>
          <w:rFonts w:hint="eastAsia" w:ascii="宋体" w:hAnsi="宋体" w:eastAsia="宋体" w:cs="宋体"/>
          <w:sz w:val="24"/>
          <w:szCs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33AC14F6">
      <w:pPr>
        <w:pStyle w:val="4"/>
        <w:rPr>
          <w:rFonts w:hint="eastAsia" w:ascii="宋体" w:hAnsi="宋体" w:eastAsia="宋体" w:cs="宋体"/>
          <w:sz w:val="24"/>
          <w:szCs w:val="24"/>
        </w:rPr>
      </w:pPr>
      <w:r>
        <w:rPr>
          <w:rFonts w:hint="eastAsia" w:ascii="宋体" w:hAnsi="宋体" w:eastAsia="宋体" w:cs="宋体"/>
          <w:sz w:val="24"/>
          <w:szCs w:val="24"/>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545A0F37">
      <w:pPr>
        <w:pStyle w:val="4"/>
        <w:rPr>
          <w:rFonts w:hint="eastAsia" w:ascii="宋体" w:hAnsi="宋体" w:eastAsia="宋体" w:cs="宋体"/>
          <w:sz w:val="24"/>
          <w:szCs w:val="24"/>
        </w:rPr>
      </w:pPr>
      <w:r>
        <w:rPr>
          <w:rFonts w:hint="eastAsia" w:ascii="宋体" w:hAnsi="宋体" w:eastAsia="宋体" w:cs="宋体"/>
          <w:sz w:val="24"/>
          <w:szCs w:val="24"/>
        </w:rPr>
        <w:t>（4）承包人在任何时候都应采取各种合理的预防措施，防止其员工发生任何违法、违禁、暴力或妨碍治安的行为。</w:t>
      </w:r>
    </w:p>
    <w:p w14:paraId="47631A14">
      <w:pPr>
        <w:pStyle w:val="4"/>
        <w:rPr>
          <w:rFonts w:hint="eastAsia" w:ascii="宋体" w:hAnsi="宋体" w:eastAsia="宋体" w:cs="宋体"/>
          <w:sz w:val="24"/>
          <w:szCs w:val="24"/>
        </w:rPr>
      </w:pPr>
      <w:r>
        <w:rPr>
          <w:rFonts w:hint="eastAsia" w:ascii="宋体" w:hAnsi="宋体" w:eastAsia="宋体" w:cs="宋体"/>
          <w:sz w:val="24"/>
          <w:szCs w:val="24"/>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378ED2D">
      <w:pPr>
        <w:pStyle w:val="4"/>
        <w:rPr>
          <w:rFonts w:hint="eastAsia" w:ascii="宋体" w:hAnsi="宋体" w:eastAsia="宋体" w:cs="宋体"/>
          <w:sz w:val="24"/>
          <w:szCs w:val="24"/>
        </w:rPr>
      </w:pPr>
      <w:r>
        <w:rPr>
          <w:rFonts w:hint="eastAsia" w:ascii="宋体" w:hAnsi="宋体" w:eastAsia="宋体" w:cs="宋体"/>
          <w:sz w:val="24"/>
          <w:szCs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7638505F">
      <w:pPr>
        <w:pStyle w:val="4"/>
        <w:rPr>
          <w:rFonts w:hint="eastAsia" w:ascii="宋体" w:hAnsi="宋体" w:eastAsia="宋体" w:cs="宋体"/>
          <w:sz w:val="24"/>
          <w:szCs w:val="24"/>
        </w:rPr>
      </w:pPr>
      <w:r>
        <w:rPr>
          <w:rFonts w:hint="eastAsia" w:ascii="宋体" w:hAnsi="宋体" w:eastAsia="宋体" w:cs="宋体"/>
          <w:sz w:val="24"/>
          <w:szCs w:val="24"/>
        </w:rPr>
        <w:t>（7）操作人员上岗，必须按规定穿戴防护用品。施工负责人和安全检查员应随时检查劳动防护用品的穿戴情况，不按规定穿戴防护用品的人员不得上岗。</w:t>
      </w:r>
    </w:p>
    <w:p w14:paraId="5AEC901B">
      <w:pPr>
        <w:pStyle w:val="4"/>
        <w:rPr>
          <w:rFonts w:hint="eastAsia" w:ascii="宋体" w:hAnsi="宋体" w:eastAsia="宋体" w:cs="宋体"/>
          <w:sz w:val="24"/>
          <w:szCs w:val="24"/>
        </w:rPr>
      </w:pPr>
      <w:r>
        <w:rPr>
          <w:rFonts w:hint="eastAsia" w:ascii="宋体" w:hAnsi="宋体" w:eastAsia="宋体" w:cs="宋体"/>
          <w:sz w:val="24"/>
          <w:szCs w:val="24"/>
        </w:rPr>
        <w:t>（8）所有施工机具设备和高空作业的设备均应定期检查，并有安全员的签字记录，保证其经常处于完好状态；不合格的机具、设备和劳动保护用品严禁使用：</w:t>
      </w:r>
    </w:p>
    <w:p w14:paraId="1D79B5A3">
      <w:pPr>
        <w:pStyle w:val="4"/>
        <w:rPr>
          <w:rFonts w:hint="eastAsia" w:ascii="宋体" w:hAnsi="宋体" w:eastAsia="宋体" w:cs="宋体"/>
          <w:sz w:val="24"/>
          <w:szCs w:val="24"/>
        </w:rPr>
      </w:pPr>
      <w:r>
        <w:rPr>
          <w:rFonts w:hint="eastAsia" w:ascii="宋体" w:hAnsi="宋体" w:eastAsia="宋体" w:cs="宋体"/>
          <w:sz w:val="24"/>
          <w:szCs w:val="24"/>
        </w:rPr>
        <w:t>（9）施工中采用新技术、新工艺、新设备、新材料时，必须制定相应的安全技术措施，施工现场必须具有相关的安全标志牌。</w:t>
      </w:r>
    </w:p>
    <w:p w14:paraId="39C73720">
      <w:pPr>
        <w:pStyle w:val="4"/>
        <w:rPr>
          <w:rFonts w:hint="eastAsia" w:ascii="宋体" w:hAnsi="宋体" w:eastAsia="宋体" w:cs="宋体"/>
          <w:sz w:val="24"/>
          <w:szCs w:val="24"/>
        </w:rPr>
      </w:pPr>
      <w:r>
        <w:rPr>
          <w:rFonts w:hint="eastAsia" w:ascii="宋体" w:hAnsi="宋体" w:eastAsia="宋体" w:cs="宋体"/>
          <w:sz w:val="24"/>
          <w:szCs w:val="24"/>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14D1A249">
      <w:pPr>
        <w:pStyle w:val="4"/>
        <w:rPr>
          <w:rFonts w:hint="eastAsia" w:ascii="宋体" w:hAnsi="宋体" w:eastAsia="宋体" w:cs="宋体"/>
          <w:sz w:val="24"/>
          <w:szCs w:val="24"/>
          <w:highlight w:val="red"/>
        </w:rPr>
      </w:pPr>
      <w:r>
        <w:rPr>
          <w:rFonts w:hint="eastAsia" w:ascii="宋体" w:hAnsi="宋体" w:eastAsia="宋体" w:cs="宋体"/>
          <w:sz w:val="24"/>
          <w:szCs w:val="24"/>
        </w:rPr>
        <w:t>（11）格遵守《中华人民共和国安全生产法》《建设工程安全生产管理条例》等国家有关安全生产的法律法规《公路水运工程安全生产监督管理办法》和《公路工程施工安全技术规程》等有关安全生产的规定。认真执行工程承包合同中的有关安全要求</w:t>
      </w:r>
    </w:p>
    <w:p w14:paraId="01045835">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3.违约责任</w:t>
      </w:r>
    </w:p>
    <w:p w14:paraId="7DE1AA99">
      <w:pPr>
        <w:pStyle w:val="4"/>
        <w:rPr>
          <w:rFonts w:hint="eastAsia" w:ascii="宋体" w:hAnsi="宋体" w:eastAsia="宋体" w:cs="宋体"/>
          <w:sz w:val="24"/>
          <w:szCs w:val="24"/>
        </w:rPr>
      </w:pPr>
      <w:r>
        <w:rPr>
          <w:rFonts w:hint="eastAsia" w:ascii="宋体" w:hAnsi="宋体" w:eastAsia="宋体" w:cs="宋体"/>
          <w:sz w:val="24"/>
          <w:szCs w:val="24"/>
        </w:rPr>
        <w:t>如因发包人或承包人违约造成安全事故，将依法追究责任。</w:t>
      </w:r>
    </w:p>
    <w:p w14:paraId="45C4A0C6">
      <w:pPr>
        <w:pStyle w:val="4"/>
        <w:rPr>
          <w:rFonts w:hint="eastAsia" w:ascii="宋体" w:hAnsi="宋体" w:eastAsia="宋体" w:cs="宋体"/>
          <w:sz w:val="24"/>
          <w:szCs w:val="24"/>
        </w:rPr>
      </w:pPr>
      <w:r>
        <w:rPr>
          <w:rFonts w:hint="eastAsia" w:ascii="宋体" w:hAnsi="宋体" w:eastAsia="宋体" w:cs="宋体"/>
          <w:sz w:val="24"/>
          <w:szCs w:val="24"/>
        </w:rPr>
        <w:t>4.本合同由双方法定代表人或其授权的代理人签署并加盖单位章后生效，全部工程竣工验收后失效。</w:t>
      </w:r>
    </w:p>
    <w:p w14:paraId="3A826D40">
      <w:pPr>
        <w:pStyle w:val="4"/>
        <w:rPr>
          <w:rFonts w:hint="eastAsia" w:ascii="宋体" w:hAnsi="宋体" w:eastAsia="宋体" w:cs="宋体"/>
          <w:sz w:val="24"/>
          <w:szCs w:val="24"/>
        </w:rPr>
      </w:pPr>
      <w:r>
        <w:rPr>
          <w:rFonts w:hint="eastAsia" w:ascii="宋体" w:hAnsi="宋体" w:eastAsia="宋体" w:cs="宋体"/>
          <w:sz w:val="24"/>
          <w:szCs w:val="24"/>
        </w:rPr>
        <w:t>5.本合同正本—式陆份，发包人和承包人各执叁份。</w:t>
      </w:r>
    </w:p>
    <w:p w14:paraId="4349127C">
      <w:pPr>
        <w:spacing w:line="240" w:lineRule="auto"/>
        <w:rPr>
          <w:rFonts w:hint="eastAsia" w:ascii="宋体" w:hAnsi="宋体" w:eastAsia="宋体" w:cs="宋体"/>
          <w:sz w:val="24"/>
          <w:szCs w:val="24"/>
        </w:rPr>
      </w:pPr>
    </w:p>
    <w:p w14:paraId="1B1FDB19">
      <w:pPr>
        <w:spacing w:line="240" w:lineRule="auto"/>
        <w:rPr>
          <w:rFonts w:hint="eastAsia" w:ascii="宋体" w:hAnsi="宋体" w:eastAsia="宋体" w:cs="宋体"/>
          <w:spacing w:val="-20"/>
          <w:sz w:val="24"/>
          <w:szCs w:val="24"/>
          <w:u w:val="single"/>
        </w:rPr>
      </w:pPr>
      <w:r>
        <w:rPr>
          <w:rFonts w:hint="eastAsia" w:ascii="宋体" w:hAnsi="宋体" w:eastAsia="宋体" w:cs="宋体"/>
          <w:sz w:val="24"/>
          <w:szCs w:val="24"/>
        </w:rPr>
        <w:t>发包人：</w:t>
      </w:r>
      <w:r>
        <w:rPr>
          <w:rFonts w:hint="eastAsia" w:ascii="宋体" w:hAnsi="宋体" w:eastAsia="宋体" w:cs="宋体"/>
          <w:snapToGrid w:val="0"/>
          <w:kern w:val="0"/>
          <w:sz w:val="24"/>
          <w:szCs w:val="24"/>
          <w:u w:val="single"/>
        </w:rPr>
        <w:t xml:space="preserve">                </w:t>
      </w:r>
      <w:r>
        <w:rPr>
          <w:rFonts w:hint="eastAsia" w:ascii="宋体" w:hAnsi="宋体" w:eastAsia="宋体" w:cs="宋体"/>
          <w:bCs/>
          <w:sz w:val="24"/>
          <w:szCs w:val="24"/>
          <w:u w:val="single"/>
        </w:rPr>
        <w:t xml:space="preserve"> </w:t>
      </w:r>
      <w:r>
        <w:rPr>
          <w:rFonts w:hint="eastAsia" w:ascii="宋体" w:hAnsi="宋体" w:eastAsia="宋体" w:cs="宋体"/>
          <w:b/>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承包人：</w:t>
      </w:r>
      <w:r>
        <w:rPr>
          <w:rFonts w:hint="eastAsia" w:ascii="宋体" w:hAnsi="宋体" w:eastAsia="宋体" w:cs="宋体"/>
          <w:spacing w:val="-20"/>
          <w:sz w:val="24"/>
          <w:szCs w:val="24"/>
          <w:u w:val="single"/>
        </w:rPr>
        <w:t xml:space="preserve">                                          </w:t>
      </w:r>
    </w:p>
    <w:p w14:paraId="03F5D9E1">
      <w:pPr>
        <w:spacing w:line="240" w:lineRule="auto"/>
        <w:ind w:firstLine="1440" w:firstLineChars="600"/>
        <w:rPr>
          <w:rFonts w:hint="eastAsia" w:ascii="宋体" w:hAnsi="宋体" w:eastAsia="宋体" w:cs="宋体"/>
          <w:sz w:val="24"/>
          <w:szCs w:val="24"/>
        </w:rPr>
      </w:pPr>
      <w:r>
        <w:rPr>
          <w:rFonts w:hint="eastAsia" w:ascii="宋体" w:hAnsi="宋体" w:eastAsia="宋体" w:cs="宋体"/>
          <w:sz w:val="24"/>
          <w:szCs w:val="24"/>
        </w:rPr>
        <w:t xml:space="preserve">（盖单位章）                           （盖单位章） </w:t>
      </w:r>
    </w:p>
    <w:p w14:paraId="0ABFF362">
      <w:pPr>
        <w:spacing w:line="240" w:lineRule="auto"/>
        <w:rPr>
          <w:rFonts w:hint="eastAsia" w:ascii="宋体" w:hAnsi="宋体" w:eastAsia="宋体" w:cs="宋体"/>
          <w:sz w:val="24"/>
          <w:szCs w:val="24"/>
        </w:rPr>
      </w:pPr>
    </w:p>
    <w:p w14:paraId="4F1EE19C">
      <w:pPr>
        <w:spacing w:line="240" w:lineRule="auto"/>
        <w:rPr>
          <w:rFonts w:hint="eastAsia" w:ascii="宋体" w:hAnsi="宋体" w:eastAsia="宋体" w:cs="宋体"/>
          <w:sz w:val="24"/>
          <w:szCs w:val="24"/>
          <w:u w:val="single"/>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法定代表人：</w:t>
      </w:r>
      <w:r>
        <w:rPr>
          <w:rFonts w:hint="eastAsia" w:ascii="宋体" w:hAnsi="宋体" w:eastAsia="宋体" w:cs="宋体"/>
          <w:sz w:val="24"/>
          <w:szCs w:val="24"/>
          <w:u w:val="single"/>
        </w:rPr>
        <w:t xml:space="preserve">               </w:t>
      </w:r>
    </w:p>
    <w:p w14:paraId="0E71B893">
      <w:pPr>
        <w:spacing w:line="240" w:lineRule="auto"/>
        <w:rPr>
          <w:rFonts w:hint="eastAsia" w:ascii="宋体" w:hAnsi="宋体" w:eastAsia="宋体" w:cs="宋体"/>
          <w:sz w:val="24"/>
          <w:szCs w:val="24"/>
        </w:rPr>
      </w:pPr>
      <w:r>
        <w:rPr>
          <w:rFonts w:hint="eastAsia" w:ascii="宋体" w:hAnsi="宋体" w:eastAsia="宋体" w:cs="宋体"/>
          <w:sz w:val="24"/>
          <w:szCs w:val="24"/>
        </w:rPr>
        <w:t>（签字或盖章）                            （签字或盖章）</w:t>
      </w:r>
    </w:p>
    <w:p w14:paraId="4E57654C">
      <w:pPr>
        <w:spacing w:line="240" w:lineRule="auto"/>
        <w:rPr>
          <w:rFonts w:hint="eastAsia" w:ascii="宋体" w:hAnsi="宋体" w:eastAsia="宋体" w:cs="宋体"/>
          <w:sz w:val="24"/>
          <w:szCs w:val="24"/>
        </w:rPr>
      </w:pPr>
    </w:p>
    <w:p w14:paraId="541D9280">
      <w:pPr>
        <w:spacing w:line="240" w:lineRule="auto"/>
        <w:ind w:firstLine="2640" w:firstLineChars="1100"/>
        <w:rPr>
          <w:rFonts w:hint="eastAsia" w:ascii="宋体" w:hAnsi="宋体" w:eastAsia="宋体" w:cs="宋体"/>
          <w:sz w:val="24"/>
          <w:szCs w:val="24"/>
        </w:rPr>
      </w:pPr>
    </w:p>
    <w:p w14:paraId="35BB794E">
      <w:pPr>
        <w:spacing w:line="240" w:lineRule="auto"/>
        <w:ind w:firstLine="2640" w:firstLineChars="1100"/>
        <w:rPr>
          <w:rFonts w:hint="eastAsia" w:ascii="宋体" w:hAnsi="宋体" w:eastAsia="宋体" w:cs="宋体"/>
          <w:sz w:val="24"/>
          <w:szCs w:val="24"/>
        </w:rPr>
      </w:pPr>
      <w:r>
        <w:rPr>
          <w:rFonts w:hint="eastAsia" w:ascii="宋体" w:hAnsi="宋体" w:eastAsia="宋体" w:cs="宋体"/>
          <w:sz w:val="24"/>
          <w:szCs w:val="24"/>
        </w:rPr>
        <w:t xml:space="preserve">签订日期： </w:t>
      </w:r>
      <w:r>
        <w:rPr>
          <w:rFonts w:hint="eastAsia" w:ascii="宋体" w:hAnsi="宋体" w:eastAsia="宋体" w:cs="宋体"/>
          <w:sz w:val="24"/>
          <w:szCs w:val="24"/>
          <w:u w:val="single"/>
        </w:rPr>
        <w:t xml:space="preserve"> 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日                </w:t>
      </w:r>
    </w:p>
    <w:p w14:paraId="71219672">
      <w:pPr>
        <w:rPr>
          <w:rFonts w:hint="eastAsia" w:ascii="宋体" w:hAnsi="宋体" w:eastAsia="宋体" w:cs="宋体"/>
          <w:sz w:val="24"/>
          <w:szCs w:val="24"/>
        </w:rPr>
      </w:pPr>
      <w:bookmarkStart w:id="1229" w:name="_Toc508272187"/>
    </w:p>
    <w:p w14:paraId="00BE3D78">
      <w:pPr>
        <w:rPr>
          <w:rFonts w:hint="eastAsia" w:ascii="宋体" w:hAnsi="宋体" w:eastAsia="宋体" w:cs="宋体"/>
          <w:sz w:val="24"/>
          <w:szCs w:val="24"/>
        </w:rPr>
      </w:pPr>
      <w:bookmarkStart w:id="1230" w:name="_Toc8568"/>
      <w:r>
        <w:rPr>
          <w:rFonts w:hint="eastAsia" w:ascii="宋体" w:hAnsi="宋体" w:eastAsia="宋体" w:cs="宋体"/>
          <w:sz w:val="24"/>
          <w:szCs w:val="24"/>
        </w:rPr>
        <w:br w:type="page"/>
      </w:r>
    </w:p>
    <w:p w14:paraId="207703E1">
      <w:pPr>
        <w:pStyle w:val="44"/>
        <w:numPr>
          <w:ilvl w:val="0"/>
          <w:numId w:val="70"/>
        </w:numPr>
        <w:ind w:left="0" w:leftChars="0" w:firstLine="480" w:firstLineChars="0"/>
        <w:outlineLvl w:val="0"/>
        <w:rPr>
          <w:rFonts w:hint="eastAsia" w:ascii="宋体" w:hAnsi="宋体" w:eastAsia="宋体" w:cs="宋体"/>
          <w:sz w:val="24"/>
          <w:szCs w:val="24"/>
        </w:rPr>
      </w:pPr>
      <w:r>
        <w:rPr>
          <w:rFonts w:hint="eastAsia" w:ascii="宋体" w:hAnsi="宋体" w:eastAsia="宋体" w:cs="宋体"/>
          <w:sz w:val="24"/>
          <w:szCs w:val="24"/>
        </w:rPr>
        <w:t>廉政合同</w:t>
      </w:r>
      <w:bookmarkEnd w:id="1229"/>
      <w:bookmarkEnd w:id="1230"/>
    </w:p>
    <w:p w14:paraId="79F0F2AC">
      <w:pPr>
        <w:pStyle w:val="4"/>
        <w:rPr>
          <w:rFonts w:hint="eastAsia" w:ascii="宋体" w:hAnsi="宋体" w:eastAsia="宋体" w:cs="宋体"/>
          <w:sz w:val="24"/>
          <w:szCs w:val="24"/>
        </w:rPr>
      </w:pPr>
      <w:r>
        <w:rPr>
          <w:rFonts w:hint="eastAsia" w:ascii="宋体" w:hAnsi="宋体" w:eastAsia="宋体" w:cs="宋体"/>
          <w:sz w:val="24"/>
          <w:szCs w:val="24"/>
        </w:rPr>
        <w:t>根据有关工程建设、廉政建设的规定，为做好工程建设中的党风廉政建设，保证工程建设高效优质，保证建设资金的安全和有效使用以及投资效益，</w:t>
      </w:r>
      <w:r>
        <w:rPr>
          <w:rFonts w:hint="eastAsia" w:ascii="宋体" w:hAnsi="宋体" w:eastAsia="宋体" w:cs="宋体"/>
          <w:b/>
          <w:sz w:val="24"/>
          <w:szCs w:val="24"/>
          <w:u w:val="single"/>
        </w:rPr>
        <w:t xml:space="preserve">               </w:t>
      </w:r>
      <w:r>
        <w:rPr>
          <w:rFonts w:hint="eastAsia" w:ascii="宋体" w:hAnsi="宋体" w:eastAsia="宋体" w:cs="宋体"/>
          <w:sz w:val="24"/>
          <w:szCs w:val="24"/>
        </w:rPr>
        <w:t xml:space="preserve">项目法人 </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 </w:t>
      </w:r>
      <w:r>
        <w:rPr>
          <w:rFonts w:hint="eastAsia" w:ascii="宋体" w:hAnsi="宋体" w:eastAsia="宋体" w:cs="宋体"/>
          <w:sz w:val="24"/>
          <w:szCs w:val="24"/>
        </w:rPr>
        <w:t>与该项目的施工单位</w:t>
      </w:r>
      <w:r>
        <w:rPr>
          <w:rFonts w:hint="eastAsia" w:ascii="宋体" w:hAnsi="宋体" w:eastAsia="宋体" w:cs="宋体"/>
          <w:b/>
          <w:sz w:val="24"/>
          <w:szCs w:val="24"/>
          <w:u w:val="single"/>
        </w:rPr>
        <w:t xml:space="preserve">                             </w:t>
      </w:r>
      <w:r>
        <w:rPr>
          <w:rFonts w:hint="eastAsia" w:ascii="宋体" w:hAnsi="宋体" w:eastAsia="宋体" w:cs="宋体"/>
          <w:sz w:val="24"/>
          <w:szCs w:val="24"/>
        </w:rPr>
        <w:t>特订立如下合同。</w:t>
      </w:r>
    </w:p>
    <w:p w14:paraId="409C5C7B">
      <w:pPr>
        <w:pStyle w:val="4"/>
        <w:rPr>
          <w:rFonts w:hint="eastAsia" w:ascii="宋体" w:hAnsi="宋体" w:eastAsia="宋体" w:cs="宋体"/>
          <w:sz w:val="24"/>
          <w:szCs w:val="24"/>
        </w:rPr>
      </w:pPr>
      <w:r>
        <w:rPr>
          <w:rFonts w:hint="eastAsia" w:ascii="宋体" w:hAnsi="宋体" w:eastAsia="宋体" w:cs="宋体"/>
          <w:sz w:val="24"/>
          <w:szCs w:val="24"/>
        </w:rPr>
        <w:t>1．发包人和承包人双方的权利和义务</w:t>
      </w:r>
    </w:p>
    <w:p w14:paraId="0D0C47AC">
      <w:pPr>
        <w:pStyle w:val="4"/>
        <w:rPr>
          <w:rFonts w:hint="eastAsia" w:ascii="宋体" w:hAnsi="宋体" w:eastAsia="宋体" w:cs="宋体"/>
          <w:sz w:val="24"/>
          <w:szCs w:val="24"/>
        </w:rPr>
      </w:pPr>
      <w:r>
        <w:rPr>
          <w:rFonts w:hint="eastAsia" w:ascii="宋体" w:hAnsi="宋体" w:eastAsia="宋体" w:cs="宋体"/>
          <w:sz w:val="24"/>
          <w:szCs w:val="24"/>
        </w:rPr>
        <w:t>（1）严格遵守党的政策规定和国家有关法律法规及交通运输部的有关规定。</w:t>
      </w:r>
    </w:p>
    <w:p w14:paraId="7A44A625">
      <w:pPr>
        <w:pStyle w:val="4"/>
        <w:rPr>
          <w:rFonts w:hint="eastAsia" w:ascii="宋体" w:hAnsi="宋体" w:eastAsia="宋体" w:cs="宋体"/>
          <w:sz w:val="24"/>
          <w:szCs w:val="24"/>
        </w:rPr>
      </w:pPr>
      <w:r>
        <w:rPr>
          <w:rFonts w:hint="eastAsia" w:ascii="宋体" w:hAnsi="宋体" w:eastAsia="宋体" w:cs="宋体"/>
          <w:sz w:val="24"/>
          <w:szCs w:val="24"/>
        </w:rPr>
        <w:t>（2）严格执行</w:t>
      </w:r>
      <w:r>
        <w:rPr>
          <w:rFonts w:hint="eastAsia" w:ascii="宋体" w:hAnsi="宋体" w:eastAsia="宋体" w:cs="宋体"/>
          <w:b/>
          <w:sz w:val="24"/>
          <w:szCs w:val="24"/>
          <w:u w:val="single"/>
        </w:rPr>
        <w:t xml:space="preserve">                         </w:t>
      </w:r>
      <w:r>
        <w:rPr>
          <w:rFonts w:hint="eastAsia" w:ascii="宋体" w:hAnsi="宋体" w:eastAsia="宋体" w:cs="宋体"/>
          <w:sz w:val="24"/>
          <w:szCs w:val="24"/>
        </w:rPr>
        <w:t>施工合同文件，自觉按合同办事。</w:t>
      </w:r>
    </w:p>
    <w:p w14:paraId="23637535">
      <w:pPr>
        <w:pStyle w:val="4"/>
        <w:rPr>
          <w:rFonts w:hint="eastAsia" w:ascii="宋体" w:hAnsi="宋体" w:eastAsia="宋体" w:cs="宋体"/>
          <w:sz w:val="24"/>
          <w:szCs w:val="24"/>
        </w:rPr>
      </w:pPr>
      <w:r>
        <w:rPr>
          <w:rFonts w:hint="eastAsia" w:ascii="宋体" w:hAnsi="宋体" w:eastAsia="宋体" w:cs="宋体"/>
          <w:sz w:val="24"/>
          <w:szCs w:val="24"/>
        </w:rPr>
        <w:t>（3）双方的业务活动坚持公开、公正、诚信、透明的原则（法律认定的商业秘密和合同文件另有规定除外），不得损害国家和集体利益，不得违反工程建设管理规章制度。</w:t>
      </w:r>
    </w:p>
    <w:p w14:paraId="1BD6D649">
      <w:pPr>
        <w:pStyle w:val="4"/>
        <w:rPr>
          <w:rFonts w:hint="eastAsia" w:ascii="宋体" w:hAnsi="宋体" w:eastAsia="宋体" w:cs="宋体"/>
          <w:sz w:val="24"/>
          <w:szCs w:val="24"/>
        </w:rPr>
      </w:pPr>
      <w:r>
        <w:rPr>
          <w:rFonts w:hint="eastAsia" w:ascii="宋体" w:hAnsi="宋体" w:eastAsia="宋体" w:cs="宋体"/>
          <w:sz w:val="24"/>
          <w:szCs w:val="24"/>
        </w:rPr>
        <w:t>（4）建立健全廉政制度，开展廉政教育，设立廉政告示牌，公布举报电话，监督并认真查处违法违纪行为。</w:t>
      </w:r>
    </w:p>
    <w:p w14:paraId="1E6279DB">
      <w:pPr>
        <w:pStyle w:val="4"/>
        <w:rPr>
          <w:rFonts w:hint="eastAsia" w:ascii="宋体" w:hAnsi="宋体" w:eastAsia="宋体" w:cs="宋体"/>
          <w:sz w:val="24"/>
          <w:szCs w:val="24"/>
        </w:rPr>
      </w:pPr>
      <w:r>
        <w:rPr>
          <w:rFonts w:hint="eastAsia" w:ascii="宋体" w:hAnsi="宋体" w:eastAsia="宋体" w:cs="宋体"/>
          <w:sz w:val="24"/>
          <w:szCs w:val="24"/>
        </w:rPr>
        <w:t>（5）发现对方在业务活动中有违反廉政规定的行为，有及时提醒对方纠正的权利和义务。</w:t>
      </w:r>
    </w:p>
    <w:p w14:paraId="6CAF8672">
      <w:pPr>
        <w:pStyle w:val="4"/>
        <w:rPr>
          <w:rFonts w:hint="eastAsia" w:ascii="宋体" w:hAnsi="宋体" w:eastAsia="宋体" w:cs="宋体"/>
          <w:sz w:val="24"/>
          <w:szCs w:val="24"/>
        </w:rPr>
      </w:pPr>
      <w:r>
        <w:rPr>
          <w:rFonts w:hint="eastAsia" w:ascii="宋体" w:hAnsi="宋体" w:eastAsia="宋体" w:cs="宋体"/>
          <w:sz w:val="24"/>
          <w:szCs w:val="24"/>
        </w:rPr>
        <w:t>（6）发现对方严重违反本合同义务条款的行为，有向其上级有关部门举报、建议给予处理并要求告知处理结果的权利。</w:t>
      </w:r>
    </w:p>
    <w:p w14:paraId="07363E64">
      <w:pPr>
        <w:pStyle w:val="4"/>
        <w:rPr>
          <w:rFonts w:hint="eastAsia" w:ascii="宋体" w:hAnsi="宋体" w:eastAsia="宋体" w:cs="宋体"/>
          <w:sz w:val="24"/>
          <w:szCs w:val="24"/>
        </w:rPr>
      </w:pPr>
      <w:r>
        <w:rPr>
          <w:rFonts w:hint="eastAsia" w:ascii="宋体" w:hAnsi="宋体" w:eastAsia="宋体" w:cs="宋体"/>
          <w:sz w:val="24"/>
          <w:szCs w:val="24"/>
        </w:rPr>
        <w:t>2．发包人的义务</w:t>
      </w:r>
    </w:p>
    <w:p w14:paraId="209D2AFD">
      <w:pPr>
        <w:pStyle w:val="4"/>
        <w:rPr>
          <w:rFonts w:hint="eastAsia" w:ascii="宋体" w:hAnsi="宋体" w:eastAsia="宋体" w:cs="宋体"/>
          <w:sz w:val="24"/>
          <w:szCs w:val="24"/>
        </w:rPr>
      </w:pPr>
      <w:r>
        <w:rPr>
          <w:rFonts w:hint="eastAsia" w:ascii="宋体" w:hAnsi="宋体" w:eastAsia="宋体" w:cs="宋体"/>
          <w:sz w:val="24"/>
          <w:szCs w:val="24"/>
        </w:rPr>
        <w:t>（1）发包人及其工作人员不得索要或接受承包人的礼金、有价证券和贵重物品，不得让承包人报销任何应由发包人或发包人工作人员个人支付的费用等。</w:t>
      </w:r>
    </w:p>
    <w:p w14:paraId="1C973728">
      <w:pPr>
        <w:pStyle w:val="4"/>
        <w:rPr>
          <w:rFonts w:hint="eastAsia" w:ascii="宋体" w:hAnsi="宋体" w:eastAsia="宋体" w:cs="宋体"/>
          <w:sz w:val="24"/>
          <w:szCs w:val="24"/>
        </w:rPr>
      </w:pPr>
      <w:r>
        <w:rPr>
          <w:rFonts w:hint="eastAsia" w:ascii="宋体" w:hAnsi="宋体" w:eastAsia="宋体" w:cs="宋体"/>
          <w:sz w:val="24"/>
          <w:szCs w:val="24"/>
        </w:rPr>
        <w:t>（2）发包人工作人员不得参加承包人安排的超标准宴请和娱乐活动；不得接受承包人提供的通讯工具、交通工具和高档办公用品等。</w:t>
      </w:r>
    </w:p>
    <w:p w14:paraId="62F89F06">
      <w:pPr>
        <w:pStyle w:val="4"/>
        <w:rPr>
          <w:rFonts w:hint="eastAsia" w:ascii="宋体" w:hAnsi="宋体" w:eastAsia="宋体" w:cs="宋体"/>
          <w:sz w:val="24"/>
          <w:szCs w:val="24"/>
        </w:rPr>
      </w:pPr>
      <w:r>
        <w:rPr>
          <w:rFonts w:hint="eastAsia" w:ascii="宋体" w:hAnsi="宋体" w:eastAsia="宋体" w:cs="宋体"/>
          <w:sz w:val="24"/>
          <w:szCs w:val="24"/>
        </w:rPr>
        <w:t>（3）发包人及其工作人员不得要求或者接受承包人为其住房装修、婚丧嫁娶活动、配偶子女的工作安排以及出国出境、旅游等提供方便等。</w:t>
      </w:r>
    </w:p>
    <w:p w14:paraId="67B30F11">
      <w:pPr>
        <w:pStyle w:val="4"/>
        <w:rPr>
          <w:rFonts w:hint="eastAsia" w:ascii="宋体" w:hAnsi="宋体" w:eastAsia="宋体" w:cs="宋体"/>
          <w:sz w:val="24"/>
          <w:szCs w:val="24"/>
        </w:rPr>
      </w:pPr>
      <w:r>
        <w:rPr>
          <w:rFonts w:hint="eastAsia" w:ascii="宋体" w:hAnsi="宋体" w:eastAsia="宋体" w:cs="宋体"/>
          <w:sz w:val="24"/>
          <w:szCs w:val="24"/>
        </w:rPr>
        <w:t>（4）发包人工作人员及其配偶、子女不得从事与发包人工作有关的材料设备供应、工程分包、劳务等经济活动等。</w:t>
      </w:r>
    </w:p>
    <w:p w14:paraId="7915B45F">
      <w:pPr>
        <w:pStyle w:val="4"/>
        <w:rPr>
          <w:rFonts w:hint="eastAsia" w:ascii="宋体" w:hAnsi="宋体" w:eastAsia="宋体" w:cs="宋体"/>
          <w:sz w:val="24"/>
          <w:szCs w:val="24"/>
        </w:rPr>
      </w:pPr>
      <w:r>
        <w:rPr>
          <w:rFonts w:hint="eastAsia" w:ascii="宋体" w:hAnsi="宋体" w:eastAsia="宋体" w:cs="宋体"/>
          <w:sz w:val="24"/>
          <w:szCs w:val="24"/>
        </w:rPr>
        <w:t>（5）发包人及期工作人员不得以任何理由向承包人推荐分包单位或推销材料，不得要求承包人购买合同规定外的材料和设备。</w:t>
      </w:r>
    </w:p>
    <w:p w14:paraId="23CC258B">
      <w:pPr>
        <w:pStyle w:val="4"/>
        <w:rPr>
          <w:rFonts w:hint="eastAsia" w:ascii="宋体" w:hAnsi="宋体" w:eastAsia="宋体" w:cs="宋体"/>
          <w:sz w:val="24"/>
          <w:szCs w:val="24"/>
        </w:rPr>
      </w:pPr>
      <w:r>
        <w:rPr>
          <w:rFonts w:hint="eastAsia" w:ascii="宋体" w:hAnsi="宋体" w:eastAsia="宋体" w:cs="宋体"/>
          <w:sz w:val="24"/>
          <w:szCs w:val="24"/>
        </w:rPr>
        <w:t>（6）发包人工作人员要秉公办事，不准营私舞弊，不准利用职权从事各种个人有偿中介活动和安排个人施工队伍。</w:t>
      </w:r>
    </w:p>
    <w:p w14:paraId="5371750B">
      <w:pPr>
        <w:pStyle w:val="4"/>
        <w:rPr>
          <w:rFonts w:hint="eastAsia" w:ascii="宋体" w:hAnsi="宋体" w:eastAsia="宋体" w:cs="宋体"/>
          <w:sz w:val="24"/>
          <w:szCs w:val="24"/>
        </w:rPr>
      </w:pPr>
      <w:r>
        <w:rPr>
          <w:rFonts w:hint="eastAsia" w:ascii="宋体" w:hAnsi="宋体" w:eastAsia="宋体" w:cs="宋体"/>
          <w:sz w:val="24"/>
          <w:szCs w:val="24"/>
        </w:rPr>
        <w:t>3．承包人的义务</w:t>
      </w:r>
    </w:p>
    <w:p w14:paraId="25169150">
      <w:pPr>
        <w:pStyle w:val="4"/>
        <w:rPr>
          <w:rFonts w:hint="eastAsia" w:ascii="宋体" w:hAnsi="宋体" w:eastAsia="宋体" w:cs="宋体"/>
          <w:sz w:val="24"/>
          <w:szCs w:val="24"/>
        </w:rPr>
      </w:pPr>
      <w:r>
        <w:rPr>
          <w:rFonts w:hint="eastAsia" w:ascii="宋体" w:hAnsi="宋体" w:eastAsia="宋体" w:cs="宋体"/>
          <w:sz w:val="24"/>
          <w:szCs w:val="24"/>
        </w:rPr>
        <w:t>（1）承包人不得以任何理由向发包人及其工作人员行贿或馈赠礼金、有价证券、贵重礼品。</w:t>
      </w:r>
    </w:p>
    <w:p w14:paraId="3C011AAA">
      <w:pPr>
        <w:pStyle w:val="4"/>
        <w:rPr>
          <w:rFonts w:hint="eastAsia" w:ascii="宋体" w:hAnsi="宋体" w:eastAsia="宋体" w:cs="宋体"/>
          <w:sz w:val="24"/>
          <w:szCs w:val="24"/>
        </w:rPr>
      </w:pPr>
      <w:r>
        <w:rPr>
          <w:rFonts w:hint="eastAsia" w:ascii="宋体" w:hAnsi="宋体" w:eastAsia="宋体" w:cs="宋体"/>
          <w:sz w:val="24"/>
          <w:szCs w:val="24"/>
        </w:rPr>
        <w:t>（2）承包人不得以任何名义为发包人及其工作人员报销应由发包人单位或个人支付的任何费用。</w:t>
      </w:r>
    </w:p>
    <w:p w14:paraId="5D6E32F9">
      <w:pPr>
        <w:pStyle w:val="4"/>
        <w:rPr>
          <w:rFonts w:hint="eastAsia" w:ascii="宋体" w:hAnsi="宋体" w:eastAsia="宋体" w:cs="宋体"/>
          <w:sz w:val="24"/>
          <w:szCs w:val="24"/>
        </w:rPr>
      </w:pPr>
      <w:r>
        <w:rPr>
          <w:rFonts w:hint="eastAsia" w:ascii="宋体" w:hAnsi="宋体" w:eastAsia="宋体" w:cs="宋体"/>
          <w:sz w:val="24"/>
          <w:szCs w:val="24"/>
        </w:rPr>
        <w:t>（3）承包人不得以任何理由安排发包人工作人员参加超标准宴请及娱乐活动。</w:t>
      </w:r>
    </w:p>
    <w:p w14:paraId="7538D539">
      <w:pPr>
        <w:pStyle w:val="4"/>
        <w:rPr>
          <w:rFonts w:hint="eastAsia" w:ascii="宋体" w:hAnsi="宋体" w:eastAsia="宋体" w:cs="宋体"/>
          <w:sz w:val="24"/>
          <w:szCs w:val="24"/>
        </w:rPr>
      </w:pPr>
      <w:r>
        <w:rPr>
          <w:rFonts w:hint="eastAsia" w:ascii="宋体" w:hAnsi="宋体" w:eastAsia="宋体" w:cs="宋体"/>
          <w:sz w:val="24"/>
          <w:szCs w:val="24"/>
        </w:rPr>
        <w:t>（4）承包人不得为发包人单位和个人购置或提供通讯工具、交通工具和高档办公用品等。</w:t>
      </w:r>
    </w:p>
    <w:p w14:paraId="7A7F5D0C">
      <w:pPr>
        <w:pStyle w:val="4"/>
        <w:rPr>
          <w:rFonts w:hint="eastAsia" w:ascii="宋体" w:hAnsi="宋体" w:eastAsia="宋体" w:cs="宋体"/>
          <w:sz w:val="24"/>
          <w:szCs w:val="24"/>
        </w:rPr>
      </w:pPr>
      <w:r>
        <w:rPr>
          <w:rFonts w:hint="eastAsia" w:ascii="宋体" w:hAnsi="宋体" w:eastAsia="宋体" w:cs="宋体"/>
          <w:sz w:val="24"/>
          <w:szCs w:val="24"/>
        </w:rPr>
        <w:t>4．违约责任</w:t>
      </w:r>
    </w:p>
    <w:p w14:paraId="0A496ED0">
      <w:pPr>
        <w:pStyle w:val="4"/>
        <w:rPr>
          <w:rFonts w:hint="eastAsia" w:ascii="宋体" w:hAnsi="宋体" w:eastAsia="宋体" w:cs="宋体"/>
          <w:sz w:val="24"/>
          <w:szCs w:val="24"/>
        </w:rPr>
      </w:pPr>
      <w:r>
        <w:rPr>
          <w:rFonts w:hint="eastAsia" w:ascii="宋体" w:hAnsi="宋体" w:eastAsia="宋体" w:cs="宋体"/>
          <w:sz w:val="24"/>
          <w:szCs w:val="24"/>
        </w:rPr>
        <w:t>（1）发包人及其工作人员违反本合同第1、2条，按管理权限，依据有关规定给予党纪、政纪或组织处理；涉嫌犯罪的，移交司法机关追究刑事责任；给承包人单位造成经济损失的，应予以赔偿。</w:t>
      </w:r>
    </w:p>
    <w:p w14:paraId="0FF040F2">
      <w:pPr>
        <w:pStyle w:val="4"/>
        <w:rPr>
          <w:rFonts w:hint="eastAsia" w:ascii="宋体" w:hAnsi="宋体" w:eastAsia="宋体" w:cs="宋体"/>
          <w:sz w:val="24"/>
          <w:szCs w:val="24"/>
        </w:rPr>
      </w:pPr>
      <w:r>
        <w:rPr>
          <w:rFonts w:hint="eastAsia" w:ascii="宋体" w:hAnsi="宋体" w:eastAsia="宋体" w:cs="宋体"/>
          <w:sz w:val="24"/>
          <w:szCs w:val="24"/>
        </w:rPr>
        <w:t>（2）承包人及其工作人员违反本合同第1、3条，按管理权限，依据有关规定给予党纪、政纪或组织处理；给发包人单位造成经济损失的，应予以赔偿；情节严重的，发包人建议水利主管部门给予承包人一至三年内不得进入其主管的水利工程建设市场的处罚。</w:t>
      </w:r>
    </w:p>
    <w:p w14:paraId="2DFF150F">
      <w:pPr>
        <w:pStyle w:val="4"/>
        <w:rPr>
          <w:rFonts w:hint="eastAsia" w:ascii="宋体" w:hAnsi="宋体" w:eastAsia="宋体" w:cs="宋体"/>
          <w:sz w:val="24"/>
          <w:szCs w:val="24"/>
        </w:rPr>
      </w:pPr>
      <w:r>
        <w:rPr>
          <w:rFonts w:hint="eastAsia" w:ascii="宋体" w:hAnsi="宋体" w:eastAsia="宋体" w:cs="宋体"/>
          <w:sz w:val="24"/>
          <w:szCs w:val="24"/>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6594243B">
      <w:pPr>
        <w:pStyle w:val="4"/>
        <w:rPr>
          <w:rFonts w:hint="eastAsia" w:ascii="宋体" w:hAnsi="宋体" w:eastAsia="宋体" w:cs="宋体"/>
          <w:sz w:val="24"/>
          <w:szCs w:val="24"/>
        </w:rPr>
      </w:pPr>
      <w:r>
        <w:rPr>
          <w:rFonts w:hint="eastAsia" w:ascii="宋体" w:hAnsi="宋体" w:eastAsia="宋体" w:cs="宋体"/>
          <w:sz w:val="24"/>
          <w:szCs w:val="24"/>
        </w:rPr>
        <w:t>6.本合同有效期为发包人和承包人签署之日起至该工程项目竣工验收后止。</w:t>
      </w:r>
    </w:p>
    <w:p w14:paraId="1E93B8DF">
      <w:pPr>
        <w:pStyle w:val="4"/>
        <w:rPr>
          <w:rFonts w:hint="eastAsia" w:ascii="宋体" w:hAnsi="宋体" w:eastAsia="宋体" w:cs="宋体"/>
          <w:sz w:val="24"/>
          <w:szCs w:val="24"/>
        </w:rPr>
      </w:pPr>
      <w:r>
        <w:rPr>
          <w:rFonts w:hint="eastAsia" w:ascii="宋体" w:hAnsi="宋体" w:eastAsia="宋体" w:cs="宋体"/>
          <w:sz w:val="24"/>
          <w:szCs w:val="24"/>
        </w:rPr>
        <w:t>7．本合同作为</w:t>
      </w:r>
      <w:r>
        <w:rPr>
          <w:rFonts w:hint="eastAsia" w:ascii="宋体" w:hAnsi="宋体" w:eastAsia="宋体" w:cs="宋体"/>
          <w:b/>
          <w:sz w:val="24"/>
          <w:szCs w:val="24"/>
          <w:u w:val="single"/>
        </w:rPr>
        <w:t xml:space="preserve">                   </w:t>
      </w:r>
      <w:r>
        <w:rPr>
          <w:rFonts w:hint="eastAsia" w:ascii="宋体" w:hAnsi="宋体" w:eastAsia="宋体" w:cs="宋体"/>
          <w:sz w:val="24"/>
          <w:szCs w:val="24"/>
        </w:rPr>
        <w:t>施工合同的附件，与工程施工合同具有同等的法律效力，经合同双方签署后立即生效。</w:t>
      </w:r>
    </w:p>
    <w:p w14:paraId="7EA2CB71">
      <w:pPr>
        <w:pStyle w:val="4"/>
        <w:rPr>
          <w:rFonts w:hint="eastAsia" w:ascii="宋体" w:hAnsi="宋体" w:eastAsia="宋体" w:cs="宋体"/>
          <w:sz w:val="24"/>
          <w:szCs w:val="24"/>
        </w:rPr>
      </w:pPr>
      <w:r>
        <w:rPr>
          <w:rFonts w:hint="eastAsia" w:ascii="宋体" w:hAnsi="宋体" w:eastAsia="宋体" w:cs="宋体"/>
          <w:sz w:val="24"/>
          <w:szCs w:val="24"/>
        </w:rPr>
        <w:t>8．本合同一式陆份，发包人和承包人各执叁份。</w:t>
      </w:r>
    </w:p>
    <w:p w14:paraId="300CF5F1">
      <w:pPr>
        <w:spacing w:line="500" w:lineRule="exact"/>
        <w:rPr>
          <w:rFonts w:hint="eastAsia" w:ascii="宋体" w:hAnsi="宋体" w:eastAsia="宋体" w:cs="宋体"/>
          <w:sz w:val="24"/>
          <w:szCs w:val="24"/>
        </w:rPr>
      </w:pPr>
    </w:p>
    <w:p w14:paraId="4814537D">
      <w:pPr>
        <w:pStyle w:val="4"/>
        <w:rPr>
          <w:rFonts w:hint="eastAsia" w:ascii="宋体" w:hAnsi="宋体" w:eastAsia="宋体" w:cs="宋体"/>
          <w:sz w:val="24"/>
          <w:szCs w:val="24"/>
          <w:u w:val="single"/>
        </w:rPr>
      </w:pPr>
      <w:r>
        <w:rPr>
          <w:rFonts w:hint="eastAsia" w:ascii="宋体" w:hAnsi="宋体" w:eastAsia="宋体" w:cs="宋体"/>
          <w:sz w:val="24"/>
          <w:szCs w:val="24"/>
        </w:rPr>
        <w:t>发包人：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承包人：</w:t>
      </w:r>
      <w:r>
        <w:rPr>
          <w:rFonts w:hint="eastAsia" w:ascii="宋体" w:hAnsi="宋体" w:eastAsia="宋体" w:cs="宋体"/>
          <w:sz w:val="24"/>
          <w:szCs w:val="24"/>
          <w:u w:val="single"/>
        </w:rPr>
        <w:t xml:space="preserve">                         </w:t>
      </w:r>
    </w:p>
    <w:p w14:paraId="55C0C40A">
      <w:pPr>
        <w:spacing w:line="500" w:lineRule="exact"/>
        <w:ind w:left="2156" w:leftChars="798" w:hanging="480" w:hangingChars="200"/>
        <w:rPr>
          <w:rFonts w:hint="eastAsia" w:ascii="宋体" w:hAnsi="宋体" w:eastAsia="宋体" w:cs="宋体"/>
          <w:sz w:val="24"/>
          <w:szCs w:val="24"/>
        </w:rPr>
      </w:pPr>
      <w:r>
        <w:rPr>
          <w:rFonts w:hint="eastAsia" w:ascii="宋体" w:hAnsi="宋体" w:eastAsia="宋体" w:cs="宋体"/>
          <w:sz w:val="24"/>
          <w:szCs w:val="24"/>
        </w:rPr>
        <w:t xml:space="preserve">（盖单位章）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（盖单位章） </w:t>
      </w:r>
    </w:p>
    <w:p w14:paraId="33ABBE07">
      <w:pPr>
        <w:spacing w:line="500" w:lineRule="exact"/>
        <w:rPr>
          <w:rFonts w:hint="eastAsia" w:ascii="宋体" w:hAnsi="宋体" w:eastAsia="宋体" w:cs="宋体"/>
          <w:sz w:val="24"/>
          <w:szCs w:val="24"/>
        </w:rPr>
      </w:pPr>
    </w:p>
    <w:p w14:paraId="756A2DE4">
      <w:pPr>
        <w:pStyle w:val="4"/>
        <w:rPr>
          <w:rFonts w:hint="eastAsia" w:ascii="宋体" w:hAnsi="宋体" w:eastAsia="宋体" w:cs="宋体"/>
          <w:sz w:val="24"/>
          <w:szCs w:val="24"/>
          <w:u w:val="single"/>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法定代表人：</w:t>
      </w:r>
      <w:r>
        <w:rPr>
          <w:rFonts w:hint="eastAsia" w:ascii="宋体" w:hAnsi="宋体" w:eastAsia="宋体" w:cs="宋体"/>
          <w:sz w:val="24"/>
          <w:szCs w:val="24"/>
          <w:u w:val="single"/>
        </w:rPr>
        <w:t xml:space="preserve">               </w:t>
      </w:r>
    </w:p>
    <w:p w14:paraId="75325830">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（签字或盖章）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（签字或盖章）</w:t>
      </w:r>
    </w:p>
    <w:p w14:paraId="6B89DFD0">
      <w:pPr>
        <w:spacing w:line="500" w:lineRule="exact"/>
        <w:ind w:firstLine="2400" w:firstLineChars="1000"/>
        <w:rPr>
          <w:rFonts w:hint="eastAsia" w:ascii="宋体" w:hAnsi="宋体" w:eastAsia="宋体" w:cs="宋体"/>
          <w:sz w:val="24"/>
          <w:szCs w:val="24"/>
        </w:rPr>
      </w:pPr>
    </w:p>
    <w:p w14:paraId="62F4E216">
      <w:pPr>
        <w:rPr>
          <w:rFonts w:hint="eastAsia" w:ascii="宋体" w:hAnsi="宋体" w:eastAsia="宋体" w:cs="宋体"/>
          <w:sz w:val="24"/>
          <w:szCs w:val="24"/>
          <w:u w:val="single"/>
        </w:rPr>
      </w:pPr>
      <w:r>
        <w:rPr>
          <w:rFonts w:hint="eastAsia" w:ascii="宋体" w:hAnsi="宋体" w:eastAsia="宋体" w:cs="宋体"/>
          <w:sz w:val="24"/>
          <w:szCs w:val="24"/>
        </w:rPr>
        <w:t xml:space="preserve">签订日期： </w:t>
      </w:r>
      <w:r>
        <w:rPr>
          <w:rFonts w:hint="eastAsia" w:ascii="宋体" w:hAnsi="宋体" w:eastAsia="宋体" w:cs="宋体"/>
          <w:sz w:val="24"/>
          <w:szCs w:val="24"/>
          <w:u w:val="single"/>
        </w:rPr>
        <w:t xml:space="preserve"> 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日</w:t>
      </w:r>
    </w:p>
    <w:p w14:paraId="59807E47">
      <w:pPr>
        <w:pStyle w:val="6"/>
        <w:rPr>
          <w:rFonts w:hint="eastAsia" w:ascii="宋体" w:hAnsi="宋体" w:eastAsia="宋体" w:cs="宋体"/>
          <w:sz w:val="24"/>
          <w:szCs w:val="24"/>
          <w:u w:val="single"/>
        </w:rPr>
        <w:sectPr>
          <w:pgSz w:w="11906" w:h="16838"/>
          <w:pgMar w:top="1440" w:right="1080" w:bottom="1440" w:left="1080" w:header="851" w:footer="992" w:gutter="0"/>
          <w:cols w:space="720" w:num="1"/>
          <w:docGrid w:type="lines" w:linePitch="312" w:charSpace="0"/>
        </w:sectPr>
      </w:pPr>
    </w:p>
    <w:p w14:paraId="78B42CF6">
      <w:pPr>
        <w:pStyle w:val="44"/>
        <w:numPr>
          <w:ilvl w:val="0"/>
          <w:numId w:val="70"/>
        </w:numPr>
        <w:ind w:left="0" w:leftChars="0" w:firstLine="480" w:firstLineChars="0"/>
        <w:outlineLvl w:val="0"/>
        <w:rPr>
          <w:rFonts w:hint="eastAsia" w:ascii="宋体" w:hAnsi="宋体" w:eastAsia="宋体" w:cs="宋体"/>
          <w:sz w:val="36"/>
          <w:szCs w:val="36"/>
          <w:highlight w:val="none"/>
        </w:rPr>
      </w:pPr>
      <w:r>
        <w:rPr>
          <w:rFonts w:hint="eastAsia" w:ascii="宋体" w:hAnsi="宋体" w:eastAsia="宋体" w:cs="宋体"/>
          <w:sz w:val="36"/>
          <w:szCs w:val="36"/>
          <w:highlight w:val="none"/>
        </w:rPr>
        <w:t>预付款担保</w:t>
      </w:r>
    </w:p>
    <w:p w14:paraId="4E1DA76B">
      <w:pPr>
        <w:spacing w:line="360" w:lineRule="auto"/>
        <w:rPr>
          <w:rFonts w:hint="eastAsia" w:ascii="宋体" w:hAnsi="宋体" w:eastAsia="宋体" w:cs="宋体"/>
          <w:color w:val="auto"/>
          <w:sz w:val="24"/>
          <w:szCs w:val="24"/>
          <w:highlight w:val="none"/>
        </w:rPr>
      </w:pPr>
    </w:p>
    <w:p w14:paraId="7D7B1F1E">
      <w:pPr>
        <w:pStyle w:val="46"/>
        <w:rPr>
          <w:rFonts w:hint="eastAsia" w:ascii="宋体" w:hAnsi="宋体" w:eastAsia="宋体" w:cs="宋体"/>
          <w:sz w:val="24"/>
          <w:szCs w:val="24"/>
          <w:highlight w:val="none"/>
        </w:rPr>
      </w:pPr>
      <w:r>
        <w:rPr>
          <w:rFonts w:hint="eastAsia" w:ascii="宋体" w:hAnsi="宋体" w:eastAsia="宋体" w:cs="宋体"/>
          <w:sz w:val="24"/>
          <w:szCs w:val="24"/>
          <w:highlight w:val="none"/>
        </w:rPr>
        <w:t>预付款担保</w:t>
      </w:r>
    </w:p>
    <w:p w14:paraId="1EFEAADD">
      <w:pPr>
        <w:pStyle w:val="4"/>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（发包人名称）：</w:t>
      </w:r>
    </w:p>
    <w:p w14:paraId="0E641037">
      <w:pPr>
        <w:spacing w:line="360" w:lineRule="auto"/>
        <w:rPr>
          <w:rFonts w:hint="eastAsia" w:ascii="宋体" w:hAnsi="宋体" w:eastAsia="宋体" w:cs="宋体"/>
          <w:color w:val="auto"/>
          <w:sz w:val="24"/>
          <w:szCs w:val="24"/>
          <w:highlight w:val="none"/>
        </w:rPr>
      </w:pPr>
    </w:p>
    <w:p w14:paraId="21B5D941">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（承包人名称）（以下称“承包人”）与</w:t>
      </w:r>
    </w:p>
    <w:p w14:paraId="22C352E5">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（发包人名称）（以下简称“发包人”）</w:t>
      </w:r>
    </w:p>
    <w:p w14:paraId="2088B3AC">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日签订的</w:t>
      </w:r>
      <w:r>
        <w:rPr>
          <w:rFonts w:hint="eastAsia" w:ascii="宋体" w:hAnsi="宋体" w:eastAsia="宋体" w:cs="宋体"/>
          <w:color w:val="auto"/>
          <w:sz w:val="24"/>
          <w:szCs w:val="24"/>
          <w:highlight w:val="none"/>
          <w:u w:val="single"/>
        </w:rPr>
        <w:t xml:space="preserve">                   （项目名称）（标段名称）</w:t>
      </w:r>
      <w:r>
        <w:rPr>
          <w:rFonts w:hint="eastAsia" w:ascii="宋体" w:hAnsi="宋体" w:eastAsia="宋体" w:cs="宋体"/>
          <w:color w:val="auto"/>
          <w:sz w:val="24"/>
          <w:szCs w:val="24"/>
          <w:highlight w:val="none"/>
        </w:rPr>
        <w:t>《建设工程施工合同》，承包人按约定的金额向你方提交一份预付款担保，即有权得到你方支付相等金额的预付款。我方愿意就你方提供给承包人的预付款为承包人提供连带责任担保。</w:t>
      </w:r>
    </w:p>
    <w:p w14:paraId="0EE4AB1B">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担保金额人民币（大写）                元（¥             ）。</w:t>
      </w:r>
    </w:p>
    <w:p w14:paraId="2198BAE8">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担保有效期自预付款支付给承包人起生效，至你方签发的进度款支付证书说明已完全扣清止。</w:t>
      </w:r>
    </w:p>
    <w:p w14:paraId="63FDCE13">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4833A9D7">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你方和承包人按合同约定变更合同时，我方承担本保函规定的义务不变。</w:t>
      </w:r>
    </w:p>
    <w:p w14:paraId="4B88940C">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因本保函发生的纠纷，可由双方协商解决，协商不成的，任何一方均可提请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仲裁委员会仲裁。</w:t>
      </w:r>
    </w:p>
    <w:p w14:paraId="460E4011">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本保函自我方法定代表人（或其授权代理人）签字并加盖公章之日起生效。</w:t>
      </w:r>
    </w:p>
    <w:p w14:paraId="1B6E392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担保人：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457C366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53C3AFBB">
      <w:pPr>
        <w:spacing w:line="360" w:lineRule="auto"/>
        <w:rPr>
          <w:rFonts w:hint="eastAsia" w:ascii="宋体" w:hAnsi="宋体" w:eastAsia="宋体" w:cs="宋体"/>
          <w:color w:val="auto"/>
          <w:sz w:val="24"/>
          <w:szCs w:val="24"/>
          <w:highlight w:val="none"/>
        </w:rPr>
      </w:pPr>
    </w:p>
    <w:p w14:paraId="5CE3704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14:paraId="72160743">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14:paraId="7149F52D">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14:paraId="1969DF26">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14:paraId="1961310F">
      <w:pPr>
        <w:spacing w:line="360" w:lineRule="auto"/>
        <w:rPr>
          <w:rFonts w:hint="eastAsia" w:ascii="宋体" w:hAnsi="宋体" w:eastAsia="宋体" w:cs="宋体"/>
          <w:sz w:val="24"/>
          <w:szCs w:val="24"/>
        </w:rPr>
        <w:sectPr>
          <w:pgSz w:w="11906" w:h="16838"/>
          <w:pgMar w:top="1440" w:right="1080" w:bottom="1440" w:left="1080" w:header="851" w:footer="992" w:gutter="0"/>
          <w:cols w:space="720" w:num="1"/>
          <w:docGrid w:type="lines" w:linePitch="312" w:charSpace="0"/>
        </w:sect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F8F6878">
      <w:pPr>
        <w:pStyle w:val="44"/>
        <w:numPr>
          <w:ilvl w:val="0"/>
          <w:numId w:val="70"/>
        </w:numPr>
        <w:ind w:left="0" w:leftChars="0" w:firstLine="480" w:firstLineChars="0"/>
        <w:outlineLvl w:val="0"/>
        <w:rPr>
          <w:rFonts w:hint="eastAsia" w:ascii="宋体" w:hAnsi="宋体" w:eastAsia="宋体" w:cs="宋体"/>
          <w:sz w:val="36"/>
          <w:szCs w:val="36"/>
        </w:rPr>
      </w:pPr>
      <w:bookmarkStart w:id="1231" w:name="_Toc508272188"/>
      <w:bookmarkStart w:id="1232" w:name="_Toc22747"/>
      <w:r>
        <w:rPr>
          <w:rFonts w:hint="eastAsia" w:ascii="宋体" w:hAnsi="宋体" w:eastAsia="宋体" w:cs="宋体"/>
          <w:sz w:val="36"/>
          <w:szCs w:val="36"/>
        </w:rPr>
        <w:t>工程质量保修书</w:t>
      </w:r>
      <w:bookmarkEnd w:id="1231"/>
      <w:bookmarkEnd w:id="1232"/>
    </w:p>
    <w:p w14:paraId="5763EDE8">
      <w:pPr>
        <w:pStyle w:val="4"/>
        <w:rPr>
          <w:rFonts w:hint="eastAsia" w:ascii="宋体" w:hAnsi="宋体" w:eastAsia="宋体" w:cs="宋体"/>
          <w:b/>
          <w:sz w:val="24"/>
          <w:szCs w:val="24"/>
          <w:u w:val="single"/>
        </w:rPr>
      </w:pPr>
      <w:r>
        <w:rPr>
          <w:rFonts w:hint="eastAsia" w:ascii="宋体" w:hAnsi="宋体" w:eastAsia="宋体" w:cs="宋体"/>
          <w:sz w:val="24"/>
          <w:szCs w:val="24"/>
        </w:rPr>
        <w:t>发包人(全称)：</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 </w:t>
      </w:r>
    </w:p>
    <w:p w14:paraId="76D1CB59">
      <w:pPr>
        <w:pStyle w:val="4"/>
        <w:rPr>
          <w:rFonts w:hint="eastAsia" w:ascii="宋体" w:hAnsi="宋体" w:eastAsia="宋体" w:cs="宋体"/>
          <w:sz w:val="24"/>
          <w:szCs w:val="24"/>
        </w:rPr>
      </w:pPr>
      <w:r>
        <w:rPr>
          <w:rFonts w:hint="eastAsia" w:ascii="宋体" w:hAnsi="宋体" w:eastAsia="宋体" w:cs="宋体"/>
          <w:sz w:val="24"/>
          <w:szCs w:val="24"/>
        </w:rPr>
        <w:t>承包人(全称)：</w:t>
      </w:r>
      <w:r>
        <w:rPr>
          <w:rFonts w:hint="eastAsia" w:ascii="宋体" w:hAnsi="宋体" w:eastAsia="宋体" w:cs="宋体"/>
          <w:b/>
          <w:sz w:val="24"/>
          <w:szCs w:val="24"/>
          <w:u w:val="single"/>
        </w:rPr>
        <w:t xml:space="preserve">                                         </w:t>
      </w:r>
      <w:r>
        <w:rPr>
          <w:rFonts w:hint="eastAsia" w:ascii="宋体" w:hAnsi="宋体" w:eastAsia="宋体" w:cs="宋体"/>
          <w:sz w:val="24"/>
          <w:szCs w:val="24"/>
        </w:rPr>
        <w:t xml:space="preserve">                  </w:t>
      </w:r>
    </w:p>
    <w:p w14:paraId="58CA576E">
      <w:pPr>
        <w:pStyle w:val="6"/>
        <w:keepNext w:val="0"/>
        <w:keepLines w:val="0"/>
        <w:pageBreakBefore w:val="0"/>
        <w:widowControl w:val="0"/>
        <w:numPr>
          <w:ilvl w:val="0"/>
          <w:numId w:val="71"/>
        </w:numPr>
        <w:kinsoku/>
        <w:wordWrap/>
        <w:overflowPunct/>
        <w:topLinePunct w:val="0"/>
        <w:autoSpaceDE/>
        <w:autoSpaceDN/>
        <w:bidi w:val="0"/>
        <w:adjustRightInd/>
        <w:snapToGrid/>
        <w:spacing w:line="24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工程质量保修内容</w:t>
      </w:r>
    </w:p>
    <w:p w14:paraId="4293D8C9">
      <w:pPr>
        <w:pStyle w:val="4"/>
        <w:rPr>
          <w:rFonts w:hint="eastAsia" w:ascii="宋体" w:hAnsi="宋体" w:eastAsia="宋体" w:cs="宋体"/>
          <w:sz w:val="24"/>
          <w:szCs w:val="24"/>
        </w:rPr>
      </w:pPr>
      <w:r>
        <w:rPr>
          <w:rFonts w:hint="eastAsia" w:ascii="宋体" w:hAnsi="宋体" w:eastAsia="宋体" w:cs="宋体"/>
          <w:b/>
          <w:sz w:val="24"/>
          <w:szCs w:val="24"/>
          <w:u w:val="single"/>
        </w:rPr>
        <w:t xml:space="preserve">                        </w:t>
      </w:r>
      <w:r>
        <w:rPr>
          <w:rFonts w:hint="eastAsia" w:ascii="宋体" w:hAnsi="宋体" w:eastAsia="宋体" w:cs="宋体"/>
          <w:sz w:val="24"/>
          <w:szCs w:val="24"/>
        </w:rPr>
        <w:t>工程的所有建设内容均属保修范围，具体建设内容详见图纸及工程量清单。</w:t>
      </w:r>
    </w:p>
    <w:p w14:paraId="687D810F">
      <w:pPr>
        <w:pStyle w:val="6"/>
        <w:keepNext w:val="0"/>
        <w:keepLines w:val="0"/>
        <w:pageBreakBefore w:val="0"/>
        <w:widowControl w:val="0"/>
        <w:numPr>
          <w:ilvl w:val="0"/>
          <w:numId w:val="71"/>
        </w:numPr>
        <w:kinsoku/>
        <w:wordWrap/>
        <w:overflowPunct/>
        <w:topLinePunct w:val="0"/>
        <w:autoSpaceDE/>
        <w:autoSpaceDN/>
        <w:bidi w:val="0"/>
        <w:adjustRightInd/>
        <w:snapToGrid/>
        <w:spacing w:line="24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质量保修期</w:t>
      </w:r>
    </w:p>
    <w:p w14:paraId="0C4B9E48">
      <w:pPr>
        <w:pStyle w:val="4"/>
        <w:rPr>
          <w:rFonts w:hint="eastAsia" w:ascii="宋体" w:hAnsi="宋体" w:eastAsia="宋体" w:cs="宋体"/>
          <w:sz w:val="24"/>
          <w:szCs w:val="24"/>
        </w:rPr>
      </w:pPr>
      <w:r>
        <w:rPr>
          <w:rFonts w:hint="eastAsia" w:ascii="宋体" w:hAnsi="宋体" w:eastAsia="宋体" w:cs="宋体"/>
          <w:sz w:val="24"/>
          <w:szCs w:val="24"/>
        </w:rPr>
        <w:t>本项目的质量保修期为一年，从工程通过竣工验收之日起计。</w:t>
      </w:r>
    </w:p>
    <w:p w14:paraId="4F279CFA">
      <w:pPr>
        <w:pStyle w:val="6"/>
        <w:keepNext w:val="0"/>
        <w:keepLines w:val="0"/>
        <w:pageBreakBefore w:val="0"/>
        <w:widowControl w:val="0"/>
        <w:numPr>
          <w:ilvl w:val="0"/>
          <w:numId w:val="71"/>
        </w:numPr>
        <w:kinsoku/>
        <w:wordWrap/>
        <w:overflowPunct/>
        <w:topLinePunct w:val="0"/>
        <w:autoSpaceDE/>
        <w:autoSpaceDN/>
        <w:bidi w:val="0"/>
        <w:adjustRightInd/>
        <w:snapToGrid/>
        <w:spacing w:line="24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质量保修责任</w:t>
      </w:r>
    </w:p>
    <w:p w14:paraId="51E8374B">
      <w:pPr>
        <w:pStyle w:val="4"/>
        <w:rPr>
          <w:rFonts w:hint="eastAsia" w:ascii="宋体" w:hAnsi="宋体" w:eastAsia="宋体" w:cs="宋体"/>
          <w:sz w:val="24"/>
          <w:szCs w:val="24"/>
        </w:rPr>
      </w:pPr>
      <w:r>
        <w:rPr>
          <w:rFonts w:hint="eastAsia" w:ascii="宋体" w:hAnsi="宋体" w:eastAsia="宋体" w:cs="宋体"/>
          <w:sz w:val="24"/>
          <w:szCs w:val="24"/>
        </w:rPr>
        <w:t>1.属于保修范围和内容的项目，承包人应在接到修理通知之日后7天内派人处理。承包人不在约定期限内派人修理，发包人可委托其他人员修理，保修费用从质量保证金扣除。</w:t>
      </w:r>
    </w:p>
    <w:p w14:paraId="416CBF65">
      <w:pPr>
        <w:pStyle w:val="4"/>
        <w:rPr>
          <w:rFonts w:hint="eastAsia" w:ascii="宋体" w:hAnsi="宋体" w:eastAsia="宋体" w:cs="宋体"/>
          <w:sz w:val="24"/>
          <w:szCs w:val="24"/>
        </w:rPr>
      </w:pPr>
      <w:r>
        <w:rPr>
          <w:rFonts w:hint="eastAsia" w:ascii="宋体" w:hAnsi="宋体" w:eastAsia="宋体" w:cs="宋体"/>
          <w:sz w:val="24"/>
          <w:szCs w:val="24"/>
        </w:rPr>
        <w:t>2.发生须紧急抢修事故，承包人接到事故通知后，应立即到在事故现场抢修。非承包人施工质量引起事故，抢修费用由发包人承担。</w:t>
      </w:r>
    </w:p>
    <w:p w14:paraId="028D9FE0">
      <w:pPr>
        <w:pStyle w:val="4"/>
        <w:rPr>
          <w:rFonts w:hint="eastAsia" w:ascii="宋体" w:hAnsi="宋体" w:eastAsia="宋体" w:cs="宋体"/>
          <w:sz w:val="24"/>
          <w:szCs w:val="24"/>
        </w:rPr>
      </w:pPr>
      <w:r>
        <w:rPr>
          <w:rFonts w:hint="eastAsia" w:ascii="宋体" w:hAnsi="宋体" w:eastAsia="宋体" w:cs="宋体"/>
          <w:sz w:val="24"/>
          <w:szCs w:val="24"/>
        </w:rPr>
        <w:t>3.在国家规定的工程合理使用期限内，承包人确保基础工程和主体结构的质量。因承包人原因致使工程在合理使用期限内造成人身和财产损害的，承包人应承担损害赔偿责任。</w:t>
      </w:r>
    </w:p>
    <w:p w14:paraId="7508B665">
      <w:pPr>
        <w:pStyle w:val="6"/>
        <w:keepNext w:val="0"/>
        <w:keepLines w:val="0"/>
        <w:pageBreakBefore w:val="0"/>
        <w:widowControl w:val="0"/>
        <w:numPr>
          <w:ilvl w:val="0"/>
          <w:numId w:val="71"/>
        </w:numPr>
        <w:kinsoku/>
        <w:wordWrap/>
        <w:overflowPunct/>
        <w:topLinePunct w:val="0"/>
        <w:autoSpaceDE/>
        <w:autoSpaceDN/>
        <w:bidi w:val="0"/>
        <w:adjustRightInd/>
        <w:snapToGrid/>
        <w:spacing w:line="24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质量保证金的支付与返还</w:t>
      </w:r>
    </w:p>
    <w:p w14:paraId="41B6F4EF">
      <w:pPr>
        <w:pStyle w:val="4"/>
        <w:rPr>
          <w:rFonts w:hint="eastAsia" w:ascii="宋体" w:hAnsi="宋体" w:eastAsia="宋体" w:cs="宋体"/>
          <w:sz w:val="24"/>
          <w:szCs w:val="24"/>
        </w:rPr>
      </w:pPr>
      <w:r>
        <w:rPr>
          <w:rFonts w:hint="eastAsia" w:ascii="宋体" w:hAnsi="宋体" w:eastAsia="宋体" w:cs="宋体"/>
          <w:sz w:val="24"/>
          <w:szCs w:val="24"/>
        </w:rPr>
        <w:t>本工程的质量保证金为结算审计（审核、评审）价款的</w:t>
      </w:r>
      <w:r>
        <w:rPr>
          <w:rFonts w:hint="eastAsia" w:ascii="宋体" w:hAnsi="宋体" w:eastAsia="宋体" w:cs="宋体"/>
          <w:sz w:val="24"/>
          <w:szCs w:val="24"/>
          <w:u w:val="single"/>
        </w:rPr>
        <w:t xml:space="preserve"> 3 </w:t>
      </w:r>
      <w:r>
        <w:rPr>
          <w:rFonts w:hint="eastAsia" w:ascii="宋体" w:hAnsi="宋体" w:eastAsia="宋体" w:cs="宋体"/>
          <w:sz w:val="24"/>
          <w:szCs w:val="24"/>
        </w:rPr>
        <w:t>%（无息），质量保证金从工程进度款中扣留，发包人在接到承包人提出返还质量保证金申请后14天内会同承包人按照合同约定的内容进行核实。如无异议，发包人应当在核实后30日内将质量保证金返还给承包人。</w:t>
      </w:r>
    </w:p>
    <w:p w14:paraId="4178A54A">
      <w:pPr>
        <w:pStyle w:val="6"/>
        <w:keepNext w:val="0"/>
        <w:keepLines w:val="0"/>
        <w:pageBreakBefore w:val="0"/>
        <w:widowControl w:val="0"/>
        <w:numPr>
          <w:ilvl w:val="0"/>
          <w:numId w:val="71"/>
        </w:numPr>
        <w:kinsoku/>
        <w:wordWrap/>
        <w:overflowPunct/>
        <w:topLinePunct w:val="0"/>
        <w:autoSpaceDE/>
        <w:autoSpaceDN/>
        <w:bidi w:val="0"/>
        <w:adjustRightInd/>
        <w:snapToGrid/>
        <w:spacing w:line="24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其他</w:t>
      </w:r>
    </w:p>
    <w:p w14:paraId="2D26BF36">
      <w:pPr>
        <w:pStyle w:val="4"/>
        <w:rPr>
          <w:rFonts w:hint="eastAsia" w:ascii="宋体" w:hAnsi="宋体" w:eastAsia="宋体" w:cs="宋体"/>
          <w:sz w:val="24"/>
          <w:szCs w:val="24"/>
          <w:u w:val="single"/>
        </w:rPr>
      </w:pPr>
      <w:r>
        <w:rPr>
          <w:rFonts w:hint="eastAsia" w:ascii="宋体" w:hAnsi="宋体" w:eastAsia="宋体" w:cs="宋体"/>
          <w:sz w:val="24"/>
          <w:szCs w:val="24"/>
        </w:rPr>
        <w:t xml:space="preserve">双方约定的其他工程质量保修事项： </w:t>
      </w:r>
      <w:r>
        <w:rPr>
          <w:rFonts w:hint="eastAsia" w:ascii="宋体" w:hAnsi="宋体" w:eastAsia="宋体" w:cs="宋体"/>
          <w:sz w:val="24"/>
          <w:szCs w:val="24"/>
          <w:u w:val="single"/>
        </w:rPr>
        <w:t xml:space="preserve">                                </w:t>
      </w:r>
    </w:p>
    <w:p w14:paraId="18EA7A32">
      <w:pPr>
        <w:pStyle w:val="4"/>
        <w:rPr>
          <w:rFonts w:hint="eastAsia" w:ascii="宋体" w:hAnsi="宋体" w:eastAsia="宋体" w:cs="宋体"/>
          <w:sz w:val="24"/>
          <w:szCs w:val="24"/>
        </w:rPr>
      </w:pPr>
      <w:r>
        <w:rPr>
          <w:rFonts w:hint="eastAsia" w:ascii="宋体" w:hAnsi="宋体" w:eastAsia="宋体" w:cs="宋体"/>
          <w:sz w:val="24"/>
          <w:szCs w:val="24"/>
        </w:rPr>
        <w:t>本工程质量保修书作为施工合同附件，由施工合同发包人承包人双方共同签署，一式陆份，发包人和承包人各执叁份。</w:t>
      </w:r>
    </w:p>
    <w:p w14:paraId="18E31B7F">
      <w:pPr>
        <w:pStyle w:val="4"/>
        <w:keepNext w:val="0"/>
        <w:keepLines w:val="0"/>
        <w:pageBreakBefore w:val="0"/>
        <w:kinsoku/>
        <w:wordWrap/>
        <w:overflowPunct/>
        <w:topLinePunct w:val="0"/>
        <w:autoSpaceDE/>
        <w:autoSpaceDN/>
        <w:bidi w:val="0"/>
        <w:adjustRightInd/>
        <w:snapToGrid/>
        <w:spacing w:line="12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发包人：</w:t>
      </w:r>
      <w:r>
        <w:rPr>
          <w:rFonts w:hint="eastAsia" w:ascii="宋体" w:hAnsi="宋体" w:eastAsia="宋体" w:cs="宋体"/>
          <w:snapToGrid w:val="0"/>
          <w:kern w:val="0"/>
          <w:sz w:val="24"/>
          <w:szCs w:val="24"/>
          <w:u w:val="single"/>
        </w:rPr>
        <w:t xml:space="preserve">                       </w:t>
      </w:r>
      <w:r>
        <w:rPr>
          <w:rFonts w:hint="eastAsia" w:ascii="宋体" w:hAnsi="宋体" w:eastAsia="宋体" w:cs="宋体"/>
          <w:sz w:val="24"/>
          <w:szCs w:val="24"/>
        </w:rPr>
        <w:t xml:space="preserve">         承包人：</w:t>
      </w:r>
      <w:r>
        <w:rPr>
          <w:rFonts w:hint="eastAsia" w:ascii="宋体" w:hAnsi="宋体" w:eastAsia="宋体" w:cs="宋体"/>
          <w:sz w:val="24"/>
          <w:szCs w:val="24"/>
          <w:u w:val="single"/>
        </w:rPr>
        <w:t xml:space="preserve">                                         </w:t>
      </w:r>
    </w:p>
    <w:p w14:paraId="2A3BE4BF">
      <w:pPr>
        <w:keepNext w:val="0"/>
        <w:keepLines w:val="0"/>
        <w:pageBreakBefore w:val="0"/>
        <w:kinsoku/>
        <w:wordWrap/>
        <w:overflowPunct/>
        <w:topLinePunct w:val="0"/>
        <w:autoSpaceDE/>
        <w:autoSpaceDN/>
        <w:bidi w:val="0"/>
        <w:adjustRightInd/>
        <w:snapToGrid/>
        <w:spacing w:line="120" w:lineRule="auto"/>
        <w:ind w:firstLine="1680" w:firstLineChars="700"/>
        <w:textAlignment w:val="auto"/>
        <w:rPr>
          <w:rFonts w:hint="eastAsia" w:ascii="宋体" w:hAnsi="宋体" w:eastAsia="宋体" w:cs="宋体"/>
          <w:sz w:val="24"/>
          <w:szCs w:val="24"/>
        </w:rPr>
      </w:pPr>
      <w:r>
        <w:rPr>
          <w:rFonts w:hint="eastAsia" w:ascii="宋体" w:hAnsi="宋体" w:eastAsia="宋体" w:cs="宋体"/>
          <w:sz w:val="24"/>
          <w:szCs w:val="24"/>
        </w:rPr>
        <w:t>(公章）                                （公章)</w:t>
      </w:r>
    </w:p>
    <w:p w14:paraId="4C7C0391">
      <w:pPr>
        <w:keepNext w:val="0"/>
        <w:keepLines w:val="0"/>
        <w:pageBreakBefore w:val="0"/>
        <w:kinsoku/>
        <w:wordWrap/>
        <w:overflowPunct/>
        <w:topLinePunct w:val="0"/>
        <w:autoSpaceDE/>
        <w:autoSpaceDN/>
        <w:bidi w:val="0"/>
        <w:adjustRightInd/>
        <w:snapToGrid/>
        <w:spacing w:line="12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法定代表人：</w:t>
      </w:r>
      <w:r>
        <w:rPr>
          <w:rFonts w:hint="eastAsia" w:ascii="宋体" w:hAnsi="宋体" w:eastAsia="宋体" w:cs="宋体"/>
          <w:sz w:val="24"/>
          <w:szCs w:val="24"/>
          <w:u w:val="single"/>
        </w:rPr>
        <w:t xml:space="preserve">               </w:t>
      </w:r>
    </w:p>
    <w:p w14:paraId="19FC4765">
      <w:pPr>
        <w:keepNext w:val="0"/>
        <w:keepLines w:val="0"/>
        <w:pageBreakBefore w:val="0"/>
        <w:kinsoku/>
        <w:wordWrap/>
        <w:overflowPunct/>
        <w:topLinePunct w:val="0"/>
        <w:autoSpaceDE/>
        <w:autoSpaceDN/>
        <w:bidi w:val="0"/>
        <w:adjustRightInd/>
        <w:snapToGrid/>
        <w:spacing w:line="120" w:lineRule="auto"/>
        <w:textAlignment w:val="auto"/>
        <w:rPr>
          <w:rFonts w:hint="eastAsia" w:ascii="宋体" w:hAnsi="宋体" w:eastAsia="宋体" w:cs="宋体"/>
          <w:sz w:val="24"/>
          <w:szCs w:val="24"/>
        </w:rPr>
      </w:pPr>
      <w:r>
        <w:rPr>
          <w:rFonts w:hint="eastAsia" w:ascii="宋体" w:hAnsi="宋体" w:eastAsia="宋体" w:cs="宋体"/>
          <w:sz w:val="24"/>
          <w:szCs w:val="24"/>
        </w:rPr>
        <w:t>（签字或盖章）                            （签字或盖章）</w:t>
      </w:r>
    </w:p>
    <w:p w14:paraId="6189EE01">
      <w:pPr>
        <w:keepNext w:val="0"/>
        <w:keepLines w:val="0"/>
        <w:pageBreakBefore w:val="0"/>
        <w:kinsoku/>
        <w:wordWrap/>
        <w:overflowPunct/>
        <w:topLinePunct w:val="0"/>
        <w:autoSpaceDE/>
        <w:autoSpaceDN/>
        <w:bidi w:val="0"/>
        <w:adjustRightInd/>
        <w:snapToGrid/>
        <w:spacing w:line="120" w:lineRule="auto"/>
        <w:textAlignment w:val="auto"/>
        <w:rPr>
          <w:rFonts w:hint="eastAsia" w:ascii="宋体" w:hAnsi="宋体" w:eastAsia="宋体" w:cs="宋体"/>
          <w:sz w:val="24"/>
          <w:szCs w:val="24"/>
        </w:rPr>
      </w:pPr>
    </w:p>
    <w:p w14:paraId="33C5D3A4">
      <w:pPr>
        <w:keepNext w:val="0"/>
        <w:keepLines w:val="0"/>
        <w:pageBreakBefore w:val="0"/>
        <w:kinsoku/>
        <w:wordWrap/>
        <w:overflowPunct/>
        <w:topLinePunct w:val="0"/>
        <w:autoSpaceDE/>
        <w:autoSpaceDN/>
        <w:bidi w:val="0"/>
        <w:adjustRightInd/>
        <w:snapToGrid/>
        <w:spacing w:line="12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签订日期： </w:t>
      </w:r>
      <w:r>
        <w:rPr>
          <w:rFonts w:hint="eastAsia" w:ascii="宋体" w:hAnsi="宋体" w:eastAsia="宋体" w:cs="宋体"/>
          <w:sz w:val="24"/>
          <w:szCs w:val="24"/>
          <w:u w:val="single"/>
        </w:rPr>
        <w:t xml:space="preserve"> 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rPr>
        <w:tab/>
      </w:r>
    </w:p>
    <w:p w14:paraId="672DB173">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eastAsia" w:ascii="宋体" w:hAnsi="宋体" w:eastAsia="宋体" w:cs="宋体"/>
          <w:b/>
          <w:bCs/>
          <w:color w:val="000000"/>
          <w:kern w:val="0"/>
          <w:sz w:val="24"/>
          <w:szCs w:val="24"/>
        </w:rPr>
        <w:sectPr>
          <w:footerReference r:id="rId11" w:type="default"/>
          <w:pgSz w:w="11906" w:h="16838"/>
          <w:pgMar w:top="1440" w:right="1080" w:bottom="1440" w:left="880" w:header="851" w:footer="992" w:gutter="0"/>
          <w:cols w:space="720" w:num="1"/>
          <w:docGrid w:type="lines" w:linePitch="312" w:charSpace="0"/>
        </w:sectPr>
      </w:pPr>
    </w:p>
    <w:p w14:paraId="30FE0013">
      <w:pPr>
        <w:pStyle w:val="42"/>
        <w:outlineLvl w:val="0"/>
        <w:rPr>
          <w:rFonts w:hint="eastAsia" w:ascii="宋体" w:hAnsi="宋体" w:eastAsia="宋体" w:cs="宋体"/>
          <w:sz w:val="32"/>
          <w:szCs w:val="32"/>
        </w:rPr>
      </w:pPr>
      <w:r>
        <w:rPr>
          <w:rFonts w:hint="eastAsia" w:ascii="宋体" w:hAnsi="宋体" w:eastAsia="宋体" w:cs="宋体"/>
          <w:sz w:val="24"/>
          <w:szCs w:val="24"/>
        </w:rPr>
        <w:t>附件</w:t>
      </w:r>
    </w:p>
    <w:p w14:paraId="03C2A8DD">
      <w:pPr>
        <w:pStyle w:val="46"/>
        <w:widowControl/>
        <w:outlineLvl w:val="0"/>
        <w:rPr>
          <w:rFonts w:hint="eastAsia" w:ascii="宋体" w:hAnsi="宋体" w:eastAsia="宋体" w:cs="宋体"/>
          <w:sz w:val="32"/>
          <w:szCs w:val="32"/>
        </w:rPr>
      </w:pPr>
      <w:r>
        <w:rPr>
          <w:rFonts w:hint="eastAsia" w:ascii="宋体" w:hAnsi="宋体" w:eastAsia="宋体" w:cs="宋体"/>
          <w:sz w:val="32"/>
          <w:szCs w:val="32"/>
        </w:rPr>
        <w:t>广西壮族自治区政府采购项目合同验收书（格式）</w:t>
      </w:r>
    </w:p>
    <w:p w14:paraId="2589BDCE">
      <w:pPr>
        <w:pStyle w:val="4"/>
        <w:widowControl/>
        <w:rPr>
          <w:rFonts w:hint="eastAsia" w:ascii="宋体" w:hAnsi="宋体" w:eastAsia="宋体" w:cs="宋体"/>
          <w:color w:val="000000"/>
          <w:sz w:val="24"/>
          <w:szCs w:val="24"/>
        </w:rPr>
      </w:pPr>
      <w:r>
        <w:rPr>
          <w:rFonts w:hint="eastAsia" w:ascii="宋体" w:hAnsi="宋体" w:eastAsia="宋体" w:cs="宋体"/>
          <w:color w:val="000000"/>
          <w:sz w:val="24"/>
          <w:szCs w:val="24"/>
        </w:rPr>
        <w:t>根据政府采购项目（</w:t>
      </w:r>
      <w:r>
        <w:rPr>
          <w:rFonts w:hint="eastAsia" w:ascii="宋体" w:hAnsi="宋体" w:eastAsia="宋体" w:cs="宋体"/>
          <w:color w:val="000000"/>
          <w:sz w:val="24"/>
          <w:szCs w:val="24"/>
          <w:u w:val="single"/>
        </w:rPr>
        <w:t>采购合同编号：</w:t>
      </w:r>
      <w:r>
        <w:rPr>
          <w:rFonts w:hint="eastAsia" w:ascii="宋体" w:hAnsi="宋体" w:eastAsia="宋体" w:cs="宋体"/>
          <w:color w:val="000000"/>
          <w:sz w:val="24"/>
          <w:szCs w:val="24"/>
          <w:u w:val="single"/>
        </w:rPr>
        <w:softHyphen/>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）的约定，我单位对（</w:t>
      </w:r>
      <w:r>
        <w:rPr>
          <w:rFonts w:hint="eastAsia" w:ascii="宋体" w:hAnsi="宋体" w:eastAsia="宋体" w:cs="宋体"/>
          <w:color w:val="000000"/>
          <w:sz w:val="24"/>
          <w:szCs w:val="24"/>
          <w:u w:val="single"/>
        </w:rPr>
        <w:t xml:space="preserve">  项目名称   </w:t>
      </w:r>
      <w:r>
        <w:rPr>
          <w:rFonts w:hint="eastAsia" w:ascii="宋体" w:hAnsi="宋体" w:eastAsia="宋体" w:cs="宋体"/>
          <w:color w:val="000000"/>
          <w:sz w:val="24"/>
          <w:szCs w:val="24"/>
        </w:rPr>
        <w:t>）政府采购项目中标（或成交）供应商（</w:t>
      </w:r>
      <w:r>
        <w:rPr>
          <w:rFonts w:hint="eastAsia" w:ascii="宋体" w:hAnsi="宋体" w:eastAsia="宋体" w:cs="宋体"/>
          <w:color w:val="000000"/>
          <w:sz w:val="24"/>
          <w:szCs w:val="24"/>
          <w:u w:val="single"/>
        </w:rPr>
        <w:t xml:space="preserve">            公司名称              </w:t>
      </w:r>
      <w:r>
        <w:rPr>
          <w:rFonts w:hint="eastAsia" w:ascii="宋体" w:hAnsi="宋体" w:eastAsia="宋体" w:cs="宋体"/>
          <w:color w:val="000000"/>
          <w:sz w:val="24"/>
          <w:szCs w:val="24"/>
        </w:rPr>
        <w:t>）提供的货物（或工程、服务）进行了验收，验收情况如下：</w:t>
      </w:r>
    </w:p>
    <w:tbl>
      <w:tblPr>
        <w:tblStyle w:val="25"/>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433"/>
        <w:gridCol w:w="2156"/>
        <w:gridCol w:w="888"/>
        <w:gridCol w:w="2344"/>
        <w:gridCol w:w="192"/>
        <w:gridCol w:w="743"/>
        <w:gridCol w:w="1289"/>
      </w:tblGrid>
      <w:tr w14:paraId="505F10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1984" w:type="pct"/>
            <w:gridSpan w:val="2"/>
            <w:tcBorders>
              <w:top w:val="single" w:color="auto" w:sz="8" w:space="0"/>
              <w:left w:val="single" w:color="auto" w:sz="8" w:space="0"/>
              <w:bottom w:val="single" w:color="auto" w:sz="8" w:space="0"/>
              <w:right w:val="single" w:color="auto" w:sz="8" w:space="0"/>
            </w:tcBorders>
            <w:noWrap w:val="0"/>
            <w:vAlign w:val="center"/>
          </w:tcPr>
          <w:p w14:paraId="0E67B17A">
            <w:pPr>
              <w:widowControl/>
              <w:snapToGrid w:val="0"/>
              <w:spacing w:before="100" w:beforeAutospacing="1" w:after="100" w:afterAutospacing="1" w:line="320" w:lineRule="exact"/>
              <w:ind w:left="-3" w:firstLine="4" w:firstLineChars="2"/>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验收方式：</w:t>
            </w:r>
          </w:p>
        </w:tc>
        <w:tc>
          <w:tcPr>
            <w:tcW w:w="3015" w:type="pct"/>
            <w:gridSpan w:val="5"/>
            <w:tcBorders>
              <w:top w:val="single" w:color="auto" w:sz="8" w:space="0"/>
              <w:left w:val="single" w:color="auto" w:sz="8" w:space="0"/>
              <w:bottom w:val="single" w:color="auto" w:sz="8" w:space="0"/>
              <w:right w:val="single" w:color="auto" w:sz="8" w:space="0"/>
            </w:tcBorders>
            <w:noWrap w:val="0"/>
            <w:vAlign w:val="center"/>
          </w:tcPr>
          <w:p w14:paraId="63115B98">
            <w:pPr>
              <w:widowControl/>
              <w:snapToGrid w:val="0"/>
              <w:spacing w:before="100" w:beforeAutospacing="1" w:after="100" w:afterAutospacing="1" w:line="320" w:lineRule="exact"/>
              <w:ind w:left="-3" w:firstLine="480" w:firstLineChars="20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□自行验收         □委托验收</w:t>
            </w:r>
          </w:p>
        </w:tc>
      </w:tr>
      <w:tr w14:paraId="5A036F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792" w:type="pct"/>
            <w:tcBorders>
              <w:top w:val="single" w:color="auto" w:sz="8" w:space="0"/>
              <w:left w:val="single" w:color="auto" w:sz="8" w:space="0"/>
              <w:bottom w:val="single" w:color="auto" w:sz="8" w:space="0"/>
              <w:right w:val="single" w:color="auto" w:sz="8" w:space="0"/>
            </w:tcBorders>
            <w:noWrap w:val="0"/>
            <w:vAlign w:val="center"/>
          </w:tcPr>
          <w:p w14:paraId="11D274FE">
            <w:pPr>
              <w:widowControl/>
              <w:snapToGrid w:val="0"/>
              <w:spacing w:before="100" w:beforeAutospacing="1" w:after="100" w:afterAutospacing="1" w:line="320" w:lineRule="exact"/>
              <w:ind w:firstLine="2" w:firstLineChars="1"/>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1191" w:type="pct"/>
            <w:tcBorders>
              <w:top w:val="single" w:color="auto" w:sz="8" w:space="0"/>
              <w:left w:val="single" w:color="auto" w:sz="8" w:space="0"/>
              <w:bottom w:val="single" w:color="auto" w:sz="8" w:space="0"/>
              <w:right w:val="single" w:color="auto" w:sz="8" w:space="0"/>
            </w:tcBorders>
            <w:noWrap w:val="0"/>
            <w:vAlign w:val="center"/>
          </w:tcPr>
          <w:p w14:paraId="43F11E76">
            <w:pPr>
              <w:widowControl/>
              <w:snapToGrid w:val="0"/>
              <w:spacing w:before="100" w:beforeAutospacing="1" w:after="100" w:afterAutospacing="1" w:line="320" w:lineRule="exact"/>
              <w:ind w:left="-3" w:firstLine="2" w:firstLineChars="1"/>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名  称</w:t>
            </w:r>
          </w:p>
        </w:tc>
        <w:tc>
          <w:tcPr>
            <w:tcW w:w="1787" w:type="pct"/>
            <w:gridSpan w:val="2"/>
            <w:tcBorders>
              <w:top w:val="single" w:color="auto" w:sz="8" w:space="0"/>
              <w:left w:val="single" w:color="auto" w:sz="8" w:space="0"/>
              <w:bottom w:val="single" w:color="auto" w:sz="8" w:space="0"/>
              <w:right w:val="single" w:color="auto" w:sz="8" w:space="0"/>
            </w:tcBorders>
            <w:noWrap w:val="0"/>
            <w:vAlign w:val="center"/>
          </w:tcPr>
          <w:p w14:paraId="75FB436D">
            <w:pPr>
              <w:widowControl/>
              <w:snapToGrid w:val="0"/>
              <w:spacing w:before="100" w:beforeAutospacing="1" w:after="100" w:afterAutospacing="1" w:line="320" w:lineRule="exact"/>
              <w:ind w:left="-3" w:firstLine="2" w:firstLineChars="1"/>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货物型号规格、标准及配置等（或服务内容、标准）</w:t>
            </w:r>
          </w:p>
        </w:tc>
        <w:tc>
          <w:tcPr>
            <w:tcW w:w="517" w:type="pct"/>
            <w:gridSpan w:val="2"/>
            <w:tcBorders>
              <w:top w:val="single" w:color="auto" w:sz="8" w:space="0"/>
              <w:left w:val="single" w:color="auto" w:sz="8" w:space="0"/>
              <w:bottom w:val="single" w:color="auto" w:sz="8" w:space="0"/>
              <w:right w:val="single" w:color="auto" w:sz="8" w:space="0"/>
            </w:tcBorders>
            <w:noWrap w:val="0"/>
            <w:vAlign w:val="center"/>
          </w:tcPr>
          <w:p w14:paraId="0DEC1DA6">
            <w:pPr>
              <w:widowControl/>
              <w:snapToGrid w:val="0"/>
              <w:spacing w:before="100" w:beforeAutospacing="1" w:after="100" w:afterAutospacing="1" w:line="3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c>
          <w:tcPr>
            <w:tcW w:w="710" w:type="pct"/>
            <w:tcBorders>
              <w:top w:val="single" w:color="auto" w:sz="8" w:space="0"/>
              <w:left w:val="single" w:color="auto" w:sz="8" w:space="0"/>
              <w:bottom w:val="single" w:color="auto" w:sz="8" w:space="0"/>
              <w:right w:val="single" w:color="auto" w:sz="8" w:space="0"/>
            </w:tcBorders>
            <w:noWrap w:val="0"/>
            <w:vAlign w:val="center"/>
          </w:tcPr>
          <w:p w14:paraId="7112A853">
            <w:pPr>
              <w:widowControl/>
              <w:snapToGrid w:val="0"/>
              <w:spacing w:before="100" w:beforeAutospacing="1" w:after="100" w:afterAutospacing="1" w:line="320" w:lineRule="exact"/>
              <w:ind w:left="-3" w:firstLine="2" w:firstLineChars="1"/>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金  额</w:t>
            </w:r>
          </w:p>
        </w:tc>
      </w:tr>
      <w:tr w14:paraId="5D0E08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92" w:type="pct"/>
            <w:tcBorders>
              <w:top w:val="single" w:color="auto" w:sz="8" w:space="0"/>
              <w:left w:val="single" w:color="auto" w:sz="8" w:space="0"/>
              <w:bottom w:val="single" w:color="auto" w:sz="8" w:space="0"/>
              <w:right w:val="single" w:color="auto" w:sz="8" w:space="0"/>
            </w:tcBorders>
            <w:noWrap w:val="0"/>
            <w:vAlign w:val="center"/>
          </w:tcPr>
          <w:p w14:paraId="074A956D">
            <w:pPr>
              <w:widowControl/>
              <w:snapToGrid w:val="0"/>
              <w:spacing w:before="100" w:beforeAutospacing="1" w:after="100" w:afterAutospacing="1" w:line="320" w:lineRule="exact"/>
              <w:ind w:left="-3" w:firstLine="4" w:firstLineChars="2"/>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tc>
        <w:tc>
          <w:tcPr>
            <w:tcW w:w="1191" w:type="pct"/>
            <w:tcBorders>
              <w:top w:val="single" w:color="auto" w:sz="8" w:space="0"/>
              <w:left w:val="single" w:color="auto" w:sz="8" w:space="0"/>
              <w:bottom w:val="single" w:color="auto" w:sz="8" w:space="0"/>
              <w:right w:val="single" w:color="auto" w:sz="8" w:space="0"/>
            </w:tcBorders>
            <w:noWrap w:val="0"/>
            <w:vAlign w:val="center"/>
          </w:tcPr>
          <w:p w14:paraId="726EAC9A">
            <w:pPr>
              <w:widowControl/>
              <w:snapToGrid w:val="0"/>
              <w:spacing w:before="100" w:beforeAutospacing="1" w:after="100" w:afterAutospacing="1" w:line="320" w:lineRule="exact"/>
              <w:ind w:left="-3"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787" w:type="pct"/>
            <w:gridSpan w:val="2"/>
            <w:tcBorders>
              <w:top w:val="single" w:color="auto" w:sz="8" w:space="0"/>
              <w:left w:val="single" w:color="auto" w:sz="8" w:space="0"/>
              <w:bottom w:val="single" w:color="auto" w:sz="8" w:space="0"/>
              <w:right w:val="single" w:color="auto" w:sz="8" w:space="0"/>
            </w:tcBorders>
            <w:noWrap w:val="0"/>
            <w:vAlign w:val="center"/>
          </w:tcPr>
          <w:p w14:paraId="553E75CC">
            <w:pPr>
              <w:widowControl/>
              <w:snapToGrid w:val="0"/>
              <w:spacing w:before="100" w:beforeAutospacing="1" w:after="100" w:afterAutospacing="1" w:line="320" w:lineRule="exact"/>
              <w:ind w:left="-3"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17" w:type="pct"/>
            <w:gridSpan w:val="2"/>
            <w:tcBorders>
              <w:top w:val="single" w:color="auto" w:sz="8" w:space="0"/>
              <w:left w:val="single" w:color="auto" w:sz="8" w:space="0"/>
              <w:bottom w:val="single" w:color="auto" w:sz="8" w:space="0"/>
              <w:right w:val="single" w:color="auto" w:sz="8" w:space="0"/>
            </w:tcBorders>
            <w:noWrap w:val="0"/>
            <w:vAlign w:val="center"/>
          </w:tcPr>
          <w:p w14:paraId="54A70DCB">
            <w:pPr>
              <w:widowControl/>
              <w:snapToGrid w:val="0"/>
              <w:spacing w:before="100" w:beforeAutospacing="1" w:after="100" w:afterAutospacing="1" w:line="32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0" w:type="pct"/>
            <w:tcBorders>
              <w:top w:val="single" w:color="auto" w:sz="8" w:space="0"/>
              <w:left w:val="single" w:color="auto" w:sz="8" w:space="0"/>
              <w:bottom w:val="single" w:color="auto" w:sz="8" w:space="0"/>
              <w:right w:val="single" w:color="auto" w:sz="8" w:space="0"/>
            </w:tcBorders>
            <w:noWrap w:val="0"/>
            <w:vAlign w:val="center"/>
          </w:tcPr>
          <w:p w14:paraId="3E4F4D74">
            <w:pPr>
              <w:widowControl/>
              <w:snapToGrid w:val="0"/>
              <w:spacing w:before="100" w:beforeAutospacing="1" w:after="100" w:afterAutospacing="1" w:line="32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45FEF0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92" w:type="pct"/>
            <w:tcBorders>
              <w:top w:val="single" w:color="auto" w:sz="8" w:space="0"/>
              <w:left w:val="single" w:color="auto" w:sz="8" w:space="0"/>
              <w:bottom w:val="single" w:color="auto" w:sz="8" w:space="0"/>
              <w:right w:val="single" w:color="auto" w:sz="8" w:space="0"/>
            </w:tcBorders>
            <w:noWrap w:val="0"/>
            <w:vAlign w:val="center"/>
          </w:tcPr>
          <w:p w14:paraId="02CB031A">
            <w:pPr>
              <w:widowControl/>
              <w:snapToGrid w:val="0"/>
              <w:spacing w:before="100" w:beforeAutospacing="1" w:after="100" w:afterAutospacing="1" w:line="320" w:lineRule="exact"/>
              <w:ind w:left="-3"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91" w:type="pct"/>
            <w:tcBorders>
              <w:top w:val="single" w:color="auto" w:sz="8" w:space="0"/>
              <w:left w:val="single" w:color="auto" w:sz="8" w:space="0"/>
              <w:bottom w:val="single" w:color="auto" w:sz="8" w:space="0"/>
              <w:right w:val="single" w:color="auto" w:sz="8" w:space="0"/>
            </w:tcBorders>
            <w:noWrap w:val="0"/>
            <w:vAlign w:val="center"/>
          </w:tcPr>
          <w:p w14:paraId="172F3C26">
            <w:pPr>
              <w:widowControl/>
              <w:snapToGrid w:val="0"/>
              <w:spacing w:before="100" w:beforeAutospacing="1" w:after="100" w:afterAutospacing="1" w:line="320" w:lineRule="exact"/>
              <w:ind w:left="-3"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787" w:type="pct"/>
            <w:gridSpan w:val="2"/>
            <w:tcBorders>
              <w:top w:val="single" w:color="auto" w:sz="8" w:space="0"/>
              <w:left w:val="single" w:color="auto" w:sz="8" w:space="0"/>
              <w:bottom w:val="single" w:color="auto" w:sz="8" w:space="0"/>
              <w:right w:val="single" w:color="auto" w:sz="8" w:space="0"/>
            </w:tcBorders>
            <w:noWrap w:val="0"/>
            <w:vAlign w:val="center"/>
          </w:tcPr>
          <w:p w14:paraId="12676A59">
            <w:pPr>
              <w:widowControl/>
              <w:snapToGrid w:val="0"/>
              <w:spacing w:before="100" w:beforeAutospacing="1" w:after="100" w:afterAutospacing="1" w:line="320" w:lineRule="exact"/>
              <w:ind w:left="-3"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17" w:type="pct"/>
            <w:gridSpan w:val="2"/>
            <w:tcBorders>
              <w:top w:val="single" w:color="auto" w:sz="8" w:space="0"/>
              <w:left w:val="single" w:color="auto" w:sz="8" w:space="0"/>
              <w:bottom w:val="single" w:color="auto" w:sz="8" w:space="0"/>
              <w:right w:val="single" w:color="auto" w:sz="8" w:space="0"/>
            </w:tcBorders>
            <w:noWrap w:val="0"/>
            <w:vAlign w:val="center"/>
          </w:tcPr>
          <w:p w14:paraId="04870EFE">
            <w:pPr>
              <w:widowControl/>
              <w:snapToGrid w:val="0"/>
              <w:spacing w:before="100" w:beforeAutospacing="1" w:after="100" w:afterAutospacing="1" w:line="32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0" w:type="pct"/>
            <w:tcBorders>
              <w:top w:val="single" w:color="auto" w:sz="8" w:space="0"/>
              <w:left w:val="single" w:color="auto" w:sz="8" w:space="0"/>
              <w:bottom w:val="single" w:color="auto" w:sz="8" w:space="0"/>
              <w:right w:val="single" w:color="auto" w:sz="8" w:space="0"/>
            </w:tcBorders>
            <w:noWrap w:val="0"/>
            <w:vAlign w:val="center"/>
          </w:tcPr>
          <w:p w14:paraId="02367329">
            <w:pPr>
              <w:widowControl/>
              <w:snapToGrid w:val="0"/>
              <w:spacing w:before="100" w:beforeAutospacing="1" w:after="100" w:afterAutospacing="1" w:line="32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7D9CBF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92" w:type="pct"/>
            <w:tcBorders>
              <w:top w:val="single" w:color="auto" w:sz="8" w:space="0"/>
              <w:left w:val="single" w:color="auto" w:sz="8" w:space="0"/>
              <w:bottom w:val="single" w:color="auto" w:sz="8" w:space="0"/>
              <w:right w:val="single" w:color="auto" w:sz="8" w:space="0"/>
            </w:tcBorders>
            <w:noWrap w:val="0"/>
            <w:vAlign w:val="center"/>
          </w:tcPr>
          <w:p w14:paraId="0A6CFC90">
            <w:pPr>
              <w:widowControl/>
              <w:snapToGrid w:val="0"/>
              <w:spacing w:before="100" w:beforeAutospacing="1" w:after="100" w:afterAutospacing="1" w:line="320" w:lineRule="exact"/>
              <w:ind w:left="-3"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91" w:type="pct"/>
            <w:tcBorders>
              <w:top w:val="single" w:color="auto" w:sz="8" w:space="0"/>
              <w:left w:val="single" w:color="auto" w:sz="8" w:space="0"/>
              <w:bottom w:val="single" w:color="auto" w:sz="8" w:space="0"/>
              <w:right w:val="single" w:color="auto" w:sz="8" w:space="0"/>
            </w:tcBorders>
            <w:noWrap w:val="0"/>
            <w:vAlign w:val="center"/>
          </w:tcPr>
          <w:p w14:paraId="0E04931B">
            <w:pPr>
              <w:widowControl/>
              <w:snapToGrid w:val="0"/>
              <w:spacing w:before="100" w:beforeAutospacing="1" w:after="100" w:afterAutospacing="1" w:line="320" w:lineRule="exact"/>
              <w:ind w:left="-3"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787" w:type="pct"/>
            <w:gridSpan w:val="2"/>
            <w:tcBorders>
              <w:top w:val="single" w:color="auto" w:sz="8" w:space="0"/>
              <w:left w:val="single" w:color="auto" w:sz="8" w:space="0"/>
              <w:bottom w:val="single" w:color="auto" w:sz="8" w:space="0"/>
              <w:right w:val="single" w:color="auto" w:sz="8" w:space="0"/>
            </w:tcBorders>
            <w:noWrap w:val="0"/>
            <w:vAlign w:val="center"/>
          </w:tcPr>
          <w:p w14:paraId="3E8DCC70">
            <w:pPr>
              <w:widowControl/>
              <w:snapToGrid w:val="0"/>
              <w:spacing w:before="100" w:beforeAutospacing="1" w:after="100" w:afterAutospacing="1" w:line="320" w:lineRule="exact"/>
              <w:ind w:left="-3"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17" w:type="pct"/>
            <w:gridSpan w:val="2"/>
            <w:tcBorders>
              <w:top w:val="single" w:color="auto" w:sz="8" w:space="0"/>
              <w:left w:val="single" w:color="auto" w:sz="8" w:space="0"/>
              <w:bottom w:val="single" w:color="auto" w:sz="8" w:space="0"/>
              <w:right w:val="single" w:color="auto" w:sz="8" w:space="0"/>
            </w:tcBorders>
            <w:noWrap w:val="0"/>
            <w:vAlign w:val="center"/>
          </w:tcPr>
          <w:p w14:paraId="5C92068D">
            <w:pPr>
              <w:widowControl/>
              <w:snapToGrid w:val="0"/>
              <w:spacing w:before="100" w:beforeAutospacing="1" w:after="100" w:afterAutospacing="1" w:line="32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0" w:type="pct"/>
            <w:tcBorders>
              <w:top w:val="single" w:color="auto" w:sz="8" w:space="0"/>
              <w:left w:val="single" w:color="auto" w:sz="8" w:space="0"/>
              <w:bottom w:val="single" w:color="auto" w:sz="8" w:space="0"/>
              <w:right w:val="single" w:color="auto" w:sz="8" w:space="0"/>
            </w:tcBorders>
            <w:noWrap w:val="0"/>
            <w:vAlign w:val="center"/>
          </w:tcPr>
          <w:p w14:paraId="39A4562A">
            <w:pPr>
              <w:widowControl/>
              <w:snapToGrid w:val="0"/>
              <w:spacing w:before="100" w:beforeAutospacing="1" w:after="100" w:afterAutospacing="1" w:line="32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1248E7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3771" w:type="pct"/>
            <w:gridSpan w:val="4"/>
            <w:tcBorders>
              <w:top w:val="single" w:color="auto" w:sz="8" w:space="0"/>
              <w:left w:val="single" w:color="auto" w:sz="8" w:space="0"/>
              <w:bottom w:val="single" w:color="auto" w:sz="8" w:space="0"/>
              <w:right w:val="single" w:color="auto" w:sz="8" w:space="0"/>
            </w:tcBorders>
            <w:noWrap w:val="0"/>
            <w:vAlign w:val="center"/>
          </w:tcPr>
          <w:p w14:paraId="574BB595">
            <w:pPr>
              <w:widowControl/>
              <w:snapToGrid w:val="0"/>
              <w:spacing w:before="100" w:beforeAutospacing="1" w:after="100" w:afterAutospacing="1" w:line="320" w:lineRule="exact"/>
              <w:ind w:left="-3" w:firstLine="4" w:firstLineChars="2"/>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        计</w:t>
            </w:r>
          </w:p>
        </w:tc>
        <w:tc>
          <w:tcPr>
            <w:tcW w:w="517" w:type="pct"/>
            <w:gridSpan w:val="2"/>
            <w:tcBorders>
              <w:top w:val="single" w:color="auto" w:sz="8" w:space="0"/>
              <w:left w:val="single" w:color="auto" w:sz="8" w:space="0"/>
              <w:bottom w:val="single" w:color="auto" w:sz="8" w:space="0"/>
              <w:right w:val="single" w:color="auto" w:sz="8" w:space="0"/>
            </w:tcBorders>
            <w:noWrap w:val="0"/>
            <w:vAlign w:val="center"/>
          </w:tcPr>
          <w:p w14:paraId="28186C06">
            <w:pPr>
              <w:widowControl/>
              <w:snapToGrid w:val="0"/>
              <w:spacing w:before="100" w:beforeAutospacing="1" w:after="100" w:afterAutospacing="1" w:line="32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0" w:type="pct"/>
            <w:tcBorders>
              <w:top w:val="single" w:color="auto" w:sz="8" w:space="0"/>
              <w:left w:val="single" w:color="auto" w:sz="8" w:space="0"/>
              <w:bottom w:val="single" w:color="auto" w:sz="8" w:space="0"/>
              <w:right w:val="single" w:color="auto" w:sz="8" w:space="0"/>
            </w:tcBorders>
            <w:noWrap w:val="0"/>
            <w:vAlign w:val="center"/>
          </w:tcPr>
          <w:p w14:paraId="446DBD72">
            <w:pPr>
              <w:widowControl/>
              <w:snapToGrid w:val="0"/>
              <w:spacing w:before="100" w:beforeAutospacing="1" w:after="100" w:afterAutospacing="1" w:line="32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09D0E4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5000" w:type="pct"/>
            <w:gridSpan w:val="7"/>
            <w:tcBorders>
              <w:top w:val="single" w:color="auto" w:sz="8" w:space="0"/>
              <w:left w:val="single" w:color="auto" w:sz="8" w:space="0"/>
              <w:bottom w:val="single" w:color="auto" w:sz="8" w:space="0"/>
              <w:right w:val="single" w:color="auto" w:sz="8" w:space="0"/>
            </w:tcBorders>
            <w:noWrap w:val="0"/>
            <w:vAlign w:val="center"/>
          </w:tcPr>
          <w:p w14:paraId="05D32710">
            <w:pPr>
              <w:widowControl/>
              <w:snapToGrid w:val="0"/>
              <w:spacing w:before="100" w:beforeAutospacing="1" w:after="100" w:afterAutospacing="1" w:line="320" w:lineRule="exact"/>
              <w:ind w:firstLine="2" w:firstLineChars="1"/>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合计大写金额：   仟   佰   拾   万   仟   佰   拾   元</w:t>
            </w:r>
          </w:p>
        </w:tc>
      </w:tr>
      <w:tr w14:paraId="515385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792" w:type="pct"/>
            <w:tcBorders>
              <w:top w:val="single" w:color="auto" w:sz="8" w:space="0"/>
              <w:left w:val="single" w:color="auto" w:sz="8" w:space="0"/>
              <w:bottom w:val="single" w:color="auto" w:sz="8" w:space="0"/>
              <w:right w:val="single" w:color="auto" w:sz="8" w:space="0"/>
            </w:tcBorders>
            <w:noWrap w:val="0"/>
            <w:vAlign w:val="center"/>
          </w:tcPr>
          <w:p w14:paraId="0D7EFFCA">
            <w:pPr>
              <w:widowControl/>
              <w:snapToGrid w:val="0"/>
              <w:spacing w:before="100" w:beforeAutospacing="1" w:after="100" w:afterAutospacing="1" w:line="320" w:lineRule="exact"/>
              <w:ind w:firstLine="2" w:firstLineChars="1"/>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实际供货日期</w:t>
            </w:r>
          </w:p>
        </w:tc>
        <w:tc>
          <w:tcPr>
            <w:tcW w:w="1682" w:type="pct"/>
            <w:gridSpan w:val="2"/>
            <w:tcBorders>
              <w:top w:val="single" w:color="auto" w:sz="8" w:space="0"/>
              <w:left w:val="single" w:color="auto" w:sz="8" w:space="0"/>
              <w:bottom w:val="single" w:color="auto" w:sz="8" w:space="0"/>
              <w:right w:val="single" w:color="auto" w:sz="8" w:space="0"/>
            </w:tcBorders>
            <w:noWrap w:val="0"/>
            <w:vAlign w:val="center"/>
          </w:tcPr>
          <w:p w14:paraId="077D6B9B">
            <w:pPr>
              <w:snapToGrid w:val="0"/>
              <w:spacing w:before="100" w:beforeAutospacing="1" w:after="100" w:afterAutospacing="1" w:line="320" w:lineRule="exact"/>
              <w:ind w:firstLine="480" w:firstLineChars="200"/>
              <w:jc w:val="left"/>
              <w:rPr>
                <w:rFonts w:hint="eastAsia" w:ascii="宋体" w:hAnsi="宋体" w:eastAsia="宋体" w:cs="宋体"/>
                <w:color w:val="000000"/>
                <w:kern w:val="0"/>
                <w:sz w:val="24"/>
                <w:szCs w:val="24"/>
              </w:rPr>
            </w:pPr>
          </w:p>
        </w:tc>
        <w:tc>
          <w:tcPr>
            <w:tcW w:w="1402" w:type="pct"/>
            <w:gridSpan w:val="2"/>
            <w:tcBorders>
              <w:top w:val="single" w:color="auto" w:sz="8" w:space="0"/>
              <w:left w:val="single" w:color="auto" w:sz="8" w:space="0"/>
              <w:bottom w:val="single" w:color="auto" w:sz="8" w:space="0"/>
              <w:right w:val="single" w:color="auto" w:sz="8" w:space="0"/>
            </w:tcBorders>
            <w:noWrap w:val="0"/>
            <w:vAlign w:val="center"/>
          </w:tcPr>
          <w:p w14:paraId="118C40E8">
            <w:pPr>
              <w:snapToGrid w:val="0"/>
              <w:spacing w:before="100" w:beforeAutospacing="1" w:after="100" w:afterAutospacing="1" w:line="320" w:lineRule="exact"/>
              <w:ind w:firstLine="45" w:firstLineChars="19"/>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合同交货验收日期</w:t>
            </w:r>
          </w:p>
        </w:tc>
        <w:tc>
          <w:tcPr>
            <w:tcW w:w="1122" w:type="pct"/>
            <w:gridSpan w:val="2"/>
            <w:tcBorders>
              <w:top w:val="single" w:color="auto" w:sz="8" w:space="0"/>
              <w:left w:val="single" w:color="auto" w:sz="8" w:space="0"/>
              <w:bottom w:val="single" w:color="auto" w:sz="8" w:space="0"/>
              <w:right w:val="single" w:color="auto" w:sz="8" w:space="0"/>
            </w:tcBorders>
            <w:noWrap w:val="0"/>
            <w:vAlign w:val="center"/>
          </w:tcPr>
          <w:p w14:paraId="6B58546C">
            <w:pPr>
              <w:snapToGrid w:val="0"/>
              <w:spacing w:before="100" w:beforeAutospacing="1" w:after="100" w:afterAutospacing="1" w:line="320" w:lineRule="exact"/>
              <w:ind w:firstLine="480" w:firstLineChars="200"/>
              <w:jc w:val="left"/>
              <w:rPr>
                <w:rFonts w:hint="eastAsia" w:ascii="宋体" w:hAnsi="宋体" w:eastAsia="宋体" w:cs="宋体"/>
                <w:color w:val="000000"/>
                <w:kern w:val="0"/>
                <w:sz w:val="24"/>
                <w:szCs w:val="24"/>
              </w:rPr>
            </w:pPr>
          </w:p>
        </w:tc>
      </w:tr>
      <w:tr w14:paraId="0A32CA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792" w:type="pct"/>
            <w:tcBorders>
              <w:top w:val="single" w:color="auto" w:sz="8" w:space="0"/>
              <w:left w:val="single" w:color="auto" w:sz="8" w:space="0"/>
              <w:bottom w:val="single" w:color="auto" w:sz="8" w:space="0"/>
              <w:right w:val="single" w:color="auto" w:sz="8" w:space="0"/>
            </w:tcBorders>
            <w:noWrap w:val="0"/>
            <w:vAlign w:val="center"/>
          </w:tcPr>
          <w:p w14:paraId="1FFB00FD">
            <w:pPr>
              <w:widowControl/>
              <w:snapToGrid w:val="0"/>
              <w:spacing w:before="100" w:beforeAutospacing="1" w:after="100" w:afterAutospacing="1" w:line="320" w:lineRule="exact"/>
              <w:ind w:firstLine="480" w:firstLineChars="200"/>
              <w:jc w:val="left"/>
              <w:rPr>
                <w:rFonts w:hint="eastAsia" w:ascii="宋体" w:hAnsi="宋体" w:eastAsia="宋体" w:cs="宋体"/>
                <w:color w:val="000000"/>
                <w:kern w:val="0"/>
                <w:sz w:val="24"/>
                <w:szCs w:val="24"/>
              </w:rPr>
            </w:pPr>
          </w:p>
        </w:tc>
        <w:tc>
          <w:tcPr>
            <w:tcW w:w="1682" w:type="pct"/>
            <w:gridSpan w:val="2"/>
            <w:tcBorders>
              <w:top w:val="single" w:color="auto" w:sz="8" w:space="0"/>
              <w:left w:val="single" w:color="auto" w:sz="8" w:space="0"/>
              <w:bottom w:val="single" w:color="auto" w:sz="8" w:space="0"/>
              <w:right w:val="single" w:color="auto" w:sz="8" w:space="0"/>
            </w:tcBorders>
            <w:noWrap w:val="0"/>
            <w:vAlign w:val="center"/>
          </w:tcPr>
          <w:p w14:paraId="5E8D72A6">
            <w:pPr>
              <w:snapToGrid w:val="0"/>
              <w:spacing w:before="100" w:beforeAutospacing="1" w:after="100" w:afterAutospacing="1" w:line="320" w:lineRule="exact"/>
              <w:ind w:firstLine="480" w:firstLineChars="200"/>
              <w:jc w:val="left"/>
              <w:rPr>
                <w:rFonts w:hint="eastAsia" w:ascii="宋体" w:hAnsi="宋体" w:eastAsia="宋体" w:cs="宋体"/>
                <w:color w:val="000000"/>
                <w:kern w:val="0"/>
                <w:sz w:val="24"/>
                <w:szCs w:val="24"/>
              </w:rPr>
            </w:pPr>
          </w:p>
        </w:tc>
        <w:tc>
          <w:tcPr>
            <w:tcW w:w="1402" w:type="pct"/>
            <w:gridSpan w:val="2"/>
            <w:tcBorders>
              <w:top w:val="single" w:color="auto" w:sz="8" w:space="0"/>
              <w:left w:val="single" w:color="auto" w:sz="8" w:space="0"/>
              <w:bottom w:val="single" w:color="auto" w:sz="8" w:space="0"/>
              <w:right w:val="single" w:color="auto" w:sz="8" w:space="0"/>
            </w:tcBorders>
            <w:noWrap w:val="0"/>
            <w:vAlign w:val="center"/>
          </w:tcPr>
          <w:p w14:paraId="7C6495FB">
            <w:pPr>
              <w:snapToGrid w:val="0"/>
              <w:spacing w:before="100" w:beforeAutospacing="1" w:after="100" w:afterAutospacing="1" w:line="320" w:lineRule="exact"/>
              <w:ind w:left="590" w:firstLine="480" w:firstLineChars="200"/>
              <w:jc w:val="left"/>
              <w:rPr>
                <w:rFonts w:hint="eastAsia" w:ascii="宋体" w:hAnsi="宋体" w:eastAsia="宋体" w:cs="宋体"/>
                <w:color w:val="000000"/>
                <w:kern w:val="0"/>
                <w:sz w:val="24"/>
                <w:szCs w:val="24"/>
              </w:rPr>
            </w:pPr>
          </w:p>
        </w:tc>
        <w:tc>
          <w:tcPr>
            <w:tcW w:w="1122" w:type="pct"/>
            <w:gridSpan w:val="2"/>
            <w:tcBorders>
              <w:top w:val="single" w:color="auto" w:sz="8" w:space="0"/>
              <w:left w:val="single" w:color="auto" w:sz="8" w:space="0"/>
              <w:bottom w:val="single" w:color="auto" w:sz="8" w:space="0"/>
              <w:right w:val="single" w:color="auto" w:sz="8" w:space="0"/>
            </w:tcBorders>
            <w:noWrap w:val="0"/>
            <w:vAlign w:val="center"/>
          </w:tcPr>
          <w:p w14:paraId="2A9CB238">
            <w:pPr>
              <w:snapToGrid w:val="0"/>
              <w:spacing w:before="100" w:beforeAutospacing="1" w:after="100" w:afterAutospacing="1" w:line="320" w:lineRule="exact"/>
              <w:ind w:firstLine="480" w:firstLineChars="200"/>
              <w:jc w:val="left"/>
              <w:rPr>
                <w:rFonts w:hint="eastAsia" w:ascii="宋体" w:hAnsi="宋体" w:eastAsia="宋体" w:cs="宋体"/>
                <w:color w:val="000000"/>
                <w:kern w:val="0"/>
                <w:sz w:val="24"/>
                <w:szCs w:val="24"/>
              </w:rPr>
            </w:pPr>
          </w:p>
        </w:tc>
      </w:tr>
      <w:tr w14:paraId="51B429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792"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7F5FB85">
            <w:pPr>
              <w:widowControl/>
              <w:snapToGrid w:val="0"/>
              <w:spacing w:before="100" w:beforeAutospacing="1" w:after="100" w:afterAutospacing="1" w:line="32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验收具体内容</w:t>
            </w:r>
          </w:p>
        </w:tc>
        <w:tc>
          <w:tcPr>
            <w:tcW w:w="4207" w:type="pct"/>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2706CF2">
            <w:pPr>
              <w:widowControl/>
              <w:snapToGrid w:val="0"/>
              <w:spacing w:before="100" w:beforeAutospacing="1" w:after="100" w:afterAutospacing="1" w:line="320" w:lineRule="exact"/>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（应</w:t>
            </w:r>
            <w:r>
              <w:rPr>
                <w:rFonts w:hint="eastAsia" w:ascii="宋体" w:hAnsi="宋体" w:eastAsia="宋体" w:cs="宋体"/>
                <w:color w:val="000000"/>
                <w:kern w:val="0"/>
                <w:sz w:val="24"/>
                <w:szCs w:val="24"/>
              </w:rPr>
              <w:t>按采购合同、采购文件、磋商响应文件及验收方案等进行验收；并核对</w:t>
            </w:r>
            <w:r>
              <w:rPr>
                <w:rFonts w:hint="eastAsia" w:ascii="宋体" w:hAnsi="宋体" w:eastAsia="宋体" w:cs="宋体"/>
                <w:color w:val="000000"/>
                <w:sz w:val="24"/>
                <w:szCs w:val="24"/>
              </w:rPr>
              <w:t>中标或者成交供应商在安装调试等方面是否违反合同约定或服务规范要求、提供的质量保证证明材料是否齐全、应有的配件及附件是否达到合同约定等</w:t>
            </w:r>
            <w:r>
              <w:rPr>
                <w:rFonts w:hint="eastAsia" w:ascii="宋体" w:hAnsi="宋体" w:eastAsia="宋体" w:cs="宋体"/>
                <w:color w:val="000000"/>
                <w:kern w:val="0"/>
                <w:sz w:val="24"/>
                <w:szCs w:val="24"/>
              </w:rPr>
              <w:t>。可附件)</w:t>
            </w:r>
          </w:p>
        </w:tc>
      </w:tr>
      <w:tr w14:paraId="61E7A2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81" w:hRule="atLeast"/>
          <w:jc w:val="center"/>
        </w:trPr>
        <w:tc>
          <w:tcPr>
            <w:tcW w:w="792" w:type="pct"/>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CFA24DD">
            <w:pPr>
              <w:widowControl/>
              <w:spacing w:before="100" w:beforeAutospacing="1" w:after="100" w:afterAutospacing="1" w:line="32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验收小组意见</w:t>
            </w:r>
          </w:p>
        </w:tc>
        <w:tc>
          <w:tcPr>
            <w:tcW w:w="4207" w:type="pct"/>
            <w:gridSpan w:val="6"/>
            <w:tcBorders>
              <w:top w:val="single" w:color="auto" w:sz="8" w:space="0"/>
              <w:left w:val="single" w:color="auto" w:sz="8" w:space="0"/>
              <w:bottom w:val="single" w:color="auto" w:sz="4" w:space="0"/>
              <w:right w:val="single" w:color="auto" w:sz="8" w:space="0"/>
            </w:tcBorders>
            <w:noWrap w:val="0"/>
            <w:vAlign w:val="center"/>
          </w:tcPr>
          <w:p w14:paraId="415100CF">
            <w:pPr>
              <w:widowControl/>
              <w:spacing w:before="100" w:beforeAutospacing="1" w:after="100" w:afterAutospacing="1" w:line="320" w:lineRule="exact"/>
              <w:ind w:firstLine="120" w:firstLineChars="5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验收结论性意见：</w:t>
            </w:r>
          </w:p>
          <w:p w14:paraId="56386DBC">
            <w:pPr>
              <w:widowControl/>
              <w:spacing w:before="100" w:beforeAutospacing="1" w:after="100" w:afterAutospacing="1" w:line="320" w:lineRule="exact"/>
              <w:jc w:val="left"/>
              <w:rPr>
                <w:rFonts w:hint="eastAsia" w:ascii="宋体" w:hAnsi="宋体" w:eastAsia="宋体" w:cs="宋体"/>
                <w:color w:val="000000"/>
                <w:kern w:val="0"/>
                <w:sz w:val="24"/>
                <w:szCs w:val="24"/>
              </w:rPr>
            </w:pPr>
          </w:p>
        </w:tc>
      </w:tr>
      <w:tr w14:paraId="3610AB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792" w:type="pct"/>
            <w:vMerge w:val="continue"/>
            <w:tcBorders>
              <w:top w:val="single" w:color="auto" w:sz="8" w:space="0"/>
              <w:left w:val="single" w:color="auto" w:sz="8" w:space="0"/>
              <w:bottom w:val="single" w:color="auto" w:sz="8" w:space="0"/>
              <w:right w:val="single" w:color="auto" w:sz="8" w:space="0"/>
            </w:tcBorders>
            <w:noWrap w:val="0"/>
            <w:vAlign w:val="center"/>
          </w:tcPr>
          <w:p w14:paraId="53B810EC">
            <w:pPr>
              <w:widowControl/>
              <w:spacing w:line="320" w:lineRule="exact"/>
              <w:jc w:val="left"/>
              <w:rPr>
                <w:rFonts w:hint="eastAsia" w:ascii="宋体" w:hAnsi="宋体" w:eastAsia="宋体" w:cs="宋体"/>
                <w:color w:val="000000"/>
                <w:kern w:val="0"/>
                <w:sz w:val="24"/>
                <w:szCs w:val="24"/>
              </w:rPr>
            </w:pPr>
          </w:p>
        </w:tc>
        <w:tc>
          <w:tcPr>
            <w:tcW w:w="4207" w:type="pct"/>
            <w:gridSpan w:val="6"/>
            <w:tcBorders>
              <w:top w:val="single" w:color="auto" w:sz="4" w:space="0"/>
              <w:left w:val="single" w:color="auto" w:sz="8" w:space="0"/>
              <w:bottom w:val="single" w:color="auto" w:sz="8" w:space="0"/>
              <w:right w:val="single" w:color="auto" w:sz="8" w:space="0"/>
            </w:tcBorders>
            <w:noWrap w:val="0"/>
            <w:vAlign w:val="center"/>
          </w:tcPr>
          <w:p w14:paraId="73D60C27">
            <w:pPr>
              <w:spacing w:before="100" w:beforeAutospacing="1" w:after="100" w:afterAutospacing="1" w:line="320" w:lineRule="exact"/>
              <w:ind w:firstLine="96" w:firstLineChars="4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有异议的意见和说明理由：</w:t>
            </w:r>
          </w:p>
          <w:p w14:paraId="0613418E">
            <w:pPr>
              <w:spacing w:before="100" w:beforeAutospacing="1" w:after="100" w:afterAutospacing="1" w:line="32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签字：</w:t>
            </w:r>
          </w:p>
        </w:tc>
      </w:tr>
      <w:tr w14:paraId="208B9E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5000" w:type="pct"/>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A83C094">
            <w:pPr>
              <w:widowControl/>
              <w:spacing w:before="100" w:beforeAutospacing="1" w:after="100" w:afterAutospacing="1" w:line="32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验收小组成员签字：</w:t>
            </w:r>
          </w:p>
        </w:tc>
      </w:tr>
      <w:tr w14:paraId="1D5B4E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5000" w:type="pct"/>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A669B7D">
            <w:pPr>
              <w:widowControl/>
              <w:spacing w:before="100" w:beforeAutospacing="1" w:after="100" w:afterAutospacing="1" w:line="32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监督人员或其他相关人员签字：</w:t>
            </w:r>
          </w:p>
          <w:p w14:paraId="689D267D">
            <w:pPr>
              <w:widowControl/>
              <w:spacing w:before="100" w:beforeAutospacing="1" w:after="100" w:afterAutospacing="1" w:line="320" w:lineRule="exact"/>
              <w:ind w:firstLine="74" w:firstLineChars="31"/>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或受邀机构的意见（盖章）：</w:t>
            </w:r>
          </w:p>
        </w:tc>
      </w:tr>
      <w:tr w14:paraId="631680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2475" w:type="pct"/>
            <w:gridSpan w:val="3"/>
            <w:tcBorders>
              <w:top w:val="single" w:color="auto" w:sz="8" w:space="0"/>
              <w:left w:val="single" w:color="auto" w:sz="8" w:space="0"/>
              <w:bottom w:val="single" w:color="auto" w:sz="8" w:space="0"/>
              <w:right w:val="nil"/>
            </w:tcBorders>
            <w:noWrap w:val="0"/>
            <w:tcMar>
              <w:top w:w="0" w:type="dxa"/>
              <w:left w:w="108" w:type="dxa"/>
              <w:bottom w:w="0" w:type="dxa"/>
              <w:right w:w="108" w:type="dxa"/>
            </w:tcMar>
            <w:vAlign w:val="center"/>
          </w:tcPr>
          <w:p w14:paraId="134ABD17">
            <w:pPr>
              <w:widowControl/>
              <w:spacing w:before="100" w:beforeAutospacing="1" w:after="100" w:afterAutospacing="1" w:line="320" w:lineRule="exact"/>
              <w:ind w:firstLine="74" w:firstLineChars="31"/>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中标或者成交供应商负责人签字或盖章：</w:t>
            </w:r>
          </w:p>
          <w:p w14:paraId="18D0052B">
            <w:pPr>
              <w:widowControl/>
              <w:spacing w:before="100" w:beforeAutospacing="1" w:after="100" w:afterAutospacing="1" w:line="32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联系电话：         年 月 日</w:t>
            </w:r>
          </w:p>
        </w:tc>
        <w:tc>
          <w:tcPr>
            <w:tcW w:w="2524" w:type="pct"/>
            <w:gridSpan w:val="4"/>
            <w:tcBorders>
              <w:top w:val="single" w:color="auto" w:sz="8" w:space="0"/>
              <w:left w:val="nil"/>
              <w:bottom w:val="single" w:color="auto" w:sz="8" w:space="0"/>
              <w:right w:val="single" w:color="auto" w:sz="8" w:space="0"/>
            </w:tcBorders>
            <w:noWrap w:val="0"/>
            <w:vAlign w:val="center"/>
          </w:tcPr>
          <w:p w14:paraId="3F9353DF">
            <w:pPr>
              <w:widowControl/>
              <w:spacing w:before="100" w:beforeAutospacing="1" w:after="100" w:afterAutospacing="1" w:line="32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采购人或受托机构的意见（盖章）：</w:t>
            </w:r>
          </w:p>
          <w:p w14:paraId="5220F607">
            <w:pPr>
              <w:widowControl/>
              <w:spacing w:before="100" w:beforeAutospacing="1" w:after="100" w:afterAutospacing="1" w:line="32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联系电话：                 年   月   日</w:t>
            </w:r>
          </w:p>
        </w:tc>
      </w:tr>
    </w:tbl>
    <w:p w14:paraId="4FD20AF0">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w w:val="90"/>
          <w:sz w:val="24"/>
          <w:szCs w:val="24"/>
        </w:rPr>
      </w:pPr>
      <w:r>
        <w:rPr>
          <w:rFonts w:hint="eastAsia" w:ascii="宋体" w:hAnsi="宋体" w:eastAsia="宋体" w:cs="宋体"/>
          <w:color w:val="000000"/>
          <w:w w:val="90"/>
          <w:sz w:val="24"/>
          <w:szCs w:val="24"/>
        </w:rPr>
        <w:t>关于印发广西壮族自治区政府采购项目履约验收管理办法的通知[桂财采〔2015〕22号]</w:t>
      </w:r>
    </w:p>
    <w:sectPr>
      <w:pgSz w:w="11907" w:h="16840"/>
      <w:pgMar w:top="1797" w:right="1440" w:bottom="1440" w:left="1440"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AF81D">
    <w:pPr>
      <w:pStyle w:val="18"/>
      <w:jc w:val="center"/>
    </w:pPr>
    <w:r>
      <w:fldChar w:fldCharType="begin"/>
    </w:r>
    <w:r>
      <w:instrText xml:space="preserve">PAGE   \* MERGEFORMAT</w:instrText>
    </w:r>
    <w:r>
      <w:fldChar w:fldCharType="separate"/>
    </w:r>
    <w:r>
      <w:rPr>
        <w:lang w:val="zh-CN"/>
      </w:rPr>
      <w:t>1</w:t>
    </w:r>
    <w:r>
      <w:fldChar w:fldCharType="end"/>
    </w:r>
  </w:p>
  <w:p w14:paraId="0149E4E1">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F9B11">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4DDEEA">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24DDEEA">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A2CEF">
    <w:pPr>
      <w:pStyle w:val="18"/>
      <w:jc w:val="center"/>
    </w:pPr>
    <w:r>
      <w:fldChar w:fldCharType="begin"/>
    </w:r>
    <w:r>
      <w:instrText xml:space="preserve">PAGE   \* MERGEFORMAT</w:instrText>
    </w:r>
    <w:r>
      <w:fldChar w:fldCharType="separate"/>
    </w:r>
    <w:r>
      <w:rPr>
        <w:lang w:val="zh-CN"/>
      </w:rPr>
      <w:t>2</w:t>
    </w:r>
    <w:r>
      <w:fldChar w:fldCharType="end"/>
    </w:r>
  </w:p>
  <w:p w14:paraId="6B36E70E">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0A18A">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7C6537">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17C6537">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BFDFA">
    <w:pPr>
      <w:pStyle w:val="18"/>
      <w:framePr w:wrap="around" w:vAnchor="text" w:hAnchor="margin" w:xAlign="center" w:y="1"/>
      <w:rPr>
        <w:rStyle w:val="27"/>
      </w:rPr>
    </w:pPr>
    <w:r>
      <w:fldChar w:fldCharType="begin"/>
    </w:r>
    <w:r>
      <w:rPr>
        <w:rStyle w:val="27"/>
      </w:rPr>
      <w:instrText xml:space="preserve">PAGE  </w:instrText>
    </w:r>
    <w:r>
      <w:fldChar w:fldCharType="end"/>
    </w:r>
  </w:p>
  <w:p w14:paraId="50FC5482">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10969">
    <w:pPr>
      <w:pStyle w:val="18"/>
      <w:jc w:val="center"/>
    </w:pPr>
    <w:r>
      <w:fldChar w:fldCharType="begin"/>
    </w:r>
    <w:r>
      <w:instrText xml:space="preserve">PAGE   \* MERGEFORMAT</w:instrText>
    </w:r>
    <w:r>
      <w:fldChar w:fldCharType="separate"/>
    </w:r>
    <w:r>
      <w:rPr>
        <w:lang w:val="zh-CN"/>
      </w:rPr>
      <w:t>61</w:t>
    </w:r>
    <w:r>
      <w:fldChar w:fldCharType="end"/>
    </w:r>
  </w:p>
  <w:p w14:paraId="29CF6C9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3A8FB">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5609A7">
                          <w:pPr>
                            <w:pStyle w:val="18"/>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725609A7">
                    <w:pPr>
                      <w:pStyle w:val="18"/>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F57C4">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033891">
                          <w:pPr>
                            <w:pStyle w:val="18"/>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03033891">
                    <w:pPr>
                      <w:pStyle w:val="18"/>
                    </w:pPr>
                    <w:r>
                      <w:fldChar w:fldCharType="begin"/>
                    </w:r>
                    <w:r>
                      <w:instrText xml:space="preserve"> PAGE  \* MERGEFORMAT </w:instrText>
                    </w:r>
                    <w:r>
                      <w:fldChar w:fldCharType="separate"/>
                    </w:r>
                    <w:r>
                      <w:t>69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551A">
    <w:pPr>
      <w:rPr>
        <w:sz w:val="18"/>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D95B6"/>
    <w:multiLevelType w:val="singleLevel"/>
    <w:tmpl w:val="807D95B6"/>
    <w:lvl w:ilvl="0" w:tentative="0">
      <w:start w:val="1"/>
      <w:numFmt w:val="decimal"/>
      <w:suff w:val="space"/>
      <w:lvlText w:val="24.%1"/>
      <w:lvlJc w:val="left"/>
      <w:pPr>
        <w:ind w:left="0" w:firstLine="480"/>
      </w:pPr>
      <w:rPr>
        <w:rFonts w:hint="default"/>
      </w:rPr>
    </w:lvl>
  </w:abstractNum>
  <w:abstractNum w:abstractNumId="1">
    <w:nsid w:val="81E65691"/>
    <w:multiLevelType w:val="singleLevel"/>
    <w:tmpl w:val="81E65691"/>
    <w:lvl w:ilvl="0" w:tentative="0">
      <w:start w:val="1"/>
      <w:numFmt w:val="decimal"/>
      <w:suff w:val="space"/>
      <w:lvlText w:val="15.%1"/>
      <w:lvlJc w:val="left"/>
      <w:pPr>
        <w:ind w:left="0" w:firstLine="480"/>
      </w:pPr>
      <w:rPr>
        <w:rFonts w:hint="default"/>
      </w:rPr>
    </w:lvl>
  </w:abstractNum>
  <w:abstractNum w:abstractNumId="2">
    <w:nsid w:val="8624D4C3"/>
    <w:multiLevelType w:val="singleLevel"/>
    <w:tmpl w:val="8624D4C3"/>
    <w:lvl w:ilvl="0" w:tentative="0">
      <w:start w:val="1"/>
      <w:numFmt w:val="chineseCounting"/>
      <w:suff w:val="nothing"/>
      <w:lvlText w:val="%1. "/>
      <w:lvlJc w:val="left"/>
      <w:pPr>
        <w:tabs>
          <w:tab w:val="left" w:pos="0"/>
        </w:tabs>
        <w:ind w:left="0" w:firstLine="482"/>
      </w:pPr>
      <w:rPr>
        <w:rFonts w:hint="eastAsia"/>
      </w:rPr>
    </w:lvl>
  </w:abstractNum>
  <w:abstractNum w:abstractNumId="3">
    <w:nsid w:val="8CC29118"/>
    <w:multiLevelType w:val="singleLevel"/>
    <w:tmpl w:val="8CC29118"/>
    <w:lvl w:ilvl="0" w:tentative="0">
      <w:start w:val="1"/>
      <w:numFmt w:val="decimal"/>
      <w:suff w:val="space"/>
      <w:lvlText w:val="18.%1"/>
      <w:lvlJc w:val="left"/>
      <w:pPr>
        <w:tabs>
          <w:tab w:val="left" w:pos="0"/>
        </w:tabs>
        <w:ind w:left="0" w:firstLine="480"/>
      </w:pPr>
      <w:rPr>
        <w:rFonts w:hint="default"/>
      </w:rPr>
    </w:lvl>
  </w:abstractNum>
  <w:abstractNum w:abstractNumId="4">
    <w:nsid w:val="BA5A38DE"/>
    <w:multiLevelType w:val="singleLevel"/>
    <w:tmpl w:val="BA5A38DE"/>
    <w:lvl w:ilvl="0" w:tentative="0">
      <w:start w:val="1"/>
      <w:numFmt w:val="decimal"/>
      <w:suff w:val="nothing"/>
      <w:lvlText w:val="%1."/>
      <w:lvlJc w:val="left"/>
      <w:pPr>
        <w:tabs>
          <w:tab w:val="left" w:pos="0"/>
        </w:tabs>
        <w:ind w:left="0" w:firstLine="480"/>
      </w:pPr>
      <w:rPr>
        <w:rFonts w:hint="default"/>
      </w:rPr>
    </w:lvl>
  </w:abstractNum>
  <w:abstractNum w:abstractNumId="5">
    <w:nsid w:val="BB524E2C"/>
    <w:multiLevelType w:val="singleLevel"/>
    <w:tmpl w:val="BB524E2C"/>
    <w:lvl w:ilvl="0" w:tentative="0">
      <w:start w:val="1"/>
      <w:numFmt w:val="decimal"/>
      <w:suff w:val="space"/>
      <w:lvlText w:val="4.%1"/>
      <w:lvlJc w:val="left"/>
      <w:pPr>
        <w:ind w:left="0" w:firstLine="480"/>
      </w:pPr>
      <w:rPr>
        <w:rFonts w:hint="default"/>
      </w:rPr>
    </w:lvl>
  </w:abstractNum>
  <w:abstractNum w:abstractNumId="6">
    <w:nsid w:val="BC747A30"/>
    <w:multiLevelType w:val="singleLevel"/>
    <w:tmpl w:val="BC747A30"/>
    <w:lvl w:ilvl="0" w:tentative="0">
      <w:start w:val="1"/>
      <w:numFmt w:val="decimal"/>
      <w:suff w:val="nothing"/>
      <w:lvlText w:val="（%1）"/>
      <w:lvlJc w:val="left"/>
      <w:pPr>
        <w:ind w:left="0" w:firstLine="480"/>
      </w:pPr>
      <w:rPr>
        <w:rFonts w:hint="default"/>
      </w:rPr>
    </w:lvl>
  </w:abstractNum>
  <w:abstractNum w:abstractNumId="7">
    <w:nsid w:val="BFEFBEEC"/>
    <w:multiLevelType w:val="singleLevel"/>
    <w:tmpl w:val="BFEFBEEC"/>
    <w:lvl w:ilvl="0" w:tentative="0">
      <w:start w:val="1"/>
      <w:numFmt w:val="decimal"/>
      <w:suff w:val="space"/>
      <w:lvlText w:val="9.%1"/>
      <w:lvlJc w:val="left"/>
      <w:pPr>
        <w:tabs>
          <w:tab w:val="left" w:pos="0"/>
        </w:tabs>
        <w:ind w:left="0" w:firstLine="480"/>
      </w:pPr>
      <w:rPr>
        <w:rFonts w:hint="default"/>
      </w:rPr>
    </w:lvl>
  </w:abstractNum>
  <w:abstractNum w:abstractNumId="8">
    <w:nsid w:val="C899408E"/>
    <w:multiLevelType w:val="singleLevel"/>
    <w:tmpl w:val="C899408E"/>
    <w:lvl w:ilvl="0" w:tentative="0">
      <w:start w:val="1"/>
      <w:numFmt w:val="decimal"/>
      <w:suff w:val="nothing"/>
      <w:lvlText w:val="（%1）"/>
      <w:lvlJc w:val="left"/>
      <w:pPr>
        <w:ind w:left="0" w:firstLine="480"/>
      </w:pPr>
      <w:rPr>
        <w:rFonts w:hint="default"/>
      </w:rPr>
    </w:lvl>
  </w:abstractNum>
  <w:abstractNum w:abstractNumId="9">
    <w:nsid w:val="CA313A0E"/>
    <w:multiLevelType w:val="singleLevel"/>
    <w:tmpl w:val="CA313A0E"/>
    <w:lvl w:ilvl="0" w:tentative="0">
      <w:start w:val="2"/>
      <w:numFmt w:val="decimal"/>
      <w:suff w:val="nothing"/>
      <w:lvlText w:val="（%1）"/>
      <w:lvlJc w:val="left"/>
      <w:pPr>
        <w:ind w:left="0" w:firstLine="480"/>
      </w:pPr>
      <w:rPr>
        <w:rFonts w:hint="default"/>
      </w:rPr>
    </w:lvl>
  </w:abstractNum>
  <w:abstractNum w:abstractNumId="10">
    <w:nsid w:val="CBEFDDBB"/>
    <w:multiLevelType w:val="singleLevel"/>
    <w:tmpl w:val="CBEFDDBB"/>
    <w:lvl w:ilvl="0" w:tentative="0">
      <w:start w:val="1"/>
      <w:numFmt w:val="decimal"/>
      <w:suff w:val="space"/>
      <w:lvlText w:val="%1."/>
      <w:lvlJc w:val="left"/>
      <w:pPr>
        <w:ind w:left="0" w:firstLine="0"/>
      </w:pPr>
      <w:rPr>
        <w:rFonts w:hint="default"/>
      </w:rPr>
    </w:lvl>
  </w:abstractNum>
  <w:abstractNum w:abstractNumId="11">
    <w:nsid w:val="D1750354"/>
    <w:multiLevelType w:val="singleLevel"/>
    <w:tmpl w:val="D1750354"/>
    <w:lvl w:ilvl="0" w:tentative="0">
      <w:start w:val="1"/>
      <w:numFmt w:val="decimal"/>
      <w:suff w:val="nothing"/>
      <w:lvlText w:val="（%1）"/>
      <w:lvlJc w:val="left"/>
      <w:pPr>
        <w:ind w:left="0" w:firstLine="480"/>
      </w:pPr>
      <w:rPr>
        <w:rFonts w:hint="default"/>
      </w:rPr>
    </w:lvl>
  </w:abstractNum>
  <w:abstractNum w:abstractNumId="12">
    <w:nsid w:val="D40E5685"/>
    <w:multiLevelType w:val="singleLevel"/>
    <w:tmpl w:val="D40E5685"/>
    <w:lvl w:ilvl="0" w:tentative="0">
      <w:start w:val="1"/>
      <w:numFmt w:val="chineseCounting"/>
      <w:suff w:val="space"/>
      <w:lvlText w:val="(%1)"/>
      <w:lvlJc w:val="left"/>
      <w:pPr>
        <w:ind w:left="0" w:firstLine="480"/>
      </w:pPr>
      <w:rPr>
        <w:rFonts w:hint="eastAsia"/>
      </w:rPr>
    </w:lvl>
  </w:abstractNum>
  <w:abstractNum w:abstractNumId="13">
    <w:nsid w:val="D5F4ED83"/>
    <w:multiLevelType w:val="singleLevel"/>
    <w:tmpl w:val="D5F4ED83"/>
    <w:lvl w:ilvl="0" w:tentative="0">
      <w:start w:val="1"/>
      <w:numFmt w:val="decimal"/>
      <w:suff w:val="nothing"/>
      <w:lvlText w:val="%1."/>
      <w:lvlJc w:val="left"/>
      <w:pPr>
        <w:tabs>
          <w:tab w:val="left" w:pos="0"/>
        </w:tabs>
        <w:ind w:left="0" w:firstLine="480"/>
      </w:pPr>
      <w:rPr>
        <w:rFonts w:hint="default"/>
      </w:rPr>
    </w:lvl>
  </w:abstractNum>
  <w:abstractNum w:abstractNumId="14">
    <w:nsid w:val="D8271D88"/>
    <w:multiLevelType w:val="singleLevel"/>
    <w:tmpl w:val="D8271D88"/>
    <w:lvl w:ilvl="0" w:tentative="0">
      <w:start w:val="1"/>
      <w:numFmt w:val="decimal"/>
      <w:suff w:val="space"/>
      <w:lvlText w:val="19.5.%1"/>
      <w:lvlJc w:val="left"/>
      <w:pPr>
        <w:tabs>
          <w:tab w:val="left" w:pos="0"/>
        </w:tabs>
        <w:ind w:left="0" w:firstLine="480"/>
      </w:pPr>
      <w:rPr>
        <w:rFonts w:hint="default"/>
      </w:rPr>
    </w:lvl>
  </w:abstractNum>
  <w:abstractNum w:abstractNumId="15">
    <w:nsid w:val="D8BD57CB"/>
    <w:multiLevelType w:val="singleLevel"/>
    <w:tmpl w:val="D8BD57CB"/>
    <w:lvl w:ilvl="0" w:tentative="0">
      <w:start w:val="1"/>
      <w:numFmt w:val="decimal"/>
      <w:suff w:val="space"/>
      <w:lvlText w:val="%1."/>
      <w:lvlJc w:val="left"/>
      <w:pPr>
        <w:ind w:left="0" w:firstLine="480"/>
      </w:pPr>
      <w:rPr>
        <w:rFonts w:hint="default"/>
      </w:rPr>
    </w:lvl>
  </w:abstractNum>
  <w:abstractNum w:abstractNumId="16">
    <w:nsid w:val="D8E14FB3"/>
    <w:multiLevelType w:val="singleLevel"/>
    <w:tmpl w:val="D8E14FB3"/>
    <w:lvl w:ilvl="0" w:tentative="0">
      <w:start w:val="1"/>
      <w:numFmt w:val="decimal"/>
      <w:suff w:val="space"/>
      <w:lvlText w:val="11.%1"/>
      <w:lvlJc w:val="left"/>
      <w:pPr>
        <w:ind w:left="0" w:firstLine="480"/>
      </w:pPr>
      <w:rPr>
        <w:rFonts w:hint="default"/>
      </w:rPr>
    </w:lvl>
  </w:abstractNum>
  <w:abstractNum w:abstractNumId="17">
    <w:nsid w:val="DAD9FD29"/>
    <w:multiLevelType w:val="singleLevel"/>
    <w:tmpl w:val="DAD9FD29"/>
    <w:lvl w:ilvl="0" w:tentative="0">
      <w:start w:val="1"/>
      <w:numFmt w:val="decimal"/>
      <w:suff w:val="nothing"/>
      <w:lvlText w:val="%1. "/>
      <w:lvlJc w:val="left"/>
      <w:pPr>
        <w:tabs>
          <w:tab w:val="left" w:pos="0"/>
        </w:tabs>
        <w:ind w:left="0" w:firstLine="480"/>
      </w:pPr>
      <w:rPr>
        <w:rFonts w:hint="default"/>
      </w:rPr>
    </w:lvl>
  </w:abstractNum>
  <w:abstractNum w:abstractNumId="18">
    <w:nsid w:val="DBC1347B"/>
    <w:multiLevelType w:val="singleLevel"/>
    <w:tmpl w:val="DBC1347B"/>
    <w:lvl w:ilvl="0" w:tentative="0">
      <w:start w:val="1"/>
      <w:numFmt w:val="decimal"/>
      <w:suff w:val="space"/>
      <w:lvlText w:val="23.%1"/>
      <w:lvlJc w:val="left"/>
      <w:pPr>
        <w:ind w:left="0" w:firstLine="480"/>
      </w:pPr>
      <w:rPr>
        <w:rFonts w:hint="default"/>
      </w:rPr>
    </w:lvl>
  </w:abstractNum>
  <w:abstractNum w:abstractNumId="19">
    <w:nsid w:val="DC102231"/>
    <w:multiLevelType w:val="singleLevel"/>
    <w:tmpl w:val="DC102231"/>
    <w:lvl w:ilvl="0" w:tentative="0">
      <w:start w:val="1"/>
      <w:numFmt w:val="decimal"/>
      <w:suff w:val="nothing"/>
      <w:lvlText w:val="（%1）"/>
      <w:lvlJc w:val="left"/>
      <w:pPr>
        <w:ind w:left="0" w:firstLine="480"/>
      </w:pPr>
      <w:rPr>
        <w:rFonts w:hint="default"/>
      </w:rPr>
    </w:lvl>
  </w:abstractNum>
  <w:abstractNum w:abstractNumId="20">
    <w:nsid w:val="DE0993E3"/>
    <w:multiLevelType w:val="singleLevel"/>
    <w:tmpl w:val="DE0993E3"/>
    <w:lvl w:ilvl="0" w:tentative="0">
      <w:start w:val="1"/>
      <w:numFmt w:val="decimal"/>
      <w:suff w:val="nothing"/>
      <w:lvlText w:val="（%1）"/>
      <w:lvlJc w:val="left"/>
      <w:pPr>
        <w:ind w:left="0" w:firstLine="0"/>
      </w:pPr>
      <w:rPr>
        <w:rFonts w:hint="default"/>
      </w:rPr>
    </w:lvl>
  </w:abstractNum>
  <w:abstractNum w:abstractNumId="21">
    <w:nsid w:val="DE13DB13"/>
    <w:multiLevelType w:val="singleLevel"/>
    <w:tmpl w:val="DE13DB13"/>
    <w:lvl w:ilvl="0" w:tentative="0">
      <w:start w:val="1"/>
      <w:numFmt w:val="decimal"/>
      <w:suff w:val="nothing"/>
      <w:lvlText w:val="（%1）"/>
      <w:lvlJc w:val="left"/>
      <w:pPr>
        <w:ind w:left="0" w:firstLine="482"/>
      </w:pPr>
      <w:rPr>
        <w:rFonts w:hint="default"/>
      </w:rPr>
    </w:lvl>
  </w:abstractNum>
  <w:abstractNum w:abstractNumId="22">
    <w:nsid w:val="DE95CFA5"/>
    <w:multiLevelType w:val="singleLevel"/>
    <w:tmpl w:val="DE95CFA5"/>
    <w:lvl w:ilvl="0" w:tentative="0">
      <w:start w:val="1"/>
      <w:numFmt w:val="decimal"/>
      <w:suff w:val="nothing"/>
      <w:lvlText w:val="（%1）"/>
      <w:lvlJc w:val="left"/>
      <w:pPr>
        <w:ind w:left="148" w:firstLine="480"/>
      </w:pPr>
      <w:rPr>
        <w:rFonts w:hint="default"/>
      </w:rPr>
    </w:lvl>
  </w:abstractNum>
  <w:abstractNum w:abstractNumId="23">
    <w:nsid w:val="DF33C108"/>
    <w:multiLevelType w:val="singleLevel"/>
    <w:tmpl w:val="DF33C108"/>
    <w:lvl w:ilvl="0" w:tentative="0">
      <w:start w:val="1"/>
      <w:numFmt w:val="decimal"/>
      <w:suff w:val="space"/>
      <w:lvlText w:val="%1."/>
      <w:lvlJc w:val="left"/>
      <w:pPr>
        <w:ind w:left="0" w:firstLine="480"/>
      </w:pPr>
      <w:rPr>
        <w:rFonts w:hint="default"/>
      </w:rPr>
    </w:lvl>
  </w:abstractNum>
  <w:abstractNum w:abstractNumId="24">
    <w:nsid w:val="DF53C641"/>
    <w:multiLevelType w:val="singleLevel"/>
    <w:tmpl w:val="DF53C641"/>
    <w:lvl w:ilvl="0" w:tentative="0">
      <w:start w:val="1"/>
      <w:numFmt w:val="chineseCounting"/>
      <w:suff w:val="nothing"/>
      <w:lvlText w:val="%1."/>
      <w:lvlJc w:val="left"/>
      <w:pPr>
        <w:tabs>
          <w:tab w:val="left" w:pos="0"/>
        </w:tabs>
        <w:ind w:left="0" w:firstLine="0"/>
      </w:pPr>
      <w:rPr>
        <w:rFonts w:hint="eastAsia" w:ascii="宋体" w:hAnsi="宋体" w:eastAsia="宋体" w:cs="宋体"/>
      </w:rPr>
    </w:lvl>
  </w:abstractNum>
  <w:abstractNum w:abstractNumId="25">
    <w:nsid w:val="E1B38B33"/>
    <w:multiLevelType w:val="singleLevel"/>
    <w:tmpl w:val="E1B38B33"/>
    <w:lvl w:ilvl="0" w:tentative="0">
      <w:start w:val="1"/>
      <w:numFmt w:val="decimal"/>
      <w:suff w:val="space"/>
      <w:lvlText w:val="(%1)"/>
      <w:lvlJc w:val="left"/>
      <w:pPr>
        <w:ind w:left="0" w:firstLine="480"/>
      </w:pPr>
      <w:rPr>
        <w:rFonts w:hint="default"/>
      </w:rPr>
    </w:lvl>
  </w:abstractNum>
  <w:abstractNum w:abstractNumId="26">
    <w:nsid w:val="E335130F"/>
    <w:multiLevelType w:val="singleLevel"/>
    <w:tmpl w:val="E335130F"/>
    <w:lvl w:ilvl="0" w:tentative="0">
      <w:start w:val="1"/>
      <w:numFmt w:val="decimal"/>
      <w:suff w:val="nothing"/>
      <w:lvlText w:val="%1. "/>
      <w:lvlJc w:val="left"/>
      <w:pPr>
        <w:tabs>
          <w:tab w:val="left" w:pos="0"/>
        </w:tabs>
        <w:ind w:left="0" w:leftChars="0" w:firstLine="482" w:firstLineChars="0"/>
      </w:pPr>
      <w:rPr>
        <w:rFonts w:hint="default"/>
        <w:b/>
        <w:bCs w:val="0"/>
        <w:sz w:val="24"/>
        <w:szCs w:val="24"/>
      </w:rPr>
    </w:lvl>
  </w:abstractNum>
  <w:abstractNum w:abstractNumId="27">
    <w:nsid w:val="E5162684"/>
    <w:multiLevelType w:val="singleLevel"/>
    <w:tmpl w:val="E5162684"/>
    <w:lvl w:ilvl="0" w:tentative="0">
      <w:start w:val="1"/>
      <w:numFmt w:val="decimal"/>
      <w:suff w:val="space"/>
      <w:lvlText w:val="2.%1"/>
      <w:lvlJc w:val="left"/>
      <w:pPr>
        <w:ind w:left="0" w:firstLine="482"/>
      </w:pPr>
      <w:rPr>
        <w:rFonts w:hint="default"/>
      </w:rPr>
    </w:lvl>
  </w:abstractNum>
  <w:abstractNum w:abstractNumId="28">
    <w:nsid w:val="EA70D92C"/>
    <w:multiLevelType w:val="singleLevel"/>
    <w:tmpl w:val="EA70D92C"/>
    <w:lvl w:ilvl="0" w:tentative="0">
      <w:start w:val="1"/>
      <w:numFmt w:val="decimal"/>
      <w:suff w:val="nothing"/>
      <w:lvlText w:val="（%1）"/>
      <w:lvlJc w:val="left"/>
      <w:pPr>
        <w:tabs>
          <w:tab w:val="left" w:pos="0"/>
        </w:tabs>
        <w:ind w:left="0" w:firstLine="482"/>
      </w:pPr>
      <w:rPr>
        <w:rFonts w:hint="default"/>
      </w:rPr>
    </w:lvl>
  </w:abstractNum>
  <w:abstractNum w:abstractNumId="29">
    <w:nsid w:val="EAF0C68C"/>
    <w:multiLevelType w:val="singleLevel"/>
    <w:tmpl w:val="EAF0C68C"/>
    <w:lvl w:ilvl="0" w:tentative="0">
      <w:start w:val="1"/>
      <w:numFmt w:val="decimal"/>
      <w:suff w:val="space"/>
      <w:lvlText w:val="14.%1"/>
      <w:lvlJc w:val="left"/>
      <w:pPr>
        <w:ind w:left="0" w:firstLine="480"/>
      </w:pPr>
      <w:rPr>
        <w:rFonts w:hint="default"/>
      </w:rPr>
    </w:lvl>
  </w:abstractNum>
  <w:abstractNum w:abstractNumId="30">
    <w:nsid w:val="ED965B8D"/>
    <w:multiLevelType w:val="singleLevel"/>
    <w:tmpl w:val="ED965B8D"/>
    <w:lvl w:ilvl="0" w:tentative="0">
      <w:start w:val="1"/>
      <w:numFmt w:val="decimal"/>
      <w:suff w:val="space"/>
      <w:lvlText w:val="8.%1"/>
      <w:lvlJc w:val="left"/>
      <w:pPr>
        <w:ind w:left="0" w:firstLine="480"/>
      </w:pPr>
      <w:rPr>
        <w:rFonts w:hint="default"/>
      </w:rPr>
    </w:lvl>
  </w:abstractNum>
  <w:abstractNum w:abstractNumId="31">
    <w:nsid w:val="EDDDC54D"/>
    <w:multiLevelType w:val="singleLevel"/>
    <w:tmpl w:val="EDDDC54D"/>
    <w:lvl w:ilvl="0" w:tentative="0">
      <w:start w:val="1"/>
      <w:numFmt w:val="decimal"/>
      <w:suff w:val="nothing"/>
      <w:lvlText w:val="%1. "/>
      <w:lvlJc w:val="left"/>
      <w:pPr>
        <w:tabs>
          <w:tab w:val="left" w:pos="0"/>
        </w:tabs>
        <w:ind w:left="0" w:firstLine="480"/>
      </w:pPr>
      <w:rPr>
        <w:rFonts w:hint="default"/>
      </w:rPr>
    </w:lvl>
  </w:abstractNum>
  <w:abstractNum w:abstractNumId="32">
    <w:nsid w:val="F052341C"/>
    <w:multiLevelType w:val="singleLevel"/>
    <w:tmpl w:val="F052341C"/>
    <w:lvl w:ilvl="0" w:tentative="0">
      <w:start w:val="1"/>
      <w:numFmt w:val="decimal"/>
      <w:suff w:val="space"/>
      <w:lvlText w:val="3.%1"/>
      <w:lvlJc w:val="left"/>
      <w:pPr>
        <w:ind w:left="0" w:firstLine="480"/>
      </w:pPr>
      <w:rPr>
        <w:rFonts w:hint="default"/>
      </w:rPr>
    </w:lvl>
  </w:abstractNum>
  <w:abstractNum w:abstractNumId="33">
    <w:nsid w:val="F2681739"/>
    <w:multiLevelType w:val="singleLevel"/>
    <w:tmpl w:val="F2681739"/>
    <w:lvl w:ilvl="0" w:tentative="0">
      <w:start w:val="1"/>
      <w:numFmt w:val="decimal"/>
      <w:suff w:val="space"/>
      <w:lvlText w:val="7.%1"/>
      <w:lvlJc w:val="left"/>
      <w:pPr>
        <w:ind w:left="0" w:leftChars="0" w:firstLine="482" w:firstLineChars="0"/>
      </w:pPr>
      <w:rPr>
        <w:rFonts w:hint="default"/>
      </w:rPr>
    </w:lvl>
  </w:abstractNum>
  <w:abstractNum w:abstractNumId="34">
    <w:nsid w:val="F42F6DCB"/>
    <w:multiLevelType w:val="singleLevel"/>
    <w:tmpl w:val="F42F6DCB"/>
    <w:lvl w:ilvl="0" w:tentative="0">
      <w:start w:val="1"/>
      <w:numFmt w:val="decimal"/>
      <w:suff w:val="space"/>
      <w:lvlText w:val="%1."/>
      <w:lvlJc w:val="left"/>
      <w:pPr>
        <w:ind w:left="0" w:firstLine="480"/>
      </w:pPr>
      <w:rPr>
        <w:rFonts w:hint="default"/>
      </w:rPr>
    </w:lvl>
  </w:abstractNum>
  <w:abstractNum w:abstractNumId="35">
    <w:nsid w:val="F765F2D2"/>
    <w:multiLevelType w:val="singleLevel"/>
    <w:tmpl w:val="F765F2D2"/>
    <w:lvl w:ilvl="0" w:tentative="0">
      <w:start w:val="1"/>
      <w:numFmt w:val="decimal"/>
      <w:suff w:val="space"/>
      <w:lvlText w:val="%1."/>
      <w:lvlJc w:val="left"/>
      <w:pPr>
        <w:ind w:left="0" w:firstLine="482"/>
      </w:pPr>
      <w:rPr>
        <w:rFonts w:hint="default"/>
      </w:rPr>
    </w:lvl>
  </w:abstractNum>
  <w:abstractNum w:abstractNumId="36">
    <w:nsid w:val="F7667D5D"/>
    <w:multiLevelType w:val="singleLevel"/>
    <w:tmpl w:val="F7667D5D"/>
    <w:lvl w:ilvl="0" w:tentative="0">
      <w:start w:val="1"/>
      <w:numFmt w:val="chineseCounting"/>
      <w:suff w:val="nothing"/>
      <w:lvlText w:val="%1."/>
      <w:lvlJc w:val="left"/>
      <w:pPr>
        <w:ind w:left="0" w:firstLine="420"/>
      </w:pPr>
      <w:rPr>
        <w:rFonts w:hint="eastAsia"/>
      </w:rPr>
    </w:lvl>
  </w:abstractNum>
  <w:abstractNum w:abstractNumId="37">
    <w:nsid w:val="FE2B2BD5"/>
    <w:multiLevelType w:val="singleLevel"/>
    <w:tmpl w:val="FE2B2BD5"/>
    <w:lvl w:ilvl="0" w:tentative="0">
      <w:start w:val="1"/>
      <w:numFmt w:val="decimal"/>
      <w:suff w:val="nothing"/>
      <w:lvlText w:val="%1. "/>
      <w:lvlJc w:val="left"/>
      <w:pPr>
        <w:tabs>
          <w:tab w:val="left" w:pos="0"/>
        </w:tabs>
        <w:ind w:left="0" w:firstLine="480"/>
      </w:pPr>
      <w:rPr>
        <w:rFonts w:hint="default"/>
      </w:rPr>
    </w:lvl>
  </w:abstractNum>
  <w:abstractNum w:abstractNumId="38">
    <w:nsid w:val="02EFCB64"/>
    <w:multiLevelType w:val="singleLevel"/>
    <w:tmpl w:val="02EFCB64"/>
    <w:lvl w:ilvl="0" w:tentative="0">
      <w:start w:val="1"/>
      <w:numFmt w:val="decimal"/>
      <w:suff w:val="nothing"/>
      <w:lvlText w:val="（%1）"/>
      <w:lvlJc w:val="left"/>
      <w:pPr>
        <w:ind w:left="0" w:firstLine="480"/>
      </w:pPr>
      <w:rPr>
        <w:rFonts w:hint="default"/>
      </w:rPr>
    </w:lvl>
  </w:abstractNum>
  <w:abstractNum w:abstractNumId="39">
    <w:nsid w:val="03767851"/>
    <w:multiLevelType w:val="multilevel"/>
    <w:tmpl w:val="03767851"/>
    <w:lvl w:ilvl="0" w:tentative="0">
      <w:start w:val="1"/>
      <w:numFmt w:val="decimal"/>
      <w:pStyle w:val="6"/>
      <w:lvlText w:val="%1."/>
      <w:lvlJc w:val="left"/>
      <w:pPr>
        <w:tabs>
          <w:tab w:val="left" w:pos="482"/>
        </w:tabs>
        <w:ind w:left="0" w:leftChars="0" w:firstLine="482" w:firstLineChars="0"/>
      </w:pPr>
      <w:rPr>
        <w:rFonts w:hint="default"/>
      </w:rPr>
    </w:lvl>
    <w:lvl w:ilvl="1" w:tentative="0">
      <w:start w:val="1"/>
      <w:numFmt w:val="decimal"/>
      <w:pStyle w:val="7"/>
      <w:lvlText w:val="%1.%2."/>
      <w:lvlJc w:val="left"/>
      <w:pPr>
        <w:tabs>
          <w:tab w:val="left" w:pos="482"/>
        </w:tabs>
        <w:ind w:left="1" w:leftChars="0" w:firstLine="481" w:firstLineChars="0"/>
      </w:pPr>
      <w:rPr>
        <w:rFonts w:hint="default"/>
      </w:rPr>
    </w:lvl>
    <w:lvl w:ilvl="2" w:tentative="0">
      <w:start w:val="1"/>
      <w:numFmt w:val="decimal"/>
      <w:pStyle w:val="8"/>
      <w:lvlText w:val="%1.%2.%3."/>
      <w:lvlJc w:val="left"/>
      <w:pPr>
        <w:ind w:left="720" w:hanging="720"/>
      </w:pPr>
      <w:rPr>
        <w:rFonts w:hint="default"/>
      </w:rPr>
    </w:lvl>
    <w:lvl w:ilvl="3" w:tentative="0">
      <w:start w:val="1"/>
      <w:numFmt w:val="decimal"/>
      <w:pStyle w:val="9"/>
      <w:lvlText w:val="%1.%2.%3.%4."/>
      <w:lvlJc w:val="left"/>
      <w:pPr>
        <w:ind w:left="864" w:hanging="864"/>
      </w:pPr>
      <w:rPr>
        <w:rFonts w:hint="default"/>
      </w:rPr>
    </w:lvl>
    <w:lvl w:ilvl="4" w:tentative="0">
      <w:start w:val="1"/>
      <w:numFmt w:val="decimal"/>
      <w:pStyle w:val="10"/>
      <w:lvlText w:val="%1.%2.%3.%4.%5."/>
      <w:lvlJc w:val="left"/>
      <w:pPr>
        <w:ind w:left="1008" w:hanging="1008"/>
      </w:pPr>
      <w:rPr>
        <w:rFonts w:hint="default"/>
      </w:rPr>
    </w:lvl>
    <w:lvl w:ilvl="5" w:tentative="0">
      <w:start w:val="1"/>
      <w:numFmt w:val="decimal"/>
      <w:pStyle w:val="11"/>
      <w:lvlText w:val="%1.%2.%3.%4.%5.%6."/>
      <w:lvlJc w:val="left"/>
      <w:pPr>
        <w:ind w:left="1151" w:hanging="1151"/>
      </w:pPr>
      <w:rPr>
        <w:rFonts w:hint="default"/>
      </w:rPr>
    </w:lvl>
    <w:lvl w:ilvl="6" w:tentative="0">
      <w:start w:val="1"/>
      <w:numFmt w:val="decimal"/>
      <w:pStyle w:val="12"/>
      <w:lvlText w:val="%1.%2.%3.%4.%5.%6.%7."/>
      <w:lvlJc w:val="left"/>
      <w:pPr>
        <w:ind w:left="1296" w:hanging="1296"/>
      </w:pPr>
      <w:rPr>
        <w:rFonts w:hint="default"/>
      </w:rPr>
    </w:lvl>
    <w:lvl w:ilvl="7" w:tentative="0">
      <w:start w:val="1"/>
      <w:numFmt w:val="decimal"/>
      <w:pStyle w:val="13"/>
      <w:lvlText w:val="%1.%2.%3.%4.%5.%6.%7.%8."/>
      <w:lvlJc w:val="left"/>
      <w:pPr>
        <w:ind w:left="1440" w:hanging="1440"/>
      </w:pPr>
      <w:rPr>
        <w:rFonts w:hint="default"/>
      </w:rPr>
    </w:lvl>
    <w:lvl w:ilvl="8" w:tentative="0">
      <w:start w:val="1"/>
      <w:numFmt w:val="decimal"/>
      <w:pStyle w:val="14"/>
      <w:lvlText w:val="%1.%2.%3.%4.%5.%6.%7.%8.%9."/>
      <w:lvlJc w:val="left"/>
      <w:pPr>
        <w:ind w:left="1583" w:hanging="1583"/>
      </w:pPr>
      <w:rPr>
        <w:rFonts w:hint="default"/>
      </w:rPr>
    </w:lvl>
  </w:abstractNum>
  <w:abstractNum w:abstractNumId="40">
    <w:nsid w:val="07FAF018"/>
    <w:multiLevelType w:val="singleLevel"/>
    <w:tmpl w:val="07FAF018"/>
    <w:lvl w:ilvl="0" w:tentative="0">
      <w:start w:val="1"/>
      <w:numFmt w:val="decimal"/>
      <w:suff w:val="space"/>
      <w:lvlText w:val="36.%1"/>
      <w:lvlJc w:val="left"/>
      <w:pPr>
        <w:ind w:left="0" w:firstLine="480"/>
      </w:pPr>
      <w:rPr>
        <w:rFonts w:hint="default"/>
      </w:rPr>
    </w:lvl>
  </w:abstractNum>
  <w:abstractNum w:abstractNumId="41">
    <w:nsid w:val="09B8ADCC"/>
    <w:multiLevelType w:val="singleLevel"/>
    <w:tmpl w:val="09B8ADCC"/>
    <w:lvl w:ilvl="0" w:tentative="0">
      <w:start w:val="1"/>
      <w:numFmt w:val="decimal"/>
      <w:suff w:val="space"/>
      <w:lvlText w:val="1.%1"/>
      <w:lvlJc w:val="left"/>
      <w:pPr>
        <w:ind w:left="0" w:leftChars="0" w:firstLine="482" w:firstLineChars="0"/>
      </w:pPr>
      <w:rPr>
        <w:rFonts w:hint="default"/>
      </w:rPr>
    </w:lvl>
  </w:abstractNum>
  <w:abstractNum w:abstractNumId="42">
    <w:nsid w:val="09F1EB99"/>
    <w:multiLevelType w:val="singleLevel"/>
    <w:tmpl w:val="09F1EB99"/>
    <w:lvl w:ilvl="0" w:tentative="0">
      <w:start w:val="1"/>
      <w:numFmt w:val="decimal"/>
      <w:suff w:val="space"/>
      <w:lvlText w:val="12.6.%1"/>
      <w:lvlJc w:val="left"/>
      <w:pPr>
        <w:ind w:left="0" w:firstLine="480"/>
      </w:pPr>
      <w:rPr>
        <w:rFonts w:hint="default"/>
      </w:rPr>
    </w:lvl>
  </w:abstractNum>
  <w:abstractNum w:abstractNumId="43">
    <w:nsid w:val="0D2C6E08"/>
    <w:multiLevelType w:val="singleLevel"/>
    <w:tmpl w:val="0D2C6E08"/>
    <w:lvl w:ilvl="0" w:tentative="0">
      <w:start w:val="1"/>
      <w:numFmt w:val="decimal"/>
      <w:suff w:val="nothing"/>
      <w:lvlText w:val="（%1）"/>
      <w:lvlJc w:val="left"/>
      <w:pPr>
        <w:ind w:left="0" w:firstLine="480"/>
      </w:pPr>
      <w:rPr>
        <w:rFonts w:hint="default"/>
      </w:rPr>
    </w:lvl>
  </w:abstractNum>
  <w:abstractNum w:abstractNumId="44">
    <w:nsid w:val="21BE69F5"/>
    <w:multiLevelType w:val="singleLevel"/>
    <w:tmpl w:val="21BE69F5"/>
    <w:lvl w:ilvl="0" w:tentative="0">
      <w:start w:val="1"/>
      <w:numFmt w:val="decimal"/>
      <w:suff w:val="space"/>
      <w:lvlText w:val="21.%1"/>
      <w:lvlJc w:val="left"/>
      <w:pPr>
        <w:ind w:left="0" w:firstLine="480"/>
      </w:pPr>
      <w:rPr>
        <w:rFonts w:hint="default"/>
      </w:rPr>
    </w:lvl>
  </w:abstractNum>
  <w:abstractNum w:abstractNumId="45">
    <w:nsid w:val="22DCB97F"/>
    <w:multiLevelType w:val="singleLevel"/>
    <w:tmpl w:val="22DCB97F"/>
    <w:lvl w:ilvl="0" w:tentative="0">
      <w:start w:val="1"/>
      <w:numFmt w:val="decimal"/>
      <w:suff w:val="nothing"/>
      <w:lvlText w:val="（%1）"/>
      <w:lvlJc w:val="left"/>
      <w:pPr>
        <w:ind w:left="0" w:firstLine="480"/>
      </w:pPr>
      <w:rPr>
        <w:rFonts w:hint="default"/>
      </w:rPr>
    </w:lvl>
  </w:abstractNum>
  <w:abstractNum w:abstractNumId="46">
    <w:nsid w:val="2447F2A1"/>
    <w:multiLevelType w:val="singleLevel"/>
    <w:tmpl w:val="2447F2A1"/>
    <w:lvl w:ilvl="0" w:tentative="0">
      <w:start w:val="1"/>
      <w:numFmt w:val="decimal"/>
      <w:suff w:val="space"/>
      <w:lvlText w:val="%1."/>
      <w:lvlJc w:val="left"/>
      <w:pPr>
        <w:ind w:left="0" w:firstLine="480"/>
      </w:pPr>
      <w:rPr>
        <w:rFonts w:hint="default"/>
      </w:rPr>
    </w:lvl>
  </w:abstractNum>
  <w:abstractNum w:abstractNumId="47">
    <w:nsid w:val="2746D145"/>
    <w:multiLevelType w:val="singleLevel"/>
    <w:tmpl w:val="2746D145"/>
    <w:lvl w:ilvl="0" w:tentative="0">
      <w:start w:val="1"/>
      <w:numFmt w:val="decimal"/>
      <w:suff w:val="nothing"/>
      <w:lvlText w:val="%1. "/>
      <w:lvlJc w:val="left"/>
      <w:pPr>
        <w:tabs>
          <w:tab w:val="left" w:pos="0"/>
        </w:tabs>
        <w:ind w:left="0" w:firstLine="480"/>
      </w:pPr>
      <w:rPr>
        <w:rFonts w:hint="default"/>
        <w:b/>
      </w:rPr>
    </w:lvl>
  </w:abstractNum>
  <w:abstractNum w:abstractNumId="48">
    <w:nsid w:val="2FCA2ACE"/>
    <w:multiLevelType w:val="singleLevel"/>
    <w:tmpl w:val="2FCA2ACE"/>
    <w:lvl w:ilvl="0" w:tentative="0">
      <w:start w:val="1"/>
      <w:numFmt w:val="decimal"/>
      <w:suff w:val="nothing"/>
      <w:lvlText w:val="（%1）"/>
      <w:lvlJc w:val="left"/>
      <w:pPr>
        <w:ind w:left="0" w:firstLine="480"/>
      </w:pPr>
      <w:rPr>
        <w:rFonts w:hint="default"/>
      </w:rPr>
    </w:lvl>
  </w:abstractNum>
  <w:abstractNum w:abstractNumId="49">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0">
    <w:nsid w:val="36E42A3A"/>
    <w:multiLevelType w:val="singleLevel"/>
    <w:tmpl w:val="36E42A3A"/>
    <w:lvl w:ilvl="0" w:tentative="0">
      <w:start w:val="1"/>
      <w:numFmt w:val="decimal"/>
      <w:suff w:val="nothing"/>
      <w:lvlText w:val="%1."/>
      <w:lvlJc w:val="left"/>
      <w:pPr>
        <w:tabs>
          <w:tab w:val="left" w:pos="0"/>
        </w:tabs>
        <w:ind w:left="0" w:firstLine="480"/>
      </w:pPr>
      <w:rPr>
        <w:rFonts w:hint="default"/>
      </w:rPr>
    </w:lvl>
  </w:abstractNum>
  <w:abstractNum w:abstractNumId="51">
    <w:nsid w:val="3BD9EDB1"/>
    <w:multiLevelType w:val="singleLevel"/>
    <w:tmpl w:val="3BD9EDB1"/>
    <w:lvl w:ilvl="0" w:tentative="0">
      <w:start w:val="1"/>
      <w:numFmt w:val="decimal"/>
      <w:suff w:val="nothing"/>
      <w:lvlText w:val="（%1）"/>
      <w:lvlJc w:val="left"/>
      <w:pPr>
        <w:ind w:left="0" w:firstLine="480"/>
      </w:pPr>
      <w:rPr>
        <w:rFonts w:hint="default"/>
      </w:rPr>
    </w:lvl>
  </w:abstractNum>
  <w:abstractNum w:abstractNumId="52">
    <w:nsid w:val="3E31E9E1"/>
    <w:multiLevelType w:val="singleLevel"/>
    <w:tmpl w:val="3E31E9E1"/>
    <w:lvl w:ilvl="0" w:tentative="0">
      <w:start w:val="1"/>
      <w:numFmt w:val="decimal"/>
      <w:suff w:val="nothing"/>
      <w:lvlText w:val="%1."/>
      <w:lvlJc w:val="left"/>
      <w:pPr>
        <w:tabs>
          <w:tab w:val="left" w:pos="0"/>
        </w:tabs>
        <w:ind w:left="0" w:firstLine="480"/>
      </w:pPr>
      <w:rPr>
        <w:rFonts w:hint="default"/>
        <w:b w:val="0"/>
        <w:bCs w:val="0"/>
      </w:rPr>
    </w:lvl>
  </w:abstractNum>
  <w:abstractNum w:abstractNumId="53">
    <w:nsid w:val="3F611767"/>
    <w:multiLevelType w:val="singleLevel"/>
    <w:tmpl w:val="3F611767"/>
    <w:lvl w:ilvl="0" w:tentative="0">
      <w:start w:val="1"/>
      <w:numFmt w:val="decimal"/>
      <w:suff w:val="nothing"/>
      <w:lvlText w:val="%1. "/>
      <w:lvlJc w:val="left"/>
      <w:pPr>
        <w:tabs>
          <w:tab w:val="left" w:pos="0"/>
        </w:tabs>
        <w:ind w:left="0" w:firstLine="480"/>
      </w:pPr>
      <w:rPr>
        <w:rFonts w:hint="default"/>
      </w:rPr>
    </w:lvl>
  </w:abstractNum>
  <w:abstractNum w:abstractNumId="54">
    <w:nsid w:val="40E998DF"/>
    <w:multiLevelType w:val="singleLevel"/>
    <w:tmpl w:val="40E998DF"/>
    <w:lvl w:ilvl="0" w:tentative="0">
      <w:start w:val="1"/>
      <w:numFmt w:val="decimal"/>
      <w:suff w:val="nothing"/>
      <w:lvlText w:val="（%1）"/>
      <w:lvlJc w:val="left"/>
      <w:pPr>
        <w:ind w:left="0" w:firstLine="480"/>
      </w:pPr>
      <w:rPr>
        <w:rFonts w:hint="default"/>
      </w:rPr>
    </w:lvl>
  </w:abstractNum>
  <w:abstractNum w:abstractNumId="55">
    <w:nsid w:val="468CBC6E"/>
    <w:multiLevelType w:val="singleLevel"/>
    <w:tmpl w:val="468CBC6E"/>
    <w:lvl w:ilvl="0" w:tentative="0">
      <w:start w:val="1"/>
      <w:numFmt w:val="decimal"/>
      <w:suff w:val="space"/>
      <w:lvlText w:val="19.4.%1"/>
      <w:lvlJc w:val="left"/>
      <w:pPr>
        <w:ind w:left="0" w:firstLine="480"/>
      </w:pPr>
      <w:rPr>
        <w:rFonts w:hint="default"/>
      </w:rPr>
    </w:lvl>
  </w:abstractNum>
  <w:abstractNum w:abstractNumId="56">
    <w:nsid w:val="480E6E67"/>
    <w:multiLevelType w:val="singleLevel"/>
    <w:tmpl w:val="480E6E67"/>
    <w:lvl w:ilvl="0" w:tentative="0">
      <w:start w:val="1"/>
      <w:numFmt w:val="decimal"/>
      <w:suff w:val="space"/>
      <w:lvlText w:val="3.%1"/>
      <w:lvlJc w:val="left"/>
      <w:pPr>
        <w:ind w:left="0" w:firstLine="480"/>
      </w:pPr>
      <w:rPr>
        <w:rFonts w:hint="default"/>
      </w:rPr>
    </w:lvl>
  </w:abstractNum>
  <w:abstractNum w:abstractNumId="57">
    <w:nsid w:val="4A26B461"/>
    <w:multiLevelType w:val="singleLevel"/>
    <w:tmpl w:val="4A26B461"/>
    <w:lvl w:ilvl="0" w:tentative="0">
      <w:start w:val="1"/>
      <w:numFmt w:val="decimal"/>
      <w:suff w:val="nothing"/>
      <w:lvlText w:val="(%1). "/>
      <w:lvlJc w:val="left"/>
      <w:pPr>
        <w:ind w:left="0" w:firstLine="482"/>
      </w:pPr>
      <w:rPr>
        <w:rFonts w:hint="default"/>
        <w:b w:val="0"/>
        <w:bCs w:val="0"/>
      </w:rPr>
    </w:lvl>
  </w:abstractNum>
  <w:abstractNum w:abstractNumId="58">
    <w:nsid w:val="4DF39DAD"/>
    <w:multiLevelType w:val="singleLevel"/>
    <w:tmpl w:val="4DF39DAD"/>
    <w:lvl w:ilvl="0" w:tentative="0">
      <w:start w:val="1"/>
      <w:numFmt w:val="decimal"/>
      <w:suff w:val="space"/>
      <w:lvlText w:val="12.%1"/>
      <w:lvlJc w:val="left"/>
      <w:pPr>
        <w:ind w:left="0" w:firstLine="480"/>
      </w:pPr>
      <w:rPr>
        <w:rFonts w:hint="default"/>
      </w:rPr>
    </w:lvl>
  </w:abstractNum>
  <w:abstractNum w:abstractNumId="59">
    <w:nsid w:val="4EDE93C4"/>
    <w:multiLevelType w:val="singleLevel"/>
    <w:tmpl w:val="4EDE93C4"/>
    <w:lvl w:ilvl="0" w:tentative="0">
      <w:start w:val="1"/>
      <w:numFmt w:val="decimal"/>
      <w:suff w:val="nothing"/>
      <w:lvlText w:val="（%1）"/>
      <w:lvlJc w:val="left"/>
      <w:pPr>
        <w:ind w:left="0" w:firstLine="480"/>
      </w:pPr>
      <w:rPr>
        <w:rFonts w:hint="default"/>
      </w:rPr>
    </w:lvl>
  </w:abstractNum>
  <w:abstractNum w:abstractNumId="60">
    <w:nsid w:val="5032CC1E"/>
    <w:multiLevelType w:val="singleLevel"/>
    <w:tmpl w:val="5032CC1E"/>
    <w:lvl w:ilvl="0" w:tentative="0">
      <w:start w:val="1"/>
      <w:numFmt w:val="decimal"/>
      <w:suff w:val="nothing"/>
      <w:lvlText w:val="（%1）"/>
      <w:lvlJc w:val="left"/>
      <w:pPr>
        <w:ind w:left="0" w:firstLine="480"/>
      </w:pPr>
      <w:rPr>
        <w:rFonts w:hint="default"/>
      </w:rPr>
    </w:lvl>
  </w:abstractNum>
  <w:abstractNum w:abstractNumId="61">
    <w:nsid w:val="537C70D1"/>
    <w:multiLevelType w:val="singleLevel"/>
    <w:tmpl w:val="537C70D1"/>
    <w:lvl w:ilvl="0" w:tentative="0">
      <w:start w:val="1"/>
      <w:numFmt w:val="decimal"/>
      <w:suff w:val="space"/>
      <w:lvlText w:val="14.1.%1."/>
      <w:lvlJc w:val="left"/>
      <w:pPr>
        <w:ind w:left="0" w:firstLine="480"/>
      </w:pPr>
      <w:rPr>
        <w:rFonts w:hint="default"/>
      </w:rPr>
    </w:lvl>
  </w:abstractNum>
  <w:abstractNum w:abstractNumId="62">
    <w:nsid w:val="5760F9C8"/>
    <w:multiLevelType w:val="singleLevel"/>
    <w:tmpl w:val="5760F9C8"/>
    <w:lvl w:ilvl="0" w:tentative="0">
      <w:start w:val="1"/>
      <w:numFmt w:val="decimal"/>
      <w:suff w:val="nothing"/>
      <w:lvlText w:val="（%1）"/>
      <w:lvlJc w:val="left"/>
      <w:pPr>
        <w:ind w:left="0" w:firstLine="480"/>
      </w:pPr>
      <w:rPr>
        <w:rFonts w:hint="default"/>
      </w:rPr>
    </w:lvl>
  </w:abstractNum>
  <w:abstractNum w:abstractNumId="63">
    <w:nsid w:val="5E524C31"/>
    <w:multiLevelType w:val="singleLevel"/>
    <w:tmpl w:val="5E524C31"/>
    <w:lvl w:ilvl="0" w:tentative="0">
      <w:start w:val="1"/>
      <w:numFmt w:val="decimal"/>
      <w:suff w:val="space"/>
      <w:lvlText w:val="%1."/>
      <w:lvlJc w:val="left"/>
      <w:pPr>
        <w:ind w:left="0" w:firstLine="482"/>
      </w:pPr>
      <w:rPr>
        <w:rFonts w:hint="default"/>
      </w:rPr>
    </w:lvl>
  </w:abstractNum>
  <w:abstractNum w:abstractNumId="64">
    <w:nsid w:val="6A979656"/>
    <w:multiLevelType w:val="singleLevel"/>
    <w:tmpl w:val="6A979656"/>
    <w:lvl w:ilvl="0" w:tentative="0">
      <w:start w:val="1"/>
      <w:numFmt w:val="chineseCounting"/>
      <w:suff w:val="nothing"/>
      <w:lvlText w:val="%1."/>
      <w:lvlJc w:val="left"/>
      <w:pPr>
        <w:tabs>
          <w:tab w:val="left" w:pos="0"/>
        </w:tabs>
        <w:ind w:left="0" w:firstLine="0"/>
      </w:pPr>
      <w:rPr>
        <w:rFonts w:hint="eastAsia"/>
      </w:rPr>
    </w:lvl>
  </w:abstractNum>
  <w:abstractNum w:abstractNumId="65">
    <w:nsid w:val="6CAE66C9"/>
    <w:multiLevelType w:val="singleLevel"/>
    <w:tmpl w:val="6CAE66C9"/>
    <w:lvl w:ilvl="0" w:tentative="0">
      <w:start w:val="1"/>
      <w:numFmt w:val="chineseCounting"/>
      <w:suff w:val="space"/>
      <w:lvlText w:val="%1 ."/>
      <w:lvlJc w:val="left"/>
      <w:pPr>
        <w:tabs>
          <w:tab w:val="left" w:pos="0"/>
        </w:tabs>
        <w:ind w:left="0" w:firstLine="480"/>
      </w:pPr>
      <w:rPr>
        <w:rFonts w:hint="eastAsia" w:ascii="宋体" w:hAnsi="宋体" w:eastAsia="宋体" w:cs="宋体"/>
        <w:b/>
        <w:bCs/>
      </w:rPr>
    </w:lvl>
  </w:abstractNum>
  <w:abstractNum w:abstractNumId="66">
    <w:nsid w:val="7982956F"/>
    <w:multiLevelType w:val="singleLevel"/>
    <w:tmpl w:val="7982956F"/>
    <w:lvl w:ilvl="0" w:tentative="0">
      <w:start w:val="1"/>
      <w:numFmt w:val="decimal"/>
      <w:suff w:val="space"/>
      <w:lvlText w:val="%1."/>
      <w:lvlJc w:val="left"/>
      <w:pPr>
        <w:ind w:left="0" w:firstLine="480"/>
      </w:pPr>
      <w:rPr>
        <w:rFonts w:hint="default"/>
      </w:rPr>
    </w:lvl>
  </w:abstractNum>
  <w:abstractNum w:abstractNumId="67">
    <w:nsid w:val="7BFD9D05"/>
    <w:multiLevelType w:val="singleLevel"/>
    <w:tmpl w:val="7BFD9D05"/>
    <w:lvl w:ilvl="0" w:tentative="0">
      <w:start w:val="1"/>
      <w:numFmt w:val="decimal"/>
      <w:suff w:val="space"/>
      <w:lvlText w:val="19.%1"/>
      <w:lvlJc w:val="left"/>
      <w:pPr>
        <w:tabs>
          <w:tab w:val="left" w:pos="0"/>
        </w:tabs>
        <w:ind w:left="0" w:firstLine="482"/>
      </w:pPr>
      <w:rPr>
        <w:rFonts w:hint="default"/>
      </w:rPr>
    </w:lvl>
  </w:abstractNum>
  <w:abstractNum w:abstractNumId="68">
    <w:nsid w:val="7C11AAE5"/>
    <w:multiLevelType w:val="singleLevel"/>
    <w:tmpl w:val="7C11AAE5"/>
    <w:lvl w:ilvl="0" w:tentative="0">
      <w:start w:val="2"/>
      <w:numFmt w:val="decimal"/>
      <w:suff w:val="nothing"/>
      <w:lvlText w:val="（%1）"/>
      <w:lvlJc w:val="left"/>
      <w:pPr>
        <w:ind w:left="0" w:firstLine="480"/>
      </w:pPr>
      <w:rPr>
        <w:rFonts w:hint="default"/>
      </w:rPr>
    </w:lvl>
  </w:abstractNum>
  <w:abstractNum w:abstractNumId="69">
    <w:nsid w:val="7D57EEDD"/>
    <w:multiLevelType w:val="singleLevel"/>
    <w:tmpl w:val="7D57EEDD"/>
    <w:lvl w:ilvl="0" w:tentative="0">
      <w:start w:val="1"/>
      <w:numFmt w:val="chineseCounting"/>
      <w:suff w:val="nothing"/>
      <w:lvlText w:val="%1．"/>
      <w:lvlJc w:val="left"/>
      <w:pPr>
        <w:ind w:left="210" w:firstLine="0"/>
      </w:pPr>
      <w:rPr>
        <w:rFonts w:hint="eastAsia"/>
      </w:rPr>
    </w:lvl>
  </w:abstractNum>
  <w:abstractNum w:abstractNumId="70">
    <w:nsid w:val="7F4FB7F8"/>
    <w:multiLevelType w:val="singleLevel"/>
    <w:tmpl w:val="7F4FB7F8"/>
    <w:lvl w:ilvl="0" w:tentative="0">
      <w:start w:val="1"/>
      <w:numFmt w:val="chineseCounting"/>
      <w:suff w:val="space"/>
      <w:lvlText w:val="第%1章"/>
      <w:lvlJc w:val="left"/>
      <w:pPr>
        <w:tabs>
          <w:tab w:val="left" w:pos="0"/>
        </w:tabs>
        <w:ind w:left="0" w:firstLine="0"/>
      </w:pPr>
      <w:rPr>
        <w:rFonts w:hint="eastAsia"/>
      </w:rPr>
    </w:lvl>
  </w:abstractNum>
  <w:num w:numId="1">
    <w:abstractNumId w:val="39"/>
  </w:num>
  <w:num w:numId="2">
    <w:abstractNumId w:val="70"/>
  </w:num>
  <w:num w:numId="3">
    <w:abstractNumId w:val="69"/>
  </w:num>
  <w:num w:numId="4">
    <w:abstractNumId w:val="15"/>
  </w:num>
  <w:num w:numId="5">
    <w:abstractNumId w:val="32"/>
  </w:num>
  <w:num w:numId="6">
    <w:abstractNumId w:val="34"/>
  </w:num>
  <w:num w:numId="7">
    <w:abstractNumId w:val="68"/>
  </w:num>
  <w:num w:numId="8">
    <w:abstractNumId w:val="45"/>
  </w:num>
  <w:num w:numId="9">
    <w:abstractNumId w:val="10"/>
  </w:num>
  <w:num w:numId="10">
    <w:abstractNumId w:val="64"/>
  </w:num>
  <w:num w:numId="11">
    <w:abstractNumId w:val="63"/>
  </w:num>
  <w:num w:numId="12">
    <w:abstractNumId w:val="41"/>
  </w:num>
  <w:num w:numId="13">
    <w:abstractNumId w:val="27"/>
  </w:num>
  <w:num w:numId="14">
    <w:abstractNumId w:val="56"/>
  </w:num>
  <w:num w:numId="15">
    <w:abstractNumId w:val="54"/>
  </w:num>
  <w:num w:numId="16">
    <w:abstractNumId w:val="5"/>
  </w:num>
  <w:num w:numId="17">
    <w:abstractNumId w:val="8"/>
  </w:num>
  <w:num w:numId="18">
    <w:abstractNumId w:val="33"/>
  </w:num>
  <w:num w:numId="19">
    <w:abstractNumId w:val="30"/>
  </w:num>
  <w:num w:numId="20">
    <w:abstractNumId w:val="6"/>
  </w:num>
  <w:num w:numId="21">
    <w:abstractNumId w:val="11"/>
  </w:num>
  <w:num w:numId="22">
    <w:abstractNumId w:val="43"/>
  </w:num>
  <w:num w:numId="23">
    <w:abstractNumId w:val="7"/>
  </w:num>
  <w:num w:numId="24">
    <w:abstractNumId w:val="16"/>
  </w:num>
  <w:num w:numId="25">
    <w:abstractNumId w:val="58"/>
  </w:num>
  <w:num w:numId="26">
    <w:abstractNumId w:val="42"/>
  </w:num>
  <w:num w:numId="27">
    <w:abstractNumId w:val="29"/>
  </w:num>
  <w:num w:numId="28">
    <w:abstractNumId w:val="61"/>
  </w:num>
  <w:num w:numId="29">
    <w:abstractNumId w:val="1"/>
  </w:num>
  <w:num w:numId="30">
    <w:abstractNumId w:val="21"/>
  </w:num>
  <w:num w:numId="31">
    <w:abstractNumId w:val="3"/>
  </w:num>
  <w:num w:numId="32">
    <w:abstractNumId w:val="67"/>
  </w:num>
  <w:num w:numId="33">
    <w:abstractNumId w:val="55"/>
  </w:num>
  <w:num w:numId="34">
    <w:abstractNumId w:val="46"/>
  </w:num>
  <w:num w:numId="35">
    <w:abstractNumId w:val="14"/>
  </w:num>
  <w:num w:numId="36">
    <w:abstractNumId w:val="9"/>
  </w:num>
  <w:num w:numId="37">
    <w:abstractNumId w:val="44"/>
  </w:num>
  <w:num w:numId="38">
    <w:abstractNumId w:val="18"/>
  </w:num>
  <w:num w:numId="39">
    <w:abstractNumId w:val="38"/>
  </w:num>
  <w:num w:numId="40">
    <w:abstractNumId w:val="60"/>
  </w:num>
  <w:num w:numId="41">
    <w:abstractNumId w:val="0"/>
  </w:num>
  <w:num w:numId="42">
    <w:abstractNumId w:val="40"/>
  </w:num>
  <w:num w:numId="43">
    <w:abstractNumId w:val="48"/>
  </w:num>
  <w:num w:numId="44">
    <w:abstractNumId w:val="62"/>
  </w:num>
  <w:num w:numId="45">
    <w:abstractNumId w:val="24"/>
  </w:num>
  <w:num w:numId="46">
    <w:abstractNumId w:val="12"/>
  </w:num>
  <w:num w:numId="47">
    <w:abstractNumId w:val="35"/>
  </w:num>
  <w:num w:numId="48">
    <w:abstractNumId w:val="22"/>
  </w:num>
  <w:num w:numId="49">
    <w:abstractNumId w:val="19"/>
  </w:num>
  <w:num w:numId="50">
    <w:abstractNumId w:val="59"/>
  </w:num>
  <w:num w:numId="51">
    <w:abstractNumId w:val="52"/>
  </w:num>
  <w:num w:numId="52">
    <w:abstractNumId w:val="4"/>
  </w:num>
  <w:num w:numId="53">
    <w:abstractNumId w:val="50"/>
  </w:num>
  <w:num w:numId="54">
    <w:abstractNumId w:val="2"/>
  </w:num>
  <w:num w:numId="55">
    <w:abstractNumId w:val="66"/>
  </w:num>
  <w:num w:numId="56">
    <w:abstractNumId w:val="23"/>
  </w:num>
  <w:num w:numId="57">
    <w:abstractNumId w:val="57"/>
  </w:num>
  <w:num w:numId="58">
    <w:abstractNumId w:val="26"/>
  </w:num>
  <w:num w:numId="59">
    <w:abstractNumId w:val="13"/>
  </w:num>
  <w:num w:numId="60">
    <w:abstractNumId w:val="17"/>
  </w:num>
  <w:num w:numId="61">
    <w:abstractNumId w:val="51"/>
  </w:num>
  <w:num w:numId="62">
    <w:abstractNumId w:val="31"/>
  </w:num>
  <w:num w:numId="63">
    <w:abstractNumId w:val="53"/>
  </w:num>
  <w:num w:numId="64">
    <w:abstractNumId w:val="28"/>
  </w:num>
  <w:num w:numId="65">
    <w:abstractNumId w:val="49"/>
  </w:num>
  <w:num w:numId="66">
    <w:abstractNumId w:val="25"/>
  </w:num>
  <w:num w:numId="67">
    <w:abstractNumId w:val="20"/>
  </w:num>
  <w:num w:numId="68">
    <w:abstractNumId w:val="37"/>
  </w:num>
  <w:num w:numId="69">
    <w:abstractNumId w:val="47"/>
  </w:num>
  <w:num w:numId="70">
    <w:abstractNumId w:val="65"/>
  </w:num>
  <w:num w:numId="7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7B57E3"/>
    <w:rsid w:val="003036C0"/>
    <w:rsid w:val="01E171BD"/>
    <w:rsid w:val="034B0FFA"/>
    <w:rsid w:val="036B4C28"/>
    <w:rsid w:val="037405E1"/>
    <w:rsid w:val="0577737D"/>
    <w:rsid w:val="05E97159"/>
    <w:rsid w:val="06306C83"/>
    <w:rsid w:val="0683519D"/>
    <w:rsid w:val="07827C24"/>
    <w:rsid w:val="093A3733"/>
    <w:rsid w:val="0A856C30"/>
    <w:rsid w:val="0C3B4CA0"/>
    <w:rsid w:val="0CCA2457"/>
    <w:rsid w:val="0D0767C2"/>
    <w:rsid w:val="0D51729D"/>
    <w:rsid w:val="0E1A3B33"/>
    <w:rsid w:val="0F026140"/>
    <w:rsid w:val="0FC93A62"/>
    <w:rsid w:val="12300775"/>
    <w:rsid w:val="12CD386A"/>
    <w:rsid w:val="14AC5473"/>
    <w:rsid w:val="158A15A6"/>
    <w:rsid w:val="15E44C04"/>
    <w:rsid w:val="1629525B"/>
    <w:rsid w:val="17022978"/>
    <w:rsid w:val="1752478D"/>
    <w:rsid w:val="1AC82E74"/>
    <w:rsid w:val="1ACE33CB"/>
    <w:rsid w:val="1BAE59FB"/>
    <w:rsid w:val="1C4954A8"/>
    <w:rsid w:val="1D403AC1"/>
    <w:rsid w:val="1D5649A5"/>
    <w:rsid w:val="1DD0263C"/>
    <w:rsid w:val="1E1A5386"/>
    <w:rsid w:val="1E990AA4"/>
    <w:rsid w:val="1F2B3A62"/>
    <w:rsid w:val="20B9723E"/>
    <w:rsid w:val="21F72DBD"/>
    <w:rsid w:val="23205984"/>
    <w:rsid w:val="24A8657A"/>
    <w:rsid w:val="25326A7E"/>
    <w:rsid w:val="256516E0"/>
    <w:rsid w:val="262D74B8"/>
    <w:rsid w:val="26D11723"/>
    <w:rsid w:val="2723264C"/>
    <w:rsid w:val="27623B5F"/>
    <w:rsid w:val="284C7BD1"/>
    <w:rsid w:val="28E514B5"/>
    <w:rsid w:val="28F57710"/>
    <w:rsid w:val="2ABF1B41"/>
    <w:rsid w:val="2BD1187D"/>
    <w:rsid w:val="2D084EBB"/>
    <w:rsid w:val="2F8B61E7"/>
    <w:rsid w:val="31B832E9"/>
    <w:rsid w:val="3220355E"/>
    <w:rsid w:val="32BC5448"/>
    <w:rsid w:val="32EC5295"/>
    <w:rsid w:val="37B16C7E"/>
    <w:rsid w:val="37EA43F2"/>
    <w:rsid w:val="38614D91"/>
    <w:rsid w:val="38C01CD9"/>
    <w:rsid w:val="3B2A1AA2"/>
    <w:rsid w:val="3BBD7D90"/>
    <w:rsid w:val="3BEE4F97"/>
    <w:rsid w:val="3C2327E1"/>
    <w:rsid w:val="3CD1792F"/>
    <w:rsid w:val="3D8348B6"/>
    <w:rsid w:val="3DD220DA"/>
    <w:rsid w:val="3E582682"/>
    <w:rsid w:val="3F2268A2"/>
    <w:rsid w:val="3FA70E1B"/>
    <w:rsid w:val="40776973"/>
    <w:rsid w:val="407D02C2"/>
    <w:rsid w:val="446B68BB"/>
    <w:rsid w:val="44817E8C"/>
    <w:rsid w:val="449F0313"/>
    <w:rsid w:val="457C3DA0"/>
    <w:rsid w:val="45BD72FE"/>
    <w:rsid w:val="46B8390E"/>
    <w:rsid w:val="46C655B1"/>
    <w:rsid w:val="474B4782"/>
    <w:rsid w:val="481478BF"/>
    <w:rsid w:val="485C3DC6"/>
    <w:rsid w:val="493269BD"/>
    <w:rsid w:val="49A0607A"/>
    <w:rsid w:val="4C0076E4"/>
    <w:rsid w:val="4D9F3A3B"/>
    <w:rsid w:val="4E9B4950"/>
    <w:rsid w:val="4FC32BE8"/>
    <w:rsid w:val="50285660"/>
    <w:rsid w:val="513C1D62"/>
    <w:rsid w:val="541D0155"/>
    <w:rsid w:val="54996B2C"/>
    <w:rsid w:val="54CD2984"/>
    <w:rsid w:val="54EC24E5"/>
    <w:rsid w:val="54ED36FA"/>
    <w:rsid w:val="558246E0"/>
    <w:rsid w:val="55A41C2D"/>
    <w:rsid w:val="582940AF"/>
    <w:rsid w:val="59AF294E"/>
    <w:rsid w:val="5A733899"/>
    <w:rsid w:val="5AF314CF"/>
    <w:rsid w:val="5BC112B9"/>
    <w:rsid w:val="5C5137CF"/>
    <w:rsid w:val="5D4E4E90"/>
    <w:rsid w:val="5DC27FAD"/>
    <w:rsid w:val="5E324898"/>
    <w:rsid w:val="607218A9"/>
    <w:rsid w:val="60D22077"/>
    <w:rsid w:val="60E16FD7"/>
    <w:rsid w:val="6191272F"/>
    <w:rsid w:val="630930CF"/>
    <w:rsid w:val="65A05841"/>
    <w:rsid w:val="66494CB0"/>
    <w:rsid w:val="667B57E3"/>
    <w:rsid w:val="668F04BA"/>
    <w:rsid w:val="68940093"/>
    <w:rsid w:val="6A511D44"/>
    <w:rsid w:val="6A6534F3"/>
    <w:rsid w:val="6C5B06FB"/>
    <w:rsid w:val="6CBD4D91"/>
    <w:rsid w:val="6D6111AA"/>
    <w:rsid w:val="70C06F78"/>
    <w:rsid w:val="70DF0FD3"/>
    <w:rsid w:val="73F844DE"/>
    <w:rsid w:val="746D637A"/>
    <w:rsid w:val="74E01648"/>
    <w:rsid w:val="765D6045"/>
    <w:rsid w:val="767960D2"/>
    <w:rsid w:val="769D4A3B"/>
    <w:rsid w:val="77F137FE"/>
    <w:rsid w:val="79942DE2"/>
    <w:rsid w:val="7D425704"/>
    <w:rsid w:val="7E9E2629"/>
    <w:rsid w:val="7FBF6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next w:val="1"/>
    <w:qFormat/>
    <w:uiPriority w:val="0"/>
    <w:pPr>
      <w:keepNext w:val="0"/>
      <w:keepLines w:val="0"/>
      <w:widowControl w:val="0"/>
      <w:numPr>
        <w:ilvl w:val="0"/>
        <w:numId w:val="1"/>
      </w:numPr>
      <w:spacing w:before="240" w:beforeLines="0" w:after="120" w:line="360" w:lineRule="auto"/>
      <w:ind w:left="0" w:firstLine="482"/>
      <w:jc w:val="left"/>
      <w:outlineLvl w:val="0"/>
    </w:pPr>
    <w:rPr>
      <w:rFonts w:ascii="宋体" w:hAnsi="宋体" w:eastAsia="宋体" w:cs="宋体"/>
      <w:b/>
      <w:bCs/>
      <w:kern w:val="44"/>
      <w:sz w:val="24"/>
      <w:szCs w:val="30"/>
    </w:rPr>
  </w:style>
  <w:style w:type="paragraph" w:styleId="7">
    <w:name w:val="heading 2"/>
    <w:next w:val="1"/>
    <w:qFormat/>
    <w:uiPriority w:val="9"/>
    <w:pPr>
      <w:keepNext w:val="0"/>
      <w:keepLines w:val="0"/>
      <w:widowControl w:val="0"/>
      <w:numPr>
        <w:ilvl w:val="1"/>
        <w:numId w:val="1"/>
      </w:numPr>
      <w:spacing w:before="120" w:beforeAutospacing="0" w:after="120" w:afterAutospacing="0" w:line="360" w:lineRule="auto"/>
      <w:ind w:left="1" w:firstLine="481"/>
      <w:jc w:val="left"/>
      <w:outlineLvl w:val="1"/>
    </w:pPr>
    <w:rPr>
      <w:rFonts w:ascii="Times New Roman" w:hAnsi="Times New Roman" w:eastAsia="宋体" w:cs="Times New Roman"/>
      <w:b/>
      <w:sz w:val="24"/>
    </w:rPr>
  </w:style>
  <w:style w:type="paragraph" w:styleId="8">
    <w:name w:val="heading 3"/>
    <w:next w:val="1"/>
    <w:qFormat/>
    <w:uiPriority w:val="0"/>
    <w:pPr>
      <w:keepNext w:val="0"/>
      <w:keepLines w:val="0"/>
      <w:widowControl w:val="0"/>
      <w:numPr>
        <w:ilvl w:val="2"/>
        <w:numId w:val="1"/>
      </w:numPr>
      <w:spacing w:before="120" w:beforeAutospacing="0" w:after="120" w:afterAutospacing="0" w:line="360" w:lineRule="auto"/>
      <w:ind w:left="720" w:hanging="720"/>
      <w:jc w:val="left"/>
      <w:outlineLvl w:val="2"/>
    </w:pPr>
    <w:rPr>
      <w:rFonts w:ascii="Times New Roman" w:hAnsi="Times New Roman" w:eastAsia="宋体" w:cs="Times New Roman"/>
      <w:b/>
      <w:sz w:val="24"/>
    </w:rPr>
  </w:style>
  <w:style w:type="paragraph" w:styleId="9">
    <w:name w:val="heading 4"/>
    <w:next w:val="1"/>
    <w:qFormat/>
    <w:uiPriority w:val="0"/>
    <w:pPr>
      <w:keepNext w:val="0"/>
      <w:keepLines w:val="0"/>
      <w:widowControl w:val="0"/>
      <w:numPr>
        <w:ilvl w:val="3"/>
        <w:numId w:val="1"/>
      </w:numPr>
      <w:spacing w:before="120" w:beforeAutospacing="0" w:after="120" w:afterAutospacing="0" w:line="360" w:lineRule="auto"/>
      <w:ind w:left="864" w:hanging="864"/>
      <w:outlineLvl w:val="3"/>
    </w:pPr>
    <w:rPr>
      <w:rFonts w:ascii="Times New Roman" w:hAnsi="Times New Roman" w:eastAsia="宋体" w:cs="Times New Roman"/>
      <w:b/>
      <w:sz w:val="24"/>
    </w:rPr>
  </w:style>
  <w:style w:type="paragraph" w:styleId="10">
    <w:name w:val="heading 5"/>
    <w:next w:val="1"/>
    <w:qFormat/>
    <w:uiPriority w:val="0"/>
    <w:pPr>
      <w:keepNext w:val="0"/>
      <w:keepLines w:val="0"/>
      <w:widowControl w:val="0"/>
      <w:numPr>
        <w:ilvl w:val="4"/>
        <w:numId w:val="1"/>
      </w:numPr>
      <w:spacing w:beforeLines="0" w:beforeAutospacing="0" w:after="120" w:afterLines="0" w:afterAutospacing="0" w:line="300" w:lineRule="auto"/>
      <w:ind w:left="1008" w:hanging="1008"/>
      <w:jc w:val="left"/>
      <w:outlineLvl w:val="4"/>
    </w:pPr>
    <w:rPr>
      <w:rFonts w:ascii="Times New Roman" w:hAnsi="Times New Roman" w:eastAsia="宋体" w:cs="Times New Roman"/>
      <w:sz w:val="24"/>
    </w:rPr>
  </w:style>
  <w:style w:type="paragraph" w:styleId="11">
    <w:name w:val="heading 6"/>
    <w:next w:val="1"/>
    <w:semiHidden/>
    <w:unhideWhenUsed/>
    <w:qFormat/>
    <w:uiPriority w:val="0"/>
    <w:pPr>
      <w:keepNext w:val="0"/>
      <w:keepLines w:val="0"/>
      <w:widowControl w:val="0"/>
      <w:numPr>
        <w:ilvl w:val="5"/>
        <w:numId w:val="1"/>
      </w:numPr>
      <w:spacing w:beforeLines="0" w:beforeAutospacing="0" w:after="120" w:afterLines="0" w:afterAutospacing="0" w:line="300" w:lineRule="auto"/>
      <w:ind w:left="1151" w:hanging="1151"/>
      <w:jc w:val="left"/>
      <w:outlineLvl w:val="5"/>
    </w:pPr>
    <w:rPr>
      <w:rFonts w:ascii="Times New Roman" w:hAnsi="Times New Roman" w:eastAsia="宋体" w:cs="Times New Roman"/>
      <w:sz w:val="24"/>
    </w:rPr>
  </w:style>
  <w:style w:type="paragraph" w:styleId="12">
    <w:name w:val="heading 7"/>
    <w:next w:val="1"/>
    <w:semiHidden/>
    <w:unhideWhenUsed/>
    <w:qFormat/>
    <w:uiPriority w:val="0"/>
    <w:pPr>
      <w:keepNext w:val="0"/>
      <w:keepLines w:val="0"/>
      <w:widowControl w:val="0"/>
      <w:numPr>
        <w:ilvl w:val="6"/>
        <w:numId w:val="1"/>
      </w:numPr>
      <w:spacing w:beforeLines="0" w:beforeAutospacing="0" w:after="120" w:afterLines="0" w:afterAutospacing="0" w:line="300" w:lineRule="auto"/>
      <w:ind w:left="1296" w:hanging="1296"/>
      <w:jc w:val="left"/>
      <w:outlineLvl w:val="6"/>
    </w:pPr>
    <w:rPr>
      <w:rFonts w:ascii="Times New Roman" w:hAnsi="Times New Roman" w:eastAsia="宋体" w:cs="Times New Roman"/>
      <w:sz w:val="24"/>
    </w:rPr>
  </w:style>
  <w:style w:type="paragraph" w:styleId="13">
    <w:name w:val="heading 8"/>
    <w:next w:val="1"/>
    <w:semiHidden/>
    <w:unhideWhenUsed/>
    <w:qFormat/>
    <w:uiPriority w:val="0"/>
    <w:pPr>
      <w:keepNext w:val="0"/>
      <w:keepLines w:val="0"/>
      <w:widowControl w:val="0"/>
      <w:numPr>
        <w:ilvl w:val="7"/>
        <w:numId w:val="1"/>
      </w:numPr>
      <w:spacing w:beforeLines="0" w:beforeAutospacing="0" w:after="120" w:afterLines="0" w:afterAutospacing="0" w:line="300" w:lineRule="auto"/>
      <w:ind w:left="1440" w:hanging="1440"/>
      <w:jc w:val="left"/>
      <w:outlineLvl w:val="7"/>
    </w:pPr>
    <w:rPr>
      <w:rFonts w:ascii="Times New Roman" w:hAnsi="Times New Roman" w:eastAsia="宋体" w:cs="Times New Roman"/>
      <w:sz w:val="24"/>
    </w:rPr>
  </w:style>
  <w:style w:type="paragraph" w:styleId="14">
    <w:name w:val="heading 9"/>
    <w:next w:val="1"/>
    <w:semiHidden/>
    <w:unhideWhenUsed/>
    <w:qFormat/>
    <w:uiPriority w:val="0"/>
    <w:pPr>
      <w:keepNext w:val="0"/>
      <w:keepLines w:val="0"/>
      <w:widowControl w:val="0"/>
      <w:numPr>
        <w:ilvl w:val="8"/>
        <w:numId w:val="1"/>
      </w:numPr>
      <w:spacing w:beforeLines="0" w:beforeAutospacing="0" w:after="120" w:afterLines="0" w:afterAutospacing="0" w:line="300" w:lineRule="auto"/>
      <w:ind w:left="1583" w:hanging="1583"/>
      <w:jc w:val="left"/>
      <w:outlineLvl w:val="8"/>
    </w:pPr>
    <w:rPr>
      <w:rFonts w:ascii="Times New Roman" w:hAnsi="Times New Roman" w:eastAsia="宋体" w:cs="Times New Roman"/>
      <w:sz w:val="24"/>
    </w:rPr>
  </w:style>
  <w:style w:type="character" w:default="1" w:styleId="26">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customStyle="1" w:styleId="2">
    <w:name w:val="表格文字"/>
    <w:basedOn w:val="3"/>
    <w:next w:val="4"/>
    <w:qFormat/>
    <w:uiPriority w:val="0"/>
    <w:pPr>
      <w:spacing w:before="25" w:after="25"/>
      <w:jc w:val="left"/>
    </w:pPr>
    <w:rPr>
      <w:bCs/>
      <w:spacing w:val="10"/>
      <w:kern w:val="0"/>
      <w:sz w:val="24"/>
      <w:szCs w:val="20"/>
    </w:rPr>
  </w:style>
  <w:style w:type="paragraph" w:styleId="3">
    <w:name w:val="Body Text Indent"/>
    <w:basedOn w:val="1"/>
    <w:qFormat/>
    <w:uiPriority w:val="0"/>
    <w:pPr>
      <w:ind w:firstLine="830" w:firstLineChars="352"/>
    </w:pPr>
    <w:rPr>
      <w:rFonts w:ascii="仿宋_GB2312" w:eastAsia="仿宋_GB2312"/>
      <w:kern w:val="0"/>
      <w:sz w:val="32"/>
      <w:szCs w:val="20"/>
    </w:rPr>
  </w:style>
  <w:style w:type="paragraph" w:styleId="4">
    <w:name w:val="Body Text"/>
    <w:basedOn w:val="1"/>
    <w:next w:val="5"/>
    <w:unhideWhenUsed/>
    <w:qFormat/>
    <w:uiPriority w:val="0"/>
    <w:pPr>
      <w:widowControl w:val="0"/>
      <w:spacing w:after="120" w:afterLines="0" w:afterAutospacing="0" w:line="300" w:lineRule="auto"/>
      <w:ind w:firstLine="420" w:firstLineChars="200"/>
    </w:pPr>
    <w:rPr>
      <w:rFonts w:ascii="Times New Roman" w:hAnsi="Times New Roman" w:eastAsia="宋体" w:cs="Times New Roman"/>
      <w:sz w:val="24"/>
    </w:rPr>
  </w:style>
  <w:style w:type="paragraph" w:styleId="5">
    <w:name w:val="toc 2"/>
    <w:basedOn w:val="1"/>
    <w:next w:val="1"/>
    <w:unhideWhenUsed/>
    <w:qFormat/>
    <w:uiPriority w:val="39"/>
    <w:pPr>
      <w:tabs>
        <w:tab w:val="right" w:leader="dot" w:pos="8450"/>
      </w:tabs>
      <w:ind w:left="420" w:leftChars="200"/>
    </w:pPr>
  </w:style>
  <w:style w:type="paragraph" w:styleId="15">
    <w:name w:val="annotation text"/>
    <w:basedOn w:val="1"/>
    <w:qFormat/>
    <w:uiPriority w:val="0"/>
    <w:pPr>
      <w:jc w:val="left"/>
    </w:pPr>
  </w:style>
  <w:style w:type="paragraph" w:styleId="16">
    <w:name w:val="Block Text"/>
    <w:basedOn w:val="1"/>
    <w:qFormat/>
    <w:uiPriority w:val="0"/>
    <w:pPr>
      <w:adjustRightInd w:val="0"/>
      <w:snapToGrid w:val="0"/>
      <w:spacing w:line="480" w:lineRule="atLeast"/>
      <w:ind w:left="-57" w:right="69"/>
    </w:pPr>
    <w:rPr>
      <w:rFonts w:ascii="宋体"/>
      <w:b/>
      <w:sz w:val="24"/>
      <w:szCs w:val="20"/>
    </w:rPr>
  </w:style>
  <w:style w:type="paragraph" w:styleId="17">
    <w:name w:val="Plain Text"/>
    <w:basedOn w:val="1"/>
    <w:next w:val="1"/>
    <w:qFormat/>
    <w:uiPriority w:val="0"/>
    <w:rPr>
      <w:rFonts w:ascii="宋体" w:hAnsi="Courier New"/>
      <w:kern w:val="0"/>
      <w:sz w:val="20"/>
      <w:szCs w:val="21"/>
    </w:rPr>
  </w:style>
  <w:style w:type="paragraph" w:styleId="18">
    <w:name w:val="footer"/>
    <w:basedOn w:val="1"/>
    <w:unhideWhenUsed/>
    <w:qFormat/>
    <w:uiPriority w:val="99"/>
    <w:pPr>
      <w:tabs>
        <w:tab w:val="center" w:pos="4153"/>
        <w:tab w:val="right" w:pos="8306"/>
      </w:tabs>
      <w:snapToGrid w:val="0"/>
      <w:jc w:val="left"/>
    </w:pPr>
    <w:rPr>
      <w:kern w:val="0"/>
      <w:sz w:val="18"/>
      <w:szCs w:val="18"/>
    </w:rPr>
  </w:style>
  <w:style w:type="paragraph" w:styleId="19">
    <w:name w:val="toc 1"/>
    <w:basedOn w:val="1"/>
    <w:next w:val="1"/>
    <w:unhideWhenUsed/>
    <w:qFormat/>
    <w:uiPriority w:val="39"/>
  </w:style>
  <w:style w:type="paragraph" w:styleId="20">
    <w:name w:val="Subtitle"/>
    <w:qFormat/>
    <w:uiPriority w:val="0"/>
    <w:pPr>
      <w:widowControl w:val="0"/>
      <w:spacing w:before="120" w:beforeLines="0" w:beforeAutospacing="0" w:after="240" w:afterLines="0" w:afterAutospacing="0" w:line="360" w:lineRule="auto"/>
      <w:jc w:val="center"/>
      <w:outlineLvl w:val="9"/>
    </w:pPr>
    <w:rPr>
      <w:rFonts w:ascii="Times New Roman" w:hAnsi="Times New Roman" w:eastAsia="宋体" w:cs="Times New Roman"/>
      <w:b/>
      <w:kern w:val="28"/>
      <w:sz w:val="24"/>
    </w:rPr>
  </w:style>
  <w:style w:type="paragraph" w:styleId="21">
    <w:name w:val="toc 6"/>
    <w:basedOn w:val="1"/>
    <w:next w:val="1"/>
    <w:unhideWhenUsed/>
    <w:qFormat/>
    <w:uiPriority w:val="39"/>
    <w:pPr>
      <w:ind w:left="2100" w:leftChars="1000"/>
    </w:pPr>
    <w:rPr>
      <w:rFonts w:ascii="Calibri" w:hAnsi="Calibri"/>
      <w:szCs w:val="22"/>
    </w:rPr>
  </w:style>
  <w:style w:type="paragraph" w:styleId="22">
    <w:name w:val="Title"/>
    <w:qFormat/>
    <w:uiPriority w:val="0"/>
    <w:pPr>
      <w:spacing w:beforeAutospacing="0" w:afterAutospacing="0" w:line="360" w:lineRule="auto"/>
      <w:jc w:val="center"/>
      <w:outlineLvl w:val="9"/>
    </w:pPr>
    <w:rPr>
      <w:rFonts w:ascii="Times New Roman" w:hAnsi="Times New Roman" w:eastAsia="黑体" w:cs="Times New Roman"/>
      <w:sz w:val="44"/>
    </w:rPr>
  </w:style>
  <w:style w:type="paragraph" w:styleId="23">
    <w:name w:val="Body Text First Indent"/>
    <w:basedOn w:val="4"/>
    <w:next w:val="21"/>
    <w:qFormat/>
    <w:uiPriority w:val="0"/>
    <w:pPr>
      <w:ind w:firstLine="420" w:firstLineChars="100"/>
    </w:pPr>
    <w:rPr>
      <w:rFonts w:ascii="宋体" w:hAnsi="Courier New"/>
      <w:kern w:val="0"/>
      <w:sz w:val="20"/>
      <w:szCs w:val="21"/>
    </w:rPr>
  </w:style>
  <w:style w:type="paragraph" w:styleId="24">
    <w:name w:val="Body Text First Indent 2"/>
    <w:basedOn w:val="3"/>
    <w:unhideWhenUsed/>
    <w:qFormat/>
    <w:uiPriority w:val="99"/>
    <w:pPr>
      <w:ind w:firstLine="420" w:firstLineChars="200"/>
    </w:pPr>
  </w:style>
  <w:style w:type="character" w:styleId="27">
    <w:name w:val="page number"/>
    <w:qFormat/>
    <w:uiPriority w:val="0"/>
  </w:style>
  <w:style w:type="character" w:styleId="28">
    <w:name w:val="Hyperlink"/>
    <w:unhideWhenUsed/>
    <w:qFormat/>
    <w:uiPriority w:val="99"/>
    <w:rPr>
      <w:color w:val="0000FF"/>
      <w:u w:val="single"/>
    </w:rPr>
  </w:style>
  <w:style w:type="paragraph" w:customStyle="1" w:styleId="2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
    <w:name w:val="图表内容"/>
    <w:qFormat/>
    <w:uiPriority w:val="0"/>
    <w:pPr>
      <w:jc w:val="center"/>
    </w:pPr>
    <w:rPr>
      <w:rFonts w:ascii="Times New Roman" w:hAnsi="Times New Roman" w:eastAsia="宋体" w:cs="Times New Roman"/>
      <w:kern w:val="2"/>
      <w:sz w:val="21"/>
      <w:szCs w:val="22"/>
      <w:lang w:val="en-US" w:eastAsia="zh-CN" w:bidi="ar-SA"/>
    </w:rPr>
  </w:style>
  <w:style w:type="character" w:customStyle="1" w:styleId="31">
    <w:name w:val="NormalCharacter"/>
    <w:qFormat/>
    <w:uiPriority w:val="0"/>
  </w:style>
  <w:style w:type="paragraph" w:customStyle="1" w:styleId="3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textcontents"/>
    <w:qFormat/>
    <w:uiPriority w:val="0"/>
  </w:style>
  <w:style w:type="paragraph" w:styleId="3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Normal Indent"/>
    <w:basedOn w:val="1"/>
    <w:qFormat/>
    <w:uiPriority w:val="0"/>
    <w:pPr>
      <w:widowControl/>
      <w:ind w:firstLine="420"/>
      <w:jc w:val="left"/>
    </w:pPr>
    <w:rPr>
      <w:rFonts w:ascii="Times New Roman" w:hAnsi="Times New Roman"/>
      <w:kern w:val="0"/>
      <w:szCs w:val="20"/>
    </w:rPr>
  </w:style>
  <w:style w:type="paragraph" w:styleId="37">
    <w:name w:val="List Paragraph"/>
    <w:basedOn w:val="1"/>
    <w:qFormat/>
    <w:uiPriority w:val="0"/>
    <w:pPr>
      <w:ind w:firstLine="420" w:firstLineChars="200"/>
    </w:pPr>
  </w:style>
  <w:style w:type="paragraph" w:customStyle="1" w:styleId="38">
    <w:name w:val="Body text|1"/>
    <w:basedOn w:val="1"/>
    <w:qFormat/>
    <w:uiPriority w:val="0"/>
    <w:pPr>
      <w:spacing w:line="360" w:lineRule="auto"/>
      <w:ind w:firstLine="400"/>
      <w:jc w:val="left"/>
    </w:pPr>
    <w:rPr>
      <w:rFonts w:ascii="宋体" w:hAnsi="宋体" w:cs="宋体"/>
      <w:sz w:val="20"/>
      <w:szCs w:val="20"/>
      <w:lang w:val="zh-CN" w:bidi="zh-CN"/>
    </w:rPr>
  </w:style>
  <w:style w:type="paragraph" w:customStyle="1" w:styleId="39">
    <w:name w:val="Body text|2"/>
    <w:basedOn w:val="1"/>
    <w:qFormat/>
    <w:uiPriority w:val="0"/>
    <w:pPr>
      <w:spacing w:after="30"/>
      <w:ind w:firstLine="420"/>
      <w:jc w:val="left"/>
    </w:pPr>
    <w:rPr>
      <w:rFonts w:ascii="Calibri" w:hAnsi="Calibri"/>
      <w:sz w:val="20"/>
      <w:szCs w:val="20"/>
    </w:rPr>
  </w:style>
  <w:style w:type="paragraph" w:customStyle="1" w:styleId="40">
    <w:name w:val="Other|1"/>
    <w:basedOn w:val="1"/>
    <w:qFormat/>
    <w:uiPriority w:val="0"/>
    <w:pPr>
      <w:spacing w:line="360" w:lineRule="auto"/>
      <w:ind w:firstLine="400"/>
      <w:jc w:val="left"/>
    </w:pPr>
    <w:rPr>
      <w:rFonts w:ascii="宋体" w:hAnsi="宋体" w:cs="宋体"/>
      <w:sz w:val="20"/>
      <w:szCs w:val="20"/>
      <w:lang w:val="zh-CN" w:bidi="zh-CN"/>
    </w:rPr>
  </w:style>
  <w:style w:type="paragraph" w:customStyle="1" w:styleId="41">
    <w:name w:val="Heading #4|1"/>
    <w:basedOn w:val="1"/>
    <w:qFormat/>
    <w:uiPriority w:val="0"/>
    <w:pPr>
      <w:spacing w:after="120"/>
      <w:jc w:val="left"/>
      <w:outlineLvl w:val="3"/>
    </w:pPr>
    <w:rPr>
      <w:rFonts w:ascii="宋体" w:hAnsi="宋体" w:cs="宋体"/>
      <w:szCs w:val="22"/>
      <w:lang w:val="zh-CN" w:bidi="zh-CN"/>
    </w:rPr>
  </w:style>
  <w:style w:type="paragraph" w:customStyle="1" w:styleId="42">
    <w:name w:val="附录标题"/>
    <w:next w:val="1"/>
    <w:qFormat/>
    <w:uiPriority w:val="0"/>
    <w:pPr>
      <w:keepNext w:val="0"/>
      <w:keepLines w:val="0"/>
      <w:widowControl w:val="0"/>
      <w:spacing w:before="240" w:after="120" w:line="360" w:lineRule="auto"/>
      <w:jc w:val="left"/>
      <w:outlineLvl w:val="0"/>
    </w:pPr>
    <w:rPr>
      <w:rFonts w:ascii="Times New Roman" w:hAnsi="Times New Roman" w:eastAsia="宋体" w:cs="Times New Roman"/>
      <w:b/>
      <w:sz w:val="24"/>
    </w:rPr>
  </w:style>
  <w:style w:type="paragraph" w:customStyle="1" w:styleId="43">
    <w:name w:val="章前标题"/>
    <w:next w:val="1"/>
    <w:qFormat/>
    <w:uiPriority w:val="0"/>
    <w:pPr>
      <w:keepNext w:val="0"/>
      <w:keepLines w:val="0"/>
      <w:pageBreakBefore w:val="0"/>
      <w:widowControl w:val="0"/>
      <w:kinsoku/>
      <w:wordWrap/>
      <w:overflowPunct/>
      <w:topLinePunct w:val="0"/>
      <w:autoSpaceDE/>
      <w:autoSpaceDN/>
      <w:bidi w:val="0"/>
      <w:adjustRightInd/>
      <w:spacing w:before="240" w:beforeLines="0" w:after="240" w:line="360" w:lineRule="auto"/>
      <w:jc w:val="center"/>
      <w:textAlignment w:val="auto"/>
      <w:outlineLvl w:val="9"/>
    </w:pPr>
    <w:rPr>
      <w:rFonts w:ascii="黑体" w:hAnsi="黑体" w:eastAsia="黑体" w:cs="黑体"/>
      <w:kern w:val="44"/>
      <w:sz w:val="30"/>
      <w:szCs w:val="36"/>
    </w:rPr>
  </w:style>
  <w:style w:type="paragraph" w:customStyle="1" w:styleId="44">
    <w:name w:val="章节标题"/>
    <w:next w:val="1"/>
    <w:qFormat/>
    <w:uiPriority w:val="0"/>
    <w:pPr>
      <w:pageBreakBefore w:val="0"/>
      <w:widowControl w:val="0"/>
      <w:spacing w:before="240" w:beforeLines="0" w:after="240" w:line="360" w:lineRule="auto"/>
      <w:jc w:val="center"/>
      <w:outlineLvl w:val="0"/>
    </w:pPr>
    <w:rPr>
      <w:rFonts w:ascii="Times New Roman" w:hAnsi="Times New Roman" w:eastAsia="黑体" w:cs="Times New Roman"/>
      <w:kern w:val="44"/>
      <w:sz w:val="30"/>
      <w:szCs w:val="36"/>
    </w:rPr>
  </w:style>
  <w:style w:type="paragraph" w:customStyle="1" w:styleId="45">
    <w:name w:val="内嵌文档标题1"/>
    <w:next w:val="1"/>
    <w:qFormat/>
    <w:uiPriority w:val="0"/>
    <w:pPr>
      <w:widowControl w:val="0"/>
      <w:spacing w:after="120" w:line="300" w:lineRule="auto"/>
      <w:jc w:val="center"/>
      <w:outlineLvl w:val="0"/>
    </w:pPr>
    <w:rPr>
      <w:rFonts w:ascii="Times New Roman" w:hAnsi="Times New Roman" w:eastAsia="宋体" w:cs="Times New Roman"/>
      <w:b/>
      <w:kern w:val="2"/>
      <w:sz w:val="24"/>
    </w:rPr>
  </w:style>
  <w:style w:type="paragraph" w:customStyle="1" w:styleId="46">
    <w:name w:val="内嵌文档标题2"/>
    <w:next w:val="1"/>
    <w:qFormat/>
    <w:uiPriority w:val="0"/>
    <w:pPr>
      <w:widowControl w:val="0"/>
      <w:shd w:val="clear" w:color="auto" w:fill="FFFFFF"/>
      <w:spacing w:after="120" w:line="300" w:lineRule="auto"/>
      <w:jc w:val="center"/>
      <w:outlineLvl w:val="0"/>
    </w:pPr>
    <w:rPr>
      <w:rFonts w:ascii="宋体" w:hAnsi="宋体" w:eastAsia="宋体" w:cs="宋体"/>
      <w:b/>
      <w:bCs/>
      <w:kern w:val="0"/>
      <w:sz w:val="24"/>
      <w:szCs w:val="30"/>
    </w:rPr>
  </w:style>
  <w:style w:type="paragraph" w:customStyle="1" w:styleId="47">
    <w:name w:val="Table Text"/>
    <w:basedOn w:val="1"/>
    <w:semiHidden/>
    <w:qFormat/>
    <w:uiPriority w:val="0"/>
    <w:rPr>
      <w:rFonts w:ascii="宋体" w:hAnsi="宋体" w:eastAsia="宋体" w:cs="宋体"/>
      <w:sz w:val="20"/>
      <w:szCs w:val="20"/>
      <w:lang w:val="en-US" w:eastAsia="en-US" w:bidi="ar-SA"/>
    </w:rPr>
  </w:style>
  <w:style w:type="table" w:customStyle="1" w:styleId="4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147</Pages>
  <Words>24721</Words>
  <Characters>25479</Characters>
  <Lines>0</Lines>
  <Paragraphs>0</Paragraphs>
  <TotalTime>3</TotalTime>
  <ScaleCrop>false</ScaleCrop>
  <LinksUpToDate>false</LinksUpToDate>
  <CharactersWithSpaces>26756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2025-02-14T08:51:00Z</dcterms:created>
  <dc:creator>老Wei</dc:creator>
  <cp:lastModifiedBy>麗艷</cp:lastModifiedBy>
  <dcterms:modified xsi:type="dcterms:W3CDTF">2025-08-08T03:21:25Z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E6AD56D8F0EA4BF385BEBCD219A1F56A_13</vt:lpwstr>
  </property>
  <property fmtid="{D5CDD505-2E9C-101B-9397-08002B2CF9AE}" pid="4" name="KSOTemplateDocerSaveRecord">
    <vt:lpwstr>eyJoZGlkIjoiMzM4ZDVlYTVjYzcwMzhjNGFkMjViNmNhM2EyNGJmZWYiLCJ1c2VySWQiOiIzOTM3Njc1MDYifQ==</vt:lpwstr>
  </property>
</Properties>
</file>